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5E7E" w14:textId="38472C67" w:rsidR="00673AD3" w:rsidRPr="00320FE3" w:rsidRDefault="00DF76B8" w:rsidP="00320FE3">
      <w:pPr>
        <w:spacing w:after="0" w:line="240" w:lineRule="auto"/>
        <w:jc w:val="center"/>
        <w:rPr>
          <w:rFonts w:ascii="Times New Roman" w:hAnsi="Times New Roman" w:cs="Times New Roman"/>
          <w:b/>
          <w:bCs/>
          <w:sz w:val="36"/>
          <w:szCs w:val="36"/>
        </w:rPr>
      </w:pPr>
      <w:r w:rsidRPr="00320FE3">
        <w:rPr>
          <w:rFonts w:ascii="Times New Roman" w:hAnsi="Times New Roman" w:cs="Times New Roman"/>
          <w:b/>
          <w:bCs/>
          <w:sz w:val="36"/>
          <w:szCs w:val="36"/>
        </w:rPr>
        <w:t>Philosophy of defense science: An approach to national defense and security development policy</w:t>
      </w:r>
    </w:p>
    <w:p w14:paraId="2D5EA136" w14:textId="77777777" w:rsidR="00320FE3" w:rsidRPr="00320FE3" w:rsidRDefault="00320FE3" w:rsidP="009C7DB5">
      <w:pPr>
        <w:pStyle w:val="NormalWeb"/>
        <w:spacing w:before="0" w:beforeAutospacing="0" w:after="0" w:afterAutospacing="0"/>
        <w:jc w:val="both"/>
        <w:rPr>
          <w:rStyle w:val="Strong"/>
          <w:rFonts w:eastAsiaTheme="minorEastAsia"/>
        </w:rPr>
      </w:pPr>
      <w:bookmarkStart w:id="0" w:name="_Hlk177311897"/>
    </w:p>
    <w:p w14:paraId="4247EEF0" w14:textId="1F4B789B" w:rsidR="009C7DB5" w:rsidRPr="00320FE3" w:rsidRDefault="00DF76B8" w:rsidP="009C7DB5">
      <w:pPr>
        <w:pStyle w:val="NormalWeb"/>
        <w:spacing w:before="0" w:beforeAutospacing="0" w:after="0" w:afterAutospacing="0"/>
        <w:jc w:val="both"/>
      </w:pPr>
      <w:r w:rsidRPr="00320FE3">
        <w:rPr>
          <w:rStyle w:val="Strong"/>
          <w:rFonts w:eastAsiaTheme="minorEastAsia"/>
        </w:rPr>
        <w:t>Abstract</w:t>
      </w:r>
    </w:p>
    <w:p w14:paraId="5CA64228" w14:textId="6CA0AD82" w:rsidR="009C7DB5" w:rsidRPr="00320FE3" w:rsidRDefault="00DF76B8" w:rsidP="009C7DB5">
      <w:pPr>
        <w:pStyle w:val="NormalWeb"/>
        <w:spacing w:before="0" w:beforeAutospacing="0" w:after="0" w:afterAutospacing="0"/>
        <w:jc w:val="both"/>
      </w:pPr>
      <w:r w:rsidRPr="00320FE3">
        <w:t xml:space="preserve">This article examines the philosophy of defense science as a conceptual approach to developing defense and security policies in various </w:t>
      </w:r>
      <w:r w:rsidRPr="00320FE3">
        <w:t>countries. The philosophy of defense science offers a framework that allows for an in-depth analysis of the defense strategies of countries, especially in the face of increasingly complex global threats, both traditional ones such as military aggression an</w:t>
      </w:r>
      <w:r w:rsidRPr="00320FE3">
        <w:t>d non-traditional threats such as terrorism and cybersecurity. By referring to various philosophical paradigms, such as positivism, constructivism, and postmodernism, this article explores how the philosophy of science influences the formulation of defense</w:t>
      </w:r>
      <w:r w:rsidRPr="00320FE3">
        <w:t xml:space="preserve"> policies in various countries. The primary focus lies on the development of defense science in Indonesia by providing a broader analysis of how a philosophical approach can strengthen national defense strategies. This article also highlights the relevance</w:t>
      </w:r>
      <w:r w:rsidRPr="00320FE3">
        <w:t xml:space="preserve"> of integrating social, political, and technological sciences to shaping more adaptive and sustainable defense policies.</w:t>
      </w:r>
    </w:p>
    <w:bookmarkEnd w:id="0"/>
    <w:p w14:paraId="7144D19E" w14:textId="77777777" w:rsidR="009C7DB5" w:rsidRPr="00320FE3" w:rsidRDefault="009C7DB5" w:rsidP="009C7DB5">
      <w:pPr>
        <w:pStyle w:val="NormalWeb"/>
        <w:spacing w:before="0" w:beforeAutospacing="0" w:after="0" w:afterAutospacing="0"/>
        <w:jc w:val="both"/>
        <w:rPr>
          <w:rStyle w:val="Strong"/>
          <w:rFonts w:eastAsiaTheme="minorEastAsia"/>
        </w:rPr>
      </w:pPr>
    </w:p>
    <w:p w14:paraId="782A9979" w14:textId="77777777" w:rsidR="009C7DB5" w:rsidRPr="00320FE3" w:rsidRDefault="00DF76B8" w:rsidP="009C7DB5">
      <w:pPr>
        <w:pStyle w:val="NormalWeb"/>
        <w:spacing w:before="0" w:beforeAutospacing="0" w:after="0" w:afterAutospacing="0"/>
        <w:jc w:val="both"/>
      </w:pPr>
      <w:r w:rsidRPr="00320FE3">
        <w:rPr>
          <w:rStyle w:val="Strong"/>
          <w:rFonts w:eastAsiaTheme="minorEastAsia"/>
        </w:rPr>
        <w:t>Keywords:​</w:t>
      </w:r>
      <w:r w:rsidRPr="00320FE3">
        <w:t xml:space="preserve"> philosophy of defense science, defense policy, national security, philosophical paradigm, global threats.</w:t>
      </w:r>
    </w:p>
    <w:p w14:paraId="16F72D31" w14:textId="77777777" w:rsidR="00320FE3" w:rsidRPr="00320FE3" w:rsidRDefault="00320FE3" w:rsidP="00673AD3">
      <w:pPr>
        <w:pStyle w:val="NormalWeb"/>
        <w:spacing w:before="0" w:beforeAutospacing="0" w:after="0" w:afterAutospacing="0"/>
        <w:jc w:val="both"/>
        <w:rPr>
          <w:b/>
          <w:bCs/>
        </w:rPr>
      </w:pPr>
    </w:p>
    <w:p w14:paraId="29DB5B94" w14:textId="695C5A0A" w:rsidR="00673AD3" w:rsidRPr="00320FE3" w:rsidRDefault="00DF76B8" w:rsidP="00673AD3">
      <w:pPr>
        <w:pStyle w:val="NormalWeb"/>
        <w:spacing w:before="0" w:beforeAutospacing="0" w:after="0" w:afterAutospacing="0"/>
        <w:jc w:val="both"/>
        <w:rPr>
          <w:b/>
          <w:bCs/>
        </w:rPr>
      </w:pPr>
      <w:r w:rsidRPr="00320FE3">
        <w:rPr>
          <w:b/>
          <w:bCs/>
        </w:rPr>
        <w:t>INTRODUCTION</w:t>
      </w:r>
    </w:p>
    <w:p w14:paraId="5F55128F" w14:textId="77777777" w:rsidR="00673AD3" w:rsidRPr="00320FE3" w:rsidRDefault="00DF76B8" w:rsidP="00673AD3">
      <w:pPr>
        <w:pStyle w:val="NormalWeb"/>
        <w:spacing w:before="0" w:beforeAutospacing="0" w:after="0" w:afterAutospacing="0"/>
        <w:jc w:val="both"/>
      </w:pPr>
      <w:r w:rsidRPr="00320FE3">
        <w:rPr>
          <w:b/>
          <w:bCs/>
        </w:rPr>
        <w:t xml:space="preserve"> </w:t>
      </w:r>
    </w:p>
    <w:p w14:paraId="5DB5D0F6" w14:textId="71B222E7" w:rsidR="00673AD3" w:rsidRPr="00320FE3" w:rsidRDefault="00DF76B8" w:rsidP="00673AD3">
      <w:pPr>
        <w:pStyle w:val="NormalWeb"/>
        <w:spacing w:before="0" w:beforeAutospacing="0" w:after="0" w:afterAutospacing="0"/>
        <w:jc w:val="both"/>
      </w:pPr>
      <w:r w:rsidRPr="00320FE3">
        <w:t>I</w:t>
      </w:r>
      <w:r w:rsidRPr="00320FE3">
        <w:t>n philosophy, knowledge is one of the essential disciplines​s in analyzing and understanding runway theoretical and methodological concepts from various fields of science, including knowledge defense. In the context of policy defense and security, philosop</w:t>
      </w:r>
      <w:r w:rsidRPr="00320FE3">
        <w:t xml:space="preserve">hical knowledge helps evaluate methods and the approach used To formulate policies and provides a framework For understanding How policy Is generated, implemented, and evaluated </w:t>
      </w:r>
      <w:r w:rsidRPr="00320FE3">
        <w:rPr>
          <w:rStyle w:val="FootnoteReference"/>
        </w:rPr>
        <w:fldChar w:fldCharType="begin" w:fldLock="1"/>
      </w:r>
      <w:r w:rsidR="00320FE3" w:rsidRPr="00320FE3">
        <w:instrText>ADDIN CSL_CITATION {"citationItems":[{"id":"ITEM-1","itemData":{"DOI":"10.1007/s11024-022-09459-8","ISBN":"0123456789","ISSN":"15731871","abstract":"This paper presents a framework to understand the impact of scientific knowledge on the policy-making process, focusing on the conceptual impact. We note the continuing dissatisfaction with the quality and effects of science-policy interactions in both theory and practice. We critique the current literature’s emphasis on the efforts of scientists to generate policy impact, because it neglects the role of ‘user’ policymaking organisations. The framework offered in the paper develops an argument about the essential role of institutional conditions of policy ‘users’ for scientific knowledge to achieve impact. The framework is informed by the reflexive institutionalist and the neo-institutionalist theoretical approaches. Its main contribution is in outlining the intra- and inter-organisational conditions of policymaking organisations, along with personal characteristics of individual policy officials that influence the likelihood of scientific knowledge to generate conceptual impact. We also offer an operationalisation of the framework. The wider relevance of the paper is in moving the focus from the activities of scientists and the incentive structure in scientific organisations to the policy user side.","author":[{"dropping-particle":"","family":"Edler","given":"Jakob","non-dropping-particle":"","parse-names":false,"suffix":""},{"dropping-particle":"","family":"Karaulova","given":"Maria","non-dropping-particle":"","parse-names":false,"suffix":""},{"dropping-particle":"","family":"Barker","given":"Katharine","non-dropping-particle":"","parse-names":false,"suffix":""}],"container-title":"Minerva","id":"ITEM-1","issue":"2","issued":{"date-parts":[["2022"]]},"page":"209-233","publisher":"Springer Netherlands","title":"Understanding Conceptual Impact of Scientific Knowledge on Policy: The Role of Policymaking Conditions","type":"article-journal","volume":"60"},"uris":["http://www.mendeley.com/documents/?uuid=4ca72a09-e14d-4512-a942-9585ddd3447b"]}],"mendeley":{"formattedCitation":"(Edler et al., 2022)","plainTextFormattedCitation":"(Edler et al., 2022)","previouslyFormattedCitation":"(EDLER; KARAULOVA; BARKER, 2022)"},"properties":{"noteIndex":0},"schema":"https://github.com/citation-style-language/schema/raw/master/csl-citation.json"}</w:instrText>
      </w:r>
      <w:r w:rsidRPr="00320FE3">
        <w:rPr>
          <w:rStyle w:val="FootnoteReference"/>
        </w:rPr>
        <w:fldChar w:fldCharType="separate"/>
      </w:r>
      <w:r w:rsidR="00320FE3" w:rsidRPr="00320FE3">
        <w:rPr>
          <w:noProof/>
        </w:rPr>
        <w:t>(Edler et al., 2022)</w:t>
      </w:r>
      <w:r w:rsidRPr="00320FE3">
        <w:rPr>
          <w:rStyle w:val="FootnoteReference"/>
        </w:rPr>
        <w:fldChar w:fldCharType="end"/>
      </w:r>
      <w:r w:rsidRPr="00320FE3">
        <w:t xml:space="preserve">. In an increasingly global environment filled with complex and challenging challenges, defense policies are again limited to traditional military threats but include issues of traditional security </w:t>
      </w:r>
      <w:r w:rsidRPr="00320FE3">
        <w:t xml:space="preserve">like terrorism, cybersecurity, climate change, and global health. Emerging awareness of security issues beyond military threats </w:t>
      </w:r>
      <w:r w:rsidRPr="00320FE3">
        <w:rPr>
          <w:rStyle w:val="FootnoteReference"/>
        </w:rPr>
        <w:fldChar w:fldCharType="begin" w:fldLock="1"/>
      </w:r>
      <w:r w:rsidR="00320FE3" w:rsidRPr="00320FE3">
        <w:instrText>ADDIN CSL_CITATION {"citationItems":[{"id":"ITEM-1","itemData":{"DOI":"10.1007/978-3-319-74336-3_257-1","ISBN":"978-3-319-74336-3","author":[{"dropping-particle":"","family":"Romaniuk","given":"Scott N","non-dropping-particle":"","parse-names":false,"suffix":""},{"dropping-particle":"","family":"Sabani","given":"Adelina","non-dropping-particle":"","parse-names":false,"suffix":""}],"editor":[{"dropping-particle":"","family":"Romaniuk","given":"Scott","non-dropping-particle":"","parse-names":false,"suffix":""},{"dropping-particle":"","family":"Marton","given":"Péter","non-dropping-particle":"","parse-names":false,"suffix":""}],"id":"ITEM-1","issued":{"date-parts":[["2020"]]},"page":"1-8","publisher":"Springer International Publishing","publisher-place":"Cham","title":"Non-Traditional Security BT  - The Palgrave Encyclopedia of Global Security Studies","type":"chapter"},"uris":["http://www.mendeley.com/documents/?uuid=6edd6260-eb8f-42b4-ba57-336a0ab67a8b"]}],"mendeley":{"formattedCitation":"(Romaniuk &amp; Sabani, 2020)","plainTextFormattedCitation":"(Romaniuk &amp; Sabani, 2020)","previouslyFormattedCitation":"(ROMANIUK; SABANI, 2020)"},"properties":{"noteIndex":0},"schema":"https://github.com/citation-style-language/schema/raw/master/csl-citation.json"}</w:instrText>
      </w:r>
      <w:r w:rsidRPr="00320FE3">
        <w:rPr>
          <w:rStyle w:val="FootnoteReference"/>
        </w:rPr>
        <w:fldChar w:fldCharType="separate"/>
      </w:r>
      <w:r w:rsidR="00320FE3" w:rsidRPr="00320FE3">
        <w:rPr>
          <w:noProof/>
        </w:rPr>
        <w:t>(Romaniuk &amp; Sabani, 2020)</w:t>
      </w:r>
      <w:r w:rsidRPr="00320FE3">
        <w:rPr>
          <w:rStyle w:val="FootnoteReference"/>
        </w:rPr>
        <w:fldChar w:fldCharType="end"/>
      </w:r>
      <w:r w:rsidRPr="00320FE3">
        <w:t>. Therefore, philosophical knowledge defense is essential for providing a framework for an in-depth analysis of vari</w:t>
      </w:r>
      <w:r w:rsidRPr="00320FE3">
        <w:t>ous countries’ development policy defense and security.</w:t>
      </w:r>
    </w:p>
    <w:p w14:paraId="231E657B" w14:textId="500A78C4" w:rsidR="00673AD3" w:rsidRPr="00320FE3" w:rsidRDefault="00DF76B8" w:rsidP="00673AD3">
      <w:pPr>
        <w:pStyle w:val="NormalWeb"/>
        <w:spacing w:before="0" w:beforeAutospacing="0" w:after="0" w:afterAutospacing="0"/>
        <w:ind w:firstLine="720"/>
        <w:jc w:val="both"/>
      </w:pPr>
      <w:r w:rsidRPr="00320FE3">
        <w:rPr>
          <w:rStyle w:val="rynqvb"/>
        </w:rPr>
        <w:t xml:space="preserve">In various countries, </w:t>
      </w:r>
      <w:r w:rsidRPr="00320FE3">
        <w:rPr>
          <w:rStyle w:val="rynqvb"/>
          <w:lang w:val="id-ID"/>
        </w:rPr>
        <w:t>securitization theory aims to explain the political process by which (1) the security nature of public issues is defined, (2) the social obligations arising from the general reco</w:t>
      </w:r>
      <w:r w:rsidRPr="00320FE3">
        <w:rPr>
          <w:rStyle w:val="rynqvb"/>
          <w:lang w:val="id-ID"/>
        </w:rPr>
        <w:t>gnition of a situation as a threat are reinforced, and (3) the appropriateness of specific policies is determined.</w:t>
      </w:r>
      <w:r w:rsidRPr="00320FE3">
        <w:rPr>
          <w:rStyle w:val="rynqvb"/>
        </w:rPr>
        <w:t xml:space="preserve"> </w:t>
      </w:r>
      <w:r w:rsidRPr="00320FE3">
        <w:rPr>
          <w:rStyle w:val="rynqvb"/>
        </w:rPr>
        <w:fldChar w:fldCharType="begin" w:fldLock="1"/>
      </w:r>
      <w:r w:rsidR="00320FE3" w:rsidRPr="00320FE3">
        <w:rPr>
          <w:rStyle w:val="rynqvb"/>
        </w:rPr>
        <w:instrText>ADDIN CSL_CITATION {"citationItems":[{"id":"ITEM-1","itemData":{"DOI":"10.1177/0047117815596590","ISSN":"0047-1178","abstract":"Securitization theory seeks to explain the politics through which (1) the security character of public problems is established, (2) the social commitments resulting from the collective acceptance that a phenomenon is a threat are fixed and (3) the possibility of a particular policy is created. In the last decade, research on securitization has grown significantly. The aim of this article is to evaluate the achievements of securitization theory. First, its main concepts and premises are critically discussed. This article then proceeds to examine the empirical applications of securitization theory to a broad range of issues, as well as the theoretical implications of these studies. Finally, it discusses the main challenges faced by securitization scholars and puts forward strategies to overcome them. This article develops three inter-related arguments. First, notably thanks to empirical studies, securitization theory has significantly developed beyond its initial focus on the speech act. Second, as a result, the distinctiveness of securitization theory currently lies in its capacity to articulate a specific approach to security ? influenced by the speech act ? with an ?analytics of government?, which emphasizes practices and processes. Third, securitization theory faces three types of challenges, related, respectively, to theory, method and methodology. The capacity of scholars to overcome those will strongly influence the extent to which securitization theory will be able to make significant contributions to the debates in Security Studies and International Relations in the years to come.","author":[{"dropping-particle":"","family":"Balzacq","given":"Thierry","non-dropping-particle":"","parse-names":false,"suffix":""},{"dropping-particle":"","family":"Léonard","given":"Sarah","non-dropping-particle":"","parse-names":false,"suffix":""},{"dropping-particle":"","family":"Ruzicka","given":"Jan","non-dropping-particle":"","parse-names":false,"suffix":""}],"container-title":"International Relations","id":"ITEM-1","issue":"4","issued":{"date-parts":[["2015","8","5"]]},"note":"doi: 10.1177/0047117815596590","page":"494-531","publisher":"SAGE Publications Ltd","title":"‘Securitization’ revisited: theory and cases","type":"article-journal","volume":"30"},"uris":["http://www.mendeley.com/documents/?uuid=0938683a-30aa-4e85-970c-373bd32b5c33"]}],"mendeley":{"formattedCitation":"(Balzacq et al., 2015)","plainTextFormattedCitation":"(Balzacq et al., 2015)","previouslyFormattedCitation":"(BALZACQ; LÉONARD; RUZICKA, 2015)"},"properties":{"noteIndex":0},"schema":"https://github.com/citation-style-language/schema/raw/master/csl-citation.json"}</w:instrText>
      </w:r>
      <w:r w:rsidRPr="00320FE3">
        <w:rPr>
          <w:rStyle w:val="rynqvb"/>
        </w:rPr>
        <w:fldChar w:fldCharType="separate"/>
      </w:r>
      <w:r w:rsidR="00320FE3" w:rsidRPr="00320FE3">
        <w:rPr>
          <w:rStyle w:val="rynqvb"/>
          <w:noProof/>
        </w:rPr>
        <w:t>(Balzacq et al., 2015)</w:t>
      </w:r>
      <w:r w:rsidRPr="00320FE3">
        <w:rPr>
          <w:rStyle w:val="rynqvb"/>
        </w:rPr>
        <w:fldChar w:fldCharType="end"/>
      </w:r>
      <w:r w:rsidRPr="00320FE3">
        <w:rPr>
          <w:rStyle w:val="rynqvb"/>
        </w:rPr>
        <w:t>.</w:t>
      </w:r>
      <w:r w:rsidRPr="00320FE3">
        <w:t xml:space="preserve"> Development policy defense and security are often influenced by paradigms​ and philosophies used​ to understand threat security and how to respond to threats. Some paradigms that are often used in philosophy knowledge defense include positivism, construct</w:t>
      </w:r>
      <w:r w:rsidRPr="00320FE3">
        <w:t xml:space="preserve">ivism, and postmodernism </w:t>
      </w:r>
      <w:r w:rsidRPr="00320FE3">
        <w:fldChar w:fldCharType="begin" w:fldLock="1"/>
      </w:r>
      <w:r w:rsidR="00320FE3" w:rsidRPr="00320FE3">
        <w:instrText>ADDIN CSL_CITATION {"citationItems":[{"id":"ITEM-1","itemData":{"DOI":"10.1108/jts-07-2023-0015","ISSN":"2815-5793","abstract":"This article aims to explain the role of philosophical anchors and research paradigms in business research, and how they can be extrapolated in the transformative era of automation, digitalization, hyperconnectivity, obligations, globalization and sustainability (ADHOGS) in the midst of disruption, volatility, uncertainty, complexity and ambiguity (DVUCA).,This article entails a general review based on the 3Es of exposure, expertise and experience, delving into the ontological, epistemological, methodological, axiological and rhetorical aspects of the major research paradigms—i.e. positivism, post-positivism, constructivism, interpretivism and pragmatism—and their interplay with the emergent trends shaping business research.,This article underscores the multifaceted nature of business research in the modern day, with an increasing need for blending, or shifting between, research paradigms to address the complex issues arising from automation, digitalization, hyperconnectivity, obligations, globalization and sustainability (ADHOGS). This article also highlights the nuanced interplay between research paradigms and theoretical perspectives, demonstrating the rich, diverse potential of business research inquiries.,While this article provides a broad overview of the interplay between research paradigms and emerging trends, future research could explore each of these interplays in greater detail, conducting empirical studies or utilizing specific case studies.,Researchers and practitioners should be open to adopting, combining or switching between different paradigms according to the demands of their research questions, context and trends shaping the business landscape, thereby underscoring the need for methodological flexibility and reflexivity in business research.,The shift toward embracing digital transformations and integrating sustainability in business research holds significant implications, driving socially responsible and sustainable business practices at the micro-level, and by extension, industrial revolution and sustainable development at the macro-level.,This article offers a holistic and contextualized view of the philosophy of science and research paradigms for business research, bridging the gap between philosophical foundations and contemporary research trends.","author":[{"dropping-particle":"","family":"Lim","given":"Weng Marc","non-dropping-particle":"","parse-names":false,"suffix":""}],"container-title":"Journal of Trade Science","id":"ITEM-1","issue":"2/3","issued":{"date-parts":[["2023"]]},"page":"3-30","title":"Philosophy of science and research paradigm for business research in the transformative age of automation, digitalization, hyperconnectivity, obligations, globalization and sustainability","type":"article-journal","volume":"11"},"uris":["http://www.mendeley.com/documents/?uuid=9d2eb382-b36a-4e7d-aa3b-64318bdbcd4c"]}],"mendeley":{"formattedCitation":"(Lim, 2023)","plainTextFormattedCitation":"(Lim, 2023)","previouslyFormattedCitation":"(LIM, 2023)"},"properties":{"noteIndex":0},"schema":"https://github.com/citation-style-language/schema/raw/master/csl-citation.json"}</w:instrText>
      </w:r>
      <w:r w:rsidRPr="00320FE3">
        <w:fldChar w:fldCharType="separate"/>
      </w:r>
      <w:r w:rsidR="00320FE3" w:rsidRPr="00320FE3">
        <w:rPr>
          <w:noProof/>
        </w:rPr>
        <w:t>(Lim, 2023)</w:t>
      </w:r>
      <w:r w:rsidRPr="00320FE3">
        <w:fldChar w:fldCharType="end"/>
      </w:r>
      <w:r w:rsidRPr="00320FE3">
        <w:t>. Positivism,</w:t>
      </w:r>
      <w:r w:rsidRPr="00320FE3">
        <w:t xml:space="preserve"> for example, emphasizes the importance of empirical data and scientific evidence in formulating effective and based policy​ facts </w:t>
      </w:r>
      <w:r w:rsidRPr="00320FE3">
        <w:fldChar w:fldCharType="begin" w:fldLock="1"/>
      </w:r>
      <w:r w:rsidR="00320FE3" w:rsidRPr="00320FE3">
        <w:instrText>ADDIN CSL_CITATION {"citationItems":[{"id":"ITEM-1","itemData":{"DOI":"10.1007/s10551-023-05395-z","ISBN":"0123456789","ISSN":"15730697","abstract":"The issue of interpersonal comparisons of utility is about the possibility (or not) of comparing the utility or welfare or the mental states in general, of different individuals. Embedded in the conceptual framework of utilitarianism, interpersonal comparisons were admissible in economics as part of the theoretical justification of welfare policies until the first decades of the twentieth century. Under the strong influence of the scientific philosophy of positivism as reflected in the works of early neoclassical economists and as epitomized by Lionel Robbins, utility comparisons were subsequently rejected as a value judgement. Robbins’ methodological stance is still prevalent among mainstream economists. Despite the explicit rejection of comparability by the majority of economists, interpersonal comparisons are necessary for many key policy issues, such as progressive taxation, social welfare policies, GDP-based welfare comparisons, cost–benefit analysis, and public goods provision. In this paper, the case of interpersonal utility comparisons is discussed as an illustrative example of the usefulness of the study of the role of value judgements, and generally of the interrelationship between ethics and economics. It is argued that the current tension between theory and policy practice might be resolved through the efforts of prominent economists and philosophers to challenge positivism, and especially its problematic treatment of value judgements and of ethical assumptions in general. The discussion also provides more strength to the view that policy makers and their economic advisers cannot avoid ethical questions in their analysis of the workings of the economic system.","author":[{"dropping-particle":"","family":"Drakopoulos","given":"Stavros A.","non-dropping-particle":"","parse-names":false,"suffix":""}],"container-title":"Journal of Business Ethics","id":"ITEM-1","issue":"3","issued":{"date-parts":[["2024"]]},"page":"423-437","publisher":"Springer Netherlands","title":"Value Judgements, Positivism and Utility Comparisons in Economics","type":"article-journal","volume":"189"},"uris":["http://www.mendeley.com/documents/?uuid=d94cf610-0133-4994-a3a5-8ed85d7e5b54"]}],"mendeley":{"formattedCitation":"(Drakopoulos, 2024)","plainTextFormattedCitation":"(Drakopoulos, 2024)","previouslyFormattedCitation":"(DRAKOPOULOS, 2024)"},"properties":{"noteIndex":0},"schema":"https://github.com/citation-style-language/schema/raw/master/csl-citation.json"}</w:instrText>
      </w:r>
      <w:r w:rsidRPr="00320FE3">
        <w:fldChar w:fldCharType="separate"/>
      </w:r>
      <w:r w:rsidR="00320FE3" w:rsidRPr="00320FE3">
        <w:rPr>
          <w:noProof/>
        </w:rPr>
        <w:t>(Drakopoulos, 2024)</w:t>
      </w:r>
      <w:r w:rsidRPr="00320FE3">
        <w:fldChar w:fldCharType="end"/>
      </w:r>
      <w:r w:rsidRPr="00320FE3">
        <w:t>. In context defense, countri</w:t>
      </w:r>
      <w:r w:rsidRPr="00320FE3">
        <w:t>es that adopt the positivity approach often focus on using intelligence, military intelligence, data-based risk analysis, and advanced technology to protect national interests. On the other hand, constructivism views policy defense as a result of social co</w:t>
      </w:r>
      <w:r w:rsidRPr="00320FE3">
        <w:t xml:space="preserve">nstruction, where national identity, norms, culture, and social perception play a role in forming a country's response to threats </w:t>
      </w:r>
      <w:r w:rsidRPr="00320FE3">
        <w:fldChar w:fldCharType="begin" w:fldLock="1"/>
      </w:r>
      <w:r w:rsidR="00320FE3" w:rsidRPr="00320FE3">
        <w:instrText>ADDIN CSL_CITATION {"citationItems":[{"id":"ITEM-1","itemData":{"DOI":"10.1080/13523260.2020.1866845","ISSN":"17438764","abstract":"In this article I introduce the concept of the “dual-use security dilemma,” specifically through elaborating on two main aspects that shape this dilemma. First, inspired by traditional security scholarship, I focus on the spiral dynamics of actors responding to the insecurities raised by dual-use technologies that affect this type of dilemma. Second, I further develop a securitization reading of the traditional security dilemma, tracing how social constructions of insecurities and the justification of extraordinary measures affect the dynamics of the security dilemma. Combining these two aspects, I suggest that enunciators shape the dynamics of the dual-use security dilemma by using specific rationales of insecurity to mobilize support for measures against opponents holding dual-use technologies, whose response further fuels insecurity that spirals over time. The innovative theoretical and policy implications of this research become especially important given the rise of dual-use cyber technologies.","author":[{"dropping-particle":"","family":"Lupovici","given":"Amir","non-dropping-particle":"","parse-names":false,"suffix":""}],"container-title":"Contemporary Security Policy","id":"ITEM-1","issue":"3","issued":{"date-parts":[["2021"]]},"page":"257-285","title":"The dual-use security dilemma and the social construction of insecurity","type":"article-journal","volume":"42"},"uris":["http://www.mendeley.com/documents/?uuid=e2862cd8-cb09-432b-a2c1-50fdd1d61e59"]}],"mendeley":{"formattedCitation":"(Lupovici, 2021)","plainTextFormattedCitation":"(Lupovici, 2021)","previouslyFormattedCitation":"(LUPOVICI, 2021)"},"properties":{"noteIndex":0},"schema":"https://github.com/citation-style-language/schema/raw/master/csl-citation.json"}</w:instrText>
      </w:r>
      <w:r w:rsidRPr="00320FE3">
        <w:fldChar w:fldCharType="separate"/>
      </w:r>
      <w:r w:rsidR="00320FE3" w:rsidRPr="00320FE3">
        <w:rPr>
          <w:noProof/>
        </w:rPr>
        <w:t>(Lupovici, 2021)</w:t>
      </w:r>
      <w:r w:rsidRPr="00320FE3">
        <w:fldChar w:fldCharType="end"/>
      </w:r>
      <w:r w:rsidRPr="00320FE3">
        <w:t>. The approach</w:t>
      </w:r>
      <w:r w:rsidRPr="00320FE3">
        <w:t xml:space="preserve"> of postmodernism </w:t>
      </w:r>
      <w:r w:rsidRPr="00320FE3">
        <w:lastRenderedPageBreak/>
        <w:t xml:space="preserve">and criticism gives perspective deconstructive to policy defense, highlighting How power and social structure can influence policy and revealing possible biases and inequalities </w:t>
      </w:r>
      <w:r w:rsidRPr="00320FE3">
        <w:fldChar w:fldCharType="begin" w:fldLock="1"/>
      </w:r>
      <w:r w:rsidR="00320FE3" w:rsidRPr="00320FE3">
        <w:instrText>ADDIN CSL_CITATION {"citationItems":[{"id":"ITEM-1","itemData":{"DOI":"10.1007/978-3-031-14360-1_3","ISBN":"978-3-031-14360-1","abstract":"This chapter presents an overview of feminist legal and political thought, aiming at discussing the different perspectives within feminist thought. In the first part, basic concepts in feminist thought such as gender, patriarchy, and feminism are explained, and a brief overview of the historical evolution of feminist movements is provided. The other two sections focus in greater detail on political and legal theories, respectively, including a critical analysis of the influence of patriarchy on mainstream legal and political discourses. The chapter will further provide a description of how classical concepts of political or legal tradition have been reconsidered from a feminist point of view, and a short presentation of the most important issues at stake in both these fields.","author":[{"dropping-particle":"","family":"Cuvillo","given":"Antonio Álvarez","non-dropping-particle":"del","parse-names":false,"suffix":""},{"dropping-particle":"","family":"Macioce","given":"Fabio","non-dropping-particle":"","parse-names":false,"suffix":""},{"dropping-particle":"","family":"Strid","given":"Sofia","non-dropping-particle":"","parse-names":false,"suffix":""}],"editor":[{"dropping-particle":"","family":"Vujadinović","given":"Dragica","non-dropping-particle":"","parse-names":false,"suffix":""},{"dropping-particle":"","family":"Fröhlich","given":"Mareike","non-dropping-particle":"","parse-names":false,"suffix":""},{"dropping-particle":"","family":"Giegerich","given":"Thomas","non-dropping-particle":"","parse-names":false,"suffix":""}],"id":"ITEM-1","issued":{"date-parts":[["2023"]]},"page":"57-94","publisher":"Springer International Publishing","publisher-place":"Cham","title":"Feminist Political and Legal Theories BT  - Gender-Competent Legal Education","type":"chapter"},"uris":["http://www.mendeley.com/documents/?uuid=021dcc73-052e-4cae-b5bd-183c83c6a7e9"]}],"mendeley":{"formattedCitation":"(del Cuvillo et al., 2023)","plainTextFormattedCitation":"(del Cuvillo et al., 2023)","previouslyFormattedCitation":"(DEL CUVILLO; MACIOCE; STRID, 2023)"},"properties":{"noteIndex":0},"schema":"https://github.com/citation-style-language/schema/raw/master/csl-citation.json"}</w:instrText>
      </w:r>
      <w:r w:rsidRPr="00320FE3">
        <w:fldChar w:fldCharType="separate"/>
      </w:r>
      <w:r w:rsidR="00320FE3" w:rsidRPr="00320FE3">
        <w:rPr>
          <w:noProof/>
        </w:rPr>
        <w:t>(del Cuvillo et al., 2023)</w:t>
      </w:r>
      <w:r w:rsidRPr="00320FE3">
        <w:fldChar w:fldCharType="end"/>
      </w:r>
      <w:r w:rsidRPr="00320FE3">
        <w:t>.</w:t>
      </w:r>
    </w:p>
    <w:p w14:paraId="6027D9AD" w14:textId="65075B07" w:rsidR="00673AD3" w:rsidRPr="00320FE3" w:rsidRDefault="00DF76B8" w:rsidP="00673AD3">
      <w:pPr>
        <w:pStyle w:val="NormalWeb"/>
        <w:spacing w:before="0" w:beforeAutospacing="0" w:after="0" w:afterAutospacing="0"/>
        <w:ind w:firstLine="720"/>
        <w:jc w:val="both"/>
      </w:pPr>
      <w:r w:rsidRPr="00320FE3">
        <w:t>In Indon</w:t>
      </w:r>
      <w:r w:rsidRPr="00320FE3">
        <w:t>esia, philosophical knowledge defense can be an essential framework for analyzing policy defense formulated by the government. As an archipelagic country, the largest in the world, with a huge population and strategic location, Indonesia faces various chal</w:t>
      </w:r>
      <w:r w:rsidRPr="00320FE3">
        <w:t>lenges and unique defenses. In addition to conventional military threats, Indonesia must also face non-traditional threats like terrorism, separatism, piracy at sea, and disaster nature often influences​​ stability. Therefore, Indonesia’s defense policy mu</w:t>
      </w:r>
      <w:r w:rsidRPr="00320FE3">
        <w:t>st be developed with a comprehensive approach that involves various sectors, from military and political to international diplomacy. Philosophy knowledge defense gives runway a solid conceptual​ understanding of how policies are designed and implemented an</w:t>
      </w:r>
      <w:r w:rsidRPr="00320FE3">
        <w:t>d how principles, ethics, and morals are applied when making decisions.</w:t>
      </w:r>
    </w:p>
    <w:p w14:paraId="0E83998E" w14:textId="4CDEF44C" w:rsidR="00673AD3" w:rsidRPr="00320FE3" w:rsidRDefault="00DF76B8" w:rsidP="00673AD3">
      <w:pPr>
        <w:pStyle w:val="NormalWeb"/>
        <w:spacing w:before="0" w:beforeAutospacing="0" w:after="0" w:afterAutospacing="0"/>
        <w:ind w:firstLine="720"/>
        <w:jc w:val="both"/>
      </w:pPr>
      <w:r w:rsidRPr="00320FE3">
        <w:t>Philosophy knowledge defense also helps to reveal assumptions, the underlying basis of policy defense, and ways to view a country against threat security; for example, in traditional p</w:t>
      </w:r>
      <w:r w:rsidRPr="00320FE3">
        <w:t>olicy defense and traditional policy defense, a threat is often considered​ as something that comes outside, such as military aggression or attack terrorists. However, with the constructivist approach, the No always natural objective can only result from t</w:t>
      </w:r>
      <w:r w:rsidRPr="00320FE3">
        <w:t>he construction of a social construct influenced by history, national identity, and perceptions of the power of other countries. With a long history of colonialism and a struggle for independence, Indonesia has different perceptions​ about threats than oth</w:t>
      </w:r>
      <w:r w:rsidRPr="00320FE3">
        <w:t>er countries. This is reflected in a more defensive-defensive policy that focuses on domestically protecting territorial sovereignty and political stability.</w:t>
      </w:r>
    </w:p>
    <w:p w14:paraId="69A6A50A" w14:textId="0D204194" w:rsidR="00673AD3" w:rsidRPr="00320FE3" w:rsidRDefault="00DF76B8" w:rsidP="00673AD3">
      <w:pPr>
        <w:pStyle w:val="NormalWeb"/>
        <w:spacing w:before="0" w:beforeAutospacing="0" w:after="0" w:afterAutospacing="0"/>
        <w:ind w:firstLine="720"/>
        <w:jc w:val="both"/>
      </w:pPr>
      <w:r w:rsidRPr="00320FE3">
        <w:t>The dynamics of regional and international politics also influence policy defense in Indonesia. As</w:t>
      </w:r>
      <w:r w:rsidRPr="00320FE3">
        <w:t xml:space="preserve"> a country located in the heart of Southeast Asia, Indonesia must face great regional powers such as China and Australia and become a key player in regional organizations such as ASEAN. Therefore, Indonesia’s defense policy is focused on the strength of it</w:t>
      </w:r>
      <w:r w:rsidRPr="00320FE3">
        <w:t xml:space="preserve">s military and involves diplomacy, defense, and international cooperation. Approach This approach is known by the term Sishankamrata ( Defense and security) people universe ) or </w:t>
      </w:r>
      <w:r w:rsidRPr="00320FE3">
        <w:rPr>
          <w:rStyle w:val="Emphasis"/>
        </w:rPr>
        <w:t xml:space="preserve">Total Defense, </w:t>
      </w:r>
      <w:r w:rsidRPr="00320FE3">
        <w:t>which emphasizes the participation of all state elements, inclu</w:t>
      </w:r>
      <w:r w:rsidRPr="00320FE3">
        <w:t>ding public civil society, in guard security. In the philosophical context, the knowledge defense approach can be seen to integrate various dimensions of defense—military, political, economic, and social—into one framework for cohesive policy.​</w:t>
      </w:r>
    </w:p>
    <w:p w14:paraId="39166346" w14:textId="724E92E5" w:rsidR="00673AD3" w:rsidRPr="00320FE3" w:rsidRDefault="00DF76B8" w:rsidP="00673AD3">
      <w:pPr>
        <w:pStyle w:val="NormalWeb"/>
        <w:spacing w:before="0" w:beforeAutospacing="0" w:after="0" w:afterAutospacing="0"/>
        <w:ind w:firstLine="720"/>
        <w:jc w:val="both"/>
      </w:pPr>
      <w:r w:rsidRPr="00320FE3">
        <w:t>Influence t</w:t>
      </w:r>
      <w:r w:rsidRPr="00320FE3">
        <w:t>echnology has also become an essential aspect of policy defense. In the modern era, progress in technology, especially cyber and artificial intelligence, and how revolutionized countries view defense advancement allow the country to detect and respond to p</w:t>
      </w:r>
      <w:r w:rsidRPr="00320FE3">
        <w:t>roblems effectively but also raise questions about profound ethics. For example, using autonomous weapons or military robots creates moral dilemmas about the extent to which technology can be used in conflict without violating human principles. In philosop</w:t>
      </w:r>
      <w:r w:rsidRPr="00320FE3">
        <w:t xml:space="preserve">hy knowledge defense, this aspect becomes a material critical discussion, especially​ in developing policy ethical and responsible​ answers in the use of technology in the military </w:t>
      </w:r>
      <w:r w:rsidRPr="00320FE3">
        <w:fldChar w:fldCharType="begin" w:fldLock="1"/>
      </w:r>
      <w:r w:rsidR="00320FE3" w:rsidRPr="00320FE3">
        <w:instrText>ADDIN CSL_CITATION {"citationItems":[{"id":"ITEM-1","itemData":{"DOI":"10.1007/s43681-023-00261-0","ISBN":"0123456789","ISSN":"2730-5953","abstract":"We explore existing political commitments by states regarding the development and use of lethal autonomous weapon systems. We carry out two background reviewing efforts, the first addressing ethical and legal framings and proposals from recent academic literature, the second addressing recent formal policy principles as endorsed by states, with a focus on the principles adopted by the United States Department of Defense and the North Atlantic Treaty Organization. We then develop two conceptual case studies. The first addresses the interrelated principles of explainability and traceability, leading to proposals for acceptable scope limitations to these principles. The second considers the topic of deception in warfare and how it may be viewed in the context of ethical principles for lethal autonomous weapon systems.","author":[{"dropping-particle":"","family":"Anand","given":"G.","non-dropping-particle":"","parse-names":false,"suffix":""},{"dropping-particle":"","family":"Larson","given":"E. C.","non-dropping-particle":"","parse-names":false,"suffix":""},{"dropping-particle":"","family":"Mahoney","given":"J. T.","non-dropping-particle":"","parse-names":false,"suffix":""}],"container-title":"Production and Operations Management","id":"ITEM-1","issue":"7","issued":{"date-parts":[["2020"]]},"page":"1650-1657","publisher":"Springer International Publishing","title":"Regulating lethal autonomous weapon systems: exploring the challenges of explainability and traceability","type":"article-journal","volume":"29"},"uris":["http://www.mendeley.com/documents/?uuid=a8db2936-4f0f-4aae-b75e-b2dbe062e201"]}],"mendeley":{"formattedCitation":"(Anand et al., 2020)","plainTextFormattedCitation":"(Anand et al., 2020)","previouslyFormattedCitation":"(ANAND; LARSON; MAHONEY, 2020)"},"properties":{"noteIndex":0},"schema":"https://github.com/citation-style-language/schema/raw/master/csl-citation.json"}</w:instrText>
      </w:r>
      <w:r w:rsidRPr="00320FE3">
        <w:fldChar w:fldCharType="separate"/>
      </w:r>
      <w:r w:rsidR="00320FE3" w:rsidRPr="00320FE3">
        <w:rPr>
          <w:noProof/>
        </w:rPr>
        <w:t>(Anand et al., 2020)</w:t>
      </w:r>
      <w:r w:rsidRPr="00320FE3">
        <w:fldChar w:fldCharType="end"/>
      </w:r>
      <w:r w:rsidRPr="00320FE3">
        <w:t>.</w:t>
      </w:r>
    </w:p>
    <w:p w14:paraId="2AEB4AD3" w14:textId="4FBDE8E2" w:rsidR="00673AD3" w:rsidRPr="00320FE3" w:rsidRDefault="00DF76B8" w:rsidP="00673AD3">
      <w:pPr>
        <w:pStyle w:val="NormalWeb"/>
        <w:spacing w:before="0" w:beforeAutospacing="0" w:after="0" w:afterAutospacing="0"/>
        <w:ind w:firstLine="720"/>
        <w:jc w:val="both"/>
      </w:pPr>
      <w:r w:rsidRPr="00320FE3">
        <w:t>In addition, Indonesia’s defense polic</w:t>
      </w:r>
      <w:r w:rsidRPr="00320FE3">
        <w:t xml:space="preserve">y is also being influenced by increasingly relevant global issues, such as climate change and energy security. Problems This is more important in the context of development sustainability. </w:t>
      </w:r>
      <w:r w:rsidRPr="00320FE3">
        <w:fldChar w:fldCharType="begin" w:fldLock="1"/>
      </w:r>
      <w:r w:rsidR="00320FE3" w:rsidRPr="00320FE3">
        <w:instrText>ADDIN CSL_CITATION {"citationItems":[{"id":"ITEM-1","itemData":{"DOI":"10.1007/s43621-024-00183-9","ISBN":"0123456789","ISSN":"26629984","abstract":"This study aims to explore the research trends and patterns of major issues connecting climate change and the Sustainable Development Goals (SDGs) by employing a bibliometric analysis. The study has found that there is an increasing number of research and policies in various countries committed to finding and implementing strategies to solve climate change issues. The countries with the most research in this field are China, India, the United States, the United Kingdom, and Australia, with Environmental Sciences &amp; Ecology being the most published domain. The study has identified 19 clusters intersecting with climate change and SDGs, with the top five clusters in terms of proportion related to agricultural and food systems, water and soil resources, energy, economy, ecosystem, and sustainable management. This study also presents the trend changes of research topics intersecting climate change and SDGs every 2–3 years. Especially in the recent two years, with the convening of COP26 and COP27 and the advocacy of Net Zero and CBAM (Carbon Border Adjustment Mechanism) of the EU, important topics include renewable energy, protection of ecosystem services, life cycle assessment, food security, agriculture in Africa, sustainable management, synergies of various policies, remote sensing technology, and desertification among others. This shows an increasingly diversified range of important topics being discussed in relation to climate change and sustainable development goals.","author":[{"dropping-particle":"","family":"Hsieh","given":"Yi Lin","non-dropping-particle":"","parse-names":false,"suffix":""},{"dropping-particle":"","family":"Yeh","given":"Shin Cheng","non-dropping-particle":"","parse-names":false,"suffix":""}],"container-title":"Discover Sustainability","id":"ITEM-1","issue":"1","issued":{"date-parts":[["2024"]]},"publisher":"Springer International Publishing","title":"The trends of major issues connecting climate change and the sustainable development goals","type":"article-journal","volume":"5"},"uris":["http://www.mendeley.com/documents/?uuid=3e83089e-c3c6-4015-87a8-74f936e16822"]}],"mendeley":{"formattedCitation":"(Hsieh &amp; Yeh, 2024)","plainTextFormattedCitation":"(Hsieh &amp; Yeh, 2024)","previouslyFormattedCitation":"(HSIEH; YEH, 2024)"},"properties":{"noteIndex":0},"schema":"https://github.com/citation-style-language/schema/raw/master/csl-citation.json"}</w:instrText>
      </w:r>
      <w:r w:rsidRPr="00320FE3">
        <w:fldChar w:fldCharType="separate"/>
      </w:r>
      <w:r w:rsidR="00320FE3" w:rsidRPr="00320FE3">
        <w:rPr>
          <w:noProof/>
        </w:rPr>
        <w:t>(Hsieh &amp; Yeh, 2024)</w:t>
      </w:r>
      <w:r w:rsidRPr="00320FE3">
        <w:fldChar w:fldCharType="end"/>
      </w:r>
      <w:r w:rsidRPr="00320FE3">
        <w:t>. These nontraditional threats force states to adopt a m</w:t>
      </w:r>
      <w:r w:rsidRPr="00320FE3">
        <w:t>ore holistic approach to developing defense policies. Here, the philosophy of defense science provides the analytical framework needed to understand how these challenges are integrated into national defense policies. For example, extreme climate change can</w:t>
      </w:r>
      <w:r w:rsidRPr="00320FE3">
        <w:t xml:space="preserve"> influence Indonesia’s stability and social and economic stability, causing internal conflicts and disturbances </w:t>
      </w:r>
      <w:r w:rsidRPr="00320FE3">
        <w:lastRenderedPageBreak/>
        <w:t>to security. Therefore, policy defense No Again focuses not only on threats to the military but also on environmental and resource aspects and t</w:t>
      </w:r>
      <w:r w:rsidRPr="00320FE3">
        <w:t xml:space="preserve">he power that influences the state </w:t>
      </w:r>
      <w:r w:rsidRPr="00320FE3">
        <w:fldChar w:fldCharType="begin" w:fldLock="1"/>
      </w:r>
      <w:r w:rsidR="00320FE3" w:rsidRPr="00320FE3">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Kata","author":[{"dropping-particle":"","family":"Neill","given":"Martin","non-dropping-particle":"","parse-names":false,"suffix":""},{"dropping-particle":"","family":"Taliaferro","given":"Aaron C.","non-dropping-particle":"","parse-names":false,"suffix":""},{"dropping-particle":"","family":"Tillman","given":"Mark E.","non-dropping-particle":"","parse-names":false,"suffix":""},{"dropping-particle":"","family":"Morgan","given":"Gary D.","non-dropping-particle":"","parse-names":false,"suffix":""},{"dropping-particle":"","family":"Hinkle","given":"Wade P.","non-dropping-particle":"","parse-names":false,"suffix":""}],"container-title":"Institute for Defense Analyses Report","id":"ITEM-1","issue":"5","issued":{"date-parts":[["2017"]]},"page":"1-23","title":"Defense Governance and Management: Improving the Defense Management Capabilities of Foreign Defense Institutions","type":"article-journal","volume":"19"},"uris":["http://www.mendeley.com/documents/?uuid=7c7f85e9-8173-4653-9a98-68affd3f6f3a"]}],"mendeley":{"formattedCitation":"(Neill et al., 2017)","plainTextFormattedCitation":"(Neill et al., 2017)","previouslyFormattedCitation":"(NEILL et al., 2017)"},"properties":{"noteIndex":0},"schema":"https://github.com/citation-style-language/schema/raw/master/csl-citation.json"}</w:instrText>
      </w:r>
      <w:r w:rsidRPr="00320FE3">
        <w:fldChar w:fldCharType="separate"/>
      </w:r>
      <w:r w:rsidR="00320FE3" w:rsidRPr="00320FE3">
        <w:rPr>
          <w:noProof/>
        </w:rPr>
        <w:t>(Neill et al., 2017)</w:t>
      </w:r>
      <w:r w:rsidRPr="00320FE3">
        <w:fldChar w:fldCharType="end"/>
      </w:r>
      <w:r w:rsidRPr="00320FE3">
        <w:t>.</w:t>
      </w:r>
    </w:p>
    <w:p w14:paraId="1FA244B1" w14:textId="31079F0F" w:rsidR="00673AD3" w:rsidRPr="00320FE3" w:rsidRDefault="00DF76B8" w:rsidP="00673AD3">
      <w:pPr>
        <w:pStyle w:val="NormalWeb"/>
        <w:spacing w:before="0" w:beforeAutospacing="0" w:after="0" w:afterAutospacing="0"/>
        <w:ind w:firstLine="720"/>
        <w:jc w:val="both"/>
      </w:pPr>
      <w:r w:rsidRPr="00320FE3">
        <w:t>In general, philosophy knowledge defense approaches a comprehensive concept​ of understanding policy defense and security in various countries. Approaching this also allows us to consider aspects of ethics and morals in policy defen</w:t>
      </w:r>
      <w:r w:rsidRPr="00320FE3">
        <w:t>se, which is essential for ensuring that policies taken​ are effective in protecting national interests and fair and sustainable in the term. In the case of Indonesia, the development policy of comprehensive defense​ needs a deep understanding​ of the chal</w:t>
      </w:r>
      <w:r w:rsidRPr="00320FE3">
        <w:t xml:space="preserve">lenges faced by the country, both by the military and non-military. Philosophy knowledge defense provides a runway for intellectually solid​ analysis of how policy is described and how the state can integrate various elements of defense into one framework </w:t>
      </w:r>
      <w:r w:rsidRPr="00320FE3">
        <w:t>of practical and ethical policies.​</w:t>
      </w:r>
    </w:p>
    <w:p w14:paraId="2F31EB15" w14:textId="77777777" w:rsidR="00673AD3" w:rsidRPr="00320FE3" w:rsidRDefault="00673AD3" w:rsidP="00673AD3">
      <w:pPr>
        <w:pStyle w:val="NormalWeb"/>
        <w:spacing w:before="0" w:beforeAutospacing="0" w:after="0" w:afterAutospacing="0"/>
        <w:ind w:firstLine="720"/>
        <w:jc w:val="both"/>
      </w:pPr>
    </w:p>
    <w:p w14:paraId="2914419F" w14:textId="2408022B" w:rsidR="00673AD3" w:rsidRPr="00320FE3" w:rsidRDefault="00DF76B8" w:rsidP="00673AD3">
      <w:pPr>
        <w:pStyle w:val="NormalWeb"/>
        <w:spacing w:before="0" w:beforeAutospacing="0" w:after="0" w:afterAutospacing="0"/>
        <w:jc w:val="both"/>
      </w:pPr>
      <w:r w:rsidRPr="00320FE3">
        <w:rPr>
          <w:rStyle w:val="Strong"/>
          <w:rFonts w:eastAsiaTheme="minorEastAsia"/>
        </w:rPr>
        <w:t>LITERATURE REVIEW</w:t>
      </w:r>
    </w:p>
    <w:p w14:paraId="0926450F" w14:textId="5350E167" w:rsidR="00673AD3" w:rsidRPr="00320FE3" w:rsidRDefault="00DF76B8" w:rsidP="00673AD3">
      <w:pPr>
        <w:pStyle w:val="NormalWeb"/>
        <w:spacing w:before="0" w:beforeAutospacing="0" w:after="0" w:afterAutospacing="0"/>
        <w:ind w:firstLine="720"/>
        <w:jc w:val="both"/>
      </w:pPr>
      <w:r w:rsidRPr="00320FE3">
        <w:t>The study of philosophy, knowledge, defense, and policy security is critical in the context of the complexity of a continuing global threat development. Literature that discusses philosophical knowledg</w:t>
      </w:r>
      <w:r w:rsidRPr="00320FE3">
        <w:t>e defense has examined various perspectives, from positivism to postmodernism, to give more insight​ into How policy defense is formulated, implemented, and evaluated. In addition, the influence of globalization, technology, and threats from nontraditional</w:t>
      </w:r>
      <w:r w:rsidRPr="00320FE3">
        <w:t xml:space="preserve"> security are also becoming an important topic in scientific defense. This study is multidisciplinary and more prominent in the literature, covering the social, political, and technological elements essential in formulating modern defense.</w:t>
      </w:r>
    </w:p>
    <w:p w14:paraId="1C341131" w14:textId="66BC355F" w:rsidR="00673AD3" w:rsidRPr="00320FE3" w:rsidRDefault="00DF76B8" w:rsidP="00673AD3">
      <w:pPr>
        <w:pStyle w:val="NormalWeb"/>
        <w:spacing w:before="0" w:beforeAutospacing="0" w:after="0" w:afterAutospacing="0"/>
        <w:ind w:firstLine="720"/>
        <w:jc w:val="both"/>
      </w:pPr>
      <w:r w:rsidRPr="00320FE3">
        <w:t>One of the domin</w:t>
      </w:r>
      <w:r w:rsidRPr="00320FE3">
        <w:t>ant approaches​ in philosophical knowledge defense is positivism, which emphasizes the importance of empirical data and scientific methods when making decisions. Positivism focuses on real evidence that can be verified objectively through observation and t</w:t>
      </w:r>
      <w:r w:rsidRPr="00320FE3">
        <w:t xml:space="preserve">esting. In the context of policy defense, this approach has been used by many countries to prioritize approach data for identifying threat security and developing effective strategies. In his book </w:t>
      </w:r>
      <w:r w:rsidRPr="00320FE3">
        <w:rPr>
          <w:rStyle w:val="Emphasis"/>
        </w:rPr>
        <w:t xml:space="preserve">The Structure of Scientific Revolutions </w:t>
      </w:r>
      <w:r w:rsidRPr="00320FE3">
        <w:t>(1962), Thomas Kuhn</w:t>
      </w:r>
      <w:r w:rsidRPr="00320FE3">
        <w:t xml:space="preserve"> emphasized that a shifting paradigm in knowledge happens when data are related to problem security and </w:t>
      </w:r>
      <w:r w:rsidRPr="00320FE3">
        <w:rPr>
          <w:i/>
          <w:iCs/>
        </w:rPr>
        <w:t>Artificial Intelligence (AI)</w:t>
      </w:r>
      <w:r w:rsidRPr="00320FE3">
        <w:t xml:space="preserve">; the old way does not work. Again, it explains the phenomenon of this new </w:t>
      </w:r>
      <w:r w:rsidRPr="00320FE3">
        <w:fldChar w:fldCharType="begin" w:fldLock="1"/>
      </w:r>
      <w:r w:rsidR="00320FE3" w:rsidRPr="00320FE3">
        <w:instrText>ADDIN CSL_CITATION {"citationItems":[{"id":"ITEM-1","itemData":{"DOI":"10.1007/s43681-023-00261-0","ISBN":"0123456789","ISSN":"2730-5953","abstract":"We explore existing political commitments by states regarding the development and use of lethal autonomous weapon systems. We carry out two background reviewing efforts, the first addressing ethical and legal framings and proposals from recent academic literature, the second addressing recent formal policy principles as endorsed by states, with a focus on the principles adopted by the United States Department of Defense and the North Atlantic Treaty Organization. We then develop two conceptual case studies. The first addresses the interrelated principles of explainability and traceability, leading to proposals for acceptable scope limitations to these principles. The second considers the topic of deception in warfare and how it may be viewed in the context of ethical principles for lethal autonomous weapon systems.","author":[{"dropping-particle":"","family":"Anand","given":"G.","non-dropping-particle":"","parse-names":false,"suffix":""},{"dropping-particle":"","family":"Larson","given":"E. C.","non-dropping-particle":"","parse-names":false,"suffix":""},{"dropping-particle":"","family":"Mahoney","given":"J. T.","non-dropping-particle":"","parse-names":false,"suffix":""}],"container-title":"Production and Operations Management","id":"ITEM-1","issue":"7","issued":{"date-parts":[["2020"]]},"page":"1650-1657","publisher":"Springer International Publishing","title":"Regulating lethal autonomous weapon systems: exploring the challenges of explainability and traceability","type":"article-journal","volume":"29"},"uris":["http://www.mendeley.com/documents/?uuid=a8db2936-4f0f-4aae-b75e-b2dbe062e201"]}],"mendeley":{"formattedCitation":"(Anand et al., 2020)","plainTextFormattedCitation":"(Anand et al., 2020)","previouslyFormattedCitation":"(ANAND; LARSON; MAHONEY, 2020)"},"properties":{"noteIndex":0},"schema":"https://github.com/citation-style-language/schema/raw/master/csl-citation.json"}</w:instrText>
      </w:r>
      <w:r w:rsidRPr="00320FE3">
        <w:fldChar w:fldCharType="separate"/>
      </w:r>
      <w:r w:rsidR="00320FE3" w:rsidRPr="00320FE3">
        <w:rPr>
          <w:noProof/>
        </w:rPr>
        <w:t>(Anand et al., 2020)</w:t>
      </w:r>
      <w:r w:rsidRPr="00320FE3">
        <w:fldChar w:fldCharType="end"/>
      </w:r>
      <w:r w:rsidRPr="00320FE3">
        <w:t>. In the field</w:t>
      </w:r>
      <w:r w:rsidRPr="00320FE3">
        <w:t xml:space="preserve"> of defense, change is reflected in the need to adapt to new threats that can be overcome, Not only by using the military in a traditional way. However, the task military integrates security in an overall manner </w:t>
      </w:r>
      <w:r w:rsidRPr="00320FE3">
        <w:fldChar w:fldCharType="begin" w:fldLock="1"/>
      </w:r>
      <w:r w:rsidR="00320FE3" w:rsidRPr="00320FE3">
        <w:instrText>ADDIN CSL_CITATION {"citationItems":[{"id":"ITEM-1","itemData":{"DOI":"10.1007/978-3-031-58649-1_13","ISBN":"978-3-031-58649-1","abstract":"Italy is striving to bridge its gap in defense Artificial Intelligence (AI) despite being a latecomer in the field. This pursuit aligns with broader efforts towards digitalization and modernization, particularly within its Armed Forces. Acknowledging AI’s potential benefits and threats, Italy emphasizes human involvement in decision-making processes while advancing modernization initiatives. Italy sees defense AI as a force multiplier, enhancing Armed Forces capabilities through sensor sophistication, automation, data fusion, and decision-making support.","author":[{"dropping-particle":"","family":"Gilli","given":"Andrea","non-dropping-particle":"","parse-names":false,"suffix":""},{"dropping-particle":"","family":"Gilli","given":"Mauro","non-dropping-particle":"","parse-names":false,"suffix":""},{"dropping-particle":"","family":"Zaccagnini","given":"Ivan","non-dropping-particle":"","parse-names":false,"suffix":""}],"editor":[{"dropping-particle":"","family":"Borchert","given":"Heiko","non-dropping-particle":"","parse-names":false,"suffix":""},{"dropping-particle":"","family":"Schütz","given":"Torben","non-dropping-particle":"","parse-names":false,"suffix":""},{"dropping-particle":"","family":"Verbovszky","given":"Joseph","non-dropping-particle":"","parse-names":false,"suffix":""}],"id":"ITEM-1","issued":{"date-parts":[["2024"]]},"page":"283-304","publisher":"Springer Nature Switzerland","publisher-place":"Cham","title":"Exploring the Benefits of a New Force Enabler: Defense AI in Italy BT  - The Very Long Game: 25 Case Studies on the Global State of Defense AI","type":"chapter"},"uris":["http://www.mendeley.com/documents/?uuid=c5bc8bc3-f7e5-4a89-abe5-8946f98ba861"]}],"mendeley":{"formattedCitation":"(Gilli et al., 2024)","plainTextFormattedCitation":"(Gilli et al., 2024)","previouslyFormattedCitation":"(GILLI; GILLI; ZACCAGNINI, 2024)"},"properties":{"noteIndex":0},"schema":"https://github.com/citation-style-language/schema/raw/master/csl-citation.json"}</w:instrText>
      </w:r>
      <w:r w:rsidRPr="00320FE3">
        <w:fldChar w:fldCharType="separate"/>
      </w:r>
      <w:r w:rsidR="00320FE3" w:rsidRPr="00320FE3">
        <w:rPr>
          <w:noProof/>
        </w:rPr>
        <w:t>(Gilli et al., 2024)</w:t>
      </w:r>
      <w:r w:rsidRPr="00320FE3">
        <w:fldChar w:fldCharType="end"/>
      </w:r>
      <w:r w:rsidRPr="00320FE3">
        <w:t>.</w:t>
      </w:r>
    </w:p>
    <w:p w14:paraId="148435E2" w14:textId="562D18C7" w:rsidR="00673AD3" w:rsidRPr="00320FE3" w:rsidRDefault="00DF76B8" w:rsidP="00673AD3">
      <w:pPr>
        <w:pStyle w:val="NormalWeb"/>
        <w:spacing w:before="0" w:beforeAutospacing="0" w:after="0" w:afterAutospacing="0"/>
        <w:ind w:firstLine="720"/>
        <w:jc w:val="both"/>
      </w:pPr>
      <w:r w:rsidRPr="00320FE3">
        <w:t>Countries that adopted a positive policy defense approach, such as the United States and some Western European countries, often relied on technologically advanced and analytical risk data to prot</w:t>
      </w:r>
      <w:r w:rsidRPr="00320FE3">
        <w:t>ect national interests. Using technology intelligence and system supervision based on cyber technology becomes important in the defense strategy. An example concrete from implementation positivism in modern policy is the use of drones in the military To mo</w:t>
      </w:r>
      <w:r w:rsidRPr="00320FE3">
        <w:t>nitor and respond to threats with high precision. This approach makes policy defense more dependent on continuous empirical data collected and analyzed by advanced device technology.</w:t>
      </w:r>
    </w:p>
    <w:p w14:paraId="2F13D19B" w14:textId="3C26205C" w:rsidR="00673AD3" w:rsidRPr="00320FE3" w:rsidRDefault="00DF76B8" w:rsidP="00673AD3">
      <w:pPr>
        <w:pStyle w:val="NormalWeb"/>
        <w:spacing w:before="0" w:beforeAutospacing="0" w:after="0" w:afterAutospacing="0"/>
        <w:ind w:firstLine="720"/>
        <w:jc w:val="both"/>
      </w:pPr>
      <w:r w:rsidRPr="00320FE3">
        <w:t>Apart from positivism, constructivism also plays a vital role in philosophy knowledge defense studies. Approach This approach emphasizes that policy defense is not only influenced by material factors such as the vital military but also by social constructi</w:t>
      </w:r>
      <w:r w:rsidRPr="00320FE3">
        <w:t>on, which includes national identity, norms, culture, and perceptions of threats. Alexander Wendt's work entitled "Anarchy is What States Make of It" (1992) emphasizes that countries act based on the interpretation of social threat and not solely on the fa</w:t>
      </w:r>
      <w:r w:rsidRPr="00320FE3">
        <w:t xml:space="preserve">ctual objective </w:t>
      </w:r>
      <w:r w:rsidRPr="00320FE3">
        <w:fldChar w:fldCharType="begin" w:fldLock="1"/>
      </w:r>
      <w:r w:rsidR="00320FE3" w:rsidRPr="00320FE3">
        <w:instrText>ADDIN CSL_CITATION {"citationItems":[{"id":"ITEM-1","itemData":{"DOI":"10.1007/978-3-030-02866-4_105-1","ISBN":"978-3-030-02866-4","abstract":"Captured by Alexander Wendt’s now-famous maxim “anarchy is what states make of it,” social constructivism is the idea that the world “out there” is not given, as realists would argue, but rather, “socially constructed.” In doing so, social constructivism places a focus on the importance of “mutual constitution”: international politics is shaped by both structures, such as anarchy, or agents, such as states and other actors. Structures and agents influence each other. Moreover, social constructivism emphasizes social relations in global politics, and sees security and international politics as determined by ideas as well as material factors. The identity of agents such as states matter because identity helps determine national interests. As states interact with other actors in the international system, their ideas and identity can change over time, which can produce a more dynamic understanding of international relations. This chapter will take the reader through the key ideas of social constructivism – also referred to as “constructivism” in this chapter – showing how norms, culture, and ideas about identity shape actors, condition their relations with each other, and can impact the so-called “given” nature of international relations and transform understandings of power relations. Social constructivism can also help make sense of security and military phenomena, such as alliances and threat perceptions, or why states go to war. This chapter will also cover the different branches of constructivist thought and the main critiques of constructivism to highlight its key contributions and the problems it also raises.","author":[{"dropping-particle":"","family":"Agius","given":"Christine","non-dropping-particle":"","parse-names":false,"suffix":""}],"editor":[{"dropping-particle":"","family":"Sookermany","given":"Anders McD","non-dropping-particle":"","parse-names":false,"suffix":""}],"id":"ITEM-1","issued":{"date-parts":[["2020"]]},"page":"1-16","publisher":"Springer International Publishing","publisher-place":"Cham","title":"Social Constructivist International Relations and the Military BT  - Handbook of Military Sciences","type":"chapter"},"uris":["http://www.mendeley.com/documents/?uuid=832a9d4c-2a5f-42bf-b477-f9d7ca74da4d"]}],"mendeley":{"formattedCitation":"(Agius, 2020)","plainTextFormattedCitation":"(Agius, 2020)","previouslyFormattedCitation":"(AGIUS, 2020)"},"properties":{"noteIndex":0},"schema":"https://github.com/citation-style-language/schema/raw/master/csl-citation.json"}</w:instrText>
      </w:r>
      <w:r w:rsidRPr="00320FE3">
        <w:fldChar w:fldCharType="separate"/>
      </w:r>
      <w:r w:rsidR="00320FE3" w:rsidRPr="00320FE3">
        <w:rPr>
          <w:noProof/>
        </w:rPr>
        <w:t>(Agius, 2020)</w:t>
      </w:r>
      <w:r w:rsidRPr="00320FE3">
        <w:fldChar w:fldCharType="end"/>
      </w:r>
      <w:r w:rsidRPr="00320FE3">
        <w:t>. Thus, policy defense results from the construction of social influence through a country’s history, politics, and cu</w:t>
      </w:r>
      <w:r w:rsidRPr="00320FE3">
        <w:t xml:space="preserve">lture </w:t>
      </w:r>
      <w:r w:rsidRPr="00320FE3">
        <w:fldChar w:fldCharType="begin" w:fldLock="1"/>
      </w:r>
      <w:r w:rsidR="00320FE3" w:rsidRPr="00320FE3">
        <w:instrText>ADDIN CSL_CITATION {"citationItems":[{"id":"ITEM-1","itemData":{"DOI":"10.1007/978-3-030-37606-2_5","ISBN":"978-3-030-37606-2","abstract":"In the preceding Chapters (2, 3and 4) we have discussed the changing nature of security and the expansion of the concept of security and explored their consequences for the formulation of strategy. In this and the following chapters, the consequences for defence policy and the armed forces are analysed.","author":[{"dropping-particle":"","family":"Hirsch Ballin","given":"Ernst","non-dropping-particle":"","parse-names":false,"suffix":""},{"dropping-particle":"","family":"Dijstelbloem","given":"Huub","non-dropping-particle":"","parse-names":false,"suffix":""},{"dropping-particle":"","family":"Goede","given":"Peter","non-dropping-particle":"de","parse-names":false,"suffix":""}],"editor":[{"dropping-particle":"","family":"Hirsch Ballin","given":"Ernst","non-dropping-particle":"","parse-names":false,"suffix":""},{"dropping-particle":"","family":"Dijstelbloem","given":"Huub","non-dropping-particle":"","parse-names":false,"suffix":""},{"dropping-particle":"","family":"Goede","given":"Peter","non-dropping-particle":"de","parse-names":false,"suffix":""}],"id":"ITEM-1","issued":{"date-parts":[["2020"]]},"page":"87-117","publisher":"Springer International Publishing","publisher-place":"Cham","title":"Defence Policy in a Changed Security Environment BT  - Security in an Interconnected World: A Strategic Vision for Defence Policy","type":"chapter"},"uris":["http://www.mendeley.com/documents/?uuid=70218ee3-f28d-4942-aad1-07557ff95620"]}],"mendeley":{"formattedCitation":"(Hirsch Ballin et al., 2020)","plainTextFormattedCitation":"(Hirsch Ballin et al., 2020)","previouslyFormattedCitation":"(HIRSCH BALLIN; DIJSTELBLOEM; DE GOEDE, 2020)"},"properties":{"noteIndex":0},"schema":"https://github.com/citation-style-language/schema/raw/master/csl-citation.json"}</w:instrText>
      </w:r>
      <w:r w:rsidRPr="00320FE3">
        <w:fldChar w:fldCharType="separate"/>
      </w:r>
      <w:r w:rsidR="00320FE3" w:rsidRPr="00320FE3">
        <w:rPr>
          <w:noProof/>
        </w:rPr>
        <w:t>(Hirsch Ballin et al., 2020)</w:t>
      </w:r>
      <w:r w:rsidRPr="00320FE3">
        <w:fldChar w:fldCharType="end"/>
      </w:r>
      <w:r w:rsidRPr="00320FE3">
        <w:t>.</w:t>
      </w:r>
    </w:p>
    <w:p w14:paraId="265CEB1F" w14:textId="49B3FC9C" w:rsidR="00673AD3" w:rsidRPr="00320FE3" w:rsidRDefault="00DF76B8" w:rsidP="00673AD3">
      <w:pPr>
        <w:pStyle w:val="NormalWeb"/>
        <w:spacing w:before="0" w:beforeAutospacing="0" w:after="0" w:afterAutospacing="0"/>
        <w:ind w:firstLine="720"/>
        <w:jc w:val="both"/>
      </w:pPr>
      <w:r w:rsidRPr="00320FE3">
        <w:lastRenderedPageBreak/>
        <w:t xml:space="preserve">In the Indonesian context, the approach constructivism can be used to analyze how national </w:t>
      </w:r>
      <w:r w:rsidRPr="00320FE3">
        <w:t>identity is rooted in the historical​ struggles for independence and how the values of Pancasila influence national defense policy. Indonesia views national sovereignty as significant. This is reflected in policy defense, which focuses on protecting the co</w:t>
      </w:r>
      <w:r w:rsidRPr="00320FE3">
        <w:t>untry's territory and rejecting the mixing of hands with foreigners. Constructivism is also relevant in understanding cooperation in regional defense, such as in ASEAN, where member states share perceptions about threats originating issues like terrorism a</w:t>
      </w:r>
      <w:r w:rsidRPr="00320FE3">
        <w:t>nd maritime security.</w:t>
      </w:r>
    </w:p>
    <w:p w14:paraId="55B4C67F" w14:textId="4B263F84" w:rsidR="00673AD3" w:rsidRPr="00320FE3" w:rsidRDefault="00DF76B8" w:rsidP="00673AD3">
      <w:pPr>
        <w:pStyle w:val="NormalWeb"/>
        <w:spacing w:before="0" w:beforeAutospacing="0" w:after="0" w:afterAutospacing="0"/>
        <w:ind w:firstLine="720"/>
        <w:jc w:val="both"/>
      </w:pPr>
      <w:r w:rsidRPr="00320FE3">
        <w:t xml:space="preserve">Temporarily, postmodernism offers more criticism​ of policy defense, highlighting How the power and structure of Society influence decisions. Michel Foucault’s </w:t>
      </w:r>
      <w:r w:rsidRPr="00320FE3">
        <w:rPr>
          <w:rStyle w:val="Emphasis"/>
        </w:rPr>
        <w:t xml:space="preserve">Discipline and Punish </w:t>
      </w:r>
      <w:r w:rsidRPr="00320FE3">
        <w:t>(1975) emphasizes the connection between power and k</w:t>
      </w:r>
      <w:r w:rsidRPr="00320FE3">
        <w:t xml:space="preserve">nowledge and How policy defense is often used as a tool To perpetuate power politics and economics </w:t>
      </w:r>
      <w:r w:rsidRPr="00320FE3">
        <w:fldChar w:fldCharType="begin" w:fldLock="1"/>
      </w:r>
      <w:r w:rsidR="00320FE3" w:rsidRPr="00320FE3">
        <w:instrText>ADDIN CSL_CITATION {"citationItems":[{"id":"ITEM-1","itemData":{"author":[{"dropping-particle":"","family":"Bowle","given":"J. Edward","non-dropping-particle":"","parse-names":false,"suffix":""},{"dropping-particle":"","family":"Arneson","given":"Richard J.","non-dropping-particle":"","parse-names":false,"suffix":""}],"container-title":"Encyclopedia Britannica","id":"ITEM-1","issued":{"date-parts":[["2024"]]},"title":"Political Philosophy","type":"entry-encyclopedia"},"uris":["http://www.mendeley.com/documents/?uuid=45d021c7-681e-4c1e-a53d-fdb04b702b90"]}],"mendeley":{"formattedCitation":"(Bowle &amp; Arneson, 2024)","plainTextFormattedCitation":"(Bowle &amp; Arneson, 2024)","previouslyFormattedCitation":"(BOWLE; ARNESON, 2024)"},"properties":{"noteIndex":0},"schema":"https://github.com/citation-style-language/schema/raw/master/csl-citation.json"}</w:instrText>
      </w:r>
      <w:r w:rsidRPr="00320FE3">
        <w:fldChar w:fldCharType="separate"/>
      </w:r>
      <w:r w:rsidR="00320FE3" w:rsidRPr="00320FE3">
        <w:rPr>
          <w:noProof/>
        </w:rPr>
        <w:t>(Bowle &amp; Arneson, 2024)</w:t>
      </w:r>
      <w:r w:rsidRPr="00320FE3">
        <w:fldChar w:fldCharType="end"/>
      </w:r>
      <w:r w:rsidRPr="00320FE3">
        <w:t>. In this context, policy defense is intended no</w:t>
      </w:r>
      <w:r w:rsidRPr="00320FE3">
        <w:t>t only to protect the country from external threats but also to strengthen the control of internal government threats. Mass mobilization becomes an instrument of politics used by any elite, including​ the ruling government.​ The goal is to match opposition</w:t>
      </w:r>
      <w:r w:rsidRPr="00320FE3">
        <w:t xml:space="preserve"> that does not agree with government policy </w:t>
      </w:r>
      <w:r w:rsidRPr="00320FE3">
        <w:fldChar w:fldCharType="begin" w:fldLock="1"/>
      </w:r>
      <w:r w:rsidR="00320FE3" w:rsidRPr="00320FE3">
        <w:instrText>ADDIN CSL_CITATION {"citationItems":[{"id":"ITEM-1","itemData":{"DOI":"10.1177/0010414019843559","ISSN":"15523829","abstract":"Protest against authoritarian rule is a well-studied phenomenon in the social sciences, but mass rallies in favor of authoritarian regimes have received only limited scholarly attention. While previous work has portrayed authoritarian regimes as characterized by mass apathy and political demobilization, we show that this is only partially true today. We argue that autocrats mobilize their supporters selectively as a strategic response to political threats. Rallies increase collective action costs for rivaling elites, opposition movements, and bystanders because they signal regime strength (deterrence) and curb mobilization efforts against the regime (repression). Nevertheless, the mobilization of supporters is costly, as autocrats have only imperfect information about current levels of support, rallies require organizational capacity and clashes between supporters and opponents can get out of control. Drawing on the first global data set with information about pro-government rally events in all authoritarian regimes from 2003 to 2015, our quantitative analysis reveals systematic patterns in the occurrence of rallies in line with our theoretical framework. We find systematic increases in pro-government mobilization during episodes of large domestic and regional opposition mobilization, high coup risk, and prior to elections.","author":[{"dropping-particle":"","family":"Hellmeier","given":"Sebastian","non-dropping-particle":"","parse-names":false,"suffix":""},{"dropping-particle":"","family":"Weidmann","given":"Nils B.","non-dropping-particle":"","parse-names":false,"suffix":""}],"container-title":"Comparative Political Studies","id":"ITEM-1","issue":"1","issued":{"date-parts":[["2020"]]},"page":"71-108","title":"Pulling the Strings? The Strategic Use of Pro-Government Mobilization in Authoritarian Regimes","type":"article-journal","volume":"53"},"uris":["http://www.mendeley.com/documents/?uuid=87c468ab-8b68-49a6-955f-e8619a5bc49e"]}],"mendeley":{"formattedCitation":"(Hellmeier &amp; Weidmann, 2020)","plainTextFormattedCitation":"(Hellmeier &amp; Weidmann, 2020)","previouslyFormattedCitation":"(HELLMEIER; WEIDMANN, 2020)"},"properties":{"noteIndex":0},"schema":"https://github.com/citation-style-language/schema/raw/master/csl-citation.json"}</w:instrText>
      </w:r>
      <w:r w:rsidRPr="00320FE3">
        <w:fldChar w:fldCharType="separate"/>
      </w:r>
      <w:r w:rsidR="00320FE3" w:rsidRPr="00320FE3">
        <w:rPr>
          <w:noProof/>
        </w:rPr>
        <w:t>(Hellmeier &amp; Weidmann, 2020)</w:t>
      </w:r>
      <w:r w:rsidRPr="00320FE3">
        <w:fldChar w:fldCharType="end"/>
      </w:r>
      <w:r w:rsidRPr="00320FE3">
        <w:t>.</w:t>
      </w:r>
    </w:p>
    <w:p w14:paraId="132FE5DC" w14:textId="079B5BE9" w:rsidR="00673AD3" w:rsidRPr="00320FE3" w:rsidRDefault="00DF76B8" w:rsidP="00673AD3">
      <w:pPr>
        <w:pStyle w:val="NormalWeb"/>
        <w:spacing w:before="0" w:beforeAutospacing="0" w:after="0" w:afterAutospacing="0"/>
        <w:ind w:firstLine="720"/>
        <w:jc w:val="both"/>
      </w:pPr>
      <w:r w:rsidRPr="00320FE3">
        <w:t>Feminist critiques in the framework of postmodernism also provide views critical to mi</w:t>
      </w:r>
      <w:r w:rsidRPr="00320FE3">
        <w:t xml:space="preserve">litary policy. The assumption of patriarchal neglect​ prospective women and other marginalized groups often shape policy military. Gender equality is a novel way to promote gender equality in the environment and the military </w:t>
      </w:r>
      <w:r w:rsidRPr="00320FE3">
        <w:fldChar w:fldCharType="begin" w:fldLock="1"/>
      </w:r>
      <w:r w:rsidR="00320FE3" w:rsidRPr="00320FE3">
        <w:instrText>ADDIN CSL_CITATION {"citationItems":[{"id":"ITEM-1","itemData":{"DOI":"10.1111/gwao.13049","ISSN":"14680432","abstract":"Militaries have consistently struggled to integrate women into the profession of arms despite concerted, decades-long attempts at reform. We argue that this patchy progress is due in part to a conceptualization of gender as “category”, which has limited power to explain gendered inequalities. We propose that gender as process approaches must also be used to understand the current state of gender relations within militaries. A gender as process approach recognizes the dynamic, enduring, and complex set of gendered practices and systems that affect everyday interactions and social relations. Using this frame, militaries can develop an understanding of how these processes operate—particularly, as a form of resistance to gender equality in these “extremely gendered organizations”—and can develop improved strategies for change. We use the Australian Defence Force as our case study to illustrate how gender as category approaches dominate reform attempts and how the gender as process approach offers new insights on how to promote gender equality in the military.","author":[{"dropping-particle":"","family":"Williams","given":"Jessica","non-dropping-particle":"","parse-names":false,"suffix":""},{"dropping-particle":"","family":"Yates","given":"Sophie","non-dropping-particle":"","parse-names":false,"suffix":""},{"dropping-particle":"","family":"Connor","given":"James","non-dropping-particle":"","parse-names":false,"suffix":""}],"container-title":"Gender, Work and Organization","id":"ITEM-1","issue":"1","issued":{"date-parts":[["2024"]]},"page":"211-226","title":"Creating a new pathway for change in the military using gender as process","type":"article-journal","volume":"31"},"uris":["http://www.mendeley.com/documents/?uuid=1ae16af9-b1fc-40df-b2f9-6b83129209d4"]}],"mendeley":{"formattedCitation":"(Williams et al., 2024)","plainTextFormattedCitation":"(Williams et al., 2024)","previouslyFormattedCitation":"(WILLIAMS; YATES; CONNOR, 2024)"},"properties":{"noteIndex":0},"schema":"https://github.com/citation-style-language/schema/raw/master/csl-citation.json"}</w:instrText>
      </w:r>
      <w:r w:rsidRPr="00320FE3">
        <w:fldChar w:fldCharType="separate"/>
      </w:r>
      <w:r w:rsidR="00320FE3" w:rsidRPr="00320FE3">
        <w:rPr>
          <w:noProof/>
        </w:rPr>
        <w:t>(Williams et al., 2024)</w:t>
      </w:r>
      <w:r w:rsidRPr="00320FE3">
        <w:fldChar w:fldCharType="end"/>
      </w:r>
      <w:r w:rsidRPr="00320FE3">
        <w:t>. View This opens room for more analysis​ , including how policy defense influences various groups in Socie</w:t>
      </w:r>
      <w:r w:rsidRPr="00320FE3">
        <w:t xml:space="preserve">ty and how gender bias can influence decisions in military </w:t>
      </w:r>
      <w:r w:rsidRPr="00320FE3">
        <w:fldChar w:fldCharType="begin" w:fldLock="1"/>
      </w:r>
      <w:r w:rsidR="00320FE3" w:rsidRPr="00320FE3">
        <w:instrText>ADDIN CSL_CITATION {"citationItems":[{"id":"ITEM-1","itemData":{"DOI":"10.1108/GM-05-2022-0180","ISSN":"17542413","abstract":"Purpose: Previous studies show that the implementation of gender equality encounters resistance in military organizations, but it is often invisible or seen as confined to anonymous structures or troubled individuals. This paper aims to show how the Swedish Armed Forces (SAF) use organizational principles to resist implementing gender equality measures. Design/methodology/approach: The study is a qualitative analysis of discursive strategies in the SAF’s 2013–2018 annual reports to government. Findings: The organizing principles of instrumentality and distance, while existing in parallel with gender equality efforts, actually pursue logics that prevents the SAF from implementing gender equality. The principle of instrumentality in this context means that gender equality in the SAF is of secondary interest to organizational members. The principle of distancing from the problem includes strategies that alienate female from male officers. Originality/value: The contribution of this paper is the finding that the use of organizing principles represents conscious organizational resistance to gender equality efforts. This kind of use needs to be revealed and criticized to change military organizations.","author":[{"dropping-particle":"","family":"Holmberg","given":"Arita","non-dropping-particle":"","parse-names":false,"suffix":""},{"dropping-particle":"","family":"Alvinius","given":"Aida","non-dropping-particle":"","parse-names":false,"suffix":""}],"container-title":"Gender in Management","id":"ITEM-1","issue":"3","issued":{"date-parts":[["2024"]]},"page":"313-327","title":"Organizational resistance through organizing principles: the case of gender equality in the military","type":"article-journal","volume":"39"},"uris":["http://www.mendeley.com/documents/?uuid=154ebeea-d6ac-47b4-87ec-9db9b72991ef"]}],"mendeley":{"formattedCitation":"(Holmberg &amp; Alvinius, 2024)","plainTextFormattedCitation":"(Holmberg &amp; Alvinius, 2024)","previouslyFormattedCitation":"(HOLMBERG; ALVINIUS, 2024)"},"properties":{"noteIndex":0},"schema":"https://github.com/citation-style-language/schema/raw/master/csl-citation.json"}</w:instrText>
      </w:r>
      <w:r w:rsidRPr="00320FE3">
        <w:fldChar w:fldCharType="separate"/>
      </w:r>
      <w:r w:rsidR="00320FE3" w:rsidRPr="00320FE3">
        <w:rPr>
          <w:noProof/>
        </w:rPr>
        <w:t>(Holmberg &amp; Alvinius, 2024)</w:t>
      </w:r>
      <w:r w:rsidRPr="00320FE3">
        <w:fldChar w:fldCharType="end"/>
      </w:r>
      <w:r w:rsidRPr="00320FE3">
        <w:t>.</w:t>
      </w:r>
    </w:p>
    <w:p w14:paraId="2F91D5BB" w14:textId="72A93393" w:rsidR="00673AD3" w:rsidRPr="00320FE3" w:rsidRDefault="00DF76B8" w:rsidP="00673AD3">
      <w:pPr>
        <w:pStyle w:val="NormalWeb"/>
        <w:spacing w:before="0" w:beforeAutospacing="0" w:after="0" w:afterAutospacing="0"/>
        <w:ind w:firstLine="720"/>
        <w:jc w:val="both"/>
      </w:pPr>
      <w:r w:rsidRPr="00320FE3">
        <w:t>Along with globalization, threats to the security of countries are increasingly varied and are not Again limited to conflict military traditions. Literature about nontraditional security has emphasized that issues suc</w:t>
      </w:r>
      <w:r w:rsidRPr="00320FE3">
        <w:t xml:space="preserve">h as climate change, global health, and cybersecurity have become integral to policy defense. Barry Buzan et al. (1998) introduced draft </w:t>
      </w:r>
      <w:r w:rsidRPr="00320FE3">
        <w:rPr>
          <w:rStyle w:val="Emphasis"/>
        </w:rPr>
        <w:t>securitization</w:t>
      </w:r>
      <w:r w:rsidRPr="00320FE3">
        <w:t xml:space="preserve">, which states that an issue can threaten security through political processes </w:t>
      </w:r>
      <w:r w:rsidRPr="00320FE3">
        <w:fldChar w:fldCharType="begin" w:fldLock="1"/>
      </w:r>
      <w:r w:rsidR="00320FE3" w:rsidRPr="00320FE3">
        <w:instrText>ADDIN CSL_CITATION {"citationItems":[{"id":"ITEM-1","itemData":{"DOI":"10.1007/s42597-023-00104-z","ISBN":"4259702300","ISSN":"2192-1741","abstract":"In foreign policy dyads characterized by enmity, mutual desecuritization can serve as a crucial asset for détente. But how does “the way out of the emergency mode” function, considering mutual securitizations over decades? Embarking from theoretical insights provided by second generation scholars on securitization and desecuritization studies, the authors generate a theory-based model of détente for dyads. This analytical tool contributes to the study of the dissolution of historically grown, mutual (re-)securitization processes in interstate relations. By clarifying the impact and functioning of the four desecuritizing modes (replacement, silencing, change through stabilization, and rearticulation), our model allows us to trace dynamics of change and assess the sustainability of détente. Especially mutual desecuritization as rearticulation has the potential to substantially change the self-other relation with effects on the social structure of a foreign policy dyad. The heuristic case study of US-Cuban relations serves as a prime example of a complex dyad of enmity which became a subject of change due to the Obama–Castro diplomacy in 2014. The study on US-Cuban foreign policy issues before and after 2014 helps to sharpen our understanding of dynamic securitization and desecuritization processes. The overall analysis demonstrates that the modes of desecuritization during the Obama–Castro diplomacy lifted the process of détente to a new and unprecedented level.In außenpolitischen Dyaden der Feindschaft kann wechselseitige „desecuritization“ (Entsicherheitlichung) ein entscheidender Weg der Entspannungspolitik sein. Doch wie funktioniert ein Ausweg aus dem „Notfallmodus“, wenn der jeweils andere Staat über Jahrzehnte hinweg als existenzielle Bedrohung wahrgenommen wurde? Ausgehend von den theoretischen Erkenntnissen der „Zweiten Generation“ zu „securitization“ (Versicherheitlichung) und „desecuritization“ entwickeln die Autoren ein theoriegeleitetes Modell der Entspannung für dyadische Beziehungen. Das Analyseinstrument trägt dazu bei, die Auflösung historisch gewachsener, wechselseitiger „(re-)securitizations“ in zwischenstaatlichen Beziehungen zu untersuchen. Die Autoren erläutern die Wirkung und Funktionsweise von „desecuritization“ in Dyaden mittels der vier Entspannungsmodi „replacement“, „silencing“, „change through stabilization“ und „rearticulation“. Diese Kategorisierung von Desecuritization-Prozessen ermöglicht es, Dynamiken des Wandels festzust…","author":[{"dropping-particle":"","family":"Felfeli","given":"Anna","non-dropping-particle":"","parse-names":false,"suffix":""},{"dropping-particle":"","family":"Stahl","given":"Bernhard","non-dropping-particle":"","parse-names":false,"suffix":""}],"container-title":"Zeitschrift für Friedens- und Konfliktforschung","id":"ITEM-1","issue":"1","issued":{"date-parts":[["2023"]]},"page":"59-86","title":"Mutual desecuritization as a model of détente? Foreign policy change in the US-Cuban dyad","type":"article-journal","volume":"12"},"uris":["http://www.mendeley.com/documents/?uuid=afc10122-f61c-415b-add6-f525ae69d5cd"]}],"mendeley":{"formattedCitation":"(Felfeli &amp; Stahl, 2023)","plainTextFormattedCitation":"(Felfeli &amp; Stahl, 2023)","previouslyFormattedCitation":"(FELFELI; STAHL, 2023)"},"properties":{"noteIndex":0},"schema":"https://github.com/citation-style-language/schema/raw/master/csl-citation.json"}</w:instrText>
      </w:r>
      <w:r w:rsidRPr="00320FE3">
        <w:fldChar w:fldCharType="separate"/>
      </w:r>
      <w:r w:rsidR="00320FE3" w:rsidRPr="00320FE3">
        <w:rPr>
          <w:noProof/>
        </w:rPr>
        <w:t>(Felfeli &amp; Stahl, 2023)</w:t>
      </w:r>
      <w:r w:rsidRPr="00320FE3">
        <w:fldChar w:fldCharType="end"/>
      </w:r>
      <w:r w:rsidRPr="00320FE3">
        <w:t>. Climate change, for e</w:t>
      </w:r>
      <w:r w:rsidRPr="00320FE3">
        <w:t xml:space="preserve">xample, has been identified as a threat to security in many countries because of its impact on the economy and Society </w:t>
      </w:r>
      <w:r w:rsidRPr="00320FE3">
        <w:fldChar w:fldCharType="begin" w:fldLock="1"/>
      </w:r>
      <w:r w:rsidR="00320FE3" w:rsidRPr="00320FE3">
        <w:instrText>ADDIN CSL_CITATION {"citationItems":[{"id":"ITEM-1","itemData":{"DOI":"https://doi.org/10.1016/j.cosust.2023.101322","ISSN":"1877-3435","abstract":"Climate change and environmental degradation remain the most complex challenges that present and future generations of humankind face and raise several security risks that have received relatively little attention in the literature. This paper aims to review the evidence of security risks arising from these challenges in the Global South and to provide forward-looking perspectives on how to increase the resilience of affected individuals and communities. We see diverse land use strategies as a key element to drive a transformation towards greater sustainability and resilience. We propose that rural land use in the Global South should be geared towards the promotion of resource and biodiversity conservation, the development of agroforestry, tree-based farming systems, the diversification of crops, and the utilization of climate-resilient cultivars, and neglected and under-utilized plants. These actions would contribute to addressing the security risks stemming from the interconnected challenges of climate change and environmental degradation.","author":[{"dropping-particle":"","family":"Nguyen","given":"Trung Thanh","non-dropping-particle":"","parse-names":false,"suffix":""},{"dropping-particle":"","family":"Grote","given":"Ulrike","non-dropping-particle":"","parse-names":false,"suffix":""},{"dropping-particle":"","family":"Neubacher","given":"Frank","non-dropping-particle":"","parse-names":false,"suffix":""},{"dropping-particle":"","family":"Rahut","given":"Dil B","non-dropping-particle":"","parse-names":false,"suffix":""},{"dropping-particle":"","family":"Do","given":"Manh Hung","non-dropping-particle":"","parse-names":false,"suffix":""},{"dropping-particle":"","family":"Paudel","given":"Gokul P","non-dropping-particle":"","parse-names":false,"suffix":""}],"container-title":"Current Opinion in Environmental Sustainability","id":"ITEM-1","issued":{"date-parts":[["2023"]]},"page":"101322","title":"Security risks from climate change and environmental degradation: implications for sustainable land use transformation in the Global South","type":"article-journal","volume":"63"},"uris":["http://www.mendeley.com/documents/?uuid=a9ed821e-9bc1-4dcc-a1bb-9b7535e9656f"]}],"mendeley":{"formattedCitation":"(Nguyen et al., 2023)","plainTextFormattedCitation":"(Nguyen et al., 2023)","previouslyFormattedCitation":"(NGUYEN et al., 2023)"},"properties":{"noteIndex":0},"schema":"https://github.com/citation-style-language/schema/raw/master/csl-citation.json"}</w:instrText>
      </w:r>
      <w:r w:rsidRPr="00320FE3">
        <w:fldChar w:fldCharType="separate"/>
      </w:r>
      <w:r w:rsidR="00320FE3" w:rsidRPr="00320FE3">
        <w:rPr>
          <w:noProof/>
        </w:rPr>
        <w:t>(Nguyen et al., 2023)</w:t>
      </w:r>
      <w:r w:rsidRPr="00320FE3">
        <w:fldChar w:fldCharType="end"/>
      </w:r>
      <w:r w:rsidRPr="00320FE3">
        <w:t>.</w:t>
      </w:r>
    </w:p>
    <w:p w14:paraId="08C1323D" w14:textId="0CDDD5CF" w:rsidR="00673AD3" w:rsidRPr="00320FE3" w:rsidRDefault="00DF76B8" w:rsidP="00673AD3">
      <w:pPr>
        <w:pStyle w:val="NormalWeb"/>
        <w:spacing w:before="0" w:beforeAutospacing="0" w:after="0" w:afterAutospacing="0"/>
        <w:ind w:firstLine="720"/>
        <w:jc w:val="both"/>
      </w:pPr>
      <w:r w:rsidRPr="00320FE3">
        <w:t>In Indonesia, changes in climate and nat</w:t>
      </w:r>
      <w:r w:rsidRPr="00320FE3">
        <w:t>ural disasters are threats that affect policy defense. Indonesia’s defense policy not only focuses on threats to the military but also includes non-traditional issues like maritime security, fire forests, terrorism, and the impacts of climate change. Multi</w:t>
      </w:r>
      <w:r w:rsidRPr="00320FE3">
        <w:t>disciplinary policy defense must counter an increasing threat complex. For example, maritime terrorism in the Malacca Strait area has encouraged Indonesia to strengthen international cooperation on maritime security through diplomacy and defense cooperatio</w:t>
      </w:r>
      <w:r w:rsidRPr="00320FE3">
        <w:t xml:space="preserve">n with neighboring countries </w:t>
      </w:r>
      <w:r w:rsidRPr="00320FE3">
        <w:fldChar w:fldCharType="begin" w:fldLock="1"/>
      </w:r>
      <w:r w:rsidR="00320FE3" w:rsidRPr="00320FE3">
        <w:instrText>ADDIN CSL_CITATION {"citationItems":[{"id":"ITEM-1","itemData":{"DOI":"10.4236/ojps.2022.124030","ISSN":"2164-0505","abstract":"China and Indonesia face the same maritime challenge\nin Asia. As their relationship strengthens and their multidimensional strategic connection grows. This research\nanalyzes the maritime security threats China and Indonesia, include the current\nstate of China-Indonesia security cooperation, and proposes the following steps\nto strengthen security cooperation, especially jointly countering maritime\nsecurity threats. It also provides policymakers with theory and practice\nguidance. China and Indonesia can improve security by strengthening their\nalliance. However, there are some trust issues and a weak security cooperation\nmechanism. China and Indonesia must increase security cooperation to address\nmaritime security threats. The two countries should increase multi-level\ndefence and military cooperation to eliminate maritime security threats.","author":[{"dropping-particle":"","family":"Lestari","given":"Yuliannova","non-dropping-particle":"","parse-names":false,"suffix":""},{"dropping-particle":"","family":"Lohalo","given":"Georges Olemanu","non-dropping-particle":"","parse-names":false,"suffix":""},{"dropping-particle":"","family":"Diur","given":"Nicole Kajir","non-dropping-particle":"","parse-names":false,"suffix":""},{"dropping-particle":"","family":"Mushinda","given":"Betao Ngoma","non-dropping-particle":"","parse-names":false,"suffix":""},{"dropping-particle":"","family":"Mbumba","given":"Vital Mbumba","non-dropping-particle":"","parse-names":false,"suffix":""},{"dropping-particle":"","family":"Kianga","given":"Scheel Mutombo","non-dropping-particle":"","parse-names":false,"suffix":""},{"dropping-particle":"","family":"Minga","given":"Peter Ngolo","non-dropping-particle":"","parse-names":false,"suffix":""}],"container-title":"Open Journal of Political Science","id":"ITEM-1","issue":"04","issued":{"date-parts":[["2022"]]},"page":"534-555","title":"Security Cooperation between China and Indonesia to Address Maritime Security Threats","type":"article-journal","volume":"12"},"uris":["http://www.mendeley.com/documents/?uuid=862ab2fc-a84f-48c4-be6d-a10a650e14bf"]}],"mendeley":{"formattedCitation":"(Lestari et al., 2022)","plainTextFormattedCitation":"(Lestari et al., 2022)","previouslyFormattedCitation":"(LESTARI et al., 2022)"},"properties":{"noteIndex":0},"schema":"https://github.com/citation-style-language/schema/raw/master/csl-citation.json"}</w:instrText>
      </w:r>
      <w:r w:rsidRPr="00320FE3">
        <w:fldChar w:fldCharType="separate"/>
      </w:r>
      <w:r w:rsidR="00320FE3" w:rsidRPr="00320FE3">
        <w:rPr>
          <w:noProof/>
        </w:rPr>
        <w:t>(Lestari et al., 2022)</w:t>
      </w:r>
      <w:r w:rsidRPr="00320FE3">
        <w:fldChar w:fldCharType="end"/>
      </w:r>
      <w:r w:rsidRPr="00320FE3">
        <w:t>.</w:t>
      </w:r>
    </w:p>
    <w:p w14:paraId="76B116B0" w14:textId="193D1131" w:rsidR="00673AD3" w:rsidRPr="00320FE3" w:rsidRDefault="00DF76B8" w:rsidP="00673AD3">
      <w:pPr>
        <w:pStyle w:val="NormalWeb"/>
        <w:spacing w:before="0" w:beforeAutospacing="0" w:after="0" w:afterAutospacing="0"/>
        <w:ind w:firstLine="720"/>
        <w:jc w:val="both"/>
      </w:pPr>
      <w:r w:rsidRPr="00320FE3">
        <w:t xml:space="preserve">Technology has also become an essential factor in policy defense development. Technology developments in cyber and intelligence have changed how countries respond to threat security. P.W. Singer, Joanne J. Myers in </w:t>
      </w:r>
      <w:r w:rsidRPr="00320FE3">
        <w:rPr>
          <w:rStyle w:val="Emphasis"/>
        </w:rPr>
        <w:t>Wired for War: The Roboti</w:t>
      </w:r>
      <w:r w:rsidRPr="00320FE3">
        <w:rPr>
          <w:rStyle w:val="Emphasis"/>
        </w:rPr>
        <w:t xml:space="preserve">cs Revolution and Conflict in the 21st Century </w:t>
      </w:r>
      <w:r w:rsidRPr="00320FE3">
        <w:t xml:space="preserve">(2009) explains how robotics and drone technology have created new challenges in modern </w:t>
      </w:r>
      <w:r w:rsidRPr="00320FE3">
        <w:fldChar w:fldCharType="begin" w:fldLock="1"/>
      </w:r>
      <w:r w:rsidR="00320FE3" w:rsidRPr="00320FE3">
        <w:instrText>ADDIN CSL_CITATION {"citationItems":[{"id":"ITEM-1","itemData":{"DOI":"10.1108/ir.2010.04937eae.001","ISSN":"0143-991X","abstract":"Average Customer Rating: 4.5 Rating: 3 Useful information buried under pop culture references and bad humor Singer did his homework, and I am confident no stone goes unturned in \"Wired for War\". Unfortunately, he weighs his content down with pop culture references and bad humor. As a technology enthusiast and engineer, I had to force myself to finish it. Rating: 5 Wired for War Very thought provoking. Amazing what advances are being made with little public awareness. It parallels the introduction of the PC into mainstream life...bit by bit it subtly becomes a part of your very existence until you are a slave to its systems, quirks and processes. Rating: 5 This is a MAN's book! This is a well researched book and it is fascinating to have an inside look at the current and future use of robots to kill the bad guys. The only drawback is that the typeface is too small. I got it before I got my Kindle or that would be no problem. I saw the author give a presentation at Chautauqua and he's a very sharp young man with lots of good insights. It's not a girly book, though. It's a MAN'S book! Get ready to be amazed at what our military is gearing up for. You'll be glad you're an American! Rating: 3 Verbose Treatment of Important, Multi-Faceted Subject Extremely verbose. Singer relies on many extended anecdotes to make minor points. Lots of repetition. He defers to sci-fi authors/movies, soldiers, entertainers, et al., rather than exhibiting a personal expertise. He touches on many facets of the subject: some interesting but many obvious. After reading, one has an improved appreciation of robotics; however, Singer fails to present the subject as a few key issues that he develops insightfully. Overall, a disappointing treatment of an important topic. Rating: 4 Almost perfect book, but some goofy liberal ideology peeks through. An almost perfect book when Singer is actually writing about war and robotics. But the gratuitous dings against the Bush administration are too obvious and gratuitous. How do you get a criticism of the No Child Left Behind act into a book on robotics? And Singer gives the sorely un-credible Richard Clarke way too much credit. One of the predicted sources of terrorism is, according to Clarke and cited by Singer, \"The Christian right fringe that blow up abortion clinics.\" Clarke supposedly warned the Bush administration about Osama Bin Laden, but Singer does not mention what happened during the 8 years Clarke worked for Clinton. So in places, Si…","author":[{"dropping-particle":"","family":"Singer","given":"P W","non-dropping-particle":"","parse-names":false,"suffix":""},{"dropping-particle":"","family":"Myers","given":"Joanne J","non-dropping-particle":"","parse-names":false,"suffix":""}],"container-title":"Industrial Robot: An International Journal","id":"ITEM-1","issue":"5","issued":{"date-parts":[["2010"]]},"page":"1-10","title":"Wired for War: The Robotics Revolution and Conflict in the 21st Century","type":"article-journal","volume":"37"},"uris":["http://www.mendeley.com/documents/?uuid=2843f4d2-d80c-4b90-98f3-d6e64f568032"]}],"mendeley":{"formattedCitation":"(Singer &amp; Myers, 2010)","plainTextFormattedCitation":"(Singer &amp; Myers, 2010)","previouslyFormattedCitation":"(SINGER; MYERS, 2010)"},"properties":{"noteIndex":0},"schema":"https://github.com/citation-style-language/schema/raw/master/csl-citation.json"}</w:instrText>
      </w:r>
      <w:r w:rsidRPr="00320FE3">
        <w:fldChar w:fldCharType="separate"/>
      </w:r>
      <w:r w:rsidR="00320FE3" w:rsidRPr="00320FE3">
        <w:rPr>
          <w:noProof/>
        </w:rPr>
        <w:t>(Singer &amp; Myers, 2010)</w:t>
      </w:r>
      <w:r w:rsidRPr="00320FE3">
        <w:fldChar w:fldCharType="end"/>
      </w:r>
      <w:r w:rsidRPr="00320FE3">
        <w:t>. Technology This allows the country to operate the military with minimal risk for troops but also gives rise to a dilemma of deep ethics​ about using a strong mi</w:t>
      </w:r>
      <w:r w:rsidRPr="00320FE3">
        <w:t xml:space="preserve">litary without the involvement of men directly </w:t>
      </w:r>
      <w:r w:rsidRPr="00320FE3">
        <w:fldChar w:fldCharType="begin" w:fldLock="1"/>
      </w:r>
      <w:r w:rsidR="00320FE3" w:rsidRPr="00320FE3">
        <w:instrText>ADDIN CSL_CITATION {"citationItems":[{"id":"ITEM-1","itemData":{"DOI":"10.1016/j.techsoc.2022.102193","ISSN":"0160791X","abstract":"Project Maven is an AI-induced information technology for military applications initiated by the United States Department of Defence (DoD) in 2017 and originally signed on to a civilian contractor, namely Google. However, this initiative raised massive resistance from a substantial amount of Google employees, eventually leading to the contract's annulation. This article uses narrative analysis to investigate enabling and constraining arguments of AI for military purposes that appeared in the debate following the public announcement of Project Maven. In addition, the article highlights the co-production of ethics, technology, and the complex issues that arise from civilian-military exchanges in technology development. Enabling arguments associated with consequentialist ethics are identified as narratives of accuracy and maintenance. Accuracy constitutes a guiding principle for saving civilian lives, while maintenance is directed at keeping the power balance intact. In contrast, constraining arguments proceed from deontological ethics that emphasize disengagement and ambivalence. Disengagement amplifies a civilian/military divide, while ambivalence exhibits conflicting views concerning the prospect of supplementing technological solutions that have the potential to contribute to war and civilian casualties. Conclusively, security narratives and technological storytelling are important aspects to consider since they hold a performative function that influences the framing and mobilization of security and technology development.","author":[{"dropping-particle":"","family":"Malmio","given":"Irja","non-dropping-particle":"","parse-names":false,"suffix":""}],"container-title":"Technology in Society","id":"ITEM-1","issue":"August 2022","issued":{"date-parts":[["2023"]]},"page":"102193","publisher":"Elsevier Ltd","title":"Ethics as an enabler and a constraint – Narratives on technology development and artificial intelligence in military affairs through the case of Project Maven","type":"article-journal","volume":"72"},"uris":["http://www.mendeley.com/documents/?uuid=db2b6a41-02da-4695-93d9-6f9f0f8a6701"]}],"mendeley":{"formattedCitation":"(Malmio, 2023)","plainTextFormattedCitation":"(Malmio, 2023)","previouslyFormattedCitation":"(MALMIO, 2023)"},"properties":{"noteIndex":0},"schema":"https://github.com/citation-style-language/schema/raw/master/csl-citation.json"}</w:instrText>
      </w:r>
      <w:r w:rsidRPr="00320FE3">
        <w:fldChar w:fldCharType="separate"/>
      </w:r>
      <w:r w:rsidR="00320FE3" w:rsidRPr="00320FE3">
        <w:rPr>
          <w:noProof/>
        </w:rPr>
        <w:t>(Malmio, 2023)</w:t>
      </w:r>
      <w:r w:rsidRPr="00320FE3">
        <w:fldChar w:fldCharType="end"/>
      </w:r>
      <w:r w:rsidRPr="00320FE3">
        <w:t>.</w:t>
      </w:r>
    </w:p>
    <w:p w14:paraId="02C0578D" w14:textId="6F0A3016" w:rsidR="00673AD3" w:rsidRPr="00320FE3" w:rsidRDefault="00DF76B8" w:rsidP="00673AD3">
      <w:pPr>
        <w:pStyle w:val="NormalWeb"/>
        <w:spacing w:before="0" w:beforeAutospacing="0" w:after="0" w:afterAutospacing="0"/>
        <w:ind w:firstLine="720"/>
        <w:jc w:val="both"/>
      </w:pPr>
      <w:r w:rsidRPr="00320FE3">
        <w:t xml:space="preserve">Indonesia has started modernizing its system defense by incorporating advanced technology into its defense strategy. Using technology, cyber security, and intelligence has become more critical to addressing cyber threats </w:t>
      </w:r>
      <w:r w:rsidRPr="00320FE3">
        <w:t xml:space="preserve">and improving the ability to detect threats at maritime </w:t>
      </w:r>
      <w:r w:rsidRPr="00320FE3">
        <w:lastRenderedPageBreak/>
        <w:t>borders. However, the literature also warns that the use of technology in policy defense must consider ethics and the risk of using technology in the military without controlling humans.</w:t>
      </w:r>
    </w:p>
    <w:p w14:paraId="27EB6835" w14:textId="10D910CF" w:rsidR="00673AD3" w:rsidRPr="00320FE3" w:rsidRDefault="00DF76B8" w:rsidP="00673AD3">
      <w:pPr>
        <w:pStyle w:val="NormalWeb"/>
        <w:spacing w:before="0" w:beforeAutospacing="0" w:after="0" w:afterAutospacing="0"/>
        <w:ind w:firstLine="720"/>
        <w:jc w:val="both"/>
      </w:pPr>
      <w:r w:rsidRPr="00320FE3">
        <w:t>Using technol</w:t>
      </w:r>
      <w:r w:rsidRPr="00320FE3">
        <w:t xml:space="preserve">ogy defense approaches, such as weapon autonomy, also raises ethical questions that policy defense must address. In </w:t>
      </w:r>
      <w:r w:rsidRPr="00320FE3">
        <w:rPr>
          <w:rStyle w:val="Emphasis"/>
        </w:rPr>
        <w:t xml:space="preserve">Just and Unjust Wars </w:t>
      </w:r>
      <w:r w:rsidRPr="00320FE3">
        <w:t xml:space="preserve">(1977), Michael Walzer highlights the importance of principles </w:t>
      </w:r>
      <w:r w:rsidRPr="00320FE3">
        <w:rPr>
          <w:rStyle w:val="Emphasis"/>
        </w:rPr>
        <w:t xml:space="preserve">jus ad bellum </w:t>
      </w:r>
      <w:r w:rsidRPr="00320FE3">
        <w:t xml:space="preserve">( justice) in starting a war ) and </w:t>
      </w:r>
      <w:r w:rsidRPr="00320FE3">
        <w:rPr>
          <w:rStyle w:val="Emphasis"/>
        </w:rPr>
        <w:t xml:space="preserve">jus in </w:t>
      </w:r>
      <w:r w:rsidRPr="00320FE3">
        <w:rPr>
          <w:rStyle w:val="Emphasis"/>
        </w:rPr>
        <w:t xml:space="preserve">bello </w:t>
      </w:r>
      <w:r w:rsidRPr="00320FE3">
        <w:t xml:space="preserve">( justice in war ). The involvement of the AU in war shows the etching law of war that was fought long ago. </w:t>
      </w:r>
      <w:r w:rsidRPr="00320FE3">
        <w:fldChar w:fldCharType="begin" w:fldLock="1"/>
      </w:r>
      <w:r w:rsidR="00320FE3" w:rsidRPr="00320FE3">
        <w:instrText>ADDIN CSL_CITATION {"citationItems":[{"id":"ITEM-1","itemData":{"DOI":"10.1080/10357718.2024.2345636","ISSN":"1035-7718","author":[{"dropping-particle":"","family":"Erskine","given":"Toni","non-dropping-particle":"","parse-names":false,"suffix":""}],"container-title":"Australian Journal of International Affairs","id":"ITEM-1","issue":"2","issued":{"date-parts":[["2024","3","3"]]},"note":"doi: 10.1080/10357718.2024.2345636","page":"175-190","publisher":"Routledge","title":"Before algorithmic Armageddon: anticipating immediate risks to restraint when AI infiltrates decisions to wage war","type":"article-journal","volume":"78"},"uris":["http://www.mendeley.com/documents/?uuid=fc55fd8e-b37a-46bf-8675-fa5812fa1859"]}],"mendeley":{"formattedCitation":"(Erskine, 2024)","plainTextFormattedCitation":"(Erskine, 2024)","previouslyFormattedCitation":"(ERSKINE, 2024)"},"properties":{"noteIndex":0},"schema":"https://github.com/citation-style-language/schema/raw/master/csl-citation.json"}</w:instrText>
      </w:r>
      <w:r w:rsidRPr="00320FE3">
        <w:fldChar w:fldCharType="separate"/>
      </w:r>
      <w:r w:rsidR="00320FE3" w:rsidRPr="00320FE3">
        <w:rPr>
          <w:noProof/>
        </w:rPr>
        <w:t>(Erskine, 2024)</w:t>
      </w:r>
      <w:r w:rsidRPr="00320FE3">
        <w:fldChar w:fldCharType="end"/>
      </w:r>
      <w:r w:rsidRPr="00320FE3">
        <w:t>. The principles This helps evaluate whether military action can be justified from a moral viewpoint, including in-context use of technology weapons.</w:t>
      </w:r>
    </w:p>
    <w:p w14:paraId="0D0984A3" w14:textId="008B4CAE" w:rsidR="00673AD3" w:rsidRPr="00320FE3" w:rsidRDefault="00DF76B8" w:rsidP="00673AD3">
      <w:pPr>
        <w:pStyle w:val="NormalWeb"/>
        <w:spacing w:before="0" w:beforeAutospacing="0" w:after="0" w:afterAutospacing="0"/>
        <w:ind w:firstLine="720"/>
        <w:jc w:val="both"/>
      </w:pPr>
      <w:r w:rsidRPr="00320FE3">
        <w:t>In additio</w:t>
      </w:r>
      <w:r w:rsidRPr="00320FE3">
        <w:t xml:space="preserve">n, the literature on philosophical knowledge defense has highlighted the importance of considering ethical principles in policy defense. The use of military strength, especially in the context of operation military international, often faces​ profound </w:t>
      </w:r>
      <w:r w:rsidRPr="00320FE3">
        <w:fldChar w:fldCharType="begin" w:fldLock="1"/>
      </w:r>
      <w:r w:rsidR="00320FE3" w:rsidRPr="00320FE3">
        <w:instrText>ADDIN CSL_CITATION {"citationItems":[{"id":"ITEM-1","itemData":{"DOI":"10.1080/03057240.2015.1087389","ISSN":"14653877","abstract":"Moral competence is important for soldiers who have to deal with complex moral dilemmas in practice. However, openly dealing with moral dilemmas and showing moral competence is not always easy within the culture of a military organization. In this article, based on analysis of experiences during a train the trainer course on military ethics, we will describe the tensions between military and personal values on the one hand and the challenges related to showing moral competence on the other hand. We will explain these tensions and challenges by elaborating on various aspects of the military organization, such as being a soldier, group bonding, uniformity, hierarchy, lack of privacy and masculinity. Furthermore, we will demonstrate how moral competence can be addressed and fostered during the training by introducing specific interventions.","author":[{"dropping-particle":"van","family":"Baarle","given":"Eva","non-dropping-particle":"","parse-names":false,"suffix":""},{"dropping-particle":"","family":"Bosch","given":"Jolanda","non-dropping-particle":"","parse-names":false,"suffix":""},{"dropping-particle":"","family":"Widdershoven","given":"Guy","non-dropping-particle":"","parse-names":false,"suffix":""},{"dropping-particle":"","family":"Verweij","given":"Desiree","non-dropping-particle":"","parse-names":false,"suffix":""},{"dropping-particle":"","family":"Molewijk","given":"Bert","non-dropping-particle":"","parse-names":false,"suffix":""}],"container-title":"Journal of Moral Education","id":"ITEM-1","issue":"4","issued":{"date-parts":[["2015"]]},"page":"457-478","publisher":"Routledge","title":"Moral dilemmas in a military context. A case study of a train the trainer course on military ethics","type":"article-journal","volume":"44"},"uris":["http://www.mendeley.com/documents/?uuid=cf366fff-2a71-4cf6-94ee-457e0b915582"]}],"mendeley":{"formattedCitation":"(Baarle et al., 2015)","plainTextFormattedCitation":"(Baarle et al., 2015)","previouslyFormattedCitation":"(BAARLE et al., 2015)"},"properties":{"noteIndex":0},"schema":"https://github.com/citation-style-language/schema/raw/master/csl-citation.json"}</w:instrText>
      </w:r>
      <w:r w:rsidRPr="00320FE3">
        <w:fldChar w:fldCharType="separate"/>
      </w:r>
      <w:r w:rsidR="00320FE3" w:rsidRPr="00320FE3">
        <w:rPr>
          <w:noProof/>
        </w:rPr>
        <w:t>(Baarle et al., 2015)</w:t>
      </w:r>
      <w:r w:rsidRPr="00320FE3">
        <w:fldChar w:fldCharType="end"/>
      </w:r>
      <w:r w:rsidRPr="00320FE3">
        <w:t>. Policy defense t</w:t>
      </w:r>
      <w:r w:rsidRPr="00320FE3">
        <w:t xml:space="preserve">hat ignores ethics can undermine problem legitimacy and increase collateral risk damage. Therefore, good policy always considers the implications of rotary military action to ensure that actions are proportional and appropriate to principles of the rights </w:t>
      </w:r>
      <w:r w:rsidRPr="00320FE3">
        <w:t>of men (human</w:t>
      </w:r>
      <w:r w:rsidRPr="00320FE3">
        <w:fldChar w:fldCharType="begin" w:fldLock="1"/>
      </w:r>
      <w:r w:rsidR="00320FE3" w:rsidRPr="00320FE3">
        <w:instrText>ADDIN CSL_CITATION {"citationItems":[{"id":"ITEM-1","itemData":{"DOI":"10.1080/13533312.2024.2305901","ISSN":"1743906X","abstract":"Identifying peacekeeping as practical ethics helps analyze how the problems of existing approaches to military ethical training led to practical problems of standard setting. This article illustrates the value of understanding ethics as a theoretical framework to confront and prepare for moral practice. Pointing out the problems in terms of how military ethics ascertain the nature of ethics, the field of military ethics frames problems in ways that undermine standard settings for moral practice. Specifying these problems complements established theoretical inputs and helps peacekeepers better adjust to the moral choices and dilemmas ahead. This is particularly because military ethical training is also about coming to terms with society’s moral standards and demands that led to peacekeeping and peacebuilding missions in the first place. The article illustrates the advantages and disadvantages of this approach to military ethical training with the example of Austrian peacekeeper ethical training.","author":[{"dropping-particle":"","family":"Troy","given":"Jodok","non-dropping-particle":"","parse-names":false,"suffix":""}],"container-title":"International Peacekeeping","id":"ITEM-1","issue":"3","issued":{"date-parts":[["2024"]]},"page":"309-331","title":"Ethics as Moral Practice in Peacekeeping Missions: Insights on the Importance of Ethical Training","type":"article-journal","volume":"31"},"uris":["http://www.mendeley.com/documents/?uuid=1bd3d7d8-3ced-4c65-bc11-0290deb8ca56"]}],"mendeley":{"formattedCitation":"(Troy, 2024)","plainTextFormattedCitation":"(Troy, 2024)","previouslyFormattedCitation":"(TROY, 2024)"},"properties":{"noteIndex":0},"schema":"https://github.com/citation-style-language/schema/raw/master/csl-citation.json"}</w:instrText>
      </w:r>
      <w:r w:rsidRPr="00320FE3">
        <w:fldChar w:fldCharType="separate"/>
      </w:r>
      <w:r w:rsidR="00320FE3" w:rsidRPr="00320FE3">
        <w:rPr>
          <w:noProof/>
        </w:rPr>
        <w:t>(Troy, 2024)</w:t>
      </w:r>
      <w:r w:rsidRPr="00320FE3">
        <w:fldChar w:fldCharType="end"/>
      </w:r>
      <w:r w:rsidRPr="00320FE3">
        <w:t>.</w:t>
      </w:r>
    </w:p>
    <w:p w14:paraId="4132215B" w14:textId="1CF2B0CD" w:rsidR="00673AD3" w:rsidRPr="00320FE3" w:rsidRDefault="00DF76B8" w:rsidP="00673AD3">
      <w:pPr>
        <w:pStyle w:val="NormalWeb"/>
        <w:spacing w:before="0" w:beforeAutospacing="0" w:after="0" w:afterAutospacing="0"/>
        <w:ind w:firstLine="720"/>
        <w:jc w:val="both"/>
      </w:pPr>
      <w:r w:rsidRPr="00320FE3">
        <w:t>The literature concludes that the philosophy of knowledge defense offers various perspectives for understanding complex policy de</w:t>
      </w:r>
      <w:r w:rsidRPr="00320FE3">
        <w:t>fense in the modern era. Positivism, constructivism, and postmodernism provide outlooks on developing and implementing policy defense. However, nontraditional threats and technological developments add a layer of complexity to policy defense. With this mul</w:t>
      </w:r>
      <w:r w:rsidRPr="00320FE3">
        <w:t>tidisciplinary approach, the literature has demonstrated that effective policy defense​ must integrate technical, social, and ethical aspects in response to threats that increase global security.</w:t>
      </w:r>
    </w:p>
    <w:p w14:paraId="3B36661E" w14:textId="77777777" w:rsidR="00673AD3" w:rsidRPr="00320FE3" w:rsidRDefault="00673AD3" w:rsidP="00673AD3">
      <w:pPr>
        <w:pStyle w:val="NormalWeb"/>
        <w:spacing w:before="0" w:beforeAutospacing="0" w:after="0" w:afterAutospacing="0"/>
        <w:ind w:firstLine="720"/>
        <w:jc w:val="both"/>
        <w:rPr>
          <w:b/>
          <w:bCs/>
        </w:rPr>
      </w:pPr>
    </w:p>
    <w:p w14:paraId="30F8605F" w14:textId="60CEE81B" w:rsidR="00673AD3" w:rsidRPr="00320FE3" w:rsidRDefault="00DF76B8" w:rsidP="00673AD3">
      <w:pPr>
        <w:pStyle w:val="NormalWeb"/>
        <w:spacing w:before="0" w:beforeAutospacing="0" w:after="0" w:afterAutospacing="0"/>
        <w:jc w:val="both"/>
        <w:rPr>
          <w:b/>
          <w:bCs/>
        </w:rPr>
      </w:pPr>
      <w:r w:rsidRPr="00320FE3">
        <w:rPr>
          <w:b/>
          <w:bCs/>
        </w:rPr>
        <w:t>RESEARCH METHODS</w:t>
      </w:r>
    </w:p>
    <w:p w14:paraId="4395DD53" w14:textId="6D03B900"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 xml:space="preserve">Research methods This approach was based on a method review literature, which was implemented following PRISMA </w:t>
      </w:r>
      <w:r w:rsidRPr="00320FE3">
        <w:rPr>
          <w:rFonts w:ascii="Times New Roman" w:eastAsia="Times New Roman" w:hAnsi="Times New Roman" w:cs="Times New Roman"/>
          <w:sz w:val="24"/>
          <w:szCs w:val="24"/>
        </w:rPr>
        <w:fldChar w:fldCharType="begin" w:fldLock="1"/>
      </w:r>
      <w:r w:rsidR="00320FE3" w:rsidRPr="00320FE3">
        <w:rPr>
          <w:rFonts w:ascii="Times New Roman" w:eastAsia="Times New Roman" w:hAnsi="Times New Roman" w:cs="Times New Roman"/>
          <w:sz w:val="24"/>
          <w:szCs w:val="24"/>
        </w:rPr>
        <w:instrText>ADDIN CSL_CITATION {"citationItems":[{"id":"ITEM-1","itemData":{"DOI":"10.1007/s10639-024-12463-y","ISBN":"0123456789","ISSN":"15737608","abstract":"An individual competence is one of the main human resources, which enables a person to operate in everyday life. A competence profile, formally captured and described as a structured model, may enable various operations, e.g., a more precise evaluation and closure of a training gap. Such application scenarios supported by information systems are particularly compelling for the era of digitalisation, although research on adequate models capturing competence profiles is still lacking; moreover, no research was revealed synthesizing models of competence, enabling operationalisation possibilities. To fulfil this gap, current research develops a classification of competence models in the form of taxonomy, derived from operational characteristics of competence constructs. Given conceptual fuzziness of the competence term and complex, interdisciplinary scope of the study, the research method follows integrative literature review principles: results of an extensive search conducted in three iterations were critically analysed and further synthesized in the form of taxonomy. This critical analysis was performed based on an overview of twenty-four competence models with a lens of working definitions of competence framework and model concepts. As a result, all three outcomes highlight the power of competence models: (1) the overview summarises models’ development methods, operationalisation, and purposes in a specific application domain, while (2) working definitions and (3) the taxonomy aim at overcoming a conceptual ambiguity of competence concepts. In addition, the presented taxonomy may serve as a knowledge base or a decision support tool on competence model selection when it comes to development of a competence management tool.","author":[{"dropping-particle":"","family":"Mikhridinova","given":"Nargiza","non-dropping-particle":"","parse-names":false,"suffix":""},{"dropping-particle":"","family":"Wolff","given":"Carsten","non-dropping-particle":"","parse-names":false,"suffix":""},{"dropping-particle":"","family":"Petegem","given":"Wim","non-dropping-particle":"Van","parse-names":false,"suffix":""}],"container-title":"Education and Information Technologies","id":"ITEM-1","issue":"0123456789","issued":{"date-parts":[["2024"]]},"publisher":"Springer US","title":"Taxonomy of competence models based on an integrative literature review","type":"book"},"uris":["http://www.mendeley.com/documents/?uuid=a24605a7-e0ec-4278-9c94-f136c67c4725"]}],"mendeley":{"formattedCitation":"(Mikhridinova et al., 2024)","plainTextFormattedCitation":"(Mikhridinova et al., 2024)","previouslyFormattedCitation":"(MIKHRIDINOVA; WOLFF; VAN PETEGEM, 2024)"},"properties":{"noteIndex":0},"schema":"https://github.com/citation-style-language/schema/raw/master/csl-citation.json"}</w:instrText>
      </w:r>
      <w:r w:rsidRPr="00320FE3">
        <w:rPr>
          <w:rFonts w:ascii="Times New Roman" w:eastAsia="Times New Roman" w:hAnsi="Times New Roman" w:cs="Times New Roman"/>
          <w:sz w:val="24"/>
          <w:szCs w:val="24"/>
        </w:rPr>
        <w:fldChar w:fldCharType="separate"/>
      </w:r>
      <w:r w:rsidR="00320FE3" w:rsidRPr="00320FE3">
        <w:rPr>
          <w:rFonts w:ascii="Times New Roman" w:eastAsia="Times New Roman" w:hAnsi="Times New Roman" w:cs="Times New Roman"/>
          <w:noProof/>
          <w:sz w:val="24"/>
          <w:szCs w:val="24"/>
        </w:rPr>
        <w:t>(Mikhridinova et al., 2024)</w:t>
      </w:r>
      <w:r w:rsidRPr="00320FE3">
        <w:rPr>
          <w:rFonts w:ascii="Times New Roman" w:eastAsia="Times New Roman" w:hAnsi="Times New Roman" w:cs="Times New Roman"/>
          <w:sz w:val="24"/>
          <w:szCs w:val="24"/>
        </w:rPr>
        <w:fldChar w:fldCharType="end"/>
      </w:r>
      <w:r w:rsidRPr="00320FE3">
        <w:rPr>
          <w:rFonts w:ascii="Times New Roman" w:eastAsia="Times New Roman" w:hAnsi="Times New Roman" w:cs="Times New Roman"/>
          <w:sz w:val="24"/>
          <w:szCs w:val="24"/>
        </w:rPr>
        <w:t xml:space="preserve">. This method allows the merger of various literature sources in a manner critical to forming a newer framework ​ deeply related to development policy, national defense, and security based on philosophy and science. Approach This approach was chosen to </w:t>
      </w:r>
      <w:r w:rsidRPr="00320FE3">
        <w:rPr>
          <w:rFonts w:ascii="Times New Roman" w:eastAsia="Times New Roman" w:hAnsi="Times New Roman" w:cs="Times New Roman"/>
          <w:sz w:val="24"/>
          <w:szCs w:val="24"/>
        </w:rPr>
        <w:t>analyze and integrate various paradigm philosophies in policy defense, such as positivism, constructivism, and postmodernism, to achieve comprehensive and operational understanding.​</w:t>
      </w:r>
    </w:p>
    <w:p w14:paraId="6758978F" w14:textId="47853A9E"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Research data This includes primary and secondary data. Primary data incl</w:t>
      </w:r>
      <w:r w:rsidRPr="00320FE3">
        <w:rPr>
          <w:rFonts w:ascii="Times New Roman" w:eastAsia="Times New Roman" w:hAnsi="Times New Roman" w:cs="Times New Roman"/>
          <w:sz w:val="24"/>
          <w:szCs w:val="24"/>
        </w:rPr>
        <w:t>ude documents officially published by the Indonesian government and several other countries, such as the Defense White Paper and Plan Strategic Defense. Secondary data comprise academic literature, including articles, journals, books, papers, and conferenc</w:t>
      </w:r>
      <w:r w:rsidRPr="00320FE3">
        <w:rPr>
          <w:rFonts w:ascii="Times New Roman" w:eastAsia="Times New Roman" w:hAnsi="Times New Roman" w:cs="Times New Roman"/>
          <w:sz w:val="24"/>
          <w:szCs w:val="24"/>
        </w:rPr>
        <w:t>es related to philosophy, science, policy defense, and issues related to nontraditional security, such as cyber security and terrorism. The literature ​ covers theories from philosophers such as Michel Foucault and Alexander Wendt and studies from research</w:t>
      </w:r>
      <w:r w:rsidRPr="00320FE3">
        <w:rPr>
          <w:rFonts w:ascii="Times New Roman" w:eastAsia="Times New Roman" w:hAnsi="Times New Roman" w:cs="Times New Roman"/>
          <w:sz w:val="24"/>
          <w:szCs w:val="24"/>
        </w:rPr>
        <w:t>ers​ of contemporary dynamics policy for global defense.</w:t>
      </w:r>
    </w:p>
    <w:p w14:paraId="4CBB440E" w14:textId="683D3B1F"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The literature search was performed systematically using central databases, such as Scopus and Web of Science. Retrieved articles​ ranging from the period 2017-2022, with keywords like " philosophy k</w:t>
      </w:r>
      <w:r w:rsidRPr="00320FE3">
        <w:rPr>
          <w:rFonts w:ascii="Times New Roman" w:eastAsia="Times New Roman" w:hAnsi="Times New Roman" w:cs="Times New Roman"/>
          <w:sz w:val="24"/>
          <w:szCs w:val="24"/>
        </w:rPr>
        <w:t>nowledge defense," " paradigm philosophical," and " policy " defense." All results were searched and then filtered using the PRISMA principle to ensure that selected articles​ fulfill the criteria of strict inclusion, such as relevance-appropriate topics a</w:t>
      </w:r>
      <w:r w:rsidRPr="00320FE3">
        <w:rPr>
          <w:rFonts w:ascii="Times New Roman" w:eastAsia="Times New Roman" w:hAnsi="Times New Roman" w:cs="Times New Roman"/>
          <w:sz w:val="24"/>
          <w:szCs w:val="24"/>
        </w:rPr>
        <w:t xml:space="preserve">nd methodologies​ </w:t>
      </w:r>
      <w:r w:rsidRPr="00320FE3">
        <w:rPr>
          <w:rFonts w:ascii="Times New Roman" w:eastAsia="Times New Roman" w:hAnsi="Times New Roman" w:cs="Times New Roman"/>
          <w:sz w:val="24"/>
          <w:szCs w:val="24"/>
        </w:rPr>
        <w:fldChar w:fldCharType="begin" w:fldLock="1"/>
      </w:r>
      <w:r w:rsidR="00320FE3" w:rsidRPr="00320FE3">
        <w:rPr>
          <w:rFonts w:ascii="Times New Roman" w:eastAsia="Times New Roman" w:hAnsi="Times New Roman" w:cs="Times New Roman"/>
          <w:sz w:val="24"/>
          <w:szCs w:val="24"/>
        </w:rPr>
        <w:instrText>ADDIN CSL_CITATION {"citationItems":[{"id":"ITEM-1","itemData":{"DOI":"10.1186/s43093-024-00326-4","ISSN":"2314-7210","abstract":"This study aims to develop a systematic review of the influence of Service Quality and Perceived Value on Satisfaction and Intention to Continue the Relationship from an international and empirical perspective. The Preferred Reporting Items for Systematic Reviews and Meta-analyzes (PRISMA) is used as a guideline for systematic literature review to collect data. The selected journal timeframe is from 2008 to 2024, with 22 chosen articles meeting the criteria. Analysis of the selected primary studies reveals that the concepts of Service Quality and Perceived Value can be associated with Satisfaction and Intention to Continue the Relationship. However, an inconsistency was found that there was a significant and insignificant relationship between Perceived Value and Intention to Continue the Relationship, indicating the need for further development to be scientifically verified and to serve as a gap and reference for future researchers to investigate in different research settings. Novelty: Studies related to Intention to Continue the Relationship measured based on Service Quality, Perceived Value, and Satisfaction have been limited. Additionally, this study attempts to develop a more comprehensive concept or model of Intention to Continue the Relationship involving Service Quality, Perceived Value, and Satisfaction.","author":[{"dropping-particle":"","family":"Tedja","given":"Budiarto","non-dropping-particle":"","parse-names":false,"suffix":""},{"dropping-particle":"","family":"Musadieq","given":"Mochammad","non-dropping-particle":"Al","parse-names":false,"suffix":""},{"dropping-particle":"","family":"Kusumawati","given":"Andriani","non-dropping-particle":"","parse-names":false,"suffix":""},{"dropping-particle":"","family":"Yulianto","given":"Edy","non-dropping-particle":"","parse-names":false,"suffix":""}],"container-title":"Future Business Journal","id":"ITEM-1","issue":"1","issued":{"date-parts":[["2024"]]},"publisher":"Springer Berlin Heidelberg","title":"Systematic literature review using PRISMA: exploring the influence of service quality and perceived value on satisfaction and intention to continue relationship","type":"article-journal","volume":"10"},"uris":["http://www.mendeley.com/documents/?uuid=10de4a18-b3e7-4158-9782-640c3e0cbf32"]}],"mendeley":{"formattedCitation":"(Tedja et al., 2024)","plainTextFormattedCitation":"(Tedja et al., 2024)","previouslyFormattedCitation":"(TEDJA et al., 2024)"},"properties":{"noteIndex":0},"schema":"https://github.com/citation-style-language/schema/raw/master/csl-citation.json"}</w:instrText>
      </w:r>
      <w:r w:rsidRPr="00320FE3">
        <w:rPr>
          <w:rFonts w:ascii="Times New Roman" w:eastAsia="Times New Roman" w:hAnsi="Times New Roman" w:cs="Times New Roman"/>
          <w:sz w:val="24"/>
          <w:szCs w:val="24"/>
        </w:rPr>
        <w:fldChar w:fldCharType="separate"/>
      </w:r>
      <w:r w:rsidR="00320FE3" w:rsidRPr="00320FE3">
        <w:rPr>
          <w:rFonts w:ascii="Times New Roman" w:eastAsia="Times New Roman" w:hAnsi="Times New Roman" w:cs="Times New Roman"/>
          <w:noProof/>
          <w:sz w:val="24"/>
          <w:szCs w:val="24"/>
        </w:rPr>
        <w:t>(Tedja et al., 2024)</w:t>
      </w:r>
      <w:r w:rsidRPr="00320FE3">
        <w:rPr>
          <w:rFonts w:ascii="Times New Roman" w:eastAsia="Times New Roman" w:hAnsi="Times New Roman" w:cs="Times New Roman"/>
          <w:sz w:val="24"/>
          <w:szCs w:val="24"/>
        </w:rPr>
        <w:fldChar w:fldCharType="end"/>
      </w:r>
    </w:p>
    <w:p w14:paraId="472EB7A2" w14:textId="6708CC60"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Data analysis was performed in two stages: descriptive and critical stages. At th</w:t>
      </w:r>
      <w:r w:rsidRPr="00320FE3">
        <w:rPr>
          <w:rFonts w:ascii="Times New Roman" w:eastAsia="Times New Roman" w:hAnsi="Times New Roman" w:cs="Times New Roman"/>
          <w:sz w:val="24"/>
          <w:szCs w:val="24"/>
        </w:rPr>
        <w:t xml:space="preserve">e stage of analysis, descriptive research maps policy defense from several countries and categorizes them </w:t>
      </w:r>
      <w:r w:rsidRPr="00320FE3">
        <w:rPr>
          <w:rFonts w:ascii="Times New Roman" w:eastAsia="Times New Roman" w:hAnsi="Times New Roman" w:cs="Times New Roman"/>
          <w:sz w:val="24"/>
          <w:szCs w:val="24"/>
        </w:rPr>
        <w:lastRenderedPageBreak/>
        <w:t>based on a philosophy such as positivism, constructivism, and postmodernism. Furthermore, analysis is critical for identifying key policy defense elem</w:t>
      </w:r>
      <w:r w:rsidRPr="00320FE3">
        <w:rPr>
          <w:rFonts w:ascii="Times New Roman" w:eastAsia="Times New Roman" w:hAnsi="Times New Roman" w:cs="Times New Roman"/>
          <w:sz w:val="24"/>
          <w:szCs w:val="24"/>
        </w:rPr>
        <w:t xml:space="preserve">ents and operationalizing them in the context of global and nontraditional threats. Framework competency model taxonomy is also used to analyze How theory can be integrated into practice policy defense </w:t>
      </w:r>
      <w:r w:rsidRPr="00320FE3">
        <w:rPr>
          <w:rFonts w:ascii="Times New Roman" w:eastAsia="Times New Roman" w:hAnsi="Times New Roman" w:cs="Times New Roman"/>
          <w:sz w:val="24"/>
          <w:szCs w:val="24"/>
        </w:rPr>
        <w:fldChar w:fldCharType="begin" w:fldLock="1"/>
      </w:r>
      <w:r w:rsidR="00320FE3" w:rsidRPr="00320FE3">
        <w:rPr>
          <w:rFonts w:ascii="Times New Roman" w:eastAsia="Times New Roman" w:hAnsi="Times New Roman" w:cs="Times New Roman"/>
          <w:sz w:val="24"/>
          <w:szCs w:val="24"/>
        </w:rPr>
        <w:instrText>ADDIN CSL_CITATION {"citationItems":[{"id":"ITEM-1","itemData":{"DOI":"10.1186/s13643-021-01671-z","ISBN":"1364302101","ISSN":"20464053","PMID":"33875004","author":[{"dropping-particle":"","family":"Sarkis-Onofre","given":"Rafael","non-dropping-particle":"","parse-names":false,"suffix":""},{"dropping-particle":"","family":"Catalá-López","given":"Ferrán","non-dropping-particle":"","parse-names":false,"suffix":""},{"dropping-particle":"","family":"Aromataris","given":"Edoardo","non-dropping-particle":"","parse-names":false,"suffix":""},{"dropping-particle":"","family":"Lockwood","given":"Craig","non-dropping-particle":"","parse-names":false,"suffix":""}],"container-title":"Systematic Reviews","id":"ITEM-1","issue":"1","issued":{"date-parts":[["2021"]]},"page":"13-15","publisher":"Systematic Reviews","title":"How to properly use the PRISMA Statement","type":"article-journal","volume":"10"},"uris":["http://www.mendeley.com/documents/?uuid=6cd1476c-5dfe-4f7b-a075-2d0c2c05c0f4"]}],"mendeley":{"formattedCitation":"(Sarkis-Onofre et al., 2021)","plainTextFormattedCitation":"(Sarkis-Onofre et al., 2021)","previouslyFormattedCitation":"(SARKIS-ONOFRE et al., 2021)"},"properties":{"noteIndex":0},"schema":"https://github.com/citation-style-language/schema/raw/master/csl-citation.json"}</w:instrText>
      </w:r>
      <w:r w:rsidRPr="00320FE3">
        <w:rPr>
          <w:rFonts w:ascii="Times New Roman" w:eastAsia="Times New Roman" w:hAnsi="Times New Roman" w:cs="Times New Roman"/>
          <w:sz w:val="24"/>
          <w:szCs w:val="24"/>
        </w:rPr>
        <w:fldChar w:fldCharType="separate"/>
      </w:r>
      <w:r w:rsidR="00320FE3" w:rsidRPr="00320FE3">
        <w:rPr>
          <w:rFonts w:ascii="Times New Roman" w:eastAsia="Times New Roman" w:hAnsi="Times New Roman" w:cs="Times New Roman"/>
          <w:noProof/>
          <w:sz w:val="24"/>
          <w:szCs w:val="24"/>
        </w:rPr>
        <w:t>(Sarkis-Onofre et al., 2021)</w:t>
      </w:r>
      <w:r w:rsidRPr="00320FE3">
        <w:rPr>
          <w:rFonts w:ascii="Times New Roman" w:eastAsia="Times New Roman" w:hAnsi="Times New Roman" w:cs="Times New Roman"/>
          <w:sz w:val="24"/>
          <w:szCs w:val="24"/>
        </w:rPr>
        <w:fldChar w:fldCharType="end"/>
      </w:r>
      <w:r w:rsidRPr="00320FE3">
        <w:rPr>
          <w:rFonts w:ascii="Times New Roman" w:eastAsia="Times New Roman" w:hAnsi="Times New Roman" w:cs="Times New Roman"/>
          <w:sz w:val="24"/>
          <w:szCs w:val="24"/>
        </w:rPr>
        <w:t>.</w:t>
      </w:r>
    </w:p>
    <w:p w14:paraId="6647A6EE" w14:textId="0A98FC73"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A valid</w:t>
      </w:r>
      <w:r w:rsidRPr="00320FE3">
        <w:rPr>
          <w:rFonts w:ascii="Times New Roman" w:eastAsia="Times New Roman" w:hAnsi="Times New Roman" w:cs="Times New Roman"/>
          <w:sz w:val="24"/>
          <w:szCs w:val="24"/>
        </w:rPr>
        <w:t>ity study is guaranteed by applying data triangulation, which compares primary and secondary data from various credible sources. ​ A comparative approach is also used to evaluate the differences between Indonesia’s and other countries’ policy defense to be</w:t>
      </w:r>
      <w:r w:rsidRPr="00320FE3">
        <w:rPr>
          <w:rFonts w:ascii="Times New Roman" w:eastAsia="Times New Roman" w:hAnsi="Times New Roman" w:cs="Times New Roman"/>
          <w:sz w:val="24"/>
          <w:szCs w:val="24"/>
        </w:rPr>
        <w:t xml:space="preserve">tter understand the global impact on national policy defense. The PRISMA principle also ensures transparency in reporting, including using the PRISMA flowchart mapping article selection process article from search until inclusion end </w:t>
      </w:r>
      <w:r w:rsidRPr="00320FE3">
        <w:rPr>
          <w:rFonts w:ascii="Times New Roman" w:eastAsia="Times New Roman" w:hAnsi="Times New Roman" w:cs="Times New Roman"/>
          <w:sz w:val="24"/>
          <w:szCs w:val="24"/>
        </w:rPr>
        <w:fldChar w:fldCharType="begin" w:fldLock="1"/>
      </w:r>
      <w:r w:rsidR="00320FE3" w:rsidRPr="00320FE3">
        <w:rPr>
          <w:rFonts w:ascii="Times New Roman" w:eastAsia="Times New Roman" w:hAnsi="Times New Roman" w:cs="Times New Roman"/>
          <w:sz w:val="24"/>
          <w:szCs w:val="24"/>
        </w:rPr>
        <w:instrText>ADDIN CSL_CITATION {"citationItems":[{"id":"ITEM-1","itemData":{"DOI":"10.1371/JOURNAL.PMED.1003583","ISBN":"1111111111","ISSN":"15491676","PMID":"33780438","abstract":"The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reviews.","author":[{"dropping-particle":"","family":"Page","given":"Matthew J.","non-dropping-particle":"","parse-names":false,"suffix":""},{"dropping-particle":"","family":"McKenzie","given":"Joanne E.","non-dropping-particle":"","parse-names":false,"suffix":""},{"dropping-particle":"","family":"Bossuyt","given":"Patrick M.","non-dropping-particle":"","parse-names":false,"suffix":""},{"dropping-particle":"","family":"Boutron","given":"Isabelle","non-dropping-particle":"","parse-names":false,"suffix":""},{"dropping-particle":"","family":"Hoffmann","given":"Tammy C.","non-dropping-particle":"","parse-names":false,"suffix":""},{"dropping-particle":"","family":"Mulrow","given":"Cynthia D.","non-dropping-particle":"","parse-names":false,"suffix":""},{"dropping-particle":"","family":"Shamseer","given":"Larissa","non-dropping-particle":"","parse-names":false,"suffix":""},{"dropping-particle":"","family":"Tetzlaff","given":"Jennifer M.","non-dropping-particle":"","parse-names":false,"suffix":""},{"dropping-particle":"","family":"Akl","given":"Elie A.","non-dropping-particle":"","parse-names":false,"suffix":""},{"dropping-particle":"","family":"Brennan","given":"Sue E.","non-dropping-particle":"","parse-names":false,"suffix":""},{"dropping-particle":"","family":"Chou","given":"Roger","non-dropping-particle":"","parse-names":false,"suffix":""},{"dropping-particle":"","family":"Glanville","given":"Julie","non-dropping-particle":"","parse-names":false,"suffix":""},{"dropping-particle":"","family":"Grimshaw","given":"Jeremy M.","non-dropping-particle":"","parse-names":false,"suffix":""},{"dropping-particle":"","family":"Hróbjartsson","given":"Asbjørn","non-dropping-particle":"","parse-names":false,"suffix":""},{"dropping-particle":"","family":"Lalu","given":"Manoj M.","non-dropping-particle":"","parse-names":false,"suffix":""},{"dropping-particle":"","family":"Li","given":"Tianjing","non-dropping-particle":"","parse-names":false,"suffix":""},{"dropping-particle":"","family":"Loder","given":"Elizabeth W.","non-dropping-particle":"","parse-names":false,"suffix":""},{"dropping-particle":"","family":"Mayo-Wilson","given":"Evan","non-dropping-particle":"","parse-names":false,"suffix":""},{"dropping-particle":"","family":"McDonald","given":"Steve","non-dropping-particle":"","parse-names":false,"suffix":""},{"dropping-particle":"","family":"McGuinness","given":"Luke A.","non-dropping-particle":"","parse-names":false,"suffix":""},{"dropping-particle":"","family":"Stewart","given":"Lesley A.","non-dropping-particle":"","parse-names":false,"suffix":""},{"dropping-particle":"","family":"Thomas","given":"James","non-dropping-particle":"","parse-names":false,"suffix":""},{"dropping-particle":"","family":"Tricco","given":"Andrea C.","non-dropping-particle":"","parse-names":false,"suffix":""},{"dropping-particle":"","family":"Welch","given":"Vivian A.","non-dropping-particle":"","parse-names":false,"suffix":""},{"dropping-particle":"","family":"Whiting","given":"Penny","non-dropping-particle":"","parse-names":false,"suffix":""},{"dropping-particle":"","family":"Moher","given":"David","non-dropping-particle":"","parse-names":false,"suffix":""}],"container-title":"PLoS Medicine","id":"ITEM-1","issue":"3","issued":{"date-parts":[["2021"]]},"page":"1-15","title":"The PRISMA 2020 statement: An updated guideline for reporting systematic reviews","type":"article-journal","volume":"18"},"uris":["http://www.mendeley.com/documents/?uuid=4fa07567-30bb-43c9-bb0d-691ca89d6b94"]}],"mendeley":{"formattedCitation":"(Page et al., 2021)","plainTextFormattedCitation":"(Page et al., 2021)","previouslyFormattedCitation":"(PAGE et al., 2021)"},"properties":{"noteIndex":0},"schema":"https://github.com/citation-style-language/schema/raw/master/csl-citation.json"}</w:instrText>
      </w:r>
      <w:r w:rsidRPr="00320FE3">
        <w:rPr>
          <w:rFonts w:ascii="Times New Roman" w:eastAsia="Times New Roman" w:hAnsi="Times New Roman" w:cs="Times New Roman"/>
          <w:sz w:val="24"/>
          <w:szCs w:val="24"/>
        </w:rPr>
        <w:fldChar w:fldCharType="separate"/>
      </w:r>
      <w:r w:rsidR="00320FE3" w:rsidRPr="00320FE3">
        <w:rPr>
          <w:rFonts w:ascii="Times New Roman" w:eastAsia="Times New Roman" w:hAnsi="Times New Roman" w:cs="Times New Roman"/>
          <w:noProof/>
          <w:sz w:val="24"/>
          <w:szCs w:val="24"/>
        </w:rPr>
        <w:t>(Page et al., 2021)</w:t>
      </w:r>
      <w:r w:rsidRPr="00320FE3">
        <w:rPr>
          <w:rFonts w:ascii="Times New Roman" w:eastAsia="Times New Roman" w:hAnsi="Times New Roman" w:cs="Times New Roman"/>
          <w:sz w:val="24"/>
          <w:szCs w:val="24"/>
        </w:rPr>
        <w:fldChar w:fldCharType="end"/>
      </w:r>
      <w:r w:rsidRPr="00320FE3">
        <w:rPr>
          <w:rFonts w:ascii="Times New Roman" w:eastAsia="Times New Roman" w:hAnsi="Times New Roman" w:cs="Times New Roman"/>
          <w:sz w:val="24"/>
          <w:szCs w:val="24"/>
        </w:rPr>
        <w:t>. The proposed method is expected to be stu</w:t>
      </w:r>
      <w:r w:rsidRPr="00320FE3">
        <w:rPr>
          <w:rFonts w:ascii="Times New Roman" w:eastAsia="Times New Roman" w:hAnsi="Times New Roman" w:cs="Times New Roman"/>
          <w:sz w:val="24"/>
          <w:szCs w:val="24"/>
        </w:rPr>
        <w:t>died. This can contribute significantly to understanding How philosophical knowledge defense can operationalize in policy national defense and security​ more effectively and efficiently.</w:t>
      </w:r>
    </w:p>
    <w:p w14:paraId="3532AC86" w14:textId="77777777" w:rsidR="00076175" w:rsidRPr="00320FE3" w:rsidRDefault="00076175" w:rsidP="00673AD3">
      <w:pPr>
        <w:pStyle w:val="NormalWeb"/>
        <w:spacing w:before="0" w:beforeAutospacing="0" w:after="0" w:afterAutospacing="0"/>
        <w:jc w:val="both"/>
        <w:rPr>
          <w:rStyle w:val="Strong"/>
          <w:rFonts w:eastAsiaTheme="minorEastAsia"/>
        </w:rPr>
      </w:pPr>
    </w:p>
    <w:p w14:paraId="65DBD392" w14:textId="3587E7B8" w:rsidR="00673AD3" w:rsidRPr="00320FE3" w:rsidRDefault="00DF76B8" w:rsidP="00673AD3">
      <w:pPr>
        <w:pStyle w:val="NormalWeb"/>
        <w:spacing w:before="0" w:beforeAutospacing="0" w:after="0" w:afterAutospacing="0"/>
        <w:jc w:val="both"/>
      </w:pPr>
      <w:r w:rsidRPr="00320FE3">
        <w:rPr>
          <w:rStyle w:val="Strong"/>
          <w:rFonts w:eastAsiaTheme="minorEastAsia"/>
        </w:rPr>
        <w:t>RESEARCH RESULTS AND DISCUSSION</w:t>
      </w:r>
    </w:p>
    <w:p w14:paraId="3D508372" w14:textId="48460C1B" w:rsidR="00673AD3" w:rsidRPr="00320FE3" w:rsidRDefault="00DF76B8" w:rsidP="00673AD3">
      <w:pPr>
        <w:pStyle w:val="NormalWeb"/>
        <w:spacing w:before="0" w:beforeAutospacing="0" w:after="0" w:afterAutospacing="0"/>
        <w:ind w:firstLine="720"/>
        <w:jc w:val="both"/>
      </w:pPr>
      <w:r w:rsidRPr="00320FE3">
        <w:t>This study aims to investigate the r</w:t>
      </w:r>
      <w:r w:rsidRPr="00320FE3">
        <w:t>ole of philosophical knowledge in forming Indonesian defense policy, with an implementation-focused approach to various paradigms—positivism, constructivism, and postmodernism—in facing increasing global challenges. The study also compares Indonesia’s defe</w:t>
      </w:r>
      <w:r w:rsidRPr="00320FE3">
        <w:t>nse policy with those of other countries to obtain more insight​ .</w:t>
      </w:r>
    </w:p>
    <w:p w14:paraId="54CF8C79" w14:textId="77777777" w:rsidR="00673AD3" w:rsidRPr="00320FE3" w:rsidRDefault="00673AD3" w:rsidP="00673AD3">
      <w:pPr>
        <w:pStyle w:val="NormalWeb"/>
        <w:spacing w:before="0" w:beforeAutospacing="0" w:after="0" w:afterAutospacing="0"/>
        <w:ind w:firstLine="720"/>
        <w:jc w:val="both"/>
      </w:pPr>
    </w:p>
    <w:p w14:paraId="394CD28D" w14:textId="4F98BAE1" w:rsidR="00673AD3" w:rsidRPr="00320FE3" w:rsidRDefault="00DF76B8" w:rsidP="00076175">
      <w:pPr>
        <w:pStyle w:val="Heading3"/>
        <w:spacing w:before="0"/>
        <w:ind w:firstLine="0"/>
        <w:jc w:val="both"/>
        <w:rPr>
          <w:rFonts w:ascii="Times New Roman" w:hAnsi="Times New Roman" w:cs="Times New Roman"/>
          <w:b/>
          <w:bCs/>
          <w:sz w:val="24"/>
          <w:szCs w:val="24"/>
        </w:rPr>
      </w:pPr>
      <w:r w:rsidRPr="00320FE3">
        <w:rPr>
          <w:rFonts w:ascii="Times New Roman" w:hAnsi="Times New Roman" w:cs="Times New Roman"/>
          <w:b/>
          <w:bCs/>
          <w:sz w:val="24"/>
          <w:szCs w:val="24"/>
        </w:rPr>
        <w:t xml:space="preserve">1. </w:t>
      </w:r>
      <w:r w:rsidR="004E38AB" w:rsidRPr="00320FE3">
        <w:rPr>
          <w:rFonts w:ascii="Times New Roman" w:hAnsi="Times New Roman" w:cs="Times New Roman"/>
          <w:b/>
          <w:bCs/>
          <w:sz w:val="24"/>
          <w:szCs w:val="24"/>
        </w:rPr>
        <w:t>Positivism in Indonesian Defense Policy</w:t>
      </w:r>
    </w:p>
    <w:p w14:paraId="533647D5" w14:textId="5A4D1819" w:rsidR="00673AD3" w:rsidRPr="00320FE3" w:rsidRDefault="00DF76B8" w:rsidP="00673AD3">
      <w:pPr>
        <w:pStyle w:val="NormalWeb"/>
        <w:spacing w:before="0" w:beforeAutospacing="0" w:after="0" w:afterAutospacing="0"/>
        <w:ind w:firstLine="720"/>
        <w:jc w:val="both"/>
      </w:pPr>
      <w:r w:rsidRPr="00320FE3">
        <w:t>Positivism, which emphasizes using empirical data to make decisions, greatly influences Indonesia's policy defense. Modern technologies such as radar, satellites, and drones are used To monitor the movement of foreigners on the Indonesian border. As an arc</w:t>
      </w:r>
      <w:r w:rsidRPr="00320FE3">
        <w:t xml:space="preserve">hipelagic country and the world’s largest, Indonesia faces significant challenges in its sovereignty, especially in the water. Policy based on technology reflects an approach that emphasizes objective data as the basis of policy </w:t>
      </w:r>
      <w:r w:rsidRPr="00320FE3">
        <w:fldChar w:fldCharType="begin" w:fldLock="1"/>
      </w:r>
      <w:r w:rsidR="00320FE3" w:rsidRPr="00320FE3">
        <w:instrText>ADDIN CSL_CITATION {"citationItems":[{"id":"ITEM-1","itemData":{"ISBN":"9789798878046","author":[{"dropping-particle":"","family":"Kemhan RI","given":"","non-dropping-particle":"","parse-names":false,"suffix":""}],"id":"ITEM-1","issued":{"date-parts":[["2015"]]},"publisher-place":"Jakarta","title":"Buku Putih Pertahanan","type":"book"},"uris":["http://www.mendeley.com/documents/?uuid=183710f5-e80f-4c3f-823e-d4c43bca9197"]}],"mendeley":{"formattedCitation":"(Kemhan RI, 2015)","plainTextFormattedCitation":"(Kemhan RI, 2015)","previouslyFormattedCitation":"(KEMHAN RI, 2015)"},"properties":{"noteIndex":0},"schema":"https://github.com/citation-style-language/schema/raw/master/csl-citation.json"}</w:instrText>
      </w:r>
      <w:r w:rsidRPr="00320FE3">
        <w:fldChar w:fldCharType="separate"/>
      </w:r>
      <w:r w:rsidR="00320FE3" w:rsidRPr="00320FE3">
        <w:rPr>
          <w:noProof/>
        </w:rPr>
        <w:t>(Kemhan RI, 2015)</w:t>
      </w:r>
      <w:r w:rsidRPr="00320FE3">
        <w:fldChar w:fldCharType="end"/>
      </w:r>
      <w:r w:rsidRPr="00320FE3">
        <w:t>.</w:t>
      </w:r>
    </w:p>
    <w:p w14:paraId="646EA3B3" w14:textId="3F774E79" w:rsidR="00673AD3" w:rsidRPr="00320FE3" w:rsidRDefault="00DF76B8" w:rsidP="00673AD3">
      <w:pPr>
        <w:pStyle w:val="NormalWeb"/>
        <w:spacing w:before="0" w:beforeAutospacing="0" w:after="0" w:afterAutospacing="0"/>
        <w:ind w:firstLine="720"/>
        <w:jc w:val="both"/>
      </w:pPr>
      <w:r w:rsidRPr="00320FE3">
        <w:t xml:space="preserve">In addition, a data-based approach is also visible in Handling the threat </w:t>
      </w:r>
      <w:r w:rsidRPr="00320FE3">
        <w:t xml:space="preserve">of terrorism. After the attack bombings in Bali in 2002 and 2005, Indonesia adopted an intelligence-based approach to overcome domestic terrorism. A particular unit like Densus 88 relies on technology tracking, monitoring communication, and financial data </w:t>
      </w:r>
      <w:r w:rsidRPr="00320FE3">
        <w:t xml:space="preserve">analysis To identify network terrorism. This approach is in line with the theory of positivism, which emphasizes the importance of scientific methods in responding to natural and measurable threats </w:t>
      </w:r>
      <w:r w:rsidRPr="00320FE3">
        <w:fldChar w:fldCharType="begin" w:fldLock="1"/>
      </w:r>
      <w:r w:rsidR="00320FE3" w:rsidRPr="00320FE3">
        <w:instrText>ADDIN CSL_CITATION {"citationItems":[{"id":"ITEM-1","itemData":{"DOI":"10.14710/jis.16.2.2017.135-152","ISSN":"1411-8254","abstract":"Since the terrorist attacks of September 11th 2001 in World Trade Centre (WTC), terrorism becomes a hot issue trough out the world. Almost all states agree to counter terrorism, because terrorism is against humanitarianism, and it has caused losses in economy, politics, and psychology.This research is aimed to describe and analyze Indonesia’s multi pronged approach to counter terrorism by using qualitative research method. Based on the data and information provided could be concluded that Indonesia’s role in countering terrorism is seen through three aspects, Government has made a legal frame work on anti-terrorism, form an institution which focus on cooperate with ASEAN. Meanwhile in international level, Indonesia has signed an agreement made by the United Nation, and cooperated with other non-ASEAN countries.Based on the result of this research, researcher’s suggestions for strengthening Indonesia counter terrorism efforts over the next decade are: intensifying coordination and communication between the central government and local government in the domestic level in order to implement what has been written in the legal framework. In the regional level, ASEAN needs to increase cooperation related to information and defense. Lastly, in the international level, there ","author":[{"dropping-particle":"","family":"Windiani","given":"Reni","non-dropping-particle":"","parse-names":false,"suffix":""}],"container-title":"Jurnal Ilmu Sosial","id":"ITEM-1","issue":"2","issued":{"date-parts":[["2018"]]},"page":"135","title":"Peran Indonesia Dalam Memerangi Terorisme","type":"article-journal","volume":"16"},"uris":["http://www.mendeley.com/documents/?uuid=2a746208-100a-4b07-8eec-d7d4a0325363"]}],"mendeley":{"formattedCitation":"(Windiani, 2018)","plainTextFormattedCitation":"(Windiani, 2018)","previouslyFormattedCitation":"(WINDIANI, 2018)"},"properties":{"noteIndex":0},"schema":"https://github.com/citation-style-language/schema/raw/master/csl-citation.json"}</w:instrText>
      </w:r>
      <w:r w:rsidRPr="00320FE3">
        <w:fldChar w:fldCharType="separate"/>
      </w:r>
      <w:r w:rsidR="00320FE3" w:rsidRPr="00320FE3">
        <w:rPr>
          <w:noProof/>
        </w:rPr>
        <w:t>(Windiani, 2018)</w:t>
      </w:r>
      <w:r w:rsidRPr="00320FE3">
        <w:fldChar w:fldCharType="end"/>
      </w:r>
      <w:r w:rsidRPr="00320FE3">
        <w:rPr>
          <w:noProof/>
        </w:rPr>
        <w:t>.</w:t>
      </w:r>
      <w:r w:rsidRPr="00320FE3">
        <w:t xml:space="preserve"> </w:t>
      </w:r>
    </w:p>
    <w:p w14:paraId="038AE465" w14:textId="5A41994D" w:rsidR="00673AD3" w:rsidRPr="00320FE3" w:rsidRDefault="00DF76B8" w:rsidP="00673AD3">
      <w:pPr>
        <w:pStyle w:val="NormalWeb"/>
        <w:spacing w:before="0" w:beforeAutospacing="0" w:after="0" w:afterAutospacing="0"/>
        <w:ind w:firstLine="720"/>
        <w:jc w:val="both"/>
      </w:pPr>
      <w:r w:rsidRPr="00320FE3">
        <w:t xml:space="preserve">However, the proposed approach also receives criticism. Approach positivism in policy defense sometimes ignores factors of social and political influences​ and perception threats. Empirical data Possibly show the existence </w:t>
      </w:r>
      <w:r w:rsidRPr="00320FE3">
        <w:t>of a threat military from neighboring countries, but diplomatic and regional cooperation must also be considered in formulating a proper defense. Approaching​ too much policy depends on the military's strength without considering more social, cultural, and</w:t>
      </w:r>
      <w:r w:rsidRPr="00320FE3">
        <w:t xml:space="preserve"> political​ factors. This approach is appropriate with criticism to approach positivism in policy defense, where empirical data often ignored​ factor diplomacy and relations politics that can influence perception threat. </w:t>
      </w:r>
      <w:r w:rsidRPr="00320FE3">
        <w:fldChar w:fldCharType="begin" w:fldLock="1"/>
      </w:r>
      <w:r w:rsidR="00320FE3" w:rsidRPr="00320FE3">
        <w:instrText>ADDIN CSL_CITATION {"citationItems":[{"id":"ITEM-1","itemData":{"ISBN":"978-1-138-88943-9","author":[{"dropping-particle":"","family":"Damien Kingsbury","given":"","non-dropping-particle":"","parse-names":false,"suffix":""}],"id":"ITEM-1","issued":{"date-parts":[["2017"]]},"publisher":"Rouledge","publisher-place":"London and New York","title":"Politics in Contemporary Southeast Asia. Authority, democracy and political change","type":"book"},"uris":["http://www.mendeley.com/documents/?uuid=34a4acec-2f9f-44f5-bb9e-c1e7df441b22"]}],"mendeley":{"formattedCitation":"(Damien Kingsbury, 2017)","plainTextFormattedCitation":"(Damien Kingsbury, 2017)","previouslyFormattedCitation":"(DAMIEN KINGSBURY, 2017)"},"properties":{"noteIndex":0},"schema":"https://github.com/citation-style-language/schema/raw/master/csl-citation.json"}</w:instrText>
      </w:r>
      <w:r w:rsidRPr="00320FE3">
        <w:fldChar w:fldCharType="separate"/>
      </w:r>
      <w:r w:rsidR="00320FE3" w:rsidRPr="00320FE3">
        <w:rPr>
          <w:noProof/>
        </w:rPr>
        <w:t>(Damien Kingsbury, 2017)</w:t>
      </w:r>
      <w:r w:rsidRPr="00320FE3">
        <w:fldChar w:fldCharType="end"/>
      </w:r>
      <w:r w:rsidRPr="00320FE3">
        <w:t>.</w:t>
      </w:r>
    </w:p>
    <w:p w14:paraId="0268AC6B" w14:textId="77777777" w:rsidR="00673AD3" w:rsidRPr="00320FE3" w:rsidRDefault="00673AD3" w:rsidP="00673AD3">
      <w:pPr>
        <w:pStyle w:val="NormalWeb"/>
        <w:spacing w:before="0" w:beforeAutospacing="0" w:after="0" w:afterAutospacing="0"/>
        <w:ind w:firstLine="720"/>
        <w:jc w:val="both"/>
      </w:pPr>
    </w:p>
    <w:p w14:paraId="04AB416B" w14:textId="7CCBE6F8" w:rsidR="00673AD3" w:rsidRPr="00320FE3" w:rsidRDefault="00DF76B8" w:rsidP="002C66BB">
      <w:pPr>
        <w:pStyle w:val="Heading3"/>
        <w:spacing w:before="0"/>
        <w:ind w:firstLine="0"/>
        <w:jc w:val="both"/>
        <w:rPr>
          <w:rFonts w:ascii="Times New Roman" w:hAnsi="Times New Roman" w:cs="Times New Roman"/>
          <w:b/>
          <w:bCs/>
          <w:sz w:val="24"/>
          <w:szCs w:val="24"/>
        </w:rPr>
      </w:pPr>
      <w:r w:rsidRPr="00320FE3">
        <w:rPr>
          <w:rFonts w:ascii="Times New Roman" w:hAnsi="Times New Roman" w:cs="Times New Roman"/>
          <w:b/>
          <w:bCs/>
          <w:sz w:val="24"/>
          <w:szCs w:val="24"/>
        </w:rPr>
        <w:t xml:space="preserve">2. </w:t>
      </w:r>
      <w:r w:rsidR="004E38AB" w:rsidRPr="00320FE3">
        <w:rPr>
          <w:rFonts w:ascii="Times New Roman" w:hAnsi="Times New Roman" w:cs="Times New Roman"/>
          <w:b/>
          <w:bCs/>
          <w:sz w:val="24"/>
          <w:szCs w:val="24"/>
        </w:rPr>
        <w:t>Constructivism in Indonesia’s Defense Policy</w:t>
      </w:r>
    </w:p>
    <w:p w14:paraId="38F9505C" w14:textId="37F70125" w:rsidR="00673AD3" w:rsidRPr="00320FE3" w:rsidRDefault="00DF76B8" w:rsidP="00673AD3">
      <w:pPr>
        <w:pStyle w:val="NormalWeb"/>
        <w:spacing w:before="0" w:beforeAutospacing="0" w:after="0" w:afterAutospacing="0"/>
        <w:ind w:firstLine="720"/>
        <w:jc w:val="both"/>
      </w:pPr>
      <w:r w:rsidRPr="00320FE3">
        <w:t>Approach constructivism in Indonesia’s defense policy offers a more holistic perspective that relies on empirical data and pays attention to national iden</w:t>
      </w:r>
      <w:r w:rsidRPr="00320FE3">
        <w:t xml:space="preserve">tity and the perception of social threats. Alexander Wendt (1992) argued that threat security is not A natural objective but rather is constructed through interstate social interaction. Security is competitive; if one country </w:t>
      </w:r>
      <w:r w:rsidRPr="00320FE3">
        <w:lastRenderedPageBreak/>
        <w:t xml:space="preserve">strengthens,  another country </w:t>
      </w:r>
      <w:r w:rsidRPr="00320FE3">
        <w:t xml:space="preserve">weakens </w:t>
      </w:r>
      <w:r w:rsidRPr="00320FE3">
        <w:fldChar w:fldCharType="begin" w:fldLock="1"/>
      </w:r>
      <w:r w:rsidR="00320FE3" w:rsidRPr="00320FE3">
        <w:instrText>ADDIN CSL_CITATION {"citationItems":[{"id":"ITEM-1","itemData":{"DOI":"10.4324/9781315236339-22","ISBN":"9781351879743","abstract":"The debate between realists and liberals has reemerged as an axis of contention in international relations theory. I Revolving in the past around competing theories of human nature, the debate is more concerned today with the extent to which state action is influenced by “structure” (anarchy and the distribution of power) versus “process” (interaction and learning) and institutions. Does the absence of centralized political authority force states to play competitive power politics? Can international regimes overcome this logic, and under what conditions? What in anarchy is given and immutable, and what is amenable to change?.","author":[{"dropping-particle":"","family":"Wendt","given":"Alexander","non-dropping-particle":"","parse-names":false,"suffix":""}],"container-title":"Theories of International Relations","id":"ITEM-1","issue":"2","issued":{"date-parts":[["2017"]]},"page":"301-335","title":"Anarchy is what states make of it: The social construction of power politics","type":"article-journal","volume":"46"},"uris":["http://www.mendeley.com/documents/?uuid=dff45dde-e59d-4a2a-9ee1-511adfc3e172"]}],"mendeley":{"formattedCitation":"(Wendt, 2017)","plainTextFormattedCitation":"(Wendt, 2017)","previouslyFormattedCitation":"(WENDT, 2017)"},"properties":{"noteIndex":0},"schema":"https://github.com/citation-style-language/schema/raw/master/csl-citation.json"}</w:instrText>
      </w:r>
      <w:r w:rsidRPr="00320FE3">
        <w:fldChar w:fldCharType="separate"/>
      </w:r>
      <w:r w:rsidR="00320FE3" w:rsidRPr="00320FE3">
        <w:rPr>
          <w:noProof/>
        </w:rPr>
        <w:t>(Wendt, 2017)</w:t>
      </w:r>
      <w:r w:rsidRPr="00320FE3">
        <w:fldChar w:fldCharType="end"/>
      </w:r>
      <w:r w:rsidRPr="00320FE3">
        <w:t>. I</w:t>
      </w:r>
      <w:r w:rsidRPr="00320FE3">
        <w:t xml:space="preserve">dentity and violence have formed between each other in history and cannot be ignored in settlement conflicts </w:t>
      </w:r>
      <w:r w:rsidRPr="00320FE3">
        <w:fldChar w:fldCharType="begin" w:fldLock="1"/>
      </w:r>
      <w:r w:rsidR="00320FE3" w:rsidRPr="00320FE3">
        <w:instrText>ADDIN CSL_CITATION {"citationItems":[{"id":"ITEM-1","itemData":{"ISBN":"9783031165672","abstract":"This open access book discusses the impact of protracted peace processes on identities in conflict. It is concerned with how lingering peace processes affect, in the long-term, patterns of othering in protracted conflicts, and how this relates with enduring violence. Taking Israel and Palestine as a case study, the book traces different representations of success and failure of the protracted peace process, as well as its associated policies, narratives, norms and practices, to analyze its impact on identity and its contribution to the maintenance and/or transformation of the cultural component of violence. On the one hand, drawing from an interdisciplinary approach comprising International Relations (IR), History and Social Psychology, this book proposes an analytical framework for assessing the specificities of the construction of identities in protracted conflicts. It identifies dehumanization and practices of reconciliation in ongoing conflicts – what is called peace-less reconciliation – as the main elements influencing processes of othering and violence in this kind of conflicts. On the other hand, the book offers an empirical historical analysis on how the protracted peace process has impacted identity building and representations made of the ‘other’ in the case of the Israeli-Palestinian conflict since the end of the 19th century to the present day.","author":[{"dropping-particle":"","family":"Ricarte","given":"Joana","non-dropping-particle":"","parse-names":false,"suffix":""}],"id":"ITEM-1","issued":{"date-parts":[["2023"]]},"number-of-pages":"161","title":"The Impact of Protracted Peace Processes on Identities in Conflict : The Case of Israel and Palestine","type":"book"},"uris":["http://www.mendeley.com/documents/?uuid=e3f36937-5437-478a-b1fe-e252ba0fb088"]}],"mendeley":{"formattedCitation":"(Ricarte, 2023)","plainTextFormattedCitation":"(Ricarte, 2023)","previouslyFormattedCitation":"(RICARTE, 2023)"},"properties":{"noteIndex":0},"schema":"https://github.com/citation-style-language/schema/raw/master/csl-citation.json"}</w:instrText>
      </w:r>
      <w:r w:rsidRPr="00320FE3">
        <w:fldChar w:fldCharType="separate"/>
      </w:r>
      <w:r w:rsidR="00320FE3" w:rsidRPr="00320FE3">
        <w:rPr>
          <w:noProof/>
        </w:rPr>
        <w:t>(Ricarte, 2023)</w:t>
      </w:r>
      <w:r w:rsidRPr="00320FE3">
        <w:fldChar w:fldCharType="end"/>
      </w:r>
      <w:r w:rsidRPr="00320FE3">
        <w:t>. Indonesia’</w:t>
      </w:r>
      <w:r w:rsidRPr="00320FE3">
        <w:t xml:space="preserve">s defense policy is influenced by identity, strong national values​ , a history of struggle for independence and complete of tolerance, and a spirit of mutual cooperation based on the motto </w:t>
      </w:r>
      <w:r w:rsidRPr="00320FE3">
        <w:rPr>
          <w:i/>
          <w:iCs/>
        </w:rPr>
        <w:t xml:space="preserve">diversity single ia </w:t>
      </w:r>
      <w:r w:rsidRPr="00320FE3">
        <w:t>( even though different, still one ). Implicat</w:t>
      </w:r>
      <w:r w:rsidRPr="00320FE3">
        <w:t>ions political outside of his country: There is a free-active.</w:t>
      </w:r>
    </w:p>
    <w:p w14:paraId="4F8CA384" w14:textId="395D532D" w:rsidR="00673AD3" w:rsidRPr="00320FE3" w:rsidRDefault="00DF76B8" w:rsidP="00673AD3">
      <w:pPr>
        <w:pStyle w:val="NormalWeb"/>
        <w:spacing w:before="0" w:beforeAutospacing="0" w:after="0" w:afterAutospacing="0"/>
        <w:ind w:firstLine="720"/>
        <w:jc w:val="both"/>
      </w:pPr>
      <w:r w:rsidRPr="00320FE3">
        <w:t xml:space="preserve">The principle of " Sishankamrata " or </w:t>
      </w:r>
      <w:r w:rsidRPr="00320FE3">
        <w:rPr>
          <w:rStyle w:val="Emphasis"/>
          <w:rFonts w:eastAsiaTheme="majorEastAsia"/>
        </w:rPr>
        <w:t xml:space="preserve">Total Defense </w:t>
      </w:r>
      <w:r w:rsidRPr="00320FE3">
        <w:t>implemented by Indonesia manifests an approach constructivism. Policy This integrates all elements of Society, including good military and ci</w:t>
      </w:r>
      <w:r w:rsidRPr="00320FE3">
        <w:t xml:space="preserve">vil society, into a national defense system. Indonesia’s long history of struggle for independence from colonialism has become a foundation for policy defense that emphasizes the importance of sovereignty and national solidarity </w:t>
      </w:r>
      <w:r w:rsidRPr="00320FE3">
        <w:fldChar w:fldCharType="begin" w:fldLock="1"/>
      </w:r>
      <w:r w:rsidR="00320FE3" w:rsidRPr="00320FE3">
        <w:instrText>ADDIN CSL_CITATION {"citationItems":[{"id":"ITEM-1","itemData":{"ISBN":"9789798878046","author":[{"dropping-particle":"","family":"Kemhan RI","given":"","non-dropping-particle":"","parse-names":false,"suffix":""}],"id":"ITEM-1","issued":{"date-parts":[["2015"]]},"publisher-place":"Jakarta","title":"Buku Putih Pertahanan","type":"book"},"uris":["http://www.mendeley.com/documents/?uuid=183710f5-e80f-4c3f-823e-d4c43bca9197"]}],"mendeley":{"formattedCitation":"(Kemhan RI, 2015)","plainTextFormattedCitation":"(Kemhan RI, 2015)","previouslyFormattedCitation":"(KEMHAN RI, 2015)"},"properties":{"noteIndex":0},"schema":"https://github.com/citation-style-language/schema/raw/master/csl-citation.json"}</w:instrText>
      </w:r>
      <w:r w:rsidRPr="00320FE3">
        <w:fldChar w:fldCharType="separate"/>
      </w:r>
      <w:r w:rsidR="00320FE3" w:rsidRPr="00320FE3">
        <w:rPr>
          <w:noProof/>
        </w:rPr>
        <w:t>(Kemhan RI, 2015)</w:t>
      </w:r>
      <w:r w:rsidRPr="00320FE3">
        <w:fldChar w:fldCharType="end"/>
      </w:r>
      <w:r w:rsidRPr="00320FE3">
        <w:t xml:space="preserve">. Identity also affects Indonesia’s nonaligned policy, in which the country </w:t>
      </w:r>
      <w:r w:rsidRPr="00320FE3">
        <w:t xml:space="preserve">chooses work. The same is true for various parties who, without taking sides, block the military </w:t>
      </w:r>
      <w:r w:rsidRPr="00320FE3">
        <w:fldChar w:fldCharType="begin" w:fldLock="1"/>
      </w:r>
      <w:r w:rsidR="00320FE3" w:rsidRPr="00320FE3">
        <w:instrText>ADDIN CSL_CITATION {"citationItems":[{"id":"ITEM-1","itemData":{"ISBN":"0129-797X","ISSN":"2356-5527","abstract":"Reunification as an emotional or moral imperative is still present in South Korean discourse. But the passage of time and demographic change has lessened the impact of family divisions and compatriot sentiments across the Peninsula. Young South Koreans are likely to feel little if any cultural affinity towards North Koreans. While there is scant appetite in South Korea for pursuing reunification soon, it could force its way back on to the agenda during the next presidential term, due to events spiralling out of the control of the new and still unproven regime in Pyongyang. Seoul therefore needs to re-focus on precipitous reunification as a short to medium-term contingency. While some planning should be done privately to avoid provoking Pyongyang, it is also necessary to open a public debate on reunification issues, ahead of any crisis, since even the most orderly and staggered scenarios would have far-reaching implications for ordinary South Koreans. Without their consent, policymakers’ options will be far more constrained. Reunification also promises to redress South Korea’s pressing demographic deficit, with one of the lowest fertility rates, at 1.21 per woman. Adding North Korea’s population of 24 million would boost the combined Korean population to 72 million. Social integration is a thornier challenge, in spite of shared language and ethnicity, as evidenced by the assimilation problems widely reported among the 20,000 North Koreans already resettled in South Korea. However, reunification need not involve wholesale population transfers, and the under-35 age bracket is likely to adapt faster. The Korean saying “beyond the mountain is another mountain” is an apt metaphor for the marathon challenges involved.","author":[{"dropping-particle":"","family":"Sukma","given":"Rizal","non-dropping-particle":"","parse-names":false,"suffix":""}],"container-title":"Security Outlook of the Asia Pacific Countries and Its Implications for the Defense Sector","id":"ITEM-1","issue":"1","issued":{"date-parts":[["2015"]]},"page":"3-24","title":"Indonesia’s Security Outlook: Defence Policy and Regional Cooperation","type":"chapter","volume":"1"},"uris":["http://www.mendeley.com/documents/?uuid=2dfc1f59-dbc2-4056-b572-789036631267"]}],"mendeley":{"formattedCitation":"(Sukma, 2015)","plainTextFormattedCitation":"(Sukma, 2015)","previouslyFormattedCitation":"(SUKMA, 2015)"},"properties":{"noteIndex":0},"schema":"https://github.com/citation-style-language/schema/raw/master/csl-citation.json"}</w:instrText>
      </w:r>
      <w:r w:rsidRPr="00320FE3">
        <w:fldChar w:fldCharType="separate"/>
      </w:r>
      <w:r w:rsidR="00320FE3" w:rsidRPr="00320FE3">
        <w:rPr>
          <w:noProof/>
        </w:rPr>
        <w:t>(Sukma, 2015)</w:t>
      </w:r>
      <w:r w:rsidRPr="00320FE3">
        <w:fldChar w:fldCharType="end"/>
      </w:r>
      <w:r w:rsidRPr="00320FE3">
        <w:t>. However, in the context of globalization, constructivism faces new chal</w:t>
      </w:r>
      <w:r w:rsidRPr="00320FE3">
        <w:t xml:space="preserve">lenges, especially those related to non-traditional threats like cyber attacks. In an increasingly world-connected world, perception threats are constructed through interactions between countries and involve non-state actors operating in space cyberspace. </w:t>
      </w:r>
      <w:r w:rsidRPr="00320FE3">
        <w:t xml:space="preserve">There is a need for an approach policy that is more defense​ adaptive to threats unrelated to identity </w:t>
      </w:r>
      <w:r w:rsidRPr="00320FE3">
        <w:fldChar w:fldCharType="begin" w:fldLock="1"/>
      </w:r>
      <w:r w:rsidR="00320FE3" w:rsidRPr="00320FE3">
        <w:instrText>ADDIN CSL_CITATION {"citationItems":[{"id":"ITEM-1","itemData":{"author":[{"dropping-particle":"","family":"Kohno","given":"Takeshi","non-dropping-particle":"","parse-names":false,"suffix":""}],"container-title":"Studia Islamika","id":"ITEM-1","issue":"3","issued":{"date-parts":[["2021"]]},"title":"To Combat Extremism, How to Frame Religion Matters: Southeast Asia in Comparative Perspective","type":"article-journal","volume":"28"},"uris":["http://www.mendeley.com/documents/?uuid=caec8bad-e31d-4fd8-896a-95439478ea7a"]}],"mendeley":{"formattedCitation":"(Kohno, 2021)","plainTextFormattedCitation":"(Kohno, 2021)","previouslyFormattedCitation":"(KOHNO, 2021)"},"properties":{"noteIndex":0},"schema":"https://github.com/citation-style-language/schema/raw/master/csl-citation.json"}</w:instrText>
      </w:r>
      <w:r w:rsidRPr="00320FE3">
        <w:fldChar w:fldCharType="separate"/>
      </w:r>
      <w:r w:rsidR="00320FE3" w:rsidRPr="00320FE3">
        <w:rPr>
          <w:noProof/>
        </w:rPr>
        <w:t>(Kohno, 2021)</w:t>
      </w:r>
      <w:r w:rsidRPr="00320FE3">
        <w:fldChar w:fldCharType="end"/>
      </w:r>
      <w:r w:rsidRPr="00320FE3">
        <w:t>.</w:t>
      </w:r>
    </w:p>
    <w:p w14:paraId="6169E228" w14:textId="77777777" w:rsidR="00673AD3" w:rsidRPr="00320FE3" w:rsidRDefault="00673AD3" w:rsidP="00673AD3">
      <w:pPr>
        <w:pStyle w:val="NormalWeb"/>
        <w:spacing w:before="0" w:beforeAutospacing="0" w:after="0" w:afterAutospacing="0"/>
        <w:ind w:firstLine="720"/>
        <w:jc w:val="both"/>
      </w:pPr>
    </w:p>
    <w:p w14:paraId="0677683F" w14:textId="6FDBE37C" w:rsidR="00673AD3" w:rsidRPr="00320FE3" w:rsidRDefault="00DF76B8" w:rsidP="002538E5">
      <w:pPr>
        <w:pStyle w:val="Heading3"/>
        <w:spacing w:before="0"/>
        <w:ind w:firstLine="0"/>
        <w:jc w:val="both"/>
        <w:rPr>
          <w:rFonts w:ascii="Times New Roman" w:hAnsi="Times New Roman" w:cs="Times New Roman"/>
          <w:sz w:val="24"/>
          <w:szCs w:val="24"/>
        </w:rPr>
      </w:pPr>
      <w:r w:rsidRPr="00320FE3">
        <w:rPr>
          <w:rFonts w:ascii="Times New Roman" w:hAnsi="Times New Roman" w:cs="Times New Roman"/>
          <w:b/>
          <w:bCs/>
          <w:sz w:val="24"/>
          <w:szCs w:val="24"/>
        </w:rPr>
        <w:t xml:space="preserve">3. </w:t>
      </w:r>
      <w:r w:rsidR="004E38AB" w:rsidRPr="00320FE3">
        <w:rPr>
          <w:rFonts w:ascii="Times New Roman" w:hAnsi="Times New Roman" w:cs="Times New Roman"/>
          <w:b/>
          <w:bCs/>
          <w:sz w:val="24"/>
          <w:szCs w:val="24"/>
        </w:rPr>
        <w:t>Postmodernism in Indonesian Policy: An Analysis of Critical</w:t>
      </w:r>
    </w:p>
    <w:p w14:paraId="2DE6F761" w14:textId="22AD632E"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 xml:space="preserve">Approach postmodernism in Indonesia’s defense offers a perspective critical to power and underlying structures​ decision state strategy. Postmodernism rejects big (grand narratives) narratives and tends to question public assumptions, including in-context </w:t>
      </w:r>
      <w:r w:rsidRPr="00320FE3">
        <w:rPr>
          <w:rFonts w:ascii="Times New Roman" w:eastAsia="Times New Roman" w:hAnsi="Times New Roman" w:cs="Times New Roman"/>
          <w:sz w:val="24"/>
          <w:szCs w:val="24"/>
        </w:rPr>
        <w:t xml:space="preserve">defense. Michel Foucault, a figure important in postmodernist thought, emphasized that policy is frequently used​ as a tool For perpetuating power, not solely For protecting security or the state </w:t>
      </w:r>
      <w:r w:rsidRPr="00320FE3">
        <w:rPr>
          <w:rFonts w:ascii="Times New Roman" w:eastAsia="Times New Roman" w:hAnsi="Times New Roman" w:cs="Times New Roman"/>
          <w:sz w:val="24"/>
          <w:szCs w:val="24"/>
        </w:rPr>
        <w:fldChar w:fldCharType="begin" w:fldLock="1"/>
      </w:r>
      <w:r w:rsidR="00320FE3" w:rsidRPr="00320FE3">
        <w:rPr>
          <w:rFonts w:ascii="Times New Roman" w:eastAsia="Times New Roman" w:hAnsi="Times New Roman" w:cs="Times New Roman"/>
          <w:sz w:val="24"/>
          <w:szCs w:val="24"/>
        </w:rPr>
        <w:instrText>ADDIN CSL_CITATION {"citationItems":[{"id":"ITEM-1","itemData":{"author":[{"dropping-particle":"","family":"Foucault","given":"Michel","non-dropping-particle":"","parse-names":false,"suffix":""}],"id":"ITEM-1","issue":"112","issued":{"date-parts":[["1995"]]},"publisher":"Vintage Books","publisher-place":"New York","title":"DISCIPLINE AND PUNISH,The Birth of the Prison","type":"book"},"uris":["http://www.mendeley.com/documents/?uuid=dfb06207-2c4a-4d4b-b54b-2d79cb7ce639"]}],"mendeley":{"formattedCitation":"(Foucault, 1995)","plainTextFormattedCitation":"(Foucault, 1995)","previouslyFormattedCitation":"(FOUCAULT, 1995)"},"properties":{"noteIndex":0},"schema":"https://github.com/citation-style-language/schema/raw/master/csl-citation.json"}</w:instrText>
      </w:r>
      <w:r w:rsidRPr="00320FE3">
        <w:rPr>
          <w:rFonts w:ascii="Times New Roman" w:eastAsia="Times New Roman" w:hAnsi="Times New Roman" w:cs="Times New Roman"/>
          <w:sz w:val="24"/>
          <w:szCs w:val="24"/>
        </w:rPr>
        <w:fldChar w:fldCharType="separate"/>
      </w:r>
      <w:r w:rsidR="00320FE3" w:rsidRPr="00320FE3">
        <w:rPr>
          <w:rFonts w:ascii="Times New Roman" w:eastAsia="Times New Roman" w:hAnsi="Times New Roman" w:cs="Times New Roman"/>
          <w:noProof/>
          <w:sz w:val="24"/>
          <w:szCs w:val="24"/>
        </w:rPr>
        <w:t>(Foucault, 1995)</w:t>
      </w:r>
      <w:r w:rsidRPr="00320FE3">
        <w:rPr>
          <w:rFonts w:ascii="Times New Roman" w:eastAsia="Times New Roman" w:hAnsi="Times New Roman" w:cs="Times New Roman"/>
          <w:sz w:val="24"/>
          <w:szCs w:val="24"/>
        </w:rPr>
        <w:fldChar w:fldCharType="end"/>
      </w:r>
      <w:r w:rsidRPr="00320FE3">
        <w:rPr>
          <w:rFonts w:ascii="Times New Roman" w:eastAsia="Times New Roman" w:hAnsi="Times New Roman" w:cs="Times New Roman"/>
          <w:sz w:val="24"/>
          <w:szCs w:val="24"/>
        </w:rPr>
        <w:t>. This is relevant to Indonesian defense policy, especially beca</w:t>
      </w:r>
      <w:r w:rsidRPr="00320FE3">
        <w:rPr>
          <w:rFonts w:ascii="Times New Roman" w:eastAsia="Times New Roman" w:hAnsi="Times New Roman" w:cs="Times New Roman"/>
          <w:sz w:val="24"/>
          <w:szCs w:val="24"/>
        </w:rPr>
        <w:t>use the government faces the threat of separatism in regions such as Papua and Aceh, where defense policies involving the operation of military and reinforcement control centers are considered vulnerable.</w:t>
      </w:r>
    </w:p>
    <w:p w14:paraId="10AD15F2" w14:textId="20AC1B00"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In the Papua context, military operations are often</w:t>
      </w:r>
      <w:r w:rsidRPr="00320FE3">
        <w:rPr>
          <w:rFonts w:ascii="Times New Roman" w:eastAsia="Times New Roman" w:hAnsi="Times New Roman" w:cs="Times New Roman"/>
          <w:sz w:val="24"/>
          <w:szCs w:val="24"/>
        </w:rPr>
        <w:t xml:space="preserve"> considered a response to the movement of separatists who demand independence. Postmodernist critique proposes that action is an effort to maintain sovereignty and a form of perpetuation control narrative-based politics​ , nationality, and security nationa</w:t>
      </w:r>
      <w:r w:rsidRPr="00320FE3">
        <w:rPr>
          <w:rFonts w:ascii="Times New Roman" w:eastAsia="Times New Roman" w:hAnsi="Times New Roman" w:cs="Times New Roman"/>
          <w:sz w:val="24"/>
          <w:szCs w:val="24"/>
        </w:rPr>
        <w:t xml:space="preserve">l </w:t>
      </w:r>
      <w:r w:rsidRPr="00320FE3">
        <w:rPr>
          <w:rFonts w:ascii="Times New Roman" w:eastAsia="Times New Roman" w:hAnsi="Times New Roman" w:cs="Times New Roman"/>
          <w:sz w:val="24"/>
          <w:szCs w:val="24"/>
        </w:rPr>
        <w:fldChar w:fldCharType="begin" w:fldLock="1"/>
      </w:r>
      <w:r w:rsidR="00320FE3" w:rsidRPr="00320FE3">
        <w:rPr>
          <w:rFonts w:ascii="Times New Roman" w:eastAsia="Times New Roman" w:hAnsi="Times New Roman" w:cs="Times New Roman"/>
          <w:sz w:val="24"/>
          <w:szCs w:val="24"/>
        </w:rPr>
        <w:instrText>ADDIN CSL_CITATION {"citationItems":[{"id":"ITEM-1","itemData":{"DOI":"10.4324/9781315664095-19","ISBN":"0203987586","author":[{"dropping-particle":"","family":"Kingsbury","given":"Damien","non-dropping-particle":"","parse-names":false,"suffix":""}],"container-title":"Gender Roles","id":"ITEM-1","issued":{"date-parts":[["2023"]]},"number-of-pages":"267","publisher":"RoutledgeCurzon","publisher-place":"London New York","title":"Power Politics and the Indonesian Military Throughout","type":"book"},"uris":["http://www.mendeley.com/documents/?uuid=ac7120da-fe73-487b-895a-67d3e49a4c4b"]}],"mendeley":{"formattedCitation":"(Kingsbury, 2023)","plainTextFormattedCitation":"(Kingsbury, 2023)","previouslyFormattedCitation":"(KINGSBURY, 2023)"},"properties":{"noteIndex":0},"schema":"https://github.com/citation-style-language/schema/raw/master/csl-citation.json"}</w:instrText>
      </w:r>
      <w:r w:rsidRPr="00320FE3">
        <w:rPr>
          <w:rFonts w:ascii="Times New Roman" w:eastAsia="Times New Roman" w:hAnsi="Times New Roman" w:cs="Times New Roman"/>
          <w:sz w:val="24"/>
          <w:szCs w:val="24"/>
        </w:rPr>
        <w:fldChar w:fldCharType="separate"/>
      </w:r>
      <w:r w:rsidR="00320FE3" w:rsidRPr="00320FE3">
        <w:rPr>
          <w:rFonts w:ascii="Times New Roman" w:eastAsia="Times New Roman" w:hAnsi="Times New Roman" w:cs="Times New Roman"/>
          <w:noProof/>
          <w:sz w:val="24"/>
          <w:szCs w:val="24"/>
        </w:rPr>
        <w:t>(Kingsbury, 2023)</w:t>
      </w:r>
      <w:r w:rsidRPr="00320FE3">
        <w:rPr>
          <w:rFonts w:ascii="Times New Roman" w:eastAsia="Times New Roman" w:hAnsi="Times New Roman" w:cs="Times New Roman"/>
          <w:sz w:val="24"/>
          <w:szCs w:val="24"/>
        </w:rPr>
        <w:fldChar w:fldCharType="end"/>
      </w:r>
      <w:r w:rsidRPr="00320FE3">
        <w:rPr>
          <w:rFonts w:ascii="Times New Roman" w:eastAsia="Times New Roman" w:hAnsi="Times New Roman" w:cs="Times New Roman"/>
          <w:sz w:val="24"/>
          <w:szCs w:val="24"/>
        </w:rPr>
        <w:t>ingsbury, 2023). According to the analysis of postmodernism, this narrative often blurs the complex problems of social, economic and cultura</w:t>
      </w:r>
      <w:r w:rsidRPr="00320FE3">
        <w:rPr>
          <w:rFonts w:ascii="Times New Roman" w:eastAsia="Times New Roman" w:hAnsi="Times New Roman" w:cs="Times New Roman"/>
          <w:sz w:val="24"/>
          <w:szCs w:val="24"/>
        </w:rPr>
        <w:t xml:space="preserve">l underpinnings​ of movement separatism. The policy defense-based approach​​ is militaristic, often ignoring dialog and approaches more peace-inclusive. In reality, the military is prioritized when facing threats </w:t>
      </w:r>
      <w:r w:rsidRPr="00320FE3">
        <w:rPr>
          <w:rFonts w:ascii="Times New Roman" w:eastAsia="Times New Roman" w:hAnsi="Times New Roman" w:cs="Times New Roman"/>
          <w:sz w:val="24"/>
          <w:szCs w:val="24"/>
        </w:rPr>
        <w:fldChar w:fldCharType="begin" w:fldLock="1"/>
      </w:r>
      <w:r w:rsidR="00320FE3" w:rsidRPr="00320FE3">
        <w:rPr>
          <w:rFonts w:ascii="Times New Roman" w:eastAsia="Times New Roman" w:hAnsi="Times New Roman" w:cs="Times New Roman"/>
          <w:sz w:val="24"/>
          <w:szCs w:val="24"/>
        </w:rPr>
        <w:instrText>ADDIN CSL_CITATION {"citationItems":[{"id":"ITEM-1","itemData":{"DOI":"10.1007/978-3-319-74336-3_85-1","ISBN":"978-3-319-74336-3","author":[{"dropping-particle":"","family":"Idachaba","given":"Enemaku Umar","non-dropping-particle":"","parse-names":false,"suffix":""}],"editor":[{"dropping-particle":"","family":"Romaniuk","given":"Scott","non-dropping-particle":"","parse-names":false,"suffix":""},{"dropping-particle":"","family":"Thapa","given":"Manish","non-dropping-particle":"","parse-names":false,"suffix":""},{"dropping-particle":"","family":"Marton","given":"Péter","non-dropping-particle":"","parse-names":false,"suffix":""}],"id":"ITEM-1","issued":{"date-parts":[["2019"]]},"page":"1-12","publisher":"Springer International Publishing","publisher-place":"Cham","title":"Military-Focused Security BT  - The Palgrave Encyclopedia of Global Security Studies","type":"chapter"},"uris":["http://www.mendeley.com/documents/?uuid=073b019b-03bf-4e86-8c80-a475b40cd1c9"]}],"mendeley":{"formattedCitation":"(Idachaba, 2019)","plainTextFormattedCitation":"(Idachaba, 2019)","previouslyFormattedCitation":"(IDACHABA, 2019)"},"properties":{"noteIndex":0},"schema":"https://github.com/citation-style-language/schema/raw/master/csl-citation.json"}</w:instrText>
      </w:r>
      <w:r w:rsidRPr="00320FE3">
        <w:rPr>
          <w:rFonts w:ascii="Times New Roman" w:eastAsia="Times New Roman" w:hAnsi="Times New Roman" w:cs="Times New Roman"/>
          <w:sz w:val="24"/>
          <w:szCs w:val="24"/>
        </w:rPr>
        <w:fldChar w:fldCharType="separate"/>
      </w:r>
      <w:r w:rsidR="00320FE3" w:rsidRPr="00320FE3">
        <w:rPr>
          <w:rFonts w:ascii="Times New Roman" w:eastAsia="Times New Roman" w:hAnsi="Times New Roman" w:cs="Times New Roman"/>
          <w:noProof/>
          <w:sz w:val="24"/>
          <w:szCs w:val="24"/>
        </w:rPr>
        <w:t>(Idachaba, 2019)</w:t>
      </w:r>
      <w:r w:rsidRPr="00320FE3">
        <w:rPr>
          <w:rFonts w:ascii="Times New Roman" w:eastAsia="Times New Roman" w:hAnsi="Times New Roman" w:cs="Times New Roman"/>
          <w:sz w:val="24"/>
          <w:szCs w:val="24"/>
        </w:rPr>
        <w:fldChar w:fldCharType="end"/>
      </w:r>
      <w:r w:rsidRPr="00320FE3">
        <w:rPr>
          <w:rFonts w:ascii="Times New Roman" w:eastAsia="Times New Roman" w:hAnsi="Times New Roman" w:cs="Times New Roman"/>
          <w:sz w:val="24"/>
          <w:szCs w:val="24"/>
        </w:rPr>
        <w:t>.</w:t>
      </w:r>
    </w:p>
    <w:p w14:paraId="5B2FA6F6" w14:textId="3A3DD7EA"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In addition, technology has become a new instrument in moder</w:t>
      </w:r>
      <w:r w:rsidRPr="00320FE3">
        <w:rPr>
          <w:rFonts w:ascii="Times New Roman" w:eastAsia="Times New Roman" w:hAnsi="Times New Roman" w:cs="Times New Roman"/>
          <w:sz w:val="24"/>
          <w:szCs w:val="24"/>
        </w:rPr>
        <w:t>n policy defense, as highlighted in the study of postmodernism. Using technology in policy defense can increase the effectiveness of the military, but it also opens up room for the country to use technology as a tool to control Society, even if the governm</w:t>
      </w:r>
      <w:r w:rsidRPr="00320FE3">
        <w:rPr>
          <w:rFonts w:ascii="Times New Roman" w:eastAsia="Times New Roman" w:hAnsi="Times New Roman" w:cs="Times New Roman"/>
          <w:sz w:val="24"/>
          <w:szCs w:val="24"/>
        </w:rPr>
        <w:t xml:space="preserve">ent determines development sustainability. </w:t>
      </w:r>
      <w:r w:rsidRPr="00320FE3">
        <w:rPr>
          <w:rFonts w:ascii="Times New Roman" w:eastAsia="Times New Roman" w:hAnsi="Times New Roman" w:cs="Times New Roman"/>
          <w:sz w:val="24"/>
          <w:szCs w:val="24"/>
        </w:rPr>
        <w:fldChar w:fldCharType="begin" w:fldLock="1"/>
      </w:r>
      <w:r w:rsidR="00320FE3" w:rsidRPr="00320FE3">
        <w:rPr>
          <w:rFonts w:ascii="Times New Roman" w:eastAsia="Times New Roman" w:hAnsi="Times New Roman" w:cs="Times New Roman"/>
          <w:sz w:val="24"/>
          <w:szCs w:val="24"/>
        </w:rPr>
        <w:instrText>ADDIN CSL_CITATION {"citationItems":[{"id":"ITEM-1","itemData":{"DOI":"10.1007/s13132-021-00749-2","ISSN":"18687873","abstract":"Sustainable development is a concern and a challenge of modern societies, either in developing and developed countries. Good governance is crucial to managing efficiently all kind of resources, including natural resources, for the well-being of current and future generations. Digital transformation can be a key driver of changes in governments if they want to enhance transparency, accountability and efficiency. E-government facilitates integrated policies and public services to promote sustainable and inclusive economic growth, social development and environmental protection. E-government contributes to efficient resource management, and so can help to improve namely natural resource usage in the present to avoid damage to their usage in the future. The aim of this study is to analyse the impact of e-government on sustainable development. Using a logit model, for a sample of 103 countries in the period 2003–2018, the results suggest that e-government development is a positive determinant for a country to attain sustainable development, proxied by adjusted net savings, that embraces a country’s economic, social and environmental development. This study provides evidence that e-government increases the probability to attain sustainable development mostly in developing and transition economies. The results also suggest that economic growth and gross national income per capita are significant positive influences in sustainable development in the whole sample and that countries with lower age dependency and natural resource rents are more likely to have sustainable development. Developing e-government allows promoting sustainable development, particularly in developing and in transition economies.","author":[{"dropping-particle":"","family":"Castro","given":"Conceição","non-dropping-particle":"","parse-names":false,"suffix":""},{"dropping-particle":"","family":"Lopes","given":"Cristina","non-dropping-particle":"","parse-names":false,"suffix":""}],"container-title":"Journal of the Knowledge Economy","id":"ITEM-1","issue":"2","issued":{"date-parts":[["2022"]]},"page":"880-903","publisher":"Springer US","title":"Digital Government and Sustainable Development","type":"article-journal","volume":"13"},"uris":["http://www.mendeley.com/documents/?uuid=9073e7ef-1bf1-4749-b1c4-4fab3b6bc06b"]}],"mendeley":{"formattedCitation":"(Castro &amp; Lopes, 2022)","plainTextFormattedCitation":"(Castro &amp; Lopes, 2022)","previouslyFormattedCitation":"(CASTRO; LOPES, 2022)"},"properties":{"noteIndex":0},"schema":"https://github.com/citation-style-language/schema/raw/master/csl-citation.json"}</w:instrText>
      </w:r>
      <w:r w:rsidRPr="00320FE3">
        <w:rPr>
          <w:rFonts w:ascii="Times New Roman" w:eastAsia="Times New Roman" w:hAnsi="Times New Roman" w:cs="Times New Roman"/>
          <w:sz w:val="24"/>
          <w:szCs w:val="24"/>
        </w:rPr>
        <w:fldChar w:fldCharType="separate"/>
      </w:r>
      <w:r w:rsidR="00320FE3" w:rsidRPr="00320FE3">
        <w:rPr>
          <w:rFonts w:ascii="Times New Roman" w:eastAsia="Times New Roman" w:hAnsi="Times New Roman" w:cs="Times New Roman"/>
          <w:noProof/>
          <w:sz w:val="24"/>
          <w:szCs w:val="24"/>
        </w:rPr>
        <w:t>(Castro &amp; Lopes, 2022)</w:t>
      </w:r>
      <w:r w:rsidRPr="00320FE3">
        <w:rPr>
          <w:rFonts w:ascii="Times New Roman" w:eastAsia="Times New Roman" w:hAnsi="Times New Roman" w:cs="Times New Roman"/>
          <w:sz w:val="24"/>
          <w:szCs w:val="24"/>
        </w:rPr>
        <w:fldChar w:fldCharType="end"/>
      </w:r>
      <w:r w:rsidRPr="00320FE3">
        <w:rPr>
          <w:rFonts w:ascii="Times New Roman" w:eastAsia="Times New Roman" w:hAnsi="Times New Roman" w:cs="Times New Roman"/>
          <w:sz w:val="24"/>
          <w:szCs w:val="24"/>
        </w:rPr>
        <w:t>. In Indonesia</w:t>
      </w:r>
      <w:r w:rsidRPr="00320FE3">
        <w:rPr>
          <w:rFonts w:ascii="Times New Roman" w:eastAsia="Times New Roman" w:hAnsi="Times New Roman" w:cs="Times New Roman"/>
          <w:sz w:val="24"/>
          <w:szCs w:val="24"/>
        </w:rPr>
        <w:t>, technology supervision and monitoring are used in extensive efforts to counter terrorism and surveillance activities considered to threaten stability.</w:t>
      </w:r>
      <w:r w:rsidRPr="00320FE3">
        <w:rPr>
          <w:rFonts w:ascii="Times New Roman" w:hAnsi="Times New Roman" w:cs="Times New Roman"/>
          <w:sz w:val="24"/>
          <w:szCs w:val="24"/>
        </w:rPr>
        <w:t xml:space="preserve"> </w:t>
      </w:r>
      <w:r w:rsidRPr="00320FE3">
        <w:rPr>
          <w:rFonts w:ascii="Times New Roman" w:eastAsia="Times New Roman" w:hAnsi="Times New Roman" w:cs="Times New Roman"/>
          <w:sz w:val="24"/>
          <w:szCs w:val="24"/>
        </w:rPr>
        <w:t xml:space="preserve">Development of a network as a component fundamental to the hegemonic strategy. Although the governance </w:t>
      </w:r>
      <w:r w:rsidRPr="00320FE3">
        <w:rPr>
          <w:rFonts w:ascii="Times New Roman" w:eastAsia="Times New Roman" w:hAnsi="Times New Roman" w:cs="Times New Roman"/>
          <w:sz w:val="24"/>
          <w:szCs w:val="24"/>
        </w:rPr>
        <w:t xml:space="preserve">network faces difficulty in growing trust, it relies on hierarchy and exclusivity. </w:t>
      </w:r>
      <w:r w:rsidRPr="00320FE3">
        <w:rPr>
          <w:rFonts w:ascii="Times New Roman" w:eastAsia="Times New Roman" w:hAnsi="Times New Roman" w:cs="Times New Roman"/>
          <w:sz w:val="24"/>
          <w:szCs w:val="24"/>
        </w:rPr>
        <w:fldChar w:fldCharType="begin" w:fldLock="1"/>
      </w:r>
      <w:r w:rsidR="00320FE3" w:rsidRPr="00320FE3">
        <w:rPr>
          <w:rFonts w:ascii="Times New Roman" w:eastAsia="Times New Roman" w:hAnsi="Times New Roman" w:cs="Times New Roman"/>
          <w:sz w:val="24"/>
          <w:szCs w:val="24"/>
        </w:rPr>
        <w:instrText>ADDIN CSL_CITATION {"citationItems":[{"id":"ITEM-1","itemData":{"DOI":"10.1068/a4585","author":[{"dropping-particle":"","family":"Davies","given":"Jonathan S","non-dropping-particle":"","parse-names":false,"suffix":""}],"id":"ITEM-1","issued":{"date-parts":[["2012"]]},"page":"2687-2704","title":"Network governance theory : a Gramscian critique","type":"article-journal","volume":"44"},"uris":["http://www.mendeley.com/documents/?uuid=4502e220-77b2-458a-93fc-b1e5c1bbcaad"]}],"mendeley":{"formattedCitation":"(Davies, 2012)","plainTextFormattedCitation":"(Davies, 2012)","previouslyFormattedCitation":"(DAVIES, 2012)"},"properties":{"noteIndex":0},"schema":"https://github.com/citation-style-language/schema/raw/master/csl-citation.json"}</w:instrText>
      </w:r>
      <w:r w:rsidRPr="00320FE3">
        <w:rPr>
          <w:rFonts w:ascii="Times New Roman" w:eastAsia="Times New Roman" w:hAnsi="Times New Roman" w:cs="Times New Roman"/>
          <w:sz w:val="24"/>
          <w:szCs w:val="24"/>
        </w:rPr>
        <w:fldChar w:fldCharType="separate"/>
      </w:r>
      <w:r w:rsidR="00320FE3" w:rsidRPr="00320FE3">
        <w:rPr>
          <w:rFonts w:ascii="Times New Roman" w:eastAsia="Times New Roman" w:hAnsi="Times New Roman" w:cs="Times New Roman"/>
          <w:noProof/>
          <w:sz w:val="24"/>
          <w:szCs w:val="24"/>
        </w:rPr>
        <w:t>(Davies, 2012)</w:t>
      </w:r>
      <w:r w:rsidRPr="00320FE3">
        <w:rPr>
          <w:rFonts w:ascii="Times New Roman" w:eastAsia="Times New Roman" w:hAnsi="Times New Roman" w:cs="Times New Roman"/>
          <w:sz w:val="24"/>
          <w:szCs w:val="24"/>
        </w:rPr>
        <w:fldChar w:fldCharType="end"/>
      </w:r>
      <w:r w:rsidRPr="00320FE3">
        <w:rPr>
          <w:rFonts w:ascii="Times New Roman" w:eastAsia="Times New Roman" w:hAnsi="Times New Roman" w:cs="Times New Roman"/>
          <w:sz w:val="24"/>
          <w:szCs w:val="24"/>
        </w:rPr>
        <w:t>. This gives rise to concern from groups of elemental human beings, highlighting the potential abuse of technology To limit the freedom of civil and control room public.</w:t>
      </w:r>
    </w:p>
    <w:p w14:paraId="4E251CD8" w14:textId="4297AAE5"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lastRenderedPageBreak/>
        <w:t xml:space="preserve">Implementation </w:t>
      </w:r>
      <w:r w:rsidRPr="00320FE3">
        <w:rPr>
          <w:rFonts w:ascii="Times New Roman" w:eastAsia="Times New Roman" w:hAnsi="Times New Roman" w:cs="Times New Roman"/>
          <w:sz w:val="24"/>
          <w:szCs w:val="24"/>
        </w:rPr>
        <w:t>technology like drones, cyber security systems supervision, and biometrics have become integral to Indonesia's policy defense over the past several years. However, the approach of postmodernism highlights how technology is not neutral in politics but refle</w:t>
      </w:r>
      <w:r w:rsidRPr="00320FE3">
        <w:rPr>
          <w:rFonts w:ascii="Times New Roman" w:eastAsia="Times New Roman" w:hAnsi="Times New Roman" w:cs="Times New Roman"/>
          <w:sz w:val="24"/>
          <w:szCs w:val="24"/>
        </w:rPr>
        <w:t xml:space="preserve">cts the power and interests of countries that use . According to Foucault, technology can create a more robust control system that forms public discipline in which every citizen is monitored and controlled </w:t>
      </w:r>
      <w:r w:rsidRPr="00320FE3">
        <w:rPr>
          <w:rFonts w:ascii="Times New Roman" w:eastAsia="Times New Roman" w:hAnsi="Times New Roman" w:cs="Times New Roman"/>
          <w:sz w:val="24"/>
          <w:szCs w:val="24"/>
        </w:rPr>
        <w:fldChar w:fldCharType="begin" w:fldLock="1"/>
      </w:r>
      <w:r w:rsidR="00320FE3" w:rsidRPr="00320FE3">
        <w:rPr>
          <w:rFonts w:ascii="Times New Roman" w:eastAsia="Times New Roman" w:hAnsi="Times New Roman" w:cs="Times New Roman"/>
          <w:sz w:val="24"/>
          <w:szCs w:val="24"/>
        </w:rPr>
        <w:instrText>ADDIN CSL_CITATION {"citationItems":[{"id":"ITEM-1","itemData":{"ISSN":"1488-559X","abstract":"The emergence of postmodern thinking in 21st century military practice, theory, and education is apparent through various international Armed Forces research, debate, and professional development. However, there is yet to exist a single overarching or agreed upon form for a postmodern military methodology, with extensive disagreement over language, form, function, and practical application in war. This essay frames the current debate by proposing an emergent movement termed the ‘postmodern military movement’ that is in conflict with the existing ‘modernist military movement’ well entrenched in most Anglo-Saxon Armed Forces. More significantly, the military appropriation of postmodern social theory invokes subsequent questions of whether the military might forge novel war applications that redefine the larger postmodern movement, or if it will remain untouched. This essay describes the current competing design theories as well as the personal journey of the author as he contributes his own military research and experimentation into the larger military profession for institutional debate and self-reflection.","author":[{"dropping-particle":"","family":"Zweibelson","given":"Ben","non-dropping-particle":"","parse-names":false,"suffix":""}],"container-title":"Journal of Military and Strategic Studies","id":"ITEM-1","issue":"4","issued":{"date-parts":[["2017"]]},"page":"139","title":"Blending Postmodernism with Military Design Methodologies: Heresy, Subversion, and other Myths of Organizational Change","type":"article-journal","volume":"17"},"uris":["http://www.mendeley.com/documents/?uuid=05c151fd-ee0a-43a6-8d2c-c733e7fcc694"]}],"mendeley":{"formattedCitation":"(Zweibelson, 2017)","plainTextFormattedCitation":"(Zweibelson, 2017)","previouslyFormattedCitation":"(ZWEIBELSON, 2017)"},"properties":{"noteIndex":0},"schema":"https://github.com/citation-style-language/schema/raw/master/csl-citation.json"}</w:instrText>
      </w:r>
      <w:r w:rsidRPr="00320FE3">
        <w:rPr>
          <w:rFonts w:ascii="Times New Roman" w:eastAsia="Times New Roman" w:hAnsi="Times New Roman" w:cs="Times New Roman"/>
          <w:sz w:val="24"/>
          <w:szCs w:val="24"/>
        </w:rPr>
        <w:fldChar w:fldCharType="separate"/>
      </w:r>
      <w:r w:rsidR="00320FE3" w:rsidRPr="00320FE3">
        <w:rPr>
          <w:rFonts w:ascii="Times New Roman" w:eastAsia="Times New Roman" w:hAnsi="Times New Roman" w:cs="Times New Roman"/>
          <w:noProof/>
          <w:sz w:val="24"/>
          <w:szCs w:val="24"/>
        </w:rPr>
        <w:t>(Zweibelson, 2017)</w:t>
      </w:r>
      <w:r w:rsidRPr="00320FE3">
        <w:rPr>
          <w:rFonts w:ascii="Times New Roman" w:eastAsia="Times New Roman" w:hAnsi="Times New Roman" w:cs="Times New Roman"/>
          <w:sz w:val="24"/>
          <w:szCs w:val="24"/>
        </w:rPr>
        <w:fldChar w:fldCharType="end"/>
      </w:r>
      <w:r w:rsidRPr="00320FE3">
        <w:rPr>
          <w:rFonts w:ascii="Times New Roman" w:eastAsia="Times New Roman" w:hAnsi="Times New Roman" w:cs="Times New Roman"/>
          <w:sz w:val="24"/>
          <w:szCs w:val="24"/>
        </w:rPr>
        <w:t>. In Indonesia, the use of advanced technology in policy</w:t>
      </w:r>
      <w:r w:rsidRPr="00320FE3">
        <w:rPr>
          <w:rFonts w:ascii="Times New Roman" w:eastAsia="Times New Roman" w:hAnsi="Times New Roman" w:cs="Times New Roman"/>
          <w:sz w:val="24"/>
          <w:szCs w:val="24"/>
        </w:rPr>
        <w:t xml:space="preserve"> defense has also increased debates about privacy, fundamental human rights, and government transparency.</w:t>
      </w:r>
    </w:p>
    <w:p w14:paraId="00D07B2A" w14:textId="1B6B0B87"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In the global context, Indonesia is also involved in international work involving​ digital surveillance and the use of technology For security, especially against threats of rates of transnational terrorism like ISIS. However, postmodernism emphasizes that</w:t>
      </w:r>
      <w:r w:rsidRPr="00320FE3">
        <w:rPr>
          <w:rFonts w:ascii="Times New Roman" w:eastAsia="Times New Roman" w:hAnsi="Times New Roman" w:cs="Times New Roman"/>
          <w:sz w:val="24"/>
          <w:szCs w:val="24"/>
        </w:rPr>
        <w:t xml:space="preserve"> collaboration is often shrouded in narrative-dominant security, which ultimately can ignore aspects of rights, basic humanity, and civil freedom </w:t>
      </w:r>
      <w:r w:rsidRPr="00320FE3">
        <w:rPr>
          <w:rFonts w:ascii="Times New Roman" w:eastAsia="Times New Roman" w:hAnsi="Times New Roman" w:cs="Times New Roman"/>
          <w:sz w:val="24"/>
          <w:szCs w:val="24"/>
        </w:rPr>
        <w:fldChar w:fldCharType="begin" w:fldLock="1"/>
      </w:r>
      <w:r w:rsidR="00320FE3" w:rsidRPr="00320FE3">
        <w:rPr>
          <w:rFonts w:ascii="Times New Roman" w:eastAsia="Times New Roman" w:hAnsi="Times New Roman" w:cs="Times New Roman"/>
          <w:sz w:val="24"/>
          <w:szCs w:val="24"/>
        </w:rPr>
        <w:instrText>ADDIN CSL_CITATION {"citationItems":[{"id":"ITEM-1","itemData":{"ISBN":"9783031136931","author":[{"dropping-particle":"","family":"Conrad","given":"Maximilian","non-dropping-particle":"","parse-names":false,"suffix":""},{"dropping-particle":"","family":"Hálfdanarson","given":"Guðmundur","non-dropping-particle":"","parse-names":false,"suffix":""},{"dropping-particle":"","family":"Michailidou","given":"Asimina","non-dropping-particle":"","parse-names":false,"suffix":""},{"dropping-particle":"","family":"Galpin","given":"Charlotte","non-dropping-particle":"","parse-names":false,"suffix":""},{"dropping-particle":"","family":"Pyrhönen","given":"Niko","non-dropping-particle":"","parse-names":false,"suffix":""}],"id":"ITEM-1","issued":{"date-parts":[["2023"]]},"publisher":"Palgrave Macmillan","publisher-place":"Oslo,Helsinki,Birmingham","title":"Europe in the Age of Post-Truth Politics Populism, Disinformation and the Public Sphere","type":"book"},"uris":["http://www.mendeley.com/documents/?uuid=106f4e7e-83be-4747-8564-849382c1f656"]}],"mendeley":{"formattedCitation":"(Conrad et al., 2023)","plainTextFormattedCitation":"(Conrad et al., 2023)","previouslyFormattedCitation":"(CONRAD et al., 2023)"},"properties":{"noteIndex":0},"schema":"https://github.com/citation-style-language/schema/raw/master/csl-citation.json"}</w:instrText>
      </w:r>
      <w:r w:rsidRPr="00320FE3">
        <w:rPr>
          <w:rFonts w:ascii="Times New Roman" w:eastAsia="Times New Roman" w:hAnsi="Times New Roman" w:cs="Times New Roman"/>
          <w:sz w:val="24"/>
          <w:szCs w:val="24"/>
        </w:rPr>
        <w:fldChar w:fldCharType="separate"/>
      </w:r>
      <w:r w:rsidR="00320FE3" w:rsidRPr="00320FE3">
        <w:rPr>
          <w:rFonts w:ascii="Times New Roman" w:eastAsia="Times New Roman" w:hAnsi="Times New Roman" w:cs="Times New Roman"/>
          <w:noProof/>
          <w:sz w:val="24"/>
          <w:szCs w:val="24"/>
        </w:rPr>
        <w:t>(Conrad et al., 2023)</w:t>
      </w:r>
      <w:r w:rsidRPr="00320FE3">
        <w:rPr>
          <w:rFonts w:ascii="Times New Roman" w:eastAsia="Times New Roman" w:hAnsi="Times New Roman" w:cs="Times New Roman"/>
          <w:sz w:val="24"/>
          <w:szCs w:val="24"/>
        </w:rPr>
        <w:fldChar w:fldCharType="end"/>
      </w:r>
      <w:r w:rsidRPr="00320FE3">
        <w:rPr>
          <w:rFonts w:ascii="Times New Roman" w:eastAsia="Times New Roman" w:hAnsi="Times New Roman" w:cs="Times New Roman"/>
          <w:sz w:val="24"/>
          <w:szCs w:val="24"/>
        </w:rPr>
        <w:t>. Policy defense that prioritizes tech</w:t>
      </w:r>
      <w:r w:rsidRPr="00320FE3">
        <w:rPr>
          <w:rFonts w:ascii="Times New Roman" w:eastAsia="Times New Roman" w:hAnsi="Times New Roman" w:cs="Times New Roman"/>
          <w:sz w:val="24"/>
          <w:szCs w:val="24"/>
        </w:rPr>
        <w:t>nology without considering its implications tends to strengthen state power rather than protect citizens.</w:t>
      </w:r>
    </w:p>
    <w:p w14:paraId="5911B4ED" w14:textId="59F21250"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In the post-truth era, narratives of policy defense are often conditioned by manipulating information and technology. Approach postmodernism highlight</w:t>
      </w:r>
      <w:r w:rsidRPr="00320FE3">
        <w:rPr>
          <w:rFonts w:ascii="Times New Roman" w:eastAsia="Times New Roman" w:hAnsi="Times New Roman" w:cs="Times New Roman"/>
          <w:sz w:val="24"/>
          <w:szCs w:val="24"/>
        </w:rPr>
        <w:t>s that modern policy defense, including Indonesia, can use exaggerated threats to silence different political opinions. Thus, the notion of postmodernism in Indonesia’s defense policy opens room for evaluating repeat assumptions about security, technology,</w:t>
      </w:r>
      <w:r w:rsidRPr="00320FE3">
        <w:rPr>
          <w:rFonts w:ascii="Times New Roman" w:eastAsia="Times New Roman" w:hAnsi="Times New Roman" w:cs="Times New Roman"/>
          <w:sz w:val="24"/>
          <w:szCs w:val="24"/>
        </w:rPr>
        <w:t xml:space="preserve"> and power in increasingly complex global and domestic contexts.</w:t>
      </w:r>
    </w:p>
    <w:p w14:paraId="1756CA8F" w14:textId="77777777" w:rsidR="00673AD3" w:rsidRPr="00320FE3" w:rsidRDefault="00673AD3" w:rsidP="00673AD3">
      <w:pPr>
        <w:pStyle w:val="NormalWeb"/>
        <w:spacing w:before="0" w:beforeAutospacing="0" w:after="0" w:afterAutospacing="0"/>
        <w:ind w:firstLine="720"/>
        <w:jc w:val="both"/>
      </w:pPr>
    </w:p>
    <w:p w14:paraId="77A58273" w14:textId="14BB7158" w:rsidR="00673AD3" w:rsidRPr="00320FE3" w:rsidRDefault="00DF76B8" w:rsidP="002C66BB">
      <w:pPr>
        <w:pStyle w:val="Heading3"/>
        <w:spacing w:before="0"/>
        <w:ind w:firstLine="0"/>
        <w:jc w:val="both"/>
        <w:rPr>
          <w:rFonts w:ascii="Times New Roman" w:hAnsi="Times New Roman" w:cs="Times New Roman"/>
          <w:b/>
          <w:bCs/>
          <w:sz w:val="24"/>
          <w:szCs w:val="24"/>
        </w:rPr>
      </w:pPr>
      <w:r w:rsidRPr="00320FE3">
        <w:rPr>
          <w:rFonts w:ascii="Times New Roman" w:hAnsi="Times New Roman" w:cs="Times New Roman"/>
          <w:b/>
          <w:bCs/>
          <w:sz w:val="24"/>
          <w:szCs w:val="24"/>
        </w:rPr>
        <w:t>4</w:t>
      </w:r>
      <w:r w:rsidR="00121E7C" w:rsidRPr="00320FE3">
        <w:rPr>
          <w:rFonts w:ascii="Times New Roman" w:hAnsi="Times New Roman" w:cs="Times New Roman"/>
          <w:b/>
          <w:bCs/>
          <w:sz w:val="24"/>
          <w:szCs w:val="24"/>
        </w:rPr>
        <w:t>.</w:t>
      </w:r>
      <w:r w:rsidR="004E38AB" w:rsidRPr="00320FE3">
        <w:rPr>
          <w:rFonts w:ascii="Times New Roman" w:hAnsi="Times New Roman" w:cs="Times New Roman"/>
          <w:b/>
          <w:bCs/>
          <w:sz w:val="24"/>
          <w:szCs w:val="24"/>
        </w:rPr>
        <w:t xml:space="preserve"> Global Challenges and Traditional Threats</w:t>
      </w:r>
    </w:p>
    <w:p w14:paraId="238A5FF4" w14:textId="2A7199FA" w:rsidR="00673AD3" w:rsidRPr="00320FE3" w:rsidRDefault="00DF76B8" w:rsidP="00673AD3">
      <w:pPr>
        <w:pStyle w:val="NormalWeb"/>
        <w:spacing w:before="0" w:beforeAutospacing="0" w:after="0" w:afterAutospacing="0"/>
        <w:ind w:firstLine="720"/>
        <w:jc w:val="both"/>
      </w:pPr>
      <w:r w:rsidRPr="00320FE3">
        <w:t>The virtual world has changed connections internationally. The four main areas that need to be reviewed are prevention, selection instrument poli</w:t>
      </w:r>
      <w:r w:rsidRPr="00320FE3">
        <w:t xml:space="preserve">cy abroad, uncertainty, and interaction between states and non-states </w:t>
      </w:r>
      <w:r w:rsidRPr="00320FE3">
        <w:fldChar w:fldCharType="begin" w:fldLock="1"/>
      </w:r>
      <w:r w:rsidR="00320FE3" w:rsidRPr="00320FE3">
        <w:instrText>ADDIN CSL_CITATION {"citationItems":[{"id":"ITEM-1","itemData":{"DOI":"10.1080/13523260.2024.2365062","ISSN":"17438764","abstract":"This article proposes a new way to understand cyberspace's impact on international relations by treating it as a “structural modifier.” This shared language with IR allows for a clearer picture of cyberspace's causal role and effects. Unlike previous views of cyberspace as a mere domain or a revolutionary tool, this approach sees it as influencing all states’ behavior within the existing international structure. Cyberspace alters the nature and number of interactions between states, but only within the confines and constraints of the existing structure. The article demonstrates the analytical value of this approach across four key areas: deterrence, foreign policy tool choice, uncertainty, and state/non-state actor interactions. Thinking of cyberspace as a structural modifier heeds policy-makers to remain skeptical of pressures to focus on cyberspace in isolation or at the expense of other statecraft domains and tools, or to make decisions based on the idea that cyberspace revolutionizes international relations.","author":[{"dropping-particle":"","family":"Foulon","given":"Michiel","non-dropping-particle":"","parse-names":false,"suffix":""},{"dropping-particle":"","family":"Meibauer","given":"Gustav","non-dropping-particle":"","parse-names":false,"suffix":""}],"container-title":"Contemporary Security Policy","id":"ITEM-1","issued":{"date-parts":[["2024"]]},"title":"How cyberspace affects international relations: The promise of structural modifiers","type":"article-journal"},"uris":["http://www.mendeley.com/documents/?uuid=96d9210c-0e9b-4b1e-8cdb-613a91ef86c8"]}],"mendeley":{"formattedCitation":"(Foulon &amp; Meibauer, 2024)","plainTextFormattedCitation":"(Foulon &amp; Meibauer, 2024)","previouslyFormattedCitation":"(FOULON; MEIBAUER, 2024)"},"properties":{"noteIndex":0},"schema":"https://github.com/citation-style-language/schema/raw/master/csl-citation.json"}</w:instrText>
      </w:r>
      <w:r w:rsidRPr="00320FE3">
        <w:fldChar w:fldCharType="separate"/>
      </w:r>
      <w:r w:rsidR="00320FE3" w:rsidRPr="00320FE3">
        <w:rPr>
          <w:noProof/>
        </w:rPr>
        <w:t>(Foulon &amp; Meibauer, 2024)</w:t>
      </w:r>
      <w:r w:rsidRPr="00320FE3">
        <w:fldChar w:fldCharType="end"/>
      </w:r>
      <w:r w:rsidRPr="00320FE3">
        <w:t>. Indonesia’s defense policy is also faced with increasingly complex global challenges. Non- Non-traditional threats like climate change, terrorism, and cyber security need to be more adaptiv</w:t>
      </w:r>
      <w:r w:rsidRPr="00320FE3">
        <w:t>e and cooperative policies. Climate change, for example, has seriously threatened Indonesia as an archipelagic country. The rising surface sea and increasing frequency of natural disasters like floods and earthquakes demand a more comprehensive defense pol</w:t>
      </w:r>
      <w:r w:rsidRPr="00320FE3">
        <w:t xml:space="preserve">icy, which includes disaster mitigation and risk management </w:t>
      </w:r>
      <w:r w:rsidRPr="00320FE3">
        <w:fldChar w:fldCharType="begin" w:fldLock="1"/>
      </w:r>
      <w:r w:rsidR="00320FE3" w:rsidRPr="00320FE3">
        <w:instrText>ADDIN CSL_CITATION {"citationItems":[{"id":"ITEM-1","itemData":{"ISBN":"9783031165672","abstract":"This open access book discusses the impact of protracted peace processes on identities in conflict. It is concerned with how lingering peace processes affect, in the long-term, patterns of othering in protracted conflicts, and how this relates with enduring violence. Taking Israel and Palestine as a case study, the book traces different representations of success and failure of the protracted peace process, as well as its associated policies, narratives, norms and practices, to analyze its impact on identity and its contribution to the maintenance and/or transformation of the cultural component of violence. On the one hand, drawing from an interdisciplinary approach comprising International Relations (IR), History and Social Psychology, this book proposes an analytical framework for assessing the specificities of the construction of identities in protracted conflicts. It identifies dehumanization and practices of reconciliation in ongoing conflicts – what is called peace-less reconciliation – as the main elements influencing processes of othering and violence in this kind of conflicts. On the other hand, the book offers an empirical historical analysis on how the protracted peace process has impacted identity building and representations made of the ‘other’ in the case of the Israeli-Palestinian conflict since the end of the 19th century to the present day.","author":[{"dropping-particle":"","family":"Ricarte","given":"Joana","non-dropping-particle":"","parse-names":false,"suffix":""}],"id":"ITEM-1","issued":{"date-parts":[["2023"]]},"number-of-pages":"161","title":"The Impact of Protracted Peace Processes on Identities in Conflict : The Case of Israel and Palestine","type":"book"},"uris":["http://www.mendeley.com/documents/?uuid=e3f36937-5437-478a-b1fe-e252ba0fb088"]}],"mendeley":{"formattedCitation":"(Ricarte, 2023)","plainTextFormattedCitation":"(Ricarte, 2023)","previouslyFormattedCitation":"(RICARTE, 2023)"},"properties":{"noteIndex":0},"schema":"https://github.com/citation-style-language/schema/raw/master/csl-citation.json"}</w:instrText>
      </w:r>
      <w:r w:rsidRPr="00320FE3">
        <w:fldChar w:fldCharType="separate"/>
      </w:r>
      <w:r w:rsidR="00320FE3" w:rsidRPr="00320FE3">
        <w:rPr>
          <w:noProof/>
        </w:rPr>
        <w:t>(Ricarte, 2023)</w:t>
      </w:r>
      <w:r w:rsidRPr="00320FE3">
        <w:fldChar w:fldCharType="end"/>
      </w:r>
      <w:r w:rsidRPr="00320FE3">
        <w:t>.</w:t>
      </w:r>
    </w:p>
    <w:p w14:paraId="0E8FD5F5" w14:textId="6421D6A9" w:rsidR="00673AD3" w:rsidRPr="00320FE3" w:rsidRDefault="00DF76B8" w:rsidP="00673AD3">
      <w:pPr>
        <w:pStyle w:val="NormalWeb"/>
        <w:spacing w:before="0" w:beforeAutospacing="0" w:after="0" w:afterAutospacing="0"/>
        <w:ind w:firstLine="720"/>
        <w:jc w:val="both"/>
      </w:pPr>
      <w:r w:rsidRPr="00320FE3">
        <w:t>Security Cybersecurity has also become a central foc</w:t>
      </w:r>
      <w:r w:rsidRPr="00320FE3">
        <w:t>us in modern policy defense. Indonesia strengthened its legal and technical forces to overcome cyber threats by forming the National Cyber and Crypto Agency (BSSN). The main challenges facing cyber threats are limitations, such as power-competent human bei</w:t>
      </w:r>
      <w:r w:rsidRPr="00320FE3">
        <w:t xml:space="preserve">ngs and inadequate infrastructure for handling cyber attacks on a large scale. Interaction between outer space and cyberspace underscores problem security that requires efforts focused on guarding infrastructure </w:t>
      </w:r>
      <w:r w:rsidRPr="00320FE3">
        <w:fldChar w:fldCharType="begin" w:fldLock="1"/>
      </w:r>
      <w:r w:rsidR="00320FE3" w:rsidRPr="00320FE3">
        <w:instrText>ADDIN CSL_CITATION {"citationItems":[{"id":"ITEM-1","itemData":{"DOI":"10.1016/j.spacepol.2023.101600","ISSN":"1879338X","abstract":"Space borne systems, such as communication satellites, sensory, surveillance, GPS and a multitude of other functionalities, form an integral part of global ICT cyber infrastructures. However, a focused discourse highlighting the distinctive threats landscape of these space borne assets is conspicuous by its absence. This article specifically considers the interplay of Space and Cyberspace to highlight security challenges that warrant dedicated attention in securing these complex infrastructures. This article additionally adds summary opinions on (a) emerging technology trends and (b) advocacy on technological and policy issues needed to support security responsiveness and mitigation.","author":[{"dropping-particle":"","family":"Varadharajan","given":"Vijay","non-dropping-particle":"","parse-names":false,"suffix":""},{"dropping-particle":"","family":"Suri","given":"Neeraj","non-dropping-particle":"","parse-names":false,"suffix":""}],"container-title":"Space Policy","id":"ITEM-1","issue":"November 2023","issued":{"date-parts":[["2024"]]},"page":"101600","publisher":"Elsevier Ltd","title":"Security challenges when space merges with cyberspace","type":"article-journal","volume":"67"},"uris":["http://www.mendeley.com/documents/?uuid=77ac1710-c119-43e1-ac78-806827260aff"]}],"mendeley":{"formattedCitation":"(Varadharajan &amp; Suri, 2024)","plainTextFormattedCitation":"(Varadharajan &amp; Suri, 2024)","previouslyFormattedCitation":"(VARADHARAJAN; SURI, 2024)"},"properties":{"noteIndex":0},"schema":"https://github.com/citation-style-language/schema/raw/master/csl-citation.json"}</w:instrText>
      </w:r>
      <w:r w:rsidRPr="00320FE3">
        <w:fldChar w:fldCharType="separate"/>
      </w:r>
      <w:r w:rsidR="00320FE3" w:rsidRPr="00320FE3">
        <w:rPr>
          <w:noProof/>
        </w:rPr>
        <w:t>(Varadharajan &amp; Suri, 2024)</w:t>
      </w:r>
      <w:r w:rsidRPr="00320FE3">
        <w:fldChar w:fldCharType="end"/>
      </w:r>
      <w:r w:rsidRPr="00320FE3">
        <w:t xml:space="preserve">. Education and training are sustainable solutions to security cyber </w:t>
      </w:r>
      <w:r w:rsidRPr="00320FE3">
        <w:fldChar w:fldCharType="begin" w:fldLock="1"/>
      </w:r>
      <w:r w:rsidR="00320FE3" w:rsidRPr="00320FE3">
        <w:instrText>ADDIN CSL_CITATION {"citationItems":[{"id":"ITEM-1","itemData":{"DOI":"10.1007/s10111-021-00683-y","ISBN":"0123456789","ISSN":"14355566","abstract":"Computer and Information Security (CIS) is usually approached adopting a technology-centric viewpoint, where the human components of sociotechnical systems are generally considered as their weakest part, with little consideration for the end users’ cognitive characteristics, needs and motivations. This paper presents a holistic/Human Factors (HF) approach, where the individual, organisational and technological factors are investigated in pilot healthcare organisations to show how HF vulnerabilities may impact on cybersecurity risks. An overview of current challenges in relation to cybersecurity is first provided, followed by the presentation of an integrated top–down and bottom–up methodology using qualitative and quantitative research methods to assess the level of maturity of the pilot organisations with respect to their capability to face and tackle cyber threats and attacks. This approach adopts a user-centred perspective, involving both the organisations’ management and employees, The results show that a better cyber-security culture does not always correspond with more rule compliant behaviour. In addition, conflicts among cybersecurity rules and procedures may trigger human vulnerabilities. In conclusion, the integration of traditional technical solutions with guidelines to enhance CIS systems by leveraging HF in cybersecurity may lead to the adoption of non-technical countermeasures (such as user awareness) for a comprehensive and holistic way to manage cyber security in organisations.","author":[{"dropping-particle":"","family":"Pollini","given":"Alessandro","non-dropping-particle":"","parse-names":false,"suffix":""},{"dropping-particle":"","family":"Callari","given":"Tiziana C.","non-dropping-particle":"","parse-names":false,"suffix":""},{"dropping-particle":"","family":"Tedeschi","given":"Alessandra","non-dropping-particle":"","parse-names":false,"suffix":""},{"dropping-particle":"","family":"Ruscio","given":"Daniele","non-dropping-particle":"","parse-names":false,"suffix":""},{"dropping-particle":"","family":"Save","given":"Luca","non-dropping-particle":"","parse-names":false,"suffix":""},{"dropping-particle":"","family":"Chiarugi","given":"Franco","non-dropping-particle":"","parse-names":false,"suffix":""},{"dropping-particle":"","family":"Guerri","given":"Davide","non-dropping-particle":"","parse-names":false,"suffix":""}],"container-title":"Cognition, Technology and Work","id":"ITEM-1","issue":"2","issued":{"date-parts":[["2022"]]},"page":"371-390","publisher":"Springer London","title":"Leveraging human factors in cybersecurity: an integrated methodological approach","type":"article-journal","volume":"24"},"uris":["http://www.mendeley.com/documents/?uuid=47f02512-e596-439e-9fe5-c8597283dbc5"]}],"mendeley":{"formattedCitation":"(Pollini et al., 2022)","plainTextFormattedCitation":"(Pollini et al., 2022)","previouslyFormattedCitation":"(POLLINI et al., 2022)"},"properties":{"noteIndex":0},"schema":"https://github.com/citation-style-language/schema/raw/master/csl-citation.json"}</w:instrText>
      </w:r>
      <w:r w:rsidRPr="00320FE3">
        <w:fldChar w:fldCharType="separate"/>
      </w:r>
      <w:r w:rsidR="00320FE3" w:rsidRPr="00320FE3">
        <w:rPr>
          <w:noProof/>
        </w:rPr>
        <w:t>(Pollini et al., 2022)</w:t>
      </w:r>
      <w:r w:rsidRPr="00320FE3">
        <w:fldChar w:fldCharType="end"/>
      </w:r>
      <w:r w:rsidRPr="00320FE3">
        <w:t>. However, cultural security is more cyber​ good. It is not always correlated with improved compliance with regulations. Con</w:t>
      </w:r>
      <w:r w:rsidRPr="00320FE3">
        <w:t xml:space="preserve">flicts between rules and protocols in security cyberattacks can worsen the vulnerability of humans </w:t>
      </w:r>
      <w:r w:rsidRPr="00320FE3">
        <w:fldChar w:fldCharType="begin" w:fldLock="1"/>
      </w:r>
      <w:r w:rsidR="00320FE3" w:rsidRPr="00320FE3">
        <w:instrText>ADDIN CSL_CITATION {"citationItems":[{"id":"ITEM-1","itemData":{"DOI":"10.1007/s10111-021-00683-y","ISBN":"0123456789","ISSN":"14355566","abstract":"Computer and Information Security (CIS) is usually approached adopting a technology-centric viewpoint, where the human components of sociotechnical systems are generally considered as their weakest part, with little consideration for the end users’ cognitive characteristics, needs and motivations. This paper presents a holistic/Human Factors (HF) approach, where the individual, organisational and technological factors are investigated in pilot healthcare organisations to show how HF vulnerabilities may impact on cybersecurity risks. An overview of current challenges in relation to cybersecurity is first provided, followed by the presentation of an integrated top–down and bottom–up methodology using qualitative and quantitative research methods to assess the level of maturity of the pilot organisations with respect to their capability to face and tackle cyber threats and attacks. This approach adopts a user-centred perspective, involving both the organisations’ management and employees, The results show that a better cyber-security culture does not always correspond with more rule compliant behaviour. In addition, conflicts among cybersecurity rules and procedures may trigger human vulnerabilities. In conclusion, the integration of traditional technical solutions with guidelines to enhance CIS systems by leveraging HF in cybersecurity may lead to the adoption of non-technical countermeasures (such as user awareness) for a comprehensive and holistic way to manage cyber security in organisations.","author":[{"dropping-particle":"","family":"Pollini","given":"Alessandro","non-dropping-particle":"","parse-names":false,"suffix":""},{"dropping-particle":"","family":"Callari","given":"Tiziana C.","non-dropping-particle":"","parse-names":false,"suffix":""},{"dropping-particle":"","family":"Tedeschi","given":"Alessandra","non-dropping-particle":"","parse-names":false,"suffix":""},{"dropping-particle":"","family":"Ruscio","given":"Daniele","non-dropping-particle":"","parse-names":false,"suffix":""},{"dropping-particle":"","family":"Save","given":"Luca","non-dropping-particle":"","parse-names":false,"suffix":""},{"dropping-particle":"","family":"Chiarugi","given":"Franco","non-dropping-particle":"","parse-names":false,"suffix":""},{"dropping-particle":"","family":"Guerri","given":"Davide","non-dropping-particle":"","parse-names":false,"suffix":""}],"container-title":"Cognition, Technology and Work","id":"ITEM-1","issue":"2","issued":{"date-parts":[["2022"]]},"page":"371-390","publisher":"Springer London","title":"Leveraging human factors in cybersecurity: an integrated methodological approach","type":"article-journal","volume":"24"},"uris":["http://www.mendeley.com/documents/?uuid=47f02512-e596-439e-9fe5-c8597283dbc5"]}],"mendeley":{"formattedCitation":"(Pollini et al., 2022)","plainTextFormattedCitation":"(Pollini et al., 2022)","previouslyFormattedCitation":"(POLLINI et al., 2022)"},"properties":{"noteIndex":0},"schema":"https://github.com/citation-style-language/schema/raw/master/csl-citation.json"}</w:instrText>
      </w:r>
      <w:r w:rsidRPr="00320FE3">
        <w:fldChar w:fldCharType="separate"/>
      </w:r>
      <w:r w:rsidR="00320FE3" w:rsidRPr="00320FE3">
        <w:rPr>
          <w:noProof/>
        </w:rPr>
        <w:t>(Pollini et al., 2022)</w:t>
      </w:r>
      <w:r w:rsidRPr="00320FE3">
        <w:fldChar w:fldCharType="end"/>
      </w:r>
      <w:r w:rsidRPr="00320FE3">
        <w:t>. Terroris</w:t>
      </w:r>
      <w:r w:rsidRPr="00320FE3">
        <w:t>m has also become a significant threat. After the Bali bombing, Indonesia strengthened its counter-terrorism policy through international cooperation and coordination of inter-agency security. However, the threat of transnational terrorism, like ISIS, forc</w:t>
      </w:r>
      <w:r w:rsidRPr="00320FE3">
        <w:t xml:space="preserve">es Indonesia to adopt a counter-terrorism approach that involves collaboration with other countries in Southeast Asia </w:t>
      </w:r>
      <w:r w:rsidRPr="00320FE3">
        <w:fldChar w:fldCharType="begin" w:fldLock="1"/>
      </w:r>
      <w:r w:rsidR="00320FE3" w:rsidRPr="00320FE3">
        <w:instrText>ADDIN CSL_CITATION {"citationItems":[{"id":"ITEM-1","itemData":{"DOI":"10.59593/amlcft.2023.v2i1.147","ISSN":"2963-220X","abstract":"The issue of terrorism in Indonesia has escalated from causing problems in its home country to other countries. These new groups of terrorists are called Foreign Terrorist Fighters (FTFs). The qualitative method used in this paper to analyse the emergence of Indonesian FTFs to Syria to fight alongside the Islamic State of Iraq and Syria (ISIS) by using the theoretical framework of Political Economy Analysis (PEA), Market Analysis (MA), and Theory of Change. By using PEA, it could be argued that at the macro, sectoral, and micro levels, the emergence of Indonesian FTFs is inevitable. The use of MA also supports the emergence of Indonesian FTFs and how to intervene in them. Finally, this paper argued the theory of change to stop the flow of Indonesian FTFs, namely deterrence for supporters of Indonesian FTFs, communicate effectively with people influenced by terrorist doctrine, and change the culture by redefining the concept of jihad and applying it to the current Islamic education curriculum. Despite the fact that Indonesian FTFs to Syria have ceased since the defeat of ISIS, this paper argues that PEA, MA, and the Theory of Change can be used to analyse the future movement of Indonesian FTFs and to take preventative measures against it.","author":[{"dropping-particle":"","family":"Bramantyo","given":"Muhammad Hilmy","non-dropping-particle":"","parse-names":false,"suffix":""}],"container-title":"AML/CFT Journal The Journal of Anti Money Laundering and Countering the Financing of Terrorism","id":"ITEM-1","issue":"1","issued":{"date-parts":[["2023"]]},"page":"83-99","title":"Understanding the rise of Indonesian Foreign Terrorist Fighter","type":"article-journal","volume":"2"},"uris":["http://www.mendeley.com/documents/?uuid=d901e62a-1da9-404e-a1d5-c760b1f55ee4"]}],"mendeley":{"formattedCitation":"(Bramantyo, 2023)","plainTextFormattedCitation":"(Bramantyo, 2023)","previouslyFormattedCitation":"(BRAMANTYO, 2023)"},"properties":{"noteIndex":0},"schema":"https://github.com/citation-style-language/schema/raw/master/csl-citation.json"}</w:instrText>
      </w:r>
      <w:r w:rsidRPr="00320FE3">
        <w:fldChar w:fldCharType="separate"/>
      </w:r>
      <w:r w:rsidR="00320FE3" w:rsidRPr="00320FE3">
        <w:rPr>
          <w:noProof/>
        </w:rPr>
        <w:t>(Bramantyo, 2023)</w:t>
      </w:r>
      <w:r w:rsidRPr="00320FE3">
        <w:fldChar w:fldCharType="end"/>
      </w:r>
      <w:r w:rsidRPr="00320FE3">
        <w:t>.</w:t>
      </w:r>
    </w:p>
    <w:p w14:paraId="3F0FC1F7" w14:textId="77777777" w:rsidR="00673AD3" w:rsidRPr="00320FE3" w:rsidRDefault="00673AD3" w:rsidP="00673AD3">
      <w:pPr>
        <w:pStyle w:val="NormalWeb"/>
        <w:spacing w:before="0" w:beforeAutospacing="0" w:after="0" w:afterAutospacing="0"/>
        <w:ind w:firstLine="720"/>
        <w:jc w:val="both"/>
      </w:pPr>
    </w:p>
    <w:p w14:paraId="5A90EFC7" w14:textId="4400F4E3" w:rsidR="00673AD3" w:rsidRPr="00320FE3" w:rsidRDefault="00DF76B8" w:rsidP="002C66BB">
      <w:pPr>
        <w:pStyle w:val="Heading3"/>
        <w:spacing w:before="0"/>
        <w:ind w:firstLine="0"/>
        <w:jc w:val="both"/>
        <w:rPr>
          <w:rFonts w:ascii="Times New Roman" w:hAnsi="Times New Roman" w:cs="Times New Roman"/>
          <w:b/>
          <w:bCs/>
          <w:sz w:val="24"/>
          <w:szCs w:val="24"/>
        </w:rPr>
      </w:pPr>
      <w:r w:rsidRPr="00320FE3">
        <w:rPr>
          <w:rFonts w:ascii="Times New Roman" w:hAnsi="Times New Roman" w:cs="Times New Roman"/>
          <w:b/>
          <w:bCs/>
          <w:sz w:val="24"/>
          <w:szCs w:val="24"/>
        </w:rPr>
        <w:lastRenderedPageBreak/>
        <w:t>5</w:t>
      </w:r>
      <w:r w:rsidR="00121E7C" w:rsidRPr="00320FE3">
        <w:rPr>
          <w:rFonts w:ascii="Times New Roman" w:hAnsi="Times New Roman" w:cs="Times New Roman"/>
          <w:b/>
          <w:bCs/>
          <w:sz w:val="24"/>
          <w:szCs w:val="24"/>
        </w:rPr>
        <w:t>.</w:t>
      </w:r>
      <w:r w:rsidR="004E38AB" w:rsidRPr="00320FE3">
        <w:rPr>
          <w:rFonts w:ascii="Times New Roman" w:hAnsi="Times New Roman" w:cs="Times New Roman"/>
          <w:b/>
          <w:bCs/>
          <w:sz w:val="24"/>
          <w:szCs w:val="24"/>
        </w:rPr>
        <w:t>Technology and Policy in Indonesian Defense</w:t>
      </w:r>
    </w:p>
    <w:p w14:paraId="054B9756" w14:textId="07AAA4D0"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Development technology, especially in intelligence and cybersecurity, has significantly changed Indonesian defense policy. Technology allows a country to monitor its territory in a more effective and responsive manner to threats in real time. Technology li</w:t>
      </w:r>
      <w:r w:rsidRPr="00320FE3">
        <w:rPr>
          <w:rFonts w:ascii="Times New Roman" w:eastAsia="Times New Roman" w:hAnsi="Times New Roman" w:cs="Times New Roman"/>
          <w:sz w:val="24"/>
          <w:szCs w:val="24"/>
        </w:rPr>
        <w:t xml:space="preserve">ke radar systems, drones, and device monitoring are used to guard maritime security​ from the threat of piracy and smuggling, especially in areas with vast and complex waters​ that are reachable </w:t>
      </w:r>
      <w:r w:rsidRPr="00320FE3">
        <w:rPr>
          <w:rFonts w:ascii="Times New Roman" w:hAnsi="Times New Roman" w:cs="Times New Roman"/>
          <w:sz w:val="24"/>
          <w:szCs w:val="24"/>
        </w:rPr>
        <w:fldChar w:fldCharType="begin" w:fldLock="1"/>
      </w:r>
      <w:r w:rsidR="00320FE3" w:rsidRPr="00320FE3">
        <w:rPr>
          <w:rFonts w:ascii="Times New Roman" w:hAnsi="Times New Roman" w:cs="Times New Roman"/>
          <w:sz w:val="24"/>
          <w:szCs w:val="24"/>
        </w:rPr>
        <w:instrText>ADDIN CSL_CITATION {"citationItems":[{"id":"ITEM-1","itemData":{"ISBN":"9789798878046","author":[{"dropping-particle":"","family":"Kemhan RI","given":"","non-dropping-particle":"","parse-names":false,"suffix":""}],"id":"ITEM-1","issued":{"date-parts":[["2015"]]},"publisher-place":"Jakarta","title":"Buku Putih Pertahanan","type":"book"},"uris":["http://www.mendeley.com/documents/?uuid=183710f5-e80f-4c3f-823e-d4c43bca9197"]}],"mendeley":{"formattedCitation":"(Kemhan RI, 2015)","plainTextFormattedCitation":"(Kemhan RI, 2015)","previouslyFormattedCitation":"(KEMHAN RI, 2015)"},"properties":{"noteIndex":0},"schema":"https://github.com/citation-style-language/schema/raw/master/csl-citation.json"}</w:instrText>
      </w:r>
      <w:r w:rsidRPr="00320FE3">
        <w:rPr>
          <w:rFonts w:ascii="Times New Roman" w:hAnsi="Times New Roman" w:cs="Times New Roman"/>
          <w:sz w:val="24"/>
          <w:szCs w:val="24"/>
        </w:rPr>
        <w:fldChar w:fldCharType="separate"/>
      </w:r>
      <w:r w:rsidR="00320FE3" w:rsidRPr="00320FE3">
        <w:rPr>
          <w:rFonts w:ascii="Times New Roman" w:hAnsi="Times New Roman" w:cs="Times New Roman"/>
          <w:noProof/>
          <w:sz w:val="24"/>
          <w:szCs w:val="24"/>
        </w:rPr>
        <w:t>(Kemhan RI, 2015)</w:t>
      </w:r>
      <w:r w:rsidRPr="00320FE3">
        <w:rPr>
          <w:rFonts w:ascii="Times New Roman" w:hAnsi="Times New Roman" w:cs="Times New Roman"/>
          <w:sz w:val="24"/>
          <w:szCs w:val="24"/>
        </w:rPr>
        <w:fldChar w:fldCharType="end"/>
      </w:r>
      <w:r w:rsidRPr="00320FE3">
        <w:rPr>
          <w:rFonts w:ascii="Times New Roman" w:eastAsia="Times New Roman" w:hAnsi="Times New Roman" w:cs="Times New Roman"/>
          <w:sz w:val="24"/>
          <w:szCs w:val="24"/>
        </w:rPr>
        <w:t xml:space="preserve">. Use of technology This increases Indonesia's ability to protect its territory’ sovereignty, </w:t>
      </w:r>
      <w:r w:rsidRPr="00320FE3">
        <w:rPr>
          <w:rFonts w:ascii="Times New Roman" w:eastAsia="Times New Roman" w:hAnsi="Times New Roman" w:cs="Times New Roman"/>
          <w:sz w:val="24"/>
          <w:szCs w:val="24"/>
        </w:rPr>
        <w:t>especially in areas with porous borders with external threats.</w:t>
      </w:r>
    </w:p>
    <w:p w14:paraId="3FF98340" w14:textId="068FE8DC"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However, besides providing profit operational development technology, this also raises significant ethical challenges. Using​ technology weapons autonomously, for example, gives rise to concern</w:t>
      </w:r>
      <w:r w:rsidRPr="00320FE3">
        <w:rPr>
          <w:rFonts w:ascii="Times New Roman" w:eastAsia="Times New Roman" w:hAnsi="Times New Roman" w:cs="Times New Roman"/>
          <w:sz w:val="24"/>
          <w:szCs w:val="24"/>
        </w:rPr>
        <w:t xml:space="preserve"> about the disappearance of accountability in men making decisions during the military. Autonomous weapons that can operate without intervention trigger debates about whether or not to use technology. This is based on the principles of justice in war. In </w:t>
      </w:r>
      <w:r w:rsidRPr="00320FE3">
        <w:rPr>
          <w:rFonts w:ascii="Times New Roman" w:eastAsia="Times New Roman" w:hAnsi="Times New Roman" w:cs="Times New Roman"/>
          <w:i/>
          <w:iCs/>
          <w:sz w:val="24"/>
          <w:szCs w:val="24"/>
        </w:rPr>
        <w:t>J</w:t>
      </w:r>
      <w:r w:rsidRPr="00320FE3">
        <w:rPr>
          <w:rFonts w:ascii="Times New Roman" w:eastAsia="Times New Roman" w:hAnsi="Times New Roman" w:cs="Times New Roman"/>
          <w:i/>
          <w:iCs/>
          <w:sz w:val="24"/>
          <w:szCs w:val="24"/>
        </w:rPr>
        <w:t>ust and Unjust Wars</w:t>
      </w:r>
      <w:r w:rsidRPr="00320FE3">
        <w:rPr>
          <w:rFonts w:ascii="Times New Roman" w:eastAsia="Times New Roman" w:hAnsi="Times New Roman" w:cs="Times New Roman"/>
          <w:sz w:val="24"/>
          <w:szCs w:val="24"/>
        </w:rPr>
        <w:t xml:space="preserve">, Michael Walzer (1977) emphasized that using strength in the military must always follow the principle </w:t>
      </w:r>
      <w:r w:rsidRPr="00320FE3">
        <w:rPr>
          <w:rFonts w:ascii="Times New Roman" w:eastAsia="Times New Roman" w:hAnsi="Times New Roman" w:cs="Times New Roman"/>
          <w:i/>
          <w:iCs/>
          <w:sz w:val="24"/>
          <w:szCs w:val="24"/>
        </w:rPr>
        <w:t>juice in Bello</w:t>
      </w:r>
      <w:r w:rsidRPr="00320FE3">
        <w:rPr>
          <w:rFonts w:ascii="Times New Roman" w:eastAsia="Times New Roman" w:hAnsi="Times New Roman" w:cs="Times New Roman"/>
          <w:sz w:val="24"/>
          <w:szCs w:val="24"/>
        </w:rPr>
        <w:t xml:space="preserve">, namely justice in war, which includes proportionality and accountability </w:t>
      </w:r>
      <w:r w:rsidRPr="00320FE3">
        <w:rPr>
          <w:rFonts w:ascii="Times New Roman" w:eastAsia="Times New Roman" w:hAnsi="Times New Roman" w:cs="Times New Roman"/>
          <w:sz w:val="24"/>
          <w:szCs w:val="24"/>
        </w:rPr>
        <w:fldChar w:fldCharType="begin" w:fldLock="1"/>
      </w:r>
      <w:r w:rsidR="00320FE3" w:rsidRPr="00320FE3">
        <w:rPr>
          <w:rFonts w:ascii="Times New Roman" w:eastAsia="Times New Roman" w:hAnsi="Times New Roman" w:cs="Times New Roman"/>
          <w:sz w:val="24"/>
          <w:szCs w:val="24"/>
        </w:rPr>
        <w:instrText>ADDIN CSL_CITATION {"citationItems":[{"id":"ITEM-1","itemData":{"author":[{"dropping-particle":"","family":"Walzer","given":"Michael","non-dropping-particle":"","parse-names":false,"suffix":""}],"container-title":"Science and Society","id":"ITEM-1","issue":"2","issued":{"date-parts":[["1979"]]},"publisher":"Guilford Press","title":"Just and Unjust Wars: A Moral Argument with Historical Illustrations","type":"article-journal","volume":"43"},"uris":["http://www.mendeley.com/documents/?uuid=392ff8a0-8e94-466c-867a-12cd96a060bb"]}],"mendeley":{"formattedCitation":"(Walzer, 1979)","plainTextFormattedCitation":"(Walzer, 1979)","previouslyFormattedCitation":"(WALZER, 1979)"},"properties":{"noteIndex":0},"schema":"https://github.com/citation-style-language/schema/raw/master/csl-citation.json"}</w:instrText>
      </w:r>
      <w:r w:rsidRPr="00320FE3">
        <w:rPr>
          <w:rFonts w:ascii="Times New Roman" w:eastAsia="Times New Roman" w:hAnsi="Times New Roman" w:cs="Times New Roman"/>
          <w:sz w:val="24"/>
          <w:szCs w:val="24"/>
        </w:rPr>
        <w:fldChar w:fldCharType="separate"/>
      </w:r>
      <w:r w:rsidR="00320FE3" w:rsidRPr="00320FE3">
        <w:rPr>
          <w:rFonts w:ascii="Times New Roman" w:eastAsia="Times New Roman" w:hAnsi="Times New Roman" w:cs="Times New Roman"/>
          <w:noProof/>
          <w:sz w:val="24"/>
          <w:szCs w:val="24"/>
        </w:rPr>
        <w:t>(Walzer, 1979)</w:t>
      </w:r>
      <w:r w:rsidRPr="00320FE3">
        <w:rPr>
          <w:rFonts w:ascii="Times New Roman" w:eastAsia="Times New Roman" w:hAnsi="Times New Roman" w:cs="Times New Roman"/>
          <w:sz w:val="24"/>
          <w:szCs w:val="24"/>
        </w:rPr>
        <w:fldChar w:fldCharType="end"/>
      </w:r>
      <w:r w:rsidRPr="00320FE3">
        <w:rPr>
          <w:rFonts w:ascii="Times New Roman" w:eastAsia="Times New Roman" w:hAnsi="Times New Roman" w:cs="Times New Roman"/>
          <w:sz w:val="24"/>
          <w:szCs w:val="24"/>
        </w:rPr>
        <w:t>.</w:t>
      </w:r>
    </w:p>
    <w:p w14:paraId="622D1340" w14:textId="01144BCB"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Although Indonesia is still in the process of adopting technology weapons, it should consider the implications of technology in the context of its future military. As​ part of modern defense, Indonesia also needs to notice that the adoption of technolog</w:t>
      </w:r>
      <w:r w:rsidRPr="00320FE3">
        <w:rPr>
          <w:rFonts w:ascii="Times New Roman" w:eastAsia="Times New Roman" w:hAnsi="Times New Roman" w:cs="Times New Roman"/>
          <w:sz w:val="24"/>
          <w:szCs w:val="24"/>
        </w:rPr>
        <w:t>y not only questions effectiveness but also guards the balance between national security and moral responsibility in the use of technology.</w:t>
      </w:r>
    </w:p>
    <w:p w14:paraId="764878C1" w14:textId="77777777" w:rsidR="00673AD3" w:rsidRPr="00320FE3" w:rsidRDefault="00673AD3" w:rsidP="00673AD3">
      <w:pPr>
        <w:spacing w:after="0" w:line="240" w:lineRule="auto"/>
        <w:ind w:firstLine="720"/>
        <w:jc w:val="both"/>
        <w:rPr>
          <w:rFonts w:ascii="Times New Roman" w:eastAsia="Times New Roman" w:hAnsi="Times New Roman" w:cs="Times New Roman"/>
          <w:sz w:val="24"/>
          <w:szCs w:val="24"/>
        </w:rPr>
      </w:pPr>
    </w:p>
    <w:p w14:paraId="554D83A4" w14:textId="273917AC" w:rsidR="00673AD3" w:rsidRPr="00320FE3" w:rsidRDefault="00DF76B8" w:rsidP="00673AD3">
      <w:pPr>
        <w:pStyle w:val="NormalWeb"/>
        <w:spacing w:before="0" w:beforeAutospacing="0" w:after="0" w:afterAutospacing="0"/>
        <w:jc w:val="both"/>
        <w:rPr>
          <w:b/>
          <w:bCs/>
        </w:rPr>
      </w:pPr>
      <w:r w:rsidRPr="00320FE3">
        <w:rPr>
          <w:b/>
          <w:bCs/>
        </w:rPr>
        <w:t>CONCLUSION</w:t>
      </w:r>
    </w:p>
    <w:p w14:paraId="19C00A6A" w14:textId="17B2F957" w:rsidR="00673AD3" w:rsidRPr="00320FE3" w:rsidRDefault="00DF76B8" w:rsidP="00673AD3">
      <w:pPr>
        <w:pStyle w:val="NormalWeb"/>
        <w:spacing w:before="0" w:beforeAutospacing="0" w:after="0" w:afterAutospacing="0"/>
        <w:ind w:firstLine="720"/>
        <w:jc w:val="both"/>
      </w:pPr>
      <w:r w:rsidRPr="00320FE3">
        <w:t>This study shows that the approaches of philosophy science—positivism, constructivism, and postmodernism</w:t>
      </w:r>
      <w:r w:rsidRPr="00320FE3">
        <w:t>—play an important role in forming policy in Indonesian defense. Approach positivism helps policy-defense databases, especially in the use of technology and intelligence. Constructivism emphasizes the importance of identity in policy defense, while postmod</w:t>
      </w:r>
      <w:r w:rsidRPr="00320FE3">
        <w:t>ernism criticizes policy’s role in perpetuating control politics. In addition, non-traditional threats like cyber security and climate change demonstrate that Indonesia’s policy defense must adapt to ongoing global challenges.</w:t>
      </w:r>
    </w:p>
    <w:p w14:paraId="775C4432" w14:textId="110E5BCF"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This study explores the conne</w:t>
      </w:r>
      <w:r w:rsidRPr="00320FE3">
        <w:rPr>
          <w:rFonts w:ascii="Times New Roman" w:eastAsia="Times New Roman" w:hAnsi="Times New Roman" w:cs="Times New Roman"/>
          <w:sz w:val="24"/>
          <w:szCs w:val="24"/>
        </w:rPr>
        <w:t>ction between philosophy, knowledge, and policy defense with a focus on Indonesia. Through three philosophical approaches—positivism, constructivism, and postmodernism—the study provides comprehensive insights into how policy defense is developed and imple</w:t>
      </w:r>
      <w:r w:rsidRPr="00320FE3">
        <w:rPr>
          <w:rFonts w:ascii="Times New Roman" w:eastAsia="Times New Roman" w:hAnsi="Times New Roman" w:cs="Times New Roman"/>
          <w:sz w:val="24"/>
          <w:szCs w:val="24"/>
        </w:rPr>
        <w:t>mented in the context of increasing global and nontraditional threats.</w:t>
      </w:r>
    </w:p>
    <w:p w14:paraId="29B11B24" w14:textId="5319382C"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Positivism in Indonesia’s defense policy is seen in an approach based on empirical data and technology. Using radar, satellites, and the intelligence military to monitor border areas an</w:t>
      </w:r>
      <w:r w:rsidRPr="00320FE3">
        <w:rPr>
          <w:rFonts w:ascii="Times New Roman" w:eastAsia="Times New Roman" w:hAnsi="Times New Roman" w:cs="Times New Roman"/>
          <w:sz w:val="24"/>
          <w:szCs w:val="24"/>
        </w:rPr>
        <w:t>d detect threats like terrorism and piracy is a concrete example of implementation positivity. Technology This provides early detection and better prevention, enabling decisions on evidence that can be measured objectively. The limitations of positivism li</w:t>
      </w:r>
      <w:r w:rsidRPr="00320FE3">
        <w:rPr>
          <w:rFonts w:ascii="Times New Roman" w:eastAsia="Times New Roman" w:hAnsi="Times New Roman" w:cs="Times New Roman"/>
          <w:sz w:val="24"/>
          <w:szCs w:val="24"/>
        </w:rPr>
        <w:t>e in its limited capabilities in handling variables such as social, cultural, and political factors, which also influence policy defense.</w:t>
      </w:r>
    </w:p>
    <w:p w14:paraId="0A6AF9FD" w14:textId="3BF505F2"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Constructivism highlights how national identity, social norms, and perceptions of social threats shape Indonesia’s def</w:t>
      </w:r>
      <w:r w:rsidRPr="00320FE3">
        <w:rPr>
          <w:rFonts w:ascii="Times New Roman" w:eastAsia="Times New Roman" w:hAnsi="Times New Roman" w:cs="Times New Roman"/>
          <w:sz w:val="24"/>
          <w:szCs w:val="24"/>
        </w:rPr>
        <w:t xml:space="preserve">ense policy. Principle defense people universe or </w:t>
      </w:r>
      <w:r w:rsidRPr="00320FE3">
        <w:rPr>
          <w:rFonts w:ascii="Times New Roman" w:eastAsia="Times New Roman" w:hAnsi="Times New Roman" w:cs="Times New Roman"/>
          <w:i/>
          <w:iCs/>
          <w:sz w:val="24"/>
          <w:szCs w:val="24"/>
        </w:rPr>
        <w:t>Total Defense</w:t>
      </w:r>
      <w:r w:rsidRPr="00320FE3">
        <w:rPr>
          <w:rFonts w:ascii="Times New Roman" w:eastAsia="Times New Roman" w:hAnsi="Times New Roman" w:cs="Times New Roman"/>
          <w:sz w:val="24"/>
          <w:szCs w:val="24"/>
        </w:rPr>
        <w:t xml:space="preserve"> is an example of How history and national identity influence policy defense. Engagement, that is, all the public to defend, reflects values of collective and solidarity in Indonesian culture. </w:t>
      </w:r>
      <w:r w:rsidRPr="00320FE3">
        <w:rPr>
          <w:rFonts w:ascii="Times New Roman" w:eastAsia="Times New Roman" w:hAnsi="Times New Roman" w:cs="Times New Roman"/>
          <w:sz w:val="24"/>
          <w:szCs w:val="24"/>
        </w:rPr>
        <w:t xml:space="preserve">On the other hand, the policy diplomacy carried out by Indonesia as part of the Non-Aligned Movement also </w:t>
      </w:r>
      <w:r w:rsidRPr="00320FE3">
        <w:rPr>
          <w:rFonts w:ascii="Times New Roman" w:eastAsia="Times New Roman" w:hAnsi="Times New Roman" w:cs="Times New Roman"/>
          <w:sz w:val="24"/>
          <w:szCs w:val="24"/>
        </w:rPr>
        <w:lastRenderedPageBreak/>
        <w:t>demonstrated that identity and norms socially influence policy defense, which is prioritizing dialog and working internationally.</w:t>
      </w:r>
    </w:p>
    <w:p w14:paraId="45052472" w14:textId="7D4ED979"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Postmodernism critic</w:t>
      </w:r>
      <w:r w:rsidRPr="00320FE3">
        <w:rPr>
          <w:rFonts w:ascii="Times New Roman" w:eastAsia="Times New Roman" w:hAnsi="Times New Roman" w:cs="Times New Roman"/>
          <w:sz w:val="24"/>
          <w:szCs w:val="24"/>
        </w:rPr>
        <w:t>izes policy defense, especially its use to perpetuate power politics. In some cases, such as dealing with separatism, policy defense has been used to maintain stability in domestic politics, with possible ways​ to press groups as threats to the state’s leg</w:t>
      </w:r>
      <w:r w:rsidRPr="00320FE3">
        <w:rPr>
          <w:rFonts w:ascii="Times New Roman" w:eastAsia="Times New Roman" w:hAnsi="Times New Roman" w:cs="Times New Roman"/>
          <w:sz w:val="24"/>
          <w:szCs w:val="24"/>
        </w:rPr>
        <w:t>itimacy. Postmodernism also criticized the use of technology in policy defense, highlighting the potential abuse of technology surveillance and autonomous weapons in controlling the public.</w:t>
      </w:r>
    </w:p>
    <w:p w14:paraId="7153F277" w14:textId="694C75EE"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 xml:space="preserve">The study also emphasizes that non-traditional threats like </w:t>
      </w:r>
      <w:r w:rsidRPr="00320FE3">
        <w:rPr>
          <w:rFonts w:ascii="Times New Roman" w:eastAsia="Times New Roman" w:hAnsi="Times New Roman" w:cs="Times New Roman"/>
          <w:sz w:val="24"/>
          <w:szCs w:val="24"/>
        </w:rPr>
        <w:t>cyber security and climate change influence Indonesian defense more. Threats This No can be faced using only a military approach but should be more policies​ adaptive and holistic. Cybersecurity has become a priority in policy defense, especially with incr</w:t>
      </w:r>
      <w:r w:rsidRPr="00320FE3">
        <w:rPr>
          <w:rFonts w:ascii="Times New Roman" w:eastAsia="Times New Roman" w:hAnsi="Times New Roman" w:cs="Times New Roman"/>
          <w:sz w:val="24"/>
          <w:szCs w:val="24"/>
        </w:rPr>
        <w:t>easing attacks against critical infrastructure. The Indonesian government has strengthened regulations and related institutions, although challenges like limitations in infrastructure, technology, and resources still need to be overcome. In addition, clima</w:t>
      </w:r>
      <w:r w:rsidRPr="00320FE3">
        <w:rPr>
          <w:rFonts w:ascii="Times New Roman" w:eastAsia="Times New Roman" w:hAnsi="Times New Roman" w:cs="Times New Roman"/>
          <w:sz w:val="24"/>
          <w:szCs w:val="24"/>
        </w:rPr>
        <w:t>te change is recognized as a severe threat that requires more significant mitigation​ .</w:t>
      </w:r>
    </w:p>
    <w:p w14:paraId="3C89C341" w14:textId="4FE3540A"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Indonesia’s defense and security policies are essential and are influenced by three approaches and different philosophies​ . However, each complements the others. Posit</w:t>
      </w:r>
      <w:r w:rsidRPr="00320FE3">
        <w:rPr>
          <w:rFonts w:ascii="Times New Roman" w:eastAsia="Times New Roman" w:hAnsi="Times New Roman" w:cs="Times New Roman"/>
          <w:sz w:val="24"/>
          <w:szCs w:val="24"/>
        </w:rPr>
        <w:t>ivism provides a strong foundation​ for making decisions that are data—and technology-based. Constructivism shows how national and social norms form policies that are more defense-inclusive and work-oriented. The same is true internationally. Postmodernism</w:t>
      </w:r>
      <w:r w:rsidRPr="00320FE3">
        <w:rPr>
          <w:rFonts w:ascii="Times New Roman" w:eastAsia="Times New Roman" w:hAnsi="Times New Roman" w:cs="Times New Roman"/>
          <w:sz w:val="24"/>
          <w:szCs w:val="24"/>
        </w:rPr>
        <w:t xml:space="preserve"> criticizes the use of power in policy defense, especially regarding technology and stability politics.</w:t>
      </w:r>
    </w:p>
    <w:p w14:paraId="0C14708E" w14:textId="5F1BE470" w:rsidR="00673AD3" w:rsidRPr="00320FE3" w:rsidRDefault="00DF76B8" w:rsidP="00673AD3">
      <w:pPr>
        <w:spacing w:after="0" w:line="240" w:lineRule="auto"/>
        <w:ind w:firstLine="720"/>
        <w:jc w:val="both"/>
        <w:rPr>
          <w:rFonts w:ascii="Times New Roman" w:eastAsia="Times New Roman" w:hAnsi="Times New Roman" w:cs="Times New Roman"/>
          <w:sz w:val="24"/>
          <w:szCs w:val="24"/>
        </w:rPr>
      </w:pPr>
      <w:r w:rsidRPr="00320FE3">
        <w:rPr>
          <w:rFonts w:ascii="Times New Roman" w:eastAsia="Times New Roman" w:hAnsi="Times New Roman" w:cs="Times New Roman"/>
          <w:sz w:val="24"/>
          <w:szCs w:val="24"/>
        </w:rPr>
        <w:t>Thus, in the era of globalization and rapid technological development,​ Indonesia's defense policy must Continue adapting and responding to non-traditio</w:t>
      </w:r>
      <w:r w:rsidRPr="00320FE3">
        <w:rPr>
          <w:rFonts w:ascii="Times New Roman" w:eastAsia="Times New Roman" w:hAnsi="Times New Roman" w:cs="Times New Roman"/>
          <w:sz w:val="24"/>
          <w:szCs w:val="24"/>
        </w:rPr>
        <w:t>nal threats like cyber security and climate change while ensuring that solid military and technology use fulfills values, ethics, and principles of justice.</w:t>
      </w:r>
    </w:p>
    <w:p w14:paraId="072EA632" w14:textId="77777777" w:rsidR="00673AD3" w:rsidRPr="00320FE3" w:rsidRDefault="00673AD3" w:rsidP="00673AD3">
      <w:pPr>
        <w:spacing w:after="0" w:line="240" w:lineRule="auto"/>
        <w:jc w:val="both"/>
        <w:rPr>
          <w:rFonts w:ascii="Times New Roman" w:eastAsia="Times New Roman" w:hAnsi="Times New Roman" w:cs="Times New Roman"/>
          <w:sz w:val="24"/>
          <w:szCs w:val="24"/>
        </w:rPr>
      </w:pPr>
    </w:p>
    <w:p w14:paraId="23AA7EE4" w14:textId="5CCBF726" w:rsidR="00673AD3" w:rsidRPr="00320FE3" w:rsidRDefault="00DF76B8" w:rsidP="00673AD3">
      <w:pPr>
        <w:spacing w:after="0" w:line="240" w:lineRule="auto"/>
        <w:jc w:val="both"/>
        <w:rPr>
          <w:rFonts w:ascii="Times New Roman" w:eastAsia="Times New Roman" w:hAnsi="Times New Roman" w:cs="Times New Roman"/>
          <w:b/>
          <w:bCs/>
          <w:sz w:val="24"/>
          <w:szCs w:val="24"/>
        </w:rPr>
      </w:pPr>
      <w:r w:rsidRPr="00320FE3">
        <w:rPr>
          <w:rFonts w:ascii="Times New Roman" w:eastAsia="Times New Roman" w:hAnsi="Times New Roman" w:cs="Times New Roman"/>
          <w:b/>
          <w:bCs/>
          <w:sz w:val="24"/>
          <w:szCs w:val="24"/>
        </w:rPr>
        <w:t>Reference</w:t>
      </w:r>
      <w:r w:rsidR="00121E7C" w:rsidRPr="00320FE3">
        <w:rPr>
          <w:rFonts w:ascii="Times New Roman" w:eastAsia="Times New Roman" w:hAnsi="Times New Roman" w:cs="Times New Roman"/>
          <w:b/>
          <w:bCs/>
          <w:sz w:val="24"/>
          <w:szCs w:val="24"/>
        </w:rPr>
        <w:t>s</w:t>
      </w:r>
    </w:p>
    <w:p w14:paraId="101570B0" w14:textId="7A86B279"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eastAsia="Times New Roman" w:hAnsi="Times New Roman" w:cs="Times New Roman"/>
          <w:b/>
          <w:bCs/>
          <w:sz w:val="24"/>
          <w:szCs w:val="24"/>
        </w:rPr>
        <w:fldChar w:fldCharType="begin" w:fldLock="1"/>
      </w:r>
      <w:r w:rsidRPr="00320FE3">
        <w:rPr>
          <w:rFonts w:ascii="Times New Roman" w:eastAsia="Times New Roman" w:hAnsi="Times New Roman" w:cs="Times New Roman"/>
          <w:b/>
          <w:bCs/>
          <w:sz w:val="24"/>
          <w:szCs w:val="24"/>
        </w:rPr>
        <w:instrText xml:space="preserve">ADDIN Mendeley Bibliography CSL_BIBLIOGRAPHY </w:instrText>
      </w:r>
      <w:r w:rsidRPr="00320FE3">
        <w:rPr>
          <w:rFonts w:ascii="Times New Roman" w:eastAsia="Times New Roman" w:hAnsi="Times New Roman" w:cs="Times New Roman"/>
          <w:b/>
          <w:bCs/>
          <w:sz w:val="24"/>
          <w:szCs w:val="24"/>
        </w:rPr>
        <w:fldChar w:fldCharType="separate"/>
      </w:r>
      <w:r w:rsidRPr="00320FE3">
        <w:rPr>
          <w:rFonts w:ascii="Times New Roman" w:hAnsi="Times New Roman" w:cs="Times New Roman"/>
          <w:noProof/>
          <w:sz w:val="24"/>
          <w:szCs w:val="24"/>
        </w:rPr>
        <w:t xml:space="preserve">Agius, C. (2020). </w:t>
      </w:r>
      <w:r w:rsidRPr="00320FE3">
        <w:rPr>
          <w:rFonts w:ascii="Times New Roman" w:hAnsi="Times New Roman" w:cs="Times New Roman"/>
          <w:i/>
          <w:iCs/>
          <w:noProof/>
          <w:sz w:val="24"/>
          <w:szCs w:val="24"/>
        </w:rPr>
        <w:t>Social Constructivist International Relations and the Military BT  - Handbook of Military Sciences</w:t>
      </w:r>
      <w:r w:rsidRPr="00320FE3">
        <w:rPr>
          <w:rFonts w:ascii="Times New Roman" w:hAnsi="Times New Roman" w:cs="Times New Roman"/>
          <w:noProof/>
          <w:sz w:val="24"/>
          <w:szCs w:val="24"/>
        </w:rPr>
        <w:t xml:space="preserve"> (A. M. Sookermany (ed.); pp. 1–16). Springer International Publishing. https://doi.org/10.1007</w:t>
      </w:r>
      <w:r w:rsidRPr="00320FE3">
        <w:rPr>
          <w:rFonts w:ascii="Times New Roman" w:hAnsi="Times New Roman" w:cs="Times New Roman"/>
          <w:noProof/>
          <w:sz w:val="24"/>
          <w:szCs w:val="24"/>
        </w:rPr>
        <w:t>/978-3-030-02866-4_105-1</w:t>
      </w:r>
    </w:p>
    <w:p w14:paraId="2190BE05"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Anand, G., Larson, E. C., &amp; Mahoney, J. T. (2020). Regulating lethal autonomous weapon systems: exploring the challenges of explainability and traceability. </w:t>
      </w:r>
      <w:r w:rsidRPr="00320FE3">
        <w:rPr>
          <w:rFonts w:ascii="Times New Roman" w:hAnsi="Times New Roman" w:cs="Times New Roman"/>
          <w:i/>
          <w:iCs/>
          <w:noProof/>
          <w:sz w:val="24"/>
          <w:szCs w:val="24"/>
        </w:rPr>
        <w:t>Production and Operations Management</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29</w:t>
      </w:r>
      <w:r w:rsidRPr="00320FE3">
        <w:rPr>
          <w:rFonts w:ascii="Times New Roman" w:hAnsi="Times New Roman" w:cs="Times New Roman"/>
          <w:noProof/>
          <w:sz w:val="24"/>
          <w:szCs w:val="24"/>
        </w:rPr>
        <w:t>(7), 1650–1657. https://doi.org/10</w:t>
      </w:r>
      <w:r w:rsidRPr="00320FE3">
        <w:rPr>
          <w:rFonts w:ascii="Times New Roman" w:hAnsi="Times New Roman" w:cs="Times New Roman"/>
          <w:noProof/>
          <w:sz w:val="24"/>
          <w:szCs w:val="24"/>
        </w:rPr>
        <w:t>.1007/s43681-023-00261-0</w:t>
      </w:r>
    </w:p>
    <w:p w14:paraId="48D6947E"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Baarle, E. van, Bosch, J., Widdershoven, G., Verweij, D., &amp; Molewijk, B. (2015). Moral dilemmas in a military context. A case study of a train-the-trainer course on military ethics. </w:t>
      </w:r>
      <w:r w:rsidRPr="00320FE3">
        <w:rPr>
          <w:rFonts w:ascii="Times New Roman" w:hAnsi="Times New Roman" w:cs="Times New Roman"/>
          <w:i/>
          <w:iCs/>
          <w:noProof/>
          <w:sz w:val="24"/>
          <w:szCs w:val="24"/>
        </w:rPr>
        <w:t>Journal of Moral Education</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44</w:t>
      </w:r>
      <w:r w:rsidRPr="00320FE3">
        <w:rPr>
          <w:rFonts w:ascii="Times New Roman" w:hAnsi="Times New Roman" w:cs="Times New Roman"/>
          <w:noProof/>
          <w:sz w:val="24"/>
          <w:szCs w:val="24"/>
        </w:rPr>
        <w:t>(4), 457–478. https</w:t>
      </w:r>
      <w:r w:rsidRPr="00320FE3">
        <w:rPr>
          <w:rFonts w:ascii="Times New Roman" w:hAnsi="Times New Roman" w:cs="Times New Roman"/>
          <w:noProof/>
          <w:sz w:val="24"/>
          <w:szCs w:val="24"/>
        </w:rPr>
        <w:t>://doi.org/10.1080/03057240.2015.1087389</w:t>
      </w:r>
    </w:p>
    <w:p w14:paraId="6B0B74F8"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Balzacq, T., Léonard, S., &amp; Ruzicka, J. (2015). ‘Securitization’ revisited: theory and cases. </w:t>
      </w:r>
      <w:r w:rsidRPr="00320FE3">
        <w:rPr>
          <w:rFonts w:ascii="Times New Roman" w:hAnsi="Times New Roman" w:cs="Times New Roman"/>
          <w:i/>
          <w:iCs/>
          <w:noProof/>
          <w:sz w:val="24"/>
          <w:szCs w:val="24"/>
        </w:rPr>
        <w:t>International Relations</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30</w:t>
      </w:r>
      <w:r w:rsidRPr="00320FE3">
        <w:rPr>
          <w:rFonts w:ascii="Times New Roman" w:hAnsi="Times New Roman" w:cs="Times New Roman"/>
          <w:noProof/>
          <w:sz w:val="24"/>
          <w:szCs w:val="24"/>
        </w:rPr>
        <w:t>(4), 494–531. https://doi.org/10.1177/0047117815596590</w:t>
      </w:r>
    </w:p>
    <w:p w14:paraId="31934E13"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Bowle, J. E., &amp; Arneson, R. J. (2024). </w:t>
      </w:r>
      <w:r w:rsidRPr="00320FE3">
        <w:rPr>
          <w:rFonts w:ascii="Times New Roman" w:hAnsi="Times New Roman" w:cs="Times New Roman"/>
          <w:noProof/>
          <w:sz w:val="24"/>
          <w:szCs w:val="24"/>
        </w:rPr>
        <w:t xml:space="preserve">Political Philosophy. In </w:t>
      </w:r>
      <w:r w:rsidRPr="00320FE3">
        <w:rPr>
          <w:rFonts w:ascii="Times New Roman" w:hAnsi="Times New Roman" w:cs="Times New Roman"/>
          <w:i/>
          <w:iCs/>
          <w:noProof/>
          <w:sz w:val="24"/>
          <w:szCs w:val="24"/>
        </w:rPr>
        <w:t>Encyclopedia Britannica</w:t>
      </w:r>
      <w:r w:rsidRPr="00320FE3">
        <w:rPr>
          <w:rFonts w:ascii="Times New Roman" w:hAnsi="Times New Roman" w:cs="Times New Roman"/>
          <w:noProof/>
          <w:sz w:val="24"/>
          <w:szCs w:val="24"/>
        </w:rPr>
        <w:t>. https://www.britannica.com/topic/political-philosophy</w:t>
      </w:r>
    </w:p>
    <w:p w14:paraId="7B26EBAA"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Bramantyo, M. H. (2023). Understanding the rise of Indonesian Foreign Terrorist Fighter. </w:t>
      </w:r>
      <w:r w:rsidRPr="00320FE3">
        <w:rPr>
          <w:rFonts w:ascii="Times New Roman" w:hAnsi="Times New Roman" w:cs="Times New Roman"/>
          <w:i/>
          <w:iCs/>
          <w:noProof/>
          <w:sz w:val="24"/>
          <w:szCs w:val="24"/>
        </w:rPr>
        <w:t>AML/CFT Journal The Journal of Anti Money Laundering and Counte</w:t>
      </w:r>
      <w:r w:rsidRPr="00320FE3">
        <w:rPr>
          <w:rFonts w:ascii="Times New Roman" w:hAnsi="Times New Roman" w:cs="Times New Roman"/>
          <w:i/>
          <w:iCs/>
          <w:noProof/>
          <w:sz w:val="24"/>
          <w:szCs w:val="24"/>
        </w:rPr>
        <w:t>ring the Financing of Terrorism</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2</w:t>
      </w:r>
      <w:r w:rsidRPr="00320FE3">
        <w:rPr>
          <w:rFonts w:ascii="Times New Roman" w:hAnsi="Times New Roman" w:cs="Times New Roman"/>
          <w:noProof/>
          <w:sz w:val="24"/>
          <w:szCs w:val="24"/>
        </w:rPr>
        <w:t>(1), 83–99. https://doi.org/10.59593/amlcft.2023.v2i1.147</w:t>
      </w:r>
    </w:p>
    <w:p w14:paraId="1F2BE4E0"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Castro, C., &amp; Lopes, C. (2022). Digital Government and Sustainable Development. </w:t>
      </w:r>
      <w:r w:rsidRPr="00320FE3">
        <w:rPr>
          <w:rFonts w:ascii="Times New Roman" w:hAnsi="Times New Roman" w:cs="Times New Roman"/>
          <w:i/>
          <w:iCs/>
          <w:noProof/>
          <w:sz w:val="24"/>
          <w:szCs w:val="24"/>
        </w:rPr>
        <w:t>Journal of the Knowledge Economy</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13</w:t>
      </w:r>
      <w:r w:rsidRPr="00320FE3">
        <w:rPr>
          <w:rFonts w:ascii="Times New Roman" w:hAnsi="Times New Roman" w:cs="Times New Roman"/>
          <w:noProof/>
          <w:sz w:val="24"/>
          <w:szCs w:val="24"/>
        </w:rPr>
        <w:t xml:space="preserve">(2), 880–903. </w:t>
      </w:r>
      <w:r w:rsidRPr="00320FE3">
        <w:rPr>
          <w:rFonts w:ascii="Times New Roman" w:hAnsi="Times New Roman" w:cs="Times New Roman"/>
          <w:noProof/>
          <w:sz w:val="24"/>
          <w:szCs w:val="24"/>
        </w:rPr>
        <w:t>https://doi.org/10.1007/s13132-021-00749-2</w:t>
      </w:r>
    </w:p>
    <w:p w14:paraId="71F832A0"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Conrad, M., Hálfdanarson, G., Michailidou, A., Galpin, C., &amp; Pyrhönen, N. (2023). </w:t>
      </w:r>
      <w:r w:rsidRPr="00320FE3">
        <w:rPr>
          <w:rFonts w:ascii="Times New Roman" w:hAnsi="Times New Roman" w:cs="Times New Roman"/>
          <w:i/>
          <w:iCs/>
          <w:noProof/>
          <w:sz w:val="24"/>
          <w:szCs w:val="24"/>
        </w:rPr>
        <w:t xml:space="preserve">Europe in </w:t>
      </w:r>
      <w:r w:rsidRPr="00320FE3">
        <w:rPr>
          <w:rFonts w:ascii="Times New Roman" w:hAnsi="Times New Roman" w:cs="Times New Roman"/>
          <w:i/>
          <w:iCs/>
          <w:noProof/>
          <w:sz w:val="24"/>
          <w:szCs w:val="24"/>
        </w:rPr>
        <w:lastRenderedPageBreak/>
        <w:t>the Age of Post-Truth Politics Populism, Disinformation and the Public Sphere</w:t>
      </w:r>
      <w:r w:rsidRPr="00320FE3">
        <w:rPr>
          <w:rFonts w:ascii="Times New Roman" w:hAnsi="Times New Roman" w:cs="Times New Roman"/>
          <w:noProof/>
          <w:sz w:val="24"/>
          <w:szCs w:val="24"/>
        </w:rPr>
        <w:t>. Palgrave Macmillan.</w:t>
      </w:r>
    </w:p>
    <w:p w14:paraId="59BB0861"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Damien Kingsbury. (201</w:t>
      </w:r>
      <w:r w:rsidRPr="00320FE3">
        <w:rPr>
          <w:rFonts w:ascii="Times New Roman" w:hAnsi="Times New Roman" w:cs="Times New Roman"/>
          <w:noProof/>
          <w:sz w:val="24"/>
          <w:szCs w:val="24"/>
        </w:rPr>
        <w:t xml:space="preserve">7). </w:t>
      </w:r>
      <w:r w:rsidRPr="00320FE3">
        <w:rPr>
          <w:rFonts w:ascii="Times New Roman" w:hAnsi="Times New Roman" w:cs="Times New Roman"/>
          <w:i/>
          <w:iCs/>
          <w:noProof/>
          <w:sz w:val="24"/>
          <w:szCs w:val="24"/>
        </w:rPr>
        <w:t>Politics in Contemporary Southeast Asia. Authority, democracy and political change</w:t>
      </w:r>
      <w:r w:rsidRPr="00320FE3">
        <w:rPr>
          <w:rFonts w:ascii="Times New Roman" w:hAnsi="Times New Roman" w:cs="Times New Roman"/>
          <w:noProof/>
          <w:sz w:val="24"/>
          <w:szCs w:val="24"/>
        </w:rPr>
        <w:t>. Routledge.</w:t>
      </w:r>
    </w:p>
    <w:p w14:paraId="773D4C93"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Davies, J. S. (2012). </w:t>
      </w:r>
      <w:r w:rsidRPr="00320FE3">
        <w:rPr>
          <w:rFonts w:ascii="Times New Roman" w:hAnsi="Times New Roman" w:cs="Times New Roman"/>
          <w:i/>
          <w:iCs/>
          <w:noProof/>
          <w:sz w:val="24"/>
          <w:szCs w:val="24"/>
        </w:rPr>
        <w:t>Network governance theory : a Gramscian critique</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44</w:t>
      </w:r>
      <w:r w:rsidRPr="00320FE3">
        <w:rPr>
          <w:rFonts w:ascii="Times New Roman" w:hAnsi="Times New Roman" w:cs="Times New Roman"/>
          <w:noProof/>
          <w:sz w:val="24"/>
          <w:szCs w:val="24"/>
        </w:rPr>
        <w:t>, 2687–2704. https://doi.org/10.1068/a4585</w:t>
      </w:r>
    </w:p>
    <w:p w14:paraId="05AF8D5B"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del Cuvillo, A. Á., Macioce, F., &amp; Strid</w:t>
      </w:r>
      <w:r w:rsidRPr="00320FE3">
        <w:rPr>
          <w:rFonts w:ascii="Times New Roman" w:hAnsi="Times New Roman" w:cs="Times New Roman"/>
          <w:noProof/>
          <w:sz w:val="24"/>
          <w:szCs w:val="24"/>
        </w:rPr>
        <w:t xml:space="preserve">, S. (2023). </w:t>
      </w:r>
      <w:r w:rsidRPr="00320FE3">
        <w:rPr>
          <w:rFonts w:ascii="Times New Roman" w:hAnsi="Times New Roman" w:cs="Times New Roman"/>
          <w:i/>
          <w:iCs/>
          <w:noProof/>
          <w:sz w:val="24"/>
          <w:szCs w:val="24"/>
        </w:rPr>
        <w:t>Feminist Political and Legal Theories BT  - Gender-Competent Legal Education</w:t>
      </w:r>
      <w:r w:rsidRPr="00320FE3">
        <w:rPr>
          <w:rFonts w:ascii="Times New Roman" w:hAnsi="Times New Roman" w:cs="Times New Roman"/>
          <w:noProof/>
          <w:sz w:val="24"/>
          <w:szCs w:val="24"/>
        </w:rPr>
        <w:t xml:space="preserve"> (D. Vujadinović, M. Fröhlich, &amp; T. Giegerich (eds.); pp. 57–94). Springer International Publishing. https://doi.org/10.1007/978-3-031-14360-1_3</w:t>
      </w:r>
    </w:p>
    <w:p w14:paraId="3ACE898A"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Drakopoulos, S. A. (20</w:t>
      </w:r>
      <w:r w:rsidRPr="00320FE3">
        <w:rPr>
          <w:rFonts w:ascii="Times New Roman" w:hAnsi="Times New Roman" w:cs="Times New Roman"/>
          <w:noProof/>
          <w:sz w:val="24"/>
          <w:szCs w:val="24"/>
        </w:rPr>
        <w:t xml:space="preserve">24). Value Judgements, Positivism and Utility Comparisons in Economics. </w:t>
      </w:r>
      <w:r w:rsidRPr="00320FE3">
        <w:rPr>
          <w:rFonts w:ascii="Times New Roman" w:hAnsi="Times New Roman" w:cs="Times New Roman"/>
          <w:i/>
          <w:iCs/>
          <w:noProof/>
          <w:sz w:val="24"/>
          <w:szCs w:val="24"/>
        </w:rPr>
        <w:t>Journal of Business Ethics</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189</w:t>
      </w:r>
      <w:r w:rsidRPr="00320FE3">
        <w:rPr>
          <w:rFonts w:ascii="Times New Roman" w:hAnsi="Times New Roman" w:cs="Times New Roman"/>
          <w:noProof/>
          <w:sz w:val="24"/>
          <w:szCs w:val="24"/>
        </w:rPr>
        <w:t>(3), 423–437. https://doi.org/10.1007/s10551-023-05395-z</w:t>
      </w:r>
    </w:p>
    <w:p w14:paraId="207F56CA"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Edler, J., Karaulova, M., &amp; Barker, K. (2022). Understanding Conceptual Impact of Scientific Kno</w:t>
      </w:r>
      <w:r w:rsidRPr="00320FE3">
        <w:rPr>
          <w:rFonts w:ascii="Times New Roman" w:hAnsi="Times New Roman" w:cs="Times New Roman"/>
          <w:noProof/>
          <w:sz w:val="24"/>
          <w:szCs w:val="24"/>
        </w:rPr>
        <w:t xml:space="preserve">wledge on Policy: The Role of Policymaking Conditions. </w:t>
      </w:r>
      <w:r w:rsidRPr="00320FE3">
        <w:rPr>
          <w:rFonts w:ascii="Times New Roman" w:hAnsi="Times New Roman" w:cs="Times New Roman"/>
          <w:i/>
          <w:iCs/>
          <w:noProof/>
          <w:sz w:val="24"/>
          <w:szCs w:val="24"/>
        </w:rPr>
        <w:t>Minerva</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60</w:t>
      </w:r>
      <w:r w:rsidRPr="00320FE3">
        <w:rPr>
          <w:rFonts w:ascii="Times New Roman" w:hAnsi="Times New Roman" w:cs="Times New Roman"/>
          <w:noProof/>
          <w:sz w:val="24"/>
          <w:szCs w:val="24"/>
        </w:rPr>
        <w:t>(2), 209–233. https://doi.org/10.1007/s11024-022-09459-8</w:t>
      </w:r>
    </w:p>
    <w:p w14:paraId="50314D30"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Erskine, T. (2024). Before algorithmic Armageddon: anticipating immediate risks to restraint when AI infiltrates decisions to wage wa</w:t>
      </w:r>
      <w:r w:rsidRPr="00320FE3">
        <w:rPr>
          <w:rFonts w:ascii="Times New Roman" w:hAnsi="Times New Roman" w:cs="Times New Roman"/>
          <w:noProof/>
          <w:sz w:val="24"/>
          <w:szCs w:val="24"/>
        </w:rPr>
        <w:t xml:space="preserve">r. </w:t>
      </w:r>
      <w:r w:rsidRPr="00320FE3">
        <w:rPr>
          <w:rFonts w:ascii="Times New Roman" w:hAnsi="Times New Roman" w:cs="Times New Roman"/>
          <w:i/>
          <w:iCs/>
          <w:noProof/>
          <w:sz w:val="24"/>
          <w:szCs w:val="24"/>
        </w:rPr>
        <w:t>Australian Journal of International Affairs</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78</w:t>
      </w:r>
      <w:r w:rsidRPr="00320FE3">
        <w:rPr>
          <w:rFonts w:ascii="Times New Roman" w:hAnsi="Times New Roman" w:cs="Times New Roman"/>
          <w:noProof/>
          <w:sz w:val="24"/>
          <w:szCs w:val="24"/>
        </w:rPr>
        <w:t>(2), 175–190. https://doi.org/10.1080/10357718.2024.2345636</w:t>
      </w:r>
    </w:p>
    <w:p w14:paraId="0E6B010F"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Felfeli, A., &amp; Stahl, B. (2023). Mutual de securitization as a model of détente? Foreign policy change in the US-Cuban dyad. </w:t>
      </w:r>
      <w:r w:rsidRPr="00320FE3">
        <w:rPr>
          <w:rFonts w:ascii="Times New Roman" w:hAnsi="Times New Roman" w:cs="Times New Roman"/>
          <w:i/>
          <w:iCs/>
          <w:noProof/>
          <w:sz w:val="24"/>
          <w:szCs w:val="24"/>
        </w:rPr>
        <w:t>Zeitschrift Für Fried</w:t>
      </w:r>
      <w:r w:rsidRPr="00320FE3">
        <w:rPr>
          <w:rFonts w:ascii="Times New Roman" w:hAnsi="Times New Roman" w:cs="Times New Roman"/>
          <w:i/>
          <w:iCs/>
          <w:noProof/>
          <w:sz w:val="24"/>
          <w:szCs w:val="24"/>
        </w:rPr>
        <w:t>ens- Und Konfliktforschung</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12</w:t>
      </w:r>
      <w:r w:rsidRPr="00320FE3">
        <w:rPr>
          <w:rFonts w:ascii="Times New Roman" w:hAnsi="Times New Roman" w:cs="Times New Roman"/>
          <w:noProof/>
          <w:sz w:val="24"/>
          <w:szCs w:val="24"/>
        </w:rPr>
        <w:t>(1), 59–86. https://doi.org/10.1007/s42597-023-00104-z</w:t>
      </w:r>
    </w:p>
    <w:p w14:paraId="3A144F07"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Foucault, M. (1995). </w:t>
      </w:r>
      <w:r w:rsidRPr="00320FE3">
        <w:rPr>
          <w:rFonts w:ascii="Times New Roman" w:hAnsi="Times New Roman" w:cs="Times New Roman"/>
          <w:i/>
          <w:iCs/>
          <w:noProof/>
          <w:sz w:val="24"/>
          <w:szCs w:val="24"/>
        </w:rPr>
        <w:t>DISCIPLINE AND PUNISH, The Birth of the Prison</w:t>
      </w:r>
      <w:r w:rsidRPr="00320FE3">
        <w:rPr>
          <w:rFonts w:ascii="Times New Roman" w:hAnsi="Times New Roman" w:cs="Times New Roman"/>
          <w:noProof/>
          <w:sz w:val="24"/>
          <w:szCs w:val="24"/>
        </w:rPr>
        <w:t xml:space="preserve"> (Issue 112). Vintage Books.</w:t>
      </w:r>
    </w:p>
    <w:p w14:paraId="38288A52"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Foulon, M., &amp; Meibauer, G. (2024). How cyberspace affects international rel</w:t>
      </w:r>
      <w:r w:rsidRPr="00320FE3">
        <w:rPr>
          <w:rFonts w:ascii="Times New Roman" w:hAnsi="Times New Roman" w:cs="Times New Roman"/>
          <w:noProof/>
          <w:sz w:val="24"/>
          <w:szCs w:val="24"/>
        </w:rPr>
        <w:t xml:space="preserve">ations: The promise of structural modifiers. </w:t>
      </w:r>
      <w:r w:rsidRPr="00320FE3">
        <w:rPr>
          <w:rFonts w:ascii="Times New Roman" w:hAnsi="Times New Roman" w:cs="Times New Roman"/>
          <w:i/>
          <w:iCs/>
          <w:noProof/>
          <w:sz w:val="24"/>
          <w:szCs w:val="24"/>
        </w:rPr>
        <w:t>Contemporary Security Policy</w:t>
      </w:r>
      <w:r w:rsidRPr="00320FE3">
        <w:rPr>
          <w:rFonts w:ascii="Times New Roman" w:hAnsi="Times New Roman" w:cs="Times New Roman"/>
          <w:noProof/>
          <w:sz w:val="24"/>
          <w:szCs w:val="24"/>
        </w:rPr>
        <w:t>. https://doi.org/10.1080/13523260.2024.2365062</w:t>
      </w:r>
    </w:p>
    <w:p w14:paraId="064F5046"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Gilli, A., Gilli, M., &amp; Zaccagnini, I. (2024). </w:t>
      </w:r>
      <w:r w:rsidRPr="00320FE3">
        <w:rPr>
          <w:rFonts w:ascii="Times New Roman" w:hAnsi="Times New Roman" w:cs="Times New Roman"/>
          <w:i/>
          <w:iCs/>
          <w:noProof/>
          <w:sz w:val="24"/>
          <w:szCs w:val="24"/>
        </w:rPr>
        <w:t>Exploring the Benefits of a New Force Enabler: Defense AI in Italy BT  - The Very Long G</w:t>
      </w:r>
      <w:r w:rsidRPr="00320FE3">
        <w:rPr>
          <w:rFonts w:ascii="Times New Roman" w:hAnsi="Times New Roman" w:cs="Times New Roman"/>
          <w:i/>
          <w:iCs/>
          <w:noProof/>
          <w:sz w:val="24"/>
          <w:szCs w:val="24"/>
        </w:rPr>
        <w:t>ame: 25 Case Studies on the Global State of Defense AI</w:t>
      </w:r>
      <w:r w:rsidRPr="00320FE3">
        <w:rPr>
          <w:rFonts w:ascii="Times New Roman" w:hAnsi="Times New Roman" w:cs="Times New Roman"/>
          <w:noProof/>
          <w:sz w:val="24"/>
          <w:szCs w:val="24"/>
        </w:rPr>
        <w:t xml:space="preserve"> (H. Borchert, T. Schütz, &amp; J. Verbovszky (eds.); pp. 283–304). Springer Nature Switzerland. https://doi.org/10.1007/978-3-031-58649-1_13</w:t>
      </w:r>
    </w:p>
    <w:p w14:paraId="2BC730CC"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Hellmeier, S., &amp; Weidmann, N. B. (2020). Pulling the Strings? Th</w:t>
      </w:r>
      <w:r w:rsidRPr="00320FE3">
        <w:rPr>
          <w:rFonts w:ascii="Times New Roman" w:hAnsi="Times New Roman" w:cs="Times New Roman"/>
          <w:noProof/>
          <w:sz w:val="24"/>
          <w:szCs w:val="24"/>
        </w:rPr>
        <w:t xml:space="preserve">e Strategic Use of Pro-Government Mobilization in Authoritarian Regimes. </w:t>
      </w:r>
      <w:r w:rsidRPr="00320FE3">
        <w:rPr>
          <w:rFonts w:ascii="Times New Roman" w:hAnsi="Times New Roman" w:cs="Times New Roman"/>
          <w:i/>
          <w:iCs/>
          <w:noProof/>
          <w:sz w:val="24"/>
          <w:szCs w:val="24"/>
        </w:rPr>
        <w:t>Comparative Political Studies</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53</w:t>
      </w:r>
      <w:r w:rsidRPr="00320FE3">
        <w:rPr>
          <w:rFonts w:ascii="Times New Roman" w:hAnsi="Times New Roman" w:cs="Times New Roman"/>
          <w:noProof/>
          <w:sz w:val="24"/>
          <w:szCs w:val="24"/>
        </w:rPr>
        <w:t>(1), 71–108. https://doi.org/10.1177/0010414019843559</w:t>
      </w:r>
    </w:p>
    <w:p w14:paraId="13A7D1C3"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Hirsch Ballin, E., Dijstelbloem, H., &amp; de Goede, P. (2020). </w:t>
      </w:r>
      <w:r w:rsidRPr="00320FE3">
        <w:rPr>
          <w:rFonts w:ascii="Times New Roman" w:hAnsi="Times New Roman" w:cs="Times New Roman"/>
          <w:i/>
          <w:iCs/>
          <w:noProof/>
          <w:sz w:val="24"/>
          <w:szCs w:val="24"/>
        </w:rPr>
        <w:t>Defence Policy in a Changed Security</w:t>
      </w:r>
      <w:r w:rsidRPr="00320FE3">
        <w:rPr>
          <w:rFonts w:ascii="Times New Roman" w:hAnsi="Times New Roman" w:cs="Times New Roman"/>
          <w:i/>
          <w:iCs/>
          <w:noProof/>
          <w:sz w:val="24"/>
          <w:szCs w:val="24"/>
        </w:rPr>
        <w:t xml:space="preserve"> Environment BT  - Security in an Interconnected World: A Strategic Vision for Defence Policy</w:t>
      </w:r>
      <w:r w:rsidRPr="00320FE3">
        <w:rPr>
          <w:rFonts w:ascii="Times New Roman" w:hAnsi="Times New Roman" w:cs="Times New Roman"/>
          <w:noProof/>
          <w:sz w:val="24"/>
          <w:szCs w:val="24"/>
        </w:rPr>
        <w:t xml:space="preserve"> (E. Hirsch Ballin, H. Dijstelbloem, &amp; P. de Goede (eds.); pp. 87–117). Springer International Publishing. https://doi.org/10.1007/978-3-030-37606-2_5</w:t>
      </w:r>
    </w:p>
    <w:p w14:paraId="2826DC8A"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Holmberg, A.</w:t>
      </w:r>
      <w:r w:rsidRPr="00320FE3">
        <w:rPr>
          <w:rFonts w:ascii="Times New Roman" w:hAnsi="Times New Roman" w:cs="Times New Roman"/>
          <w:noProof/>
          <w:sz w:val="24"/>
          <w:szCs w:val="24"/>
        </w:rPr>
        <w:t xml:space="preserve">, &amp; Alvinius, A. (2024). Organizational resistance through organizing principles: the case of gender equality in the military. </w:t>
      </w:r>
      <w:r w:rsidRPr="00320FE3">
        <w:rPr>
          <w:rFonts w:ascii="Times New Roman" w:hAnsi="Times New Roman" w:cs="Times New Roman"/>
          <w:i/>
          <w:iCs/>
          <w:noProof/>
          <w:sz w:val="24"/>
          <w:szCs w:val="24"/>
        </w:rPr>
        <w:t>Gender in Management</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39</w:t>
      </w:r>
      <w:r w:rsidRPr="00320FE3">
        <w:rPr>
          <w:rFonts w:ascii="Times New Roman" w:hAnsi="Times New Roman" w:cs="Times New Roman"/>
          <w:noProof/>
          <w:sz w:val="24"/>
          <w:szCs w:val="24"/>
        </w:rPr>
        <w:t>(3), 313–327. https://doi.org/10.1108/GM-05-2022-0180</w:t>
      </w:r>
    </w:p>
    <w:p w14:paraId="75E76489"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Hsieh, Y. L., &amp; Yeh, S. C. (2024). The trends of major issues connecting climate change and the sustainable development goals. </w:t>
      </w:r>
      <w:r w:rsidRPr="00320FE3">
        <w:rPr>
          <w:rFonts w:ascii="Times New Roman" w:hAnsi="Times New Roman" w:cs="Times New Roman"/>
          <w:i/>
          <w:iCs/>
          <w:noProof/>
          <w:sz w:val="24"/>
          <w:szCs w:val="24"/>
        </w:rPr>
        <w:t>Discover Sustainability</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5</w:t>
      </w:r>
      <w:r w:rsidRPr="00320FE3">
        <w:rPr>
          <w:rFonts w:ascii="Times New Roman" w:hAnsi="Times New Roman" w:cs="Times New Roman"/>
          <w:noProof/>
          <w:sz w:val="24"/>
          <w:szCs w:val="24"/>
        </w:rPr>
        <w:t>(1). https://doi.org/10.1007/s43621-024-00183-9</w:t>
      </w:r>
    </w:p>
    <w:p w14:paraId="4908C3C5"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Idachaba, E. U. (2019). </w:t>
      </w:r>
      <w:r w:rsidRPr="00320FE3">
        <w:rPr>
          <w:rFonts w:ascii="Times New Roman" w:hAnsi="Times New Roman" w:cs="Times New Roman"/>
          <w:i/>
          <w:iCs/>
          <w:noProof/>
          <w:sz w:val="24"/>
          <w:szCs w:val="24"/>
        </w:rPr>
        <w:t>Military-Focused Security BT  -</w:t>
      </w:r>
      <w:r w:rsidRPr="00320FE3">
        <w:rPr>
          <w:rFonts w:ascii="Times New Roman" w:hAnsi="Times New Roman" w:cs="Times New Roman"/>
          <w:i/>
          <w:iCs/>
          <w:noProof/>
          <w:sz w:val="24"/>
          <w:szCs w:val="24"/>
        </w:rPr>
        <w:t xml:space="preserve"> The Palgrave Encyclopedia of Global Security Studies</w:t>
      </w:r>
      <w:r w:rsidRPr="00320FE3">
        <w:rPr>
          <w:rFonts w:ascii="Times New Roman" w:hAnsi="Times New Roman" w:cs="Times New Roman"/>
          <w:noProof/>
          <w:sz w:val="24"/>
          <w:szCs w:val="24"/>
        </w:rPr>
        <w:t xml:space="preserve"> (S. Romaniuk, M. Thapa, &amp; P. Marton (eds.); pp. 1–12). Springer International Publishing. https://doi.org/10.1007/978-3-319-74336-3_85-1</w:t>
      </w:r>
    </w:p>
    <w:p w14:paraId="704B3AE6"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lastRenderedPageBreak/>
        <w:t xml:space="preserve">Kemhan RI. (2015). </w:t>
      </w:r>
      <w:r w:rsidRPr="00320FE3">
        <w:rPr>
          <w:rFonts w:ascii="Times New Roman" w:hAnsi="Times New Roman" w:cs="Times New Roman"/>
          <w:i/>
          <w:iCs/>
          <w:noProof/>
          <w:sz w:val="24"/>
          <w:szCs w:val="24"/>
        </w:rPr>
        <w:t>Buku Putih Pertahanan</w:t>
      </w:r>
      <w:r w:rsidRPr="00320FE3">
        <w:rPr>
          <w:rFonts w:ascii="Times New Roman" w:hAnsi="Times New Roman" w:cs="Times New Roman"/>
          <w:noProof/>
          <w:sz w:val="24"/>
          <w:szCs w:val="24"/>
        </w:rPr>
        <w:t>.</w:t>
      </w:r>
    </w:p>
    <w:p w14:paraId="111F7DB2"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Kingsbury, D. (2023). P</w:t>
      </w:r>
      <w:r w:rsidRPr="00320FE3">
        <w:rPr>
          <w:rFonts w:ascii="Times New Roman" w:hAnsi="Times New Roman" w:cs="Times New Roman"/>
          <w:noProof/>
          <w:sz w:val="24"/>
          <w:szCs w:val="24"/>
        </w:rPr>
        <w:t xml:space="preserve">ower Politics and the Indonesian Military Throughout. In </w:t>
      </w:r>
      <w:r w:rsidRPr="00320FE3">
        <w:rPr>
          <w:rFonts w:ascii="Times New Roman" w:hAnsi="Times New Roman" w:cs="Times New Roman"/>
          <w:i/>
          <w:iCs/>
          <w:noProof/>
          <w:sz w:val="24"/>
          <w:szCs w:val="24"/>
        </w:rPr>
        <w:t>Gender Roles</w:t>
      </w:r>
      <w:r w:rsidRPr="00320FE3">
        <w:rPr>
          <w:rFonts w:ascii="Times New Roman" w:hAnsi="Times New Roman" w:cs="Times New Roman"/>
          <w:noProof/>
          <w:sz w:val="24"/>
          <w:szCs w:val="24"/>
        </w:rPr>
        <w:t>. RoutledgeCurzon. https://doi.org/10.4324/9781315664095-19</w:t>
      </w:r>
    </w:p>
    <w:p w14:paraId="0025DE20"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Kohno, T. (2021). To Combat Extremism, How to Frame Religion Matters: Southeast Asia in Comparative Perspective. </w:t>
      </w:r>
      <w:r w:rsidRPr="00320FE3">
        <w:rPr>
          <w:rFonts w:ascii="Times New Roman" w:hAnsi="Times New Roman" w:cs="Times New Roman"/>
          <w:i/>
          <w:iCs/>
          <w:noProof/>
          <w:sz w:val="24"/>
          <w:szCs w:val="24"/>
        </w:rPr>
        <w:t>Studia Islamik</w:t>
      </w:r>
      <w:r w:rsidRPr="00320FE3">
        <w:rPr>
          <w:rFonts w:ascii="Times New Roman" w:hAnsi="Times New Roman" w:cs="Times New Roman"/>
          <w:i/>
          <w:iCs/>
          <w:noProof/>
          <w:sz w:val="24"/>
          <w:szCs w:val="24"/>
        </w:rPr>
        <w:t>a</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28</w:t>
      </w:r>
      <w:r w:rsidRPr="00320FE3">
        <w:rPr>
          <w:rFonts w:ascii="Times New Roman" w:hAnsi="Times New Roman" w:cs="Times New Roman"/>
          <w:noProof/>
          <w:sz w:val="24"/>
          <w:szCs w:val="24"/>
        </w:rPr>
        <w:t>(3).</w:t>
      </w:r>
    </w:p>
    <w:p w14:paraId="47C7178A"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Lestari, Y., Lohalo, G. O., Diur, N. K., Mushinda, B. N., Mbumba, V. M., Kianga, S. M., &amp; Minga, P. N. (2022). Security Cooperation between China and Indonesia to Address Maritime Security Threats. </w:t>
      </w:r>
      <w:r w:rsidRPr="00320FE3">
        <w:rPr>
          <w:rFonts w:ascii="Times New Roman" w:hAnsi="Times New Roman" w:cs="Times New Roman"/>
          <w:i/>
          <w:iCs/>
          <w:noProof/>
          <w:sz w:val="24"/>
          <w:szCs w:val="24"/>
        </w:rPr>
        <w:t>Open Journal of Political Science</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12</w:t>
      </w:r>
      <w:r w:rsidRPr="00320FE3">
        <w:rPr>
          <w:rFonts w:ascii="Times New Roman" w:hAnsi="Times New Roman" w:cs="Times New Roman"/>
          <w:noProof/>
          <w:sz w:val="24"/>
          <w:szCs w:val="24"/>
        </w:rPr>
        <w:t>(04), 534–555. https:</w:t>
      </w:r>
      <w:r w:rsidRPr="00320FE3">
        <w:rPr>
          <w:rFonts w:ascii="Times New Roman" w:hAnsi="Times New Roman" w:cs="Times New Roman"/>
          <w:noProof/>
          <w:sz w:val="24"/>
          <w:szCs w:val="24"/>
        </w:rPr>
        <w:t>//doi.org/10.4236/ojps.2022.124030</w:t>
      </w:r>
    </w:p>
    <w:p w14:paraId="3BDEDF87"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Lim, W. M. (2023). Philosophy of science and research paradigm for business research in the transformative age of automation, digitalization, hyperconnectivity, obligations, globalization and sustainability. </w:t>
      </w:r>
      <w:r w:rsidRPr="00320FE3">
        <w:rPr>
          <w:rFonts w:ascii="Times New Roman" w:hAnsi="Times New Roman" w:cs="Times New Roman"/>
          <w:i/>
          <w:iCs/>
          <w:noProof/>
          <w:sz w:val="24"/>
          <w:szCs w:val="24"/>
        </w:rPr>
        <w:t>Journal of Tr</w:t>
      </w:r>
      <w:r w:rsidRPr="00320FE3">
        <w:rPr>
          <w:rFonts w:ascii="Times New Roman" w:hAnsi="Times New Roman" w:cs="Times New Roman"/>
          <w:i/>
          <w:iCs/>
          <w:noProof/>
          <w:sz w:val="24"/>
          <w:szCs w:val="24"/>
        </w:rPr>
        <w:t>ade Science</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11</w:t>
      </w:r>
      <w:r w:rsidRPr="00320FE3">
        <w:rPr>
          <w:rFonts w:ascii="Times New Roman" w:hAnsi="Times New Roman" w:cs="Times New Roman"/>
          <w:noProof/>
          <w:sz w:val="24"/>
          <w:szCs w:val="24"/>
        </w:rPr>
        <w:t>(2/3), 3–30. https://doi.org/10.1108/jts-07-2023-0015</w:t>
      </w:r>
    </w:p>
    <w:p w14:paraId="70321076"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Lupovici, A. (2021). The dual-use security dilemma and the social construction of insecurity. </w:t>
      </w:r>
      <w:r w:rsidRPr="00320FE3">
        <w:rPr>
          <w:rFonts w:ascii="Times New Roman" w:hAnsi="Times New Roman" w:cs="Times New Roman"/>
          <w:i/>
          <w:iCs/>
          <w:noProof/>
          <w:sz w:val="24"/>
          <w:szCs w:val="24"/>
        </w:rPr>
        <w:t>Contemporary Security Policy</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42</w:t>
      </w:r>
      <w:r w:rsidRPr="00320FE3">
        <w:rPr>
          <w:rFonts w:ascii="Times New Roman" w:hAnsi="Times New Roman" w:cs="Times New Roman"/>
          <w:noProof/>
          <w:sz w:val="24"/>
          <w:szCs w:val="24"/>
        </w:rPr>
        <w:t>(3), 257–285. https://doi.org/10.1080/13523260.2020.1866845</w:t>
      </w:r>
    </w:p>
    <w:p w14:paraId="4BAE7794"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M</w:t>
      </w:r>
      <w:r w:rsidRPr="00320FE3">
        <w:rPr>
          <w:rFonts w:ascii="Times New Roman" w:hAnsi="Times New Roman" w:cs="Times New Roman"/>
          <w:noProof/>
          <w:sz w:val="24"/>
          <w:szCs w:val="24"/>
        </w:rPr>
        <w:t xml:space="preserve">almio, I. (2023). Ethics as an enabler and a constraint – Narratives on technology development and artificial intelligence in military affairs through the case of Project Maven. </w:t>
      </w:r>
      <w:r w:rsidRPr="00320FE3">
        <w:rPr>
          <w:rFonts w:ascii="Times New Roman" w:hAnsi="Times New Roman" w:cs="Times New Roman"/>
          <w:i/>
          <w:iCs/>
          <w:noProof/>
          <w:sz w:val="24"/>
          <w:szCs w:val="24"/>
        </w:rPr>
        <w:t>Technology in Society</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72</w:t>
      </w:r>
      <w:r w:rsidRPr="00320FE3">
        <w:rPr>
          <w:rFonts w:ascii="Times New Roman" w:hAnsi="Times New Roman" w:cs="Times New Roman"/>
          <w:noProof/>
          <w:sz w:val="24"/>
          <w:szCs w:val="24"/>
        </w:rPr>
        <w:t>(August 2022), 102193. https://doi.org/10.1016/j.tech</w:t>
      </w:r>
      <w:r w:rsidRPr="00320FE3">
        <w:rPr>
          <w:rFonts w:ascii="Times New Roman" w:hAnsi="Times New Roman" w:cs="Times New Roman"/>
          <w:noProof/>
          <w:sz w:val="24"/>
          <w:szCs w:val="24"/>
        </w:rPr>
        <w:t>soc.2022.102193</w:t>
      </w:r>
    </w:p>
    <w:p w14:paraId="7F2E3437"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Mikhridinova, N., Wolff, C., &amp; Van Petegem, W. (2024). Taxonomy of competence models based on an integrative literature review. In </w:t>
      </w:r>
      <w:r w:rsidRPr="00320FE3">
        <w:rPr>
          <w:rFonts w:ascii="Times New Roman" w:hAnsi="Times New Roman" w:cs="Times New Roman"/>
          <w:i/>
          <w:iCs/>
          <w:noProof/>
          <w:sz w:val="24"/>
          <w:szCs w:val="24"/>
        </w:rPr>
        <w:t>Education and Information Technologies</w:t>
      </w:r>
      <w:r w:rsidRPr="00320FE3">
        <w:rPr>
          <w:rFonts w:ascii="Times New Roman" w:hAnsi="Times New Roman" w:cs="Times New Roman"/>
          <w:noProof/>
          <w:sz w:val="24"/>
          <w:szCs w:val="24"/>
        </w:rPr>
        <w:t xml:space="preserve"> (Issue 0123456789). Springer US. https://doi.org/10.1007/s10639-024-12</w:t>
      </w:r>
      <w:r w:rsidRPr="00320FE3">
        <w:rPr>
          <w:rFonts w:ascii="Times New Roman" w:hAnsi="Times New Roman" w:cs="Times New Roman"/>
          <w:noProof/>
          <w:sz w:val="24"/>
          <w:szCs w:val="24"/>
        </w:rPr>
        <w:t>463-y</w:t>
      </w:r>
    </w:p>
    <w:p w14:paraId="2A961ED0"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Neill, M., Taliaferro, A. C., Tillman, M. E., Morgan, G. D., &amp; Hinkle, W. P. (2017). Defense Governance and Management: Improving the Defense Management Capabilities of Foreign Defense Institutions. </w:t>
      </w:r>
      <w:r w:rsidRPr="00320FE3">
        <w:rPr>
          <w:rFonts w:ascii="Times New Roman" w:hAnsi="Times New Roman" w:cs="Times New Roman"/>
          <w:i/>
          <w:iCs/>
          <w:noProof/>
          <w:sz w:val="24"/>
          <w:szCs w:val="24"/>
        </w:rPr>
        <w:t>Institute for Defense Analyses Report</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19</w:t>
      </w:r>
      <w:r w:rsidRPr="00320FE3">
        <w:rPr>
          <w:rFonts w:ascii="Times New Roman" w:hAnsi="Times New Roman" w:cs="Times New Roman"/>
          <w:noProof/>
          <w:sz w:val="24"/>
          <w:szCs w:val="24"/>
        </w:rPr>
        <w:t>(5), 1–23.</w:t>
      </w:r>
    </w:p>
    <w:p w14:paraId="5C28DCB7"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Nguyen, T. T., Grote, U., Neubacher, F., Rahut, D. B., Do, M. H., &amp; Paudel, G. P. (2023). Security risks from climate change and environmental degradation: implications for sustainable land use transformation in the Global South. </w:t>
      </w:r>
      <w:r w:rsidRPr="00320FE3">
        <w:rPr>
          <w:rFonts w:ascii="Times New Roman" w:hAnsi="Times New Roman" w:cs="Times New Roman"/>
          <w:i/>
          <w:iCs/>
          <w:noProof/>
          <w:sz w:val="24"/>
          <w:szCs w:val="24"/>
        </w:rPr>
        <w:t>Current Opinion in Enviro</w:t>
      </w:r>
      <w:r w:rsidRPr="00320FE3">
        <w:rPr>
          <w:rFonts w:ascii="Times New Roman" w:hAnsi="Times New Roman" w:cs="Times New Roman"/>
          <w:i/>
          <w:iCs/>
          <w:noProof/>
          <w:sz w:val="24"/>
          <w:szCs w:val="24"/>
        </w:rPr>
        <w:t>nmental Sustainability</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63</w:t>
      </w:r>
      <w:r w:rsidRPr="00320FE3">
        <w:rPr>
          <w:rFonts w:ascii="Times New Roman" w:hAnsi="Times New Roman" w:cs="Times New Roman"/>
          <w:noProof/>
          <w:sz w:val="24"/>
          <w:szCs w:val="24"/>
        </w:rPr>
        <w:t>, 101322. https://doi.org/https://doi.org/10.1016/j.cosust.2023.101322</w:t>
      </w:r>
    </w:p>
    <w:p w14:paraId="26A83971"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Page, M. J., McKenzie, J. E., Bossuyt, P. M., Boutron, I., Hoffmann, T. C., Mulrow, C. D., Shamseer, L., Tetzlaff, J. M., Akl, E. A., Brennan, S. E., Chou, R.,</w:t>
      </w:r>
      <w:r w:rsidRPr="00320FE3">
        <w:rPr>
          <w:rFonts w:ascii="Times New Roman" w:hAnsi="Times New Roman" w:cs="Times New Roman"/>
          <w:noProof/>
          <w:sz w:val="24"/>
          <w:szCs w:val="24"/>
        </w:rPr>
        <w:t xml:space="preserve"> Glanville, J., Grimshaw, J. M., Hróbjartsson, A., Lalu, M. M., Li, T., Loder, E. W., Mayo-Wilson, E., McDonald, S., … Moher, D. (2021). The PRISMA 2020 statement: An updated guideline for reporting systematic reviews. </w:t>
      </w:r>
      <w:r w:rsidRPr="00320FE3">
        <w:rPr>
          <w:rFonts w:ascii="Times New Roman" w:hAnsi="Times New Roman" w:cs="Times New Roman"/>
          <w:i/>
          <w:iCs/>
          <w:noProof/>
          <w:sz w:val="24"/>
          <w:szCs w:val="24"/>
        </w:rPr>
        <w:t>PLoS Medicine</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18</w:t>
      </w:r>
      <w:r w:rsidRPr="00320FE3">
        <w:rPr>
          <w:rFonts w:ascii="Times New Roman" w:hAnsi="Times New Roman" w:cs="Times New Roman"/>
          <w:noProof/>
          <w:sz w:val="24"/>
          <w:szCs w:val="24"/>
        </w:rPr>
        <w:t>(3), 1–15. https://d</w:t>
      </w:r>
      <w:r w:rsidRPr="00320FE3">
        <w:rPr>
          <w:rFonts w:ascii="Times New Roman" w:hAnsi="Times New Roman" w:cs="Times New Roman"/>
          <w:noProof/>
          <w:sz w:val="24"/>
          <w:szCs w:val="24"/>
        </w:rPr>
        <w:t>oi.org/10.1371/JOURNAL.PMED.1003583</w:t>
      </w:r>
    </w:p>
    <w:p w14:paraId="1EB0592D"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Pollini, A., Callari, T. C., Tedeschi, A., Ruscio, D., Save, L., Chiarugi, F., &amp; Guerri, D. (2022). Leveraging human factors in cybersecurity: an integrated methodological approach. </w:t>
      </w:r>
      <w:r w:rsidRPr="00320FE3">
        <w:rPr>
          <w:rFonts w:ascii="Times New Roman" w:hAnsi="Times New Roman" w:cs="Times New Roman"/>
          <w:i/>
          <w:iCs/>
          <w:noProof/>
          <w:sz w:val="24"/>
          <w:szCs w:val="24"/>
        </w:rPr>
        <w:t>Cognition, Technology and Work</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24</w:t>
      </w:r>
      <w:r w:rsidRPr="00320FE3">
        <w:rPr>
          <w:rFonts w:ascii="Times New Roman" w:hAnsi="Times New Roman" w:cs="Times New Roman"/>
          <w:noProof/>
          <w:sz w:val="24"/>
          <w:szCs w:val="24"/>
        </w:rPr>
        <w:t>(2),</w:t>
      </w:r>
      <w:r w:rsidRPr="00320FE3">
        <w:rPr>
          <w:rFonts w:ascii="Times New Roman" w:hAnsi="Times New Roman" w:cs="Times New Roman"/>
          <w:noProof/>
          <w:sz w:val="24"/>
          <w:szCs w:val="24"/>
        </w:rPr>
        <w:t xml:space="preserve"> 371–390. https://doi.org/10.1007/s10111-021-00683-y</w:t>
      </w:r>
    </w:p>
    <w:p w14:paraId="6E59E4DE"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Ricarte, J. (2023). </w:t>
      </w:r>
      <w:r w:rsidRPr="00320FE3">
        <w:rPr>
          <w:rFonts w:ascii="Times New Roman" w:hAnsi="Times New Roman" w:cs="Times New Roman"/>
          <w:i/>
          <w:iCs/>
          <w:noProof/>
          <w:sz w:val="24"/>
          <w:szCs w:val="24"/>
        </w:rPr>
        <w:t>The Impact of Protracted Peace Processes on Identities in Conflict : The Case of Israel and Palestine</w:t>
      </w:r>
      <w:r w:rsidRPr="00320FE3">
        <w:rPr>
          <w:rFonts w:ascii="Times New Roman" w:hAnsi="Times New Roman" w:cs="Times New Roman"/>
          <w:noProof/>
          <w:sz w:val="24"/>
          <w:szCs w:val="24"/>
        </w:rPr>
        <w:t>. https://library.oapen.org/bitstream/20.500.12657/60137/1/978-3-031-16567-2.pdf</w:t>
      </w:r>
    </w:p>
    <w:p w14:paraId="09AE0A78"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Romaniuk, S. N., &amp; Sabani, A. (2020). </w:t>
      </w:r>
      <w:r w:rsidRPr="00320FE3">
        <w:rPr>
          <w:rFonts w:ascii="Times New Roman" w:hAnsi="Times New Roman" w:cs="Times New Roman"/>
          <w:i/>
          <w:iCs/>
          <w:noProof/>
          <w:sz w:val="24"/>
          <w:szCs w:val="24"/>
        </w:rPr>
        <w:t>Non-Traditional Security BT  - The Palgrave Encyclopedia of Global Security Studies</w:t>
      </w:r>
      <w:r w:rsidRPr="00320FE3">
        <w:rPr>
          <w:rFonts w:ascii="Times New Roman" w:hAnsi="Times New Roman" w:cs="Times New Roman"/>
          <w:noProof/>
          <w:sz w:val="24"/>
          <w:szCs w:val="24"/>
        </w:rPr>
        <w:t xml:space="preserve"> (S. Romaniuk &amp; P. Marton (eds.); pp. 1–8). Springer International Publishing. https://doi.org/10.1007/978-3-319-74336-3_257-1</w:t>
      </w:r>
    </w:p>
    <w:p w14:paraId="74D44DC5"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Sarkis-O</w:t>
      </w:r>
      <w:r w:rsidRPr="00320FE3">
        <w:rPr>
          <w:rFonts w:ascii="Times New Roman" w:hAnsi="Times New Roman" w:cs="Times New Roman"/>
          <w:noProof/>
          <w:sz w:val="24"/>
          <w:szCs w:val="24"/>
        </w:rPr>
        <w:t xml:space="preserve">nofre, R., Catalá-López, F., Aromataris, E., &amp; Lockwood, C. (2021). How to properly </w:t>
      </w:r>
      <w:r w:rsidRPr="00320FE3">
        <w:rPr>
          <w:rFonts w:ascii="Times New Roman" w:hAnsi="Times New Roman" w:cs="Times New Roman"/>
          <w:noProof/>
          <w:sz w:val="24"/>
          <w:szCs w:val="24"/>
        </w:rPr>
        <w:lastRenderedPageBreak/>
        <w:t xml:space="preserve">use the PRISMA Statement. </w:t>
      </w:r>
      <w:r w:rsidRPr="00320FE3">
        <w:rPr>
          <w:rFonts w:ascii="Times New Roman" w:hAnsi="Times New Roman" w:cs="Times New Roman"/>
          <w:i/>
          <w:iCs/>
          <w:noProof/>
          <w:sz w:val="24"/>
          <w:szCs w:val="24"/>
        </w:rPr>
        <w:t>Systematic Reviews</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10</w:t>
      </w:r>
      <w:r w:rsidRPr="00320FE3">
        <w:rPr>
          <w:rFonts w:ascii="Times New Roman" w:hAnsi="Times New Roman" w:cs="Times New Roman"/>
          <w:noProof/>
          <w:sz w:val="24"/>
          <w:szCs w:val="24"/>
        </w:rPr>
        <w:t>(1), 13–15. https://doi.org/10.1186/s13643-021-01671-z</w:t>
      </w:r>
    </w:p>
    <w:p w14:paraId="0FB876E8"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Singer, P. W., &amp; Myers, J. J. (2010). Wired for War: The Robotics Rev</w:t>
      </w:r>
      <w:r w:rsidRPr="00320FE3">
        <w:rPr>
          <w:rFonts w:ascii="Times New Roman" w:hAnsi="Times New Roman" w:cs="Times New Roman"/>
          <w:noProof/>
          <w:sz w:val="24"/>
          <w:szCs w:val="24"/>
        </w:rPr>
        <w:t xml:space="preserve">olution and Conflict in the 21st Century. </w:t>
      </w:r>
      <w:r w:rsidRPr="00320FE3">
        <w:rPr>
          <w:rFonts w:ascii="Times New Roman" w:hAnsi="Times New Roman" w:cs="Times New Roman"/>
          <w:i/>
          <w:iCs/>
          <w:noProof/>
          <w:sz w:val="24"/>
          <w:szCs w:val="24"/>
        </w:rPr>
        <w:t>Industrial Robot: An International Journal</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37</w:t>
      </w:r>
      <w:r w:rsidRPr="00320FE3">
        <w:rPr>
          <w:rFonts w:ascii="Times New Roman" w:hAnsi="Times New Roman" w:cs="Times New Roman"/>
          <w:noProof/>
          <w:sz w:val="24"/>
          <w:szCs w:val="24"/>
        </w:rPr>
        <w:t>(5), 1–10. https://doi.org/10.1108/ir.2010.04937eae.001</w:t>
      </w:r>
    </w:p>
    <w:p w14:paraId="32B64AF8"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Sukma, R. (2015). Indonesia’s Security Outlook: Defence Policy and Regional Cooperation. In </w:t>
      </w:r>
      <w:r w:rsidRPr="00320FE3">
        <w:rPr>
          <w:rFonts w:ascii="Times New Roman" w:hAnsi="Times New Roman" w:cs="Times New Roman"/>
          <w:i/>
          <w:iCs/>
          <w:noProof/>
          <w:sz w:val="24"/>
          <w:szCs w:val="24"/>
        </w:rPr>
        <w:t xml:space="preserve">Security Outlook of </w:t>
      </w:r>
      <w:r w:rsidRPr="00320FE3">
        <w:rPr>
          <w:rFonts w:ascii="Times New Roman" w:hAnsi="Times New Roman" w:cs="Times New Roman"/>
          <w:i/>
          <w:iCs/>
          <w:noProof/>
          <w:sz w:val="24"/>
          <w:szCs w:val="24"/>
        </w:rPr>
        <w:t>the Asia Pacific Countries and Its Implications for the Defense Sector</w:t>
      </w:r>
      <w:r w:rsidRPr="00320FE3">
        <w:rPr>
          <w:rFonts w:ascii="Times New Roman" w:hAnsi="Times New Roman" w:cs="Times New Roman"/>
          <w:noProof/>
          <w:sz w:val="24"/>
          <w:szCs w:val="24"/>
        </w:rPr>
        <w:t xml:space="preserve"> (Vol. 1, Issue 1, pp. 3–24). https://www.nids.mod.go.jp/english/publication/joint_research/series5/pdf/5-1.pdf</w:t>
      </w:r>
    </w:p>
    <w:p w14:paraId="1666D7C6"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Tedja, B., Al Musadieq, M., Kusumawati, A., &amp; Yulianto, E. (2024). Systema</w:t>
      </w:r>
      <w:r w:rsidRPr="00320FE3">
        <w:rPr>
          <w:rFonts w:ascii="Times New Roman" w:hAnsi="Times New Roman" w:cs="Times New Roman"/>
          <w:noProof/>
          <w:sz w:val="24"/>
          <w:szCs w:val="24"/>
        </w:rPr>
        <w:t xml:space="preserve">tic literature review using PRISMA: exploring the influence of service quality and perceived value on satisfaction and intention to continue the relationship. </w:t>
      </w:r>
      <w:r w:rsidRPr="00320FE3">
        <w:rPr>
          <w:rFonts w:ascii="Times New Roman" w:hAnsi="Times New Roman" w:cs="Times New Roman"/>
          <w:i/>
          <w:iCs/>
          <w:noProof/>
          <w:sz w:val="24"/>
          <w:szCs w:val="24"/>
        </w:rPr>
        <w:t>Future Business Journal</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10</w:t>
      </w:r>
      <w:r w:rsidRPr="00320FE3">
        <w:rPr>
          <w:rFonts w:ascii="Times New Roman" w:hAnsi="Times New Roman" w:cs="Times New Roman"/>
          <w:noProof/>
          <w:sz w:val="24"/>
          <w:szCs w:val="24"/>
        </w:rPr>
        <w:t>(1). https://doi.org/10.1186/s43093-024-00326-4</w:t>
      </w:r>
    </w:p>
    <w:p w14:paraId="02708BF1"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Troy, J. (2024). Ethic</w:t>
      </w:r>
      <w:r w:rsidRPr="00320FE3">
        <w:rPr>
          <w:rFonts w:ascii="Times New Roman" w:hAnsi="Times New Roman" w:cs="Times New Roman"/>
          <w:noProof/>
          <w:sz w:val="24"/>
          <w:szCs w:val="24"/>
        </w:rPr>
        <w:t xml:space="preserve">s as Moral Practice in Peacekeeping Missions: Insights on the Importance of Ethical Training. </w:t>
      </w:r>
      <w:r w:rsidRPr="00320FE3">
        <w:rPr>
          <w:rFonts w:ascii="Times New Roman" w:hAnsi="Times New Roman" w:cs="Times New Roman"/>
          <w:i/>
          <w:iCs/>
          <w:noProof/>
          <w:sz w:val="24"/>
          <w:szCs w:val="24"/>
        </w:rPr>
        <w:t>International Peacekeeping</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31</w:t>
      </w:r>
      <w:r w:rsidRPr="00320FE3">
        <w:rPr>
          <w:rFonts w:ascii="Times New Roman" w:hAnsi="Times New Roman" w:cs="Times New Roman"/>
          <w:noProof/>
          <w:sz w:val="24"/>
          <w:szCs w:val="24"/>
        </w:rPr>
        <w:t>(3), 309–331. https://doi.org/10.1080/13533312.2024.2305901</w:t>
      </w:r>
    </w:p>
    <w:p w14:paraId="32B55B31"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Varadharajan, V., &amp; Suri, N. (2024). Security challenges when space merg</w:t>
      </w:r>
      <w:r w:rsidRPr="00320FE3">
        <w:rPr>
          <w:rFonts w:ascii="Times New Roman" w:hAnsi="Times New Roman" w:cs="Times New Roman"/>
          <w:noProof/>
          <w:sz w:val="24"/>
          <w:szCs w:val="24"/>
        </w:rPr>
        <w:t xml:space="preserve">es with cyberspace. </w:t>
      </w:r>
      <w:r w:rsidRPr="00320FE3">
        <w:rPr>
          <w:rFonts w:ascii="Times New Roman" w:hAnsi="Times New Roman" w:cs="Times New Roman"/>
          <w:i/>
          <w:iCs/>
          <w:noProof/>
          <w:sz w:val="24"/>
          <w:szCs w:val="24"/>
        </w:rPr>
        <w:t>Space Policy</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67</w:t>
      </w:r>
      <w:r w:rsidRPr="00320FE3">
        <w:rPr>
          <w:rFonts w:ascii="Times New Roman" w:hAnsi="Times New Roman" w:cs="Times New Roman"/>
          <w:noProof/>
          <w:sz w:val="24"/>
          <w:szCs w:val="24"/>
        </w:rPr>
        <w:t>(November 2023), 101600. https://doi.org/10.1016/j.spacepol.2023.101600</w:t>
      </w:r>
    </w:p>
    <w:p w14:paraId="72783AF2"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Walzer, M. (1979). Just and Unjust Wars: A Moral Argument with Historical Illustrations. </w:t>
      </w:r>
      <w:r w:rsidRPr="00320FE3">
        <w:rPr>
          <w:rFonts w:ascii="Times New Roman" w:hAnsi="Times New Roman" w:cs="Times New Roman"/>
          <w:i/>
          <w:iCs/>
          <w:noProof/>
          <w:sz w:val="24"/>
          <w:szCs w:val="24"/>
        </w:rPr>
        <w:t>Science and Society</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43</w:t>
      </w:r>
      <w:r w:rsidRPr="00320FE3">
        <w:rPr>
          <w:rFonts w:ascii="Times New Roman" w:hAnsi="Times New Roman" w:cs="Times New Roman"/>
          <w:noProof/>
          <w:sz w:val="24"/>
          <w:szCs w:val="24"/>
        </w:rPr>
        <w:t>(2).</w:t>
      </w:r>
    </w:p>
    <w:p w14:paraId="097A4616"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Wendt, A. (2017). Anarchy is wh</w:t>
      </w:r>
      <w:r w:rsidRPr="00320FE3">
        <w:rPr>
          <w:rFonts w:ascii="Times New Roman" w:hAnsi="Times New Roman" w:cs="Times New Roman"/>
          <w:noProof/>
          <w:sz w:val="24"/>
          <w:szCs w:val="24"/>
        </w:rPr>
        <w:t xml:space="preserve">at states make of it: The social construction of power politics. </w:t>
      </w:r>
      <w:r w:rsidRPr="00320FE3">
        <w:rPr>
          <w:rFonts w:ascii="Times New Roman" w:hAnsi="Times New Roman" w:cs="Times New Roman"/>
          <w:i/>
          <w:iCs/>
          <w:noProof/>
          <w:sz w:val="24"/>
          <w:szCs w:val="24"/>
        </w:rPr>
        <w:t>Theories of International Relations</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46</w:t>
      </w:r>
      <w:r w:rsidRPr="00320FE3">
        <w:rPr>
          <w:rFonts w:ascii="Times New Roman" w:hAnsi="Times New Roman" w:cs="Times New Roman"/>
          <w:noProof/>
          <w:sz w:val="24"/>
          <w:szCs w:val="24"/>
        </w:rPr>
        <w:t>(2), 301–335. https://doi.org/10.4324/9781315236339-22</w:t>
      </w:r>
    </w:p>
    <w:p w14:paraId="32DF6A52"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Williams, J., Yates, S., &amp; Connor, J. (2024). Creating a new pathway for change in the military u</w:t>
      </w:r>
      <w:r w:rsidRPr="00320FE3">
        <w:rPr>
          <w:rFonts w:ascii="Times New Roman" w:hAnsi="Times New Roman" w:cs="Times New Roman"/>
          <w:noProof/>
          <w:sz w:val="24"/>
          <w:szCs w:val="24"/>
        </w:rPr>
        <w:t xml:space="preserve">sing gender as process. </w:t>
      </w:r>
      <w:r w:rsidRPr="00320FE3">
        <w:rPr>
          <w:rFonts w:ascii="Times New Roman" w:hAnsi="Times New Roman" w:cs="Times New Roman"/>
          <w:i/>
          <w:iCs/>
          <w:noProof/>
          <w:sz w:val="24"/>
          <w:szCs w:val="24"/>
        </w:rPr>
        <w:t>Gender, Work and Organization</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31</w:t>
      </w:r>
      <w:r w:rsidRPr="00320FE3">
        <w:rPr>
          <w:rFonts w:ascii="Times New Roman" w:hAnsi="Times New Roman" w:cs="Times New Roman"/>
          <w:noProof/>
          <w:sz w:val="24"/>
          <w:szCs w:val="24"/>
        </w:rPr>
        <w:t>(1), 211–226. https://doi.org/10.1111/gwao.13049</w:t>
      </w:r>
    </w:p>
    <w:p w14:paraId="3FFEABB3"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 xml:space="preserve">Windiani, R. (2018). Peran Indonesia Dalam Memerangi Terorisme. </w:t>
      </w:r>
      <w:r w:rsidRPr="00320FE3">
        <w:rPr>
          <w:rFonts w:ascii="Times New Roman" w:hAnsi="Times New Roman" w:cs="Times New Roman"/>
          <w:i/>
          <w:iCs/>
          <w:noProof/>
          <w:sz w:val="24"/>
          <w:szCs w:val="24"/>
        </w:rPr>
        <w:t>Jurnal Ilmu Sosial</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16</w:t>
      </w:r>
      <w:r w:rsidRPr="00320FE3">
        <w:rPr>
          <w:rFonts w:ascii="Times New Roman" w:hAnsi="Times New Roman" w:cs="Times New Roman"/>
          <w:noProof/>
          <w:sz w:val="24"/>
          <w:szCs w:val="24"/>
        </w:rPr>
        <w:t>(2), 135. https://doi.org/10.14710/jis.16.2.2017.135-152</w:t>
      </w:r>
    </w:p>
    <w:p w14:paraId="280DB8B0" w14:textId="77777777" w:rsidR="00320FE3" w:rsidRPr="00320FE3" w:rsidRDefault="00DF76B8" w:rsidP="00320F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20FE3">
        <w:rPr>
          <w:rFonts w:ascii="Times New Roman" w:hAnsi="Times New Roman" w:cs="Times New Roman"/>
          <w:noProof/>
          <w:sz w:val="24"/>
          <w:szCs w:val="24"/>
        </w:rPr>
        <w:t>Zweibel</w:t>
      </w:r>
      <w:r w:rsidRPr="00320FE3">
        <w:rPr>
          <w:rFonts w:ascii="Times New Roman" w:hAnsi="Times New Roman" w:cs="Times New Roman"/>
          <w:noProof/>
          <w:sz w:val="24"/>
          <w:szCs w:val="24"/>
        </w:rPr>
        <w:t xml:space="preserve">son, B. (2017). Blending Postmodernism with Military Design Methodologies: Heresy, Subversion, and other Myths of Organizational Change. </w:t>
      </w:r>
      <w:r w:rsidRPr="00320FE3">
        <w:rPr>
          <w:rFonts w:ascii="Times New Roman" w:hAnsi="Times New Roman" w:cs="Times New Roman"/>
          <w:i/>
          <w:iCs/>
          <w:noProof/>
          <w:sz w:val="24"/>
          <w:szCs w:val="24"/>
        </w:rPr>
        <w:t>Journal of Military and Strategic Studies</w:t>
      </w:r>
      <w:r w:rsidRPr="00320FE3">
        <w:rPr>
          <w:rFonts w:ascii="Times New Roman" w:hAnsi="Times New Roman" w:cs="Times New Roman"/>
          <w:noProof/>
          <w:sz w:val="24"/>
          <w:szCs w:val="24"/>
        </w:rPr>
        <w:t xml:space="preserve">, </w:t>
      </w:r>
      <w:r w:rsidRPr="00320FE3">
        <w:rPr>
          <w:rFonts w:ascii="Times New Roman" w:hAnsi="Times New Roman" w:cs="Times New Roman"/>
          <w:i/>
          <w:iCs/>
          <w:noProof/>
          <w:sz w:val="24"/>
          <w:szCs w:val="24"/>
        </w:rPr>
        <w:t>17</w:t>
      </w:r>
      <w:r w:rsidRPr="00320FE3">
        <w:rPr>
          <w:rFonts w:ascii="Times New Roman" w:hAnsi="Times New Roman" w:cs="Times New Roman"/>
          <w:noProof/>
          <w:sz w:val="24"/>
          <w:szCs w:val="24"/>
        </w:rPr>
        <w:t>(4), 139.</w:t>
      </w:r>
    </w:p>
    <w:p w14:paraId="17D55209" w14:textId="09617308" w:rsidR="00320FE3" w:rsidRPr="00121E7C" w:rsidRDefault="00DF76B8" w:rsidP="00673AD3">
      <w:pPr>
        <w:spacing w:after="0" w:line="240" w:lineRule="auto"/>
        <w:jc w:val="both"/>
        <w:rPr>
          <w:rFonts w:ascii="Adelle Rg" w:eastAsia="Times New Roman" w:hAnsi="Adelle Rg" w:cs="Times New Roman"/>
          <w:b/>
          <w:bCs/>
          <w:sz w:val="28"/>
          <w:szCs w:val="28"/>
        </w:rPr>
      </w:pPr>
      <w:r w:rsidRPr="00320FE3">
        <w:rPr>
          <w:rFonts w:ascii="Times New Roman" w:eastAsia="Times New Roman" w:hAnsi="Times New Roman" w:cs="Times New Roman"/>
          <w:b/>
          <w:bCs/>
          <w:sz w:val="24"/>
          <w:szCs w:val="24"/>
        </w:rPr>
        <w:fldChar w:fldCharType="end"/>
      </w:r>
    </w:p>
    <w:p w14:paraId="5E9552B3" w14:textId="5CCFD8BC" w:rsidR="00B270D9" w:rsidRDefault="00B270D9">
      <w:pPr>
        <w:suppressAutoHyphens/>
        <w:spacing w:after="160"/>
        <w:rPr>
          <w:rFonts w:ascii="Arial" w:eastAsia="Noto Sans CJK SC" w:hAnsi="Arial" w:cs="Arial"/>
          <w:kern w:val="2"/>
          <w:sz w:val="20"/>
          <w:szCs w:val="20"/>
          <w:lang w:val="en-US" w:eastAsia="zh-CN" w:bidi="hi-IN"/>
        </w:rPr>
      </w:pPr>
      <w:bookmarkStart w:id="1" w:name="__DdeLink__26165_1862013924"/>
      <w:bookmarkEnd w:id="1"/>
    </w:p>
    <w:sectPr w:rsidR="00B270D9">
      <w:headerReference w:type="even" r:id="rId8"/>
      <w:headerReference w:type="first" r:id="rId9"/>
      <w:footerReference w:type="first" r:id="rId10"/>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1F1D" w14:textId="77777777" w:rsidR="00000000" w:rsidRDefault="00DF76B8">
      <w:pPr>
        <w:spacing w:after="0" w:line="240" w:lineRule="auto"/>
      </w:pPr>
      <w:r>
        <w:separator/>
      </w:r>
    </w:p>
  </w:endnote>
  <w:endnote w:type="continuationSeparator" w:id="0">
    <w:p w14:paraId="639F2F07" w14:textId="77777777" w:rsidR="00000000" w:rsidRDefault="00DF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altName w:val="Sylfaen"/>
    <w:charset w:val="00"/>
    <w:family w:val="auto"/>
    <w:pitch w:val="variable"/>
    <w:sig w:usb0="000004FF" w:usb1="8000405F" w:usb2="00000022" w:usb3="00000000" w:csb0="0000019F" w:csb1="00000000"/>
  </w:font>
  <w:font w:name="Adelle Rg">
    <w:altName w:val="Calibri"/>
    <w:panose1 w:val="00000000000000000000"/>
    <w:charset w:val="00"/>
    <w:family w:val="modern"/>
    <w:notTrueType/>
    <w:pitch w:val="variable"/>
    <w:sig w:usb0="80000087" w:usb1="0000004B" w:usb2="00000000" w:usb3="00000000" w:csb0="00000083"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Noto Serif">
    <w:charset w:val="00"/>
    <w:family w:val="roman"/>
    <w:pitch w:val="variable"/>
    <w:sig w:usb0="E00002FF" w:usb1="500078FF" w:usb2="00000029"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1E50" w14:textId="77777777" w:rsidR="00F60B75" w:rsidRDefault="00F60B75" w:rsidP="0098788E">
    <w:pPr>
      <w:pStyle w:val="Footer"/>
    </w:pPr>
  </w:p>
  <w:p w14:paraId="296FD5D0" w14:textId="1068618D" w:rsidR="00F60B75" w:rsidRDefault="00DF76B8" w:rsidP="00F60B75">
    <w:pPr>
      <w:pStyle w:val="NotaDeRodape"/>
    </w:pPr>
    <w:r>
      <w:t xml:space="preserve">[a] </w:t>
    </w:r>
    <w:r w:rsidR="009B7024">
      <w:rPr>
        <w:lang w:val="en-US"/>
      </w:rPr>
      <w:t>xxxxxxx</w:t>
    </w:r>
  </w:p>
  <w:p w14:paraId="06FB6E30" w14:textId="77777777" w:rsidR="00F60B75" w:rsidRDefault="00F60B75" w:rsidP="0098788E">
    <w:pPr>
      <w:pStyle w:val="Footer"/>
    </w:pPr>
  </w:p>
  <w:p w14:paraId="5CB8C9B3" w14:textId="15EE96A2" w:rsidR="00ED7F12" w:rsidRPr="0098788E" w:rsidRDefault="00DF76B8" w:rsidP="00F60B75">
    <w:pPr>
      <w:pStyle w:val="Rodape"/>
    </w:pPr>
    <w:r w:rsidRPr="009D2D6A">
      <w:t>Rev. Filos., Aurora, Curitiba, v. 3</w:t>
    </w:r>
    <w:r w:rsidR="00433594">
      <w:t>5</w:t>
    </w:r>
    <w:r w:rsidRPr="009D2D6A">
      <w:t xml:space="preserve">, </w:t>
    </w:r>
    <w:r w:rsidR="00433594">
      <w:t>elocation,</w:t>
    </w:r>
    <w:r w:rsidRPr="009D2D6A">
      <w:t xml:space="preserve"> 202</w:t>
    </w:r>
    <w:r w:rsidR="002C66BB">
      <w:t>x</w:t>
    </w:r>
    <w:r w:rsidR="0093535C">
      <w:tab/>
    </w:r>
    <w:r w:rsidR="00FA58B1" w:rsidRPr="0098788E">
      <w:tab/>
    </w:r>
    <w:r w:rsidR="00FA58B1" w:rsidRPr="0098788E">
      <w:tab/>
      <w:t xml:space="preserve">    </w:t>
    </w:r>
    <w:r w:rsidR="00F60B75">
      <w:tab/>
    </w:r>
    <w:r w:rsidR="00F60B75">
      <w:tab/>
    </w:r>
    <w:r w:rsidR="00F60B75">
      <w:tab/>
    </w:r>
    <w:r w:rsidR="00F60B75">
      <w:tab/>
      <w:t xml:space="preserve">   </w:t>
    </w:r>
    <w:r w:rsidRPr="0098788E">
      <w:fldChar w:fldCharType="begin"/>
    </w:r>
    <w:r w:rsidRPr="0098788E">
      <w:instrText>PAGE   \* MERGEFORMAT</w:instrText>
    </w:r>
    <w:r w:rsidRPr="0098788E">
      <w:fldChar w:fldCharType="separate"/>
    </w:r>
    <w:r w:rsidRPr="0098788E">
      <w:t>1</w:t>
    </w:r>
    <w:r w:rsidRPr="0098788E">
      <w:fldChar w:fldCharType="end"/>
    </w:r>
    <w:r w:rsidRPr="0098788E">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6677" w14:textId="77777777" w:rsidR="00000000" w:rsidRDefault="00DF76B8">
      <w:pPr>
        <w:spacing w:after="0" w:line="240" w:lineRule="auto"/>
      </w:pPr>
      <w:r>
        <w:separator/>
      </w:r>
    </w:p>
  </w:footnote>
  <w:footnote w:type="continuationSeparator" w:id="0">
    <w:p w14:paraId="47C46986" w14:textId="77777777" w:rsidR="00000000" w:rsidRDefault="00DF7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5338" w14:textId="7114C7FB" w:rsidR="00723808" w:rsidRDefault="00DF76B8">
    <w:pPr>
      <w:pStyle w:val="Header"/>
    </w:pPr>
    <w:r>
      <w:rPr>
        <w:sz w:val="24"/>
        <w:szCs w:val="24"/>
      </w:rPr>
      <w:t>Titulo do artigo no primeiro idioma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769A" w14:textId="77777777" w:rsidR="00FB4C55" w:rsidRDefault="00FB4C55" w:rsidP="00C94E90">
    <w:pPr>
      <w:pStyle w:val="Header"/>
      <w:rPr>
        <w:rFonts w:cstheme="minorHAnsi"/>
        <w:bCs/>
        <w:color w:val="AEAAAA" w:themeColor="background2" w:themeShade="BF"/>
        <w:szCs w:val="20"/>
      </w:rPr>
    </w:pPr>
  </w:p>
  <w:p w14:paraId="7C0A7796" w14:textId="77777777" w:rsidR="00FB4C55" w:rsidRDefault="00FB4C55" w:rsidP="00C94E90">
    <w:pPr>
      <w:pStyle w:val="Header"/>
      <w:rPr>
        <w:rFonts w:cstheme="minorHAnsi"/>
        <w:bCs/>
        <w:color w:val="AEAAAA" w:themeColor="background2" w:themeShade="BF"/>
        <w:szCs w:val="20"/>
      </w:rPr>
    </w:pPr>
  </w:p>
  <w:p w14:paraId="3E130A25" w14:textId="60F2CF5D" w:rsidR="004A50B6" w:rsidRDefault="00DF76B8" w:rsidP="004A1CD1">
    <w:pPr>
      <w:pStyle w:val="Header"/>
      <w:rPr>
        <w:rFonts w:eastAsia="Times New Roman"/>
        <w:color w:val="AEAAAA" w:themeColor="background2" w:themeShade="BF"/>
      </w:rPr>
    </w:pPr>
    <w:r>
      <w:rPr>
        <w:rFonts w:eastAsia="Times New Roman"/>
        <w:color w:val="AEAAAA" w:themeColor="background2" w:themeShade="BF"/>
      </w:rPr>
      <w:t>Artigo Científico – Fluxo Contínuo</w:t>
    </w:r>
  </w:p>
  <w:p w14:paraId="3A4070C3" w14:textId="6198CD90" w:rsidR="00C94E90" w:rsidRPr="002774DA" w:rsidRDefault="00DF76B8" w:rsidP="004A1CD1">
    <w:pPr>
      <w:pStyle w:val="Header"/>
      <w:rPr>
        <w:color w:val="AEAAAA" w:themeColor="background2" w:themeShade="BF"/>
      </w:rPr>
    </w:pPr>
    <w:r w:rsidRPr="004A1CD1">
      <w:rPr>
        <w:noProof/>
        <w:color w:val="AEAAAA" w:themeColor="background2" w:themeShade="BF"/>
      </w:rPr>
      <w:drawing>
        <wp:anchor distT="0" distB="0" distL="114300" distR="114300" simplePos="0" relativeHeight="251658240" behindDoc="0" locked="0" layoutInCell="1" allowOverlap="1">
          <wp:simplePos x="0" y="0"/>
          <wp:positionH relativeFrom="column">
            <wp:posOffset>5812155</wp:posOffset>
          </wp:positionH>
          <wp:positionV relativeFrom="paragraph">
            <wp:posOffset>51435</wp:posOffset>
          </wp:positionV>
          <wp:extent cx="472440" cy="242570"/>
          <wp:effectExtent l="57150" t="57150" r="60960" b="62230"/>
          <wp:wrapNone/>
          <wp:docPr id="5" name="Imagem 5"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2" descr="Desenho de um círculo&#10;&#10;Descrição gerada automaticamente com confiança média"/>
                  <pic:cNvPicPr/>
                </pic:nvPicPr>
                <pic:blipFill>
                  <a:blip r:embed="rId1" cstate="print">
                    <a:extLst>
                      <a:ext uri="{28A0092B-C50C-407E-A947-70E740481C1C}">
                        <a14:useLocalDpi xmlns:a14="http://schemas.microsoft.com/office/drawing/2010/main" val="0"/>
                      </a:ext>
                    </a:extLst>
                  </a:blip>
                  <a:srcRect l="2429" t="6706" r="33532"/>
                  <a:stretch>
                    <a:fillRect/>
                  </a:stretch>
                </pic:blipFill>
                <pic:spPr bwMode="auto">
                  <a:xfrm>
                    <a:off x="0" y="0"/>
                    <a:ext cx="472440" cy="242570"/>
                  </a:xfrm>
                  <a:prstGeom prst="roundRect">
                    <a:avLst>
                      <a:gd name="adj" fmla="val 4167"/>
                    </a:avLst>
                  </a:prstGeom>
                  <a:solidFill>
                    <a:srgbClr val="FFFFFF"/>
                  </a:solidFill>
                  <a:ln w="9525" cap="sq">
                    <a:solidFill>
                      <a:srgbClr val="292929"/>
                    </a:solidFill>
                    <a:miter lim="800000"/>
                  </a:ln>
                  <a:effectLst/>
                  <a:scene3d>
                    <a:camera prst="orthographicFront"/>
                    <a:lightRig rig="threePt" dir="t">
                      <a:rot lat="0" lon="0" rev="2700000"/>
                    </a:lightRig>
                  </a:scene3d>
                  <a:sp3d>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74DA" w:rsidRPr="002774DA">
      <w:rPr>
        <w:rFonts w:eastAsia="Times New Roman"/>
        <w:color w:val="AEAAAA" w:themeColor="background2" w:themeShade="BF"/>
      </w:rPr>
      <w:t xml:space="preserve">ISSN </w:t>
    </w:r>
    <w:r w:rsidR="004A50B6" w:rsidRPr="004A50B6">
      <w:rPr>
        <w:rFonts w:eastAsia="Times New Roman"/>
        <w:color w:val="AEAAAA" w:themeColor="background2" w:themeShade="BF"/>
      </w:rPr>
      <w:t>2965-1557</w:t>
    </w:r>
  </w:p>
  <w:p w14:paraId="19A12905" w14:textId="22BBBFD7" w:rsidR="00C2608D" w:rsidRPr="004A1CD1" w:rsidRDefault="00DF76B8" w:rsidP="004A1CD1">
    <w:pPr>
      <w:pStyle w:val="Header"/>
      <w:rPr>
        <w:color w:val="AEAAAA" w:themeColor="background2" w:themeShade="BF"/>
      </w:rPr>
    </w:pPr>
    <w:r w:rsidRPr="002774DA">
      <w:rPr>
        <w:rFonts w:eastAsia="Times New Roman"/>
        <w:color w:val="AEAAAA" w:themeColor="background2" w:themeShade="BF"/>
      </w:rPr>
      <w:t>http://doi.org/10.7213/1980-5934.34.063.AO00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50E927E"/>
    <w:lvl w:ilvl="0">
      <w:start w:val="1"/>
      <w:numFmt w:val="decimal"/>
      <w:pStyle w:val="ListNumber"/>
      <w:lvlText w:val="%1."/>
      <w:lvlJc w:val="left"/>
      <w:pPr>
        <w:tabs>
          <w:tab w:val="num" w:pos="360"/>
        </w:tabs>
        <w:ind w:left="360" w:hanging="360"/>
      </w:pPr>
    </w:lvl>
  </w:abstractNum>
  <w:abstractNum w:abstractNumId="1" w15:restartNumberingAfterBreak="0">
    <w:nsid w:val="0C2403EE"/>
    <w:multiLevelType w:val="hybridMultilevel"/>
    <w:tmpl w:val="B9745044"/>
    <w:lvl w:ilvl="0" w:tplc="4F2A600E">
      <w:start w:val="1"/>
      <w:numFmt w:val="decimal"/>
      <w:pStyle w:val="Bulletnumerico"/>
      <w:lvlText w:val="%1."/>
      <w:lvlJc w:val="left"/>
      <w:pPr>
        <w:ind w:left="1457" w:hanging="360"/>
      </w:pPr>
    </w:lvl>
    <w:lvl w:ilvl="1" w:tplc="6548D042" w:tentative="1">
      <w:start w:val="1"/>
      <w:numFmt w:val="lowerLetter"/>
      <w:lvlText w:val="%2."/>
      <w:lvlJc w:val="left"/>
      <w:pPr>
        <w:ind w:left="2177" w:hanging="360"/>
      </w:pPr>
    </w:lvl>
    <w:lvl w:ilvl="2" w:tplc="09E2A2B6" w:tentative="1">
      <w:start w:val="1"/>
      <w:numFmt w:val="lowerRoman"/>
      <w:lvlText w:val="%3."/>
      <w:lvlJc w:val="right"/>
      <w:pPr>
        <w:ind w:left="2897" w:hanging="180"/>
      </w:pPr>
    </w:lvl>
    <w:lvl w:ilvl="3" w:tplc="9F60AE9C" w:tentative="1">
      <w:start w:val="1"/>
      <w:numFmt w:val="decimal"/>
      <w:lvlText w:val="%4."/>
      <w:lvlJc w:val="left"/>
      <w:pPr>
        <w:ind w:left="3617" w:hanging="360"/>
      </w:pPr>
    </w:lvl>
    <w:lvl w:ilvl="4" w:tplc="25AC94C0" w:tentative="1">
      <w:start w:val="1"/>
      <w:numFmt w:val="lowerLetter"/>
      <w:lvlText w:val="%5."/>
      <w:lvlJc w:val="left"/>
      <w:pPr>
        <w:ind w:left="4337" w:hanging="360"/>
      </w:pPr>
    </w:lvl>
    <w:lvl w:ilvl="5" w:tplc="0D086BD0" w:tentative="1">
      <w:start w:val="1"/>
      <w:numFmt w:val="lowerRoman"/>
      <w:lvlText w:val="%6."/>
      <w:lvlJc w:val="right"/>
      <w:pPr>
        <w:ind w:left="5057" w:hanging="180"/>
      </w:pPr>
    </w:lvl>
    <w:lvl w:ilvl="6" w:tplc="8B10517E" w:tentative="1">
      <w:start w:val="1"/>
      <w:numFmt w:val="decimal"/>
      <w:lvlText w:val="%7."/>
      <w:lvlJc w:val="left"/>
      <w:pPr>
        <w:ind w:left="5777" w:hanging="360"/>
      </w:pPr>
    </w:lvl>
    <w:lvl w:ilvl="7" w:tplc="B36A5A1C" w:tentative="1">
      <w:start w:val="1"/>
      <w:numFmt w:val="lowerLetter"/>
      <w:lvlText w:val="%8."/>
      <w:lvlJc w:val="left"/>
      <w:pPr>
        <w:ind w:left="6497" w:hanging="360"/>
      </w:pPr>
    </w:lvl>
    <w:lvl w:ilvl="8" w:tplc="73DAFC46" w:tentative="1">
      <w:start w:val="1"/>
      <w:numFmt w:val="lowerRoman"/>
      <w:lvlText w:val="%9."/>
      <w:lvlJc w:val="right"/>
      <w:pPr>
        <w:ind w:left="7217" w:hanging="180"/>
      </w:pPr>
    </w:lvl>
  </w:abstractNum>
  <w:abstractNum w:abstractNumId="2" w15:restartNumberingAfterBreak="0">
    <w:nsid w:val="1054068E"/>
    <w:multiLevelType w:val="hybridMultilevel"/>
    <w:tmpl w:val="B942BEEC"/>
    <w:lvl w:ilvl="0" w:tplc="016025F6">
      <w:start w:val="1"/>
      <w:numFmt w:val="bullet"/>
      <w:pStyle w:val="ListParagraph"/>
      <w:lvlText w:val=""/>
      <w:lvlJc w:val="left"/>
      <w:pPr>
        <w:ind w:left="720" w:hanging="360"/>
      </w:pPr>
      <w:rPr>
        <w:rFonts w:ascii="Symbol" w:hAnsi="Symbol" w:hint="default"/>
      </w:rPr>
    </w:lvl>
    <w:lvl w:ilvl="1" w:tplc="C1206676" w:tentative="1">
      <w:start w:val="1"/>
      <w:numFmt w:val="bullet"/>
      <w:lvlText w:val="o"/>
      <w:lvlJc w:val="left"/>
      <w:pPr>
        <w:ind w:left="1440" w:hanging="360"/>
      </w:pPr>
      <w:rPr>
        <w:rFonts w:ascii="Courier New" w:hAnsi="Courier New" w:cs="Courier New" w:hint="default"/>
      </w:rPr>
    </w:lvl>
    <w:lvl w:ilvl="2" w:tplc="2FAEA6C8" w:tentative="1">
      <w:start w:val="1"/>
      <w:numFmt w:val="bullet"/>
      <w:lvlText w:val=""/>
      <w:lvlJc w:val="left"/>
      <w:pPr>
        <w:ind w:left="2160" w:hanging="360"/>
      </w:pPr>
      <w:rPr>
        <w:rFonts w:ascii="Wingdings" w:hAnsi="Wingdings" w:hint="default"/>
      </w:rPr>
    </w:lvl>
    <w:lvl w:ilvl="3" w:tplc="BE30F038" w:tentative="1">
      <w:start w:val="1"/>
      <w:numFmt w:val="bullet"/>
      <w:lvlText w:val=""/>
      <w:lvlJc w:val="left"/>
      <w:pPr>
        <w:ind w:left="2880" w:hanging="360"/>
      </w:pPr>
      <w:rPr>
        <w:rFonts w:ascii="Symbol" w:hAnsi="Symbol" w:hint="default"/>
      </w:rPr>
    </w:lvl>
    <w:lvl w:ilvl="4" w:tplc="57642AE8" w:tentative="1">
      <w:start w:val="1"/>
      <w:numFmt w:val="bullet"/>
      <w:lvlText w:val="o"/>
      <w:lvlJc w:val="left"/>
      <w:pPr>
        <w:ind w:left="3600" w:hanging="360"/>
      </w:pPr>
      <w:rPr>
        <w:rFonts w:ascii="Courier New" w:hAnsi="Courier New" w:cs="Courier New" w:hint="default"/>
      </w:rPr>
    </w:lvl>
    <w:lvl w:ilvl="5" w:tplc="8592D606" w:tentative="1">
      <w:start w:val="1"/>
      <w:numFmt w:val="bullet"/>
      <w:lvlText w:val=""/>
      <w:lvlJc w:val="left"/>
      <w:pPr>
        <w:ind w:left="4320" w:hanging="360"/>
      </w:pPr>
      <w:rPr>
        <w:rFonts w:ascii="Wingdings" w:hAnsi="Wingdings" w:hint="default"/>
      </w:rPr>
    </w:lvl>
    <w:lvl w:ilvl="6" w:tplc="583C4AFE" w:tentative="1">
      <w:start w:val="1"/>
      <w:numFmt w:val="bullet"/>
      <w:lvlText w:val=""/>
      <w:lvlJc w:val="left"/>
      <w:pPr>
        <w:ind w:left="5040" w:hanging="360"/>
      </w:pPr>
      <w:rPr>
        <w:rFonts w:ascii="Symbol" w:hAnsi="Symbol" w:hint="default"/>
      </w:rPr>
    </w:lvl>
    <w:lvl w:ilvl="7" w:tplc="651EC894" w:tentative="1">
      <w:start w:val="1"/>
      <w:numFmt w:val="bullet"/>
      <w:lvlText w:val="o"/>
      <w:lvlJc w:val="left"/>
      <w:pPr>
        <w:ind w:left="5760" w:hanging="360"/>
      </w:pPr>
      <w:rPr>
        <w:rFonts w:ascii="Courier New" w:hAnsi="Courier New" w:cs="Courier New" w:hint="default"/>
      </w:rPr>
    </w:lvl>
    <w:lvl w:ilvl="8" w:tplc="516C0736" w:tentative="1">
      <w:start w:val="1"/>
      <w:numFmt w:val="bullet"/>
      <w:lvlText w:val=""/>
      <w:lvlJc w:val="left"/>
      <w:pPr>
        <w:ind w:left="6480" w:hanging="360"/>
      </w:pPr>
      <w:rPr>
        <w:rFonts w:ascii="Wingdings" w:hAnsi="Wingdings" w:hint="default"/>
      </w:rPr>
    </w:lvl>
  </w:abstractNum>
  <w:abstractNum w:abstractNumId="3" w15:restartNumberingAfterBreak="0">
    <w:nsid w:val="24145977"/>
    <w:multiLevelType w:val="hybridMultilevel"/>
    <w:tmpl w:val="FECC5D22"/>
    <w:lvl w:ilvl="0" w:tplc="CA3E5B98">
      <w:start w:val="1"/>
      <w:numFmt w:val="bullet"/>
      <w:pStyle w:val="ListaBullets"/>
      <w:lvlText w:val=""/>
      <w:lvlJc w:val="left"/>
      <w:pPr>
        <w:ind w:left="720" w:hanging="360"/>
      </w:pPr>
      <w:rPr>
        <w:rFonts w:ascii="Symbol" w:hAnsi="Symbol" w:hint="default"/>
      </w:rPr>
    </w:lvl>
    <w:lvl w:ilvl="1" w:tplc="2B305B76" w:tentative="1">
      <w:start w:val="1"/>
      <w:numFmt w:val="bullet"/>
      <w:lvlText w:val="o"/>
      <w:lvlJc w:val="left"/>
      <w:pPr>
        <w:ind w:left="1440" w:hanging="360"/>
      </w:pPr>
      <w:rPr>
        <w:rFonts w:ascii="Courier New" w:hAnsi="Courier New" w:cs="Courier New" w:hint="default"/>
      </w:rPr>
    </w:lvl>
    <w:lvl w:ilvl="2" w:tplc="1430D72E" w:tentative="1">
      <w:start w:val="1"/>
      <w:numFmt w:val="bullet"/>
      <w:lvlText w:val=""/>
      <w:lvlJc w:val="left"/>
      <w:pPr>
        <w:ind w:left="2160" w:hanging="360"/>
      </w:pPr>
      <w:rPr>
        <w:rFonts w:ascii="Wingdings" w:hAnsi="Wingdings" w:hint="default"/>
      </w:rPr>
    </w:lvl>
    <w:lvl w:ilvl="3" w:tplc="A8FC7D52" w:tentative="1">
      <w:start w:val="1"/>
      <w:numFmt w:val="bullet"/>
      <w:lvlText w:val=""/>
      <w:lvlJc w:val="left"/>
      <w:pPr>
        <w:ind w:left="2880" w:hanging="360"/>
      </w:pPr>
      <w:rPr>
        <w:rFonts w:ascii="Symbol" w:hAnsi="Symbol" w:hint="default"/>
      </w:rPr>
    </w:lvl>
    <w:lvl w:ilvl="4" w:tplc="28D4900E" w:tentative="1">
      <w:start w:val="1"/>
      <w:numFmt w:val="bullet"/>
      <w:lvlText w:val="o"/>
      <w:lvlJc w:val="left"/>
      <w:pPr>
        <w:ind w:left="3600" w:hanging="360"/>
      </w:pPr>
      <w:rPr>
        <w:rFonts w:ascii="Courier New" w:hAnsi="Courier New" w:cs="Courier New" w:hint="default"/>
      </w:rPr>
    </w:lvl>
    <w:lvl w:ilvl="5" w:tplc="E4505872" w:tentative="1">
      <w:start w:val="1"/>
      <w:numFmt w:val="bullet"/>
      <w:lvlText w:val=""/>
      <w:lvlJc w:val="left"/>
      <w:pPr>
        <w:ind w:left="4320" w:hanging="360"/>
      </w:pPr>
      <w:rPr>
        <w:rFonts w:ascii="Wingdings" w:hAnsi="Wingdings" w:hint="default"/>
      </w:rPr>
    </w:lvl>
    <w:lvl w:ilvl="6" w:tplc="9446EDC0" w:tentative="1">
      <w:start w:val="1"/>
      <w:numFmt w:val="bullet"/>
      <w:lvlText w:val=""/>
      <w:lvlJc w:val="left"/>
      <w:pPr>
        <w:ind w:left="5040" w:hanging="360"/>
      </w:pPr>
      <w:rPr>
        <w:rFonts w:ascii="Symbol" w:hAnsi="Symbol" w:hint="default"/>
      </w:rPr>
    </w:lvl>
    <w:lvl w:ilvl="7" w:tplc="A1FE00E0" w:tentative="1">
      <w:start w:val="1"/>
      <w:numFmt w:val="bullet"/>
      <w:lvlText w:val="o"/>
      <w:lvlJc w:val="left"/>
      <w:pPr>
        <w:ind w:left="5760" w:hanging="360"/>
      </w:pPr>
      <w:rPr>
        <w:rFonts w:ascii="Courier New" w:hAnsi="Courier New" w:cs="Courier New" w:hint="default"/>
      </w:rPr>
    </w:lvl>
    <w:lvl w:ilvl="8" w:tplc="F934D2BE" w:tentative="1">
      <w:start w:val="1"/>
      <w:numFmt w:val="bullet"/>
      <w:lvlText w:val=""/>
      <w:lvlJc w:val="left"/>
      <w:pPr>
        <w:ind w:left="6480" w:hanging="360"/>
      </w:pPr>
      <w:rPr>
        <w:rFonts w:ascii="Wingdings" w:hAnsi="Wingdings" w:hint="default"/>
      </w:rPr>
    </w:lvl>
  </w:abstractNum>
  <w:abstractNum w:abstractNumId="4" w15:restartNumberingAfterBreak="0">
    <w:nsid w:val="2CD821CE"/>
    <w:multiLevelType w:val="hybridMultilevel"/>
    <w:tmpl w:val="1CA409F8"/>
    <w:lvl w:ilvl="0" w:tplc="6BDEAB4A">
      <w:start w:val="1"/>
      <w:numFmt w:val="decimal"/>
      <w:lvlText w:val="%1."/>
      <w:lvlJc w:val="left"/>
      <w:pPr>
        <w:ind w:left="1429" w:hanging="360"/>
      </w:pPr>
    </w:lvl>
    <w:lvl w:ilvl="1" w:tplc="BB064490" w:tentative="1">
      <w:start w:val="1"/>
      <w:numFmt w:val="lowerLetter"/>
      <w:lvlText w:val="%2."/>
      <w:lvlJc w:val="left"/>
      <w:pPr>
        <w:ind w:left="2149" w:hanging="360"/>
      </w:pPr>
    </w:lvl>
    <w:lvl w:ilvl="2" w:tplc="B28C4006" w:tentative="1">
      <w:start w:val="1"/>
      <w:numFmt w:val="lowerRoman"/>
      <w:lvlText w:val="%3."/>
      <w:lvlJc w:val="right"/>
      <w:pPr>
        <w:ind w:left="2869" w:hanging="180"/>
      </w:pPr>
    </w:lvl>
    <w:lvl w:ilvl="3" w:tplc="978C799A" w:tentative="1">
      <w:start w:val="1"/>
      <w:numFmt w:val="decimal"/>
      <w:lvlText w:val="%4."/>
      <w:lvlJc w:val="left"/>
      <w:pPr>
        <w:ind w:left="3589" w:hanging="360"/>
      </w:pPr>
    </w:lvl>
    <w:lvl w:ilvl="4" w:tplc="6518A738" w:tentative="1">
      <w:start w:val="1"/>
      <w:numFmt w:val="lowerLetter"/>
      <w:lvlText w:val="%5."/>
      <w:lvlJc w:val="left"/>
      <w:pPr>
        <w:ind w:left="4309" w:hanging="360"/>
      </w:pPr>
    </w:lvl>
    <w:lvl w:ilvl="5" w:tplc="C26EB0EA" w:tentative="1">
      <w:start w:val="1"/>
      <w:numFmt w:val="lowerRoman"/>
      <w:lvlText w:val="%6."/>
      <w:lvlJc w:val="right"/>
      <w:pPr>
        <w:ind w:left="5029" w:hanging="180"/>
      </w:pPr>
    </w:lvl>
    <w:lvl w:ilvl="6" w:tplc="A2984BE4" w:tentative="1">
      <w:start w:val="1"/>
      <w:numFmt w:val="decimal"/>
      <w:lvlText w:val="%7."/>
      <w:lvlJc w:val="left"/>
      <w:pPr>
        <w:ind w:left="5749" w:hanging="360"/>
      </w:pPr>
    </w:lvl>
    <w:lvl w:ilvl="7" w:tplc="D93A257C" w:tentative="1">
      <w:start w:val="1"/>
      <w:numFmt w:val="lowerLetter"/>
      <w:lvlText w:val="%8."/>
      <w:lvlJc w:val="left"/>
      <w:pPr>
        <w:ind w:left="6469" w:hanging="360"/>
      </w:pPr>
    </w:lvl>
    <w:lvl w:ilvl="8" w:tplc="65E44268" w:tentative="1">
      <w:start w:val="1"/>
      <w:numFmt w:val="lowerRoman"/>
      <w:lvlText w:val="%9."/>
      <w:lvlJc w:val="right"/>
      <w:pPr>
        <w:ind w:left="7189" w:hanging="180"/>
      </w:pPr>
    </w:lvl>
  </w:abstractNum>
  <w:abstractNum w:abstractNumId="5" w15:restartNumberingAfterBreak="0">
    <w:nsid w:val="35554CB0"/>
    <w:multiLevelType w:val="hybridMultilevel"/>
    <w:tmpl w:val="F5869B9C"/>
    <w:lvl w:ilvl="0" w:tplc="750CCADA">
      <w:start w:val="1"/>
      <w:numFmt w:val="bullet"/>
      <w:pStyle w:val="Bullettexto"/>
      <w:lvlText w:val=""/>
      <w:lvlJc w:val="left"/>
      <w:pPr>
        <w:ind w:left="720" w:hanging="360"/>
      </w:pPr>
      <w:rPr>
        <w:rFonts w:ascii="Symbol" w:hAnsi="Symbol" w:hint="default"/>
      </w:rPr>
    </w:lvl>
    <w:lvl w:ilvl="1" w:tplc="83106568" w:tentative="1">
      <w:start w:val="1"/>
      <w:numFmt w:val="bullet"/>
      <w:lvlText w:val="o"/>
      <w:lvlJc w:val="left"/>
      <w:pPr>
        <w:ind w:left="1440" w:hanging="360"/>
      </w:pPr>
      <w:rPr>
        <w:rFonts w:ascii="Courier New" w:hAnsi="Courier New" w:cs="Courier New" w:hint="default"/>
      </w:rPr>
    </w:lvl>
    <w:lvl w:ilvl="2" w:tplc="AEFEB620" w:tentative="1">
      <w:start w:val="1"/>
      <w:numFmt w:val="bullet"/>
      <w:lvlText w:val=""/>
      <w:lvlJc w:val="left"/>
      <w:pPr>
        <w:ind w:left="2160" w:hanging="360"/>
      </w:pPr>
      <w:rPr>
        <w:rFonts w:ascii="Wingdings" w:hAnsi="Wingdings" w:hint="default"/>
      </w:rPr>
    </w:lvl>
    <w:lvl w:ilvl="3" w:tplc="81E6D538" w:tentative="1">
      <w:start w:val="1"/>
      <w:numFmt w:val="bullet"/>
      <w:lvlText w:val=""/>
      <w:lvlJc w:val="left"/>
      <w:pPr>
        <w:ind w:left="2880" w:hanging="360"/>
      </w:pPr>
      <w:rPr>
        <w:rFonts w:ascii="Symbol" w:hAnsi="Symbol" w:hint="default"/>
      </w:rPr>
    </w:lvl>
    <w:lvl w:ilvl="4" w:tplc="61580684" w:tentative="1">
      <w:start w:val="1"/>
      <w:numFmt w:val="bullet"/>
      <w:lvlText w:val="o"/>
      <w:lvlJc w:val="left"/>
      <w:pPr>
        <w:ind w:left="3600" w:hanging="360"/>
      </w:pPr>
      <w:rPr>
        <w:rFonts w:ascii="Courier New" w:hAnsi="Courier New" w:cs="Courier New" w:hint="default"/>
      </w:rPr>
    </w:lvl>
    <w:lvl w:ilvl="5" w:tplc="3CD893A4" w:tentative="1">
      <w:start w:val="1"/>
      <w:numFmt w:val="bullet"/>
      <w:lvlText w:val=""/>
      <w:lvlJc w:val="left"/>
      <w:pPr>
        <w:ind w:left="4320" w:hanging="360"/>
      </w:pPr>
      <w:rPr>
        <w:rFonts w:ascii="Wingdings" w:hAnsi="Wingdings" w:hint="default"/>
      </w:rPr>
    </w:lvl>
    <w:lvl w:ilvl="6" w:tplc="813A3236" w:tentative="1">
      <w:start w:val="1"/>
      <w:numFmt w:val="bullet"/>
      <w:lvlText w:val=""/>
      <w:lvlJc w:val="left"/>
      <w:pPr>
        <w:ind w:left="5040" w:hanging="360"/>
      </w:pPr>
      <w:rPr>
        <w:rFonts w:ascii="Symbol" w:hAnsi="Symbol" w:hint="default"/>
      </w:rPr>
    </w:lvl>
    <w:lvl w:ilvl="7" w:tplc="8AF4250C" w:tentative="1">
      <w:start w:val="1"/>
      <w:numFmt w:val="bullet"/>
      <w:lvlText w:val="o"/>
      <w:lvlJc w:val="left"/>
      <w:pPr>
        <w:ind w:left="5760" w:hanging="360"/>
      </w:pPr>
      <w:rPr>
        <w:rFonts w:ascii="Courier New" w:hAnsi="Courier New" w:cs="Courier New" w:hint="default"/>
      </w:rPr>
    </w:lvl>
    <w:lvl w:ilvl="8" w:tplc="AB8487FE" w:tentative="1">
      <w:start w:val="1"/>
      <w:numFmt w:val="bullet"/>
      <w:lvlText w:val=""/>
      <w:lvlJc w:val="left"/>
      <w:pPr>
        <w:ind w:left="6480" w:hanging="360"/>
      </w:pPr>
      <w:rPr>
        <w:rFonts w:ascii="Wingdings" w:hAnsi="Wingdings" w:hint="default"/>
      </w:rPr>
    </w:lvl>
  </w:abstractNum>
  <w:abstractNum w:abstractNumId="6" w15:restartNumberingAfterBreak="0">
    <w:nsid w:val="47CE5AAA"/>
    <w:multiLevelType w:val="hybridMultilevel"/>
    <w:tmpl w:val="D9D2E156"/>
    <w:lvl w:ilvl="0" w:tplc="6A245D42">
      <w:start w:val="1"/>
      <w:numFmt w:val="bullet"/>
      <w:lvlText w:val=""/>
      <w:lvlJc w:val="left"/>
      <w:pPr>
        <w:ind w:left="720" w:hanging="360"/>
      </w:pPr>
      <w:rPr>
        <w:rFonts w:ascii="Symbol" w:hAnsi="Symbol" w:hint="default"/>
      </w:rPr>
    </w:lvl>
    <w:lvl w:ilvl="1" w:tplc="1C4E5C3A" w:tentative="1">
      <w:start w:val="1"/>
      <w:numFmt w:val="bullet"/>
      <w:lvlText w:val="o"/>
      <w:lvlJc w:val="left"/>
      <w:pPr>
        <w:ind w:left="1440" w:hanging="360"/>
      </w:pPr>
      <w:rPr>
        <w:rFonts w:ascii="Courier New" w:hAnsi="Courier New" w:cs="Courier New" w:hint="default"/>
      </w:rPr>
    </w:lvl>
    <w:lvl w:ilvl="2" w:tplc="9926CA9A" w:tentative="1">
      <w:start w:val="1"/>
      <w:numFmt w:val="bullet"/>
      <w:lvlText w:val=""/>
      <w:lvlJc w:val="left"/>
      <w:pPr>
        <w:ind w:left="2160" w:hanging="360"/>
      </w:pPr>
      <w:rPr>
        <w:rFonts w:ascii="Wingdings" w:hAnsi="Wingdings" w:hint="default"/>
      </w:rPr>
    </w:lvl>
    <w:lvl w:ilvl="3" w:tplc="324CDC36" w:tentative="1">
      <w:start w:val="1"/>
      <w:numFmt w:val="bullet"/>
      <w:lvlText w:val=""/>
      <w:lvlJc w:val="left"/>
      <w:pPr>
        <w:ind w:left="2880" w:hanging="360"/>
      </w:pPr>
      <w:rPr>
        <w:rFonts w:ascii="Symbol" w:hAnsi="Symbol" w:hint="default"/>
      </w:rPr>
    </w:lvl>
    <w:lvl w:ilvl="4" w:tplc="814EFF5C" w:tentative="1">
      <w:start w:val="1"/>
      <w:numFmt w:val="bullet"/>
      <w:lvlText w:val="o"/>
      <w:lvlJc w:val="left"/>
      <w:pPr>
        <w:ind w:left="3600" w:hanging="360"/>
      </w:pPr>
      <w:rPr>
        <w:rFonts w:ascii="Courier New" w:hAnsi="Courier New" w:cs="Courier New" w:hint="default"/>
      </w:rPr>
    </w:lvl>
    <w:lvl w:ilvl="5" w:tplc="F68CF5A4" w:tentative="1">
      <w:start w:val="1"/>
      <w:numFmt w:val="bullet"/>
      <w:lvlText w:val=""/>
      <w:lvlJc w:val="left"/>
      <w:pPr>
        <w:ind w:left="4320" w:hanging="360"/>
      </w:pPr>
      <w:rPr>
        <w:rFonts w:ascii="Wingdings" w:hAnsi="Wingdings" w:hint="default"/>
      </w:rPr>
    </w:lvl>
    <w:lvl w:ilvl="6" w:tplc="58844F80" w:tentative="1">
      <w:start w:val="1"/>
      <w:numFmt w:val="bullet"/>
      <w:lvlText w:val=""/>
      <w:lvlJc w:val="left"/>
      <w:pPr>
        <w:ind w:left="5040" w:hanging="360"/>
      </w:pPr>
      <w:rPr>
        <w:rFonts w:ascii="Symbol" w:hAnsi="Symbol" w:hint="default"/>
      </w:rPr>
    </w:lvl>
    <w:lvl w:ilvl="7" w:tplc="70480C20" w:tentative="1">
      <w:start w:val="1"/>
      <w:numFmt w:val="bullet"/>
      <w:lvlText w:val="o"/>
      <w:lvlJc w:val="left"/>
      <w:pPr>
        <w:ind w:left="5760" w:hanging="360"/>
      </w:pPr>
      <w:rPr>
        <w:rFonts w:ascii="Courier New" w:hAnsi="Courier New" w:cs="Courier New" w:hint="default"/>
      </w:rPr>
    </w:lvl>
    <w:lvl w:ilvl="8" w:tplc="A2A409FE"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1"/>
    <w:lvlOverride w:ilvl="0">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09"/>
  <w:autoHyphenation/>
  <w:consecutiveHyphenLimit w:val="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A5"/>
    <w:rsid w:val="000303C0"/>
    <w:rsid w:val="00037AB4"/>
    <w:rsid w:val="0004559D"/>
    <w:rsid w:val="00071C7B"/>
    <w:rsid w:val="00075EA3"/>
    <w:rsid w:val="00076175"/>
    <w:rsid w:val="00081F0A"/>
    <w:rsid w:val="00092C29"/>
    <w:rsid w:val="00093C24"/>
    <w:rsid w:val="000A1CBE"/>
    <w:rsid w:val="000B171F"/>
    <w:rsid w:val="000B1DAD"/>
    <w:rsid w:val="000B1F87"/>
    <w:rsid w:val="000B7C76"/>
    <w:rsid w:val="000E67B2"/>
    <w:rsid w:val="000F0801"/>
    <w:rsid w:val="00115CB1"/>
    <w:rsid w:val="00121E7C"/>
    <w:rsid w:val="00125083"/>
    <w:rsid w:val="00126A3A"/>
    <w:rsid w:val="00130C5F"/>
    <w:rsid w:val="001320DE"/>
    <w:rsid w:val="00137497"/>
    <w:rsid w:val="00141CF0"/>
    <w:rsid w:val="00142464"/>
    <w:rsid w:val="001669C7"/>
    <w:rsid w:val="00176C63"/>
    <w:rsid w:val="001B4FA4"/>
    <w:rsid w:val="001C284B"/>
    <w:rsid w:val="001F299A"/>
    <w:rsid w:val="002014CF"/>
    <w:rsid w:val="00215331"/>
    <w:rsid w:val="002164B5"/>
    <w:rsid w:val="002179E2"/>
    <w:rsid w:val="00223E1B"/>
    <w:rsid w:val="002273AD"/>
    <w:rsid w:val="00252F15"/>
    <w:rsid w:val="002538E5"/>
    <w:rsid w:val="00262F32"/>
    <w:rsid w:val="002640C5"/>
    <w:rsid w:val="00271985"/>
    <w:rsid w:val="002774DA"/>
    <w:rsid w:val="00290198"/>
    <w:rsid w:val="0029798F"/>
    <w:rsid w:val="002A2F75"/>
    <w:rsid w:val="002B7C22"/>
    <w:rsid w:val="002C229F"/>
    <w:rsid w:val="002C5FCC"/>
    <w:rsid w:val="002C66BB"/>
    <w:rsid w:val="002D368B"/>
    <w:rsid w:val="002D54A5"/>
    <w:rsid w:val="002E0797"/>
    <w:rsid w:val="00307A04"/>
    <w:rsid w:val="003151CE"/>
    <w:rsid w:val="00317AF4"/>
    <w:rsid w:val="00320FE3"/>
    <w:rsid w:val="00324465"/>
    <w:rsid w:val="00331538"/>
    <w:rsid w:val="003335C7"/>
    <w:rsid w:val="003340F5"/>
    <w:rsid w:val="00352A94"/>
    <w:rsid w:val="00356CF4"/>
    <w:rsid w:val="00383D4A"/>
    <w:rsid w:val="00385916"/>
    <w:rsid w:val="003913B4"/>
    <w:rsid w:val="00394928"/>
    <w:rsid w:val="003A04AA"/>
    <w:rsid w:val="003C3CA7"/>
    <w:rsid w:val="003C7E1B"/>
    <w:rsid w:val="003D2ECE"/>
    <w:rsid w:val="003F32D3"/>
    <w:rsid w:val="00403755"/>
    <w:rsid w:val="0040382C"/>
    <w:rsid w:val="00406080"/>
    <w:rsid w:val="00420D5D"/>
    <w:rsid w:val="00433594"/>
    <w:rsid w:val="004363A7"/>
    <w:rsid w:val="0043703B"/>
    <w:rsid w:val="00440834"/>
    <w:rsid w:val="0044601A"/>
    <w:rsid w:val="00453270"/>
    <w:rsid w:val="00454511"/>
    <w:rsid w:val="004617BB"/>
    <w:rsid w:val="00472F45"/>
    <w:rsid w:val="0048153B"/>
    <w:rsid w:val="00486088"/>
    <w:rsid w:val="004903B4"/>
    <w:rsid w:val="004A1CD1"/>
    <w:rsid w:val="004A50B6"/>
    <w:rsid w:val="004B1D57"/>
    <w:rsid w:val="004B7EEE"/>
    <w:rsid w:val="004C08C5"/>
    <w:rsid w:val="004C55E7"/>
    <w:rsid w:val="004C68FE"/>
    <w:rsid w:val="004D3672"/>
    <w:rsid w:val="004E38AB"/>
    <w:rsid w:val="004F0E18"/>
    <w:rsid w:val="004F1DAB"/>
    <w:rsid w:val="00503B33"/>
    <w:rsid w:val="00515B0C"/>
    <w:rsid w:val="00524D6B"/>
    <w:rsid w:val="00524F8D"/>
    <w:rsid w:val="0053612E"/>
    <w:rsid w:val="005406DE"/>
    <w:rsid w:val="00554E55"/>
    <w:rsid w:val="00567DF8"/>
    <w:rsid w:val="005717BA"/>
    <w:rsid w:val="00572E77"/>
    <w:rsid w:val="005770E2"/>
    <w:rsid w:val="00582FA8"/>
    <w:rsid w:val="00585A6A"/>
    <w:rsid w:val="00586259"/>
    <w:rsid w:val="00593137"/>
    <w:rsid w:val="005C1EA1"/>
    <w:rsid w:val="005C4F65"/>
    <w:rsid w:val="005C5E8F"/>
    <w:rsid w:val="005D4941"/>
    <w:rsid w:val="005E4B1C"/>
    <w:rsid w:val="005F0AFD"/>
    <w:rsid w:val="005F103A"/>
    <w:rsid w:val="006221D3"/>
    <w:rsid w:val="00622BEC"/>
    <w:rsid w:val="00624D7F"/>
    <w:rsid w:val="00626AEB"/>
    <w:rsid w:val="00652733"/>
    <w:rsid w:val="00666EFA"/>
    <w:rsid w:val="00671A0C"/>
    <w:rsid w:val="00673AD3"/>
    <w:rsid w:val="00685E05"/>
    <w:rsid w:val="006A46A8"/>
    <w:rsid w:val="006B0E94"/>
    <w:rsid w:val="006B416D"/>
    <w:rsid w:val="006B6E66"/>
    <w:rsid w:val="006C6B52"/>
    <w:rsid w:val="006D21AB"/>
    <w:rsid w:val="006E5E86"/>
    <w:rsid w:val="00704030"/>
    <w:rsid w:val="00711B95"/>
    <w:rsid w:val="00723808"/>
    <w:rsid w:val="00733E38"/>
    <w:rsid w:val="00735026"/>
    <w:rsid w:val="00753F90"/>
    <w:rsid w:val="0075779F"/>
    <w:rsid w:val="00777485"/>
    <w:rsid w:val="00792812"/>
    <w:rsid w:val="007968F0"/>
    <w:rsid w:val="007A2BF1"/>
    <w:rsid w:val="007A5244"/>
    <w:rsid w:val="007A58CD"/>
    <w:rsid w:val="007B05A0"/>
    <w:rsid w:val="007B4650"/>
    <w:rsid w:val="007C2405"/>
    <w:rsid w:val="007C3ED7"/>
    <w:rsid w:val="007D4CCF"/>
    <w:rsid w:val="007D7A4A"/>
    <w:rsid w:val="007F18C0"/>
    <w:rsid w:val="00800C00"/>
    <w:rsid w:val="00802BB8"/>
    <w:rsid w:val="00805631"/>
    <w:rsid w:val="00805BA9"/>
    <w:rsid w:val="00812897"/>
    <w:rsid w:val="0081484F"/>
    <w:rsid w:val="00820527"/>
    <w:rsid w:val="00821F1C"/>
    <w:rsid w:val="00832F0D"/>
    <w:rsid w:val="00833CDF"/>
    <w:rsid w:val="00837169"/>
    <w:rsid w:val="00837BBF"/>
    <w:rsid w:val="00842C8C"/>
    <w:rsid w:val="00856CD3"/>
    <w:rsid w:val="008570BF"/>
    <w:rsid w:val="00863A2F"/>
    <w:rsid w:val="00871BF1"/>
    <w:rsid w:val="00872827"/>
    <w:rsid w:val="00876479"/>
    <w:rsid w:val="00883818"/>
    <w:rsid w:val="00884212"/>
    <w:rsid w:val="00891011"/>
    <w:rsid w:val="00891F66"/>
    <w:rsid w:val="00894428"/>
    <w:rsid w:val="008A1B8F"/>
    <w:rsid w:val="008B3529"/>
    <w:rsid w:val="008C0887"/>
    <w:rsid w:val="008C6D8E"/>
    <w:rsid w:val="008D2716"/>
    <w:rsid w:val="008D3678"/>
    <w:rsid w:val="008D41F8"/>
    <w:rsid w:val="008F00F2"/>
    <w:rsid w:val="008F5BC0"/>
    <w:rsid w:val="008F6441"/>
    <w:rsid w:val="008F764D"/>
    <w:rsid w:val="00902532"/>
    <w:rsid w:val="009026CD"/>
    <w:rsid w:val="0090379E"/>
    <w:rsid w:val="00924F14"/>
    <w:rsid w:val="0092566E"/>
    <w:rsid w:val="00927B07"/>
    <w:rsid w:val="00931440"/>
    <w:rsid w:val="0093535C"/>
    <w:rsid w:val="00942918"/>
    <w:rsid w:val="00945980"/>
    <w:rsid w:val="00955819"/>
    <w:rsid w:val="00955E23"/>
    <w:rsid w:val="0095709F"/>
    <w:rsid w:val="00967719"/>
    <w:rsid w:val="00973DF4"/>
    <w:rsid w:val="00973F7B"/>
    <w:rsid w:val="00981B0B"/>
    <w:rsid w:val="00986C49"/>
    <w:rsid w:val="0098788E"/>
    <w:rsid w:val="009A57D5"/>
    <w:rsid w:val="009B57C7"/>
    <w:rsid w:val="009B7024"/>
    <w:rsid w:val="009C18CC"/>
    <w:rsid w:val="009C7DB5"/>
    <w:rsid w:val="009D2D6A"/>
    <w:rsid w:val="009E1B05"/>
    <w:rsid w:val="009E307C"/>
    <w:rsid w:val="009F5926"/>
    <w:rsid w:val="009F6114"/>
    <w:rsid w:val="00A028D7"/>
    <w:rsid w:val="00A156FB"/>
    <w:rsid w:val="00A22B54"/>
    <w:rsid w:val="00A32FA0"/>
    <w:rsid w:val="00A37559"/>
    <w:rsid w:val="00A40608"/>
    <w:rsid w:val="00A42578"/>
    <w:rsid w:val="00A54E66"/>
    <w:rsid w:val="00A614F7"/>
    <w:rsid w:val="00A6222B"/>
    <w:rsid w:val="00A72822"/>
    <w:rsid w:val="00A82531"/>
    <w:rsid w:val="00A842E4"/>
    <w:rsid w:val="00A969BA"/>
    <w:rsid w:val="00A9745D"/>
    <w:rsid w:val="00AB3467"/>
    <w:rsid w:val="00AD036D"/>
    <w:rsid w:val="00AE29C3"/>
    <w:rsid w:val="00AF5079"/>
    <w:rsid w:val="00B0136C"/>
    <w:rsid w:val="00B04B72"/>
    <w:rsid w:val="00B1308E"/>
    <w:rsid w:val="00B1764B"/>
    <w:rsid w:val="00B202B4"/>
    <w:rsid w:val="00B23F8B"/>
    <w:rsid w:val="00B270D9"/>
    <w:rsid w:val="00B27E91"/>
    <w:rsid w:val="00B305C8"/>
    <w:rsid w:val="00B306DA"/>
    <w:rsid w:val="00B41F03"/>
    <w:rsid w:val="00B51895"/>
    <w:rsid w:val="00B55CBD"/>
    <w:rsid w:val="00B60A00"/>
    <w:rsid w:val="00B757BD"/>
    <w:rsid w:val="00B92165"/>
    <w:rsid w:val="00BA0E53"/>
    <w:rsid w:val="00BA4970"/>
    <w:rsid w:val="00BC0C9D"/>
    <w:rsid w:val="00BC37B2"/>
    <w:rsid w:val="00BD0BB7"/>
    <w:rsid w:val="00BD25C5"/>
    <w:rsid w:val="00BF06CD"/>
    <w:rsid w:val="00BF4084"/>
    <w:rsid w:val="00BF4C37"/>
    <w:rsid w:val="00C0178D"/>
    <w:rsid w:val="00C04B1E"/>
    <w:rsid w:val="00C101B0"/>
    <w:rsid w:val="00C21AE0"/>
    <w:rsid w:val="00C2608D"/>
    <w:rsid w:val="00C2702F"/>
    <w:rsid w:val="00C366D8"/>
    <w:rsid w:val="00C454BD"/>
    <w:rsid w:val="00C544BB"/>
    <w:rsid w:val="00C67FB7"/>
    <w:rsid w:val="00C94E90"/>
    <w:rsid w:val="00CA13B3"/>
    <w:rsid w:val="00CB6D31"/>
    <w:rsid w:val="00CC6D60"/>
    <w:rsid w:val="00CD05F7"/>
    <w:rsid w:val="00CF19DA"/>
    <w:rsid w:val="00CF1CCE"/>
    <w:rsid w:val="00CF699F"/>
    <w:rsid w:val="00D01F5B"/>
    <w:rsid w:val="00D10093"/>
    <w:rsid w:val="00D117D4"/>
    <w:rsid w:val="00D1397E"/>
    <w:rsid w:val="00D15EF4"/>
    <w:rsid w:val="00D24ED7"/>
    <w:rsid w:val="00D25B69"/>
    <w:rsid w:val="00D323F8"/>
    <w:rsid w:val="00D33DAC"/>
    <w:rsid w:val="00D349FC"/>
    <w:rsid w:val="00D3730C"/>
    <w:rsid w:val="00D42341"/>
    <w:rsid w:val="00D47996"/>
    <w:rsid w:val="00D537CB"/>
    <w:rsid w:val="00D5608F"/>
    <w:rsid w:val="00D6252A"/>
    <w:rsid w:val="00D67D9D"/>
    <w:rsid w:val="00D80296"/>
    <w:rsid w:val="00D87C24"/>
    <w:rsid w:val="00D95F68"/>
    <w:rsid w:val="00DA6F12"/>
    <w:rsid w:val="00DD6398"/>
    <w:rsid w:val="00DE4020"/>
    <w:rsid w:val="00DF76B8"/>
    <w:rsid w:val="00E02108"/>
    <w:rsid w:val="00E0301B"/>
    <w:rsid w:val="00E0347F"/>
    <w:rsid w:val="00E06BF2"/>
    <w:rsid w:val="00E317DD"/>
    <w:rsid w:val="00E33815"/>
    <w:rsid w:val="00E3740C"/>
    <w:rsid w:val="00E53822"/>
    <w:rsid w:val="00E63C64"/>
    <w:rsid w:val="00E75DB2"/>
    <w:rsid w:val="00E92742"/>
    <w:rsid w:val="00E94499"/>
    <w:rsid w:val="00E96539"/>
    <w:rsid w:val="00EA3C28"/>
    <w:rsid w:val="00EC5716"/>
    <w:rsid w:val="00ED1180"/>
    <w:rsid w:val="00ED7F12"/>
    <w:rsid w:val="00EF6C01"/>
    <w:rsid w:val="00F11B4D"/>
    <w:rsid w:val="00F123EE"/>
    <w:rsid w:val="00F16A02"/>
    <w:rsid w:val="00F262D4"/>
    <w:rsid w:val="00F60B75"/>
    <w:rsid w:val="00F80D9F"/>
    <w:rsid w:val="00F92D7C"/>
    <w:rsid w:val="00FA58B1"/>
    <w:rsid w:val="00FB4A14"/>
    <w:rsid w:val="00FB4C55"/>
    <w:rsid w:val="00FC1EDE"/>
    <w:rsid w:val="00FD48D6"/>
    <w:rsid w:val="00FD77CF"/>
    <w:rsid w:val="00FE2378"/>
    <w:rsid w:val="00FE7A88"/>
    <w:rsid w:val="00FF05EC"/>
    <w:rsid w:val="00FF6B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6076"/>
  <w15:docId w15:val="{C2628DBD-352E-4051-B297-9DCE1779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qFormat="1"/>
    <w:lsdException w:name="annotation text" w:semiHidden="1"/>
    <w:lsdException w:name="header" w:semiHidden="1" w:unhideWhenUsed="1" w:qFormat="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D47996"/>
    <w:pPr>
      <w:spacing w:after="200" w:line="276" w:lineRule="auto"/>
    </w:pPr>
    <w:rPr>
      <w:rFonts w:eastAsiaTheme="minorEastAsia"/>
      <w:lang w:eastAsia="ja-JP"/>
    </w:rPr>
  </w:style>
  <w:style w:type="paragraph" w:styleId="Heading1">
    <w:name w:val="heading 1"/>
    <w:next w:val="Normal"/>
    <w:link w:val="Heading1Char"/>
    <w:uiPriority w:val="9"/>
    <w:semiHidden/>
    <w:qFormat/>
    <w:rsid w:val="00F60B75"/>
    <w:pPr>
      <w:spacing w:before="120" w:after="120"/>
      <w:jc w:val="right"/>
      <w:outlineLvl w:val="0"/>
    </w:pPr>
    <w:rPr>
      <w:rFonts w:ascii="Open Sans" w:eastAsiaTheme="majorEastAsia" w:hAnsi="Open Sans" w:cs="Open Sans"/>
      <w:b/>
      <w:color w:val="000000" w:themeColor="text1"/>
      <w:spacing w:val="-15"/>
      <w:sz w:val="32"/>
      <w:szCs w:val="72"/>
      <w:lang w:val="es-MX"/>
      <w14:ligatures w14:val="standardContextual"/>
    </w:rPr>
  </w:style>
  <w:style w:type="paragraph" w:styleId="Heading2">
    <w:name w:val="heading 2"/>
    <w:basedOn w:val="Heading1"/>
    <w:next w:val="Normal"/>
    <w:link w:val="Heading2Char"/>
    <w:uiPriority w:val="9"/>
    <w:semiHidden/>
    <w:qFormat/>
    <w:rsid w:val="00F60B75"/>
    <w:pPr>
      <w:keepNext/>
      <w:keepLines/>
      <w:spacing w:before="40" w:line="240" w:lineRule="auto"/>
      <w:outlineLvl w:val="1"/>
    </w:pPr>
    <w:rPr>
      <w:b w:val="0"/>
      <w:i/>
      <w:color w:val="auto"/>
      <w:szCs w:val="32"/>
    </w:rPr>
  </w:style>
  <w:style w:type="paragraph" w:styleId="Heading3">
    <w:name w:val="heading 3"/>
    <w:basedOn w:val="Normal"/>
    <w:next w:val="Normal"/>
    <w:link w:val="Heading3Char"/>
    <w:uiPriority w:val="9"/>
    <w:semiHidden/>
    <w:qFormat/>
    <w:rsid w:val="00F60B75"/>
    <w:pPr>
      <w:keepNext/>
      <w:keepLines/>
      <w:spacing w:before="40" w:after="0" w:line="240" w:lineRule="auto"/>
      <w:ind w:firstLine="709"/>
      <w:jc w:val="right"/>
      <w:outlineLvl w:val="2"/>
    </w:pPr>
    <w:rPr>
      <w:rFonts w:ascii="Open Sans" w:eastAsiaTheme="majorEastAsia" w:hAnsi="Open Sans" w:cs="Open Sans"/>
      <w:sz w:val="28"/>
      <w:szCs w:val="28"/>
      <w:lang w:val="es-MX" w:eastAsia="en-US"/>
      <w14:ligatures w14:val="standardContextual"/>
    </w:rPr>
  </w:style>
  <w:style w:type="paragraph" w:styleId="Heading4">
    <w:name w:val="heading 4"/>
    <w:basedOn w:val="Heading3"/>
    <w:next w:val="Normal"/>
    <w:link w:val="Heading4Char"/>
    <w:uiPriority w:val="9"/>
    <w:semiHidden/>
    <w:qFormat/>
    <w:rsid w:val="00F60B75"/>
    <w:pPr>
      <w:outlineLvl w:val="3"/>
    </w:pPr>
    <w:rPr>
      <w:sz w:val="24"/>
    </w:rPr>
  </w:style>
  <w:style w:type="paragraph" w:styleId="Heading5">
    <w:name w:val="heading 5"/>
    <w:basedOn w:val="Normal"/>
    <w:next w:val="Normal"/>
    <w:link w:val="Heading5Char"/>
    <w:uiPriority w:val="9"/>
    <w:semiHidden/>
    <w:rsid w:val="00F60B75"/>
    <w:pPr>
      <w:keepNext/>
      <w:keepLines/>
      <w:spacing w:before="40" w:after="0" w:line="360" w:lineRule="auto"/>
      <w:ind w:firstLine="709"/>
      <w:jc w:val="both"/>
      <w:outlineLvl w:val="4"/>
    </w:pPr>
    <w:rPr>
      <w:rFonts w:asciiTheme="majorHAnsi" w:eastAsiaTheme="majorEastAsia" w:hAnsiTheme="majorHAnsi" w:cstheme="majorBidi"/>
      <w:caps/>
      <w:color w:val="2F5496" w:themeColor="accent1" w:themeShade="BF"/>
      <w:sz w:val="26"/>
      <w:szCs w:val="26"/>
      <w:lang w:val="es-MX" w:eastAsia="en-US"/>
      <w14:ligatures w14:val="standardContextual"/>
    </w:rPr>
  </w:style>
  <w:style w:type="paragraph" w:styleId="Heading6">
    <w:name w:val="heading 6"/>
    <w:basedOn w:val="Normal"/>
    <w:next w:val="Normal"/>
    <w:link w:val="Heading6Char"/>
    <w:uiPriority w:val="9"/>
    <w:semiHidden/>
    <w:qFormat/>
    <w:rsid w:val="00F60B75"/>
    <w:pPr>
      <w:keepNext/>
      <w:keepLines/>
      <w:spacing w:before="40" w:after="0" w:line="360" w:lineRule="auto"/>
      <w:ind w:firstLine="709"/>
      <w:jc w:val="both"/>
      <w:outlineLvl w:val="5"/>
    </w:pPr>
    <w:rPr>
      <w:rFonts w:asciiTheme="majorHAnsi" w:eastAsiaTheme="majorEastAsia" w:hAnsiTheme="majorHAnsi" w:cstheme="majorBidi"/>
      <w:i/>
      <w:iCs/>
      <w:caps/>
      <w:color w:val="1F3864" w:themeColor="accent1" w:themeShade="80"/>
      <w:lang w:eastAsia="en-US"/>
      <w14:ligatures w14:val="standardContextual"/>
    </w:rPr>
  </w:style>
  <w:style w:type="paragraph" w:styleId="Heading7">
    <w:name w:val="heading 7"/>
    <w:basedOn w:val="Normal"/>
    <w:next w:val="Normal"/>
    <w:link w:val="Heading7Char"/>
    <w:uiPriority w:val="9"/>
    <w:semiHidden/>
    <w:qFormat/>
    <w:rsid w:val="00F60B75"/>
    <w:pPr>
      <w:keepNext/>
      <w:keepLines/>
      <w:spacing w:before="40" w:after="0" w:line="360" w:lineRule="auto"/>
      <w:ind w:firstLine="709"/>
      <w:jc w:val="both"/>
      <w:outlineLvl w:val="6"/>
    </w:pPr>
    <w:rPr>
      <w:rFonts w:asciiTheme="majorHAnsi" w:eastAsiaTheme="majorEastAsia" w:hAnsiTheme="majorHAnsi" w:cstheme="majorBidi"/>
      <w:b/>
      <w:bCs/>
      <w:color w:val="1F3864" w:themeColor="accent1" w:themeShade="80"/>
      <w:lang w:eastAsia="en-US"/>
      <w14:ligatures w14:val="standardContextual"/>
    </w:rPr>
  </w:style>
  <w:style w:type="paragraph" w:styleId="Heading8">
    <w:name w:val="heading 8"/>
    <w:basedOn w:val="Normal"/>
    <w:next w:val="Normal"/>
    <w:link w:val="Heading8Char"/>
    <w:uiPriority w:val="9"/>
    <w:semiHidden/>
    <w:qFormat/>
    <w:rsid w:val="00F60B75"/>
    <w:pPr>
      <w:keepNext/>
      <w:keepLines/>
      <w:spacing w:before="40" w:after="0" w:line="360" w:lineRule="auto"/>
      <w:ind w:firstLine="709"/>
      <w:jc w:val="both"/>
      <w:outlineLvl w:val="7"/>
    </w:pPr>
    <w:rPr>
      <w:rFonts w:asciiTheme="majorHAnsi" w:eastAsiaTheme="majorEastAsia" w:hAnsiTheme="majorHAnsi" w:cstheme="majorBidi"/>
      <w:b/>
      <w:bCs/>
      <w:i/>
      <w:iCs/>
      <w:color w:val="1F3864" w:themeColor="accent1" w:themeShade="80"/>
      <w:lang w:eastAsia="en-US"/>
      <w14:ligatures w14:val="standardContextual"/>
    </w:rPr>
  </w:style>
  <w:style w:type="paragraph" w:styleId="Heading9">
    <w:name w:val="heading 9"/>
    <w:basedOn w:val="Normal"/>
    <w:next w:val="Normal"/>
    <w:link w:val="Heading9Char"/>
    <w:uiPriority w:val="9"/>
    <w:semiHidden/>
    <w:qFormat/>
    <w:rsid w:val="00F60B75"/>
    <w:pPr>
      <w:keepNext/>
      <w:keepLines/>
      <w:spacing w:before="40" w:after="0" w:line="360" w:lineRule="auto"/>
      <w:ind w:firstLine="709"/>
      <w:jc w:val="both"/>
      <w:outlineLvl w:val="8"/>
    </w:pPr>
    <w:rPr>
      <w:rFonts w:asciiTheme="majorHAnsi" w:eastAsiaTheme="majorEastAsia" w:hAnsiTheme="majorHAnsi" w:cstheme="majorBidi"/>
      <w:i/>
      <w:iCs/>
      <w:color w:val="1F3864" w:themeColor="accent1" w:themeShade="80"/>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qFormat/>
    <w:rsid w:val="00F60B75"/>
    <w:pPr>
      <w:tabs>
        <w:tab w:val="center" w:pos="4252"/>
        <w:tab w:val="right" w:pos="8504"/>
      </w:tabs>
      <w:spacing w:after="0" w:line="240" w:lineRule="auto"/>
      <w:jc w:val="both"/>
    </w:pPr>
    <w:rPr>
      <w:rFonts w:ascii="Open Sans" w:hAnsi="Open Sans" w:cs="Open Sans"/>
      <w:color w:val="808080" w:themeColor="background1" w:themeShade="80"/>
      <w:sz w:val="18"/>
      <w:szCs w:val="26"/>
      <w:lang w:val="es-MX" w:eastAsia="en-US"/>
      <w14:ligatures w14:val="standardContextual"/>
    </w:rPr>
  </w:style>
  <w:style w:type="character" w:customStyle="1" w:styleId="HeaderChar">
    <w:name w:val="Header Char"/>
    <w:basedOn w:val="DefaultParagraphFont"/>
    <w:link w:val="Header"/>
    <w:uiPriority w:val="99"/>
    <w:semiHidden/>
    <w:rsid w:val="00F60B75"/>
    <w:rPr>
      <w:rFonts w:ascii="Open Sans" w:eastAsiaTheme="minorEastAsia" w:hAnsi="Open Sans" w:cs="Open Sans"/>
      <w:color w:val="808080" w:themeColor="background1" w:themeShade="80"/>
      <w:sz w:val="18"/>
      <w:szCs w:val="26"/>
      <w:lang w:val="es-MX"/>
      <w14:ligatures w14:val="standardContextual"/>
    </w:rPr>
  </w:style>
  <w:style w:type="paragraph" w:styleId="Footer">
    <w:name w:val="footer"/>
    <w:basedOn w:val="Resumo"/>
    <w:link w:val="FooterChar"/>
    <w:uiPriority w:val="99"/>
    <w:semiHidden/>
    <w:qFormat/>
    <w:rsid w:val="00F60B75"/>
    <w:rPr>
      <w:color w:val="808080" w:themeColor="background1" w:themeShade="80"/>
      <w:sz w:val="20"/>
      <w:szCs w:val="20"/>
    </w:rPr>
  </w:style>
  <w:style w:type="character" w:customStyle="1" w:styleId="FooterChar">
    <w:name w:val="Footer Char"/>
    <w:basedOn w:val="DefaultParagraphFont"/>
    <w:link w:val="Footer"/>
    <w:uiPriority w:val="99"/>
    <w:semiHidden/>
    <w:rsid w:val="00F60B75"/>
    <w:rPr>
      <w:rFonts w:ascii="Open Sans" w:eastAsiaTheme="minorEastAsia" w:hAnsi="Open Sans" w:cs="Open Sans"/>
      <w:color w:val="808080" w:themeColor="background1" w:themeShade="80"/>
      <w:sz w:val="20"/>
      <w:szCs w:val="20"/>
      <w:lang w:val="es-MX"/>
      <w14:ligatures w14:val="standardContextual"/>
    </w:rPr>
  </w:style>
  <w:style w:type="paragraph" w:styleId="NormalWeb">
    <w:name w:val="Normal (Web)"/>
    <w:basedOn w:val="Normal"/>
    <w:uiPriority w:val="99"/>
    <w:rsid w:val="004B7EE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59"/>
    <w:rsid w:val="00F60B75"/>
    <w:pPr>
      <w:spacing w:after="0" w:line="240" w:lineRule="auto"/>
    </w:pPr>
    <w:rPr>
      <w:rFonts w:eastAsiaTheme="minorEastAsi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F18C0"/>
    <w:rPr>
      <w:color w:val="0563C1" w:themeColor="hyperlink"/>
      <w:u w:val="single"/>
    </w:rPr>
  </w:style>
  <w:style w:type="character" w:customStyle="1" w:styleId="UnresolvedMention1">
    <w:name w:val="Unresolved Mention1"/>
    <w:basedOn w:val="DefaultParagraphFont"/>
    <w:uiPriority w:val="99"/>
    <w:semiHidden/>
    <w:rsid w:val="007F18C0"/>
    <w:rPr>
      <w:color w:val="605E5C"/>
      <w:shd w:val="clear" w:color="auto" w:fill="E1DFDD"/>
    </w:rPr>
  </w:style>
  <w:style w:type="paragraph" w:customStyle="1" w:styleId="REVISTAURBANA">
    <w:name w:val="REVISTA URBANA"/>
    <w:basedOn w:val="NormalWeb"/>
    <w:semiHidden/>
    <w:qFormat/>
    <w:rsid w:val="00440834"/>
    <w:pPr>
      <w:spacing w:before="0" w:beforeAutospacing="0" w:after="225" w:afterAutospacing="0"/>
    </w:pPr>
    <w:rPr>
      <w:rFonts w:ascii="Roboto Slab" w:hAnsi="Roboto Slab" w:cs="Open Sans"/>
      <w:b/>
      <w:bCs/>
      <w:color w:val="000000"/>
      <w:sz w:val="48"/>
      <w:szCs w:val="48"/>
    </w:rPr>
  </w:style>
  <w:style w:type="paragraph" w:customStyle="1" w:styleId="linkdarevista">
    <w:name w:val="link da revista"/>
    <w:basedOn w:val="NormalWeb"/>
    <w:semiHidden/>
    <w:rsid w:val="00440834"/>
    <w:pPr>
      <w:spacing w:before="0" w:beforeAutospacing="0" w:after="225" w:afterAutospacing="0"/>
    </w:pPr>
  </w:style>
  <w:style w:type="paragraph" w:styleId="Title">
    <w:name w:val="Title"/>
    <w:next w:val="Normal"/>
    <w:link w:val="TitleChar"/>
    <w:uiPriority w:val="10"/>
    <w:semiHidden/>
    <w:qFormat/>
    <w:rsid w:val="00F60B75"/>
    <w:pPr>
      <w:spacing w:before="1680" w:after="0" w:line="360" w:lineRule="auto"/>
      <w:ind w:left="1134"/>
      <w:jc w:val="right"/>
    </w:pPr>
    <w:rPr>
      <w:rFonts w:ascii="Open Sans" w:eastAsiaTheme="majorEastAsia" w:hAnsi="Open Sans" w:cs="Open Sans"/>
      <w:b/>
      <w:color w:val="000000" w:themeColor="text1"/>
      <w:spacing w:val="-15"/>
      <w:sz w:val="32"/>
      <w:szCs w:val="72"/>
      <w:lang w:val="es-MX"/>
      <w14:ligatures w14:val="standardContextual"/>
    </w:rPr>
  </w:style>
  <w:style w:type="character" w:customStyle="1" w:styleId="TitleChar">
    <w:name w:val="Title Char"/>
    <w:basedOn w:val="DefaultParagraphFont"/>
    <w:link w:val="Title"/>
    <w:uiPriority w:val="10"/>
    <w:semiHidden/>
    <w:rsid w:val="00F60B75"/>
    <w:rPr>
      <w:rFonts w:ascii="Open Sans" w:eastAsiaTheme="majorEastAsia" w:hAnsi="Open Sans" w:cs="Open Sans"/>
      <w:b/>
      <w:color w:val="000000" w:themeColor="text1"/>
      <w:spacing w:val="-15"/>
      <w:sz w:val="32"/>
      <w:szCs w:val="72"/>
      <w:lang w:val="es-MX"/>
      <w14:ligatures w14:val="standardContextual"/>
    </w:rPr>
  </w:style>
  <w:style w:type="paragraph" w:customStyle="1" w:styleId="TItulodoArtigo">
    <w:name w:val="TItulo do Artigo"/>
    <w:semiHidden/>
    <w:qFormat/>
    <w:rsid w:val="004C08C5"/>
    <w:pPr>
      <w:spacing w:before="600" w:after="240" w:line="240" w:lineRule="auto"/>
    </w:pPr>
    <w:rPr>
      <w:rFonts w:ascii="Adelle Rg" w:eastAsiaTheme="minorEastAsia" w:hAnsi="Adelle Rg"/>
      <w:b/>
      <w:bCs/>
      <w:color w:val="000000" w:themeColor="text1"/>
      <w:sz w:val="48"/>
      <w:szCs w:val="48"/>
      <w:lang w:eastAsia="ja-JP"/>
    </w:rPr>
  </w:style>
  <w:style w:type="paragraph" w:customStyle="1" w:styleId="Titutodoartigosegundoidioma">
    <w:name w:val="Tituto do artigo segundo idioma"/>
    <w:semiHidden/>
    <w:qFormat/>
    <w:rsid w:val="0053612E"/>
    <w:pPr>
      <w:shd w:val="clear" w:color="auto" w:fill="FFFFFF"/>
      <w:spacing w:after="200" w:line="288" w:lineRule="auto"/>
      <w:jc w:val="both"/>
    </w:pPr>
    <w:rPr>
      <w:rFonts w:ascii="Adelle Rg" w:eastAsia="Times New Roman" w:hAnsi="Adelle Rg" w:cs="Open Sans"/>
      <w:i/>
      <w:iCs/>
      <w:color w:val="706F6F"/>
      <w:sz w:val="32"/>
      <w:szCs w:val="32"/>
      <w:lang w:eastAsia="pt-BR"/>
    </w:rPr>
  </w:style>
  <w:style w:type="paragraph" w:customStyle="1" w:styleId="NomecompletodoAutor">
    <w:name w:val="Nome completo do Autor"/>
    <w:semiHidden/>
    <w:qFormat/>
    <w:rsid w:val="004C08C5"/>
    <w:pPr>
      <w:shd w:val="clear" w:color="auto" w:fill="FFFFFF"/>
      <w:spacing w:before="480" w:after="0" w:line="288" w:lineRule="auto"/>
    </w:pPr>
    <w:rPr>
      <w:rFonts w:ascii="Adelle Rg" w:eastAsia="Times New Roman" w:hAnsi="Adelle Rg" w:cs="Times New Roman"/>
      <w:sz w:val="20"/>
      <w:szCs w:val="24"/>
      <w:lang w:eastAsia="pt-BR"/>
    </w:rPr>
  </w:style>
  <w:style w:type="paragraph" w:customStyle="1" w:styleId="Universidadesiglainstituto">
    <w:name w:val="Universidade sigla instituto"/>
    <w:basedOn w:val="NomecompletodoAutor"/>
    <w:semiHidden/>
    <w:qFormat/>
    <w:rsid w:val="001669C7"/>
    <w:pPr>
      <w:spacing w:before="0" w:after="360"/>
    </w:pPr>
  </w:style>
  <w:style w:type="paragraph" w:customStyle="1" w:styleId="CidadeUFPAIS">
    <w:name w:val="Cidade UF PAIS"/>
    <w:basedOn w:val="NomecompletodoAutor"/>
    <w:semiHidden/>
    <w:qFormat/>
    <w:rsid w:val="00AE29C3"/>
    <w:pPr>
      <w:spacing w:before="0" w:after="360"/>
    </w:pPr>
  </w:style>
  <w:style w:type="paragraph" w:customStyle="1" w:styleId="Site">
    <w:name w:val="Site"/>
    <w:basedOn w:val="NomecompletodoAutor"/>
    <w:semiHidden/>
    <w:qFormat/>
    <w:rsid w:val="002B7C22"/>
    <w:pPr>
      <w:spacing w:before="0"/>
    </w:pPr>
  </w:style>
  <w:style w:type="paragraph" w:customStyle="1" w:styleId="Comocitar">
    <w:name w:val="Como citar"/>
    <w:semiHidden/>
    <w:qFormat/>
    <w:rsid w:val="004C08C5"/>
    <w:pPr>
      <w:spacing w:after="360" w:line="276" w:lineRule="auto"/>
    </w:pPr>
    <w:rPr>
      <w:rFonts w:ascii="Adelle Rg" w:eastAsiaTheme="minorEastAsia" w:hAnsi="Adelle Rg"/>
      <w:bCs/>
      <w:sz w:val="20"/>
      <w:lang w:eastAsia="ja-JP"/>
    </w:rPr>
  </w:style>
  <w:style w:type="paragraph" w:customStyle="1" w:styleId="ResumoAbstractSubtitulo">
    <w:name w:val="Resumo Abstract Subtitulo"/>
    <w:basedOn w:val="NormalWeb"/>
    <w:semiHidden/>
    <w:qFormat/>
    <w:rsid w:val="004C08C5"/>
    <w:pPr>
      <w:shd w:val="clear" w:color="auto" w:fill="FFFFFF"/>
      <w:spacing w:before="360" w:beforeAutospacing="0" w:after="120" w:afterAutospacing="0"/>
      <w:jc w:val="both"/>
    </w:pPr>
    <w:rPr>
      <w:rFonts w:ascii="Adelle Rg" w:hAnsi="Adelle Rg" w:cs="Calibri Light"/>
      <w:b/>
      <w:bCs/>
      <w:color w:val="000000"/>
      <w:szCs w:val="28"/>
    </w:rPr>
  </w:style>
  <w:style w:type="paragraph" w:customStyle="1" w:styleId="Resumo">
    <w:name w:val="Resumo"/>
    <w:semiHidden/>
    <w:qFormat/>
    <w:rsid w:val="00F60B75"/>
    <w:pPr>
      <w:jc w:val="both"/>
    </w:pPr>
    <w:rPr>
      <w:rFonts w:ascii="Open Sans" w:eastAsiaTheme="minorEastAsia" w:hAnsi="Open Sans" w:cs="Open Sans"/>
      <w:color w:val="000000"/>
      <w:shd w:val="clear" w:color="auto" w:fill="FFFFFF"/>
      <w:lang w:val="es-MX"/>
      <w14:ligatures w14:val="standardContextual"/>
    </w:rPr>
  </w:style>
  <w:style w:type="paragraph" w:customStyle="1" w:styleId="Palavrachave">
    <w:name w:val="Palavra chave"/>
    <w:basedOn w:val="Normal"/>
    <w:semiHidden/>
    <w:qFormat/>
    <w:rsid w:val="004C08C5"/>
    <w:pPr>
      <w:spacing w:after="0" w:line="240" w:lineRule="auto"/>
      <w:jc w:val="both"/>
    </w:pPr>
    <w:rPr>
      <w:rFonts w:ascii="Adelle Rg" w:hAnsi="Adelle Rg"/>
      <w:sz w:val="20"/>
    </w:rPr>
  </w:style>
  <w:style w:type="paragraph" w:customStyle="1" w:styleId="Abstract">
    <w:name w:val="Abstract"/>
    <w:basedOn w:val="Resumo"/>
    <w:semiHidden/>
    <w:qFormat/>
    <w:rsid w:val="00F60B75"/>
    <w:rPr>
      <w:i/>
    </w:rPr>
  </w:style>
  <w:style w:type="paragraph" w:customStyle="1" w:styleId="Keywords">
    <w:name w:val="Keywords"/>
    <w:basedOn w:val="Palavrachave"/>
    <w:semiHidden/>
    <w:qFormat/>
    <w:rsid w:val="00C94E90"/>
    <w:pPr>
      <w:spacing w:after="360"/>
    </w:pPr>
    <w:rPr>
      <w:i/>
      <w:iCs/>
      <w:lang w:val="en-US"/>
    </w:rPr>
  </w:style>
  <w:style w:type="paragraph" w:customStyle="1" w:styleId="Subtitulotexto">
    <w:name w:val="Subtitulo texto"/>
    <w:basedOn w:val="NormalWeb"/>
    <w:semiHidden/>
    <w:qFormat/>
    <w:rsid w:val="00D25B69"/>
    <w:pPr>
      <w:shd w:val="clear" w:color="auto" w:fill="FFFFFF"/>
      <w:spacing w:before="360" w:beforeAutospacing="0" w:after="120" w:afterAutospacing="0"/>
      <w:jc w:val="both"/>
    </w:pPr>
    <w:rPr>
      <w:rFonts w:ascii="Adelle Rg" w:hAnsi="Adelle Rg" w:cs="Open Sans"/>
      <w:b/>
      <w:bCs/>
      <w:color w:val="000000"/>
      <w:szCs w:val="28"/>
      <w:lang w:val="fr-FR"/>
    </w:rPr>
  </w:style>
  <w:style w:type="paragraph" w:customStyle="1" w:styleId="TextoCorpo">
    <w:name w:val="Texto Corpo"/>
    <w:basedOn w:val="NormalWeb"/>
    <w:semiHidden/>
    <w:qFormat/>
    <w:rsid w:val="00D25B69"/>
    <w:pPr>
      <w:shd w:val="clear" w:color="auto" w:fill="FFFFFF"/>
      <w:spacing w:before="0" w:beforeAutospacing="0" w:after="0" w:afterAutospacing="0" w:line="276" w:lineRule="auto"/>
      <w:ind w:firstLine="737"/>
      <w:jc w:val="both"/>
    </w:pPr>
    <w:rPr>
      <w:rFonts w:ascii="Adelle Rg" w:hAnsi="Adelle Rg" w:cs="Open Sans"/>
      <w:color w:val="000000"/>
      <w:sz w:val="21"/>
      <w:szCs w:val="22"/>
      <w:lang w:val="fr-FR"/>
    </w:rPr>
  </w:style>
  <w:style w:type="character" w:styleId="FootnoteReference">
    <w:name w:val="footnote reference"/>
    <w:basedOn w:val="DefaultParagraphFont"/>
    <w:uiPriority w:val="99"/>
    <w:semiHidden/>
    <w:rsid w:val="00723808"/>
    <w:rPr>
      <w:vertAlign w:val="superscript"/>
    </w:rPr>
  </w:style>
  <w:style w:type="paragraph" w:customStyle="1" w:styleId="notaderodap">
    <w:name w:val="nota de rodapé"/>
    <w:basedOn w:val="FootnoteText"/>
    <w:link w:val="notaderodapChar"/>
    <w:semiHidden/>
    <w:qFormat/>
    <w:rsid w:val="00E33815"/>
    <w:pPr>
      <w:spacing w:after="120"/>
    </w:pPr>
    <w:rPr>
      <w:rFonts w:ascii="Adelle Rg" w:hAnsi="Adelle Rg"/>
      <w:sz w:val="16"/>
    </w:rPr>
  </w:style>
  <w:style w:type="character" w:customStyle="1" w:styleId="notaderodapChar">
    <w:name w:val="nota de rodapé Char"/>
    <w:basedOn w:val="FootnoteTextChar"/>
    <w:link w:val="notaderodap"/>
    <w:semiHidden/>
    <w:rsid w:val="00F60B75"/>
    <w:rPr>
      <w:rFonts w:ascii="Adelle Rg" w:eastAsiaTheme="minorEastAsia" w:hAnsi="Adelle Rg" w:cs="Open Sans"/>
      <w:color w:val="000000" w:themeColor="text1"/>
      <w:sz w:val="16"/>
      <w:szCs w:val="20"/>
      <w:lang w:val="fr-FR"/>
      <w14:ligatures w14:val="standardContextual"/>
    </w:rPr>
  </w:style>
  <w:style w:type="paragraph" w:styleId="FootnoteText">
    <w:name w:val="footnote text"/>
    <w:link w:val="FootnoteTextChar"/>
    <w:uiPriority w:val="99"/>
    <w:semiHidden/>
    <w:qFormat/>
    <w:rsid w:val="00F60B75"/>
    <w:pPr>
      <w:spacing w:after="0" w:line="240" w:lineRule="auto"/>
      <w:jc w:val="both"/>
    </w:pPr>
    <w:rPr>
      <w:rFonts w:ascii="Open Sans" w:eastAsiaTheme="minorEastAsia" w:hAnsi="Open Sans" w:cs="Open Sans"/>
      <w:color w:val="000000" w:themeColor="text1"/>
      <w:sz w:val="20"/>
      <w:szCs w:val="20"/>
      <w:lang w:val="fr-FR"/>
      <w14:ligatures w14:val="standardContextual"/>
    </w:rPr>
  </w:style>
  <w:style w:type="character" w:customStyle="1" w:styleId="FootnoteTextChar">
    <w:name w:val="Footnote Text Char"/>
    <w:basedOn w:val="DefaultParagraphFont"/>
    <w:link w:val="FootnoteText"/>
    <w:uiPriority w:val="99"/>
    <w:semiHidden/>
    <w:rsid w:val="00F60B75"/>
    <w:rPr>
      <w:rFonts w:ascii="Open Sans" w:eastAsiaTheme="minorEastAsia" w:hAnsi="Open Sans" w:cs="Open Sans"/>
      <w:color w:val="000000" w:themeColor="text1"/>
      <w:sz w:val="20"/>
      <w:szCs w:val="20"/>
      <w:lang w:val="fr-FR"/>
      <w14:ligatures w14:val="standardContextual"/>
    </w:rPr>
  </w:style>
  <w:style w:type="paragraph" w:customStyle="1" w:styleId="TituloTabela">
    <w:name w:val="Titulo Tabela"/>
    <w:basedOn w:val="TextoCorpo"/>
    <w:semiHidden/>
    <w:qFormat/>
    <w:rsid w:val="00503B33"/>
    <w:pPr>
      <w:tabs>
        <w:tab w:val="left" w:pos="7620"/>
      </w:tabs>
      <w:spacing w:before="240" w:after="120"/>
      <w:ind w:firstLine="0"/>
      <w:jc w:val="center"/>
    </w:pPr>
    <w:rPr>
      <w:sz w:val="20"/>
      <w:szCs w:val="20"/>
      <w:lang w:val="pt-BR"/>
    </w:rPr>
  </w:style>
  <w:style w:type="paragraph" w:customStyle="1" w:styleId="FonteTabela">
    <w:name w:val="Fonte Tabela"/>
    <w:basedOn w:val="TextoCorpo"/>
    <w:semiHidden/>
    <w:qFormat/>
    <w:rsid w:val="00503B33"/>
    <w:pPr>
      <w:tabs>
        <w:tab w:val="left" w:pos="7620"/>
      </w:tabs>
      <w:spacing w:before="120" w:after="240"/>
      <w:ind w:firstLine="0"/>
      <w:jc w:val="center"/>
    </w:pPr>
    <w:rPr>
      <w:sz w:val="20"/>
      <w:szCs w:val="20"/>
    </w:rPr>
  </w:style>
  <w:style w:type="paragraph" w:customStyle="1" w:styleId="Titulocorpotabela">
    <w:name w:val="Titulo corpo tabela"/>
    <w:basedOn w:val="TextoCorpo"/>
    <w:semiHidden/>
    <w:qFormat/>
    <w:rsid w:val="000B171F"/>
    <w:pPr>
      <w:shd w:val="clear" w:color="auto" w:fill="auto"/>
      <w:tabs>
        <w:tab w:val="left" w:pos="7620"/>
      </w:tabs>
      <w:spacing w:line="240" w:lineRule="auto"/>
      <w:ind w:firstLine="0"/>
      <w:jc w:val="left"/>
    </w:pPr>
    <w:rPr>
      <w:b/>
      <w:sz w:val="18"/>
      <w:szCs w:val="18"/>
    </w:rPr>
  </w:style>
  <w:style w:type="paragraph" w:customStyle="1" w:styleId="Textocorpotabela">
    <w:name w:val="Texto corpo tabela"/>
    <w:basedOn w:val="TextoCorpo"/>
    <w:semiHidden/>
    <w:qFormat/>
    <w:rsid w:val="000B171F"/>
    <w:pPr>
      <w:shd w:val="clear" w:color="auto" w:fill="auto"/>
      <w:tabs>
        <w:tab w:val="left" w:pos="7620"/>
      </w:tabs>
      <w:ind w:firstLine="0"/>
      <w:jc w:val="left"/>
    </w:pPr>
    <w:rPr>
      <w:sz w:val="18"/>
      <w:szCs w:val="18"/>
    </w:rPr>
  </w:style>
  <w:style w:type="paragraph" w:customStyle="1" w:styleId="iniciaisnomedoautor">
    <w:name w:val="iniciais nome do autor"/>
    <w:basedOn w:val="Normal"/>
    <w:link w:val="iniciaisnomedoautorChar"/>
    <w:semiHidden/>
    <w:qFormat/>
    <w:rsid w:val="008D41F8"/>
    <w:pPr>
      <w:spacing w:after="0" w:line="250" w:lineRule="atLeast"/>
      <w:jc w:val="both"/>
    </w:pPr>
    <w:rPr>
      <w:sz w:val="16"/>
      <w:szCs w:val="20"/>
      <w:lang w:val="es-ES_tradnl"/>
    </w:rPr>
  </w:style>
  <w:style w:type="character" w:customStyle="1" w:styleId="iniciaisnomedoautorChar">
    <w:name w:val="iniciais nome do autor Char"/>
    <w:basedOn w:val="DefaultParagraphFont"/>
    <w:link w:val="iniciaisnomedoautor"/>
    <w:semiHidden/>
    <w:rsid w:val="00F60B75"/>
    <w:rPr>
      <w:rFonts w:eastAsiaTheme="minorEastAsia"/>
      <w:sz w:val="16"/>
      <w:szCs w:val="20"/>
      <w:lang w:val="es-ES_tradnl" w:eastAsia="ja-JP"/>
    </w:rPr>
  </w:style>
  <w:style w:type="paragraph" w:customStyle="1" w:styleId="Bullettexto">
    <w:name w:val="Bullet texto"/>
    <w:basedOn w:val="TextoCorpo"/>
    <w:semiHidden/>
    <w:qFormat/>
    <w:rsid w:val="00307A04"/>
    <w:pPr>
      <w:numPr>
        <w:numId w:val="3"/>
      </w:numPr>
      <w:spacing w:before="120" w:after="120"/>
      <w:ind w:left="1094" w:hanging="357"/>
    </w:pPr>
  </w:style>
  <w:style w:type="paragraph" w:customStyle="1" w:styleId="Citaocorpotexto">
    <w:name w:val="Citação corpo texto"/>
    <w:basedOn w:val="Normal"/>
    <w:semiHidden/>
    <w:qFormat/>
    <w:rsid w:val="00B1308E"/>
    <w:pPr>
      <w:spacing w:before="240" w:after="240" w:line="259" w:lineRule="auto"/>
      <w:ind w:left="1701"/>
      <w:jc w:val="both"/>
    </w:pPr>
    <w:rPr>
      <w:rFonts w:ascii="Adelle Rg" w:hAnsi="Adelle Rg"/>
      <w:sz w:val="18"/>
      <w:szCs w:val="18"/>
    </w:rPr>
  </w:style>
  <w:style w:type="paragraph" w:customStyle="1" w:styleId="TtuloFonteFigura">
    <w:name w:val="Título Fonte Figura"/>
    <w:basedOn w:val="Normal"/>
    <w:link w:val="TtuloFonteFiguraChar"/>
    <w:semiHidden/>
    <w:qFormat/>
    <w:rsid w:val="00B23F8B"/>
    <w:pPr>
      <w:spacing w:before="120" w:after="240" w:line="270" w:lineRule="atLeast"/>
      <w:jc w:val="center"/>
    </w:pPr>
    <w:rPr>
      <w:rFonts w:ascii="Adelle Rg" w:hAnsi="Adelle Rg"/>
      <w:sz w:val="20"/>
      <w:szCs w:val="18"/>
    </w:rPr>
  </w:style>
  <w:style w:type="character" w:customStyle="1" w:styleId="TtuloFonteFiguraChar">
    <w:name w:val="Título Fonte Figura Char"/>
    <w:basedOn w:val="DefaultParagraphFont"/>
    <w:link w:val="TtuloFonteFigura"/>
    <w:semiHidden/>
    <w:rsid w:val="00F60B75"/>
    <w:rPr>
      <w:rFonts w:ascii="Adelle Rg" w:eastAsiaTheme="minorEastAsia" w:hAnsi="Adelle Rg"/>
      <w:sz w:val="20"/>
      <w:szCs w:val="18"/>
      <w:lang w:eastAsia="ja-JP"/>
    </w:rPr>
  </w:style>
  <w:style w:type="paragraph" w:customStyle="1" w:styleId="Figura">
    <w:name w:val="Figura"/>
    <w:basedOn w:val="TituloTabela"/>
    <w:semiHidden/>
    <w:qFormat/>
    <w:rsid w:val="00D5608F"/>
  </w:style>
  <w:style w:type="character" w:customStyle="1" w:styleId="Heading3Char">
    <w:name w:val="Heading 3 Char"/>
    <w:basedOn w:val="DefaultParagraphFont"/>
    <w:link w:val="Heading3"/>
    <w:uiPriority w:val="9"/>
    <w:semiHidden/>
    <w:rsid w:val="00F60B75"/>
    <w:rPr>
      <w:rFonts w:ascii="Open Sans" w:eastAsiaTheme="majorEastAsia" w:hAnsi="Open Sans" w:cs="Open Sans"/>
      <w:sz w:val="28"/>
      <w:szCs w:val="28"/>
      <w:lang w:val="es-MX"/>
      <w14:ligatures w14:val="standardContextual"/>
    </w:rPr>
  </w:style>
  <w:style w:type="paragraph" w:customStyle="1" w:styleId="Referenciastexto">
    <w:name w:val="Referencias texto"/>
    <w:basedOn w:val="TextoCorpo"/>
    <w:semiHidden/>
    <w:qFormat/>
    <w:rsid w:val="00252F15"/>
    <w:pPr>
      <w:spacing w:after="240"/>
      <w:ind w:firstLine="0"/>
    </w:pPr>
    <w:rPr>
      <w:lang w:val="pt-BR"/>
    </w:rPr>
  </w:style>
  <w:style w:type="paragraph" w:customStyle="1" w:styleId="Texto">
    <w:name w:val="Texto"/>
    <w:link w:val="TextoChar"/>
    <w:semiHidden/>
    <w:qFormat/>
    <w:rsid w:val="00F60B75"/>
    <w:pPr>
      <w:spacing w:after="0" w:line="360" w:lineRule="auto"/>
      <w:ind w:firstLine="709"/>
      <w:jc w:val="both"/>
    </w:pPr>
    <w:rPr>
      <w:rFonts w:ascii="Garamond" w:eastAsiaTheme="minorEastAsia" w:hAnsi="Garamond"/>
      <w:color w:val="000000" w:themeColor="text1"/>
      <w:sz w:val="26"/>
      <w:szCs w:val="26"/>
      <w:lang w:val="es-MX"/>
      <w14:ligatures w14:val="standardContextual"/>
    </w:rPr>
  </w:style>
  <w:style w:type="paragraph" w:styleId="ListParagraph">
    <w:name w:val="List Paragraph"/>
    <w:basedOn w:val="Normal"/>
    <w:uiPriority w:val="34"/>
    <w:semiHidden/>
    <w:qFormat/>
    <w:rsid w:val="00307A04"/>
    <w:pPr>
      <w:numPr>
        <w:numId w:val="2"/>
      </w:numPr>
      <w:spacing w:after="0"/>
      <w:jc w:val="both"/>
    </w:pPr>
    <w:rPr>
      <w:szCs w:val="20"/>
    </w:rPr>
  </w:style>
  <w:style w:type="character" w:customStyle="1" w:styleId="Heading2Char">
    <w:name w:val="Heading 2 Char"/>
    <w:basedOn w:val="DefaultParagraphFont"/>
    <w:link w:val="Heading2"/>
    <w:uiPriority w:val="9"/>
    <w:semiHidden/>
    <w:rsid w:val="00F60B75"/>
    <w:rPr>
      <w:rFonts w:ascii="Open Sans" w:eastAsiaTheme="majorEastAsia" w:hAnsi="Open Sans" w:cs="Open Sans"/>
      <w:i/>
      <w:spacing w:val="-15"/>
      <w:sz w:val="32"/>
      <w:szCs w:val="32"/>
      <w:lang w:val="es-MX"/>
      <w14:ligatures w14:val="standardContextual"/>
    </w:rPr>
  </w:style>
  <w:style w:type="character" w:customStyle="1" w:styleId="TextoChar">
    <w:name w:val="Texto Char"/>
    <w:basedOn w:val="DefaultParagraphFont"/>
    <w:link w:val="Texto"/>
    <w:semiHidden/>
    <w:rsid w:val="00F60B75"/>
    <w:rPr>
      <w:rFonts w:ascii="Garamond" w:eastAsiaTheme="minorEastAsia" w:hAnsi="Garamond"/>
      <w:color w:val="000000" w:themeColor="text1"/>
      <w:sz w:val="26"/>
      <w:szCs w:val="26"/>
      <w:lang w:val="es-MX"/>
      <w14:ligatures w14:val="standardContextual"/>
    </w:rPr>
  </w:style>
  <w:style w:type="character" w:customStyle="1" w:styleId="ui-provider">
    <w:name w:val="ui-provider"/>
    <w:basedOn w:val="DefaultParagraphFont"/>
    <w:semiHidden/>
    <w:rsid w:val="0029798F"/>
  </w:style>
  <w:style w:type="paragraph" w:customStyle="1" w:styleId="Linkrevista">
    <w:name w:val="Link_revista"/>
    <w:basedOn w:val="linkdarevista"/>
    <w:semiHidden/>
    <w:qFormat/>
    <w:rsid w:val="007C2405"/>
    <w:pPr>
      <w:spacing w:after="0"/>
    </w:pPr>
    <w:rPr>
      <w:rFonts w:ascii="Roboto Slab" w:hAnsi="Roboto Slab"/>
      <w:color w:val="FFFFFF" w:themeColor="background1"/>
      <w:sz w:val="16"/>
    </w:rPr>
  </w:style>
  <w:style w:type="paragraph" w:customStyle="1" w:styleId="textorodape">
    <w:name w:val="texto rodape"/>
    <w:basedOn w:val="FootnoteText"/>
    <w:semiHidden/>
    <w:qFormat/>
    <w:rsid w:val="00B51895"/>
    <w:rPr>
      <w:rFonts w:ascii="Adelle Rg" w:hAnsi="Adelle Rg"/>
      <w:sz w:val="16"/>
      <w:szCs w:val="16"/>
    </w:rPr>
  </w:style>
  <w:style w:type="paragraph" w:customStyle="1" w:styleId="Notasderodap">
    <w:name w:val="Notas de rodapé"/>
    <w:link w:val="NotasderodapChar"/>
    <w:semiHidden/>
    <w:qFormat/>
    <w:rsid w:val="008F00F2"/>
    <w:pPr>
      <w:spacing w:after="0" w:line="240" w:lineRule="auto"/>
      <w:jc w:val="both"/>
    </w:pPr>
    <w:rPr>
      <w:rFonts w:ascii="Open Sans" w:eastAsiaTheme="minorEastAsia" w:hAnsi="Open Sans" w:cs="Open Sans"/>
      <w:color w:val="000000" w:themeColor="text1"/>
      <w:sz w:val="20"/>
      <w:szCs w:val="20"/>
      <w:lang w:val="es-MX"/>
    </w:rPr>
  </w:style>
  <w:style w:type="character" w:customStyle="1" w:styleId="NotasderodapChar">
    <w:name w:val="Notas de rodapé Char"/>
    <w:basedOn w:val="DefaultParagraphFont"/>
    <w:link w:val="Notasderodap"/>
    <w:semiHidden/>
    <w:rsid w:val="00F60B75"/>
    <w:rPr>
      <w:rFonts w:ascii="Open Sans" w:eastAsiaTheme="minorEastAsia" w:hAnsi="Open Sans" w:cs="Open Sans"/>
      <w:color w:val="000000" w:themeColor="text1"/>
      <w:sz w:val="20"/>
      <w:szCs w:val="20"/>
      <w:lang w:val="es-MX"/>
    </w:rPr>
  </w:style>
  <w:style w:type="paragraph" w:customStyle="1" w:styleId="Introducao">
    <w:name w:val="Introducao"/>
    <w:basedOn w:val="Subtitulotexto"/>
    <w:semiHidden/>
    <w:qFormat/>
    <w:rsid w:val="00C04B1E"/>
    <w:rPr>
      <w:sz w:val="28"/>
      <w:lang w:val="pt-BR"/>
    </w:rPr>
  </w:style>
  <w:style w:type="paragraph" w:customStyle="1" w:styleId="Subsecao">
    <w:name w:val="Subsecao"/>
    <w:basedOn w:val="Subtitulotexto"/>
    <w:semiHidden/>
    <w:qFormat/>
    <w:rsid w:val="00883818"/>
    <w:rPr>
      <w:i/>
      <w:iCs/>
      <w:lang w:val="pt-BR"/>
    </w:rPr>
  </w:style>
  <w:style w:type="paragraph" w:customStyle="1" w:styleId="Subsubsecao">
    <w:name w:val="Subsubsecao"/>
    <w:basedOn w:val="Subtitulotexto"/>
    <w:semiHidden/>
    <w:qFormat/>
    <w:rsid w:val="00D87C24"/>
    <w:rPr>
      <w:sz w:val="22"/>
      <w:szCs w:val="22"/>
      <w:lang w:val="pt-BR"/>
    </w:rPr>
  </w:style>
  <w:style w:type="paragraph" w:styleId="Quote">
    <w:name w:val="Quote"/>
    <w:basedOn w:val="Normal"/>
    <w:next w:val="Normal"/>
    <w:link w:val="QuoteChar"/>
    <w:uiPriority w:val="29"/>
    <w:semiHidden/>
    <w:qFormat/>
    <w:rsid w:val="004060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0B75"/>
    <w:rPr>
      <w:rFonts w:eastAsiaTheme="minorEastAsia"/>
      <w:i/>
      <w:iCs/>
      <w:color w:val="404040" w:themeColor="text1" w:themeTint="BF"/>
      <w:lang w:eastAsia="ja-JP"/>
    </w:rPr>
  </w:style>
  <w:style w:type="paragraph" w:styleId="IntenseQuote">
    <w:name w:val="Intense Quote"/>
    <w:basedOn w:val="Normal"/>
    <w:next w:val="Normal"/>
    <w:link w:val="IntenseQuoteChar"/>
    <w:uiPriority w:val="30"/>
    <w:semiHidden/>
    <w:qFormat/>
    <w:rsid w:val="00B1308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F60B75"/>
    <w:rPr>
      <w:rFonts w:eastAsiaTheme="minorEastAsia"/>
      <w:i/>
      <w:iCs/>
      <w:color w:val="4472C4" w:themeColor="accent1"/>
      <w:lang w:eastAsia="ja-JP"/>
    </w:rPr>
  </w:style>
  <w:style w:type="paragraph" w:customStyle="1" w:styleId="Bulletnumerico">
    <w:name w:val="Bullet numerico"/>
    <w:basedOn w:val="Bullettexto"/>
    <w:semiHidden/>
    <w:qFormat/>
    <w:rsid w:val="00E94499"/>
    <w:pPr>
      <w:numPr>
        <w:numId w:val="5"/>
      </w:numPr>
      <w:ind w:left="1276"/>
    </w:pPr>
  </w:style>
  <w:style w:type="paragraph" w:customStyle="1" w:styleId="Referncias">
    <w:name w:val="Referências"/>
    <w:semiHidden/>
    <w:rsid w:val="003151CE"/>
    <w:pPr>
      <w:spacing w:before="240" w:after="240" w:line="240" w:lineRule="auto"/>
      <w:jc w:val="both"/>
    </w:pPr>
    <w:rPr>
      <w:rFonts w:ascii="Candara" w:eastAsiaTheme="minorEastAsia" w:hAnsi="Candara" w:cs="Times New Roman"/>
      <w:color w:val="000000" w:themeColor="text1"/>
      <w:sz w:val="24"/>
      <w:szCs w:val="24"/>
      <w:lang w:val="es-MX"/>
    </w:rPr>
  </w:style>
  <w:style w:type="paragraph" w:customStyle="1" w:styleId="Epgrafes">
    <w:name w:val="Epígrafes"/>
    <w:basedOn w:val="Quote"/>
    <w:next w:val="Normal"/>
    <w:semiHidden/>
    <w:qFormat/>
    <w:rsid w:val="00AD036D"/>
    <w:pPr>
      <w:spacing w:before="0" w:after="0" w:line="240" w:lineRule="auto"/>
      <w:ind w:left="3686" w:right="0"/>
      <w:jc w:val="both"/>
    </w:pPr>
    <w:rPr>
      <w:rFonts w:ascii="Open Sans" w:hAnsi="Open Sans" w:cs="Open Sans"/>
      <w:iCs w:val="0"/>
      <w:color w:val="000000" w:themeColor="text1"/>
      <w:sz w:val="20"/>
      <w:szCs w:val="20"/>
      <w:lang w:val="en-US" w:eastAsia="en-US"/>
    </w:rPr>
  </w:style>
  <w:style w:type="table" w:styleId="ListTable7Colorful">
    <w:name w:val="List Table 7 Colorful"/>
    <w:basedOn w:val="TableNormal"/>
    <w:uiPriority w:val="52"/>
    <w:rsid w:val="00F60B75"/>
    <w:pPr>
      <w:spacing w:after="0" w:line="240" w:lineRule="auto"/>
    </w:pPr>
    <w:rPr>
      <w:rFonts w:eastAsiaTheme="minorEastAsia"/>
      <w:color w:val="000000" w:themeColor="text1"/>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egendas">
    <w:name w:val="Legendas"/>
    <w:semiHidden/>
    <w:qFormat/>
    <w:rsid w:val="00515B0C"/>
    <w:rPr>
      <w:rFonts w:ascii="Open Sans" w:eastAsiaTheme="minorEastAsia" w:hAnsi="Open Sans" w:cs="Open Sans"/>
      <w:color w:val="000000" w:themeColor="text1"/>
      <w:sz w:val="20"/>
      <w:szCs w:val="26"/>
      <w:lang w:val="es-MX"/>
    </w:rPr>
  </w:style>
  <w:style w:type="character" w:styleId="FollowedHyperlink">
    <w:name w:val="FollowedHyperlink"/>
    <w:basedOn w:val="DefaultParagraphFont"/>
    <w:uiPriority w:val="99"/>
    <w:semiHidden/>
    <w:rsid w:val="00FF05EC"/>
    <w:rPr>
      <w:color w:val="954F72" w:themeColor="followedHyperlink"/>
      <w:u w:val="single"/>
    </w:rPr>
  </w:style>
  <w:style w:type="character" w:customStyle="1" w:styleId="Heading1Char">
    <w:name w:val="Heading 1 Char"/>
    <w:basedOn w:val="DefaultParagraphFont"/>
    <w:link w:val="Heading1"/>
    <w:uiPriority w:val="9"/>
    <w:semiHidden/>
    <w:rsid w:val="00F60B75"/>
    <w:rPr>
      <w:rFonts w:ascii="Open Sans" w:eastAsiaTheme="majorEastAsia" w:hAnsi="Open Sans" w:cs="Open Sans"/>
      <w:b/>
      <w:color w:val="000000" w:themeColor="text1"/>
      <w:spacing w:val="-15"/>
      <w:sz w:val="32"/>
      <w:szCs w:val="72"/>
      <w:lang w:val="es-MX"/>
      <w14:ligatures w14:val="standardContextual"/>
    </w:rPr>
  </w:style>
  <w:style w:type="paragraph" w:customStyle="1" w:styleId="Autor">
    <w:name w:val="Autor"/>
    <w:uiPriority w:val="2"/>
    <w:qFormat/>
    <w:rsid w:val="00F60B75"/>
    <w:pPr>
      <w:spacing w:before="480" w:line="288" w:lineRule="auto"/>
      <w:contextualSpacing/>
    </w:pPr>
    <w:rPr>
      <w:rFonts w:ascii="Adelle Rg" w:hAnsi="Adelle Rg"/>
      <w:kern w:val="2"/>
      <w14:ligatures w14:val="standardContextual"/>
    </w:rPr>
  </w:style>
  <w:style w:type="paragraph" w:styleId="TOCHeading">
    <w:name w:val="TOC Heading"/>
    <w:basedOn w:val="Heading1"/>
    <w:next w:val="Normal"/>
    <w:uiPriority w:val="39"/>
    <w:semiHidden/>
    <w:qFormat/>
    <w:rsid w:val="00F60B75"/>
    <w:pPr>
      <w:outlineLvl w:val="9"/>
    </w:pPr>
    <w:rPr>
      <w:bCs/>
    </w:rPr>
  </w:style>
  <w:style w:type="paragraph" w:customStyle="1" w:styleId="CabecalhoFP">
    <w:name w:val="CabecalhoFP"/>
    <w:qFormat/>
    <w:rsid w:val="00F60B75"/>
    <w:pPr>
      <w:spacing w:after="0"/>
    </w:pPr>
    <w:rPr>
      <w:rFonts w:ascii="Open Sans" w:hAnsi="Open Sans"/>
      <w:b/>
      <w:color w:val="A6A6A6" w:themeColor="background1" w:themeShade="A6"/>
      <w:kern w:val="2"/>
      <w:sz w:val="18"/>
      <w14:ligatures w14:val="standardContextual"/>
    </w:rPr>
  </w:style>
  <w:style w:type="paragraph" w:customStyle="1" w:styleId="CabecalhoPaginas">
    <w:name w:val="CabecalhoPaginas"/>
    <w:basedOn w:val="Normal"/>
    <w:qFormat/>
    <w:rsid w:val="00F60B75"/>
    <w:pPr>
      <w:spacing w:after="0" w:line="360" w:lineRule="auto"/>
      <w:jc w:val="center"/>
    </w:pPr>
    <w:rPr>
      <w:rFonts w:ascii="Calibri" w:hAnsi="Calibri"/>
      <w:b/>
      <w:color w:val="000000" w:themeColor="text1"/>
      <w:sz w:val="20"/>
      <w:szCs w:val="26"/>
      <w:lang w:val="es-MX" w:eastAsia="en-US"/>
      <w14:ligatures w14:val="standardContextual"/>
    </w:rPr>
  </w:style>
  <w:style w:type="paragraph" w:customStyle="1" w:styleId="Citacao">
    <w:name w:val="Citacao"/>
    <w:uiPriority w:val="13"/>
    <w:qFormat/>
    <w:rsid w:val="00F60B75"/>
    <w:pPr>
      <w:spacing w:before="240" w:after="240"/>
      <w:ind w:left="1701"/>
      <w:jc w:val="both"/>
    </w:pPr>
    <w:rPr>
      <w:rFonts w:ascii="Adelle Rg" w:hAnsi="Adelle Rg"/>
      <w:kern w:val="2"/>
      <w:sz w:val="18"/>
      <w14:ligatures w14:val="standardContextual"/>
    </w:rPr>
  </w:style>
  <w:style w:type="paragraph" w:customStyle="1" w:styleId="ComoCitar0">
    <w:name w:val="ComoCitar"/>
    <w:uiPriority w:val="3"/>
    <w:qFormat/>
    <w:rsid w:val="00F60B75"/>
    <w:pPr>
      <w:spacing w:after="360" w:line="276" w:lineRule="auto"/>
    </w:pPr>
    <w:rPr>
      <w:rFonts w:ascii="Open Sans" w:hAnsi="Open Sans"/>
      <w:kern w:val="2"/>
      <w14:ligatures w14:val="standardContextual"/>
    </w:rPr>
  </w:style>
  <w:style w:type="paragraph" w:customStyle="1" w:styleId="ConsideraesfinaiseReferncias">
    <w:name w:val="Considerações finais e Referências"/>
    <w:basedOn w:val="Normal"/>
    <w:uiPriority w:val="16"/>
    <w:qFormat/>
    <w:rsid w:val="00F60B75"/>
    <w:pPr>
      <w:spacing w:before="360" w:after="120" w:line="259" w:lineRule="auto"/>
      <w:jc w:val="both"/>
    </w:pPr>
    <w:rPr>
      <w:rFonts w:ascii="Adelle Rg" w:eastAsiaTheme="minorHAnsi" w:hAnsi="Adelle Rg"/>
      <w:b/>
      <w:kern w:val="2"/>
      <w:sz w:val="24"/>
      <w:lang w:eastAsia="en-US"/>
      <w14:ligatures w14:val="standardContextual"/>
    </w:rPr>
  </w:style>
  <w:style w:type="paragraph" w:customStyle="1" w:styleId="Corporesumo">
    <w:name w:val="Corpo resumo"/>
    <w:uiPriority w:val="5"/>
    <w:qFormat/>
    <w:rsid w:val="00F60B75"/>
    <w:pPr>
      <w:spacing w:after="240"/>
      <w:jc w:val="both"/>
    </w:pPr>
    <w:rPr>
      <w:rFonts w:ascii="Adelle Rg" w:hAnsi="Adelle Rg"/>
      <w:kern w:val="2"/>
      <w14:ligatures w14:val="standardContextual"/>
    </w:rPr>
  </w:style>
  <w:style w:type="paragraph" w:customStyle="1" w:styleId="Corpoabstracteresumen">
    <w:name w:val="Corpo abstract e resumen"/>
    <w:basedOn w:val="Corporesumo"/>
    <w:uiPriority w:val="6"/>
    <w:qFormat/>
    <w:rsid w:val="00F60B75"/>
    <w:rPr>
      <w:i/>
    </w:rPr>
  </w:style>
  <w:style w:type="paragraph" w:customStyle="1" w:styleId="Corpodoartigo">
    <w:name w:val="Corpo do artigo"/>
    <w:uiPriority w:val="12"/>
    <w:qFormat/>
    <w:rsid w:val="00F60B75"/>
    <w:pPr>
      <w:spacing w:after="0" w:line="269" w:lineRule="auto"/>
      <w:ind w:firstLine="737"/>
      <w:jc w:val="both"/>
    </w:pPr>
    <w:rPr>
      <w:rFonts w:ascii="Adelle Rg" w:hAnsi="Adelle Rg"/>
      <w:kern w:val="2"/>
      <w:sz w:val="21"/>
      <w14:ligatures w14:val="standardContextual"/>
    </w:rPr>
  </w:style>
  <w:style w:type="paragraph" w:customStyle="1" w:styleId="DoutorEm">
    <w:name w:val="DoutorEm"/>
    <w:uiPriority w:val="12"/>
    <w:qFormat/>
    <w:rsid w:val="00F60B75"/>
    <w:rPr>
      <w:kern w:val="2"/>
      <w14:ligatures w14:val="standardContextual"/>
    </w:rPr>
  </w:style>
  <w:style w:type="paragraph" w:customStyle="1" w:styleId="Figurattulo">
    <w:name w:val="Figura (título)"/>
    <w:uiPriority w:val="15"/>
    <w:qFormat/>
    <w:rsid w:val="00F60B75"/>
    <w:pPr>
      <w:spacing w:before="240" w:after="120" w:line="276" w:lineRule="auto"/>
      <w:jc w:val="center"/>
    </w:pPr>
    <w:rPr>
      <w:rFonts w:ascii="Adelle Rg" w:hAnsi="Adelle Rg"/>
      <w:kern w:val="2"/>
      <w14:ligatures w14:val="standardContextual"/>
    </w:rPr>
  </w:style>
  <w:style w:type="paragraph" w:customStyle="1" w:styleId="Figuravfonte">
    <w:name w:val="Figura (v fonte)"/>
    <w:basedOn w:val="Figurattulo"/>
    <w:uiPriority w:val="15"/>
    <w:qFormat/>
    <w:rsid w:val="00F60B75"/>
    <w:pPr>
      <w:spacing w:before="120" w:after="240"/>
    </w:pPr>
  </w:style>
  <w:style w:type="table" w:customStyle="1" w:styleId="FormAurora">
    <w:name w:val="FormAurora"/>
    <w:basedOn w:val="TableNormal"/>
    <w:uiPriority w:val="99"/>
    <w:rsid w:val="00F60B75"/>
    <w:rPr>
      <w:kern w:val="2"/>
      <w14:ligatures w14:val="standardContextual"/>
    </w:rPr>
    <w:tblPr>
      <w:tblBorders>
        <w:insideV w:val="single" w:sz="12" w:space="0" w:color="FFFFFF" w:themeColor="background1"/>
      </w:tblBorders>
    </w:tblPr>
    <w:tcPr>
      <w:shd w:val="clear" w:color="auto" w:fill="BFBFBF" w:themeFill="background1" w:themeFillShade="BF"/>
      <w:vAlign w:val="center"/>
    </w:tcPr>
    <w:tblStylePr w:type="firstRow">
      <w:tblPr/>
      <w:trPr>
        <w:cantSplit/>
      </w:trPr>
      <w:tcPr>
        <w:shd w:val="clear" w:color="auto" w:fill="D9D9D9" w:themeFill="background1" w:themeFillShade="D9"/>
      </w:tcPr>
    </w:tblStylePr>
  </w:style>
  <w:style w:type="table" w:customStyle="1" w:styleId="FormRDE">
    <w:name w:val="FormRDE"/>
    <w:basedOn w:val="TableNormal"/>
    <w:uiPriority w:val="99"/>
    <w:rsid w:val="00F60B75"/>
    <w:rPr>
      <w:kern w:val="2"/>
      <w14:ligatures w14:val="standardContextual"/>
    </w:rPr>
    <w:tblPr>
      <w:tblBorders>
        <w:insideV w:val="single" w:sz="12" w:space="0" w:color="FFFFFF" w:themeColor="background1"/>
      </w:tblBorders>
    </w:tblPr>
    <w:tcPr>
      <w:shd w:val="clear" w:color="auto" w:fill="D0CECE" w:themeFill="background2" w:themeFillShade="E6"/>
      <w:vAlign w:val="center"/>
    </w:tcPr>
    <w:tblStylePr w:type="firstRow">
      <w:tblPr/>
      <w:tcPr>
        <w:shd w:val="clear" w:color="auto" w:fill="F2F2F2" w:themeFill="background1" w:themeFillShade="F2"/>
      </w:tcPr>
    </w:tblStylePr>
  </w:style>
  <w:style w:type="paragraph" w:customStyle="1" w:styleId="IntroduoeSeo">
    <w:name w:val="Introdução e Seção"/>
    <w:uiPriority w:val="10"/>
    <w:qFormat/>
    <w:rsid w:val="00F60B75"/>
    <w:pPr>
      <w:spacing w:before="160" w:after="120"/>
    </w:pPr>
    <w:rPr>
      <w:rFonts w:ascii="Adelle Rg" w:hAnsi="Adelle Rg"/>
      <w:b/>
      <w:kern w:val="2"/>
      <w:sz w:val="28"/>
      <w14:ligatures w14:val="standardContextual"/>
    </w:rPr>
  </w:style>
  <w:style w:type="paragraph" w:customStyle="1" w:styleId="Keywordsepalabrasclave">
    <w:name w:val="Keywords e palabras clave"/>
    <w:basedOn w:val="Normal"/>
    <w:uiPriority w:val="8"/>
    <w:qFormat/>
    <w:rsid w:val="00F60B75"/>
    <w:pPr>
      <w:spacing w:after="160" w:line="259" w:lineRule="auto"/>
      <w:jc w:val="both"/>
    </w:pPr>
    <w:rPr>
      <w:rFonts w:ascii="Adelle Rg" w:eastAsiaTheme="minorHAnsi" w:hAnsi="Adelle Rg"/>
      <w:i/>
      <w:kern w:val="2"/>
      <w:lang w:eastAsia="en-US"/>
      <w14:ligatures w14:val="standardContextual"/>
    </w:rPr>
  </w:style>
  <w:style w:type="paragraph" w:customStyle="1" w:styleId="link">
    <w:name w:val="link"/>
    <w:uiPriority w:val="12"/>
    <w:qFormat/>
    <w:rsid w:val="00F60B75"/>
    <w:rPr>
      <w:rFonts w:ascii="Roboto Slab" w:hAnsi="Roboto Slab"/>
      <w:color w:val="FFFFFF" w:themeColor="background1"/>
      <w:kern w:val="2"/>
      <w:sz w:val="16"/>
      <w14:ligatures w14:val="standardContextual"/>
    </w:rPr>
  </w:style>
  <w:style w:type="paragraph" w:customStyle="1" w:styleId="ListaBullets">
    <w:name w:val="ListaBullets"/>
    <w:uiPriority w:val="13"/>
    <w:qFormat/>
    <w:rsid w:val="00F60B75"/>
    <w:pPr>
      <w:numPr>
        <w:numId w:val="7"/>
      </w:numPr>
      <w:spacing w:before="120" w:after="120" w:line="276" w:lineRule="auto"/>
      <w:jc w:val="both"/>
    </w:pPr>
    <w:rPr>
      <w:rFonts w:ascii="Adelle Rg" w:hAnsi="Adelle Rg"/>
      <w:kern w:val="2"/>
      <w:sz w:val="21"/>
      <w14:ligatures w14:val="standardContextual"/>
    </w:rPr>
  </w:style>
  <w:style w:type="paragraph" w:customStyle="1" w:styleId="ListaNumerada">
    <w:name w:val="ListaNumerada"/>
    <w:basedOn w:val="ListNumber"/>
    <w:uiPriority w:val="14"/>
    <w:qFormat/>
    <w:rsid w:val="00F60B75"/>
    <w:pPr>
      <w:numPr>
        <w:numId w:val="0"/>
      </w:numPr>
      <w:tabs>
        <w:tab w:val="num" w:pos="360"/>
      </w:tabs>
      <w:spacing w:before="120" w:after="120"/>
      <w:ind w:left="1276" w:hanging="357"/>
      <w:jc w:val="both"/>
    </w:pPr>
    <w:rPr>
      <w:rFonts w:ascii="Adelle Rg" w:hAnsi="Adelle Rg"/>
      <w:color w:val="000000" w:themeColor="text1"/>
      <w:sz w:val="20"/>
      <w:szCs w:val="26"/>
      <w:lang w:val="es-MX" w:eastAsia="en-US"/>
      <w14:ligatures w14:val="standardContextual"/>
    </w:rPr>
  </w:style>
  <w:style w:type="paragraph" w:styleId="ListNumber">
    <w:name w:val="List Number"/>
    <w:basedOn w:val="Normal"/>
    <w:uiPriority w:val="99"/>
    <w:semiHidden/>
    <w:rsid w:val="00F60B75"/>
    <w:pPr>
      <w:numPr>
        <w:numId w:val="8"/>
      </w:numPr>
      <w:contextualSpacing/>
    </w:pPr>
  </w:style>
  <w:style w:type="paragraph" w:customStyle="1" w:styleId="NotaDeRodape">
    <w:name w:val="NotaDeRodape"/>
    <w:uiPriority w:val="9"/>
    <w:qFormat/>
    <w:rsid w:val="00F60B75"/>
    <w:pPr>
      <w:spacing w:after="40"/>
      <w:jc w:val="both"/>
    </w:pPr>
    <w:rPr>
      <w:rFonts w:ascii="Adelle Rg" w:hAnsi="Adelle Rg"/>
      <w:kern w:val="2"/>
      <w:sz w:val="16"/>
      <w14:ligatures w14:val="standardContextual"/>
    </w:rPr>
  </w:style>
  <w:style w:type="paragraph" w:customStyle="1" w:styleId="Referencias">
    <w:name w:val="Referencias"/>
    <w:uiPriority w:val="16"/>
    <w:qFormat/>
    <w:rsid w:val="00F60B75"/>
    <w:pPr>
      <w:spacing w:after="240" w:line="276" w:lineRule="auto"/>
      <w:jc w:val="both"/>
    </w:pPr>
    <w:rPr>
      <w:rFonts w:ascii="Adelle Rg" w:hAnsi="Adelle Rg"/>
      <w:kern w:val="2"/>
      <w:sz w:val="21"/>
      <w14:ligatures w14:val="standardContextual"/>
    </w:rPr>
  </w:style>
  <w:style w:type="paragraph" w:customStyle="1" w:styleId="Resumen">
    <w:name w:val="Resumen"/>
    <w:basedOn w:val="Abstract"/>
    <w:semiHidden/>
    <w:qFormat/>
    <w:rsid w:val="00F60B75"/>
  </w:style>
  <w:style w:type="paragraph" w:customStyle="1" w:styleId="Resumottulo">
    <w:name w:val="Resumo título"/>
    <w:basedOn w:val="Normal"/>
    <w:rsid w:val="00F60B75"/>
    <w:pPr>
      <w:spacing w:before="160" w:after="0" w:line="259" w:lineRule="auto"/>
      <w:jc w:val="both"/>
    </w:pPr>
    <w:rPr>
      <w:rFonts w:ascii="Noto Serif" w:eastAsiaTheme="majorEastAsia" w:hAnsi="Noto Serif" w:cs="Open Sans"/>
      <w:b/>
      <w:spacing w:val="-15"/>
      <w:sz w:val="20"/>
      <w:szCs w:val="32"/>
      <w:lang w:val="es-MX" w:eastAsia="en-US"/>
      <w14:ligatures w14:val="standardContextual"/>
    </w:rPr>
  </w:style>
  <w:style w:type="paragraph" w:customStyle="1" w:styleId="Resumocorpo">
    <w:name w:val="Resumo corpo"/>
    <w:basedOn w:val="Resumottulo"/>
    <w:rsid w:val="00F60B75"/>
    <w:pPr>
      <w:spacing w:before="0"/>
    </w:pPr>
    <w:rPr>
      <w:b w:val="0"/>
    </w:rPr>
  </w:style>
  <w:style w:type="paragraph" w:customStyle="1" w:styleId="ResumoeAbstract">
    <w:name w:val="Resumo e Abstract"/>
    <w:uiPriority w:val="4"/>
    <w:qFormat/>
    <w:rsid w:val="00F60B75"/>
    <w:pPr>
      <w:spacing w:before="360" w:after="120"/>
      <w:jc w:val="both"/>
    </w:pPr>
    <w:rPr>
      <w:rFonts w:ascii="Adelle Rg" w:hAnsi="Adelle Rg"/>
      <w:b/>
      <w:kern w:val="2"/>
      <w:sz w:val="24"/>
      <w14:ligatures w14:val="standardContextual"/>
    </w:rPr>
  </w:style>
  <w:style w:type="paragraph" w:customStyle="1" w:styleId="Rodape">
    <w:name w:val="Rodape"/>
    <w:uiPriority w:val="9"/>
    <w:qFormat/>
    <w:rsid w:val="00F60B75"/>
    <w:pPr>
      <w:ind w:right="-176"/>
    </w:pPr>
    <w:rPr>
      <w:rFonts w:ascii="Century Gothic" w:hAnsi="Century Gothic"/>
      <w:kern w:val="2"/>
      <w:sz w:val="18"/>
      <w14:ligatures w14:val="standardContextual"/>
    </w:rPr>
  </w:style>
  <w:style w:type="paragraph" w:styleId="NoSpacing">
    <w:name w:val="No Spacing"/>
    <w:uiPriority w:val="1"/>
    <w:semiHidden/>
    <w:qFormat/>
    <w:rsid w:val="00F60B75"/>
    <w:pPr>
      <w:autoSpaceDE w:val="0"/>
      <w:autoSpaceDN w:val="0"/>
      <w:adjustRightInd w:val="0"/>
      <w:spacing w:after="0" w:line="240" w:lineRule="auto"/>
    </w:pPr>
    <w:rPr>
      <w:rFonts w:ascii="Times New Roman" w:hAnsi="Times New Roman" w:cs="Times New Roman"/>
      <w:sz w:val="20"/>
      <w:szCs w:val="20"/>
      <w:lang w:val="en-US"/>
      <w14:ligatures w14:val="standardContextual"/>
    </w:rPr>
  </w:style>
  <w:style w:type="paragraph" w:customStyle="1" w:styleId="Subseo">
    <w:name w:val="Subseção"/>
    <w:basedOn w:val="IntroduoeSeo"/>
    <w:uiPriority w:val="10"/>
    <w:qFormat/>
    <w:rsid w:val="00F60B75"/>
    <w:pPr>
      <w:spacing w:before="360"/>
      <w:jc w:val="both"/>
    </w:pPr>
    <w:rPr>
      <w:i/>
      <w:sz w:val="24"/>
    </w:rPr>
  </w:style>
  <w:style w:type="paragraph" w:customStyle="1" w:styleId="Sub-subseo">
    <w:name w:val="Sub-subseção"/>
    <w:basedOn w:val="Subseo"/>
    <w:uiPriority w:val="11"/>
    <w:qFormat/>
    <w:rsid w:val="00F60B75"/>
    <w:rPr>
      <w:i w:val="0"/>
      <w:sz w:val="22"/>
    </w:rPr>
  </w:style>
  <w:style w:type="paragraph" w:styleId="Subtitle">
    <w:name w:val="Subtitle"/>
    <w:next w:val="Normal"/>
    <w:link w:val="SubtitleChar"/>
    <w:uiPriority w:val="11"/>
    <w:semiHidden/>
    <w:qFormat/>
    <w:rsid w:val="00F60B75"/>
    <w:pPr>
      <w:numPr>
        <w:ilvl w:val="1"/>
      </w:numPr>
      <w:spacing w:after="240" w:line="360" w:lineRule="auto"/>
      <w:ind w:left="1134"/>
      <w:jc w:val="right"/>
    </w:pPr>
    <w:rPr>
      <w:rFonts w:asciiTheme="majorHAnsi" w:eastAsiaTheme="majorEastAsia" w:hAnsiTheme="majorHAnsi" w:cs="Open Sans"/>
      <w:i/>
      <w:color w:val="808080" w:themeColor="background1" w:themeShade="80"/>
      <w:sz w:val="28"/>
      <w:szCs w:val="28"/>
      <w:lang w:val="en-US"/>
      <w14:ligatures w14:val="standardContextual"/>
    </w:rPr>
  </w:style>
  <w:style w:type="character" w:customStyle="1" w:styleId="SubtitleChar">
    <w:name w:val="Subtitle Char"/>
    <w:basedOn w:val="DefaultParagraphFont"/>
    <w:link w:val="Subtitle"/>
    <w:uiPriority w:val="11"/>
    <w:semiHidden/>
    <w:rsid w:val="00F60B75"/>
    <w:rPr>
      <w:rFonts w:asciiTheme="majorHAnsi" w:eastAsiaTheme="majorEastAsia" w:hAnsiTheme="majorHAnsi" w:cs="Open Sans"/>
      <w:i/>
      <w:color w:val="808080" w:themeColor="background1" w:themeShade="80"/>
      <w:sz w:val="28"/>
      <w:szCs w:val="28"/>
      <w:lang w:val="en-US"/>
      <w14:ligatures w14:val="standardContextual"/>
    </w:rPr>
  </w:style>
  <w:style w:type="table" w:styleId="GridTable6Colorful">
    <w:name w:val="Grid Table 6 Colorful"/>
    <w:basedOn w:val="TableNormal"/>
    <w:uiPriority w:val="51"/>
    <w:rsid w:val="00F60B75"/>
    <w:pPr>
      <w:spacing w:after="0" w:line="240" w:lineRule="auto"/>
    </w:pPr>
    <w:rPr>
      <w:rFonts w:eastAsiaTheme="minorEastAsia"/>
      <w:color w:val="000000" w:themeColor="text1"/>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60B75"/>
    <w:pPr>
      <w:spacing w:after="0" w:line="240" w:lineRule="auto"/>
    </w:pPr>
    <w:rPr>
      <w:rFonts w:eastAsiaTheme="minorEastAsia"/>
      <w14:ligatures w14:val="standardContextu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F60B75"/>
    <w:pPr>
      <w:spacing w:after="0" w:line="240" w:lineRule="auto"/>
    </w:pPr>
    <w:rPr>
      <w:rFonts w:eastAsiaTheme="minorEastAsia"/>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rsid w:val="00F60B75"/>
    <w:pPr>
      <w:spacing w:after="0" w:line="240" w:lineRule="auto"/>
      <w:ind w:firstLine="709"/>
      <w:jc w:val="both"/>
    </w:pPr>
    <w:rPr>
      <w:rFonts w:ascii="Segoe UI" w:hAnsi="Segoe UI" w:cs="Segoe UI"/>
      <w:color w:val="000000" w:themeColor="text1"/>
      <w:sz w:val="18"/>
      <w:szCs w:val="18"/>
      <w:lang w:val="es-MX" w:eastAsia="en-US"/>
      <w14:ligatures w14:val="standardContextual"/>
    </w:rPr>
  </w:style>
  <w:style w:type="character" w:customStyle="1" w:styleId="BalloonTextChar">
    <w:name w:val="Balloon Text Char"/>
    <w:basedOn w:val="DefaultParagraphFont"/>
    <w:link w:val="BalloonText"/>
    <w:uiPriority w:val="99"/>
    <w:semiHidden/>
    <w:rsid w:val="00F60B75"/>
    <w:rPr>
      <w:rFonts w:ascii="Segoe UI" w:eastAsiaTheme="minorEastAsia" w:hAnsi="Segoe UI" w:cs="Segoe UI"/>
      <w:color w:val="000000" w:themeColor="text1"/>
      <w:sz w:val="18"/>
      <w:szCs w:val="18"/>
      <w:lang w:val="es-MX"/>
      <w14:ligatures w14:val="standardContextual"/>
    </w:rPr>
  </w:style>
  <w:style w:type="paragraph" w:styleId="CommentText">
    <w:name w:val="annotation text"/>
    <w:basedOn w:val="Normal"/>
    <w:link w:val="CommentTextChar"/>
    <w:uiPriority w:val="99"/>
    <w:semiHidden/>
    <w:rsid w:val="00F60B75"/>
    <w:pPr>
      <w:spacing w:after="0" w:line="240" w:lineRule="auto"/>
      <w:ind w:firstLine="709"/>
      <w:jc w:val="both"/>
    </w:pPr>
    <w:rPr>
      <w:rFonts w:ascii="Garamond" w:hAnsi="Garamond"/>
      <w:color w:val="000000" w:themeColor="text1"/>
      <w:sz w:val="20"/>
      <w:szCs w:val="20"/>
      <w:lang w:val="es-MX" w:eastAsia="en-US"/>
      <w14:ligatures w14:val="standardContextual"/>
    </w:rPr>
  </w:style>
  <w:style w:type="character" w:customStyle="1" w:styleId="CommentTextChar">
    <w:name w:val="Comment Text Char"/>
    <w:basedOn w:val="DefaultParagraphFont"/>
    <w:link w:val="CommentText"/>
    <w:uiPriority w:val="99"/>
    <w:semiHidden/>
    <w:rsid w:val="00F60B75"/>
    <w:rPr>
      <w:rFonts w:ascii="Garamond" w:eastAsiaTheme="minorEastAsia" w:hAnsi="Garamond"/>
      <w:color w:val="000000" w:themeColor="text1"/>
      <w:sz w:val="20"/>
      <w:szCs w:val="20"/>
      <w:lang w:val="es-MX"/>
      <w14:ligatures w14:val="standardContextual"/>
    </w:rPr>
  </w:style>
  <w:style w:type="paragraph" w:styleId="EndnoteText">
    <w:name w:val="endnote text"/>
    <w:basedOn w:val="Normal"/>
    <w:link w:val="EndnoteTextChar"/>
    <w:uiPriority w:val="99"/>
    <w:semiHidden/>
    <w:rsid w:val="00F60B75"/>
    <w:pPr>
      <w:spacing w:after="0" w:line="240" w:lineRule="auto"/>
      <w:ind w:firstLine="709"/>
      <w:jc w:val="both"/>
    </w:pPr>
    <w:rPr>
      <w:rFonts w:ascii="Garamond" w:hAnsi="Garamond"/>
      <w:color w:val="000000" w:themeColor="text1"/>
      <w:sz w:val="20"/>
      <w:szCs w:val="20"/>
      <w:lang w:val="es-MX" w:eastAsia="en-US"/>
      <w14:ligatures w14:val="standardContextual"/>
    </w:rPr>
  </w:style>
  <w:style w:type="character" w:customStyle="1" w:styleId="EndnoteTextChar">
    <w:name w:val="Endnote Text Char"/>
    <w:basedOn w:val="DefaultParagraphFont"/>
    <w:link w:val="EndnoteText"/>
    <w:uiPriority w:val="99"/>
    <w:semiHidden/>
    <w:rsid w:val="00F60B75"/>
    <w:rPr>
      <w:rFonts w:ascii="Garamond" w:eastAsiaTheme="minorEastAsia" w:hAnsi="Garamond"/>
      <w:color w:val="000000" w:themeColor="text1"/>
      <w:sz w:val="20"/>
      <w:szCs w:val="20"/>
      <w:lang w:val="es-MX"/>
      <w14:ligatures w14:val="standardContextual"/>
    </w:rPr>
  </w:style>
  <w:style w:type="paragraph" w:customStyle="1" w:styleId="TitAbstract">
    <w:name w:val="Tit Abstract"/>
    <w:semiHidden/>
    <w:qFormat/>
    <w:rsid w:val="00F60B75"/>
    <w:pPr>
      <w:spacing w:before="480"/>
    </w:pPr>
    <w:rPr>
      <w:rFonts w:asciiTheme="majorHAnsi" w:eastAsiaTheme="majorEastAsia" w:hAnsiTheme="majorHAnsi" w:cstheme="majorBidi"/>
      <w:i/>
      <w:color w:val="000000" w:themeColor="text1"/>
      <w:sz w:val="28"/>
      <w:szCs w:val="36"/>
      <w:lang w:val="es-MX"/>
      <w14:ligatures w14:val="standardContextual"/>
    </w:rPr>
  </w:style>
  <w:style w:type="paragraph" w:customStyle="1" w:styleId="Titulao">
    <w:name w:val="Titulação"/>
    <w:basedOn w:val="Referncias"/>
    <w:link w:val="TitulaoChar"/>
    <w:semiHidden/>
    <w:qFormat/>
    <w:rsid w:val="00F60B75"/>
    <w:pPr>
      <w:spacing w:before="0" w:after="0" w:line="250" w:lineRule="atLeast"/>
      <w:jc w:val="left"/>
    </w:pPr>
    <w:rPr>
      <w:rFonts w:asciiTheme="minorHAnsi" w:hAnsiTheme="minorHAnsi" w:cstheme="minorBidi"/>
      <w:color w:val="auto"/>
      <w:sz w:val="18"/>
      <w:szCs w:val="20"/>
      <w:lang w:val="es-ES_tradnl" w:eastAsia="ja-JP"/>
      <w14:ligatures w14:val="standardContextual"/>
    </w:rPr>
  </w:style>
  <w:style w:type="character" w:customStyle="1" w:styleId="TitulaoChar">
    <w:name w:val="Titulação Char"/>
    <w:basedOn w:val="DefaultParagraphFont"/>
    <w:link w:val="Titulao"/>
    <w:semiHidden/>
    <w:rsid w:val="00F60B75"/>
    <w:rPr>
      <w:rFonts w:eastAsiaTheme="minorEastAsia"/>
      <w:sz w:val="18"/>
      <w:szCs w:val="20"/>
      <w:lang w:val="es-ES_tradnl" w:eastAsia="ja-JP"/>
      <w14:ligatures w14:val="standardContextual"/>
    </w:rPr>
  </w:style>
  <w:style w:type="character" w:customStyle="1" w:styleId="Heading4Char">
    <w:name w:val="Heading 4 Char"/>
    <w:basedOn w:val="DefaultParagraphFont"/>
    <w:link w:val="Heading4"/>
    <w:uiPriority w:val="9"/>
    <w:semiHidden/>
    <w:rsid w:val="00F60B75"/>
    <w:rPr>
      <w:rFonts w:ascii="Open Sans" w:eastAsiaTheme="majorEastAsia" w:hAnsi="Open Sans" w:cs="Open Sans"/>
      <w:sz w:val="24"/>
      <w:szCs w:val="28"/>
      <w:lang w:val="es-MX"/>
      <w14:ligatures w14:val="standardContextual"/>
    </w:rPr>
  </w:style>
  <w:style w:type="character" w:customStyle="1" w:styleId="Heading5Char">
    <w:name w:val="Heading 5 Char"/>
    <w:basedOn w:val="DefaultParagraphFont"/>
    <w:link w:val="Heading5"/>
    <w:uiPriority w:val="9"/>
    <w:semiHidden/>
    <w:rsid w:val="00F60B75"/>
    <w:rPr>
      <w:rFonts w:asciiTheme="majorHAnsi" w:eastAsiaTheme="majorEastAsia" w:hAnsiTheme="majorHAnsi" w:cstheme="majorBidi"/>
      <w:caps/>
      <w:color w:val="2F5496" w:themeColor="accent1" w:themeShade="BF"/>
      <w:sz w:val="26"/>
      <w:szCs w:val="26"/>
      <w:lang w:val="es-MX"/>
      <w14:ligatures w14:val="standardContextual"/>
    </w:rPr>
  </w:style>
  <w:style w:type="character" w:customStyle="1" w:styleId="Heading6Char">
    <w:name w:val="Heading 6 Char"/>
    <w:basedOn w:val="DefaultParagraphFont"/>
    <w:link w:val="Heading6"/>
    <w:uiPriority w:val="9"/>
    <w:semiHidden/>
    <w:rsid w:val="00F60B75"/>
    <w:rPr>
      <w:rFonts w:asciiTheme="majorHAnsi" w:eastAsiaTheme="majorEastAsia" w:hAnsiTheme="majorHAnsi" w:cstheme="majorBidi"/>
      <w:i/>
      <w:iCs/>
      <w:caps/>
      <w:color w:val="1F3864" w:themeColor="accent1" w:themeShade="80"/>
      <w14:ligatures w14:val="standardContextual"/>
    </w:rPr>
  </w:style>
  <w:style w:type="character" w:customStyle="1" w:styleId="Heading7Char">
    <w:name w:val="Heading 7 Char"/>
    <w:basedOn w:val="DefaultParagraphFont"/>
    <w:link w:val="Heading7"/>
    <w:uiPriority w:val="9"/>
    <w:semiHidden/>
    <w:rsid w:val="00F60B75"/>
    <w:rPr>
      <w:rFonts w:asciiTheme="majorHAnsi" w:eastAsiaTheme="majorEastAsia" w:hAnsiTheme="majorHAnsi" w:cstheme="majorBidi"/>
      <w:b/>
      <w:bCs/>
      <w:color w:val="1F3864" w:themeColor="accent1" w:themeShade="80"/>
      <w14:ligatures w14:val="standardContextual"/>
    </w:rPr>
  </w:style>
  <w:style w:type="character" w:customStyle="1" w:styleId="Heading8Char">
    <w:name w:val="Heading 8 Char"/>
    <w:basedOn w:val="DefaultParagraphFont"/>
    <w:link w:val="Heading8"/>
    <w:uiPriority w:val="9"/>
    <w:semiHidden/>
    <w:rsid w:val="00F60B75"/>
    <w:rPr>
      <w:rFonts w:asciiTheme="majorHAnsi" w:eastAsiaTheme="majorEastAsia" w:hAnsiTheme="majorHAnsi" w:cstheme="majorBidi"/>
      <w:b/>
      <w:bCs/>
      <w:i/>
      <w:iCs/>
      <w:color w:val="1F3864" w:themeColor="accent1" w:themeShade="80"/>
      <w14:ligatures w14:val="standardContextual"/>
    </w:rPr>
  </w:style>
  <w:style w:type="character" w:customStyle="1" w:styleId="Heading9Char">
    <w:name w:val="Heading 9 Char"/>
    <w:basedOn w:val="DefaultParagraphFont"/>
    <w:link w:val="Heading9"/>
    <w:uiPriority w:val="9"/>
    <w:semiHidden/>
    <w:rsid w:val="00F60B75"/>
    <w:rPr>
      <w:rFonts w:asciiTheme="majorHAnsi" w:eastAsiaTheme="majorEastAsia" w:hAnsiTheme="majorHAnsi" w:cstheme="majorBidi"/>
      <w:i/>
      <w:iCs/>
      <w:color w:val="1F3864" w:themeColor="accent1" w:themeShade="80"/>
      <w14:ligatures w14:val="standardContextual"/>
    </w:rPr>
  </w:style>
  <w:style w:type="paragraph" w:customStyle="1" w:styleId="Ttulodoartigo">
    <w:name w:val="Título do artigo"/>
    <w:uiPriority w:val="1"/>
    <w:qFormat/>
    <w:rsid w:val="00F60B75"/>
    <w:pPr>
      <w:spacing w:before="600" w:after="480"/>
    </w:pPr>
    <w:rPr>
      <w:rFonts w:ascii="Adelle Rg" w:hAnsi="Adelle Rg"/>
      <w:b/>
      <w:kern w:val="2"/>
      <w:sz w:val="48"/>
      <w14:ligatures w14:val="standardContextual"/>
    </w:rPr>
  </w:style>
  <w:style w:type="paragraph" w:customStyle="1" w:styleId="Ttuloemlnguaestrangeira">
    <w:name w:val="Título em língua estrangeira"/>
    <w:basedOn w:val="Ttulodoartigo"/>
    <w:uiPriority w:val="1"/>
    <w:qFormat/>
    <w:rsid w:val="00F60B75"/>
    <w:pPr>
      <w:spacing w:before="0" w:after="200" w:line="288" w:lineRule="auto"/>
    </w:pPr>
    <w:rPr>
      <w:b w:val="0"/>
      <w:i/>
      <w:color w:val="A6A6A6" w:themeColor="background1" w:themeShade="A6"/>
      <w:sz w:val="32"/>
    </w:rPr>
  </w:style>
  <w:style w:type="paragraph" w:customStyle="1" w:styleId="TtuloFC">
    <w:name w:val="Título FC"/>
    <w:basedOn w:val="Heading2"/>
    <w:rsid w:val="00F60B75"/>
    <w:pPr>
      <w:spacing w:before="160" w:after="260"/>
      <w:jc w:val="center"/>
    </w:pPr>
    <w:rPr>
      <w:rFonts w:ascii="Noto Serif" w:hAnsi="Noto Serif"/>
      <w:b/>
      <w:i w:val="0"/>
      <w:caps/>
      <w:sz w:val="36"/>
    </w:rPr>
  </w:style>
  <w:style w:type="character" w:styleId="Strong">
    <w:name w:val="Strong"/>
    <w:basedOn w:val="DefaultParagraphFont"/>
    <w:uiPriority w:val="22"/>
    <w:qFormat/>
    <w:rsid w:val="00673AD3"/>
    <w:rPr>
      <w:b/>
      <w:bCs/>
    </w:rPr>
  </w:style>
  <w:style w:type="character" w:styleId="Emphasis">
    <w:name w:val="Emphasis"/>
    <w:basedOn w:val="DefaultParagraphFont"/>
    <w:uiPriority w:val="20"/>
    <w:qFormat/>
    <w:rsid w:val="00673AD3"/>
    <w:rPr>
      <w:i/>
      <w:iCs/>
    </w:rPr>
  </w:style>
  <w:style w:type="character" w:customStyle="1" w:styleId="rynqvb">
    <w:name w:val="rynqvb"/>
    <w:basedOn w:val="DefaultParagraphFont"/>
    <w:rsid w:val="00673AD3"/>
  </w:style>
  <w:style w:type="character" w:styleId="CommentReference">
    <w:name w:val="annotation reference"/>
    <w:basedOn w:val="DefaultParagraphFont"/>
    <w:uiPriority w:val="99"/>
    <w:rsid w:val="000F3DF7"/>
    <w:rPr>
      <w:sz w:val="16"/>
      <w:szCs w:val="16"/>
    </w:rPr>
  </w:style>
  <w:style w:type="paragraph" w:customStyle="1" w:styleId="TableContents">
    <w:name w:val="Table Contents"/>
    <w:basedOn w:val="Normal"/>
    <w:qFormat/>
    <w:pPr>
      <w:suppressLineNumbers/>
      <w:suppressAutoHyphens/>
      <w:spacing w:after="160" w:line="259" w:lineRule="auto"/>
    </w:pPr>
    <w:rPr>
      <w:rFonts w:eastAsiaTheme="minorHAnsi"/>
      <w:lang w:val="en-US" w:eastAsia="en-US"/>
    </w:rPr>
  </w:style>
  <w:style w:type="paragraph" w:styleId="BodyText">
    <w:name w:val="Body Text"/>
    <w:basedOn w:val="Normal"/>
    <w:qFormat/>
    <w:pPr>
      <w:suppressAutoHyphens/>
      <w:spacing w:after="140"/>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30A05-5B15-4796-8FCE-205E907B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23418</Words>
  <Characters>133485</Characters>
  <Application>Microsoft Office Word</Application>
  <DocSecurity>0</DocSecurity>
  <Lines>1112</Lines>
  <Paragraphs>313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DA MATTA HASSELMANN</dc:creator>
  <cp:lastModifiedBy>Mhd Halkis</cp:lastModifiedBy>
  <cp:revision>2</cp:revision>
  <dcterms:created xsi:type="dcterms:W3CDTF">2024-09-28T12:54:00Z</dcterms:created>
  <dcterms:modified xsi:type="dcterms:W3CDTF">2024-09-28T12:54:00Z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http://www.zotero.org/styles/associacao-brasileira-de-normas-tecnicas</vt:lpwstr>
  </property>
  <property fmtid="{D5CDD505-2E9C-101B-9397-08002B2CF9AE}" pid="8" name="Mendeley Recent Style Id 4_1">
    <vt:lpwstr>http://www.zotero.org/styles/chicago-note-bibliography</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 11th edition</vt:lpwstr>
  </property>
  <property fmtid="{D5CDD505-2E9C-101B-9397-08002B2CF9AE}" pid="15" name="Mendeley Recent Style Name 1_1">
    <vt:lpwstr>American Psychological Association 7th edition</vt:lpwstr>
  </property>
  <property fmtid="{D5CDD505-2E9C-101B-9397-08002B2CF9AE}" pid="16" name="Mendeley Recent Style Name 2_1">
    <vt:lpwstr>American Sociological Association 6th/7th edition</vt:lpwstr>
  </property>
  <property fmtid="{D5CDD505-2E9C-101B-9397-08002B2CF9AE}" pid="17" name="Mendeley Recent Style Name 3_1">
    <vt:lpwstr>Associação Brasileira de Normas Técnicas (Português - Brasil)</vt:lpwstr>
  </property>
  <property fmtid="{D5CDD505-2E9C-101B-9397-08002B2CF9AE}" pid="18" name="Mendeley Recent Style Name 4_1">
    <vt:lpwstr>Chicago Manual of Style 17th edition (note)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Vancouver</vt:lpwstr>
  </property>
  <property fmtid="{D5CDD505-2E9C-101B-9397-08002B2CF9AE}" pid="24" name="Mendeley Unique User Id_1">
    <vt:lpwstr>760dd304-333a-318c-994d-afb56f2d5e89</vt:lpwstr>
  </property>
</Properties>
</file>