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8C" w:rsidRDefault="00771E5A" w:rsidP="00BF40F3">
      <w:pPr>
        <w:spacing w:line="480" w:lineRule="auto"/>
        <w:jc w:val="center"/>
        <w:rPr>
          <w:lang w:val="en-US"/>
        </w:rPr>
      </w:pPr>
      <w:r>
        <w:rPr>
          <w:lang w:val="en-US"/>
        </w:rPr>
        <w:t>HOW TO STAY</w:t>
      </w:r>
      <w:r w:rsidR="001D6DE3">
        <w:rPr>
          <w:lang w:val="en-US"/>
        </w:rPr>
        <w:t xml:space="preserve"> SAFE</w:t>
      </w:r>
      <w:r w:rsidR="00481699" w:rsidRPr="00481699">
        <w:rPr>
          <w:lang w:val="en-US"/>
        </w:rPr>
        <w:t xml:space="preserve"> WHILE EXTENDING THE MIND</w:t>
      </w:r>
    </w:p>
    <w:p w:rsidR="002132D2" w:rsidRPr="002132D2" w:rsidRDefault="002132D2" w:rsidP="00BF40F3">
      <w:pPr>
        <w:spacing w:line="480" w:lineRule="auto"/>
        <w:jc w:val="center"/>
        <w:rPr>
          <w:i/>
          <w:lang w:val="en-US"/>
        </w:rPr>
      </w:pPr>
      <w:r>
        <w:rPr>
          <w:i/>
          <w:lang w:val="en-US"/>
        </w:rPr>
        <w:t>Forthcoming in synthese</w:t>
      </w:r>
      <w:bookmarkStart w:id="0" w:name="_GoBack"/>
      <w:bookmarkEnd w:id="0"/>
    </w:p>
    <w:p w:rsidR="00481699" w:rsidRDefault="00481699" w:rsidP="00BF40F3">
      <w:pPr>
        <w:spacing w:line="480" w:lineRule="auto"/>
        <w:jc w:val="both"/>
        <w:rPr>
          <w:lang w:val="en-US"/>
        </w:rPr>
      </w:pPr>
    </w:p>
    <w:p w:rsidR="00E04BC9" w:rsidRDefault="00E04BC9" w:rsidP="00BF40F3">
      <w:pPr>
        <w:spacing w:line="480" w:lineRule="auto"/>
        <w:jc w:val="both"/>
        <w:rPr>
          <w:lang w:val="en-US"/>
        </w:rPr>
      </w:pPr>
      <w:r>
        <w:rPr>
          <w:lang w:val="en-US"/>
        </w:rPr>
        <w:t>ABSTRACT:</w:t>
      </w:r>
    </w:p>
    <w:p w:rsidR="00481699" w:rsidRDefault="00481699" w:rsidP="00BF40F3">
      <w:pPr>
        <w:spacing w:line="480" w:lineRule="auto"/>
        <w:jc w:val="both"/>
        <w:rPr>
          <w:lang w:val="en-US"/>
        </w:rPr>
      </w:pPr>
      <w:r>
        <w:rPr>
          <w:lang w:val="en-US"/>
        </w:rPr>
        <w:t>According to the extended mind thesis</w:t>
      </w:r>
      <w:r w:rsidR="006D622C">
        <w:rPr>
          <w:lang w:val="en-US"/>
        </w:rPr>
        <w:t>,</w:t>
      </w:r>
      <w:r>
        <w:rPr>
          <w:lang w:val="en-US"/>
        </w:rPr>
        <w:t xml:space="preserve"> cognitive processes are not</w:t>
      </w:r>
      <w:r w:rsidR="006D622C">
        <w:rPr>
          <w:lang w:val="en-US"/>
        </w:rPr>
        <w:t xml:space="preserve"> confined to the nervous system</w:t>
      </w:r>
      <w:r>
        <w:rPr>
          <w:lang w:val="en-US"/>
        </w:rPr>
        <w:t xml:space="preserve"> but can extend beyond skin and skull to notebooks, iPhones, computers and such. The extended mind thesis is a metaphysic</w:t>
      </w:r>
      <w:r w:rsidR="00453F89">
        <w:rPr>
          <w:lang w:val="en-US"/>
        </w:rPr>
        <w:t>al thesis about the material basis</w:t>
      </w:r>
      <w:r>
        <w:rPr>
          <w:lang w:val="en-US"/>
        </w:rPr>
        <w:t xml:space="preserve"> of</w:t>
      </w:r>
      <w:r w:rsidR="00101A59">
        <w:rPr>
          <w:lang w:val="en-US"/>
        </w:rPr>
        <w:t xml:space="preserve"> our cognition. As such, whether</w:t>
      </w:r>
      <w:r>
        <w:rPr>
          <w:lang w:val="en-US"/>
        </w:rPr>
        <w:t xml:space="preserve"> the thesis</w:t>
      </w:r>
      <w:r w:rsidR="00771E5A">
        <w:rPr>
          <w:lang w:val="en-US"/>
        </w:rPr>
        <w:t xml:space="preserve"> is true can have</w:t>
      </w:r>
      <w:r w:rsidR="006D622C">
        <w:rPr>
          <w:lang w:val="en-US"/>
        </w:rPr>
        <w:t xml:space="preserve"> implications for</w:t>
      </w:r>
      <w:r>
        <w:rPr>
          <w:lang w:val="en-US"/>
        </w:rPr>
        <w:t xml:space="preserve"> epistem</w:t>
      </w:r>
      <w:r w:rsidR="004C3D04">
        <w:rPr>
          <w:lang w:val="en-US"/>
        </w:rPr>
        <w:t xml:space="preserve">ological issues. </w:t>
      </w:r>
      <w:r>
        <w:rPr>
          <w:lang w:val="en-US"/>
        </w:rPr>
        <w:t xml:space="preserve">Carter has </w:t>
      </w:r>
      <w:r w:rsidR="009524ED">
        <w:rPr>
          <w:lang w:val="en-US"/>
        </w:rPr>
        <w:t xml:space="preserve">recently </w:t>
      </w:r>
      <w:r>
        <w:rPr>
          <w:lang w:val="en-US"/>
        </w:rPr>
        <w:t xml:space="preserve">argued that safety-based theories of knowledge are </w:t>
      </w:r>
      <w:r w:rsidR="00E04BC9">
        <w:rPr>
          <w:lang w:val="en-US"/>
        </w:rPr>
        <w:t>in tension with the ex</w:t>
      </w:r>
      <w:r w:rsidR="00D67F44">
        <w:rPr>
          <w:lang w:val="en-US"/>
        </w:rPr>
        <w:t>tended mind hypothesis, sin</w:t>
      </w:r>
      <w:r w:rsidR="004C3D04">
        <w:rPr>
          <w:lang w:val="en-US"/>
        </w:rPr>
        <w:t>ce the safety condition implies</w:t>
      </w:r>
      <w:r w:rsidR="00D67F44">
        <w:rPr>
          <w:lang w:val="en-US"/>
        </w:rPr>
        <w:t xml:space="preserve"> that</w:t>
      </w:r>
      <w:r w:rsidR="004C3D04">
        <w:rPr>
          <w:lang w:val="en-US"/>
        </w:rPr>
        <w:t xml:space="preserve"> there is an epistemic difference between </w:t>
      </w:r>
      <w:r w:rsidR="006D622C">
        <w:rPr>
          <w:lang w:val="en-US"/>
        </w:rPr>
        <w:t>subjects</w:t>
      </w:r>
      <w:r w:rsidR="0088396B">
        <w:rPr>
          <w:lang w:val="en-US"/>
        </w:rPr>
        <w:t xml:space="preserve"> who form their beliefs via their biological capacities and between subjects who have extended their cognition</w:t>
      </w:r>
      <w:r w:rsidR="004C3D04">
        <w:rPr>
          <w:lang w:val="en-US"/>
        </w:rPr>
        <w:t xml:space="preserve">. </w:t>
      </w:r>
      <w:r>
        <w:rPr>
          <w:lang w:val="en-US"/>
        </w:rPr>
        <w:t xml:space="preserve">Kelp, on the other hand, has argued that </w:t>
      </w:r>
      <w:r w:rsidR="009524ED">
        <w:rPr>
          <w:lang w:val="en-US"/>
        </w:rPr>
        <w:t>a safety-based theory</w:t>
      </w:r>
      <w:r>
        <w:rPr>
          <w:lang w:val="en-US"/>
        </w:rPr>
        <w:t xml:space="preserve"> of knowledge can </w:t>
      </w:r>
      <w:r w:rsidR="009524ED">
        <w:rPr>
          <w:lang w:val="en-US"/>
        </w:rPr>
        <w:t>be correct</w:t>
      </w:r>
      <w:r>
        <w:rPr>
          <w:lang w:val="en-US"/>
        </w:rPr>
        <w:t xml:space="preserve"> only if the extended mind thesis is true. </w:t>
      </w:r>
      <w:r w:rsidR="00E04BC9">
        <w:rPr>
          <w:lang w:val="en-US"/>
        </w:rPr>
        <w:t xml:space="preserve">While these claims are not logically </w:t>
      </w:r>
      <w:r w:rsidR="00D67F44">
        <w:rPr>
          <w:lang w:val="en-US"/>
        </w:rPr>
        <w:t>inconsistent</w:t>
      </w:r>
      <w:r w:rsidR="006D622C">
        <w:rPr>
          <w:lang w:val="en-US"/>
        </w:rPr>
        <w:t xml:space="preserve">, they do leave the safety </w:t>
      </w:r>
      <w:r w:rsidR="00D67F44">
        <w:rPr>
          <w:lang w:val="en-US"/>
        </w:rPr>
        <w:t>theorist in an uncomfortable position.</w:t>
      </w:r>
      <w:r w:rsidR="00E04BC9">
        <w:rPr>
          <w:lang w:val="en-US"/>
        </w:rPr>
        <w:t xml:space="preserve"> I will argue that safety-based theories of knowledge are not hostage to the truth of the extended mind thesis</w:t>
      </w:r>
      <w:r w:rsidR="006D622C">
        <w:rPr>
          <w:lang w:val="en-US"/>
        </w:rPr>
        <w:t>,</w:t>
      </w:r>
      <w:r w:rsidR="00E04BC9">
        <w:rPr>
          <w:lang w:val="en-US"/>
        </w:rPr>
        <w:t xml:space="preserve"> and that once the safety condition is properly understood it </w:t>
      </w:r>
      <w:r w:rsidR="00D67F44">
        <w:rPr>
          <w:lang w:val="en-US"/>
        </w:rPr>
        <w:t>is not in tension with the extended mind thesis</w:t>
      </w:r>
      <w:r w:rsidR="00DF08D4">
        <w:rPr>
          <w:lang w:val="en-US"/>
        </w:rPr>
        <w:t>.</w:t>
      </w:r>
    </w:p>
    <w:p w:rsidR="00DA1C96" w:rsidRDefault="00DA1C96" w:rsidP="00BF40F3">
      <w:pPr>
        <w:spacing w:line="480" w:lineRule="auto"/>
        <w:jc w:val="both"/>
        <w:rPr>
          <w:lang w:val="en-US"/>
        </w:rPr>
      </w:pPr>
    </w:p>
    <w:p w:rsidR="00E04BC9" w:rsidRDefault="00E04BC9" w:rsidP="00BF40F3">
      <w:pPr>
        <w:pStyle w:val="Luettelokappale"/>
        <w:numPr>
          <w:ilvl w:val="0"/>
          <w:numId w:val="1"/>
        </w:numPr>
        <w:spacing w:line="480" w:lineRule="auto"/>
        <w:jc w:val="both"/>
        <w:rPr>
          <w:lang w:val="en-US"/>
        </w:rPr>
      </w:pPr>
      <w:r w:rsidRPr="00E04BC9">
        <w:rPr>
          <w:lang w:val="en-US"/>
        </w:rPr>
        <w:t>INTRODUCTION</w:t>
      </w:r>
    </w:p>
    <w:p w:rsidR="00BF42C2" w:rsidRDefault="00D67F44" w:rsidP="00BF40F3">
      <w:pPr>
        <w:spacing w:line="480" w:lineRule="auto"/>
        <w:jc w:val="both"/>
        <w:rPr>
          <w:lang w:val="en-US"/>
        </w:rPr>
      </w:pPr>
      <w:r>
        <w:rPr>
          <w:lang w:val="en-US"/>
        </w:rPr>
        <w:t>Acc</w:t>
      </w:r>
      <w:r w:rsidR="00771E5A">
        <w:rPr>
          <w:lang w:val="en-US"/>
        </w:rPr>
        <w:t xml:space="preserve">ording to the extended mind </w:t>
      </w:r>
      <w:r>
        <w:rPr>
          <w:lang w:val="en-US"/>
        </w:rPr>
        <w:t xml:space="preserve">thesis, laid out by </w:t>
      </w:r>
      <w:r w:rsidR="00D57A25">
        <w:rPr>
          <w:lang w:val="en-US"/>
        </w:rPr>
        <w:fldChar w:fldCharType="begin"/>
      </w:r>
      <w:r w:rsidR="00FF3D30">
        <w:rPr>
          <w:lang w:val="en-US"/>
        </w:rPr>
        <w:instrText xml:space="preserve"> ADDIN EN.CITE &lt;EndNote&gt;&lt;Cite AuthorYear="1"&gt;&lt;Author&gt;Clark&lt;/Author&gt;&lt;Year&gt;1998&lt;/Year&gt;&lt;RecNum&gt;1643&lt;/RecNum&gt;&lt;DisplayText&gt;Clark and Chalmers (1998)&lt;/DisplayText&gt;&lt;record&gt;&lt;rec-number&gt;1643&lt;/rec-number&gt;&lt;foreign-keys&gt;&lt;key app="EN" db-id="0vpawwrfrtdxzge9z5uvtw9lxxsetrv5095d" timestamp="1473755188"&gt;1643&lt;/key&gt;&lt;/foreign-keys&gt;&lt;ref-type name="Journal Article"&gt;17&lt;/ref-type&gt;&lt;contributors&gt;&lt;authors&gt;&lt;author&gt;Clark, A.&lt;/author&gt;&lt;author&gt;Chalmers, D. J.&lt;/author&gt;&lt;/authors&gt;&lt;/contributors&gt;&lt;titles&gt;&lt;title&gt;The Extended Mind&lt;/title&gt;&lt;secondary-title&gt;Analysis&lt;/secondary-title&gt;&lt;/titles&gt;&lt;periodical&gt;&lt;full-title&gt;Analysis&lt;/full-title&gt;&lt;/periodical&gt;&lt;pages&gt;7-19&lt;/pages&gt;&lt;volume&gt;58&lt;/volume&gt;&lt;number&gt;1&lt;/number&gt;&lt;dates&gt;&lt;year&gt;1998&lt;/year&gt;&lt;/dates&gt;&lt;urls&gt;&lt;/urls&gt;&lt;/record&gt;&lt;/Cite&gt;&lt;/EndNote&gt;</w:instrText>
      </w:r>
      <w:r w:rsidR="00D57A25">
        <w:rPr>
          <w:lang w:val="en-US"/>
        </w:rPr>
        <w:fldChar w:fldCharType="separate"/>
      </w:r>
      <w:r w:rsidR="00D57A25">
        <w:rPr>
          <w:noProof/>
          <w:lang w:val="en-US"/>
        </w:rPr>
        <w:t>Clark and Chalmers (1998)</w:t>
      </w:r>
      <w:r w:rsidR="00D57A25">
        <w:rPr>
          <w:lang w:val="en-US"/>
        </w:rPr>
        <w:fldChar w:fldCharType="end"/>
      </w:r>
      <w:r w:rsidR="004C3D04">
        <w:rPr>
          <w:lang w:val="en-US"/>
        </w:rPr>
        <w:t>,</w:t>
      </w:r>
      <w:r>
        <w:rPr>
          <w:lang w:val="en-US"/>
        </w:rPr>
        <w:t xml:space="preserve"> cognitive processes can extend beyond the </w:t>
      </w:r>
      <w:r w:rsidR="00BF42C2">
        <w:rPr>
          <w:lang w:val="en-US"/>
        </w:rPr>
        <w:t>boundaries of skin and skull. The proponents of the extended mind thesis subscribe to the following principle:</w:t>
      </w:r>
    </w:p>
    <w:p w:rsidR="00E04BC9" w:rsidRDefault="00A97480" w:rsidP="00BF40F3">
      <w:pPr>
        <w:spacing w:line="480" w:lineRule="auto"/>
        <w:ind w:left="1304"/>
        <w:jc w:val="both"/>
        <w:rPr>
          <w:lang w:val="en-US"/>
        </w:rPr>
      </w:pPr>
      <w:r>
        <w:rPr>
          <w:lang w:val="en-US"/>
        </w:rPr>
        <w:t>M-</w:t>
      </w:r>
      <w:r w:rsidR="00BF42C2">
        <w:rPr>
          <w:lang w:val="en-US"/>
        </w:rPr>
        <w:t>PARITY PRINCIPLE: “</w:t>
      </w:r>
      <w:r w:rsidR="00BF42C2" w:rsidRPr="00BF42C2">
        <w:rPr>
          <w:lang w:val="en-US"/>
        </w:rPr>
        <w:t xml:space="preserve">If, as we confront some task, a part of the world functions as a process which, were it to go on in the head, we would have no </w:t>
      </w:r>
      <w:r w:rsidR="00BF42C2" w:rsidRPr="00BF42C2">
        <w:rPr>
          <w:lang w:val="en-US"/>
        </w:rPr>
        <w:lastRenderedPageBreak/>
        <w:t>hesitation in accepting as part of the cognitive process, then that part of the world i</w:t>
      </w:r>
      <w:r w:rsidR="00BF42C2">
        <w:rPr>
          <w:lang w:val="en-US"/>
        </w:rPr>
        <w:t xml:space="preserve">s part of the cognitive process.” </w:t>
      </w:r>
      <w:r w:rsidR="00BF42C2">
        <w:rPr>
          <w:lang w:val="en-US"/>
        </w:rPr>
        <w:fldChar w:fldCharType="begin"/>
      </w:r>
      <w:r w:rsidR="00FF3D30">
        <w:rPr>
          <w:lang w:val="en-US"/>
        </w:rPr>
        <w:instrText xml:space="preserve"> ADDIN EN.CITE &lt;EndNote&gt;&lt;Cite&gt;&lt;Author&gt;Clark&lt;/Author&gt;&lt;Year&gt;1998&lt;/Year&gt;&lt;RecNum&gt;1643&lt;/RecNum&gt;&lt;Pages&gt;8&lt;/Pages&gt;&lt;DisplayText&gt;(Clark &amp;amp; Chalmers, 1998, p. 8)&lt;/DisplayText&gt;&lt;record&gt;&lt;rec-number&gt;1643&lt;/rec-number&gt;&lt;foreign-keys&gt;&lt;key app="EN" db-id="0vpawwrfrtdxzge9z5uvtw9lxxsetrv5095d" timestamp="1473755188"&gt;1643&lt;/key&gt;&lt;/foreign-keys&gt;&lt;ref-type name="Journal Article"&gt;17&lt;/ref-type&gt;&lt;contributors&gt;&lt;authors&gt;&lt;author&gt;Clark, A.&lt;/author&gt;&lt;author&gt;Chalmers, D. J.&lt;/author&gt;&lt;/authors&gt;&lt;/contributors&gt;&lt;titles&gt;&lt;title&gt;The Extended Mind&lt;/title&gt;&lt;secondary-title&gt;Analysis&lt;/secondary-title&gt;&lt;/titles&gt;&lt;periodical&gt;&lt;full-title&gt;Analysis&lt;/full-title&gt;&lt;/periodical&gt;&lt;pages&gt;7-19&lt;/pages&gt;&lt;volume&gt;58&lt;/volume&gt;&lt;number&gt;1&lt;/number&gt;&lt;dates&gt;&lt;year&gt;1998&lt;/year&gt;&lt;/dates&gt;&lt;urls&gt;&lt;/urls&gt;&lt;/record&gt;&lt;/Cite&gt;&lt;/EndNote&gt;</w:instrText>
      </w:r>
      <w:r w:rsidR="00BF42C2">
        <w:rPr>
          <w:lang w:val="en-US"/>
        </w:rPr>
        <w:fldChar w:fldCharType="separate"/>
      </w:r>
      <w:r w:rsidR="00BF42C2">
        <w:rPr>
          <w:noProof/>
          <w:lang w:val="en-US"/>
        </w:rPr>
        <w:t>(Clark &amp; Chalmers, 1998, p. 8)</w:t>
      </w:r>
      <w:r w:rsidR="00BF42C2">
        <w:rPr>
          <w:lang w:val="en-US"/>
        </w:rPr>
        <w:fldChar w:fldCharType="end"/>
      </w:r>
    </w:p>
    <w:p w:rsidR="00BF42C2" w:rsidRDefault="007B4E05" w:rsidP="00BF40F3">
      <w:pPr>
        <w:spacing w:line="480" w:lineRule="auto"/>
        <w:jc w:val="both"/>
        <w:rPr>
          <w:lang w:val="en-US"/>
        </w:rPr>
      </w:pPr>
      <w:r>
        <w:rPr>
          <w:lang w:val="en-US"/>
        </w:rPr>
        <w:t xml:space="preserve">The </w:t>
      </w:r>
      <w:r w:rsidR="00A97480">
        <w:rPr>
          <w:lang w:val="en-US"/>
        </w:rPr>
        <w:t>m-</w:t>
      </w:r>
      <w:r>
        <w:rPr>
          <w:lang w:val="en-US"/>
        </w:rPr>
        <w:t>parity principle</w:t>
      </w:r>
      <w:r w:rsidR="00BF42C2">
        <w:rPr>
          <w:lang w:val="en-US"/>
        </w:rPr>
        <w:t xml:space="preserve"> guards against the metaphysical prejudice of giving a privileged role to the processes that occur wi</w:t>
      </w:r>
      <w:r w:rsidR="00C21B4B">
        <w:rPr>
          <w:lang w:val="en-US"/>
        </w:rPr>
        <w:t>thin the boundaries of our bodies</w:t>
      </w:r>
      <w:r w:rsidR="00BF42C2">
        <w:rPr>
          <w:lang w:val="en-US"/>
        </w:rPr>
        <w:t xml:space="preserve"> when explaining our cognition. Those</w:t>
      </w:r>
      <w:r>
        <w:rPr>
          <w:lang w:val="en-US"/>
        </w:rPr>
        <w:t xml:space="preserve"> who accept the </w:t>
      </w:r>
      <w:r w:rsidR="00A97480">
        <w:rPr>
          <w:lang w:val="en-US"/>
        </w:rPr>
        <w:t>m-</w:t>
      </w:r>
      <w:r>
        <w:rPr>
          <w:lang w:val="en-US"/>
        </w:rPr>
        <w:t>parity principle</w:t>
      </w:r>
      <w:r w:rsidR="00BF42C2">
        <w:rPr>
          <w:lang w:val="en-US"/>
        </w:rPr>
        <w:t xml:space="preserve"> think that we should give no special weight to the processes that occur within our bodies, since processes that are external t</w:t>
      </w:r>
      <w:r w:rsidR="0024469C">
        <w:rPr>
          <w:lang w:val="en-US"/>
        </w:rPr>
        <w:t>o ou</w:t>
      </w:r>
      <w:r w:rsidR="00AC4B39">
        <w:rPr>
          <w:lang w:val="en-US"/>
        </w:rPr>
        <w:t>r bodies can function in</w:t>
      </w:r>
      <w:r w:rsidR="00BF42C2">
        <w:rPr>
          <w:lang w:val="en-US"/>
        </w:rPr>
        <w:t xml:space="preserve"> </w:t>
      </w:r>
      <w:r w:rsidR="0024469C">
        <w:rPr>
          <w:lang w:val="en-US"/>
        </w:rPr>
        <w:t xml:space="preserve">the </w:t>
      </w:r>
      <w:r w:rsidR="00BF42C2">
        <w:rPr>
          <w:lang w:val="en-US"/>
        </w:rPr>
        <w:t xml:space="preserve">same </w:t>
      </w:r>
      <w:r w:rsidR="00BF42C2" w:rsidRPr="006D622C">
        <w:rPr>
          <w:lang w:val="en-US"/>
        </w:rPr>
        <w:t>way</w:t>
      </w:r>
      <w:r w:rsidR="00AC4B39" w:rsidRPr="006D622C">
        <w:rPr>
          <w:lang w:val="en-US"/>
        </w:rPr>
        <w:t xml:space="preserve"> from a </w:t>
      </w:r>
      <w:r w:rsidR="00B51234" w:rsidRPr="006D622C">
        <w:rPr>
          <w:lang w:val="en-US"/>
        </w:rPr>
        <w:t xml:space="preserve">common-sense </w:t>
      </w:r>
      <w:r w:rsidR="00AC4B39" w:rsidRPr="006D622C">
        <w:rPr>
          <w:lang w:val="en-US"/>
        </w:rPr>
        <w:t>functionalist point of view</w:t>
      </w:r>
      <w:r w:rsidR="00C21B4B" w:rsidRPr="006D622C">
        <w:rPr>
          <w:lang w:val="en-US"/>
        </w:rPr>
        <w:t xml:space="preserve"> </w:t>
      </w:r>
      <w:r w:rsidR="00C21B4B">
        <w:rPr>
          <w:lang w:val="en-US"/>
        </w:rPr>
        <w:t xml:space="preserve">and serve the same roles as intracranial processes. </w:t>
      </w:r>
      <w:r w:rsidR="0024469C">
        <w:rPr>
          <w:lang w:val="en-US"/>
        </w:rPr>
        <w:t xml:space="preserve">Given that the extended mind thesis is a metaphysical thesis it can have </w:t>
      </w:r>
      <w:r w:rsidR="00C21B4B">
        <w:rPr>
          <w:lang w:val="en-US"/>
        </w:rPr>
        <w:t>epistemological</w:t>
      </w:r>
      <w:r w:rsidR="0024469C">
        <w:rPr>
          <w:lang w:val="en-US"/>
        </w:rPr>
        <w:t xml:space="preserve"> consequences</w:t>
      </w:r>
      <w:r w:rsidR="00771E5A">
        <w:rPr>
          <w:lang w:val="en-US"/>
        </w:rPr>
        <w:t xml:space="preserve">. </w:t>
      </w:r>
      <w:r w:rsidR="00C21B4B">
        <w:rPr>
          <w:lang w:val="en-US"/>
        </w:rPr>
        <w:t>Cart</w:t>
      </w:r>
      <w:r w:rsidR="00A97480">
        <w:rPr>
          <w:lang w:val="en-US"/>
        </w:rPr>
        <w:t>er argues that the m-</w:t>
      </w:r>
      <w:r w:rsidR="00C21B4B">
        <w:rPr>
          <w:lang w:val="en-US"/>
        </w:rPr>
        <w:t xml:space="preserve">parity principle motivates an </w:t>
      </w:r>
      <w:r w:rsidR="0024469C">
        <w:rPr>
          <w:lang w:val="en-US"/>
        </w:rPr>
        <w:t>epistemic parity principle</w:t>
      </w:r>
      <w:r w:rsidR="006D622C">
        <w:rPr>
          <w:lang w:val="en-US"/>
        </w:rPr>
        <w:t>:</w:t>
      </w:r>
    </w:p>
    <w:p w:rsidR="0024469C" w:rsidRDefault="0024469C" w:rsidP="00BF40F3">
      <w:pPr>
        <w:spacing w:line="480" w:lineRule="auto"/>
        <w:ind w:left="1304"/>
        <w:jc w:val="both"/>
        <w:rPr>
          <w:lang w:val="en-US"/>
        </w:rPr>
      </w:pPr>
      <w:r>
        <w:rPr>
          <w:lang w:val="en-US"/>
        </w:rPr>
        <w:t>E-PARITY</w:t>
      </w:r>
      <w:r w:rsidR="007B4E05">
        <w:rPr>
          <w:lang w:val="en-US"/>
        </w:rPr>
        <w:t xml:space="preserve"> PRINCIPLE</w:t>
      </w:r>
      <w:r>
        <w:rPr>
          <w:lang w:val="en-US"/>
        </w:rPr>
        <w:t xml:space="preserve">: </w:t>
      </w:r>
      <w:r w:rsidR="007B4E05">
        <w:rPr>
          <w:lang w:val="en-US"/>
        </w:rPr>
        <w:t>“</w:t>
      </w:r>
      <w:r w:rsidR="007B4E05" w:rsidRPr="007B4E05">
        <w:rPr>
          <w:lang w:val="en-US"/>
        </w:rPr>
        <w:t xml:space="preserve">For agent </w:t>
      </w:r>
      <w:r w:rsidR="007B4E05" w:rsidRPr="00F32CBB">
        <w:rPr>
          <w:i/>
          <w:lang w:val="en-US"/>
        </w:rPr>
        <w:t>S</w:t>
      </w:r>
      <w:r w:rsidR="007B4E05" w:rsidRPr="007B4E05">
        <w:rPr>
          <w:lang w:val="en-US"/>
        </w:rPr>
        <w:t xml:space="preserve"> and belief </w:t>
      </w:r>
      <w:r w:rsidR="007B4E05" w:rsidRPr="00F32CBB">
        <w:rPr>
          <w:i/>
          <w:lang w:val="en-US"/>
        </w:rPr>
        <w:t>p</w:t>
      </w:r>
      <w:r w:rsidR="007B4E05" w:rsidRPr="007B4E05">
        <w:rPr>
          <w:lang w:val="en-US"/>
        </w:rPr>
        <w:t>, if</w:t>
      </w:r>
      <w:r w:rsidR="00F32CBB">
        <w:rPr>
          <w:lang w:val="en-US"/>
        </w:rPr>
        <w:t xml:space="preserve"> </w:t>
      </w:r>
      <w:r w:rsidR="007B4E05" w:rsidRPr="00F32CBB">
        <w:rPr>
          <w:i/>
          <w:lang w:val="en-US"/>
        </w:rPr>
        <w:t>S</w:t>
      </w:r>
      <w:r w:rsidR="007B4E05" w:rsidRPr="007B4E05">
        <w:rPr>
          <w:lang w:val="en-US"/>
        </w:rPr>
        <w:t xml:space="preserve"> comes to believe </w:t>
      </w:r>
      <w:r w:rsidR="007B4E05" w:rsidRPr="00F32CBB">
        <w:rPr>
          <w:i/>
          <w:lang w:val="en-US"/>
        </w:rPr>
        <w:t>p</w:t>
      </w:r>
      <w:r w:rsidR="007B4E05" w:rsidRPr="007B4E05">
        <w:rPr>
          <w:lang w:val="en-US"/>
        </w:rPr>
        <w:t xml:space="preserve"> by a process which, were it to go on in the head, we would have no hesitation in ascribing knowledge of </w:t>
      </w:r>
      <w:r w:rsidR="007B4E05" w:rsidRPr="00F32CBB">
        <w:rPr>
          <w:i/>
          <w:lang w:val="en-US"/>
        </w:rPr>
        <w:t>p</w:t>
      </w:r>
      <w:r w:rsidR="007B4E05" w:rsidRPr="007B4E05">
        <w:rPr>
          <w:lang w:val="en-US"/>
        </w:rPr>
        <w:t xml:space="preserve"> to </w:t>
      </w:r>
      <w:r w:rsidR="007B4E05" w:rsidRPr="00F32CBB">
        <w:rPr>
          <w:i/>
          <w:lang w:val="en-US"/>
        </w:rPr>
        <w:t>S</w:t>
      </w:r>
      <w:r w:rsidR="007B4E05" w:rsidRPr="007B4E05">
        <w:rPr>
          <w:lang w:val="en-US"/>
        </w:rPr>
        <w:t xml:space="preserve">, then </w:t>
      </w:r>
      <w:r w:rsidR="007B4E05" w:rsidRPr="00F32CBB">
        <w:rPr>
          <w:i/>
          <w:lang w:val="en-US"/>
        </w:rPr>
        <w:t>S</w:t>
      </w:r>
      <w:r w:rsidR="007B4E05" w:rsidRPr="007B4E05">
        <w:rPr>
          <w:lang w:val="en-US"/>
        </w:rPr>
        <w:t xml:space="preserve"> knows </w:t>
      </w:r>
      <w:r w:rsidR="007B4E05" w:rsidRPr="00F32CBB">
        <w:rPr>
          <w:i/>
          <w:lang w:val="en-US"/>
        </w:rPr>
        <w:t>p</w:t>
      </w:r>
      <w:r w:rsidR="007B4E05" w:rsidRPr="007B4E05">
        <w:rPr>
          <w:lang w:val="en-US"/>
        </w:rPr>
        <w:t>.</w:t>
      </w:r>
      <w:r w:rsidR="007B4E05">
        <w:rPr>
          <w:lang w:val="en-US"/>
        </w:rPr>
        <w:t>”</w:t>
      </w:r>
      <w:r w:rsidR="00C21B4B">
        <w:rPr>
          <w:lang w:val="en-US"/>
        </w:rPr>
        <w:t xml:space="preserve"> </w:t>
      </w:r>
      <w:r w:rsidR="008D3F46">
        <w:rPr>
          <w:lang w:val="en-US"/>
        </w:rPr>
        <w:fldChar w:fldCharType="begin"/>
      </w:r>
      <w:r w:rsidR="00FF3D30">
        <w:rPr>
          <w:lang w:val="en-US"/>
        </w:rPr>
        <w:instrText xml:space="preserve"> ADDIN EN.CITE &lt;EndNote&gt;&lt;Cite&gt;&lt;Author&gt;Carter&lt;/Author&gt;&lt;Year&gt;2013&lt;/Year&gt;&lt;RecNum&gt;8&lt;/RecNum&gt;&lt;Pages&gt;4203&lt;/Pages&gt;&lt;DisplayText&gt;(Carter, 2013, p. 4203)&lt;/DisplayText&gt;&lt;record&gt;&lt;rec-number&gt;8&lt;/rec-number&gt;&lt;foreign-keys&gt;&lt;key app="EN" db-id="0vpawwrfrtdxzge9z5uvtw9lxxsetrv5095d" timestamp="1418652244"&gt;8&lt;/key&gt;&lt;/foreign-keys&gt;&lt;ref-type name="Journal Article"&gt;17&lt;/ref-type&gt;&lt;contributors&gt;&lt;authors&gt;&lt;author&gt;Carter, J. A.&lt;/author&gt;&lt;/authors&gt;&lt;/contributors&gt;&lt;titles&gt;&lt;title&gt;Extended cognition and epistemic luck&lt;/title&gt;&lt;secondary-title&gt;Synthese&lt;/secondary-title&gt;&lt;/titles&gt;&lt;periodical&gt;&lt;full-title&gt;Synthese&lt;/full-title&gt;&lt;/periodical&gt;&lt;pages&gt;4201–4214&lt;/pages&gt;&lt;volume&gt;190&lt;/volume&gt;&lt;dates&gt;&lt;year&gt;2013&lt;/year&gt;&lt;/dates&gt;&lt;urls&gt;&lt;/urls&gt;&lt;electronic-resource-num&gt;DOI 10.1007/s11229-013-0267-3&lt;/electronic-resource-num&gt;&lt;/record&gt;&lt;/Cite&gt;&lt;/EndNote&gt;</w:instrText>
      </w:r>
      <w:r w:rsidR="008D3F46">
        <w:rPr>
          <w:lang w:val="en-US"/>
        </w:rPr>
        <w:fldChar w:fldCharType="separate"/>
      </w:r>
      <w:r w:rsidR="002B20BF">
        <w:rPr>
          <w:noProof/>
          <w:lang w:val="en-US"/>
        </w:rPr>
        <w:t>(Carter, 2013, p. 4203)</w:t>
      </w:r>
      <w:r w:rsidR="008D3F46">
        <w:rPr>
          <w:lang w:val="en-US"/>
        </w:rPr>
        <w:fldChar w:fldCharType="end"/>
      </w:r>
    </w:p>
    <w:p w:rsidR="00771E5A" w:rsidRDefault="007B4E05" w:rsidP="00BF40F3">
      <w:pPr>
        <w:spacing w:line="480" w:lineRule="auto"/>
        <w:jc w:val="both"/>
        <w:rPr>
          <w:lang w:val="en-US"/>
        </w:rPr>
      </w:pPr>
      <w:r>
        <w:rPr>
          <w:lang w:val="en-US"/>
        </w:rPr>
        <w:t xml:space="preserve">The e-parity principle is supposed to guide epistemic theorizing in a similar way as the </w:t>
      </w:r>
      <w:r w:rsidR="00A97480">
        <w:rPr>
          <w:lang w:val="en-US"/>
        </w:rPr>
        <w:t>m-</w:t>
      </w:r>
      <w:r>
        <w:rPr>
          <w:lang w:val="en-US"/>
        </w:rPr>
        <w:t>parity principle guides metaphysical theorizing by guarding us against unwanted prejudice.</w:t>
      </w:r>
      <w:r w:rsidR="00C573D1">
        <w:rPr>
          <w:lang w:val="en-US"/>
        </w:rPr>
        <w:t xml:space="preserve"> The mere locality of a process is not an epistemically relevant factor.</w:t>
      </w:r>
      <w:r w:rsidR="008D3F46">
        <w:rPr>
          <w:lang w:val="en-US"/>
        </w:rPr>
        <w:t xml:space="preserve"> </w:t>
      </w:r>
      <w:r w:rsidR="00792921">
        <w:rPr>
          <w:lang w:val="en-US"/>
        </w:rPr>
        <w:t>In the classic example of cognitive extension</w:t>
      </w:r>
      <w:r w:rsidR="006422ED">
        <w:rPr>
          <w:lang w:val="en-US"/>
        </w:rPr>
        <w:t xml:space="preserve"> </w:t>
      </w:r>
      <w:r w:rsidR="00792921">
        <w:rPr>
          <w:lang w:val="en-US"/>
        </w:rPr>
        <w:t xml:space="preserve">that </w:t>
      </w:r>
      <w:r w:rsidR="006422ED">
        <w:rPr>
          <w:lang w:val="en-US"/>
        </w:rPr>
        <w:t>Clark and Chalmers (1998)</w:t>
      </w:r>
      <w:r w:rsidR="008D2B82">
        <w:rPr>
          <w:lang w:val="en-US"/>
        </w:rPr>
        <w:t xml:space="preserve"> </w:t>
      </w:r>
      <w:r w:rsidR="00792921">
        <w:rPr>
          <w:lang w:val="en-US"/>
        </w:rPr>
        <w:t>present</w:t>
      </w:r>
      <w:r w:rsidR="006D622C">
        <w:rPr>
          <w:lang w:val="en-US"/>
        </w:rPr>
        <w:t>,</w:t>
      </w:r>
      <w:r w:rsidR="00792921">
        <w:rPr>
          <w:lang w:val="en-US"/>
        </w:rPr>
        <w:t xml:space="preserve"> the process of consulting the notebook is the extracranial analogue of con</w:t>
      </w:r>
      <w:r w:rsidR="006D622C">
        <w:rPr>
          <w:lang w:val="en-US"/>
        </w:rPr>
        <w:t>sulting one’s biological memory:</w:t>
      </w:r>
      <w:r w:rsidR="00792921">
        <w:rPr>
          <w:rStyle w:val="Alaviitteenviite"/>
          <w:lang w:val="en-US"/>
        </w:rPr>
        <w:footnoteReference w:id="1"/>
      </w:r>
    </w:p>
    <w:p w:rsidR="006422ED" w:rsidRDefault="00771E5A" w:rsidP="00BF40F3">
      <w:pPr>
        <w:spacing w:line="480" w:lineRule="auto"/>
        <w:ind w:left="1304" w:hanging="1304"/>
        <w:jc w:val="both"/>
        <w:rPr>
          <w:lang w:val="en-US"/>
        </w:rPr>
      </w:pPr>
      <w:r>
        <w:rPr>
          <w:lang w:val="en-US"/>
        </w:rPr>
        <w:t xml:space="preserve">OTTO: </w:t>
      </w:r>
      <w:r w:rsidR="006422ED">
        <w:rPr>
          <w:lang w:val="en-US"/>
        </w:rPr>
        <w:tab/>
      </w:r>
      <w:r w:rsidR="008D2B82">
        <w:rPr>
          <w:lang w:val="en-US"/>
        </w:rPr>
        <w:t>Otto suffers from Alzheimer’s disease and</w:t>
      </w:r>
      <w:r w:rsidR="006422ED">
        <w:rPr>
          <w:lang w:val="en-US"/>
        </w:rPr>
        <w:t xml:space="preserve"> like many Alzheimer’s patients, he relies on information in the environment to help to structure his life. Otto carries a notebook around with him everywhere he goes. When he learns new information, he writes it down. When he needs some old information, he looks it up. For Otto, the notebook plays the role usually played by a biological memory. </w:t>
      </w:r>
      <w:r w:rsidR="006422ED">
        <w:rPr>
          <w:lang w:val="en-US"/>
        </w:rPr>
        <w:fldChar w:fldCharType="begin"/>
      </w:r>
      <w:r w:rsidR="00FF3D30">
        <w:rPr>
          <w:lang w:val="en-US"/>
        </w:rPr>
        <w:instrText xml:space="preserve"> ADDIN EN.CITE &lt;EndNote&gt;&lt;Cite&gt;&lt;Author&gt;Carter&lt;/Author&gt;&lt;Year&gt;2013&lt;/Year&gt;&lt;RecNum&gt;8&lt;/RecNum&gt;&lt;Pages&gt;4202&lt;/Pages&gt;&lt;DisplayText&gt;(Carter, 2013, p. 4202)&lt;/DisplayText&gt;&lt;record&gt;&lt;rec-number&gt;8&lt;/rec-number&gt;&lt;foreign-keys&gt;&lt;key app="EN" db-id="0vpawwrfrtdxzge9z5uvtw9lxxsetrv5095d" timestamp="1418652244"&gt;8&lt;/key&gt;&lt;/foreign-keys&gt;&lt;ref-type name="Journal Article"&gt;17&lt;/ref-type&gt;&lt;contributors&gt;&lt;authors&gt;&lt;author&gt;Carter, J. A.&lt;/author&gt;&lt;/authors&gt;&lt;/contributors&gt;&lt;titles&gt;&lt;title&gt;Extended cognition and epistemic luck&lt;/title&gt;&lt;secondary-title&gt;Synthese&lt;/secondary-title&gt;&lt;/titles&gt;&lt;periodical&gt;&lt;full-title&gt;Synthese&lt;/full-title&gt;&lt;/periodical&gt;&lt;pages&gt;4201–4214&lt;/pages&gt;&lt;volume&gt;190&lt;/volume&gt;&lt;dates&gt;&lt;year&gt;2013&lt;/year&gt;&lt;/dates&gt;&lt;urls&gt;&lt;/urls&gt;&lt;electronic-resource-num&gt;DOI 10.1007/s11229-013-0267-3&lt;/electronic-resource-num&gt;&lt;/record&gt;&lt;/Cite&gt;&lt;/EndNote&gt;</w:instrText>
      </w:r>
      <w:r w:rsidR="006422ED">
        <w:rPr>
          <w:lang w:val="en-US"/>
        </w:rPr>
        <w:fldChar w:fldCharType="separate"/>
      </w:r>
      <w:r w:rsidR="002B20BF">
        <w:rPr>
          <w:noProof/>
          <w:lang w:val="en-US"/>
        </w:rPr>
        <w:t>(Carter, 2013, p. 4202)</w:t>
      </w:r>
      <w:r w:rsidR="006422ED">
        <w:rPr>
          <w:lang w:val="en-US"/>
        </w:rPr>
        <w:fldChar w:fldCharType="end"/>
      </w:r>
    </w:p>
    <w:p w:rsidR="00DC7379" w:rsidRDefault="00771E5A" w:rsidP="00BF40F3">
      <w:pPr>
        <w:spacing w:line="480" w:lineRule="auto"/>
        <w:jc w:val="both"/>
        <w:rPr>
          <w:lang w:val="en-US"/>
        </w:rPr>
      </w:pPr>
      <w:r>
        <w:rPr>
          <w:lang w:val="en-US"/>
        </w:rPr>
        <w:lastRenderedPageBreak/>
        <w:t xml:space="preserve">It seems </w:t>
      </w:r>
      <w:r w:rsidR="00DC7379">
        <w:rPr>
          <w:lang w:val="en-US"/>
        </w:rPr>
        <w:t>th</w:t>
      </w:r>
      <w:r w:rsidR="00D85A98">
        <w:rPr>
          <w:lang w:val="en-US"/>
        </w:rPr>
        <w:t>at whatever Otto writes in the notebook he dispositionally believes</w:t>
      </w:r>
      <w:r w:rsidR="00DC7379">
        <w:rPr>
          <w:lang w:val="en-US"/>
        </w:rPr>
        <w:t>.</w:t>
      </w:r>
      <w:r w:rsidR="00D85A98">
        <w:rPr>
          <w:lang w:val="en-US"/>
        </w:rPr>
        <w:t xml:space="preserve"> Accordingly, his notebook entries are a part of the physical basis for his dispositional knowledge.</w:t>
      </w:r>
      <w:r w:rsidR="00DC7379">
        <w:rPr>
          <w:lang w:val="en-US"/>
        </w:rPr>
        <w:t xml:space="preserve"> To hold otherwise would be to commit bio</w:t>
      </w:r>
      <w:r w:rsidR="007B5EE6">
        <w:rPr>
          <w:lang w:val="en-US"/>
        </w:rPr>
        <w:t xml:space="preserve">prejudice. Several theories of knowledge are able to deliver the correct verdict regarding this case. For instance, virtue epistemological theories of knowledge are able to accommodate this case of knowledge since Otto exhibits a great deal of cognitive virtue in his actions </w:t>
      </w:r>
      <w:r w:rsidR="007B5EE6">
        <w:rPr>
          <w:lang w:val="en-US"/>
        </w:rPr>
        <w:fldChar w:fldCharType="begin"/>
      </w:r>
      <w:r w:rsidR="007B5EE6">
        <w:rPr>
          <w:lang w:val="en-US"/>
        </w:rPr>
        <w:instrText xml:space="preserve"> ADDIN EN.CITE &lt;EndNote&gt;&lt;Cite&gt;&lt;Author&gt;Pritchard&lt;/Author&gt;&lt;Year&gt;2010&lt;/Year&gt;&lt;RecNum&gt;109&lt;/RecNum&gt;&lt;Pages&gt;145&lt;/Pages&gt;&lt;DisplayText&gt;(Pritchard, 2010, p. 145)&lt;/DisplayText&gt;&lt;record&gt;&lt;rec-number&gt;109&lt;/rec-number&gt;&lt;foreign-keys&gt;&lt;key app="EN" db-id="0vpawwrfrtdxzge9z5uvtw9lxxsetrv5095d" timestamp="1418723969"&gt;109&lt;/key&gt;&lt;/foreign-keys&gt;&lt;ref-type name="Journal Article"&gt;17&lt;/ref-type&gt;&lt;contributors&gt;&lt;authors&gt;&lt;author&gt;Pritchard, D.&lt;/author&gt;&lt;/authors&gt;&lt;/contributors&gt;&lt;titles&gt;&lt;title&gt;Cognitive ability and the extended cognition thesis&lt;/title&gt;&lt;secondary-title&gt;Synthese&lt;/secondary-title&gt;&lt;/titles&gt;&lt;periodical&gt;&lt;full-title&gt;Synthese&lt;/full-title&gt;&lt;/periodical&gt;&lt;pages&gt;133-151&lt;/pages&gt;&lt;volume&gt;175&lt;/volume&gt;&lt;dates&gt;&lt;year&gt;2010&lt;/year&gt;&lt;pub-dates&gt;&lt;date&gt;Aug&lt;/date&gt;&lt;/pub-dates&gt;&lt;/dates&gt;&lt;isbn&gt;0039-7857&lt;/isbn&gt;&lt;accession-num&gt;WOS:000282012000008&lt;/accession-num&gt;&lt;urls&gt;&lt;related-urls&gt;&lt;url&gt;&amp;lt;Go to ISI&amp;gt;://WOS:000282012000008&lt;/url&gt;&lt;/related-urls&gt;&lt;/urls&gt;&lt;electronic-resource-num&gt;10.1007/s11229-010-9738-y&lt;/electronic-resource-num&gt;&lt;/record&gt;&lt;/Cite&gt;&lt;/EndNote&gt;</w:instrText>
      </w:r>
      <w:r w:rsidR="007B5EE6">
        <w:rPr>
          <w:lang w:val="en-US"/>
        </w:rPr>
        <w:fldChar w:fldCharType="separate"/>
      </w:r>
      <w:r w:rsidR="007B5EE6">
        <w:rPr>
          <w:noProof/>
          <w:lang w:val="en-US"/>
        </w:rPr>
        <w:t>(Pritchard, 2010, p. 145)</w:t>
      </w:r>
      <w:r w:rsidR="007B5EE6">
        <w:rPr>
          <w:lang w:val="en-US"/>
        </w:rPr>
        <w:fldChar w:fldCharType="end"/>
      </w:r>
      <w:r w:rsidR="007B5EE6">
        <w:rPr>
          <w:lang w:val="en-US"/>
        </w:rPr>
        <w:t>.</w:t>
      </w:r>
      <w:r w:rsidR="00CA5F7E">
        <w:rPr>
          <w:rStyle w:val="Alaviitteenviite"/>
          <w:lang w:val="en-US"/>
        </w:rPr>
        <w:footnoteReference w:id="2"/>
      </w:r>
      <w:r w:rsidR="007B5EE6">
        <w:rPr>
          <w:lang w:val="en-US"/>
        </w:rPr>
        <w:t xml:space="preserve"> Otto updates the notebook meticulously and the way in which he retrieves information from the notebook is reliable. Moreover, there is no reason to supp</w:t>
      </w:r>
      <w:r w:rsidR="00A97480">
        <w:rPr>
          <w:lang w:val="en-US"/>
        </w:rPr>
        <w:t xml:space="preserve">ose that Otto does </w:t>
      </w:r>
      <w:r w:rsidR="007B5EE6">
        <w:rPr>
          <w:lang w:val="en-US"/>
        </w:rPr>
        <w:t>not satisfy the safety condition when he forms true beliefs as a result of consulting the notebook</w:t>
      </w:r>
      <w:r w:rsidR="00D85A98">
        <w:rPr>
          <w:lang w:val="en-US"/>
        </w:rPr>
        <w:t xml:space="preserve"> or that the beliefs stored in the notebook would not be safe</w:t>
      </w:r>
      <w:r w:rsidR="007B5EE6">
        <w:rPr>
          <w:lang w:val="en-US"/>
        </w:rPr>
        <w:t>. According to a very rough formulation of the safety condition</w:t>
      </w:r>
      <w:r w:rsidR="006D622C">
        <w:rPr>
          <w:lang w:val="en-US"/>
        </w:rPr>
        <w:t>,</w:t>
      </w:r>
      <w:r w:rsidR="007B5EE6">
        <w:rPr>
          <w:lang w:val="en-US"/>
        </w:rPr>
        <w:t xml:space="preserve"> a subject’s belief that </w:t>
      </w:r>
      <w:r w:rsidR="007B5EE6">
        <w:rPr>
          <w:i/>
          <w:lang w:val="en-US"/>
        </w:rPr>
        <w:t xml:space="preserve">p </w:t>
      </w:r>
      <w:r w:rsidR="007B5EE6">
        <w:rPr>
          <w:lang w:val="en-US"/>
        </w:rPr>
        <w:t>is safe just in case it could not easily have been false given the way in which it was formed. If the notebook contains mostly true information which is gathered in a reliable way, it is entirely possible that Otto could not easil</w:t>
      </w:r>
      <w:r w:rsidR="006D622C">
        <w:rPr>
          <w:lang w:val="en-US"/>
        </w:rPr>
        <w:t>y have formed a false belief by</w:t>
      </w:r>
      <w:r w:rsidR="007B5EE6">
        <w:rPr>
          <w:lang w:val="en-US"/>
        </w:rPr>
        <w:t xml:space="preserve"> consulting the notebook.</w:t>
      </w:r>
    </w:p>
    <w:p w:rsidR="00C573D1" w:rsidRDefault="00C573D1" w:rsidP="00BF40F3">
      <w:pPr>
        <w:spacing w:line="480" w:lineRule="auto"/>
        <w:jc w:val="both"/>
        <w:rPr>
          <w:lang w:val="en-US"/>
        </w:rPr>
      </w:pPr>
      <w:r>
        <w:rPr>
          <w:lang w:val="en-US"/>
        </w:rPr>
        <w:t xml:space="preserve">In what follows I </w:t>
      </w:r>
      <w:r w:rsidR="00A97480">
        <w:rPr>
          <w:lang w:val="en-US"/>
        </w:rPr>
        <w:t>will argue that safety-based theories of knowledge</w:t>
      </w:r>
      <w:r w:rsidR="00771E5A">
        <w:rPr>
          <w:lang w:val="en-US"/>
        </w:rPr>
        <w:t xml:space="preserve"> are compatible both with the truth and with </w:t>
      </w:r>
      <w:r w:rsidR="00D85A98">
        <w:rPr>
          <w:lang w:val="en-US"/>
        </w:rPr>
        <w:t xml:space="preserve">the </w:t>
      </w:r>
      <w:r w:rsidR="00771E5A">
        <w:rPr>
          <w:lang w:val="en-US"/>
        </w:rPr>
        <w:t>falsity</w:t>
      </w:r>
      <w:r>
        <w:rPr>
          <w:lang w:val="en-US"/>
        </w:rPr>
        <w:t xml:space="preserve"> of the extended mind thesis</w:t>
      </w:r>
      <w:r w:rsidR="00771E5A">
        <w:rPr>
          <w:lang w:val="en-US"/>
        </w:rPr>
        <w:t xml:space="preserve"> once the safety condition is properly understood</w:t>
      </w:r>
      <w:r>
        <w:rPr>
          <w:lang w:val="en-US"/>
        </w:rPr>
        <w:t xml:space="preserve">. </w:t>
      </w:r>
      <w:r w:rsidR="00F92A6B">
        <w:rPr>
          <w:lang w:val="en-US"/>
        </w:rPr>
        <w:t xml:space="preserve">In section 2 I will lay out the safety condition and the kind of luck that it seeks to eliminate from the realm of knowledge. In section 3 </w:t>
      </w:r>
      <w:r w:rsidR="008D1A2A">
        <w:rPr>
          <w:lang w:val="en-US"/>
        </w:rPr>
        <w:t xml:space="preserve">I will </w:t>
      </w:r>
      <w:r w:rsidR="00F92A6B">
        <w:rPr>
          <w:lang w:val="en-US"/>
        </w:rPr>
        <w:t xml:space="preserve">present Carter’s argument for the tension between the safety condition and the extended mind thesis. In section 4 I will </w:t>
      </w:r>
      <w:r w:rsidR="008D1A2A">
        <w:rPr>
          <w:lang w:val="en-US"/>
        </w:rPr>
        <w:t xml:space="preserve">argue that by </w:t>
      </w:r>
      <w:r w:rsidR="00A6785D">
        <w:rPr>
          <w:lang w:val="en-US"/>
        </w:rPr>
        <w:t xml:space="preserve">recognizing that the safety condition must be globalized </w:t>
      </w:r>
      <w:r w:rsidR="009F5A1F">
        <w:rPr>
          <w:lang w:val="en-US"/>
        </w:rPr>
        <w:t>to a set of propositions we are</w:t>
      </w:r>
      <w:r w:rsidR="008D1A2A">
        <w:rPr>
          <w:lang w:val="en-US"/>
        </w:rPr>
        <w:t xml:space="preserve"> able to dismiss Carter’s argument for the apparent tension between safety-based theories of knowle</w:t>
      </w:r>
      <w:r w:rsidR="009F5A1F">
        <w:rPr>
          <w:lang w:val="en-US"/>
        </w:rPr>
        <w:t>dge and the m-parity principle</w:t>
      </w:r>
      <w:r w:rsidR="008D1A2A">
        <w:rPr>
          <w:lang w:val="en-US"/>
        </w:rPr>
        <w:t>.</w:t>
      </w:r>
      <w:r w:rsidR="009F5A1F">
        <w:rPr>
          <w:lang w:val="en-US"/>
        </w:rPr>
        <w:t xml:space="preserve"> In </w:t>
      </w:r>
      <w:r w:rsidR="00F92A6B">
        <w:rPr>
          <w:lang w:val="en-US"/>
        </w:rPr>
        <w:t xml:space="preserve">section 5 I will argue that in </w:t>
      </w:r>
      <w:r w:rsidR="009F5A1F">
        <w:rPr>
          <w:lang w:val="en-US"/>
        </w:rPr>
        <w:t>order to dissolve the tension between safety-based theories and the e-parity principle we need to relativize the safety condition to virtuo</w:t>
      </w:r>
      <w:r w:rsidR="006D622C">
        <w:rPr>
          <w:lang w:val="en-US"/>
        </w:rPr>
        <w:t xml:space="preserve">us methods of belief </w:t>
      </w:r>
      <w:r w:rsidR="00F92A6B">
        <w:rPr>
          <w:lang w:val="en-US"/>
        </w:rPr>
        <w:t xml:space="preserve">formation </w:t>
      </w:r>
      <w:r w:rsidR="009F5A1F">
        <w:rPr>
          <w:lang w:val="en-US"/>
        </w:rPr>
        <w:t>that the subject uses in the actual world.</w:t>
      </w:r>
      <w:r w:rsidR="008D1A2A">
        <w:rPr>
          <w:lang w:val="en-US"/>
        </w:rPr>
        <w:t xml:space="preserve"> </w:t>
      </w:r>
      <w:r w:rsidR="00F92A6B">
        <w:rPr>
          <w:lang w:val="en-US"/>
        </w:rPr>
        <w:t xml:space="preserve">In </w:t>
      </w:r>
      <w:r w:rsidR="00F92A6B">
        <w:rPr>
          <w:lang w:val="en-US"/>
        </w:rPr>
        <w:lastRenderedPageBreak/>
        <w:t xml:space="preserve">section 6 I will argue contra Kelp </w:t>
      </w:r>
      <w:r w:rsidR="008D1A2A">
        <w:rPr>
          <w:lang w:val="en-US"/>
        </w:rPr>
        <w:t>that s</w:t>
      </w:r>
      <w:r>
        <w:rPr>
          <w:lang w:val="en-US"/>
        </w:rPr>
        <w:t>afety-based theories of knowledge are not hostage to the truth of the extend</w:t>
      </w:r>
      <w:r w:rsidR="008D1A2A">
        <w:rPr>
          <w:lang w:val="en-US"/>
        </w:rPr>
        <w:t>ed mind thesis</w:t>
      </w:r>
      <w:r w:rsidR="00F92A6B">
        <w:rPr>
          <w:lang w:val="en-US"/>
        </w:rPr>
        <w:t>.</w:t>
      </w:r>
      <w:r w:rsidR="00DC3FF9">
        <w:rPr>
          <w:lang w:val="en-US"/>
        </w:rPr>
        <w:t xml:space="preserve"> </w:t>
      </w:r>
    </w:p>
    <w:p w:rsidR="00B61E37" w:rsidRDefault="00B61E37" w:rsidP="00BF40F3">
      <w:pPr>
        <w:pStyle w:val="Luettelokappale"/>
        <w:numPr>
          <w:ilvl w:val="0"/>
          <w:numId w:val="1"/>
        </w:numPr>
        <w:spacing w:line="480" w:lineRule="auto"/>
        <w:jc w:val="both"/>
        <w:rPr>
          <w:lang w:val="en-US"/>
        </w:rPr>
      </w:pPr>
      <w:r>
        <w:rPr>
          <w:lang w:val="en-US"/>
        </w:rPr>
        <w:t>SAFETY AND EPISTEMIC LUCK</w:t>
      </w:r>
    </w:p>
    <w:p w:rsidR="00307470" w:rsidRDefault="00BA2482" w:rsidP="00BF40F3">
      <w:pPr>
        <w:spacing w:line="480" w:lineRule="auto"/>
        <w:jc w:val="both"/>
        <w:rPr>
          <w:lang w:val="en-US"/>
        </w:rPr>
      </w:pPr>
      <w:r>
        <w:rPr>
          <w:lang w:val="en-US"/>
        </w:rPr>
        <w:t>Before moving on,</w:t>
      </w:r>
      <w:r w:rsidR="00B61E37">
        <w:rPr>
          <w:lang w:val="en-US"/>
        </w:rPr>
        <w:t xml:space="preserve"> it is useful to have</w:t>
      </w:r>
      <w:r w:rsidR="00BC4266">
        <w:rPr>
          <w:lang w:val="en-US"/>
        </w:rPr>
        <w:t xml:space="preserve"> </w:t>
      </w:r>
      <w:r w:rsidR="00B61E37">
        <w:rPr>
          <w:lang w:val="en-US"/>
        </w:rPr>
        <w:t>a more precise account of the safety condition and the kind of luck that it aims to eliminate from the</w:t>
      </w:r>
      <w:r w:rsidR="001C1338">
        <w:rPr>
          <w:lang w:val="en-US"/>
        </w:rPr>
        <w:t xml:space="preserve"> realm of knowledge</w:t>
      </w:r>
      <w:r w:rsidR="00B61E37">
        <w:rPr>
          <w:lang w:val="en-US"/>
        </w:rPr>
        <w:t xml:space="preserve">. </w:t>
      </w:r>
      <w:r w:rsidR="003547D0">
        <w:rPr>
          <w:lang w:val="en-US"/>
        </w:rPr>
        <w:t xml:space="preserve">The safety condition </w:t>
      </w:r>
      <w:r w:rsidR="00A97480">
        <w:rPr>
          <w:lang w:val="en-US"/>
        </w:rPr>
        <w:t>is often put forward as an anti-luck condition for knowledge. As such, beliefs that are safe are supposed to be non-luckily true. In particular, the safety condition is motivated by the modal account of luck as developed by Pritchard. According to the modal account of luck</w:t>
      </w:r>
      <w:r>
        <w:rPr>
          <w:lang w:val="en-US"/>
        </w:rPr>
        <w:t>,</w:t>
      </w:r>
      <w:r w:rsidR="00A97480">
        <w:rPr>
          <w:lang w:val="en-US"/>
        </w:rPr>
        <w:t xml:space="preserve"> the fact that event E occurred is a matter of luck </w:t>
      </w:r>
      <w:r w:rsidR="006E3741">
        <w:rPr>
          <w:lang w:val="en-US"/>
        </w:rPr>
        <w:t>for subject S only if</w:t>
      </w:r>
      <w:r>
        <w:rPr>
          <w:lang w:val="en-US"/>
        </w:rPr>
        <w:t>:</w:t>
      </w:r>
    </w:p>
    <w:p w:rsidR="00C11E27" w:rsidRPr="006E3741" w:rsidRDefault="003547D0" w:rsidP="00BF40F3">
      <w:pPr>
        <w:pStyle w:val="Luettelokappale"/>
        <w:numPr>
          <w:ilvl w:val="0"/>
          <w:numId w:val="3"/>
        </w:numPr>
        <w:spacing w:line="480" w:lineRule="auto"/>
        <w:jc w:val="both"/>
        <w:rPr>
          <w:lang w:val="en-US"/>
        </w:rPr>
      </w:pPr>
      <w:r w:rsidRPr="006E3741">
        <w:rPr>
          <w:lang w:val="en-US"/>
        </w:rPr>
        <w:t>E occurs in the actual world but fails to occur in most nearby possible worlds where the relevant initial conditions for E are the same</w:t>
      </w:r>
      <w:r w:rsidR="00C11E27" w:rsidRPr="006E3741">
        <w:rPr>
          <w:lang w:val="en-US"/>
        </w:rPr>
        <w:t>, and,</w:t>
      </w:r>
      <w:r w:rsidRPr="006E3741">
        <w:rPr>
          <w:lang w:val="en-US"/>
        </w:rPr>
        <w:t xml:space="preserve"> </w:t>
      </w:r>
    </w:p>
    <w:p w:rsidR="003E0B13" w:rsidRDefault="003547D0" w:rsidP="00BF40F3">
      <w:pPr>
        <w:pStyle w:val="Luettelokappale"/>
        <w:numPr>
          <w:ilvl w:val="0"/>
          <w:numId w:val="3"/>
        </w:numPr>
        <w:spacing w:line="480" w:lineRule="auto"/>
        <w:jc w:val="both"/>
        <w:rPr>
          <w:lang w:val="en-US"/>
        </w:rPr>
      </w:pPr>
      <w:r w:rsidRPr="00C11E27">
        <w:rPr>
          <w:lang w:val="en-US"/>
        </w:rPr>
        <w:t xml:space="preserve">E </w:t>
      </w:r>
      <w:r w:rsidR="00C11E27" w:rsidRPr="00C11E27">
        <w:rPr>
          <w:lang w:val="en-US"/>
        </w:rPr>
        <w:t xml:space="preserve">is a significant event for S </w:t>
      </w:r>
      <w:r w:rsidR="00C11E27" w:rsidRPr="00C11E27">
        <w:rPr>
          <w:lang w:val="en-US"/>
        </w:rPr>
        <w:fldChar w:fldCharType="begin"/>
      </w:r>
      <w:r w:rsidR="00FF3D30">
        <w:rPr>
          <w:lang w:val="en-US"/>
        </w:rPr>
        <w:instrText xml:space="preserve"> ADDIN EN.CITE &lt;EndNote&gt;&lt;Cite&gt;&lt;Author&gt;Pritchard&lt;/Author&gt;&lt;Year&gt;2005&lt;/Year&gt;&lt;RecNum&gt;757&lt;/RecNum&gt;&lt;Pages&gt;129`, 132&lt;/Pages&gt;&lt;DisplayText&gt;(Pritchard, 2005, pp. 129, 132)&lt;/DisplayText&gt;&lt;record&gt;&lt;rec-number&gt;757&lt;/rec-number&gt;&lt;foreign-keys&gt;&lt;key app="EN" db-id="0vpawwrfrtdxzge9z5uvtw9lxxsetrv5095d" timestamp="1420634862"&gt;757&lt;/key&gt;&lt;/foreign-keys&gt;&lt;ref-type name="Book"&gt;6&lt;/ref-type&gt;&lt;contributors&gt;&lt;authors&gt;&lt;author&gt;Pritchard, D.&lt;/author&gt;&lt;/authors&gt;&lt;/contributors&gt;&lt;titles&gt;&lt;title&gt;Epistemic Luck&lt;/title&gt;&lt;/titles&gt;&lt;dates&gt;&lt;year&gt;2005&lt;/year&gt;&lt;/dates&gt;&lt;pub-location&gt;Oxford&lt;/pub-location&gt;&lt;publisher&gt;Oxford University Press&lt;/publisher&gt;&lt;urls&gt;&lt;/urls&gt;&lt;/record&gt;&lt;/Cite&gt;&lt;/EndNote&gt;</w:instrText>
      </w:r>
      <w:r w:rsidR="00C11E27" w:rsidRPr="00C11E27">
        <w:rPr>
          <w:lang w:val="en-US"/>
        </w:rPr>
        <w:fldChar w:fldCharType="separate"/>
      </w:r>
      <w:r w:rsidR="00C11E27" w:rsidRPr="00C11E27">
        <w:rPr>
          <w:noProof/>
          <w:lang w:val="en-US"/>
        </w:rPr>
        <w:t>(Pritchard, 2005, pp. 129, 132)</w:t>
      </w:r>
      <w:r w:rsidR="00C11E27" w:rsidRPr="00C11E27">
        <w:rPr>
          <w:lang w:val="en-US"/>
        </w:rPr>
        <w:fldChar w:fldCharType="end"/>
      </w:r>
      <w:r w:rsidR="00C11E27" w:rsidRPr="00C11E27">
        <w:rPr>
          <w:lang w:val="en-US"/>
        </w:rPr>
        <w:t>.</w:t>
      </w:r>
      <w:r w:rsidR="00C11E27">
        <w:rPr>
          <w:rStyle w:val="Alaviitteenviite"/>
          <w:lang w:val="en-US"/>
        </w:rPr>
        <w:footnoteReference w:id="3"/>
      </w:r>
    </w:p>
    <w:p w:rsidR="00C11E27" w:rsidRPr="006D622C" w:rsidRDefault="001C1338" w:rsidP="00BF40F3">
      <w:pPr>
        <w:spacing w:line="480" w:lineRule="auto"/>
        <w:jc w:val="both"/>
        <w:rPr>
          <w:lang w:val="en-US"/>
        </w:rPr>
      </w:pPr>
      <w:r>
        <w:rPr>
          <w:lang w:val="en-US"/>
        </w:rPr>
        <w:t>On this account</w:t>
      </w:r>
      <w:r w:rsidR="00BA2482">
        <w:rPr>
          <w:lang w:val="en-US"/>
        </w:rPr>
        <w:t>,</w:t>
      </w:r>
      <w:r>
        <w:rPr>
          <w:lang w:val="en-US"/>
        </w:rPr>
        <w:t xml:space="preserve"> a belief is true as a matter of luck only if it is true in the actual world but false in most nearby</w:t>
      </w:r>
      <w:r w:rsidR="007767E1">
        <w:rPr>
          <w:lang w:val="en-US"/>
        </w:rPr>
        <w:t xml:space="preserve"> possible worlds where formed on</w:t>
      </w:r>
      <w:r>
        <w:rPr>
          <w:lang w:val="en-US"/>
        </w:rPr>
        <w:t xml:space="preserve"> the same basis. Notice that when considering whether a belief is true as a matter of luck condition (ii) is automatically satisfied, since all true beliefs are (a</w:t>
      </w:r>
      <w:r w:rsidR="007767E1">
        <w:rPr>
          <w:lang w:val="en-US"/>
        </w:rPr>
        <w:t xml:space="preserve">t least somewhat) </w:t>
      </w:r>
      <w:r>
        <w:rPr>
          <w:lang w:val="en-US"/>
        </w:rPr>
        <w:t>significant. Even though the modal account of luck delivers correct verdicts regarding a wide range of cases</w:t>
      </w:r>
      <w:r w:rsidR="00BA2482">
        <w:rPr>
          <w:lang w:val="en-US"/>
        </w:rPr>
        <w:t>,</w:t>
      </w:r>
      <w:r>
        <w:rPr>
          <w:lang w:val="en-US"/>
        </w:rPr>
        <w:t xml:space="preserve"> there is reason to </w:t>
      </w:r>
      <w:r w:rsidR="00242DF4">
        <w:rPr>
          <w:lang w:val="en-US"/>
        </w:rPr>
        <w:t>believe that its focus is too narrow in that it asks us to consider only the modal profile of the event that occurred in the actual world when considering whether the occurrence of that event is a matter of luck for the subject. To see why it is necessary to consider the moda</w:t>
      </w:r>
      <w:r w:rsidR="009F5A1F">
        <w:rPr>
          <w:lang w:val="en-US"/>
        </w:rPr>
        <w:t>l profile of other</w:t>
      </w:r>
      <w:r w:rsidR="00242DF4">
        <w:rPr>
          <w:lang w:val="en-US"/>
        </w:rPr>
        <w:t xml:space="preserve"> </w:t>
      </w:r>
      <w:r w:rsidR="003C31A0">
        <w:rPr>
          <w:lang w:val="en-US"/>
        </w:rPr>
        <w:t>similar events that are</w:t>
      </w:r>
      <w:r w:rsidR="00242DF4">
        <w:rPr>
          <w:lang w:val="en-US"/>
        </w:rPr>
        <w:t xml:space="preserve"> </w:t>
      </w:r>
      <w:r w:rsidR="003C31A0">
        <w:rPr>
          <w:lang w:val="en-US"/>
        </w:rPr>
        <w:t>equally significant</w:t>
      </w:r>
      <w:r w:rsidR="00242DF4">
        <w:rPr>
          <w:lang w:val="en-US"/>
        </w:rPr>
        <w:t xml:space="preserve">, consider the following </w:t>
      </w:r>
      <w:r w:rsidR="00242DF4" w:rsidRPr="006D622C">
        <w:rPr>
          <w:lang w:val="en-US"/>
        </w:rPr>
        <w:t>case</w:t>
      </w:r>
      <w:r w:rsidR="0052698F" w:rsidRPr="006D622C">
        <w:rPr>
          <w:lang w:val="en-US"/>
        </w:rPr>
        <w:t xml:space="preserve"> offered by </w:t>
      </w:r>
      <w:r w:rsidR="0052698F" w:rsidRPr="006D622C">
        <w:rPr>
          <w:lang w:val="en-US"/>
        </w:rPr>
        <w:fldChar w:fldCharType="begin"/>
      </w:r>
      <w:r w:rsidR="00FF3D30">
        <w:rPr>
          <w:lang w:val="en-US"/>
        </w:rPr>
        <w:instrText xml:space="preserve"> ADDIN EN.CITE &lt;EndNote&gt;&lt;Cite AuthorYear="1"&gt;&lt;Author&gt;Coffman&lt;/Author&gt;&lt;Year&gt;2007&lt;/Year&gt;&lt;RecNum&gt;438&lt;/RecNum&gt;&lt;Pages&gt;395-6&lt;/Pages&gt;&lt;DisplayText&gt;Coffman (2007, pp. 395-396)&lt;/DisplayText&gt;&lt;record&gt;&lt;rec-number&gt;438&lt;/rec-number&gt;&lt;foreign-keys&gt;&lt;key app="EN" db-id="0vpawwrfrtdxzge9z5uvtw9lxxsetrv5095d" timestamp="1418730522"&gt;438&lt;/key&gt;&lt;/foreign-keys&gt;&lt;ref-type name="Journal Article"&gt;17&lt;/ref-type&gt;&lt;contributors&gt;&lt;authors&gt;&lt;author&gt;Coffman, E. J.&lt;/author&gt;&lt;/authors&gt;&lt;/contributors&gt;&lt;titles&gt;&lt;title&gt;Thinking about luck&lt;/title&gt;&lt;secondary-title&gt;Synthese&lt;/secondary-title&gt;&lt;/titles&gt;&lt;periodical&gt;&lt;full-title&gt;Synthese&lt;/full-title&gt;&lt;/periodical&gt;&lt;pages&gt;385-398&lt;/pages&gt;&lt;volume&gt;158&lt;/volume&gt;&lt;number&gt;3&lt;/number&gt;&lt;dates&gt;&lt;year&gt;2007&lt;/year&gt;&lt;pub-dates&gt;&lt;date&gt;Oct&lt;/date&gt;&lt;/pub-dates&gt;&lt;/dates&gt;&lt;isbn&gt;0039-7857&lt;/isbn&gt;&lt;accession-num&gt;WOS:000249658200009&lt;/accession-num&gt;&lt;urls&gt;&lt;related-urls&gt;&lt;url&gt;&amp;lt;Go to ISI&amp;gt;://WOS:000249658200009&lt;/url&gt;&lt;/related-urls&gt;&lt;/urls&gt;&lt;electronic-resource-num&gt;10.1007/s11229-006-9046-8&lt;/electronic-resource-num&gt;&lt;/record&gt;&lt;/Cite&gt;&lt;/EndNote&gt;</w:instrText>
      </w:r>
      <w:r w:rsidR="0052698F" w:rsidRPr="006D622C">
        <w:rPr>
          <w:lang w:val="en-US"/>
        </w:rPr>
        <w:fldChar w:fldCharType="separate"/>
      </w:r>
      <w:r w:rsidR="0052698F" w:rsidRPr="006D622C">
        <w:rPr>
          <w:noProof/>
          <w:lang w:val="en-US"/>
        </w:rPr>
        <w:t>Coffman (2007, pp. 395-396)</w:t>
      </w:r>
      <w:r w:rsidR="0052698F" w:rsidRPr="006D622C">
        <w:rPr>
          <w:lang w:val="en-US"/>
        </w:rPr>
        <w:fldChar w:fldCharType="end"/>
      </w:r>
      <w:r w:rsidR="00242DF4" w:rsidRPr="006D622C">
        <w:rPr>
          <w:lang w:val="en-US"/>
        </w:rPr>
        <w:t>:</w:t>
      </w:r>
    </w:p>
    <w:p w:rsidR="00BA5C13" w:rsidRPr="006D622C" w:rsidRDefault="0052698F" w:rsidP="00BA5C13">
      <w:pPr>
        <w:spacing w:line="480" w:lineRule="auto"/>
        <w:ind w:left="1304" w:hanging="1304"/>
        <w:jc w:val="both"/>
        <w:rPr>
          <w:rFonts w:cs="Times New Roman"/>
          <w:lang w:val="en-US"/>
        </w:rPr>
      </w:pPr>
      <w:r w:rsidRPr="006D622C">
        <w:rPr>
          <w:lang w:val="en-US"/>
        </w:rPr>
        <w:t xml:space="preserve">GAME </w:t>
      </w:r>
      <w:r w:rsidR="00BA5C13" w:rsidRPr="006D622C">
        <w:rPr>
          <w:lang w:val="en-US"/>
        </w:rPr>
        <w:t xml:space="preserve">SHOW: </w:t>
      </w:r>
      <w:r w:rsidRPr="006D622C">
        <w:rPr>
          <w:rFonts w:cs="Times New Roman"/>
          <w:lang w:val="en-US"/>
        </w:rPr>
        <w:t>Suppose that S is on a game show, and that there was just before t no chance S would neither receive the prize concealed by Door 1 nor receive the prize concealed by Door 2. Now, let E1 be S’s receiving the prize</w:t>
      </w:r>
      <w:r w:rsidR="007A71F3" w:rsidRPr="006D622C">
        <w:rPr>
          <w:rFonts w:cs="Times New Roman"/>
          <w:lang w:val="en-US"/>
        </w:rPr>
        <w:t xml:space="preserve"> concealed by Door </w:t>
      </w:r>
      <w:r w:rsidR="007A71F3" w:rsidRPr="006D622C">
        <w:rPr>
          <w:rFonts w:cs="Times New Roman"/>
          <w:lang w:val="en-US"/>
        </w:rPr>
        <w:lastRenderedPageBreak/>
        <w:t>1, and let E</w:t>
      </w:r>
      <w:r w:rsidRPr="006D622C">
        <w:rPr>
          <w:rFonts w:cs="Times New Roman"/>
          <w:lang w:val="en-US"/>
        </w:rPr>
        <w:t xml:space="preserve">2 be S’s receiving the prize concealed by Door 2, where there is just before t only a small chance that E1 will occur at t. Further, suppose the prizes concealed by Doors 1 and 2 are equally good for S. Finally, suppose E1 occurs at </w:t>
      </w:r>
      <w:r w:rsidR="00BA5C13" w:rsidRPr="006D622C">
        <w:rPr>
          <w:rFonts w:cs="Times New Roman"/>
          <w:lang w:val="en-US"/>
        </w:rPr>
        <w:t>t.</w:t>
      </w:r>
    </w:p>
    <w:p w:rsidR="00BA5C13" w:rsidRPr="00BA5C13" w:rsidRDefault="00BA5C13" w:rsidP="00BF40F3">
      <w:pPr>
        <w:spacing w:line="480" w:lineRule="auto"/>
        <w:jc w:val="both"/>
        <w:rPr>
          <w:rFonts w:cs="Times New Roman"/>
          <w:color w:val="FF0000"/>
          <w:lang w:val="en-US"/>
        </w:rPr>
      </w:pPr>
      <w:r w:rsidRPr="006D622C">
        <w:rPr>
          <w:rFonts w:cs="Times New Roman"/>
          <w:lang w:val="en-US"/>
        </w:rPr>
        <w:t xml:space="preserve">Intuitively, S is not lucky in receiving the prize concealed by Door 1 </w:t>
      </w:r>
      <w:r w:rsidRPr="006D622C">
        <w:rPr>
          <w:rFonts w:cs="Times New Roman"/>
          <w:lang w:val="en-US"/>
        </w:rPr>
        <w:fldChar w:fldCharType="begin"/>
      </w:r>
      <w:r w:rsidR="00FF3D30">
        <w:rPr>
          <w:rFonts w:cs="Times New Roman"/>
          <w:lang w:val="en-US"/>
        </w:rPr>
        <w:instrText xml:space="preserve"> ADDIN EN.CITE &lt;EndNote&gt;&lt;Cite&gt;&lt;Author&gt;Coffman&lt;/Author&gt;&lt;Year&gt;2007&lt;/Year&gt;&lt;RecNum&gt;438&lt;/RecNum&gt;&lt;Pages&gt;396&lt;/Pages&gt;&lt;DisplayText&gt;(Coffman, 2007, p. 396)&lt;/DisplayText&gt;&lt;record&gt;&lt;rec-number&gt;438&lt;/rec-number&gt;&lt;foreign-keys&gt;&lt;key app="EN" db-id="0vpawwrfrtdxzge9z5uvtw9lxxsetrv5095d" timestamp="1418730522"&gt;438&lt;/key&gt;&lt;/foreign-keys&gt;&lt;ref-type name="Journal Article"&gt;17&lt;/ref-type&gt;&lt;contributors&gt;&lt;authors&gt;&lt;author&gt;Coffman, E. J.&lt;/author&gt;&lt;/authors&gt;&lt;/contributors&gt;&lt;titles&gt;&lt;title&gt;Thinking about luck&lt;/title&gt;&lt;secondary-title&gt;Synthese&lt;/secondary-title&gt;&lt;/titles&gt;&lt;periodical&gt;&lt;full-title&gt;Synthese&lt;/full-title&gt;&lt;/periodical&gt;&lt;pages&gt;385-398&lt;/pages&gt;&lt;volume&gt;158&lt;/volume&gt;&lt;number&gt;3&lt;/number&gt;&lt;dates&gt;&lt;year&gt;2007&lt;/year&gt;&lt;pub-dates&gt;&lt;date&gt;Oct&lt;/date&gt;&lt;/pub-dates&gt;&lt;/dates&gt;&lt;isbn&gt;0039-7857&lt;/isbn&gt;&lt;accession-num&gt;WOS:000249658200009&lt;/accession-num&gt;&lt;urls&gt;&lt;related-urls&gt;&lt;url&gt;&amp;lt;Go to ISI&amp;gt;://WOS:000249658200009&lt;/url&gt;&lt;/related-urls&gt;&lt;/urls&gt;&lt;electronic-resource-num&gt;10.1007/s11229-006-9046-8&lt;/electronic-resource-num&gt;&lt;/record&gt;&lt;/Cite&gt;&lt;/EndNote&gt;</w:instrText>
      </w:r>
      <w:r w:rsidRPr="006D622C">
        <w:rPr>
          <w:rFonts w:cs="Times New Roman"/>
          <w:lang w:val="en-US"/>
        </w:rPr>
        <w:fldChar w:fldCharType="separate"/>
      </w:r>
      <w:r w:rsidRPr="006D622C">
        <w:rPr>
          <w:rFonts w:cs="Times New Roman"/>
          <w:noProof/>
          <w:lang w:val="en-US"/>
        </w:rPr>
        <w:t>(Coffman, 2007, p. 396)</w:t>
      </w:r>
      <w:r w:rsidRPr="006D622C">
        <w:rPr>
          <w:rFonts w:cs="Times New Roman"/>
          <w:lang w:val="en-US"/>
        </w:rPr>
        <w:fldChar w:fldCharType="end"/>
      </w:r>
      <w:r w:rsidRPr="006D622C">
        <w:rPr>
          <w:rFonts w:cs="Times New Roman"/>
          <w:lang w:val="en-US"/>
        </w:rPr>
        <w:t>. This is because in the vast majority of nearby possible worlds S receives the prize concealed by Door 2, and that prize would have been just as good for S.</w:t>
      </w:r>
      <w:r>
        <w:rPr>
          <w:rFonts w:cs="Times New Roman"/>
          <w:color w:val="FF0000"/>
          <w:lang w:val="en-US"/>
        </w:rPr>
        <w:t xml:space="preserve"> </w:t>
      </w:r>
      <w:r>
        <w:rPr>
          <w:lang w:val="en-US"/>
        </w:rPr>
        <w:t>In order to deal with this case we need to reformulate condition (i) as follows:</w:t>
      </w:r>
    </w:p>
    <w:p w:rsidR="00302F56" w:rsidRDefault="003F0D5B" w:rsidP="00BF40F3">
      <w:pPr>
        <w:spacing w:line="480" w:lineRule="auto"/>
        <w:ind w:left="360"/>
        <w:jc w:val="both"/>
        <w:rPr>
          <w:lang w:val="en-US"/>
        </w:rPr>
      </w:pPr>
      <w:r>
        <w:rPr>
          <w:lang w:val="en-US"/>
        </w:rPr>
        <w:t>(</w:t>
      </w:r>
      <w:r w:rsidR="00302F56">
        <w:rPr>
          <w:lang w:val="en-US"/>
        </w:rPr>
        <w:t>i)* E occu</w:t>
      </w:r>
      <w:r w:rsidR="004031A5">
        <w:rPr>
          <w:lang w:val="en-US"/>
        </w:rPr>
        <w:t xml:space="preserve">rs in the actual world and </w:t>
      </w:r>
      <w:r w:rsidR="00BA2482">
        <w:rPr>
          <w:lang w:val="en-US"/>
        </w:rPr>
        <w:t>neither it</w:t>
      </w:r>
      <w:r w:rsidR="004031A5">
        <w:rPr>
          <w:lang w:val="en-US"/>
        </w:rPr>
        <w:t xml:space="preserve"> </w:t>
      </w:r>
      <w:r w:rsidR="00680CFA">
        <w:rPr>
          <w:lang w:val="en-US"/>
        </w:rPr>
        <w:t>n</w:t>
      </w:r>
      <w:r w:rsidR="00302F56">
        <w:rPr>
          <w:lang w:val="en-US"/>
        </w:rPr>
        <w:t xml:space="preserve">or any event </w:t>
      </w:r>
      <w:r w:rsidR="004031A5">
        <w:rPr>
          <w:lang w:val="en-US"/>
        </w:rPr>
        <w:t xml:space="preserve">E* </w:t>
      </w:r>
      <w:r w:rsidR="00302F56">
        <w:rPr>
          <w:lang w:val="en-US"/>
        </w:rPr>
        <w:t xml:space="preserve">that </w:t>
      </w:r>
      <w:r w:rsidR="00D02915" w:rsidRPr="006D622C">
        <w:rPr>
          <w:lang w:val="en-US"/>
        </w:rPr>
        <w:t xml:space="preserve">is of the same type </w:t>
      </w:r>
      <w:r w:rsidR="00302F56">
        <w:rPr>
          <w:lang w:val="en-US"/>
        </w:rPr>
        <w:t xml:space="preserve">and </w:t>
      </w:r>
      <w:r w:rsidR="004031A5">
        <w:rPr>
          <w:lang w:val="en-US"/>
        </w:rPr>
        <w:t>at leas</w:t>
      </w:r>
      <w:r w:rsidR="00E461B0">
        <w:rPr>
          <w:lang w:val="en-US"/>
        </w:rPr>
        <w:t xml:space="preserve">t as significant to S, </w:t>
      </w:r>
      <w:r w:rsidR="004031A5">
        <w:rPr>
          <w:lang w:val="en-US"/>
        </w:rPr>
        <w:t>occur</w:t>
      </w:r>
      <w:r w:rsidR="00E461B0">
        <w:rPr>
          <w:lang w:val="en-US"/>
        </w:rPr>
        <w:t>s</w:t>
      </w:r>
      <w:r w:rsidR="00302F56">
        <w:rPr>
          <w:lang w:val="en-US"/>
        </w:rPr>
        <w:t xml:space="preserve"> in most nearby possible worlds where the relevant initial conditions for E are the same.</w:t>
      </w:r>
      <w:r w:rsidR="00D45991">
        <w:rPr>
          <w:rStyle w:val="Alaviitteenviite"/>
          <w:lang w:val="en-US"/>
        </w:rPr>
        <w:footnoteReference w:id="4"/>
      </w:r>
    </w:p>
    <w:p w:rsidR="00E851E9" w:rsidRPr="006D622C" w:rsidRDefault="00D02915" w:rsidP="00BF40F3">
      <w:pPr>
        <w:spacing w:line="480" w:lineRule="auto"/>
        <w:jc w:val="both"/>
        <w:rPr>
          <w:lang w:val="en-US"/>
        </w:rPr>
      </w:pPr>
      <w:r w:rsidRPr="006D622C">
        <w:rPr>
          <w:lang w:val="en-US"/>
        </w:rPr>
        <w:t>The reformulation of the modal account of luck can also be motivated by considering the metaphysics of events. It is plausible to think that events are partially individuated in term</w:t>
      </w:r>
      <w:r w:rsidR="00E851E9" w:rsidRPr="006D622C">
        <w:rPr>
          <w:lang w:val="en-US"/>
        </w:rPr>
        <w:t xml:space="preserve">s of the </w:t>
      </w:r>
      <w:r w:rsidRPr="006D622C">
        <w:rPr>
          <w:lang w:val="en-US"/>
        </w:rPr>
        <w:t xml:space="preserve">time when they occur. </w:t>
      </w:r>
      <w:r w:rsidR="00FF4B57" w:rsidRPr="006D622C">
        <w:rPr>
          <w:lang w:val="en-US"/>
        </w:rPr>
        <w:t>For example, o</w:t>
      </w:r>
      <w:r w:rsidRPr="006D622C">
        <w:rPr>
          <w:lang w:val="en-US"/>
        </w:rPr>
        <w:t xml:space="preserve">n the property exemplification account of </w:t>
      </w:r>
      <w:r w:rsidR="00CD5870" w:rsidRPr="006D622C">
        <w:rPr>
          <w:lang w:val="en-US"/>
        </w:rPr>
        <w:t>events an “</w:t>
      </w:r>
      <w:r w:rsidR="00CD5870" w:rsidRPr="006D622C">
        <w:rPr>
          <w:rFonts w:cs="Times New Roman"/>
          <w:lang w:val="en-US"/>
        </w:rPr>
        <w:t xml:space="preserve">event (or state) is a structure consisting of a substance (an </w:t>
      </w:r>
      <w:r w:rsidR="00CD5870" w:rsidRPr="006D622C">
        <w:rPr>
          <w:rFonts w:cs="Times New Roman"/>
          <w:i/>
          <w:lang w:val="en-US"/>
        </w:rPr>
        <w:t>n</w:t>
      </w:r>
      <w:r w:rsidR="00CD5870" w:rsidRPr="006D622C">
        <w:rPr>
          <w:rFonts w:cs="Times New Roman"/>
          <w:lang w:val="en-US"/>
        </w:rPr>
        <w:t xml:space="preserve">-tuple of substances), a property (an </w:t>
      </w:r>
      <w:r w:rsidR="00CD5870" w:rsidRPr="006D622C">
        <w:rPr>
          <w:rFonts w:cs="Times New Roman"/>
          <w:i/>
          <w:lang w:val="en-US"/>
        </w:rPr>
        <w:t>n</w:t>
      </w:r>
      <w:r w:rsidR="00CD5870" w:rsidRPr="006D622C">
        <w:rPr>
          <w:rFonts w:cs="Times New Roman"/>
          <w:lang w:val="en-US"/>
        </w:rPr>
        <w:t xml:space="preserve">-adic relational attribute), and a time” </w:t>
      </w:r>
      <w:r w:rsidR="00CD5870" w:rsidRPr="006D622C">
        <w:rPr>
          <w:rFonts w:cs="Times New Roman"/>
          <w:lang w:val="en-US"/>
        </w:rPr>
        <w:fldChar w:fldCharType="begin"/>
      </w:r>
      <w:r w:rsidR="00CD5870" w:rsidRPr="006D622C">
        <w:rPr>
          <w:rFonts w:cs="Times New Roman"/>
          <w:lang w:val="en-US"/>
        </w:rPr>
        <w:instrText xml:space="preserve"> ADDIN EN.CITE &lt;EndNote&gt;&lt;Cite&gt;&lt;Author&gt;Kim&lt;/Author&gt;&lt;Year&gt;1976&lt;/Year&gt;&lt;RecNum&gt;1795&lt;/RecNum&gt;&lt;Pages&gt;160&lt;/Pages&gt;&lt;DisplayText&gt;(Kim, 1976, p. 160)&lt;/DisplayText&gt;&lt;record&gt;&lt;rec-number&gt;1795&lt;/rec-number&gt;&lt;foreign-keys&gt;&lt;key app="EN" db-id="zssxtt0s2vdexiew5ezv9tfgspsw2rfddrf0" timestamp="1526984051"&gt;1795&lt;/key&gt;&lt;/foreign-keys&gt;&lt;ref-type name="Book Section"&gt;5&lt;/ref-type&gt;&lt;contributors&gt;&lt;authors&gt;&lt;author&gt;Kim, J.&lt;/author&gt;&lt;/authors&gt;&lt;secondary-authors&gt;&lt;author&gt;Brand, M.&lt;/author&gt;&lt;author&gt;Walton, D.&lt;/author&gt;&lt;/secondary-authors&gt;&lt;/contributors&gt;&lt;titles&gt;&lt;title&gt;Events as Property Exemplifications&lt;/title&gt;&lt;secondary-title&gt;Action Theory: Proceedings of the Winnipeg Conference on Human Action &lt;/secondary-title&gt;&lt;/titles&gt;&lt;pages&gt;159-177&lt;/pages&gt;&lt;dates&gt;&lt;year&gt;1976&lt;/year&gt;&lt;/dates&gt;&lt;pub-location&gt;Dordecht&lt;/pub-location&gt;&lt;publisher&gt;Springer&lt;/publisher&gt;&lt;urls&gt;&lt;/urls&gt;&lt;/record&gt;&lt;/Cite&gt;&lt;/EndNote&gt;</w:instrText>
      </w:r>
      <w:r w:rsidR="00CD5870" w:rsidRPr="006D622C">
        <w:rPr>
          <w:rFonts w:cs="Times New Roman"/>
          <w:lang w:val="en-US"/>
        </w:rPr>
        <w:fldChar w:fldCharType="separate"/>
      </w:r>
      <w:r w:rsidR="00CD5870" w:rsidRPr="006D622C">
        <w:rPr>
          <w:rFonts w:cs="Times New Roman"/>
          <w:noProof/>
          <w:lang w:val="en-US"/>
        </w:rPr>
        <w:t>(Kim, 1976, p. 160)</w:t>
      </w:r>
      <w:r w:rsidR="00CD5870" w:rsidRPr="006D622C">
        <w:rPr>
          <w:rFonts w:cs="Times New Roman"/>
          <w:lang w:val="en-US"/>
        </w:rPr>
        <w:fldChar w:fldCharType="end"/>
      </w:r>
      <w:r w:rsidR="00CD5870" w:rsidRPr="006D622C">
        <w:rPr>
          <w:rFonts w:cs="Times New Roman"/>
          <w:lang w:val="en-US"/>
        </w:rPr>
        <w:t>.</w:t>
      </w:r>
      <w:r w:rsidR="00CD5870" w:rsidRPr="006D622C">
        <w:rPr>
          <w:lang w:val="en-US"/>
        </w:rPr>
        <w:t xml:space="preserve"> </w:t>
      </w:r>
      <w:r w:rsidRPr="006D622C">
        <w:rPr>
          <w:lang w:val="en-US"/>
        </w:rPr>
        <w:t>On this account two events are the same just in case</w:t>
      </w:r>
      <w:r w:rsidR="00917823" w:rsidRPr="006D622C">
        <w:rPr>
          <w:lang w:val="en-US"/>
        </w:rPr>
        <w:t xml:space="preserve"> they are identical with respect to the substance, property and </w:t>
      </w:r>
      <w:r w:rsidR="001C5186" w:rsidRPr="006D622C">
        <w:rPr>
          <w:lang w:val="en-US"/>
        </w:rPr>
        <w:t>time</w:t>
      </w:r>
      <w:r w:rsidR="00917823" w:rsidRPr="006D622C">
        <w:rPr>
          <w:lang w:val="en-US"/>
        </w:rPr>
        <w:t>.</w:t>
      </w:r>
    </w:p>
    <w:p w:rsidR="00E851E9" w:rsidRPr="006D622C" w:rsidRDefault="00FF4B57" w:rsidP="00BF40F3">
      <w:pPr>
        <w:spacing w:line="480" w:lineRule="auto"/>
        <w:jc w:val="both"/>
        <w:rPr>
          <w:lang w:val="en-US"/>
        </w:rPr>
      </w:pPr>
      <w:r w:rsidRPr="006D622C">
        <w:rPr>
          <w:lang w:val="en-US"/>
        </w:rPr>
        <w:t>To see how this account of events motivates condition (i)*</w:t>
      </w:r>
      <w:r w:rsidR="00E851E9" w:rsidRPr="006D622C">
        <w:rPr>
          <w:lang w:val="en-US"/>
        </w:rPr>
        <w:t>,</w:t>
      </w:r>
      <w:r w:rsidRPr="006D622C">
        <w:rPr>
          <w:lang w:val="en-US"/>
        </w:rPr>
        <w:t xml:space="preserve"> assume that an event E</w:t>
      </w:r>
      <w:r w:rsidRPr="006D622C">
        <w:rPr>
          <w:vertAlign w:val="superscript"/>
          <w:lang w:val="en-US"/>
        </w:rPr>
        <w:t>1</w:t>
      </w:r>
      <w:r w:rsidRPr="006D622C">
        <w:rPr>
          <w:lang w:val="en-US"/>
        </w:rPr>
        <w:t xml:space="preserve"> which is significant to S occurs in the actual world at t</w:t>
      </w:r>
      <w:r w:rsidRPr="006D622C">
        <w:rPr>
          <w:vertAlign w:val="superscript"/>
          <w:lang w:val="en-US"/>
        </w:rPr>
        <w:t>1</w:t>
      </w:r>
      <w:r w:rsidRPr="006D622C">
        <w:rPr>
          <w:lang w:val="en-US"/>
        </w:rPr>
        <w:t>, but does not occur in most nearby possible worlds where the relevant initial conditions for E</w:t>
      </w:r>
      <w:r w:rsidRPr="006D622C">
        <w:rPr>
          <w:vertAlign w:val="superscript"/>
          <w:lang w:val="en-US"/>
        </w:rPr>
        <w:t>1</w:t>
      </w:r>
      <w:r w:rsidRPr="006D622C">
        <w:rPr>
          <w:lang w:val="en-US"/>
        </w:rPr>
        <w:t xml:space="preserve"> are the same. </w:t>
      </w:r>
      <w:r w:rsidR="00D45991" w:rsidRPr="006D622C">
        <w:rPr>
          <w:lang w:val="en-US"/>
        </w:rPr>
        <w:t>A</w:t>
      </w:r>
      <w:r w:rsidRPr="006D622C">
        <w:rPr>
          <w:lang w:val="en-US"/>
        </w:rPr>
        <w:t xml:space="preserve">ssume </w:t>
      </w:r>
      <w:r w:rsidR="00D45991" w:rsidRPr="006D622C">
        <w:rPr>
          <w:lang w:val="en-US"/>
        </w:rPr>
        <w:t xml:space="preserve">also </w:t>
      </w:r>
      <w:r w:rsidRPr="006D622C">
        <w:rPr>
          <w:lang w:val="en-US"/>
        </w:rPr>
        <w:t>that in most nearby possible worlds (where the initial conditions for E</w:t>
      </w:r>
      <w:r w:rsidRPr="006D622C">
        <w:rPr>
          <w:vertAlign w:val="superscript"/>
          <w:lang w:val="en-US"/>
        </w:rPr>
        <w:t>1</w:t>
      </w:r>
      <w:r w:rsidRPr="006D622C">
        <w:rPr>
          <w:lang w:val="en-US"/>
        </w:rPr>
        <w:t xml:space="preserve"> stay the same) an event E</w:t>
      </w:r>
      <w:r w:rsidRPr="006D622C">
        <w:rPr>
          <w:vertAlign w:val="superscript"/>
          <w:lang w:val="en-US"/>
        </w:rPr>
        <w:t>2</w:t>
      </w:r>
      <w:r w:rsidRPr="006D622C">
        <w:rPr>
          <w:lang w:val="en-US"/>
        </w:rPr>
        <w:t xml:space="preserve"> that is equally significant to S as E</w:t>
      </w:r>
      <w:r w:rsidRPr="006D622C">
        <w:rPr>
          <w:vertAlign w:val="superscript"/>
          <w:lang w:val="en-US"/>
        </w:rPr>
        <w:t>1</w:t>
      </w:r>
      <w:r w:rsidRPr="006D622C">
        <w:rPr>
          <w:lang w:val="en-US"/>
        </w:rPr>
        <w:t xml:space="preserve"> </w:t>
      </w:r>
      <w:r w:rsidR="002C00E5" w:rsidRPr="006D622C">
        <w:rPr>
          <w:lang w:val="en-US"/>
        </w:rPr>
        <w:t xml:space="preserve">is </w:t>
      </w:r>
      <w:r w:rsidRPr="006D622C">
        <w:rPr>
          <w:lang w:val="en-US"/>
        </w:rPr>
        <w:t>and identical with respect to substance and property to E</w:t>
      </w:r>
      <w:r w:rsidRPr="006D622C">
        <w:rPr>
          <w:vertAlign w:val="superscript"/>
          <w:lang w:val="en-US"/>
        </w:rPr>
        <w:t>1</w:t>
      </w:r>
      <w:r w:rsidRPr="006D622C">
        <w:rPr>
          <w:lang w:val="en-US"/>
        </w:rPr>
        <w:t>, occurs at t</w:t>
      </w:r>
      <w:r w:rsidRPr="006D622C">
        <w:rPr>
          <w:vertAlign w:val="superscript"/>
          <w:lang w:val="en-US"/>
        </w:rPr>
        <w:t>2</w:t>
      </w:r>
      <w:r w:rsidRPr="006D622C">
        <w:rPr>
          <w:lang w:val="en-US"/>
        </w:rPr>
        <w:t xml:space="preserve">. </w:t>
      </w:r>
      <w:r w:rsidR="00D45991" w:rsidRPr="006D622C">
        <w:rPr>
          <w:lang w:val="en-US"/>
        </w:rPr>
        <w:t>On the original modal account of luck</w:t>
      </w:r>
      <w:r w:rsidR="00BA2482">
        <w:rPr>
          <w:lang w:val="en-US"/>
        </w:rPr>
        <w:t>,</w:t>
      </w:r>
      <w:r w:rsidR="00D45991" w:rsidRPr="006D622C">
        <w:rPr>
          <w:lang w:val="en-US"/>
        </w:rPr>
        <w:t xml:space="preserve"> the fact that E</w:t>
      </w:r>
      <w:r w:rsidR="00D45991" w:rsidRPr="006D622C">
        <w:rPr>
          <w:vertAlign w:val="superscript"/>
          <w:lang w:val="en-US"/>
        </w:rPr>
        <w:t>1</w:t>
      </w:r>
      <w:r w:rsidR="00D45991" w:rsidRPr="006D622C">
        <w:rPr>
          <w:lang w:val="en-US"/>
        </w:rPr>
        <w:t xml:space="preserve"> occurred in the actual world </w:t>
      </w:r>
      <w:r w:rsidR="00D45991" w:rsidRPr="006D622C">
        <w:rPr>
          <w:lang w:val="en-US"/>
        </w:rPr>
        <w:lastRenderedPageBreak/>
        <w:t xml:space="preserve">is a matter of luck for S. </w:t>
      </w:r>
      <w:r w:rsidRPr="006D622C">
        <w:rPr>
          <w:lang w:val="en-US"/>
        </w:rPr>
        <w:t>Given</w:t>
      </w:r>
      <w:r w:rsidR="00D45991" w:rsidRPr="006D622C">
        <w:rPr>
          <w:lang w:val="en-US"/>
        </w:rPr>
        <w:t>, however,</w:t>
      </w:r>
      <w:r w:rsidRPr="006D622C">
        <w:rPr>
          <w:lang w:val="en-US"/>
        </w:rPr>
        <w:t xml:space="preserve"> that the events E</w:t>
      </w:r>
      <w:r w:rsidRPr="006D622C">
        <w:rPr>
          <w:vertAlign w:val="superscript"/>
          <w:lang w:val="en-US"/>
        </w:rPr>
        <w:t xml:space="preserve">1 </w:t>
      </w:r>
      <w:r w:rsidRPr="006D622C">
        <w:rPr>
          <w:lang w:val="en-US"/>
        </w:rPr>
        <w:t>and E</w:t>
      </w:r>
      <w:r w:rsidRPr="006D622C">
        <w:rPr>
          <w:vertAlign w:val="superscript"/>
          <w:lang w:val="en-US"/>
        </w:rPr>
        <w:t xml:space="preserve">2 </w:t>
      </w:r>
      <w:r w:rsidRPr="006D622C">
        <w:rPr>
          <w:lang w:val="en-US"/>
        </w:rPr>
        <w:t>are very similar, and that there is only a small temporal interval between the E</w:t>
      </w:r>
      <w:r w:rsidRPr="006D622C">
        <w:rPr>
          <w:vertAlign w:val="superscript"/>
          <w:lang w:val="en-US"/>
        </w:rPr>
        <w:t xml:space="preserve">1 </w:t>
      </w:r>
      <w:r w:rsidRPr="006D622C">
        <w:rPr>
          <w:lang w:val="en-US"/>
        </w:rPr>
        <w:t>and E</w:t>
      </w:r>
      <w:r w:rsidRPr="006D622C">
        <w:rPr>
          <w:vertAlign w:val="superscript"/>
          <w:lang w:val="en-US"/>
        </w:rPr>
        <w:t>2</w:t>
      </w:r>
      <w:r w:rsidR="007063AB" w:rsidRPr="006D622C">
        <w:rPr>
          <w:lang w:val="en-US"/>
        </w:rPr>
        <w:t>, the modal profile of E</w:t>
      </w:r>
      <w:r w:rsidR="007063AB" w:rsidRPr="006D622C">
        <w:rPr>
          <w:vertAlign w:val="superscript"/>
          <w:lang w:val="en-US"/>
        </w:rPr>
        <w:t>2</w:t>
      </w:r>
      <w:r w:rsidR="007063AB" w:rsidRPr="006D622C">
        <w:rPr>
          <w:lang w:val="en-US"/>
        </w:rPr>
        <w:t xml:space="preserve"> is relevant when determining whether the fact that E</w:t>
      </w:r>
      <w:r w:rsidR="007063AB" w:rsidRPr="006D622C">
        <w:rPr>
          <w:vertAlign w:val="superscript"/>
          <w:lang w:val="en-US"/>
        </w:rPr>
        <w:t>1</w:t>
      </w:r>
      <w:r w:rsidR="007063AB" w:rsidRPr="006D622C">
        <w:rPr>
          <w:lang w:val="en-US"/>
        </w:rPr>
        <w:t xml:space="preserve"> occurred is a matter of luck for S.</w:t>
      </w:r>
      <w:r w:rsidR="00D45991" w:rsidRPr="006D622C">
        <w:rPr>
          <w:lang w:val="en-US"/>
        </w:rPr>
        <w:t xml:space="preserve"> Condition (i)* delivers the correct verdict that E</w:t>
      </w:r>
      <w:r w:rsidR="00D45991" w:rsidRPr="006D622C">
        <w:rPr>
          <w:vertAlign w:val="superscript"/>
          <w:lang w:val="en-US"/>
        </w:rPr>
        <w:t>1</w:t>
      </w:r>
      <w:r w:rsidR="00D45991" w:rsidRPr="006D622C">
        <w:rPr>
          <w:lang w:val="en-US"/>
        </w:rPr>
        <w:t xml:space="preserve"> is not a matter of luck for S, since an equally significant event of the same type could very easily have occurred in its stead.</w:t>
      </w:r>
    </w:p>
    <w:p w:rsidR="004031A5" w:rsidRPr="006D622C" w:rsidRDefault="00DC46D8" w:rsidP="00BF40F3">
      <w:pPr>
        <w:spacing w:line="480" w:lineRule="auto"/>
        <w:jc w:val="both"/>
        <w:rPr>
          <w:lang w:val="en-US"/>
        </w:rPr>
      </w:pPr>
      <w:r w:rsidRPr="006D622C">
        <w:rPr>
          <w:lang w:val="en-US"/>
        </w:rPr>
        <w:t>The</w:t>
      </w:r>
      <w:r w:rsidR="00302F56" w:rsidRPr="006D622C">
        <w:rPr>
          <w:lang w:val="en-US"/>
        </w:rPr>
        <w:t xml:space="preserve"> reformulation of the modal account of luck motivates a globalized safety condition, according to which a subject S’s true belief that </w:t>
      </w:r>
      <w:r w:rsidR="00302F56" w:rsidRPr="006D622C">
        <w:rPr>
          <w:i/>
          <w:lang w:val="en-US"/>
        </w:rPr>
        <w:t>p</w:t>
      </w:r>
      <w:r w:rsidR="0039145E" w:rsidRPr="006D622C">
        <w:rPr>
          <w:lang w:val="en-US"/>
        </w:rPr>
        <w:t>,</w:t>
      </w:r>
      <w:r w:rsidR="00302F56" w:rsidRPr="006D622C">
        <w:rPr>
          <w:lang w:val="en-US"/>
        </w:rPr>
        <w:t xml:space="preserve"> formed via</w:t>
      </w:r>
      <w:r w:rsidR="007767E1" w:rsidRPr="006D622C">
        <w:rPr>
          <w:lang w:val="en-US"/>
        </w:rPr>
        <w:t xml:space="preserve"> method M</w:t>
      </w:r>
      <w:r w:rsidR="0039145E" w:rsidRPr="006D622C">
        <w:rPr>
          <w:lang w:val="en-US"/>
        </w:rPr>
        <w:t>,</w:t>
      </w:r>
      <w:r w:rsidR="007767E1" w:rsidRPr="006D622C">
        <w:rPr>
          <w:lang w:val="en-US"/>
        </w:rPr>
        <w:t xml:space="preserve"> is safe only if S</w:t>
      </w:r>
      <w:r w:rsidR="004031A5" w:rsidRPr="006D622C">
        <w:rPr>
          <w:lang w:val="en-US"/>
        </w:rPr>
        <w:t xml:space="preserve"> could not easily have formed a false belief via M. More precisely:</w:t>
      </w:r>
    </w:p>
    <w:p w:rsidR="004031A5" w:rsidRPr="006D622C" w:rsidRDefault="004031A5" w:rsidP="00BF40F3">
      <w:pPr>
        <w:spacing w:line="480" w:lineRule="auto"/>
        <w:jc w:val="both"/>
        <w:rPr>
          <w:lang w:val="en-US"/>
        </w:rPr>
      </w:pPr>
      <w:r w:rsidRPr="006D622C">
        <w:rPr>
          <w:lang w:val="en-US"/>
        </w:rPr>
        <w:t xml:space="preserve">SAFETY: S’s belief that </w:t>
      </w:r>
      <w:r w:rsidRPr="006D622C">
        <w:rPr>
          <w:i/>
          <w:lang w:val="en-US"/>
        </w:rPr>
        <w:t>p</w:t>
      </w:r>
      <w:r w:rsidRPr="006D622C">
        <w:rPr>
          <w:lang w:val="en-US"/>
        </w:rPr>
        <w:t>, which belongs to a set of propositions</w:t>
      </w:r>
      <w:r w:rsidR="00680CFA" w:rsidRPr="006D622C">
        <w:rPr>
          <w:lang w:val="en-US"/>
        </w:rPr>
        <w:t xml:space="preserve"> </w:t>
      </w:r>
      <w:r w:rsidR="00680CFA" w:rsidRPr="006D622C">
        <w:rPr>
          <w:i/>
          <w:lang w:val="en-US"/>
        </w:rPr>
        <w:t>Q</w:t>
      </w:r>
      <w:r w:rsidR="00680CFA" w:rsidRPr="006D622C">
        <w:rPr>
          <w:lang w:val="en-US"/>
        </w:rPr>
        <w:t>, is safe if and only if</w:t>
      </w:r>
      <w:r w:rsidR="00EC69B7">
        <w:rPr>
          <w:lang w:val="en-US"/>
        </w:rPr>
        <w:t>:</w:t>
      </w:r>
    </w:p>
    <w:p w:rsidR="003E0B13" w:rsidRPr="006D622C" w:rsidRDefault="004031A5" w:rsidP="00BF40F3">
      <w:pPr>
        <w:pStyle w:val="Luettelokappale"/>
        <w:numPr>
          <w:ilvl w:val="0"/>
          <w:numId w:val="4"/>
        </w:numPr>
        <w:spacing w:line="480" w:lineRule="auto"/>
        <w:jc w:val="both"/>
        <w:rPr>
          <w:lang w:val="en-US"/>
        </w:rPr>
      </w:pPr>
      <w:r w:rsidRPr="006D622C">
        <w:rPr>
          <w:lang w:val="en-US"/>
        </w:rPr>
        <w:t xml:space="preserve">in most nearby possible worlds, and in all of the very closest possible worlds, where S believes in a proposition that belongs to </w:t>
      </w:r>
      <w:r w:rsidRPr="006D622C">
        <w:rPr>
          <w:i/>
          <w:lang w:val="en-US"/>
        </w:rPr>
        <w:t>Q</w:t>
      </w:r>
      <w:r w:rsidRPr="006D622C">
        <w:rPr>
          <w:lang w:val="en-US"/>
        </w:rPr>
        <w:t xml:space="preserve"> via the same method M that S uses in the actual world, S’s belief is true.</w:t>
      </w:r>
    </w:p>
    <w:p w:rsidR="00BF6E99" w:rsidRPr="006D622C" w:rsidRDefault="00810870" w:rsidP="00BF40F3">
      <w:pPr>
        <w:spacing w:line="480" w:lineRule="auto"/>
        <w:jc w:val="both"/>
        <w:rPr>
          <w:rFonts w:cs="Times New Roman"/>
          <w:lang w:val="en-US"/>
        </w:rPr>
      </w:pPr>
      <w:r w:rsidRPr="006D622C">
        <w:rPr>
          <w:lang w:val="en-US"/>
        </w:rPr>
        <w:t>T</w:t>
      </w:r>
      <w:r w:rsidR="00680CFA" w:rsidRPr="006D622C">
        <w:rPr>
          <w:lang w:val="en-US"/>
        </w:rPr>
        <w:t>he globalized version of the safety co</w:t>
      </w:r>
      <w:r w:rsidRPr="006D622C">
        <w:rPr>
          <w:lang w:val="en-US"/>
        </w:rPr>
        <w:t>ndition can be motivated</w:t>
      </w:r>
      <w:r w:rsidR="00680CFA" w:rsidRPr="006D622C">
        <w:rPr>
          <w:lang w:val="en-US"/>
        </w:rPr>
        <w:t xml:space="preserve"> by reflecting on the nature of luck. Therefore</w:t>
      </w:r>
      <w:r w:rsidR="00BA2482">
        <w:rPr>
          <w:lang w:val="en-US"/>
        </w:rPr>
        <w:t>,</w:t>
      </w:r>
      <w:r w:rsidR="00680CFA" w:rsidRPr="006D622C">
        <w:rPr>
          <w:lang w:val="en-US"/>
        </w:rPr>
        <w:t xml:space="preserve"> globalizing the safety condition to a set of propositions</w:t>
      </w:r>
      <w:r w:rsidR="00CF4485" w:rsidRPr="006D622C">
        <w:rPr>
          <w:lang w:val="en-US"/>
        </w:rPr>
        <w:t xml:space="preserve"> is not</w:t>
      </w:r>
      <w:r w:rsidR="003F0D5B" w:rsidRPr="006D622C">
        <w:rPr>
          <w:lang w:val="en-US"/>
        </w:rPr>
        <w:t xml:space="preserve"> </w:t>
      </w:r>
      <w:r w:rsidR="00680CFA" w:rsidRPr="006D622C">
        <w:rPr>
          <w:i/>
          <w:lang w:val="en-US"/>
        </w:rPr>
        <w:t>ad hoc</w:t>
      </w:r>
      <w:r w:rsidR="00680CFA" w:rsidRPr="006D622C">
        <w:rPr>
          <w:lang w:val="en-US"/>
        </w:rPr>
        <w:t xml:space="preserve">. </w:t>
      </w:r>
      <w:r w:rsidR="001C01E7" w:rsidRPr="006D622C">
        <w:rPr>
          <w:lang w:val="en-US"/>
        </w:rPr>
        <w:t>Moreover, t</w:t>
      </w:r>
      <w:r w:rsidRPr="006D622C">
        <w:rPr>
          <w:lang w:val="en-US"/>
        </w:rPr>
        <w:t>he motivation for globalizing the safety condition to a set of propositions does not stem only from considerations that have to do with epistemic luck.</w:t>
      </w:r>
      <w:r w:rsidR="003C0000" w:rsidRPr="006D622C">
        <w:rPr>
          <w:rStyle w:val="Alaviitteenviite"/>
          <w:lang w:val="en-US"/>
        </w:rPr>
        <w:footnoteReference w:id="5"/>
      </w:r>
      <w:r w:rsidRPr="006D622C">
        <w:rPr>
          <w:lang w:val="en-US"/>
        </w:rPr>
        <w:t xml:space="preserve"> Knowledge of propositions with singular content requires that the safety condition must be glob</w:t>
      </w:r>
      <w:r w:rsidR="00BF6E99" w:rsidRPr="006D622C">
        <w:rPr>
          <w:lang w:val="en-US"/>
        </w:rPr>
        <w:t>alized to a set of propositions</w:t>
      </w:r>
      <w:r w:rsidR="00225F89" w:rsidRPr="006D622C">
        <w:rPr>
          <w:lang w:val="en-US"/>
        </w:rPr>
        <w:t xml:space="preserve"> </w:t>
      </w:r>
      <w:r w:rsidR="00225F89" w:rsidRPr="006D622C">
        <w:rPr>
          <w:lang w:val="en-US"/>
        </w:rPr>
        <w:fldChar w:fldCharType="begin"/>
      </w:r>
      <w:r w:rsidR="00FF3D30">
        <w:rPr>
          <w:lang w:val="en-US"/>
        </w:rPr>
        <w:instrText xml:space="preserve"> ADDIN EN.CITE &lt;EndNote&gt;&lt;Cite&gt;&lt;Author&gt;Gendler&lt;/Author&gt;&lt;Year&gt;2005&lt;/Year&gt;&lt;RecNum&gt;1794&lt;/RecNum&gt;&lt;Pages&gt;333-4&lt;/Pages&gt;&lt;DisplayText&gt;(Gendler &amp;amp; Hawthorne, 2005, pp. 333-334; Hawthorne, 2004, p. 56)&lt;/DisplayText&gt;&lt;record&gt;&lt;rec-number&gt;1794&lt;/rec-number&gt;&lt;foreign-keys&gt;&lt;key app="EN" db-id="zssxtt0s2vdexiew5ezv9tfgspsw2rfddrf0" timestamp="1526976224"&gt;1794&lt;/key&gt;&lt;/foreign-keys&gt;&lt;ref-type name="Journal Article"&gt;17&lt;/ref-type&gt;&lt;contributors&gt;&lt;authors&gt;&lt;author&gt;Gendler, T.&lt;/author&gt;&lt;author&gt;Hawthorne, J.&lt;/author&gt;&lt;/authors&gt;&lt;/contributors&gt;&lt;titles&gt;&lt;title&gt;The Real Guide to Fake Barns: A Catalogue of Gifts for Your Epistemic Enemies&lt;/title&gt;&lt;secondary-title&gt;Philosophical Studies&lt;/secondary-title&gt;&lt;/titles&gt;&lt;periodical&gt;&lt;full-title&gt;Philosophical Studies&lt;/full-title&gt;&lt;/periodical&gt;&lt;pages&gt;331-352&lt;/pages&gt;&lt;volume&gt;123&lt;/volume&gt;&lt;number&gt;3&lt;/number&gt;&lt;dates&gt;&lt;year&gt;2005&lt;/year&gt;&lt;/dates&gt;&lt;urls&gt;&lt;/urls&gt;&lt;/record&gt;&lt;/Cite&gt;&lt;Cite&gt;&lt;Author&gt;Hawthorne&lt;/Author&gt;&lt;Year&gt;2004&lt;/Year&gt;&lt;RecNum&gt;1485&lt;/RecNum&gt;&lt;Pages&gt;56&lt;/Pages&gt;&lt;record&gt;&lt;rec-number&gt;1485&lt;/rec-number&gt;&lt;foreign-keys&gt;&lt;key app="EN" db-id="0vpawwrfrtdxzge9z5uvtw9lxxsetrv5095d" timestamp="1434455391"&gt;1485&lt;/key&gt;&lt;/foreign-keys&gt;&lt;ref-type name="Book"&gt;6&lt;/ref-type&gt;&lt;contributors&gt;&lt;authors&gt;&lt;author&gt;Hawthorne, J.&lt;/author&gt;&lt;/authors&gt;&lt;/contributors&gt;&lt;titles&gt;&lt;title&gt;Knowledge and Lotteries&lt;/title&gt;&lt;/titles&gt;&lt;dates&gt;&lt;year&gt;2004&lt;/year&gt;&lt;/dates&gt;&lt;pub-location&gt;New York&lt;/pub-location&gt;&lt;publisher&gt;Oxford University Press&lt;/publisher&gt;&lt;urls&gt;&lt;/urls&gt;&lt;/record&gt;&lt;/Cite&gt;&lt;/EndNote&gt;</w:instrText>
      </w:r>
      <w:r w:rsidR="00225F89" w:rsidRPr="006D622C">
        <w:rPr>
          <w:lang w:val="en-US"/>
        </w:rPr>
        <w:fldChar w:fldCharType="separate"/>
      </w:r>
      <w:r w:rsidR="00225F89" w:rsidRPr="006D622C">
        <w:rPr>
          <w:noProof/>
          <w:lang w:val="en-US"/>
        </w:rPr>
        <w:t>(Gendler &amp; Hawthorne, 2005, pp. 333-334; Hawthorne, 2004, p. 56)</w:t>
      </w:r>
      <w:r w:rsidR="00225F89" w:rsidRPr="006D622C">
        <w:rPr>
          <w:lang w:val="en-US"/>
        </w:rPr>
        <w:fldChar w:fldCharType="end"/>
      </w:r>
      <w:r w:rsidR="00BF6E99" w:rsidRPr="006D622C">
        <w:rPr>
          <w:lang w:val="en-US"/>
        </w:rPr>
        <w:t>. Rabinowitz, for example</w:t>
      </w:r>
      <w:r w:rsidR="001E6BB4" w:rsidRPr="006D622C">
        <w:rPr>
          <w:lang w:val="en-US"/>
        </w:rPr>
        <w:t>, writes that</w:t>
      </w:r>
      <w:r w:rsidR="00BA2482">
        <w:rPr>
          <w:lang w:val="en-US"/>
        </w:rPr>
        <w:t>:</w:t>
      </w:r>
    </w:p>
    <w:p w:rsidR="00810870" w:rsidRPr="006D622C" w:rsidRDefault="00BF6E99" w:rsidP="00BF6E99">
      <w:pPr>
        <w:spacing w:line="480" w:lineRule="auto"/>
        <w:ind w:left="1304"/>
        <w:jc w:val="both"/>
        <w:rPr>
          <w:rFonts w:cs="Times New Roman"/>
          <w:lang w:val="en-US"/>
        </w:rPr>
      </w:pPr>
      <w:r w:rsidRPr="006D622C">
        <w:rPr>
          <w:rFonts w:cs="Times New Roman"/>
          <w:lang w:val="en-US"/>
        </w:rPr>
        <w:t>Knowledge of propositions with singular content requires safety to be formulated in a globally reliable way. Consider the case in which Jones, looking at a real barn surrounded by fake barns, forms the true belief that “</w:t>
      </w:r>
      <w:r w:rsidRPr="006D622C">
        <w:rPr>
          <w:rFonts w:cs="Times New Roman"/>
          <w:i/>
          <w:iCs/>
          <w:lang w:val="en-US"/>
        </w:rPr>
        <w:t>that</w:t>
      </w:r>
      <w:r w:rsidRPr="006D622C">
        <w:rPr>
          <w:rFonts w:cs="Times New Roman"/>
          <w:lang w:val="en-US"/>
        </w:rPr>
        <w:t xml:space="preserve"> is a barn.” The intuition is to deny Jones knowledge despite the fact that there is no close world in which that very barn is not a barn (assuming that a barn is essentially a barn). </w:t>
      </w:r>
      <w:r w:rsidRPr="006D622C">
        <w:rPr>
          <w:rFonts w:cs="Times New Roman"/>
          <w:lang w:val="en-US"/>
        </w:rPr>
        <w:lastRenderedPageBreak/>
        <w:t>Since Jones could easily have falsely believed of a fake barn that “</w:t>
      </w:r>
      <w:r w:rsidRPr="006D622C">
        <w:rPr>
          <w:rFonts w:cs="Times New Roman"/>
          <w:i/>
          <w:iCs/>
          <w:lang w:val="en-US"/>
        </w:rPr>
        <w:t>that</w:t>
      </w:r>
      <w:r w:rsidRPr="006D622C">
        <w:rPr>
          <w:rFonts w:cs="Times New Roman"/>
          <w:lang w:val="en-US"/>
        </w:rPr>
        <w:t xml:space="preserve"> is a barn,” which expresses a different and false proposition, Jones is denied knowledge. </w:t>
      </w:r>
      <w:r w:rsidRPr="006D622C">
        <w:rPr>
          <w:rFonts w:cs="Times New Roman"/>
          <w:lang w:val="en-US"/>
        </w:rPr>
        <w:fldChar w:fldCharType="begin"/>
      </w:r>
      <w:r w:rsidRPr="006D622C">
        <w:rPr>
          <w:rFonts w:cs="Times New Roman"/>
          <w:lang w:val="en-US"/>
        </w:rPr>
        <w:instrText xml:space="preserve"> ADDIN EN.CITE &lt;EndNote&gt;&lt;Cite ExcludeYear="1"&gt;&lt;Author&gt;Rabinowitz&lt;/Author&gt;&lt;Year&gt;22.5.2018&lt;/Year&gt;&lt;RecNum&gt;1793&lt;/RecNum&gt;&lt;DisplayText&gt;(Rabinowitz)&lt;/DisplayText&gt;&lt;record&gt;&lt;rec-number&gt;1793&lt;/rec-number&gt;&lt;foreign-keys&gt;&lt;key app="EN" db-id="zssxtt0s2vdexiew5ezv9tfgspsw2rfddrf0" timestamp="1526975976"&gt;1793&lt;/key&gt;&lt;/foreign-keys&gt;&lt;ref-type name="Electronic Book Section"&gt;60&lt;/ref-type&gt;&lt;contributors&gt;&lt;authors&gt;&lt;author&gt;Rabinowitz, D.&lt;/author&gt;&lt;/authors&gt;&lt;/contributors&gt;&lt;titles&gt;&lt;title&gt;The Safety Condition for Knowledge&lt;/title&gt;&lt;secondary-title&gt;The Internet Encyclopedia of Philosophy&lt;/secondary-title&gt;&lt;/titles&gt;&lt;dates&gt;&lt;year&gt;22.5.2018&lt;/year&gt;&lt;/dates&gt;&lt;isbn&gt;ISSN 2161-0002&lt;/isbn&gt;&lt;urls&gt;&lt;related-urls&gt;&lt;url&gt;http://www.iep.utm.edu/&lt;/url&gt;&lt;/related-urls&gt;&lt;/urls&gt;&lt;access-date&gt;22.5.2018&lt;/access-date&gt;&lt;/record&gt;&lt;/Cite&gt;&lt;/EndNote&gt;</w:instrText>
      </w:r>
      <w:r w:rsidRPr="006D622C">
        <w:rPr>
          <w:rFonts w:cs="Times New Roman"/>
          <w:lang w:val="en-US"/>
        </w:rPr>
        <w:fldChar w:fldCharType="separate"/>
      </w:r>
      <w:r w:rsidRPr="006D622C">
        <w:rPr>
          <w:rFonts w:cs="Times New Roman"/>
          <w:noProof/>
          <w:lang w:val="en-US"/>
        </w:rPr>
        <w:t>(Rabinowitz)</w:t>
      </w:r>
      <w:r w:rsidRPr="006D622C">
        <w:rPr>
          <w:rFonts w:cs="Times New Roman"/>
          <w:lang w:val="en-US"/>
        </w:rPr>
        <w:fldChar w:fldCharType="end"/>
      </w:r>
    </w:p>
    <w:p w:rsidR="00810870" w:rsidRPr="006D622C" w:rsidRDefault="001E6BB4" w:rsidP="00BF40F3">
      <w:pPr>
        <w:spacing w:line="480" w:lineRule="auto"/>
        <w:jc w:val="both"/>
        <w:rPr>
          <w:rFonts w:cs="Times New Roman"/>
          <w:lang w:val="en-US"/>
        </w:rPr>
      </w:pPr>
      <w:r w:rsidRPr="006D622C">
        <w:rPr>
          <w:rFonts w:cs="Times New Roman"/>
          <w:lang w:val="en-US"/>
        </w:rPr>
        <w:t>The intuition that the subject in the fake barns case lacks knowledge does not stem</w:t>
      </w:r>
      <w:r w:rsidR="00BA2482">
        <w:rPr>
          <w:rFonts w:cs="Times New Roman"/>
          <w:lang w:val="en-US"/>
        </w:rPr>
        <w:t xml:space="preserve"> from the fact that the belief </w:t>
      </w:r>
      <w:r w:rsidRPr="006D622C">
        <w:rPr>
          <w:rFonts w:cs="Times New Roman"/>
          <w:lang w:val="en-US"/>
        </w:rPr>
        <w:t>he actually formed could easily have been false (since it could not easily have been false given its content), but rather from the fact that the subject could easily have looked at another barn-like structure, and formed a false, albeit different, belief.</w:t>
      </w:r>
      <w:r w:rsidRPr="006D622C">
        <w:rPr>
          <w:rStyle w:val="Alaviitteenviite"/>
          <w:rFonts w:cs="Times New Roman"/>
          <w:lang w:val="en-US"/>
        </w:rPr>
        <w:footnoteReference w:id="6"/>
      </w:r>
      <w:r w:rsidR="00776D19" w:rsidRPr="006D622C">
        <w:rPr>
          <w:rFonts w:cs="Times New Roman"/>
          <w:lang w:val="en-US"/>
        </w:rPr>
        <w:t xml:space="preserve"> </w:t>
      </w:r>
      <w:r w:rsidR="001C01E7" w:rsidRPr="006D622C">
        <w:rPr>
          <w:rFonts w:cs="Times New Roman"/>
          <w:lang w:val="en-US"/>
        </w:rPr>
        <w:t>Finally, t</w:t>
      </w:r>
      <w:r w:rsidR="00BF6E99" w:rsidRPr="006D622C">
        <w:rPr>
          <w:rFonts w:cs="Times New Roman"/>
          <w:lang w:val="en-US"/>
        </w:rPr>
        <w:t>he globalization o</w:t>
      </w:r>
      <w:r w:rsidR="001C01E7" w:rsidRPr="006D622C">
        <w:rPr>
          <w:rFonts w:cs="Times New Roman"/>
          <w:lang w:val="en-US"/>
        </w:rPr>
        <w:t xml:space="preserve">f the safety condition can </w:t>
      </w:r>
      <w:r w:rsidR="00BF6E99" w:rsidRPr="006D622C">
        <w:rPr>
          <w:rFonts w:cs="Times New Roman"/>
          <w:lang w:val="en-US"/>
        </w:rPr>
        <w:t>be motivated by considering non-epistemic cases. If two assassins are after me and one of them is caught</w:t>
      </w:r>
      <w:r w:rsidR="00BA2482">
        <w:rPr>
          <w:rFonts w:cs="Times New Roman"/>
          <w:lang w:val="en-US"/>
        </w:rPr>
        <w:t>,</w:t>
      </w:r>
      <w:r w:rsidR="00BF6E99" w:rsidRPr="006D622C">
        <w:rPr>
          <w:rFonts w:cs="Times New Roman"/>
          <w:lang w:val="en-US"/>
        </w:rPr>
        <w:t xml:space="preserve"> I am not properly safe from being stabbed to death. For me to be </w:t>
      </w:r>
      <w:r w:rsidR="00A62FBD" w:rsidRPr="006D622C">
        <w:rPr>
          <w:rFonts w:cs="Times New Roman"/>
          <w:lang w:val="en-US"/>
        </w:rPr>
        <w:t xml:space="preserve">properly </w:t>
      </w:r>
      <w:r w:rsidR="00BF6E99" w:rsidRPr="006D622C">
        <w:rPr>
          <w:rFonts w:cs="Times New Roman"/>
          <w:lang w:val="en-US"/>
        </w:rPr>
        <w:t>safe both of the assassins need to be caught.</w:t>
      </w:r>
      <w:r w:rsidR="0015093B" w:rsidRPr="006D622C">
        <w:rPr>
          <w:rStyle w:val="Alaviitteenviite"/>
          <w:rFonts w:cs="Times New Roman"/>
          <w:lang w:val="en-US"/>
        </w:rPr>
        <w:footnoteReference w:id="7"/>
      </w:r>
    </w:p>
    <w:p w:rsidR="00680CFA" w:rsidRDefault="00680CFA" w:rsidP="00BF40F3">
      <w:pPr>
        <w:spacing w:line="480" w:lineRule="auto"/>
        <w:jc w:val="both"/>
        <w:rPr>
          <w:lang w:val="en-US"/>
        </w:rPr>
      </w:pPr>
      <w:r>
        <w:rPr>
          <w:lang w:val="en-US"/>
        </w:rPr>
        <w:t>The globalized version of the safety condition has several advantages over its simpler</w:t>
      </w:r>
      <w:r w:rsidR="00CF4485">
        <w:rPr>
          <w:lang w:val="en-US"/>
        </w:rPr>
        <w:t xml:space="preserve"> predecessor</w:t>
      </w:r>
      <w:r w:rsidR="003F0D5B">
        <w:rPr>
          <w:lang w:val="en-US"/>
        </w:rPr>
        <w:t>,</w:t>
      </w:r>
      <w:r>
        <w:rPr>
          <w:lang w:val="en-US"/>
        </w:rPr>
        <w:t xml:space="preserve"> </w:t>
      </w:r>
      <w:r w:rsidR="00BA2482">
        <w:rPr>
          <w:lang w:val="en-US"/>
        </w:rPr>
        <w:t xml:space="preserve">the </w:t>
      </w:r>
      <w:r>
        <w:rPr>
          <w:lang w:val="en-US"/>
        </w:rPr>
        <w:t xml:space="preserve">chief </w:t>
      </w:r>
      <w:r w:rsidR="00CF4485">
        <w:rPr>
          <w:lang w:val="en-US"/>
        </w:rPr>
        <w:t xml:space="preserve">of them being </w:t>
      </w:r>
      <w:r>
        <w:rPr>
          <w:lang w:val="en-US"/>
        </w:rPr>
        <w:t>that it is not trivially satisfied if the subject believes in a necessary truth. However, the globalization of the safety condition raises problems of its own. Most importantly</w:t>
      </w:r>
      <w:r w:rsidR="00CF4485">
        <w:rPr>
          <w:lang w:val="en-US"/>
        </w:rPr>
        <w:t>,</w:t>
      </w:r>
      <w:r>
        <w:rPr>
          <w:lang w:val="en-US"/>
        </w:rPr>
        <w:t xml:space="preserve"> it generates a new kind of generality problem because the extension of safe beliefs will vary greatly depending on how the set of propositi</w:t>
      </w:r>
      <w:r w:rsidR="00CF4485">
        <w:rPr>
          <w:lang w:val="en-US"/>
        </w:rPr>
        <w:t xml:space="preserve">ons </w:t>
      </w:r>
      <w:r w:rsidR="00CF4485" w:rsidRPr="003F0D5B">
        <w:rPr>
          <w:i/>
          <w:lang w:val="en-US"/>
        </w:rPr>
        <w:t>Q</w:t>
      </w:r>
      <w:r w:rsidR="00CF4485">
        <w:rPr>
          <w:lang w:val="en-US"/>
        </w:rPr>
        <w:t xml:space="preserve"> is restricted</w:t>
      </w:r>
      <w:r>
        <w:rPr>
          <w:lang w:val="en-US"/>
        </w:rPr>
        <w:t>.</w:t>
      </w:r>
      <w:r w:rsidR="00CF4485">
        <w:rPr>
          <w:lang w:val="en-US"/>
        </w:rPr>
        <w:t xml:space="preserve"> If the set of relevant propositions is very large safe beliefs will be hard to come by, whereas if the set is very small the condition might be too easy to satisfy.</w:t>
      </w:r>
      <w:r w:rsidR="001619E1">
        <w:rPr>
          <w:rStyle w:val="Alaviitteenviite"/>
          <w:lang w:val="en-US"/>
        </w:rPr>
        <w:footnoteReference w:id="8"/>
      </w:r>
    </w:p>
    <w:p w:rsidR="00CF4485" w:rsidRDefault="00CF4485" w:rsidP="00BF40F3">
      <w:pPr>
        <w:spacing w:line="480" w:lineRule="auto"/>
        <w:jc w:val="both"/>
        <w:rPr>
          <w:lang w:val="en-US"/>
        </w:rPr>
      </w:pPr>
      <w:r>
        <w:rPr>
          <w:lang w:val="en-US"/>
        </w:rPr>
        <w:t>I have argued elsewhere</w:t>
      </w:r>
      <w:r w:rsidR="00BD7EB0">
        <w:rPr>
          <w:lang w:val="en-US"/>
        </w:rPr>
        <w:t xml:space="preserve"> </w:t>
      </w:r>
      <w:r w:rsidR="00FF3D30">
        <w:rPr>
          <w:lang w:val="en-US"/>
        </w:rPr>
        <w:fldChar w:fldCharType="begin"/>
      </w:r>
      <w:r w:rsidR="00AC63A6">
        <w:rPr>
          <w:lang w:val="en-US"/>
        </w:rPr>
        <w:instrText xml:space="preserve"> ADDIN EN.CITE &lt;EndNote&gt;&lt;Cite ExcludeAuth="1"&gt;&lt;Author&gt;Hirvelä&lt;/Author&gt;&lt;Year&gt;forthcoming&lt;/Year&gt;&lt;RecNum&gt;1683&lt;/RecNum&gt;&lt;DisplayText&gt;(2018, forthcoming-a)&lt;/DisplayText&gt;&lt;record&gt;&lt;rec-number&gt;1683&lt;/rec-number&gt;&lt;foreign-keys&gt;&lt;key app="EN" db-id="0vpawwrfrtdxzge9z5uvtw9lxxsetrv5095d" timestamp="1500981631"&gt;1683&lt;/key&gt;&lt;/foreign-keys&gt;&lt;ref-type name="Journal Article"&gt;17&lt;/ref-type&gt;&lt;contributors&gt;&lt;authors&gt;&lt;author&gt;Hirvelä, J.&lt;/author&gt;&lt;/authors&gt;&lt;/contributors&gt;&lt;titles&gt;&lt;title&gt;Global Safety: How to Deal with Necessary Truths&lt;/title&gt;&lt;secondary-title&gt;Synthese&lt;/secondary-title&gt;&lt;/titles&gt;&lt;periodical&gt;&lt;full-title&gt;Synthese&lt;/full-title&gt;&lt;/periodical&gt;&lt;dates&gt;&lt;year&gt;forthcoming&lt;/year&gt;&lt;/dates&gt;&lt;urls&gt;&lt;/urls&gt;&lt;/record&gt;&lt;/Cite&gt;&lt;Cite ExcludeAuth="1"&gt;&lt;Author&gt;Hirvelä&lt;/Author&gt;&lt;Year&gt;2018&lt;/Year&gt;&lt;RecNum&gt;1682&lt;/RecNum&gt;&lt;record&gt;&lt;rec-number&gt;1682&lt;/rec-number&gt;&lt;foreign-keys&gt;&lt;key app="EN" db-id="0vpawwrfrtdxzge9z5uvtw9lxxsetrv5095d" timestamp="1500981587"&gt;1682&lt;/key&gt;&lt;/foreign-keys&gt;&lt;ref-type name="Journal Article"&gt;17&lt;/ref-type&gt;&lt;contributors&gt;&lt;authors&gt;&lt;author&gt;Hirvelä, J.&lt;/author&gt;&lt;/authors&gt;&lt;/contributors&gt;&lt;titles&gt;&lt;title&gt;On Virtue, Credit and Safety&lt;/title&gt;&lt;secondary-title&gt;Grazer Philosophische Studien&lt;/secondary-title&gt;&lt;/titles&gt;&lt;periodical&gt;&lt;full-title&gt;Grazer Philosophische Studien&lt;/full-title&gt;&lt;/periodical&gt;&lt;dates&gt;&lt;year&gt;2018&lt;/year&gt;&lt;/dates&gt;&lt;urls&gt;&lt;/urls&gt;&lt;/record&gt;&lt;/Cite&gt;&lt;/EndNote&gt;</w:instrText>
      </w:r>
      <w:r w:rsidR="00FF3D30">
        <w:rPr>
          <w:lang w:val="en-US"/>
        </w:rPr>
        <w:fldChar w:fldCharType="separate"/>
      </w:r>
      <w:r w:rsidR="00AC63A6">
        <w:rPr>
          <w:noProof/>
          <w:lang w:val="en-US"/>
        </w:rPr>
        <w:t>(2018, forthcoming-a)</w:t>
      </w:r>
      <w:r w:rsidR="00FF3D30">
        <w:rPr>
          <w:lang w:val="en-US"/>
        </w:rPr>
        <w:fldChar w:fldCharType="end"/>
      </w:r>
      <w:r w:rsidR="00961CE3">
        <w:rPr>
          <w:lang w:val="en-US"/>
        </w:rPr>
        <w:t xml:space="preserve"> </w:t>
      </w:r>
      <w:r>
        <w:rPr>
          <w:lang w:val="en-US"/>
        </w:rPr>
        <w:t xml:space="preserve">that the set of propositions should be restricted in terms of the subject’s subject matter of inquiry. In </w:t>
      </w:r>
      <w:r w:rsidR="001619E1">
        <w:rPr>
          <w:lang w:val="en-US"/>
        </w:rPr>
        <w:t xml:space="preserve">order for one’s belief that </w:t>
      </w:r>
      <w:r w:rsidR="001619E1">
        <w:rPr>
          <w:i/>
          <w:lang w:val="en-US"/>
        </w:rPr>
        <w:t xml:space="preserve">p </w:t>
      </w:r>
      <w:r w:rsidR="001619E1">
        <w:rPr>
          <w:lang w:val="en-US"/>
        </w:rPr>
        <w:t xml:space="preserve">to be safe from </w:t>
      </w:r>
      <w:r>
        <w:rPr>
          <w:lang w:val="en-US"/>
        </w:rPr>
        <w:t>error it must be the case that one could not easily have ended up with a false belief in one’</w:t>
      </w:r>
      <w:r w:rsidR="001619E1">
        <w:rPr>
          <w:lang w:val="en-US"/>
        </w:rPr>
        <w:t xml:space="preserve">s </w:t>
      </w:r>
      <w:r w:rsidR="001619E1">
        <w:rPr>
          <w:lang w:val="en-US"/>
        </w:rPr>
        <w:lastRenderedPageBreak/>
        <w:t xml:space="preserve">inquiry whether </w:t>
      </w:r>
      <w:r w:rsidR="001619E1">
        <w:rPr>
          <w:i/>
          <w:lang w:val="en-US"/>
        </w:rPr>
        <w:t>p</w:t>
      </w:r>
      <w:r w:rsidR="001619E1">
        <w:rPr>
          <w:lang w:val="en-US"/>
        </w:rPr>
        <w:t xml:space="preserve">. Or alternatively: If S’s belief that </w:t>
      </w:r>
      <w:r w:rsidR="001619E1">
        <w:rPr>
          <w:i/>
          <w:lang w:val="en-US"/>
        </w:rPr>
        <w:t>p</w:t>
      </w:r>
      <w:r w:rsidR="001619E1">
        <w:rPr>
          <w:lang w:val="en-US"/>
        </w:rPr>
        <w:t xml:space="preserve"> is safe then there is a question </w:t>
      </w:r>
      <w:r w:rsidR="001619E1">
        <w:rPr>
          <w:i/>
          <w:lang w:val="en-US"/>
        </w:rPr>
        <w:t>Q</w:t>
      </w:r>
      <w:r w:rsidR="001619E1">
        <w:rPr>
          <w:lang w:val="en-US"/>
        </w:rPr>
        <w:t xml:space="preserve"> to which </w:t>
      </w:r>
      <w:r w:rsidR="001619E1">
        <w:rPr>
          <w:i/>
          <w:lang w:val="en-US"/>
        </w:rPr>
        <w:t>p</w:t>
      </w:r>
      <w:r w:rsidR="001619E1">
        <w:rPr>
          <w:lang w:val="en-US"/>
        </w:rPr>
        <w:t xml:space="preserve"> is a correct answer and S could not easily have formed a belief in a false answer to </w:t>
      </w:r>
      <w:r w:rsidR="001619E1">
        <w:rPr>
          <w:i/>
          <w:lang w:val="en-US"/>
        </w:rPr>
        <w:t>Q</w:t>
      </w:r>
      <w:r w:rsidR="001619E1">
        <w:rPr>
          <w:lang w:val="en-US"/>
        </w:rPr>
        <w:t>.</w:t>
      </w:r>
    </w:p>
    <w:p w:rsidR="003E0B13" w:rsidRPr="003E0B13" w:rsidRDefault="00EC7028" w:rsidP="00BF40F3">
      <w:pPr>
        <w:spacing w:line="480" w:lineRule="auto"/>
        <w:jc w:val="both"/>
        <w:rPr>
          <w:lang w:val="en-US"/>
        </w:rPr>
      </w:pPr>
      <w:r>
        <w:rPr>
          <w:lang w:val="en-US"/>
        </w:rPr>
        <w:t>For our present purposes it does not matter whether the relevant set of propositions is restricted i</w:t>
      </w:r>
      <w:r w:rsidR="0010778F">
        <w:rPr>
          <w:lang w:val="en-US"/>
        </w:rPr>
        <w:t xml:space="preserve">n terms of the method of belief </w:t>
      </w:r>
      <w:r>
        <w:rPr>
          <w:lang w:val="en-US"/>
        </w:rPr>
        <w:t xml:space="preserve">formation, </w:t>
      </w:r>
      <w:r w:rsidR="0010778F">
        <w:rPr>
          <w:lang w:val="en-US"/>
        </w:rPr>
        <w:t xml:space="preserve">the </w:t>
      </w:r>
      <w:r>
        <w:rPr>
          <w:lang w:val="en-US"/>
        </w:rPr>
        <w:t>closeness of propositions</w:t>
      </w:r>
      <w:r w:rsidR="0010778F">
        <w:rPr>
          <w:lang w:val="en-US"/>
        </w:rPr>
        <w:t>,</w:t>
      </w:r>
      <w:r>
        <w:rPr>
          <w:lang w:val="en-US"/>
        </w:rPr>
        <w:t xml:space="preserve"> or in terms of subject matters of inquiry</w:t>
      </w:r>
      <w:r w:rsidR="00BD7EB0">
        <w:rPr>
          <w:lang w:val="en-US"/>
        </w:rPr>
        <w:t xml:space="preserve">. What is important to recognize at this juncture is that </w:t>
      </w:r>
      <w:r>
        <w:rPr>
          <w:lang w:val="en-US"/>
        </w:rPr>
        <w:t>a properly formulated safety condition is globalized to a set of propositions.</w:t>
      </w:r>
      <w:r w:rsidR="0039145E">
        <w:rPr>
          <w:lang w:val="en-US"/>
        </w:rPr>
        <w:t xml:space="preserve"> </w:t>
      </w:r>
      <w:r>
        <w:rPr>
          <w:lang w:val="en-US"/>
        </w:rPr>
        <w:t>Now that we have a properly formulated safety condition at our disposal</w:t>
      </w:r>
      <w:r w:rsidR="00FF3D30">
        <w:rPr>
          <w:lang w:val="en-US"/>
        </w:rPr>
        <w:t>,</w:t>
      </w:r>
      <w:r>
        <w:rPr>
          <w:lang w:val="en-US"/>
        </w:rPr>
        <w:t xml:space="preserve"> it is time to examine whether it is in tension with the extended mind hypothesis.</w:t>
      </w:r>
    </w:p>
    <w:p w:rsidR="008D2B82" w:rsidRDefault="008D2B82" w:rsidP="00BF40F3">
      <w:pPr>
        <w:pStyle w:val="Luettelokappale"/>
        <w:numPr>
          <w:ilvl w:val="0"/>
          <w:numId w:val="1"/>
        </w:numPr>
        <w:spacing w:line="480" w:lineRule="auto"/>
        <w:jc w:val="both"/>
        <w:rPr>
          <w:lang w:val="en-US"/>
        </w:rPr>
      </w:pPr>
      <w:r>
        <w:rPr>
          <w:lang w:val="en-US"/>
        </w:rPr>
        <w:t>CARTER’S ARGUMENT</w:t>
      </w:r>
    </w:p>
    <w:p w:rsidR="008D2B82" w:rsidRDefault="008D2B82" w:rsidP="00BF40F3">
      <w:pPr>
        <w:spacing w:line="480" w:lineRule="auto"/>
        <w:jc w:val="both"/>
        <w:rPr>
          <w:lang w:val="en-US"/>
        </w:rPr>
      </w:pPr>
      <w:r>
        <w:rPr>
          <w:lang w:val="en-US"/>
        </w:rPr>
        <w:t>Carter argues that safety-based theories of knowledge run into tro</w:t>
      </w:r>
      <w:r w:rsidR="00A043A0">
        <w:rPr>
          <w:lang w:val="en-US"/>
        </w:rPr>
        <w:t>uble</w:t>
      </w:r>
      <w:r>
        <w:rPr>
          <w:lang w:val="en-US"/>
        </w:rPr>
        <w:t xml:space="preserve"> with the </w:t>
      </w:r>
      <w:r w:rsidR="00EC7028">
        <w:rPr>
          <w:lang w:val="en-US"/>
        </w:rPr>
        <w:t>m-</w:t>
      </w:r>
      <w:r>
        <w:rPr>
          <w:lang w:val="en-US"/>
        </w:rPr>
        <w:t xml:space="preserve">parity principle and </w:t>
      </w:r>
      <w:r w:rsidR="00A67DEE">
        <w:rPr>
          <w:lang w:val="en-US"/>
        </w:rPr>
        <w:t xml:space="preserve">with </w:t>
      </w:r>
      <w:r>
        <w:rPr>
          <w:lang w:val="en-US"/>
        </w:rPr>
        <w:t xml:space="preserve">the e-parity principle. He starts by noting that the following </w:t>
      </w:r>
      <w:r w:rsidR="00307470">
        <w:rPr>
          <w:lang w:val="en-US"/>
        </w:rPr>
        <w:t xml:space="preserve">pair </w:t>
      </w:r>
      <w:r w:rsidR="00391B0D">
        <w:rPr>
          <w:lang w:val="en-US"/>
        </w:rPr>
        <w:t xml:space="preserve">of cases </w:t>
      </w:r>
      <w:r w:rsidR="00A043A0">
        <w:rPr>
          <w:lang w:val="en-US"/>
        </w:rPr>
        <w:t>is</w:t>
      </w:r>
      <w:r w:rsidR="00391B0D">
        <w:rPr>
          <w:lang w:val="en-US"/>
        </w:rPr>
        <w:t xml:space="preserve"> structurally</w:t>
      </w:r>
      <w:r w:rsidR="00307470">
        <w:rPr>
          <w:lang w:val="en-US"/>
        </w:rPr>
        <w:t xml:space="preserve"> </w:t>
      </w:r>
      <w:r w:rsidR="00391B0D">
        <w:rPr>
          <w:lang w:val="en-US"/>
        </w:rPr>
        <w:t>similar</w:t>
      </w:r>
      <w:r w:rsidR="00DC7379">
        <w:rPr>
          <w:lang w:val="en-US"/>
        </w:rPr>
        <w:t>, yet the safety condition i</w:t>
      </w:r>
      <w:r w:rsidR="00391B0D">
        <w:rPr>
          <w:lang w:val="en-US"/>
        </w:rPr>
        <w:t xml:space="preserve">s satisfied only in one of them if </w:t>
      </w:r>
      <w:r w:rsidR="00FF3D30">
        <w:rPr>
          <w:lang w:val="en-US"/>
        </w:rPr>
        <w:t xml:space="preserve">the </w:t>
      </w:r>
      <w:r w:rsidR="00391B0D">
        <w:rPr>
          <w:lang w:val="en-US"/>
        </w:rPr>
        <w:t>extended mind thesis is true.</w:t>
      </w:r>
    </w:p>
    <w:p w:rsidR="00DC7379" w:rsidRDefault="00DC7379" w:rsidP="00BF40F3">
      <w:pPr>
        <w:spacing w:line="480" w:lineRule="auto"/>
        <w:jc w:val="both"/>
        <w:rPr>
          <w:lang w:val="en-US"/>
        </w:rPr>
      </w:pPr>
      <w:r>
        <w:rPr>
          <w:lang w:val="en-US"/>
        </w:rPr>
        <w:t>FAKE BARNS: Barney is driving through the countryside and is identif</w:t>
      </w:r>
      <w:r w:rsidR="00EC7028">
        <w:rPr>
          <w:lang w:val="en-US"/>
        </w:rPr>
        <w:t>ying objects to amuse his son. Barn</w:t>
      </w:r>
      <w:r>
        <w:rPr>
          <w:lang w:val="en-US"/>
        </w:rPr>
        <w:t>e</w:t>
      </w:r>
      <w:r w:rsidR="00EC7028">
        <w:rPr>
          <w:lang w:val="en-US"/>
        </w:rPr>
        <w:t>y</w:t>
      </w:r>
      <w:r>
        <w:rPr>
          <w:lang w:val="en-US"/>
        </w:rPr>
        <w:t xml:space="preserve"> sees a barn ahead, points towards it, and utters “That’s a barn</w:t>
      </w:r>
      <w:r w:rsidR="00FF3D30">
        <w:rPr>
          <w:lang w:val="en-US"/>
        </w:rPr>
        <w:t>.”</w:t>
      </w:r>
      <w:r>
        <w:rPr>
          <w:lang w:val="en-US"/>
        </w:rPr>
        <w:t xml:space="preserve"> His corresponding belief is true and justified. Unbeknownst to Barney</w:t>
      </w:r>
      <w:r w:rsidR="00EC7028">
        <w:rPr>
          <w:lang w:val="en-US"/>
        </w:rPr>
        <w:t>,</w:t>
      </w:r>
      <w:r>
        <w:rPr>
          <w:lang w:val="en-US"/>
        </w:rPr>
        <w:t xml:space="preserve"> he is driving through barn façade county, where almost every object that looks like a barn is in fact a barn façade, which he would not be able tell apart from the real thing.</w:t>
      </w:r>
      <w:r w:rsidR="0031380E">
        <w:rPr>
          <w:rStyle w:val="Alaviitteenviite"/>
          <w:lang w:val="en-US"/>
        </w:rPr>
        <w:footnoteReference w:id="9"/>
      </w:r>
    </w:p>
    <w:p w:rsidR="00B25C5D" w:rsidRDefault="00DC7379" w:rsidP="00BF40F3">
      <w:pPr>
        <w:spacing w:line="480" w:lineRule="auto"/>
        <w:ind w:left="1304" w:hanging="1304"/>
        <w:jc w:val="both"/>
        <w:rPr>
          <w:lang w:val="en-US"/>
        </w:rPr>
      </w:pPr>
      <w:r>
        <w:rPr>
          <w:lang w:val="en-US"/>
        </w:rPr>
        <w:t xml:space="preserve">JOKESTER: </w:t>
      </w:r>
      <w:r w:rsidR="0031380E">
        <w:rPr>
          <w:lang w:val="en-US"/>
        </w:rPr>
        <w:tab/>
        <w:t>Otto consults his notebook to determine when his doctor’s appointment was today, and fin</w:t>
      </w:r>
      <w:r w:rsidR="008327C9">
        <w:rPr>
          <w:lang w:val="en-US"/>
        </w:rPr>
        <w:t>d</w:t>
      </w:r>
      <w:r w:rsidR="0031380E">
        <w:rPr>
          <w:lang w:val="en-US"/>
        </w:rPr>
        <w:t xml:space="preserve">s the correct time, noon, written in the book. Unbeknownst to Otto, his notebook had been stolen by a jokester, who fudged with the times of Otto’s other appointments that day, changing them all back an hour. The jokester, however, overlooked the doctor’s appointment, leaving the original and correct time intact. </w:t>
      </w:r>
      <w:r w:rsidR="0031380E">
        <w:rPr>
          <w:lang w:val="en-US"/>
        </w:rPr>
        <w:fldChar w:fldCharType="begin"/>
      </w:r>
      <w:r w:rsidR="00FF3D30">
        <w:rPr>
          <w:lang w:val="en-US"/>
        </w:rPr>
        <w:instrText xml:space="preserve"> ADDIN EN.CITE &lt;EndNote&gt;&lt;Cite&gt;&lt;Author&gt;Carter&lt;/Author&gt;&lt;Year&gt;2013&lt;/Year&gt;&lt;RecNum&gt;8&lt;/RecNum&gt;&lt;Pages&gt;4024&lt;/Pages&gt;&lt;DisplayText&gt;(Carter, 2013, p. 4024)&lt;/DisplayText&gt;&lt;record&gt;&lt;rec-number&gt;8&lt;/rec-number&gt;&lt;foreign-keys&gt;&lt;key app="EN" db-id="0vpawwrfrtdxzge9z5uvtw9lxxsetrv5095d" timestamp="1418652244"&gt;8&lt;/key&gt;&lt;/foreign-keys&gt;&lt;ref-type name="Journal Article"&gt;17&lt;/ref-type&gt;&lt;contributors&gt;&lt;authors&gt;&lt;author&gt;Carter, J. A.&lt;/author&gt;&lt;/authors&gt;&lt;/contributors&gt;&lt;titles&gt;&lt;title&gt;Extended cognition and epistemic luck&lt;/title&gt;&lt;secondary-title&gt;Synthese&lt;/secondary-title&gt;&lt;/titles&gt;&lt;periodical&gt;&lt;full-title&gt;Synthese&lt;/full-title&gt;&lt;/periodical&gt;&lt;pages&gt;4201–4214&lt;/pages&gt;&lt;volume&gt;190&lt;/volume&gt;&lt;dates&gt;&lt;year&gt;2013&lt;/year&gt;&lt;/dates&gt;&lt;urls&gt;&lt;/urls&gt;&lt;electronic-resource-num&gt;DOI 10.1007/s11229-013-0267-3&lt;/electronic-resource-num&gt;&lt;/record&gt;&lt;/Cite&gt;&lt;/EndNote&gt;</w:instrText>
      </w:r>
      <w:r w:rsidR="0031380E">
        <w:rPr>
          <w:lang w:val="en-US"/>
        </w:rPr>
        <w:fldChar w:fldCharType="separate"/>
      </w:r>
      <w:r w:rsidR="002B20BF">
        <w:rPr>
          <w:noProof/>
          <w:lang w:val="en-US"/>
        </w:rPr>
        <w:t>(Carter, 2013, p. 4024)</w:t>
      </w:r>
      <w:r w:rsidR="0031380E">
        <w:rPr>
          <w:lang w:val="en-US"/>
        </w:rPr>
        <w:fldChar w:fldCharType="end"/>
      </w:r>
    </w:p>
    <w:p w:rsidR="0031380E" w:rsidRDefault="004E0B3B" w:rsidP="00BF40F3">
      <w:pPr>
        <w:spacing w:line="480" w:lineRule="auto"/>
        <w:jc w:val="both"/>
        <w:rPr>
          <w:lang w:val="en-US"/>
        </w:rPr>
      </w:pPr>
      <w:r>
        <w:rPr>
          <w:lang w:val="en-US"/>
        </w:rPr>
        <w:lastRenderedPageBreak/>
        <w:t>The</w:t>
      </w:r>
      <w:r w:rsidR="00391B0D">
        <w:rPr>
          <w:lang w:val="en-US"/>
        </w:rPr>
        <w:t xml:space="preserve"> cases are taken to be structurally similar</w:t>
      </w:r>
      <w:r>
        <w:rPr>
          <w:lang w:val="en-US"/>
        </w:rPr>
        <w:t xml:space="preserve"> because Otto and Barney are in a similar situation; both a</w:t>
      </w:r>
      <w:r w:rsidR="007E0FC2">
        <w:rPr>
          <w:lang w:val="en-US"/>
        </w:rPr>
        <w:t>re</w:t>
      </w:r>
      <w:r>
        <w:rPr>
          <w:lang w:val="en-US"/>
        </w:rPr>
        <w:t xml:space="preserve"> presented </w:t>
      </w:r>
      <w:r w:rsidR="007E0FC2">
        <w:rPr>
          <w:lang w:val="en-US"/>
        </w:rPr>
        <w:t xml:space="preserve">with </w:t>
      </w:r>
      <w:r>
        <w:rPr>
          <w:lang w:val="en-US"/>
        </w:rPr>
        <w:t>convincing fakes (barn façades and fake memories) and one non-fake</w:t>
      </w:r>
      <w:r w:rsidR="00007D0E">
        <w:rPr>
          <w:lang w:val="en-US"/>
        </w:rPr>
        <w:t>,</w:t>
      </w:r>
      <w:r>
        <w:rPr>
          <w:lang w:val="en-US"/>
        </w:rPr>
        <w:t xml:space="preserve"> and happen to form a belief on the basis of the non-fake</w:t>
      </w:r>
      <w:r w:rsidR="00B25C5D" w:rsidRPr="00B25C5D">
        <w:rPr>
          <w:lang w:val="en-US"/>
        </w:rPr>
        <w:t>.</w:t>
      </w:r>
      <w:r>
        <w:rPr>
          <w:lang w:val="en-US"/>
        </w:rPr>
        <w:t xml:space="preserve"> In a very clear sense both Otto and Barney suffer from environmental epistemic luck,</w:t>
      </w:r>
      <w:r w:rsidR="00007D0E">
        <w:rPr>
          <w:lang w:val="en-US"/>
        </w:rPr>
        <w:t xml:space="preserve"> in that the epistemic environment in which they happen to be </w:t>
      </w:r>
      <w:r w:rsidR="007E0FC2">
        <w:rPr>
          <w:lang w:val="en-US"/>
        </w:rPr>
        <w:t xml:space="preserve">in </w:t>
      </w:r>
      <w:r w:rsidR="00007D0E">
        <w:rPr>
          <w:lang w:val="en-US"/>
        </w:rPr>
        <w:t xml:space="preserve">is epistemically inhospitable, but </w:t>
      </w:r>
      <w:r w:rsidR="00FF3D30">
        <w:rPr>
          <w:lang w:val="en-US"/>
        </w:rPr>
        <w:t>yet in their peculiar circumstances</w:t>
      </w:r>
      <w:r w:rsidR="00007D0E">
        <w:rPr>
          <w:lang w:val="en-US"/>
        </w:rPr>
        <w:t xml:space="preserve"> they manage to form a true belief by </w:t>
      </w:r>
      <w:r w:rsidR="002368CE">
        <w:rPr>
          <w:lang w:val="en-US"/>
        </w:rPr>
        <w:t xml:space="preserve">a </w:t>
      </w:r>
      <w:r w:rsidR="00FF3D30">
        <w:rPr>
          <w:lang w:val="en-US"/>
        </w:rPr>
        <w:t>fluke</w:t>
      </w:r>
      <w:r w:rsidR="00007D0E">
        <w:rPr>
          <w:lang w:val="en-US"/>
        </w:rPr>
        <w:t>.</w:t>
      </w:r>
      <w:r w:rsidR="00B25C5D" w:rsidRPr="00B25C5D">
        <w:rPr>
          <w:lang w:val="en-US"/>
        </w:rPr>
        <w:t xml:space="preserve"> </w:t>
      </w:r>
      <w:r w:rsidR="000B58D9">
        <w:rPr>
          <w:lang w:val="en-US"/>
        </w:rPr>
        <w:t>Given that both FAKE BARNS and JOKESTER</w:t>
      </w:r>
      <w:r w:rsidR="00007D0E">
        <w:rPr>
          <w:lang w:val="en-US"/>
        </w:rPr>
        <w:t xml:space="preserve"> involve environmental epistemic luck</w:t>
      </w:r>
      <w:r w:rsidR="00FF3D30">
        <w:rPr>
          <w:lang w:val="en-US"/>
        </w:rPr>
        <w:t>,</w:t>
      </w:r>
      <w:r w:rsidR="00007D0E">
        <w:rPr>
          <w:lang w:val="en-US"/>
        </w:rPr>
        <w:t xml:space="preserve"> both cases should be cases of ignorance rather than knowledge. In fact</w:t>
      </w:r>
      <w:r w:rsidR="00FF3D30">
        <w:rPr>
          <w:lang w:val="en-US"/>
        </w:rPr>
        <w:t>,</w:t>
      </w:r>
      <w:r w:rsidR="00B25C5D" w:rsidRPr="00B25C5D">
        <w:rPr>
          <w:lang w:val="en-US"/>
        </w:rPr>
        <w:t xml:space="preserve"> the vast majority of epistemologists consider</w:t>
      </w:r>
      <w:r w:rsidR="000B58D9">
        <w:rPr>
          <w:lang w:val="en-US"/>
        </w:rPr>
        <w:t xml:space="preserve"> FAKE BARNS</w:t>
      </w:r>
      <w:r w:rsidR="00B25C5D">
        <w:rPr>
          <w:lang w:val="en-US"/>
        </w:rPr>
        <w:t xml:space="preserve"> to be a clear case of ignorance.</w:t>
      </w:r>
      <w:r w:rsidR="000B58D9">
        <w:rPr>
          <w:lang w:val="en-US"/>
        </w:rPr>
        <w:t xml:space="preserve"> Moreover, it seems that JOKESTER</w:t>
      </w:r>
      <w:r w:rsidR="00B25C5D">
        <w:rPr>
          <w:lang w:val="en-US"/>
        </w:rPr>
        <w:t xml:space="preserve"> is also a case of ignorance. Carter argues, however, that the safety conditi</w:t>
      </w:r>
      <w:r w:rsidR="000B58D9">
        <w:rPr>
          <w:lang w:val="en-US"/>
        </w:rPr>
        <w:t xml:space="preserve">on is satisfied in JOKESTER </w:t>
      </w:r>
      <w:r w:rsidR="00B25C5D">
        <w:rPr>
          <w:lang w:val="en-US"/>
        </w:rPr>
        <w:t>while it is</w:t>
      </w:r>
      <w:r w:rsidR="000B58D9">
        <w:rPr>
          <w:lang w:val="en-US"/>
        </w:rPr>
        <w:t xml:space="preserve"> not satisfied in FAKE BARNS</w:t>
      </w:r>
      <w:r w:rsidR="00B25C5D">
        <w:rPr>
          <w:lang w:val="en-US"/>
        </w:rPr>
        <w:t xml:space="preserve">. If this is so, then it would seem that safety-based theories of knowledge are committed to bioprejudice. </w:t>
      </w:r>
    </w:p>
    <w:p w:rsidR="00871C77" w:rsidRDefault="00871C77" w:rsidP="00BF40F3">
      <w:pPr>
        <w:spacing w:line="480" w:lineRule="auto"/>
        <w:jc w:val="both"/>
        <w:rPr>
          <w:lang w:val="en-US"/>
        </w:rPr>
      </w:pPr>
      <w:r>
        <w:rPr>
          <w:lang w:val="en-US"/>
        </w:rPr>
        <w:t xml:space="preserve">Carter’s argument for this conclusion is the following. When evaluating whether a true belief </w:t>
      </w:r>
      <w:r w:rsidR="002368CE">
        <w:rPr>
          <w:lang w:val="en-US"/>
        </w:rPr>
        <w:t xml:space="preserve">that </w:t>
      </w:r>
      <w:r w:rsidR="002368CE">
        <w:rPr>
          <w:i/>
          <w:lang w:val="en-US"/>
        </w:rPr>
        <w:t xml:space="preserve">p </w:t>
      </w:r>
      <w:r>
        <w:rPr>
          <w:lang w:val="en-US"/>
        </w:rPr>
        <w:t xml:space="preserve">is safe we need </w:t>
      </w:r>
      <w:r w:rsidR="002368CE">
        <w:rPr>
          <w:lang w:val="en-US"/>
        </w:rPr>
        <w:t xml:space="preserve">to check whether </w:t>
      </w:r>
      <w:r w:rsidR="002368CE">
        <w:rPr>
          <w:i/>
          <w:lang w:val="en-US"/>
        </w:rPr>
        <w:t xml:space="preserve">p </w:t>
      </w:r>
      <w:r w:rsidR="002368CE">
        <w:rPr>
          <w:lang w:val="en-US"/>
        </w:rPr>
        <w:t>is</w:t>
      </w:r>
      <w:r>
        <w:rPr>
          <w:lang w:val="en-US"/>
        </w:rPr>
        <w:t xml:space="preserve"> true in nearby possible worlds where the belief </w:t>
      </w:r>
      <w:r w:rsidR="002368CE">
        <w:rPr>
          <w:lang w:val="en-US"/>
        </w:rPr>
        <w:t xml:space="preserve">that </w:t>
      </w:r>
      <w:r w:rsidR="002368CE">
        <w:rPr>
          <w:i/>
          <w:lang w:val="en-US"/>
        </w:rPr>
        <w:t xml:space="preserve">p </w:t>
      </w:r>
      <w:r>
        <w:rPr>
          <w:lang w:val="en-US"/>
        </w:rPr>
        <w:t>is formed via the same cognitive process that was used</w:t>
      </w:r>
      <w:r w:rsidR="002368CE">
        <w:rPr>
          <w:lang w:val="en-US"/>
        </w:rPr>
        <w:t xml:space="preserve"> in the actual world to form the</w:t>
      </w:r>
      <w:r>
        <w:rPr>
          <w:lang w:val="en-US"/>
        </w:rPr>
        <w:t xml:space="preserve"> belief</w:t>
      </w:r>
      <w:r w:rsidR="002368CE">
        <w:rPr>
          <w:lang w:val="en-US"/>
        </w:rPr>
        <w:t xml:space="preserve"> that </w:t>
      </w:r>
      <w:r w:rsidR="002368CE">
        <w:rPr>
          <w:i/>
          <w:lang w:val="en-US"/>
        </w:rPr>
        <w:t>p</w:t>
      </w:r>
      <w:r w:rsidR="002C264D">
        <w:rPr>
          <w:lang w:val="en-US"/>
        </w:rPr>
        <w:t>. In FAKE BARNS</w:t>
      </w:r>
      <w:r>
        <w:rPr>
          <w:lang w:val="en-US"/>
        </w:rPr>
        <w:t xml:space="preserve"> the cognitive process that Barney uses is “</w:t>
      </w:r>
      <w:r w:rsidRPr="00871C77">
        <w:rPr>
          <w:lang w:val="en-US"/>
        </w:rPr>
        <w:t>pointing to one of the barn-looking objects in the facade-littered countryside</w:t>
      </w:r>
      <w:r>
        <w:rPr>
          <w:lang w:val="en-US"/>
        </w:rPr>
        <w:t>”</w:t>
      </w:r>
      <w:r w:rsidR="00007D0E">
        <w:rPr>
          <w:lang w:val="en-US"/>
        </w:rPr>
        <w:t xml:space="preserve"> </w:t>
      </w:r>
      <w:r w:rsidR="00007D0E">
        <w:rPr>
          <w:lang w:val="en-US"/>
        </w:rPr>
        <w:fldChar w:fldCharType="begin"/>
      </w:r>
      <w:r w:rsidR="00FF3D30">
        <w:rPr>
          <w:lang w:val="en-US"/>
        </w:rPr>
        <w:instrText xml:space="preserve"> ADDIN EN.CITE &lt;EndNote&gt;&lt;Cite&gt;&lt;Author&gt;Carter&lt;/Author&gt;&lt;Year&gt;2013&lt;/Year&gt;&lt;RecNum&gt;8&lt;/RecNum&gt;&lt;Pages&gt;4204&lt;/Pages&gt;&lt;DisplayText&gt;(Carter, 2013, p. 4204)&lt;/DisplayText&gt;&lt;record&gt;&lt;rec-number&gt;8&lt;/rec-number&gt;&lt;foreign-keys&gt;&lt;key app="EN" db-id="0vpawwrfrtdxzge9z5uvtw9lxxsetrv5095d" timestamp="1418652244"&gt;8&lt;/key&gt;&lt;/foreign-keys&gt;&lt;ref-type name="Journal Article"&gt;17&lt;/ref-type&gt;&lt;contributors&gt;&lt;authors&gt;&lt;author&gt;Carter, J. A.&lt;/author&gt;&lt;/authors&gt;&lt;/contributors&gt;&lt;titles&gt;&lt;title&gt;Extended cognition and epistemic luck&lt;/title&gt;&lt;secondary-title&gt;Synthese&lt;/secondary-title&gt;&lt;/titles&gt;&lt;periodical&gt;&lt;full-title&gt;Synthese&lt;/full-title&gt;&lt;/periodical&gt;&lt;pages&gt;4201–4214&lt;/pages&gt;&lt;volume&gt;190&lt;/volume&gt;&lt;dates&gt;&lt;year&gt;2013&lt;/year&gt;&lt;/dates&gt;&lt;urls&gt;&lt;/urls&gt;&lt;electronic-resource-num&gt;DOI 10.1007/s11229-013-0267-3&lt;/electronic-resource-num&gt;&lt;/record&gt;&lt;/Cite&gt;&lt;/EndNote&gt;</w:instrText>
      </w:r>
      <w:r w:rsidR="00007D0E">
        <w:rPr>
          <w:lang w:val="en-US"/>
        </w:rPr>
        <w:fldChar w:fldCharType="separate"/>
      </w:r>
      <w:r w:rsidR="002B20BF">
        <w:rPr>
          <w:noProof/>
          <w:lang w:val="en-US"/>
        </w:rPr>
        <w:t>(Carter, 2013, p. 4204)</w:t>
      </w:r>
      <w:r w:rsidR="00007D0E">
        <w:rPr>
          <w:lang w:val="en-US"/>
        </w:rPr>
        <w:fldChar w:fldCharType="end"/>
      </w:r>
      <w:r>
        <w:rPr>
          <w:lang w:val="en-US"/>
        </w:rPr>
        <w:t>. Given that this is Barney’s method</w:t>
      </w:r>
      <w:r w:rsidR="00D66FA1">
        <w:rPr>
          <w:lang w:val="en-US"/>
        </w:rPr>
        <w:t>,</w:t>
      </w:r>
      <w:r>
        <w:rPr>
          <w:lang w:val="en-US"/>
        </w:rPr>
        <w:t xml:space="preserve"> his belief is clearly unsafe. In most nearby possible worlds his belief will end up being false.</w:t>
      </w:r>
    </w:p>
    <w:p w:rsidR="00871C77" w:rsidRDefault="00871C77" w:rsidP="00BF40F3">
      <w:pPr>
        <w:spacing w:line="480" w:lineRule="auto"/>
        <w:jc w:val="both"/>
        <w:rPr>
          <w:lang w:val="en-US"/>
        </w:rPr>
      </w:pPr>
      <w:r>
        <w:rPr>
          <w:lang w:val="en-US"/>
        </w:rPr>
        <w:t>If th</w:t>
      </w:r>
      <w:r w:rsidR="00E25994">
        <w:rPr>
          <w:lang w:val="en-US"/>
        </w:rPr>
        <w:t>e extended mind thesis is true</w:t>
      </w:r>
      <w:r w:rsidR="00FF3D30">
        <w:rPr>
          <w:lang w:val="en-US"/>
        </w:rPr>
        <w:t>,</w:t>
      </w:r>
      <w:r w:rsidR="00E25994">
        <w:rPr>
          <w:lang w:val="en-US"/>
        </w:rPr>
        <w:t xml:space="preserve"> </w:t>
      </w:r>
      <w:r>
        <w:rPr>
          <w:lang w:val="en-US"/>
        </w:rPr>
        <w:t>then the cognitive process that Otto uses in the actual world is partially determined by the notebook that he consults in the actual world</w:t>
      </w:r>
      <w:r w:rsidR="00D66FA1">
        <w:rPr>
          <w:lang w:val="en-US"/>
        </w:rPr>
        <w:t>,</w:t>
      </w:r>
      <w:r w:rsidR="00F73A14">
        <w:rPr>
          <w:lang w:val="en-US"/>
        </w:rPr>
        <w:t xml:space="preserve"> and therefore the notebook should</w:t>
      </w:r>
      <w:r w:rsidR="008327C9">
        <w:rPr>
          <w:lang w:val="en-US"/>
        </w:rPr>
        <w:t xml:space="preserve"> be kept fixed in the relevant possible worlds. Crucially, this will involve keeping fixed the ent</w:t>
      </w:r>
      <w:r w:rsidR="00F73A14">
        <w:rPr>
          <w:lang w:val="en-US"/>
        </w:rPr>
        <w:t>ries of the notebook, and this will entail</w:t>
      </w:r>
      <w:r w:rsidR="008327C9">
        <w:rPr>
          <w:lang w:val="en-US"/>
        </w:rPr>
        <w:t xml:space="preserve"> that the </w:t>
      </w:r>
      <w:r w:rsidR="00F73A14">
        <w:rPr>
          <w:lang w:val="en-US"/>
        </w:rPr>
        <w:t xml:space="preserve">notebook will contain the correct time for the </w:t>
      </w:r>
      <w:r w:rsidR="008327C9">
        <w:rPr>
          <w:lang w:val="en-US"/>
        </w:rPr>
        <w:t>doctor’s appointment</w:t>
      </w:r>
      <w:r w:rsidR="00F73A14">
        <w:rPr>
          <w:lang w:val="en-US"/>
        </w:rPr>
        <w:t>. But if that is the case</w:t>
      </w:r>
      <w:r w:rsidR="00FF3D30">
        <w:rPr>
          <w:lang w:val="en-US"/>
        </w:rPr>
        <w:t>,</w:t>
      </w:r>
      <w:r w:rsidR="00F73A14">
        <w:rPr>
          <w:lang w:val="en-US"/>
        </w:rPr>
        <w:t xml:space="preserve"> then Otto’s belief about the time of the appointment will be true in all relevant possible worlds and hence his belief </w:t>
      </w:r>
      <w:r w:rsidR="002C264D">
        <w:rPr>
          <w:lang w:val="en-US"/>
        </w:rPr>
        <w:t>is safe! Given that JOKESTER</w:t>
      </w:r>
      <w:r w:rsidR="00F73A14">
        <w:rPr>
          <w:lang w:val="en-US"/>
        </w:rPr>
        <w:t xml:space="preserve"> is a clear case of ignorance</w:t>
      </w:r>
      <w:r w:rsidR="00FF3D30">
        <w:rPr>
          <w:lang w:val="en-US"/>
        </w:rPr>
        <w:t>,</w:t>
      </w:r>
      <w:r w:rsidR="00F73A14">
        <w:rPr>
          <w:lang w:val="en-US"/>
        </w:rPr>
        <w:t xml:space="preserve"> this is a bad thing for the safety condition. In order to deliver the correct verdict regarding the case the proponent of the safety condition </w:t>
      </w:r>
      <w:r w:rsidR="00F73A14">
        <w:rPr>
          <w:lang w:val="en-US"/>
        </w:rPr>
        <w:lastRenderedPageBreak/>
        <w:t xml:space="preserve">needs to </w:t>
      </w:r>
      <w:r w:rsidR="00F73A14" w:rsidRPr="00D66FA1">
        <w:rPr>
          <w:i/>
          <w:lang w:val="en-US"/>
        </w:rPr>
        <w:t>exclude</w:t>
      </w:r>
      <w:r w:rsidR="00F73A14">
        <w:rPr>
          <w:lang w:val="en-US"/>
        </w:rPr>
        <w:t xml:space="preserve"> the</w:t>
      </w:r>
      <w:r w:rsidR="006F6A10">
        <w:rPr>
          <w:lang w:val="en-US"/>
        </w:rPr>
        <w:t xml:space="preserve"> fact that the</w:t>
      </w:r>
      <w:r w:rsidR="00F73A14">
        <w:rPr>
          <w:lang w:val="en-US"/>
        </w:rPr>
        <w:t xml:space="preserve"> notebook</w:t>
      </w:r>
      <w:r w:rsidR="00E3794A">
        <w:rPr>
          <w:lang w:val="en-US"/>
        </w:rPr>
        <w:t xml:space="preserve"> </w:t>
      </w:r>
      <w:r w:rsidR="006F6A10">
        <w:rPr>
          <w:lang w:val="en-US"/>
        </w:rPr>
        <w:t xml:space="preserve">contains the correct time for the doctor’s appointment. </w:t>
      </w:r>
      <w:r w:rsidR="00D66FA1">
        <w:rPr>
          <w:lang w:val="en-US"/>
        </w:rPr>
        <w:t>If</w:t>
      </w:r>
      <w:r w:rsidR="002C264D">
        <w:rPr>
          <w:lang w:val="en-US"/>
        </w:rPr>
        <w:t xml:space="preserve"> JOKESTER</w:t>
      </w:r>
      <w:r w:rsidR="00995388">
        <w:rPr>
          <w:lang w:val="en-US"/>
        </w:rPr>
        <w:t xml:space="preserve"> and</w:t>
      </w:r>
      <w:r w:rsidR="002C264D">
        <w:rPr>
          <w:lang w:val="en-US"/>
        </w:rPr>
        <w:t xml:space="preserve"> FAKE BARNS</w:t>
      </w:r>
      <w:r w:rsidR="00995388">
        <w:rPr>
          <w:lang w:val="en-US"/>
        </w:rPr>
        <w:t xml:space="preserve"> are structurally similar</w:t>
      </w:r>
      <w:r w:rsidR="006F6A10">
        <w:rPr>
          <w:lang w:val="en-US"/>
        </w:rPr>
        <w:t>,</w:t>
      </w:r>
      <w:r w:rsidR="00F73A14">
        <w:rPr>
          <w:lang w:val="en-US"/>
        </w:rPr>
        <w:t xml:space="preserve"> </w:t>
      </w:r>
      <w:r w:rsidR="00F871F5">
        <w:rPr>
          <w:lang w:val="en-US"/>
        </w:rPr>
        <w:t>the proponent of the safety con</w:t>
      </w:r>
      <w:r w:rsidR="006F6A10">
        <w:rPr>
          <w:lang w:val="en-US"/>
        </w:rPr>
        <w:t>dition must reject</w:t>
      </w:r>
      <w:r w:rsidR="00D66FA1">
        <w:rPr>
          <w:lang w:val="en-US"/>
        </w:rPr>
        <w:t xml:space="preserve"> the m-parity principle. After all, the safety condition will deliver the verdict of ignorance regarding both cases only if the notebook is not treated as part of the cognitive process that Otto uses in the actual world, since in all possible worlds where Otto forms a belief by consulting it about the doctor’s appointment he will end up with a true belief.</w:t>
      </w:r>
      <w:r w:rsidR="006F6A10">
        <w:rPr>
          <w:lang w:val="en-US"/>
        </w:rPr>
        <w:t xml:space="preserve"> </w:t>
      </w:r>
      <w:r w:rsidR="00FF3D30">
        <w:rPr>
          <w:lang w:val="en-US"/>
        </w:rPr>
        <w:t xml:space="preserve">Therefore safety </w:t>
      </w:r>
      <w:r w:rsidR="00D66FA1">
        <w:rPr>
          <w:lang w:val="en-US"/>
        </w:rPr>
        <w:t xml:space="preserve">theorists are committed to </w:t>
      </w:r>
      <w:r w:rsidR="002368CE">
        <w:rPr>
          <w:lang w:val="en-US"/>
        </w:rPr>
        <w:t xml:space="preserve">metaphysical </w:t>
      </w:r>
      <w:r w:rsidR="00D66FA1">
        <w:rPr>
          <w:lang w:val="en-US"/>
        </w:rPr>
        <w:t>bioprejudice.</w:t>
      </w:r>
      <w:r w:rsidR="002368CE">
        <w:rPr>
          <w:lang w:val="en-US"/>
        </w:rPr>
        <w:t xml:space="preserve"> The notebook is not a part of Otto’s cognition.</w:t>
      </w:r>
    </w:p>
    <w:p w:rsidR="004016AC" w:rsidRDefault="004016AC" w:rsidP="00BF40F3">
      <w:pPr>
        <w:spacing w:line="480" w:lineRule="auto"/>
        <w:jc w:val="both"/>
        <w:rPr>
          <w:lang w:val="en-US"/>
        </w:rPr>
      </w:pPr>
      <w:r>
        <w:rPr>
          <w:lang w:val="en-US"/>
        </w:rPr>
        <w:t xml:space="preserve">Carter </w:t>
      </w:r>
      <w:r w:rsidR="00FF3D30">
        <w:rPr>
          <w:lang w:val="en-US"/>
        </w:rPr>
        <w:t xml:space="preserve">also argues </w:t>
      </w:r>
      <w:r>
        <w:rPr>
          <w:lang w:val="en-US"/>
        </w:rPr>
        <w:t>that the safety condition i</w:t>
      </w:r>
      <w:r w:rsidR="002368CE">
        <w:rPr>
          <w:lang w:val="en-US"/>
        </w:rPr>
        <w:t>s in tension with the e-</w:t>
      </w:r>
      <w:r>
        <w:rPr>
          <w:lang w:val="en-US"/>
        </w:rPr>
        <w:t>parity principle. He does this by presenting an intracrani</w:t>
      </w:r>
      <w:r w:rsidR="00E904DF">
        <w:rPr>
          <w:lang w:val="en-US"/>
        </w:rPr>
        <w:t>al analogue of JOKESTER</w:t>
      </w:r>
      <w:r>
        <w:rPr>
          <w:lang w:val="en-US"/>
        </w:rPr>
        <w:t xml:space="preserve"> where knowledge </w:t>
      </w:r>
      <w:r w:rsidR="00FF3D30">
        <w:rPr>
          <w:lang w:val="en-US"/>
        </w:rPr>
        <w:t xml:space="preserve">is </w:t>
      </w:r>
      <w:r>
        <w:rPr>
          <w:lang w:val="en-US"/>
        </w:rPr>
        <w:t>int</w:t>
      </w:r>
      <w:r w:rsidR="00FF3D30">
        <w:rPr>
          <w:lang w:val="en-US"/>
        </w:rPr>
        <w:t>uitively</w:t>
      </w:r>
      <w:r>
        <w:rPr>
          <w:lang w:val="en-US"/>
        </w:rPr>
        <w:t xml:space="preserve"> present:</w:t>
      </w:r>
    </w:p>
    <w:p w:rsidR="004016AC" w:rsidRDefault="004016AC" w:rsidP="00BF40F3">
      <w:pPr>
        <w:spacing w:line="480" w:lineRule="auto"/>
        <w:jc w:val="both"/>
        <w:rPr>
          <w:lang w:val="en-US"/>
        </w:rPr>
      </w:pPr>
      <w:r>
        <w:rPr>
          <w:lang w:val="en-US"/>
        </w:rPr>
        <w:t>FORGETFULNESS: “Otto* (without Alzheimer’s) has a normally functioning biological memory, which he relies on to organize</w:t>
      </w:r>
      <w:r w:rsidR="001879F4">
        <w:rPr>
          <w:lang w:val="en-US"/>
        </w:rPr>
        <w:t xml:space="preserve"> his world. A</w:t>
      </w:r>
      <w:r>
        <w:rPr>
          <w:lang w:val="en-US"/>
        </w:rPr>
        <w:t>typically for Otto*, he forgets the time of his other appointments today – believing they were earlier than they actually are – though he does remember that his doctor’s appointment is at noon.”</w:t>
      </w:r>
      <w:r w:rsidR="00406353">
        <w:rPr>
          <w:lang w:val="en-US"/>
        </w:rPr>
        <w:t xml:space="preserve"> </w:t>
      </w:r>
      <w:r w:rsidR="00406353">
        <w:rPr>
          <w:lang w:val="en-US"/>
        </w:rPr>
        <w:fldChar w:fldCharType="begin"/>
      </w:r>
      <w:r w:rsidR="00FF3D30">
        <w:rPr>
          <w:lang w:val="en-US"/>
        </w:rPr>
        <w:instrText xml:space="preserve"> ADDIN EN.CITE &lt;EndNote&gt;&lt;Cite&gt;&lt;Author&gt;Carter&lt;/Author&gt;&lt;Year&gt;2013&lt;/Year&gt;&lt;RecNum&gt;8&lt;/RecNum&gt;&lt;Pages&gt;4207&lt;/Pages&gt;&lt;DisplayText&gt;(Carter, 2013, p. 4207)&lt;/DisplayText&gt;&lt;record&gt;&lt;rec-number&gt;8&lt;/rec-number&gt;&lt;foreign-keys&gt;&lt;key app="EN" db-id="0vpawwrfrtdxzge9z5uvtw9lxxsetrv5095d" timestamp="1418652244"&gt;8&lt;/key&gt;&lt;/foreign-keys&gt;&lt;ref-type name="Journal Article"&gt;17&lt;/ref-type&gt;&lt;contributors&gt;&lt;authors&gt;&lt;author&gt;Carter, J. A.&lt;/author&gt;&lt;/authors&gt;&lt;/contributors&gt;&lt;titles&gt;&lt;title&gt;Extended cognition and epistemic luck&lt;/title&gt;&lt;secondary-title&gt;Synthese&lt;/secondary-title&gt;&lt;/titles&gt;&lt;periodical&gt;&lt;full-title&gt;Synthese&lt;/full-title&gt;&lt;/periodical&gt;&lt;pages&gt;4201–4214&lt;/pages&gt;&lt;volume&gt;190&lt;/volume&gt;&lt;dates&gt;&lt;year&gt;2013&lt;/year&gt;&lt;/dates&gt;&lt;urls&gt;&lt;/urls&gt;&lt;electronic-resource-num&gt;DOI 10.1007/s11229-013-0267-3&lt;/electronic-resource-num&gt;&lt;/record&gt;&lt;/Cite&gt;&lt;/EndNote&gt;</w:instrText>
      </w:r>
      <w:r w:rsidR="00406353">
        <w:rPr>
          <w:lang w:val="en-US"/>
        </w:rPr>
        <w:fldChar w:fldCharType="separate"/>
      </w:r>
      <w:r w:rsidR="005F5575">
        <w:rPr>
          <w:noProof/>
          <w:lang w:val="en-US"/>
        </w:rPr>
        <w:t>(Carter, 2013, p. 4207)</w:t>
      </w:r>
      <w:r w:rsidR="00406353">
        <w:rPr>
          <w:lang w:val="en-US"/>
        </w:rPr>
        <w:fldChar w:fldCharType="end"/>
      </w:r>
    </w:p>
    <w:p w:rsidR="00E04BC9" w:rsidRDefault="005F5575" w:rsidP="00BF40F3">
      <w:pPr>
        <w:spacing w:line="480" w:lineRule="auto"/>
        <w:jc w:val="both"/>
        <w:rPr>
          <w:lang w:val="en-US"/>
        </w:rPr>
      </w:pPr>
      <w:r>
        <w:rPr>
          <w:lang w:val="en-US"/>
        </w:rPr>
        <w:t>FORGETFULNESS</w:t>
      </w:r>
      <w:r w:rsidR="00420BE7">
        <w:rPr>
          <w:lang w:val="en-US"/>
        </w:rPr>
        <w:t xml:space="preserve"> seems to be an intracrani</w:t>
      </w:r>
      <w:r>
        <w:rPr>
          <w:lang w:val="en-US"/>
        </w:rPr>
        <w:t>al analogue of JOKESTER</w:t>
      </w:r>
      <w:r w:rsidR="00000606">
        <w:rPr>
          <w:lang w:val="en-US"/>
        </w:rPr>
        <w:t>. If that is true</w:t>
      </w:r>
      <w:r w:rsidR="00420BE7">
        <w:rPr>
          <w:lang w:val="en-US"/>
        </w:rPr>
        <w:t xml:space="preserve">, then the cases should be epistemically on </w:t>
      </w:r>
      <w:r w:rsidR="00FF3D30">
        <w:rPr>
          <w:lang w:val="en-US"/>
        </w:rPr>
        <w:t xml:space="preserve">a </w:t>
      </w:r>
      <w:r w:rsidR="00420BE7">
        <w:rPr>
          <w:lang w:val="en-US"/>
        </w:rPr>
        <w:t xml:space="preserve">par. Given, however, that in </w:t>
      </w:r>
      <w:r w:rsidR="00B011DC">
        <w:rPr>
          <w:lang w:val="en-US"/>
        </w:rPr>
        <w:t>FORGETFULNESS</w:t>
      </w:r>
      <w:r w:rsidR="00420BE7">
        <w:rPr>
          <w:lang w:val="en-US"/>
        </w:rPr>
        <w:t xml:space="preserve"> Otto* forms his belief “</w:t>
      </w:r>
      <w:r w:rsidR="00420BE7" w:rsidRPr="00420BE7">
        <w:rPr>
          <w:i/>
          <w:lang w:val="en-US"/>
        </w:rPr>
        <w:t>by consulting a clear memory of the time of the appointment</w:t>
      </w:r>
      <w:r w:rsidR="00420BE7">
        <w:rPr>
          <w:i/>
          <w:lang w:val="en-US"/>
        </w:rPr>
        <w:t xml:space="preserve"> </w:t>
      </w:r>
      <w:r w:rsidR="00420BE7" w:rsidRPr="00420BE7">
        <w:rPr>
          <w:lang w:val="en-US"/>
        </w:rPr>
        <w:t>—</w:t>
      </w:r>
      <w:r w:rsidR="00420BE7">
        <w:rPr>
          <w:lang w:val="en-US"/>
        </w:rPr>
        <w:t xml:space="preserve"> </w:t>
      </w:r>
      <w:r w:rsidR="00420BE7" w:rsidRPr="00420BE7">
        <w:rPr>
          <w:lang w:val="en-US"/>
        </w:rPr>
        <w:t>he could</w:t>
      </w:r>
      <w:r w:rsidR="00420BE7">
        <w:rPr>
          <w:lang w:val="en-US"/>
        </w:rPr>
        <w:t xml:space="preserve"> </w:t>
      </w:r>
      <w:r w:rsidR="00420BE7" w:rsidRPr="00420BE7">
        <w:rPr>
          <w:lang w:val="en-US"/>
        </w:rPr>
        <w:t>not</w:t>
      </w:r>
      <w:r w:rsidR="00420BE7">
        <w:rPr>
          <w:lang w:val="en-US"/>
        </w:rPr>
        <w:t xml:space="preserve"> </w:t>
      </w:r>
      <w:r w:rsidR="00420BE7" w:rsidRPr="00420BE7">
        <w:rPr>
          <w:lang w:val="en-US"/>
        </w:rPr>
        <w:t>easily</w:t>
      </w:r>
      <w:r w:rsidR="00420BE7">
        <w:rPr>
          <w:lang w:val="en-US"/>
        </w:rPr>
        <w:t xml:space="preserve"> have b</w:t>
      </w:r>
      <w:r w:rsidR="00420BE7" w:rsidRPr="00420BE7">
        <w:rPr>
          <w:lang w:val="en-US"/>
        </w:rPr>
        <w:t>een</w:t>
      </w:r>
      <w:r w:rsidR="00420BE7">
        <w:rPr>
          <w:lang w:val="en-US"/>
        </w:rPr>
        <w:t xml:space="preserve"> wrong” </w:t>
      </w:r>
      <w:r w:rsidR="00420BE7">
        <w:rPr>
          <w:lang w:val="en-US"/>
        </w:rPr>
        <w:fldChar w:fldCharType="begin"/>
      </w:r>
      <w:r w:rsidR="00FF3D30">
        <w:rPr>
          <w:lang w:val="en-US"/>
        </w:rPr>
        <w:instrText xml:space="preserve"> ADDIN EN.CITE &lt;EndNote&gt;&lt;Cite&gt;&lt;Author&gt;Carter&lt;/Author&gt;&lt;Year&gt;2013&lt;/Year&gt;&lt;RecNum&gt;8&lt;/RecNum&gt;&lt;Pages&gt;4207&lt;/Pages&gt;&lt;DisplayText&gt;(Carter, 2013, p. 4207)&lt;/DisplayText&gt;&lt;record&gt;&lt;rec-number&gt;8&lt;/rec-number&gt;&lt;foreign-keys&gt;&lt;key app="EN" db-id="0vpawwrfrtdxzge9z5uvtw9lxxsetrv5095d" timestamp="1418652244"&gt;8&lt;/key&gt;&lt;/foreign-keys&gt;&lt;ref-type name="Journal Article"&gt;17&lt;/ref-type&gt;&lt;contributors&gt;&lt;authors&gt;&lt;author&gt;Carter, J. A.&lt;/author&gt;&lt;/authors&gt;&lt;/contributors&gt;&lt;titles&gt;&lt;title&gt;Extended cognition and epistemic luck&lt;/title&gt;&lt;secondary-title&gt;Synthese&lt;/secondary-title&gt;&lt;/titles&gt;&lt;periodical&gt;&lt;full-title&gt;Synthese&lt;/full-title&gt;&lt;/periodical&gt;&lt;pages&gt;4201–4214&lt;/pages&gt;&lt;volume&gt;190&lt;/volume&gt;&lt;dates&gt;&lt;year&gt;2013&lt;/year&gt;&lt;/dates&gt;&lt;urls&gt;&lt;/urls&gt;&lt;electronic-resource-num&gt;DOI 10.1007/s11229-013-0267-3&lt;/electronic-resource-num&gt;&lt;/record&gt;&lt;/Cite&gt;&lt;/EndNote&gt;</w:instrText>
      </w:r>
      <w:r w:rsidR="00420BE7">
        <w:rPr>
          <w:lang w:val="en-US"/>
        </w:rPr>
        <w:fldChar w:fldCharType="separate"/>
      </w:r>
      <w:r w:rsidR="002B20BF">
        <w:rPr>
          <w:noProof/>
          <w:lang w:val="en-US"/>
        </w:rPr>
        <w:t>(Carter, 2013, p. 4207)</w:t>
      </w:r>
      <w:r w:rsidR="00420BE7">
        <w:rPr>
          <w:lang w:val="en-US"/>
        </w:rPr>
        <w:fldChar w:fldCharType="end"/>
      </w:r>
      <w:r w:rsidR="00CA1167">
        <w:rPr>
          <w:lang w:val="en-US"/>
        </w:rPr>
        <w:t>. Therefore Otto* does satisfy the safety condition, which is problematic given that it is not satisfied in the extracranial analogue (at least if we exclude the notebook). Moreover, it seems that these are intuitive verdicts. Intuitively</w:t>
      </w:r>
      <w:r w:rsidR="009A6520">
        <w:rPr>
          <w:lang w:val="en-US"/>
        </w:rPr>
        <w:t>,</w:t>
      </w:r>
      <w:r w:rsidR="00CA1167">
        <w:rPr>
          <w:lang w:val="en-US"/>
        </w:rPr>
        <w:t xml:space="preserve"> Otto does not have knowledge while Otto* has. In the next section I will argue that both of Carter’s arguments fail</w:t>
      </w:r>
      <w:r w:rsidR="009435DB">
        <w:rPr>
          <w:lang w:val="en-US"/>
        </w:rPr>
        <w:t>.</w:t>
      </w:r>
      <w:r w:rsidR="00D66FA1">
        <w:rPr>
          <w:lang w:val="en-US"/>
        </w:rPr>
        <w:t xml:space="preserve"> The m-parity principle is not violated by the safety condition since Otto could easily have formed </w:t>
      </w:r>
      <w:r w:rsidR="00D66FA1" w:rsidRPr="00D66FA1">
        <w:rPr>
          <w:i/>
          <w:lang w:val="en-US"/>
        </w:rPr>
        <w:t>a</w:t>
      </w:r>
      <w:r w:rsidR="006F1B89">
        <w:rPr>
          <w:lang w:val="en-US"/>
        </w:rPr>
        <w:t xml:space="preserve"> false belief by</w:t>
      </w:r>
      <w:r w:rsidR="009A6520">
        <w:rPr>
          <w:lang w:val="en-US"/>
        </w:rPr>
        <w:t xml:space="preserve"> consulting his</w:t>
      </w:r>
      <w:r w:rsidR="00D66FA1">
        <w:rPr>
          <w:lang w:val="en-US"/>
        </w:rPr>
        <w:t xml:space="preserve"> notebook. The e-parity principle is not </w:t>
      </w:r>
      <w:r w:rsidR="00C16205">
        <w:rPr>
          <w:lang w:val="en-US"/>
        </w:rPr>
        <w:t>violated since the cases are</w:t>
      </w:r>
      <w:r w:rsidR="00D66FA1">
        <w:rPr>
          <w:lang w:val="en-US"/>
        </w:rPr>
        <w:t xml:space="preserve"> in fact</w:t>
      </w:r>
      <w:r w:rsidR="00B011DC">
        <w:rPr>
          <w:lang w:val="en-US"/>
        </w:rPr>
        <w:t xml:space="preserve"> </w:t>
      </w:r>
      <w:r w:rsidR="00C16205">
        <w:rPr>
          <w:lang w:val="en-US"/>
        </w:rPr>
        <w:t xml:space="preserve">not </w:t>
      </w:r>
      <w:r w:rsidR="00B011DC">
        <w:rPr>
          <w:lang w:val="en-US"/>
        </w:rPr>
        <w:t>analogous. In JOKESTER</w:t>
      </w:r>
      <w:r w:rsidR="00D66FA1">
        <w:rPr>
          <w:lang w:val="en-US"/>
        </w:rPr>
        <w:t xml:space="preserve"> Otto’s memory is not a virtuous f</w:t>
      </w:r>
      <w:r w:rsidR="00B011DC">
        <w:rPr>
          <w:lang w:val="en-US"/>
        </w:rPr>
        <w:t>aculty, whereas in FORGETFULNESS</w:t>
      </w:r>
      <w:r w:rsidR="00D66FA1">
        <w:rPr>
          <w:lang w:val="en-US"/>
        </w:rPr>
        <w:t xml:space="preserve"> it is.</w:t>
      </w:r>
    </w:p>
    <w:p w:rsidR="00922CA9" w:rsidRDefault="00922CA9" w:rsidP="00BF40F3">
      <w:pPr>
        <w:pStyle w:val="Luettelokappale"/>
        <w:numPr>
          <w:ilvl w:val="0"/>
          <w:numId w:val="1"/>
        </w:numPr>
        <w:spacing w:line="480" w:lineRule="auto"/>
        <w:jc w:val="both"/>
        <w:rPr>
          <w:lang w:val="en-US"/>
        </w:rPr>
      </w:pPr>
      <w:r>
        <w:rPr>
          <w:lang w:val="en-US"/>
        </w:rPr>
        <w:t>NO TENSION WITH M-PARITY PRINCIPLE</w:t>
      </w:r>
    </w:p>
    <w:p w:rsidR="00922CA9" w:rsidRDefault="00922CA9" w:rsidP="00BF40F3">
      <w:pPr>
        <w:spacing w:line="480" w:lineRule="auto"/>
        <w:jc w:val="both"/>
        <w:rPr>
          <w:lang w:val="en-US"/>
        </w:rPr>
      </w:pPr>
      <w:r>
        <w:rPr>
          <w:lang w:val="en-US"/>
        </w:rPr>
        <w:lastRenderedPageBreak/>
        <w:t>First of all</w:t>
      </w:r>
      <w:r w:rsidR="009A6520">
        <w:rPr>
          <w:lang w:val="en-US"/>
        </w:rPr>
        <w:t>,</w:t>
      </w:r>
      <w:r>
        <w:rPr>
          <w:lang w:val="en-US"/>
        </w:rPr>
        <w:t xml:space="preserve"> it should be noted that Carter’s argument rests on an overly simplified version of the safety condition that is not globalized to a set of propositions. </w:t>
      </w:r>
      <w:r w:rsidR="00B560BA">
        <w:rPr>
          <w:lang w:val="en-US"/>
        </w:rPr>
        <w:t xml:space="preserve">Similarly, he does not recognize the need to globalize the modal account of luck to a set of events </w:t>
      </w:r>
      <w:r w:rsidR="00FC77C4">
        <w:rPr>
          <w:lang w:val="en-US"/>
        </w:rPr>
        <w:fldChar w:fldCharType="begin"/>
      </w:r>
      <w:r w:rsidR="00FF3D30">
        <w:rPr>
          <w:lang w:val="en-US"/>
        </w:rPr>
        <w:instrText xml:space="preserve"> ADDIN EN.CITE &lt;EndNote&gt;&lt;Cite&gt;&lt;Author&gt;Carter&lt;/Author&gt;&lt;Year&gt;2013&lt;/Year&gt;&lt;RecNum&gt;8&lt;/RecNum&gt;&lt;Pages&gt;4205&lt;/Pages&gt;&lt;DisplayText&gt;(Carter, 2013, p. 4205)&lt;/DisplayText&gt;&lt;record&gt;&lt;rec-number&gt;8&lt;/rec-number&gt;&lt;foreign-keys&gt;&lt;key app="EN" db-id="0vpawwrfrtdxzge9z5uvtw9lxxsetrv5095d" timestamp="1418652244"&gt;8&lt;/key&gt;&lt;/foreign-keys&gt;&lt;ref-type name="Journal Article"&gt;17&lt;/ref-type&gt;&lt;contributors&gt;&lt;authors&gt;&lt;author&gt;Carter, J. A.&lt;/author&gt;&lt;/authors&gt;&lt;/contributors&gt;&lt;titles&gt;&lt;title&gt;Extended cognition and epistemic luck&lt;/title&gt;&lt;secondary-title&gt;Synthese&lt;/secondary-title&gt;&lt;/titles&gt;&lt;periodical&gt;&lt;full-title&gt;Synthese&lt;/full-title&gt;&lt;/periodical&gt;&lt;pages&gt;4201–4214&lt;/pages&gt;&lt;volume&gt;190&lt;/volume&gt;&lt;dates&gt;&lt;year&gt;2013&lt;/year&gt;&lt;/dates&gt;&lt;urls&gt;&lt;/urls&gt;&lt;electronic-resource-num&gt;DOI 10.1007/s11229-013-0267-3&lt;/electronic-resource-num&gt;&lt;/record&gt;&lt;/Cite&gt;&lt;/EndNote&gt;</w:instrText>
      </w:r>
      <w:r w:rsidR="00FC77C4">
        <w:rPr>
          <w:lang w:val="en-US"/>
        </w:rPr>
        <w:fldChar w:fldCharType="separate"/>
      </w:r>
      <w:r w:rsidR="002B20BF">
        <w:rPr>
          <w:noProof/>
          <w:lang w:val="en-US"/>
        </w:rPr>
        <w:t>(Carter, 2013, p. 4205)</w:t>
      </w:r>
      <w:r w:rsidR="00FC77C4">
        <w:rPr>
          <w:lang w:val="en-US"/>
        </w:rPr>
        <w:fldChar w:fldCharType="end"/>
      </w:r>
      <w:r w:rsidR="00B560BA">
        <w:rPr>
          <w:lang w:val="en-US"/>
        </w:rPr>
        <w:t xml:space="preserve">. </w:t>
      </w:r>
      <w:r w:rsidR="00FC77C4">
        <w:rPr>
          <w:lang w:val="en-US"/>
        </w:rPr>
        <w:t>These mistakes are of course understandable, but they are mistakes nonetheless. Crucially, Carter’s entire arg</w:t>
      </w:r>
      <w:r w:rsidR="009A6520">
        <w:rPr>
          <w:lang w:val="en-US"/>
        </w:rPr>
        <w:t>ument for the claim that safety-</w:t>
      </w:r>
      <w:r w:rsidR="00FC77C4">
        <w:rPr>
          <w:lang w:val="en-US"/>
        </w:rPr>
        <w:t>inspired anti-luck epistemology is in tension with the m-parity principle rests on the fact that he does not have a globalized version of the modal account of luck and of the safety condition at his disposal.</w:t>
      </w:r>
    </w:p>
    <w:p w:rsidR="00FC77C4" w:rsidRDefault="00FC77C4" w:rsidP="00BF40F3">
      <w:pPr>
        <w:spacing w:line="480" w:lineRule="auto"/>
        <w:jc w:val="both"/>
        <w:rPr>
          <w:lang w:val="en-US"/>
        </w:rPr>
      </w:pPr>
      <w:r>
        <w:rPr>
          <w:lang w:val="en-US"/>
        </w:rPr>
        <w:t>It is quite easy to see that the safety condition, as we have formulated it, is not sat</w:t>
      </w:r>
      <w:r w:rsidR="00B011DC">
        <w:rPr>
          <w:lang w:val="en-US"/>
        </w:rPr>
        <w:t>isfied in JOKESTER</w:t>
      </w:r>
      <w:r>
        <w:rPr>
          <w:lang w:val="en-US"/>
        </w:rPr>
        <w:t xml:space="preserve">, even if we keep the notebook fixed (as it is constituted </w:t>
      </w:r>
      <w:r w:rsidR="009A6520">
        <w:rPr>
          <w:lang w:val="en-US"/>
        </w:rPr>
        <w:t xml:space="preserve">in the actual world) in all </w:t>
      </w:r>
      <w:r>
        <w:rPr>
          <w:lang w:val="en-US"/>
        </w:rPr>
        <w:t>relevant possible worlds.</w:t>
      </w:r>
      <w:r w:rsidR="00AF752A">
        <w:rPr>
          <w:lang w:val="en-US"/>
        </w:rPr>
        <w:t xml:space="preserve"> After all, Otto could very easil</w:t>
      </w:r>
      <w:r w:rsidR="009A6520">
        <w:rPr>
          <w:lang w:val="en-US"/>
        </w:rPr>
        <w:t>y have formed a false belief by consulting his</w:t>
      </w:r>
      <w:r w:rsidR="00AF752A">
        <w:rPr>
          <w:lang w:val="en-US"/>
        </w:rPr>
        <w:t xml:space="preserve"> notebook. Therefore</w:t>
      </w:r>
      <w:r w:rsidR="009A1322">
        <w:rPr>
          <w:lang w:val="en-US"/>
        </w:rPr>
        <w:t xml:space="preserve"> his true belief is not</w:t>
      </w:r>
      <w:r w:rsidR="00AF752A">
        <w:rPr>
          <w:lang w:val="en-US"/>
        </w:rPr>
        <w:t xml:space="preserve"> safe. True, the belief that he formed in the actual world could not have been false if we keep the notebook fixed, but this does not mean t</w:t>
      </w:r>
      <w:r w:rsidR="00B011DC">
        <w:rPr>
          <w:lang w:val="en-US"/>
        </w:rPr>
        <w:t>hat he is</w:t>
      </w:r>
      <w:r w:rsidR="00AF752A">
        <w:rPr>
          <w:lang w:val="en-US"/>
        </w:rPr>
        <w:t xml:space="preserve"> safe</w:t>
      </w:r>
      <w:r w:rsidR="00B011DC">
        <w:rPr>
          <w:lang w:val="en-US"/>
        </w:rPr>
        <w:t xml:space="preserve"> from error</w:t>
      </w:r>
      <w:r w:rsidR="005F5575">
        <w:rPr>
          <w:lang w:val="en-US"/>
        </w:rPr>
        <w:t>, which is what the safety condition requires.</w:t>
      </w:r>
    </w:p>
    <w:p w:rsidR="00ED3B1B" w:rsidRPr="00ED3B1B" w:rsidRDefault="00AF752A" w:rsidP="00BF40F3">
      <w:pPr>
        <w:spacing w:line="480" w:lineRule="auto"/>
        <w:jc w:val="both"/>
        <w:rPr>
          <w:color w:val="FF0000"/>
          <w:lang w:val="en-US"/>
        </w:rPr>
      </w:pPr>
      <w:r>
        <w:rPr>
          <w:lang w:val="en-US"/>
        </w:rPr>
        <w:t xml:space="preserve">One </w:t>
      </w:r>
      <w:r w:rsidR="00B011DC">
        <w:rPr>
          <w:lang w:val="en-US"/>
        </w:rPr>
        <w:t>might object that FAKE BARNS and JOKESTER</w:t>
      </w:r>
      <w:r>
        <w:rPr>
          <w:lang w:val="en-US"/>
        </w:rPr>
        <w:t xml:space="preserve"> are not analogous from an epistemic point of view since there is an epistemic difference between the cases, namely that the non-globalized version of the safety condition </w:t>
      </w:r>
      <w:r w:rsidR="00B011DC">
        <w:rPr>
          <w:lang w:val="en-US"/>
        </w:rPr>
        <w:t>is satisfied in JOKESTER</w:t>
      </w:r>
      <w:r>
        <w:rPr>
          <w:lang w:val="en-US"/>
        </w:rPr>
        <w:t xml:space="preserve"> while it is not </w:t>
      </w:r>
      <w:r w:rsidR="00B011DC">
        <w:rPr>
          <w:lang w:val="en-US"/>
        </w:rPr>
        <w:t>satisfied in FAKE BARNS</w:t>
      </w:r>
      <w:r w:rsidR="009A6520">
        <w:rPr>
          <w:lang w:val="en-US"/>
        </w:rPr>
        <w:t>,</w:t>
      </w:r>
      <w:r>
        <w:rPr>
          <w:lang w:val="en-US"/>
        </w:rPr>
        <w:t xml:space="preserve"> and that this fact alone suffices to show that the globalized safety condition is in tension with </w:t>
      </w:r>
      <w:r w:rsidR="009A6520">
        <w:rPr>
          <w:lang w:val="en-US"/>
        </w:rPr>
        <w:t xml:space="preserve">the </w:t>
      </w:r>
      <w:r>
        <w:rPr>
          <w:lang w:val="en-US"/>
        </w:rPr>
        <w:t>m-parity principle. However,</w:t>
      </w:r>
      <w:r w:rsidRPr="006D622C">
        <w:rPr>
          <w:lang w:val="en-US"/>
        </w:rPr>
        <w:t xml:space="preserve"> </w:t>
      </w:r>
      <w:r w:rsidR="00ED3B1B" w:rsidRPr="006D622C">
        <w:rPr>
          <w:lang w:val="en-US"/>
        </w:rPr>
        <w:t xml:space="preserve">at this juncture it is important to recall that the </w:t>
      </w:r>
      <w:r w:rsidR="00F4624C" w:rsidRPr="006D622C">
        <w:rPr>
          <w:lang w:val="en-US"/>
        </w:rPr>
        <w:t xml:space="preserve">local </w:t>
      </w:r>
      <w:r w:rsidR="00ED3B1B" w:rsidRPr="006D622C">
        <w:rPr>
          <w:lang w:val="en-US"/>
        </w:rPr>
        <w:t>version of the safet</w:t>
      </w:r>
      <w:r w:rsidR="009A6520">
        <w:rPr>
          <w:lang w:val="en-US"/>
        </w:rPr>
        <w:t xml:space="preserve">y condition is satisfied in </w:t>
      </w:r>
      <w:r w:rsidR="00ED3B1B" w:rsidRPr="006D622C">
        <w:rPr>
          <w:lang w:val="en-US"/>
        </w:rPr>
        <w:t>FAKE BARNS since the proposition Barney believes in has singular content. Assuming that barns are essentially barns</w:t>
      </w:r>
      <w:r w:rsidR="009A6520">
        <w:rPr>
          <w:lang w:val="en-US"/>
        </w:rPr>
        <w:t>,</w:t>
      </w:r>
      <w:r w:rsidR="00ED3B1B" w:rsidRPr="006D622C">
        <w:rPr>
          <w:lang w:val="en-US"/>
        </w:rPr>
        <w:t xml:space="preserve"> the proposition Barney believes in the actual world could not easily have been false since it is constitutive of that singular proposition that it is about a real barn. The intuition that Barney lacks knowledge stems from the fact that he could very easily have pointed at a fake barn,</w:t>
      </w:r>
      <w:r w:rsidR="009D0F74" w:rsidRPr="006D622C">
        <w:rPr>
          <w:lang w:val="en-US"/>
        </w:rPr>
        <w:t xml:space="preserve"> and believed of it that [that i</w:t>
      </w:r>
      <w:r w:rsidR="00ED3B1B" w:rsidRPr="006D622C">
        <w:rPr>
          <w:lang w:val="en-US"/>
        </w:rPr>
        <w:t>s a barn].</w:t>
      </w:r>
    </w:p>
    <w:p w:rsidR="00310BA5" w:rsidRDefault="00F4624C" w:rsidP="00BF40F3">
      <w:pPr>
        <w:spacing w:line="480" w:lineRule="auto"/>
        <w:jc w:val="both"/>
        <w:rPr>
          <w:lang w:val="en-US"/>
        </w:rPr>
      </w:pPr>
      <w:r>
        <w:rPr>
          <w:lang w:val="en-US"/>
        </w:rPr>
        <w:t>Therefore</w:t>
      </w:r>
      <w:r w:rsidR="009A6520">
        <w:rPr>
          <w:lang w:val="en-US"/>
        </w:rPr>
        <w:t>,</w:t>
      </w:r>
      <w:r>
        <w:rPr>
          <w:lang w:val="en-US"/>
        </w:rPr>
        <w:t xml:space="preserve"> </w:t>
      </w:r>
      <w:r w:rsidR="00CD73D6">
        <w:rPr>
          <w:lang w:val="en-US"/>
        </w:rPr>
        <w:t>the local safety condition</w:t>
      </w:r>
      <w:r w:rsidR="009A1322">
        <w:rPr>
          <w:lang w:val="en-US"/>
        </w:rPr>
        <w:t xml:space="preserve"> that Carter has in mind </w:t>
      </w:r>
      <w:r w:rsidRPr="006D622C">
        <w:rPr>
          <w:lang w:val="en-US"/>
        </w:rPr>
        <w:t xml:space="preserve">is, despite first impressions, satisfied in both </w:t>
      </w:r>
      <w:r w:rsidR="00B011DC" w:rsidRPr="006D622C">
        <w:rPr>
          <w:lang w:val="en-US"/>
        </w:rPr>
        <w:t>FAKE BARNS</w:t>
      </w:r>
      <w:r w:rsidRPr="006D622C">
        <w:rPr>
          <w:lang w:val="en-US"/>
        </w:rPr>
        <w:t xml:space="preserve"> and in JOKESTER</w:t>
      </w:r>
      <w:r w:rsidR="00CD73D6" w:rsidRPr="006D622C">
        <w:rPr>
          <w:lang w:val="en-US"/>
        </w:rPr>
        <w:t>.</w:t>
      </w:r>
      <w:r w:rsidRPr="006D622C">
        <w:rPr>
          <w:lang w:val="en-US"/>
        </w:rPr>
        <w:t xml:space="preserve"> Thus</w:t>
      </w:r>
      <w:r w:rsidR="009A6520">
        <w:rPr>
          <w:lang w:val="en-US"/>
        </w:rPr>
        <w:t>,</w:t>
      </w:r>
      <w:r w:rsidRPr="006D622C">
        <w:rPr>
          <w:lang w:val="en-US"/>
        </w:rPr>
        <w:t xml:space="preserve"> the above line of argument does not </w:t>
      </w:r>
      <w:r w:rsidRPr="006D622C">
        <w:rPr>
          <w:lang w:val="en-US"/>
        </w:rPr>
        <w:lastRenderedPageBreak/>
        <w:t>succeed in demonstrating that safety theories treat FAKE BARNS and JOKESTER differently. Moreover</w:t>
      </w:r>
      <w:r w:rsidR="00CD73D6" w:rsidRPr="006D622C">
        <w:rPr>
          <w:lang w:val="en-US"/>
        </w:rPr>
        <w:t xml:space="preserve">, </w:t>
      </w:r>
      <w:r w:rsidR="00B011DC" w:rsidRPr="006D622C">
        <w:rPr>
          <w:lang w:val="en-US"/>
        </w:rPr>
        <w:t xml:space="preserve">the </w:t>
      </w:r>
      <w:r w:rsidR="00CD73D6" w:rsidRPr="006D622C">
        <w:rPr>
          <w:lang w:val="en-US"/>
        </w:rPr>
        <w:t>globalized safety con</w:t>
      </w:r>
      <w:r w:rsidR="00B011DC" w:rsidRPr="006D622C">
        <w:rPr>
          <w:lang w:val="en-US"/>
        </w:rPr>
        <w:t xml:space="preserve">dition is </w:t>
      </w:r>
      <w:r w:rsidRPr="006D622C">
        <w:rPr>
          <w:lang w:val="en-US"/>
        </w:rPr>
        <w:t xml:space="preserve">not satisfied in FAKE BARNS, </w:t>
      </w:r>
      <w:r w:rsidR="00CD73D6" w:rsidRPr="006D622C">
        <w:rPr>
          <w:lang w:val="en-US"/>
        </w:rPr>
        <w:t>since Barney could easily have formed another</w:t>
      </w:r>
      <w:r w:rsidR="009A6520">
        <w:rPr>
          <w:lang w:val="en-US"/>
        </w:rPr>
        <w:t xml:space="preserve"> similar belief</w:t>
      </w:r>
      <w:r w:rsidR="00CD73D6" w:rsidRPr="006D622C">
        <w:rPr>
          <w:lang w:val="en-US"/>
        </w:rPr>
        <w:t xml:space="preserve"> which would have been false.</w:t>
      </w:r>
      <w:r w:rsidRPr="006D622C">
        <w:rPr>
          <w:lang w:val="en-US"/>
        </w:rPr>
        <w:t xml:space="preserve"> Given that the globalized version of the safety condition is not satisfied in FAKE BARNS, or in JOKESTER, it</w:t>
      </w:r>
      <w:r w:rsidR="009A6520">
        <w:rPr>
          <w:lang w:val="en-US"/>
        </w:rPr>
        <w:t xml:space="preserve"> delivers the intuitive verdict</w:t>
      </w:r>
      <w:r w:rsidRPr="006D622C">
        <w:rPr>
          <w:lang w:val="en-US"/>
        </w:rPr>
        <w:t xml:space="preserve"> that the subjects of these cases lack knowledge.</w:t>
      </w:r>
      <w:r w:rsidR="00CD73D6" w:rsidRPr="006D622C">
        <w:rPr>
          <w:lang w:val="en-US"/>
        </w:rPr>
        <w:t xml:space="preserve"> </w:t>
      </w:r>
      <w:r w:rsidR="00CD73D6">
        <w:rPr>
          <w:lang w:val="en-US"/>
        </w:rPr>
        <w:t>Therefore</w:t>
      </w:r>
      <w:r w:rsidR="009A6520">
        <w:rPr>
          <w:lang w:val="en-US"/>
        </w:rPr>
        <w:t>,</w:t>
      </w:r>
      <w:r w:rsidR="00CD73D6">
        <w:rPr>
          <w:lang w:val="en-US"/>
        </w:rPr>
        <w:t xml:space="preserve"> I con</w:t>
      </w:r>
      <w:r w:rsidR="009A6520">
        <w:rPr>
          <w:lang w:val="en-US"/>
        </w:rPr>
        <w:t>clude that Carter’s argument for</w:t>
      </w:r>
      <w:r w:rsidR="00CD73D6">
        <w:rPr>
          <w:lang w:val="en-US"/>
        </w:rPr>
        <w:t xml:space="preserve"> the tension of anti-luck epistemology and the m-parity principle is unsuccessful, once we recognize that the safety condition must be globalized to a set of propositions in the first place.</w:t>
      </w:r>
    </w:p>
    <w:p w:rsidR="00310BA5" w:rsidRDefault="00310BA5" w:rsidP="00BF40F3">
      <w:pPr>
        <w:pStyle w:val="Luettelokappale"/>
        <w:numPr>
          <w:ilvl w:val="0"/>
          <w:numId w:val="1"/>
        </w:numPr>
        <w:spacing w:line="480" w:lineRule="auto"/>
        <w:jc w:val="both"/>
        <w:rPr>
          <w:lang w:val="en-US"/>
        </w:rPr>
      </w:pPr>
      <w:r>
        <w:rPr>
          <w:lang w:val="en-US"/>
        </w:rPr>
        <w:t xml:space="preserve">NO TENSION WITH </w:t>
      </w:r>
      <w:r w:rsidR="009A6520">
        <w:rPr>
          <w:lang w:val="en-US"/>
        </w:rPr>
        <w:t xml:space="preserve">THE </w:t>
      </w:r>
      <w:r>
        <w:rPr>
          <w:lang w:val="en-US"/>
        </w:rPr>
        <w:t>E-PARITY PRINCIPLE</w:t>
      </w:r>
    </w:p>
    <w:p w:rsidR="00505A91" w:rsidRDefault="002D31EC" w:rsidP="00BF40F3">
      <w:pPr>
        <w:spacing w:line="480" w:lineRule="auto"/>
        <w:jc w:val="both"/>
        <w:rPr>
          <w:lang w:val="en-US"/>
        </w:rPr>
      </w:pPr>
      <w:r>
        <w:rPr>
          <w:lang w:val="en-US"/>
        </w:rPr>
        <w:t xml:space="preserve">Carter’s argument for the tension between </w:t>
      </w:r>
      <w:r w:rsidR="00B011DC">
        <w:rPr>
          <w:lang w:val="en-US"/>
        </w:rPr>
        <w:t xml:space="preserve">the </w:t>
      </w:r>
      <w:r>
        <w:rPr>
          <w:lang w:val="en-US"/>
        </w:rPr>
        <w:t xml:space="preserve">safety </w:t>
      </w:r>
      <w:r w:rsidR="00B011DC">
        <w:rPr>
          <w:lang w:val="en-US"/>
        </w:rPr>
        <w:t xml:space="preserve">condition </w:t>
      </w:r>
      <w:r>
        <w:rPr>
          <w:lang w:val="en-US"/>
        </w:rPr>
        <w:t>and the e-parity principle hinges on the cl</w:t>
      </w:r>
      <w:r w:rsidR="009D34DC">
        <w:rPr>
          <w:lang w:val="en-US"/>
        </w:rPr>
        <w:t>aim that FORGETFULNESS is an int</w:t>
      </w:r>
      <w:r>
        <w:rPr>
          <w:lang w:val="en-US"/>
        </w:rPr>
        <w:t xml:space="preserve">racranial analogue of JOKESTER and that knowledge is present in the former but not in the latter. It is hardly surprising that it is intuitive to think that knowledge is present in FORGETFULNESS. After all, many hold that to remember that </w:t>
      </w:r>
      <w:r>
        <w:rPr>
          <w:i/>
          <w:lang w:val="en-US"/>
        </w:rPr>
        <w:t>p</w:t>
      </w:r>
      <w:r w:rsidR="009A6520">
        <w:rPr>
          <w:lang w:val="en-US"/>
        </w:rPr>
        <w:t xml:space="preserve"> is simply to</w:t>
      </w:r>
      <w:r>
        <w:rPr>
          <w:lang w:val="en-US"/>
        </w:rPr>
        <w:t xml:space="preserve"> know that </w:t>
      </w:r>
      <w:r>
        <w:rPr>
          <w:i/>
          <w:lang w:val="en-US"/>
        </w:rPr>
        <w:t>p</w:t>
      </w:r>
      <w:r w:rsidR="009A6520">
        <w:rPr>
          <w:lang w:val="en-US"/>
        </w:rPr>
        <w:t>. According to knowledge-</w:t>
      </w:r>
      <w:r>
        <w:rPr>
          <w:lang w:val="en-US"/>
        </w:rPr>
        <w:t>first epistemologists</w:t>
      </w:r>
      <w:r w:rsidR="009D34DC">
        <w:rPr>
          <w:lang w:val="en-US"/>
        </w:rPr>
        <w:t>,</w:t>
      </w:r>
      <w:r>
        <w:rPr>
          <w:lang w:val="en-US"/>
        </w:rPr>
        <w:t xml:space="preserve"> for example</w:t>
      </w:r>
      <w:r w:rsidR="009D34DC">
        <w:rPr>
          <w:lang w:val="en-US"/>
        </w:rPr>
        <w:t>,</w:t>
      </w:r>
      <w:r>
        <w:rPr>
          <w:lang w:val="en-US"/>
        </w:rPr>
        <w:t xml:space="preserve"> remember</w:t>
      </w:r>
      <w:r w:rsidR="0011721B">
        <w:rPr>
          <w:lang w:val="en-US"/>
        </w:rPr>
        <w:t>ing</w:t>
      </w:r>
      <w:r>
        <w:rPr>
          <w:lang w:val="en-US"/>
        </w:rPr>
        <w:t xml:space="preserve"> that </w:t>
      </w:r>
      <w:r>
        <w:rPr>
          <w:i/>
          <w:lang w:val="en-US"/>
        </w:rPr>
        <w:t>p</w:t>
      </w:r>
      <w:r>
        <w:rPr>
          <w:lang w:val="en-US"/>
        </w:rPr>
        <w:t xml:space="preserve"> is a factive mental state and given that knowledge is the most general factive mental state remembering that </w:t>
      </w:r>
      <w:r>
        <w:rPr>
          <w:i/>
          <w:lang w:val="en-US"/>
        </w:rPr>
        <w:t>p</w:t>
      </w:r>
      <w:r>
        <w:rPr>
          <w:lang w:val="en-US"/>
        </w:rPr>
        <w:t xml:space="preserve"> is </w:t>
      </w:r>
      <w:r w:rsidR="009A6520">
        <w:rPr>
          <w:lang w:val="en-US"/>
        </w:rPr>
        <w:t xml:space="preserve">just </w:t>
      </w:r>
      <w:r>
        <w:rPr>
          <w:lang w:val="en-US"/>
        </w:rPr>
        <w:t xml:space="preserve">to know that </w:t>
      </w:r>
      <w:r>
        <w:rPr>
          <w:i/>
          <w:lang w:val="en-US"/>
        </w:rPr>
        <w:t>p</w:t>
      </w:r>
      <w:r w:rsidR="009D34DC">
        <w:rPr>
          <w:i/>
          <w:lang w:val="en-US"/>
        </w:rPr>
        <w:t xml:space="preserve"> </w:t>
      </w:r>
      <w:r w:rsidR="009D34DC" w:rsidRPr="009D34DC">
        <w:rPr>
          <w:lang w:val="en-US"/>
        </w:rPr>
        <w:fldChar w:fldCharType="begin"/>
      </w:r>
      <w:r w:rsidR="00FF3D30">
        <w:rPr>
          <w:lang w:val="en-US"/>
        </w:rPr>
        <w:instrText xml:space="preserve"> ADDIN EN.CITE &lt;EndNote&gt;&lt;Cite&gt;&lt;Author&gt;Williamson&lt;/Author&gt;&lt;Year&gt;2000&lt;/Year&gt;&lt;RecNum&gt;766&lt;/RecNum&gt;&lt;DisplayText&gt;(Williamson, 2000)&lt;/DisplayText&gt;&lt;record&gt;&lt;rec-number&gt;766&lt;/rec-number&gt;&lt;foreign-keys&gt;&lt;key app="EN" db-id="0vpawwrfrtdxzge9z5uvtw9lxxsetrv5095d" timestamp="1420635867"&gt;766&lt;/key&gt;&lt;/foreign-keys&gt;&lt;ref-type name="Book"&gt;6&lt;/ref-type&gt;&lt;contributors&gt;&lt;authors&gt;&lt;author&gt;Williamson, T.&lt;/author&gt;&lt;/authors&gt;&lt;/contributors&gt;&lt;titles&gt;&lt;title&gt;Knowledge and its Limits&lt;/title&gt;&lt;/titles&gt;&lt;dates&gt;&lt;year&gt;2000&lt;/year&gt;&lt;/dates&gt;&lt;pub-location&gt;Oxford&lt;/pub-location&gt;&lt;publisher&gt;Oxford University Press&lt;/publisher&gt;&lt;urls&gt;&lt;/urls&gt;&lt;/record&gt;&lt;/Cite&gt;&lt;/EndNote&gt;</w:instrText>
      </w:r>
      <w:r w:rsidR="009D34DC" w:rsidRPr="009D34DC">
        <w:rPr>
          <w:lang w:val="en-US"/>
        </w:rPr>
        <w:fldChar w:fldCharType="separate"/>
      </w:r>
      <w:r w:rsidR="009D34DC" w:rsidRPr="009D34DC">
        <w:rPr>
          <w:noProof/>
          <w:lang w:val="en-US"/>
        </w:rPr>
        <w:t>(Williamson, 2000)</w:t>
      </w:r>
      <w:r w:rsidR="009D34DC" w:rsidRPr="009D34DC">
        <w:rPr>
          <w:lang w:val="en-US"/>
        </w:rPr>
        <w:fldChar w:fldCharType="end"/>
      </w:r>
      <w:r w:rsidRPr="009D34DC">
        <w:rPr>
          <w:lang w:val="en-US"/>
        </w:rPr>
        <w:t>.</w:t>
      </w:r>
      <w:r>
        <w:rPr>
          <w:lang w:val="en-US"/>
        </w:rPr>
        <w:t xml:space="preserve"> One might argue then that the wa</w:t>
      </w:r>
      <w:r w:rsidR="00815044">
        <w:rPr>
          <w:lang w:val="en-US"/>
        </w:rPr>
        <w:t>y in which FORGETFULNESS is spelled</w:t>
      </w:r>
      <w:r>
        <w:rPr>
          <w:lang w:val="en-US"/>
        </w:rPr>
        <w:t xml:space="preserve"> out forces us to conceive it as a case of knowledge, since this is already said in the case description. This feature of the case is unfair given the dialectic situation, and therefore the case should be described in a more neutral manner. Perhaps we could substitute “does remember that” with “does have a true belief that”</w:t>
      </w:r>
      <w:r w:rsidR="00505A91">
        <w:rPr>
          <w:lang w:val="en-US"/>
        </w:rPr>
        <w:t>. If the case was reformulated along the suggested lines it would cease to be an intuitive case of knowledge, or at least the intuition of knowledge would diminish, since it would no longer be stipulated in the case description that Otto* knows when the appointment is. Of course</w:t>
      </w:r>
      <w:r w:rsidR="009D34DC">
        <w:rPr>
          <w:lang w:val="en-US"/>
        </w:rPr>
        <w:t>,</w:t>
      </w:r>
      <w:r w:rsidR="00505A91">
        <w:rPr>
          <w:lang w:val="en-US"/>
        </w:rPr>
        <w:t xml:space="preserve"> if Otto* does not know when the appointment is</w:t>
      </w:r>
      <w:r w:rsidR="009D34DC">
        <w:rPr>
          <w:lang w:val="en-US"/>
        </w:rPr>
        <w:t>,</w:t>
      </w:r>
      <w:r w:rsidR="00505A91">
        <w:rPr>
          <w:lang w:val="en-US"/>
        </w:rPr>
        <w:t xml:space="preserve"> the safety condition will not treat the pair of analogous c</w:t>
      </w:r>
      <w:r w:rsidR="00797CB0">
        <w:rPr>
          <w:lang w:val="en-US"/>
        </w:rPr>
        <w:t>ases differently, and hence will</w:t>
      </w:r>
      <w:r w:rsidR="00505A91">
        <w:rPr>
          <w:lang w:val="en-US"/>
        </w:rPr>
        <w:t xml:space="preserve"> not violate </w:t>
      </w:r>
      <w:r w:rsidR="009A6520">
        <w:rPr>
          <w:lang w:val="en-US"/>
        </w:rPr>
        <w:t xml:space="preserve">the </w:t>
      </w:r>
      <w:r w:rsidR="00505A91">
        <w:rPr>
          <w:lang w:val="en-US"/>
        </w:rPr>
        <w:t>e-parity principle.</w:t>
      </w:r>
    </w:p>
    <w:p w:rsidR="000E1BA6" w:rsidRDefault="009359A2" w:rsidP="00BF40F3">
      <w:pPr>
        <w:spacing w:line="480" w:lineRule="auto"/>
        <w:jc w:val="both"/>
        <w:rPr>
          <w:lang w:val="en-US"/>
        </w:rPr>
      </w:pPr>
      <w:r>
        <w:rPr>
          <w:lang w:val="en-US"/>
        </w:rPr>
        <w:lastRenderedPageBreak/>
        <w:t xml:space="preserve">This response </w:t>
      </w:r>
      <w:r w:rsidR="00505A91">
        <w:rPr>
          <w:lang w:val="en-US"/>
        </w:rPr>
        <w:t>is, however, somewhat disappointing, since we have not engaged with the original formulation of FORGETFULNESS. Crucially</w:t>
      </w:r>
      <w:r w:rsidR="009A6520">
        <w:rPr>
          <w:lang w:val="en-US"/>
        </w:rPr>
        <w:t xml:space="preserve">, the safety </w:t>
      </w:r>
      <w:r w:rsidR="00505A91">
        <w:rPr>
          <w:lang w:val="en-US"/>
        </w:rPr>
        <w:t>theorist does have the means to deal with the original formulation of the case as well, though by off</w:t>
      </w:r>
      <w:r w:rsidR="000E1BA6">
        <w:rPr>
          <w:lang w:val="en-US"/>
        </w:rPr>
        <w:t>er</w:t>
      </w:r>
      <w:r w:rsidR="009D34DC">
        <w:rPr>
          <w:lang w:val="en-US"/>
        </w:rPr>
        <w:t>ing principled reasons for</w:t>
      </w:r>
      <w:r w:rsidR="000E1BA6">
        <w:rPr>
          <w:lang w:val="en-US"/>
        </w:rPr>
        <w:t xml:space="preserve"> think</w:t>
      </w:r>
      <w:r w:rsidR="009D34DC">
        <w:rPr>
          <w:lang w:val="en-US"/>
        </w:rPr>
        <w:t>ing that FORGETFULNESS is not an in</w:t>
      </w:r>
      <w:r w:rsidR="00505A91">
        <w:rPr>
          <w:lang w:val="en-US"/>
        </w:rPr>
        <w:t>t</w:t>
      </w:r>
      <w:r w:rsidR="000E1BA6">
        <w:rPr>
          <w:lang w:val="en-US"/>
        </w:rPr>
        <w:t>racranial analogue of JOKESTER.</w:t>
      </w:r>
    </w:p>
    <w:p w:rsidR="000E1BA6" w:rsidRDefault="009359A2" w:rsidP="00BF40F3">
      <w:pPr>
        <w:spacing w:line="480" w:lineRule="auto"/>
        <w:jc w:val="both"/>
        <w:rPr>
          <w:lang w:val="en-US"/>
        </w:rPr>
      </w:pPr>
      <w:r>
        <w:rPr>
          <w:lang w:val="en-US"/>
        </w:rPr>
        <w:t xml:space="preserve">A crucial difference between the cases is that in FORGETFULNESS Otto*’s belief is formed through a cognitive virtue, whereas in JOKESTER Otto’s belief is formed via a non-virtuous belief-forming process. </w:t>
      </w:r>
      <w:r w:rsidR="000E1BA6">
        <w:rPr>
          <w:lang w:val="en-US"/>
        </w:rPr>
        <w:t>This explains why the cases</w:t>
      </w:r>
      <w:r>
        <w:rPr>
          <w:lang w:val="en-US"/>
        </w:rPr>
        <w:t xml:space="preserve"> are dis-</w:t>
      </w:r>
      <w:r w:rsidR="009A6520">
        <w:rPr>
          <w:lang w:val="en-US"/>
        </w:rPr>
        <w:t xml:space="preserve">analogous. Moreover, safety </w:t>
      </w:r>
      <w:r>
        <w:rPr>
          <w:lang w:val="en-US"/>
        </w:rPr>
        <w:t>theorist</w:t>
      </w:r>
      <w:r w:rsidR="009A6520">
        <w:rPr>
          <w:lang w:val="en-US"/>
        </w:rPr>
        <w:t>s</w:t>
      </w:r>
      <w:r>
        <w:rPr>
          <w:lang w:val="en-US"/>
        </w:rPr>
        <w:t xml:space="preserve"> can ta</w:t>
      </w:r>
      <w:r w:rsidR="009A6520">
        <w:rPr>
          <w:lang w:val="en-US"/>
        </w:rPr>
        <w:t>p into this feature, because they</w:t>
      </w:r>
      <w:r>
        <w:rPr>
          <w:lang w:val="en-US"/>
        </w:rPr>
        <w:t xml:space="preserve"> c</w:t>
      </w:r>
      <w:r w:rsidR="000E1BA6">
        <w:rPr>
          <w:lang w:val="en-US"/>
        </w:rPr>
        <w:t>an maintain</w:t>
      </w:r>
      <w:r>
        <w:rPr>
          <w:lang w:val="en-US"/>
        </w:rPr>
        <w:t xml:space="preserve"> that the safety condition should be relativized to the virtuous methods of belief-formation that the subject uses in the actual world.</w:t>
      </w:r>
    </w:p>
    <w:p w:rsidR="000E1BA6" w:rsidRDefault="000E1BA6" w:rsidP="00BF40F3">
      <w:pPr>
        <w:spacing w:line="480" w:lineRule="auto"/>
        <w:jc w:val="both"/>
        <w:rPr>
          <w:lang w:val="en-US"/>
        </w:rPr>
      </w:pPr>
      <w:r>
        <w:rPr>
          <w:lang w:val="en-US"/>
        </w:rPr>
        <w:t>The safety condition can be restricte</w:t>
      </w:r>
      <w:r w:rsidR="009A6520">
        <w:rPr>
          <w:lang w:val="en-US"/>
        </w:rPr>
        <w:t xml:space="preserve">d to virtuous methods of belief formation because </w:t>
      </w:r>
      <w:r>
        <w:rPr>
          <w:lang w:val="en-US"/>
        </w:rPr>
        <w:t>knowledge is always gained through epistemic virtues or competences. This is something that virtu</w:t>
      </w:r>
      <w:r w:rsidR="00C24B2E">
        <w:rPr>
          <w:lang w:val="en-US"/>
        </w:rPr>
        <w:t xml:space="preserve">e epistemologists, such as </w:t>
      </w:r>
      <w:r w:rsidR="00C24B2E">
        <w:rPr>
          <w:lang w:val="en-US"/>
        </w:rPr>
        <w:fldChar w:fldCharType="begin"/>
      </w:r>
      <w:r w:rsidR="00FF3D30">
        <w:rPr>
          <w:lang w:val="en-US"/>
        </w:rPr>
        <w:instrText xml:space="preserve"> ADDIN EN.CITE &lt;EndNote&gt;&lt;Cite AuthorYear="1"&gt;&lt;Author&gt;Sosa&lt;/Author&gt;&lt;Year&gt;2007&lt;/Year&gt;&lt;RecNum&gt;620&lt;/RecNum&gt;&lt;DisplayText&gt;Sosa (2007, 2009, 2015)&lt;/DisplayText&gt;&lt;record&gt;&lt;rec-number&gt;620&lt;/rec-number&gt;&lt;foreign-keys&gt;&lt;key app="EN" db-id="0vpawwrfrtdxzge9z5uvtw9lxxsetrv5095d" timestamp="1420629044"&gt;620&lt;/key&gt;&lt;/foreign-keys&gt;&lt;ref-type name="Book"&gt;6&lt;/ref-type&gt;&lt;contributors&gt;&lt;authors&gt;&lt;author&gt;Sosa, E.&lt;/author&gt;&lt;/authors&gt;&lt;/contributors&gt;&lt;titles&gt;&lt;title&gt;A Virtue Epistemology: Apt Belief and Reflective Knowledge: Volume I&lt;/title&gt;&lt;/titles&gt;&lt;dates&gt;&lt;year&gt;2007&lt;/year&gt;&lt;pub-dates&gt;&lt;date&gt;Apr&lt;/date&gt;&lt;/pub-dates&gt;&lt;/dates&gt;&lt;pub-location&gt;Oxford&lt;/pub-location&gt;&lt;publisher&gt;Oxford University Press&lt;/publisher&gt;&lt;urls&gt;&lt;/urls&gt;&lt;/record&gt;&lt;/Cite&gt;&lt;Cite AuthorYear="1"&gt;&lt;Author&gt;Sosa&lt;/Author&gt;&lt;Year&gt;2009&lt;/Year&gt;&lt;RecNum&gt;764&lt;/RecNum&gt;&lt;record&gt;&lt;rec-number&gt;764&lt;/rec-number&gt;&lt;foreign-keys&gt;&lt;key app="EN" db-id="0vpawwrfrtdxzge9z5uvtw9lxxsetrv5095d" timestamp="1420635554"&gt;764&lt;/key&gt;&lt;/foreign-keys&gt;&lt;ref-type name="Book"&gt;6&lt;/ref-type&gt;&lt;contributors&gt;&lt;authors&gt;&lt;author&gt;Sosa, E.&lt;/author&gt;&lt;/authors&gt;&lt;/contributors&gt;&lt;titles&gt;&lt;title&gt;Reflective Knowledge: Apt belief and Reflective Knowledge, Volume II&lt;/title&gt;&lt;/titles&gt;&lt;dates&gt;&lt;year&gt;2009&lt;/year&gt;&lt;/dates&gt;&lt;pub-location&gt;Oxford&lt;/pub-location&gt;&lt;publisher&gt;Oxford University Press&lt;/publisher&gt;&lt;urls&gt;&lt;/urls&gt;&lt;/record&gt;&lt;/Cite&gt;&lt;Cite AuthorYear="1"&gt;&lt;Author&gt;Sosa&lt;/Author&gt;&lt;Year&gt;2015&lt;/Year&gt;&lt;RecNum&gt;1503&lt;/RecNum&gt;&lt;record&gt;&lt;rec-number&gt;1503&lt;/rec-number&gt;&lt;foreign-keys&gt;&lt;key app="EN" db-id="0vpawwrfrtdxzge9z5uvtw9lxxsetrv5095d" timestamp="1444990397"&gt;1503&lt;/key&gt;&lt;/foreign-keys&gt;&lt;ref-type name="Book"&gt;6&lt;/ref-type&gt;&lt;contributors&gt;&lt;authors&gt;&lt;author&gt;Sosa, E.&lt;/author&gt;&lt;/authors&gt;&lt;/contributors&gt;&lt;titles&gt;&lt;title&gt;Judgment and Agency&lt;/title&gt;&lt;/titles&gt;&lt;dates&gt;&lt;year&gt;2015&lt;/year&gt;&lt;/dates&gt;&lt;pub-location&gt;Oxford&lt;/pub-location&gt;&lt;publisher&gt;Oxford University Press&lt;/publisher&gt;&lt;urls&gt;&lt;/urls&gt;&lt;/record&gt;&lt;/Cite&gt;&lt;/EndNote&gt;</w:instrText>
      </w:r>
      <w:r w:rsidR="00C24B2E">
        <w:rPr>
          <w:lang w:val="en-US"/>
        </w:rPr>
        <w:fldChar w:fldCharType="separate"/>
      </w:r>
      <w:r w:rsidR="00C24B2E">
        <w:rPr>
          <w:noProof/>
          <w:lang w:val="en-US"/>
        </w:rPr>
        <w:t>Sosa (2007, 2009, 2015)</w:t>
      </w:r>
      <w:r w:rsidR="00C24B2E">
        <w:rPr>
          <w:lang w:val="en-US"/>
        </w:rPr>
        <w:fldChar w:fldCharType="end"/>
      </w:r>
      <w:r>
        <w:rPr>
          <w:lang w:val="en-US"/>
        </w:rPr>
        <w:t>,</w:t>
      </w:r>
      <w:r w:rsidR="00C24B2E">
        <w:rPr>
          <w:lang w:val="en-US"/>
        </w:rPr>
        <w:t xml:space="preserve"> </w:t>
      </w:r>
      <w:r w:rsidR="002B20BF">
        <w:rPr>
          <w:lang w:val="en-US"/>
        </w:rPr>
        <w:fldChar w:fldCharType="begin"/>
      </w:r>
      <w:r w:rsidR="00FF3D30">
        <w:rPr>
          <w:lang w:val="en-US"/>
        </w:rPr>
        <w:instrText xml:space="preserve"> ADDIN EN.CITE &lt;EndNote&gt;&lt;Cite AuthorYear="1"&gt;&lt;Author&gt;Zagzebski&lt;/Author&gt;&lt;Year&gt;1996&lt;/Year&gt;&lt;RecNum&gt;1289&lt;/RecNum&gt;&lt;DisplayText&gt;Zagzebski (1996)&lt;/DisplayText&gt;&lt;record&gt;&lt;rec-number&gt;1289&lt;/rec-number&gt;&lt;foreign-keys&gt;&lt;key app="EN" db-id="0vpawwrfrtdxzge9z5uvtw9lxxsetrv5095d" timestamp="1420721995"&gt;1289&lt;/key&gt;&lt;/foreign-keys&gt;&lt;ref-type name="Book"&gt;6&lt;/ref-type&gt;&lt;contributors&gt;&lt;authors&gt;&lt;author&gt;Zagzebski, L.&lt;/author&gt;&lt;/authors&gt;&lt;/contributors&gt;&lt;titles&gt;&lt;title&gt;Virtues of the Mind: An Inquiry into the Nature of Virtue and the Ethical Foundations of Knowledge&lt;/title&gt;&lt;/titles&gt;&lt;dates&gt;&lt;year&gt;1996&lt;/year&gt;&lt;/dates&gt;&lt;pub-location&gt;Cambridge&lt;/pub-location&gt;&lt;publisher&gt;Cambridge University Press&lt;/publisher&gt;&lt;urls&gt;&lt;/urls&gt;&lt;/record&gt;&lt;/Cite&gt;&lt;/EndNote&gt;</w:instrText>
      </w:r>
      <w:r w:rsidR="002B20BF">
        <w:rPr>
          <w:lang w:val="en-US"/>
        </w:rPr>
        <w:fldChar w:fldCharType="separate"/>
      </w:r>
      <w:r w:rsidR="002B20BF">
        <w:rPr>
          <w:noProof/>
          <w:lang w:val="en-US"/>
        </w:rPr>
        <w:t>Zagzebski (1996)</w:t>
      </w:r>
      <w:r w:rsidR="002B20BF">
        <w:rPr>
          <w:lang w:val="en-US"/>
        </w:rPr>
        <w:fldChar w:fldCharType="end"/>
      </w:r>
      <w:r w:rsidR="002B20BF">
        <w:rPr>
          <w:lang w:val="en-US"/>
        </w:rPr>
        <w:t xml:space="preserve">, </w:t>
      </w:r>
      <w:r w:rsidR="00C24B2E">
        <w:rPr>
          <w:lang w:val="en-US"/>
        </w:rPr>
        <w:fldChar w:fldCharType="begin"/>
      </w:r>
      <w:r w:rsidR="00FF3D30">
        <w:rPr>
          <w:lang w:val="en-US"/>
        </w:rPr>
        <w:instrText xml:space="preserve"> ADDIN EN.CITE &lt;EndNote&gt;&lt;Cite AuthorYear="1"&gt;&lt;Author&gt;Greco&lt;/Author&gt;&lt;Year&gt;2010&lt;/Year&gt;&lt;RecNum&gt;754&lt;/RecNum&gt;&lt;DisplayText&gt;Greco (2010)&lt;/DisplayText&gt;&lt;record&gt;&lt;rec-number&gt;754&lt;/rec-number&gt;&lt;foreign-keys&gt;&lt;key app="EN" db-id="0vpawwrfrtdxzge9z5uvtw9lxxsetrv5095d" timestamp="1420632512"&gt;754&lt;/key&gt;&lt;/foreign-keys&gt;&lt;ref-type name="Book"&gt;6&lt;/ref-type&gt;&lt;contributors&gt;&lt;authors&gt;&lt;author&gt;Greco, J.&lt;/author&gt;&lt;/authors&gt;&lt;/contributors&gt;&lt;titles&gt;&lt;title&gt;Achieving Knowledge: A Virtue Theoretic Account of Epistemic Normativity&lt;/title&gt;&lt;/titles&gt;&lt;dates&gt;&lt;year&gt;2010&lt;/year&gt;&lt;/dates&gt;&lt;pub-location&gt;Cambridge&lt;/pub-location&gt;&lt;publisher&gt;Cambridge University Press&lt;/publisher&gt;&lt;urls&gt;&lt;/urls&gt;&lt;/record&gt;&lt;/Cite&gt;&lt;/EndNote&gt;</w:instrText>
      </w:r>
      <w:r w:rsidR="00C24B2E">
        <w:rPr>
          <w:lang w:val="en-US"/>
        </w:rPr>
        <w:fldChar w:fldCharType="separate"/>
      </w:r>
      <w:r w:rsidR="00C24B2E">
        <w:rPr>
          <w:noProof/>
          <w:lang w:val="en-US"/>
        </w:rPr>
        <w:t>Greco (2010)</w:t>
      </w:r>
      <w:r w:rsidR="00C24B2E">
        <w:rPr>
          <w:lang w:val="en-US"/>
        </w:rPr>
        <w:fldChar w:fldCharType="end"/>
      </w:r>
      <w:r w:rsidR="00C24B2E">
        <w:rPr>
          <w:lang w:val="en-US"/>
        </w:rPr>
        <w:t>,</w:t>
      </w:r>
      <w:r w:rsidR="002B20BF">
        <w:rPr>
          <w:lang w:val="en-US"/>
        </w:rPr>
        <w:t xml:space="preserve"> </w:t>
      </w:r>
      <w:r w:rsidR="002B20BF">
        <w:rPr>
          <w:lang w:val="en-US"/>
        </w:rPr>
        <w:fldChar w:fldCharType="begin"/>
      </w:r>
      <w:r w:rsidR="00FF3D30">
        <w:rPr>
          <w:lang w:val="en-US"/>
        </w:rPr>
        <w:instrText xml:space="preserve"> ADDIN EN.CITE &lt;EndNote&gt;&lt;Cite AuthorYear="1"&gt;&lt;Author&gt;Pritchard&lt;/Author&gt;&lt;Year&gt;2012&lt;/Year&gt;&lt;RecNum&gt;385&lt;/RecNum&gt;&lt;DisplayText&gt;Pritchard (2012)&lt;/DisplayText&gt;&lt;record&gt;&lt;rec-number&gt;385&lt;/rec-number&gt;&lt;foreign-keys&gt;&lt;key app="EN" db-id="0vpawwrfrtdxzge9z5uvtw9lxxsetrv5095d" timestamp="1418724850"&gt;385&lt;/key&gt;&lt;/foreign-keys&gt;&lt;ref-type name="Journal Article"&gt;17&lt;/ref-type&gt;&lt;contributors&gt;&lt;authors&gt;&lt;author&gt;Pritchard, D.&lt;/author&gt;&lt;/authors&gt;&lt;/contributors&gt;&lt;titles&gt;&lt;title&gt;Anti-Luck Virtue Epistemology&lt;/title&gt;&lt;secondary-title&gt;Journal of Philosophy&lt;/secondary-title&gt;&lt;/titles&gt;&lt;periodical&gt;&lt;full-title&gt;Journal of Philosophy&lt;/full-title&gt;&lt;/periodical&gt;&lt;pages&gt;247-279&lt;/pages&gt;&lt;volume&gt;109&lt;/volume&gt;&lt;number&gt;3&lt;/number&gt;&lt;dates&gt;&lt;year&gt;2012&lt;/year&gt;&lt;pub-dates&gt;&lt;date&gt;Mar&lt;/date&gt;&lt;/pub-dates&gt;&lt;/dates&gt;&lt;isbn&gt;0022-362X&lt;/isbn&gt;&lt;accession-num&gt;WOS:000311002900002&lt;/accession-num&gt;&lt;urls&gt;&lt;related-urls&gt;&lt;url&gt;&amp;lt;Go to ISI&amp;gt;://WOS:000311002900002&lt;/url&gt;&lt;/related-urls&gt;&lt;/urls&gt;&lt;/record&gt;&lt;/Cite&gt;&lt;/EndNote&gt;</w:instrText>
      </w:r>
      <w:r w:rsidR="002B20BF">
        <w:rPr>
          <w:lang w:val="en-US"/>
        </w:rPr>
        <w:fldChar w:fldCharType="separate"/>
      </w:r>
      <w:r w:rsidR="002B20BF">
        <w:rPr>
          <w:noProof/>
          <w:lang w:val="en-US"/>
        </w:rPr>
        <w:t>Pritchard (2012)</w:t>
      </w:r>
      <w:r w:rsidR="002B20BF">
        <w:rPr>
          <w:lang w:val="en-US"/>
        </w:rPr>
        <w:fldChar w:fldCharType="end"/>
      </w:r>
      <w:r w:rsidR="002B20BF">
        <w:rPr>
          <w:lang w:val="en-US"/>
        </w:rPr>
        <w:t>,</w:t>
      </w:r>
      <w:r w:rsidR="00363053">
        <w:rPr>
          <w:lang w:val="en-US"/>
        </w:rPr>
        <w:t xml:space="preserve"> </w:t>
      </w:r>
      <w:r w:rsidR="00363053">
        <w:rPr>
          <w:lang w:val="en-US"/>
        </w:rPr>
        <w:fldChar w:fldCharType="begin"/>
      </w:r>
      <w:r w:rsidR="00FF3D30">
        <w:rPr>
          <w:lang w:val="en-US"/>
        </w:rPr>
        <w:instrText xml:space="preserve"> ADDIN EN.CITE &lt;EndNote&gt;&lt;Cite AuthorYear="1"&gt;&lt;Author&gt;Miracchi&lt;/Author&gt;&lt;Year&gt;2015&lt;/Year&gt;&lt;RecNum&gt;1639&lt;/RecNum&gt;&lt;DisplayText&gt;Miracchi (2015)&lt;/DisplayText&gt;&lt;record&gt;&lt;rec-number&gt;1639&lt;/rec-number&gt;&lt;foreign-keys&gt;&lt;key app="EN" db-id="0vpawwrfrtdxzge9z5uvtw9lxxsetrv5095d" timestamp="1463139070"&gt;1639&lt;/key&gt;&lt;/foreign-keys&gt;&lt;ref-type name="Journal Article"&gt;17&lt;/ref-type&gt;&lt;contributors&gt;&lt;authors&gt;&lt;author&gt;Miracchi, L.&lt;/author&gt;&lt;/authors&gt;&lt;/contributors&gt;&lt;titles&gt;&lt;title&gt;Competence to Know&lt;/title&gt;&lt;secondary-title&gt;Philosophical Studies&lt;/secondary-title&gt;&lt;/titles&gt;&lt;periodical&gt;&lt;full-title&gt;Philosophical Studies&lt;/full-title&gt;&lt;/periodical&gt;&lt;pages&gt;29-56&lt;/pages&gt;&lt;volume&gt;172&lt;/volume&gt;&lt;dates&gt;&lt;year&gt;2015&lt;/year&gt;&lt;/dates&gt;&lt;urls&gt;&lt;/urls&gt;&lt;/record&gt;&lt;/Cite&gt;&lt;/EndNote&gt;</w:instrText>
      </w:r>
      <w:r w:rsidR="00363053">
        <w:rPr>
          <w:lang w:val="en-US"/>
        </w:rPr>
        <w:fldChar w:fldCharType="separate"/>
      </w:r>
      <w:r w:rsidR="00363053">
        <w:rPr>
          <w:noProof/>
          <w:lang w:val="en-US"/>
        </w:rPr>
        <w:t>Miracchi (2015)</w:t>
      </w:r>
      <w:r w:rsidR="00363053">
        <w:rPr>
          <w:lang w:val="en-US"/>
        </w:rPr>
        <w:fldChar w:fldCharType="end"/>
      </w:r>
      <w:r w:rsidR="00363053">
        <w:rPr>
          <w:lang w:val="en-US"/>
        </w:rPr>
        <w:t xml:space="preserve"> and</w:t>
      </w:r>
      <w:r w:rsidR="00C24B2E">
        <w:rPr>
          <w:lang w:val="en-US"/>
        </w:rPr>
        <w:t xml:space="preserve"> </w:t>
      </w:r>
      <w:r w:rsidR="00C24B2E">
        <w:rPr>
          <w:lang w:val="en-US"/>
        </w:rPr>
        <w:fldChar w:fldCharType="begin"/>
      </w:r>
      <w:r w:rsidR="00FF3D30">
        <w:rPr>
          <w:lang w:val="en-US"/>
        </w:rPr>
        <w:instrText xml:space="preserve"> ADDIN EN.CITE &lt;EndNote&gt;&lt;Cite AuthorYear="1"&gt;&lt;Author&gt;Carter&lt;/Author&gt;&lt;Year&gt;2016&lt;/Year&gt;&lt;RecNum&gt;1690&lt;/RecNum&gt;&lt;DisplayText&gt;Carter (2016)&lt;/DisplayText&gt;&lt;record&gt;&lt;rec-number&gt;1690&lt;/rec-number&gt;&lt;foreign-keys&gt;&lt;key app="EN" db-id="0vpawwrfrtdxzge9z5uvtw9lxxsetrv5095d" timestamp="1501847071"&gt;1690&lt;/key&gt;&lt;/foreign-keys&gt;&lt;ref-type name="Journal Article"&gt;17&lt;/ref-type&gt;&lt;contributors&gt;&lt;authors&gt;&lt;author&gt;Carter, J. A.&lt;/author&gt;&lt;/authors&gt;&lt;/contributors&gt;&lt;titles&gt;&lt;title&gt;Robust Virtue Epistemology As Anti-Luck Epistemology: A New Solution&lt;/title&gt;&lt;secondary-title&gt;Pacific Philosophical Quarterly&lt;/secondary-title&gt;&lt;/titles&gt;&lt;periodical&gt;&lt;full-title&gt;Pacific Philosophical Quarterly&lt;/full-title&gt;&lt;/periodical&gt;&lt;pages&gt;140-155&lt;/pages&gt;&lt;volume&gt;97&lt;/volume&gt;&lt;number&gt;1&lt;/number&gt;&lt;dates&gt;&lt;year&gt;2016&lt;/year&gt;&lt;/dates&gt;&lt;isbn&gt;1468-0114&lt;/isbn&gt;&lt;urls&gt;&lt;related-urls&gt;&lt;url&gt;http://dx.doi.org/10.1111/papq.12040&lt;/url&gt;&lt;/related-urls&gt;&lt;/urls&gt;&lt;electronic-resource-num&gt;10.1111/papq.12040&lt;/electronic-resource-num&gt;&lt;/record&gt;&lt;/Cite&gt;&lt;/EndNote&gt;</w:instrText>
      </w:r>
      <w:r w:rsidR="00C24B2E">
        <w:rPr>
          <w:lang w:val="en-US"/>
        </w:rPr>
        <w:fldChar w:fldCharType="separate"/>
      </w:r>
      <w:r w:rsidR="002B20BF">
        <w:rPr>
          <w:noProof/>
          <w:lang w:val="en-US"/>
        </w:rPr>
        <w:t>Carter (2016)</w:t>
      </w:r>
      <w:r w:rsidR="00C24B2E">
        <w:rPr>
          <w:lang w:val="en-US"/>
        </w:rPr>
        <w:fldChar w:fldCharType="end"/>
      </w:r>
      <w:r>
        <w:rPr>
          <w:lang w:val="en-US"/>
        </w:rPr>
        <w:t xml:space="preserve"> readily accept. For</w:t>
      </w:r>
      <w:r w:rsidR="00363053">
        <w:rPr>
          <w:lang w:val="en-US"/>
        </w:rPr>
        <w:t xml:space="preserve"> example, according to </w:t>
      </w:r>
      <w:r w:rsidR="00363053">
        <w:rPr>
          <w:lang w:val="en-US"/>
        </w:rPr>
        <w:fldChar w:fldCharType="begin"/>
      </w:r>
      <w:r w:rsidR="00FF3D30">
        <w:rPr>
          <w:lang w:val="en-US"/>
        </w:rPr>
        <w:instrText xml:space="preserve"> ADDIN EN.CITE &lt;EndNote&gt;&lt;Cite AuthorYear="1"&gt;&lt;Author&gt;Pritchard&lt;/Author&gt;&lt;Year&gt;2012&lt;/Year&gt;&lt;RecNum&gt;385&lt;/RecNum&gt;&lt;Pages&gt;247-9&lt;/Pages&gt;&lt;DisplayText&gt;Pritchard (2012, pp. 247-249)&lt;/DisplayText&gt;&lt;record&gt;&lt;rec-number&gt;385&lt;/rec-number&gt;&lt;foreign-keys&gt;&lt;key app="EN" db-id="0vpawwrfrtdxzge9z5uvtw9lxxsetrv5095d" timestamp="1418724850"&gt;385&lt;/key&gt;&lt;/foreign-keys&gt;&lt;ref-type name="Journal Article"&gt;17&lt;/ref-type&gt;&lt;contributors&gt;&lt;authors&gt;&lt;author&gt;Pritchard, D.&lt;/author&gt;&lt;/authors&gt;&lt;/contributors&gt;&lt;titles&gt;&lt;title&gt;Anti-Luck Virtue Epistemology&lt;/title&gt;&lt;secondary-title&gt;Journal of Philosophy&lt;/secondary-title&gt;&lt;/titles&gt;&lt;periodical&gt;&lt;full-title&gt;Journal of Philosophy&lt;/full-title&gt;&lt;/periodical&gt;&lt;pages&gt;247-279&lt;/pages&gt;&lt;volume&gt;109&lt;/volume&gt;&lt;number&gt;3&lt;/number&gt;&lt;dates&gt;&lt;year&gt;2012&lt;/year&gt;&lt;pub-dates&gt;&lt;date&gt;Mar&lt;/date&gt;&lt;/pub-dates&gt;&lt;/dates&gt;&lt;isbn&gt;0022-362X&lt;/isbn&gt;&lt;accession-num&gt;WOS:000311002900002&lt;/accession-num&gt;&lt;urls&gt;&lt;related-urls&gt;&lt;url&gt;&amp;lt;Go to ISI&amp;gt;://WOS:000311002900002&lt;/url&gt;&lt;/related-urls&gt;&lt;/urls&gt;&lt;/record&gt;&lt;/Cite&gt;&lt;/EndNote&gt;</w:instrText>
      </w:r>
      <w:r w:rsidR="00363053">
        <w:rPr>
          <w:lang w:val="en-US"/>
        </w:rPr>
        <w:fldChar w:fldCharType="separate"/>
      </w:r>
      <w:r w:rsidR="00363053">
        <w:rPr>
          <w:noProof/>
          <w:lang w:val="en-US"/>
        </w:rPr>
        <w:t>Pritchard (2012, pp. 247-249)</w:t>
      </w:r>
      <w:r w:rsidR="00363053">
        <w:rPr>
          <w:lang w:val="en-US"/>
        </w:rPr>
        <w:fldChar w:fldCharType="end"/>
      </w:r>
      <w:r w:rsidR="009A6520">
        <w:rPr>
          <w:lang w:val="en-US"/>
        </w:rPr>
        <w:t>,</w:t>
      </w:r>
      <w:r>
        <w:rPr>
          <w:lang w:val="en-US"/>
        </w:rPr>
        <w:t xml:space="preserve"> epistemic theorizing is guided by two </w:t>
      </w:r>
      <w:r w:rsidRPr="00766798">
        <w:rPr>
          <w:lang w:val="en-US"/>
        </w:rPr>
        <w:t>master intuitions</w:t>
      </w:r>
      <w:r>
        <w:rPr>
          <w:lang w:val="en-US"/>
        </w:rPr>
        <w:t xml:space="preserve">, the </w:t>
      </w:r>
      <w:r w:rsidRPr="009D34DC">
        <w:rPr>
          <w:i/>
          <w:lang w:val="en-US"/>
        </w:rPr>
        <w:t>anti-luck intuition</w:t>
      </w:r>
      <w:r w:rsidR="009D34DC">
        <w:rPr>
          <w:lang w:val="en-US"/>
        </w:rPr>
        <w:t xml:space="preserve"> and the </w:t>
      </w:r>
      <w:r w:rsidR="009D34DC" w:rsidRPr="009D34DC">
        <w:rPr>
          <w:i/>
          <w:lang w:val="en-US"/>
        </w:rPr>
        <w:t xml:space="preserve">ability </w:t>
      </w:r>
      <w:r w:rsidRPr="009D34DC">
        <w:rPr>
          <w:i/>
          <w:lang w:val="en-US"/>
        </w:rPr>
        <w:t>intui</w:t>
      </w:r>
      <w:r w:rsidR="00BD5D01" w:rsidRPr="009D34DC">
        <w:rPr>
          <w:i/>
          <w:lang w:val="en-US"/>
        </w:rPr>
        <w:t>tion</w:t>
      </w:r>
      <w:r w:rsidR="00BD5D01">
        <w:rPr>
          <w:lang w:val="en-US"/>
        </w:rPr>
        <w:t>. The former intuition dictates that knowledge is incompatible with epistemic luck, while the latter states that knowledge is always gained through the exercise of one’s cognitive abilities. Assuming that knowledge is always gained through the exercise of epistemic competences</w:t>
      </w:r>
      <w:r w:rsidR="009A6520">
        <w:rPr>
          <w:lang w:val="en-US"/>
        </w:rPr>
        <w:t xml:space="preserve">, the safety </w:t>
      </w:r>
      <w:r w:rsidR="00BD5D01">
        <w:rPr>
          <w:lang w:val="en-US"/>
        </w:rPr>
        <w:t>theorist can relativize the safety condition to vir</w:t>
      </w:r>
      <w:r w:rsidR="009A6520">
        <w:rPr>
          <w:lang w:val="en-US"/>
        </w:rPr>
        <w:t xml:space="preserve">tuous methods of belief </w:t>
      </w:r>
      <w:r w:rsidR="00BD5D01">
        <w:rPr>
          <w:lang w:val="en-US"/>
        </w:rPr>
        <w:t>formation without fear of focusing on a too na</w:t>
      </w:r>
      <w:r w:rsidR="009A6520">
        <w:rPr>
          <w:lang w:val="en-US"/>
        </w:rPr>
        <w:t xml:space="preserve">rrow class of methods of belief </w:t>
      </w:r>
      <w:r w:rsidR="00BD5D01">
        <w:rPr>
          <w:lang w:val="en-US"/>
        </w:rPr>
        <w:t>formation. I</w:t>
      </w:r>
      <w:r w:rsidR="009D34DC">
        <w:rPr>
          <w:lang w:val="en-US"/>
        </w:rPr>
        <w:t xml:space="preserve"> have argued elsewhere</w:t>
      </w:r>
      <w:r w:rsidR="00BD5D01">
        <w:rPr>
          <w:lang w:val="en-US"/>
        </w:rPr>
        <w:t xml:space="preserve"> </w:t>
      </w:r>
      <w:r w:rsidR="0010606F">
        <w:rPr>
          <w:lang w:val="en-US"/>
        </w:rPr>
        <w:fldChar w:fldCharType="begin"/>
      </w:r>
      <w:r w:rsidR="00AC63A6">
        <w:rPr>
          <w:lang w:val="en-US"/>
        </w:rPr>
        <w:instrText xml:space="preserve"> ADDIN EN.CITE &lt;EndNote&gt;&lt;Cite ExcludeAuth="1"&gt;&lt;Author&gt;Hirvelä&lt;/Author&gt;&lt;Year&gt;forthcoming&lt;/Year&gt;&lt;RecNum&gt;1683&lt;/RecNum&gt;&lt;DisplayText&gt;(forthcoming-a)&lt;/DisplayText&gt;&lt;record&gt;&lt;rec-number&gt;1683&lt;/rec-number&gt;&lt;foreign-keys&gt;&lt;key app="EN" db-id="0vpawwrfrtdxzge9z5uvtw9lxxsetrv5095d" timestamp="1500981631"&gt;1683&lt;/key&gt;&lt;/foreign-keys&gt;&lt;ref-type name="Journal Article"&gt;17&lt;/ref-type&gt;&lt;contributors&gt;&lt;authors&gt;&lt;author&gt;Hirvelä, J.&lt;/author&gt;&lt;/authors&gt;&lt;/contributors&gt;&lt;titles&gt;&lt;title&gt;Global Safety: How to Deal with Necessary Truths&lt;/title&gt;&lt;secondary-title&gt;Synthese&lt;/secondary-title&gt;&lt;/titles&gt;&lt;periodical&gt;&lt;full-title&gt;Synthese&lt;/full-title&gt;&lt;/periodical&gt;&lt;dates&gt;&lt;year&gt;forthcoming&lt;/year&gt;&lt;/dates&gt;&lt;urls&gt;&lt;/urls&gt;&lt;/record&gt;&lt;/Cite&gt;&lt;/EndNote&gt;</w:instrText>
      </w:r>
      <w:r w:rsidR="0010606F">
        <w:rPr>
          <w:lang w:val="en-US"/>
        </w:rPr>
        <w:fldChar w:fldCharType="separate"/>
      </w:r>
      <w:r w:rsidR="00AC63A6">
        <w:rPr>
          <w:noProof/>
          <w:lang w:val="en-US"/>
        </w:rPr>
        <w:t>(forthcoming-a)</w:t>
      </w:r>
      <w:r w:rsidR="0010606F">
        <w:rPr>
          <w:lang w:val="en-US"/>
        </w:rPr>
        <w:fldChar w:fldCharType="end"/>
      </w:r>
      <w:r w:rsidR="00E31A18">
        <w:rPr>
          <w:lang w:val="en-US"/>
        </w:rPr>
        <w:t xml:space="preserve"> </w:t>
      </w:r>
      <w:r w:rsidR="00BD5D01">
        <w:rPr>
          <w:lang w:val="en-US"/>
        </w:rPr>
        <w:t xml:space="preserve">that </w:t>
      </w:r>
      <w:r w:rsidR="00E31A18">
        <w:rPr>
          <w:lang w:val="en-US"/>
        </w:rPr>
        <w:t>by relativizing the safety condition to virtuous met</w:t>
      </w:r>
      <w:r w:rsidR="004D1A4D">
        <w:rPr>
          <w:lang w:val="en-US"/>
        </w:rPr>
        <w:t xml:space="preserve">hods of belief-formation </w:t>
      </w:r>
      <w:r w:rsidR="00E31A18">
        <w:rPr>
          <w:lang w:val="en-US"/>
        </w:rPr>
        <w:t xml:space="preserve">the safety-theorist </w:t>
      </w:r>
      <w:r w:rsidR="004D1A4D">
        <w:rPr>
          <w:lang w:val="en-US"/>
        </w:rPr>
        <w:t xml:space="preserve">is able </w:t>
      </w:r>
      <w:r w:rsidR="00E31A18">
        <w:rPr>
          <w:lang w:val="en-US"/>
        </w:rPr>
        <w:t>to offer an elegant solution to the generality problem</w:t>
      </w:r>
      <w:r w:rsidR="0010606F">
        <w:rPr>
          <w:lang w:val="en-US"/>
        </w:rPr>
        <w:t xml:space="preserve"> as it inflicts the safety condition</w:t>
      </w:r>
      <w:r w:rsidR="00E31A18">
        <w:rPr>
          <w:lang w:val="en-US"/>
        </w:rPr>
        <w:t>.</w:t>
      </w:r>
      <w:r w:rsidR="002D3EBE">
        <w:rPr>
          <w:lang w:val="en-US"/>
        </w:rPr>
        <w:t xml:space="preserve"> Note that by relativizing the safety conditio</w:t>
      </w:r>
      <w:r w:rsidR="0010606F">
        <w:rPr>
          <w:lang w:val="en-US"/>
        </w:rPr>
        <w:t xml:space="preserve">n to virtuous methods of belief </w:t>
      </w:r>
      <w:r w:rsidR="002D3EBE">
        <w:rPr>
          <w:lang w:val="en-US"/>
        </w:rPr>
        <w:t>formation used by the subject in the actual world, we do not subscribe to the more demanding idea, often endorsed by virtue epistemologists, according to which in cases of knowledge the truth of one’s belief has to be creditable or attributable to one’s cognitive virtues.</w:t>
      </w:r>
    </w:p>
    <w:p w:rsidR="00AB7919" w:rsidRDefault="00CF29E1" w:rsidP="00BF40F3">
      <w:pPr>
        <w:spacing w:line="480" w:lineRule="auto"/>
        <w:jc w:val="both"/>
        <w:rPr>
          <w:lang w:val="en-US"/>
        </w:rPr>
      </w:pPr>
      <w:r>
        <w:rPr>
          <w:lang w:val="en-US"/>
        </w:rPr>
        <w:lastRenderedPageBreak/>
        <w:t>If the safety condition is to be relativized to virtuous methods o</w:t>
      </w:r>
      <w:r w:rsidR="0010606F">
        <w:rPr>
          <w:lang w:val="en-US"/>
        </w:rPr>
        <w:t xml:space="preserve">f belief </w:t>
      </w:r>
      <w:r>
        <w:rPr>
          <w:lang w:val="en-US"/>
        </w:rPr>
        <w:t>formation</w:t>
      </w:r>
      <w:r w:rsidR="0010606F">
        <w:rPr>
          <w:lang w:val="en-US"/>
        </w:rPr>
        <w:t>,</w:t>
      </w:r>
      <w:r>
        <w:rPr>
          <w:lang w:val="en-US"/>
        </w:rPr>
        <w:t xml:space="preserve"> we need an account of when a belief is virtuously formed.</w:t>
      </w:r>
      <w:r w:rsidR="00E31A18">
        <w:rPr>
          <w:lang w:val="en-US"/>
        </w:rPr>
        <w:t xml:space="preserve"> </w:t>
      </w:r>
      <w:r w:rsidR="00C24B2E">
        <w:rPr>
          <w:lang w:val="en-US"/>
        </w:rPr>
        <w:t xml:space="preserve">Following </w:t>
      </w:r>
      <w:r w:rsidR="00C24B2E">
        <w:rPr>
          <w:lang w:val="en-US"/>
        </w:rPr>
        <w:fldChar w:fldCharType="begin"/>
      </w:r>
      <w:r w:rsidR="00FF3D30">
        <w:rPr>
          <w:lang w:val="en-US"/>
        </w:rPr>
        <w:instrText xml:space="preserve"> ADDIN EN.CITE &lt;EndNote&gt;&lt;Cite AuthorYear="1"&gt;&lt;Author&gt;Sosa&lt;/Author&gt;&lt;Year&gt;1991&lt;/Year&gt;&lt;RecNum&gt;1518&lt;/RecNum&gt;&lt;Pages&gt;284&lt;/Pages&gt;&lt;DisplayText&gt;Sosa (1991, p. 284)&lt;/DisplayText&gt;&lt;record&gt;&lt;rec-number&gt;1518&lt;/rec-number&gt;&lt;foreign-keys&gt;&lt;key app="EN" db-id="0vpawwrfrtdxzge9z5uvtw9lxxsetrv5095d" timestamp="1453813848"&gt;1518&lt;/key&gt;&lt;/foreign-keys&gt;&lt;ref-type name="Book"&gt;6&lt;/ref-type&gt;&lt;contributors&gt;&lt;authors&gt;&lt;author&gt;Sosa, E.&lt;/author&gt;&lt;/authors&gt;&lt;/contributors&gt;&lt;titles&gt;&lt;title&gt;Knowledge in Perspective - Selected Essays in Epistemology&lt;/title&gt;&lt;/titles&gt;&lt;pages&gt;298&lt;/pages&gt;&lt;dates&gt;&lt;year&gt;1991&lt;/year&gt;&lt;/dates&gt;&lt;pub-location&gt;Cambridge&lt;/pub-location&gt;&lt;publisher&gt;Cambridge University Press&lt;/publisher&gt;&lt;urls&gt;&lt;/urls&gt;&lt;/record&gt;&lt;/Cite&gt;&lt;/EndNote&gt;</w:instrText>
      </w:r>
      <w:r w:rsidR="00C24B2E">
        <w:rPr>
          <w:lang w:val="en-US"/>
        </w:rPr>
        <w:fldChar w:fldCharType="separate"/>
      </w:r>
      <w:r w:rsidR="00C24B2E">
        <w:rPr>
          <w:noProof/>
          <w:lang w:val="en-US"/>
        </w:rPr>
        <w:t>Sosa (1991, p. 284)</w:t>
      </w:r>
      <w:r w:rsidR="00C24B2E">
        <w:rPr>
          <w:lang w:val="en-US"/>
        </w:rPr>
        <w:fldChar w:fldCharType="end"/>
      </w:r>
      <w:r w:rsidR="0010606F">
        <w:rPr>
          <w:lang w:val="en-US"/>
        </w:rPr>
        <w:t>,</w:t>
      </w:r>
      <w:r w:rsidR="009359A2">
        <w:rPr>
          <w:lang w:val="en-US"/>
        </w:rPr>
        <w:t xml:space="preserve"> epistemic virtues, or competences</w:t>
      </w:r>
      <w:r w:rsidR="00C24B2E">
        <w:rPr>
          <w:lang w:val="en-US"/>
        </w:rPr>
        <w:t>, can be</w:t>
      </w:r>
      <w:r w:rsidR="009359A2">
        <w:rPr>
          <w:lang w:val="en-US"/>
        </w:rPr>
        <w:t xml:space="preserve"> understood as stable dis</w:t>
      </w:r>
      <w:r w:rsidR="0015029D">
        <w:rPr>
          <w:lang w:val="en-US"/>
        </w:rPr>
        <w:t xml:space="preserve">positions </w:t>
      </w:r>
      <w:r w:rsidR="009359A2">
        <w:rPr>
          <w:lang w:val="en-US"/>
        </w:rPr>
        <w:t>seated in the subject to acquire or maintain true be</w:t>
      </w:r>
      <w:r w:rsidR="0015029D">
        <w:rPr>
          <w:lang w:val="en-US"/>
        </w:rPr>
        <w:t>liefs and avoid false beliefs within a certain field of propositions, while in certain environment</w:t>
      </w:r>
      <w:r w:rsidR="0010606F">
        <w:rPr>
          <w:lang w:val="en-US"/>
        </w:rPr>
        <w:t>s</w:t>
      </w:r>
      <w:r w:rsidR="0015029D">
        <w:rPr>
          <w:lang w:val="en-US"/>
        </w:rPr>
        <w:t xml:space="preserve"> and conditions.</w:t>
      </w:r>
      <w:r w:rsidR="00A26F78">
        <w:rPr>
          <w:lang w:val="en-US"/>
        </w:rPr>
        <w:t xml:space="preserve"> </w:t>
      </w:r>
      <w:r w:rsidR="00363053">
        <w:rPr>
          <w:lang w:val="en-US"/>
        </w:rPr>
        <w:t xml:space="preserve">According to </w:t>
      </w:r>
      <w:r w:rsidR="00363053">
        <w:rPr>
          <w:lang w:val="en-US"/>
        </w:rPr>
        <w:fldChar w:fldCharType="begin"/>
      </w:r>
      <w:r w:rsidR="00FF3D30">
        <w:rPr>
          <w:lang w:val="en-US"/>
        </w:rPr>
        <w:instrText xml:space="preserve"> ADDIN EN.CITE &lt;EndNote&gt;&lt;Cite AuthorYear="1"&gt;&lt;Author&gt;Sosa&lt;/Author&gt;&lt;Year&gt;2010&lt;/Year&gt;&lt;RecNum&gt;751&lt;/RecNum&gt;&lt;Pages&gt;465`, 467&lt;/Pages&gt;&lt;DisplayText&gt;Sosa (2010, pp. 465, 467)&lt;/DisplayText&gt;&lt;record&gt;&lt;rec-number&gt;751&lt;/rec-number&gt;&lt;foreign-keys&gt;&lt;key app="EN" db-id="0vpawwrfrtdxzge9z5uvtw9lxxsetrv5095d" timestamp="1420631212"&gt;751&lt;/key&gt;&lt;/foreign-keys&gt;&lt;ref-type name="Journal Article"&gt;17&lt;/ref-type&gt;&lt;contributors&gt;&lt;authors&gt;&lt;author&gt;Sosa, E.&lt;/author&gt;&lt;/authors&gt;&lt;/contributors&gt;&lt;titles&gt;&lt;title&gt;How Competence Matters in Epistemology&lt;/title&gt;&lt;secondary-title&gt;Philosophical Perspectives&lt;/secondary-title&gt;&lt;/titles&gt;&lt;periodical&gt;&lt;full-title&gt;Philosophical Perspectives&lt;/full-title&gt;&lt;/periodical&gt;&lt;pages&gt;465-475&lt;/pages&gt;&lt;volume&gt;24&lt;/volume&gt;&lt;number&gt;1&lt;/number&gt;&lt;dates&gt;&lt;year&gt;2010&lt;/year&gt;&lt;pub-dates&gt;&lt;date&gt;Dec&lt;/date&gt;&lt;/pub-dates&gt;&lt;/dates&gt;&lt;isbn&gt;1520-8583&lt;/isbn&gt;&lt;accession-num&gt;WOS:000286680600018&lt;/accession-num&gt;&lt;urls&gt;&lt;related-urls&gt;&lt;url&gt;&amp;lt;Go to ISI&amp;gt;://WOS:000286680600018&lt;/url&gt;&lt;/related-urls&gt;&lt;/urls&gt;&lt;electronic-resource-num&gt;10.1111/j.1520-8583.2010.00200.x&lt;/electronic-resource-num&gt;&lt;/record&gt;&lt;/Cite&gt;&lt;/EndNote&gt;</w:instrText>
      </w:r>
      <w:r w:rsidR="00363053">
        <w:rPr>
          <w:lang w:val="en-US"/>
        </w:rPr>
        <w:fldChar w:fldCharType="separate"/>
      </w:r>
      <w:r w:rsidR="00363053">
        <w:rPr>
          <w:noProof/>
          <w:lang w:val="en-US"/>
        </w:rPr>
        <w:t>Sosa (2010, pp. 465, 467)</w:t>
      </w:r>
      <w:r w:rsidR="00363053">
        <w:rPr>
          <w:lang w:val="en-US"/>
        </w:rPr>
        <w:fldChar w:fldCharType="end"/>
      </w:r>
      <w:r w:rsidR="0010606F">
        <w:rPr>
          <w:lang w:val="en-US"/>
        </w:rPr>
        <w:t>,</w:t>
      </w:r>
      <w:r w:rsidR="00363053">
        <w:rPr>
          <w:lang w:val="en-US"/>
        </w:rPr>
        <w:t xml:space="preserve"> dispositi</w:t>
      </w:r>
      <w:r w:rsidR="00234E1B">
        <w:rPr>
          <w:lang w:val="en-US"/>
        </w:rPr>
        <w:t>ons have a three-part structure. They involve</w:t>
      </w:r>
      <w:r w:rsidR="00363053">
        <w:rPr>
          <w:lang w:val="en-US"/>
        </w:rPr>
        <w:t xml:space="preserve"> (i) constitution, (ii) condition and (iii) situation. </w:t>
      </w:r>
      <w:r w:rsidR="00234E1B">
        <w:rPr>
          <w:lang w:val="en-US"/>
        </w:rPr>
        <w:t>The constitution of a perceptual competence includes rods and cones and the visual cortex, the condition includes being awake and sober, and the situation includes being in adequate lighting conditions. A disp</w:t>
      </w:r>
      <w:r w:rsidR="00B011DC">
        <w:rPr>
          <w:lang w:val="en-US"/>
        </w:rPr>
        <w:t xml:space="preserve">osition </w:t>
      </w:r>
      <w:r w:rsidR="00AB7919">
        <w:rPr>
          <w:lang w:val="en-US"/>
        </w:rPr>
        <w:t>can be</w:t>
      </w:r>
      <w:r w:rsidR="00234E1B">
        <w:rPr>
          <w:lang w:val="en-US"/>
        </w:rPr>
        <w:t xml:space="preserve"> lost by undermining its constitution, co</w:t>
      </w:r>
      <w:r w:rsidR="00AB7919">
        <w:rPr>
          <w:lang w:val="en-US"/>
        </w:rPr>
        <w:t>ndition</w:t>
      </w:r>
      <w:r w:rsidR="00AF69B7">
        <w:rPr>
          <w:lang w:val="en-US"/>
        </w:rPr>
        <w:t xml:space="preserve"> or situation. For example, by</w:t>
      </w:r>
      <w:r w:rsidR="00234E1B">
        <w:rPr>
          <w:lang w:val="en-US"/>
        </w:rPr>
        <w:t xml:space="preserve"> </w:t>
      </w:r>
      <w:r w:rsidR="00AF69B7">
        <w:rPr>
          <w:lang w:val="en-US"/>
        </w:rPr>
        <w:t xml:space="preserve">manipulating a </w:t>
      </w:r>
      <w:r w:rsidR="00234E1B">
        <w:rPr>
          <w:lang w:val="en-US"/>
        </w:rPr>
        <w:t>subject</w:t>
      </w:r>
      <w:r w:rsidR="00AF69B7">
        <w:rPr>
          <w:lang w:val="en-US"/>
        </w:rPr>
        <w:t xml:space="preserve">’s </w:t>
      </w:r>
      <w:r w:rsidR="00234E1B">
        <w:rPr>
          <w:lang w:val="en-US"/>
        </w:rPr>
        <w:t>vi</w:t>
      </w:r>
      <w:r w:rsidR="00AF69B7">
        <w:rPr>
          <w:lang w:val="en-US"/>
        </w:rPr>
        <w:t>sual cortex with magnetic pulses in order to cause</w:t>
      </w:r>
      <w:r w:rsidR="00B011DC">
        <w:rPr>
          <w:lang w:val="en-US"/>
        </w:rPr>
        <w:t xml:space="preserve"> temporary lesions</w:t>
      </w:r>
      <w:r w:rsidR="00AF69B7">
        <w:rPr>
          <w:lang w:val="en-US"/>
        </w:rPr>
        <w:t xml:space="preserve"> </w:t>
      </w:r>
      <w:r w:rsidR="00AB7919">
        <w:rPr>
          <w:lang w:val="en-US"/>
        </w:rPr>
        <w:t>one will destroy the</w:t>
      </w:r>
      <w:r w:rsidR="00AF69B7">
        <w:rPr>
          <w:lang w:val="en-US"/>
        </w:rPr>
        <w:t xml:space="preserve"> constitution of the visual competence.</w:t>
      </w:r>
    </w:p>
    <w:p w:rsidR="00AB530D" w:rsidRDefault="00A26F78" w:rsidP="00BF40F3">
      <w:pPr>
        <w:spacing w:line="480" w:lineRule="auto"/>
        <w:jc w:val="both"/>
        <w:rPr>
          <w:lang w:val="en-US"/>
        </w:rPr>
      </w:pPr>
      <w:r>
        <w:rPr>
          <w:lang w:val="en-US"/>
        </w:rPr>
        <w:t>The fiel</w:t>
      </w:r>
      <w:r w:rsidR="0015029D">
        <w:rPr>
          <w:lang w:val="en-US"/>
        </w:rPr>
        <w:t>d of propositions consist</w:t>
      </w:r>
      <w:r>
        <w:rPr>
          <w:lang w:val="en-US"/>
        </w:rPr>
        <w:t>s</w:t>
      </w:r>
      <w:r w:rsidR="0015029D">
        <w:rPr>
          <w:lang w:val="en-US"/>
        </w:rPr>
        <w:t xml:space="preserve"> of propositions in which the releva</w:t>
      </w:r>
      <w:r w:rsidR="0010606F">
        <w:rPr>
          <w:lang w:val="en-US"/>
        </w:rPr>
        <w:t>nt virtue can produce beliefs</w:t>
      </w:r>
      <w:r w:rsidR="00D30AA0">
        <w:rPr>
          <w:lang w:val="en-US"/>
        </w:rPr>
        <w:t xml:space="preserve"> in</w:t>
      </w:r>
      <w:r w:rsidR="0015029D">
        <w:rPr>
          <w:lang w:val="en-US"/>
        </w:rPr>
        <w:t xml:space="preserve">. In the case of an olfactory virtue the field of propositions will consists of propositions such as </w:t>
      </w:r>
      <w:r w:rsidR="00AF69B7">
        <w:rPr>
          <w:lang w:val="en-US"/>
        </w:rPr>
        <w:t>[this smells like lilac and gooseberries</w:t>
      </w:r>
      <w:r w:rsidR="0015029D">
        <w:rPr>
          <w:lang w:val="en-US"/>
        </w:rPr>
        <w:t>]. The environment and conditions specify in what kind of environment and conditions one must be disposed to attain true beliefs and avoid false beliefs. The fact that I am disposed to form false beliefs about the colo</w:t>
      </w:r>
      <w:r w:rsidR="0010606F">
        <w:rPr>
          <w:lang w:val="en-US"/>
        </w:rPr>
        <w:t>u</w:t>
      </w:r>
      <w:r w:rsidR="0015029D">
        <w:rPr>
          <w:lang w:val="en-US"/>
        </w:rPr>
        <w:t xml:space="preserve">r of objects at </w:t>
      </w:r>
      <w:r>
        <w:rPr>
          <w:lang w:val="en-US"/>
        </w:rPr>
        <w:t>night or after having ingested powerful hallucinogens</w:t>
      </w:r>
      <w:r w:rsidR="0015029D">
        <w:rPr>
          <w:lang w:val="en-US"/>
        </w:rPr>
        <w:t xml:space="preserve"> does not </w:t>
      </w:r>
      <w:r>
        <w:rPr>
          <w:lang w:val="en-US"/>
        </w:rPr>
        <w:t>entail that my vision would not be an epistemic virtue while in conditions that are suitable for the use of vision. External conditions can e</w:t>
      </w:r>
      <w:r w:rsidR="00363053">
        <w:rPr>
          <w:lang w:val="en-US"/>
        </w:rPr>
        <w:t>ither prohibit or enable the exercise of epistemic virtues</w:t>
      </w:r>
      <w:r w:rsidR="009E37A6">
        <w:rPr>
          <w:lang w:val="en-US"/>
        </w:rPr>
        <w:t>.</w:t>
      </w:r>
    </w:p>
    <w:p w:rsidR="00104051" w:rsidRDefault="00AF69B7" w:rsidP="00BF40F3">
      <w:pPr>
        <w:spacing w:line="480" w:lineRule="auto"/>
        <w:jc w:val="both"/>
        <w:rPr>
          <w:lang w:val="en-US"/>
        </w:rPr>
      </w:pPr>
      <w:r>
        <w:rPr>
          <w:lang w:val="en-US"/>
        </w:rPr>
        <w:t xml:space="preserve">Finally, a feature that </w:t>
      </w:r>
      <w:r w:rsidR="00A129F1">
        <w:rPr>
          <w:lang w:val="en-US"/>
        </w:rPr>
        <w:t>separates epistemic virtues</w:t>
      </w:r>
      <w:r>
        <w:rPr>
          <w:lang w:val="en-US"/>
        </w:rPr>
        <w:t xml:space="preserve"> from merely reliable dispositions is that epistemic </w:t>
      </w:r>
      <w:r w:rsidR="00A129F1">
        <w:rPr>
          <w:lang w:val="en-US"/>
        </w:rPr>
        <w:t xml:space="preserve">virtues have to be integrated into one’s cognitive character </w:t>
      </w:r>
      <w:r w:rsidR="00A129F1">
        <w:rPr>
          <w:lang w:val="en-US"/>
        </w:rPr>
        <w:fldChar w:fldCharType="begin"/>
      </w:r>
      <w:r w:rsidR="00FF3D30">
        <w:rPr>
          <w:lang w:val="en-US"/>
        </w:rPr>
        <w:instrText xml:space="preserve"> ADDIN EN.CITE &lt;EndNote&gt;&lt;Cite&gt;&lt;Author&gt;Pritchard&lt;/Author&gt;&lt;Year&gt;2012&lt;/Year&gt;&lt;RecNum&gt;385&lt;/RecNum&gt;&lt;Pages&gt;262&lt;/Pages&gt;&lt;DisplayText&gt;(Pritchard, 2012, p. 262)&lt;/DisplayText&gt;&lt;record&gt;&lt;rec-number&gt;385&lt;/rec-number&gt;&lt;foreign-keys&gt;&lt;key app="EN" db-id="0vpawwrfrtdxzge9z5uvtw9lxxsetrv5095d" timestamp="1418724850"&gt;385&lt;/key&gt;&lt;/foreign-keys&gt;&lt;ref-type name="Journal Article"&gt;17&lt;/ref-type&gt;&lt;contributors&gt;&lt;authors&gt;&lt;author&gt;Pritchard, D.&lt;/author&gt;&lt;/authors&gt;&lt;/contributors&gt;&lt;titles&gt;&lt;title&gt;Anti-Luck Virtue Epistemology&lt;/title&gt;&lt;secondary-title&gt;Journal of Philosophy&lt;/secondary-title&gt;&lt;/titles&gt;&lt;periodical&gt;&lt;full-title&gt;Journal of Philosophy&lt;/full-title&gt;&lt;/periodical&gt;&lt;pages&gt;247-279&lt;/pages&gt;&lt;volume&gt;109&lt;/volume&gt;&lt;number&gt;3&lt;/number&gt;&lt;dates&gt;&lt;year&gt;2012&lt;/year&gt;&lt;pub-dates&gt;&lt;date&gt;Mar&lt;/date&gt;&lt;/pub-dates&gt;&lt;/dates&gt;&lt;isbn&gt;0022-362X&lt;/isbn&gt;&lt;accession-num&gt;WOS:000311002900002&lt;/accession-num&gt;&lt;urls&gt;&lt;related-urls&gt;&lt;url&gt;&amp;lt;Go to ISI&amp;gt;://WOS:000311002900002&lt;/url&gt;&lt;/related-urls&gt;&lt;/urls&gt;&lt;/record&gt;&lt;/Cite&gt;&lt;/EndNote&gt;</w:instrText>
      </w:r>
      <w:r w:rsidR="00A129F1">
        <w:rPr>
          <w:lang w:val="en-US"/>
        </w:rPr>
        <w:fldChar w:fldCharType="separate"/>
      </w:r>
      <w:r w:rsidR="00A129F1">
        <w:rPr>
          <w:noProof/>
          <w:lang w:val="en-US"/>
        </w:rPr>
        <w:t>(Pritchard, 2012, p. 262)</w:t>
      </w:r>
      <w:r w:rsidR="00A129F1">
        <w:rPr>
          <w:lang w:val="en-US"/>
        </w:rPr>
        <w:fldChar w:fldCharType="end"/>
      </w:r>
      <w:r w:rsidR="00A129F1">
        <w:rPr>
          <w:lang w:val="en-US"/>
        </w:rPr>
        <w:t xml:space="preserve">. </w:t>
      </w:r>
      <w:r w:rsidR="00077FF9">
        <w:rPr>
          <w:lang w:val="en-US"/>
        </w:rPr>
        <w:t xml:space="preserve">A recently developed </w:t>
      </w:r>
      <w:r w:rsidR="0010606F">
        <w:rPr>
          <w:lang w:val="en-US"/>
        </w:rPr>
        <w:t xml:space="preserve">brain </w:t>
      </w:r>
      <w:r w:rsidR="00AB7919">
        <w:rPr>
          <w:lang w:val="en-US"/>
        </w:rPr>
        <w:t>lesion that causes</w:t>
      </w:r>
      <w:r w:rsidR="00077FF9">
        <w:rPr>
          <w:lang w:val="en-US"/>
        </w:rPr>
        <w:t xml:space="preserve"> one to believe t</w:t>
      </w:r>
      <w:r w:rsidR="0010606F">
        <w:rPr>
          <w:lang w:val="en-US"/>
        </w:rPr>
        <w:t xml:space="preserve">hat one has a brain </w:t>
      </w:r>
      <w:r w:rsidR="00AB7919">
        <w:rPr>
          <w:lang w:val="en-US"/>
        </w:rPr>
        <w:t>lesion will</w:t>
      </w:r>
      <w:r w:rsidR="00077FF9">
        <w:rPr>
          <w:lang w:val="en-US"/>
        </w:rPr>
        <w:t xml:space="preserve"> not count as an epistemic virtue, even thou</w:t>
      </w:r>
      <w:r w:rsidR="00AB7919">
        <w:rPr>
          <w:lang w:val="en-US"/>
        </w:rPr>
        <w:t>gh it will</w:t>
      </w:r>
      <w:r w:rsidR="00077FF9">
        <w:rPr>
          <w:lang w:val="en-US"/>
        </w:rPr>
        <w:t xml:space="preserve"> dispose one to believe what i</w:t>
      </w:r>
      <w:r w:rsidR="0010606F">
        <w:rPr>
          <w:lang w:val="en-US"/>
        </w:rPr>
        <w:t xml:space="preserve">s true. In order for that brain </w:t>
      </w:r>
      <w:r w:rsidR="00077FF9">
        <w:rPr>
          <w:lang w:val="en-US"/>
        </w:rPr>
        <w:t>lesion to count as a virtue the subject</w:t>
      </w:r>
      <w:r w:rsidR="00B011DC">
        <w:rPr>
          <w:lang w:val="en-US"/>
        </w:rPr>
        <w:t xml:space="preserve"> would</w:t>
      </w:r>
      <w:r w:rsidR="00077FF9">
        <w:rPr>
          <w:lang w:val="en-US"/>
        </w:rPr>
        <w:t xml:space="preserve"> have to integrate it into her cognitive character. Perhaps, if one went to a doctor who explained that one suffers from </w:t>
      </w:r>
      <w:r w:rsidR="0010606F">
        <w:rPr>
          <w:lang w:val="en-US"/>
        </w:rPr>
        <w:t xml:space="preserve">a rare brain </w:t>
      </w:r>
      <w:r w:rsidR="00224813">
        <w:rPr>
          <w:lang w:val="en-US"/>
        </w:rPr>
        <w:t>lesion</w:t>
      </w:r>
      <w:r w:rsidR="00AB530D">
        <w:rPr>
          <w:lang w:val="en-US"/>
        </w:rPr>
        <w:t xml:space="preserve"> which</w:t>
      </w:r>
      <w:r w:rsidR="00077FF9">
        <w:rPr>
          <w:lang w:val="en-US"/>
        </w:rPr>
        <w:t xml:space="preserve"> causes one to form </w:t>
      </w:r>
      <w:r w:rsidR="0010606F">
        <w:rPr>
          <w:lang w:val="en-US"/>
        </w:rPr>
        <w:t xml:space="preserve">the belief that one has a brain lesion, the brain </w:t>
      </w:r>
      <w:r w:rsidR="00077FF9">
        <w:rPr>
          <w:lang w:val="en-US"/>
        </w:rPr>
        <w:t>lesion would be integrated into one’s cognitive character.</w:t>
      </w:r>
      <w:r w:rsidR="00366D58">
        <w:rPr>
          <w:lang w:val="en-US"/>
        </w:rPr>
        <w:t xml:space="preserve"> </w:t>
      </w:r>
      <w:r w:rsidR="00104051">
        <w:rPr>
          <w:lang w:val="en-US"/>
        </w:rPr>
        <w:t xml:space="preserve">However, without such integration the reliably true </w:t>
      </w:r>
      <w:r w:rsidR="00104051">
        <w:rPr>
          <w:lang w:val="en-US"/>
        </w:rPr>
        <w:lastRenderedPageBreak/>
        <w:t>belie</w:t>
      </w:r>
      <w:r w:rsidR="008305D7">
        <w:rPr>
          <w:lang w:val="en-US"/>
        </w:rPr>
        <w:t xml:space="preserve">fs </w:t>
      </w:r>
      <w:r w:rsidR="0010606F">
        <w:rPr>
          <w:lang w:val="en-US"/>
        </w:rPr>
        <w:t xml:space="preserve">caused by the brain </w:t>
      </w:r>
      <w:r w:rsidR="004D1A4D">
        <w:rPr>
          <w:lang w:val="en-US"/>
        </w:rPr>
        <w:t>lesion would</w:t>
      </w:r>
      <w:r w:rsidR="00104051">
        <w:rPr>
          <w:lang w:val="en-US"/>
        </w:rPr>
        <w:t xml:space="preserve"> not count as knowledge. In fact, many authors have argued</w:t>
      </w:r>
      <w:r w:rsidR="0010606F">
        <w:rPr>
          <w:lang w:val="en-US"/>
        </w:rPr>
        <w:t xml:space="preserve"> on the basis of brain lesion-</w:t>
      </w:r>
      <w:r w:rsidR="004D1A4D">
        <w:rPr>
          <w:lang w:val="en-US"/>
        </w:rPr>
        <w:t xml:space="preserve">type cases </w:t>
      </w:r>
      <w:r w:rsidR="00104051">
        <w:rPr>
          <w:lang w:val="en-US"/>
        </w:rPr>
        <w:t>for the insufficiency of process reliabilism</w:t>
      </w:r>
      <w:r w:rsidR="009016DA">
        <w:rPr>
          <w:lang w:val="en-US"/>
        </w:rPr>
        <w:t xml:space="preserve">, </w:t>
      </w:r>
      <w:r w:rsidR="0010606F">
        <w:rPr>
          <w:lang w:val="en-US"/>
        </w:rPr>
        <w:t xml:space="preserve">which does not require that </w:t>
      </w:r>
      <w:r w:rsidR="009016DA">
        <w:rPr>
          <w:lang w:val="en-US"/>
        </w:rPr>
        <w:t>reliable processes be integrated into one’s cognitive character in</w:t>
      </w:r>
      <w:r w:rsidR="0010606F">
        <w:rPr>
          <w:lang w:val="en-US"/>
        </w:rPr>
        <w:t xml:space="preserve"> order for them to be knowledge </w:t>
      </w:r>
      <w:r w:rsidR="009016DA">
        <w:rPr>
          <w:lang w:val="en-US"/>
        </w:rPr>
        <w:t>conducive</w:t>
      </w:r>
      <w:r w:rsidR="00104051">
        <w:rPr>
          <w:lang w:val="en-US"/>
        </w:rPr>
        <w:t xml:space="preserve"> </w:t>
      </w:r>
      <w:r w:rsidR="00E83EF9">
        <w:rPr>
          <w:lang w:val="en-US"/>
        </w:rPr>
        <w:fldChar w:fldCharType="begin">
          <w:fldData xml:space="preserve">PEVuZE5vdGU+PENpdGU+PEF1dGhvcj5Cb25qb3VyPC9BdXRob3I+PFllYXI+MTk4MDwvWWVhcj48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</w:fldData>
        </w:fldChar>
      </w:r>
      <w:r w:rsidR="00FF3D30">
        <w:rPr>
          <w:lang w:val="en-US"/>
        </w:rPr>
        <w:instrText xml:space="preserve"> ADDIN EN.CITE </w:instrText>
      </w:r>
      <w:r w:rsidR="00FF3D30">
        <w:rPr>
          <w:lang w:val="en-US"/>
        </w:rPr>
        <w:fldChar w:fldCharType="begin">
          <w:fldData xml:space="preserve">PEVuZE5vdGU+PENpdGU+PEF1dGhvcj5Cb25qb3VyPC9BdXRob3I+PFllYXI+MTk4MDwvWWVhcj48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</w:fldData>
        </w:fldChar>
      </w:r>
      <w:r w:rsidR="00FF3D30">
        <w:rPr>
          <w:lang w:val="en-US"/>
        </w:rPr>
        <w:instrText xml:space="preserve"> ADDIN EN.CITE.DATA </w:instrText>
      </w:r>
      <w:r w:rsidR="00FF3D30">
        <w:rPr>
          <w:lang w:val="en-US"/>
        </w:rPr>
      </w:r>
      <w:r w:rsidR="00FF3D30">
        <w:rPr>
          <w:lang w:val="en-US"/>
        </w:rPr>
        <w:fldChar w:fldCharType="end"/>
      </w:r>
      <w:r w:rsidR="00E83EF9">
        <w:rPr>
          <w:lang w:val="en-US"/>
        </w:rPr>
      </w:r>
      <w:r w:rsidR="00E83EF9">
        <w:rPr>
          <w:lang w:val="en-US"/>
        </w:rPr>
        <w:fldChar w:fldCharType="separate"/>
      </w:r>
      <w:r w:rsidR="008305D7">
        <w:rPr>
          <w:noProof/>
          <w:lang w:val="en-US"/>
        </w:rPr>
        <w:t>(Bonjour, 1980; Greco, 2010; Lehrer, 1990; Palermos, 2014; Plantinga, 1993)</w:t>
      </w:r>
      <w:r w:rsidR="00E83EF9">
        <w:rPr>
          <w:lang w:val="en-US"/>
        </w:rPr>
        <w:fldChar w:fldCharType="end"/>
      </w:r>
      <w:r w:rsidR="009016DA">
        <w:rPr>
          <w:lang w:val="en-US"/>
        </w:rPr>
        <w:t>.</w:t>
      </w:r>
      <w:r w:rsidR="00A55EA8">
        <w:rPr>
          <w:lang w:val="en-US"/>
        </w:rPr>
        <w:t xml:space="preserve"> </w:t>
      </w:r>
      <w:r w:rsidR="004D1A4D">
        <w:rPr>
          <w:lang w:val="en-US"/>
        </w:rPr>
        <w:t>By claiming that the knowledge relevant dispositions have to be integrated into the cognitive character of the subject</w:t>
      </w:r>
      <w:r w:rsidR="00A55EA8">
        <w:rPr>
          <w:lang w:val="en-US"/>
        </w:rPr>
        <w:t>,</w:t>
      </w:r>
      <w:r w:rsidR="004D1A4D">
        <w:rPr>
          <w:lang w:val="en-US"/>
        </w:rPr>
        <w:t xml:space="preserve"> virtue epistemologists are able to deal with such cases.</w:t>
      </w:r>
    </w:p>
    <w:p w:rsidR="00AF69B7" w:rsidRDefault="00366D58" w:rsidP="00BF40F3">
      <w:pPr>
        <w:spacing w:line="480" w:lineRule="auto"/>
        <w:jc w:val="both"/>
        <w:rPr>
          <w:lang w:val="en-US"/>
        </w:rPr>
      </w:pPr>
      <w:r>
        <w:rPr>
          <w:lang w:val="en-US"/>
        </w:rPr>
        <w:t xml:space="preserve">How </w:t>
      </w:r>
      <w:r w:rsidR="004D1A4D">
        <w:rPr>
          <w:lang w:val="en-US"/>
        </w:rPr>
        <w:t>strongly cognitive abilities have to be</w:t>
      </w:r>
      <w:r>
        <w:rPr>
          <w:lang w:val="en-US"/>
        </w:rPr>
        <w:t xml:space="preserve"> integrated into one’s cognitive character depends </w:t>
      </w:r>
      <w:r w:rsidR="00AB530D">
        <w:rPr>
          <w:lang w:val="en-US"/>
        </w:rPr>
        <w:t xml:space="preserve">in part </w:t>
      </w:r>
      <w:r>
        <w:rPr>
          <w:lang w:val="en-US"/>
        </w:rPr>
        <w:t xml:space="preserve">on their etiology. Dispositions that are acquired through natural development </w:t>
      </w:r>
      <w:r w:rsidR="000C339D">
        <w:rPr>
          <w:lang w:val="en-US"/>
        </w:rPr>
        <w:t xml:space="preserve">(or that are otherwise innate) </w:t>
      </w:r>
      <w:r>
        <w:rPr>
          <w:lang w:val="en-US"/>
        </w:rPr>
        <w:t xml:space="preserve">do not need to be consciously integrated, while dispositions that are acquired </w:t>
      </w:r>
      <w:r w:rsidR="004D1A4D">
        <w:rPr>
          <w:lang w:val="en-US"/>
        </w:rPr>
        <w:t>later in lif</w:t>
      </w:r>
      <w:r w:rsidR="00DC750D">
        <w:rPr>
          <w:lang w:val="en-US"/>
        </w:rPr>
        <w:t>e</w:t>
      </w:r>
      <w:r w:rsidR="004D1A4D">
        <w:rPr>
          <w:lang w:val="en-US"/>
        </w:rPr>
        <w:t>,</w:t>
      </w:r>
      <w:r>
        <w:rPr>
          <w:lang w:val="en-US"/>
        </w:rPr>
        <w:t xml:space="preserve"> might have to be integrated through conscious endorsement</w:t>
      </w:r>
      <w:r w:rsidR="0071406A">
        <w:rPr>
          <w:lang w:val="en-US"/>
        </w:rPr>
        <w:t xml:space="preserve"> </w:t>
      </w:r>
      <w:r w:rsidR="00766798">
        <w:rPr>
          <w:lang w:val="en-US"/>
        </w:rPr>
        <w:t xml:space="preserve">of their truth conduciveness </w:t>
      </w:r>
      <w:r w:rsidR="00373BA7">
        <w:rPr>
          <w:lang w:val="en-US"/>
        </w:rPr>
        <w:fldChar w:fldCharType="begin"/>
      </w:r>
      <w:r w:rsidR="00373BA7">
        <w:rPr>
          <w:lang w:val="en-US"/>
        </w:rPr>
        <w:instrText xml:space="preserve"> ADDIN EN.CITE &lt;EndNote&gt;&lt;Cite&gt;&lt;Author&gt;Pritchard&lt;/Author&gt;&lt;Year&gt;2010&lt;/Year&gt;&lt;RecNum&gt;430&lt;/RecNum&gt;&lt;DisplayText&gt;(Pritchard, 2010)&lt;/DisplayText&gt;&lt;record&gt;&lt;rec-number&gt;430&lt;/rec-number&gt;&lt;foreign-keys&gt;&lt;key app="EN" db-id="0vpawwrfrtdxzge9z5uvtw9lxxsetrv5095d" timestamp="1418730522"&gt;430&lt;/key&gt;&lt;/foreign-keys&gt;&lt;ref-type name="Journal Article"&gt;17&lt;/ref-type&gt;&lt;contributors&gt;&lt;authors&gt;&lt;author&gt;Pritchard, D.&lt;/author&gt;&lt;/authors&gt;&lt;/contributors&gt;&lt;titles&gt;&lt;title&gt;Cognitive ability and the extended cognition thesis&lt;/title&gt;&lt;secondary-title&gt;Synthese&lt;/secondary-title&gt;&lt;/titles&gt;&lt;periodical&gt;&lt;full-title&gt;Synthese&lt;/full-title&gt;&lt;/periodical&gt;&lt;pages&gt;133-151&lt;/pages&gt;&lt;volume&gt;175&lt;/volume&gt;&lt;dates&gt;&lt;year&gt;2010&lt;/year&gt;&lt;pub-dates&gt;&lt;date&gt;Aug&lt;/date&gt;&lt;/pub-dates&gt;&lt;/dates&gt;&lt;isbn&gt;0039-7857&lt;/isbn&gt;&lt;accession-num&gt;WOS:000282012000008&lt;/accession-num&gt;&lt;urls&gt;&lt;related-urls&gt;&lt;url&gt;&amp;lt;Go to ISI&amp;gt;://WOS:000282012000008&lt;/url&gt;&lt;/related-urls&gt;&lt;/urls&gt;&lt;electronic-resource-num&gt;10.1007/s11229-010-9738-y&lt;/electronic-resource-num&gt;&lt;/record&gt;&lt;/Cite&gt;&lt;/EndNote&gt;</w:instrText>
      </w:r>
      <w:r w:rsidR="00373BA7">
        <w:rPr>
          <w:lang w:val="en-US"/>
        </w:rPr>
        <w:fldChar w:fldCharType="separate"/>
      </w:r>
      <w:r w:rsidR="00373BA7">
        <w:rPr>
          <w:noProof/>
          <w:lang w:val="en-US"/>
        </w:rPr>
        <w:t>(Pritchard, 2010)</w:t>
      </w:r>
      <w:r w:rsidR="00373BA7">
        <w:rPr>
          <w:lang w:val="en-US"/>
        </w:rPr>
        <w:fldChar w:fldCharType="end"/>
      </w:r>
      <w:r>
        <w:rPr>
          <w:lang w:val="en-US"/>
        </w:rPr>
        <w:t>.</w:t>
      </w:r>
      <w:r w:rsidR="00DC750D">
        <w:rPr>
          <w:lang w:val="en-US"/>
        </w:rPr>
        <w:t xml:space="preserve"> If someone implanted a chip into your brain without your knowledge</w:t>
      </w:r>
      <w:r w:rsidR="00B011DC">
        <w:rPr>
          <w:lang w:val="en-US"/>
        </w:rPr>
        <w:t>, which</w:t>
      </w:r>
      <w:r w:rsidR="00DC750D">
        <w:rPr>
          <w:lang w:val="en-US"/>
        </w:rPr>
        <w:t xml:space="preserve"> caused you to form true beliefs about the result</w:t>
      </w:r>
      <w:r w:rsidR="00766798">
        <w:rPr>
          <w:lang w:val="en-US"/>
        </w:rPr>
        <w:t>s of the latest baseball games</w:t>
      </w:r>
      <w:r w:rsidR="00DC750D">
        <w:rPr>
          <w:lang w:val="en-US"/>
        </w:rPr>
        <w:t>, then those beliefs would hardly qualify as knowledge. If, however, you were to come to know that someone implanted this annoying, but perfectly reliable chip into your brain, those beli</w:t>
      </w:r>
      <w:r w:rsidR="00317D0B">
        <w:rPr>
          <w:lang w:val="en-US"/>
        </w:rPr>
        <w:t>efs would qualify as knowledge.</w:t>
      </w:r>
      <w:r w:rsidR="00AB530D">
        <w:rPr>
          <w:lang w:val="en-US"/>
        </w:rPr>
        <w:t xml:space="preserve"> In some cases</w:t>
      </w:r>
      <w:r w:rsidR="0010606F">
        <w:rPr>
          <w:lang w:val="en-US"/>
        </w:rPr>
        <w:t>,</w:t>
      </w:r>
      <w:r w:rsidR="00AB530D">
        <w:rPr>
          <w:lang w:val="en-US"/>
        </w:rPr>
        <w:t xml:space="preserve"> sub-conscious integration might be enough. </w:t>
      </w:r>
      <w:r w:rsidR="00DC750D">
        <w:rPr>
          <w:lang w:val="en-US"/>
        </w:rPr>
        <w:t xml:space="preserve">For example, </w:t>
      </w:r>
      <w:r w:rsidR="00D43918">
        <w:rPr>
          <w:lang w:val="en-US"/>
        </w:rPr>
        <w:t xml:space="preserve">if your other senses constantly confirmed the outputs of your newly and unconsciously acquired belief-forming disposition, the belief-forming disposition would, at some point, be integrated into your cognitive character, and you would be rational to trust the deliverances of that disposition. </w:t>
      </w:r>
      <w:r w:rsidR="00FC26FC">
        <w:rPr>
          <w:lang w:val="en-US"/>
        </w:rPr>
        <w:t xml:space="preserve">In fact, </w:t>
      </w:r>
      <w:r w:rsidR="00317D0B">
        <w:rPr>
          <w:lang w:val="en-US"/>
        </w:rPr>
        <w:t>our senses are interconnected in the kind of way that they</w:t>
      </w:r>
      <w:r w:rsidR="00766798">
        <w:rPr>
          <w:lang w:val="en-US"/>
        </w:rPr>
        <w:t xml:space="preserve"> constantly confirm the outputs</w:t>
      </w:r>
      <w:r w:rsidR="00317D0B">
        <w:rPr>
          <w:lang w:val="en-US"/>
        </w:rPr>
        <w:t xml:space="preserve"> of each other.</w:t>
      </w:r>
      <w:r w:rsidR="0010606F">
        <w:rPr>
          <w:lang w:val="en-US"/>
        </w:rPr>
        <w:t xml:space="preserve"> You hear a sound of a car drivi</w:t>
      </w:r>
      <w:r w:rsidR="00317D0B">
        <w:rPr>
          <w:lang w:val="en-US"/>
        </w:rPr>
        <w:t>ng by and see it a split se</w:t>
      </w:r>
      <w:r w:rsidR="0010606F">
        <w:rPr>
          <w:lang w:val="en-US"/>
        </w:rPr>
        <w:t>cond later. You smell the exhaust fumes</w:t>
      </w:r>
      <w:r w:rsidR="00317D0B">
        <w:rPr>
          <w:lang w:val="en-US"/>
        </w:rPr>
        <w:t xml:space="preserve"> of the </w:t>
      </w:r>
      <w:r w:rsidR="0010606F">
        <w:rPr>
          <w:lang w:val="en-US"/>
        </w:rPr>
        <w:t>car and feel the water splash on</w:t>
      </w:r>
      <w:r w:rsidR="00317D0B">
        <w:rPr>
          <w:lang w:val="en-US"/>
        </w:rPr>
        <w:t xml:space="preserve"> your neck as the car drives through the puddle. What you taste is the bitterness of life, which is not directly related to the car, but </w:t>
      </w:r>
      <w:r w:rsidR="00B011DC">
        <w:rPr>
          <w:lang w:val="en-US"/>
        </w:rPr>
        <w:t xml:space="preserve">is </w:t>
      </w:r>
      <w:r w:rsidR="00317D0B">
        <w:rPr>
          <w:lang w:val="en-US"/>
        </w:rPr>
        <w:t xml:space="preserve">still, in part, caused by it. </w:t>
      </w:r>
      <w:r w:rsidR="00FC26FC">
        <w:rPr>
          <w:lang w:val="en-US"/>
        </w:rPr>
        <w:t xml:space="preserve">All of these sensations help to confirm that a car just </w:t>
      </w:r>
      <w:r w:rsidR="00FC26FC">
        <w:rPr>
          <w:lang w:val="en-US"/>
        </w:rPr>
        <w:lastRenderedPageBreak/>
        <w:t>passed by. This kind of minimal interconnectedness can suffice for integration if it occurs o</w:t>
      </w:r>
      <w:r w:rsidR="00B011DC">
        <w:rPr>
          <w:lang w:val="en-US"/>
        </w:rPr>
        <w:t>ver a prolonged period of time</w:t>
      </w:r>
      <w:r w:rsidR="005A5A95">
        <w:rPr>
          <w:lang w:val="en-US"/>
        </w:rPr>
        <w:t>.</w:t>
      </w:r>
      <w:r w:rsidR="008E3EB2">
        <w:rPr>
          <w:rStyle w:val="Alaviitteenviite"/>
          <w:lang w:val="en-US"/>
        </w:rPr>
        <w:footnoteReference w:id="10"/>
      </w:r>
    </w:p>
    <w:p w:rsidR="009359A2" w:rsidRDefault="00CF29E1" w:rsidP="00BF40F3">
      <w:pPr>
        <w:spacing w:line="480" w:lineRule="auto"/>
        <w:jc w:val="both"/>
        <w:rPr>
          <w:lang w:val="en-US"/>
        </w:rPr>
      </w:pPr>
      <w:r>
        <w:rPr>
          <w:lang w:val="en-US"/>
        </w:rPr>
        <w:t>From these remarks we can derive when a belief is virtuously formed:</w:t>
      </w:r>
    </w:p>
    <w:p w:rsidR="00CF29E1" w:rsidRPr="00CF29E1" w:rsidRDefault="00CF29E1" w:rsidP="00BF40F3">
      <w:pPr>
        <w:spacing w:line="480" w:lineRule="auto"/>
        <w:jc w:val="both"/>
        <w:rPr>
          <w:lang w:val="en-US"/>
        </w:rPr>
      </w:pPr>
      <w:r w:rsidRPr="00CF29E1">
        <w:rPr>
          <w:lang w:val="en-US"/>
        </w:rPr>
        <w:t xml:space="preserve">A subject S’s belief that </w:t>
      </w:r>
      <w:r w:rsidRPr="00CF29E1">
        <w:rPr>
          <w:i/>
          <w:lang w:val="en-US"/>
        </w:rPr>
        <w:t>p</w:t>
      </w:r>
      <w:r w:rsidRPr="00CF29E1">
        <w:rPr>
          <w:lang w:val="en-US"/>
        </w:rPr>
        <w:t xml:space="preserve">, which belongs to a ﬁeld of propositions F, is virtuously formed via method V, </w:t>
      </w:r>
      <w:r>
        <w:rPr>
          <w:lang w:val="en-US"/>
        </w:rPr>
        <w:t>in circumstances C and environment E if and only i</w:t>
      </w:r>
      <w:r w:rsidRPr="00CF29E1">
        <w:rPr>
          <w:lang w:val="en-US"/>
        </w:rPr>
        <w:t>f:</w:t>
      </w:r>
    </w:p>
    <w:p w:rsidR="00CF29E1" w:rsidRPr="00CF29E1" w:rsidRDefault="00CF29E1" w:rsidP="00BF40F3">
      <w:pPr>
        <w:pStyle w:val="Luettelokappale"/>
        <w:numPr>
          <w:ilvl w:val="0"/>
          <w:numId w:val="5"/>
        </w:numPr>
        <w:spacing w:line="480" w:lineRule="auto"/>
        <w:jc w:val="both"/>
        <w:rPr>
          <w:lang w:val="en-US"/>
        </w:rPr>
      </w:pPr>
      <w:r w:rsidRPr="00CF29E1">
        <w:rPr>
          <w:lang w:val="en-US"/>
        </w:rPr>
        <w:t>S has an inner disposition D</w:t>
      </w:r>
      <w:r w:rsidR="005A5A95">
        <w:rPr>
          <w:lang w:val="en-US"/>
        </w:rPr>
        <w:t xml:space="preserve">, which is integrated </w:t>
      </w:r>
      <w:r w:rsidR="0010606F">
        <w:rPr>
          <w:lang w:val="en-US"/>
        </w:rPr>
        <w:t>in</w:t>
      </w:r>
      <w:r w:rsidR="005A5A95">
        <w:rPr>
          <w:lang w:val="en-US"/>
        </w:rPr>
        <w:t>to S’s cognitive character,</w:t>
      </w:r>
      <w:r w:rsidRPr="00CF29E1">
        <w:rPr>
          <w:lang w:val="en-US"/>
        </w:rPr>
        <w:t xml:space="preserve"> to attain correct doxastic attitudes with respect to propositions that belong to F</w:t>
      </w:r>
      <w:r>
        <w:rPr>
          <w:lang w:val="en-US"/>
        </w:rPr>
        <w:t xml:space="preserve"> while in C/E</w:t>
      </w:r>
      <w:r w:rsidRPr="00CF29E1">
        <w:rPr>
          <w:lang w:val="en-US"/>
        </w:rPr>
        <w:t xml:space="preserve">, </w:t>
      </w:r>
    </w:p>
    <w:p w:rsidR="00CF29E1" w:rsidRDefault="00CF29E1" w:rsidP="00BF40F3">
      <w:pPr>
        <w:pStyle w:val="Luettelokappale"/>
        <w:numPr>
          <w:ilvl w:val="0"/>
          <w:numId w:val="5"/>
        </w:numPr>
        <w:spacing w:line="480" w:lineRule="auto"/>
        <w:jc w:val="both"/>
        <w:rPr>
          <w:lang w:val="en-US"/>
        </w:rPr>
      </w:pPr>
      <w:r w:rsidRPr="00CF29E1">
        <w:rPr>
          <w:lang w:val="en-US"/>
        </w:rPr>
        <w:t xml:space="preserve">S is in C </w:t>
      </w:r>
      <w:r w:rsidR="003C1DFF">
        <w:rPr>
          <w:lang w:val="en-US"/>
        </w:rPr>
        <w:t>/E</w:t>
      </w:r>
    </w:p>
    <w:p w:rsidR="00CF29E1" w:rsidRDefault="00CF29E1" w:rsidP="00BF40F3">
      <w:pPr>
        <w:pStyle w:val="Luettelokappale"/>
        <w:numPr>
          <w:ilvl w:val="0"/>
          <w:numId w:val="5"/>
        </w:numPr>
        <w:spacing w:line="480" w:lineRule="auto"/>
        <w:jc w:val="both"/>
        <w:rPr>
          <w:lang w:val="en-US"/>
        </w:rPr>
      </w:pPr>
      <w:r w:rsidRPr="00CF29E1">
        <w:rPr>
          <w:lang w:val="en-US"/>
        </w:rPr>
        <w:t>the fact that S believes that p, via V, is due to exercising D.</w:t>
      </w:r>
    </w:p>
    <w:p w:rsidR="00CF29E1" w:rsidRDefault="00CF29E1" w:rsidP="00BF40F3">
      <w:pPr>
        <w:spacing w:line="480" w:lineRule="auto"/>
        <w:jc w:val="both"/>
        <w:rPr>
          <w:lang w:val="en-US"/>
        </w:rPr>
      </w:pPr>
      <w:r>
        <w:rPr>
          <w:lang w:val="en-US"/>
        </w:rPr>
        <w:t>I</w:t>
      </w:r>
      <w:r w:rsidR="003C1DFF">
        <w:rPr>
          <w:lang w:val="en-US"/>
        </w:rPr>
        <w:t>t is vital to note that the idea that the subject’s belief has to be a formed via exercising an inner disposition to attain correct doxastic attitudes in order to be virtuously formed</w:t>
      </w:r>
      <w:r w:rsidR="003553D9">
        <w:rPr>
          <w:lang w:val="en-US"/>
        </w:rPr>
        <w:t>,</w:t>
      </w:r>
      <w:r w:rsidR="003C1DFF">
        <w:rPr>
          <w:lang w:val="en-US"/>
        </w:rPr>
        <w:t xml:space="preserve"> is not in tension with the extended mind thesis. After all, if the extended</w:t>
      </w:r>
      <w:r>
        <w:rPr>
          <w:lang w:val="en-US"/>
        </w:rPr>
        <w:t xml:space="preserve"> </w:t>
      </w:r>
      <w:r w:rsidR="003C1DFF">
        <w:rPr>
          <w:lang w:val="en-US"/>
        </w:rPr>
        <w:t>mind thesis is true, cognition can extend beyond the boundaries of skin and skull, and therefore one’s ‘inner’ dispositions could ha</w:t>
      </w:r>
      <w:r w:rsidR="003553D9">
        <w:rPr>
          <w:lang w:val="en-US"/>
        </w:rPr>
        <w:t>ve a physical basis that extends</w:t>
      </w:r>
      <w:r w:rsidR="003C1DFF">
        <w:rPr>
          <w:lang w:val="en-US"/>
        </w:rPr>
        <w:t xml:space="preserve"> beyond one’s biological body.</w:t>
      </w:r>
      <w:r w:rsidR="00EA3425">
        <w:rPr>
          <w:lang w:val="en-US"/>
        </w:rPr>
        <w:t xml:space="preserve"> Therefore</w:t>
      </w:r>
      <w:r w:rsidR="0010606F">
        <w:rPr>
          <w:lang w:val="en-US"/>
        </w:rPr>
        <w:t>,</w:t>
      </w:r>
      <w:r w:rsidR="00EA3425">
        <w:rPr>
          <w:lang w:val="en-US"/>
        </w:rPr>
        <w:t xml:space="preserve"> Otto’s notebook </w:t>
      </w:r>
      <w:r w:rsidR="003553D9">
        <w:rPr>
          <w:lang w:val="en-US"/>
        </w:rPr>
        <w:t xml:space="preserve">in OTTO </w:t>
      </w:r>
      <w:r w:rsidR="00EA3425">
        <w:rPr>
          <w:lang w:val="en-US"/>
        </w:rPr>
        <w:t>could be part of a stable inner disposition to attain and maintain true beliefs.</w:t>
      </w:r>
    </w:p>
    <w:p w:rsidR="00373BA7" w:rsidRDefault="00373BA7" w:rsidP="00BF40F3">
      <w:pPr>
        <w:spacing w:line="480" w:lineRule="auto"/>
        <w:jc w:val="both"/>
        <w:rPr>
          <w:lang w:val="en-US"/>
        </w:rPr>
      </w:pPr>
      <w:r>
        <w:rPr>
          <w:lang w:val="en-US"/>
        </w:rPr>
        <w:t>With these virtue-theoretic considerations in mind, it is quite easy to see that Otto’s belief in JOKESTER is not virtuously formed. After all, someone has tampered with his notebook. It is as if he</w:t>
      </w:r>
      <w:r w:rsidR="0045484F">
        <w:rPr>
          <w:lang w:val="en-US"/>
        </w:rPr>
        <w:t xml:space="preserve"> had been brainwashed. T</w:t>
      </w:r>
      <w:r>
        <w:rPr>
          <w:lang w:val="en-US"/>
        </w:rPr>
        <w:t>he constitution of his external memory has been undermined. This does not seem to be the case in FORGETFULNESS</w:t>
      </w:r>
      <w:r w:rsidR="0045484F">
        <w:rPr>
          <w:lang w:val="en-US"/>
        </w:rPr>
        <w:t>, however</w:t>
      </w:r>
      <w:r>
        <w:rPr>
          <w:lang w:val="en-US"/>
        </w:rPr>
        <w:t xml:space="preserve">. After all, even those with excellent memory forget things </w:t>
      </w:r>
      <w:r w:rsidR="0045484F">
        <w:rPr>
          <w:lang w:val="en-US"/>
        </w:rPr>
        <w:t xml:space="preserve">from time to time </w:t>
      </w:r>
      <w:r>
        <w:rPr>
          <w:lang w:val="en-US"/>
        </w:rPr>
        <w:t>and this does not undermine the fact that their memory constitutes an epistemic virtue. Therefore</w:t>
      </w:r>
      <w:r w:rsidR="0045484F">
        <w:rPr>
          <w:lang w:val="en-US"/>
        </w:rPr>
        <w:t>,</w:t>
      </w:r>
      <w:r>
        <w:rPr>
          <w:lang w:val="en-US"/>
        </w:rPr>
        <w:t xml:space="preserve"> while Otto*’s belief is </w:t>
      </w:r>
      <w:r w:rsidR="003553D9">
        <w:rPr>
          <w:lang w:val="en-US"/>
        </w:rPr>
        <w:t xml:space="preserve">plausibly thought to be </w:t>
      </w:r>
      <w:r>
        <w:rPr>
          <w:lang w:val="en-US"/>
        </w:rPr>
        <w:t>virtuously formed</w:t>
      </w:r>
      <w:r w:rsidR="003553D9">
        <w:rPr>
          <w:lang w:val="en-US"/>
        </w:rPr>
        <w:t>,</w:t>
      </w:r>
      <w:r w:rsidR="00A95336">
        <w:rPr>
          <w:lang w:val="en-US"/>
        </w:rPr>
        <w:t xml:space="preserve"> </w:t>
      </w:r>
      <w:r>
        <w:rPr>
          <w:lang w:val="en-US"/>
        </w:rPr>
        <w:t>Otto’s is not. I</w:t>
      </w:r>
      <w:r w:rsidR="00B32BB3">
        <w:rPr>
          <w:lang w:val="en-US"/>
        </w:rPr>
        <w:t>f the safety condition is</w:t>
      </w:r>
      <w:r>
        <w:rPr>
          <w:lang w:val="en-US"/>
        </w:rPr>
        <w:t xml:space="preserve"> relativized to virtuous methods</w:t>
      </w:r>
      <w:r w:rsidR="00B32BB3">
        <w:rPr>
          <w:lang w:val="en-US"/>
        </w:rPr>
        <w:t xml:space="preserve"> of </w:t>
      </w:r>
      <w:r w:rsidR="00B32BB3">
        <w:rPr>
          <w:lang w:val="en-US"/>
        </w:rPr>
        <w:lastRenderedPageBreak/>
        <w:t xml:space="preserve">belief </w:t>
      </w:r>
      <w:r w:rsidR="0045484F">
        <w:rPr>
          <w:lang w:val="en-US"/>
        </w:rPr>
        <w:t>formation</w:t>
      </w:r>
      <w:r w:rsidR="00B011DC">
        <w:rPr>
          <w:lang w:val="en-US"/>
        </w:rPr>
        <w:t>,</w:t>
      </w:r>
      <w:r w:rsidR="0045484F">
        <w:rPr>
          <w:lang w:val="en-US"/>
        </w:rPr>
        <w:t xml:space="preserve"> as I have argued, then Otto*’s belief can be safe</w:t>
      </w:r>
      <w:r w:rsidR="00B32BB3">
        <w:rPr>
          <w:lang w:val="en-US"/>
        </w:rPr>
        <w:t>,</w:t>
      </w:r>
      <w:r w:rsidR="0045484F">
        <w:rPr>
          <w:lang w:val="en-US"/>
        </w:rPr>
        <w:t xml:space="preserve"> while Otto’s belief is not even a candidate for a safe belief.</w:t>
      </w:r>
    </w:p>
    <w:p w:rsidR="0045484F" w:rsidRDefault="0045484F" w:rsidP="00BF40F3">
      <w:pPr>
        <w:spacing w:line="480" w:lineRule="auto"/>
        <w:jc w:val="both"/>
        <w:rPr>
          <w:lang w:val="en-US"/>
        </w:rPr>
      </w:pPr>
      <w:r>
        <w:rPr>
          <w:lang w:val="en-US"/>
        </w:rPr>
        <w:t>Once the details of the cases are brought to light, it is re</w:t>
      </w:r>
      <w:r w:rsidR="003553D9">
        <w:rPr>
          <w:lang w:val="en-US"/>
        </w:rPr>
        <w:t>asonable to think that JOKESTER and FORGETFULNESS</w:t>
      </w:r>
      <w:r>
        <w:rPr>
          <w:lang w:val="en-US"/>
        </w:rPr>
        <w:t xml:space="preserve"> are not analogous after all. An intracranial analogue of JOKESTER would be a c</w:t>
      </w:r>
      <w:r w:rsidR="003553D9">
        <w:rPr>
          <w:lang w:val="en-US"/>
        </w:rPr>
        <w:t>ase in which a</w:t>
      </w:r>
      <w:r>
        <w:rPr>
          <w:lang w:val="en-US"/>
        </w:rPr>
        <w:t xml:space="preserve"> prankster has deliberately altered the memories of Otto*. Crucially</w:t>
      </w:r>
      <w:r w:rsidR="00FD63DA">
        <w:rPr>
          <w:lang w:val="en-US"/>
        </w:rPr>
        <w:t>,</w:t>
      </w:r>
      <w:r>
        <w:rPr>
          <w:lang w:val="en-US"/>
        </w:rPr>
        <w:t xml:space="preserve"> if Otto* has been brainwashed in such a way, the intuition that he </w:t>
      </w:r>
      <w:r w:rsidR="00B32BB3">
        <w:rPr>
          <w:lang w:val="en-US"/>
        </w:rPr>
        <w:t>has knowledge</w:t>
      </w:r>
      <w:r>
        <w:rPr>
          <w:lang w:val="en-US"/>
        </w:rPr>
        <w:t xml:space="preserve"> vanishes, since his beliefs would not be the products of an epistemic competence because the constitution of that competence would have been undermined by the prankster’s actions.</w:t>
      </w:r>
    </w:p>
    <w:p w:rsidR="003553D9" w:rsidRDefault="009D34DC" w:rsidP="00BF40F3">
      <w:pPr>
        <w:spacing w:line="480" w:lineRule="auto"/>
        <w:jc w:val="both"/>
        <w:rPr>
          <w:lang w:val="en-US"/>
        </w:rPr>
      </w:pPr>
      <w:r>
        <w:rPr>
          <w:lang w:val="en-US"/>
        </w:rPr>
        <w:t>Once the safety condition is proper</w:t>
      </w:r>
      <w:r w:rsidR="003553D9">
        <w:rPr>
          <w:lang w:val="en-US"/>
        </w:rPr>
        <w:t>ly understood and relativize</w:t>
      </w:r>
      <w:r w:rsidR="00B32BB3">
        <w:rPr>
          <w:lang w:val="en-US"/>
        </w:rPr>
        <w:t xml:space="preserve">d to virtuous methods of belief </w:t>
      </w:r>
      <w:r w:rsidR="003553D9">
        <w:rPr>
          <w:lang w:val="en-US"/>
        </w:rPr>
        <w:t>formation it is not in tension with the parity principles</w:t>
      </w:r>
      <w:r>
        <w:rPr>
          <w:lang w:val="en-US"/>
        </w:rPr>
        <w:t>.</w:t>
      </w:r>
      <w:r w:rsidR="003553D9">
        <w:rPr>
          <w:lang w:val="en-US"/>
        </w:rPr>
        <w:t xml:space="preserve"> Carter anticipates that this problem could be dissolved along the ab</w:t>
      </w:r>
      <w:r w:rsidR="00B32BB3">
        <w:rPr>
          <w:lang w:val="en-US"/>
        </w:rPr>
        <w:t>ove lines, since he writes that:</w:t>
      </w:r>
    </w:p>
    <w:p w:rsidR="0045484F" w:rsidRPr="00CF29E1" w:rsidRDefault="003553D9" w:rsidP="00BF40F3">
      <w:pPr>
        <w:spacing w:line="480" w:lineRule="auto"/>
        <w:ind w:left="1304"/>
        <w:jc w:val="both"/>
        <w:rPr>
          <w:lang w:val="en-US"/>
        </w:rPr>
      </w:pPr>
      <w:r w:rsidRPr="003553D9">
        <w:rPr>
          <w:lang w:val="en-US"/>
        </w:rPr>
        <w:t xml:space="preserve">Though anti-luck epistemology seems to get the right result across a spectrum of cases, we need a more precise account of what to hold ﬁxed under the description of the relevant way the belief was formed in the actual world, when moving out to nearby worlds. </w:t>
      </w:r>
      <w:r w:rsidR="00D92991">
        <w:rPr>
          <w:lang w:val="en-US"/>
        </w:rPr>
        <w:fldChar w:fldCharType="begin"/>
      </w:r>
      <w:r w:rsidR="00FF3D30">
        <w:rPr>
          <w:lang w:val="en-US"/>
        </w:rPr>
        <w:instrText xml:space="preserve"> ADDIN EN.CITE &lt;EndNote&gt;&lt;Cite AuthorYear="1"&gt;&lt;Author&gt;Pritchard&lt;/Author&gt;&lt;Year&gt;2007&lt;/Year&gt;&lt;RecNum&gt;1023&lt;/RecNum&gt;&lt;DisplayText&gt;Pritchard (2007)&lt;/DisplayText&gt;&lt;record&gt;&lt;rec-number&gt;1023&lt;/rec-number&gt;&lt;foreign-keys&gt;&lt;key app="EN" db-id="0vpawwrfrtdxzge9z5uvtw9lxxsetrv5095d" timestamp="1420636872"&gt;1023&lt;/key&gt;&lt;/foreign-keys&gt;&lt;ref-type name="Journal Article"&gt;17&lt;/ref-type&gt;&lt;contributors&gt;&lt;authors&gt;&lt;author&gt;Pritchard, D.&lt;/author&gt;&lt;/authors&gt;&lt;/contributors&gt;&lt;titles&gt;&lt;title&gt;Anti-luck epistemology&lt;/title&gt;&lt;secondary-title&gt;Synthese&lt;/secondary-title&gt;&lt;/titles&gt;&lt;periodical&gt;&lt;full-title&gt;Synthese&lt;/full-title&gt;&lt;/periodical&gt;&lt;pages&gt;277-297&lt;/pages&gt;&lt;volume&gt;158&lt;/volume&gt;&lt;number&gt;3&lt;/number&gt;&lt;dates&gt;&lt;year&gt;2007&lt;/year&gt;&lt;pub-dates&gt;&lt;date&gt;Oct&lt;/date&gt;&lt;/pub-dates&gt;&lt;/dates&gt;&lt;isbn&gt;0039-7857&lt;/isbn&gt;&lt;accession-num&gt;WOS:000249658200002&lt;/accession-num&gt;&lt;urls&gt;&lt;related-urls&gt;&lt;url&gt;&amp;lt;Go to ISI&amp;gt;://WOS:000249658200002&lt;/url&gt;&lt;/related-urls&gt;&lt;/urls&gt;&lt;electronic-resource-num&gt;10.1007/s11229-006-9039-7&lt;/electronic-resource-num&gt;&lt;/record&gt;&lt;/Cite&gt;&lt;/EndNote&gt;</w:instrText>
      </w:r>
      <w:r w:rsidR="00D92991">
        <w:rPr>
          <w:lang w:val="en-US"/>
        </w:rPr>
        <w:fldChar w:fldCharType="separate"/>
      </w:r>
      <w:r w:rsidR="00D92991">
        <w:rPr>
          <w:noProof/>
          <w:lang w:val="en-US"/>
        </w:rPr>
        <w:t>Pritchard (2007)</w:t>
      </w:r>
      <w:r w:rsidR="00D92991">
        <w:rPr>
          <w:lang w:val="en-US"/>
        </w:rPr>
        <w:fldChar w:fldCharType="end"/>
      </w:r>
      <w:r w:rsidRPr="003553D9">
        <w:rPr>
          <w:lang w:val="en-US"/>
        </w:rPr>
        <w:t xml:space="preserve"> himself has described the account on offer as vague on this point. Anti-luck epistemologists need to do better, and when they do, perhaps this will help deal with cases of extended cognition—cases for which the matter of what precisely to hold ﬁxed is of special importance.</w:t>
      </w:r>
      <w:r>
        <w:rPr>
          <w:lang w:val="en-US"/>
        </w:rPr>
        <w:t xml:space="preserve"> </w:t>
      </w:r>
      <w:r>
        <w:rPr>
          <w:lang w:val="en-US"/>
        </w:rPr>
        <w:fldChar w:fldCharType="begin"/>
      </w:r>
      <w:r w:rsidR="00FF3D30">
        <w:rPr>
          <w:lang w:val="en-US"/>
        </w:rPr>
        <w:instrText xml:space="preserve"> ADDIN EN.CITE &lt;EndNote&gt;&lt;Cite&gt;&lt;Author&gt;Carter&lt;/Author&gt;&lt;Year&gt;2013&lt;/Year&gt;&lt;RecNum&gt;8&lt;/RecNum&gt;&lt;Pages&gt;4212&lt;/Pages&gt;&lt;DisplayText&gt;(Carter, 2013, p. 4212)&lt;/DisplayText&gt;&lt;record&gt;&lt;rec-number&gt;8&lt;/rec-number&gt;&lt;foreign-keys&gt;&lt;key app="EN" db-id="0vpawwrfrtdxzge9z5uvtw9lxxsetrv5095d" timestamp="1418652244"&gt;8&lt;/key&gt;&lt;/foreign-keys&gt;&lt;ref-type name="Journal Article"&gt;17&lt;/ref-type&gt;&lt;contributors&gt;&lt;authors&gt;&lt;author&gt;Carter, J. A.&lt;/author&gt;&lt;/authors&gt;&lt;/contributors&gt;&lt;titles&gt;&lt;title&gt;Extended cognition and epistemic luck&lt;/title&gt;&lt;secondary-title&gt;Synthese&lt;/secondary-title&gt;&lt;/titles&gt;&lt;periodical&gt;&lt;full-title&gt;Synthese&lt;/full-title&gt;&lt;/periodical&gt;&lt;pages&gt;4201–4214&lt;/pages&gt;&lt;volume&gt;190&lt;/volume&gt;&lt;dates&gt;&lt;year&gt;2013&lt;/year&gt;&lt;/dates&gt;&lt;urls&gt;&lt;/urls&gt;&lt;electronic-resource-num&gt;DOI 10.1007/s11229-013-0267-3&lt;/electronic-resource-num&gt;&lt;/record&gt;&lt;/Cite&gt;&lt;/EndNote&gt;</w:instrText>
      </w:r>
      <w:r>
        <w:rPr>
          <w:lang w:val="en-US"/>
        </w:rPr>
        <w:fldChar w:fldCharType="separate"/>
      </w:r>
      <w:r>
        <w:rPr>
          <w:noProof/>
          <w:lang w:val="en-US"/>
        </w:rPr>
        <w:t>(Carter, 2013, p. 4212)</w:t>
      </w:r>
      <w:r>
        <w:rPr>
          <w:lang w:val="en-US"/>
        </w:rPr>
        <w:fldChar w:fldCharType="end"/>
      </w:r>
    </w:p>
    <w:p w:rsidR="00AF752A" w:rsidRDefault="003553D9" w:rsidP="00BF40F3">
      <w:pPr>
        <w:spacing w:line="480" w:lineRule="auto"/>
        <w:jc w:val="both"/>
        <w:rPr>
          <w:lang w:val="en-US"/>
        </w:rPr>
      </w:pPr>
      <w:r>
        <w:rPr>
          <w:lang w:val="en-US"/>
        </w:rPr>
        <w:t xml:space="preserve">Now that we have a satisfactory solution to the problems raised by Carter it is time to consider Kelp’s argument, </w:t>
      </w:r>
      <w:r w:rsidR="00B011DC">
        <w:rPr>
          <w:lang w:val="en-US"/>
        </w:rPr>
        <w:t xml:space="preserve">which aims to establish the conclusion </w:t>
      </w:r>
      <w:r>
        <w:rPr>
          <w:lang w:val="en-US"/>
        </w:rPr>
        <w:t>that the safety condition can be a necessary condition for knowledge only if the extended mind thesis is true.</w:t>
      </w:r>
    </w:p>
    <w:p w:rsidR="003553D9" w:rsidRDefault="00B011DC" w:rsidP="00BF40F3">
      <w:pPr>
        <w:pStyle w:val="Luettelokappale"/>
        <w:numPr>
          <w:ilvl w:val="0"/>
          <w:numId w:val="1"/>
        </w:numPr>
        <w:spacing w:line="480" w:lineRule="auto"/>
        <w:jc w:val="both"/>
        <w:rPr>
          <w:lang w:val="en-US"/>
        </w:rPr>
      </w:pPr>
      <w:r>
        <w:rPr>
          <w:lang w:val="en-US"/>
        </w:rPr>
        <w:t xml:space="preserve">A </w:t>
      </w:r>
      <w:r w:rsidR="009932CF">
        <w:rPr>
          <w:lang w:val="en-US"/>
        </w:rPr>
        <w:t>HOSTAGE SITUATION?</w:t>
      </w:r>
    </w:p>
    <w:p w:rsidR="002D3EBE" w:rsidRDefault="002D3EBE" w:rsidP="00BF40F3">
      <w:pPr>
        <w:spacing w:line="480" w:lineRule="auto"/>
        <w:jc w:val="both"/>
        <w:rPr>
          <w:lang w:val="en-US"/>
        </w:rPr>
      </w:pPr>
      <w:r>
        <w:rPr>
          <w:lang w:val="en-US"/>
        </w:rPr>
        <w:t xml:space="preserve">Kelp has argued that the safety condition can be a necessary condition for knowledge only if the extended mind thesis is true. </w:t>
      </w:r>
      <w:r w:rsidR="009932CF">
        <w:rPr>
          <w:lang w:val="en-US"/>
        </w:rPr>
        <w:t xml:space="preserve">Kelp’s argument rests </w:t>
      </w:r>
      <w:r>
        <w:rPr>
          <w:lang w:val="en-US"/>
        </w:rPr>
        <w:t>on the following thought experiment:</w:t>
      </w:r>
    </w:p>
    <w:p w:rsidR="002D3EBE" w:rsidRDefault="002D3EBE" w:rsidP="00BF40F3">
      <w:pPr>
        <w:spacing w:line="480" w:lineRule="auto"/>
        <w:ind w:left="1304" w:hanging="1304"/>
        <w:jc w:val="both"/>
        <w:rPr>
          <w:lang w:val="en-US"/>
        </w:rPr>
      </w:pPr>
      <w:r>
        <w:rPr>
          <w:lang w:val="en-US"/>
        </w:rPr>
        <w:lastRenderedPageBreak/>
        <w:t xml:space="preserve">TIMEKEEPER: </w:t>
      </w:r>
      <w:r w:rsidRPr="002D3EBE">
        <w:rPr>
          <w:lang w:val="en-US"/>
        </w:rPr>
        <w:t>The timeseeker looks at a public clock, sees that it reads 2.30 and on that basis comes to believe that it is 2.30. The clock has an outstanding track-record of functioning properly and the timeseeker has no reason to think that it is currently not accurate. Her belief is true. It is in fact 2.30. Unbeknowst to the timeseeker, however, the clock has stopped exactly twelve hours ago. As it happens, this episode is observed by the timekeeper, who has been called in to fix the stopped clock. Using his two radio clocks, the timekeeper confirms that the reading of the stopped clock is accurate. Had the stopped clock reading been inaccurate, the timekeeper would have alerted the timeseeker to this fact.</w:t>
      </w:r>
      <w:r>
        <w:rPr>
          <w:lang w:val="en-US"/>
        </w:rPr>
        <w:t xml:space="preserve"> </w:t>
      </w:r>
      <w:r>
        <w:rPr>
          <w:lang w:val="en-US"/>
        </w:rPr>
        <w:fldChar w:fldCharType="begin"/>
      </w:r>
      <w:r w:rsidR="00FF3D30">
        <w:rPr>
          <w:lang w:val="en-US"/>
        </w:rPr>
        <w:instrText xml:space="preserve"> ADDIN EN.CITE &lt;EndNote&gt;&lt;Cite&gt;&lt;Author&gt;Kelp&lt;/Author&gt;&lt;Year&gt;2014&lt;/Year&gt;&lt;RecNum&gt;368&lt;/RecNum&gt;&lt;Pages&gt;236&lt;/Pages&gt;&lt;DisplayText&gt;(Kelp, 2014, p. 236)&lt;/DisplayText&gt;&lt;record&gt;&lt;rec-number&gt;368&lt;/rec-number&gt;&lt;foreign-keys&gt;&lt;key app="EN" db-id="0vpawwrfrtdxzge9z5uvtw9lxxsetrv5095d" timestamp="1418724366"&gt;368&lt;/key&gt;&lt;/foreign-keys&gt;&lt;ref-type name="Journal Article"&gt;17&lt;/ref-type&gt;&lt;contributors&gt;&lt;authors&gt;&lt;author&gt;Kelp, C.&lt;/author&gt;&lt;/authors&gt;&lt;/contributors&gt;&lt;titles&gt;&lt;title&gt;Epistemology Extended&lt;/title&gt;&lt;secondary-title&gt;Philosophical Issues&lt;/secondary-title&gt;&lt;/titles&gt;&lt;periodical&gt;&lt;full-title&gt;Philosophical Issues&lt;/full-title&gt;&lt;/periodical&gt;&lt;pages&gt;230-252&lt;/pages&gt;&lt;volume&gt;24&lt;/volume&gt;&lt;number&gt;1&lt;/number&gt;&lt;dates&gt;&lt;year&gt;2014&lt;/year&gt;&lt;pub-dates&gt;&lt;date&gt;Oct&lt;/date&gt;&lt;/pub-dates&gt;&lt;/dates&gt;&lt;isbn&gt;1533-6077&lt;/isbn&gt;&lt;accession-num&gt;WOS:000342673500010&lt;/accession-num&gt;&lt;urls&gt;&lt;related-urls&gt;&lt;url&gt;&amp;lt;Go to ISI&amp;gt;://WOS:000342673500010&lt;/url&gt;&lt;/related-urls&gt;&lt;/urls&gt;&lt;electronic-resource-num&gt;10.1111/phis.12032&lt;/electronic-resource-num&gt;&lt;/record&gt;&lt;/Cite&gt;&lt;/EndNote&gt;</w:instrText>
      </w:r>
      <w:r>
        <w:rPr>
          <w:lang w:val="en-US"/>
        </w:rPr>
        <w:fldChar w:fldCharType="separate"/>
      </w:r>
      <w:r>
        <w:rPr>
          <w:noProof/>
          <w:lang w:val="en-US"/>
        </w:rPr>
        <w:t>(Kelp, 2014, p. 236)</w:t>
      </w:r>
      <w:r>
        <w:rPr>
          <w:lang w:val="en-US"/>
        </w:rPr>
        <w:fldChar w:fldCharType="end"/>
      </w:r>
    </w:p>
    <w:p w:rsidR="00CC0ABF" w:rsidRDefault="001512F5" w:rsidP="00BF40F3">
      <w:pPr>
        <w:spacing w:line="480" w:lineRule="auto"/>
        <w:jc w:val="both"/>
        <w:rPr>
          <w:lang w:val="en-US"/>
        </w:rPr>
      </w:pPr>
      <w:r>
        <w:rPr>
          <w:lang w:val="en-US"/>
        </w:rPr>
        <w:t>Kelp intuits that the timeseeker knows</w:t>
      </w:r>
      <w:r w:rsidR="002E37DA">
        <w:rPr>
          <w:lang w:val="en-US"/>
        </w:rPr>
        <w:t xml:space="preserve"> that it is 2.30. He takes this</w:t>
      </w:r>
      <w:r>
        <w:rPr>
          <w:lang w:val="en-US"/>
        </w:rPr>
        <w:t xml:space="preserve"> thought experiment to </w:t>
      </w:r>
      <w:r w:rsidR="002E37DA">
        <w:rPr>
          <w:lang w:val="en-US"/>
        </w:rPr>
        <w:t>be a counterexample against</w:t>
      </w:r>
      <w:r>
        <w:rPr>
          <w:lang w:val="en-US"/>
        </w:rPr>
        <w:t xml:space="preserve"> </w:t>
      </w:r>
      <w:r w:rsidR="002E37DA">
        <w:rPr>
          <w:lang w:val="en-US"/>
        </w:rPr>
        <w:t>virtue epistemological theories of knowledge</w:t>
      </w:r>
      <w:r w:rsidR="00B73A8A">
        <w:rPr>
          <w:lang w:val="en-US"/>
        </w:rPr>
        <w:t xml:space="preserve">, since </w:t>
      </w:r>
      <w:r w:rsidR="002E37DA">
        <w:rPr>
          <w:lang w:val="en-US"/>
        </w:rPr>
        <w:t xml:space="preserve">the subject’s cognitive abilities are </w:t>
      </w:r>
      <w:r w:rsidR="00B73A8A">
        <w:rPr>
          <w:lang w:val="en-US"/>
        </w:rPr>
        <w:t xml:space="preserve">not </w:t>
      </w:r>
      <w:r w:rsidR="002E37DA">
        <w:rPr>
          <w:lang w:val="en-US"/>
        </w:rPr>
        <w:t xml:space="preserve">manifested in the truth of her belief. He also considers it as </w:t>
      </w:r>
      <w:r w:rsidR="00CC0674">
        <w:rPr>
          <w:lang w:val="en-US"/>
        </w:rPr>
        <w:t xml:space="preserve">a </w:t>
      </w:r>
      <w:r w:rsidR="002E37DA">
        <w:rPr>
          <w:lang w:val="en-US"/>
        </w:rPr>
        <w:t>counterexample</w:t>
      </w:r>
      <w:r w:rsidR="009B365C">
        <w:rPr>
          <w:lang w:val="en-US"/>
        </w:rPr>
        <w:t xml:space="preserve"> against sensitivity and safety-</w:t>
      </w:r>
      <w:r w:rsidR="002E37DA">
        <w:rPr>
          <w:lang w:val="en-US"/>
        </w:rPr>
        <w:t>based theories of knowledge.</w:t>
      </w:r>
      <w:r w:rsidR="00B73A8A">
        <w:rPr>
          <w:rStyle w:val="Alaviitteenviite"/>
          <w:lang w:val="en-US"/>
        </w:rPr>
        <w:footnoteReference w:id="11"/>
      </w:r>
      <w:r w:rsidR="009932CF">
        <w:rPr>
          <w:lang w:val="en-US"/>
        </w:rPr>
        <w:t xml:space="preserve"> T</w:t>
      </w:r>
      <w:r w:rsidR="002E37DA">
        <w:rPr>
          <w:lang w:val="en-US"/>
        </w:rPr>
        <w:t>here are plenty of nearby possible worlds where the timeseeker believes that it is 2.30, while her belief is false, since she looks at the stopped clock a bit earlier. There is no reason to suppose that the inv</w:t>
      </w:r>
      <w:r w:rsidR="009B365C">
        <w:rPr>
          <w:lang w:val="en-US"/>
        </w:rPr>
        <w:t xml:space="preserve">olvement of the timekeeper is </w:t>
      </w:r>
      <w:r w:rsidR="002E37DA">
        <w:rPr>
          <w:lang w:val="en-US"/>
        </w:rPr>
        <w:t>modally robus</w:t>
      </w:r>
      <w:r w:rsidR="00B73A8A">
        <w:rPr>
          <w:lang w:val="en-US"/>
        </w:rPr>
        <w:t>t, in that she would have told the timeseeker that the clock has stopped</w:t>
      </w:r>
      <w:r w:rsidR="009932CF">
        <w:rPr>
          <w:lang w:val="en-US"/>
        </w:rPr>
        <w:t xml:space="preserve"> in all nearby possible worlds</w:t>
      </w:r>
      <w:r w:rsidR="00B73A8A">
        <w:rPr>
          <w:lang w:val="en-US"/>
        </w:rPr>
        <w:t xml:space="preserve">. In fact, </w:t>
      </w:r>
      <w:r w:rsidR="00B73A8A">
        <w:rPr>
          <w:lang w:val="en-US"/>
        </w:rPr>
        <w:fldChar w:fldCharType="begin"/>
      </w:r>
      <w:r w:rsidR="00FF3D30">
        <w:rPr>
          <w:lang w:val="en-US"/>
        </w:rPr>
        <w:instrText xml:space="preserve"> ADDIN EN.CITE &lt;EndNote&gt;&lt;Cite AuthorYear="1"&gt;&lt;Author&gt;Kelp&lt;/Author&gt;&lt;Year&gt;2014&lt;/Year&gt;&lt;RecNum&gt;368&lt;/RecNum&gt;&lt;Pages&gt;238&lt;/Pages&gt;&lt;DisplayText&gt;Kelp (2014, p. 238)&lt;/DisplayText&gt;&lt;record&gt;&lt;rec-number&gt;368&lt;/rec-number&gt;&lt;foreign-keys&gt;&lt;key app="EN" db-id="0vpawwrfrtdxzge9z5uvtw9lxxsetrv5095d" timestamp="1418724366"&gt;368&lt;/key&gt;&lt;/foreign-keys&gt;&lt;ref-type name="Journal Article"&gt;17&lt;/ref-type&gt;&lt;contributors&gt;&lt;authors&gt;&lt;author&gt;Kelp, C.&lt;/author&gt;&lt;/authors&gt;&lt;/contributors&gt;&lt;titles&gt;&lt;title&gt;Epistemology Extended&lt;/title&gt;&lt;secondary-title&gt;Philosophical Issues&lt;/secondary-title&gt;&lt;/titles&gt;&lt;periodical&gt;&lt;full-title&gt;Philosophical Issues&lt;/full-title&gt;&lt;/periodical&gt;&lt;pages&gt;230-252&lt;/pages&gt;&lt;volume&gt;24&lt;/volume&gt;&lt;number&gt;1&lt;/number&gt;&lt;dates&gt;&lt;year&gt;2014&lt;/year&gt;&lt;pub-dates&gt;&lt;date&gt;Oct&lt;/date&gt;&lt;/pub-dates&gt;&lt;/dates&gt;&lt;isbn&gt;1533-6077&lt;/isbn&gt;&lt;accession-num&gt;WOS:000342673500010&lt;/accession-num&gt;&lt;urls&gt;&lt;related-urls&gt;&lt;url&gt;&amp;lt;Go to ISI&amp;gt;://WOS:000342673500010&lt;/url&gt;&lt;/related-urls&gt;&lt;/urls&gt;&lt;electronic-resource-num&gt;10.1111/phis.12032&lt;/electronic-resource-num&gt;&lt;/record&gt;&lt;/Cite&gt;&lt;/EndNote&gt;</w:instrText>
      </w:r>
      <w:r w:rsidR="00B73A8A">
        <w:rPr>
          <w:lang w:val="en-US"/>
        </w:rPr>
        <w:fldChar w:fldCharType="separate"/>
      </w:r>
      <w:r w:rsidR="00B73A8A">
        <w:rPr>
          <w:noProof/>
          <w:lang w:val="en-US"/>
        </w:rPr>
        <w:t>Kelp (2014, p. 238)</w:t>
      </w:r>
      <w:r w:rsidR="00B73A8A">
        <w:rPr>
          <w:lang w:val="en-US"/>
        </w:rPr>
        <w:fldChar w:fldCharType="end"/>
      </w:r>
      <w:r w:rsidR="00B73A8A">
        <w:rPr>
          <w:lang w:val="en-US"/>
        </w:rPr>
        <w:t xml:space="preserve"> thinks that we can stipulate that the </w:t>
      </w:r>
      <w:r w:rsidR="00CC0674">
        <w:rPr>
          <w:lang w:val="en-US"/>
        </w:rPr>
        <w:t xml:space="preserve">involvement of the </w:t>
      </w:r>
      <w:r w:rsidR="00B73A8A">
        <w:rPr>
          <w:lang w:val="en-US"/>
        </w:rPr>
        <w:t>tim</w:t>
      </w:r>
      <w:r w:rsidR="00CC0674">
        <w:rPr>
          <w:lang w:val="en-US"/>
        </w:rPr>
        <w:t>ekeeper is modally fragile</w:t>
      </w:r>
      <w:r w:rsidR="00B73A8A">
        <w:rPr>
          <w:lang w:val="en-US"/>
        </w:rPr>
        <w:t>, in that she is not guarding the timeseeker from error in most nearby possible worlds. But if that is so, the</w:t>
      </w:r>
      <w:r w:rsidR="008F7E3E">
        <w:rPr>
          <w:lang w:val="en-US"/>
        </w:rPr>
        <w:t>n the</w:t>
      </w:r>
      <w:r w:rsidR="00B73A8A">
        <w:rPr>
          <w:lang w:val="en-US"/>
        </w:rPr>
        <w:t xml:space="preserve"> sentence “</w:t>
      </w:r>
      <w:r w:rsidR="00B73A8A" w:rsidRPr="002D3EBE">
        <w:rPr>
          <w:lang w:val="en-US"/>
        </w:rPr>
        <w:t>Had the stopped clock reading been inaccurate, the timekeeper would have alerted the timeseeker to this fact</w:t>
      </w:r>
      <w:r w:rsidR="00B73A8A">
        <w:rPr>
          <w:lang w:val="en-US"/>
        </w:rPr>
        <w:t>” is clearly false. After all, if the involvement of the timekeeper is modally fragile, she would not have alerted the timeseeker to the fact that the clock</w:t>
      </w:r>
      <w:r w:rsidR="00CC0ABF">
        <w:rPr>
          <w:lang w:val="en-US"/>
        </w:rPr>
        <w:t>’s</w:t>
      </w:r>
      <w:r w:rsidR="00B73A8A">
        <w:rPr>
          <w:lang w:val="en-US"/>
        </w:rPr>
        <w:t xml:space="preserve"> reading is inaccurate, since in the vast majority of possible wor</w:t>
      </w:r>
      <w:r w:rsidR="00CC0ABF">
        <w:rPr>
          <w:lang w:val="en-US"/>
        </w:rPr>
        <w:t>lds</w:t>
      </w:r>
      <w:r w:rsidR="004861AC">
        <w:rPr>
          <w:lang w:val="en-US"/>
        </w:rPr>
        <w:t>,</w:t>
      </w:r>
      <w:r w:rsidR="00CC0ABF">
        <w:rPr>
          <w:lang w:val="en-US"/>
        </w:rPr>
        <w:t xml:space="preserve"> </w:t>
      </w:r>
      <w:r w:rsidR="00CC0674">
        <w:rPr>
          <w:lang w:val="en-US"/>
        </w:rPr>
        <w:t>where the reading is inaccurate</w:t>
      </w:r>
      <w:r w:rsidR="004861AC">
        <w:rPr>
          <w:lang w:val="en-US"/>
        </w:rPr>
        <w:t>,</w:t>
      </w:r>
      <w:r w:rsidR="00CC0ABF">
        <w:rPr>
          <w:lang w:val="en-US"/>
        </w:rPr>
        <w:t xml:space="preserve"> the timekeeper is not alerting the timeseeker to this fact. If the involvement of the timekeeper is indeed a modally fragile feature of the case, then I have to acknowledge that I lack the intuition that the subject lacks knowledge.</w:t>
      </w:r>
      <w:r w:rsidR="00A95336">
        <w:rPr>
          <w:lang w:val="en-US"/>
        </w:rPr>
        <w:t xml:space="preserve"> But let us put my intuitions aside for now.</w:t>
      </w:r>
    </w:p>
    <w:p w:rsidR="00475A0D" w:rsidRDefault="00D85B82" w:rsidP="00BF40F3">
      <w:pPr>
        <w:spacing w:line="480" w:lineRule="auto"/>
        <w:jc w:val="both"/>
        <w:rPr>
          <w:lang w:val="en-US"/>
        </w:rPr>
      </w:pPr>
      <w:r>
        <w:rPr>
          <w:lang w:val="en-US"/>
        </w:rPr>
        <w:lastRenderedPageBreak/>
        <w:fldChar w:fldCharType="begin"/>
      </w:r>
      <w:r w:rsidR="00FF3D30">
        <w:rPr>
          <w:lang w:val="en-US"/>
        </w:rPr>
        <w:instrText xml:space="preserve"> ADDIN EN.CITE &lt;EndNote&gt;&lt;Cite AuthorYear="1"&gt;&lt;Author&gt;Kelp&lt;/Author&gt;&lt;Year&gt;2014&lt;/Year&gt;&lt;RecNum&gt;368&lt;/RecNum&gt;&lt;Pages&gt;246&lt;/Pages&gt;&lt;DisplayText&gt;Kelp (2014, p. 246)&lt;/DisplayText&gt;&lt;record&gt;&lt;rec-number&gt;368&lt;/rec-number&gt;&lt;foreign-keys&gt;&lt;key app="EN" db-id="0vpawwrfrtdxzge9z5uvtw9lxxsetrv5095d" timestamp="1418724366"&gt;368&lt;/key&gt;&lt;/foreign-keys&gt;&lt;ref-type name="Journal Article"&gt;17&lt;/ref-type&gt;&lt;contributors&gt;&lt;authors&gt;&lt;author&gt;Kelp, C.&lt;/author&gt;&lt;/authors&gt;&lt;/contributors&gt;&lt;titles&gt;&lt;title&gt;Epistemology Extended&lt;/title&gt;&lt;secondary-title&gt;Philosophical Issues&lt;/secondary-title&gt;&lt;/titles&gt;&lt;periodical&gt;&lt;full-title&gt;Philosophical Issues&lt;/full-title&gt;&lt;/periodical&gt;&lt;pages&gt;230-252&lt;/pages&gt;&lt;volume&gt;24&lt;/volume&gt;&lt;number&gt;1&lt;/number&gt;&lt;dates&gt;&lt;year&gt;2014&lt;/year&gt;&lt;pub-dates&gt;&lt;date&gt;Oct&lt;/date&gt;&lt;/pub-dates&gt;&lt;/dates&gt;&lt;isbn&gt;1533-6077&lt;/isbn&gt;&lt;accession-num&gt;WOS:000342673500010&lt;/accession-num&gt;&lt;urls&gt;&lt;related-urls&gt;&lt;url&gt;&amp;lt;Go to ISI&amp;gt;://WOS:000342673500010&lt;/url&gt;&lt;/related-urls&gt;&lt;/urls&gt;&lt;electronic-resource-num&gt;10.1111/phis.12032&lt;/electronic-resource-num&gt;&lt;/record&gt;&lt;/Cite&gt;&lt;/EndNote&gt;</w:instrText>
      </w:r>
      <w:r>
        <w:rPr>
          <w:lang w:val="en-US"/>
        </w:rPr>
        <w:fldChar w:fldCharType="separate"/>
      </w:r>
      <w:r>
        <w:rPr>
          <w:noProof/>
          <w:lang w:val="en-US"/>
        </w:rPr>
        <w:t>Kelp (2014, p. 246)</w:t>
      </w:r>
      <w:r>
        <w:rPr>
          <w:lang w:val="en-US"/>
        </w:rPr>
        <w:fldChar w:fldCharType="end"/>
      </w:r>
      <w:r w:rsidR="008F7E3E">
        <w:rPr>
          <w:lang w:val="en-US"/>
        </w:rPr>
        <w:t xml:space="preserve"> claims that </w:t>
      </w:r>
      <w:r w:rsidR="009932CF">
        <w:rPr>
          <w:lang w:val="en-US"/>
        </w:rPr>
        <w:t>virtue epistemological</w:t>
      </w:r>
      <w:r w:rsidR="009B365C">
        <w:rPr>
          <w:lang w:val="en-US"/>
        </w:rPr>
        <w:t>-</w:t>
      </w:r>
      <w:r w:rsidR="009932CF">
        <w:rPr>
          <w:lang w:val="en-US"/>
        </w:rPr>
        <w:t>,</w:t>
      </w:r>
      <w:r w:rsidR="00402EDA">
        <w:rPr>
          <w:lang w:val="en-US"/>
        </w:rPr>
        <w:t xml:space="preserve"> safety</w:t>
      </w:r>
      <w:r w:rsidR="009B365C">
        <w:rPr>
          <w:lang w:val="en-US"/>
        </w:rPr>
        <w:t>- and sensitivity-</w:t>
      </w:r>
      <w:r w:rsidR="00402EDA">
        <w:rPr>
          <w:lang w:val="en-US"/>
        </w:rPr>
        <w:t>based theori</w:t>
      </w:r>
      <w:r w:rsidR="009932CF">
        <w:rPr>
          <w:lang w:val="en-US"/>
        </w:rPr>
        <w:t>es of knowledge are able to deliver the verdict that the timeseeker knows</w:t>
      </w:r>
      <w:r w:rsidR="00402EDA">
        <w:rPr>
          <w:lang w:val="en-US"/>
        </w:rPr>
        <w:t xml:space="preserve"> only if the case is construed as a </w:t>
      </w:r>
      <w:r>
        <w:rPr>
          <w:lang w:val="en-US"/>
        </w:rPr>
        <w:t xml:space="preserve">case of extended cognition. </w:t>
      </w:r>
      <w:r>
        <w:rPr>
          <w:lang w:val="en-US"/>
        </w:rPr>
        <w:fldChar w:fldCharType="begin"/>
      </w:r>
      <w:r w:rsidR="00FF3D30">
        <w:rPr>
          <w:lang w:val="en-US"/>
        </w:rPr>
        <w:instrText xml:space="preserve"> ADDIN EN.CITE &lt;EndNote&gt;&lt;Cite AuthorYear="1"&gt;&lt;Author&gt;Kelp&lt;/Author&gt;&lt;Year&gt;2014&lt;/Year&gt;&lt;RecNum&gt;368&lt;/RecNum&gt;&lt;Pages&gt;244&lt;/Pages&gt;&lt;DisplayText&gt;Kelp (2014, p. 244)&lt;/DisplayText&gt;&lt;record&gt;&lt;rec-number&gt;368&lt;/rec-number&gt;&lt;foreign-keys&gt;&lt;key app="EN" db-id="0vpawwrfrtdxzge9z5uvtw9lxxsetrv5095d" timestamp="1418724366"&gt;368&lt;/key&gt;&lt;/foreign-keys&gt;&lt;ref-type name="Journal Article"&gt;17&lt;/ref-type&gt;&lt;contributors&gt;&lt;authors&gt;&lt;author&gt;Kelp, C.&lt;/author&gt;&lt;/authors&gt;&lt;/contributors&gt;&lt;titles&gt;&lt;title&gt;Epistemology Extended&lt;/title&gt;&lt;secondary-title&gt;Philosophical Issues&lt;/secondary-title&gt;&lt;/titles&gt;&lt;periodical&gt;&lt;full-title&gt;Philosophical Issues&lt;/full-title&gt;&lt;/periodical&gt;&lt;pages&gt;230-252&lt;/pages&gt;&lt;volume&gt;24&lt;/volume&gt;&lt;number&gt;1&lt;/number&gt;&lt;dates&gt;&lt;year&gt;2014&lt;/year&gt;&lt;pub-dates&gt;&lt;date&gt;Oct&lt;/date&gt;&lt;/pub-dates&gt;&lt;/dates&gt;&lt;isbn&gt;1533-6077&lt;/isbn&gt;&lt;accession-num&gt;WOS:000342673500010&lt;/accession-num&gt;&lt;urls&gt;&lt;related-urls&gt;&lt;url&gt;&amp;lt;Go to ISI&amp;gt;://WOS:000342673500010&lt;/url&gt;&lt;/related-urls&gt;&lt;/urls&gt;&lt;electronic-resource-num&gt;10.1111/phis.12032&lt;/electronic-resource-num&gt;&lt;/record&gt;&lt;/Cite&gt;&lt;/EndNote&gt;</w:instrText>
      </w:r>
      <w:r>
        <w:rPr>
          <w:lang w:val="en-US"/>
        </w:rPr>
        <w:fldChar w:fldCharType="separate"/>
      </w:r>
      <w:r>
        <w:rPr>
          <w:noProof/>
          <w:lang w:val="en-US"/>
        </w:rPr>
        <w:t>Kelp (2014, p. 244)</w:t>
      </w:r>
      <w:r>
        <w:rPr>
          <w:lang w:val="en-US"/>
        </w:rPr>
        <w:fldChar w:fldCharType="end"/>
      </w:r>
      <w:r w:rsidR="00402EDA">
        <w:rPr>
          <w:lang w:val="en-US"/>
        </w:rPr>
        <w:t xml:space="preserve"> maintains that the timekeeper should be understood as a monitoring process, which extends beyond the timeseeker’s body. It is easy to see why the safety condition would be satisfied by the timeseeker </w:t>
      </w:r>
      <w:r w:rsidR="005E4E67">
        <w:rPr>
          <w:lang w:val="en-US"/>
        </w:rPr>
        <w:t xml:space="preserve">if the timekeeper </w:t>
      </w:r>
      <w:r w:rsidR="00402EDA">
        <w:rPr>
          <w:lang w:val="en-US"/>
        </w:rPr>
        <w:t>was part of the cognitive process that is to be kept fixed in relevant possible worlds. After all, in all of the possible worlds where the timekeeper is there to alert the subject of the fact that the clo</w:t>
      </w:r>
      <w:r w:rsidR="009932CF">
        <w:rPr>
          <w:lang w:val="en-US"/>
        </w:rPr>
        <w:t>ck is displaying the wrong time</w:t>
      </w:r>
      <w:r w:rsidR="00402EDA">
        <w:rPr>
          <w:lang w:val="en-US"/>
        </w:rPr>
        <w:t xml:space="preserve"> the timeseeker will not form th</w:t>
      </w:r>
      <w:r w:rsidR="009932CF">
        <w:rPr>
          <w:lang w:val="en-US"/>
        </w:rPr>
        <w:t>e relevant belief, and hence</w:t>
      </w:r>
      <w:r w:rsidR="00402EDA">
        <w:rPr>
          <w:lang w:val="en-US"/>
        </w:rPr>
        <w:t xml:space="preserve"> her belief that it is 2.30 is true in all relevant possible worlds where she holds the belief. But if this</w:t>
      </w:r>
      <w:r w:rsidR="009B365C">
        <w:rPr>
          <w:lang w:val="en-US"/>
        </w:rPr>
        <w:t xml:space="preserve"> is the only way for the safety </w:t>
      </w:r>
      <w:r w:rsidR="00402EDA">
        <w:rPr>
          <w:lang w:val="en-US"/>
        </w:rPr>
        <w:t xml:space="preserve">theorist to deal with this case, then the safety condition is hostage to the possible truth of the extended mind thesis. </w:t>
      </w:r>
      <w:r w:rsidR="009932CF">
        <w:rPr>
          <w:lang w:val="en-US"/>
        </w:rPr>
        <w:t>Given that the extended mind thesis is a controversial thesis</w:t>
      </w:r>
      <w:r>
        <w:rPr>
          <w:lang w:val="en-US"/>
        </w:rPr>
        <w:t>,</w:t>
      </w:r>
      <w:r w:rsidR="009932CF">
        <w:rPr>
          <w:lang w:val="en-US"/>
        </w:rPr>
        <w:t xml:space="preserve"> and far from an obvious truth, this commitment is hardly welcome. </w:t>
      </w:r>
      <w:r w:rsidR="00402EDA">
        <w:rPr>
          <w:lang w:val="en-US"/>
        </w:rPr>
        <w:t xml:space="preserve">Worse, it seems that the </w:t>
      </w:r>
      <w:r w:rsidR="009932CF">
        <w:rPr>
          <w:lang w:val="en-US"/>
        </w:rPr>
        <w:t xml:space="preserve">cognitive </w:t>
      </w:r>
      <w:r w:rsidR="00402EDA">
        <w:rPr>
          <w:lang w:val="en-US"/>
        </w:rPr>
        <w:t xml:space="preserve">extension in TIMEKEEPER occurs all </w:t>
      </w:r>
      <w:r w:rsidR="005E4E67">
        <w:rPr>
          <w:lang w:val="en-US"/>
        </w:rPr>
        <w:t>too easily</w:t>
      </w:r>
      <w:r w:rsidR="00402EDA">
        <w:rPr>
          <w:lang w:val="en-US"/>
        </w:rPr>
        <w:t xml:space="preserve">. After all, the timeseeker is not even aware of the timekeeper’s presence in the actual world! </w:t>
      </w:r>
      <w:r w:rsidR="00FD63DA">
        <w:rPr>
          <w:lang w:val="en-US"/>
        </w:rPr>
        <w:t xml:space="preserve">He just happened to walk by. </w:t>
      </w:r>
      <w:r w:rsidR="00402EDA">
        <w:rPr>
          <w:lang w:val="en-US"/>
        </w:rPr>
        <w:t xml:space="preserve">It does not seem to be the case that </w:t>
      </w:r>
      <w:r w:rsidR="00475A0D">
        <w:rPr>
          <w:lang w:val="en-US"/>
        </w:rPr>
        <w:t>the timekeeper is integrated (in anyway) to the timeseeker’s cognitive character.</w:t>
      </w:r>
    </w:p>
    <w:p w:rsidR="00224C18" w:rsidRDefault="00475A0D" w:rsidP="00BF40F3">
      <w:pPr>
        <w:spacing w:line="480" w:lineRule="auto"/>
        <w:jc w:val="both"/>
        <w:rPr>
          <w:lang w:val="en-US"/>
        </w:rPr>
      </w:pPr>
      <w:r>
        <w:rPr>
          <w:lang w:val="en-US"/>
        </w:rPr>
        <w:t xml:space="preserve">Most proponents of the extended mind thesis would agree that TIMEKEEPER is not a case of cognitive extension, since they hold that cognitive extension can occur only if </w:t>
      </w:r>
      <w:r w:rsidR="00B3246A">
        <w:rPr>
          <w:lang w:val="en-US"/>
        </w:rPr>
        <w:t xml:space="preserve">the </w:t>
      </w:r>
      <w:r w:rsidR="005812DE">
        <w:rPr>
          <w:lang w:val="en-US"/>
        </w:rPr>
        <w:t>so-called</w:t>
      </w:r>
      <w:r w:rsidR="00224C18" w:rsidRPr="00451DFC">
        <w:rPr>
          <w:i/>
          <w:lang w:val="en-US"/>
        </w:rPr>
        <w:t xml:space="preserve"> trust</w:t>
      </w:r>
      <w:r w:rsidR="005812DE">
        <w:rPr>
          <w:i/>
          <w:lang w:val="en-US"/>
        </w:rPr>
        <w:t xml:space="preserve"> and glue</w:t>
      </w:r>
      <w:r w:rsidR="00B3246A" w:rsidRPr="00451DFC">
        <w:rPr>
          <w:i/>
          <w:lang w:val="en-US"/>
        </w:rPr>
        <w:t xml:space="preserve"> </w:t>
      </w:r>
      <w:r w:rsidR="00451DFC">
        <w:rPr>
          <w:lang w:val="en-US"/>
        </w:rPr>
        <w:t xml:space="preserve">conditions are satisfied. These conditions state </w:t>
      </w:r>
      <w:r w:rsidR="005E4E67">
        <w:rPr>
          <w:lang w:val="en-US"/>
        </w:rPr>
        <w:t>that cognitive extension can occur only if:</w:t>
      </w:r>
    </w:p>
    <w:p w:rsidR="00451DFC" w:rsidRDefault="00451DFC" w:rsidP="00BF40F3">
      <w:pPr>
        <w:pStyle w:val="Luettelokappale"/>
        <w:numPr>
          <w:ilvl w:val="0"/>
          <w:numId w:val="6"/>
        </w:numPr>
        <w:spacing w:line="480" w:lineRule="auto"/>
        <w:jc w:val="both"/>
        <w:rPr>
          <w:lang w:val="en-US"/>
        </w:rPr>
      </w:pPr>
      <w:r>
        <w:rPr>
          <w:lang w:val="en-US"/>
        </w:rPr>
        <w:t>the resource is reliably available and typically invoked,</w:t>
      </w:r>
    </w:p>
    <w:p w:rsidR="00451DFC" w:rsidRDefault="00451DFC" w:rsidP="00BF40F3">
      <w:pPr>
        <w:pStyle w:val="Luettelokappale"/>
        <w:numPr>
          <w:ilvl w:val="0"/>
          <w:numId w:val="6"/>
        </w:numPr>
        <w:spacing w:line="480" w:lineRule="auto"/>
        <w:jc w:val="both"/>
        <w:rPr>
          <w:lang w:val="en-US"/>
        </w:rPr>
      </w:pPr>
      <w:r>
        <w:rPr>
          <w:lang w:val="en-US"/>
        </w:rPr>
        <w:t xml:space="preserve">any information retrieved or gained </w:t>
      </w:r>
      <w:r w:rsidR="00D85B82">
        <w:rPr>
          <w:lang w:val="en-US"/>
        </w:rPr>
        <w:t xml:space="preserve">via it </w:t>
      </w:r>
      <w:r>
        <w:rPr>
          <w:lang w:val="en-US"/>
        </w:rPr>
        <w:t>should be more-or-less automatically endorsed, and</w:t>
      </w:r>
    </w:p>
    <w:p w:rsidR="00451DFC" w:rsidRPr="00451DFC" w:rsidRDefault="00451DFC" w:rsidP="00BF40F3">
      <w:pPr>
        <w:pStyle w:val="Luettelokappale"/>
        <w:numPr>
          <w:ilvl w:val="0"/>
          <w:numId w:val="6"/>
        </w:numPr>
        <w:spacing w:line="480" w:lineRule="auto"/>
        <w:jc w:val="both"/>
        <w:rPr>
          <w:lang w:val="en-US"/>
        </w:rPr>
      </w:pPr>
      <w:r>
        <w:rPr>
          <w:lang w:val="en-US"/>
        </w:rPr>
        <w:lastRenderedPageBreak/>
        <w:t xml:space="preserve">the information contained should be easily accessible when required. </w:t>
      </w:r>
      <w:r w:rsidRPr="00451DFC">
        <w:rPr>
          <w:lang w:val="en-US"/>
        </w:rPr>
        <w:fldChar w:fldCharType="begin"/>
      </w:r>
      <w:r w:rsidR="00FF3D30">
        <w:rPr>
          <w:lang w:val="en-US"/>
        </w:rPr>
        <w:instrText xml:space="preserve"> ADDIN EN.CITE &lt;EndNote&gt;&lt;Cite&gt;&lt;Author&gt;Clark&lt;/Author&gt;&lt;Year&gt;2010&lt;/Year&gt;&lt;RecNum&gt;1764&lt;/RecNum&gt;&lt;Pages&gt;46&lt;/Pages&gt;&lt;DisplayText&gt;(Clark, 2010, p. 46)&lt;/DisplayText&gt;&lt;record&gt;&lt;rec-number&gt;1764&lt;/rec-number&gt;&lt;foreign-keys&gt;&lt;key app="EN" db-id="0vpawwrfrtdxzge9z5uvtw9lxxsetrv5095d" timestamp="1511384409"&gt;1764&lt;/key&gt;&lt;/foreign-keys&gt;&lt;ref-type name="Book Section"&gt;5&lt;/ref-type&gt;&lt;contributors&gt;&lt;authors&gt;&lt;author&gt;Clark, A.&lt;/author&gt;&lt;/authors&gt;&lt;secondary-authors&gt;&lt;author&gt;Menary, R.&lt;/author&gt;&lt;/secondary-authors&gt;&lt;/contributors&gt;&lt;titles&gt;&lt;title&gt;Memento’s Revenge: The Extended Mind, Extended&lt;/title&gt;&lt;secondary-title&gt;The Extended Mind&lt;/secondary-title&gt;&lt;/titles&gt;&lt;pages&gt;43-66&lt;/pages&gt;&lt;dates&gt;&lt;year&gt;2010&lt;/year&gt;&lt;/dates&gt;&lt;pub-location&gt;Cambridge&lt;/pub-location&gt;&lt;publisher&gt;MIT Press&lt;/publisher&gt;&lt;urls&gt;&lt;/urls&gt;&lt;/record&gt;&lt;/Cite&gt;&lt;/EndNote&gt;</w:instrText>
      </w:r>
      <w:r w:rsidRPr="00451DFC">
        <w:rPr>
          <w:lang w:val="en-US"/>
        </w:rPr>
        <w:fldChar w:fldCharType="separate"/>
      </w:r>
      <w:r>
        <w:rPr>
          <w:noProof/>
          <w:lang w:val="en-US"/>
        </w:rPr>
        <w:t>(Clark, 2010, p. 46)</w:t>
      </w:r>
      <w:r w:rsidRPr="00451DFC">
        <w:rPr>
          <w:lang w:val="en-US"/>
        </w:rPr>
        <w:fldChar w:fldCharType="end"/>
      </w:r>
      <w:r w:rsidR="00A16551">
        <w:rPr>
          <w:rStyle w:val="Alaviitteenviite"/>
          <w:lang w:val="en-US"/>
        </w:rPr>
        <w:footnoteReference w:id="12"/>
      </w:r>
    </w:p>
    <w:p w:rsidR="00FB387F" w:rsidRDefault="00D85B82" w:rsidP="00BF40F3">
      <w:pPr>
        <w:spacing w:line="480" w:lineRule="auto"/>
        <w:jc w:val="both"/>
        <w:rPr>
          <w:lang w:val="en-US"/>
        </w:rPr>
      </w:pPr>
      <w:r>
        <w:rPr>
          <w:lang w:val="en-US"/>
        </w:rPr>
        <w:t xml:space="preserve">Kelp </w:t>
      </w:r>
      <w:r w:rsidR="00B3246A">
        <w:rPr>
          <w:lang w:val="en-US"/>
        </w:rPr>
        <w:t>thinks that cognitive extension can occur without there being a reliable coupling, as long as the extended system achieves functional integrity for the short period that it lasts.</w:t>
      </w:r>
      <w:r>
        <w:rPr>
          <w:lang w:val="en-US"/>
        </w:rPr>
        <w:t xml:space="preserve"> He relies </w:t>
      </w:r>
      <w:r w:rsidR="009D3D00">
        <w:rPr>
          <w:lang w:val="en-US"/>
        </w:rPr>
        <w:t>o</w:t>
      </w:r>
      <w:r>
        <w:rPr>
          <w:lang w:val="en-US"/>
        </w:rPr>
        <w:t>n</w:t>
      </w:r>
      <w:r w:rsidR="009D3D00">
        <w:rPr>
          <w:lang w:val="en-US"/>
        </w:rPr>
        <w:t xml:space="preserve"> </w:t>
      </w:r>
      <w:r w:rsidR="00954529">
        <w:rPr>
          <w:lang w:val="en-US"/>
        </w:rPr>
        <w:fldChar w:fldCharType="begin"/>
      </w:r>
      <w:r w:rsidR="00CD5870">
        <w:rPr>
          <w:lang w:val="en-US"/>
        </w:rPr>
        <w:instrText xml:space="preserve"> ADDIN EN.CITE &lt;EndNote&gt;&lt;Cite AuthorYear="1"&gt;&lt;Author&gt;Wilson&lt;/Author&gt;&lt;Year&gt;2009&lt;/Year&gt;&lt;RecNum&gt;1762&lt;/RecNum&gt;&lt;Pages&gt;65&lt;/Pages&gt;&lt;DisplayText&gt;Wilson and Clark (2009, p. 65)&lt;/DisplayText&gt;&lt;record&gt;&lt;rec-number&gt;1762&lt;/rec-number&gt;&lt;foreign-keys&gt;&lt;key app="EN" db-id="zssxtt0s2vdexiew5ezv9tfgspsw2rfddrf0" timestamp="1519724898"&gt;1762&lt;/key&gt;&lt;/foreign-keys&gt;&lt;ref-type name="Book Section"&gt;5&lt;/ref-type&gt;&lt;contributors&gt;&lt;authors&gt;&lt;author&gt;Wilson, R.&lt;/author&gt;&lt;author&gt;Clark, A.&lt;/author&gt;&lt;/authors&gt;&lt;secondary-authors&gt;&lt;author&gt;Aydede, M.&lt;/author&gt;&lt;author&gt;Robbis, P. &lt;/author&gt;&lt;/secondary-authors&gt;&lt;/contributors&gt;&lt;titles&gt;&lt;title&gt;How to situate cognition: Letting nature take its course&lt;/title&gt;&lt;secondary-title&gt;The Cambridge Handbook of Situated Cognition&lt;/secondary-title&gt;&lt;/titles&gt;&lt;dates&gt;&lt;year&gt;2009&lt;/year&gt;&lt;/dates&gt;&lt;pub-location&gt;Cambridge&lt;/pub-location&gt;&lt;publisher&gt;Cambridge University Press&lt;/publisher&gt;&lt;urls&gt;&lt;/urls&gt;&lt;/record&gt;&lt;/Cite&gt;&lt;/EndNote&gt;</w:instrText>
      </w:r>
      <w:r w:rsidR="00954529">
        <w:rPr>
          <w:lang w:val="en-US"/>
        </w:rPr>
        <w:fldChar w:fldCharType="separate"/>
      </w:r>
      <w:r w:rsidR="00954529">
        <w:rPr>
          <w:noProof/>
          <w:lang w:val="en-US"/>
        </w:rPr>
        <w:t>Wilson and Clark (2009, p. 65)</w:t>
      </w:r>
      <w:r w:rsidR="00954529">
        <w:rPr>
          <w:lang w:val="en-US"/>
        </w:rPr>
        <w:fldChar w:fldCharType="end"/>
      </w:r>
      <w:r w:rsidR="00954529">
        <w:rPr>
          <w:lang w:val="en-US"/>
        </w:rPr>
        <w:t>, according to whom cognitive extensions might be short</w:t>
      </w:r>
      <w:r>
        <w:rPr>
          <w:lang w:val="en-US"/>
        </w:rPr>
        <w:t xml:space="preserve"> lived and fleeting</w:t>
      </w:r>
      <w:r w:rsidR="00954529">
        <w:rPr>
          <w:lang w:val="en-US"/>
        </w:rPr>
        <w:t>. If cogniti</w:t>
      </w:r>
      <w:r>
        <w:rPr>
          <w:lang w:val="en-US"/>
        </w:rPr>
        <w:t>ve extension can indeed occur as</w:t>
      </w:r>
      <w:r w:rsidR="00954529">
        <w:rPr>
          <w:lang w:val="en-US"/>
        </w:rPr>
        <w:t xml:space="preserve"> easily</w:t>
      </w:r>
      <w:r>
        <w:rPr>
          <w:lang w:val="en-US"/>
        </w:rPr>
        <w:t xml:space="preserve"> as suggested by Wilson and Clark</w:t>
      </w:r>
      <w:r w:rsidR="00954529">
        <w:rPr>
          <w:lang w:val="en-US"/>
        </w:rPr>
        <w:t>, then it seems that one’s cognition can extend without it being the case that the physical basis of one’s cognitive char</w:t>
      </w:r>
      <w:r w:rsidR="009B365C">
        <w:rPr>
          <w:lang w:val="en-US"/>
        </w:rPr>
        <w:t>acter extends, since such short-</w:t>
      </w:r>
      <w:r w:rsidR="00954529">
        <w:rPr>
          <w:lang w:val="en-US"/>
        </w:rPr>
        <w:t xml:space="preserve">lived couplings are plausibly not integrated into one’s cognitive character. Indeed, </w:t>
      </w:r>
      <w:r w:rsidR="00954529">
        <w:rPr>
          <w:lang w:val="en-US"/>
        </w:rPr>
        <w:fldChar w:fldCharType="begin"/>
      </w:r>
      <w:r w:rsidR="00FF3D30">
        <w:rPr>
          <w:lang w:val="en-US"/>
        </w:rPr>
        <w:instrText xml:space="preserve"> ADDIN EN.CITE &lt;EndNote&gt;&lt;Cite AuthorYear="1"&gt;&lt;Author&gt;Clark&lt;/Author&gt;&lt;Year&gt;2015&lt;/Year&gt;&lt;RecNum&gt;1768&lt;/RecNum&gt;&lt;DisplayText&gt;Clark (2015)&lt;/DisplayText&gt;&lt;record&gt;&lt;rec-number&gt;1768&lt;/rec-number&gt;&lt;foreign-keys&gt;&lt;key app="EN" db-id="0vpawwrfrtdxzge9z5uvtw9lxxsetrv5095d" timestamp="1511470811"&gt;1768&lt;/key&gt;&lt;/foreign-keys&gt;&lt;ref-type name="Journal Article"&gt;17&lt;/ref-type&gt;&lt;contributors&gt;&lt;authors&gt;&lt;author&gt;Clark, A.&lt;/author&gt;&lt;/authors&gt;&lt;/contributors&gt;&lt;titles&gt;&lt;title&gt;What the &amp;apos;Extended Me&amp;apos; Knows&lt;/title&gt;&lt;secondary-title&gt;Synthese&lt;/secondary-title&gt;&lt;/titles&gt;&lt;periodical&gt;&lt;full-title&gt;Synthese&lt;/full-title&gt;&lt;/periodical&gt;&lt;pages&gt;3757-3775&lt;/pages&gt;&lt;volume&gt;192&lt;/volume&gt;&lt;dates&gt;&lt;year&gt;2015&lt;/year&gt;&lt;/dates&gt;&lt;urls&gt;&lt;/urls&gt;&lt;/record&gt;&lt;/Cite&gt;&lt;/EndNote&gt;</w:instrText>
      </w:r>
      <w:r w:rsidR="00954529">
        <w:rPr>
          <w:lang w:val="en-US"/>
        </w:rPr>
        <w:fldChar w:fldCharType="separate"/>
      </w:r>
      <w:r w:rsidR="00954529">
        <w:rPr>
          <w:noProof/>
          <w:lang w:val="en-US"/>
        </w:rPr>
        <w:t>Clark (2015)</w:t>
      </w:r>
      <w:r w:rsidR="00954529">
        <w:rPr>
          <w:lang w:val="en-US"/>
        </w:rPr>
        <w:fldChar w:fldCharType="end"/>
      </w:r>
      <w:r w:rsidR="00954529">
        <w:rPr>
          <w:lang w:val="en-US"/>
        </w:rPr>
        <w:t xml:space="preserve"> has argued, contra </w:t>
      </w:r>
      <w:r w:rsidR="00954529">
        <w:rPr>
          <w:lang w:val="en-US"/>
        </w:rPr>
        <w:fldChar w:fldCharType="begin"/>
      </w:r>
      <w:r w:rsidR="00954529">
        <w:rPr>
          <w:lang w:val="en-US"/>
        </w:rPr>
        <w:instrText xml:space="preserve"> ADDIN EN.CITE &lt;EndNote&gt;&lt;Cite AuthorYear="1"&gt;&lt;Author&gt;Pritchard&lt;/Author&gt;&lt;Year&gt;2010&lt;/Year&gt;&lt;RecNum&gt;430&lt;/RecNum&gt;&lt;DisplayText&gt;Pritchard (2010)&lt;/DisplayText&gt;&lt;record&gt;&lt;rec-number&gt;430&lt;/rec-number&gt;&lt;foreign-keys&gt;&lt;key app="EN" db-id="0vpawwrfrtdxzge9z5uvtw9lxxsetrv5095d" timestamp="1418730522"&gt;430&lt;/key&gt;&lt;/foreign-keys&gt;&lt;ref-type name="Journal Article"&gt;17&lt;/ref-type&gt;&lt;contributors&gt;&lt;authors&gt;&lt;author&gt;Pritchard, D.&lt;/author&gt;&lt;/authors&gt;&lt;/contributors&gt;&lt;titles&gt;&lt;title&gt;Cognitive ability and the extended cognition thesis&lt;/title&gt;&lt;secondary-title&gt;Synthese&lt;/secondary-title&gt;&lt;/titles&gt;&lt;periodical&gt;&lt;full-title&gt;Synthese&lt;/full-title&gt;&lt;/periodical&gt;&lt;pages&gt;133-151&lt;/pages&gt;&lt;volume&gt;175&lt;/volume&gt;&lt;dates&gt;&lt;year&gt;2010&lt;/year&gt;&lt;pub-dates&gt;&lt;date&gt;Aug&lt;/date&gt;&lt;/pub-dates&gt;&lt;/dates&gt;&lt;isbn&gt;0039-7857&lt;/isbn&gt;&lt;accession-num&gt;WOS:000282012000008&lt;/accession-num&gt;&lt;urls&gt;&lt;related-urls&gt;&lt;url&gt;&amp;lt;Go to ISI&amp;gt;://WOS:000282012000008&lt;/url&gt;&lt;/related-urls&gt;&lt;/urls&gt;&lt;electronic-resource-num&gt;10.1007/s11229-010-9738-y&lt;/electronic-resource-num&gt;&lt;/record&gt;&lt;/Cite&gt;&lt;/EndNote&gt;</w:instrText>
      </w:r>
      <w:r w:rsidR="00954529">
        <w:rPr>
          <w:lang w:val="en-US"/>
        </w:rPr>
        <w:fldChar w:fldCharType="separate"/>
      </w:r>
      <w:r w:rsidR="00954529">
        <w:rPr>
          <w:noProof/>
          <w:lang w:val="en-US"/>
        </w:rPr>
        <w:t>Pritchard (2010)</w:t>
      </w:r>
      <w:r w:rsidR="00954529">
        <w:rPr>
          <w:lang w:val="en-US"/>
        </w:rPr>
        <w:fldChar w:fldCharType="end"/>
      </w:r>
      <w:r w:rsidR="00954529">
        <w:rPr>
          <w:lang w:val="en-US"/>
        </w:rPr>
        <w:t xml:space="preserve"> and </w:t>
      </w:r>
      <w:r w:rsidR="00954529">
        <w:rPr>
          <w:lang w:val="en-US"/>
        </w:rPr>
        <w:fldChar w:fldCharType="begin"/>
      </w:r>
      <w:r w:rsidR="00954529">
        <w:rPr>
          <w:lang w:val="en-US"/>
        </w:rPr>
        <w:instrText xml:space="preserve"> ADDIN EN.CITE &lt;EndNote&gt;&lt;Cite AuthorYear="1"&gt;&lt;Author&gt;Palermos&lt;/Author&gt;&lt;Year&gt;2014&lt;/Year&gt;&lt;RecNum&gt;191&lt;/RecNum&gt;&lt;DisplayText&gt;Palermos (2014)&lt;/DisplayText&gt;&lt;record&gt;&lt;rec-number&gt;191&lt;/rec-number&gt;&lt;foreign-keys&gt;&lt;key app="EN" db-id="0vpawwrfrtdxzge9z5uvtw9lxxsetrv5095d" timestamp="1418723977"&gt;191&lt;/key&gt;&lt;/foreign-keys&gt;&lt;ref-type name="Journal Article"&gt;17&lt;/ref-type&gt;&lt;contributors&gt;&lt;authors&gt;&lt;author&gt;Palermos, S. O.&lt;/author&gt;&lt;/authors&gt;&lt;/contributors&gt;&lt;titles&gt;&lt;title&gt;Knowledge and cognitive integration&lt;/title&gt;&lt;secondary-title&gt;Synthese&lt;/secondary-title&gt;&lt;/titles&gt;&lt;periodical&gt;&lt;full-title&gt;Synthese&lt;/full-title&gt;&lt;/periodical&gt;&lt;pages&gt;1931-1951&lt;/pages&gt;&lt;volume&gt;191&lt;/volume&gt;&lt;number&gt;8&lt;/number&gt;&lt;dates&gt;&lt;year&gt;2014&lt;/year&gt;&lt;pub-dates&gt;&lt;date&gt;May&lt;/date&gt;&lt;/pub-dates&gt;&lt;/dates&gt;&lt;isbn&gt;0039-7857&lt;/isbn&gt;&lt;accession-num&gt;WOS:000335505900018&lt;/accession-num&gt;&lt;urls&gt;&lt;related-urls&gt;&lt;url&gt;&amp;lt;Go to ISI&amp;gt;://WOS:000335505900018&lt;/url&gt;&lt;/related-urls&gt;&lt;/urls&gt;&lt;electronic-resource-num&gt;10.1007/s11229-013-0383-0&lt;/electronic-resource-num&gt;&lt;/record&gt;&lt;/Cite&gt;&lt;/EndNote&gt;</w:instrText>
      </w:r>
      <w:r w:rsidR="00954529">
        <w:rPr>
          <w:lang w:val="en-US"/>
        </w:rPr>
        <w:fldChar w:fldCharType="separate"/>
      </w:r>
      <w:r w:rsidR="00954529">
        <w:rPr>
          <w:noProof/>
          <w:lang w:val="en-US"/>
        </w:rPr>
        <w:t>Palermos (2014)</w:t>
      </w:r>
      <w:r w:rsidR="00954529">
        <w:rPr>
          <w:lang w:val="en-US"/>
        </w:rPr>
        <w:fldChar w:fldCharType="end"/>
      </w:r>
      <w:r w:rsidR="00631D38">
        <w:rPr>
          <w:lang w:val="en-US"/>
        </w:rPr>
        <w:t>,</w:t>
      </w:r>
      <w:r w:rsidR="00954529">
        <w:rPr>
          <w:lang w:val="en-US"/>
        </w:rPr>
        <w:t xml:space="preserve"> that </w:t>
      </w:r>
      <w:r w:rsidR="00631D38">
        <w:rPr>
          <w:lang w:val="en-US"/>
        </w:rPr>
        <w:t>the extended mind thesis does not fit snuggly with virtue epistemological accounts</w:t>
      </w:r>
      <w:r w:rsidR="00FB387F">
        <w:rPr>
          <w:lang w:val="en-US"/>
        </w:rPr>
        <w:t>:</w:t>
      </w:r>
    </w:p>
    <w:p w:rsidR="008F7E3E" w:rsidRDefault="00FB387F" w:rsidP="00BF40F3">
      <w:pPr>
        <w:spacing w:line="480" w:lineRule="auto"/>
        <w:ind w:left="1304"/>
        <w:jc w:val="both"/>
        <w:rPr>
          <w:lang w:val="en-US"/>
        </w:rPr>
      </w:pPr>
      <w:r w:rsidRPr="00FB387F">
        <w:rPr>
          <w:lang w:val="en-US"/>
        </w:rPr>
        <w:t>As far as that argument goes, it should make no difference at all whether or not Otto is now, or ever was, aware of the source of the reliability of the notebook inv</w:t>
      </w:r>
      <w:r>
        <w:rPr>
          <w:lang w:val="en-US"/>
        </w:rPr>
        <w:t xml:space="preserve">olving process. Indeed—and here </w:t>
      </w:r>
      <w:r w:rsidRPr="00FB387F">
        <w:rPr>
          <w:lang w:val="en-US"/>
        </w:rPr>
        <w:t>c</w:t>
      </w:r>
      <w:r>
        <w:rPr>
          <w:lang w:val="en-US"/>
        </w:rPr>
        <w:t xml:space="preserve">omes the promised dilemma—there </w:t>
      </w:r>
      <w:r w:rsidRPr="00FB387F">
        <w:rPr>
          <w:lang w:val="en-US"/>
        </w:rPr>
        <w:t>is</w:t>
      </w:r>
      <w:r>
        <w:rPr>
          <w:lang w:val="en-US"/>
        </w:rPr>
        <w:t xml:space="preserve"> </w:t>
      </w:r>
      <w:r w:rsidRPr="00FB387F">
        <w:rPr>
          <w:lang w:val="en-US"/>
        </w:rPr>
        <w:t>a</w:t>
      </w:r>
      <w:r>
        <w:rPr>
          <w:lang w:val="en-US"/>
        </w:rPr>
        <w:t xml:space="preserve"> </w:t>
      </w:r>
      <w:r w:rsidRPr="00FB387F">
        <w:rPr>
          <w:lang w:val="en-US"/>
        </w:rPr>
        <w:t>very</w:t>
      </w:r>
      <w:r>
        <w:rPr>
          <w:lang w:val="en-US"/>
        </w:rPr>
        <w:t xml:space="preserve"> </w:t>
      </w:r>
      <w:r w:rsidRPr="00FB387F">
        <w:rPr>
          <w:lang w:val="en-US"/>
        </w:rPr>
        <w:t>real</w:t>
      </w:r>
      <w:r>
        <w:rPr>
          <w:lang w:val="en-US"/>
        </w:rPr>
        <w:t xml:space="preserve"> </w:t>
      </w:r>
      <w:r w:rsidRPr="00FB387F">
        <w:rPr>
          <w:lang w:val="en-US"/>
        </w:rPr>
        <w:t>sense</w:t>
      </w:r>
      <w:r>
        <w:rPr>
          <w:lang w:val="en-US"/>
        </w:rPr>
        <w:t xml:space="preserve"> </w:t>
      </w:r>
      <w:r w:rsidRPr="00FB387F">
        <w:rPr>
          <w:lang w:val="en-US"/>
        </w:rPr>
        <w:t>in</w:t>
      </w:r>
      <w:r>
        <w:rPr>
          <w:lang w:val="en-US"/>
        </w:rPr>
        <w:t xml:space="preserve"> </w:t>
      </w:r>
      <w:r w:rsidRPr="00FB387F">
        <w:rPr>
          <w:lang w:val="en-US"/>
        </w:rPr>
        <w:t>which</w:t>
      </w:r>
      <w:r>
        <w:rPr>
          <w:lang w:val="en-US"/>
        </w:rPr>
        <w:t xml:space="preserve"> </w:t>
      </w:r>
      <w:r w:rsidRPr="00FB387F">
        <w:rPr>
          <w:lang w:val="en-US"/>
        </w:rPr>
        <w:t>the</w:t>
      </w:r>
      <w:r>
        <w:rPr>
          <w:lang w:val="en-US"/>
        </w:rPr>
        <w:t xml:space="preserve"> </w:t>
      </w:r>
      <w:r w:rsidRPr="00FB387F">
        <w:rPr>
          <w:lang w:val="en-US"/>
        </w:rPr>
        <w:t>more</w:t>
      </w:r>
      <w:r>
        <w:rPr>
          <w:lang w:val="en-US"/>
        </w:rPr>
        <w:t xml:space="preserve"> </w:t>
      </w:r>
      <w:r w:rsidRPr="00FB387F">
        <w:rPr>
          <w:lang w:val="en-US"/>
        </w:rPr>
        <w:t>he</w:t>
      </w:r>
      <w:r>
        <w:rPr>
          <w:lang w:val="en-US"/>
        </w:rPr>
        <w:t xml:space="preserve"> </w:t>
      </w:r>
      <w:r w:rsidRPr="00FB387F">
        <w:rPr>
          <w:lang w:val="en-US"/>
        </w:rPr>
        <w:t>is</w:t>
      </w:r>
      <w:r>
        <w:rPr>
          <w:lang w:val="en-US"/>
        </w:rPr>
        <w:t xml:space="preserve"> </w:t>
      </w:r>
      <w:r w:rsidRPr="00FB387F">
        <w:rPr>
          <w:lang w:val="en-US"/>
        </w:rPr>
        <w:t>aware</w:t>
      </w:r>
      <w:r>
        <w:rPr>
          <w:lang w:val="en-US"/>
        </w:rPr>
        <w:t xml:space="preserve"> </w:t>
      </w:r>
      <w:r w:rsidRPr="00FB387F">
        <w:rPr>
          <w:lang w:val="en-US"/>
        </w:rPr>
        <w:t>of</w:t>
      </w:r>
      <w:r>
        <w:rPr>
          <w:lang w:val="en-US"/>
        </w:rPr>
        <w:t xml:space="preserve"> </w:t>
      </w:r>
      <w:r w:rsidRPr="00FB387F">
        <w:rPr>
          <w:lang w:val="en-US"/>
        </w:rPr>
        <w:t>such</w:t>
      </w:r>
      <w:r>
        <w:rPr>
          <w:lang w:val="en-US"/>
        </w:rPr>
        <w:t xml:space="preserve"> </w:t>
      </w:r>
      <w:r w:rsidRPr="00FB387F">
        <w:rPr>
          <w:lang w:val="en-US"/>
        </w:rPr>
        <w:t>matters,</w:t>
      </w:r>
      <w:r>
        <w:rPr>
          <w:lang w:val="en-US"/>
        </w:rPr>
        <w:t xml:space="preserve"> </w:t>
      </w:r>
      <w:r w:rsidRPr="00FB387F">
        <w:rPr>
          <w:lang w:val="en-US"/>
        </w:rPr>
        <w:t>the</w:t>
      </w:r>
      <w:r>
        <w:rPr>
          <w:lang w:val="en-US"/>
        </w:rPr>
        <w:t xml:space="preserve"> </w:t>
      </w:r>
      <w:r w:rsidRPr="00FB387F">
        <w:rPr>
          <w:lang w:val="en-US"/>
        </w:rPr>
        <w:t>less</w:t>
      </w:r>
      <w:r>
        <w:rPr>
          <w:lang w:val="en-US"/>
        </w:rPr>
        <w:t xml:space="preserve"> </w:t>
      </w:r>
      <w:r w:rsidRPr="00FB387F">
        <w:rPr>
          <w:lang w:val="en-US"/>
        </w:rPr>
        <w:t>the</w:t>
      </w:r>
      <w:r>
        <w:rPr>
          <w:lang w:val="en-US"/>
        </w:rPr>
        <w:t xml:space="preserve"> </w:t>
      </w:r>
      <w:r w:rsidRPr="00FB387F">
        <w:rPr>
          <w:lang w:val="en-US"/>
        </w:rPr>
        <w:t>notebook will seem to be playing the same kind of functional role as biological memory. For as we noted, our biological memory is not typically subject to agentive scrutiny as a process at all, much less as one that may or may not be reasonably judged to be reliable by the agent</w:t>
      </w:r>
      <w:r>
        <w:rPr>
          <w:lang w:val="en-US"/>
        </w:rPr>
        <w:t xml:space="preserve">. </w:t>
      </w:r>
      <w:r>
        <w:rPr>
          <w:lang w:val="en-US"/>
        </w:rPr>
        <w:fldChar w:fldCharType="begin"/>
      </w:r>
      <w:r w:rsidR="00FF3D30">
        <w:rPr>
          <w:lang w:val="en-US"/>
        </w:rPr>
        <w:instrText xml:space="preserve"> ADDIN EN.CITE &lt;EndNote&gt;&lt;Cite&gt;&lt;Author&gt;Clark&lt;/Author&gt;&lt;Year&gt;2015&lt;/Year&gt;&lt;RecNum&gt;1768&lt;/RecNum&gt;&lt;Pages&gt;3763&lt;/Pages&gt;&lt;DisplayText&gt;(Clark, 2015, p. 3763)&lt;/DisplayText&gt;&lt;record&gt;&lt;rec-number&gt;1768&lt;/rec-number&gt;&lt;foreign-keys&gt;&lt;key app="EN" db-id="0vpawwrfrtdxzge9z5uvtw9lxxsetrv5095d" timestamp="1511470811"&gt;1768&lt;/key&gt;&lt;/foreign-keys&gt;&lt;ref-type name="Journal Article"&gt;17&lt;/ref-type&gt;&lt;contributors&gt;&lt;authors&gt;&lt;author&gt;Clark, A.&lt;/author&gt;&lt;/authors&gt;&lt;/contributors&gt;&lt;titles&gt;&lt;title&gt;What the &amp;apos;Extended Me&amp;apos; Knows&lt;/title&gt;&lt;secondary-title&gt;Synthese&lt;/secondary-title&gt;&lt;/titles&gt;&lt;periodical&gt;&lt;full-title&gt;Synthese&lt;/full-title&gt;&lt;/periodical&gt;&lt;pages&gt;3757-3775&lt;/pages&gt;&lt;volume&gt;192&lt;/volume&gt;&lt;dates&gt;&lt;year&gt;2015&lt;/year&gt;&lt;/dates&gt;&lt;urls&gt;&lt;/urls&gt;&lt;/record&gt;&lt;/Cite&gt;&lt;/EndNote&gt;</w:instrText>
      </w:r>
      <w:r>
        <w:rPr>
          <w:lang w:val="en-US"/>
        </w:rPr>
        <w:fldChar w:fldCharType="separate"/>
      </w:r>
      <w:r>
        <w:rPr>
          <w:noProof/>
          <w:lang w:val="en-US"/>
        </w:rPr>
        <w:t>(Clark, 2015, p. 3763)</w:t>
      </w:r>
      <w:r>
        <w:rPr>
          <w:lang w:val="en-US"/>
        </w:rPr>
        <w:fldChar w:fldCharType="end"/>
      </w:r>
    </w:p>
    <w:p w:rsidR="00810EFE" w:rsidRDefault="00FB387F" w:rsidP="00BF40F3">
      <w:pPr>
        <w:spacing w:line="480" w:lineRule="auto"/>
        <w:jc w:val="both"/>
        <w:rPr>
          <w:lang w:val="en-US"/>
        </w:rPr>
      </w:pPr>
      <w:r>
        <w:rPr>
          <w:lang w:val="en-US"/>
        </w:rPr>
        <w:t>However, as we noted earlier, cognitive integration need not always involve conscious awareness of the reliabil</w:t>
      </w:r>
      <w:r w:rsidR="005812DE">
        <w:rPr>
          <w:lang w:val="en-US"/>
        </w:rPr>
        <w:t>ity of the process, unreflective</w:t>
      </w:r>
      <w:r>
        <w:rPr>
          <w:lang w:val="en-US"/>
        </w:rPr>
        <w:t xml:space="preserve"> integration is also possible, </w:t>
      </w:r>
      <w:r w:rsidR="00DA6DE4">
        <w:rPr>
          <w:lang w:val="en-US"/>
        </w:rPr>
        <w:t xml:space="preserve">and </w:t>
      </w:r>
      <w:r w:rsidR="003A3E84">
        <w:rPr>
          <w:lang w:val="en-US"/>
        </w:rPr>
        <w:fldChar w:fldCharType="begin"/>
      </w:r>
      <w:r w:rsidR="00FF3D30">
        <w:rPr>
          <w:lang w:val="en-US"/>
        </w:rPr>
        <w:instrText xml:space="preserve"> ADDIN EN.CITE &lt;EndNote&gt;&lt;Cite AuthorYear="1"&gt;&lt;Author&gt;Clark&lt;/Author&gt;&lt;Year&gt;2015&lt;/Year&gt;&lt;RecNum&gt;1768&lt;/RecNum&gt;&lt;Pages&gt;3773&lt;/Pages&gt;&lt;DisplayText&gt;Clark (2015, p. 3773)&lt;/DisplayText&gt;&lt;record&gt;&lt;rec-number&gt;1768&lt;/rec-number&gt;&lt;foreign-keys&gt;&lt;key app="EN" db-id="0vpawwrfrtdxzge9z5uvtw9lxxsetrv5095d" timestamp="1511470811"&gt;1768&lt;/key&gt;&lt;/foreign-keys&gt;&lt;ref-type name="Journal Article"&gt;17&lt;/ref-type&gt;&lt;contributors&gt;&lt;authors&gt;&lt;author&gt;Clark, A.&lt;/author&gt;&lt;/authors&gt;&lt;/contributors&gt;&lt;titles&gt;&lt;title&gt;What the &amp;apos;Extended Me&amp;apos; Knows&lt;/title&gt;&lt;secondary-title&gt;Synthese&lt;/secondary-title&gt;&lt;/titles&gt;&lt;periodical&gt;&lt;full-title&gt;Synthese&lt;/full-title&gt;&lt;/periodical&gt;&lt;pages&gt;3757-3775&lt;/pages&gt;&lt;volume&gt;192&lt;/volume&gt;&lt;dates&gt;&lt;year&gt;2015&lt;/year&gt;&lt;/dates&gt;&lt;urls&gt;&lt;/urls&gt;&lt;/record&gt;&lt;/Cite&gt;&lt;/EndNote&gt;</w:instrText>
      </w:r>
      <w:r w:rsidR="003A3E84">
        <w:rPr>
          <w:lang w:val="en-US"/>
        </w:rPr>
        <w:fldChar w:fldCharType="separate"/>
      </w:r>
      <w:r w:rsidR="003A3E84">
        <w:rPr>
          <w:noProof/>
          <w:lang w:val="en-US"/>
        </w:rPr>
        <w:t>Clark (2015, p. 3773)</w:t>
      </w:r>
      <w:r w:rsidR="003A3E84">
        <w:rPr>
          <w:lang w:val="en-US"/>
        </w:rPr>
        <w:fldChar w:fldCharType="end"/>
      </w:r>
      <w:r w:rsidR="0078704A">
        <w:rPr>
          <w:lang w:val="en-US"/>
        </w:rPr>
        <w:t xml:space="preserve"> </w:t>
      </w:r>
      <w:r w:rsidR="00975B1B">
        <w:rPr>
          <w:lang w:val="en-US"/>
        </w:rPr>
        <w:t>acknowledge</w:t>
      </w:r>
      <w:r w:rsidR="0078704A">
        <w:rPr>
          <w:lang w:val="en-US"/>
        </w:rPr>
        <w:t>s</w:t>
      </w:r>
      <w:r w:rsidR="00975B1B">
        <w:rPr>
          <w:lang w:val="en-US"/>
        </w:rPr>
        <w:t xml:space="preserve"> t</w:t>
      </w:r>
      <w:r w:rsidR="00DA6DE4">
        <w:rPr>
          <w:lang w:val="en-US"/>
        </w:rPr>
        <w:t>his.</w:t>
      </w:r>
      <w:r w:rsidR="00975B1B">
        <w:rPr>
          <w:lang w:val="en-US"/>
        </w:rPr>
        <w:t xml:space="preserve"> However, </w:t>
      </w:r>
      <w:r w:rsidR="00975B1B">
        <w:rPr>
          <w:lang w:val="en-US"/>
        </w:rPr>
        <w:fldChar w:fldCharType="begin"/>
      </w:r>
      <w:r w:rsidR="00FF3D30">
        <w:rPr>
          <w:lang w:val="en-US"/>
        </w:rPr>
        <w:instrText xml:space="preserve"> ADDIN EN.CITE &lt;EndNote&gt;&lt;Cite AuthorYear="1"&gt;&lt;Author&gt;Clark&lt;/Author&gt;&lt;Year&gt;2015&lt;/Year&gt;&lt;RecNum&gt;1768&lt;/RecNum&gt;&lt;Pages&gt;3754&lt;/Pages&gt;&lt;DisplayText&gt;Clark (2015, p. 3754)&lt;/DisplayText&gt;&lt;record&gt;&lt;rec-number&gt;1768&lt;/rec-number&gt;&lt;foreign-keys&gt;&lt;key app="EN" db-id="0vpawwrfrtdxzge9z5uvtw9lxxsetrv5095d" timestamp="1511470811"&gt;1768&lt;/key&gt;&lt;/foreign-keys&gt;&lt;ref-type name="Journal Article"&gt;17&lt;/ref-type&gt;&lt;contributors&gt;&lt;authors&gt;&lt;author&gt;Clark, A.&lt;/author&gt;&lt;/authors&gt;&lt;/contributors&gt;&lt;titles&gt;&lt;title&gt;What the &amp;apos;Extended Me&amp;apos; Knows&lt;/title&gt;&lt;secondary-title&gt;Synthese&lt;/secondary-title&gt;&lt;/titles&gt;&lt;periodical&gt;&lt;full-title&gt;Synthese&lt;/full-title&gt;&lt;/periodical&gt;&lt;pages&gt;3757-3775&lt;/pages&gt;&lt;volume&gt;192&lt;/volume&gt;&lt;dates&gt;&lt;year&gt;2015&lt;/year&gt;&lt;/dates&gt;&lt;urls&gt;&lt;/urls&gt;&lt;/record&gt;&lt;/Cite&gt;&lt;/EndNote&gt;</w:instrText>
      </w:r>
      <w:r w:rsidR="00975B1B">
        <w:rPr>
          <w:lang w:val="en-US"/>
        </w:rPr>
        <w:fldChar w:fldCharType="separate"/>
      </w:r>
      <w:r w:rsidR="00975B1B">
        <w:rPr>
          <w:noProof/>
          <w:lang w:val="en-US"/>
        </w:rPr>
        <w:t>Clark (2015, p. 3754)</w:t>
      </w:r>
      <w:r w:rsidR="00975B1B">
        <w:rPr>
          <w:lang w:val="en-US"/>
        </w:rPr>
        <w:fldChar w:fldCharType="end"/>
      </w:r>
      <w:r w:rsidR="009B365C">
        <w:rPr>
          <w:lang w:val="en-US"/>
        </w:rPr>
        <w:t xml:space="preserve"> thinks</w:t>
      </w:r>
      <w:r w:rsidR="00975B1B">
        <w:rPr>
          <w:lang w:val="en-US"/>
        </w:rPr>
        <w:t xml:space="preserve"> that n</w:t>
      </w:r>
      <w:r w:rsidR="005812DE">
        <w:rPr>
          <w:lang w:val="en-US"/>
        </w:rPr>
        <w:t>o</w:t>
      </w:r>
      <w:r w:rsidR="0078704A">
        <w:rPr>
          <w:lang w:val="en-US"/>
        </w:rPr>
        <w:t xml:space="preserve"> kind of cognitive integration </w:t>
      </w:r>
      <w:r w:rsidR="00975B1B">
        <w:rPr>
          <w:lang w:val="en-US"/>
        </w:rPr>
        <w:t xml:space="preserve">is necessary, since </w:t>
      </w:r>
      <w:r w:rsidR="0017390D">
        <w:rPr>
          <w:lang w:val="en-US"/>
        </w:rPr>
        <w:t xml:space="preserve">he </w:t>
      </w:r>
      <w:r w:rsidR="00975B1B">
        <w:rPr>
          <w:lang w:val="en-US"/>
        </w:rPr>
        <w:t xml:space="preserve">holds that an implant which caused beliefs about the ambient temperature, which is installed without the </w:t>
      </w:r>
      <w:r w:rsidR="00CC0674">
        <w:rPr>
          <w:lang w:val="en-US"/>
        </w:rPr>
        <w:t>agent’s knowledge</w:t>
      </w:r>
      <w:r w:rsidR="00975B1B">
        <w:rPr>
          <w:lang w:val="en-US"/>
        </w:rPr>
        <w:t>, would generate beliefs that amount</w:t>
      </w:r>
      <w:r w:rsidR="005812DE">
        <w:rPr>
          <w:lang w:val="en-US"/>
        </w:rPr>
        <w:t>ed</w:t>
      </w:r>
      <w:r w:rsidR="00975B1B">
        <w:rPr>
          <w:lang w:val="en-US"/>
        </w:rPr>
        <w:t xml:space="preserve"> to knowledge from the very mo</w:t>
      </w:r>
      <w:r w:rsidR="005812DE">
        <w:rPr>
          <w:lang w:val="en-US"/>
        </w:rPr>
        <w:t>ment it delivered</w:t>
      </w:r>
      <w:r w:rsidR="00975B1B">
        <w:rPr>
          <w:lang w:val="en-US"/>
        </w:rPr>
        <w:t xml:space="preserve"> its first o</w:t>
      </w:r>
      <w:r w:rsidR="00A95336">
        <w:rPr>
          <w:lang w:val="en-US"/>
        </w:rPr>
        <w:t xml:space="preserve">utput. Clark is, </w:t>
      </w:r>
      <w:r w:rsidR="00A95336">
        <w:rPr>
          <w:lang w:val="en-US"/>
        </w:rPr>
        <w:lastRenderedPageBreak/>
        <w:t xml:space="preserve">however, </w:t>
      </w:r>
      <w:r w:rsidR="00975B1B">
        <w:rPr>
          <w:lang w:val="en-US"/>
        </w:rPr>
        <w:t>alone with his intuitions on this score, since the vast majority of e</w:t>
      </w:r>
      <w:r w:rsidR="009B365C">
        <w:rPr>
          <w:lang w:val="en-US"/>
        </w:rPr>
        <w:t>pistemologists think that brain lesion-</w:t>
      </w:r>
      <w:r w:rsidR="00975B1B">
        <w:rPr>
          <w:lang w:val="en-US"/>
        </w:rPr>
        <w:t xml:space="preserve">type cases are cases of ignorance. </w:t>
      </w:r>
    </w:p>
    <w:p w:rsidR="00FB387F" w:rsidRDefault="00810EFE" w:rsidP="00BF40F3">
      <w:pPr>
        <w:spacing w:line="480" w:lineRule="auto"/>
        <w:jc w:val="both"/>
        <w:rPr>
          <w:lang w:val="en-US"/>
        </w:rPr>
      </w:pPr>
      <w:r>
        <w:rPr>
          <w:lang w:val="en-US"/>
        </w:rPr>
        <w:t xml:space="preserve">Moreover, if we abandon the trust and glue conditions, we risk incurring </w:t>
      </w:r>
      <w:r>
        <w:rPr>
          <w:i/>
          <w:lang w:val="en-US"/>
        </w:rPr>
        <w:t>cognitive bloat</w:t>
      </w:r>
      <w:r>
        <w:rPr>
          <w:lang w:val="en-US"/>
        </w:rPr>
        <w:t xml:space="preserve">. To </w:t>
      </w:r>
      <w:r w:rsidR="00A16551">
        <w:rPr>
          <w:lang w:val="en-US"/>
        </w:rPr>
        <w:t xml:space="preserve">weaken them would result in counting processes that are genuinely non-cognitive as cognitive and to an unwelcome explosion of dispositional beliefs </w:t>
      </w:r>
      <w:r w:rsidR="00A16551">
        <w:rPr>
          <w:lang w:val="en-US"/>
        </w:rPr>
        <w:fldChar w:fldCharType="begin"/>
      </w:r>
      <w:r w:rsidR="00FF3D30">
        <w:rPr>
          <w:lang w:val="en-US"/>
        </w:rPr>
        <w:instrText xml:space="preserve"> ADDIN EN.CITE &lt;EndNote&gt;&lt;Cite&gt;&lt;Author&gt;Clark&lt;/Author&gt;&lt;Year&gt;2008&lt;/Year&gt;&lt;RecNum&gt;1771&lt;/RecNum&gt;&lt;Pages&gt;80&lt;/Pages&gt;&lt;DisplayText&gt;(Clark, 2008, p. 80)&lt;/DisplayText&gt;&lt;record&gt;&lt;rec-number&gt;1771&lt;/rec-number&gt;&lt;foreign-keys&gt;&lt;key app="EN" db-id="0vpawwrfrtdxzge9z5uvtw9lxxsetrv5095d" timestamp="1511742072"&gt;1771&lt;/key&gt;&lt;/foreign-keys&gt;&lt;ref-type name="Book"&gt;6&lt;/ref-type&gt;&lt;contributors&gt;&lt;authors&gt;&lt;author&gt;Clark, A.&lt;/author&gt;&lt;/authors&gt;&lt;/contributors&gt;&lt;titles&gt;&lt;title&gt;Supersizing the Mind: Embodiment, Action, and Cognitive Extension&lt;/title&gt;&lt;/titles&gt;&lt;dates&gt;&lt;year&gt;2008&lt;/year&gt;&lt;/dates&gt;&lt;pub-location&gt;Oxford&lt;/pub-location&gt;&lt;publisher&gt;Oxford University Press&lt;/publisher&gt;&lt;urls&gt;&lt;/urls&gt;&lt;/record&gt;&lt;/Cite&gt;&lt;/EndNote&gt;</w:instrText>
      </w:r>
      <w:r w:rsidR="00A16551">
        <w:rPr>
          <w:lang w:val="en-US"/>
        </w:rPr>
        <w:fldChar w:fldCharType="separate"/>
      </w:r>
      <w:r w:rsidR="00A16551">
        <w:rPr>
          <w:noProof/>
          <w:lang w:val="en-US"/>
        </w:rPr>
        <w:t>(Clark, 2008, p. 80)</w:t>
      </w:r>
      <w:r w:rsidR="00A16551">
        <w:rPr>
          <w:lang w:val="en-US"/>
        </w:rPr>
        <w:fldChar w:fldCharType="end"/>
      </w:r>
      <w:r w:rsidR="00A16551">
        <w:rPr>
          <w:lang w:val="en-US"/>
        </w:rPr>
        <w:t>.</w:t>
      </w:r>
      <w:r>
        <w:rPr>
          <w:lang w:val="en-US"/>
        </w:rPr>
        <w:t xml:space="preserve"> With the trust and glue conditions in place</w:t>
      </w:r>
      <w:r w:rsidR="009B365C">
        <w:rPr>
          <w:lang w:val="en-US"/>
        </w:rPr>
        <w:t>,</w:t>
      </w:r>
      <w:r>
        <w:rPr>
          <w:lang w:val="en-US"/>
        </w:rPr>
        <w:t xml:space="preserve"> a </w:t>
      </w:r>
      <w:r w:rsidR="00353270">
        <w:rPr>
          <w:lang w:val="en-US"/>
        </w:rPr>
        <w:t>downloaded book in your dropbox would not count as</w:t>
      </w:r>
      <w:r w:rsidR="0078704A">
        <w:rPr>
          <w:lang w:val="en-US"/>
        </w:rPr>
        <w:t xml:space="preserve"> an</w:t>
      </w:r>
      <w:r w:rsidR="009B365C">
        <w:rPr>
          <w:lang w:val="en-US"/>
        </w:rPr>
        <w:t xml:space="preserve"> extension of your cognition but</w:t>
      </w:r>
      <w:r w:rsidR="00353270">
        <w:rPr>
          <w:lang w:val="en-US"/>
        </w:rPr>
        <w:t xml:space="preserve"> Otto’s notebook would. If the extended cognition </w:t>
      </w:r>
      <w:r w:rsidR="00426B45">
        <w:rPr>
          <w:lang w:val="en-US"/>
        </w:rPr>
        <w:t xml:space="preserve">thesis </w:t>
      </w:r>
      <w:r w:rsidR="00353270">
        <w:rPr>
          <w:lang w:val="en-US"/>
        </w:rPr>
        <w:t xml:space="preserve">leads to </w:t>
      </w:r>
      <w:r w:rsidR="00A16551">
        <w:rPr>
          <w:lang w:val="en-US"/>
        </w:rPr>
        <w:t>over</w:t>
      </w:r>
      <w:r w:rsidR="00426B45">
        <w:rPr>
          <w:lang w:val="en-US"/>
        </w:rPr>
        <w:t xml:space="preserve">extending our cognition </w:t>
      </w:r>
      <w:r w:rsidR="00353270">
        <w:rPr>
          <w:lang w:val="en-US"/>
        </w:rPr>
        <w:t>we have a good reason to reject the thesis. Therefore</w:t>
      </w:r>
      <w:r w:rsidR="009B365C">
        <w:rPr>
          <w:lang w:val="en-US"/>
        </w:rPr>
        <w:t>,</w:t>
      </w:r>
      <w:r w:rsidR="00353270">
        <w:rPr>
          <w:lang w:val="en-US"/>
        </w:rPr>
        <w:t xml:space="preserve"> we should hold onto the trust and glue conditions.</w:t>
      </w:r>
      <w:r w:rsidR="00353270">
        <w:rPr>
          <w:rStyle w:val="Alaviitteenviite"/>
          <w:lang w:val="en-US"/>
        </w:rPr>
        <w:footnoteReference w:id="13"/>
      </w:r>
      <w:r w:rsidR="0078704A">
        <w:rPr>
          <w:lang w:val="en-US"/>
        </w:rPr>
        <w:t xml:space="preserve"> The fact that we need to abandon the trust and glue conditions in order to conceive TIMEKEEPER as a case of extended knowledge</w:t>
      </w:r>
      <w:r w:rsidR="00AA1CA9">
        <w:rPr>
          <w:lang w:val="en-US"/>
        </w:rPr>
        <w:t xml:space="preserve"> is</w:t>
      </w:r>
      <w:r w:rsidR="0078704A">
        <w:rPr>
          <w:lang w:val="en-US"/>
        </w:rPr>
        <w:t xml:space="preserve"> a good reason to think that it is not a case of cognitive </w:t>
      </w:r>
      <w:r w:rsidR="00AA1CA9">
        <w:rPr>
          <w:lang w:val="en-US"/>
        </w:rPr>
        <w:t>extension.</w:t>
      </w:r>
    </w:p>
    <w:p w:rsidR="0078704A" w:rsidRDefault="00AA1CA9" w:rsidP="00BF40F3">
      <w:pPr>
        <w:spacing w:line="480" w:lineRule="auto"/>
        <w:jc w:val="both"/>
        <w:rPr>
          <w:lang w:val="en-US"/>
        </w:rPr>
      </w:pPr>
      <w:r>
        <w:rPr>
          <w:lang w:val="en-US"/>
        </w:rPr>
        <w:t xml:space="preserve">Finally, </w:t>
      </w:r>
      <w:r w:rsidR="00CC0ABF">
        <w:rPr>
          <w:lang w:val="en-US"/>
        </w:rPr>
        <w:t xml:space="preserve">Kelp seems to recognize that the intuition </w:t>
      </w:r>
      <w:r w:rsidR="0078704A">
        <w:rPr>
          <w:lang w:val="en-US"/>
        </w:rPr>
        <w:t xml:space="preserve">of knowledge </w:t>
      </w:r>
      <w:r w:rsidR="00CC0ABF">
        <w:rPr>
          <w:lang w:val="en-US"/>
        </w:rPr>
        <w:t>that he hopes to elicit is r</w:t>
      </w:r>
      <w:r w:rsidR="0078704A">
        <w:rPr>
          <w:lang w:val="en-US"/>
        </w:rPr>
        <w:t>ather weak</w:t>
      </w:r>
      <w:r w:rsidR="00CC0ABF">
        <w:rPr>
          <w:lang w:val="en-US"/>
        </w:rPr>
        <w:t xml:space="preserve">, </w:t>
      </w:r>
      <w:r w:rsidR="00CC0674">
        <w:rPr>
          <w:lang w:val="en-US"/>
        </w:rPr>
        <w:t xml:space="preserve">and maintains that one can </w:t>
      </w:r>
      <w:r w:rsidR="00CC0ABF">
        <w:rPr>
          <w:lang w:val="en-US"/>
        </w:rPr>
        <w:t xml:space="preserve">alter the case in such a manner that the involvement of the timekeeper is modally robust </w:t>
      </w:r>
      <w:r w:rsidR="00DA6AA1">
        <w:rPr>
          <w:lang w:val="en-US"/>
        </w:rPr>
        <w:t xml:space="preserve">in order </w:t>
      </w:r>
      <w:r w:rsidR="00CC0ABF">
        <w:rPr>
          <w:lang w:val="en-US"/>
        </w:rPr>
        <w:t>to strengthen the intuition that the timeseeker knows</w:t>
      </w:r>
      <w:r w:rsidR="00DA6AA1">
        <w:rPr>
          <w:lang w:val="en-US"/>
        </w:rPr>
        <w:t xml:space="preserve"> </w:t>
      </w:r>
      <w:r w:rsidR="00DA6AA1">
        <w:rPr>
          <w:lang w:val="en-US"/>
        </w:rPr>
        <w:fldChar w:fldCharType="begin"/>
      </w:r>
      <w:r w:rsidR="00FF3D30">
        <w:rPr>
          <w:lang w:val="en-US"/>
        </w:rPr>
        <w:instrText xml:space="preserve"> ADDIN EN.CITE &lt;EndNote&gt;&lt;Cite ExcludeAuth="1"&gt;&lt;Author&gt;Kelp&lt;/Author&gt;&lt;Year&gt;2014&lt;/Year&gt;&lt;RecNum&gt;368&lt;/RecNum&gt;&lt;Pages&gt;249&lt;/Pages&gt;&lt;DisplayText&gt;(2014, p. 249)&lt;/DisplayText&gt;&lt;record&gt;&lt;rec-number&gt;368&lt;/rec-number&gt;&lt;foreign-keys&gt;&lt;key app="EN" db-id="0vpawwrfrtdxzge9z5uvtw9lxxsetrv5095d" timestamp="1418724366"&gt;368&lt;/key&gt;&lt;/foreign-keys&gt;&lt;ref-type name="Journal Article"&gt;17&lt;/ref-type&gt;&lt;contributors&gt;&lt;authors&gt;&lt;author&gt;Kelp, C.&lt;/author&gt;&lt;/authors&gt;&lt;/contributors&gt;&lt;titles&gt;&lt;title&gt;Epistemology Extended&lt;/title&gt;&lt;secondary-title&gt;Philosophical Issues&lt;/secondary-title&gt;&lt;/titles&gt;&lt;periodical&gt;&lt;full-title&gt;Philosophical Issues&lt;/full-title&gt;&lt;/periodical&gt;&lt;pages&gt;230-252&lt;/pages&gt;&lt;volume&gt;24&lt;/volume&gt;&lt;number&gt;1&lt;/number&gt;&lt;dates&gt;&lt;year&gt;2014&lt;/year&gt;&lt;pub-dates&gt;&lt;date&gt;Oct&lt;/date&gt;&lt;/pub-dates&gt;&lt;/dates&gt;&lt;isbn&gt;1533-6077&lt;/isbn&gt;&lt;accession-num&gt;WOS:000342673500010&lt;/accession-num&gt;&lt;urls&gt;&lt;related-urls&gt;&lt;url&gt;&amp;lt;Go to ISI&amp;gt;://WOS:000342673500010&lt;/url&gt;&lt;/related-urls&gt;&lt;/urls&gt;&lt;electronic-resource-num&gt;10.1111/phis.12032&lt;/electronic-resource-num&gt;&lt;/record&gt;&lt;/Cite&gt;&lt;/EndNote&gt;</w:instrText>
      </w:r>
      <w:r w:rsidR="00DA6AA1">
        <w:rPr>
          <w:lang w:val="en-US"/>
        </w:rPr>
        <w:fldChar w:fldCharType="separate"/>
      </w:r>
      <w:r w:rsidR="00DA6AA1">
        <w:rPr>
          <w:noProof/>
          <w:lang w:val="en-US"/>
        </w:rPr>
        <w:t>(2014, p. 249)</w:t>
      </w:r>
      <w:r w:rsidR="00DA6AA1">
        <w:rPr>
          <w:lang w:val="en-US"/>
        </w:rPr>
        <w:fldChar w:fldCharType="end"/>
      </w:r>
      <w:r w:rsidR="00CC0ABF">
        <w:rPr>
          <w:lang w:val="en-US"/>
        </w:rPr>
        <w:t>. He claims that the case will still be a counterexample to virtue epistemological th</w:t>
      </w:r>
      <w:r w:rsidR="00CC0674">
        <w:rPr>
          <w:lang w:val="en-US"/>
        </w:rPr>
        <w:t>eories of knowledge that accept</w:t>
      </w:r>
      <w:r w:rsidR="00CC0ABF">
        <w:rPr>
          <w:lang w:val="en-US"/>
        </w:rPr>
        <w:t xml:space="preserve"> the idea that in cases of knowledge one’s cognitive abilities have to be manifested in the truth of one’s belief. In my view this does in fact strengthen the intuition that the timeseeker acquires knowledge. </w:t>
      </w:r>
      <w:r w:rsidR="00DA6AA1">
        <w:rPr>
          <w:lang w:val="en-US"/>
        </w:rPr>
        <w:t>After all, if the involvement of the timekeeper is modally robust, then the clock is either displaying</w:t>
      </w:r>
      <w:r w:rsidR="003A3E84">
        <w:rPr>
          <w:lang w:val="en-US"/>
        </w:rPr>
        <w:t xml:space="preserve"> the correct time</w:t>
      </w:r>
      <w:r w:rsidR="00CC0674">
        <w:rPr>
          <w:lang w:val="en-US"/>
        </w:rPr>
        <w:t xml:space="preserve">, or </w:t>
      </w:r>
      <w:r w:rsidR="00DA6AA1">
        <w:rPr>
          <w:lang w:val="en-US"/>
        </w:rPr>
        <w:t xml:space="preserve">the </w:t>
      </w:r>
      <w:r w:rsidR="00CC0674">
        <w:rPr>
          <w:lang w:val="en-US"/>
        </w:rPr>
        <w:t xml:space="preserve">timekeeper is alerting the </w:t>
      </w:r>
      <w:r w:rsidR="0078704A">
        <w:rPr>
          <w:lang w:val="en-US"/>
        </w:rPr>
        <w:t>timeseeker</w:t>
      </w:r>
      <w:r w:rsidR="00DA6AA1">
        <w:rPr>
          <w:lang w:val="en-US"/>
        </w:rPr>
        <w:t xml:space="preserve"> to the fact that the clock is displaying the incorrect time. </w:t>
      </w:r>
      <w:r w:rsidR="00CC0ABF">
        <w:rPr>
          <w:lang w:val="en-US"/>
        </w:rPr>
        <w:t>Crucially, however, the reformulated version of the case no longer serves as a counterexample against the sensitivit</w:t>
      </w:r>
      <w:r w:rsidR="00CC0674">
        <w:rPr>
          <w:lang w:val="en-US"/>
        </w:rPr>
        <w:t>y or safety conditions,</w:t>
      </w:r>
      <w:r w:rsidR="00961CE3">
        <w:rPr>
          <w:lang w:val="en-US"/>
        </w:rPr>
        <w:t xml:space="preserve"> </w:t>
      </w:r>
      <w:r w:rsidR="00CC0674">
        <w:rPr>
          <w:lang w:val="en-US"/>
        </w:rPr>
        <w:t>which</w:t>
      </w:r>
      <w:r w:rsidR="00CC0ABF">
        <w:rPr>
          <w:lang w:val="en-US"/>
        </w:rPr>
        <w:t xml:space="preserve"> </w:t>
      </w:r>
      <w:r w:rsidR="00DA6AA1">
        <w:rPr>
          <w:lang w:val="en-US"/>
        </w:rPr>
        <w:t xml:space="preserve">Kelp </w:t>
      </w:r>
      <w:r w:rsidR="00CC0ABF">
        <w:rPr>
          <w:lang w:val="en-US"/>
        </w:rPr>
        <w:t xml:space="preserve">fails to mention. </w:t>
      </w:r>
    </w:p>
    <w:p w:rsidR="00D75B07" w:rsidRDefault="00A95336" w:rsidP="00BF40F3">
      <w:pPr>
        <w:spacing w:line="480" w:lineRule="auto"/>
        <w:jc w:val="both"/>
        <w:rPr>
          <w:lang w:val="en-US"/>
        </w:rPr>
      </w:pPr>
      <w:r>
        <w:rPr>
          <w:lang w:val="en-US"/>
        </w:rPr>
        <w:t>In essence, Kelp</w:t>
      </w:r>
      <w:r w:rsidR="00CC0ABF">
        <w:rPr>
          <w:lang w:val="en-US"/>
        </w:rPr>
        <w:t xml:space="preserve"> is playing with </w:t>
      </w:r>
      <w:r w:rsidR="00CC0674">
        <w:rPr>
          <w:lang w:val="en-US"/>
        </w:rPr>
        <w:t>two sets of cards. The case can be a</w:t>
      </w:r>
      <w:r w:rsidR="00CC0ABF">
        <w:rPr>
          <w:lang w:val="en-US"/>
        </w:rPr>
        <w:t xml:space="preserve"> counterexample against sensitivity and safety conditions only if the involvement of the timekeeper is a modally fragile </w:t>
      </w:r>
      <w:r w:rsidR="00CC0ABF">
        <w:rPr>
          <w:lang w:val="en-US"/>
        </w:rPr>
        <w:lastRenderedPageBreak/>
        <w:t>feature of the case, in which case the intuition that the sub</w:t>
      </w:r>
      <w:r w:rsidR="0078704A">
        <w:rPr>
          <w:lang w:val="en-US"/>
        </w:rPr>
        <w:t>ject knows diminishes</w:t>
      </w:r>
      <w:r w:rsidR="00CC0674">
        <w:rPr>
          <w:lang w:val="en-US"/>
        </w:rPr>
        <w:t>, while it</w:t>
      </w:r>
      <w:r w:rsidR="00CC0ABF">
        <w:rPr>
          <w:lang w:val="en-US"/>
        </w:rPr>
        <w:t xml:space="preserve"> </w:t>
      </w:r>
      <w:r w:rsidR="00CC0674">
        <w:rPr>
          <w:lang w:val="en-US"/>
        </w:rPr>
        <w:t>can</w:t>
      </w:r>
      <w:r w:rsidR="00CC0ABF">
        <w:rPr>
          <w:lang w:val="en-US"/>
        </w:rPr>
        <w:t xml:space="preserve">not </w:t>
      </w:r>
      <w:r w:rsidR="00CC0674">
        <w:rPr>
          <w:lang w:val="en-US"/>
        </w:rPr>
        <w:t xml:space="preserve">be </w:t>
      </w:r>
      <w:r w:rsidR="00CC0ABF">
        <w:rPr>
          <w:lang w:val="en-US"/>
        </w:rPr>
        <w:t>a counter example against the necessity of these conditions if the involvement of the timekeeper</w:t>
      </w:r>
      <w:r w:rsidR="00CE19C2">
        <w:rPr>
          <w:lang w:val="en-US"/>
        </w:rPr>
        <w:t xml:space="preserve"> is modally robust, in which case the intuition that the subject knows is more robust. But if th</w:t>
      </w:r>
      <w:r w:rsidR="00AA1CA9">
        <w:rPr>
          <w:lang w:val="en-US"/>
        </w:rPr>
        <w:t xml:space="preserve">is really is so, then </w:t>
      </w:r>
      <w:r w:rsidR="00CE19C2">
        <w:rPr>
          <w:lang w:val="en-US"/>
        </w:rPr>
        <w:t xml:space="preserve">the evidence </w:t>
      </w:r>
      <w:r w:rsidR="00DA6AA1">
        <w:rPr>
          <w:lang w:val="en-US"/>
        </w:rPr>
        <w:t xml:space="preserve">actually </w:t>
      </w:r>
      <w:r w:rsidR="00CE19C2">
        <w:rPr>
          <w:lang w:val="en-US"/>
        </w:rPr>
        <w:t>supports the necessity of the modal conditions, since the intuition of knowledge varies with the modal features of the case.</w:t>
      </w:r>
      <w:r>
        <w:rPr>
          <w:lang w:val="en-US"/>
        </w:rPr>
        <w:t xml:space="preserve"> </w:t>
      </w:r>
    </w:p>
    <w:p w:rsidR="00286311" w:rsidRDefault="00286311" w:rsidP="00BF40F3">
      <w:pPr>
        <w:spacing w:line="480" w:lineRule="auto"/>
        <w:jc w:val="both"/>
        <w:rPr>
          <w:lang w:val="en-US"/>
        </w:rPr>
      </w:pPr>
    </w:p>
    <w:p w:rsidR="00195F46" w:rsidRPr="00195F46" w:rsidRDefault="00195F46" w:rsidP="00BF40F3">
      <w:pPr>
        <w:pStyle w:val="Luettelokappale"/>
        <w:numPr>
          <w:ilvl w:val="0"/>
          <w:numId w:val="1"/>
        </w:numPr>
        <w:spacing w:line="480" w:lineRule="auto"/>
        <w:jc w:val="both"/>
        <w:rPr>
          <w:lang w:val="en-US"/>
        </w:rPr>
      </w:pPr>
      <w:r>
        <w:rPr>
          <w:lang w:val="en-US"/>
        </w:rPr>
        <w:t>CONCLUDING REMARKS</w:t>
      </w:r>
    </w:p>
    <w:p w:rsidR="00E04BC9" w:rsidRDefault="00CC0674" w:rsidP="00BF40F3">
      <w:pPr>
        <w:spacing w:line="480" w:lineRule="auto"/>
        <w:jc w:val="both"/>
        <w:rPr>
          <w:lang w:val="en-US"/>
        </w:rPr>
      </w:pPr>
      <w:r>
        <w:rPr>
          <w:lang w:val="en-US"/>
        </w:rPr>
        <w:t>To conclude, the case that Kelp uses in order to argue that the safety and sensitivity conditions can be necessary conditions for knowledge only if the extended mind thesis is true does not succeed. Plausibly</w:t>
      </w:r>
      <w:r w:rsidR="009B365C">
        <w:rPr>
          <w:lang w:val="en-US"/>
        </w:rPr>
        <w:t>,</w:t>
      </w:r>
      <w:r>
        <w:rPr>
          <w:lang w:val="en-US"/>
        </w:rPr>
        <w:t xml:space="preserve"> the case does not feature cognitive extension, si</w:t>
      </w:r>
      <w:r w:rsidR="00D75B07">
        <w:rPr>
          <w:lang w:val="en-US"/>
        </w:rPr>
        <w:t xml:space="preserve">nce the timekeeper really is </w:t>
      </w:r>
      <w:r>
        <w:rPr>
          <w:lang w:val="en-US"/>
        </w:rPr>
        <w:t>external</w:t>
      </w:r>
      <w:r w:rsidR="00D75B07">
        <w:rPr>
          <w:lang w:val="en-US"/>
        </w:rPr>
        <w:t xml:space="preserve"> to t</w:t>
      </w:r>
      <w:r w:rsidR="0077566B">
        <w:rPr>
          <w:lang w:val="en-US"/>
        </w:rPr>
        <w:t>he timeseeker’s cognitive character</w:t>
      </w:r>
      <w:r w:rsidR="00D75B07">
        <w:rPr>
          <w:lang w:val="en-US"/>
        </w:rPr>
        <w:t>, and hence does not</w:t>
      </w:r>
      <w:r w:rsidR="0078704A">
        <w:rPr>
          <w:lang w:val="en-US"/>
        </w:rPr>
        <w:t xml:space="preserve"> even</w:t>
      </w:r>
      <w:r w:rsidR="00D75B07">
        <w:rPr>
          <w:lang w:val="en-US"/>
        </w:rPr>
        <w:t xml:space="preserve"> partially constitute the timeseeker’s cognitive abilities. Therefore</w:t>
      </w:r>
      <w:r w:rsidR="002B69A8">
        <w:rPr>
          <w:lang w:val="en-US"/>
        </w:rPr>
        <w:t>,</w:t>
      </w:r>
      <w:r w:rsidR="009B365C">
        <w:rPr>
          <w:lang w:val="en-US"/>
        </w:rPr>
        <w:t xml:space="preserve"> safety </w:t>
      </w:r>
      <w:r w:rsidR="00D75B07">
        <w:rPr>
          <w:lang w:val="en-US"/>
        </w:rPr>
        <w:t>theorists have no reason to think that the timekeeper should be held fixed in all relevant possible worlds, and can deliver (in my mind) the intuitive verdict that the timeseeker does not acquire knowledge, given that the timekeeper is a modally fragile feature of the case. If, however, the involvement of the timekeeper is a modally robust feature of the case, then safety and sensitiv</w:t>
      </w:r>
      <w:r w:rsidR="003A3E84">
        <w:rPr>
          <w:lang w:val="en-US"/>
        </w:rPr>
        <w:t>ity conditions have no problem</w:t>
      </w:r>
      <w:r w:rsidR="00D75B07">
        <w:rPr>
          <w:lang w:val="en-US"/>
        </w:rPr>
        <w:t xml:space="preserve"> with delivering the verdict of knowledge in TIMEKEEPER. The fact that the intuition of knowledge varies with the modal robustness of the timekeeper only speaks in favo</w:t>
      </w:r>
      <w:r w:rsidR="009B365C">
        <w:rPr>
          <w:lang w:val="en-US"/>
        </w:rPr>
        <w:t>u</w:t>
      </w:r>
      <w:r w:rsidR="00D75B07">
        <w:rPr>
          <w:lang w:val="en-US"/>
        </w:rPr>
        <w:t xml:space="preserve">r of the safety and sensitivity conditions. Given that the safety condition delivers </w:t>
      </w:r>
      <w:r w:rsidR="003A3E84">
        <w:rPr>
          <w:lang w:val="en-US"/>
        </w:rPr>
        <w:t xml:space="preserve">the correct verdict regarding the case </w:t>
      </w:r>
      <w:r w:rsidR="00D75B07">
        <w:rPr>
          <w:lang w:val="en-US"/>
        </w:rPr>
        <w:t>irrespective of whether the extended mind thesis is true, it is not hostage to the possible truth of the extended</w:t>
      </w:r>
      <w:r w:rsidR="003A3E84">
        <w:rPr>
          <w:lang w:val="en-US"/>
        </w:rPr>
        <w:t xml:space="preserve"> mind thesis. Moreover, I argued earlier</w:t>
      </w:r>
      <w:r w:rsidR="00D75B07">
        <w:rPr>
          <w:lang w:val="en-US"/>
        </w:rPr>
        <w:t xml:space="preserve"> that Carter’s </w:t>
      </w:r>
      <w:r w:rsidR="003A3E84">
        <w:rPr>
          <w:lang w:val="en-US"/>
        </w:rPr>
        <w:t>arguments fail to create tension between</w:t>
      </w:r>
      <w:r w:rsidR="00D75B07">
        <w:rPr>
          <w:lang w:val="en-US"/>
        </w:rPr>
        <w:t xml:space="preserve"> the</w:t>
      </w:r>
      <w:r w:rsidR="003A3E84">
        <w:rPr>
          <w:lang w:val="en-US"/>
        </w:rPr>
        <w:t xml:space="preserve"> safety condition and</w:t>
      </w:r>
      <w:r w:rsidR="00D75B07">
        <w:rPr>
          <w:lang w:val="en-US"/>
        </w:rPr>
        <w:t xml:space="preserve"> the parity principles, once the safety cond</w:t>
      </w:r>
      <w:r w:rsidR="003A3E84">
        <w:rPr>
          <w:lang w:val="en-US"/>
        </w:rPr>
        <w:t>ition is properly understood. Therefore</w:t>
      </w:r>
      <w:r w:rsidR="009B365C">
        <w:rPr>
          <w:lang w:val="en-US"/>
        </w:rPr>
        <w:t>,</w:t>
      </w:r>
      <w:r w:rsidR="00D75B07">
        <w:rPr>
          <w:lang w:val="en-US"/>
        </w:rPr>
        <w:t xml:space="preserve"> </w:t>
      </w:r>
      <w:r w:rsidR="003A3E84">
        <w:rPr>
          <w:lang w:val="en-US"/>
        </w:rPr>
        <w:t xml:space="preserve">we </w:t>
      </w:r>
      <w:r w:rsidR="00D75B07">
        <w:rPr>
          <w:lang w:val="en-US"/>
        </w:rPr>
        <w:t xml:space="preserve">have found no reasons for thinking that </w:t>
      </w:r>
      <w:r w:rsidR="00D534B1">
        <w:rPr>
          <w:lang w:val="en-US"/>
        </w:rPr>
        <w:t>there is any tension between the extended mind thesis and the safety condition. This is a welcome conclusion both to proponents of the ex</w:t>
      </w:r>
      <w:r w:rsidR="003A3E84">
        <w:rPr>
          <w:lang w:val="en-US"/>
        </w:rPr>
        <w:t xml:space="preserve">tended mind thesis as well as </w:t>
      </w:r>
      <w:r w:rsidR="009B365C">
        <w:rPr>
          <w:lang w:val="en-US"/>
        </w:rPr>
        <w:t xml:space="preserve">to the safety </w:t>
      </w:r>
      <w:r w:rsidR="00D534B1">
        <w:rPr>
          <w:lang w:val="en-US"/>
        </w:rPr>
        <w:t>theorists.</w:t>
      </w:r>
    </w:p>
    <w:p w:rsidR="009953F8" w:rsidRPr="009953F8" w:rsidRDefault="009953F8" w:rsidP="00BF40F3">
      <w:pPr>
        <w:spacing w:line="480" w:lineRule="auto"/>
        <w:jc w:val="both"/>
        <w:rPr>
          <w:lang w:val="en-US"/>
        </w:rPr>
      </w:pPr>
      <w:r w:rsidRPr="009953F8">
        <w:rPr>
          <w:b/>
          <w:lang w:val="en-US"/>
        </w:rPr>
        <w:lastRenderedPageBreak/>
        <w:t>Aknowledgements</w:t>
      </w:r>
      <w:r>
        <w:rPr>
          <w:b/>
          <w:lang w:val="en-US"/>
        </w:rPr>
        <w:t xml:space="preserve"> </w:t>
      </w:r>
      <w:r>
        <w:rPr>
          <w:lang w:val="en-US"/>
        </w:rPr>
        <w:t>I would like to that Du</w:t>
      </w:r>
      <w:r w:rsidR="004A619F">
        <w:rPr>
          <w:lang w:val="en-US"/>
        </w:rPr>
        <w:t>ncan Pritchard, Adam Sanders,</w:t>
      </w:r>
      <w:r>
        <w:rPr>
          <w:lang w:val="en-US"/>
        </w:rPr>
        <w:t xml:space="preserve"> Pii Telakivi</w:t>
      </w:r>
      <w:r w:rsidR="00ED5E45">
        <w:rPr>
          <w:lang w:val="en-US"/>
        </w:rPr>
        <w:t xml:space="preserve"> and an anonymous referee at </w:t>
      </w:r>
      <w:r w:rsidR="00ED5E45">
        <w:rPr>
          <w:i/>
          <w:lang w:val="en-US"/>
        </w:rPr>
        <w:t>Synthese</w:t>
      </w:r>
      <w:r>
        <w:rPr>
          <w:lang w:val="en-US"/>
        </w:rPr>
        <w:t xml:space="preserve"> for </w:t>
      </w:r>
      <w:r w:rsidR="004A619F">
        <w:rPr>
          <w:lang w:val="en-US"/>
        </w:rPr>
        <w:t>insightful</w:t>
      </w:r>
      <w:r>
        <w:rPr>
          <w:lang w:val="en-US"/>
        </w:rPr>
        <w:t xml:space="preserve"> comment</w:t>
      </w:r>
      <w:r w:rsidR="00ED5E45">
        <w:rPr>
          <w:lang w:val="en-US"/>
        </w:rPr>
        <w:t>s that helped to improve this paper.</w:t>
      </w:r>
    </w:p>
    <w:p w:rsidR="00E04BC9" w:rsidRDefault="00E04BC9" w:rsidP="00BF40F3">
      <w:pPr>
        <w:spacing w:line="480" w:lineRule="auto"/>
        <w:jc w:val="both"/>
        <w:rPr>
          <w:lang w:val="en-US"/>
        </w:rPr>
      </w:pPr>
    </w:p>
    <w:p w:rsidR="00D57A25" w:rsidRDefault="00AA1CA9" w:rsidP="00BF40F3">
      <w:pPr>
        <w:spacing w:line="480" w:lineRule="auto"/>
        <w:jc w:val="both"/>
        <w:rPr>
          <w:lang w:val="en-US"/>
        </w:rPr>
      </w:pPr>
      <w:r>
        <w:rPr>
          <w:lang w:val="en-US"/>
        </w:rPr>
        <w:t>REFERENCES</w:t>
      </w:r>
      <w:r w:rsidR="00FC26FC">
        <w:rPr>
          <w:lang w:val="en-US"/>
        </w:rPr>
        <w:t>:</w:t>
      </w:r>
    </w:p>
    <w:p w:rsidR="00AC63A6" w:rsidRPr="00AC63A6" w:rsidRDefault="00D57A25" w:rsidP="00AC63A6">
      <w:pPr>
        <w:pStyle w:val="EndNoteBibliography"/>
        <w:spacing w:after="0"/>
        <w:ind w:left="720" w:hanging="720"/>
      </w:pPr>
      <w:r>
        <w:fldChar w:fldCharType="begin"/>
      </w:r>
      <w:r>
        <w:instrText xml:space="preserve"> ADDIN EN.REFLIST </w:instrText>
      </w:r>
      <w:r>
        <w:fldChar w:fldCharType="separate"/>
      </w:r>
      <w:r w:rsidR="00AC63A6" w:rsidRPr="00AC63A6">
        <w:t xml:space="preserve">Allen-Hermanson, S. (2013). Superdupersizing the mind: extended cognition and the persistence of cognitive bloat. </w:t>
      </w:r>
      <w:r w:rsidR="00AC63A6" w:rsidRPr="00AC63A6">
        <w:rPr>
          <w:i/>
        </w:rPr>
        <w:t>Philosophical Studies, 164</w:t>
      </w:r>
      <w:r w:rsidR="00AC63A6" w:rsidRPr="00AC63A6">
        <w:t xml:space="preserve">, 791-806. </w:t>
      </w:r>
    </w:p>
    <w:p w:rsidR="00AC63A6" w:rsidRPr="00AC63A6" w:rsidRDefault="00AC63A6" w:rsidP="00AC63A6">
      <w:pPr>
        <w:pStyle w:val="EndNoteBibliography"/>
        <w:spacing w:after="0"/>
        <w:ind w:left="720" w:hanging="720"/>
      </w:pPr>
      <w:r w:rsidRPr="00AC63A6">
        <w:t xml:space="preserve">Bonjour, L. (1980). Externalist theories of empirical knowledge. </w:t>
      </w:r>
      <w:r w:rsidRPr="00AC63A6">
        <w:rPr>
          <w:i/>
        </w:rPr>
        <w:t>Midwest Studies in Philosophy, 5</w:t>
      </w:r>
      <w:r w:rsidRPr="00AC63A6">
        <w:t xml:space="preserve">, 53-73. </w:t>
      </w:r>
    </w:p>
    <w:p w:rsidR="00AC63A6" w:rsidRPr="00AC63A6" w:rsidRDefault="00AC63A6" w:rsidP="00AC63A6">
      <w:pPr>
        <w:pStyle w:val="EndNoteBibliography"/>
        <w:spacing w:after="0"/>
        <w:ind w:left="720" w:hanging="720"/>
      </w:pPr>
      <w:r w:rsidRPr="00AC63A6">
        <w:t xml:space="preserve">Carter, J. A. (2013). Extended cognition and epistemic luck. </w:t>
      </w:r>
      <w:r w:rsidRPr="00AC63A6">
        <w:rPr>
          <w:i/>
        </w:rPr>
        <w:t>Synthese, 190</w:t>
      </w:r>
      <w:r w:rsidRPr="00AC63A6">
        <w:t>, 4201–4214. doi:DOI 10.1007/s11229-013-0267-3</w:t>
      </w:r>
    </w:p>
    <w:p w:rsidR="00AC63A6" w:rsidRPr="00AC63A6" w:rsidRDefault="00AC63A6" w:rsidP="00AC63A6">
      <w:pPr>
        <w:pStyle w:val="EndNoteBibliography"/>
        <w:spacing w:after="0"/>
        <w:ind w:left="720" w:hanging="720"/>
      </w:pPr>
      <w:r w:rsidRPr="00AC63A6">
        <w:t xml:space="preserve">Carter, J. A. (2016). Robust Virtue Epistemology As Anti-Luck Epistemology: A New Solution. </w:t>
      </w:r>
      <w:r w:rsidRPr="00AC63A6">
        <w:rPr>
          <w:i/>
        </w:rPr>
        <w:t>Pacific Philosophical Quarterly, 97</w:t>
      </w:r>
      <w:r w:rsidRPr="00AC63A6">
        <w:t>(1), 140-155. doi:10.1111/papq.12040</w:t>
      </w:r>
    </w:p>
    <w:p w:rsidR="00AC63A6" w:rsidRPr="00AC63A6" w:rsidRDefault="00AC63A6" w:rsidP="00AC63A6">
      <w:pPr>
        <w:pStyle w:val="EndNoteBibliography"/>
        <w:spacing w:after="0"/>
        <w:ind w:left="720" w:hanging="720"/>
      </w:pPr>
      <w:r w:rsidRPr="00AC63A6">
        <w:t xml:space="preserve">Clark, A. (2008). </w:t>
      </w:r>
      <w:r w:rsidRPr="00AC63A6">
        <w:rPr>
          <w:i/>
        </w:rPr>
        <w:t>Supersizing the Mind: Embodiment, Action, and Cognitive Extension</w:t>
      </w:r>
      <w:r w:rsidRPr="00AC63A6">
        <w:t>. Oxford: Oxford University Press.</w:t>
      </w:r>
    </w:p>
    <w:p w:rsidR="00AC63A6" w:rsidRPr="00AC63A6" w:rsidRDefault="00AC63A6" w:rsidP="00AC63A6">
      <w:pPr>
        <w:pStyle w:val="EndNoteBibliography"/>
        <w:spacing w:after="0"/>
        <w:ind w:left="720" w:hanging="720"/>
      </w:pPr>
      <w:r w:rsidRPr="00AC63A6">
        <w:t xml:space="preserve">Clark, A. (2010). Memento’s Revenge: The Extended Mind, Extended. In R. Menary (Ed.), </w:t>
      </w:r>
      <w:r w:rsidRPr="00AC63A6">
        <w:rPr>
          <w:i/>
        </w:rPr>
        <w:t>The Extended Mind</w:t>
      </w:r>
      <w:r w:rsidRPr="00AC63A6">
        <w:t xml:space="preserve"> (pp. 43-66). Cambridge: MIT Press.</w:t>
      </w:r>
    </w:p>
    <w:p w:rsidR="00AC63A6" w:rsidRPr="00AC63A6" w:rsidRDefault="00AC63A6" w:rsidP="00AC63A6">
      <w:pPr>
        <w:pStyle w:val="EndNoteBibliography"/>
        <w:spacing w:after="0"/>
        <w:ind w:left="720" w:hanging="720"/>
      </w:pPr>
      <w:r w:rsidRPr="00AC63A6">
        <w:t xml:space="preserve">Clark, A. (2015). What the 'Extended Me' Knows. </w:t>
      </w:r>
      <w:r w:rsidRPr="00AC63A6">
        <w:rPr>
          <w:i/>
        </w:rPr>
        <w:t>Synthese, 192</w:t>
      </w:r>
      <w:r w:rsidRPr="00AC63A6">
        <w:t xml:space="preserve">, 3757-3775. </w:t>
      </w:r>
    </w:p>
    <w:p w:rsidR="00AC63A6" w:rsidRPr="00AC63A6" w:rsidRDefault="00AC63A6" w:rsidP="00AC63A6">
      <w:pPr>
        <w:pStyle w:val="EndNoteBibliography"/>
        <w:spacing w:after="0"/>
        <w:ind w:left="720" w:hanging="720"/>
      </w:pPr>
      <w:r w:rsidRPr="00AC63A6">
        <w:t xml:space="preserve">Clark, A., &amp; Chalmers, D. J. (1998). The Extended Mind. </w:t>
      </w:r>
      <w:r w:rsidRPr="00AC63A6">
        <w:rPr>
          <w:i/>
        </w:rPr>
        <w:t>Analysis, 58</w:t>
      </w:r>
      <w:r w:rsidRPr="00AC63A6">
        <w:t xml:space="preserve">(1), 7-19. </w:t>
      </w:r>
    </w:p>
    <w:p w:rsidR="00AC63A6" w:rsidRPr="00AC63A6" w:rsidRDefault="00AC63A6" w:rsidP="00AC63A6">
      <w:pPr>
        <w:pStyle w:val="EndNoteBibliography"/>
        <w:spacing w:after="0"/>
        <w:ind w:left="720" w:hanging="720"/>
      </w:pPr>
      <w:r w:rsidRPr="00AC63A6">
        <w:t xml:space="preserve">Coffman, E. J. (2007). Thinking about luck. </w:t>
      </w:r>
      <w:r w:rsidRPr="00AC63A6">
        <w:rPr>
          <w:i/>
        </w:rPr>
        <w:t>Synthese, 158</w:t>
      </w:r>
      <w:r w:rsidRPr="00AC63A6">
        <w:t>(3), 385-398. doi:10.1007/s11229-006-9046-8</w:t>
      </w:r>
    </w:p>
    <w:p w:rsidR="00AC63A6" w:rsidRPr="00AC63A6" w:rsidRDefault="00AC63A6" w:rsidP="00AC63A6">
      <w:pPr>
        <w:pStyle w:val="EndNoteBibliography"/>
        <w:spacing w:after="0"/>
        <w:ind w:left="720" w:hanging="720"/>
      </w:pPr>
      <w:r w:rsidRPr="00AC63A6">
        <w:t xml:space="preserve">Farkas, K. (2012). Two Versions of the Extended Mind Thesis. </w:t>
      </w:r>
      <w:r w:rsidRPr="00AC63A6">
        <w:rPr>
          <w:i/>
        </w:rPr>
        <w:t>Philosophia, 40</w:t>
      </w:r>
      <w:r w:rsidRPr="00AC63A6">
        <w:t xml:space="preserve">, 435-447. </w:t>
      </w:r>
    </w:p>
    <w:p w:rsidR="00AC63A6" w:rsidRPr="00AC63A6" w:rsidRDefault="00AC63A6" w:rsidP="00AC63A6">
      <w:pPr>
        <w:pStyle w:val="EndNoteBibliography"/>
        <w:spacing w:after="0"/>
        <w:ind w:left="720" w:hanging="720"/>
      </w:pPr>
      <w:r w:rsidRPr="00AC63A6">
        <w:t xml:space="preserve">Gendler, T., &amp; Hawthorne, J. (2005). The Real Guide to Fake Barns: A Catalogue of Gifts for Your Epistemic Enemies. </w:t>
      </w:r>
      <w:r w:rsidRPr="00AC63A6">
        <w:rPr>
          <w:i/>
        </w:rPr>
        <w:t>Philosophical Studies, 123</w:t>
      </w:r>
      <w:r w:rsidRPr="00AC63A6">
        <w:t xml:space="preserve">(3), 331-352. </w:t>
      </w:r>
    </w:p>
    <w:p w:rsidR="00AC63A6" w:rsidRPr="00AC63A6" w:rsidRDefault="00AC63A6" w:rsidP="00AC63A6">
      <w:pPr>
        <w:pStyle w:val="EndNoteBibliography"/>
        <w:spacing w:after="0"/>
        <w:ind w:left="720" w:hanging="720"/>
      </w:pPr>
      <w:r w:rsidRPr="00AC63A6">
        <w:t xml:space="preserve">Goldman, A. (1976). Discrimination and Perceptual Knowledge. </w:t>
      </w:r>
      <w:r w:rsidRPr="00AC63A6">
        <w:rPr>
          <w:i/>
        </w:rPr>
        <w:t>Journal of Philosophy, 73</w:t>
      </w:r>
      <w:r w:rsidRPr="00AC63A6">
        <w:t xml:space="preserve">, 771-791. </w:t>
      </w:r>
    </w:p>
    <w:p w:rsidR="00AC63A6" w:rsidRPr="00AC63A6" w:rsidRDefault="00AC63A6" w:rsidP="00AC63A6">
      <w:pPr>
        <w:pStyle w:val="EndNoteBibliography"/>
        <w:spacing w:after="0"/>
        <w:ind w:left="720" w:hanging="720"/>
      </w:pPr>
      <w:r w:rsidRPr="00AC63A6">
        <w:t xml:space="preserve">Greco, J. (2010). </w:t>
      </w:r>
      <w:r w:rsidRPr="00AC63A6">
        <w:rPr>
          <w:i/>
        </w:rPr>
        <w:t>Achieving Knowledge: A Virtue Theoretic Account of Epistemic Normativity</w:t>
      </w:r>
      <w:r w:rsidRPr="00AC63A6">
        <w:t>. Cambridge: Cambridge University Press.</w:t>
      </w:r>
    </w:p>
    <w:p w:rsidR="00AC63A6" w:rsidRPr="00AC63A6" w:rsidRDefault="00AC63A6" w:rsidP="00AC63A6">
      <w:pPr>
        <w:pStyle w:val="EndNoteBibliography"/>
        <w:spacing w:after="0"/>
        <w:ind w:left="720" w:hanging="720"/>
      </w:pPr>
      <w:r w:rsidRPr="00AC63A6">
        <w:t xml:space="preserve">Greco, J. (2012). A (Different) Virtue Epistemology. </w:t>
      </w:r>
      <w:r w:rsidRPr="00AC63A6">
        <w:rPr>
          <w:i/>
        </w:rPr>
        <w:t>Philosophy and Phenomenological Research, 85</w:t>
      </w:r>
      <w:r w:rsidRPr="00AC63A6">
        <w:t>(1), 1-26. doi:10.1111/j.1933-1592.2011.00567.x</w:t>
      </w:r>
    </w:p>
    <w:p w:rsidR="00AC63A6" w:rsidRPr="00AC63A6" w:rsidRDefault="00AC63A6" w:rsidP="00AC63A6">
      <w:pPr>
        <w:pStyle w:val="EndNoteBibliography"/>
        <w:spacing w:after="0"/>
        <w:ind w:left="720" w:hanging="720"/>
      </w:pPr>
      <w:r w:rsidRPr="00AC63A6">
        <w:t xml:space="preserve">Hawthorne, J. (2004). </w:t>
      </w:r>
      <w:r w:rsidRPr="00AC63A6">
        <w:rPr>
          <w:i/>
        </w:rPr>
        <w:t>Knowledge and Lotteries</w:t>
      </w:r>
      <w:r w:rsidRPr="00AC63A6">
        <w:t>. New York: Oxford University Press.</w:t>
      </w:r>
    </w:p>
    <w:p w:rsidR="00AC63A6" w:rsidRPr="00AC63A6" w:rsidRDefault="00AC63A6" w:rsidP="00AC63A6">
      <w:pPr>
        <w:pStyle w:val="EndNoteBibliography"/>
        <w:spacing w:after="0"/>
        <w:ind w:left="720" w:hanging="720"/>
      </w:pPr>
      <w:r w:rsidRPr="00AC63A6">
        <w:t xml:space="preserve">Hirvelä, J. (2018). On Virtue, Credit and Safety. </w:t>
      </w:r>
      <w:r w:rsidRPr="00AC63A6">
        <w:rPr>
          <w:i/>
        </w:rPr>
        <w:t>Grazer Philosophische Studien</w:t>
      </w:r>
      <w:r w:rsidR="00A8369F">
        <w:rPr>
          <w:i/>
        </w:rPr>
        <w:t xml:space="preserve">, </w:t>
      </w:r>
      <w:r w:rsidR="00F01186">
        <w:rPr>
          <w:i/>
        </w:rPr>
        <w:t>95</w:t>
      </w:r>
      <w:r w:rsidR="00F01186">
        <w:t>(1), 98-120</w:t>
      </w:r>
      <w:r w:rsidRPr="00AC63A6">
        <w:t xml:space="preserve">. </w:t>
      </w:r>
    </w:p>
    <w:p w:rsidR="00AC63A6" w:rsidRPr="00AC63A6" w:rsidRDefault="00AC63A6" w:rsidP="00AC63A6">
      <w:pPr>
        <w:pStyle w:val="EndNoteBibliography"/>
        <w:spacing w:after="0"/>
        <w:ind w:left="720" w:hanging="720"/>
      </w:pPr>
      <w:r w:rsidRPr="00AC63A6">
        <w:t xml:space="preserve">Hirvelä, J. (forthcoming-a). Global Safety: How to Deal with Necessary Truths. </w:t>
      </w:r>
      <w:r w:rsidRPr="00AC63A6">
        <w:rPr>
          <w:i/>
        </w:rPr>
        <w:t>Synthese</w:t>
      </w:r>
      <w:r w:rsidRPr="00AC63A6">
        <w:t xml:space="preserve">. </w:t>
      </w:r>
    </w:p>
    <w:p w:rsidR="00AC63A6" w:rsidRPr="00AC63A6" w:rsidRDefault="00AC63A6" w:rsidP="00AC63A6">
      <w:pPr>
        <w:pStyle w:val="EndNoteBibliography"/>
        <w:spacing w:after="0"/>
        <w:ind w:left="720" w:hanging="720"/>
      </w:pPr>
      <w:r w:rsidRPr="00AC63A6">
        <w:t xml:space="preserve">Hirvelä, J. (forthcoming-b). No Safe Haven For The Virtuous. </w:t>
      </w:r>
      <w:r w:rsidRPr="00AC63A6">
        <w:rPr>
          <w:i/>
        </w:rPr>
        <w:t>Episteme</w:t>
      </w:r>
      <w:r w:rsidRPr="00AC63A6">
        <w:t xml:space="preserve">. </w:t>
      </w:r>
    </w:p>
    <w:p w:rsidR="00AC63A6" w:rsidRPr="00AC63A6" w:rsidRDefault="00AC63A6" w:rsidP="00AC63A6">
      <w:pPr>
        <w:pStyle w:val="EndNoteBibliography"/>
        <w:spacing w:after="0"/>
        <w:ind w:left="720" w:hanging="720"/>
      </w:pPr>
      <w:r w:rsidRPr="00AC63A6">
        <w:t xml:space="preserve">Kelp, C. (2014). Epistemology Extended. </w:t>
      </w:r>
      <w:r w:rsidRPr="00AC63A6">
        <w:rPr>
          <w:i/>
        </w:rPr>
        <w:t>Philosophical Issues, 24</w:t>
      </w:r>
      <w:r w:rsidRPr="00AC63A6">
        <w:t>(1), 230-252. doi:10.1111/phis.12032</w:t>
      </w:r>
    </w:p>
    <w:p w:rsidR="00AC63A6" w:rsidRPr="00AC63A6" w:rsidRDefault="00AC63A6" w:rsidP="00AC63A6">
      <w:pPr>
        <w:pStyle w:val="EndNoteBibliography"/>
        <w:spacing w:after="0"/>
        <w:ind w:left="720" w:hanging="720"/>
      </w:pPr>
      <w:r w:rsidRPr="00AC63A6">
        <w:t xml:space="preserve">Kim, J. (1976). Events as Property Exemplifications. In M. Brand &amp; D. Walton (Eds.), </w:t>
      </w:r>
      <w:r w:rsidRPr="00AC63A6">
        <w:rPr>
          <w:i/>
        </w:rPr>
        <w:t xml:space="preserve">Action Theory: Proceedings of the Winnipeg Conference on Human Action </w:t>
      </w:r>
      <w:r w:rsidRPr="00AC63A6">
        <w:t>(pp. 159-177). Dordecht: Springer.</w:t>
      </w:r>
    </w:p>
    <w:p w:rsidR="00AC63A6" w:rsidRPr="00AC63A6" w:rsidRDefault="00AC63A6" w:rsidP="00AC63A6">
      <w:pPr>
        <w:pStyle w:val="EndNoteBibliography"/>
        <w:spacing w:after="0"/>
        <w:ind w:left="720" w:hanging="720"/>
      </w:pPr>
      <w:r w:rsidRPr="00AC63A6">
        <w:t xml:space="preserve">Lehrer, K. (1990). </w:t>
      </w:r>
      <w:r w:rsidRPr="00AC63A6">
        <w:rPr>
          <w:i/>
        </w:rPr>
        <w:t>Theory of Knowledge</w:t>
      </w:r>
      <w:r w:rsidRPr="00AC63A6">
        <w:t>. Boulder: CO: Westview.</w:t>
      </w:r>
    </w:p>
    <w:p w:rsidR="00AC63A6" w:rsidRPr="00AC63A6" w:rsidRDefault="00AC63A6" w:rsidP="00AC63A6">
      <w:pPr>
        <w:pStyle w:val="EndNoteBibliography"/>
        <w:spacing w:after="0"/>
        <w:ind w:left="720" w:hanging="720"/>
      </w:pPr>
      <w:r w:rsidRPr="00AC63A6">
        <w:t xml:space="preserve">Miracchi, L. (2015). Competence to Know. </w:t>
      </w:r>
      <w:r w:rsidRPr="00AC63A6">
        <w:rPr>
          <w:i/>
        </w:rPr>
        <w:t>Philosophical Studies, 172</w:t>
      </w:r>
      <w:r w:rsidRPr="00AC63A6">
        <w:t xml:space="preserve">, 29-56. </w:t>
      </w:r>
    </w:p>
    <w:p w:rsidR="00AC63A6" w:rsidRPr="00AC63A6" w:rsidRDefault="00AC63A6" w:rsidP="00AC63A6">
      <w:pPr>
        <w:pStyle w:val="EndNoteBibliography"/>
        <w:spacing w:after="0"/>
        <w:ind w:left="720" w:hanging="720"/>
      </w:pPr>
      <w:r w:rsidRPr="00AC63A6">
        <w:t xml:space="preserve">Palermos, S. O. (2014). Knowledge and cognitive integration. </w:t>
      </w:r>
      <w:r w:rsidRPr="00AC63A6">
        <w:rPr>
          <w:i/>
        </w:rPr>
        <w:t>Synthese, 191</w:t>
      </w:r>
      <w:r w:rsidRPr="00AC63A6">
        <w:t>(8), 1931-1951. doi:10.1007/s11229-013-0383-0</w:t>
      </w:r>
    </w:p>
    <w:p w:rsidR="00AC63A6" w:rsidRPr="00AC63A6" w:rsidRDefault="00AC63A6" w:rsidP="00AC63A6">
      <w:pPr>
        <w:pStyle w:val="EndNoteBibliography"/>
        <w:spacing w:after="0"/>
        <w:ind w:left="720" w:hanging="720"/>
      </w:pPr>
      <w:r w:rsidRPr="00AC63A6">
        <w:t xml:space="preserve">Plantinga, A. (1993). </w:t>
      </w:r>
      <w:r w:rsidRPr="00AC63A6">
        <w:rPr>
          <w:i/>
        </w:rPr>
        <w:t>Warrant: The Current Debate</w:t>
      </w:r>
      <w:r w:rsidRPr="00AC63A6">
        <w:t>. Oxford: Oxford University Press.</w:t>
      </w:r>
    </w:p>
    <w:p w:rsidR="00AC63A6" w:rsidRPr="00AC63A6" w:rsidRDefault="00AC63A6" w:rsidP="00AC63A6">
      <w:pPr>
        <w:pStyle w:val="EndNoteBibliography"/>
        <w:spacing w:after="0"/>
        <w:ind w:left="720" w:hanging="720"/>
      </w:pPr>
      <w:r w:rsidRPr="00AC63A6">
        <w:t xml:space="preserve">Pritchard, D. (2005). </w:t>
      </w:r>
      <w:r w:rsidRPr="00AC63A6">
        <w:rPr>
          <w:i/>
        </w:rPr>
        <w:t>Epistemic Luck</w:t>
      </w:r>
      <w:r w:rsidRPr="00AC63A6">
        <w:t>. Oxford: Oxford University Press.</w:t>
      </w:r>
    </w:p>
    <w:p w:rsidR="00AC63A6" w:rsidRPr="00AC63A6" w:rsidRDefault="00AC63A6" w:rsidP="00AC63A6">
      <w:pPr>
        <w:pStyle w:val="EndNoteBibliography"/>
        <w:spacing w:after="0"/>
        <w:ind w:left="720" w:hanging="720"/>
      </w:pPr>
      <w:r w:rsidRPr="00AC63A6">
        <w:t xml:space="preserve">Pritchard, D. (2007). Anti-luck epistemology. </w:t>
      </w:r>
      <w:r w:rsidRPr="00AC63A6">
        <w:rPr>
          <w:i/>
        </w:rPr>
        <w:t>Synthese, 158</w:t>
      </w:r>
      <w:r w:rsidRPr="00AC63A6">
        <w:t>(3), 277-297. doi:10.1007/s11229-006-9039-7</w:t>
      </w:r>
    </w:p>
    <w:p w:rsidR="00AC63A6" w:rsidRPr="00AC63A6" w:rsidRDefault="00AC63A6" w:rsidP="00AC63A6">
      <w:pPr>
        <w:pStyle w:val="EndNoteBibliography"/>
        <w:spacing w:after="0"/>
        <w:ind w:left="720" w:hanging="720"/>
      </w:pPr>
      <w:r w:rsidRPr="00AC63A6">
        <w:t xml:space="preserve">Pritchard, D. (2010). Cognitive ability and the extended cognition thesis. </w:t>
      </w:r>
      <w:r w:rsidRPr="00AC63A6">
        <w:rPr>
          <w:i/>
        </w:rPr>
        <w:t>Synthese, 175</w:t>
      </w:r>
      <w:r w:rsidRPr="00AC63A6">
        <w:t>, 133-151. doi:10.1007/s11229-010-9738-y</w:t>
      </w:r>
    </w:p>
    <w:p w:rsidR="00AC63A6" w:rsidRPr="00AC63A6" w:rsidRDefault="00AC63A6" w:rsidP="00AC63A6">
      <w:pPr>
        <w:pStyle w:val="EndNoteBibliography"/>
        <w:spacing w:after="0"/>
        <w:ind w:left="720" w:hanging="720"/>
      </w:pPr>
      <w:r w:rsidRPr="00AC63A6">
        <w:lastRenderedPageBreak/>
        <w:t xml:space="preserve">Pritchard, D. (2012). Anti-Luck Virtue Epistemology. </w:t>
      </w:r>
      <w:r w:rsidRPr="00AC63A6">
        <w:rPr>
          <w:i/>
        </w:rPr>
        <w:t>Journal of Philosophy, 109</w:t>
      </w:r>
      <w:r w:rsidRPr="00AC63A6">
        <w:t xml:space="preserve">(3), 247-279. </w:t>
      </w:r>
    </w:p>
    <w:p w:rsidR="00AC63A6" w:rsidRPr="00AC63A6" w:rsidRDefault="00AC63A6" w:rsidP="00AC63A6">
      <w:pPr>
        <w:pStyle w:val="EndNoteBibliography"/>
        <w:spacing w:after="0"/>
        <w:ind w:left="720" w:hanging="720"/>
      </w:pPr>
      <w:r w:rsidRPr="00AC63A6">
        <w:t xml:space="preserve">Pritchard, D. (2015). The Modal Account of Luck. In D. Pritchard &amp; L. Whittington (Eds.), </w:t>
      </w:r>
      <w:r w:rsidRPr="00AC63A6">
        <w:rPr>
          <w:i/>
        </w:rPr>
        <w:t>The Philosophy of Luck</w:t>
      </w:r>
      <w:r w:rsidRPr="00AC63A6">
        <w:t>: Wiley-Blackwell.</w:t>
      </w:r>
    </w:p>
    <w:p w:rsidR="00AC63A6" w:rsidRPr="00AC63A6" w:rsidRDefault="00AC63A6" w:rsidP="00AC63A6">
      <w:pPr>
        <w:pStyle w:val="EndNoteBibliography"/>
        <w:spacing w:after="0"/>
        <w:ind w:left="720" w:hanging="720"/>
      </w:pPr>
      <w:r w:rsidRPr="00AC63A6">
        <w:t xml:space="preserve">Rabinowitz, D. (22.5.2018). The Safety Condition for KnowledgeThe Internet Encyclopedia of Philosophy. Retrieved from </w:t>
      </w:r>
      <w:hyperlink r:id="rId9" w:history="1">
        <w:r w:rsidRPr="00AC63A6">
          <w:rPr>
            <w:rStyle w:val="Hyperlinkki"/>
          </w:rPr>
          <w:t>http://www.iep.utm.edu/</w:t>
        </w:r>
      </w:hyperlink>
      <w:r w:rsidRPr="00AC63A6">
        <w:t xml:space="preserve">. </w:t>
      </w:r>
    </w:p>
    <w:p w:rsidR="00AC63A6" w:rsidRPr="00AC63A6" w:rsidRDefault="00AC63A6" w:rsidP="00AC63A6">
      <w:pPr>
        <w:pStyle w:val="EndNoteBibliography"/>
        <w:spacing w:after="0"/>
        <w:ind w:left="720" w:hanging="720"/>
      </w:pPr>
      <w:r w:rsidRPr="00AC63A6">
        <w:t xml:space="preserve">Sosa, E. (1991). </w:t>
      </w:r>
      <w:r w:rsidRPr="00AC63A6">
        <w:rPr>
          <w:i/>
        </w:rPr>
        <w:t>Knowledge in Perspective - Selected Essays in Epistemology</w:t>
      </w:r>
      <w:r w:rsidRPr="00AC63A6">
        <w:t>. Cambridge: Cambridge University Press.</w:t>
      </w:r>
    </w:p>
    <w:p w:rsidR="00AC63A6" w:rsidRPr="00AC63A6" w:rsidRDefault="00AC63A6" w:rsidP="00AC63A6">
      <w:pPr>
        <w:pStyle w:val="EndNoteBibliography"/>
        <w:spacing w:after="0"/>
        <w:ind w:left="720" w:hanging="720"/>
      </w:pPr>
      <w:r w:rsidRPr="00AC63A6">
        <w:t xml:space="preserve">Sosa, E. (2007). </w:t>
      </w:r>
      <w:r w:rsidRPr="00AC63A6">
        <w:rPr>
          <w:i/>
        </w:rPr>
        <w:t>A Virtue Epistemology: Apt Belief and Reflective Knowledge: Volume I</w:t>
      </w:r>
      <w:r w:rsidRPr="00AC63A6">
        <w:t>. Oxford: Oxford University Press.</w:t>
      </w:r>
    </w:p>
    <w:p w:rsidR="00AC63A6" w:rsidRPr="00AC63A6" w:rsidRDefault="00AC63A6" w:rsidP="00AC63A6">
      <w:pPr>
        <w:pStyle w:val="EndNoteBibliography"/>
        <w:spacing w:after="0"/>
        <w:ind w:left="720" w:hanging="720"/>
      </w:pPr>
      <w:r w:rsidRPr="00AC63A6">
        <w:t xml:space="preserve">Sosa, E. (2009). </w:t>
      </w:r>
      <w:r w:rsidRPr="00AC63A6">
        <w:rPr>
          <w:i/>
        </w:rPr>
        <w:t>Reflective Knowledge: Apt belief and Reflective Knowledge, Volume II</w:t>
      </w:r>
      <w:r w:rsidRPr="00AC63A6">
        <w:t>. Oxford: Oxford University Press.</w:t>
      </w:r>
    </w:p>
    <w:p w:rsidR="00AC63A6" w:rsidRPr="00AC63A6" w:rsidRDefault="00AC63A6" w:rsidP="00AC63A6">
      <w:pPr>
        <w:pStyle w:val="EndNoteBibliography"/>
        <w:spacing w:after="0"/>
        <w:ind w:left="720" w:hanging="720"/>
      </w:pPr>
      <w:r w:rsidRPr="00AC63A6">
        <w:t xml:space="preserve">Sosa, E. (2010). How Competence Matters in Epistemology. </w:t>
      </w:r>
      <w:r w:rsidRPr="00AC63A6">
        <w:rPr>
          <w:i/>
        </w:rPr>
        <w:t>Philosophical Perspectives, 24</w:t>
      </w:r>
      <w:r w:rsidRPr="00AC63A6">
        <w:t>(1), 465-475. doi:10.1111/j.1520-8583.2010.00200.x</w:t>
      </w:r>
    </w:p>
    <w:p w:rsidR="00AC63A6" w:rsidRPr="00AC63A6" w:rsidRDefault="00AC63A6" w:rsidP="00AC63A6">
      <w:pPr>
        <w:pStyle w:val="EndNoteBibliography"/>
        <w:spacing w:after="0"/>
        <w:ind w:left="720" w:hanging="720"/>
      </w:pPr>
      <w:r w:rsidRPr="00AC63A6">
        <w:t xml:space="preserve">Sosa, E. (2015). </w:t>
      </w:r>
      <w:r w:rsidRPr="00AC63A6">
        <w:rPr>
          <w:i/>
        </w:rPr>
        <w:t>Judgment and Agency</w:t>
      </w:r>
      <w:r w:rsidRPr="00AC63A6">
        <w:t>. Oxford: Oxford University Press.</w:t>
      </w:r>
    </w:p>
    <w:p w:rsidR="00AC63A6" w:rsidRPr="00AC63A6" w:rsidRDefault="00AC63A6" w:rsidP="00AC63A6">
      <w:pPr>
        <w:pStyle w:val="EndNoteBibliography"/>
        <w:spacing w:after="0"/>
        <w:ind w:left="720" w:hanging="720"/>
      </w:pPr>
      <w:r w:rsidRPr="00AC63A6">
        <w:t xml:space="preserve">Vaesen, K. (2011). Knowledge without credit, exhibit 4: extended cognition. </w:t>
      </w:r>
      <w:r w:rsidRPr="00AC63A6">
        <w:rPr>
          <w:i/>
        </w:rPr>
        <w:t>Synthese, 181</w:t>
      </w:r>
      <w:r w:rsidRPr="00AC63A6">
        <w:t>(3), 515-529. doi:10.1007/s11229-010-9744-0</w:t>
      </w:r>
    </w:p>
    <w:p w:rsidR="00AC63A6" w:rsidRPr="00AC63A6" w:rsidRDefault="00AC63A6" w:rsidP="00AC63A6">
      <w:pPr>
        <w:pStyle w:val="EndNoteBibliography"/>
        <w:spacing w:after="0"/>
        <w:ind w:left="720" w:hanging="720"/>
      </w:pPr>
      <w:r w:rsidRPr="00AC63A6">
        <w:t xml:space="preserve">Wikforss, Å. (2014). EXTENDED BELIEF AND EXTENDED KNOWLEDGE. </w:t>
      </w:r>
      <w:r w:rsidRPr="00AC63A6">
        <w:rPr>
          <w:i/>
        </w:rPr>
        <w:t>Philosophical Issues, 24</w:t>
      </w:r>
      <w:r w:rsidRPr="00AC63A6">
        <w:t>(1), 460-481. doi:10.1111/phis.12043</w:t>
      </w:r>
    </w:p>
    <w:p w:rsidR="00AC63A6" w:rsidRPr="00AC63A6" w:rsidRDefault="00AC63A6" w:rsidP="00AC63A6">
      <w:pPr>
        <w:pStyle w:val="EndNoteBibliography"/>
        <w:spacing w:after="0"/>
        <w:ind w:left="720" w:hanging="720"/>
      </w:pPr>
      <w:r w:rsidRPr="00AC63A6">
        <w:t xml:space="preserve">Williamson, T. (2000). </w:t>
      </w:r>
      <w:r w:rsidRPr="00AC63A6">
        <w:rPr>
          <w:i/>
        </w:rPr>
        <w:t>Knowledge and its Limits</w:t>
      </w:r>
      <w:r w:rsidRPr="00AC63A6">
        <w:t>. Oxford: Oxford University Press.</w:t>
      </w:r>
    </w:p>
    <w:p w:rsidR="00AC63A6" w:rsidRPr="00AC63A6" w:rsidRDefault="00AC63A6" w:rsidP="00AC63A6">
      <w:pPr>
        <w:pStyle w:val="EndNoteBibliography"/>
        <w:spacing w:after="0"/>
        <w:ind w:left="720" w:hanging="720"/>
      </w:pPr>
      <w:r w:rsidRPr="00AC63A6">
        <w:t xml:space="preserve">Williamson, T. (2009). Reply to John Hawthorne and Maria Lasonen-Aarnio. In P. Greenough &amp; D. Pritchard (Eds.), </w:t>
      </w:r>
      <w:r w:rsidRPr="00AC63A6">
        <w:rPr>
          <w:i/>
        </w:rPr>
        <w:t>Williamson on Knowledge</w:t>
      </w:r>
      <w:r w:rsidRPr="00AC63A6">
        <w:t xml:space="preserve"> (pp. 313-329). Oxford: Oxford University Press.</w:t>
      </w:r>
    </w:p>
    <w:p w:rsidR="00AC63A6" w:rsidRPr="00AC63A6" w:rsidRDefault="00AC63A6" w:rsidP="00AC63A6">
      <w:pPr>
        <w:pStyle w:val="EndNoteBibliography"/>
        <w:spacing w:after="0"/>
        <w:ind w:left="720" w:hanging="720"/>
      </w:pPr>
      <w:r w:rsidRPr="00AC63A6">
        <w:t xml:space="preserve">Wilson, R., &amp; Clark, A. (2009). How to situate cognition: Letting nature take its course. In M. Aydede &amp; P. Robbis (Eds.), </w:t>
      </w:r>
      <w:r w:rsidRPr="00AC63A6">
        <w:rPr>
          <w:i/>
        </w:rPr>
        <w:t>The Cambridge Handbook of Situated Cognition</w:t>
      </w:r>
      <w:r w:rsidRPr="00AC63A6">
        <w:t>. Cambridge: Cambridge University Press.</w:t>
      </w:r>
    </w:p>
    <w:p w:rsidR="00AC63A6" w:rsidRPr="00AC63A6" w:rsidRDefault="00AC63A6" w:rsidP="00AC63A6">
      <w:pPr>
        <w:pStyle w:val="EndNoteBibliography"/>
        <w:ind w:left="720" w:hanging="720"/>
      </w:pPr>
      <w:r w:rsidRPr="00AC63A6">
        <w:t xml:space="preserve">Zagzebski, L. (1996). </w:t>
      </w:r>
      <w:r w:rsidRPr="00AC63A6">
        <w:rPr>
          <w:i/>
        </w:rPr>
        <w:t>Virtues of the Mind: An Inquiry into the Nature of Virtue and the Ethical Foundations of Knowledge</w:t>
      </w:r>
      <w:r w:rsidRPr="00AC63A6">
        <w:t>. Cambridge: Cambridge University Press.</w:t>
      </w:r>
    </w:p>
    <w:p w:rsidR="00DA1C96" w:rsidRPr="00481699" w:rsidRDefault="00D57A25" w:rsidP="00BF40F3">
      <w:pPr>
        <w:spacing w:line="480" w:lineRule="auto"/>
        <w:rPr>
          <w:lang w:val="en-US"/>
        </w:rPr>
      </w:pPr>
      <w:r>
        <w:rPr>
          <w:lang w:val="en-US"/>
        </w:rPr>
        <w:fldChar w:fldCharType="end"/>
      </w:r>
    </w:p>
    <w:sectPr w:rsidR="00DA1C96" w:rsidRPr="00481699" w:rsidSect="00A97480">
      <w:footerReference w:type="default" r:id="rId10"/>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FA2" w:rsidRDefault="00E76FA2" w:rsidP="0031380E">
      <w:pPr>
        <w:spacing w:after="0" w:line="240" w:lineRule="auto"/>
      </w:pPr>
      <w:r>
        <w:separator/>
      </w:r>
    </w:p>
  </w:endnote>
  <w:endnote w:type="continuationSeparator" w:id="0">
    <w:p w:rsidR="00E76FA2" w:rsidRDefault="00E76FA2" w:rsidP="0031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574543"/>
      <w:docPartObj>
        <w:docPartGallery w:val="Page Numbers (Bottom of Page)"/>
        <w:docPartUnique/>
      </w:docPartObj>
    </w:sdtPr>
    <w:sdtEndPr/>
    <w:sdtContent>
      <w:p w:rsidR="00810870" w:rsidRDefault="00810870">
        <w:pPr>
          <w:pStyle w:val="Alatunniste"/>
          <w:jc w:val="center"/>
        </w:pPr>
        <w:r>
          <w:fldChar w:fldCharType="begin"/>
        </w:r>
        <w:r>
          <w:instrText>PAGE   \* MERGEFORMAT</w:instrText>
        </w:r>
        <w:r>
          <w:fldChar w:fldCharType="separate"/>
        </w:r>
        <w:r w:rsidR="002132D2">
          <w:rPr>
            <w:noProof/>
          </w:rPr>
          <w:t>2</w:t>
        </w:r>
        <w:r>
          <w:fldChar w:fldCharType="end"/>
        </w:r>
      </w:p>
    </w:sdtContent>
  </w:sdt>
  <w:p w:rsidR="00810870" w:rsidRDefault="0081087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FA2" w:rsidRDefault="00E76FA2" w:rsidP="0031380E">
      <w:pPr>
        <w:spacing w:after="0" w:line="240" w:lineRule="auto"/>
      </w:pPr>
      <w:r>
        <w:separator/>
      </w:r>
    </w:p>
  </w:footnote>
  <w:footnote w:type="continuationSeparator" w:id="0">
    <w:p w:rsidR="00E76FA2" w:rsidRDefault="00E76FA2" w:rsidP="0031380E">
      <w:pPr>
        <w:spacing w:after="0" w:line="240" w:lineRule="auto"/>
      </w:pPr>
      <w:r>
        <w:continuationSeparator/>
      </w:r>
    </w:p>
  </w:footnote>
  <w:footnote w:id="1">
    <w:p w:rsidR="00810870" w:rsidRPr="00792921" w:rsidRDefault="00810870" w:rsidP="005E009E">
      <w:pPr>
        <w:pStyle w:val="Alaviitteenteksti"/>
        <w:jc w:val="both"/>
        <w:rPr>
          <w:lang w:val="en-US"/>
        </w:rPr>
      </w:pPr>
      <w:r>
        <w:rPr>
          <w:rStyle w:val="Alaviitteenviite"/>
        </w:rPr>
        <w:footnoteRef/>
      </w:r>
      <w:r w:rsidRPr="00792921">
        <w:rPr>
          <w:lang w:val="en-US"/>
        </w:rPr>
        <w:t xml:space="preserve"> </w:t>
      </w:r>
      <w:r>
        <w:rPr>
          <w:lang w:val="en-US"/>
        </w:rPr>
        <w:t xml:space="preserve">See </w:t>
      </w:r>
      <w:r>
        <w:rPr>
          <w:lang w:val="en-US"/>
        </w:rPr>
        <w:fldChar w:fldCharType="begin"/>
      </w:r>
      <w:r w:rsidR="00FF3D30">
        <w:rPr>
          <w:lang w:val="en-US"/>
        </w:rPr>
        <w:instrText xml:space="preserve"> ADDIN EN.CITE &lt;EndNote&gt;&lt;Cite AuthorYear="1"&gt;&lt;Author&gt;Wikforss&lt;/Author&gt;&lt;Year&gt;2014&lt;/Year&gt;&lt;RecNum&gt;1763&lt;/RecNum&gt;&lt;Pages&gt;470-2&lt;/Pages&gt;&lt;DisplayText&gt;Wikforss (2014, pp. 470-472)&lt;/DisplayText&gt;&lt;record&gt;&lt;rec-number&gt;1763&lt;/rec-number&gt;&lt;foreign-keys&gt;&lt;key app="EN" db-id="0vpawwrfrtdxzge9z5uvtw9lxxsetrv5095d" timestamp="1509740074"&gt;1763&lt;/key&gt;&lt;/foreign-keys&gt;&lt;ref-type name="Journal Article"&gt;17&lt;/ref-type&gt;&lt;contributors&gt;&lt;authors&gt;&lt;author&gt;Wikforss, Åsa&lt;/author&gt;&lt;/authors&gt;&lt;/contributors&gt;&lt;titles&gt;&lt;title&gt;EXTENDED BELIEF AND EXTENDED KNOWLEDGE&lt;/title&gt;&lt;secondary-title&gt;Philosophical Issues&lt;/secondary-title&gt;&lt;/titles&gt;&lt;periodical&gt;&lt;full-title&gt;Philosophical Issues&lt;/full-title&gt;&lt;/periodical&gt;&lt;pages&gt;460-481&lt;/pages&gt;&lt;volume&gt;24&lt;/volume&gt;&lt;number&gt;1&lt;/number&gt;&lt;dates&gt;&lt;year&gt;2014&lt;/year&gt;&lt;/dates&gt;&lt;isbn&gt;1758-2237&lt;/isbn&gt;&lt;urls&gt;&lt;related-urls&gt;&lt;url&gt;http://dx.doi.org/10.1111/phis.12043&lt;/url&gt;&lt;/related-urls&gt;&lt;/urls&gt;&lt;electronic-resource-num&gt;10.1111/phis.12043&lt;/electronic-resource-num&gt;&lt;/record&gt;&lt;/Cite&gt;&lt;/EndNote&gt;</w:instrText>
      </w:r>
      <w:r>
        <w:rPr>
          <w:lang w:val="en-US"/>
        </w:rPr>
        <w:fldChar w:fldCharType="separate"/>
      </w:r>
      <w:r>
        <w:rPr>
          <w:noProof/>
          <w:lang w:val="en-US"/>
        </w:rPr>
        <w:t>Wikforss (2014, pp. 470-472)</w:t>
      </w:r>
      <w:r>
        <w:rPr>
          <w:lang w:val="en-US"/>
        </w:rPr>
        <w:fldChar w:fldCharType="end"/>
      </w:r>
      <w:r w:rsidR="006D622C">
        <w:rPr>
          <w:lang w:val="en-US"/>
        </w:rPr>
        <w:t xml:space="preserve"> for the</w:t>
      </w:r>
      <w:r>
        <w:rPr>
          <w:lang w:val="en-US"/>
        </w:rPr>
        <w:t xml:space="preserve"> argument that the cognitive process that Otto undergoes while consulting his notebook is not functionally similar to the cognitive process that he would go through if he consulted his biological memory. </w:t>
      </w:r>
    </w:p>
  </w:footnote>
  <w:footnote w:id="2">
    <w:p w:rsidR="00810870" w:rsidRPr="00CA5F7E" w:rsidRDefault="00810870" w:rsidP="005E009E">
      <w:pPr>
        <w:pStyle w:val="Alaviitteenteksti"/>
        <w:jc w:val="both"/>
        <w:rPr>
          <w:lang w:val="en-US"/>
        </w:rPr>
      </w:pPr>
      <w:r>
        <w:rPr>
          <w:rStyle w:val="Alaviitteenviite"/>
        </w:rPr>
        <w:footnoteRef/>
      </w:r>
      <w:r w:rsidRPr="00CA5F7E">
        <w:rPr>
          <w:lang w:val="en-US"/>
        </w:rPr>
        <w:t xml:space="preserve"> </w:t>
      </w:r>
      <w:r>
        <w:rPr>
          <w:lang w:val="en-US"/>
        </w:rPr>
        <w:fldChar w:fldCharType="begin"/>
      </w:r>
      <w:r>
        <w:rPr>
          <w:lang w:val="en-US"/>
        </w:rPr>
        <w:instrText xml:space="preserve"> ADDIN EN.CITE &lt;EndNote&gt;&lt;Cite AuthorYear="1"&gt;&lt;Author&gt;Pritchard&lt;/Author&gt;&lt;Year&gt;2010&lt;/Year&gt;&lt;RecNum&gt;109&lt;/RecNum&gt;&lt;DisplayText&gt;Pritchard (2010)&lt;/DisplayText&gt;&lt;record&gt;&lt;rec-number&gt;109&lt;/rec-number&gt;&lt;foreign-keys&gt;&lt;key app="EN" db-id="0vpawwrfrtdxzge9z5uvtw9lxxsetrv5095d" timestamp="1418723969"&gt;109&lt;/key&gt;&lt;/foreign-keys&gt;&lt;ref-type name="Journal Article"&gt;17&lt;/ref-type&gt;&lt;contributors&gt;&lt;authors&gt;&lt;author&gt;Pritchard, D.&lt;/author&gt;&lt;/authors&gt;&lt;/contributors&gt;&lt;titles&gt;&lt;title&gt;Cognitive ability and the extended cognition thesis&lt;/title&gt;&lt;secondary-title&gt;Synthese&lt;/secondary-title&gt;&lt;/titles&gt;&lt;periodical&gt;&lt;full-title&gt;Synthese&lt;/full-title&gt;&lt;/periodical&gt;&lt;pages&gt;133-151&lt;/pages&gt;&lt;volume&gt;175&lt;/volume&gt;&lt;dates&gt;&lt;year&gt;2010&lt;/year&gt;&lt;pub-dates&gt;&lt;date&gt;Aug&lt;/date&gt;&lt;/pub-dates&gt;&lt;/dates&gt;&lt;isbn&gt;0039-7857&lt;/isbn&gt;&lt;accession-num&gt;WOS:000282012000008&lt;/accession-num&gt;&lt;urls&gt;&lt;related-urls&gt;&lt;url&gt;&amp;lt;Go to ISI&amp;gt;://WOS:000282012000008&lt;/url&gt;&lt;/related-urls&gt;&lt;/urls&gt;&lt;electronic-resource-num&gt;10.1007/s11229-010-9738-y&lt;/electronic-resource-num&gt;&lt;/record&gt;&lt;/Cite&gt;&lt;/EndNote&gt;</w:instrText>
      </w:r>
      <w:r>
        <w:rPr>
          <w:lang w:val="en-US"/>
        </w:rPr>
        <w:fldChar w:fldCharType="separate"/>
      </w:r>
      <w:r>
        <w:rPr>
          <w:noProof/>
          <w:lang w:val="en-US"/>
        </w:rPr>
        <w:t>Pritchard (2010)</w:t>
      </w:r>
      <w:r>
        <w:rPr>
          <w:lang w:val="en-US"/>
        </w:rPr>
        <w:fldChar w:fldCharType="end"/>
      </w:r>
      <w:r>
        <w:rPr>
          <w:lang w:val="en-US"/>
        </w:rPr>
        <w:t xml:space="preserve">, </w:t>
      </w:r>
      <w:r>
        <w:rPr>
          <w:lang w:val="en-US"/>
        </w:rPr>
        <w:fldChar w:fldCharType="begin"/>
      </w:r>
      <w:r w:rsidR="00FF3D30">
        <w:rPr>
          <w:lang w:val="en-US"/>
        </w:rPr>
        <w:instrText xml:space="preserve"> ADDIN EN.CITE &lt;EndNote&gt;&lt;Cite AuthorYear="1"&gt;&lt;Author&gt;Vaesen&lt;/Author&gt;&lt;Year&gt;2011&lt;/Year&gt;&lt;RecNum&gt;917&lt;/RecNum&gt;&lt;DisplayText&gt;Vaesen (2011)&lt;/DisplayText&gt;&lt;record&gt;&lt;rec-number&gt;917&lt;/rec-number&gt;&lt;foreign-keys&gt;&lt;key app="EN" db-id="0vpawwrfrtdxzge9z5uvtw9lxxsetrv5095d" timestamp="1420636854"&gt;917&lt;/key&gt;&lt;/foreign-keys&gt;&lt;ref-type name="Journal Article"&gt;17&lt;/ref-type&gt;&lt;contributors&gt;&lt;authors&gt;&lt;author&gt;Vaesen, K.&lt;/author&gt;&lt;/authors&gt;&lt;/contributors&gt;&lt;titles&gt;&lt;title&gt;Knowledge without credit, exhibit 4: extended cognition&lt;/title&gt;&lt;secondary-title&gt;Synthese&lt;/secondary-title&gt;&lt;/titles&gt;&lt;periodical&gt;&lt;full-title&gt;Synthese&lt;/full-title&gt;&lt;/periodical&gt;&lt;pages&gt;515-529&lt;/pages&gt;&lt;volume&gt;181&lt;/volume&gt;&lt;number&gt;3&lt;/number&gt;&lt;dates&gt;&lt;year&gt;2011&lt;/year&gt;&lt;pub-dates&gt;&lt;date&gt;Aug&lt;/date&gt;&lt;/pub-dates&gt;&lt;/dates&gt;&lt;isbn&gt;0039-7857&lt;/isbn&gt;&lt;accession-num&gt;WOS:000292268500010&lt;/accession-num&gt;&lt;urls&gt;&lt;related-urls&gt;&lt;url&gt;&amp;lt;Go to ISI&amp;gt;://WOS:000292268500010&lt;/url&gt;&lt;/related-urls&gt;&lt;/urls&gt;&lt;electronic-resource-num&gt;10.1007/s11229-010-9744-0&lt;/electronic-resource-num&gt;&lt;/record&gt;&lt;/Cite&gt;&lt;/EndNote&gt;</w:instrText>
      </w:r>
      <w:r>
        <w:rPr>
          <w:lang w:val="en-US"/>
        </w:rPr>
        <w:fldChar w:fldCharType="separate"/>
      </w:r>
      <w:r>
        <w:rPr>
          <w:noProof/>
          <w:lang w:val="en-US"/>
        </w:rPr>
        <w:t>Vaesen (2011)</w:t>
      </w:r>
      <w:r>
        <w:rPr>
          <w:lang w:val="en-US"/>
        </w:rPr>
        <w:fldChar w:fldCharType="end"/>
      </w:r>
      <w:r>
        <w:rPr>
          <w:lang w:val="en-US"/>
        </w:rPr>
        <w:t xml:space="preserve"> and </w:t>
      </w:r>
      <w:r>
        <w:rPr>
          <w:lang w:val="en-US"/>
        </w:rPr>
        <w:fldChar w:fldCharType="begin"/>
      </w:r>
      <w:r w:rsidR="00FF3D30">
        <w:rPr>
          <w:lang w:val="en-US"/>
        </w:rPr>
        <w:instrText xml:space="preserve"> ADDIN EN.CITE &lt;EndNote&gt;&lt;Cite AuthorYear="1"&gt;&lt;Author&gt;Kelp&lt;/Author&gt;&lt;Year&gt;2014&lt;/Year&gt;&lt;RecNum&gt;368&lt;/RecNum&gt;&lt;DisplayText&gt;Kelp (2014)&lt;/DisplayText&gt;&lt;record&gt;&lt;rec-number&gt;368&lt;/rec-number&gt;&lt;foreign-keys&gt;&lt;key app="EN" db-id="0vpawwrfrtdxzge9z5uvtw9lxxsetrv5095d" timestamp="1418724366"&gt;368&lt;/key&gt;&lt;/foreign-keys&gt;&lt;ref-type name="Journal Article"&gt;17&lt;/ref-type&gt;&lt;contributors&gt;&lt;authors&gt;&lt;author&gt;Kelp, C.&lt;/author&gt;&lt;/authors&gt;&lt;/contributors&gt;&lt;titles&gt;&lt;title&gt;Epistemology Extended&lt;/title&gt;&lt;secondary-title&gt;Philosophical Issues&lt;/secondary-title&gt;&lt;/titles&gt;&lt;periodical&gt;&lt;full-title&gt;Philosophical Issues&lt;/full-title&gt;&lt;/periodical&gt;&lt;pages&gt;230-252&lt;/pages&gt;&lt;volume&gt;24&lt;/volume&gt;&lt;number&gt;1&lt;/number&gt;&lt;dates&gt;&lt;year&gt;2014&lt;/year&gt;&lt;pub-dates&gt;&lt;date&gt;Oct&lt;/date&gt;&lt;/pub-dates&gt;&lt;/dates&gt;&lt;isbn&gt;1533-6077&lt;/isbn&gt;&lt;accession-num&gt;WOS:000342673500010&lt;/accession-num&gt;&lt;urls&gt;&lt;related-urls&gt;&lt;url&gt;&amp;lt;Go to ISI&amp;gt;://WOS:000342673500010&lt;/url&gt;&lt;/related-urls&gt;&lt;/urls&gt;&lt;electronic-resource-num&gt;10.1111/phis.12032&lt;/electronic-resource-num&gt;&lt;/record&gt;&lt;/Cite&gt;&lt;/EndNote&gt;</w:instrText>
      </w:r>
      <w:r>
        <w:rPr>
          <w:lang w:val="en-US"/>
        </w:rPr>
        <w:fldChar w:fldCharType="separate"/>
      </w:r>
      <w:r>
        <w:rPr>
          <w:noProof/>
          <w:lang w:val="en-US"/>
        </w:rPr>
        <w:t>Kelp (2014)</w:t>
      </w:r>
      <w:r>
        <w:rPr>
          <w:lang w:val="en-US"/>
        </w:rPr>
        <w:fldChar w:fldCharType="end"/>
      </w:r>
      <w:r>
        <w:rPr>
          <w:lang w:val="en-US"/>
        </w:rPr>
        <w:t xml:space="preserve"> have argued that other cases of exten</w:t>
      </w:r>
      <w:r w:rsidR="006D622C">
        <w:rPr>
          <w:lang w:val="en-US"/>
        </w:rPr>
        <w:t>ded cognition are problematic for</w:t>
      </w:r>
      <w:r>
        <w:rPr>
          <w:lang w:val="en-US"/>
        </w:rPr>
        <w:t xml:space="preserve"> robust virtue epistemology. </w:t>
      </w:r>
      <w:r>
        <w:rPr>
          <w:lang w:val="en-US"/>
        </w:rPr>
        <w:fldChar w:fldCharType="begin"/>
      </w:r>
      <w:r w:rsidR="00FF3D30">
        <w:rPr>
          <w:lang w:val="en-US"/>
        </w:rPr>
        <w:instrText xml:space="preserve"> ADDIN EN.CITE &lt;EndNote&gt;&lt;Cite AuthorYear="1"&gt;&lt;Author&gt;Greco&lt;/Author&gt;&lt;Year&gt;2012&lt;/Year&gt;&lt;RecNum&gt;448&lt;/RecNum&gt;&lt;DisplayText&gt;Greco (2012)&lt;/DisplayText&gt;&lt;record&gt;&lt;rec-number&gt;448&lt;/rec-number&gt;&lt;foreign-keys&gt;&lt;key app="EN" db-id="0vpawwrfrtdxzge9z5uvtw9lxxsetrv5095d" timestamp="1420628241"&gt;448&lt;/key&gt;&lt;/foreign-keys&gt;&lt;ref-type name="Journal Article"&gt;17&lt;/ref-type&gt;&lt;contributors&gt;&lt;authors&gt;&lt;author&gt;Greco, J.&lt;/author&gt;&lt;/authors&gt;&lt;/contributors&gt;&lt;titles&gt;&lt;title&gt;A (Different) Virtue Epistemology&lt;/title&gt;&lt;secondary-title&gt;Philosophy and Phenomenological Research&lt;/secondary-title&gt;&lt;/titles&gt;&lt;periodical&gt;&lt;full-title&gt;Philosophy and Phenomenological Research&lt;/full-title&gt;&lt;/periodical&gt;&lt;pages&gt;1-26&lt;/pages&gt;&lt;volume&gt;85&lt;/volume&gt;&lt;number&gt;1&lt;/number&gt;&lt;dates&gt;&lt;year&gt;2012&lt;/year&gt;&lt;pub-dates&gt;&lt;date&gt;Jul&lt;/date&gt;&lt;/pub-dates&gt;&lt;/dates&gt;&lt;isbn&gt;0031-8205&lt;/isbn&gt;&lt;accession-num&gt;WOS:000305742200001&lt;/accession-num&gt;&lt;urls&gt;&lt;related-urls&gt;&lt;url&gt;&amp;lt;Go to ISI&amp;gt;://WOS:000305742200001&lt;/url&gt;&lt;/related-urls&gt;&lt;/urls&gt;&lt;electronic-resource-num&gt;10.1111/j.1933-1592.2011.00567.x&lt;/electronic-resource-num&gt;&lt;/record&gt;&lt;/Cite&gt;&lt;/EndNote&gt;</w:instrText>
      </w:r>
      <w:r>
        <w:rPr>
          <w:lang w:val="en-US"/>
        </w:rPr>
        <w:fldChar w:fldCharType="separate"/>
      </w:r>
      <w:r>
        <w:rPr>
          <w:noProof/>
          <w:lang w:val="en-US"/>
        </w:rPr>
        <w:t>Greco (2012)</w:t>
      </w:r>
      <w:r>
        <w:rPr>
          <w:lang w:val="en-US"/>
        </w:rPr>
        <w:fldChar w:fldCharType="end"/>
      </w:r>
      <w:r>
        <w:rPr>
          <w:lang w:val="en-US"/>
        </w:rPr>
        <w:t xml:space="preserve"> defends robust virtue epistemology from the argument raised by Vaesen.</w:t>
      </w:r>
    </w:p>
  </w:footnote>
  <w:footnote w:id="3">
    <w:p w:rsidR="00810870" w:rsidRPr="00C11E27" w:rsidRDefault="00810870" w:rsidP="005E009E">
      <w:pPr>
        <w:pStyle w:val="Alaviitteenteksti"/>
        <w:jc w:val="both"/>
        <w:rPr>
          <w:lang w:val="en-US"/>
        </w:rPr>
      </w:pPr>
      <w:r>
        <w:rPr>
          <w:rStyle w:val="Alaviitteenviite"/>
        </w:rPr>
        <w:footnoteRef/>
      </w:r>
      <w:r w:rsidRPr="00C11E27">
        <w:rPr>
          <w:lang w:val="en-US"/>
        </w:rPr>
        <w:t xml:space="preserve"> </w:t>
      </w:r>
      <w:r>
        <w:rPr>
          <w:lang w:val="en-US"/>
        </w:rPr>
        <w:t xml:space="preserve">Note that </w:t>
      </w:r>
      <w:r>
        <w:rPr>
          <w:lang w:val="en-US"/>
        </w:rPr>
        <w:fldChar w:fldCharType="begin"/>
      </w:r>
      <w:r w:rsidR="00FF3D30">
        <w:rPr>
          <w:lang w:val="en-US"/>
        </w:rPr>
        <w:instrText xml:space="preserve"> ADDIN EN.CITE &lt;EndNote&gt;&lt;Cite AuthorYear="1"&gt;&lt;Author&gt;Pritchard&lt;/Author&gt;&lt;Year&gt;2015&lt;/Year&gt;&lt;RecNum&gt;1520&lt;/RecNum&gt;&lt;DisplayText&gt;Pritchard (2015)&lt;/DisplayText&gt;&lt;record&gt;&lt;rec-number&gt;1520&lt;/rec-number&gt;&lt;foreign-keys&gt;&lt;key app="EN" db-id="0vpawwrfrtdxzge9z5uvtw9lxxsetrv5095d" timestamp="1454490709"&gt;1520&lt;/key&gt;&lt;/foreign-keys&gt;&lt;ref-type name="Book Section"&gt;5&lt;/ref-type&gt;&lt;contributors&gt;&lt;authors&gt;&lt;author&gt;Pritchard, D.&lt;/author&gt;&lt;/authors&gt;&lt;secondary-authors&gt;&lt;author&gt;Pritchard, D.&lt;/author&gt;&lt;author&gt;Whittington, L.&lt;/author&gt;&lt;/secondary-authors&gt;&lt;/contributors&gt;&lt;titles&gt;&lt;title&gt;The Modal Account of Luck&lt;/title&gt;&lt;secondary-title&gt;The Philosophy of Luck&lt;/secondary-title&gt;&lt;/titles&gt;&lt;dates&gt;&lt;year&gt;2015&lt;/year&gt;&lt;/dates&gt;&lt;publisher&gt;Wiley-Blackwell&lt;/publisher&gt;&lt;urls&gt;&lt;/urls&gt;&lt;/record&gt;&lt;/Cite&gt;&lt;/EndNote&gt;</w:instrText>
      </w:r>
      <w:r>
        <w:rPr>
          <w:lang w:val="en-US"/>
        </w:rPr>
        <w:fldChar w:fldCharType="separate"/>
      </w:r>
      <w:r>
        <w:rPr>
          <w:noProof/>
          <w:lang w:val="en-US"/>
        </w:rPr>
        <w:t>Pritchard (2015)</w:t>
      </w:r>
      <w:r>
        <w:rPr>
          <w:lang w:val="en-US"/>
        </w:rPr>
        <w:fldChar w:fldCharType="end"/>
      </w:r>
      <w:r>
        <w:rPr>
          <w:lang w:val="en-US"/>
        </w:rPr>
        <w:t xml:space="preserve"> has in his later work abandoned condition (ii). I think this is a mistake, but I will not defend that claim here.</w:t>
      </w:r>
    </w:p>
  </w:footnote>
  <w:footnote w:id="4">
    <w:p w:rsidR="00810870" w:rsidRPr="00D45991" w:rsidRDefault="00810870" w:rsidP="00171648">
      <w:pPr>
        <w:pStyle w:val="Alaviitteenteksti"/>
        <w:jc w:val="both"/>
        <w:rPr>
          <w:color w:val="FF0000"/>
          <w:lang w:val="en-US"/>
        </w:rPr>
      </w:pPr>
      <w:r w:rsidRPr="006D622C">
        <w:rPr>
          <w:rStyle w:val="Alaviitteenviite"/>
        </w:rPr>
        <w:footnoteRef/>
      </w:r>
      <w:r w:rsidRPr="006D622C">
        <w:rPr>
          <w:lang w:val="en-US"/>
        </w:rPr>
        <w:t xml:space="preserve"> </w:t>
      </w:r>
      <w:r w:rsidRPr="006D622C">
        <w:rPr>
          <w:lang w:val="en-US"/>
        </w:rPr>
        <w:fldChar w:fldCharType="begin"/>
      </w:r>
      <w:r w:rsidR="00FF3D30">
        <w:rPr>
          <w:lang w:val="en-US"/>
        </w:rPr>
        <w:instrText xml:space="preserve"> ADDIN EN.CITE &lt;EndNote&gt;&lt;Cite AuthorYear="1"&gt;&lt;Author&gt;Coffman&lt;/Author&gt;&lt;Year&gt;2007&lt;/Year&gt;&lt;RecNum&gt;438&lt;/RecNum&gt;&lt;Pages&gt;396&lt;/Pages&gt;&lt;DisplayText&gt;Coffman (2007, p. 396)&lt;/DisplayText&gt;&lt;record&gt;&lt;rec-number&gt;438&lt;/rec-number&gt;&lt;foreign-keys&gt;&lt;key app="EN" db-id="0vpawwrfrtdxzge9z5uvtw9lxxsetrv5095d" timestamp="1418730522"&gt;438&lt;/key&gt;&lt;/foreign-keys&gt;&lt;ref-type name="Journal Article"&gt;17&lt;/ref-type&gt;&lt;contributors&gt;&lt;authors&gt;&lt;author&gt;Coffman, E. J.&lt;/author&gt;&lt;/authors&gt;&lt;/contributors&gt;&lt;titles&gt;&lt;title&gt;Thinking about luck&lt;/title&gt;&lt;secondary-title&gt;Synthese&lt;/secondary-title&gt;&lt;/titles&gt;&lt;periodical&gt;&lt;full-title&gt;Synthese&lt;/full-title&gt;&lt;/periodical&gt;&lt;pages&gt;385-398&lt;/pages&gt;&lt;volume&gt;158&lt;/volume&gt;&lt;number&gt;3&lt;/number&gt;&lt;dates&gt;&lt;year&gt;2007&lt;/year&gt;&lt;pub-dates&gt;&lt;date&gt;Oct&lt;/date&gt;&lt;/pub-dates&gt;&lt;/dates&gt;&lt;isbn&gt;0039-7857&lt;/isbn&gt;&lt;accession-num&gt;WOS:000249658200009&lt;/accession-num&gt;&lt;urls&gt;&lt;related-urls&gt;&lt;url&gt;&amp;lt;Go to ISI&amp;gt;://WOS:000249658200009&lt;/url&gt;&lt;/related-urls&gt;&lt;/urls&gt;&lt;electronic-resource-num&gt;10.1007/s11229-006-9046-8&lt;/electronic-resource-num&gt;&lt;/record&gt;&lt;/Cite&gt;&lt;/EndNote&gt;</w:instrText>
      </w:r>
      <w:r w:rsidRPr="006D622C">
        <w:rPr>
          <w:lang w:val="en-US"/>
        </w:rPr>
        <w:fldChar w:fldCharType="separate"/>
      </w:r>
      <w:r w:rsidRPr="006D622C">
        <w:rPr>
          <w:noProof/>
          <w:lang w:val="en-US"/>
        </w:rPr>
        <w:t>Coffman (2007, p. 396)</w:t>
      </w:r>
      <w:r w:rsidRPr="006D622C">
        <w:rPr>
          <w:lang w:val="en-US"/>
        </w:rPr>
        <w:fldChar w:fldCharType="end"/>
      </w:r>
      <w:r w:rsidRPr="006D622C">
        <w:rPr>
          <w:lang w:val="en-US"/>
        </w:rPr>
        <w:t xml:space="preserve"> argues that the events in question need to be similar to each other in order to count as relevant. What events count as rele</w:t>
      </w:r>
      <w:r w:rsidR="00171648" w:rsidRPr="006D622C">
        <w:rPr>
          <w:lang w:val="en-US"/>
        </w:rPr>
        <w:t xml:space="preserve">vantly similar varies from case to </w:t>
      </w:r>
      <w:r w:rsidRPr="006D622C">
        <w:rPr>
          <w:lang w:val="en-US"/>
        </w:rPr>
        <w:t>case. This is, of course, rather vague, but given that we are not trying to provide a reduct</w:t>
      </w:r>
      <w:r w:rsidR="00E61B7C" w:rsidRPr="006D622C">
        <w:rPr>
          <w:lang w:val="en-US"/>
        </w:rPr>
        <w:t>ive analysis of luck, but</w:t>
      </w:r>
      <w:r w:rsidRPr="006D622C">
        <w:rPr>
          <w:lang w:val="en-US"/>
        </w:rPr>
        <w:t xml:space="preserve"> a helpful elucidation of it, this is not a fatal problem. The modal account of luck, as it is stated by Pritchard, is already quite vague, but still useful. I would like to thank an anonymous reviewer of </w:t>
      </w:r>
      <w:r w:rsidRPr="006D622C">
        <w:rPr>
          <w:i/>
          <w:lang w:val="en-US"/>
        </w:rPr>
        <w:t>Synthese</w:t>
      </w:r>
      <w:r w:rsidRPr="006D622C">
        <w:rPr>
          <w:lang w:val="en-US"/>
        </w:rPr>
        <w:t xml:space="preserve"> for </w:t>
      </w:r>
      <w:r w:rsidR="00D73870" w:rsidRPr="006D622C">
        <w:rPr>
          <w:lang w:val="en-US"/>
        </w:rPr>
        <w:t>making me consider this issue.</w:t>
      </w:r>
    </w:p>
  </w:footnote>
  <w:footnote w:id="5">
    <w:p w:rsidR="003C0000" w:rsidRPr="003C0000" w:rsidRDefault="003C0000">
      <w:pPr>
        <w:pStyle w:val="Alaviitteenteksti"/>
        <w:rPr>
          <w:color w:val="FF0000"/>
          <w:lang w:val="en-US"/>
        </w:rPr>
      </w:pPr>
      <w:r w:rsidRPr="006D622C">
        <w:rPr>
          <w:rStyle w:val="Alaviitteenviite"/>
        </w:rPr>
        <w:footnoteRef/>
      </w:r>
      <w:r w:rsidRPr="006D622C">
        <w:rPr>
          <w:lang w:val="en-US"/>
        </w:rPr>
        <w:t xml:space="preserve"> See </w:t>
      </w:r>
      <w:r w:rsidRPr="006D622C">
        <w:rPr>
          <w:lang w:val="en-US"/>
        </w:rPr>
        <w:fldChar w:fldCharType="begin"/>
      </w:r>
      <w:r w:rsidR="00FF3D30">
        <w:rPr>
          <w:lang w:val="en-US"/>
        </w:rPr>
        <w:instrText xml:space="preserve"> ADDIN EN.CITE &lt;EndNote&gt;&lt;Cite AuthorYear="1"&gt;&lt;Author&gt;Williamson&lt;/Author&gt;&lt;Year&gt;2000&lt;/Year&gt;&lt;RecNum&gt;766&lt;/RecNum&gt;&lt;Pages&gt;101&lt;/Pages&gt;&lt;DisplayText&gt;Williamson (2000, p. 101)&lt;/DisplayText&gt;&lt;record&gt;&lt;rec-number&gt;766&lt;/rec-number&gt;&lt;foreign-keys&gt;&lt;key app="EN" db-id="0vpawwrfrtdxzge9z5uvtw9lxxsetrv5095d" timestamp="1420635867"&gt;766&lt;/key&gt;&lt;/foreign-keys&gt;&lt;ref-type name="Book"&gt;6&lt;/ref-type&gt;&lt;contributors&gt;&lt;authors&gt;&lt;author&gt;Williamson, T.&lt;/author&gt;&lt;/authors&gt;&lt;/contributors&gt;&lt;titles&gt;&lt;title&gt;Knowledge and its Limits&lt;/title&gt;&lt;/titles&gt;&lt;dates&gt;&lt;year&gt;2000&lt;/year&gt;&lt;/dates&gt;&lt;pub-location&gt;Oxford&lt;/pub-location&gt;&lt;publisher&gt;Oxford University Press&lt;/publisher&gt;&lt;urls&gt;&lt;/urls&gt;&lt;/record&gt;&lt;/Cite&gt;&lt;/EndNote&gt;</w:instrText>
      </w:r>
      <w:r w:rsidRPr="006D622C">
        <w:rPr>
          <w:lang w:val="en-US"/>
        </w:rPr>
        <w:fldChar w:fldCharType="separate"/>
      </w:r>
      <w:r w:rsidRPr="006D622C">
        <w:rPr>
          <w:noProof/>
          <w:lang w:val="en-US"/>
        </w:rPr>
        <w:t>Williamson (2000, p. 101)</w:t>
      </w:r>
      <w:r w:rsidRPr="006D622C">
        <w:rPr>
          <w:lang w:val="en-US"/>
        </w:rPr>
        <w:fldChar w:fldCharType="end"/>
      </w:r>
      <w:r w:rsidRPr="006D622C">
        <w:rPr>
          <w:lang w:val="en-US"/>
        </w:rPr>
        <w:t xml:space="preserve"> f</w:t>
      </w:r>
      <w:r w:rsidR="00970BB9" w:rsidRPr="006D622C">
        <w:rPr>
          <w:lang w:val="en-US"/>
        </w:rPr>
        <w:t>or an argument why the safety condition ne</w:t>
      </w:r>
      <w:r w:rsidR="00197727" w:rsidRPr="006D622C">
        <w:rPr>
          <w:lang w:val="en-US"/>
        </w:rPr>
        <w:t>eds to be of the globalized kind</w:t>
      </w:r>
      <w:r w:rsidR="00970BB9" w:rsidRPr="006D622C">
        <w:rPr>
          <w:lang w:val="en-US"/>
        </w:rPr>
        <w:t>.</w:t>
      </w:r>
    </w:p>
  </w:footnote>
  <w:footnote w:id="6">
    <w:p w:rsidR="001E6BB4" w:rsidRPr="006D622C" w:rsidRDefault="001E6BB4">
      <w:pPr>
        <w:pStyle w:val="Alaviitteenteksti"/>
        <w:rPr>
          <w:lang w:val="en-US"/>
        </w:rPr>
      </w:pPr>
      <w:r w:rsidRPr="006D622C">
        <w:rPr>
          <w:rStyle w:val="Alaviitteenviite"/>
        </w:rPr>
        <w:footnoteRef/>
      </w:r>
      <w:r w:rsidRPr="006D622C">
        <w:rPr>
          <w:lang w:val="en-US"/>
        </w:rPr>
        <w:t xml:space="preserve"> I would like to thank an anonymous reviewer of </w:t>
      </w:r>
      <w:r w:rsidRPr="006D622C">
        <w:rPr>
          <w:i/>
          <w:lang w:val="en-US"/>
        </w:rPr>
        <w:t>Synthese</w:t>
      </w:r>
      <w:r w:rsidRPr="006D622C">
        <w:rPr>
          <w:lang w:val="en-US"/>
        </w:rPr>
        <w:t xml:space="preserve"> for highlighting this fact.</w:t>
      </w:r>
    </w:p>
  </w:footnote>
  <w:footnote w:id="7">
    <w:p w:rsidR="0015093B" w:rsidRPr="0015093B" w:rsidRDefault="0015093B">
      <w:pPr>
        <w:pStyle w:val="Alaviitteenteksti"/>
        <w:rPr>
          <w:color w:val="FF0000"/>
          <w:lang w:val="en-US"/>
        </w:rPr>
      </w:pPr>
      <w:r w:rsidRPr="006D622C">
        <w:rPr>
          <w:rStyle w:val="Alaviitteenviite"/>
        </w:rPr>
        <w:footnoteRef/>
      </w:r>
      <w:r w:rsidRPr="006D622C">
        <w:rPr>
          <w:lang w:val="en-US"/>
        </w:rPr>
        <w:t xml:space="preserve"> </w:t>
      </w:r>
      <w:r w:rsidR="00C5138A" w:rsidRPr="006D622C">
        <w:rPr>
          <w:lang w:val="en-US"/>
        </w:rPr>
        <w:t>An a</w:t>
      </w:r>
      <w:r w:rsidRPr="006D622C">
        <w:rPr>
          <w:lang w:val="en-US"/>
        </w:rPr>
        <w:t xml:space="preserve">nonymous reviewer of </w:t>
      </w:r>
      <w:r w:rsidRPr="006D622C">
        <w:rPr>
          <w:i/>
          <w:lang w:val="en-US"/>
        </w:rPr>
        <w:t>Synthese</w:t>
      </w:r>
      <w:r w:rsidR="00C5138A" w:rsidRPr="006D622C">
        <w:rPr>
          <w:lang w:val="en-US"/>
        </w:rPr>
        <w:t xml:space="preserve"> encouraged me </w:t>
      </w:r>
      <w:r w:rsidRPr="006D622C">
        <w:rPr>
          <w:lang w:val="en-US"/>
        </w:rPr>
        <w:t>to motivate the globalized safety condition in greater detail.</w:t>
      </w:r>
      <w:r w:rsidR="00C5138A" w:rsidRPr="006D622C">
        <w:rPr>
          <w:lang w:val="en-US"/>
        </w:rPr>
        <w:t xml:space="preserve"> This section was substantially improved as a result. </w:t>
      </w:r>
    </w:p>
  </w:footnote>
  <w:footnote w:id="8">
    <w:p w:rsidR="00810870" w:rsidRPr="001619E1" w:rsidRDefault="00810870" w:rsidP="005E009E">
      <w:pPr>
        <w:pStyle w:val="Alaviitteenteksti"/>
        <w:jc w:val="both"/>
        <w:rPr>
          <w:lang w:val="en-US"/>
        </w:rPr>
      </w:pPr>
      <w:r>
        <w:rPr>
          <w:rStyle w:val="Alaviitteenviite"/>
        </w:rPr>
        <w:footnoteRef/>
      </w:r>
      <w:r w:rsidRPr="001619E1">
        <w:rPr>
          <w:lang w:val="en-US"/>
        </w:rPr>
        <w:t xml:space="preserve"> </w:t>
      </w:r>
      <w:r>
        <w:rPr>
          <w:lang w:val="en-US"/>
        </w:rPr>
        <w:t xml:space="preserve">According to </w:t>
      </w:r>
      <w:r>
        <w:rPr>
          <w:lang w:val="en-US"/>
        </w:rPr>
        <w:fldChar w:fldCharType="begin"/>
      </w:r>
      <w:r w:rsidR="00FF3D30">
        <w:rPr>
          <w:lang w:val="en-US"/>
        </w:rPr>
        <w:instrText xml:space="preserve"> ADDIN EN.CITE &lt;EndNote&gt;&lt;Cite AuthorYear="1"&gt;&lt;Author&gt;Pritchard&lt;/Author&gt;&lt;Year&gt;2012&lt;/Year&gt;&lt;RecNum&gt;385&lt;/RecNum&gt;&lt;Pages&gt;256-7&lt;/Pages&gt;&lt;DisplayText&gt;Pritchard (2012, pp. 256-257)&lt;/DisplayText&gt;&lt;record&gt;&lt;rec-number&gt;385&lt;/rec-number&gt;&lt;foreign-keys&gt;&lt;key app="EN" db-id="0vpawwrfrtdxzge9z5uvtw9lxxsetrv5095d" timestamp="1418724850"&gt;385&lt;/key&gt;&lt;/foreign-keys&gt;&lt;ref-type name="Journal Article"&gt;17&lt;/ref-type&gt;&lt;contributors&gt;&lt;authors&gt;&lt;author&gt;Pritchard, D.&lt;/author&gt;&lt;/authors&gt;&lt;/contributors&gt;&lt;titles&gt;&lt;title&gt;Anti-Luck Virtue Epistemology&lt;/title&gt;&lt;secondary-title&gt;Journal of Philosophy&lt;/secondary-title&gt;&lt;/titles&gt;&lt;periodical&gt;&lt;full-title&gt;Journal of Philosophy&lt;/full-title&gt;&lt;/periodical&gt;&lt;pages&gt;247-279&lt;/pages&gt;&lt;volume&gt;109&lt;/volume&gt;&lt;number&gt;3&lt;/number&gt;&lt;dates&gt;&lt;year&gt;2012&lt;/year&gt;&lt;pub-dates&gt;&lt;date&gt;Mar&lt;/date&gt;&lt;/pub-dates&gt;&lt;/dates&gt;&lt;isbn&gt;0022-362X&lt;/isbn&gt;&lt;accession-num&gt;WOS:000311002900002&lt;/accession-num&gt;&lt;urls&gt;&lt;related-urls&gt;&lt;url&gt;&amp;lt;Go to ISI&amp;gt;://WOS:000311002900002&lt;/url&gt;&lt;/related-urls&gt;&lt;/urls&gt;&lt;/record&gt;&lt;/Cite&gt;&lt;/EndNote&gt;</w:instrText>
      </w:r>
      <w:r>
        <w:rPr>
          <w:lang w:val="en-US"/>
        </w:rPr>
        <w:fldChar w:fldCharType="separate"/>
      </w:r>
      <w:r>
        <w:rPr>
          <w:noProof/>
          <w:lang w:val="en-US"/>
        </w:rPr>
        <w:t>Pritchard (2012, pp. 256-257)</w:t>
      </w:r>
      <w:r>
        <w:rPr>
          <w:lang w:val="en-US"/>
        </w:rPr>
        <w:fldChar w:fldCharType="end"/>
      </w:r>
      <w:r w:rsidR="0010778F">
        <w:rPr>
          <w:lang w:val="en-US"/>
        </w:rPr>
        <w:t>,</w:t>
      </w:r>
      <w:r>
        <w:rPr>
          <w:lang w:val="en-US"/>
        </w:rPr>
        <w:t xml:space="preserve"> the relevant set of propositions is adequately restricted by the basis of belief-formation that the subject has in the actual world. This feature of his view makes it even more important to provide an answer to the generality problem as it inflicts the safety condition. Crucially, Pritchard does not provide an account of how to individuate bases of </w:t>
      </w:r>
      <w:r w:rsidR="0010778F">
        <w:rPr>
          <w:lang w:val="en-US"/>
        </w:rPr>
        <w:t xml:space="preserve">belief </w:t>
      </w:r>
      <w:r>
        <w:rPr>
          <w:lang w:val="en-US"/>
        </w:rPr>
        <w:t xml:space="preserve">formation. </w:t>
      </w:r>
      <w:r>
        <w:rPr>
          <w:lang w:val="en-US"/>
        </w:rPr>
        <w:fldChar w:fldCharType="begin"/>
      </w:r>
      <w:r w:rsidR="00FF3D30">
        <w:rPr>
          <w:lang w:val="en-US"/>
        </w:rPr>
        <w:instrText xml:space="preserve"> ADDIN EN.CITE &lt;EndNote&gt;&lt;Cite AuthorYear="1"&gt;&lt;Author&gt;Williamson&lt;/Author&gt;&lt;Year&gt;2009&lt;/Year&gt;&lt;RecNum&gt;1465&lt;/RecNum&gt;&lt;Pages&gt;325&lt;/Pages&gt;&lt;DisplayText&gt;Williamson (2009, p. 325)&lt;/DisplayText&gt;&lt;record&gt;&lt;rec-number&gt;1465&lt;/rec-number&gt;&lt;foreign-keys&gt;&lt;key app="EN" db-id="0vpawwrfrtdxzge9z5uvtw9lxxsetrv5095d" timestamp="1424776500"&gt;1465&lt;/key&gt;&lt;/foreign-keys&gt;&lt;ref-type name="Book Section"&gt;5&lt;/ref-type&gt;&lt;contributors&gt;&lt;authors&gt;&lt;author&gt;Williamson, T.&lt;/author&gt;&lt;/authors&gt;&lt;secondary-authors&gt;&lt;author&gt;Greenough, P.&lt;/author&gt;&lt;author&gt;Pritchard, D.&lt;/author&gt;&lt;/secondary-authors&gt;&lt;/contributors&gt;&lt;titles&gt;&lt;title&gt;Reply to John Hawthorne and Maria Lasonen-Aarnio&lt;/title&gt;&lt;secondary-title&gt;Williamson on Knowledge&lt;/secondary-title&gt;&lt;/titles&gt;&lt;pages&gt;313-329&lt;/pages&gt;&lt;dates&gt;&lt;year&gt;2009&lt;/year&gt;&lt;/dates&gt;&lt;pub-location&gt;Oxford&lt;/pub-location&gt;&lt;publisher&gt;Oxford University Press&lt;/publisher&gt;&lt;urls&gt;&lt;/urls&gt;&lt;/record&gt;&lt;/Cite&gt;&lt;/EndNote&gt;</w:instrText>
      </w:r>
      <w:r>
        <w:rPr>
          <w:lang w:val="en-US"/>
        </w:rPr>
        <w:fldChar w:fldCharType="separate"/>
      </w:r>
      <w:r>
        <w:rPr>
          <w:noProof/>
          <w:lang w:val="en-US"/>
        </w:rPr>
        <w:t>Williamson (2009, p. 325)</w:t>
      </w:r>
      <w:r>
        <w:rPr>
          <w:lang w:val="en-US"/>
        </w:rPr>
        <w:fldChar w:fldCharType="end"/>
      </w:r>
      <w:r>
        <w:rPr>
          <w:lang w:val="en-US"/>
        </w:rPr>
        <w:t xml:space="preserve"> agrees that the relevant set of propositions cannot be adequately restricted solely in terms of the basis o</w:t>
      </w:r>
      <w:r w:rsidR="0010778F">
        <w:rPr>
          <w:lang w:val="en-US"/>
        </w:rPr>
        <w:t xml:space="preserve">f belief </w:t>
      </w:r>
      <w:r>
        <w:rPr>
          <w:lang w:val="en-US"/>
        </w:rPr>
        <w:t xml:space="preserve">formation that the subject has in the actual world. He claims that all of the relevant propositions have to </w:t>
      </w:r>
      <w:r w:rsidR="0010778F">
        <w:rPr>
          <w:lang w:val="en-US"/>
        </w:rPr>
        <w:t xml:space="preserve">be </w:t>
      </w:r>
      <w:r>
        <w:rPr>
          <w:lang w:val="en-US"/>
        </w:rPr>
        <w:t xml:space="preserve">“close” to each other. For </w:t>
      </w:r>
      <w:r w:rsidR="0010778F">
        <w:rPr>
          <w:lang w:val="en-US"/>
        </w:rPr>
        <w:t xml:space="preserve">a </w:t>
      </w:r>
      <w:r>
        <w:rPr>
          <w:lang w:val="en-US"/>
        </w:rPr>
        <w:t>critique of Williamson’s proposal see</w:t>
      </w:r>
      <w:r w:rsidR="00FF3D30">
        <w:rPr>
          <w:lang w:val="en-US"/>
        </w:rPr>
        <w:t xml:space="preserve"> </w:t>
      </w:r>
      <w:r w:rsidR="00FF3D30">
        <w:rPr>
          <w:lang w:val="en-US"/>
        </w:rPr>
        <w:fldChar w:fldCharType="begin"/>
      </w:r>
      <w:r w:rsidR="00AC63A6">
        <w:rPr>
          <w:lang w:val="en-US"/>
        </w:rPr>
        <w:instrText xml:space="preserve"> ADDIN EN.CITE &lt;EndNote&gt;&lt;Cite AuthorYear="1"&gt;&lt;Author&gt;Hirvelä&lt;/Author&gt;&lt;Year&gt;forthcoming&lt;/Year&gt;&lt;RecNum&gt;1683&lt;/RecNum&gt;&lt;DisplayText&gt;Hirvelä (forthcoming-a)&lt;/DisplayText&gt;&lt;record&gt;&lt;rec-number&gt;1683&lt;/rec-number&gt;&lt;foreign-keys&gt;&lt;key app="EN" db-id="0vpawwrfrtdxzge9z5uvtw9lxxsetrv5095d" timestamp="1500981631"&gt;1683&lt;/key&gt;&lt;/foreign-keys&gt;&lt;ref-type name="Journal Article"&gt;17&lt;/ref-type&gt;&lt;contributors&gt;&lt;authors&gt;&lt;author&gt;Hirvelä, J.&lt;/author&gt;&lt;/authors&gt;&lt;/contributors&gt;&lt;titles&gt;&lt;title&gt;Global Safety: How to Deal with Necessary Truths&lt;/title&gt;&lt;secondary-title&gt;Synthese&lt;/secondary-title&gt;&lt;/titles&gt;&lt;periodical&gt;&lt;full-title&gt;Synthese&lt;/full-title&gt;&lt;/periodical&gt;&lt;dates&gt;&lt;year&gt;forthcoming&lt;/year&gt;&lt;/dates&gt;&lt;urls&gt;&lt;/urls&gt;&lt;/record&gt;&lt;/Cite&gt;&lt;/EndNote&gt;</w:instrText>
      </w:r>
      <w:r w:rsidR="00FF3D30">
        <w:rPr>
          <w:lang w:val="en-US"/>
        </w:rPr>
        <w:fldChar w:fldCharType="separate"/>
      </w:r>
      <w:r w:rsidR="00AC63A6">
        <w:rPr>
          <w:noProof/>
          <w:lang w:val="en-US"/>
        </w:rPr>
        <w:t>Hirvelä (forthcoming-a)</w:t>
      </w:r>
      <w:r w:rsidR="00FF3D30">
        <w:rPr>
          <w:lang w:val="en-US"/>
        </w:rPr>
        <w:fldChar w:fldCharType="end"/>
      </w:r>
      <w:r>
        <w:rPr>
          <w:lang w:val="en-US"/>
        </w:rPr>
        <w:t xml:space="preserve">. </w:t>
      </w:r>
      <w:r>
        <w:rPr>
          <w:lang w:val="en-US"/>
        </w:rPr>
        <w:fldChar w:fldCharType="begin"/>
      </w:r>
      <w:r w:rsidR="00FF3D30">
        <w:rPr>
          <w:lang w:val="en-US"/>
        </w:rPr>
        <w:instrText xml:space="preserve"> ADDIN EN.CITE &lt;EndNote&gt;&lt;Cite AuthorYear="1"&gt;&lt;Author&gt;Sosa&lt;/Author&gt;&lt;Year&gt;2015&lt;/Year&gt;&lt;RecNum&gt;1503&lt;/RecNum&gt;&lt;DisplayText&gt;Sosa (2015)&lt;/DisplayText&gt;&lt;record&gt;&lt;rec-number&gt;1503&lt;/rec-number&gt;&lt;foreign-keys&gt;&lt;key app="EN" db-id="0vpawwrfrtdxzge9z5uvtw9lxxsetrv5095d" timestamp="1444990397"&gt;1503&lt;/key&gt;&lt;/foreign-keys&gt;&lt;ref-type name="Book"&gt;6&lt;/ref-type&gt;&lt;contributors&gt;&lt;authors&gt;&lt;author&gt;Sosa, E.&lt;/author&gt;&lt;/authors&gt;&lt;/contributors&gt;&lt;titles&gt;&lt;title&gt;Judgment and Agency&lt;/title&gt;&lt;/titles&gt;&lt;dates&gt;&lt;year&gt;2015&lt;/year&gt;&lt;/dates&gt;&lt;pub-location&gt;Oxford&lt;/pub-location&gt;&lt;publisher&gt;Oxford University Press&lt;/publisher&gt;&lt;urls&gt;&lt;/urls&gt;&lt;/record&gt;&lt;/Cite&gt;&lt;/EndNote&gt;</w:instrText>
      </w:r>
      <w:r>
        <w:rPr>
          <w:lang w:val="en-US"/>
        </w:rPr>
        <w:fldChar w:fldCharType="separate"/>
      </w:r>
      <w:r>
        <w:rPr>
          <w:noProof/>
          <w:lang w:val="en-US"/>
        </w:rPr>
        <w:t>Sosa (2015)</w:t>
      </w:r>
      <w:r>
        <w:rPr>
          <w:lang w:val="en-US"/>
        </w:rPr>
        <w:fldChar w:fldCharType="end"/>
      </w:r>
      <w:r>
        <w:rPr>
          <w:lang w:val="en-US"/>
        </w:rPr>
        <w:t xml:space="preserve"> advances also a globalized version of the safety condition, though he does not engage with the problem of how to restrict the relevant set of propositions in detail.</w:t>
      </w:r>
      <w:r w:rsidR="00826866">
        <w:rPr>
          <w:lang w:val="en-US"/>
        </w:rPr>
        <w:t xml:space="preserve"> For a critique of Sosa’s formulation of the safety condition, see </w:t>
      </w:r>
      <w:r w:rsidR="00826866">
        <w:rPr>
          <w:lang w:val="en-US"/>
        </w:rPr>
        <w:fldChar w:fldCharType="begin"/>
      </w:r>
      <w:r w:rsidR="00AC63A6">
        <w:rPr>
          <w:lang w:val="en-US"/>
        </w:rPr>
        <w:instrText xml:space="preserve"> ADDIN EN.CITE &lt;EndNote&gt;&lt;Cite AuthorYear="1"&gt;&lt;Author&gt;Hirvelä&lt;/Author&gt;&lt;Year&gt;forthcoming&lt;/Year&gt;&lt;RecNum&gt;1780&lt;/RecNum&gt;&lt;DisplayText&gt;Hirvelä (forthcoming-b)&lt;/DisplayText&gt;&lt;record&gt;&lt;rec-number&gt;1780&lt;/rec-number&gt;&lt;foreign-keys&gt;&lt;key app="EN" db-id="0vpawwrfrtdxzge9z5uvtw9lxxsetrv5095d" timestamp="1518162696"&gt;1780&lt;/key&gt;&lt;/foreign-keys&gt;&lt;ref-type name="Journal Article"&gt;17&lt;/ref-type&gt;&lt;contributors&gt;&lt;authors&gt;&lt;author&gt;Hirvelä, J.&lt;/author&gt;&lt;/authors&gt;&lt;/contributors&gt;&lt;titles&gt;&lt;title&gt;No Safe Haven For The Virtuous&lt;/title&gt;&lt;secondary-title&gt;Episteme&lt;/secondary-title&gt;&lt;/titles&gt;&lt;periodical&gt;&lt;full-title&gt;Episteme&lt;/full-title&gt;&lt;/periodical&gt;&lt;dates&gt;&lt;year&gt;forthcoming&lt;/year&gt;&lt;/dates&gt;&lt;urls&gt;&lt;/urls&gt;&lt;/record&gt;&lt;/Cite&gt;&lt;/EndNote&gt;</w:instrText>
      </w:r>
      <w:r w:rsidR="00826866">
        <w:rPr>
          <w:lang w:val="en-US"/>
        </w:rPr>
        <w:fldChar w:fldCharType="separate"/>
      </w:r>
      <w:r w:rsidR="00AC63A6">
        <w:rPr>
          <w:noProof/>
          <w:lang w:val="en-US"/>
        </w:rPr>
        <w:t>Hirvelä (forthcoming-b)</w:t>
      </w:r>
      <w:r w:rsidR="00826866">
        <w:rPr>
          <w:lang w:val="en-US"/>
        </w:rPr>
        <w:fldChar w:fldCharType="end"/>
      </w:r>
      <w:r w:rsidR="00826866">
        <w:rPr>
          <w:lang w:val="en-US"/>
        </w:rPr>
        <w:t>.</w:t>
      </w:r>
    </w:p>
  </w:footnote>
  <w:footnote w:id="9">
    <w:p w:rsidR="00810870" w:rsidRPr="0031380E" w:rsidRDefault="00810870" w:rsidP="005E009E">
      <w:pPr>
        <w:pStyle w:val="Alaviitteenteksti"/>
        <w:jc w:val="both"/>
        <w:rPr>
          <w:lang w:val="en-US"/>
        </w:rPr>
      </w:pPr>
      <w:r>
        <w:rPr>
          <w:rStyle w:val="Alaviitteenviite"/>
        </w:rPr>
        <w:footnoteRef/>
      </w:r>
      <w:r w:rsidRPr="0031380E">
        <w:rPr>
          <w:lang w:val="en-US"/>
        </w:rPr>
        <w:t xml:space="preserve"> This case appears originally in </w:t>
      </w:r>
      <w:r>
        <w:fldChar w:fldCharType="begin"/>
      </w:r>
      <w:r w:rsidR="00FF3D30">
        <w:rPr>
          <w:lang w:val="en-US"/>
        </w:rPr>
        <w:instrText xml:space="preserve"> ADDIN EN.CITE &lt;EndNote&gt;&lt;Cite AuthorYear="1"&gt;&lt;Author&gt;Goldman&lt;/Author&gt;&lt;Year&gt;1976&lt;/Year&gt;&lt;RecNum&gt;1223&lt;/RecNum&gt;&lt;DisplayText&gt;Goldman (1976)&lt;/DisplayText&gt;&lt;record&gt;&lt;rec-number&gt;1223&lt;/rec-number&gt;&lt;foreign-keys&gt;&lt;key app="EN" db-id="0vpawwrfrtdxzge9z5uvtw9lxxsetrv5095d" timestamp="1420637230"&gt;1223&lt;/key&gt;&lt;/foreign-keys&gt;&lt;ref-type name="Journal Article"&gt;17&lt;/ref-type&gt;&lt;contributors&gt;&lt;authors&gt;&lt;author&gt;Goldman, A.&lt;/author&gt;&lt;/authors&gt;&lt;/contributors&gt;&lt;titles&gt;&lt;title&gt;Discrimination and Perceptual Knowledge&lt;/title&gt;&lt;secondary-title&gt;Journal of Philosophy&lt;/secondary-title&gt;&lt;/titles&gt;&lt;periodical&gt;&lt;full-title&gt;Journal of Philosophy&lt;/full-title&gt;&lt;/periodical&gt;&lt;pages&gt;771-791&lt;/pages&gt;&lt;volume&gt;73&lt;/volume&gt;&lt;dates&gt;&lt;year&gt;1976&lt;/year&gt;&lt;/dates&gt;&lt;urls&gt;&lt;/urls&gt;&lt;/record&gt;&lt;/Cite&gt;&lt;/EndNote&gt;</w:instrText>
      </w:r>
      <w:r>
        <w:fldChar w:fldCharType="separate"/>
      </w:r>
      <w:r w:rsidRPr="0031380E">
        <w:rPr>
          <w:noProof/>
          <w:lang w:val="en-US"/>
        </w:rPr>
        <w:t>Goldman (1976)</w:t>
      </w:r>
      <w:r>
        <w:fldChar w:fldCharType="end"/>
      </w:r>
      <w:r w:rsidRPr="0031380E">
        <w:rPr>
          <w:lang w:val="en-US"/>
        </w:rPr>
        <w:t>, though he cre</w:t>
      </w:r>
      <w:r>
        <w:rPr>
          <w:lang w:val="en-US"/>
        </w:rPr>
        <w:t>dits Carl Ginet for it.</w:t>
      </w:r>
    </w:p>
  </w:footnote>
  <w:footnote w:id="10">
    <w:p w:rsidR="00810870" w:rsidRPr="008E3EB2" w:rsidRDefault="00810870" w:rsidP="00E300C9">
      <w:pPr>
        <w:pStyle w:val="Alaviitteenteksti"/>
        <w:jc w:val="both"/>
        <w:rPr>
          <w:lang w:val="en-US"/>
        </w:rPr>
      </w:pPr>
      <w:r>
        <w:rPr>
          <w:rStyle w:val="Alaviitteenviite"/>
        </w:rPr>
        <w:footnoteRef/>
      </w:r>
      <w:r w:rsidRPr="008E3EB2">
        <w:rPr>
          <w:lang w:val="en-US"/>
        </w:rPr>
        <w:t xml:space="preserve"> </w:t>
      </w:r>
      <w:r>
        <w:rPr>
          <w:lang w:val="en-US"/>
        </w:rPr>
        <w:fldChar w:fldCharType="begin"/>
      </w:r>
      <w:r>
        <w:rPr>
          <w:lang w:val="en-US"/>
        </w:rPr>
        <w:instrText xml:space="preserve"> ADDIN EN.CITE &lt;EndNote&gt;&lt;Cite AuthorYear="1"&gt;&lt;Author&gt;Palermos&lt;/Author&gt;&lt;Year&gt;2014&lt;/Year&gt;&lt;RecNum&gt;191&lt;/RecNum&gt;&lt;Pages&gt;1934&lt;/Pages&gt;&lt;DisplayText&gt;Palermos (2014, p. 1934)&lt;/DisplayText&gt;&lt;record&gt;&lt;rec-number&gt;191&lt;/rec-number&gt;&lt;foreign-keys&gt;&lt;key app="EN" db-id="0vpawwrfrtdxzge9z5uvtw9lxxsetrv5095d" timestamp="1418723977"&gt;191&lt;/key&gt;&lt;/foreign-keys&gt;&lt;ref-type name="Journal Article"&gt;17&lt;/ref-type&gt;&lt;contributors&gt;&lt;authors&gt;&lt;author&gt;Palermos, S. O.&lt;/author&gt;&lt;/authors&gt;&lt;/contributors&gt;&lt;titles&gt;&lt;title&gt;Knowledge and cognitive integration&lt;/title&gt;&lt;secondary-title&gt;Synthese&lt;/secondary-title&gt;&lt;/titles&gt;&lt;periodical&gt;&lt;full-title&gt;Synthese&lt;/full-title&gt;&lt;/periodical&gt;&lt;pages&gt;1931-1951&lt;/pages&gt;&lt;volume&gt;191&lt;/volume&gt;&lt;number&gt;8&lt;/number&gt;&lt;dates&gt;&lt;year&gt;2014&lt;/year&gt;&lt;pub-dates&gt;&lt;date&gt;May&lt;/date&gt;&lt;/pub-dates&gt;&lt;/dates&gt;&lt;isbn&gt;0039-7857&lt;/isbn&gt;&lt;accession-num&gt;WOS:000335505900018&lt;/accession-num&gt;&lt;urls&gt;&lt;related-urls&gt;&lt;url&gt;&amp;lt;Go to ISI&amp;gt;://WOS:000335505900018&lt;/url&gt;&lt;/related-urls&gt;&lt;/urls&gt;&lt;electronic-resource-num&gt;10.1007/s11229-013-0383-0&lt;/electronic-resource-num&gt;&lt;/record&gt;&lt;/Cite&gt;&lt;/EndNote&gt;</w:instrText>
      </w:r>
      <w:r>
        <w:rPr>
          <w:lang w:val="en-US"/>
        </w:rPr>
        <w:fldChar w:fldCharType="separate"/>
      </w:r>
      <w:r>
        <w:rPr>
          <w:noProof/>
          <w:lang w:val="en-US"/>
        </w:rPr>
        <w:t>Palermos (2014, p. 1934)</w:t>
      </w:r>
      <w:r>
        <w:rPr>
          <w:lang w:val="en-US"/>
        </w:rPr>
        <w:fldChar w:fldCharType="end"/>
      </w:r>
      <w:r>
        <w:rPr>
          <w:lang w:val="en-US"/>
        </w:rPr>
        <w:t xml:space="preserve"> argues that this kind of unreflective integration allows us to trust the deliverances of our cognitive abilities pro</w:t>
      </w:r>
      <w:r w:rsidR="0010606F">
        <w:rPr>
          <w:lang w:val="en-US"/>
        </w:rPr>
        <w:t>vided that we lack any reasons for negating</w:t>
      </w:r>
      <w:r>
        <w:rPr>
          <w:lang w:val="en-US"/>
        </w:rPr>
        <w:t xml:space="preserve"> our beliefs and that we are motivated to believe what is true.</w:t>
      </w:r>
    </w:p>
  </w:footnote>
  <w:footnote w:id="11">
    <w:p w:rsidR="00810870" w:rsidRPr="00B73A8A" w:rsidRDefault="00810870" w:rsidP="00E300C9">
      <w:pPr>
        <w:pStyle w:val="Alaviitteenteksti"/>
        <w:jc w:val="both"/>
        <w:rPr>
          <w:lang w:val="en-US"/>
        </w:rPr>
      </w:pPr>
      <w:r>
        <w:rPr>
          <w:rStyle w:val="Alaviitteenviite"/>
        </w:rPr>
        <w:footnoteRef/>
      </w:r>
      <w:r w:rsidRPr="00B73A8A">
        <w:rPr>
          <w:lang w:val="en-US"/>
        </w:rPr>
        <w:t xml:space="preserve"> According to the sensitivity condition a subject S</w:t>
      </w:r>
      <w:r>
        <w:rPr>
          <w:lang w:val="en-US"/>
        </w:rPr>
        <w:t xml:space="preserve">’s belief that </w:t>
      </w:r>
      <w:r>
        <w:rPr>
          <w:i/>
          <w:lang w:val="en-US"/>
        </w:rPr>
        <w:t>p</w:t>
      </w:r>
      <w:r>
        <w:rPr>
          <w:lang w:val="en-US"/>
        </w:rPr>
        <w:t xml:space="preserve"> is sensitive just in case if it were the case that not-</w:t>
      </w:r>
      <w:r>
        <w:rPr>
          <w:i/>
          <w:lang w:val="en-US"/>
        </w:rPr>
        <w:t>p</w:t>
      </w:r>
      <w:r>
        <w:rPr>
          <w:lang w:val="en-US"/>
        </w:rPr>
        <w:t xml:space="preserve"> S would not believe that </w:t>
      </w:r>
      <w:r>
        <w:rPr>
          <w:i/>
          <w:lang w:val="en-US"/>
        </w:rPr>
        <w:t>p</w:t>
      </w:r>
      <w:r>
        <w:rPr>
          <w:lang w:val="en-US"/>
        </w:rPr>
        <w:t>.</w:t>
      </w:r>
    </w:p>
  </w:footnote>
  <w:footnote w:id="12">
    <w:p w:rsidR="00810870" w:rsidRPr="00A16551" w:rsidRDefault="00810870" w:rsidP="00E300C9">
      <w:pPr>
        <w:pStyle w:val="Alaviitteenteksti"/>
        <w:jc w:val="both"/>
        <w:rPr>
          <w:lang w:val="en-US"/>
        </w:rPr>
      </w:pPr>
      <w:r>
        <w:rPr>
          <w:rStyle w:val="Alaviitteenviite"/>
        </w:rPr>
        <w:footnoteRef/>
      </w:r>
      <w:r>
        <w:rPr>
          <w:lang w:val="en-US"/>
        </w:rPr>
        <w:t xml:space="preserve"> </w:t>
      </w:r>
      <w:r>
        <w:rPr>
          <w:lang w:val="en-US"/>
        </w:rPr>
        <w:fldChar w:fldCharType="begin"/>
      </w:r>
      <w:r w:rsidR="00FF3D30">
        <w:rPr>
          <w:lang w:val="en-US"/>
        </w:rPr>
        <w:instrText xml:space="preserve"> ADDIN EN.CITE &lt;EndNote&gt;&lt;Cite AuthorYear="1"&gt;&lt;Author&gt;Clark&lt;/Author&gt;&lt;Year&gt;1998&lt;/Year&gt;&lt;RecNum&gt;1643&lt;/RecNum&gt;&lt;DisplayText&gt;Clark and Chalmers (1998)&lt;/DisplayText&gt;&lt;record&gt;&lt;rec-number&gt;1643&lt;/rec-number&gt;&lt;foreign-keys&gt;&lt;key app="EN" db-id="0vpawwrfrtdxzge9z5uvtw9lxxsetrv5095d" timestamp="1473755188"&gt;1643&lt;/key&gt;&lt;/foreign-keys&gt;&lt;ref-type name="Journal Article"&gt;17&lt;/ref-type&gt;&lt;contributors&gt;&lt;authors&gt;&lt;author&gt;Clark, A.&lt;/author&gt;&lt;author&gt;Chalmers, D. J.&lt;/author&gt;&lt;/authors&gt;&lt;/contributors&gt;&lt;titles&gt;&lt;title&gt;The Extended Mind&lt;/title&gt;&lt;secondary-title&gt;Analysis&lt;/secondary-title&gt;&lt;/titles&gt;&lt;periodical&gt;&lt;full-title&gt;Analysis&lt;/full-title&gt;&lt;/periodical&gt;&lt;pages&gt;7-19&lt;/pages&gt;&lt;volume&gt;58&lt;/volume&gt;&lt;number&gt;1&lt;/number&gt;&lt;dates&gt;&lt;year&gt;1998&lt;/year&gt;&lt;/dates&gt;&lt;urls&gt;&lt;/urls&gt;&lt;/record&gt;&lt;/Cite&gt;&lt;/EndNote&gt;</w:instrText>
      </w:r>
      <w:r>
        <w:rPr>
          <w:lang w:val="en-US"/>
        </w:rPr>
        <w:fldChar w:fldCharType="separate"/>
      </w:r>
      <w:r>
        <w:rPr>
          <w:noProof/>
          <w:lang w:val="en-US"/>
        </w:rPr>
        <w:t>Clark and Chalmers (1998)</w:t>
      </w:r>
      <w:r>
        <w:rPr>
          <w:lang w:val="en-US"/>
        </w:rPr>
        <w:fldChar w:fldCharType="end"/>
      </w:r>
      <w:r>
        <w:rPr>
          <w:lang w:val="en-US"/>
        </w:rPr>
        <w:t xml:space="preserve"> </w:t>
      </w:r>
      <w:r w:rsidR="009B365C">
        <w:rPr>
          <w:lang w:val="en-US"/>
        </w:rPr>
        <w:t>also offer</w:t>
      </w:r>
      <w:r>
        <w:rPr>
          <w:lang w:val="en-US"/>
        </w:rPr>
        <w:t xml:space="preserve"> a fourth condition, according to which the information in the notebook would have to have been consciously endorsed by Otto in the past, but suggest that this condition might be too stringent.</w:t>
      </w:r>
    </w:p>
  </w:footnote>
  <w:footnote w:id="13">
    <w:p w:rsidR="00810870" w:rsidRPr="00353270" w:rsidRDefault="00810870" w:rsidP="00E300C9">
      <w:pPr>
        <w:pStyle w:val="Alaviitteenteksti"/>
        <w:jc w:val="both"/>
        <w:rPr>
          <w:lang w:val="en-US"/>
        </w:rPr>
      </w:pPr>
      <w:r>
        <w:rPr>
          <w:rStyle w:val="Alaviitteenviite"/>
        </w:rPr>
        <w:footnoteRef/>
      </w:r>
      <w:r w:rsidRPr="00353270">
        <w:rPr>
          <w:lang w:val="en-US"/>
        </w:rPr>
        <w:t xml:space="preserve"> </w:t>
      </w:r>
      <w:r>
        <w:rPr>
          <w:lang w:val="en-US"/>
        </w:rPr>
        <w:t xml:space="preserve">In fact, many have argued that the trust and glue conditions are too weak, and fail to specify sufficient conditions for when cognition extends. See </w:t>
      </w:r>
      <w:r>
        <w:rPr>
          <w:lang w:val="en-US"/>
        </w:rPr>
        <w:fldChar w:fldCharType="begin"/>
      </w:r>
      <w:r w:rsidR="00FF3D30">
        <w:rPr>
          <w:lang w:val="en-US"/>
        </w:rPr>
        <w:instrText xml:space="preserve"> ADDIN EN.CITE &lt;EndNote&gt;&lt;Cite AuthorYear="1"&gt;&lt;Author&gt;Farkas&lt;/Author&gt;&lt;Year&gt;2012&lt;/Year&gt;&lt;RecNum&gt;1769&lt;/RecNum&gt;&lt;Pages&gt;444-4445&lt;/Pages&gt;&lt;DisplayText&gt;Farkas (2012, pp. 444-4445)&lt;/DisplayText&gt;&lt;record&gt;&lt;rec-number&gt;1769&lt;/rec-number&gt;&lt;foreign-keys&gt;&lt;key app="EN" db-id="0vpawwrfrtdxzge9z5uvtw9lxxsetrv5095d" timestamp="1511740081"&gt;1769&lt;/key&gt;&lt;/foreign-keys&gt;&lt;ref-type name="Journal Article"&gt;17&lt;/ref-type&gt;&lt;contributors&gt;&lt;authors&gt;&lt;author&gt;Farkas, K.&lt;/author&gt;&lt;/authors&gt;&lt;/contributors&gt;&lt;titles&gt;&lt;title&gt;Two Versions of the Extended Mind Thesis&lt;/title&gt;&lt;secondary-title&gt;Philosophia&lt;/secondary-title&gt;&lt;/titles&gt;&lt;periodical&gt;&lt;full-title&gt;Philosophia&lt;/full-title&gt;&lt;abbr-1&gt;Philosophia&lt;/abbr-1&gt;&lt;/periodical&gt;&lt;pages&gt;435-447&lt;/pages&gt;&lt;volume&gt;40&lt;/volume&gt;&lt;dates&gt;&lt;year&gt;2012&lt;/year&gt;&lt;/dates&gt;&lt;urls&gt;&lt;/urls&gt;&lt;/record&gt;&lt;/Cite&gt;&lt;/EndNote&gt;</w:instrText>
      </w:r>
      <w:r>
        <w:rPr>
          <w:lang w:val="en-US"/>
        </w:rPr>
        <w:fldChar w:fldCharType="separate"/>
      </w:r>
      <w:r>
        <w:rPr>
          <w:noProof/>
          <w:lang w:val="en-US"/>
        </w:rPr>
        <w:t>Farkas (2012, pp. 444-4445)</w:t>
      </w:r>
      <w:r>
        <w:rPr>
          <w:lang w:val="en-US"/>
        </w:rPr>
        <w:fldChar w:fldCharType="end"/>
      </w:r>
      <w:r>
        <w:rPr>
          <w:lang w:val="en-US"/>
        </w:rPr>
        <w:t xml:space="preserve"> and </w:t>
      </w:r>
      <w:r>
        <w:rPr>
          <w:lang w:val="en-US"/>
        </w:rPr>
        <w:fldChar w:fldCharType="begin"/>
      </w:r>
      <w:r w:rsidR="00FF3D30">
        <w:rPr>
          <w:lang w:val="en-US"/>
        </w:rPr>
        <w:instrText xml:space="preserve"> ADDIN EN.CITE &lt;EndNote&gt;&lt;Cite AuthorYear="1"&gt;&lt;Author&gt;Wikforss&lt;/Author&gt;&lt;Year&gt;2014&lt;/Year&gt;&lt;RecNum&gt;1763&lt;/RecNum&gt;&lt;Pages&gt;475&lt;/Pages&gt;&lt;DisplayText&gt;Wikforss (2014, p. 475)&lt;/DisplayText&gt;&lt;record&gt;&lt;rec-number&gt;1763&lt;/rec-number&gt;&lt;foreign-keys&gt;&lt;key app="EN" db-id="0vpawwrfrtdxzge9z5uvtw9lxxsetrv5095d" timestamp="1509740074"&gt;1763&lt;/key&gt;&lt;/foreign-keys&gt;&lt;ref-type name="Journal Article"&gt;17&lt;/ref-type&gt;&lt;contributors&gt;&lt;authors&gt;&lt;author&gt;Wikforss, Åsa&lt;/author&gt;&lt;/authors&gt;&lt;/contributors&gt;&lt;titles&gt;&lt;title&gt;EXTENDED BELIEF AND EXTENDED KNOWLEDGE&lt;/title&gt;&lt;secondary-title&gt;Philosophical Issues&lt;/secondary-title&gt;&lt;/titles&gt;&lt;periodical&gt;&lt;full-title&gt;Philosophical Issues&lt;/full-title&gt;&lt;/periodical&gt;&lt;pages&gt;460-481&lt;/pages&gt;&lt;volume&gt;24&lt;/volume&gt;&lt;number&gt;1&lt;/number&gt;&lt;dates&gt;&lt;year&gt;2014&lt;/year&gt;&lt;/dates&gt;&lt;isbn&gt;1758-2237&lt;/isbn&gt;&lt;urls&gt;&lt;related-urls&gt;&lt;url&gt;http://dx.doi.org/10.1111/phis.12043&lt;/url&gt;&lt;/related-urls&gt;&lt;/urls&gt;&lt;electronic-resource-num&gt;10.1111/phis.12043&lt;/electronic-resource-num&gt;&lt;/record&gt;&lt;/Cite&gt;&lt;/EndNote&gt;</w:instrText>
      </w:r>
      <w:r>
        <w:rPr>
          <w:lang w:val="en-US"/>
        </w:rPr>
        <w:fldChar w:fldCharType="separate"/>
      </w:r>
      <w:r>
        <w:rPr>
          <w:noProof/>
          <w:lang w:val="en-US"/>
        </w:rPr>
        <w:t>Wikforss (2014, p. 475)</w:t>
      </w:r>
      <w:r>
        <w:rPr>
          <w:lang w:val="en-US"/>
        </w:rPr>
        <w:fldChar w:fldCharType="end"/>
      </w:r>
      <w:r>
        <w:rPr>
          <w:lang w:val="en-US"/>
        </w:rPr>
        <w:t xml:space="preserve">. For </w:t>
      </w:r>
      <w:r w:rsidR="009B365C">
        <w:rPr>
          <w:lang w:val="en-US"/>
        </w:rPr>
        <w:t>a</w:t>
      </w:r>
      <w:r w:rsidR="00DB664D">
        <w:rPr>
          <w:lang w:val="en-US"/>
        </w:rPr>
        <w:t xml:space="preserve"> </w:t>
      </w:r>
      <w:r>
        <w:rPr>
          <w:lang w:val="en-US"/>
        </w:rPr>
        <w:t xml:space="preserve">critical assessment and discussion of attempts to confine cognition that do not resort to the trust and glue conditions, see </w:t>
      </w:r>
      <w:r>
        <w:rPr>
          <w:lang w:val="en-US"/>
        </w:rPr>
        <w:fldChar w:fldCharType="begin"/>
      </w:r>
      <w:r w:rsidR="00FF3D30">
        <w:rPr>
          <w:lang w:val="en-US"/>
        </w:rPr>
        <w:instrText xml:space="preserve"> ADDIN EN.CITE &lt;EndNote&gt;&lt;Cite AuthorYear="1"&gt;&lt;Author&gt;Allen-Hermanson&lt;/Author&gt;&lt;Year&gt;2013&lt;/Year&gt;&lt;RecNum&gt;1770&lt;/RecNum&gt;&lt;DisplayText&gt;Allen-Hermanson (2013)&lt;/DisplayText&gt;&lt;record&gt;&lt;rec-number&gt;1770&lt;/rec-number&gt;&lt;foreign-keys&gt;&lt;key app="EN" db-id="0vpawwrfrtdxzge9z5uvtw9lxxsetrv5095d" timestamp="1511740561"&gt;1770&lt;/key&gt;&lt;/foreign-keys&gt;&lt;ref-type name="Journal Article"&gt;17&lt;/ref-type&gt;&lt;contributors&gt;&lt;authors&gt;&lt;author&gt;Allen-Hermanson, S.&lt;/author&gt;&lt;/authors&gt;&lt;/contributors&gt;&lt;titles&gt;&lt;title&gt;Superdupersizing the mind: extended cognition and the persistence of cognitive bloat&lt;/title&gt;&lt;secondary-title&gt;Philosophical Studies&lt;/secondary-title&gt;&lt;/titles&gt;&lt;periodical&gt;&lt;full-title&gt;Philosophical Studies&lt;/full-title&gt;&lt;/periodical&gt;&lt;pages&gt;791-806&lt;/pages&gt;&lt;volume&gt;164&lt;/volume&gt;&lt;dates&gt;&lt;year&gt;2013&lt;/year&gt;&lt;/dates&gt;&lt;urls&gt;&lt;/urls&gt;&lt;/record&gt;&lt;/Cite&gt;&lt;/EndNote&gt;</w:instrText>
      </w:r>
      <w:r>
        <w:rPr>
          <w:lang w:val="en-US"/>
        </w:rPr>
        <w:fldChar w:fldCharType="separate"/>
      </w:r>
      <w:r>
        <w:rPr>
          <w:noProof/>
          <w:lang w:val="en-US"/>
        </w:rPr>
        <w:t>Allen-Hermanson (2013)</w:t>
      </w:r>
      <w:r>
        <w:rPr>
          <w:lang w:val="en-US"/>
        </w:rPr>
        <w:fldChar w:fldCharType="end"/>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C6BF7"/>
    <w:multiLevelType w:val="hybridMultilevel"/>
    <w:tmpl w:val="BFFCA332"/>
    <w:lvl w:ilvl="0" w:tplc="63703C80">
      <w:start w:val="1"/>
      <w:numFmt w:val="lowerRoman"/>
      <w:lvlText w:val="(%1)"/>
      <w:lvlJc w:val="left"/>
      <w:pPr>
        <w:ind w:left="1080" w:hanging="72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E3F7B"/>
    <w:multiLevelType w:val="hybridMultilevel"/>
    <w:tmpl w:val="133E9E82"/>
    <w:lvl w:ilvl="0" w:tplc="8C341B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E677CC"/>
    <w:multiLevelType w:val="hybridMultilevel"/>
    <w:tmpl w:val="80001084"/>
    <w:lvl w:ilvl="0" w:tplc="63AE67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C7701"/>
    <w:multiLevelType w:val="hybridMultilevel"/>
    <w:tmpl w:val="ADCE43B8"/>
    <w:lvl w:ilvl="0" w:tplc="30D001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90FBE"/>
    <w:multiLevelType w:val="hybridMultilevel"/>
    <w:tmpl w:val="E03A8CB6"/>
    <w:lvl w:ilvl="0" w:tplc="5072B2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06160C"/>
    <w:multiLevelType w:val="hybridMultilevel"/>
    <w:tmpl w:val="C068F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pawwrfrtdxzge9z5uvtw9lxxsetrv5095d&quot;&gt;My EndNote Library&lt;record-ids&gt;&lt;item&gt;8&lt;/item&gt;&lt;item&gt;109&lt;/item&gt;&lt;item&gt;191&lt;/item&gt;&lt;item&gt;368&lt;/item&gt;&lt;item&gt;385&lt;/item&gt;&lt;item&gt;430&lt;/item&gt;&lt;item&gt;438&lt;/item&gt;&lt;item&gt;448&lt;/item&gt;&lt;item&gt;620&lt;/item&gt;&lt;item&gt;751&lt;/item&gt;&lt;item&gt;754&lt;/item&gt;&lt;item&gt;757&lt;/item&gt;&lt;item&gt;764&lt;/item&gt;&lt;item&gt;766&lt;/item&gt;&lt;item&gt;917&lt;/item&gt;&lt;item&gt;1023&lt;/item&gt;&lt;item&gt;1223&lt;/item&gt;&lt;item&gt;1289&lt;/item&gt;&lt;item&gt;1465&lt;/item&gt;&lt;item&gt;1485&lt;/item&gt;&lt;item&gt;1503&lt;/item&gt;&lt;item&gt;1518&lt;/item&gt;&lt;item&gt;1520&lt;/item&gt;&lt;item&gt;1639&lt;/item&gt;&lt;item&gt;1643&lt;/item&gt;&lt;item&gt;1682&lt;/item&gt;&lt;item&gt;1683&lt;/item&gt;&lt;item&gt;1690&lt;/item&gt;&lt;item&gt;1703&lt;/item&gt;&lt;item&gt;1763&lt;/item&gt;&lt;item&gt;1764&lt;/item&gt;&lt;item&gt;1765&lt;/item&gt;&lt;item&gt;1766&lt;/item&gt;&lt;item&gt;1768&lt;/item&gt;&lt;item&gt;1769&lt;/item&gt;&lt;item&gt;1770&lt;/item&gt;&lt;item&gt;1771&lt;/item&gt;&lt;item&gt;1780&lt;/item&gt;&lt;/record-ids&gt;&lt;/item&gt;&lt;/Libraries&gt;"/>
  </w:docVars>
  <w:rsids>
    <w:rsidRoot w:val="00481699"/>
    <w:rsid w:val="00000606"/>
    <w:rsid w:val="00007D0E"/>
    <w:rsid w:val="00016870"/>
    <w:rsid w:val="00021F17"/>
    <w:rsid w:val="00042C9A"/>
    <w:rsid w:val="00056EFC"/>
    <w:rsid w:val="00077FF9"/>
    <w:rsid w:val="00083DBD"/>
    <w:rsid w:val="000A038E"/>
    <w:rsid w:val="000B58D9"/>
    <w:rsid w:val="000C339D"/>
    <w:rsid w:val="000C6787"/>
    <w:rsid w:val="000E1BA6"/>
    <w:rsid w:val="00101A59"/>
    <w:rsid w:val="00104051"/>
    <w:rsid w:val="0010606F"/>
    <w:rsid w:val="0010778F"/>
    <w:rsid w:val="00113E3A"/>
    <w:rsid w:val="0011612D"/>
    <w:rsid w:val="0011721B"/>
    <w:rsid w:val="001318C1"/>
    <w:rsid w:val="00132CFA"/>
    <w:rsid w:val="00141A6F"/>
    <w:rsid w:val="0015029D"/>
    <w:rsid w:val="0015093B"/>
    <w:rsid w:val="001512F5"/>
    <w:rsid w:val="001619E1"/>
    <w:rsid w:val="00171648"/>
    <w:rsid w:val="0017390D"/>
    <w:rsid w:val="001879F4"/>
    <w:rsid w:val="00195F46"/>
    <w:rsid w:val="00197727"/>
    <w:rsid w:val="001C01E7"/>
    <w:rsid w:val="001C1338"/>
    <w:rsid w:val="001C5186"/>
    <w:rsid w:val="001D6DE3"/>
    <w:rsid w:val="001E6BB4"/>
    <w:rsid w:val="001F3B88"/>
    <w:rsid w:val="001F7488"/>
    <w:rsid w:val="002132D2"/>
    <w:rsid w:val="00224813"/>
    <w:rsid w:val="00224C18"/>
    <w:rsid w:val="00225F89"/>
    <w:rsid w:val="00234E1B"/>
    <w:rsid w:val="002368CE"/>
    <w:rsid w:val="00242DF4"/>
    <w:rsid w:val="00243462"/>
    <w:rsid w:val="0024469C"/>
    <w:rsid w:val="002771EF"/>
    <w:rsid w:val="00286311"/>
    <w:rsid w:val="0029561B"/>
    <w:rsid w:val="002A5481"/>
    <w:rsid w:val="002B20BF"/>
    <w:rsid w:val="002B3C21"/>
    <w:rsid w:val="002B69A8"/>
    <w:rsid w:val="002C00E5"/>
    <w:rsid w:val="002C264D"/>
    <w:rsid w:val="002D31EC"/>
    <w:rsid w:val="002D3EBE"/>
    <w:rsid w:val="002E37DA"/>
    <w:rsid w:val="00302F56"/>
    <w:rsid w:val="00307470"/>
    <w:rsid w:val="00310BA5"/>
    <w:rsid w:val="0031380E"/>
    <w:rsid w:val="00317D0B"/>
    <w:rsid w:val="00353270"/>
    <w:rsid w:val="003547D0"/>
    <w:rsid w:val="003552B6"/>
    <w:rsid w:val="003553D9"/>
    <w:rsid w:val="00363053"/>
    <w:rsid w:val="00363535"/>
    <w:rsid w:val="00366D58"/>
    <w:rsid w:val="00373BA7"/>
    <w:rsid w:val="0039145E"/>
    <w:rsid w:val="00391B0D"/>
    <w:rsid w:val="003A3E84"/>
    <w:rsid w:val="003C0000"/>
    <w:rsid w:val="003C1DFF"/>
    <w:rsid w:val="003C31A0"/>
    <w:rsid w:val="003E0B13"/>
    <w:rsid w:val="003F0D5B"/>
    <w:rsid w:val="003F5CFF"/>
    <w:rsid w:val="004016AC"/>
    <w:rsid w:val="00402EDA"/>
    <w:rsid w:val="004031A5"/>
    <w:rsid w:val="00406353"/>
    <w:rsid w:val="00407B57"/>
    <w:rsid w:val="00420BE7"/>
    <w:rsid w:val="00426B45"/>
    <w:rsid w:val="00426CAB"/>
    <w:rsid w:val="00431A2D"/>
    <w:rsid w:val="0044128C"/>
    <w:rsid w:val="00442EB6"/>
    <w:rsid w:val="00451DFC"/>
    <w:rsid w:val="00453F89"/>
    <w:rsid w:val="0045484F"/>
    <w:rsid w:val="00475A0D"/>
    <w:rsid w:val="00481699"/>
    <w:rsid w:val="004861AC"/>
    <w:rsid w:val="004A619F"/>
    <w:rsid w:val="004C2818"/>
    <w:rsid w:val="004C3D04"/>
    <w:rsid w:val="004D1A4D"/>
    <w:rsid w:val="004D1F19"/>
    <w:rsid w:val="004E0B3B"/>
    <w:rsid w:val="004F6054"/>
    <w:rsid w:val="00505A91"/>
    <w:rsid w:val="00513DE7"/>
    <w:rsid w:val="0052698F"/>
    <w:rsid w:val="00560F7E"/>
    <w:rsid w:val="005812DE"/>
    <w:rsid w:val="005A240B"/>
    <w:rsid w:val="005A3414"/>
    <w:rsid w:val="005A5A95"/>
    <w:rsid w:val="005E009E"/>
    <w:rsid w:val="005E4E67"/>
    <w:rsid w:val="005F5575"/>
    <w:rsid w:val="00615991"/>
    <w:rsid w:val="00631D38"/>
    <w:rsid w:val="00633F01"/>
    <w:rsid w:val="006422ED"/>
    <w:rsid w:val="00680CFA"/>
    <w:rsid w:val="00682B1D"/>
    <w:rsid w:val="0069692D"/>
    <w:rsid w:val="006D622C"/>
    <w:rsid w:val="006E23EF"/>
    <w:rsid w:val="006E3741"/>
    <w:rsid w:val="006F1B89"/>
    <w:rsid w:val="006F6A10"/>
    <w:rsid w:val="007063AB"/>
    <w:rsid w:val="0071406A"/>
    <w:rsid w:val="00721112"/>
    <w:rsid w:val="00766798"/>
    <w:rsid w:val="00771E5A"/>
    <w:rsid w:val="0077566B"/>
    <w:rsid w:val="007767E1"/>
    <w:rsid w:val="00776D19"/>
    <w:rsid w:val="0078704A"/>
    <w:rsid w:val="00792921"/>
    <w:rsid w:val="00797CB0"/>
    <w:rsid w:val="007A71F3"/>
    <w:rsid w:val="007B4E05"/>
    <w:rsid w:val="007B5EE6"/>
    <w:rsid w:val="007B5F51"/>
    <w:rsid w:val="007D1D33"/>
    <w:rsid w:val="007E0FC2"/>
    <w:rsid w:val="007F3078"/>
    <w:rsid w:val="00803C49"/>
    <w:rsid w:val="00810870"/>
    <w:rsid w:val="00810EFE"/>
    <w:rsid w:val="00815044"/>
    <w:rsid w:val="0082629B"/>
    <w:rsid w:val="00826866"/>
    <w:rsid w:val="00827B87"/>
    <w:rsid w:val="008305D7"/>
    <w:rsid w:val="008327C9"/>
    <w:rsid w:val="00843368"/>
    <w:rsid w:val="0085047A"/>
    <w:rsid w:val="00865A97"/>
    <w:rsid w:val="00871C77"/>
    <w:rsid w:val="008819E7"/>
    <w:rsid w:val="0088396B"/>
    <w:rsid w:val="008A6A9C"/>
    <w:rsid w:val="008A730B"/>
    <w:rsid w:val="008C3ECB"/>
    <w:rsid w:val="008D1A2A"/>
    <w:rsid w:val="008D2B82"/>
    <w:rsid w:val="008D3F46"/>
    <w:rsid w:val="008E3EB2"/>
    <w:rsid w:val="008F7E3E"/>
    <w:rsid w:val="009016DA"/>
    <w:rsid w:val="009149CD"/>
    <w:rsid w:val="00917823"/>
    <w:rsid w:val="00922CA9"/>
    <w:rsid w:val="009359A2"/>
    <w:rsid w:val="009435DB"/>
    <w:rsid w:val="009524ED"/>
    <w:rsid w:val="00953C55"/>
    <w:rsid w:val="00954529"/>
    <w:rsid w:val="00961CE3"/>
    <w:rsid w:val="00970BB9"/>
    <w:rsid w:val="00975B1B"/>
    <w:rsid w:val="00985378"/>
    <w:rsid w:val="009932CF"/>
    <w:rsid w:val="00995388"/>
    <w:rsid w:val="009953F8"/>
    <w:rsid w:val="009A0028"/>
    <w:rsid w:val="009A1322"/>
    <w:rsid w:val="009A6520"/>
    <w:rsid w:val="009B365C"/>
    <w:rsid w:val="009B7E8C"/>
    <w:rsid w:val="009C2B08"/>
    <w:rsid w:val="009C5E99"/>
    <w:rsid w:val="009D0F74"/>
    <w:rsid w:val="009D34DC"/>
    <w:rsid w:val="009D3D00"/>
    <w:rsid w:val="009E37A6"/>
    <w:rsid w:val="009F5A1F"/>
    <w:rsid w:val="00A043A0"/>
    <w:rsid w:val="00A129F1"/>
    <w:rsid w:val="00A16551"/>
    <w:rsid w:val="00A26F78"/>
    <w:rsid w:val="00A55EA8"/>
    <w:rsid w:val="00A62FBD"/>
    <w:rsid w:val="00A6785D"/>
    <w:rsid w:val="00A67DEE"/>
    <w:rsid w:val="00A8369F"/>
    <w:rsid w:val="00A95336"/>
    <w:rsid w:val="00A97480"/>
    <w:rsid w:val="00AA1CA9"/>
    <w:rsid w:val="00AB530D"/>
    <w:rsid w:val="00AB7919"/>
    <w:rsid w:val="00AC4B39"/>
    <w:rsid w:val="00AC63A6"/>
    <w:rsid w:val="00AD0346"/>
    <w:rsid w:val="00AF69B7"/>
    <w:rsid w:val="00AF752A"/>
    <w:rsid w:val="00B011DC"/>
    <w:rsid w:val="00B25C5D"/>
    <w:rsid w:val="00B3246A"/>
    <w:rsid w:val="00B32BB3"/>
    <w:rsid w:val="00B37AFC"/>
    <w:rsid w:val="00B51234"/>
    <w:rsid w:val="00B560BA"/>
    <w:rsid w:val="00B61E37"/>
    <w:rsid w:val="00B66EA3"/>
    <w:rsid w:val="00B73A8A"/>
    <w:rsid w:val="00BA0D49"/>
    <w:rsid w:val="00BA2482"/>
    <w:rsid w:val="00BA5C13"/>
    <w:rsid w:val="00BC4266"/>
    <w:rsid w:val="00BD0BAB"/>
    <w:rsid w:val="00BD527D"/>
    <w:rsid w:val="00BD5D01"/>
    <w:rsid w:val="00BD7EB0"/>
    <w:rsid w:val="00BF40F3"/>
    <w:rsid w:val="00BF42C2"/>
    <w:rsid w:val="00BF6E99"/>
    <w:rsid w:val="00C11D1C"/>
    <w:rsid w:val="00C11E27"/>
    <w:rsid w:val="00C16205"/>
    <w:rsid w:val="00C21B4B"/>
    <w:rsid w:val="00C24B2E"/>
    <w:rsid w:val="00C5138A"/>
    <w:rsid w:val="00C573D1"/>
    <w:rsid w:val="00C800C7"/>
    <w:rsid w:val="00CA1167"/>
    <w:rsid w:val="00CA5F7E"/>
    <w:rsid w:val="00CC0674"/>
    <w:rsid w:val="00CC0ABF"/>
    <w:rsid w:val="00CD5870"/>
    <w:rsid w:val="00CD73D6"/>
    <w:rsid w:val="00CE19C2"/>
    <w:rsid w:val="00CF29E1"/>
    <w:rsid w:val="00CF4485"/>
    <w:rsid w:val="00CF7431"/>
    <w:rsid w:val="00D02915"/>
    <w:rsid w:val="00D0374F"/>
    <w:rsid w:val="00D30AA0"/>
    <w:rsid w:val="00D43918"/>
    <w:rsid w:val="00D45991"/>
    <w:rsid w:val="00D534B1"/>
    <w:rsid w:val="00D57A25"/>
    <w:rsid w:val="00D66FA1"/>
    <w:rsid w:val="00D67F44"/>
    <w:rsid w:val="00D73870"/>
    <w:rsid w:val="00D75B07"/>
    <w:rsid w:val="00D85A98"/>
    <w:rsid w:val="00D85B82"/>
    <w:rsid w:val="00D92991"/>
    <w:rsid w:val="00DA0444"/>
    <w:rsid w:val="00DA1C96"/>
    <w:rsid w:val="00DA6AA1"/>
    <w:rsid w:val="00DA6DE4"/>
    <w:rsid w:val="00DB664D"/>
    <w:rsid w:val="00DC3FF9"/>
    <w:rsid w:val="00DC46D8"/>
    <w:rsid w:val="00DC5B33"/>
    <w:rsid w:val="00DC7379"/>
    <w:rsid w:val="00DC750D"/>
    <w:rsid w:val="00DD4ECC"/>
    <w:rsid w:val="00DE46AF"/>
    <w:rsid w:val="00DF08D4"/>
    <w:rsid w:val="00E04BC9"/>
    <w:rsid w:val="00E12D2E"/>
    <w:rsid w:val="00E25994"/>
    <w:rsid w:val="00E300C9"/>
    <w:rsid w:val="00E31A18"/>
    <w:rsid w:val="00E3794A"/>
    <w:rsid w:val="00E461B0"/>
    <w:rsid w:val="00E557BB"/>
    <w:rsid w:val="00E61B7C"/>
    <w:rsid w:val="00E76FA2"/>
    <w:rsid w:val="00E83EF9"/>
    <w:rsid w:val="00E851E9"/>
    <w:rsid w:val="00E870E3"/>
    <w:rsid w:val="00E904DF"/>
    <w:rsid w:val="00E931D8"/>
    <w:rsid w:val="00EA3425"/>
    <w:rsid w:val="00EC69B7"/>
    <w:rsid w:val="00EC7028"/>
    <w:rsid w:val="00ED3B1B"/>
    <w:rsid w:val="00ED5E45"/>
    <w:rsid w:val="00EE0C54"/>
    <w:rsid w:val="00EE4582"/>
    <w:rsid w:val="00F00DF3"/>
    <w:rsid w:val="00F01186"/>
    <w:rsid w:val="00F32CBB"/>
    <w:rsid w:val="00F4624C"/>
    <w:rsid w:val="00F66690"/>
    <w:rsid w:val="00F7133B"/>
    <w:rsid w:val="00F73A14"/>
    <w:rsid w:val="00F871F5"/>
    <w:rsid w:val="00F92A6B"/>
    <w:rsid w:val="00FB20A0"/>
    <w:rsid w:val="00FB387F"/>
    <w:rsid w:val="00FC26FC"/>
    <w:rsid w:val="00FC77C4"/>
    <w:rsid w:val="00FD63DA"/>
    <w:rsid w:val="00FF3D30"/>
    <w:rsid w:val="00FF4B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42C9A"/>
    <w:rPr>
      <w:rFonts w:ascii="Times New Roman" w:hAnsi="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BC9"/>
    <w:pPr>
      <w:ind w:left="720"/>
      <w:contextualSpacing/>
    </w:pPr>
  </w:style>
  <w:style w:type="paragraph" w:customStyle="1" w:styleId="EndNoteBibliographyTitle">
    <w:name w:val="EndNote Bibliography Title"/>
    <w:basedOn w:val="Normaali"/>
    <w:link w:val="EndNoteBibliographyTitleChar"/>
    <w:rsid w:val="00D57A25"/>
    <w:pPr>
      <w:spacing w:after="0"/>
      <w:jc w:val="center"/>
    </w:pPr>
    <w:rPr>
      <w:rFonts w:cs="Times New Roman"/>
      <w:noProof/>
      <w:lang w:val="en-US"/>
    </w:rPr>
  </w:style>
  <w:style w:type="character" w:customStyle="1" w:styleId="EndNoteBibliographyTitleChar">
    <w:name w:val="EndNote Bibliography Title Char"/>
    <w:basedOn w:val="Kappaleenoletusfontti"/>
    <w:link w:val="EndNoteBibliographyTitle"/>
    <w:rsid w:val="00D57A25"/>
    <w:rPr>
      <w:rFonts w:ascii="Times New Roman" w:hAnsi="Times New Roman" w:cs="Times New Roman"/>
      <w:noProof/>
      <w:lang w:val="en-US"/>
    </w:rPr>
  </w:style>
  <w:style w:type="paragraph" w:customStyle="1" w:styleId="EndNoteBibliography">
    <w:name w:val="EndNote Bibliography"/>
    <w:basedOn w:val="Normaali"/>
    <w:link w:val="EndNoteBibliographyChar"/>
    <w:rsid w:val="00D57A25"/>
    <w:pPr>
      <w:spacing w:line="240" w:lineRule="auto"/>
      <w:jc w:val="both"/>
    </w:pPr>
    <w:rPr>
      <w:rFonts w:cs="Times New Roman"/>
      <w:noProof/>
      <w:lang w:val="en-US"/>
    </w:rPr>
  </w:style>
  <w:style w:type="character" w:customStyle="1" w:styleId="EndNoteBibliographyChar">
    <w:name w:val="EndNote Bibliography Char"/>
    <w:basedOn w:val="Kappaleenoletusfontti"/>
    <w:link w:val="EndNoteBibliography"/>
    <w:rsid w:val="00D57A25"/>
    <w:rPr>
      <w:rFonts w:ascii="Times New Roman" w:hAnsi="Times New Roman" w:cs="Times New Roman"/>
      <w:noProof/>
      <w:lang w:val="en-US"/>
    </w:rPr>
  </w:style>
  <w:style w:type="paragraph" w:styleId="Alaviitteenteksti">
    <w:name w:val="footnote text"/>
    <w:basedOn w:val="Normaali"/>
    <w:link w:val="AlaviitteentekstiChar"/>
    <w:uiPriority w:val="99"/>
    <w:semiHidden/>
    <w:unhideWhenUsed/>
    <w:rsid w:val="0031380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1380E"/>
    <w:rPr>
      <w:rFonts w:ascii="Times New Roman" w:hAnsi="Times New Roman"/>
      <w:sz w:val="20"/>
      <w:szCs w:val="20"/>
    </w:rPr>
  </w:style>
  <w:style w:type="character" w:styleId="Alaviitteenviite">
    <w:name w:val="footnote reference"/>
    <w:basedOn w:val="Kappaleenoletusfontti"/>
    <w:uiPriority w:val="99"/>
    <w:semiHidden/>
    <w:unhideWhenUsed/>
    <w:rsid w:val="0031380E"/>
    <w:rPr>
      <w:vertAlign w:val="superscript"/>
    </w:rPr>
  </w:style>
  <w:style w:type="paragraph" w:styleId="Seliteteksti">
    <w:name w:val="Balloon Text"/>
    <w:basedOn w:val="Normaali"/>
    <w:link w:val="SelitetekstiChar"/>
    <w:uiPriority w:val="99"/>
    <w:semiHidden/>
    <w:unhideWhenUsed/>
    <w:rsid w:val="001619E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619E1"/>
    <w:rPr>
      <w:rFonts w:ascii="Tahoma" w:hAnsi="Tahoma" w:cs="Tahoma"/>
      <w:sz w:val="16"/>
      <w:szCs w:val="16"/>
    </w:rPr>
  </w:style>
  <w:style w:type="paragraph" w:styleId="Yltunniste">
    <w:name w:val="header"/>
    <w:basedOn w:val="Normaali"/>
    <w:link w:val="YltunnisteChar"/>
    <w:uiPriority w:val="99"/>
    <w:unhideWhenUsed/>
    <w:rsid w:val="00BF40F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F40F3"/>
    <w:rPr>
      <w:rFonts w:ascii="Times New Roman" w:hAnsi="Times New Roman"/>
    </w:rPr>
  </w:style>
  <w:style w:type="paragraph" w:styleId="Alatunniste">
    <w:name w:val="footer"/>
    <w:basedOn w:val="Normaali"/>
    <w:link w:val="AlatunnisteChar"/>
    <w:uiPriority w:val="99"/>
    <w:unhideWhenUsed/>
    <w:rsid w:val="00BF40F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F40F3"/>
    <w:rPr>
      <w:rFonts w:ascii="Times New Roman" w:hAnsi="Times New Roman"/>
    </w:rPr>
  </w:style>
  <w:style w:type="character" w:styleId="Hyperlinkki">
    <w:name w:val="Hyperlink"/>
    <w:basedOn w:val="Kappaleenoletusfontti"/>
    <w:uiPriority w:val="99"/>
    <w:unhideWhenUsed/>
    <w:rsid w:val="00BF6E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42C9A"/>
    <w:rPr>
      <w:rFonts w:ascii="Times New Roman" w:hAnsi="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04BC9"/>
    <w:pPr>
      <w:ind w:left="720"/>
      <w:contextualSpacing/>
    </w:pPr>
  </w:style>
  <w:style w:type="paragraph" w:customStyle="1" w:styleId="EndNoteBibliographyTitle">
    <w:name w:val="EndNote Bibliography Title"/>
    <w:basedOn w:val="Normaali"/>
    <w:link w:val="EndNoteBibliographyTitleChar"/>
    <w:rsid w:val="00D57A25"/>
    <w:pPr>
      <w:spacing w:after="0"/>
      <w:jc w:val="center"/>
    </w:pPr>
    <w:rPr>
      <w:rFonts w:cs="Times New Roman"/>
      <w:noProof/>
      <w:lang w:val="en-US"/>
    </w:rPr>
  </w:style>
  <w:style w:type="character" w:customStyle="1" w:styleId="EndNoteBibliographyTitleChar">
    <w:name w:val="EndNote Bibliography Title Char"/>
    <w:basedOn w:val="Kappaleenoletusfontti"/>
    <w:link w:val="EndNoteBibliographyTitle"/>
    <w:rsid w:val="00D57A25"/>
    <w:rPr>
      <w:rFonts w:ascii="Times New Roman" w:hAnsi="Times New Roman" w:cs="Times New Roman"/>
      <w:noProof/>
      <w:lang w:val="en-US"/>
    </w:rPr>
  </w:style>
  <w:style w:type="paragraph" w:customStyle="1" w:styleId="EndNoteBibliography">
    <w:name w:val="EndNote Bibliography"/>
    <w:basedOn w:val="Normaali"/>
    <w:link w:val="EndNoteBibliographyChar"/>
    <w:rsid w:val="00D57A25"/>
    <w:pPr>
      <w:spacing w:line="240" w:lineRule="auto"/>
      <w:jc w:val="both"/>
    </w:pPr>
    <w:rPr>
      <w:rFonts w:cs="Times New Roman"/>
      <w:noProof/>
      <w:lang w:val="en-US"/>
    </w:rPr>
  </w:style>
  <w:style w:type="character" w:customStyle="1" w:styleId="EndNoteBibliographyChar">
    <w:name w:val="EndNote Bibliography Char"/>
    <w:basedOn w:val="Kappaleenoletusfontti"/>
    <w:link w:val="EndNoteBibliography"/>
    <w:rsid w:val="00D57A25"/>
    <w:rPr>
      <w:rFonts w:ascii="Times New Roman" w:hAnsi="Times New Roman" w:cs="Times New Roman"/>
      <w:noProof/>
      <w:lang w:val="en-US"/>
    </w:rPr>
  </w:style>
  <w:style w:type="paragraph" w:styleId="Alaviitteenteksti">
    <w:name w:val="footnote text"/>
    <w:basedOn w:val="Normaali"/>
    <w:link w:val="AlaviitteentekstiChar"/>
    <w:uiPriority w:val="99"/>
    <w:semiHidden/>
    <w:unhideWhenUsed/>
    <w:rsid w:val="0031380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1380E"/>
    <w:rPr>
      <w:rFonts w:ascii="Times New Roman" w:hAnsi="Times New Roman"/>
      <w:sz w:val="20"/>
      <w:szCs w:val="20"/>
    </w:rPr>
  </w:style>
  <w:style w:type="character" w:styleId="Alaviitteenviite">
    <w:name w:val="footnote reference"/>
    <w:basedOn w:val="Kappaleenoletusfontti"/>
    <w:uiPriority w:val="99"/>
    <w:semiHidden/>
    <w:unhideWhenUsed/>
    <w:rsid w:val="0031380E"/>
    <w:rPr>
      <w:vertAlign w:val="superscript"/>
    </w:rPr>
  </w:style>
  <w:style w:type="paragraph" w:styleId="Seliteteksti">
    <w:name w:val="Balloon Text"/>
    <w:basedOn w:val="Normaali"/>
    <w:link w:val="SelitetekstiChar"/>
    <w:uiPriority w:val="99"/>
    <w:semiHidden/>
    <w:unhideWhenUsed/>
    <w:rsid w:val="001619E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619E1"/>
    <w:rPr>
      <w:rFonts w:ascii="Tahoma" w:hAnsi="Tahoma" w:cs="Tahoma"/>
      <w:sz w:val="16"/>
      <w:szCs w:val="16"/>
    </w:rPr>
  </w:style>
  <w:style w:type="paragraph" w:styleId="Yltunniste">
    <w:name w:val="header"/>
    <w:basedOn w:val="Normaali"/>
    <w:link w:val="YltunnisteChar"/>
    <w:uiPriority w:val="99"/>
    <w:unhideWhenUsed/>
    <w:rsid w:val="00BF40F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F40F3"/>
    <w:rPr>
      <w:rFonts w:ascii="Times New Roman" w:hAnsi="Times New Roman"/>
    </w:rPr>
  </w:style>
  <w:style w:type="paragraph" w:styleId="Alatunniste">
    <w:name w:val="footer"/>
    <w:basedOn w:val="Normaali"/>
    <w:link w:val="AlatunnisteChar"/>
    <w:uiPriority w:val="99"/>
    <w:unhideWhenUsed/>
    <w:rsid w:val="00BF40F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F40F3"/>
    <w:rPr>
      <w:rFonts w:ascii="Times New Roman" w:hAnsi="Times New Roman"/>
    </w:rPr>
  </w:style>
  <w:style w:type="character" w:styleId="Hyperlinkki">
    <w:name w:val="Hyperlink"/>
    <w:basedOn w:val="Kappaleenoletusfontti"/>
    <w:uiPriority w:val="99"/>
    <w:unhideWhenUsed/>
    <w:rsid w:val="00BF6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ep.utm.ed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5831B45-A0E2-45FA-A037-7A8AFC03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13771</Words>
  <Characters>78495</Characters>
  <Application>Microsoft Office Word</Application>
  <DocSecurity>0</DocSecurity>
  <Lines>654</Lines>
  <Paragraphs>184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jaahirve</dc:creator>
  <cp:lastModifiedBy>Windows User</cp:lastModifiedBy>
  <cp:revision>2</cp:revision>
  <cp:lastPrinted>2017-11-27T20:25:00Z</cp:lastPrinted>
  <dcterms:created xsi:type="dcterms:W3CDTF">2018-10-28T20:06:00Z</dcterms:created>
  <dcterms:modified xsi:type="dcterms:W3CDTF">2018-10-28T20:06:00Z</dcterms:modified>
</cp:coreProperties>
</file>