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6867" w14:textId="405B38FB" w:rsidR="00633F1C" w:rsidRDefault="00D17BCC" w:rsidP="00092CD9">
      <w:pPr>
        <w:jc w:val="center"/>
        <w:rPr>
          <w:rFonts w:ascii="Garamond" w:hAnsi="Garamond" w:cs="Times New Roman"/>
          <w:b/>
          <w:bCs/>
          <w:iCs/>
          <w:sz w:val="28"/>
          <w:lang w:val="en-GB"/>
        </w:rPr>
      </w:pPr>
      <w:r w:rsidRPr="008D360D">
        <w:rPr>
          <w:rFonts w:ascii="Garamond" w:hAnsi="Garamond" w:cs="Times New Roman"/>
          <w:b/>
          <w:bCs/>
          <w:iCs/>
          <w:sz w:val="28"/>
          <w:lang w:val="en-GB"/>
        </w:rPr>
        <w:t>Illusions of Control</w:t>
      </w:r>
      <w:r w:rsidR="006539D4" w:rsidRPr="008D360D">
        <w:rPr>
          <w:rStyle w:val="FootnoteReference"/>
          <w:rFonts w:ascii="Garamond" w:hAnsi="Garamond" w:cs="Times New Roman"/>
          <w:b/>
          <w:bCs/>
          <w:iCs/>
          <w:sz w:val="28"/>
          <w:lang w:val="en-GB"/>
        </w:rPr>
        <w:footnoteReference w:id="1"/>
      </w:r>
    </w:p>
    <w:p w14:paraId="06A5D59F" w14:textId="77777777" w:rsidR="008D360D" w:rsidRPr="008D360D" w:rsidRDefault="008D360D" w:rsidP="00092CD9">
      <w:pPr>
        <w:jc w:val="center"/>
        <w:rPr>
          <w:rFonts w:ascii="Garamond" w:hAnsi="Garamond" w:cs="Times New Roman"/>
          <w:b/>
          <w:bCs/>
          <w:iCs/>
          <w:sz w:val="28"/>
          <w:lang w:val="en-GB"/>
        </w:rPr>
      </w:pPr>
    </w:p>
    <w:p w14:paraId="21A63600" w14:textId="670BBBE8" w:rsidR="00D17BCC" w:rsidRPr="00477C32" w:rsidRDefault="00633F1C" w:rsidP="00633F1C">
      <w:pPr>
        <w:jc w:val="center"/>
        <w:rPr>
          <w:rFonts w:ascii="Garamond" w:hAnsi="Garamond" w:cs="Times New Roman"/>
          <w:i/>
          <w:lang w:val="en-GB"/>
        </w:rPr>
      </w:pPr>
      <w:r w:rsidRPr="00477C32">
        <w:rPr>
          <w:rFonts w:ascii="Garamond" w:hAnsi="Garamond" w:cs="Times New Roman"/>
          <w:lang w:val="en-GB"/>
        </w:rPr>
        <w:t>Adam Omar Hosein</w:t>
      </w:r>
      <w:r w:rsidR="006539D4" w:rsidRPr="00477C32">
        <w:rPr>
          <w:rStyle w:val="FootnoteReference"/>
          <w:rFonts w:ascii="Garamond" w:hAnsi="Garamond" w:cs="Times New Roman"/>
          <w:lang w:val="en-GB"/>
        </w:rPr>
        <w:footnoteReference w:id="2"/>
      </w:r>
    </w:p>
    <w:p w14:paraId="1420C3E2" w14:textId="77777777" w:rsidR="00630042" w:rsidRPr="00477C32" w:rsidRDefault="00630042" w:rsidP="00927BFE">
      <w:pPr>
        <w:rPr>
          <w:rFonts w:ascii="Garamond" w:hAnsi="Garamond" w:cs="Times New Roman"/>
          <w:lang w:val="en-GB"/>
        </w:rPr>
      </w:pPr>
    </w:p>
    <w:p w14:paraId="40DCB6C1" w14:textId="15EA6537" w:rsidR="00D17BCC" w:rsidRPr="00477C32" w:rsidRDefault="007135E2" w:rsidP="00E54111">
      <w:pPr>
        <w:rPr>
          <w:rFonts w:ascii="Garamond" w:hAnsi="Garamond" w:cs="Times New Roman"/>
          <w:b/>
          <w:bCs/>
          <w:lang w:val="en-GB"/>
        </w:rPr>
      </w:pPr>
      <w:r w:rsidRPr="00477C32">
        <w:rPr>
          <w:rFonts w:ascii="Garamond" w:hAnsi="Garamond" w:cs="Times New Roman"/>
          <w:b/>
          <w:bCs/>
          <w:lang w:val="en-GB"/>
        </w:rPr>
        <w:t xml:space="preserve">1. </w:t>
      </w:r>
      <w:r w:rsidR="00C27B0C" w:rsidRPr="00477C32">
        <w:rPr>
          <w:rFonts w:ascii="Garamond" w:hAnsi="Garamond" w:cs="Times New Roman"/>
          <w:b/>
          <w:bCs/>
          <w:lang w:val="en-GB"/>
        </w:rPr>
        <w:t>‘Taking Back Control’</w:t>
      </w:r>
    </w:p>
    <w:p w14:paraId="1A338F16" w14:textId="21FED2B9" w:rsidR="00C27B0C" w:rsidRPr="00477C32" w:rsidRDefault="00C27B0C" w:rsidP="00092CD9">
      <w:pPr>
        <w:rPr>
          <w:rFonts w:ascii="Garamond" w:hAnsi="Garamond" w:cs="Times New Roman"/>
          <w:lang w:val="en-GB"/>
        </w:rPr>
      </w:pPr>
    </w:p>
    <w:p w14:paraId="5D78D653" w14:textId="5A9F36F7" w:rsidR="00D0006C" w:rsidRPr="00477C32" w:rsidRDefault="004F39DA" w:rsidP="007135E2">
      <w:pPr>
        <w:ind w:firstLine="720"/>
        <w:rPr>
          <w:rFonts w:ascii="Garamond" w:hAnsi="Garamond" w:cs="Times New Roman"/>
          <w:lang w:val="en-GB"/>
        </w:rPr>
      </w:pPr>
      <w:r w:rsidRPr="00477C32">
        <w:rPr>
          <w:rFonts w:ascii="Garamond" w:hAnsi="Garamond" w:cs="Times New Roman"/>
          <w:lang w:val="en-GB"/>
        </w:rPr>
        <w:t xml:space="preserve">At the heart of the case for Brexit was the idea of ‘taking back control’. The British people were no longer the directors of their own destiny and needed </w:t>
      </w:r>
      <w:r w:rsidR="00813A77" w:rsidRPr="00477C32">
        <w:rPr>
          <w:rFonts w:ascii="Garamond" w:hAnsi="Garamond" w:cs="Times New Roman"/>
          <w:lang w:val="en-GB"/>
        </w:rPr>
        <w:t xml:space="preserve">to </w:t>
      </w:r>
      <w:r w:rsidRPr="00477C32">
        <w:rPr>
          <w:rFonts w:ascii="Garamond" w:hAnsi="Garamond" w:cs="Times New Roman"/>
          <w:lang w:val="en-GB"/>
        </w:rPr>
        <w:t xml:space="preserve">reassert control over their own affairs. Which affairs, specifically? There were </w:t>
      </w:r>
      <w:r w:rsidR="00D37E78" w:rsidRPr="00477C32">
        <w:rPr>
          <w:rFonts w:ascii="Garamond" w:hAnsi="Garamond" w:cs="Times New Roman"/>
          <w:lang w:val="en-GB"/>
        </w:rPr>
        <w:t>multiple</w:t>
      </w:r>
      <w:r w:rsidRPr="00477C32">
        <w:rPr>
          <w:rFonts w:ascii="Garamond" w:hAnsi="Garamond" w:cs="Times New Roman"/>
          <w:lang w:val="en-GB"/>
        </w:rPr>
        <w:t xml:space="preserve"> targets, but immigration was central: </w:t>
      </w:r>
      <w:r w:rsidR="00FC2BBB" w:rsidRPr="00477C32">
        <w:rPr>
          <w:rFonts w:ascii="Garamond" w:hAnsi="Garamond" w:cs="Times New Roman"/>
          <w:lang w:val="en-GB"/>
        </w:rPr>
        <w:t>‘</w:t>
      </w:r>
      <w:r w:rsidR="00B24980" w:rsidRPr="00477C32">
        <w:rPr>
          <w:rFonts w:ascii="Garamond" w:hAnsi="Garamond" w:cs="Times New Roman"/>
          <w:lang w:val="en-GB"/>
        </w:rPr>
        <w:t>V</w:t>
      </w:r>
      <w:r w:rsidRPr="00477C32">
        <w:rPr>
          <w:rFonts w:ascii="Garamond" w:hAnsi="Garamond" w:cs="Times New Roman"/>
          <w:lang w:val="en-GB"/>
        </w:rPr>
        <w:t>ote Leave</w:t>
      </w:r>
      <w:r w:rsidR="00FC2BBB" w:rsidRPr="00477C32">
        <w:rPr>
          <w:rFonts w:ascii="Garamond" w:hAnsi="Garamond" w:cs="Times New Roman"/>
          <w:lang w:val="en-GB"/>
        </w:rPr>
        <w:t>’</w:t>
      </w:r>
      <w:r w:rsidRPr="00477C32">
        <w:rPr>
          <w:rFonts w:ascii="Garamond" w:hAnsi="Garamond" w:cs="Times New Roman"/>
          <w:lang w:val="en-GB"/>
        </w:rPr>
        <w:t>, the British people were told, so that</w:t>
      </w:r>
      <w:r w:rsidR="00A8071F" w:rsidRPr="00477C32">
        <w:rPr>
          <w:rFonts w:ascii="Garamond" w:hAnsi="Garamond" w:cs="Times New Roman"/>
          <w:lang w:val="en-GB"/>
        </w:rPr>
        <w:t>,</w:t>
      </w:r>
      <w:r w:rsidRPr="00477C32">
        <w:rPr>
          <w:rFonts w:ascii="Garamond" w:hAnsi="Garamond" w:cs="Times New Roman"/>
          <w:lang w:val="en-GB"/>
        </w:rPr>
        <w:t xml:space="preserve"> ‘We’ll be in charge of own </w:t>
      </w:r>
      <w:proofErr w:type="gramStart"/>
      <w:r w:rsidRPr="00477C32">
        <w:rPr>
          <w:rFonts w:ascii="Garamond" w:hAnsi="Garamond" w:cs="Times New Roman"/>
          <w:lang w:val="en-GB"/>
        </w:rPr>
        <w:t>borders’</w:t>
      </w:r>
      <w:proofErr w:type="gramEnd"/>
      <w:r w:rsidRPr="00477C32">
        <w:rPr>
          <w:rFonts w:ascii="Garamond" w:hAnsi="Garamond" w:cs="Times New Roman"/>
          <w:lang w:val="en-GB"/>
        </w:rPr>
        <w:t>.</w:t>
      </w:r>
      <w:r w:rsidRPr="00477C32">
        <w:rPr>
          <w:rStyle w:val="FootnoteReference"/>
          <w:rFonts w:ascii="Garamond" w:hAnsi="Garamond" w:cs="Times New Roman"/>
          <w:lang w:val="en-GB"/>
        </w:rPr>
        <w:footnoteReference w:id="3"/>
      </w:r>
      <w:r w:rsidRPr="00477C32">
        <w:rPr>
          <w:rFonts w:ascii="Garamond" w:hAnsi="Garamond" w:cs="Times New Roman"/>
          <w:lang w:val="en-GB"/>
        </w:rPr>
        <w:t xml:space="preserve"> It </w:t>
      </w:r>
      <w:r w:rsidR="00D37E78" w:rsidRPr="00477C32">
        <w:rPr>
          <w:rFonts w:ascii="Garamond" w:hAnsi="Garamond" w:cs="Times New Roman"/>
          <w:lang w:val="en-GB"/>
        </w:rPr>
        <w:t xml:space="preserve">was </w:t>
      </w:r>
      <w:r w:rsidRPr="00477C32">
        <w:rPr>
          <w:rFonts w:ascii="Garamond" w:hAnsi="Garamond" w:cs="Times New Roman"/>
          <w:lang w:val="en-GB"/>
        </w:rPr>
        <w:t>crucial</w:t>
      </w:r>
      <w:r w:rsidR="00B24980" w:rsidRPr="00477C32">
        <w:rPr>
          <w:rFonts w:ascii="Garamond" w:hAnsi="Garamond" w:cs="Times New Roman"/>
          <w:lang w:val="en-GB"/>
        </w:rPr>
        <w:t>, so the argument went,</w:t>
      </w:r>
      <w:r w:rsidRPr="00477C32">
        <w:rPr>
          <w:rFonts w:ascii="Garamond" w:hAnsi="Garamond" w:cs="Times New Roman"/>
          <w:lang w:val="en-GB"/>
        </w:rPr>
        <w:t xml:space="preserve"> that the British government and not individual migrants or Brussels have the final word over </w:t>
      </w:r>
      <w:r w:rsidR="00A8071F" w:rsidRPr="00477C32">
        <w:rPr>
          <w:rFonts w:ascii="Garamond" w:hAnsi="Garamond" w:cs="Times New Roman"/>
          <w:lang w:val="en-GB"/>
        </w:rPr>
        <w:t xml:space="preserve">who </w:t>
      </w:r>
      <w:r w:rsidR="00D37E78" w:rsidRPr="00477C32">
        <w:rPr>
          <w:rFonts w:ascii="Garamond" w:hAnsi="Garamond" w:cs="Times New Roman"/>
          <w:lang w:val="en-GB"/>
        </w:rPr>
        <w:t>enters the country</w:t>
      </w:r>
      <w:r w:rsidRPr="00477C32">
        <w:rPr>
          <w:rFonts w:ascii="Garamond" w:hAnsi="Garamond" w:cs="Times New Roman"/>
          <w:lang w:val="en-GB"/>
        </w:rPr>
        <w:t xml:space="preserve">. </w:t>
      </w:r>
      <w:r w:rsidR="00D0006C" w:rsidRPr="00477C32">
        <w:rPr>
          <w:rFonts w:ascii="Garamond" w:hAnsi="Garamond" w:cs="Times New Roman"/>
          <w:lang w:val="en-GB"/>
        </w:rPr>
        <w:t>Writing before the Brexit vote, political theorist David Miller</w:t>
      </w:r>
      <w:r w:rsidR="002F27EE" w:rsidRPr="00477C32">
        <w:rPr>
          <w:rFonts w:ascii="Garamond" w:hAnsi="Garamond" w:cs="Times New Roman"/>
          <w:lang w:val="en-GB"/>
        </w:rPr>
        <w:t xml:space="preserve"> (2016)</w:t>
      </w:r>
      <w:r w:rsidR="00D0006C" w:rsidRPr="00477C32">
        <w:rPr>
          <w:rFonts w:ascii="Garamond" w:hAnsi="Garamond" w:cs="Times New Roman"/>
          <w:lang w:val="en-GB"/>
        </w:rPr>
        <w:t xml:space="preserve"> </w:t>
      </w:r>
      <w:r w:rsidR="00AC3018" w:rsidRPr="00477C32">
        <w:rPr>
          <w:rFonts w:ascii="Garamond" w:hAnsi="Garamond" w:cs="Times New Roman"/>
          <w:lang w:val="en-GB"/>
        </w:rPr>
        <w:t>described this connection</w:t>
      </w:r>
      <w:r w:rsidR="001C7AE7" w:rsidRPr="00477C32">
        <w:rPr>
          <w:rFonts w:ascii="Garamond" w:hAnsi="Garamond" w:cs="Times New Roman"/>
          <w:lang w:val="en-GB"/>
        </w:rPr>
        <w:t xml:space="preserve"> between immigration and self-determination</w:t>
      </w:r>
      <w:r w:rsidR="00AC3018" w:rsidRPr="00477C32">
        <w:rPr>
          <w:rFonts w:ascii="Garamond" w:hAnsi="Garamond" w:cs="Times New Roman"/>
          <w:lang w:val="en-GB"/>
        </w:rPr>
        <w:t xml:space="preserve"> as follows</w:t>
      </w:r>
      <w:r w:rsidR="00D0006C" w:rsidRPr="00477C32">
        <w:rPr>
          <w:rFonts w:ascii="Garamond" w:hAnsi="Garamond" w:cs="Times New Roman"/>
          <w:lang w:val="en-GB"/>
        </w:rPr>
        <w:t>:</w:t>
      </w:r>
    </w:p>
    <w:p w14:paraId="53B95D5F" w14:textId="77777777" w:rsidR="007135E2" w:rsidRPr="00477C32" w:rsidRDefault="007135E2" w:rsidP="007135E2">
      <w:pPr>
        <w:rPr>
          <w:rFonts w:ascii="Garamond" w:hAnsi="Garamond" w:cs="Times New Roman"/>
          <w:lang w:val="en-GB"/>
        </w:rPr>
      </w:pPr>
    </w:p>
    <w:p w14:paraId="046B3A45" w14:textId="408DF947" w:rsidR="00D0006C" w:rsidRPr="00477C32" w:rsidRDefault="00D0006C" w:rsidP="007135E2">
      <w:pPr>
        <w:ind w:left="720"/>
        <w:rPr>
          <w:rFonts w:ascii="Garamond" w:hAnsi="Garamond" w:cs="Times New Roman"/>
          <w:lang w:val="en-GB"/>
        </w:rPr>
      </w:pPr>
      <w:r w:rsidRPr="00477C32">
        <w:rPr>
          <w:rFonts w:ascii="Garamond" w:hAnsi="Garamond" w:cs="Times New Roman"/>
          <w:lang w:val="en-GB"/>
        </w:rPr>
        <w:t>In Britain, immigration has come to stand for something more than immigration itself. The British government’s inability to control (intra-European) migration is seen as emblematic of a wider loss of control.</w:t>
      </w:r>
      <w:r w:rsidR="007135E2" w:rsidRPr="00477C32">
        <w:rPr>
          <w:rFonts w:ascii="Garamond" w:hAnsi="Garamond" w:cs="Times New Roman"/>
          <w:lang w:val="en-GB"/>
        </w:rPr>
        <w:t xml:space="preserve"> </w:t>
      </w:r>
      <w:r w:rsidRPr="00477C32">
        <w:rPr>
          <w:rFonts w:ascii="Garamond" w:hAnsi="Garamond" w:cs="Times New Roman"/>
          <w:lang w:val="en-GB"/>
        </w:rPr>
        <w:t xml:space="preserve">Many Britons feel that they are no longer in charge of their own destiny: </w:t>
      </w:r>
      <w:r w:rsidR="00BE279A" w:rsidRPr="00477C32">
        <w:rPr>
          <w:rFonts w:ascii="Garamond" w:hAnsi="Garamond" w:cs="Times New Roman"/>
          <w:lang w:val="en-GB"/>
        </w:rPr>
        <w:t>‘</w:t>
      </w:r>
      <w:r w:rsidRPr="00477C32">
        <w:rPr>
          <w:rFonts w:ascii="Garamond" w:hAnsi="Garamond" w:cs="Times New Roman"/>
          <w:lang w:val="en-GB"/>
        </w:rPr>
        <w:t>Take back our country</w:t>
      </w:r>
      <w:r w:rsidR="00BE279A" w:rsidRPr="00477C32">
        <w:rPr>
          <w:rFonts w:ascii="Garamond" w:hAnsi="Garamond" w:cs="Times New Roman"/>
          <w:lang w:val="en-GB"/>
        </w:rPr>
        <w:t>’</w:t>
      </w:r>
      <w:r w:rsidRPr="00477C32">
        <w:rPr>
          <w:rFonts w:ascii="Garamond" w:hAnsi="Garamond" w:cs="Times New Roman"/>
          <w:lang w:val="en-GB"/>
        </w:rPr>
        <w:t xml:space="preserve"> is a slogan that resonates along the campaign trail.</w:t>
      </w:r>
    </w:p>
    <w:p w14:paraId="715CFD64" w14:textId="77777777" w:rsidR="007135E2" w:rsidRPr="00477C32" w:rsidRDefault="007135E2" w:rsidP="007135E2">
      <w:pPr>
        <w:rPr>
          <w:rFonts w:ascii="Garamond" w:hAnsi="Garamond" w:cs="Times New Roman"/>
          <w:lang w:val="en-GB"/>
        </w:rPr>
      </w:pPr>
    </w:p>
    <w:p w14:paraId="31636123" w14:textId="79BF01D2" w:rsidR="004F39DA" w:rsidRPr="00477C32" w:rsidRDefault="004F39DA" w:rsidP="007135E2">
      <w:pPr>
        <w:ind w:firstLine="720"/>
        <w:rPr>
          <w:rFonts w:ascii="Garamond" w:hAnsi="Garamond" w:cs="Times New Roman"/>
          <w:lang w:val="en-GB"/>
        </w:rPr>
      </w:pPr>
      <w:r w:rsidRPr="00477C32">
        <w:rPr>
          <w:rFonts w:ascii="Garamond" w:hAnsi="Garamond" w:cs="Times New Roman"/>
          <w:lang w:val="en-GB"/>
        </w:rPr>
        <w:t xml:space="preserve">Similar </w:t>
      </w:r>
      <w:r w:rsidR="00064C31" w:rsidRPr="00477C32">
        <w:rPr>
          <w:rFonts w:ascii="Garamond" w:hAnsi="Garamond" w:cs="Times New Roman"/>
          <w:lang w:val="en-GB"/>
        </w:rPr>
        <w:t>values</w:t>
      </w:r>
      <w:r w:rsidRPr="00477C32">
        <w:rPr>
          <w:rFonts w:ascii="Garamond" w:hAnsi="Garamond" w:cs="Times New Roman"/>
          <w:lang w:val="en-GB"/>
        </w:rPr>
        <w:t xml:space="preserve"> </w:t>
      </w:r>
      <w:r w:rsidR="007F0EF4" w:rsidRPr="00477C32">
        <w:rPr>
          <w:rFonts w:ascii="Garamond" w:hAnsi="Garamond" w:cs="Times New Roman"/>
          <w:lang w:val="en-GB"/>
        </w:rPr>
        <w:t>have been appealed to in</w:t>
      </w:r>
      <w:r w:rsidRPr="00477C32">
        <w:rPr>
          <w:rFonts w:ascii="Garamond" w:hAnsi="Garamond" w:cs="Times New Roman"/>
          <w:lang w:val="en-GB"/>
        </w:rPr>
        <w:t xml:space="preserve"> United States </w:t>
      </w:r>
      <w:r w:rsidR="007F0EF4" w:rsidRPr="00477C32">
        <w:rPr>
          <w:rFonts w:ascii="Garamond" w:hAnsi="Garamond" w:cs="Times New Roman"/>
          <w:lang w:val="en-GB"/>
        </w:rPr>
        <w:t xml:space="preserve">by people arguing for </w:t>
      </w:r>
      <w:r w:rsidR="00813A77" w:rsidRPr="00477C32">
        <w:rPr>
          <w:rFonts w:ascii="Garamond" w:hAnsi="Garamond" w:cs="Times New Roman"/>
          <w:lang w:val="en-GB"/>
        </w:rPr>
        <w:t>greater fortification of</w:t>
      </w:r>
      <w:r w:rsidRPr="00477C32">
        <w:rPr>
          <w:rFonts w:ascii="Garamond" w:hAnsi="Garamond" w:cs="Times New Roman"/>
          <w:lang w:val="en-GB"/>
        </w:rPr>
        <w:t xml:space="preserve"> the Southern border and generally </w:t>
      </w:r>
      <w:r w:rsidR="002166AD" w:rsidRPr="00477C32">
        <w:rPr>
          <w:rFonts w:ascii="Garamond" w:hAnsi="Garamond" w:cs="Times New Roman"/>
          <w:lang w:val="en-GB"/>
        </w:rPr>
        <w:t xml:space="preserve">providing </w:t>
      </w:r>
      <w:r w:rsidR="00813A77" w:rsidRPr="00477C32">
        <w:rPr>
          <w:rFonts w:ascii="Garamond" w:hAnsi="Garamond" w:cs="Times New Roman"/>
          <w:lang w:val="en-GB"/>
        </w:rPr>
        <w:t xml:space="preserve">increased </w:t>
      </w:r>
      <w:r w:rsidR="002166AD" w:rsidRPr="00477C32">
        <w:rPr>
          <w:rFonts w:ascii="Garamond" w:hAnsi="Garamond" w:cs="Times New Roman"/>
          <w:lang w:val="en-GB"/>
        </w:rPr>
        <w:t>funding for immigration enforcement</w:t>
      </w:r>
      <w:r w:rsidRPr="00477C32">
        <w:rPr>
          <w:rFonts w:ascii="Garamond" w:hAnsi="Garamond" w:cs="Times New Roman"/>
          <w:lang w:val="en-GB"/>
        </w:rPr>
        <w:t xml:space="preserve">. Conservatives insist that the ‘rule of law’ must be re-established more firmly, meaning that the state must have </w:t>
      </w:r>
      <w:r w:rsidR="006F5443" w:rsidRPr="00477C32">
        <w:rPr>
          <w:rFonts w:ascii="Garamond" w:hAnsi="Garamond" w:cs="Times New Roman"/>
          <w:lang w:val="en-GB"/>
        </w:rPr>
        <w:t>stricter</w:t>
      </w:r>
      <w:r w:rsidRPr="00477C32">
        <w:rPr>
          <w:rFonts w:ascii="Garamond" w:hAnsi="Garamond" w:cs="Times New Roman"/>
          <w:lang w:val="en-GB"/>
        </w:rPr>
        <w:t xml:space="preserve"> discretion over whom gains admission.</w:t>
      </w:r>
      <w:r w:rsidR="00000947" w:rsidRPr="00477C32">
        <w:rPr>
          <w:rStyle w:val="FootnoteReference"/>
          <w:rFonts w:ascii="Garamond" w:hAnsi="Garamond" w:cs="Times New Roman"/>
          <w:lang w:val="en-GB"/>
        </w:rPr>
        <w:footnoteReference w:id="4"/>
      </w:r>
      <w:r w:rsidRPr="00477C32">
        <w:rPr>
          <w:rFonts w:ascii="Garamond" w:hAnsi="Garamond" w:cs="Times New Roman"/>
          <w:lang w:val="en-GB"/>
        </w:rPr>
        <w:t xml:space="preserve"> It is crucial that the United States government, and not individual migrants or smugglers, have the final word over admission.</w:t>
      </w:r>
    </w:p>
    <w:p w14:paraId="22B6F286" w14:textId="51715229" w:rsidR="0003412C" w:rsidRPr="00477C32" w:rsidRDefault="004F39DA" w:rsidP="007135E2">
      <w:pPr>
        <w:ind w:firstLine="720"/>
        <w:rPr>
          <w:rFonts w:ascii="Garamond" w:hAnsi="Garamond" w:cs="Times New Roman"/>
          <w:lang w:val="en-GB"/>
        </w:rPr>
      </w:pPr>
      <w:r w:rsidRPr="00477C32">
        <w:rPr>
          <w:rFonts w:ascii="Garamond" w:hAnsi="Garamond" w:cs="Times New Roman"/>
          <w:lang w:val="en-GB"/>
        </w:rPr>
        <w:t xml:space="preserve">What these </w:t>
      </w:r>
      <w:r w:rsidR="006F5443" w:rsidRPr="00477C32">
        <w:rPr>
          <w:rFonts w:ascii="Garamond" w:hAnsi="Garamond" w:cs="Times New Roman"/>
          <w:lang w:val="en-GB"/>
        </w:rPr>
        <w:t>arguments</w:t>
      </w:r>
      <w:r w:rsidRPr="00477C32">
        <w:rPr>
          <w:rFonts w:ascii="Garamond" w:hAnsi="Garamond" w:cs="Times New Roman"/>
          <w:lang w:val="en-GB"/>
        </w:rPr>
        <w:t xml:space="preserve"> have in common, at base, is an appeal to the importance of collective self-determination</w:t>
      </w:r>
      <w:r w:rsidR="0003412C" w:rsidRPr="00477C32">
        <w:rPr>
          <w:rFonts w:ascii="Garamond" w:hAnsi="Garamond" w:cs="Times New Roman"/>
          <w:lang w:val="en-GB"/>
        </w:rPr>
        <w:t xml:space="preserve"> (or related notions of ‘national self-determination’, ‘sovereignty’, and so on)</w:t>
      </w:r>
      <w:r w:rsidRPr="00477C32">
        <w:rPr>
          <w:rFonts w:ascii="Garamond" w:hAnsi="Garamond" w:cs="Times New Roman"/>
          <w:lang w:val="en-GB"/>
        </w:rPr>
        <w:t xml:space="preserve">: the right of the British people, or the American people, to be in charge of </w:t>
      </w:r>
      <w:r w:rsidR="00D37E78" w:rsidRPr="00477C32">
        <w:rPr>
          <w:rFonts w:ascii="Garamond" w:hAnsi="Garamond" w:cs="Times New Roman"/>
          <w:lang w:val="en-GB"/>
        </w:rPr>
        <w:t>what takes place within their</w:t>
      </w:r>
      <w:r w:rsidRPr="00477C32">
        <w:rPr>
          <w:rFonts w:ascii="Garamond" w:hAnsi="Garamond" w:cs="Times New Roman"/>
          <w:lang w:val="en-GB"/>
        </w:rPr>
        <w:t xml:space="preserve"> territory. </w:t>
      </w:r>
      <w:r w:rsidR="006F5443" w:rsidRPr="00477C32">
        <w:rPr>
          <w:rFonts w:ascii="Garamond" w:hAnsi="Garamond" w:cs="Times New Roman"/>
          <w:lang w:val="en-GB"/>
        </w:rPr>
        <w:t>The arguments</w:t>
      </w:r>
      <w:r w:rsidRPr="00477C32">
        <w:rPr>
          <w:rFonts w:ascii="Garamond" w:hAnsi="Garamond" w:cs="Times New Roman"/>
          <w:lang w:val="en-GB"/>
        </w:rPr>
        <w:t xml:space="preserve"> use that appeal to support an increase in the state’s capacity to set and enforce rules about immigration, whether that capacity is being ‘taken back’ from transnational institutions or </w:t>
      </w:r>
      <w:r w:rsidR="007F688E" w:rsidRPr="00477C32">
        <w:rPr>
          <w:rFonts w:ascii="Garamond" w:hAnsi="Garamond" w:cs="Times New Roman"/>
          <w:lang w:val="en-GB"/>
        </w:rPr>
        <w:t>individual</w:t>
      </w:r>
      <w:r w:rsidRPr="00477C32">
        <w:rPr>
          <w:rFonts w:ascii="Garamond" w:hAnsi="Garamond" w:cs="Times New Roman"/>
          <w:lang w:val="en-GB"/>
        </w:rPr>
        <w:t xml:space="preserve"> </w:t>
      </w:r>
      <w:r w:rsidR="00210ADF" w:rsidRPr="00477C32">
        <w:rPr>
          <w:rFonts w:ascii="Garamond" w:hAnsi="Garamond" w:cs="Times New Roman"/>
          <w:lang w:val="en-GB"/>
        </w:rPr>
        <w:t>migrants</w:t>
      </w:r>
      <w:r w:rsidRPr="00477C32">
        <w:rPr>
          <w:rFonts w:ascii="Garamond" w:hAnsi="Garamond" w:cs="Times New Roman"/>
          <w:lang w:val="en-GB"/>
        </w:rPr>
        <w:t>.</w:t>
      </w:r>
    </w:p>
    <w:p w14:paraId="4C924B24" w14:textId="5FDED6D9" w:rsidR="004F39DA" w:rsidRPr="00477C32" w:rsidRDefault="004F39DA" w:rsidP="007135E2">
      <w:pPr>
        <w:ind w:firstLine="720"/>
        <w:rPr>
          <w:rFonts w:ascii="Garamond" w:hAnsi="Garamond" w:cs="Times New Roman"/>
          <w:lang w:val="en-GB"/>
        </w:rPr>
      </w:pPr>
      <w:r w:rsidRPr="00477C32">
        <w:rPr>
          <w:rFonts w:ascii="Garamond" w:hAnsi="Garamond" w:cs="Times New Roman"/>
          <w:lang w:val="en-GB"/>
        </w:rPr>
        <w:t xml:space="preserve">What shall we make of these arguments? </w:t>
      </w:r>
      <w:r w:rsidR="00D37E78" w:rsidRPr="00477C32">
        <w:rPr>
          <w:rFonts w:ascii="Garamond" w:hAnsi="Garamond" w:cs="Times New Roman"/>
          <w:lang w:val="en-GB"/>
        </w:rPr>
        <w:t>Some will be tempted</w:t>
      </w:r>
      <w:r w:rsidRPr="00477C32">
        <w:rPr>
          <w:rFonts w:ascii="Garamond" w:hAnsi="Garamond" w:cs="Times New Roman"/>
          <w:lang w:val="en-GB"/>
        </w:rPr>
        <w:t xml:space="preserve"> to dismiss them out of hand as </w:t>
      </w:r>
      <w:r w:rsidR="00C61B8B" w:rsidRPr="00477C32">
        <w:rPr>
          <w:rFonts w:ascii="Garamond" w:hAnsi="Garamond" w:cs="Times New Roman"/>
          <w:lang w:val="en-GB"/>
        </w:rPr>
        <w:t xml:space="preserve">pretextual </w:t>
      </w:r>
      <w:r w:rsidRPr="00477C32">
        <w:rPr>
          <w:rFonts w:ascii="Garamond" w:hAnsi="Garamond" w:cs="Times New Roman"/>
          <w:lang w:val="en-GB"/>
        </w:rPr>
        <w:t>rationalizations for nakedly racist</w:t>
      </w:r>
      <w:r w:rsidR="00D37E78" w:rsidRPr="00477C32">
        <w:rPr>
          <w:rFonts w:ascii="Garamond" w:hAnsi="Garamond" w:cs="Times New Roman"/>
          <w:lang w:val="en-GB"/>
        </w:rPr>
        <w:t>/xenophobic</w:t>
      </w:r>
      <w:r w:rsidRPr="00477C32">
        <w:rPr>
          <w:rFonts w:ascii="Garamond" w:hAnsi="Garamond" w:cs="Times New Roman"/>
          <w:lang w:val="en-GB"/>
        </w:rPr>
        <w:t xml:space="preserve"> </w:t>
      </w:r>
      <w:r w:rsidR="004B2464" w:rsidRPr="00477C32">
        <w:rPr>
          <w:rFonts w:ascii="Garamond" w:hAnsi="Garamond" w:cs="Times New Roman"/>
          <w:lang w:val="en-GB"/>
        </w:rPr>
        <w:t>motivations</w:t>
      </w:r>
      <w:r w:rsidRPr="00477C32">
        <w:rPr>
          <w:rFonts w:ascii="Garamond" w:hAnsi="Garamond" w:cs="Times New Roman"/>
          <w:lang w:val="en-GB"/>
        </w:rPr>
        <w:t xml:space="preserve">, given how much racism and xenophobia has </w:t>
      </w:r>
      <w:r w:rsidR="006F5443" w:rsidRPr="00477C32">
        <w:rPr>
          <w:rFonts w:ascii="Garamond" w:hAnsi="Garamond" w:cs="Times New Roman"/>
          <w:lang w:val="en-GB"/>
        </w:rPr>
        <w:t xml:space="preserve">historically </w:t>
      </w:r>
      <w:r w:rsidRPr="00477C32">
        <w:rPr>
          <w:rFonts w:ascii="Garamond" w:hAnsi="Garamond" w:cs="Times New Roman"/>
          <w:lang w:val="en-GB"/>
        </w:rPr>
        <w:t xml:space="preserve">been entwined with movements for immigration restrictions. And I will argue later that the role of race (along with ethnicity and religion) is indeed </w:t>
      </w:r>
      <w:r w:rsidR="00C61B8B" w:rsidRPr="00477C32">
        <w:rPr>
          <w:rFonts w:ascii="Garamond" w:hAnsi="Garamond" w:cs="Times New Roman"/>
          <w:lang w:val="en-GB"/>
        </w:rPr>
        <w:t>crucially relevant</w:t>
      </w:r>
      <w:r w:rsidRPr="00477C32">
        <w:rPr>
          <w:rFonts w:ascii="Garamond" w:hAnsi="Garamond" w:cs="Times New Roman"/>
          <w:lang w:val="en-GB"/>
        </w:rPr>
        <w:t xml:space="preserve"> in this context. But </w:t>
      </w:r>
      <w:r w:rsidR="008E46E5" w:rsidRPr="00477C32">
        <w:rPr>
          <w:rFonts w:ascii="Garamond" w:hAnsi="Garamond" w:cs="Times New Roman"/>
          <w:lang w:val="en-GB"/>
        </w:rPr>
        <w:t xml:space="preserve">I want to </w:t>
      </w:r>
      <w:r w:rsidR="006F5443" w:rsidRPr="00477C32">
        <w:rPr>
          <w:rFonts w:ascii="Garamond" w:hAnsi="Garamond" w:cs="Times New Roman"/>
          <w:lang w:val="en-GB"/>
        </w:rPr>
        <w:t>begin</w:t>
      </w:r>
      <w:r w:rsidR="008E46E5" w:rsidRPr="00477C32">
        <w:rPr>
          <w:rFonts w:ascii="Garamond" w:hAnsi="Garamond" w:cs="Times New Roman"/>
          <w:lang w:val="en-GB"/>
        </w:rPr>
        <w:t xml:space="preserve"> by </w:t>
      </w:r>
      <w:r w:rsidR="00DA6B1F" w:rsidRPr="00477C32">
        <w:rPr>
          <w:rFonts w:ascii="Garamond" w:hAnsi="Garamond" w:cs="Times New Roman"/>
          <w:lang w:val="en-GB"/>
        </w:rPr>
        <w:t>granting</w:t>
      </w:r>
      <w:r w:rsidR="00C61B8B" w:rsidRPr="00477C32">
        <w:rPr>
          <w:rFonts w:ascii="Garamond" w:hAnsi="Garamond" w:cs="Times New Roman"/>
          <w:lang w:val="en-GB"/>
        </w:rPr>
        <w:t xml:space="preserve"> that these arguments are at least sometimes</w:t>
      </w:r>
      <w:r w:rsidRPr="00477C32">
        <w:rPr>
          <w:rFonts w:ascii="Garamond" w:hAnsi="Garamond" w:cs="Times New Roman"/>
          <w:lang w:val="en-GB"/>
        </w:rPr>
        <w:t xml:space="preserve"> made in good faith. For the value of self-governance is shared by</w:t>
      </w:r>
      <w:r w:rsidR="00D37E78" w:rsidRPr="00477C32">
        <w:rPr>
          <w:rFonts w:ascii="Garamond" w:hAnsi="Garamond" w:cs="Times New Roman"/>
          <w:lang w:val="en-GB"/>
        </w:rPr>
        <w:t xml:space="preserve"> many</w:t>
      </w:r>
      <w:r w:rsidRPr="00477C32">
        <w:rPr>
          <w:rFonts w:ascii="Garamond" w:hAnsi="Garamond" w:cs="Times New Roman"/>
          <w:lang w:val="en-GB"/>
        </w:rPr>
        <w:t xml:space="preserve"> people across the political spectrum.</w:t>
      </w:r>
      <w:r w:rsidR="008B6766" w:rsidRPr="00477C32">
        <w:rPr>
          <w:rFonts w:ascii="Garamond" w:hAnsi="Garamond" w:cs="Times New Roman"/>
          <w:lang w:val="en-GB"/>
        </w:rPr>
        <w:t xml:space="preserve"> And restrictionist policies have at times been endorsed, or at least acquiesced </w:t>
      </w:r>
      <w:r w:rsidR="006B6C0F" w:rsidRPr="00477C32">
        <w:rPr>
          <w:rFonts w:ascii="Garamond" w:hAnsi="Garamond" w:cs="Times New Roman"/>
          <w:lang w:val="en-GB"/>
        </w:rPr>
        <w:t>to</w:t>
      </w:r>
      <w:r w:rsidR="008B6766" w:rsidRPr="00477C32">
        <w:rPr>
          <w:rFonts w:ascii="Garamond" w:hAnsi="Garamond" w:cs="Times New Roman"/>
          <w:lang w:val="en-GB"/>
        </w:rPr>
        <w:t xml:space="preserve">, by people who profess </w:t>
      </w:r>
      <w:r w:rsidR="008D4FDC" w:rsidRPr="00477C32">
        <w:rPr>
          <w:rFonts w:ascii="Garamond" w:hAnsi="Garamond" w:cs="Times New Roman"/>
          <w:lang w:val="en-GB"/>
        </w:rPr>
        <w:t xml:space="preserve">a </w:t>
      </w:r>
      <w:r w:rsidR="00DA6B1F" w:rsidRPr="00477C32">
        <w:rPr>
          <w:rFonts w:ascii="Garamond" w:hAnsi="Garamond" w:cs="Times New Roman"/>
          <w:lang w:val="en-GB"/>
        </w:rPr>
        <w:t>generally anti-racist outlook</w:t>
      </w:r>
      <w:r w:rsidR="008B6766" w:rsidRPr="00477C32">
        <w:rPr>
          <w:rFonts w:ascii="Garamond" w:hAnsi="Garamond" w:cs="Times New Roman"/>
          <w:lang w:val="en-GB"/>
        </w:rPr>
        <w:t>.</w:t>
      </w:r>
      <w:r w:rsidRPr="00477C32">
        <w:rPr>
          <w:rFonts w:ascii="Garamond" w:hAnsi="Garamond" w:cs="Times New Roman"/>
          <w:lang w:val="en-GB"/>
        </w:rPr>
        <w:t xml:space="preserve"> </w:t>
      </w:r>
      <w:r w:rsidR="008B6766" w:rsidRPr="00477C32">
        <w:rPr>
          <w:rFonts w:ascii="Garamond" w:hAnsi="Garamond" w:cs="Times New Roman"/>
          <w:lang w:val="en-GB"/>
        </w:rPr>
        <w:t>For example, there were left-wing supporters of</w:t>
      </w:r>
      <w:r w:rsidRPr="00477C32">
        <w:rPr>
          <w:rFonts w:ascii="Garamond" w:hAnsi="Garamond" w:cs="Times New Roman"/>
          <w:lang w:val="en-GB"/>
        </w:rPr>
        <w:t xml:space="preserve"> </w:t>
      </w:r>
      <w:r w:rsidR="008B6766" w:rsidRPr="00477C32">
        <w:rPr>
          <w:rFonts w:ascii="Garamond" w:hAnsi="Garamond" w:cs="Times New Roman"/>
          <w:lang w:val="en-GB"/>
        </w:rPr>
        <w:t xml:space="preserve">Brexit (‘Lexit’) who tried to </w:t>
      </w:r>
      <w:r w:rsidRPr="00477C32">
        <w:rPr>
          <w:rFonts w:ascii="Garamond" w:hAnsi="Garamond" w:cs="Times New Roman"/>
          <w:lang w:val="en-GB"/>
        </w:rPr>
        <w:t>distance themselves from any</w:t>
      </w:r>
      <w:r w:rsidR="00DA6B1F" w:rsidRPr="00477C32">
        <w:rPr>
          <w:rFonts w:ascii="Garamond" w:hAnsi="Garamond" w:cs="Times New Roman"/>
          <w:lang w:val="en-GB"/>
        </w:rPr>
        <w:t xml:space="preserve"> overt</w:t>
      </w:r>
      <w:r w:rsidRPr="00477C32">
        <w:rPr>
          <w:rFonts w:ascii="Garamond" w:hAnsi="Garamond" w:cs="Times New Roman"/>
          <w:lang w:val="en-GB"/>
        </w:rPr>
        <w:t xml:space="preserve"> racist imagery associated with </w:t>
      </w:r>
      <w:r w:rsidR="008B6766" w:rsidRPr="00477C32">
        <w:rPr>
          <w:rFonts w:ascii="Garamond" w:hAnsi="Garamond" w:cs="Times New Roman"/>
          <w:lang w:val="en-GB"/>
        </w:rPr>
        <w:t xml:space="preserve">Vote </w:t>
      </w:r>
      <w:r w:rsidRPr="00477C32">
        <w:rPr>
          <w:rFonts w:ascii="Garamond" w:hAnsi="Garamond" w:cs="Times New Roman"/>
          <w:lang w:val="en-GB"/>
        </w:rPr>
        <w:t xml:space="preserve">Leave </w:t>
      </w:r>
      <w:r w:rsidR="008B6766" w:rsidRPr="00477C32">
        <w:rPr>
          <w:rFonts w:ascii="Garamond" w:hAnsi="Garamond" w:cs="Times New Roman"/>
          <w:lang w:val="en-GB"/>
        </w:rPr>
        <w:t xml:space="preserve">and </w:t>
      </w:r>
      <w:r w:rsidR="008D4FDC" w:rsidRPr="00477C32">
        <w:rPr>
          <w:rFonts w:ascii="Garamond" w:hAnsi="Garamond" w:cs="Times New Roman"/>
          <w:lang w:val="en-GB"/>
        </w:rPr>
        <w:t>Leave.</w:t>
      </w:r>
      <w:r w:rsidR="00DA282A" w:rsidRPr="00477C32">
        <w:rPr>
          <w:rFonts w:ascii="Garamond" w:hAnsi="Garamond" w:cs="Times New Roman"/>
          <w:lang w:val="en-GB"/>
        </w:rPr>
        <w:t>EU</w:t>
      </w:r>
      <w:r w:rsidRPr="00477C32">
        <w:rPr>
          <w:rFonts w:ascii="Garamond" w:hAnsi="Garamond" w:cs="Times New Roman"/>
          <w:lang w:val="en-GB"/>
        </w:rPr>
        <w:t>.</w:t>
      </w:r>
      <w:r w:rsidR="006B5A9C" w:rsidRPr="00477C32">
        <w:rPr>
          <w:rFonts w:ascii="Garamond" w:hAnsi="Garamond" w:cs="Times New Roman"/>
          <w:lang w:val="en-GB"/>
        </w:rPr>
        <w:t xml:space="preserve"> It is worth engaging in a serious </w:t>
      </w:r>
      <w:r w:rsidR="006B5A9C" w:rsidRPr="00477C32">
        <w:rPr>
          <w:rFonts w:ascii="Garamond" w:hAnsi="Garamond" w:cs="Times New Roman"/>
          <w:lang w:val="en-GB"/>
        </w:rPr>
        <w:lastRenderedPageBreak/>
        <w:t>analysis of whether there was (and is) any basis to the ‘taking back control’</w:t>
      </w:r>
      <w:r w:rsidR="004172EF" w:rsidRPr="00477C32">
        <w:rPr>
          <w:rFonts w:ascii="Garamond" w:hAnsi="Garamond" w:cs="Times New Roman"/>
          <w:lang w:val="en-GB"/>
        </w:rPr>
        <w:t>–</w:t>
      </w:r>
      <w:r w:rsidR="006B5A9C" w:rsidRPr="00477C32">
        <w:rPr>
          <w:rFonts w:ascii="Garamond" w:hAnsi="Garamond" w:cs="Times New Roman"/>
          <w:lang w:val="en-GB"/>
        </w:rPr>
        <w:t xml:space="preserve">type arguments for </w:t>
      </w:r>
      <w:r w:rsidR="00DA6B1F" w:rsidRPr="00477C32">
        <w:rPr>
          <w:rFonts w:ascii="Garamond" w:hAnsi="Garamond" w:cs="Times New Roman"/>
          <w:lang w:val="en-GB"/>
        </w:rPr>
        <w:t>discretion over immigration</w:t>
      </w:r>
      <w:r w:rsidR="006B5A9C" w:rsidRPr="00477C32">
        <w:rPr>
          <w:rFonts w:ascii="Garamond" w:hAnsi="Garamond" w:cs="Times New Roman"/>
          <w:lang w:val="en-GB"/>
        </w:rPr>
        <w:t>.</w:t>
      </w:r>
    </w:p>
    <w:p w14:paraId="213BE4C4" w14:textId="415C384E" w:rsidR="004F39DA" w:rsidRPr="00477C32" w:rsidRDefault="0003412C" w:rsidP="001853BF">
      <w:pPr>
        <w:ind w:firstLine="720"/>
        <w:rPr>
          <w:rFonts w:ascii="Garamond" w:hAnsi="Garamond" w:cs="Times New Roman"/>
          <w:lang w:val="en-GB"/>
        </w:rPr>
      </w:pPr>
      <w:r w:rsidRPr="00477C32">
        <w:rPr>
          <w:rFonts w:ascii="Garamond" w:hAnsi="Garamond" w:cs="Times New Roman"/>
          <w:lang w:val="en-GB"/>
        </w:rPr>
        <w:t xml:space="preserve">In what follows, I will </w:t>
      </w:r>
      <w:r w:rsidR="006B5A9C" w:rsidRPr="00477C32">
        <w:rPr>
          <w:rFonts w:ascii="Garamond" w:hAnsi="Garamond" w:cs="Times New Roman"/>
          <w:lang w:val="en-GB"/>
        </w:rPr>
        <w:t xml:space="preserve">first </w:t>
      </w:r>
      <w:r w:rsidRPr="00477C32">
        <w:rPr>
          <w:rFonts w:ascii="Garamond" w:hAnsi="Garamond" w:cs="Times New Roman"/>
          <w:lang w:val="en-GB"/>
        </w:rPr>
        <w:t>show</w:t>
      </w:r>
      <w:r w:rsidR="00B22AA5" w:rsidRPr="00477C32">
        <w:rPr>
          <w:rFonts w:ascii="Garamond" w:hAnsi="Garamond" w:cs="Times New Roman"/>
          <w:lang w:val="en-GB"/>
        </w:rPr>
        <w:t xml:space="preserve"> (Sections 2 and 3)</w:t>
      </w:r>
      <w:r w:rsidRPr="00477C32">
        <w:rPr>
          <w:rFonts w:ascii="Garamond" w:hAnsi="Garamond" w:cs="Times New Roman"/>
          <w:lang w:val="en-GB"/>
        </w:rPr>
        <w:t>, drawing on recent philosophy of immigration</w:t>
      </w:r>
      <w:r w:rsidR="00AC14DF" w:rsidRPr="00477C32">
        <w:rPr>
          <w:rFonts w:ascii="Garamond" w:hAnsi="Garamond" w:cs="Times New Roman"/>
          <w:lang w:val="en-GB"/>
        </w:rPr>
        <w:t>,</w:t>
      </w:r>
      <w:r w:rsidRPr="00477C32">
        <w:rPr>
          <w:rFonts w:ascii="Garamond" w:hAnsi="Garamond" w:cs="Times New Roman"/>
          <w:lang w:val="en-GB"/>
        </w:rPr>
        <w:t xml:space="preserve"> that the collective self-governance (CSG) argument for increased discretion over immigration has some significant </w:t>
      </w:r>
      <w:r w:rsidR="00AC14DF" w:rsidRPr="00477C32">
        <w:rPr>
          <w:rFonts w:ascii="Garamond" w:hAnsi="Garamond" w:cs="Times New Roman"/>
          <w:lang w:val="en-GB"/>
        </w:rPr>
        <w:t xml:space="preserve">apparent </w:t>
      </w:r>
      <w:r w:rsidRPr="00477C32">
        <w:rPr>
          <w:rFonts w:ascii="Garamond" w:hAnsi="Garamond" w:cs="Times New Roman"/>
          <w:lang w:val="en-GB"/>
        </w:rPr>
        <w:t>strengths, both philosophically and politically.</w:t>
      </w:r>
      <w:r w:rsidR="006B5A9C" w:rsidRPr="00477C32">
        <w:rPr>
          <w:rFonts w:ascii="Garamond" w:hAnsi="Garamond" w:cs="Times New Roman"/>
          <w:lang w:val="en-GB"/>
        </w:rPr>
        <w:t xml:space="preserve"> I will </w:t>
      </w:r>
      <w:r w:rsidR="00F37832" w:rsidRPr="00477C32">
        <w:rPr>
          <w:rFonts w:ascii="Garamond" w:hAnsi="Garamond" w:cs="Times New Roman"/>
          <w:lang w:val="en-GB"/>
        </w:rPr>
        <w:t>review some existing ways to address the argument</w:t>
      </w:r>
      <w:r w:rsidR="006B5A9C" w:rsidRPr="00477C32">
        <w:rPr>
          <w:rFonts w:ascii="Garamond" w:hAnsi="Garamond" w:cs="Times New Roman"/>
          <w:lang w:val="en-GB"/>
        </w:rPr>
        <w:t xml:space="preserve"> </w:t>
      </w:r>
      <w:r w:rsidR="00B22AA5" w:rsidRPr="00477C32">
        <w:rPr>
          <w:rFonts w:ascii="Garamond" w:hAnsi="Garamond" w:cs="Times New Roman"/>
          <w:lang w:val="en-GB"/>
        </w:rPr>
        <w:t>(Section 4)</w:t>
      </w:r>
      <w:r w:rsidR="00F37832" w:rsidRPr="00477C32">
        <w:rPr>
          <w:rFonts w:ascii="Garamond" w:hAnsi="Garamond" w:cs="Times New Roman"/>
          <w:lang w:val="en-GB"/>
        </w:rPr>
        <w:t>, showing their weakness, and then give my own novel responses to the argument</w:t>
      </w:r>
      <w:r w:rsidR="001853BF" w:rsidRPr="00477C32">
        <w:rPr>
          <w:rFonts w:ascii="Garamond" w:hAnsi="Garamond" w:cs="Times New Roman"/>
          <w:lang w:val="en-GB"/>
        </w:rPr>
        <w:t>. F</w:t>
      </w:r>
      <w:r w:rsidR="00AC14DF" w:rsidRPr="00477C32">
        <w:rPr>
          <w:rFonts w:ascii="Garamond" w:hAnsi="Garamond" w:cs="Times New Roman"/>
          <w:lang w:val="en-GB"/>
        </w:rPr>
        <w:t>irst</w:t>
      </w:r>
      <w:r w:rsidR="001853BF" w:rsidRPr="00477C32">
        <w:rPr>
          <w:rFonts w:ascii="Garamond" w:hAnsi="Garamond" w:cs="Times New Roman"/>
          <w:lang w:val="en-GB"/>
        </w:rPr>
        <w:t xml:space="preserve"> (Section 5)</w:t>
      </w:r>
      <w:r w:rsidR="00AC14DF" w:rsidRPr="00477C32">
        <w:rPr>
          <w:rFonts w:ascii="Garamond" w:hAnsi="Garamond" w:cs="Times New Roman"/>
          <w:lang w:val="en-GB"/>
        </w:rPr>
        <w:t>,</w:t>
      </w:r>
      <w:r w:rsidR="001853BF" w:rsidRPr="00477C32">
        <w:rPr>
          <w:rFonts w:ascii="Garamond" w:hAnsi="Garamond" w:cs="Times New Roman"/>
          <w:lang w:val="en-GB"/>
        </w:rPr>
        <w:t xml:space="preserve"> I will show</w:t>
      </w:r>
      <w:r w:rsidR="00AC14DF" w:rsidRPr="00477C32">
        <w:rPr>
          <w:rFonts w:ascii="Garamond" w:hAnsi="Garamond" w:cs="Times New Roman"/>
          <w:lang w:val="en-GB"/>
        </w:rPr>
        <w:t xml:space="preserve"> that it rests on a simplistic understanding of what is required for </w:t>
      </w:r>
      <w:r w:rsidR="00B22AA5" w:rsidRPr="00477C32">
        <w:rPr>
          <w:rFonts w:ascii="Garamond" w:hAnsi="Garamond" w:cs="Times New Roman"/>
          <w:lang w:val="en-GB"/>
        </w:rPr>
        <w:t>CSG</w:t>
      </w:r>
      <w:r w:rsidR="001853BF" w:rsidRPr="00477C32">
        <w:rPr>
          <w:rFonts w:ascii="Garamond" w:hAnsi="Garamond" w:cs="Times New Roman"/>
          <w:lang w:val="en-GB"/>
        </w:rPr>
        <w:t>. S</w:t>
      </w:r>
      <w:r w:rsidR="00AC14DF" w:rsidRPr="00477C32">
        <w:rPr>
          <w:rFonts w:ascii="Garamond" w:hAnsi="Garamond" w:cs="Times New Roman"/>
          <w:lang w:val="en-GB"/>
        </w:rPr>
        <w:t>econd</w:t>
      </w:r>
      <w:r w:rsidR="001853BF" w:rsidRPr="00477C32">
        <w:rPr>
          <w:rFonts w:ascii="Garamond" w:hAnsi="Garamond" w:cs="Times New Roman"/>
          <w:lang w:val="en-GB"/>
        </w:rPr>
        <w:t xml:space="preserve"> (Section 6)</w:t>
      </w:r>
      <w:r w:rsidR="00AC14DF" w:rsidRPr="00477C32">
        <w:rPr>
          <w:rFonts w:ascii="Garamond" w:hAnsi="Garamond" w:cs="Times New Roman"/>
          <w:lang w:val="en-GB"/>
        </w:rPr>
        <w:t xml:space="preserve">, </w:t>
      </w:r>
      <w:r w:rsidR="001853BF" w:rsidRPr="00477C32">
        <w:rPr>
          <w:rFonts w:ascii="Garamond" w:hAnsi="Garamond" w:cs="Times New Roman"/>
          <w:lang w:val="en-GB"/>
        </w:rPr>
        <w:t xml:space="preserve">I show </w:t>
      </w:r>
      <w:r w:rsidR="00AC14DF" w:rsidRPr="00477C32">
        <w:rPr>
          <w:rFonts w:ascii="Garamond" w:hAnsi="Garamond" w:cs="Times New Roman"/>
          <w:lang w:val="en-GB"/>
        </w:rPr>
        <w:t>that sometimes movement</w:t>
      </w:r>
      <w:r w:rsidR="002F27EE" w:rsidRPr="00477C32">
        <w:rPr>
          <w:rFonts w:ascii="Garamond" w:hAnsi="Garamond" w:cs="Times New Roman"/>
          <w:lang w:val="en-GB"/>
        </w:rPr>
        <w:t>s</w:t>
      </w:r>
      <w:r w:rsidR="00AC14DF" w:rsidRPr="00477C32">
        <w:rPr>
          <w:rFonts w:ascii="Garamond" w:hAnsi="Garamond" w:cs="Times New Roman"/>
          <w:lang w:val="en-GB"/>
        </w:rPr>
        <w:t xml:space="preserve"> to enhance discretion over immigration can </w:t>
      </w:r>
      <w:proofErr w:type="gramStart"/>
      <w:r w:rsidR="00AC14DF" w:rsidRPr="00477C32">
        <w:rPr>
          <w:rFonts w:ascii="Garamond" w:hAnsi="Garamond" w:cs="Times New Roman"/>
          <w:lang w:val="en-GB"/>
        </w:rPr>
        <w:t>actually create</w:t>
      </w:r>
      <w:proofErr w:type="gramEnd"/>
      <w:r w:rsidR="00AC14DF" w:rsidRPr="00477C32">
        <w:rPr>
          <w:rFonts w:ascii="Garamond" w:hAnsi="Garamond" w:cs="Times New Roman"/>
          <w:lang w:val="en-GB"/>
        </w:rPr>
        <w:t xml:space="preserve"> </w:t>
      </w:r>
      <w:r w:rsidR="001853BF" w:rsidRPr="00477C32">
        <w:rPr>
          <w:rFonts w:ascii="Garamond" w:hAnsi="Garamond" w:cs="Times New Roman"/>
          <w:i/>
          <w:iCs/>
          <w:lang w:val="en-GB"/>
        </w:rPr>
        <w:t>setbacks</w:t>
      </w:r>
      <w:r w:rsidR="00AC14DF" w:rsidRPr="00477C32">
        <w:rPr>
          <w:rFonts w:ascii="Garamond" w:hAnsi="Garamond" w:cs="Times New Roman"/>
          <w:lang w:val="en-GB"/>
        </w:rPr>
        <w:t xml:space="preserve"> to </w:t>
      </w:r>
      <w:r w:rsidR="00B22AA5" w:rsidRPr="00477C32">
        <w:rPr>
          <w:rFonts w:ascii="Garamond" w:hAnsi="Garamond" w:cs="Times New Roman"/>
          <w:lang w:val="en-GB"/>
        </w:rPr>
        <w:t>CSG</w:t>
      </w:r>
      <w:r w:rsidRPr="00477C32">
        <w:rPr>
          <w:rFonts w:ascii="Garamond" w:hAnsi="Garamond" w:cs="Times New Roman"/>
          <w:lang w:val="en-GB"/>
        </w:rPr>
        <w:t>.</w:t>
      </w:r>
      <w:r w:rsidR="001853BF" w:rsidRPr="00477C32">
        <w:rPr>
          <w:rFonts w:ascii="Garamond" w:hAnsi="Garamond" w:cs="Times New Roman"/>
          <w:lang w:val="en-GB"/>
        </w:rPr>
        <w:t xml:space="preserve"> A close examination of the role of race and racial discourse in the Brexit debate and US immigration policy reveals that even (apparently) left-wing movements for immigration controls can </w:t>
      </w:r>
      <w:r w:rsidR="00F96932" w:rsidRPr="00477C32">
        <w:rPr>
          <w:rFonts w:ascii="Garamond" w:hAnsi="Garamond" w:cs="Times New Roman"/>
          <w:lang w:val="en-GB"/>
        </w:rPr>
        <w:t xml:space="preserve">prevent, </w:t>
      </w:r>
      <w:r w:rsidR="001853BF" w:rsidRPr="00477C32">
        <w:rPr>
          <w:rFonts w:ascii="Garamond" w:hAnsi="Garamond" w:cs="Times New Roman"/>
          <w:lang w:val="en-GB"/>
        </w:rPr>
        <w:t>and have prevent</w:t>
      </w:r>
      <w:r w:rsidR="007313C2" w:rsidRPr="00477C32">
        <w:rPr>
          <w:rFonts w:ascii="Garamond" w:hAnsi="Garamond" w:cs="Times New Roman"/>
          <w:lang w:val="en-GB"/>
        </w:rPr>
        <w:t>ed</w:t>
      </w:r>
      <w:r w:rsidR="00F96932" w:rsidRPr="00477C32">
        <w:rPr>
          <w:rFonts w:ascii="Garamond" w:hAnsi="Garamond" w:cs="Times New Roman"/>
          <w:lang w:val="en-GB"/>
        </w:rPr>
        <w:t>,</w:t>
      </w:r>
      <w:r w:rsidR="001853BF" w:rsidRPr="00477C32">
        <w:rPr>
          <w:rFonts w:ascii="Garamond" w:hAnsi="Garamond" w:cs="Times New Roman"/>
          <w:lang w:val="en-GB"/>
        </w:rPr>
        <w:t xml:space="preserve"> members of the polity </w:t>
      </w:r>
      <w:r w:rsidR="00F96932" w:rsidRPr="00477C32">
        <w:rPr>
          <w:rFonts w:ascii="Garamond" w:hAnsi="Garamond" w:cs="Times New Roman"/>
          <w:lang w:val="en-GB"/>
        </w:rPr>
        <w:t xml:space="preserve">who are people of colour </w:t>
      </w:r>
      <w:r w:rsidR="001853BF" w:rsidRPr="00477C32">
        <w:rPr>
          <w:rFonts w:ascii="Garamond" w:hAnsi="Garamond" w:cs="Times New Roman"/>
          <w:lang w:val="en-GB"/>
        </w:rPr>
        <w:t>from participating</w:t>
      </w:r>
      <w:r w:rsidR="00D943B7" w:rsidRPr="00477C32">
        <w:rPr>
          <w:rFonts w:ascii="Garamond" w:hAnsi="Garamond" w:cs="Times New Roman"/>
          <w:lang w:val="en-GB"/>
        </w:rPr>
        <w:t xml:space="preserve"> fully</w:t>
      </w:r>
      <w:r w:rsidR="001853BF" w:rsidRPr="00477C32">
        <w:rPr>
          <w:rFonts w:ascii="Garamond" w:hAnsi="Garamond" w:cs="Times New Roman"/>
          <w:lang w:val="en-GB"/>
        </w:rPr>
        <w:t xml:space="preserve"> in </w:t>
      </w:r>
      <w:r w:rsidR="00B22AA5" w:rsidRPr="00477C32">
        <w:rPr>
          <w:rFonts w:ascii="Garamond" w:hAnsi="Garamond" w:cs="Times New Roman"/>
          <w:lang w:val="en-GB"/>
        </w:rPr>
        <w:t>CSG</w:t>
      </w:r>
      <w:r w:rsidR="001853BF" w:rsidRPr="00477C32">
        <w:rPr>
          <w:rFonts w:ascii="Garamond" w:hAnsi="Garamond" w:cs="Times New Roman"/>
          <w:lang w:val="en-GB"/>
        </w:rPr>
        <w:t>.</w:t>
      </w:r>
      <w:r w:rsidRPr="00477C32">
        <w:rPr>
          <w:rFonts w:ascii="Garamond" w:hAnsi="Garamond" w:cs="Times New Roman"/>
          <w:lang w:val="en-GB"/>
        </w:rPr>
        <w:t xml:space="preserve"> </w:t>
      </w:r>
      <w:r w:rsidR="006B5A9C" w:rsidRPr="00477C32">
        <w:rPr>
          <w:rFonts w:ascii="Garamond" w:hAnsi="Garamond" w:cs="Times New Roman"/>
          <w:lang w:val="en-GB"/>
        </w:rPr>
        <w:t xml:space="preserve">In the end, policies such as Brexit and increased enforcement at the Southern border may be doing little to protect CSG in the relevant countries and </w:t>
      </w:r>
      <w:r w:rsidR="00F37832" w:rsidRPr="00477C32">
        <w:rPr>
          <w:rFonts w:ascii="Garamond" w:hAnsi="Garamond" w:cs="Times New Roman"/>
          <w:lang w:val="en-GB"/>
        </w:rPr>
        <w:t xml:space="preserve">are </w:t>
      </w:r>
      <w:r w:rsidR="006B5A9C" w:rsidRPr="00477C32">
        <w:rPr>
          <w:rFonts w:ascii="Garamond" w:hAnsi="Garamond" w:cs="Times New Roman"/>
          <w:lang w:val="en-GB"/>
        </w:rPr>
        <w:t>in fact significantly damaging it.</w:t>
      </w:r>
    </w:p>
    <w:p w14:paraId="562BF510" w14:textId="77777777" w:rsidR="00C27B0C" w:rsidRPr="00477C32" w:rsidRDefault="00C27B0C" w:rsidP="00092CD9">
      <w:pPr>
        <w:rPr>
          <w:rFonts w:ascii="Garamond" w:hAnsi="Garamond" w:cs="Times New Roman"/>
          <w:lang w:val="en-GB"/>
        </w:rPr>
      </w:pPr>
    </w:p>
    <w:p w14:paraId="04090045" w14:textId="671D91E0" w:rsidR="0003412C" w:rsidRPr="00477C32" w:rsidRDefault="007135E2" w:rsidP="00092CD9">
      <w:pPr>
        <w:rPr>
          <w:rFonts w:ascii="Garamond" w:hAnsi="Garamond" w:cs="Times New Roman"/>
          <w:b/>
          <w:bCs/>
          <w:lang w:val="en-GB"/>
        </w:rPr>
      </w:pPr>
      <w:r w:rsidRPr="00477C32">
        <w:rPr>
          <w:rFonts w:ascii="Garamond" w:hAnsi="Garamond" w:cs="Times New Roman"/>
          <w:b/>
          <w:bCs/>
          <w:lang w:val="en-GB"/>
        </w:rPr>
        <w:t xml:space="preserve">2. </w:t>
      </w:r>
      <w:r w:rsidR="0003412C" w:rsidRPr="00477C32">
        <w:rPr>
          <w:rFonts w:ascii="Garamond" w:hAnsi="Garamond" w:cs="Times New Roman"/>
          <w:b/>
          <w:bCs/>
          <w:lang w:val="en-GB"/>
        </w:rPr>
        <w:t>The Collective Self-Governance (CSG) Argument</w:t>
      </w:r>
    </w:p>
    <w:p w14:paraId="61237004" w14:textId="278D35F3" w:rsidR="006B5A9C" w:rsidRPr="00477C32" w:rsidRDefault="006B5A9C" w:rsidP="00092CD9">
      <w:pPr>
        <w:rPr>
          <w:rFonts w:ascii="Garamond" w:hAnsi="Garamond" w:cs="Times New Roman"/>
          <w:lang w:val="en-GB"/>
        </w:rPr>
      </w:pPr>
    </w:p>
    <w:p w14:paraId="6F5B85B7" w14:textId="09E8D48B" w:rsidR="006B5A9C" w:rsidRPr="00477C32" w:rsidRDefault="006B5A9C" w:rsidP="007135E2">
      <w:pPr>
        <w:ind w:firstLine="720"/>
        <w:rPr>
          <w:rFonts w:ascii="Garamond" w:hAnsi="Garamond" w:cs="Times New Roman"/>
          <w:lang w:val="en-GB"/>
        </w:rPr>
      </w:pPr>
      <w:r w:rsidRPr="00477C32">
        <w:rPr>
          <w:rFonts w:ascii="Garamond" w:hAnsi="Garamond" w:cs="Times New Roman"/>
          <w:lang w:val="en-GB"/>
        </w:rPr>
        <w:t>Before presenting the CSG argument itself, let me explain a little more carefully what exactly the conclusion of that argument is. Often when we talk about immigration, in our political lives or within philosophy, we are considering whether particular immigration policies should be adopted, such as a state admitting more unskilled workers or reducing the number of refugees admitted. The argument that I am interested in has a slightly different focus</w:t>
      </w:r>
      <w:r w:rsidR="00051360" w:rsidRPr="00477C32">
        <w:rPr>
          <w:rFonts w:ascii="Garamond" w:hAnsi="Garamond" w:cs="Times New Roman"/>
          <w:lang w:val="en-GB"/>
        </w:rPr>
        <w:t>. R</w:t>
      </w:r>
      <w:r w:rsidRPr="00477C32">
        <w:rPr>
          <w:rFonts w:ascii="Garamond" w:hAnsi="Garamond" w:cs="Times New Roman"/>
          <w:lang w:val="en-GB"/>
        </w:rPr>
        <w:t xml:space="preserve">ather than asking the audience to endorse </w:t>
      </w:r>
      <w:proofErr w:type="gramStart"/>
      <w:r w:rsidRPr="00477C32">
        <w:rPr>
          <w:rFonts w:ascii="Garamond" w:hAnsi="Garamond" w:cs="Times New Roman"/>
          <w:lang w:val="en-GB"/>
        </w:rPr>
        <w:t>particular restrictions</w:t>
      </w:r>
      <w:proofErr w:type="gramEnd"/>
      <w:r w:rsidRPr="00477C32">
        <w:rPr>
          <w:rFonts w:ascii="Garamond" w:hAnsi="Garamond" w:cs="Times New Roman"/>
          <w:lang w:val="en-GB"/>
        </w:rPr>
        <w:t xml:space="preserve"> on immigration, it aims to persuade </w:t>
      </w:r>
      <w:r w:rsidR="002039DE" w:rsidRPr="00477C32">
        <w:rPr>
          <w:rFonts w:ascii="Garamond" w:hAnsi="Garamond" w:cs="Times New Roman"/>
          <w:lang w:val="en-GB"/>
        </w:rPr>
        <w:t>us t</w:t>
      </w:r>
      <w:r w:rsidRPr="00477C32">
        <w:rPr>
          <w:rFonts w:ascii="Garamond" w:hAnsi="Garamond" w:cs="Times New Roman"/>
          <w:lang w:val="en-GB"/>
        </w:rPr>
        <w:t xml:space="preserve">hat states need to maintain </w:t>
      </w:r>
      <w:r w:rsidR="002039DE" w:rsidRPr="00477C32">
        <w:rPr>
          <w:rFonts w:ascii="Garamond" w:hAnsi="Garamond" w:cs="Times New Roman"/>
          <w:lang w:val="en-GB"/>
        </w:rPr>
        <w:t xml:space="preserve">and expand </w:t>
      </w:r>
      <w:r w:rsidR="002166AD" w:rsidRPr="00477C32">
        <w:rPr>
          <w:rFonts w:ascii="Garamond" w:hAnsi="Garamond" w:cs="Times New Roman"/>
          <w:lang w:val="en-GB"/>
        </w:rPr>
        <w:t xml:space="preserve">their </w:t>
      </w:r>
      <w:r w:rsidR="002166AD" w:rsidRPr="00477C32">
        <w:rPr>
          <w:rFonts w:ascii="Garamond" w:hAnsi="Garamond" w:cs="Times New Roman"/>
          <w:i/>
          <w:iCs/>
          <w:lang w:val="en-GB"/>
        </w:rPr>
        <w:t>capacity</w:t>
      </w:r>
      <w:r w:rsidR="002166AD" w:rsidRPr="00477C32">
        <w:rPr>
          <w:rFonts w:ascii="Garamond" w:hAnsi="Garamond" w:cs="Times New Roman"/>
          <w:lang w:val="en-GB"/>
        </w:rPr>
        <w:t xml:space="preserve"> to determine who does and doesn’t enter the territory: their ‘discretion over immigration’, as I will call it. </w:t>
      </w:r>
      <w:r w:rsidR="007076EF" w:rsidRPr="00477C32">
        <w:rPr>
          <w:rFonts w:ascii="Garamond" w:hAnsi="Garamond" w:cs="Times New Roman"/>
          <w:lang w:val="en-GB"/>
        </w:rPr>
        <w:t xml:space="preserve">That can include having the formal authority to make rules over admission—which was at stake in the Brexit debate—and it can also include having the </w:t>
      </w:r>
      <w:r w:rsidR="007076EF" w:rsidRPr="00477C32">
        <w:rPr>
          <w:rFonts w:ascii="Garamond" w:hAnsi="Garamond" w:cs="Times New Roman"/>
          <w:i/>
          <w:iCs/>
          <w:lang w:val="en-GB"/>
        </w:rPr>
        <w:t>de facto</w:t>
      </w:r>
      <w:r w:rsidR="007076EF" w:rsidRPr="00477C32">
        <w:rPr>
          <w:rFonts w:ascii="Garamond" w:hAnsi="Garamond" w:cs="Times New Roman"/>
          <w:lang w:val="en-GB"/>
        </w:rPr>
        <w:t xml:space="preserve"> ability to ensure compliance with those rules—which is at stake in debates about enforcement </w:t>
      </w:r>
      <w:r w:rsidR="00146387" w:rsidRPr="00477C32">
        <w:rPr>
          <w:rFonts w:ascii="Garamond" w:hAnsi="Garamond" w:cs="Times New Roman"/>
          <w:lang w:val="en-GB"/>
        </w:rPr>
        <w:t xml:space="preserve">of </w:t>
      </w:r>
      <w:r w:rsidR="007076EF" w:rsidRPr="00477C32">
        <w:rPr>
          <w:rFonts w:ascii="Garamond" w:hAnsi="Garamond" w:cs="Times New Roman"/>
          <w:lang w:val="en-GB"/>
        </w:rPr>
        <w:t>immigration law in the U</w:t>
      </w:r>
      <w:r w:rsidR="00092CD9" w:rsidRPr="00477C32">
        <w:rPr>
          <w:rFonts w:ascii="Garamond" w:hAnsi="Garamond" w:cs="Times New Roman"/>
          <w:lang w:val="en-GB"/>
        </w:rPr>
        <w:t xml:space="preserve">nited </w:t>
      </w:r>
      <w:r w:rsidR="007076EF" w:rsidRPr="00477C32">
        <w:rPr>
          <w:rFonts w:ascii="Garamond" w:hAnsi="Garamond" w:cs="Times New Roman"/>
          <w:lang w:val="en-GB"/>
        </w:rPr>
        <w:t>S</w:t>
      </w:r>
      <w:r w:rsidR="00092CD9" w:rsidRPr="00477C32">
        <w:rPr>
          <w:rFonts w:ascii="Garamond" w:hAnsi="Garamond" w:cs="Times New Roman"/>
          <w:lang w:val="en-GB"/>
        </w:rPr>
        <w:t>tates</w:t>
      </w:r>
      <w:r w:rsidR="007076EF" w:rsidRPr="00477C32">
        <w:rPr>
          <w:rFonts w:ascii="Garamond" w:hAnsi="Garamond" w:cs="Times New Roman"/>
          <w:lang w:val="en-GB"/>
        </w:rPr>
        <w:t>.</w:t>
      </w:r>
    </w:p>
    <w:p w14:paraId="0561DDB7" w14:textId="442E818F" w:rsidR="002166AD" w:rsidRPr="00477C32" w:rsidRDefault="002166AD" w:rsidP="007135E2">
      <w:pPr>
        <w:ind w:firstLine="720"/>
        <w:rPr>
          <w:rFonts w:ascii="Garamond" w:hAnsi="Garamond" w:cs="Times New Roman"/>
          <w:lang w:val="en-GB"/>
        </w:rPr>
      </w:pPr>
      <w:r w:rsidRPr="00477C32">
        <w:rPr>
          <w:rFonts w:ascii="Garamond" w:hAnsi="Garamond" w:cs="Times New Roman"/>
          <w:lang w:val="en-GB"/>
        </w:rPr>
        <w:t xml:space="preserve">The CSG argument </w:t>
      </w:r>
      <w:r w:rsidR="002039DE" w:rsidRPr="00477C32">
        <w:rPr>
          <w:rFonts w:ascii="Garamond" w:hAnsi="Garamond" w:cs="Times New Roman"/>
          <w:lang w:val="en-GB"/>
        </w:rPr>
        <w:t xml:space="preserve">made by political actors </w:t>
      </w:r>
      <w:r w:rsidRPr="00477C32">
        <w:rPr>
          <w:rFonts w:ascii="Garamond" w:hAnsi="Garamond" w:cs="Times New Roman"/>
          <w:lang w:val="en-GB"/>
        </w:rPr>
        <w:t xml:space="preserve">tries to mobilize concerns about </w:t>
      </w:r>
      <w:r w:rsidR="00C8279B" w:rsidRPr="00477C32">
        <w:rPr>
          <w:rFonts w:ascii="Garamond" w:hAnsi="Garamond" w:cs="Times New Roman"/>
          <w:lang w:val="en-GB"/>
        </w:rPr>
        <w:t>CSG</w:t>
      </w:r>
      <w:r w:rsidR="002039DE" w:rsidRPr="00477C32">
        <w:rPr>
          <w:rFonts w:ascii="Garamond" w:hAnsi="Garamond" w:cs="Times New Roman"/>
          <w:lang w:val="en-GB"/>
        </w:rPr>
        <w:t xml:space="preserve"> </w:t>
      </w:r>
      <w:r w:rsidR="007076EF" w:rsidRPr="00477C32">
        <w:rPr>
          <w:rFonts w:ascii="Garamond" w:hAnsi="Garamond" w:cs="Times New Roman"/>
          <w:lang w:val="en-GB"/>
        </w:rPr>
        <w:t xml:space="preserve">to justify shoring up state discretion over immigration. </w:t>
      </w:r>
      <w:r w:rsidR="002039DE" w:rsidRPr="00477C32">
        <w:rPr>
          <w:rFonts w:ascii="Garamond" w:hAnsi="Garamond" w:cs="Times New Roman"/>
          <w:lang w:val="en-GB"/>
        </w:rPr>
        <w:t>CSG has</w:t>
      </w:r>
      <w:r w:rsidR="00C96426" w:rsidRPr="00477C32">
        <w:rPr>
          <w:rFonts w:ascii="Garamond" w:hAnsi="Garamond" w:cs="Times New Roman"/>
          <w:lang w:val="en-GB"/>
        </w:rPr>
        <w:t xml:space="preserve"> also played an important role in recent philosophical work by theorists seeking to defend a state’s right to control its border. I do </w:t>
      </w:r>
      <w:r w:rsidR="00C96426" w:rsidRPr="00477C32">
        <w:rPr>
          <w:rFonts w:ascii="Garamond" w:hAnsi="Garamond" w:cs="Times New Roman"/>
          <w:i/>
          <w:iCs/>
          <w:lang w:val="en-GB"/>
        </w:rPr>
        <w:t>not</w:t>
      </w:r>
      <w:r w:rsidR="00C96426" w:rsidRPr="00477C32">
        <w:rPr>
          <w:rFonts w:ascii="Garamond" w:hAnsi="Garamond" w:cs="Times New Roman"/>
          <w:lang w:val="en-GB"/>
        </w:rPr>
        <w:t xml:space="preserve"> wish to imply that any of those theorists would endorse any of the political positions that I have mentioned. I will just be drawing on their work to present the CSG argument in its strongest form.</w:t>
      </w:r>
      <w:r w:rsidR="00557682" w:rsidRPr="00477C32">
        <w:rPr>
          <w:rStyle w:val="FootnoteReference"/>
          <w:rFonts w:ascii="Garamond" w:hAnsi="Garamond" w:cs="Times New Roman"/>
          <w:lang w:val="en-GB"/>
        </w:rPr>
        <w:footnoteReference w:id="5"/>
      </w:r>
    </w:p>
    <w:p w14:paraId="3A99190F" w14:textId="0E1C1AA3" w:rsidR="006B5A9C" w:rsidRPr="00477C32" w:rsidRDefault="006B5A9C" w:rsidP="00F15039">
      <w:pPr>
        <w:rPr>
          <w:rFonts w:ascii="Garamond" w:hAnsi="Garamond" w:cs="Times New Roman"/>
          <w:lang w:val="en-GB"/>
        </w:rPr>
      </w:pPr>
    </w:p>
    <w:p w14:paraId="67369FE0" w14:textId="1404BD7A" w:rsidR="007076EF" w:rsidRPr="00477C32" w:rsidRDefault="007076EF" w:rsidP="00DE6D35">
      <w:pPr>
        <w:ind w:left="720"/>
        <w:rPr>
          <w:rFonts w:ascii="Garamond" w:hAnsi="Garamond" w:cs="Times New Roman"/>
          <w:u w:val="single"/>
          <w:lang w:val="en-GB"/>
        </w:rPr>
      </w:pPr>
      <w:r w:rsidRPr="00477C32">
        <w:rPr>
          <w:rFonts w:ascii="Garamond" w:hAnsi="Garamond" w:cs="Times New Roman"/>
          <w:u w:val="single"/>
          <w:lang w:val="en-GB"/>
        </w:rPr>
        <w:t>The CSG Argument</w:t>
      </w:r>
    </w:p>
    <w:p w14:paraId="7F44280B" w14:textId="77777777" w:rsidR="00F15039" w:rsidRPr="00477C32" w:rsidRDefault="00F15039" w:rsidP="00DE6D35">
      <w:pPr>
        <w:ind w:left="720"/>
        <w:rPr>
          <w:rFonts w:ascii="Garamond" w:hAnsi="Garamond" w:cs="Times New Roman"/>
          <w:lang w:val="en-GB"/>
        </w:rPr>
      </w:pPr>
    </w:p>
    <w:p w14:paraId="078F83FD" w14:textId="472D131B" w:rsidR="006B5A9C" w:rsidRPr="00477C32" w:rsidRDefault="00F15039" w:rsidP="00DE6D35">
      <w:pPr>
        <w:tabs>
          <w:tab w:val="left" w:pos="1080"/>
        </w:tabs>
        <w:ind w:left="1080" w:hanging="360"/>
        <w:rPr>
          <w:rFonts w:ascii="Garamond" w:hAnsi="Garamond" w:cs="Times New Roman"/>
          <w:lang w:val="en-GB"/>
        </w:rPr>
      </w:pPr>
      <w:r w:rsidRPr="00477C32">
        <w:rPr>
          <w:rFonts w:ascii="Garamond" w:hAnsi="Garamond" w:cs="Times New Roman"/>
          <w:lang w:val="en-GB"/>
        </w:rPr>
        <w:t xml:space="preserve">i. </w:t>
      </w:r>
      <w:r w:rsidR="00FD0F4B" w:rsidRPr="00477C32">
        <w:rPr>
          <w:rFonts w:ascii="Garamond" w:hAnsi="Garamond" w:cs="Times New Roman"/>
          <w:lang w:val="en-GB"/>
        </w:rPr>
        <w:tab/>
      </w:r>
      <w:r w:rsidR="006B5A9C" w:rsidRPr="00477C32">
        <w:rPr>
          <w:rFonts w:ascii="Garamond" w:hAnsi="Garamond" w:cs="Times New Roman"/>
          <w:lang w:val="en-GB"/>
        </w:rPr>
        <w:t xml:space="preserve">Political communities ought to protect their capacity for </w:t>
      </w:r>
      <w:r w:rsidR="00C8279B" w:rsidRPr="00477C32">
        <w:rPr>
          <w:rFonts w:ascii="Garamond" w:hAnsi="Garamond" w:cs="Times New Roman"/>
          <w:lang w:val="en-GB"/>
        </w:rPr>
        <w:t>CSG</w:t>
      </w:r>
      <w:r w:rsidR="006B5A9C" w:rsidRPr="00477C32">
        <w:rPr>
          <w:rFonts w:ascii="Garamond" w:hAnsi="Garamond" w:cs="Times New Roman"/>
          <w:lang w:val="en-GB"/>
        </w:rPr>
        <w:t>.</w:t>
      </w:r>
    </w:p>
    <w:p w14:paraId="27C73B6E" w14:textId="2742C994" w:rsidR="006B5A9C" w:rsidRPr="00477C32" w:rsidRDefault="00F15039" w:rsidP="00FD0F4B">
      <w:pPr>
        <w:tabs>
          <w:tab w:val="left" w:pos="1080"/>
        </w:tabs>
        <w:ind w:left="1080" w:hanging="360"/>
        <w:rPr>
          <w:rFonts w:ascii="Garamond" w:hAnsi="Garamond" w:cs="Times New Roman"/>
          <w:lang w:val="en-GB"/>
        </w:rPr>
      </w:pPr>
      <w:r w:rsidRPr="00477C32">
        <w:rPr>
          <w:rFonts w:ascii="Garamond" w:hAnsi="Garamond" w:cs="Times New Roman"/>
          <w:lang w:val="en-GB"/>
        </w:rPr>
        <w:t xml:space="preserve">ii. </w:t>
      </w:r>
      <w:r w:rsidR="00FD0F4B" w:rsidRPr="00477C32">
        <w:rPr>
          <w:rFonts w:ascii="Garamond" w:hAnsi="Garamond" w:cs="Times New Roman"/>
          <w:lang w:val="en-GB"/>
        </w:rPr>
        <w:tab/>
      </w:r>
      <w:r w:rsidR="00C8279B" w:rsidRPr="00477C32">
        <w:rPr>
          <w:rFonts w:ascii="Garamond" w:hAnsi="Garamond" w:cs="Times New Roman"/>
          <w:lang w:val="en-GB"/>
        </w:rPr>
        <w:t>CSG</w:t>
      </w:r>
      <w:r w:rsidR="006B5A9C" w:rsidRPr="00477C32">
        <w:rPr>
          <w:rFonts w:ascii="Garamond" w:hAnsi="Garamond" w:cs="Times New Roman"/>
          <w:lang w:val="en-GB"/>
        </w:rPr>
        <w:t xml:space="preserve"> is diminished when political communities lack discretion over immigration.</w:t>
      </w:r>
    </w:p>
    <w:p w14:paraId="213FBF7B" w14:textId="77777777" w:rsidR="006B5A9C" w:rsidRPr="00477C32" w:rsidRDefault="006B5A9C" w:rsidP="006B5A9C">
      <w:pPr>
        <w:pStyle w:val="ListParagraph"/>
        <w:ind w:left="1440"/>
        <w:rPr>
          <w:rFonts w:ascii="Garamond" w:hAnsi="Garamond" w:cs="Times New Roman"/>
          <w:lang w:val="en-GB"/>
        </w:rPr>
      </w:pPr>
      <w:r w:rsidRPr="00477C32">
        <w:rPr>
          <w:rFonts w:ascii="Garamond" w:hAnsi="Garamond" w:cs="Times New Roman"/>
          <w:lang w:val="en-GB"/>
        </w:rPr>
        <w:t>Therefore,</w:t>
      </w:r>
    </w:p>
    <w:p w14:paraId="5EF16AD9" w14:textId="071E88CE" w:rsidR="002166AD" w:rsidRPr="00477C32" w:rsidRDefault="002166AD" w:rsidP="00FD0F4B">
      <w:pPr>
        <w:tabs>
          <w:tab w:val="left" w:pos="1080"/>
        </w:tabs>
        <w:ind w:left="720"/>
        <w:rPr>
          <w:rFonts w:ascii="Garamond" w:hAnsi="Garamond" w:cs="Times New Roman"/>
          <w:lang w:val="en-GB"/>
        </w:rPr>
      </w:pPr>
      <w:r w:rsidRPr="00477C32">
        <w:rPr>
          <w:rFonts w:ascii="Garamond" w:hAnsi="Garamond" w:cs="Times New Roman"/>
          <w:lang w:val="en-GB"/>
        </w:rPr>
        <w:t>C1.</w:t>
      </w:r>
      <w:r w:rsidR="00FD0F4B" w:rsidRPr="00477C32">
        <w:rPr>
          <w:rFonts w:ascii="Garamond" w:hAnsi="Garamond" w:cs="Times New Roman"/>
          <w:lang w:val="en-GB"/>
        </w:rPr>
        <w:tab/>
      </w:r>
      <w:r w:rsidR="006B5A9C" w:rsidRPr="00477C32">
        <w:rPr>
          <w:rFonts w:ascii="Garamond" w:hAnsi="Garamond" w:cs="Times New Roman"/>
          <w:lang w:val="en-GB"/>
        </w:rPr>
        <w:t>Political communities ought to protect their discretion over immigration.</w:t>
      </w:r>
    </w:p>
    <w:p w14:paraId="4BF4AF9A" w14:textId="6A2C1141" w:rsidR="002166AD" w:rsidRPr="00477C32" w:rsidRDefault="002166AD" w:rsidP="00FD0F4B">
      <w:pPr>
        <w:pStyle w:val="ListParagraph"/>
        <w:ind w:left="1440"/>
        <w:rPr>
          <w:rFonts w:ascii="Garamond" w:hAnsi="Garamond" w:cs="Times New Roman"/>
          <w:lang w:val="en-GB"/>
        </w:rPr>
      </w:pPr>
      <w:r w:rsidRPr="00477C32">
        <w:rPr>
          <w:rFonts w:ascii="Garamond" w:hAnsi="Garamond" w:cs="Times New Roman"/>
          <w:lang w:val="en-GB"/>
        </w:rPr>
        <w:t>Therefore,</w:t>
      </w:r>
    </w:p>
    <w:p w14:paraId="379ED922" w14:textId="456F2A40" w:rsidR="002166AD" w:rsidRPr="00477C32" w:rsidRDefault="002166AD" w:rsidP="00FD0F4B">
      <w:pPr>
        <w:tabs>
          <w:tab w:val="left" w:pos="1080"/>
        </w:tabs>
        <w:ind w:left="720"/>
        <w:rPr>
          <w:rFonts w:ascii="Garamond" w:hAnsi="Garamond" w:cs="Times New Roman"/>
          <w:lang w:val="en-GB"/>
        </w:rPr>
      </w:pPr>
      <w:r w:rsidRPr="00477C32">
        <w:rPr>
          <w:rFonts w:ascii="Garamond" w:hAnsi="Garamond" w:cs="Times New Roman"/>
          <w:lang w:val="en-GB"/>
        </w:rPr>
        <w:t>C2.</w:t>
      </w:r>
      <w:r w:rsidR="00FD0F4B" w:rsidRPr="00477C32">
        <w:rPr>
          <w:rFonts w:ascii="Garamond" w:hAnsi="Garamond" w:cs="Times New Roman"/>
          <w:lang w:val="en-GB"/>
        </w:rPr>
        <w:tab/>
      </w:r>
      <w:r w:rsidRPr="00477C32">
        <w:rPr>
          <w:rFonts w:ascii="Garamond" w:hAnsi="Garamond" w:cs="Times New Roman"/>
          <w:lang w:val="en-GB"/>
        </w:rPr>
        <w:t>Political communities ought to protect their state</w:t>
      </w:r>
      <w:r w:rsidR="00D401DB" w:rsidRPr="00477C32">
        <w:rPr>
          <w:rFonts w:ascii="Garamond" w:hAnsi="Garamond" w:cs="Times New Roman"/>
          <w:lang w:val="en-GB"/>
        </w:rPr>
        <w:t>s</w:t>
      </w:r>
      <w:r w:rsidRPr="00477C32">
        <w:rPr>
          <w:rFonts w:ascii="Garamond" w:hAnsi="Garamond" w:cs="Times New Roman"/>
          <w:lang w:val="en-GB"/>
        </w:rPr>
        <w:t>’ discretion over immigration.</w:t>
      </w:r>
    </w:p>
    <w:p w14:paraId="5A75A6C6" w14:textId="31738FD1" w:rsidR="006B5A9C" w:rsidRPr="00477C32" w:rsidRDefault="006B5A9C" w:rsidP="006B5A9C">
      <w:pPr>
        <w:ind w:firstLine="360"/>
        <w:rPr>
          <w:rFonts w:ascii="Garamond" w:hAnsi="Garamond" w:cs="Times New Roman"/>
          <w:lang w:val="en-GB"/>
        </w:rPr>
      </w:pPr>
    </w:p>
    <w:p w14:paraId="5C9685EF" w14:textId="7073CF4C" w:rsidR="002376BE" w:rsidRPr="00477C32" w:rsidRDefault="007076EF" w:rsidP="007135E2">
      <w:pPr>
        <w:ind w:firstLine="720"/>
        <w:rPr>
          <w:rFonts w:ascii="Garamond" w:hAnsi="Garamond" w:cs="Times New Roman"/>
          <w:lang w:val="en-GB"/>
        </w:rPr>
      </w:pPr>
      <w:r w:rsidRPr="00477C32">
        <w:rPr>
          <w:rFonts w:ascii="Garamond" w:hAnsi="Garamond" w:cs="Times New Roman"/>
          <w:lang w:val="en-GB"/>
        </w:rPr>
        <w:lastRenderedPageBreak/>
        <w:t>Let me now clarify this argument in some more detail, including the meanings of its premises and why someone might adopt them.</w:t>
      </w:r>
    </w:p>
    <w:p w14:paraId="304FD3A7" w14:textId="3EF0D3B1" w:rsidR="002376BE" w:rsidRPr="00477C32" w:rsidRDefault="007076EF" w:rsidP="007135E2">
      <w:pPr>
        <w:ind w:firstLine="720"/>
        <w:rPr>
          <w:rFonts w:ascii="Garamond" w:hAnsi="Garamond" w:cs="Times New Roman"/>
          <w:lang w:val="en-GB"/>
        </w:rPr>
      </w:pPr>
      <w:r w:rsidRPr="00477C32">
        <w:rPr>
          <w:rFonts w:ascii="Garamond" w:hAnsi="Garamond" w:cs="Times New Roman"/>
          <w:lang w:val="en-GB"/>
        </w:rPr>
        <w:t>The first premise states that collective government is a value that ought to be protected.</w:t>
      </w:r>
      <w:r w:rsidR="00050FBE" w:rsidRPr="00477C32">
        <w:rPr>
          <w:rFonts w:ascii="Garamond" w:hAnsi="Garamond" w:cs="Times New Roman"/>
          <w:lang w:val="en-GB"/>
        </w:rPr>
        <w:t xml:space="preserve"> Can this be defended?</w:t>
      </w:r>
      <w:r w:rsidRPr="00477C32">
        <w:rPr>
          <w:rFonts w:ascii="Garamond" w:hAnsi="Garamond" w:cs="Times New Roman"/>
          <w:lang w:val="en-GB"/>
        </w:rPr>
        <w:t xml:space="preserve"> </w:t>
      </w:r>
      <w:r w:rsidR="00050FBE" w:rsidRPr="00477C32">
        <w:rPr>
          <w:rFonts w:ascii="Garamond" w:hAnsi="Garamond" w:cs="Times New Roman"/>
          <w:lang w:val="en-GB"/>
        </w:rPr>
        <w:t>As</w:t>
      </w:r>
      <w:r w:rsidR="005D0F1D" w:rsidRPr="00477C32">
        <w:rPr>
          <w:rFonts w:ascii="Garamond" w:hAnsi="Garamond" w:cs="Times New Roman"/>
          <w:lang w:val="en-GB"/>
        </w:rPr>
        <w:t xml:space="preserve"> Sarah Song points out, CSG is a </w:t>
      </w:r>
      <w:r w:rsidR="005D0F1D" w:rsidRPr="00477C32">
        <w:rPr>
          <w:rFonts w:ascii="Garamond" w:hAnsi="Garamond" w:cs="Times New Roman"/>
          <w:i/>
          <w:iCs/>
          <w:lang w:val="en-GB"/>
        </w:rPr>
        <w:t>widely shared</w:t>
      </w:r>
      <w:r w:rsidR="005D0F1D" w:rsidRPr="00477C32">
        <w:rPr>
          <w:rFonts w:ascii="Garamond" w:hAnsi="Garamond" w:cs="Times New Roman"/>
          <w:lang w:val="en-GB"/>
        </w:rPr>
        <w:t xml:space="preserve"> value, as seen in documents such as the UN </w:t>
      </w:r>
      <w:r w:rsidR="00E568AA" w:rsidRPr="00477C32">
        <w:rPr>
          <w:rFonts w:ascii="Garamond" w:hAnsi="Garamond" w:cs="Times New Roman"/>
          <w:lang w:val="en-GB"/>
        </w:rPr>
        <w:t>Charter</w:t>
      </w:r>
      <w:r w:rsidR="005D0F1D" w:rsidRPr="00477C32">
        <w:rPr>
          <w:rFonts w:ascii="Garamond" w:hAnsi="Garamond" w:cs="Times New Roman"/>
          <w:lang w:val="en-GB"/>
        </w:rPr>
        <w:t xml:space="preserve"> (Song, </w:t>
      </w:r>
      <w:r w:rsidR="007F215E" w:rsidRPr="00477C32">
        <w:rPr>
          <w:rFonts w:ascii="Garamond" w:hAnsi="Garamond" w:cs="Times New Roman"/>
          <w:lang w:val="en-GB"/>
        </w:rPr>
        <w:t>5</w:t>
      </w:r>
      <w:r w:rsidR="005D0F1D" w:rsidRPr="00477C32">
        <w:rPr>
          <w:rFonts w:ascii="Garamond" w:hAnsi="Garamond" w:cs="Times New Roman"/>
          <w:lang w:val="en-GB"/>
        </w:rPr>
        <w:t>3).</w:t>
      </w:r>
      <w:r w:rsidR="008F5080" w:rsidRPr="00477C32">
        <w:rPr>
          <w:rStyle w:val="FootnoteReference"/>
          <w:rFonts w:ascii="Garamond" w:hAnsi="Garamond" w:cs="Times New Roman"/>
          <w:lang w:val="en-GB"/>
        </w:rPr>
        <w:footnoteReference w:id="6"/>
      </w:r>
      <w:r w:rsidR="005D0F1D" w:rsidRPr="00477C32">
        <w:rPr>
          <w:rFonts w:ascii="Garamond" w:hAnsi="Garamond" w:cs="Times New Roman"/>
          <w:lang w:val="en-GB"/>
        </w:rPr>
        <w:t xml:space="preserve"> Moreover, CSG appears to be a very </w:t>
      </w:r>
      <w:r w:rsidR="005D0F1D" w:rsidRPr="00477C32">
        <w:rPr>
          <w:rFonts w:ascii="Garamond" w:hAnsi="Garamond" w:cs="Times New Roman"/>
          <w:i/>
          <w:iCs/>
          <w:lang w:val="en-GB"/>
        </w:rPr>
        <w:t>weighty</w:t>
      </w:r>
      <w:r w:rsidR="005D0F1D" w:rsidRPr="00477C32">
        <w:rPr>
          <w:rFonts w:ascii="Garamond" w:hAnsi="Garamond" w:cs="Times New Roman"/>
          <w:lang w:val="en-GB"/>
        </w:rPr>
        <w:t xml:space="preserve"> value. Resistance to colonialism, for example, often emphasized not only the various more specific harms and wrongs of colonialism—such as exploitation, murder, and so on—but also the sheer </w:t>
      </w:r>
      <w:r w:rsidR="00D124D8" w:rsidRPr="00477C32">
        <w:rPr>
          <w:rFonts w:ascii="Garamond" w:hAnsi="Garamond" w:cs="Times New Roman"/>
          <w:lang w:val="en-GB"/>
        </w:rPr>
        <w:t>problem</w:t>
      </w:r>
      <w:r w:rsidR="005D0F1D" w:rsidRPr="00477C32">
        <w:rPr>
          <w:rFonts w:ascii="Garamond" w:hAnsi="Garamond" w:cs="Times New Roman"/>
          <w:lang w:val="en-GB"/>
        </w:rPr>
        <w:t xml:space="preserve"> of one people being subjected to the rule of another</w:t>
      </w:r>
      <w:r w:rsidR="002C0171" w:rsidRPr="00477C32">
        <w:rPr>
          <w:rFonts w:ascii="Garamond" w:hAnsi="Garamond" w:cs="Times New Roman"/>
          <w:lang w:val="en-GB"/>
        </w:rPr>
        <w:t>.</w:t>
      </w:r>
      <w:r w:rsidR="00FE607B" w:rsidRPr="00477C32">
        <w:rPr>
          <w:rFonts w:ascii="Garamond" w:hAnsi="Garamond" w:cs="Times New Roman"/>
          <w:lang w:val="en-GB"/>
        </w:rPr>
        <w:t xml:space="preserve"> The precise source of this value is a very large topic, but Song suggests (plausibly) that it ultimately derives from the importance of </w:t>
      </w:r>
      <w:r w:rsidR="00FE607B" w:rsidRPr="00477C32">
        <w:rPr>
          <w:rFonts w:ascii="Garamond" w:hAnsi="Garamond" w:cs="Times New Roman"/>
          <w:i/>
          <w:iCs/>
          <w:lang w:val="en-GB"/>
        </w:rPr>
        <w:t>individual</w:t>
      </w:r>
      <w:r w:rsidR="00FE607B" w:rsidRPr="00477C32">
        <w:rPr>
          <w:rFonts w:ascii="Garamond" w:hAnsi="Garamond" w:cs="Times New Roman"/>
          <w:lang w:val="en-GB"/>
        </w:rPr>
        <w:t xml:space="preserve"> self-governance—the ability of an individual to shape their own life in light of their basic commitments (56). </w:t>
      </w:r>
      <w:r w:rsidR="0062297D" w:rsidRPr="00477C32">
        <w:rPr>
          <w:rFonts w:ascii="Garamond" w:hAnsi="Garamond" w:cs="Times New Roman"/>
          <w:lang w:val="en-GB"/>
        </w:rPr>
        <w:t xml:space="preserve">CSG </w:t>
      </w:r>
      <w:r w:rsidR="00FE607B" w:rsidRPr="00477C32">
        <w:rPr>
          <w:rFonts w:ascii="Garamond" w:hAnsi="Garamond" w:cs="Times New Roman"/>
          <w:lang w:val="en-GB"/>
        </w:rPr>
        <w:t xml:space="preserve">serves as a means for individuals to play a role in shaping the legal rules that they must live by. </w:t>
      </w:r>
      <w:r w:rsidR="002376BE" w:rsidRPr="00477C32">
        <w:rPr>
          <w:rFonts w:ascii="Garamond" w:hAnsi="Garamond" w:cs="Times New Roman"/>
          <w:lang w:val="en-GB"/>
        </w:rPr>
        <w:t>The first premise thus stands on relatively secure footing. CSG is a widely shared and seemingly very important value, and so it is quite plausible to think that it is something political communities ought to aim to protect for themselves</w:t>
      </w:r>
      <w:r w:rsidR="00D124D8" w:rsidRPr="00477C32">
        <w:rPr>
          <w:rFonts w:ascii="Garamond" w:hAnsi="Garamond" w:cs="Times New Roman"/>
          <w:lang w:val="en-GB"/>
        </w:rPr>
        <w:t>.</w:t>
      </w:r>
    </w:p>
    <w:p w14:paraId="2532546E" w14:textId="2B8B1E33" w:rsidR="00466A99" w:rsidRPr="00477C32" w:rsidRDefault="00466A99" w:rsidP="007135E2">
      <w:pPr>
        <w:ind w:firstLine="720"/>
        <w:rPr>
          <w:rFonts w:ascii="Garamond" w:hAnsi="Garamond" w:cs="Times New Roman"/>
          <w:lang w:val="en-GB"/>
        </w:rPr>
      </w:pPr>
      <w:r w:rsidRPr="00477C32">
        <w:rPr>
          <w:rFonts w:ascii="Garamond" w:hAnsi="Garamond" w:cs="Times New Roman"/>
          <w:lang w:val="en-GB"/>
        </w:rPr>
        <w:t>The second premise seeks to connect CSG with</w:t>
      </w:r>
      <w:r w:rsidR="002B1484" w:rsidRPr="00477C32">
        <w:rPr>
          <w:rFonts w:ascii="Garamond" w:hAnsi="Garamond" w:cs="Times New Roman"/>
          <w:lang w:val="en-GB"/>
        </w:rPr>
        <w:t xml:space="preserve"> </w:t>
      </w:r>
      <w:r w:rsidR="00554D93" w:rsidRPr="00477C32">
        <w:rPr>
          <w:rFonts w:ascii="Garamond" w:hAnsi="Garamond" w:cs="Times New Roman"/>
          <w:lang w:val="en-GB"/>
        </w:rPr>
        <w:t>the ability to control</w:t>
      </w:r>
      <w:r w:rsidR="002B1484" w:rsidRPr="00477C32">
        <w:rPr>
          <w:rFonts w:ascii="Garamond" w:hAnsi="Garamond" w:cs="Times New Roman"/>
          <w:lang w:val="en-GB"/>
        </w:rPr>
        <w:t xml:space="preserve"> immigration.</w:t>
      </w:r>
      <w:r w:rsidR="006066CC" w:rsidRPr="00477C32">
        <w:rPr>
          <w:rFonts w:ascii="Garamond" w:hAnsi="Garamond" w:cs="Times New Roman"/>
          <w:lang w:val="en-GB"/>
        </w:rPr>
        <w:t xml:space="preserve"> What is the connection supposed to be? </w:t>
      </w:r>
      <w:r w:rsidR="007039C9" w:rsidRPr="00477C32">
        <w:rPr>
          <w:rFonts w:ascii="Garamond" w:hAnsi="Garamond" w:cs="Times New Roman"/>
          <w:lang w:val="en-GB"/>
        </w:rPr>
        <w:t>Song suggests that</w:t>
      </w:r>
      <w:r w:rsidR="006066CC" w:rsidRPr="00477C32">
        <w:rPr>
          <w:rFonts w:ascii="Garamond" w:hAnsi="Garamond" w:cs="Times New Roman"/>
          <w:lang w:val="en-GB"/>
        </w:rPr>
        <w:t xml:space="preserve"> </w:t>
      </w:r>
      <w:r w:rsidR="0062297D" w:rsidRPr="00477C32">
        <w:rPr>
          <w:rFonts w:ascii="Garamond" w:hAnsi="Garamond" w:cs="Times New Roman"/>
          <w:lang w:val="en-GB"/>
        </w:rPr>
        <w:t xml:space="preserve">CSG </w:t>
      </w:r>
      <w:r w:rsidR="006066CC" w:rsidRPr="00477C32">
        <w:rPr>
          <w:rFonts w:ascii="Garamond" w:hAnsi="Garamond" w:cs="Times New Roman"/>
          <w:lang w:val="en-GB"/>
        </w:rPr>
        <w:t>require</w:t>
      </w:r>
      <w:r w:rsidR="007039C9" w:rsidRPr="00477C32">
        <w:rPr>
          <w:rFonts w:ascii="Garamond" w:hAnsi="Garamond" w:cs="Times New Roman"/>
          <w:lang w:val="en-GB"/>
        </w:rPr>
        <w:t>s</w:t>
      </w:r>
      <w:r w:rsidR="006066CC" w:rsidRPr="00477C32">
        <w:rPr>
          <w:rFonts w:ascii="Garamond" w:hAnsi="Garamond" w:cs="Times New Roman"/>
          <w:lang w:val="en-GB"/>
        </w:rPr>
        <w:t xml:space="preserve"> that a state be able to make binding rules (in the form of laws) about what takes place within that territory.</w:t>
      </w:r>
      <w:r w:rsidR="006066CC" w:rsidRPr="00477C32">
        <w:rPr>
          <w:rStyle w:val="FootnoteReference"/>
          <w:rFonts w:ascii="Garamond" w:hAnsi="Garamond" w:cs="Times New Roman"/>
          <w:lang w:val="en-GB"/>
        </w:rPr>
        <w:footnoteReference w:id="7"/>
      </w:r>
      <w:r w:rsidR="006066CC" w:rsidRPr="00477C32">
        <w:rPr>
          <w:rFonts w:ascii="Garamond" w:hAnsi="Garamond" w:cs="Times New Roman"/>
          <w:lang w:val="en-GB"/>
        </w:rPr>
        <w:t xml:space="preserve"> For example,</w:t>
      </w:r>
      <w:r w:rsidR="00621B34" w:rsidRPr="00477C32">
        <w:rPr>
          <w:rFonts w:ascii="Garamond" w:hAnsi="Garamond" w:cs="Times New Roman"/>
          <w:lang w:val="en-GB"/>
        </w:rPr>
        <w:t xml:space="preserve"> it was considered an increase in </w:t>
      </w:r>
      <w:r w:rsidR="0062297D" w:rsidRPr="00477C32">
        <w:rPr>
          <w:rFonts w:ascii="Garamond" w:hAnsi="Garamond" w:cs="Times New Roman"/>
          <w:lang w:val="en-GB"/>
        </w:rPr>
        <w:t>CSG</w:t>
      </w:r>
      <w:r w:rsidR="00621B34" w:rsidRPr="00477C32">
        <w:rPr>
          <w:rFonts w:ascii="Garamond" w:hAnsi="Garamond" w:cs="Times New Roman"/>
          <w:lang w:val="en-GB"/>
        </w:rPr>
        <w:t xml:space="preserve"> in Wales when certain </w:t>
      </w:r>
      <w:r w:rsidR="0065373C" w:rsidRPr="00477C32">
        <w:rPr>
          <w:rFonts w:ascii="Garamond" w:hAnsi="Garamond" w:cs="Times New Roman"/>
          <w:lang w:val="en-GB"/>
        </w:rPr>
        <w:t xml:space="preserve">territorial </w:t>
      </w:r>
      <w:r w:rsidR="00621B34" w:rsidRPr="00477C32">
        <w:rPr>
          <w:rFonts w:ascii="Garamond" w:hAnsi="Garamond" w:cs="Times New Roman"/>
          <w:lang w:val="en-GB"/>
        </w:rPr>
        <w:t xml:space="preserve">rule-making powers were transferred from Westminster to Cardiff, such as the ability to </w:t>
      </w:r>
      <w:r w:rsidR="0065373C" w:rsidRPr="00477C32">
        <w:rPr>
          <w:rFonts w:ascii="Garamond" w:hAnsi="Garamond" w:cs="Times New Roman"/>
          <w:lang w:val="en-GB"/>
        </w:rPr>
        <w:t>make laws governing healthcare, education, and transport within the territory of Wales. The case for premise two is that the ability to make and enforce laws regarding immigration is, no less than the ability to make and enforce healthcare laws, something that affects a people’s capacity to regulate what takes place within its territory</w:t>
      </w:r>
      <w:r w:rsidR="00621B34" w:rsidRPr="00477C32">
        <w:rPr>
          <w:rFonts w:ascii="Garamond" w:hAnsi="Garamond" w:cs="Times New Roman"/>
          <w:lang w:val="en-GB"/>
        </w:rPr>
        <w:t xml:space="preserve">. </w:t>
      </w:r>
      <w:r w:rsidR="0065373C" w:rsidRPr="00477C32">
        <w:rPr>
          <w:rFonts w:ascii="Garamond" w:hAnsi="Garamond" w:cs="Times New Roman"/>
          <w:lang w:val="en-GB"/>
        </w:rPr>
        <w:t>Both healthcare and immigration laws dictate what takes place within a territory, they just do so in different ways</w:t>
      </w:r>
      <w:r w:rsidR="00BC7AF3" w:rsidRPr="00477C32">
        <w:rPr>
          <w:rFonts w:ascii="Garamond" w:hAnsi="Garamond" w:cs="Times New Roman"/>
          <w:lang w:val="en-GB"/>
        </w:rPr>
        <w:t>,</w:t>
      </w:r>
      <w:r w:rsidR="0065373C" w:rsidRPr="00477C32">
        <w:rPr>
          <w:rFonts w:ascii="Garamond" w:hAnsi="Garamond" w:cs="Times New Roman"/>
          <w:lang w:val="en-GB"/>
        </w:rPr>
        <w:t xml:space="preserve"> the one set determining </w:t>
      </w:r>
      <w:r w:rsidR="00CB28A2" w:rsidRPr="00477C32">
        <w:rPr>
          <w:rFonts w:ascii="Garamond" w:hAnsi="Garamond" w:cs="Times New Roman"/>
          <w:lang w:val="en-GB"/>
        </w:rPr>
        <w:t>access to hospitals and so</w:t>
      </w:r>
      <w:r w:rsidR="007039C9" w:rsidRPr="00477C32">
        <w:rPr>
          <w:rFonts w:ascii="Garamond" w:hAnsi="Garamond" w:cs="Times New Roman"/>
          <w:lang w:val="en-GB"/>
        </w:rPr>
        <w:t xml:space="preserve"> on</w:t>
      </w:r>
      <w:r w:rsidR="00CB28A2" w:rsidRPr="00477C32">
        <w:rPr>
          <w:rFonts w:ascii="Garamond" w:hAnsi="Garamond" w:cs="Times New Roman"/>
          <w:lang w:val="en-GB"/>
        </w:rPr>
        <w:t xml:space="preserve"> within the territory</w:t>
      </w:r>
      <w:r w:rsidR="00BC7AF3" w:rsidRPr="00477C32">
        <w:rPr>
          <w:rFonts w:ascii="Garamond" w:hAnsi="Garamond" w:cs="Times New Roman"/>
          <w:lang w:val="en-GB"/>
        </w:rPr>
        <w:t>,</w:t>
      </w:r>
      <w:r w:rsidR="0065373C" w:rsidRPr="00477C32">
        <w:rPr>
          <w:rFonts w:ascii="Garamond" w:hAnsi="Garamond" w:cs="Times New Roman"/>
          <w:lang w:val="en-GB"/>
        </w:rPr>
        <w:t xml:space="preserve"> the other determining who is </w:t>
      </w:r>
      <w:r w:rsidR="00A601F1" w:rsidRPr="00477C32">
        <w:rPr>
          <w:rFonts w:ascii="Garamond" w:hAnsi="Garamond" w:cs="Times New Roman"/>
          <w:lang w:val="en-GB"/>
        </w:rPr>
        <w:t>able to be present or reside in the territory</w:t>
      </w:r>
      <w:r w:rsidR="0065373C" w:rsidRPr="00477C32">
        <w:rPr>
          <w:rFonts w:ascii="Garamond" w:hAnsi="Garamond" w:cs="Times New Roman"/>
          <w:lang w:val="en-GB"/>
        </w:rPr>
        <w:t xml:space="preserve">. </w:t>
      </w:r>
      <w:r w:rsidR="00CB28A2" w:rsidRPr="00477C32">
        <w:rPr>
          <w:rFonts w:ascii="Garamond" w:hAnsi="Garamond" w:cs="Times New Roman"/>
          <w:lang w:val="en-GB"/>
        </w:rPr>
        <w:t xml:space="preserve">As Song puts it, rights to control immigration should be </w:t>
      </w:r>
      <w:r w:rsidR="006A4342" w:rsidRPr="00477C32">
        <w:rPr>
          <w:rFonts w:ascii="Garamond" w:hAnsi="Garamond" w:cs="Times New Roman"/>
          <w:lang w:val="en-GB"/>
        </w:rPr>
        <w:t>seen as one element of the ‘bundle’ of territorial rights that enable a people to be fully self-governing: the Welsh will not be fully self-governing unless the package of devolved powers includes not only rule-making with respect to education, transport, etc.</w:t>
      </w:r>
      <w:r w:rsidR="00320C74" w:rsidRPr="00477C32">
        <w:rPr>
          <w:rFonts w:ascii="Garamond" w:hAnsi="Garamond" w:cs="Times New Roman"/>
          <w:lang w:val="en-GB"/>
        </w:rPr>
        <w:t>,</w:t>
      </w:r>
      <w:r w:rsidR="006A4342" w:rsidRPr="00477C32">
        <w:rPr>
          <w:rFonts w:ascii="Garamond" w:hAnsi="Garamond" w:cs="Times New Roman"/>
          <w:lang w:val="en-GB"/>
        </w:rPr>
        <w:t xml:space="preserve"> but also with respect to immigration. And that will surely seem plausible to most people.</w:t>
      </w:r>
      <w:r w:rsidR="00557682" w:rsidRPr="00477C32">
        <w:rPr>
          <w:rFonts w:ascii="Garamond" w:hAnsi="Garamond" w:cs="Times New Roman"/>
          <w:lang w:val="en-GB"/>
        </w:rPr>
        <w:t xml:space="preserve"> Song makes a plausible case, then, </w:t>
      </w:r>
      <w:r w:rsidR="00997CA4" w:rsidRPr="00477C32">
        <w:rPr>
          <w:rFonts w:ascii="Garamond" w:hAnsi="Garamond" w:cs="Times New Roman"/>
          <w:lang w:val="en-GB"/>
        </w:rPr>
        <w:t xml:space="preserve">for </w:t>
      </w:r>
      <w:r w:rsidR="00D9284A" w:rsidRPr="00477C32">
        <w:rPr>
          <w:rFonts w:ascii="Garamond" w:hAnsi="Garamond" w:cs="Times New Roman"/>
          <w:lang w:val="en-GB"/>
        </w:rPr>
        <w:t>the second premise</w:t>
      </w:r>
      <w:r w:rsidR="00997CA4" w:rsidRPr="00477C32">
        <w:rPr>
          <w:rFonts w:ascii="Garamond" w:hAnsi="Garamond" w:cs="Times New Roman"/>
          <w:lang w:val="en-GB"/>
        </w:rPr>
        <w:t>.</w:t>
      </w:r>
    </w:p>
    <w:p w14:paraId="54D0333D" w14:textId="018D05C5" w:rsidR="00466A99" w:rsidRPr="00477C32" w:rsidRDefault="00466A99" w:rsidP="007135E2">
      <w:pPr>
        <w:ind w:firstLine="720"/>
        <w:rPr>
          <w:rFonts w:ascii="Garamond" w:hAnsi="Garamond" w:cs="Times New Roman"/>
          <w:lang w:val="en-GB"/>
        </w:rPr>
      </w:pPr>
      <w:r w:rsidRPr="00477C32">
        <w:rPr>
          <w:rFonts w:ascii="Garamond" w:hAnsi="Garamond" w:cs="Times New Roman"/>
          <w:lang w:val="en-GB"/>
        </w:rPr>
        <w:t>The first conclusion, C1,</w:t>
      </w:r>
      <w:r w:rsidR="000B69C4" w:rsidRPr="00477C32">
        <w:rPr>
          <w:rFonts w:ascii="Garamond" w:hAnsi="Garamond" w:cs="Times New Roman"/>
          <w:lang w:val="en-GB"/>
        </w:rPr>
        <w:t xml:space="preserve"> </w:t>
      </w:r>
      <w:r w:rsidRPr="00477C32">
        <w:rPr>
          <w:rFonts w:ascii="Garamond" w:hAnsi="Garamond" w:cs="Times New Roman"/>
          <w:lang w:val="en-GB"/>
        </w:rPr>
        <w:t>that political communit</w:t>
      </w:r>
      <w:r w:rsidR="00F77ED3" w:rsidRPr="00477C32">
        <w:rPr>
          <w:rFonts w:ascii="Garamond" w:hAnsi="Garamond" w:cs="Times New Roman"/>
          <w:lang w:val="en-GB"/>
        </w:rPr>
        <w:t>ies</w:t>
      </w:r>
      <w:r w:rsidRPr="00477C32">
        <w:rPr>
          <w:rFonts w:ascii="Garamond" w:hAnsi="Garamond" w:cs="Times New Roman"/>
          <w:lang w:val="en-GB"/>
        </w:rPr>
        <w:t xml:space="preserve"> ought to protect their ability to control immigration</w:t>
      </w:r>
      <w:r w:rsidR="00F77ED3" w:rsidRPr="00477C32">
        <w:rPr>
          <w:rFonts w:ascii="Garamond" w:hAnsi="Garamond" w:cs="Times New Roman"/>
          <w:lang w:val="en-GB"/>
        </w:rPr>
        <w:t>,</w:t>
      </w:r>
      <w:r w:rsidRPr="00477C32">
        <w:rPr>
          <w:rFonts w:ascii="Garamond" w:hAnsi="Garamond" w:cs="Times New Roman"/>
          <w:lang w:val="en-GB"/>
        </w:rPr>
        <w:t xml:space="preserve"> can be straightforwardly inferred from the two premises. Those communities are generally only able to exercise such control by wielding the apparatus of the state. C2 </w:t>
      </w:r>
      <w:r w:rsidR="0065373C" w:rsidRPr="00477C32">
        <w:rPr>
          <w:rFonts w:ascii="Garamond" w:hAnsi="Garamond" w:cs="Times New Roman"/>
          <w:lang w:val="en-GB"/>
        </w:rPr>
        <w:t xml:space="preserve">can thus be </w:t>
      </w:r>
      <w:r w:rsidRPr="00477C32">
        <w:rPr>
          <w:rFonts w:ascii="Garamond" w:hAnsi="Garamond" w:cs="Times New Roman"/>
          <w:lang w:val="en-GB"/>
        </w:rPr>
        <w:t xml:space="preserve">inferred from C1, because there can be no collective discretion over immigration </w:t>
      </w:r>
      <w:r w:rsidR="00FE607B" w:rsidRPr="00477C32">
        <w:rPr>
          <w:rFonts w:ascii="Garamond" w:hAnsi="Garamond" w:cs="Times New Roman"/>
          <w:lang w:val="en-GB"/>
        </w:rPr>
        <w:t>without</w:t>
      </w:r>
      <w:r w:rsidRPr="00477C32">
        <w:rPr>
          <w:rFonts w:ascii="Garamond" w:hAnsi="Garamond" w:cs="Times New Roman"/>
          <w:lang w:val="en-GB"/>
        </w:rPr>
        <w:t xml:space="preserve"> state discretion over immigration.</w:t>
      </w:r>
    </w:p>
    <w:p w14:paraId="15E7366D" w14:textId="77777777" w:rsidR="002166AD" w:rsidRPr="00477C32" w:rsidRDefault="002166AD" w:rsidP="00BE3C76">
      <w:pPr>
        <w:rPr>
          <w:rFonts w:ascii="Garamond" w:hAnsi="Garamond" w:cs="Times New Roman"/>
          <w:lang w:val="en-GB"/>
        </w:rPr>
      </w:pPr>
    </w:p>
    <w:p w14:paraId="294C842E" w14:textId="2E906D58" w:rsidR="00C27B0C" w:rsidRPr="00477C32" w:rsidRDefault="007135E2" w:rsidP="00BE3C76">
      <w:pPr>
        <w:rPr>
          <w:rFonts w:ascii="Garamond" w:hAnsi="Garamond" w:cs="Times New Roman"/>
          <w:b/>
          <w:bCs/>
          <w:lang w:val="en-GB"/>
        </w:rPr>
      </w:pPr>
      <w:r w:rsidRPr="00477C32">
        <w:rPr>
          <w:rFonts w:ascii="Garamond" w:hAnsi="Garamond" w:cs="Times New Roman"/>
          <w:b/>
          <w:bCs/>
          <w:lang w:val="en-GB"/>
        </w:rPr>
        <w:t xml:space="preserve">3. </w:t>
      </w:r>
      <w:r w:rsidR="002C0171" w:rsidRPr="00477C32">
        <w:rPr>
          <w:rFonts w:ascii="Garamond" w:hAnsi="Garamond" w:cs="Times New Roman"/>
          <w:b/>
          <w:bCs/>
          <w:lang w:val="en-GB"/>
        </w:rPr>
        <w:t>Strengths</w:t>
      </w:r>
      <w:r w:rsidR="003C0AB4" w:rsidRPr="00477C32">
        <w:rPr>
          <w:rFonts w:ascii="Garamond" w:hAnsi="Garamond" w:cs="Times New Roman"/>
          <w:b/>
          <w:bCs/>
          <w:lang w:val="en-GB"/>
        </w:rPr>
        <w:t xml:space="preserve"> of the CSG Argument</w:t>
      </w:r>
    </w:p>
    <w:p w14:paraId="65EF33CD" w14:textId="0CC86D81" w:rsidR="003C0AB4" w:rsidRPr="00477C32" w:rsidRDefault="003C0AB4" w:rsidP="00BE3C76">
      <w:pPr>
        <w:rPr>
          <w:rFonts w:ascii="Garamond" w:hAnsi="Garamond" w:cs="Times New Roman"/>
          <w:lang w:val="en-GB"/>
        </w:rPr>
      </w:pPr>
    </w:p>
    <w:p w14:paraId="001D9A3A" w14:textId="6AD1DEB1" w:rsidR="00ED45D0" w:rsidRPr="00477C32" w:rsidRDefault="002C0171" w:rsidP="007135E2">
      <w:pPr>
        <w:ind w:firstLine="720"/>
        <w:rPr>
          <w:rFonts w:ascii="Garamond" w:hAnsi="Garamond" w:cs="Times New Roman"/>
          <w:lang w:val="en-GB"/>
        </w:rPr>
      </w:pPr>
      <w:r w:rsidRPr="00477C32">
        <w:rPr>
          <w:rFonts w:ascii="Garamond" w:hAnsi="Garamond" w:cs="Times New Roman"/>
          <w:lang w:val="en-GB"/>
        </w:rPr>
        <w:t>I</w:t>
      </w:r>
      <w:r w:rsidR="007D0BB0" w:rsidRPr="00477C32">
        <w:rPr>
          <w:rFonts w:ascii="Garamond" w:hAnsi="Garamond" w:cs="Times New Roman"/>
          <w:lang w:val="en-GB"/>
        </w:rPr>
        <w:t xml:space="preserve">’d </w:t>
      </w:r>
      <w:r w:rsidRPr="00477C32">
        <w:rPr>
          <w:rFonts w:ascii="Garamond" w:hAnsi="Garamond" w:cs="Times New Roman"/>
          <w:lang w:val="en-GB"/>
        </w:rPr>
        <w:t xml:space="preserve">like to now explain some </w:t>
      </w:r>
      <w:r w:rsidR="007D0BB0" w:rsidRPr="00477C32">
        <w:rPr>
          <w:rFonts w:ascii="Garamond" w:hAnsi="Garamond" w:cs="Times New Roman"/>
          <w:lang w:val="en-GB"/>
        </w:rPr>
        <w:t xml:space="preserve">further </w:t>
      </w:r>
      <w:r w:rsidRPr="00477C32">
        <w:rPr>
          <w:rFonts w:ascii="Garamond" w:hAnsi="Garamond" w:cs="Times New Roman"/>
          <w:lang w:val="en-GB"/>
        </w:rPr>
        <w:t xml:space="preserve">strengths of the CSG argument. I’ll focus on its philosophical strengths, but suggest </w:t>
      </w:r>
      <w:r w:rsidR="00D124D8" w:rsidRPr="00477C32">
        <w:rPr>
          <w:rFonts w:ascii="Garamond" w:hAnsi="Garamond" w:cs="Times New Roman"/>
          <w:lang w:val="en-GB"/>
        </w:rPr>
        <w:t>that they might help to explain the political uses of the argument.</w:t>
      </w:r>
    </w:p>
    <w:p w14:paraId="31571E36" w14:textId="10590DF0" w:rsidR="00D124D8" w:rsidRPr="00477C32" w:rsidRDefault="00D124D8" w:rsidP="007135E2">
      <w:pPr>
        <w:ind w:firstLine="720"/>
        <w:rPr>
          <w:rFonts w:ascii="Garamond" w:hAnsi="Garamond" w:cs="Times New Roman"/>
          <w:lang w:val="en-GB"/>
        </w:rPr>
      </w:pPr>
      <w:r w:rsidRPr="00477C32">
        <w:rPr>
          <w:rFonts w:ascii="Garamond" w:hAnsi="Garamond" w:cs="Times New Roman"/>
          <w:lang w:val="en-GB"/>
        </w:rPr>
        <w:t>The easiest way to see these strengths is to contrast the CSG argument</w:t>
      </w:r>
      <w:r w:rsidR="007D0BB0" w:rsidRPr="00477C32">
        <w:rPr>
          <w:rFonts w:ascii="Garamond" w:hAnsi="Garamond" w:cs="Times New Roman"/>
          <w:lang w:val="en-GB"/>
        </w:rPr>
        <w:t>s</w:t>
      </w:r>
      <w:r w:rsidRPr="00477C32">
        <w:rPr>
          <w:rFonts w:ascii="Garamond" w:hAnsi="Garamond" w:cs="Times New Roman"/>
          <w:lang w:val="en-GB"/>
        </w:rPr>
        <w:t xml:space="preserve"> with some other familiar arguments. These arguments focus primarily on the potential </w:t>
      </w:r>
      <w:r w:rsidRPr="00477C32">
        <w:rPr>
          <w:rFonts w:ascii="Garamond" w:hAnsi="Garamond" w:cs="Times New Roman"/>
          <w:i/>
          <w:iCs/>
          <w:lang w:val="en-GB"/>
        </w:rPr>
        <w:t>effects</w:t>
      </w:r>
      <w:r w:rsidRPr="00477C32">
        <w:rPr>
          <w:rFonts w:ascii="Garamond" w:hAnsi="Garamond" w:cs="Times New Roman"/>
          <w:lang w:val="en-GB"/>
        </w:rPr>
        <w:t xml:space="preserve"> of immigration and argue that discretion over immigration is necessary so that the state will </w:t>
      </w:r>
      <w:r w:rsidR="00A94BAA" w:rsidRPr="00477C32">
        <w:rPr>
          <w:rFonts w:ascii="Garamond" w:hAnsi="Garamond" w:cs="Times New Roman"/>
          <w:lang w:val="en-GB"/>
        </w:rPr>
        <w:t xml:space="preserve">be </w:t>
      </w:r>
      <w:r w:rsidRPr="00477C32">
        <w:rPr>
          <w:rFonts w:ascii="Garamond" w:hAnsi="Garamond" w:cs="Times New Roman"/>
          <w:lang w:val="en-GB"/>
        </w:rPr>
        <w:t>able to prevent bad effects from coming about</w:t>
      </w:r>
      <w:r w:rsidR="000A2DE8" w:rsidRPr="00477C32">
        <w:rPr>
          <w:rFonts w:ascii="Garamond" w:hAnsi="Garamond" w:cs="Times New Roman"/>
          <w:lang w:val="en-GB"/>
        </w:rPr>
        <w:t xml:space="preserve">. One version of this argument says that it is essential </w:t>
      </w:r>
      <w:r w:rsidR="00A94BAA" w:rsidRPr="00477C32">
        <w:rPr>
          <w:rFonts w:ascii="Garamond" w:hAnsi="Garamond" w:cs="Times New Roman"/>
          <w:lang w:val="en-GB"/>
        </w:rPr>
        <w:t xml:space="preserve">to </w:t>
      </w:r>
      <w:r w:rsidR="000A2DE8" w:rsidRPr="00477C32">
        <w:rPr>
          <w:rFonts w:ascii="Garamond" w:hAnsi="Garamond" w:cs="Times New Roman"/>
          <w:lang w:val="en-GB"/>
        </w:rPr>
        <w:t xml:space="preserve">have control over immigration so that the state can put limits on immigration, especially on the immigration </w:t>
      </w:r>
      <w:r w:rsidR="000A2DE8" w:rsidRPr="00477C32">
        <w:rPr>
          <w:rFonts w:ascii="Garamond" w:hAnsi="Garamond" w:cs="Times New Roman"/>
          <w:lang w:val="en-GB"/>
        </w:rPr>
        <w:lastRenderedPageBreak/>
        <w:t xml:space="preserve">of lower-skilled workers, when </w:t>
      </w:r>
      <w:r w:rsidR="00114A42" w:rsidRPr="00477C32">
        <w:rPr>
          <w:rFonts w:ascii="Garamond" w:hAnsi="Garamond" w:cs="Times New Roman"/>
          <w:lang w:val="en-GB"/>
        </w:rPr>
        <w:t>the wages of native workers (especially lower-skilled) start to become depressed</w:t>
      </w:r>
      <w:r w:rsidR="000A2DE8" w:rsidRPr="00477C32">
        <w:rPr>
          <w:rFonts w:ascii="Garamond" w:hAnsi="Garamond" w:cs="Times New Roman"/>
          <w:lang w:val="en-GB"/>
        </w:rPr>
        <w:t>. Another version says that immigration must be carefully monitored because it can have problematic effects on the national culture, making it difficult to sustain certain ways of life or damaging bonds of solidarity. A third version claims that immigration can have a negative environmental impact</w:t>
      </w:r>
      <w:r w:rsidR="00394DB6" w:rsidRPr="00477C32">
        <w:rPr>
          <w:rFonts w:ascii="Garamond" w:hAnsi="Garamond" w:cs="Times New Roman"/>
          <w:lang w:val="en-GB"/>
        </w:rPr>
        <w:t>,</w:t>
      </w:r>
      <w:r w:rsidR="000A2DE8" w:rsidRPr="00477C32">
        <w:rPr>
          <w:rFonts w:ascii="Garamond" w:hAnsi="Garamond" w:cs="Times New Roman"/>
          <w:lang w:val="en-GB"/>
        </w:rPr>
        <w:t xml:space="preserve"> and so the state must be ready to stop the flow of immigrants when the environment comes under threat.</w:t>
      </w:r>
    </w:p>
    <w:p w14:paraId="2F66B007" w14:textId="361DE23A" w:rsidR="005551D3" w:rsidRPr="00477C32" w:rsidRDefault="005551D3" w:rsidP="007135E2">
      <w:pPr>
        <w:ind w:firstLine="720"/>
        <w:rPr>
          <w:rFonts w:ascii="Garamond" w:hAnsi="Garamond" w:cs="Times New Roman"/>
          <w:lang w:val="en-GB"/>
        </w:rPr>
      </w:pPr>
      <w:r w:rsidRPr="00477C32">
        <w:rPr>
          <w:rFonts w:ascii="Garamond" w:hAnsi="Garamond" w:cs="Times New Roman"/>
          <w:lang w:val="en-GB"/>
        </w:rPr>
        <w:t>There are some familiar difficulties with arguments of these kinds. They require a causal demonstrat</w:t>
      </w:r>
      <w:r w:rsidR="002B5188" w:rsidRPr="00477C32">
        <w:rPr>
          <w:rFonts w:ascii="Garamond" w:hAnsi="Garamond" w:cs="Times New Roman"/>
          <w:lang w:val="en-GB"/>
        </w:rPr>
        <w:t>ion</w:t>
      </w:r>
      <w:r w:rsidRPr="00477C32">
        <w:rPr>
          <w:rFonts w:ascii="Garamond" w:hAnsi="Garamond" w:cs="Times New Roman"/>
          <w:lang w:val="en-GB"/>
        </w:rPr>
        <w:t xml:space="preserve"> that immigration in fact has the effects that the theorist claims it has. And they also require a philosophical showing that those effects are </w:t>
      </w:r>
      <w:r w:rsidR="001353CF" w:rsidRPr="00477C32">
        <w:rPr>
          <w:rFonts w:ascii="Garamond" w:hAnsi="Garamond" w:cs="Times New Roman"/>
          <w:lang w:val="en-GB"/>
        </w:rPr>
        <w:t>in fact bad, or, more precisely, are of a kind that the state ought to be preventing. Let me explain these empirical and normative problems in turn.</w:t>
      </w:r>
    </w:p>
    <w:p w14:paraId="11B8050A" w14:textId="1B9A3C3F" w:rsidR="001353CF" w:rsidRPr="00477C32" w:rsidRDefault="00114A42" w:rsidP="007135E2">
      <w:pPr>
        <w:ind w:firstLine="720"/>
        <w:rPr>
          <w:rFonts w:ascii="Garamond" w:hAnsi="Garamond" w:cs="Times New Roman"/>
          <w:lang w:val="en-GB"/>
        </w:rPr>
      </w:pPr>
      <w:r w:rsidRPr="00477C32">
        <w:rPr>
          <w:rFonts w:ascii="Garamond" w:hAnsi="Garamond" w:cs="Times New Roman"/>
          <w:lang w:val="en-GB"/>
        </w:rPr>
        <w:t>Consider</w:t>
      </w:r>
      <w:r w:rsidR="001353CF" w:rsidRPr="00477C32">
        <w:rPr>
          <w:rFonts w:ascii="Garamond" w:hAnsi="Garamond" w:cs="Times New Roman"/>
          <w:lang w:val="en-GB"/>
        </w:rPr>
        <w:t xml:space="preserve"> again the economic impact of immigration. </w:t>
      </w:r>
      <w:r w:rsidRPr="00477C32">
        <w:rPr>
          <w:rFonts w:ascii="Garamond" w:hAnsi="Garamond" w:cs="Times New Roman"/>
          <w:lang w:val="en-GB"/>
        </w:rPr>
        <w:t xml:space="preserve">To argue for increased control on economic grounds one </w:t>
      </w:r>
      <w:r w:rsidR="00A94BAA" w:rsidRPr="00477C32">
        <w:rPr>
          <w:rFonts w:ascii="Garamond" w:hAnsi="Garamond" w:cs="Times New Roman"/>
          <w:lang w:val="en-GB"/>
        </w:rPr>
        <w:t xml:space="preserve">must </w:t>
      </w:r>
      <w:r w:rsidRPr="00477C32">
        <w:rPr>
          <w:rFonts w:ascii="Garamond" w:hAnsi="Garamond" w:cs="Times New Roman"/>
          <w:lang w:val="en-GB"/>
        </w:rPr>
        <w:t>show that immigration really does drive down wages. And that</w:t>
      </w:r>
      <w:r w:rsidR="000E4BB9" w:rsidRPr="00477C32">
        <w:rPr>
          <w:rFonts w:ascii="Garamond" w:hAnsi="Garamond" w:cs="Times New Roman"/>
          <w:lang w:val="en-GB"/>
        </w:rPr>
        <w:t xml:space="preserve"> is</w:t>
      </w:r>
      <w:r w:rsidRPr="00477C32">
        <w:rPr>
          <w:rFonts w:ascii="Garamond" w:hAnsi="Garamond" w:cs="Times New Roman"/>
          <w:lang w:val="en-GB"/>
        </w:rPr>
        <w:t xml:space="preserve"> often a complex matter, since although immigration can sometimes create competition for jobs it also typically expands the economy as a whole</w:t>
      </w:r>
      <w:r w:rsidR="000E4BB9" w:rsidRPr="00477C32">
        <w:rPr>
          <w:rFonts w:ascii="Garamond" w:hAnsi="Garamond" w:cs="Times New Roman"/>
          <w:lang w:val="en-GB"/>
        </w:rPr>
        <w:t>,</w:t>
      </w:r>
      <w:r w:rsidRPr="00477C32">
        <w:rPr>
          <w:rFonts w:ascii="Garamond" w:hAnsi="Garamond" w:cs="Times New Roman"/>
          <w:lang w:val="en-GB"/>
        </w:rPr>
        <w:t xml:space="preserve"> which can</w:t>
      </w:r>
      <w:r w:rsidR="000E4BB9" w:rsidRPr="00477C32">
        <w:rPr>
          <w:rFonts w:ascii="Garamond" w:hAnsi="Garamond" w:cs="Times New Roman"/>
          <w:lang w:val="en-GB"/>
        </w:rPr>
        <w:t xml:space="preserve"> ultimately</w:t>
      </w:r>
      <w:r w:rsidRPr="00477C32">
        <w:rPr>
          <w:rFonts w:ascii="Garamond" w:hAnsi="Garamond" w:cs="Times New Roman"/>
          <w:lang w:val="en-GB"/>
        </w:rPr>
        <w:t xml:space="preserve"> create wage increases</w:t>
      </w:r>
      <w:r w:rsidR="00AE4D92" w:rsidRPr="00477C32">
        <w:rPr>
          <w:rFonts w:ascii="Garamond" w:hAnsi="Garamond" w:cs="Times New Roman"/>
          <w:lang w:val="en-GB"/>
        </w:rPr>
        <w:t>.</w:t>
      </w:r>
      <w:r w:rsidRPr="00477C32">
        <w:rPr>
          <w:rFonts w:ascii="Garamond" w:hAnsi="Garamond" w:cs="Times New Roman"/>
          <w:lang w:val="en-GB"/>
        </w:rPr>
        <w:t xml:space="preserve"> Likewise in the case of cultural effects one must look at whether immigration really does change the culture of the receiving country in any of the ways</w:t>
      </w:r>
      <w:r w:rsidR="00551C3C" w:rsidRPr="00477C32">
        <w:rPr>
          <w:rFonts w:ascii="Garamond" w:hAnsi="Garamond" w:cs="Times New Roman"/>
          <w:lang w:val="en-GB"/>
        </w:rPr>
        <w:t xml:space="preserve"> claimed</w:t>
      </w:r>
      <w:r w:rsidRPr="00477C32">
        <w:rPr>
          <w:rFonts w:ascii="Garamond" w:hAnsi="Garamond" w:cs="Times New Roman"/>
          <w:lang w:val="en-GB"/>
        </w:rPr>
        <w:t>. For example, do</w:t>
      </w:r>
      <w:r w:rsidR="00A323F7" w:rsidRPr="00477C32">
        <w:rPr>
          <w:rFonts w:ascii="Garamond" w:hAnsi="Garamond" w:cs="Times New Roman"/>
          <w:lang w:val="en-GB"/>
        </w:rPr>
        <w:t xml:space="preserve"> higher levels of immigration really affect </w:t>
      </w:r>
      <w:r w:rsidR="000E4BB9" w:rsidRPr="00477C32">
        <w:rPr>
          <w:rFonts w:ascii="Garamond" w:hAnsi="Garamond" w:cs="Times New Roman"/>
          <w:lang w:val="en-GB"/>
        </w:rPr>
        <w:t>the major social mores of a</w:t>
      </w:r>
      <w:r w:rsidR="00A323F7" w:rsidRPr="00477C32">
        <w:rPr>
          <w:rFonts w:ascii="Garamond" w:hAnsi="Garamond" w:cs="Times New Roman"/>
          <w:lang w:val="en-GB"/>
        </w:rPr>
        <w:t xml:space="preserve"> country?</w:t>
      </w:r>
    </w:p>
    <w:p w14:paraId="64A550CE" w14:textId="1A88A156" w:rsidR="00AE4D92" w:rsidRPr="00477C32" w:rsidRDefault="00114A42" w:rsidP="007135E2">
      <w:pPr>
        <w:ind w:firstLine="720"/>
        <w:rPr>
          <w:rFonts w:ascii="Garamond" w:hAnsi="Garamond" w:cs="Times New Roman"/>
          <w:lang w:val="en-GB"/>
        </w:rPr>
      </w:pPr>
      <w:r w:rsidRPr="00477C32">
        <w:rPr>
          <w:rFonts w:ascii="Garamond" w:hAnsi="Garamond" w:cs="Times New Roman"/>
          <w:lang w:val="en-GB"/>
        </w:rPr>
        <w:t xml:space="preserve">Those were empirical </w:t>
      </w:r>
      <w:r w:rsidR="00AE4D92" w:rsidRPr="00477C32">
        <w:rPr>
          <w:rFonts w:ascii="Garamond" w:hAnsi="Garamond" w:cs="Times New Roman"/>
          <w:lang w:val="en-GB"/>
        </w:rPr>
        <w:t>questions</w:t>
      </w:r>
      <w:r w:rsidRPr="00477C32">
        <w:rPr>
          <w:rFonts w:ascii="Garamond" w:hAnsi="Garamond" w:cs="Times New Roman"/>
          <w:lang w:val="en-GB"/>
        </w:rPr>
        <w:t xml:space="preserve">. Arguments for immigration control that rely on the effects of immigration </w:t>
      </w:r>
      <w:r w:rsidR="00A323F7" w:rsidRPr="00477C32">
        <w:rPr>
          <w:rFonts w:ascii="Garamond" w:hAnsi="Garamond" w:cs="Times New Roman"/>
          <w:lang w:val="en-GB"/>
        </w:rPr>
        <w:t xml:space="preserve">also generate normative questions. For instance, it is not enough to say that immigration has some effect on the national culture—one must show that said effect is </w:t>
      </w:r>
      <w:r w:rsidR="00A323F7" w:rsidRPr="00477C32">
        <w:rPr>
          <w:rFonts w:ascii="Garamond" w:hAnsi="Garamond" w:cs="Times New Roman"/>
          <w:i/>
          <w:iCs/>
          <w:lang w:val="en-GB"/>
        </w:rPr>
        <w:t>bad</w:t>
      </w:r>
      <w:r w:rsidR="00161446" w:rsidRPr="00477C32">
        <w:rPr>
          <w:rFonts w:ascii="Garamond" w:hAnsi="Garamond" w:cs="Times New Roman"/>
          <w:lang w:val="en-GB"/>
        </w:rPr>
        <w:t>,</w:t>
      </w:r>
      <w:r w:rsidR="00A323F7" w:rsidRPr="00477C32">
        <w:rPr>
          <w:rFonts w:ascii="Garamond" w:hAnsi="Garamond" w:cs="Times New Roman"/>
          <w:lang w:val="en-GB"/>
        </w:rPr>
        <w:t xml:space="preserve"> or, more precisely, something that the state (acting on behalf of the political community) has an important interest in avoiding. For example, suppose someone claims that immigration is changing the religious make-up of their society, </w:t>
      </w:r>
      <w:r w:rsidR="00AE4D92" w:rsidRPr="00477C32">
        <w:rPr>
          <w:rFonts w:ascii="Garamond" w:hAnsi="Garamond" w:cs="Times New Roman"/>
          <w:lang w:val="en-GB"/>
        </w:rPr>
        <w:t>moving</w:t>
      </w:r>
      <w:r w:rsidR="00F962A9" w:rsidRPr="00477C32">
        <w:rPr>
          <w:rFonts w:ascii="Garamond" w:hAnsi="Garamond" w:cs="Times New Roman"/>
          <w:lang w:val="en-GB"/>
        </w:rPr>
        <w:t xml:space="preserve"> it</w:t>
      </w:r>
      <w:r w:rsidR="00AE4D92" w:rsidRPr="00477C32">
        <w:rPr>
          <w:rFonts w:ascii="Garamond" w:hAnsi="Garamond" w:cs="Times New Roman"/>
          <w:lang w:val="en-GB"/>
        </w:rPr>
        <w:t xml:space="preserve"> in a more Catholic direction</w:t>
      </w:r>
      <w:r w:rsidR="00A323F7" w:rsidRPr="00477C32">
        <w:rPr>
          <w:rFonts w:ascii="Garamond" w:hAnsi="Garamond" w:cs="Times New Roman"/>
          <w:lang w:val="en-GB"/>
        </w:rPr>
        <w:t>. One question is whether this change is genuinely taking place. But another is whether controlling the religious direction of the country is something that the state can take a legitimate interest in. And liberal political thought has generally argued that the answer is</w:t>
      </w:r>
      <w:r w:rsidR="006B3A5F" w:rsidRPr="00477C32">
        <w:rPr>
          <w:rFonts w:ascii="Garamond" w:hAnsi="Garamond" w:cs="Times New Roman"/>
          <w:lang w:val="en-GB"/>
        </w:rPr>
        <w:t>,</w:t>
      </w:r>
      <w:r w:rsidR="00A323F7" w:rsidRPr="00477C32">
        <w:rPr>
          <w:rFonts w:ascii="Garamond" w:hAnsi="Garamond" w:cs="Times New Roman"/>
          <w:lang w:val="en-GB"/>
        </w:rPr>
        <w:t xml:space="preserve"> ‘No’—the state ought to abstain from taking a religious stance.</w:t>
      </w:r>
    </w:p>
    <w:p w14:paraId="359420E1" w14:textId="13125F20" w:rsidR="003C0AB4" w:rsidRPr="00477C32" w:rsidRDefault="00AE4D92" w:rsidP="007135E2">
      <w:pPr>
        <w:ind w:firstLine="720"/>
        <w:rPr>
          <w:rFonts w:ascii="Garamond" w:hAnsi="Garamond" w:cs="Times New Roman"/>
          <w:lang w:val="en-GB"/>
        </w:rPr>
      </w:pPr>
      <w:r w:rsidRPr="00477C32">
        <w:rPr>
          <w:rFonts w:ascii="Garamond" w:hAnsi="Garamond" w:cs="Times New Roman"/>
          <w:lang w:val="en-GB"/>
        </w:rPr>
        <w:t xml:space="preserve">Often these empirical and normative questions are somewhat intertwined. Suppose that immigration really does depress wages </w:t>
      </w:r>
      <w:r w:rsidR="00F37832" w:rsidRPr="00477C32">
        <w:rPr>
          <w:rFonts w:ascii="Garamond" w:hAnsi="Garamond" w:cs="Times New Roman"/>
          <w:lang w:val="en-GB"/>
        </w:rPr>
        <w:t>to a degree</w:t>
      </w:r>
      <w:r w:rsidRPr="00477C32">
        <w:rPr>
          <w:rFonts w:ascii="Garamond" w:hAnsi="Garamond" w:cs="Times New Roman"/>
          <w:lang w:val="en-GB"/>
        </w:rPr>
        <w:t>. We can still ask: can workers who lose out be compensated? For it may well be that even if wage drops</w:t>
      </w:r>
      <w:r w:rsidR="00F962A9" w:rsidRPr="00477C32">
        <w:rPr>
          <w:rFonts w:ascii="Garamond" w:hAnsi="Garamond" w:cs="Times New Roman"/>
          <w:lang w:val="en-GB"/>
        </w:rPr>
        <w:t xml:space="preserve"> do</w:t>
      </w:r>
      <w:r w:rsidRPr="00477C32">
        <w:rPr>
          <w:rFonts w:ascii="Garamond" w:hAnsi="Garamond" w:cs="Times New Roman"/>
          <w:lang w:val="en-GB"/>
        </w:rPr>
        <w:t xml:space="preserve"> occur</w:t>
      </w:r>
      <w:r w:rsidR="00F962A9" w:rsidRPr="00477C32">
        <w:rPr>
          <w:rFonts w:ascii="Garamond" w:hAnsi="Garamond" w:cs="Times New Roman"/>
          <w:lang w:val="en-GB"/>
        </w:rPr>
        <w:t>,</w:t>
      </w:r>
      <w:r w:rsidRPr="00477C32">
        <w:rPr>
          <w:rFonts w:ascii="Garamond" w:hAnsi="Garamond" w:cs="Times New Roman"/>
          <w:lang w:val="en-GB"/>
        </w:rPr>
        <w:t xml:space="preserve"> any lo</w:t>
      </w:r>
      <w:r w:rsidR="0068439C" w:rsidRPr="00477C32">
        <w:rPr>
          <w:rFonts w:ascii="Garamond" w:hAnsi="Garamond" w:cs="Times New Roman"/>
          <w:lang w:val="en-GB"/>
        </w:rPr>
        <w:t>s</w:t>
      </w:r>
      <w:r w:rsidRPr="00477C32">
        <w:rPr>
          <w:rFonts w:ascii="Garamond" w:hAnsi="Garamond" w:cs="Times New Roman"/>
          <w:lang w:val="en-GB"/>
        </w:rPr>
        <w:t>ses to workers can</w:t>
      </w:r>
      <w:r w:rsidR="00F962A9" w:rsidRPr="00477C32">
        <w:rPr>
          <w:rFonts w:ascii="Garamond" w:hAnsi="Garamond" w:cs="Times New Roman"/>
          <w:lang w:val="en-GB"/>
        </w:rPr>
        <w:t xml:space="preserve"> ultimately</w:t>
      </w:r>
      <w:r w:rsidRPr="00477C32">
        <w:rPr>
          <w:rFonts w:ascii="Garamond" w:hAnsi="Garamond" w:cs="Times New Roman"/>
          <w:lang w:val="en-GB"/>
        </w:rPr>
        <w:t xml:space="preserve"> be offset by redistributing economic gains that other members of society receive from immigration. Firms, for example, may gain in efficiency from the presence of immigrant </w:t>
      </w:r>
      <w:r w:rsidR="00C13A3F" w:rsidRPr="00477C32">
        <w:rPr>
          <w:rFonts w:ascii="Garamond" w:hAnsi="Garamond" w:cs="Times New Roman"/>
          <w:lang w:val="en-GB"/>
        </w:rPr>
        <w:t>labour</w:t>
      </w:r>
      <w:r w:rsidR="00AD5B92" w:rsidRPr="00477C32">
        <w:rPr>
          <w:rFonts w:ascii="Garamond" w:hAnsi="Garamond" w:cs="Times New Roman"/>
          <w:lang w:val="en-GB"/>
        </w:rPr>
        <w:t>,</w:t>
      </w:r>
      <w:r w:rsidRPr="00477C32">
        <w:rPr>
          <w:rFonts w:ascii="Garamond" w:hAnsi="Garamond" w:cs="Times New Roman"/>
          <w:lang w:val="en-GB"/>
        </w:rPr>
        <w:t xml:space="preserve"> and they can be taxed to shift some of the benefits of that efficiency towards those who experience wage los</w:t>
      </w:r>
      <w:r w:rsidR="00C43050" w:rsidRPr="00477C32">
        <w:rPr>
          <w:rFonts w:ascii="Garamond" w:hAnsi="Garamond" w:cs="Times New Roman"/>
          <w:lang w:val="en-GB"/>
        </w:rPr>
        <w:t>s</w:t>
      </w:r>
      <w:r w:rsidRPr="00477C32">
        <w:rPr>
          <w:rFonts w:ascii="Garamond" w:hAnsi="Garamond" w:cs="Times New Roman"/>
          <w:lang w:val="en-GB"/>
        </w:rPr>
        <w:t xml:space="preserve">es. To evaluate a proposal like this </w:t>
      </w:r>
      <w:r w:rsidR="000656F8" w:rsidRPr="00477C32">
        <w:rPr>
          <w:rFonts w:ascii="Garamond" w:hAnsi="Garamond" w:cs="Times New Roman"/>
          <w:lang w:val="en-GB"/>
        </w:rPr>
        <w:t xml:space="preserve">fully, </w:t>
      </w:r>
      <w:r w:rsidRPr="00477C32">
        <w:rPr>
          <w:rFonts w:ascii="Garamond" w:hAnsi="Garamond" w:cs="Times New Roman"/>
          <w:lang w:val="en-GB"/>
        </w:rPr>
        <w:t>we need to look both at empirical questions about whether tax</w:t>
      </w:r>
      <w:r w:rsidR="00022352" w:rsidRPr="00477C32">
        <w:rPr>
          <w:rFonts w:ascii="Garamond" w:hAnsi="Garamond" w:cs="Times New Roman"/>
          <w:lang w:val="en-GB"/>
        </w:rPr>
        <w:t>-</w:t>
      </w:r>
      <w:r w:rsidRPr="00477C32">
        <w:rPr>
          <w:rFonts w:ascii="Garamond" w:hAnsi="Garamond" w:cs="Times New Roman"/>
          <w:lang w:val="en-GB"/>
        </w:rPr>
        <w:t>and</w:t>
      </w:r>
      <w:r w:rsidR="00022352" w:rsidRPr="00477C32">
        <w:rPr>
          <w:rFonts w:ascii="Garamond" w:hAnsi="Garamond" w:cs="Times New Roman"/>
          <w:lang w:val="en-GB"/>
        </w:rPr>
        <w:t>-</w:t>
      </w:r>
      <w:r w:rsidRPr="00477C32">
        <w:rPr>
          <w:rFonts w:ascii="Garamond" w:hAnsi="Garamond" w:cs="Times New Roman"/>
          <w:lang w:val="en-GB"/>
        </w:rPr>
        <w:t>transfer scheme</w:t>
      </w:r>
      <w:r w:rsidR="00022352" w:rsidRPr="00477C32">
        <w:rPr>
          <w:rFonts w:ascii="Garamond" w:hAnsi="Garamond" w:cs="Times New Roman"/>
          <w:lang w:val="en-GB"/>
        </w:rPr>
        <w:t>s</w:t>
      </w:r>
      <w:r w:rsidRPr="00477C32">
        <w:rPr>
          <w:rFonts w:ascii="Garamond" w:hAnsi="Garamond" w:cs="Times New Roman"/>
          <w:lang w:val="en-GB"/>
        </w:rPr>
        <w:t xml:space="preserve"> like this are economically viable and </w:t>
      </w:r>
      <w:r w:rsidR="00022352" w:rsidRPr="00477C32">
        <w:rPr>
          <w:rFonts w:ascii="Garamond" w:hAnsi="Garamond" w:cs="Times New Roman"/>
          <w:lang w:val="en-GB"/>
        </w:rPr>
        <w:t xml:space="preserve">at </w:t>
      </w:r>
      <w:r w:rsidRPr="00477C32">
        <w:rPr>
          <w:rFonts w:ascii="Garamond" w:hAnsi="Garamond" w:cs="Times New Roman"/>
          <w:lang w:val="en-GB"/>
        </w:rPr>
        <w:t>moral questions about whether redistribution is acceptable or even required.</w:t>
      </w:r>
    </w:p>
    <w:p w14:paraId="27482E8E" w14:textId="743FCC54" w:rsidR="00773462" w:rsidRPr="00477C32" w:rsidRDefault="003939F7" w:rsidP="007135E2">
      <w:pPr>
        <w:ind w:firstLine="720"/>
        <w:rPr>
          <w:rFonts w:ascii="Garamond" w:hAnsi="Garamond" w:cs="Times New Roman"/>
          <w:lang w:val="en-GB"/>
        </w:rPr>
      </w:pPr>
      <w:r w:rsidRPr="00477C32">
        <w:rPr>
          <w:rFonts w:ascii="Garamond" w:hAnsi="Garamond" w:cs="Times New Roman"/>
          <w:lang w:val="en-GB"/>
        </w:rPr>
        <w:t>A major attraction of the CSG argument is that it</w:t>
      </w:r>
      <w:r w:rsidR="00F6346E" w:rsidRPr="00477C32">
        <w:rPr>
          <w:rFonts w:ascii="Garamond" w:hAnsi="Garamond" w:cs="Times New Roman"/>
          <w:lang w:val="en-GB"/>
        </w:rPr>
        <w:t>s</w:t>
      </w:r>
      <w:r w:rsidRPr="00477C32">
        <w:rPr>
          <w:rFonts w:ascii="Garamond" w:hAnsi="Garamond" w:cs="Times New Roman"/>
          <w:lang w:val="en-GB"/>
        </w:rPr>
        <w:t xml:space="preserve"> proponent can seemingly avoid these empirical and normative questions</w:t>
      </w:r>
      <w:r w:rsidR="002452A5" w:rsidRPr="00477C32">
        <w:rPr>
          <w:rFonts w:ascii="Garamond" w:hAnsi="Garamond" w:cs="Times New Roman"/>
          <w:lang w:val="en-GB"/>
        </w:rPr>
        <w:t>, f</w:t>
      </w:r>
      <w:r w:rsidRPr="00477C32">
        <w:rPr>
          <w:rFonts w:ascii="Garamond" w:hAnsi="Garamond" w:cs="Times New Roman"/>
          <w:lang w:val="en-GB"/>
        </w:rPr>
        <w:t>or</w:t>
      </w:r>
      <w:r w:rsidR="002452A5" w:rsidRPr="00477C32">
        <w:rPr>
          <w:rFonts w:ascii="Garamond" w:hAnsi="Garamond" w:cs="Times New Roman"/>
          <w:lang w:val="en-GB"/>
        </w:rPr>
        <w:t xml:space="preserve">, </w:t>
      </w:r>
      <w:r w:rsidRPr="00477C32">
        <w:rPr>
          <w:rFonts w:ascii="Garamond" w:hAnsi="Garamond" w:cs="Times New Roman"/>
          <w:lang w:val="en-GB"/>
        </w:rPr>
        <w:t>according to that argument</w:t>
      </w:r>
      <w:r w:rsidR="00062099" w:rsidRPr="00477C32">
        <w:rPr>
          <w:rFonts w:ascii="Garamond" w:hAnsi="Garamond" w:cs="Times New Roman"/>
          <w:lang w:val="en-GB"/>
        </w:rPr>
        <w:t>,</w:t>
      </w:r>
      <w:r w:rsidRPr="00477C32">
        <w:rPr>
          <w:rFonts w:ascii="Garamond" w:hAnsi="Garamond" w:cs="Times New Roman"/>
          <w:lang w:val="en-GB"/>
        </w:rPr>
        <w:t xml:space="preserve"> being able to control immigration </w:t>
      </w:r>
      <w:r w:rsidR="00773462" w:rsidRPr="00477C32">
        <w:rPr>
          <w:rFonts w:ascii="Garamond" w:hAnsi="Garamond" w:cs="Times New Roman"/>
          <w:lang w:val="en-GB"/>
        </w:rPr>
        <w:t>necessarily enhances</w:t>
      </w:r>
      <w:r w:rsidRPr="00477C32">
        <w:rPr>
          <w:rFonts w:ascii="Garamond" w:hAnsi="Garamond" w:cs="Times New Roman"/>
          <w:lang w:val="en-GB"/>
        </w:rPr>
        <w:t xml:space="preserve"> self-governance irrespective of what effects immigration may have.</w:t>
      </w:r>
      <w:r w:rsidR="00773462" w:rsidRPr="00477C32">
        <w:rPr>
          <w:rFonts w:ascii="Garamond" w:hAnsi="Garamond" w:cs="Times New Roman"/>
          <w:lang w:val="en-GB"/>
        </w:rPr>
        <w:t xml:space="preserve"> Why? Because being able to control immigration is </w:t>
      </w:r>
      <w:proofErr w:type="gramStart"/>
      <w:r w:rsidR="007B69FD" w:rsidRPr="00477C32">
        <w:rPr>
          <w:rFonts w:ascii="Garamond" w:hAnsi="Garamond" w:cs="Times New Roman"/>
          <w:lang w:val="en-GB"/>
        </w:rPr>
        <w:t>in itself</w:t>
      </w:r>
      <w:r w:rsidR="00773462" w:rsidRPr="00477C32">
        <w:rPr>
          <w:rFonts w:ascii="Garamond" w:hAnsi="Garamond" w:cs="Times New Roman"/>
          <w:lang w:val="en-GB"/>
        </w:rPr>
        <w:t xml:space="preserve"> one</w:t>
      </w:r>
      <w:proofErr w:type="gramEnd"/>
      <w:r w:rsidR="00773462" w:rsidRPr="00477C32">
        <w:rPr>
          <w:rFonts w:ascii="Garamond" w:hAnsi="Garamond" w:cs="Times New Roman"/>
          <w:lang w:val="en-GB"/>
        </w:rPr>
        <w:t xml:space="preserve"> of the elements of full </w:t>
      </w:r>
      <w:r w:rsidR="0062297D" w:rsidRPr="00477C32">
        <w:rPr>
          <w:rFonts w:ascii="Garamond" w:hAnsi="Garamond" w:cs="Times New Roman"/>
          <w:lang w:val="en-GB"/>
        </w:rPr>
        <w:t>CSG</w:t>
      </w:r>
      <w:r w:rsidR="00773462" w:rsidRPr="00477C32">
        <w:rPr>
          <w:rFonts w:ascii="Garamond" w:hAnsi="Garamond" w:cs="Times New Roman"/>
          <w:lang w:val="en-GB"/>
        </w:rPr>
        <w:t>.</w:t>
      </w:r>
      <w:r w:rsidRPr="00477C32">
        <w:rPr>
          <w:rFonts w:ascii="Garamond" w:hAnsi="Garamond" w:cs="Times New Roman"/>
          <w:lang w:val="en-GB"/>
        </w:rPr>
        <w:t xml:space="preserve"> Song emphasizes this point as part of why she believes her own CSG argument </w:t>
      </w:r>
      <w:r w:rsidR="007B69FD" w:rsidRPr="00477C32">
        <w:rPr>
          <w:rFonts w:ascii="Garamond" w:hAnsi="Garamond" w:cs="Times New Roman"/>
          <w:lang w:val="en-GB"/>
        </w:rPr>
        <w:t>is superior to</w:t>
      </w:r>
      <w:r w:rsidRPr="00477C32">
        <w:rPr>
          <w:rFonts w:ascii="Garamond" w:hAnsi="Garamond" w:cs="Times New Roman"/>
          <w:lang w:val="en-GB"/>
        </w:rPr>
        <w:t xml:space="preserve"> other arguments for border controls:</w:t>
      </w:r>
      <w:r w:rsidR="001D4BDD" w:rsidRPr="00477C32">
        <w:rPr>
          <w:rFonts w:ascii="Garamond" w:hAnsi="Garamond" w:cs="Times New Roman"/>
          <w:lang w:val="en-GB"/>
        </w:rPr>
        <w:t xml:space="preserve"> ‘Political communities have a right to control immigration because it is a </w:t>
      </w:r>
      <w:r w:rsidR="001D4BDD" w:rsidRPr="00477C32">
        <w:rPr>
          <w:rFonts w:ascii="Garamond" w:hAnsi="Garamond" w:cs="Times New Roman"/>
          <w:i/>
          <w:iCs/>
          <w:lang w:val="en-GB"/>
        </w:rPr>
        <w:t>component</w:t>
      </w:r>
      <w:r w:rsidR="001D4BDD" w:rsidRPr="00477C32">
        <w:rPr>
          <w:rFonts w:ascii="Garamond" w:hAnsi="Garamond" w:cs="Times New Roman"/>
          <w:lang w:val="en-GB"/>
        </w:rPr>
        <w:t xml:space="preserve"> of collective self-determination, regardless of the particular </w:t>
      </w:r>
      <w:r w:rsidR="001D4BDD" w:rsidRPr="00477C32">
        <w:rPr>
          <w:rFonts w:ascii="Garamond" w:hAnsi="Garamond" w:cs="Times New Roman"/>
          <w:i/>
          <w:iCs/>
          <w:lang w:val="en-GB"/>
        </w:rPr>
        <w:t>effects</w:t>
      </w:r>
      <w:r w:rsidR="001D4BDD" w:rsidRPr="00477C32">
        <w:rPr>
          <w:rFonts w:ascii="Garamond" w:hAnsi="Garamond" w:cs="Times New Roman"/>
          <w:lang w:val="en-GB"/>
        </w:rPr>
        <w:t xml:space="preserve"> of immigration. Part of what it </w:t>
      </w:r>
      <w:r w:rsidR="001D4BDD" w:rsidRPr="00477C32">
        <w:rPr>
          <w:rFonts w:ascii="Garamond" w:hAnsi="Garamond" w:cs="Times New Roman"/>
          <w:i/>
          <w:iCs/>
          <w:lang w:val="en-GB"/>
        </w:rPr>
        <w:t>means</w:t>
      </w:r>
      <w:r w:rsidR="001D4BDD" w:rsidRPr="00477C32">
        <w:rPr>
          <w:rFonts w:ascii="Garamond" w:hAnsi="Garamond" w:cs="Times New Roman"/>
          <w:lang w:val="en-GB"/>
        </w:rPr>
        <w:t xml:space="preserve"> for a political community to be self-determining is that it controls whom to admit as new members’ (Song 201</w:t>
      </w:r>
      <w:r w:rsidR="00A778D9" w:rsidRPr="00477C32">
        <w:rPr>
          <w:rFonts w:ascii="Garamond" w:hAnsi="Garamond" w:cs="Times New Roman"/>
          <w:lang w:val="en-GB"/>
        </w:rPr>
        <w:t>8</w:t>
      </w:r>
      <w:r w:rsidR="001D4BDD" w:rsidRPr="00477C32">
        <w:rPr>
          <w:rFonts w:ascii="Garamond" w:hAnsi="Garamond" w:cs="Times New Roman"/>
          <w:lang w:val="en-GB"/>
        </w:rPr>
        <w:t>, 72, my emphases)</w:t>
      </w:r>
      <w:r w:rsidR="008849C7" w:rsidRPr="00477C32">
        <w:rPr>
          <w:rFonts w:ascii="Garamond" w:hAnsi="Garamond" w:cs="Times New Roman"/>
          <w:lang w:val="en-GB"/>
        </w:rPr>
        <w:t>.</w:t>
      </w:r>
    </w:p>
    <w:p w14:paraId="46656A69" w14:textId="4E8EB33E" w:rsidR="003939F7" w:rsidRPr="00477C32" w:rsidRDefault="00D30C5A" w:rsidP="007135E2">
      <w:pPr>
        <w:ind w:firstLine="720"/>
        <w:rPr>
          <w:rFonts w:ascii="Garamond" w:hAnsi="Garamond" w:cs="Times New Roman"/>
          <w:lang w:val="en-GB"/>
        </w:rPr>
      </w:pPr>
      <w:r w:rsidRPr="00477C32">
        <w:rPr>
          <w:rFonts w:ascii="Garamond" w:hAnsi="Garamond" w:cs="Times New Roman"/>
          <w:lang w:val="en-GB"/>
        </w:rPr>
        <w:t>She illustrates this point with an example</w:t>
      </w:r>
      <w:r w:rsidR="00773462" w:rsidRPr="00477C32">
        <w:rPr>
          <w:rFonts w:ascii="Garamond" w:hAnsi="Garamond" w:cs="Times New Roman"/>
          <w:lang w:val="en-GB"/>
        </w:rPr>
        <w:t xml:space="preserve"> involving a large number of people moving from the United States to Cuba with the intention of settling there (73). Suppose that these people migrate furtively, ‘without going through any process by which Cubans could reflect and decide on whether to allow their presence in the country’. One possible complaint about such migration would </w:t>
      </w:r>
      <w:r w:rsidR="007B69FD" w:rsidRPr="00477C32">
        <w:rPr>
          <w:rFonts w:ascii="Garamond" w:hAnsi="Garamond" w:cs="Times New Roman"/>
          <w:lang w:val="en-GB"/>
        </w:rPr>
        <w:t xml:space="preserve">be </w:t>
      </w:r>
      <w:r w:rsidR="00773462" w:rsidRPr="00477C32">
        <w:rPr>
          <w:rFonts w:ascii="Garamond" w:hAnsi="Garamond" w:cs="Times New Roman"/>
          <w:lang w:val="en-GB"/>
        </w:rPr>
        <w:t xml:space="preserve">its effects on Cuban society, and so on. But let’s stipulate that the Americans </w:t>
      </w:r>
      <w:r w:rsidR="00773462" w:rsidRPr="00477C32">
        <w:rPr>
          <w:rFonts w:ascii="Garamond" w:hAnsi="Garamond" w:cs="Times New Roman"/>
          <w:lang w:val="en-GB"/>
        </w:rPr>
        <w:lastRenderedPageBreak/>
        <w:t xml:space="preserve">are fully committed to learning the local language and culture and taking other measures needed to ensure that they will not substantially change the course of Cuban society. All the same, Song suggests, the Americans have still done something wrong because they have still violated the </w:t>
      </w:r>
      <w:r w:rsidR="000551FC" w:rsidRPr="00477C32">
        <w:rPr>
          <w:rFonts w:ascii="Garamond" w:hAnsi="Garamond" w:cs="Times New Roman"/>
          <w:lang w:val="en-GB"/>
        </w:rPr>
        <w:t xml:space="preserve">right of the Cuban people to govern life within </w:t>
      </w:r>
      <w:r w:rsidR="009E5919" w:rsidRPr="00477C32">
        <w:rPr>
          <w:rFonts w:ascii="Garamond" w:hAnsi="Garamond" w:cs="Times New Roman"/>
          <w:lang w:val="en-GB"/>
        </w:rPr>
        <w:t>its</w:t>
      </w:r>
      <w:r w:rsidR="000551FC" w:rsidRPr="00477C32">
        <w:rPr>
          <w:rFonts w:ascii="Garamond" w:hAnsi="Garamond" w:cs="Times New Roman"/>
          <w:lang w:val="en-GB"/>
        </w:rPr>
        <w:t xml:space="preserve"> territory</w:t>
      </w:r>
      <w:r w:rsidR="000B7E23" w:rsidRPr="00477C32">
        <w:rPr>
          <w:rFonts w:ascii="Garamond" w:hAnsi="Garamond" w:cs="Times New Roman"/>
          <w:lang w:val="en-GB"/>
        </w:rPr>
        <w:t xml:space="preserve">. </w:t>
      </w:r>
      <w:r w:rsidR="000551FC" w:rsidRPr="00477C32">
        <w:rPr>
          <w:rFonts w:ascii="Garamond" w:hAnsi="Garamond" w:cs="Times New Roman"/>
          <w:lang w:val="en-GB"/>
        </w:rPr>
        <w:t>The sheer fact of the Americans being</w:t>
      </w:r>
      <w:r w:rsidR="009E5919" w:rsidRPr="00477C32">
        <w:rPr>
          <w:rFonts w:ascii="Garamond" w:hAnsi="Garamond" w:cs="Times New Roman"/>
          <w:lang w:val="en-GB"/>
        </w:rPr>
        <w:t xml:space="preserve"> present</w:t>
      </w:r>
      <w:r w:rsidR="000551FC" w:rsidRPr="00477C32">
        <w:rPr>
          <w:rFonts w:ascii="Garamond" w:hAnsi="Garamond" w:cs="Times New Roman"/>
          <w:lang w:val="en-GB"/>
        </w:rPr>
        <w:t xml:space="preserve"> in defiance of the collective will of the Cuban people is itself a violation of the latter’s right to </w:t>
      </w:r>
      <w:r w:rsidR="0062297D" w:rsidRPr="00477C32">
        <w:rPr>
          <w:rFonts w:ascii="Garamond" w:hAnsi="Garamond" w:cs="Times New Roman"/>
          <w:lang w:val="en-GB"/>
        </w:rPr>
        <w:t>CSG</w:t>
      </w:r>
      <w:r w:rsidR="000551FC" w:rsidRPr="00477C32">
        <w:rPr>
          <w:rFonts w:ascii="Garamond" w:hAnsi="Garamond" w:cs="Times New Roman"/>
          <w:lang w:val="en-GB"/>
        </w:rPr>
        <w:t>.</w:t>
      </w:r>
    </w:p>
    <w:p w14:paraId="2FBBDADC" w14:textId="537F2DC2" w:rsidR="003939F7" w:rsidRPr="00477C32" w:rsidRDefault="000B7E23" w:rsidP="007135E2">
      <w:pPr>
        <w:ind w:firstLine="720"/>
        <w:rPr>
          <w:rFonts w:ascii="Garamond" w:hAnsi="Garamond" w:cs="Times New Roman"/>
          <w:lang w:val="en-GB"/>
        </w:rPr>
      </w:pPr>
      <w:r w:rsidRPr="00477C32">
        <w:rPr>
          <w:rFonts w:ascii="Garamond" w:hAnsi="Garamond" w:cs="Times New Roman"/>
          <w:lang w:val="en-GB"/>
        </w:rPr>
        <w:t xml:space="preserve">The philosophical advantage of the CSG argument, then, is that it allows a theorist to avoid taking on </w:t>
      </w:r>
      <w:r w:rsidR="000551FC" w:rsidRPr="00477C32">
        <w:rPr>
          <w:rFonts w:ascii="Garamond" w:hAnsi="Garamond" w:cs="Times New Roman"/>
          <w:lang w:val="en-GB"/>
        </w:rPr>
        <w:t>various</w:t>
      </w:r>
      <w:r w:rsidRPr="00477C32">
        <w:rPr>
          <w:rFonts w:ascii="Garamond" w:hAnsi="Garamond" w:cs="Times New Roman"/>
          <w:lang w:val="en-GB"/>
        </w:rPr>
        <w:t xml:space="preserve"> empirical and normative commitments that can be hard to </w:t>
      </w:r>
      <w:r w:rsidR="009E5919" w:rsidRPr="00477C32">
        <w:rPr>
          <w:rFonts w:ascii="Garamond" w:hAnsi="Garamond" w:cs="Times New Roman"/>
          <w:lang w:val="en-GB"/>
        </w:rPr>
        <w:t>defend</w:t>
      </w:r>
      <w:r w:rsidRPr="00477C32">
        <w:rPr>
          <w:rFonts w:ascii="Garamond" w:hAnsi="Garamond" w:cs="Times New Roman"/>
          <w:lang w:val="en-GB"/>
        </w:rPr>
        <w:t>. I suggest that this has also translate</w:t>
      </w:r>
      <w:r w:rsidR="002F361D" w:rsidRPr="00477C32">
        <w:rPr>
          <w:rFonts w:ascii="Garamond" w:hAnsi="Garamond" w:cs="Times New Roman"/>
          <w:lang w:val="en-GB"/>
        </w:rPr>
        <w:t>d</w:t>
      </w:r>
      <w:r w:rsidRPr="00477C32">
        <w:rPr>
          <w:rFonts w:ascii="Garamond" w:hAnsi="Garamond" w:cs="Times New Roman"/>
          <w:lang w:val="en-GB"/>
        </w:rPr>
        <w:t xml:space="preserve"> at time</w:t>
      </w:r>
      <w:r w:rsidR="000551FC" w:rsidRPr="00477C32">
        <w:rPr>
          <w:rFonts w:ascii="Garamond" w:hAnsi="Garamond" w:cs="Times New Roman"/>
          <w:lang w:val="en-GB"/>
        </w:rPr>
        <w:t>s</w:t>
      </w:r>
      <w:r w:rsidRPr="00477C32">
        <w:rPr>
          <w:rFonts w:ascii="Garamond" w:hAnsi="Garamond" w:cs="Times New Roman"/>
          <w:lang w:val="en-GB"/>
        </w:rPr>
        <w:t xml:space="preserve"> into a political advantage.</w:t>
      </w:r>
      <w:r w:rsidR="000551FC" w:rsidRPr="00477C32">
        <w:rPr>
          <w:rFonts w:ascii="Garamond" w:hAnsi="Garamond" w:cs="Times New Roman"/>
          <w:lang w:val="en-GB"/>
        </w:rPr>
        <w:t xml:space="preserve"> The Brexit debate did often touch on, for example, economic issues about how migrants contribute to productivity, draw on public finances, and so on. But when backed into a corner it was always possible for a defender of Brexit to say</w:t>
      </w:r>
      <w:r w:rsidR="00FA3AE7" w:rsidRPr="00477C32">
        <w:rPr>
          <w:rFonts w:ascii="Garamond" w:hAnsi="Garamond" w:cs="Times New Roman"/>
          <w:lang w:val="en-GB"/>
        </w:rPr>
        <w:t>,</w:t>
      </w:r>
      <w:r w:rsidR="000551FC" w:rsidRPr="00477C32">
        <w:rPr>
          <w:rFonts w:ascii="Garamond" w:hAnsi="Garamond" w:cs="Times New Roman"/>
          <w:lang w:val="en-GB"/>
        </w:rPr>
        <w:t xml:space="preserve"> ‘Yes, there are all of those questions about exactly which immigration rules are best for the economy, but set that aside: what matters most is </w:t>
      </w:r>
      <w:r w:rsidR="001A73DC" w:rsidRPr="00477C32">
        <w:rPr>
          <w:rFonts w:ascii="Garamond" w:hAnsi="Garamond" w:cs="Times New Roman"/>
          <w:lang w:val="en-GB"/>
        </w:rPr>
        <w:t xml:space="preserve">simply </w:t>
      </w:r>
      <w:r w:rsidR="000551FC" w:rsidRPr="00477C32">
        <w:rPr>
          <w:rFonts w:ascii="Garamond" w:hAnsi="Garamond" w:cs="Times New Roman"/>
          <w:lang w:val="en-GB"/>
        </w:rPr>
        <w:t>that the rule</w:t>
      </w:r>
      <w:r w:rsidR="001A73DC" w:rsidRPr="00477C32">
        <w:rPr>
          <w:rFonts w:ascii="Garamond" w:hAnsi="Garamond" w:cs="Times New Roman"/>
          <w:lang w:val="en-GB"/>
        </w:rPr>
        <w:t>s</w:t>
      </w:r>
      <w:r w:rsidR="000551FC" w:rsidRPr="00477C32">
        <w:rPr>
          <w:rFonts w:ascii="Garamond" w:hAnsi="Garamond" w:cs="Times New Roman"/>
          <w:lang w:val="en-GB"/>
        </w:rPr>
        <w:t xml:space="preserve"> be </w:t>
      </w:r>
      <w:r w:rsidR="000551FC" w:rsidRPr="00477C32">
        <w:rPr>
          <w:rFonts w:ascii="Garamond" w:hAnsi="Garamond" w:cs="Times New Roman"/>
          <w:i/>
          <w:iCs/>
          <w:lang w:val="en-GB"/>
        </w:rPr>
        <w:t>our</w:t>
      </w:r>
      <w:r w:rsidR="000551FC" w:rsidRPr="00477C32">
        <w:rPr>
          <w:rFonts w:ascii="Garamond" w:hAnsi="Garamond" w:cs="Times New Roman"/>
          <w:lang w:val="en-GB"/>
        </w:rPr>
        <w:t xml:space="preserve"> rules’</w:t>
      </w:r>
      <w:r w:rsidR="00FA3AE7" w:rsidRPr="00477C32">
        <w:rPr>
          <w:rFonts w:ascii="Garamond" w:hAnsi="Garamond" w:cs="Times New Roman"/>
          <w:lang w:val="en-GB"/>
        </w:rPr>
        <w:t>.</w:t>
      </w:r>
      <w:r w:rsidR="000551FC" w:rsidRPr="00477C32">
        <w:rPr>
          <w:rFonts w:ascii="Garamond" w:hAnsi="Garamond" w:cs="Times New Roman"/>
          <w:lang w:val="en-GB"/>
        </w:rPr>
        <w:t xml:space="preserve"> Likewise, while </w:t>
      </w:r>
      <w:r w:rsidR="00725F08" w:rsidRPr="00477C32">
        <w:rPr>
          <w:rFonts w:ascii="Garamond" w:hAnsi="Garamond" w:cs="Times New Roman"/>
          <w:lang w:val="en-GB"/>
        </w:rPr>
        <w:t xml:space="preserve">people arguing for increased enforcement in the United States have often claimed that immigration has </w:t>
      </w:r>
      <w:r w:rsidR="001A73DC" w:rsidRPr="00477C32">
        <w:rPr>
          <w:rFonts w:ascii="Garamond" w:hAnsi="Garamond" w:cs="Times New Roman"/>
          <w:lang w:val="en-GB"/>
        </w:rPr>
        <w:t xml:space="preserve">a </w:t>
      </w:r>
      <w:r w:rsidR="00725F08" w:rsidRPr="00477C32">
        <w:rPr>
          <w:rFonts w:ascii="Garamond" w:hAnsi="Garamond" w:cs="Times New Roman"/>
          <w:lang w:val="en-GB"/>
        </w:rPr>
        <w:t xml:space="preserve">deleterious effect on security or the economy, they </w:t>
      </w:r>
      <w:r w:rsidR="00DB2F63" w:rsidRPr="00477C32">
        <w:rPr>
          <w:rFonts w:ascii="Garamond" w:hAnsi="Garamond" w:cs="Times New Roman"/>
          <w:lang w:val="en-GB"/>
        </w:rPr>
        <w:t>are also able to rely on</w:t>
      </w:r>
      <w:r w:rsidR="00725F08" w:rsidRPr="00477C32">
        <w:rPr>
          <w:rFonts w:ascii="Garamond" w:hAnsi="Garamond" w:cs="Times New Roman"/>
          <w:lang w:val="en-GB"/>
        </w:rPr>
        <w:t xml:space="preserve"> CSG considerations. </w:t>
      </w:r>
      <w:r w:rsidR="00FD2A18" w:rsidRPr="00477C32">
        <w:rPr>
          <w:rFonts w:ascii="Garamond" w:hAnsi="Garamond" w:cs="Times New Roman"/>
          <w:lang w:val="en-GB"/>
        </w:rPr>
        <w:t xml:space="preserve">The claim that enforcement is needed to ‘restore the rule of law’ (as the Trump administration put it) has </w:t>
      </w:r>
      <w:r w:rsidR="00BD1C4A" w:rsidRPr="00477C32">
        <w:rPr>
          <w:rFonts w:ascii="Garamond" w:hAnsi="Garamond" w:cs="Times New Roman"/>
          <w:lang w:val="en-GB"/>
        </w:rPr>
        <w:t>been a way of side-stepping</w:t>
      </w:r>
      <w:r w:rsidR="00FD2A18" w:rsidRPr="00477C32">
        <w:rPr>
          <w:rFonts w:ascii="Garamond" w:hAnsi="Garamond" w:cs="Times New Roman"/>
          <w:lang w:val="en-GB"/>
        </w:rPr>
        <w:t xml:space="preserve"> the impact of immigration, </w:t>
      </w:r>
      <w:r w:rsidR="00BD1C4A" w:rsidRPr="00477C32">
        <w:rPr>
          <w:rFonts w:ascii="Garamond" w:hAnsi="Garamond" w:cs="Times New Roman"/>
          <w:lang w:val="en-GB"/>
        </w:rPr>
        <w:t>by insisting</w:t>
      </w:r>
      <w:r w:rsidR="00FD2A18" w:rsidRPr="00477C32">
        <w:rPr>
          <w:rFonts w:ascii="Garamond" w:hAnsi="Garamond" w:cs="Times New Roman"/>
          <w:lang w:val="en-GB"/>
        </w:rPr>
        <w:t xml:space="preserve"> that control needs to be reasserted for its own sake</w:t>
      </w:r>
      <w:r w:rsidR="00A7762D" w:rsidRPr="00477C32">
        <w:rPr>
          <w:rFonts w:ascii="Garamond" w:hAnsi="Garamond" w:cs="Times New Roman"/>
          <w:lang w:val="en-GB"/>
        </w:rPr>
        <w:t>.</w:t>
      </w:r>
      <w:r w:rsidR="00F37832" w:rsidRPr="00477C32">
        <w:rPr>
          <w:rStyle w:val="FootnoteReference"/>
          <w:rFonts w:ascii="Garamond" w:hAnsi="Garamond" w:cs="Times New Roman"/>
          <w:lang w:val="en-GB"/>
        </w:rPr>
        <w:footnoteReference w:id="8"/>
      </w:r>
      <w:r w:rsidR="00DB2F63" w:rsidRPr="00477C32">
        <w:rPr>
          <w:rFonts w:ascii="Garamond" w:hAnsi="Garamond" w:cs="Times New Roman"/>
          <w:lang w:val="en-GB"/>
        </w:rPr>
        <w:t xml:space="preserve"> CSG can be deployed by political actors who would like to insulate themselves from having to back up their claims about the economy and so forth.</w:t>
      </w:r>
    </w:p>
    <w:p w14:paraId="2D8A1A17" w14:textId="77777777" w:rsidR="003C0AB4" w:rsidRPr="00477C32" w:rsidRDefault="003C0AB4" w:rsidP="00100874">
      <w:pPr>
        <w:rPr>
          <w:rFonts w:ascii="Garamond" w:hAnsi="Garamond" w:cs="Times New Roman"/>
          <w:lang w:val="en-GB"/>
        </w:rPr>
      </w:pPr>
    </w:p>
    <w:p w14:paraId="55AD1E8C" w14:textId="4DD59F88" w:rsidR="00C27B0C" w:rsidRPr="00477C32" w:rsidRDefault="007135E2" w:rsidP="00100874">
      <w:pPr>
        <w:rPr>
          <w:rFonts w:ascii="Garamond" w:hAnsi="Garamond" w:cs="Times New Roman"/>
          <w:b/>
          <w:bCs/>
          <w:lang w:val="en-GB"/>
        </w:rPr>
      </w:pPr>
      <w:r w:rsidRPr="00477C32">
        <w:rPr>
          <w:rFonts w:ascii="Garamond" w:hAnsi="Garamond" w:cs="Times New Roman"/>
          <w:b/>
          <w:bCs/>
          <w:lang w:val="en-GB"/>
        </w:rPr>
        <w:t xml:space="preserve">4. </w:t>
      </w:r>
      <w:r w:rsidR="00DB2F63" w:rsidRPr="00477C32">
        <w:rPr>
          <w:rFonts w:ascii="Garamond" w:hAnsi="Garamond" w:cs="Times New Roman"/>
          <w:b/>
          <w:bCs/>
          <w:lang w:val="en-GB"/>
        </w:rPr>
        <w:t>Challenging CSG Arguments</w:t>
      </w:r>
      <w:r w:rsidR="00DE0EE7" w:rsidRPr="00477C32">
        <w:rPr>
          <w:rFonts w:ascii="Garamond" w:hAnsi="Garamond" w:cs="Times New Roman"/>
          <w:b/>
          <w:bCs/>
          <w:lang w:val="en-GB"/>
        </w:rPr>
        <w:t>: Some Existing Considerations</w:t>
      </w:r>
    </w:p>
    <w:p w14:paraId="78BABC8C" w14:textId="7D328234" w:rsidR="00DE0EE7" w:rsidRPr="00477C32" w:rsidRDefault="00DE0EE7" w:rsidP="00100874">
      <w:pPr>
        <w:rPr>
          <w:rFonts w:ascii="Garamond" w:hAnsi="Garamond" w:cs="Times New Roman"/>
          <w:lang w:val="en-GB"/>
        </w:rPr>
      </w:pPr>
    </w:p>
    <w:p w14:paraId="44BBCB3E" w14:textId="09DF82AE" w:rsidR="00DE0EE7" w:rsidRPr="00477C32" w:rsidRDefault="00DE0EE7" w:rsidP="007135E2">
      <w:pPr>
        <w:ind w:firstLine="720"/>
        <w:rPr>
          <w:rFonts w:ascii="Garamond" w:hAnsi="Garamond" w:cs="Times New Roman"/>
          <w:lang w:val="en-GB"/>
        </w:rPr>
      </w:pPr>
      <w:r w:rsidRPr="00477C32">
        <w:rPr>
          <w:rFonts w:ascii="Garamond" w:hAnsi="Garamond" w:cs="Times New Roman"/>
          <w:lang w:val="en-GB"/>
        </w:rPr>
        <w:t>Can CSG arguments be resisted? Let’s start with some existing considerations in the philosophical literature</w:t>
      </w:r>
      <w:r w:rsidR="00332A1B" w:rsidRPr="00477C32">
        <w:rPr>
          <w:rFonts w:ascii="Garamond" w:hAnsi="Garamond" w:cs="Times New Roman"/>
          <w:lang w:val="en-GB"/>
        </w:rPr>
        <w:t>.</w:t>
      </w:r>
    </w:p>
    <w:p w14:paraId="65526CB0" w14:textId="510B5C51" w:rsidR="00332A1B" w:rsidRPr="00477C32" w:rsidRDefault="00DE0EE7" w:rsidP="007135E2">
      <w:pPr>
        <w:ind w:firstLine="720"/>
        <w:rPr>
          <w:rFonts w:ascii="Garamond" w:hAnsi="Garamond" w:cs="Times New Roman"/>
          <w:lang w:val="en-GB"/>
        </w:rPr>
      </w:pPr>
      <w:r w:rsidRPr="00477C32">
        <w:rPr>
          <w:rFonts w:ascii="Garamond" w:hAnsi="Garamond" w:cs="Times New Roman"/>
          <w:lang w:val="en-GB"/>
        </w:rPr>
        <w:t xml:space="preserve">One possible response </w:t>
      </w:r>
      <w:r w:rsidR="00624D55" w:rsidRPr="00477C32">
        <w:rPr>
          <w:rFonts w:ascii="Garamond" w:hAnsi="Garamond" w:cs="Times New Roman"/>
          <w:lang w:val="en-GB"/>
        </w:rPr>
        <w:t xml:space="preserve">is </w:t>
      </w:r>
      <w:r w:rsidRPr="00477C32">
        <w:rPr>
          <w:rFonts w:ascii="Garamond" w:hAnsi="Garamond" w:cs="Times New Roman"/>
          <w:lang w:val="en-GB"/>
        </w:rPr>
        <w:t xml:space="preserve">to </w:t>
      </w:r>
      <w:r w:rsidR="00624D55" w:rsidRPr="00477C32">
        <w:rPr>
          <w:rFonts w:ascii="Garamond" w:hAnsi="Garamond" w:cs="Times New Roman"/>
          <w:lang w:val="en-GB"/>
        </w:rPr>
        <w:t>point out</w:t>
      </w:r>
      <w:r w:rsidRPr="00477C32">
        <w:rPr>
          <w:rFonts w:ascii="Garamond" w:hAnsi="Garamond" w:cs="Times New Roman"/>
          <w:lang w:val="en-GB"/>
        </w:rPr>
        <w:t xml:space="preserve"> that there are considerations other than CSG at stake when it comes to </w:t>
      </w:r>
      <w:r w:rsidR="00E66F0C" w:rsidRPr="00477C32">
        <w:rPr>
          <w:rFonts w:ascii="Garamond" w:hAnsi="Garamond" w:cs="Times New Roman"/>
          <w:lang w:val="en-GB"/>
        </w:rPr>
        <w:t>border control. Song (201</w:t>
      </w:r>
      <w:r w:rsidR="00A778D9" w:rsidRPr="00477C32">
        <w:rPr>
          <w:rFonts w:ascii="Garamond" w:hAnsi="Garamond" w:cs="Times New Roman"/>
          <w:lang w:val="en-GB"/>
        </w:rPr>
        <w:t>8</w:t>
      </w:r>
      <w:r w:rsidR="00E66F0C" w:rsidRPr="00477C32">
        <w:rPr>
          <w:rFonts w:ascii="Garamond" w:hAnsi="Garamond" w:cs="Times New Roman"/>
          <w:lang w:val="en-GB"/>
        </w:rPr>
        <w:t>) and Wellman (</w:t>
      </w:r>
      <w:r w:rsidR="00D934D2" w:rsidRPr="00477C32">
        <w:rPr>
          <w:rFonts w:ascii="Garamond" w:hAnsi="Garamond" w:cs="Times New Roman"/>
          <w:lang w:val="en-GB"/>
        </w:rPr>
        <w:t>2008</w:t>
      </w:r>
      <w:r w:rsidR="00E66F0C" w:rsidRPr="00477C32">
        <w:rPr>
          <w:rFonts w:ascii="Garamond" w:hAnsi="Garamond" w:cs="Times New Roman"/>
          <w:lang w:val="en-GB"/>
        </w:rPr>
        <w:t xml:space="preserve">) both </w:t>
      </w:r>
      <w:r w:rsidR="00332A1B" w:rsidRPr="00477C32">
        <w:rPr>
          <w:rFonts w:ascii="Garamond" w:hAnsi="Garamond" w:cs="Times New Roman"/>
          <w:lang w:val="en-GB"/>
        </w:rPr>
        <w:t>emphasize</w:t>
      </w:r>
      <w:r w:rsidR="00E66F0C" w:rsidRPr="00477C32">
        <w:rPr>
          <w:rFonts w:ascii="Garamond" w:hAnsi="Garamond" w:cs="Times New Roman"/>
          <w:lang w:val="en-GB"/>
        </w:rPr>
        <w:t xml:space="preserve"> that any reasons for action (or policies) generated </w:t>
      </w:r>
      <w:r w:rsidR="00D934D2" w:rsidRPr="00477C32">
        <w:rPr>
          <w:rFonts w:ascii="Garamond" w:hAnsi="Garamond" w:cs="Times New Roman"/>
          <w:lang w:val="en-GB"/>
        </w:rPr>
        <w:t xml:space="preserve">by CSG are merely </w:t>
      </w:r>
      <w:r w:rsidR="00D934D2" w:rsidRPr="00477C32">
        <w:rPr>
          <w:rFonts w:ascii="Garamond" w:hAnsi="Garamond" w:cs="Times New Roman"/>
          <w:i/>
          <w:iCs/>
          <w:lang w:val="en-GB"/>
        </w:rPr>
        <w:t>pro tanto</w:t>
      </w:r>
      <w:r w:rsidRPr="00477C32">
        <w:rPr>
          <w:rFonts w:ascii="Garamond" w:hAnsi="Garamond" w:cs="Times New Roman"/>
          <w:lang w:val="en-GB"/>
        </w:rPr>
        <w:t xml:space="preserve">. </w:t>
      </w:r>
      <w:r w:rsidR="00E70BDA" w:rsidRPr="00477C32">
        <w:rPr>
          <w:rFonts w:ascii="Garamond" w:hAnsi="Garamond" w:cs="Times New Roman"/>
          <w:lang w:val="en-GB"/>
        </w:rPr>
        <w:t xml:space="preserve">This means that alternative </w:t>
      </w:r>
      <w:r w:rsidR="00D934D2" w:rsidRPr="00477C32">
        <w:rPr>
          <w:rFonts w:ascii="Garamond" w:hAnsi="Garamond" w:cs="Times New Roman"/>
          <w:lang w:val="en-GB"/>
        </w:rPr>
        <w:t>considerations</w:t>
      </w:r>
      <w:r w:rsidR="00E70BDA" w:rsidRPr="00477C32">
        <w:rPr>
          <w:rFonts w:ascii="Garamond" w:hAnsi="Garamond" w:cs="Times New Roman"/>
          <w:lang w:val="en-GB"/>
        </w:rPr>
        <w:t xml:space="preserve"> can potentially be brought in </w:t>
      </w:r>
      <w:r w:rsidR="00D934D2" w:rsidRPr="00477C32">
        <w:rPr>
          <w:rFonts w:ascii="Garamond" w:hAnsi="Garamond" w:cs="Times New Roman"/>
          <w:lang w:val="en-GB"/>
        </w:rPr>
        <w:t>and weighed against CSG</w:t>
      </w:r>
      <w:r w:rsidR="00332A1B" w:rsidRPr="00477C32">
        <w:rPr>
          <w:rFonts w:ascii="Garamond" w:hAnsi="Garamond" w:cs="Times New Roman"/>
          <w:lang w:val="en-GB"/>
        </w:rPr>
        <w:t xml:space="preserve"> in determining what should be done overall</w:t>
      </w:r>
      <w:r w:rsidR="00E70BDA" w:rsidRPr="00477C32">
        <w:rPr>
          <w:rFonts w:ascii="Garamond" w:hAnsi="Garamond" w:cs="Times New Roman"/>
          <w:lang w:val="en-GB"/>
        </w:rPr>
        <w:t xml:space="preserve"> (Fine 2013). </w:t>
      </w:r>
      <w:r w:rsidR="00754EEF" w:rsidRPr="00477C32">
        <w:rPr>
          <w:rFonts w:ascii="Garamond" w:hAnsi="Garamond" w:cs="Times New Roman"/>
          <w:lang w:val="en-GB"/>
        </w:rPr>
        <w:t>For example, in the case of the Southern border of the U</w:t>
      </w:r>
      <w:r w:rsidR="00B07D93" w:rsidRPr="00477C32">
        <w:rPr>
          <w:rFonts w:ascii="Garamond" w:hAnsi="Garamond" w:cs="Times New Roman"/>
          <w:lang w:val="en-GB"/>
        </w:rPr>
        <w:t>nited States,</w:t>
      </w:r>
      <w:r w:rsidR="00754EEF" w:rsidRPr="00477C32">
        <w:rPr>
          <w:rFonts w:ascii="Garamond" w:hAnsi="Garamond" w:cs="Times New Roman"/>
          <w:lang w:val="en-GB"/>
        </w:rPr>
        <w:t xml:space="preserve"> someone might say that various parts of the US economy are dependent on the </w:t>
      </w:r>
      <w:r w:rsidR="00C13A3F" w:rsidRPr="00477C32">
        <w:rPr>
          <w:rFonts w:ascii="Garamond" w:hAnsi="Garamond" w:cs="Times New Roman"/>
          <w:lang w:val="en-GB"/>
        </w:rPr>
        <w:t>labour</w:t>
      </w:r>
      <w:r w:rsidR="00754EEF" w:rsidRPr="00477C32">
        <w:rPr>
          <w:rFonts w:ascii="Garamond" w:hAnsi="Garamond" w:cs="Times New Roman"/>
          <w:lang w:val="en-GB"/>
        </w:rPr>
        <w:t xml:space="preserve"> of undocumented migrants</w:t>
      </w:r>
      <w:r w:rsidR="00A53F99" w:rsidRPr="00477C32">
        <w:rPr>
          <w:rFonts w:ascii="Garamond" w:hAnsi="Garamond" w:cs="Times New Roman"/>
          <w:lang w:val="en-GB"/>
        </w:rPr>
        <w:t xml:space="preserve"> and </w:t>
      </w:r>
      <w:r w:rsidR="00C356E4" w:rsidRPr="00477C32">
        <w:rPr>
          <w:rFonts w:ascii="Garamond" w:hAnsi="Garamond" w:cs="Times New Roman"/>
          <w:lang w:val="en-GB"/>
        </w:rPr>
        <w:t>both migrants and business</w:t>
      </w:r>
      <w:r w:rsidR="00624D55" w:rsidRPr="00477C32">
        <w:rPr>
          <w:rFonts w:ascii="Garamond" w:hAnsi="Garamond" w:cs="Times New Roman"/>
          <w:lang w:val="en-GB"/>
        </w:rPr>
        <w:t>es</w:t>
      </w:r>
      <w:r w:rsidR="00C356E4" w:rsidRPr="00477C32">
        <w:rPr>
          <w:rFonts w:ascii="Garamond" w:hAnsi="Garamond" w:cs="Times New Roman"/>
          <w:lang w:val="en-GB"/>
        </w:rPr>
        <w:t xml:space="preserve"> would be harmed by increased enforcement</w:t>
      </w:r>
      <w:r w:rsidR="00A53F99" w:rsidRPr="00477C32">
        <w:rPr>
          <w:rFonts w:ascii="Garamond" w:hAnsi="Garamond" w:cs="Times New Roman"/>
          <w:lang w:val="en-GB"/>
        </w:rPr>
        <w:t xml:space="preserve">. </w:t>
      </w:r>
      <w:r w:rsidR="004663D1" w:rsidRPr="00477C32">
        <w:rPr>
          <w:rFonts w:ascii="Garamond" w:hAnsi="Garamond" w:cs="Times New Roman"/>
          <w:lang w:val="en-GB"/>
        </w:rPr>
        <w:t xml:space="preserve">Or in </w:t>
      </w:r>
      <w:r w:rsidR="00A53F99" w:rsidRPr="00477C32">
        <w:rPr>
          <w:rFonts w:ascii="Garamond" w:hAnsi="Garamond" w:cs="Times New Roman"/>
          <w:lang w:val="en-GB"/>
        </w:rPr>
        <w:t>the case of Brexit one might</w:t>
      </w:r>
      <w:r w:rsidR="004663D1" w:rsidRPr="00477C32">
        <w:rPr>
          <w:rFonts w:ascii="Garamond" w:hAnsi="Garamond" w:cs="Times New Roman"/>
          <w:lang w:val="en-GB"/>
        </w:rPr>
        <w:t xml:space="preserve"> </w:t>
      </w:r>
      <w:r w:rsidR="00A53F99" w:rsidRPr="00477C32">
        <w:rPr>
          <w:rFonts w:ascii="Garamond" w:hAnsi="Garamond" w:cs="Times New Roman"/>
          <w:lang w:val="en-GB"/>
        </w:rPr>
        <w:t>point to the important interests that various EU citizens who are not UK nationals have in visiting and living in Britain</w:t>
      </w:r>
      <w:r w:rsidR="004663D1" w:rsidRPr="00477C32">
        <w:rPr>
          <w:rFonts w:ascii="Garamond" w:hAnsi="Garamond" w:cs="Times New Roman"/>
          <w:lang w:val="en-GB"/>
        </w:rPr>
        <w:t>.</w:t>
      </w:r>
      <w:r w:rsidR="00A05229" w:rsidRPr="00477C32">
        <w:rPr>
          <w:rFonts w:ascii="Garamond" w:hAnsi="Garamond" w:cs="Times New Roman"/>
          <w:lang w:val="en-GB"/>
        </w:rPr>
        <w:t xml:space="preserve"> More generally, even though CSG argument might ultimately rest on certain individual interests in self-governance, there may also be self-governance interests that weigh in favour of more open borders, such as people’s interests in choosing career paths only available in certain countries (Oberman 2016). </w:t>
      </w:r>
    </w:p>
    <w:p w14:paraId="65CFD7D5" w14:textId="193AD076" w:rsidR="00A53F99" w:rsidRPr="00477C32" w:rsidRDefault="00A53F99" w:rsidP="007135E2">
      <w:pPr>
        <w:ind w:firstLine="720"/>
        <w:rPr>
          <w:rFonts w:ascii="Garamond" w:hAnsi="Garamond" w:cs="Times New Roman"/>
          <w:lang w:val="en-GB"/>
        </w:rPr>
      </w:pPr>
      <w:r w:rsidRPr="00477C32">
        <w:rPr>
          <w:rFonts w:ascii="Garamond" w:hAnsi="Garamond" w:cs="Times New Roman"/>
          <w:lang w:val="en-GB"/>
        </w:rPr>
        <w:t xml:space="preserve">For this response to succeed, one must not only point to alternative considerations but </w:t>
      </w:r>
      <w:r w:rsidR="005D1FE1" w:rsidRPr="00477C32">
        <w:rPr>
          <w:rFonts w:ascii="Garamond" w:hAnsi="Garamond" w:cs="Times New Roman"/>
          <w:lang w:val="en-GB"/>
        </w:rPr>
        <w:t xml:space="preserve">also </w:t>
      </w:r>
      <w:r w:rsidRPr="00477C32">
        <w:rPr>
          <w:rFonts w:ascii="Garamond" w:hAnsi="Garamond" w:cs="Times New Roman"/>
          <w:lang w:val="en-GB"/>
        </w:rPr>
        <w:t xml:space="preserve">claim that they </w:t>
      </w:r>
      <w:r w:rsidRPr="00477C32">
        <w:rPr>
          <w:rFonts w:ascii="Garamond" w:hAnsi="Garamond" w:cs="Times New Roman"/>
          <w:i/>
          <w:iCs/>
          <w:lang w:val="en-GB"/>
        </w:rPr>
        <w:t>override</w:t>
      </w:r>
      <w:r w:rsidRPr="00477C32">
        <w:rPr>
          <w:rFonts w:ascii="Garamond" w:hAnsi="Garamond" w:cs="Times New Roman"/>
          <w:lang w:val="en-GB"/>
        </w:rPr>
        <w:t xml:space="preserve"> the importance of CSG in this context, making it the case that overall the state ought not take steps to shore up its discretion over immigration. And that can be a difficult case to make, since, as we saw earlier, CSG is a value that is often given considerable weight. </w:t>
      </w:r>
      <w:r w:rsidR="00B02741" w:rsidRPr="00477C32">
        <w:rPr>
          <w:rFonts w:ascii="Garamond" w:hAnsi="Garamond" w:cs="Times New Roman"/>
          <w:lang w:val="en-GB"/>
        </w:rPr>
        <w:t>Sure there are EU citizens who would benefit from a job a Britain</w:t>
      </w:r>
      <w:r w:rsidR="00570A75" w:rsidRPr="00477C32">
        <w:rPr>
          <w:rFonts w:ascii="Garamond" w:hAnsi="Garamond" w:cs="Times New Roman"/>
          <w:lang w:val="en-GB"/>
        </w:rPr>
        <w:t xml:space="preserve">, </w:t>
      </w:r>
      <w:r w:rsidR="00B02741" w:rsidRPr="00477C32">
        <w:rPr>
          <w:rFonts w:ascii="Garamond" w:hAnsi="Garamond" w:cs="Times New Roman"/>
          <w:lang w:val="en-GB"/>
        </w:rPr>
        <w:t>defenders of Brexit might say</w:t>
      </w:r>
      <w:r w:rsidR="00570A75" w:rsidRPr="00477C32">
        <w:rPr>
          <w:rFonts w:ascii="Garamond" w:hAnsi="Garamond" w:cs="Times New Roman"/>
          <w:lang w:val="en-GB"/>
        </w:rPr>
        <w:t xml:space="preserve">, but how does that compare to </w:t>
      </w:r>
      <w:r w:rsidR="00DE515C" w:rsidRPr="00477C32">
        <w:rPr>
          <w:rFonts w:ascii="Garamond" w:hAnsi="Garamond" w:cs="Times New Roman"/>
          <w:lang w:val="en-GB"/>
        </w:rPr>
        <w:t>one’s country</w:t>
      </w:r>
      <w:r w:rsidR="00570A75" w:rsidRPr="00477C32">
        <w:rPr>
          <w:rFonts w:ascii="Garamond" w:hAnsi="Garamond" w:cs="Times New Roman"/>
          <w:lang w:val="en-GB"/>
        </w:rPr>
        <w:t xml:space="preserve"> </w:t>
      </w:r>
      <w:r w:rsidR="00DE515C" w:rsidRPr="00477C32">
        <w:rPr>
          <w:rFonts w:ascii="Garamond" w:hAnsi="Garamond" w:cs="Times New Roman"/>
          <w:lang w:val="en-GB"/>
        </w:rPr>
        <w:t xml:space="preserve">having </w:t>
      </w:r>
      <w:r w:rsidR="00570A75" w:rsidRPr="00477C32">
        <w:rPr>
          <w:rFonts w:ascii="Garamond" w:hAnsi="Garamond" w:cs="Times New Roman"/>
          <w:lang w:val="en-GB"/>
        </w:rPr>
        <w:t>‘</w:t>
      </w:r>
      <w:r w:rsidR="00DE515C" w:rsidRPr="00477C32">
        <w:rPr>
          <w:rFonts w:ascii="Garamond" w:hAnsi="Garamond" w:cs="Times New Roman"/>
          <w:lang w:val="en-GB"/>
        </w:rPr>
        <w:t>colony status’?</w:t>
      </w:r>
      <w:r w:rsidR="00DE515C" w:rsidRPr="00477C32">
        <w:rPr>
          <w:rStyle w:val="FootnoteReference"/>
          <w:rFonts w:ascii="Garamond" w:hAnsi="Garamond" w:cs="Times New Roman"/>
          <w:lang w:val="en-GB"/>
        </w:rPr>
        <w:footnoteReference w:id="9"/>
      </w:r>
    </w:p>
    <w:p w14:paraId="4BF7A228" w14:textId="5229938D" w:rsidR="00DE0EE7" w:rsidRPr="00477C32" w:rsidRDefault="00DE0EE7" w:rsidP="007135E2">
      <w:pPr>
        <w:ind w:firstLine="720"/>
        <w:rPr>
          <w:rFonts w:ascii="Garamond" w:hAnsi="Garamond" w:cs="Times New Roman"/>
          <w:lang w:val="en-GB"/>
        </w:rPr>
      </w:pPr>
      <w:r w:rsidRPr="00477C32">
        <w:rPr>
          <w:rFonts w:ascii="Garamond" w:hAnsi="Garamond" w:cs="Times New Roman"/>
          <w:lang w:val="en-GB"/>
        </w:rPr>
        <w:lastRenderedPageBreak/>
        <w:t xml:space="preserve">Of course, another option </w:t>
      </w:r>
      <w:r w:rsidR="00476EE9" w:rsidRPr="00477C32">
        <w:rPr>
          <w:rFonts w:ascii="Garamond" w:hAnsi="Garamond" w:cs="Times New Roman"/>
          <w:lang w:val="en-GB"/>
        </w:rPr>
        <w:t>is simply</w:t>
      </w:r>
      <w:r w:rsidR="004D7C26" w:rsidRPr="00477C32">
        <w:rPr>
          <w:rFonts w:ascii="Garamond" w:hAnsi="Garamond" w:cs="Times New Roman"/>
          <w:lang w:val="en-GB"/>
        </w:rPr>
        <w:t xml:space="preserve"> to</w:t>
      </w:r>
      <w:r w:rsidR="00476EE9" w:rsidRPr="00477C32">
        <w:rPr>
          <w:rFonts w:ascii="Garamond" w:hAnsi="Garamond" w:cs="Times New Roman"/>
          <w:lang w:val="en-GB"/>
        </w:rPr>
        <w:t xml:space="preserve"> discount the</w:t>
      </w:r>
      <w:r w:rsidR="004D7C26" w:rsidRPr="00477C32">
        <w:rPr>
          <w:rFonts w:ascii="Garamond" w:hAnsi="Garamond" w:cs="Times New Roman"/>
          <w:lang w:val="en-GB"/>
        </w:rPr>
        <w:t xml:space="preserve"> moral</w:t>
      </w:r>
      <w:r w:rsidR="00476EE9" w:rsidRPr="00477C32">
        <w:rPr>
          <w:rFonts w:ascii="Garamond" w:hAnsi="Garamond" w:cs="Times New Roman"/>
          <w:lang w:val="en-GB"/>
        </w:rPr>
        <w:t xml:space="preserve"> importance of CSG, but this is a </w:t>
      </w:r>
      <w:r w:rsidR="004D7C26" w:rsidRPr="00477C32">
        <w:rPr>
          <w:rFonts w:ascii="Garamond" w:hAnsi="Garamond" w:cs="Times New Roman"/>
          <w:lang w:val="en-GB"/>
        </w:rPr>
        <w:t>highly</w:t>
      </w:r>
      <w:r w:rsidR="00476EE9" w:rsidRPr="00477C32">
        <w:rPr>
          <w:rFonts w:ascii="Garamond" w:hAnsi="Garamond" w:cs="Times New Roman"/>
          <w:lang w:val="en-GB"/>
        </w:rPr>
        <w:t xml:space="preserve"> revisionary move, so it would be good to see if the CSG argument can be resisted without requiring such a major shift in many people’s moral views.</w:t>
      </w:r>
      <w:r w:rsidR="00812B16" w:rsidRPr="00477C32">
        <w:rPr>
          <w:rStyle w:val="FootnoteReference"/>
          <w:rFonts w:ascii="Garamond" w:hAnsi="Garamond" w:cs="Times New Roman"/>
          <w:lang w:val="en-GB"/>
        </w:rPr>
        <w:footnoteReference w:id="10"/>
      </w:r>
      <w:r w:rsidR="00476EE9" w:rsidRPr="00477C32">
        <w:rPr>
          <w:rFonts w:ascii="Garamond" w:hAnsi="Garamond" w:cs="Times New Roman"/>
          <w:lang w:val="en-GB"/>
        </w:rPr>
        <w:t xml:space="preserve"> Certainly for political purposes it would be troubling if the only way to resist the CSG argument is to say</w:t>
      </w:r>
      <w:r w:rsidR="00A17159" w:rsidRPr="00477C32">
        <w:rPr>
          <w:rFonts w:ascii="Garamond" w:hAnsi="Garamond" w:cs="Times New Roman"/>
          <w:lang w:val="en-GB"/>
        </w:rPr>
        <w:t>,</w:t>
      </w:r>
      <w:r w:rsidR="00476EE9" w:rsidRPr="00477C32">
        <w:rPr>
          <w:rFonts w:ascii="Garamond" w:hAnsi="Garamond" w:cs="Times New Roman"/>
          <w:lang w:val="en-GB"/>
        </w:rPr>
        <w:t xml:space="preserve"> ‘</w:t>
      </w:r>
      <w:r w:rsidR="00A17159" w:rsidRPr="00477C32">
        <w:rPr>
          <w:rFonts w:ascii="Garamond" w:hAnsi="Garamond" w:cs="Times New Roman"/>
          <w:lang w:val="en-GB"/>
        </w:rPr>
        <w:t>Y</w:t>
      </w:r>
      <w:r w:rsidR="00476EE9" w:rsidRPr="00477C32">
        <w:rPr>
          <w:rFonts w:ascii="Garamond" w:hAnsi="Garamond" w:cs="Times New Roman"/>
          <w:lang w:val="en-GB"/>
        </w:rPr>
        <w:t xml:space="preserve">es, the community has lost control of its common destiny, but this is </w:t>
      </w:r>
      <w:r w:rsidR="004D7C26" w:rsidRPr="00477C32">
        <w:rPr>
          <w:rFonts w:ascii="Garamond" w:hAnsi="Garamond" w:cs="Times New Roman"/>
          <w:lang w:val="en-GB"/>
        </w:rPr>
        <w:t>no big deal</w:t>
      </w:r>
      <w:r w:rsidR="00476EE9" w:rsidRPr="00477C32">
        <w:rPr>
          <w:rFonts w:ascii="Garamond" w:hAnsi="Garamond" w:cs="Times New Roman"/>
          <w:lang w:val="en-GB"/>
        </w:rPr>
        <w:t>’.</w:t>
      </w:r>
    </w:p>
    <w:p w14:paraId="15BA07A5" w14:textId="30EDC31C" w:rsidR="00DE0EE7" w:rsidRPr="00477C32" w:rsidRDefault="00DE0EE7" w:rsidP="007135E2">
      <w:pPr>
        <w:ind w:firstLine="720"/>
        <w:rPr>
          <w:rFonts w:ascii="Garamond" w:hAnsi="Garamond" w:cs="Times New Roman"/>
          <w:lang w:val="en-GB"/>
        </w:rPr>
      </w:pPr>
      <w:r w:rsidRPr="00477C32">
        <w:rPr>
          <w:rFonts w:ascii="Garamond" w:hAnsi="Garamond" w:cs="Times New Roman"/>
          <w:lang w:val="en-GB"/>
        </w:rPr>
        <w:t xml:space="preserve">What I would like to explore </w:t>
      </w:r>
      <w:r w:rsidR="00476EE9" w:rsidRPr="00477C32">
        <w:rPr>
          <w:rFonts w:ascii="Garamond" w:hAnsi="Garamond" w:cs="Times New Roman"/>
          <w:lang w:val="en-GB"/>
        </w:rPr>
        <w:t xml:space="preserve">in the remainder of this paper </w:t>
      </w:r>
      <w:r w:rsidRPr="00477C32">
        <w:rPr>
          <w:rFonts w:ascii="Garamond" w:hAnsi="Garamond" w:cs="Times New Roman"/>
          <w:lang w:val="en-GB"/>
        </w:rPr>
        <w:t xml:space="preserve">is whether </w:t>
      </w:r>
      <w:r w:rsidR="00E70BDA" w:rsidRPr="00477C32">
        <w:rPr>
          <w:rFonts w:ascii="Garamond" w:hAnsi="Garamond" w:cs="Times New Roman"/>
          <w:lang w:val="en-GB"/>
        </w:rPr>
        <w:t xml:space="preserve">there is a way to respond to the CSG argument on its own terms, granting </w:t>
      </w:r>
      <w:r w:rsidR="002958D0" w:rsidRPr="00477C32">
        <w:rPr>
          <w:rFonts w:ascii="Garamond" w:hAnsi="Garamond" w:cs="Times New Roman"/>
          <w:lang w:val="en-GB"/>
        </w:rPr>
        <w:t>that</w:t>
      </w:r>
      <w:r w:rsidR="00E70BDA" w:rsidRPr="00477C32">
        <w:rPr>
          <w:rFonts w:ascii="Garamond" w:hAnsi="Garamond" w:cs="Times New Roman"/>
          <w:lang w:val="en-GB"/>
        </w:rPr>
        <w:t xml:space="preserve"> CSG is in fact an important value, but questioning whether it always tells in </w:t>
      </w:r>
      <w:r w:rsidR="00C13A3F" w:rsidRPr="00477C32">
        <w:rPr>
          <w:rFonts w:ascii="Garamond" w:hAnsi="Garamond" w:cs="Times New Roman"/>
          <w:lang w:val="en-GB"/>
        </w:rPr>
        <w:t>favour</w:t>
      </w:r>
      <w:r w:rsidR="00E70BDA" w:rsidRPr="00477C32">
        <w:rPr>
          <w:rFonts w:ascii="Garamond" w:hAnsi="Garamond" w:cs="Times New Roman"/>
          <w:lang w:val="en-GB"/>
        </w:rPr>
        <w:t xml:space="preserve"> of policy outcomes like Brexit</w:t>
      </w:r>
      <w:r w:rsidR="00476EE9" w:rsidRPr="00477C32">
        <w:rPr>
          <w:rFonts w:ascii="Garamond" w:hAnsi="Garamond" w:cs="Times New Roman"/>
          <w:lang w:val="en-GB"/>
        </w:rPr>
        <w:t xml:space="preserve"> and increased border enforcement</w:t>
      </w:r>
      <w:r w:rsidR="00E70BDA" w:rsidRPr="00477C32">
        <w:rPr>
          <w:rFonts w:ascii="Garamond" w:hAnsi="Garamond" w:cs="Times New Roman"/>
          <w:lang w:val="en-GB"/>
        </w:rPr>
        <w:t>.</w:t>
      </w:r>
      <w:r w:rsidR="000A6331" w:rsidRPr="00477C32">
        <w:rPr>
          <w:rFonts w:ascii="Garamond" w:hAnsi="Garamond" w:cs="Times New Roman"/>
          <w:lang w:val="en-GB"/>
        </w:rPr>
        <w:t xml:space="preserve"> More specifically, I </w:t>
      </w:r>
      <w:r w:rsidR="00C02295" w:rsidRPr="00477C32">
        <w:rPr>
          <w:rFonts w:ascii="Garamond" w:hAnsi="Garamond" w:cs="Times New Roman"/>
          <w:lang w:val="en-GB"/>
        </w:rPr>
        <w:t xml:space="preserve">will </w:t>
      </w:r>
      <w:r w:rsidR="00535791" w:rsidRPr="00477C32">
        <w:rPr>
          <w:rFonts w:ascii="Garamond" w:hAnsi="Garamond" w:cs="Times New Roman"/>
          <w:lang w:val="en-GB"/>
        </w:rPr>
        <w:t>question the connection between</w:t>
      </w:r>
      <w:r w:rsidR="000A6331" w:rsidRPr="00477C32">
        <w:rPr>
          <w:rFonts w:ascii="Garamond" w:hAnsi="Garamond" w:cs="Times New Roman"/>
          <w:lang w:val="en-GB"/>
        </w:rPr>
        <w:t xml:space="preserve"> </w:t>
      </w:r>
      <w:r w:rsidR="00535791" w:rsidRPr="00477C32">
        <w:rPr>
          <w:rFonts w:ascii="Garamond" w:hAnsi="Garamond" w:cs="Times New Roman"/>
          <w:lang w:val="en-GB"/>
        </w:rPr>
        <w:t xml:space="preserve">state discretion over immigration and </w:t>
      </w:r>
      <w:r w:rsidR="0062297D" w:rsidRPr="00477C32">
        <w:rPr>
          <w:rFonts w:ascii="Garamond" w:hAnsi="Garamond" w:cs="Times New Roman"/>
          <w:lang w:val="en-GB"/>
        </w:rPr>
        <w:t>CSG</w:t>
      </w:r>
      <w:r w:rsidR="000A6331" w:rsidRPr="00477C32">
        <w:rPr>
          <w:rFonts w:ascii="Garamond" w:hAnsi="Garamond" w:cs="Times New Roman"/>
          <w:lang w:val="en-GB"/>
        </w:rPr>
        <w:t xml:space="preserve">. </w:t>
      </w:r>
      <w:r w:rsidR="00476EE9" w:rsidRPr="00477C32">
        <w:rPr>
          <w:rFonts w:ascii="Garamond" w:hAnsi="Garamond" w:cs="Times New Roman"/>
          <w:lang w:val="en-GB"/>
        </w:rPr>
        <w:t>I will suggest that there are two promising strategies</w:t>
      </w:r>
      <w:r w:rsidR="00A9120C" w:rsidRPr="00477C32">
        <w:rPr>
          <w:rFonts w:ascii="Garamond" w:hAnsi="Garamond" w:cs="Times New Roman"/>
          <w:lang w:val="en-GB"/>
        </w:rPr>
        <w:t>.</w:t>
      </w:r>
      <w:r w:rsidR="00476EE9" w:rsidRPr="00477C32">
        <w:rPr>
          <w:rFonts w:ascii="Garamond" w:hAnsi="Garamond" w:cs="Times New Roman"/>
          <w:lang w:val="en-GB"/>
        </w:rPr>
        <w:t xml:space="preserve"> First, </w:t>
      </w:r>
      <w:r w:rsidR="00293116" w:rsidRPr="00477C32">
        <w:rPr>
          <w:rFonts w:ascii="Garamond" w:hAnsi="Garamond" w:cs="Times New Roman"/>
          <w:lang w:val="en-GB"/>
        </w:rPr>
        <w:t xml:space="preserve">I will show that </w:t>
      </w:r>
      <w:r w:rsidR="00476EE9" w:rsidRPr="00477C32">
        <w:rPr>
          <w:rFonts w:ascii="Garamond" w:hAnsi="Garamond" w:cs="Times New Roman"/>
          <w:lang w:val="en-GB"/>
        </w:rPr>
        <w:t xml:space="preserve">we need a more fine-grained understanding of CSG. Only certain kinds of </w:t>
      </w:r>
      <w:r w:rsidR="00293116" w:rsidRPr="00477C32">
        <w:rPr>
          <w:rFonts w:ascii="Garamond" w:hAnsi="Garamond" w:cs="Times New Roman"/>
          <w:lang w:val="en-GB"/>
        </w:rPr>
        <w:t>limitation</w:t>
      </w:r>
      <w:r w:rsidR="00476EE9" w:rsidRPr="00477C32">
        <w:rPr>
          <w:rFonts w:ascii="Garamond" w:hAnsi="Garamond" w:cs="Times New Roman"/>
          <w:lang w:val="en-GB"/>
        </w:rPr>
        <w:t xml:space="preserve"> on state </w:t>
      </w:r>
      <w:r w:rsidR="00535791" w:rsidRPr="00477C32">
        <w:rPr>
          <w:rFonts w:ascii="Garamond" w:hAnsi="Garamond" w:cs="Times New Roman"/>
          <w:lang w:val="en-GB"/>
        </w:rPr>
        <w:t>discretion over immigration</w:t>
      </w:r>
      <w:r w:rsidR="00476EE9" w:rsidRPr="00477C32">
        <w:rPr>
          <w:rFonts w:ascii="Garamond" w:hAnsi="Garamond" w:cs="Times New Roman"/>
          <w:lang w:val="en-GB"/>
        </w:rPr>
        <w:t xml:space="preserve"> making </w:t>
      </w:r>
      <w:proofErr w:type="gramStart"/>
      <w:r w:rsidR="00476EE9" w:rsidRPr="00477C32">
        <w:rPr>
          <w:rFonts w:ascii="Garamond" w:hAnsi="Garamond" w:cs="Times New Roman"/>
          <w:lang w:val="en-GB"/>
        </w:rPr>
        <w:t>actually pose</w:t>
      </w:r>
      <w:proofErr w:type="gramEnd"/>
      <w:r w:rsidR="00476EE9" w:rsidRPr="00477C32">
        <w:rPr>
          <w:rFonts w:ascii="Garamond" w:hAnsi="Garamond" w:cs="Times New Roman"/>
          <w:lang w:val="en-GB"/>
        </w:rPr>
        <w:t xml:space="preserve"> a significant threat to </w:t>
      </w:r>
      <w:r w:rsidR="0062297D" w:rsidRPr="00477C32">
        <w:rPr>
          <w:rFonts w:ascii="Garamond" w:hAnsi="Garamond" w:cs="Times New Roman"/>
          <w:lang w:val="en-GB"/>
        </w:rPr>
        <w:t>CSG</w:t>
      </w:r>
      <w:r w:rsidR="00476EE9" w:rsidRPr="00477C32">
        <w:rPr>
          <w:rFonts w:ascii="Garamond" w:hAnsi="Garamond" w:cs="Times New Roman"/>
          <w:lang w:val="en-GB"/>
        </w:rPr>
        <w:t>.</w:t>
      </w:r>
      <w:r w:rsidR="00293116" w:rsidRPr="00477C32">
        <w:rPr>
          <w:rFonts w:ascii="Garamond" w:hAnsi="Garamond" w:cs="Times New Roman"/>
          <w:lang w:val="en-GB"/>
        </w:rPr>
        <w:t xml:space="preserve"> Once we see this, CSG arguments lose the advantages that I explained earlier.</w:t>
      </w:r>
      <w:r w:rsidR="00C02295" w:rsidRPr="00477C32">
        <w:rPr>
          <w:rFonts w:ascii="Garamond" w:hAnsi="Garamond" w:cs="Times New Roman"/>
          <w:lang w:val="en-GB"/>
        </w:rPr>
        <w:t xml:space="preserve"> Second, I will argue that political movements that seek to</w:t>
      </w:r>
      <w:r w:rsidR="00476EE9" w:rsidRPr="00477C32">
        <w:rPr>
          <w:rFonts w:ascii="Garamond" w:hAnsi="Garamond" w:cs="Times New Roman"/>
          <w:lang w:val="en-GB"/>
        </w:rPr>
        <w:t xml:space="preserve"> increase state discretion over the border can sometimes actually </w:t>
      </w:r>
      <w:r w:rsidR="00476EE9" w:rsidRPr="00477C32">
        <w:rPr>
          <w:rFonts w:ascii="Garamond" w:hAnsi="Garamond" w:cs="Times New Roman"/>
          <w:i/>
          <w:iCs/>
          <w:lang w:val="en-GB"/>
        </w:rPr>
        <w:t>thwart</w:t>
      </w:r>
      <w:r w:rsidR="00476EE9" w:rsidRPr="00477C32">
        <w:rPr>
          <w:rFonts w:ascii="Garamond" w:hAnsi="Garamond" w:cs="Times New Roman"/>
          <w:lang w:val="en-GB"/>
        </w:rPr>
        <w:t xml:space="preserve"> </w:t>
      </w:r>
      <w:r w:rsidR="0062297D" w:rsidRPr="00477C32">
        <w:rPr>
          <w:rFonts w:ascii="Garamond" w:hAnsi="Garamond" w:cs="Times New Roman"/>
          <w:lang w:val="en-GB"/>
        </w:rPr>
        <w:t>CSG</w:t>
      </w:r>
      <w:r w:rsidR="00476EE9" w:rsidRPr="00477C32">
        <w:rPr>
          <w:rFonts w:ascii="Garamond" w:hAnsi="Garamond" w:cs="Times New Roman"/>
          <w:lang w:val="en-GB"/>
        </w:rPr>
        <w:t>.</w:t>
      </w:r>
    </w:p>
    <w:p w14:paraId="24EA34DF" w14:textId="77777777" w:rsidR="00DE0EE7" w:rsidRPr="00477C32" w:rsidRDefault="00DE0EE7" w:rsidP="00100874">
      <w:pPr>
        <w:rPr>
          <w:rFonts w:ascii="Garamond" w:hAnsi="Garamond" w:cs="Times New Roman"/>
          <w:lang w:val="en-GB"/>
        </w:rPr>
      </w:pPr>
    </w:p>
    <w:p w14:paraId="712D20FF" w14:textId="4972B659" w:rsidR="00DE0EE7" w:rsidRPr="00477C32" w:rsidRDefault="007135E2" w:rsidP="00100874">
      <w:pPr>
        <w:rPr>
          <w:rFonts w:ascii="Garamond" w:hAnsi="Garamond" w:cs="Times New Roman"/>
          <w:b/>
          <w:bCs/>
          <w:lang w:val="en-GB"/>
        </w:rPr>
      </w:pPr>
      <w:r w:rsidRPr="00477C32">
        <w:rPr>
          <w:rFonts w:ascii="Garamond" w:hAnsi="Garamond" w:cs="Times New Roman"/>
          <w:b/>
          <w:bCs/>
          <w:lang w:val="en-GB"/>
        </w:rPr>
        <w:t xml:space="preserve">5. </w:t>
      </w:r>
      <w:r w:rsidR="003654C4" w:rsidRPr="00477C32">
        <w:rPr>
          <w:rFonts w:ascii="Garamond" w:hAnsi="Garamond" w:cs="Times New Roman"/>
          <w:b/>
          <w:bCs/>
          <w:lang w:val="en-GB"/>
        </w:rPr>
        <w:t>Unpacking CSG</w:t>
      </w:r>
    </w:p>
    <w:p w14:paraId="079A5F8F" w14:textId="364C45C6" w:rsidR="00DE0EE7" w:rsidRPr="00477C32" w:rsidRDefault="00DE0EE7" w:rsidP="00100874">
      <w:pPr>
        <w:rPr>
          <w:rFonts w:ascii="Garamond" w:hAnsi="Garamond" w:cs="Times New Roman"/>
          <w:lang w:val="en-GB"/>
        </w:rPr>
      </w:pPr>
    </w:p>
    <w:p w14:paraId="53FC7719" w14:textId="5C2CFFFF" w:rsidR="001D4638" w:rsidRPr="00477C32" w:rsidRDefault="009762CA" w:rsidP="007135E2">
      <w:pPr>
        <w:ind w:firstLine="720"/>
        <w:rPr>
          <w:rFonts w:ascii="Garamond" w:hAnsi="Garamond" w:cs="Times New Roman"/>
          <w:lang w:val="en-GB"/>
        </w:rPr>
      </w:pPr>
      <w:r w:rsidRPr="00477C32">
        <w:rPr>
          <w:rFonts w:ascii="Garamond" w:hAnsi="Garamond" w:cs="Times New Roman"/>
          <w:lang w:val="en-GB"/>
        </w:rPr>
        <w:t>In this section I would like to explore more careful</w:t>
      </w:r>
      <w:r w:rsidR="00A9120C" w:rsidRPr="00477C32">
        <w:rPr>
          <w:rFonts w:ascii="Garamond" w:hAnsi="Garamond" w:cs="Times New Roman"/>
          <w:lang w:val="en-GB"/>
        </w:rPr>
        <w:t>ly</w:t>
      </w:r>
      <w:r w:rsidRPr="00477C32">
        <w:rPr>
          <w:rFonts w:ascii="Garamond" w:hAnsi="Garamond" w:cs="Times New Roman"/>
          <w:lang w:val="en-GB"/>
        </w:rPr>
        <w:t xml:space="preserve"> what exactly is involved in self-governance and use my findings to demonstrate some limitations of CSG arguments. </w:t>
      </w:r>
      <w:r w:rsidR="001D4638" w:rsidRPr="00477C32">
        <w:rPr>
          <w:rFonts w:ascii="Garamond" w:hAnsi="Garamond" w:cs="Times New Roman"/>
          <w:lang w:val="en-GB"/>
        </w:rPr>
        <w:t xml:space="preserve">To see the points I wish to make about CSG, it helps to first consider </w:t>
      </w:r>
      <w:r w:rsidR="00A90611" w:rsidRPr="00477C32">
        <w:rPr>
          <w:rFonts w:ascii="Garamond" w:hAnsi="Garamond" w:cs="Times New Roman"/>
          <w:lang w:val="en-GB"/>
        </w:rPr>
        <w:t>individual self-governance (as we might call it): the ability of a particular person to determine the course of their own life. This form of self-governance is also generally thought to have considerable value, and indeed the value of CSG likely ultimately derives from the individual form, as mentioned earlier.</w:t>
      </w:r>
    </w:p>
    <w:p w14:paraId="75D59254" w14:textId="38D49627" w:rsidR="00E76F82" w:rsidRPr="00477C32" w:rsidRDefault="00E76F82" w:rsidP="007135E2">
      <w:pPr>
        <w:ind w:firstLine="720"/>
        <w:rPr>
          <w:rFonts w:ascii="Garamond" w:hAnsi="Garamond" w:cs="Times New Roman"/>
          <w:lang w:val="en-GB"/>
        </w:rPr>
      </w:pPr>
      <w:r w:rsidRPr="00477C32">
        <w:rPr>
          <w:rFonts w:ascii="Garamond" w:hAnsi="Garamond" w:cs="Times New Roman"/>
          <w:lang w:val="en-GB"/>
        </w:rPr>
        <w:t xml:space="preserve">Here is a familiar liberal point about individual self-governance. Respecting individual capacities for self-governance involves respecting people’s </w:t>
      </w:r>
      <w:r w:rsidRPr="00477C32">
        <w:rPr>
          <w:rFonts w:ascii="Garamond" w:hAnsi="Garamond" w:cs="Times New Roman"/>
          <w:i/>
          <w:lang w:val="en-GB"/>
        </w:rPr>
        <w:t>choices</w:t>
      </w:r>
      <w:r w:rsidRPr="00477C32">
        <w:rPr>
          <w:rFonts w:ascii="Garamond" w:hAnsi="Garamond" w:cs="Times New Roman"/>
          <w:lang w:val="en-GB"/>
        </w:rPr>
        <w:t xml:space="preserve"> about how to lead their lives. </w:t>
      </w:r>
      <w:r w:rsidR="006E762D" w:rsidRPr="00477C32">
        <w:rPr>
          <w:rFonts w:ascii="Garamond" w:hAnsi="Garamond" w:cs="Times New Roman"/>
          <w:lang w:val="en-GB"/>
        </w:rPr>
        <w:t>Limits</w:t>
      </w:r>
      <w:r w:rsidRPr="00477C32">
        <w:rPr>
          <w:rFonts w:ascii="Garamond" w:hAnsi="Garamond" w:cs="Times New Roman"/>
          <w:lang w:val="en-GB"/>
        </w:rPr>
        <w:t xml:space="preserve"> on individual choice, we might say, </w:t>
      </w:r>
      <w:r w:rsidR="00973702" w:rsidRPr="00477C32">
        <w:rPr>
          <w:rFonts w:ascii="Garamond" w:hAnsi="Garamond" w:cs="Times New Roman"/>
          <w:lang w:val="en-GB"/>
        </w:rPr>
        <w:t>place</w:t>
      </w:r>
      <w:r w:rsidRPr="00477C32">
        <w:rPr>
          <w:rFonts w:ascii="Garamond" w:hAnsi="Garamond" w:cs="Times New Roman"/>
          <w:lang w:val="en-GB"/>
        </w:rPr>
        <w:t xml:space="preserve"> limits on individual self-governance, just as limits on state choices </w:t>
      </w:r>
      <w:r w:rsidR="00973702" w:rsidRPr="00477C32">
        <w:rPr>
          <w:rFonts w:ascii="Garamond" w:hAnsi="Garamond" w:cs="Times New Roman"/>
          <w:lang w:val="en-GB"/>
        </w:rPr>
        <w:t>place</w:t>
      </w:r>
      <w:r w:rsidRPr="00477C32">
        <w:rPr>
          <w:rFonts w:ascii="Garamond" w:hAnsi="Garamond" w:cs="Times New Roman"/>
          <w:lang w:val="en-GB"/>
        </w:rPr>
        <w:t xml:space="preserve"> limits on CSG.</w:t>
      </w:r>
      <w:r w:rsidR="006E762D" w:rsidRPr="00477C32">
        <w:rPr>
          <w:rStyle w:val="FootnoteReference"/>
          <w:rFonts w:ascii="Garamond" w:hAnsi="Garamond" w:cs="Times New Roman"/>
          <w:lang w:val="en-GB"/>
        </w:rPr>
        <w:footnoteReference w:id="11"/>
      </w:r>
      <w:r w:rsidRPr="00477C32">
        <w:rPr>
          <w:rFonts w:ascii="Garamond" w:hAnsi="Garamond" w:cs="Times New Roman"/>
          <w:lang w:val="en-GB"/>
        </w:rPr>
        <w:t xml:space="preserve"> But some kinds of choice are treated as more central to individual self-governance than others. Compare, for example, decisions about whether to drink Mountain Dew with decisions about whether to keep Kosher. Restricting the latter choice would have a much greater impact on an individual’s ability to be self-governing. And we correspondingly give that choice much greater protection: in liberal democracies, the burden of justification we expect the government to meet is much higher for a tax aimed a</w:t>
      </w:r>
      <w:r w:rsidR="00167735" w:rsidRPr="00477C32">
        <w:rPr>
          <w:rFonts w:ascii="Garamond" w:hAnsi="Garamond" w:cs="Times New Roman"/>
          <w:lang w:val="en-GB"/>
        </w:rPr>
        <w:t xml:space="preserve">t </w:t>
      </w:r>
      <w:r w:rsidR="007F7E1B" w:rsidRPr="00477C32">
        <w:rPr>
          <w:rFonts w:ascii="Garamond" w:hAnsi="Garamond" w:cs="Times New Roman"/>
          <w:lang w:val="en-GB"/>
        </w:rPr>
        <w:t>K</w:t>
      </w:r>
      <w:r w:rsidR="00167735" w:rsidRPr="00477C32">
        <w:rPr>
          <w:rFonts w:ascii="Garamond" w:hAnsi="Garamond" w:cs="Times New Roman"/>
          <w:lang w:val="en-GB"/>
        </w:rPr>
        <w:t>osher foods than for a tax on</w:t>
      </w:r>
      <w:r w:rsidRPr="00477C32">
        <w:rPr>
          <w:rFonts w:ascii="Garamond" w:hAnsi="Garamond" w:cs="Times New Roman"/>
          <w:lang w:val="en-GB"/>
        </w:rPr>
        <w:t xml:space="preserve"> soda. And liberal constitutions often contain protections for religious choice but not for choice of beverage. We similarly give greater protection to someone’s choices about which political view to express than their choices about which time of day to play their music. Why? Because the former choices are more basic to individual self-government.</w:t>
      </w:r>
    </w:p>
    <w:p w14:paraId="4F54F649" w14:textId="1C0D7203" w:rsidR="009E161E" w:rsidRPr="00477C32" w:rsidRDefault="009E161E" w:rsidP="007135E2">
      <w:pPr>
        <w:ind w:firstLine="720"/>
        <w:rPr>
          <w:rFonts w:ascii="Garamond" w:hAnsi="Garamond" w:cs="Times New Roman"/>
          <w:lang w:val="en-GB"/>
        </w:rPr>
      </w:pPr>
      <w:r w:rsidRPr="00477C32">
        <w:rPr>
          <w:rFonts w:ascii="Garamond" w:hAnsi="Garamond" w:cs="Times New Roman"/>
          <w:lang w:val="en-GB"/>
        </w:rPr>
        <w:t>There is, of course, much to be said about what exactly makes one choice more central to individual self-government than another</w:t>
      </w:r>
      <w:r w:rsidR="00BD6B10" w:rsidRPr="00477C32">
        <w:rPr>
          <w:rFonts w:ascii="Garamond" w:hAnsi="Garamond" w:cs="Times New Roman"/>
          <w:lang w:val="en-GB"/>
        </w:rPr>
        <w:t>,</w:t>
      </w:r>
      <w:r w:rsidRPr="00477C32">
        <w:rPr>
          <w:rFonts w:ascii="Garamond" w:hAnsi="Garamond" w:cs="Times New Roman"/>
          <w:lang w:val="en-GB"/>
        </w:rPr>
        <w:t xml:space="preserve"> and there is much existing debate about this topic. Very roughly, we can say that such choices affect the fundamental direction of a person’s life, something that plausibly includes their spiritual and emotional development, the major relationships they form, their creative projects, their political role in the society, and so on.</w:t>
      </w:r>
    </w:p>
    <w:p w14:paraId="1DE6DEC5" w14:textId="67360C92" w:rsidR="00100874" w:rsidRPr="00477C32" w:rsidRDefault="00455876" w:rsidP="00100874">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lastRenderedPageBreak/>
        <w:t>Apart from</w:t>
      </w:r>
      <w:r w:rsidR="00FE2654" w:rsidRPr="00477C32">
        <w:rPr>
          <w:rStyle w:val="normaltextrun"/>
          <w:rFonts w:ascii="Garamond" w:hAnsi="Garamond" w:cs="Times New Roman"/>
          <w:sz w:val="24"/>
          <w:szCs w:val="24"/>
          <w:lang w:val="en-GB"/>
        </w:rPr>
        <w:t xml:space="preserve"> individual self-governance</w:t>
      </w:r>
      <w:r w:rsidRPr="00477C32">
        <w:rPr>
          <w:rStyle w:val="normaltextrun"/>
          <w:rFonts w:ascii="Garamond" w:hAnsi="Garamond" w:cs="Times New Roman"/>
          <w:sz w:val="24"/>
          <w:szCs w:val="24"/>
          <w:lang w:val="en-GB"/>
        </w:rPr>
        <w:t>,</w:t>
      </w:r>
      <w:r w:rsidR="007135E2" w:rsidRPr="00477C32">
        <w:rPr>
          <w:rStyle w:val="normaltextrun"/>
          <w:rFonts w:ascii="Garamond" w:hAnsi="Garamond" w:cs="Times New Roman"/>
          <w:sz w:val="24"/>
          <w:szCs w:val="24"/>
          <w:lang w:val="en-GB"/>
        </w:rPr>
        <w:t xml:space="preserve"> </w:t>
      </w:r>
      <w:r w:rsidR="00FE2654" w:rsidRPr="00477C32">
        <w:rPr>
          <w:rStyle w:val="normaltextrun"/>
          <w:rFonts w:ascii="Garamond" w:hAnsi="Garamond" w:cs="Times New Roman"/>
          <w:sz w:val="24"/>
          <w:szCs w:val="24"/>
          <w:lang w:val="en-GB"/>
        </w:rPr>
        <w:t xml:space="preserve">I think we should </w:t>
      </w:r>
      <w:r w:rsidR="00167735" w:rsidRPr="00477C32">
        <w:rPr>
          <w:rStyle w:val="normaltextrun"/>
          <w:rFonts w:ascii="Garamond" w:hAnsi="Garamond" w:cs="Times New Roman"/>
          <w:sz w:val="24"/>
          <w:szCs w:val="24"/>
          <w:lang w:val="en-GB"/>
        </w:rPr>
        <w:t>acknowledge</w:t>
      </w:r>
      <w:r w:rsidR="00FE2654" w:rsidRPr="00477C32">
        <w:rPr>
          <w:rStyle w:val="normaltextrun"/>
          <w:rFonts w:ascii="Garamond" w:hAnsi="Garamond" w:cs="Times New Roman"/>
          <w:sz w:val="24"/>
          <w:szCs w:val="24"/>
          <w:lang w:val="en-GB"/>
        </w:rPr>
        <w:t xml:space="preserve"> a parallel point about </w:t>
      </w:r>
      <w:r w:rsidR="0062297D" w:rsidRPr="00477C32">
        <w:rPr>
          <w:rStyle w:val="normaltextrun"/>
          <w:rFonts w:ascii="Garamond" w:hAnsi="Garamond" w:cs="Times New Roman"/>
          <w:sz w:val="24"/>
          <w:szCs w:val="24"/>
          <w:lang w:val="en-GB"/>
        </w:rPr>
        <w:t>CSG</w:t>
      </w:r>
      <w:r w:rsidR="00FE2654" w:rsidRPr="00477C32">
        <w:rPr>
          <w:rStyle w:val="normaltextrun"/>
          <w:rFonts w:ascii="Garamond" w:hAnsi="Garamond" w:cs="Times New Roman"/>
          <w:sz w:val="24"/>
          <w:szCs w:val="24"/>
          <w:lang w:val="en-GB"/>
        </w:rPr>
        <w:t>.</w:t>
      </w:r>
      <w:r w:rsidR="00222B55" w:rsidRPr="00477C32">
        <w:rPr>
          <w:rStyle w:val="apple-converted-space"/>
          <w:rFonts w:ascii="Garamond" w:hAnsi="Garamond" w:cs="Times New Roman"/>
          <w:sz w:val="24"/>
          <w:szCs w:val="24"/>
          <w:lang w:val="en-GB"/>
        </w:rPr>
        <w:t xml:space="preserve"> </w:t>
      </w:r>
      <w:r w:rsidR="00167735" w:rsidRPr="00477C32">
        <w:rPr>
          <w:rStyle w:val="normaltextrun"/>
          <w:rFonts w:ascii="Garamond" w:hAnsi="Garamond" w:cs="Times New Roman"/>
          <w:sz w:val="24"/>
          <w:szCs w:val="24"/>
          <w:lang w:val="en-GB"/>
        </w:rPr>
        <w:t>We</w:t>
      </w:r>
      <w:r w:rsidR="00FE2654" w:rsidRPr="00477C32">
        <w:rPr>
          <w:rStyle w:val="normaltextrun"/>
          <w:rFonts w:ascii="Garamond" w:hAnsi="Garamond" w:cs="Times New Roman"/>
          <w:sz w:val="24"/>
          <w:szCs w:val="24"/>
          <w:lang w:val="en-GB"/>
        </w:rPr>
        <w:t xml:space="preserve"> need to recognize that some collective choices are more fundamental than others</w:t>
      </w:r>
      <w:r w:rsidR="001B098C" w:rsidRPr="00477C32">
        <w:rPr>
          <w:rStyle w:val="normaltextrun"/>
          <w:rFonts w:ascii="Garamond" w:hAnsi="Garamond" w:cs="Times New Roman"/>
          <w:sz w:val="24"/>
          <w:szCs w:val="24"/>
          <w:lang w:val="en-GB"/>
        </w:rPr>
        <w:t>,</w:t>
      </w:r>
      <w:r w:rsidR="00FE2654" w:rsidRPr="00477C32">
        <w:rPr>
          <w:rStyle w:val="normaltextrun"/>
          <w:rFonts w:ascii="Garamond" w:hAnsi="Garamond" w:cs="Times New Roman"/>
          <w:sz w:val="24"/>
          <w:szCs w:val="24"/>
          <w:lang w:val="en-GB"/>
        </w:rPr>
        <w:t xml:space="preserve"> more closely connected to </w:t>
      </w:r>
      <w:r w:rsidR="0062297D" w:rsidRPr="00477C32">
        <w:rPr>
          <w:rStyle w:val="normaltextrun"/>
          <w:rFonts w:ascii="Garamond" w:hAnsi="Garamond" w:cs="Times New Roman"/>
          <w:sz w:val="24"/>
          <w:szCs w:val="24"/>
          <w:lang w:val="en-GB"/>
        </w:rPr>
        <w:t>CSG</w:t>
      </w:r>
      <w:r w:rsidR="00222B55" w:rsidRPr="00477C32">
        <w:rPr>
          <w:rStyle w:val="normaltextrun"/>
          <w:rFonts w:ascii="Garamond" w:hAnsi="Garamond" w:cs="Times New Roman"/>
          <w:sz w:val="24"/>
          <w:szCs w:val="24"/>
          <w:lang w:val="en-GB"/>
        </w:rPr>
        <w:t>.</w:t>
      </w:r>
    </w:p>
    <w:p w14:paraId="02CD7FAE" w14:textId="1F8D3B72" w:rsidR="00100874" w:rsidRPr="00477C32" w:rsidRDefault="00FE2654" w:rsidP="00100874">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For example, compare decisions about</w:t>
      </w:r>
    </w:p>
    <w:p w14:paraId="61E87733" w14:textId="77777777" w:rsidR="00100874" w:rsidRPr="00477C32" w:rsidRDefault="00100874" w:rsidP="00100874">
      <w:pPr>
        <w:pStyle w:val="paragraph"/>
        <w:spacing w:before="0" w:beforeAutospacing="0" w:after="0" w:afterAutospacing="0"/>
        <w:textAlignment w:val="baseline"/>
        <w:rPr>
          <w:rStyle w:val="normaltextrun"/>
          <w:rFonts w:ascii="Garamond" w:hAnsi="Garamond" w:cs="Times New Roman"/>
          <w:sz w:val="24"/>
          <w:szCs w:val="24"/>
          <w:lang w:val="en-GB"/>
        </w:rPr>
      </w:pPr>
    </w:p>
    <w:p w14:paraId="43EE24B2" w14:textId="6B450A3E" w:rsidR="00FE2654" w:rsidRPr="00477C32" w:rsidRDefault="00100874" w:rsidP="00100874">
      <w:pPr>
        <w:pStyle w:val="paragraph"/>
        <w:spacing w:before="0" w:beforeAutospacing="0" w:after="0" w:afterAutospacing="0"/>
        <w:ind w:left="720"/>
        <w:textAlignment w:val="baseline"/>
        <w:rPr>
          <w:rFonts w:ascii="Garamond" w:hAnsi="Garamond" w:cs="Times New Roman"/>
          <w:sz w:val="24"/>
          <w:szCs w:val="24"/>
          <w:lang w:val="en-GB"/>
        </w:rPr>
      </w:pPr>
      <w:r w:rsidRPr="00477C32">
        <w:rPr>
          <w:rStyle w:val="normaltextrun"/>
          <w:rFonts w:ascii="Garamond" w:hAnsi="Garamond" w:cs="Times New Roman"/>
          <w:sz w:val="24"/>
          <w:szCs w:val="24"/>
          <w:lang w:val="en-GB"/>
        </w:rPr>
        <w:t xml:space="preserve">a. </w:t>
      </w:r>
      <w:r w:rsidR="00FE2654" w:rsidRPr="00477C32">
        <w:rPr>
          <w:rStyle w:val="normaltextrun"/>
          <w:rFonts w:ascii="Garamond" w:hAnsi="Garamond" w:cs="Times New Roman"/>
          <w:sz w:val="24"/>
          <w:szCs w:val="24"/>
          <w:lang w:val="en-GB"/>
        </w:rPr>
        <w:t>the precise width of the roads</w:t>
      </w:r>
      <w:r w:rsidR="008C3D78" w:rsidRPr="00477C32">
        <w:rPr>
          <w:rStyle w:val="normaltextrun"/>
          <w:rFonts w:ascii="Garamond" w:hAnsi="Garamond" w:cs="Times New Roman"/>
          <w:sz w:val="24"/>
          <w:szCs w:val="24"/>
          <w:lang w:val="en-GB"/>
        </w:rPr>
        <w:t>, and</w:t>
      </w:r>
    </w:p>
    <w:p w14:paraId="22028C6B" w14:textId="52A6E336" w:rsidR="00FE2654" w:rsidRPr="00477C32" w:rsidRDefault="00100874" w:rsidP="00100874">
      <w:pPr>
        <w:pStyle w:val="paragraph"/>
        <w:spacing w:before="0" w:beforeAutospacing="0" w:after="0" w:afterAutospacing="0"/>
        <w:ind w:left="720"/>
        <w:textAlignment w:val="baseline"/>
        <w:rPr>
          <w:rFonts w:ascii="Garamond" w:hAnsi="Garamond" w:cs="Times New Roman"/>
          <w:sz w:val="24"/>
          <w:szCs w:val="24"/>
          <w:lang w:val="en-GB"/>
        </w:rPr>
      </w:pPr>
      <w:r w:rsidRPr="00477C32">
        <w:rPr>
          <w:rStyle w:val="normaltextrun"/>
          <w:rFonts w:ascii="Garamond" w:hAnsi="Garamond" w:cs="Times New Roman"/>
          <w:sz w:val="24"/>
          <w:szCs w:val="24"/>
          <w:lang w:val="en-GB"/>
        </w:rPr>
        <w:t xml:space="preserve">b. </w:t>
      </w:r>
      <w:r w:rsidR="000B2FF1" w:rsidRPr="00477C32">
        <w:rPr>
          <w:rStyle w:val="normaltextrun"/>
          <w:rFonts w:ascii="Garamond" w:hAnsi="Garamond" w:cs="Times New Roman"/>
          <w:sz w:val="24"/>
          <w:szCs w:val="24"/>
          <w:lang w:val="en-GB"/>
        </w:rPr>
        <w:t>which day of the week people should put out their trash (rubbish) bags</w:t>
      </w:r>
      <w:r w:rsidR="008C3D78" w:rsidRPr="00477C32">
        <w:rPr>
          <w:rStyle w:val="normaltextrun"/>
          <w:rFonts w:ascii="Garamond" w:hAnsi="Garamond" w:cs="Times New Roman"/>
          <w:sz w:val="24"/>
          <w:szCs w:val="24"/>
          <w:lang w:val="en-GB"/>
        </w:rPr>
        <w:t>,</w:t>
      </w:r>
    </w:p>
    <w:p w14:paraId="2331CC90" w14:textId="77777777" w:rsidR="00222B55" w:rsidRPr="00477C32" w:rsidRDefault="00222B55" w:rsidP="00222B55">
      <w:pPr>
        <w:pStyle w:val="paragraph"/>
        <w:spacing w:before="0" w:beforeAutospacing="0" w:after="0" w:afterAutospacing="0"/>
        <w:textAlignment w:val="baseline"/>
        <w:rPr>
          <w:rStyle w:val="normaltextrun"/>
          <w:rFonts w:ascii="Garamond" w:hAnsi="Garamond" w:cs="Times New Roman"/>
          <w:sz w:val="24"/>
          <w:szCs w:val="24"/>
          <w:lang w:val="en-GB"/>
        </w:rPr>
      </w:pPr>
    </w:p>
    <w:p w14:paraId="2CF6F939" w14:textId="5DEB52AB" w:rsidR="00100874" w:rsidRPr="00477C32" w:rsidRDefault="008C3D78" w:rsidP="00100874">
      <w:pPr>
        <w:pStyle w:val="paragraph"/>
        <w:spacing w:before="0" w:beforeAutospacing="0" w:after="0" w:afterAutospacing="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w</w:t>
      </w:r>
      <w:r w:rsidR="00FE2654" w:rsidRPr="00477C32">
        <w:rPr>
          <w:rStyle w:val="normaltextrun"/>
          <w:rFonts w:ascii="Garamond" w:hAnsi="Garamond" w:cs="Times New Roman"/>
          <w:sz w:val="24"/>
          <w:szCs w:val="24"/>
          <w:lang w:val="en-GB"/>
        </w:rPr>
        <w:t>ith decisions about</w:t>
      </w:r>
    </w:p>
    <w:p w14:paraId="27CF4F93" w14:textId="77777777" w:rsidR="008C3D78" w:rsidRPr="00477C32" w:rsidRDefault="008C3D78" w:rsidP="00100874">
      <w:pPr>
        <w:pStyle w:val="paragraph"/>
        <w:spacing w:before="0" w:beforeAutospacing="0" w:after="0" w:afterAutospacing="0"/>
        <w:textAlignment w:val="baseline"/>
        <w:rPr>
          <w:rStyle w:val="normaltextrun"/>
          <w:rFonts w:ascii="Garamond" w:hAnsi="Garamond" w:cs="Times New Roman"/>
          <w:sz w:val="24"/>
          <w:szCs w:val="24"/>
          <w:lang w:val="en-GB"/>
        </w:rPr>
      </w:pPr>
    </w:p>
    <w:p w14:paraId="2B750620" w14:textId="2D6E8415" w:rsidR="00100874" w:rsidRPr="00477C32" w:rsidRDefault="00100874" w:rsidP="00100874">
      <w:pPr>
        <w:pStyle w:val="paragraph"/>
        <w:spacing w:before="0" w:beforeAutospacing="0" w:after="0" w:afterAutospacing="0"/>
        <w:ind w:left="720"/>
        <w:textAlignment w:val="baseline"/>
        <w:rPr>
          <w:rFonts w:ascii="Garamond" w:hAnsi="Garamond" w:cs="Times New Roman"/>
          <w:sz w:val="24"/>
          <w:szCs w:val="24"/>
          <w:lang w:val="en-GB"/>
        </w:rPr>
      </w:pPr>
      <w:r w:rsidRPr="00477C32">
        <w:rPr>
          <w:rStyle w:val="normaltextrun"/>
          <w:rFonts w:ascii="Garamond" w:hAnsi="Garamond" w:cs="Times New Roman"/>
          <w:sz w:val="24"/>
          <w:szCs w:val="24"/>
          <w:lang w:val="en-GB"/>
        </w:rPr>
        <w:t xml:space="preserve">c. </w:t>
      </w:r>
      <w:r w:rsidR="00FE2654" w:rsidRPr="00477C32">
        <w:rPr>
          <w:rStyle w:val="normaltextrun"/>
          <w:rFonts w:ascii="Garamond" w:hAnsi="Garamond" w:cs="Times New Roman"/>
          <w:sz w:val="24"/>
          <w:szCs w:val="24"/>
          <w:lang w:val="en-GB"/>
        </w:rPr>
        <w:t>which language(s) students will be required to learn in public</w:t>
      </w:r>
      <w:r w:rsidR="00222B55" w:rsidRPr="00477C32">
        <w:rPr>
          <w:rStyle w:val="apple-converted-space"/>
          <w:rFonts w:ascii="Garamond" w:hAnsi="Garamond" w:cs="Times New Roman"/>
          <w:sz w:val="24"/>
          <w:szCs w:val="24"/>
          <w:lang w:val="en-GB"/>
        </w:rPr>
        <w:t xml:space="preserve"> </w:t>
      </w:r>
      <w:r w:rsidR="00FE2654" w:rsidRPr="00477C32">
        <w:rPr>
          <w:rStyle w:val="contextualspellingandgrammarerror"/>
          <w:rFonts w:ascii="Garamond" w:hAnsi="Garamond" w:cs="Times New Roman"/>
          <w:sz w:val="24"/>
          <w:szCs w:val="24"/>
          <w:lang w:val="en-GB"/>
        </w:rPr>
        <w:t>schools</w:t>
      </w:r>
      <w:r w:rsidR="008C3D78" w:rsidRPr="00477C32">
        <w:rPr>
          <w:rStyle w:val="contextualspellingandgrammarerror"/>
          <w:rFonts w:ascii="Garamond" w:hAnsi="Garamond" w:cs="Times New Roman"/>
          <w:sz w:val="24"/>
          <w:szCs w:val="24"/>
          <w:lang w:val="en-GB"/>
        </w:rPr>
        <w:t>, and</w:t>
      </w:r>
    </w:p>
    <w:p w14:paraId="3B202FA5" w14:textId="03CDF2CC" w:rsidR="00FE2654" w:rsidRPr="00477C32" w:rsidRDefault="00100874" w:rsidP="00100874">
      <w:pPr>
        <w:pStyle w:val="paragraph"/>
        <w:spacing w:before="0" w:beforeAutospacing="0" w:after="0" w:afterAutospacing="0"/>
        <w:ind w:left="720"/>
        <w:textAlignment w:val="baseline"/>
        <w:rPr>
          <w:rStyle w:val="normaltextrun"/>
          <w:rFonts w:ascii="Garamond" w:hAnsi="Garamond" w:cs="Times New Roman"/>
          <w:sz w:val="24"/>
          <w:szCs w:val="24"/>
          <w:lang w:val="en-GB"/>
        </w:rPr>
      </w:pPr>
      <w:r w:rsidRPr="00477C32">
        <w:rPr>
          <w:rFonts w:ascii="Garamond" w:hAnsi="Garamond" w:cs="Times New Roman"/>
          <w:sz w:val="24"/>
          <w:szCs w:val="24"/>
          <w:lang w:val="en-GB"/>
        </w:rPr>
        <w:t xml:space="preserve">d. </w:t>
      </w:r>
      <w:r w:rsidR="00FE2654" w:rsidRPr="00477C32">
        <w:rPr>
          <w:rStyle w:val="normaltextrun"/>
          <w:rFonts w:ascii="Garamond" w:hAnsi="Garamond" w:cs="Times New Roman"/>
          <w:sz w:val="24"/>
          <w:szCs w:val="24"/>
          <w:lang w:val="en-GB"/>
        </w:rPr>
        <w:t>whether to have publicly funded health insurance</w:t>
      </w:r>
      <w:r w:rsidR="008C3D78" w:rsidRPr="00477C32">
        <w:rPr>
          <w:rStyle w:val="normaltextrun"/>
          <w:rFonts w:ascii="Garamond" w:hAnsi="Garamond" w:cs="Times New Roman"/>
          <w:sz w:val="24"/>
          <w:szCs w:val="24"/>
          <w:lang w:val="en-GB"/>
        </w:rPr>
        <w:t>.</w:t>
      </w:r>
    </w:p>
    <w:p w14:paraId="7D607C26" w14:textId="77777777" w:rsidR="00100874" w:rsidRPr="00477C32" w:rsidRDefault="00100874" w:rsidP="00100874">
      <w:pPr>
        <w:pStyle w:val="paragraph"/>
        <w:spacing w:before="0" w:beforeAutospacing="0" w:after="0" w:afterAutospacing="0"/>
        <w:textAlignment w:val="baseline"/>
        <w:rPr>
          <w:rStyle w:val="normaltextrun"/>
          <w:rFonts w:ascii="Garamond" w:hAnsi="Garamond" w:cs="Times New Roman"/>
          <w:sz w:val="24"/>
          <w:szCs w:val="24"/>
          <w:lang w:val="en-GB"/>
        </w:rPr>
      </w:pPr>
    </w:p>
    <w:p w14:paraId="1FEE7338" w14:textId="2DF30F76" w:rsidR="00100874" w:rsidRPr="00477C32" w:rsidRDefault="00FE2654" w:rsidP="00222B55">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 xml:space="preserve">I hope </w:t>
      </w:r>
      <w:r w:rsidR="006946E8" w:rsidRPr="00477C32">
        <w:rPr>
          <w:rStyle w:val="normaltextrun"/>
          <w:rFonts w:ascii="Garamond" w:hAnsi="Garamond" w:cs="Times New Roman"/>
          <w:sz w:val="24"/>
          <w:szCs w:val="24"/>
          <w:lang w:val="en-GB"/>
        </w:rPr>
        <w:t xml:space="preserve">the reader will </w:t>
      </w:r>
      <w:r w:rsidRPr="00477C32">
        <w:rPr>
          <w:rStyle w:val="normaltextrun"/>
          <w:rFonts w:ascii="Garamond" w:hAnsi="Garamond" w:cs="Times New Roman"/>
          <w:sz w:val="24"/>
          <w:szCs w:val="24"/>
          <w:lang w:val="en-GB"/>
        </w:rPr>
        <w:t xml:space="preserve">agree that decisions c. </w:t>
      </w:r>
      <w:r w:rsidR="003E3C2C" w:rsidRPr="00477C32">
        <w:rPr>
          <w:rStyle w:val="normaltextrun"/>
          <w:rFonts w:ascii="Garamond" w:hAnsi="Garamond" w:cs="Times New Roman"/>
          <w:sz w:val="24"/>
          <w:szCs w:val="24"/>
          <w:lang w:val="en-GB"/>
        </w:rPr>
        <w:t>and</w:t>
      </w:r>
      <w:r w:rsidR="00222B55" w:rsidRPr="00477C32">
        <w:rPr>
          <w:rStyle w:val="apple-converted-space"/>
          <w:rFonts w:ascii="Garamond" w:hAnsi="Garamond" w:cs="Times New Roman"/>
          <w:sz w:val="24"/>
          <w:szCs w:val="24"/>
          <w:lang w:val="en-GB"/>
        </w:rPr>
        <w:t xml:space="preserve"> </w:t>
      </w:r>
      <w:r w:rsidRPr="00477C32">
        <w:rPr>
          <w:rStyle w:val="contextualspellingandgrammarerror"/>
          <w:rFonts w:ascii="Garamond" w:hAnsi="Garamond" w:cs="Times New Roman"/>
          <w:sz w:val="24"/>
          <w:szCs w:val="24"/>
          <w:lang w:val="en-GB"/>
        </w:rPr>
        <w:t>d.</w:t>
      </w:r>
      <w:r w:rsidR="00222B55" w:rsidRPr="00477C32">
        <w:rPr>
          <w:rStyle w:val="contextualspellingandgrammarerror"/>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 xml:space="preserve">are much more fundamental than a. </w:t>
      </w:r>
      <w:r w:rsidR="003E3C2C" w:rsidRPr="00477C32">
        <w:rPr>
          <w:rStyle w:val="normaltextrun"/>
          <w:rFonts w:ascii="Garamond" w:hAnsi="Garamond" w:cs="Times New Roman"/>
          <w:sz w:val="24"/>
          <w:szCs w:val="24"/>
          <w:lang w:val="en-GB"/>
        </w:rPr>
        <w:t>and</w:t>
      </w:r>
      <w:r w:rsidR="00222B55" w:rsidRPr="00477C32">
        <w:rPr>
          <w:rStyle w:val="apple-converted-space"/>
          <w:rFonts w:ascii="Garamond" w:hAnsi="Garamond" w:cs="Times New Roman"/>
          <w:sz w:val="24"/>
          <w:szCs w:val="24"/>
          <w:lang w:val="en-GB"/>
        </w:rPr>
        <w:t xml:space="preserve"> </w:t>
      </w:r>
      <w:r w:rsidRPr="00477C32">
        <w:rPr>
          <w:rStyle w:val="contextualspellingandgrammarerror"/>
          <w:rFonts w:ascii="Garamond" w:hAnsi="Garamond" w:cs="Times New Roman"/>
          <w:sz w:val="24"/>
          <w:szCs w:val="24"/>
          <w:lang w:val="en-GB"/>
        </w:rPr>
        <w:t>b.</w:t>
      </w:r>
      <w:r w:rsidR="00167735" w:rsidRPr="00477C32">
        <w:rPr>
          <w:rStyle w:val="contextualspellingandgrammarerror"/>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 xml:space="preserve">They concern, respectively, </w:t>
      </w:r>
      <w:r w:rsidR="00E568AA" w:rsidRPr="00477C32">
        <w:rPr>
          <w:rStyle w:val="normaltextrun"/>
          <w:rFonts w:ascii="Garamond" w:hAnsi="Garamond" w:cs="Times New Roman"/>
          <w:sz w:val="24"/>
          <w:szCs w:val="24"/>
          <w:lang w:val="en-GB"/>
        </w:rPr>
        <w:t>the central language (and thus culture) of the society</w:t>
      </w:r>
      <w:r w:rsidRPr="00477C32">
        <w:rPr>
          <w:rStyle w:val="normaltextrun"/>
          <w:rFonts w:ascii="Garamond" w:hAnsi="Garamond" w:cs="Times New Roman"/>
          <w:sz w:val="24"/>
          <w:szCs w:val="24"/>
          <w:lang w:val="en-GB"/>
        </w:rPr>
        <w:t xml:space="preserve"> and the conception of social justice enacted in that society. These decisions affect the fundamental direction of the country in a way that a. </w:t>
      </w:r>
      <w:r w:rsidR="00AA0CCD" w:rsidRPr="00477C32">
        <w:rPr>
          <w:rStyle w:val="normaltextrun"/>
          <w:rFonts w:ascii="Garamond" w:hAnsi="Garamond" w:cs="Times New Roman"/>
          <w:sz w:val="24"/>
          <w:szCs w:val="24"/>
          <w:lang w:val="en-GB"/>
        </w:rPr>
        <w:t>and</w:t>
      </w:r>
      <w:r w:rsidRPr="00477C32">
        <w:rPr>
          <w:rStyle w:val="normaltextrun"/>
          <w:rFonts w:ascii="Garamond" w:hAnsi="Garamond" w:cs="Times New Roman"/>
          <w:sz w:val="24"/>
          <w:szCs w:val="24"/>
          <w:lang w:val="en-GB"/>
        </w:rPr>
        <w:t xml:space="preserve"> b. </w:t>
      </w:r>
      <w:r w:rsidR="00AA0CCD" w:rsidRPr="00477C32">
        <w:rPr>
          <w:rStyle w:val="normaltextrun"/>
          <w:rFonts w:ascii="Garamond" w:hAnsi="Garamond" w:cs="Times New Roman"/>
          <w:sz w:val="24"/>
          <w:szCs w:val="24"/>
          <w:lang w:val="en-GB"/>
        </w:rPr>
        <w:t>do not</w:t>
      </w:r>
      <w:r w:rsidRPr="00477C32">
        <w:rPr>
          <w:rStyle w:val="normaltextrun"/>
          <w:rFonts w:ascii="Garamond" w:hAnsi="Garamond" w:cs="Times New Roman"/>
          <w:sz w:val="24"/>
          <w:szCs w:val="24"/>
          <w:lang w:val="en-GB"/>
        </w:rPr>
        <w:t xml:space="preserve">. One way to see this is to notice that it seems much less objectionable to, out of a concern for efficiency, delegate the a. </w:t>
      </w:r>
      <w:r w:rsidR="00433269" w:rsidRPr="00477C32">
        <w:rPr>
          <w:rStyle w:val="normaltextrun"/>
          <w:rFonts w:ascii="Garamond" w:hAnsi="Garamond" w:cs="Times New Roman"/>
          <w:sz w:val="24"/>
          <w:szCs w:val="24"/>
          <w:lang w:val="en-GB"/>
        </w:rPr>
        <w:t>and</w:t>
      </w:r>
      <w:r w:rsidRPr="00477C32">
        <w:rPr>
          <w:rStyle w:val="normaltextrun"/>
          <w:rFonts w:ascii="Garamond" w:hAnsi="Garamond" w:cs="Times New Roman"/>
          <w:sz w:val="24"/>
          <w:szCs w:val="24"/>
          <w:lang w:val="en-GB"/>
        </w:rPr>
        <w:t xml:space="preserve"> b. decisions to agencies rather than have them made by bodies that are more directly accountable to the people. It is much more important that the people retain the</w:t>
      </w:r>
      <w:r w:rsidR="000B2FF1" w:rsidRPr="00477C32">
        <w:rPr>
          <w:rStyle w:val="normaltextrun"/>
          <w:rFonts w:ascii="Garamond" w:hAnsi="Garamond" w:cs="Times New Roman"/>
          <w:sz w:val="24"/>
          <w:szCs w:val="24"/>
          <w:lang w:val="en-GB"/>
        </w:rPr>
        <w:t xml:space="preserve">ir ability to control the c. </w:t>
      </w:r>
      <w:r w:rsidR="00433269" w:rsidRPr="00477C32">
        <w:rPr>
          <w:rStyle w:val="normaltextrun"/>
          <w:rFonts w:ascii="Garamond" w:hAnsi="Garamond" w:cs="Times New Roman"/>
          <w:sz w:val="24"/>
          <w:szCs w:val="24"/>
          <w:lang w:val="en-GB"/>
        </w:rPr>
        <w:t>and</w:t>
      </w:r>
      <w:r w:rsidR="000B2FF1" w:rsidRPr="00477C32">
        <w:rPr>
          <w:rStyle w:val="normaltextrun"/>
          <w:rFonts w:ascii="Garamond" w:hAnsi="Garamond" w:cs="Times New Roman"/>
          <w:sz w:val="24"/>
          <w:szCs w:val="24"/>
          <w:lang w:val="en-GB"/>
        </w:rPr>
        <w:t xml:space="preserve"> d</w:t>
      </w:r>
      <w:r w:rsidRPr="00477C32">
        <w:rPr>
          <w:rStyle w:val="normaltextrun"/>
          <w:rFonts w:ascii="Garamond" w:hAnsi="Garamond" w:cs="Times New Roman"/>
          <w:sz w:val="24"/>
          <w:szCs w:val="24"/>
          <w:lang w:val="en-GB"/>
        </w:rPr>
        <w:t xml:space="preserve">. decisions because to delegate those decisions would be to relinquish </w:t>
      </w:r>
      <w:r w:rsidR="0062297D" w:rsidRPr="00477C32">
        <w:rPr>
          <w:rStyle w:val="normaltextrun"/>
          <w:rFonts w:ascii="Garamond" w:hAnsi="Garamond" w:cs="Times New Roman"/>
          <w:sz w:val="24"/>
          <w:szCs w:val="24"/>
          <w:lang w:val="en-GB"/>
        </w:rPr>
        <w:t>CSG</w:t>
      </w:r>
      <w:r w:rsidRPr="00477C32">
        <w:rPr>
          <w:rStyle w:val="normaltextrun"/>
          <w:rFonts w:ascii="Garamond" w:hAnsi="Garamond" w:cs="Times New Roman"/>
          <w:sz w:val="24"/>
          <w:szCs w:val="24"/>
          <w:lang w:val="en-GB"/>
        </w:rPr>
        <w:t xml:space="preserve"> to a much more significant degree.</w:t>
      </w:r>
    </w:p>
    <w:p w14:paraId="3B7F372B" w14:textId="31A45F98" w:rsidR="00100874" w:rsidRPr="00477C32" w:rsidRDefault="00FE2654" w:rsidP="00222B55">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 xml:space="preserve">Though I think </w:t>
      </w:r>
      <w:proofErr w:type="gramStart"/>
      <w:r w:rsidRPr="00477C32">
        <w:rPr>
          <w:rStyle w:val="normaltextrun"/>
          <w:rFonts w:ascii="Garamond" w:hAnsi="Garamond" w:cs="Times New Roman"/>
          <w:sz w:val="24"/>
          <w:szCs w:val="24"/>
          <w:lang w:val="en-GB"/>
        </w:rPr>
        <w:t>it is clear that there</w:t>
      </w:r>
      <w:proofErr w:type="gramEnd"/>
      <w:r w:rsidRPr="00477C32">
        <w:rPr>
          <w:rStyle w:val="normaltextrun"/>
          <w:rFonts w:ascii="Garamond" w:hAnsi="Garamond" w:cs="Times New Roman"/>
          <w:sz w:val="24"/>
          <w:szCs w:val="24"/>
          <w:lang w:val="en-GB"/>
        </w:rPr>
        <w:t xml:space="preserve"> are some such differences of degree,</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there is going to be disagreement about exactly which decisions are</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 xml:space="preserve">more essential to </w:t>
      </w:r>
      <w:r w:rsidR="0062297D" w:rsidRPr="00477C32">
        <w:rPr>
          <w:rStyle w:val="normaltextrun"/>
          <w:rFonts w:ascii="Garamond" w:hAnsi="Garamond" w:cs="Times New Roman"/>
          <w:sz w:val="24"/>
          <w:szCs w:val="24"/>
          <w:lang w:val="en-GB"/>
        </w:rPr>
        <w:t>CSG</w:t>
      </w:r>
      <w:r w:rsidRPr="00477C32">
        <w:rPr>
          <w:rStyle w:val="normaltextrun"/>
          <w:rFonts w:ascii="Garamond" w:hAnsi="Garamond" w:cs="Times New Roman"/>
          <w:sz w:val="24"/>
          <w:szCs w:val="24"/>
          <w:lang w:val="en-GB"/>
        </w:rPr>
        <w:t>. For example, people with different views about</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what</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political association is</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i/>
          <w:iCs/>
          <w:sz w:val="24"/>
          <w:szCs w:val="24"/>
          <w:lang w:val="en-GB"/>
        </w:rPr>
        <w:t>for</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will end up with different views about CSG.</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Those</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 xml:space="preserve">who think that the primary point of political institutions is to establish fair terms of cooperation will think that the most fundamental decisions are those that affect the distribution of life chances and so on, while those who think political association is at least in part a vehicle for embodying the spirit of the nation will think that the most fundamental decisions concern, for example, the survival of the national language. And some areas, as we saw earlier, are </w:t>
      </w:r>
      <w:r w:rsidR="00E4781B" w:rsidRPr="00477C32">
        <w:rPr>
          <w:rStyle w:val="normaltextrun"/>
          <w:rFonts w:ascii="Garamond" w:hAnsi="Garamond" w:cs="Times New Roman"/>
          <w:sz w:val="24"/>
          <w:szCs w:val="24"/>
          <w:lang w:val="en-GB"/>
        </w:rPr>
        <w:t xml:space="preserve">not </w:t>
      </w:r>
      <w:r w:rsidRPr="00477C32">
        <w:rPr>
          <w:rStyle w:val="normaltextrun"/>
          <w:rFonts w:ascii="Garamond" w:hAnsi="Garamond" w:cs="Times New Roman"/>
          <w:sz w:val="24"/>
          <w:szCs w:val="24"/>
          <w:lang w:val="en-GB"/>
        </w:rPr>
        <w:t>properly within the purview of collective decision</w:t>
      </w:r>
      <w:r w:rsidR="00F74716" w:rsidRPr="00477C32">
        <w:rPr>
          <w:rStyle w:val="normaltextrun"/>
          <w:rFonts w:ascii="Garamond" w:hAnsi="Garamond" w:cs="Times New Roman"/>
          <w:sz w:val="24"/>
          <w:szCs w:val="24"/>
          <w:lang w:val="en-GB"/>
        </w:rPr>
        <w:t>-</w:t>
      </w:r>
      <w:r w:rsidRPr="00477C32">
        <w:rPr>
          <w:rStyle w:val="normaltextrun"/>
          <w:rFonts w:ascii="Garamond" w:hAnsi="Garamond" w:cs="Times New Roman"/>
          <w:sz w:val="24"/>
          <w:szCs w:val="24"/>
          <w:lang w:val="en-GB"/>
        </w:rPr>
        <w:t>making. For example, it is not a proper question for collective decision-making which religion the state should endorse: the state should not endorse any religious outloo</w:t>
      </w:r>
      <w:r w:rsidR="00100874" w:rsidRPr="00477C32">
        <w:rPr>
          <w:rStyle w:val="normaltextrun"/>
          <w:rFonts w:ascii="Garamond" w:hAnsi="Garamond" w:cs="Times New Roman"/>
          <w:sz w:val="24"/>
          <w:szCs w:val="24"/>
          <w:lang w:val="en-GB"/>
        </w:rPr>
        <w:t>k.</w:t>
      </w:r>
    </w:p>
    <w:p w14:paraId="3A6F7FAA" w14:textId="5A1A4943" w:rsidR="005F110D" w:rsidRPr="00477C32" w:rsidRDefault="005F110D" w:rsidP="00222B55">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 xml:space="preserve">Now, someone might object here that it should be </w:t>
      </w:r>
      <w:r w:rsidRPr="00477C32">
        <w:rPr>
          <w:rStyle w:val="normaltextrun"/>
          <w:rFonts w:ascii="Garamond" w:hAnsi="Garamond" w:cs="Times New Roman"/>
          <w:i/>
          <w:iCs/>
          <w:sz w:val="24"/>
          <w:szCs w:val="24"/>
          <w:lang w:val="en-GB"/>
        </w:rPr>
        <w:t>itself</w:t>
      </w:r>
      <w:r w:rsidRPr="00477C32">
        <w:rPr>
          <w:rStyle w:val="normaltextrun"/>
          <w:rFonts w:ascii="Garamond" w:hAnsi="Garamond" w:cs="Times New Roman"/>
          <w:sz w:val="24"/>
          <w:szCs w:val="24"/>
          <w:lang w:val="en-GB"/>
        </w:rPr>
        <w:t xml:space="preserve"> a matter of self-government for countries to be able to decide </w:t>
      </w:r>
      <w:r w:rsidR="00F37832" w:rsidRPr="00477C32">
        <w:rPr>
          <w:rStyle w:val="normaltextrun"/>
          <w:rFonts w:ascii="Garamond" w:hAnsi="Garamond" w:cs="Times New Roman"/>
          <w:sz w:val="24"/>
          <w:szCs w:val="24"/>
          <w:lang w:val="en-GB"/>
        </w:rPr>
        <w:t>for themselves</w:t>
      </w:r>
      <w:r w:rsidRPr="00477C32">
        <w:rPr>
          <w:rStyle w:val="normaltextrun"/>
          <w:rFonts w:ascii="Garamond" w:hAnsi="Garamond" w:cs="Times New Roman"/>
          <w:sz w:val="24"/>
          <w:szCs w:val="24"/>
          <w:lang w:val="en-GB"/>
        </w:rPr>
        <w:t xml:space="preserve"> which decisions should count as </w:t>
      </w:r>
      <w:proofErr w:type="gramStart"/>
      <w:r w:rsidRPr="00477C32">
        <w:rPr>
          <w:rStyle w:val="normaltextrun"/>
          <w:rFonts w:ascii="Garamond" w:hAnsi="Garamond" w:cs="Times New Roman"/>
          <w:sz w:val="24"/>
          <w:szCs w:val="24"/>
          <w:lang w:val="en-GB"/>
        </w:rPr>
        <w:t>fundamental</w:t>
      </w:r>
      <w:proofErr w:type="gramEnd"/>
      <w:r w:rsidRPr="00477C32">
        <w:rPr>
          <w:rStyle w:val="normaltextrun"/>
          <w:rFonts w:ascii="Garamond" w:hAnsi="Garamond" w:cs="Times New Roman"/>
          <w:sz w:val="24"/>
          <w:szCs w:val="24"/>
          <w:lang w:val="en-GB"/>
        </w:rPr>
        <w:t xml:space="preserve"> and which shouldn’t</w:t>
      </w:r>
      <w:r w:rsidR="00F37832" w:rsidRPr="00477C32">
        <w:rPr>
          <w:rStyle w:val="normaltextrun"/>
          <w:rFonts w:ascii="Garamond" w:hAnsi="Garamond" w:cs="Times New Roman"/>
          <w:sz w:val="24"/>
          <w:szCs w:val="24"/>
          <w:lang w:val="en-GB"/>
        </w:rPr>
        <w:t>.</w:t>
      </w:r>
      <w:r w:rsidRPr="00477C32">
        <w:rPr>
          <w:rStyle w:val="normaltextrun"/>
          <w:rFonts w:ascii="Garamond" w:hAnsi="Garamond" w:cs="Times New Roman"/>
          <w:sz w:val="24"/>
          <w:szCs w:val="24"/>
          <w:lang w:val="en-GB"/>
        </w:rPr>
        <w:t xml:space="preserve"> Let me make two observations in response. First, if we take seriously the analogy with individual self-governance, note that we do not leave it entirely up to individuals to determine which </w:t>
      </w:r>
      <w:r w:rsidR="00AD162C" w:rsidRPr="00477C32">
        <w:rPr>
          <w:rStyle w:val="normaltextrun"/>
          <w:rFonts w:ascii="Garamond" w:hAnsi="Garamond" w:cs="Times New Roman"/>
          <w:sz w:val="24"/>
          <w:szCs w:val="24"/>
          <w:lang w:val="en-GB"/>
        </w:rPr>
        <w:t>decisions</w:t>
      </w:r>
      <w:r w:rsidRPr="00477C32">
        <w:rPr>
          <w:rStyle w:val="normaltextrun"/>
          <w:rFonts w:ascii="Garamond" w:hAnsi="Garamond" w:cs="Times New Roman"/>
          <w:sz w:val="24"/>
          <w:szCs w:val="24"/>
          <w:lang w:val="en-GB"/>
        </w:rPr>
        <w:t xml:space="preserve"> count as fundamental. A particular person might decide that picking the colour of their </w:t>
      </w:r>
      <w:r w:rsidR="0077116C" w:rsidRPr="00477C32">
        <w:rPr>
          <w:rStyle w:val="normaltextrun"/>
          <w:rFonts w:ascii="Garamond" w:hAnsi="Garamond" w:cs="Times New Roman"/>
          <w:sz w:val="24"/>
          <w:szCs w:val="24"/>
          <w:lang w:val="en-GB"/>
        </w:rPr>
        <w:t>car</w:t>
      </w:r>
      <w:r w:rsidRPr="00477C32">
        <w:rPr>
          <w:rStyle w:val="normaltextrun"/>
          <w:rFonts w:ascii="Garamond" w:hAnsi="Garamond" w:cs="Times New Roman"/>
          <w:sz w:val="24"/>
          <w:szCs w:val="24"/>
          <w:lang w:val="en-GB"/>
        </w:rPr>
        <w:t xml:space="preserve"> is of the most vital importance. Yet that is not the sort of choice that is given constitutional protections in the way that, say, freedom of political speech or religious practice is. </w:t>
      </w:r>
      <w:r w:rsidR="0077116C" w:rsidRPr="00477C32">
        <w:rPr>
          <w:rStyle w:val="normaltextrun"/>
          <w:rFonts w:ascii="Garamond" w:hAnsi="Garamond" w:cs="Times New Roman"/>
          <w:sz w:val="24"/>
          <w:szCs w:val="24"/>
          <w:lang w:val="en-GB"/>
        </w:rPr>
        <w:t>In this sense, fundamentality is not a purely subjective matter</w:t>
      </w:r>
      <w:r w:rsidR="00060620" w:rsidRPr="00477C32">
        <w:rPr>
          <w:rStyle w:val="normaltextrun"/>
          <w:rFonts w:ascii="Garamond" w:hAnsi="Garamond" w:cs="Times New Roman"/>
          <w:sz w:val="24"/>
          <w:szCs w:val="24"/>
          <w:lang w:val="en-GB"/>
        </w:rPr>
        <w:t>,</w:t>
      </w:r>
      <w:r w:rsidR="0077116C" w:rsidRPr="00477C32">
        <w:rPr>
          <w:rStyle w:val="normaltextrun"/>
          <w:rFonts w:ascii="Garamond" w:hAnsi="Garamond" w:cs="Times New Roman"/>
          <w:sz w:val="24"/>
          <w:szCs w:val="24"/>
          <w:lang w:val="en-GB"/>
        </w:rPr>
        <w:t xml:space="preserve"> and we should expect the same to apply in the realm of </w:t>
      </w:r>
      <w:r w:rsidR="0062297D" w:rsidRPr="00477C32">
        <w:rPr>
          <w:rStyle w:val="normaltextrun"/>
          <w:rFonts w:ascii="Garamond" w:hAnsi="Garamond" w:cs="Times New Roman"/>
          <w:sz w:val="24"/>
          <w:szCs w:val="24"/>
          <w:lang w:val="en-GB"/>
        </w:rPr>
        <w:t>CSG</w:t>
      </w:r>
      <w:r w:rsidR="0077116C" w:rsidRPr="00477C32">
        <w:rPr>
          <w:rStyle w:val="normaltextrun"/>
          <w:rFonts w:ascii="Garamond" w:hAnsi="Garamond" w:cs="Times New Roman"/>
          <w:sz w:val="24"/>
          <w:szCs w:val="24"/>
          <w:lang w:val="en-GB"/>
        </w:rPr>
        <w:t xml:space="preserve">. Second, if we look directly at </w:t>
      </w:r>
      <w:r w:rsidR="0062297D" w:rsidRPr="00477C32">
        <w:rPr>
          <w:rStyle w:val="normaltextrun"/>
          <w:rFonts w:ascii="Garamond" w:hAnsi="Garamond" w:cs="Times New Roman"/>
          <w:sz w:val="24"/>
          <w:szCs w:val="24"/>
          <w:lang w:val="en-GB"/>
        </w:rPr>
        <w:t>CSG</w:t>
      </w:r>
      <w:r w:rsidR="0077116C" w:rsidRPr="00477C32">
        <w:rPr>
          <w:rStyle w:val="normaltextrun"/>
          <w:rFonts w:ascii="Garamond" w:hAnsi="Garamond" w:cs="Times New Roman"/>
          <w:sz w:val="24"/>
          <w:szCs w:val="24"/>
          <w:lang w:val="en-GB"/>
        </w:rPr>
        <w:t xml:space="preserve"> we again see that states are treated as if fundamentality is theirs to determine. For example, </w:t>
      </w:r>
      <w:r w:rsidR="00B66008" w:rsidRPr="00477C32">
        <w:rPr>
          <w:rStyle w:val="normaltextrun"/>
          <w:rFonts w:ascii="Garamond" w:hAnsi="Garamond" w:cs="Times New Roman"/>
          <w:sz w:val="24"/>
          <w:szCs w:val="24"/>
          <w:lang w:val="en-GB"/>
        </w:rPr>
        <w:t>in the context of trade</w:t>
      </w:r>
      <w:r w:rsidR="00060620" w:rsidRPr="00477C32">
        <w:rPr>
          <w:rStyle w:val="normaltextrun"/>
          <w:rFonts w:ascii="Garamond" w:hAnsi="Garamond" w:cs="Times New Roman"/>
          <w:sz w:val="24"/>
          <w:szCs w:val="24"/>
          <w:lang w:val="en-GB"/>
        </w:rPr>
        <w:t>,</w:t>
      </w:r>
      <w:r w:rsidR="00B66008" w:rsidRPr="00477C32">
        <w:rPr>
          <w:rStyle w:val="normaltextrun"/>
          <w:rFonts w:ascii="Garamond" w:hAnsi="Garamond" w:cs="Times New Roman"/>
          <w:sz w:val="24"/>
          <w:szCs w:val="24"/>
          <w:lang w:val="en-GB"/>
        </w:rPr>
        <w:t xml:space="preserve"> countries are taken to have a fundamental interest in determining their own standards for food safety and, more generally, determining what counts as sufficiently healthy for their population to consume. They are not taken to have a fundamental interest in determining for themselves the appropriate shape of fruit</w:t>
      </w:r>
      <w:r w:rsidRPr="00477C32">
        <w:rPr>
          <w:rStyle w:val="normaltextrun"/>
          <w:rFonts w:ascii="Garamond" w:hAnsi="Garamond" w:cs="Times New Roman"/>
          <w:sz w:val="24"/>
          <w:szCs w:val="24"/>
          <w:lang w:val="en-GB"/>
        </w:rPr>
        <w:t xml:space="preserve">.  </w:t>
      </w:r>
    </w:p>
    <w:p w14:paraId="08DB0735" w14:textId="643E437D" w:rsidR="00100874" w:rsidRPr="00477C32" w:rsidRDefault="00FE2654" w:rsidP="00222B55">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 xml:space="preserve">With these observations in mind, let us return to questions of immigration. Suppose that someone makes a CSG argument for increasing discretion over immigration. We saw earlier in the paper that CSG arguments are apparently attractive because they seemingly allow the proponent to side-step difficult </w:t>
      </w:r>
      <w:r w:rsidR="00B7195F" w:rsidRPr="00477C32">
        <w:rPr>
          <w:rStyle w:val="normaltextrun"/>
          <w:rFonts w:ascii="Garamond" w:hAnsi="Garamond" w:cs="Times New Roman"/>
          <w:sz w:val="24"/>
          <w:szCs w:val="24"/>
          <w:lang w:val="en-GB"/>
        </w:rPr>
        <w:t xml:space="preserve">empirical and </w:t>
      </w:r>
      <w:r w:rsidRPr="00477C32">
        <w:rPr>
          <w:rStyle w:val="normaltextrun"/>
          <w:rFonts w:ascii="Garamond" w:hAnsi="Garamond" w:cs="Times New Roman"/>
          <w:sz w:val="24"/>
          <w:szCs w:val="24"/>
          <w:lang w:val="en-GB"/>
        </w:rPr>
        <w:t xml:space="preserve">normative questions of the kind that arise when </w:t>
      </w:r>
      <w:r w:rsidRPr="00477C32">
        <w:rPr>
          <w:rStyle w:val="normaltextrun"/>
          <w:rFonts w:ascii="Garamond" w:hAnsi="Garamond" w:cs="Times New Roman"/>
          <w:sz w:val="24"/>
          <w:szCs w:val="24"/>
          <w:lang w:val="en-GB"/>
        </w:rPr>
        <w:lastRenderedPageBreak/>
        <w:t>people make arguments based on the effects of immigration. Since</w:t>
      </w:r>
      <w:r w:rsidR="005B61E7" w:rsidRPr="00477C32">
        <w:rPr>
          <w:rStyle w:val="normaltextrun"/>
          <w:rFonts w:ascii="Garamond" w:hAnsi="Garamond" w:cs="Times New Roman"/>
          <w:sz w:val="24"/>
          <w:szCs w:val="24"/>
          <w:lang w:val="en-GB"/>
        </w:rPr>
        <w:t xml:space="preserve"> (on their view)</w:t>
      </w:r>
      <w:r w:rsidRPr="00477C32">
        <w:rPr>
          <w:rStyle w:val="normaltextrun"/>
          <w:rFonts w:ascii="Garamond" w:hAnsi="Garamond" w:cs="Times New Roman"/>
          <w:sz w:val="24"/>
          <w:szCs w:val="24"/>
          <w:lang w:val="en-GB"/>
        </w:rPr>
        <w:t xml:space="preserve"> increas</w:t>
      </w:r>
      <w:r w:rsidR="00E62BB1" w:rsidRPr="00477C32">
        <w:rPr>
          <w:rStyle w:val="normaltextrun"/>
          <w:rFonts w:ascii="Garamond" w:hAnsi="Garamond" w:cs="Times New Roman"/>
          <w:sz w:val="24"/>
          <w:szCs w:val="24"/>
          <w:lang w:val="en-GB"/>
        </w:rPr>
        <w:t>ing</w:t>
      </w:r>
      <w:r w:rsidRPr="00477C32">
        <w:rPr>
          <w:rStyle w:val="normaltextrun"/>
          <w:rFonts w:ascii="Garamond" w:hAnsi="Garamond" w:cs="Times New Roman"/>
          <w:sz w:val="24"/>
          <w:szCs w:val="24"/>
          <w:lang w:val="en-GB"/>
        </w:rPr>
        <w:t xml:space="preserve"> discretion over immigration necessarily enhances CSG, a crucial value, the proponent of a CSG argument can play it as a kind of trump card, avoiding any further </w:t>
      </w:r>
      <w:r w:rsidR="00462D7E" w:rsidRPr="00477C32">
        <w:rPr>
          <w:rStyle w:val="normaltextrun"/>
          <w:rFonts w:ascii="Garamond" w:hAnsi="Garamond" w:cs="Times New Roman"/>
          <w:sz w:val="24"/>
          <w:szCs w:val="24"/>
          <w:lang w:val="en-GB"/>
        </w:rPr>
        <w:t xml:space="preserve">empirical or </w:t>
      </w:r>
      <w:r w:rsidRPr="00477C32">
        <w:rPr>
          <w:rStyle w:val="normaltextrun"/>
          <w:rFonts w:ascii="Garamond" w:hAnsi="Garamond" w:cs="Times New Roman"/>
          <w:sz w:val="24"/>
          <w:szCs w:val="24"/>
          <w:lang w:val="en-GB"/>
        </w:rPr>
        <w:t>normative questions about the effects of immigration. The analysis I have just given of CSG suggests that in fact we should not allow it to be played as such a card. Even if CSG is an important value, that value is not necessarily threatened in any</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significant</w:t>
      </w:r>
      <w:r w:rsidR="00222B55"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way simply because a state’s discretion over immigration is subject to some degree of restriction (any more than individual autonomy is necessarily threatened in any significant way simply because an individual’s choices are subject to some degree of restriction).</w:t>
      </w:r>
    </w:p>
    <w:p w14:paraId="5DC04ED5" w14:textId="339399D0" w:rsidR="00FE2654" w:rsidRPr="00477C32" w:rsidRDefault="00FE2654" w:rsidP="00222B55">
      <w:pPr>
        <w:pStyle w:val="paragraph"/>
        <w:spacing w:before="0" w:beforeAutospacing="0" w:after="0" w:afterAutospacing="0"/>
        <w:ind w:firstLine="720"/>
        <w:textAlignment w:val="baseline"/>
        <w:rPr>
          <w:rFonts w:ascii="Garamond" w:hAnsi="Garamond" w:cs="Times New Roman"/>
          <w:sz w:val="24"/>
          <w:szCs w:val="24"/>
          <w:lang w:val="en-GB"/>
        </w:rPr>
      </w:pPr>
      <w:r w:rsidRPr="00477C32">
        <w:rPr>
          <w:rStyle w:val="normaltextrun"/>
          <w:rFonts w:ascii="Garamond" w:hAnsi="Garamond" w:cs="Times New Roman"/>
          <w:sz w:val="24"/>
          <w:szCs w:val="24"/>
          <w:lang w:val="en-GB"/>
        </w:rPr>
        <w:t>To make a strong case, the proponent of a CSG argument must show that limitations on discretion over immigration are genuinely limiting the people’s ability to determine the</w:t>
      </w:r>
      <w:r w:rsidR="00100874" w:rsidRPr="00477C32">
        <w:rPr>
          <w:rStyle w:val="normaltextrun"/>
          <w:rFonts w:ascii="Garamond" w:hAnsi="Garamond" w:cs="Times New Roman"/>
          <w:sz w:val="24"/>
          <w:szCs w:val="24"/>
          <w:lang w:val="en-GB"/>
        </w:rPr>
        <w:t xml:space="preserve"> </w:t>
      </w:r>
      <w:r w:rsidRPr="00477C32">
        <w:rPr>
          <w:rStyle w:val="normaltextrun"/>
          <w:rFonts w:ascii="Garamond" w:hAnsi="Garamond" w:cs="Times New Roman"/>
          <w:i/>
          <w:iCs/>
          <w:sz w:val="24"/>
          <w:szCs w:val="24"/>
          <w:lang w:val="en-GB"/>
        </w:rPr>
        <w:t>fundamental</w:t>
      </w:r>
      <w:r w:rsidR="00100874" w:rsidRPr="00477C32">
        <w:rPr>
          <w:rStyle w:val="normaltextrun"/>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 xml:space="preserve">direction of the society. Working out whether any particular policy choice does in fact affect that direction will require further empirical and normative claims. Compare, for example, trade decisions. Are these fundamental decisions? We need to </w:t>
      </w:r>
      <w:r w:rsidR="00DC2A65" w:rsidRPr="00477C32">
        <w:rPr>
          <w:rStyle w:val="normaltextrun"/>
          <w:rFonts w:ascii="Garamond" w:hAnsi="Garamond" w:cs="Times New Roman"/>
          <w:sz w:val="24"/>
          <w:szCs w:val="24"/>
          <w:lang w:val="en-GB"/>
        </w:rPr>
        <w:t xml:space="preserve">settle what exactly counts as affecting the fundamental direction of the country. And then we need to </w:t>
      </w:r>
      <w:r w:rsidRPr="00477C32">
        <w:rPr>
          <w:rStyle w:val="normaltextrun"/>
          <w:rFonts w:ascii="Garamond" w:hAnsi="Garamond" w:cs="Times New Roman"/>
          <w:sz w:val="24"/>
          <w:szCs w:val="24"/>
          <w:lang w:val="en-GB"/>
        </w:rPr>
        <w:t xml:space="preserve">ask whether </w:t>
      </w:r>
      <w:r w:rsidR="00DC2A65" w:rsidRPr="00477C32">
        <w:rPr>
          <w:rStyle w:val="normaltextrun"/>
          <w:rFonts w:ascii="Garamond" w:hAnsi="Garamond" w:cs="Times New Roman"/>
          <w:sz w:val="24"/>
          <w:szCs w:val="24"/>
          <w:lang w:val="en-GB"/>
        </w:rPr>
        <w:t>trade decisions in fact affect that direction</w:t>
      </w:r>
      <w:r w:rsidRPr="00477C32">
        <w:rPr>
          <w:rStyle w:val="normaltextrun"/>
          <w:rFonts w:ascii="Garamond" w:hAnsi="Garamond" w:cs="Times New Roman"/>
          <w:sz w:val="24"/>
          <w:szCs w:val="24"/>
          <w:lang w:val="en-GB"/>
        </w:rPr>
        <w:t>. Probably it depends on which trade decisions exactly we’re talking about. Trade negotiations that determine the import of foreign movies in a territory, for example, may well affect the language and culture of the place, while trade negotiations that try to create</w:t>
      </w:r>
      <w:r w:rsidR="00657C52" w:rsidRPr="00477C32">
        <w:rPr>
          <w:rStyle w:val="normaltextrun"/>
          <w:rFonts w:ascii="Garamond" w:hAnsi="Garamond" w:cs="Times New Roman"/>
          <w:sz w:val="24"/>
          <w:szCs w:val="24"/>
          <w:lang w:val="en-GB"/>
        </w:rPr>
        <w:t xml:space="preserve"> a</w:t>
      </w:r>
      <w:r w:rsidRPr="00477C32">
        <w:rPr>
          <w:rStyle w:val="normaltextrun"/>
          <w:rFonts w:ascii="Garamond" w:hAnsi="Garamond" w:cs="Times New Roman"/>
          <w:sz w:val="24"/>
          <w:szCs w:val="24"/>
          <w:lang w:val="en-GB"/>
        </w:rPr>
        <w:t xml:space="preserve"> standardized set of rules around the length of screws and nails are </w:t>
      </w:r>
      <w:r w:rsidR="005B61E7" w:rsidRPr="00477C32">
        <w:rPr>
          <w:rStyle w:val="normaltextrun"/>
          <w:rFonts w:ascii="Garamond" w:hAnsi="Garamond" w:cs="Times New Roman"/>
          <w:sz w:val="24"/>
          <w:szCs w:val="24"/>
          <w:lang w:val="en-GB"/>
        </w:rPr>
        <w:t xml:space="preserve">less </w:t>
      </w:r>
      <w:r w:rsidRPr="00477C32">
        <w:rPr>
          <w:rStyle w:val="normaltextrun"/>
          <w:rFonts w:ascii="Garamond" w:hAnsi="Garamond" w:cs="Times New Roman"/>
          <w:sz w:val="24"/>
          <w:szCs w:val="24"/>
          <w:lang w:val="en-GB"/>
        </w:rPr>
        <w:t>unlikely to affect the fundamental direction of the society.</w:t>
      </w:r>
    </w:p>
    <w:p w14:paraId="29D58324" w14:textId="77777777" w:rsidR="00BF56D9" w:rsidRPr="00477C32" w:rsidRDefault="00FE2654" w:rsidP="00222B55">
      <w:pPr>
        <w:pStyle w:val="paragraph"/>
        <w:spacing w:before="0" w:beforeAutospacing="0" w:after="0" w:afterAutospacing="0"/>
        <w:ind w:firstLine="720"/>
        <w:textAlignment w:val="baseline"/>
        <w:rPr>
          <w:rStyle w:val="normaltextrun"/>
          <w:rFonts w:ascii="Garamond" w:hAnsi="Garamond" w:cs="Times New Roman"/>
          <w:sz w:val="24"/>
          <w:szCs w:val="24"/>
          <w:lang w:val="en-GB"/>
        </w:rPr>
      </w:pPr>
      <w:r w:rsidRPr="00477C32">
        <w:rPr>
          <w:rStyle w:val="normaltextrun"/>
          <w:rFonts w:ascii="Garamond" w:hAnsi="Garamond" w:cs="Times New Roman"/>
          <w:sz w:val="24"/>
          <w:szCs w:val="24"/>
          <w:lang w:val="en-GB"/>
        </w:rPr>
        <w:t>What about immigration? Do decisions about whom (if anyone) to admit affect the</w:t>
      </w:r>
      <w:r w:rsidR="009E38BA" w:rsidRPr="00477C32">
        <w:rPr>
          <w:rStyle w:val="normaltextrun"/>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fundamental direction of the society? To answer</w:t>
      </w:r>
      <w:r w:rsidR="009E38BA" w:rsidRPr="00477C32">
        <w:rPr>
          <w:rStyle w:val="apple-converted-space"/>
          <w:rFonts w:ascii="Garamond" w:hAnsi="Garamond" w:cs="Times New Roman"/>
          <w:sz w:val="24"/>
          <w:szCs w:val="24"/>
          <w:lang w:val="en-GB"/>
        </w:rPr>
        <w:t xml:space="preserve"> </w:t>
      </w:r>
      <w:r w:rsidRPr="00477C32">
        <w:rPr>
          <w:rStyle w:val="contextualspellingandgrammarerror"/>
          <w:rFonts w:ascii="Garamond" w:hAnsi="Garamond" w:cs="Times New Roman"/>
          <w:sz w:val="24"/>
          <w:szCs w:val="24"/>
          <w:lang w:val="en-GB"/>
        </w:rPr>
        <w:t>this</w:t>
      </w:r>
      <w:r w:rsidR="009E38BA" w:rsidRPr="00477C32">
        <w:rPr>
          <w:rStyle w:val="apple-converted-space"/>
          <w:rFonts w:ascii="Garamond" w:hAnsi="Garamond" w:cs="Times New Roman"/>
          <w:sz w:val="24"/>
          <w:szCs w:val="24"/>
          <w:lang w:val="en-GB"/>
        </w:rPr>
        <w:t xml:space="preserve"> </w:t>
      </w:r>
      <w:r w:rsidRPr="00477C32">
        <w:rPr>
          <w:rStyle w:val="normaltextrun"/>
          <w:rFonts w:ascii="Garamond" w:hAnsi="Garamond" w:cs="Times New Roman"/>
          <w:sz w:val="24"/>
          <w:szCs w:val="24"/>
          <w:lang w:val="en-GB"/>
        </w:rPr>
        <w:t xml:space="preserve">we </w:t>
      </w:r>
      <w:r w:rsidR="00DC2A65" w:rsidRPr="00477C32">
        <w:rPr>
          <w:rStyle w:val="normaltextrun"/>
          <w:rFonts w:ascii="Garamond" w:hAnsi="Garamond" w:cs="Times New Roman"/>
          <w:sz w:val="24"/>
          <w:szCs w:val="24"/>
          <w:lang w:val="en-GB"/>
        </w:rPr>
        <w:t xml:space="preserve">again </w:t>
      </w:r>
      <w:r w:rsidRPr="00477C32">
        <w:rPr>
          <w:rStyle w:val="normaltextrun"/>
          <w:rFonts w:ascii="Garamond" w:hAnsi="Garamond" w:cs="Times New Roman"/>
          <w:sz w:val="24"/>
          <w:szCs w:val="24"/>
          <w:lang w:val="en-GB"/>
        </w:rPr>
        <w:t xml:space="preserve">need to touch </w:t>
      </w:r>
      <w:r w:rsidR="00DC2A65" w:rsidRPr="00477C32">
        <w:rPr>
          <w:rStyle w:val="normaltextrun"/>
          <w:rFonts w:ascii="Garamond" w:hAnsi="Garamond" w:cs="Times New Roman"/>
          <w:sz w:val="24"/>
          <w:szCs w:val="24"/>
          <w:lang w:val="en-GB"/>
        </w:rPr>
        <w:t>on</w:t>
      </w:r>
      <w:r w:rsidRPr="00477C32">
        <w:rPr>
          <w:rStyle w:val="normaltextrun"/>
          <w:rFonts w:ascii="Garamond" w:hAnsi="Garamond" w:cs="Times New Roman"/>
          <w:sz w:val="24"/>
          <w:szCs w:val="24"/>
          <w:lang w:val="en-GB"/>
        </w:rPr>
        <w:t xml:space="preserve"> </w:t>
      </w:r>
      <w:r w:rsidR="00C313E3" w:rsidRPr="00477C32">
        <w:rPr>
          <w:rStyle w:val="normaltextrun"/>
          <w:rFonts w:ascii="Garamond" w:hAnsi="Garamond" w:cs="Times New Roman"/>
          <w:sz w:val="24"/>
          <w:szCs w:val="24"/>
          <w:lang w:val="en-GB"/>
        </w:rPr>
        <w:t xml:space="preserve">empirical and </w:t>
      </w:r>
      <w:r w:rsidR="00DC2A65" w:rsidRPr="00477C32">
        <w:rPr>
          <w:rStyle w:val="normaltextrun"/>
          <w:rFonts w:ascii="Garamond" w:hAnsi="Garamond" w:cs="Times New Roman"/>
          <w:sz w:val="24"/>
          <w:szCs w:val="24"/>
          <w:lang w:val="en-GB"/>
        </w:rPr>
        <w:t xml:space="preserve">normative </w:t>
      </w:r>
      <w:r w:rsidRPr="00477C32">
        <w:rPr>
          <w:rStyle w:val="normaltextrun"/>
          <w:rFonts w:ascii="Garamond" w:hAnsi="Garamond" w:cs="Times New Roman"/>
          <w:sz w:val="24"/>
          <w:szCs w:val="24"/>
          <w:lang w:val="en-GB"/>
        </w:rPr>
        <w:t>questions</w:t>
      </w:r>
      <w:r w:rsidR="006A4559" w:rsidRPr="00477C32">
        <w:rPr>
          <w:rStyle w:val="normaltextrun"/>
          <w:rFonts w:ascii="Garamond" w:hAnsi="Garamond" w:cs="Times New Roman"/>
          <w:sz w:val="24"/>
          <w:szCs w:val="24"/>
          <w:lang w:val="en-GB"/>
        </w:rPr>
        <w:t>,</w:t>
      </w:r>
      <w:r w:rsidRPr="00477C32">
        <w:rPr>
          <w:rStyle w:val="normaltextrun"/>
          <w:rFonts w:ascii="Garamond" w:hAnsi="Garamond" w:cs="Times New Roman"/>
          <w:sz w:val="24"/>
          <w:szCs w:val="24"/>
          <w:lang w:val="en-GB"/>
        </w:rPr>
        <w:t xml:space="preserve"> </w:t>
      </w:r>
      <w:r w:rsidR="00DC2A65" w:rsidRPr="00477C32">
        <w:rPr>
          <w:rStyle w:val="normaltextrun"/>
          <w:rFonts w:ascii="Garamond" w:hAnsi="Garamond" w:cs="Times New Roman"/>
          <w:sz w:val="24"/>
          <w:szCs w:val="24"/>
          <w:lang w:val="en-GB"/>
        </w:rPr>
        <w:t>such</w:t>
      </w:r>
      <w:r w:rsidR="006A4559" w:rsidRPr="00477C32">
        <w:rPr>
          <w:rStyle w:val="normaltextrun"/>
          <w:rFonts w:ascii="Garamond" w:hAnsi="Garamond" w:cs="Times New Roman"/>
          <w:sz w:val="24"/>
          <w:szCs w:val="24"/>
          <w:lang w:val="en-GB"/>
        </w:rPr>
        <w:t xml:space="preserve"> as the following</w:t>
      </w:r>
      <w:r w:rsidRPr="00477C32">
        <w:rPr>
          <w:rStyle w:val="normaltextrun"/>
          <w:rFonts w:ascii="Garamond" w:hAnsi="Garamond" w:cs="Times New Roman"/>
          <w:sz w:val="24"/>
          <w:szCs w:val="24"/>
          <w:lang w:val="en-GB"/>
        </w:rPr>
        <w:t>: When (if ever) does immigration in fact affect wage inequality? Can this inequality be offset through redistribution? When and how does immigration affect the cultural life of the nation?</w:t>
      </w:r>
      <w:r w:rsidR="00DC2A65" w:rsidRPr="00477C32">
        <w:rPr>
          <w:rStyle w:val="normaltextrun"/>
          <w:rFonts w:ascii="Garamond" w:hAnsi="Garamond" w:cs="Times New Roman"/>
          <w:sz w:val="24"/>
          <w:szCs w:val="24"/>
          <w:lang w:val="en-GB"/>
        </w:rPr>
        <w:t xml:space="preserve"> Which of those effects are properly concerns of the state?</w:t>
      </w:r>
      <w:r w:rsidRPr="00477C32">
        <w:rPr>
          <w:rStyle w:val="normaltextrun"/>
          <w:rFonts w:ascii="Garamond" w:hAnsi="Garamond" w:cs="Times New Roman"/>
          <w:sz w:val="24"/>
          <w:szCs w:val="24"/>
          <w:lang w:val="en-GB"/>
        </w:rPr>
        <w:t xml:space="preserve"> Can those effects be </w:t>
      </w:r>
      <w:r w:rsidR="005B61E7" w:rsidRPr="00477C32">
        <w:rPr>
          <w:rStyle w:val="normaltextrun"/>
          <w:rFonts w:ascii="Garamond" w:hAnsi="Garamond" w:cs="Times New Roman"/>
          <w:sz w:val="24"/>
          <w:szCs w:val="24"/>
          <w:lang w:val="en-GB"/>
        </w:rPr>
        <w:t xml:space="preserve">easily </w:t>
      </w:r>
      <w:r w:rsidRPr="00477C32">
        <w:rPr>
          <w:rStyle w:val="normaltextrun"/>
          <w:rFonts w:ascii="Garamond" w:hAnsi="Garamond" w:cs="Times New Roman"/>
          <w:sz w:val="24"/>
          <w:szCs w:val="24"/>
          <w:lang w:val="en-GB"/>
        </w:rPr>
        <w:t>offset through integration policies? As with different kinds of trade regulation, the answer will likely vary for different kinds of immigration</w:t>
      </w:r>
      <w:r w:rsidR="00DC2A65" w:rsidRPr="00477C32">
        <w:rPr>
          <w:rStyle w:val="normaltextrun"/>
          <w:rFonts w:ascii="Garamond" w:hAnsi="Garamond" w:cs="Times New Roman"/>
          <w:sz w:val="24"/>
          <w:szCs w:val="24"/>
          <w:lang w:val="en-GB"/>
        </w:rPr>
        <w:t xml:space="preserve"> and immigration decision</w:t>
      </w:r>
      <w:r w:rsidR="004068E5" w:rsidRPr="00477C32">
        <w:rPr>
          <w:rStyle w:val="normaltextrun"/>
          <w:rFonts w:ascii="Garamond" w:hAnsi="Garamond" w:cs="Times New Roman"/>
          <w:sz w:val="24"/>
          <w:szCs w:val="24"/>
          <w:lang w:val="en-GB"/>
        </w:rPr>
        <w:t>s</w:t>
      </w:r>
      <w:r w:rsidRPr="00477C32">
        <w:rPr>
          <w:rStyle w:val="normaltextrun"/>
          <w:rFonts w:ascii="Garamond" w:hAnsi="Garamond" w:cs="Times New Roman"/>
          <w:sz w:val="24"/>
          <w:szCs w:val="24"/>
          <w:lang w:val="en-GB"/>
        </w:rPr>
        <w:t xml:space="preserve">. Foreign students, for example, are much less likely to alter the fundamental direction of the society than permanent </w:t>
      </w:r>
      <w:r w:rsidR="004C3B52" w:rsidRPr="00477C32">
        <w:rPr>
          <w:rStyle w:val="normaltextrun"/>
          <w:rFonts w:ascii="Garamond" w:hAnsi="Garamond" w:cs="Times New Roman"/>
          <w:sz w:val="24"/>
          <w:szCs w:val="24"/>
          <w:lang w:val="en-GB"/>
        </w:rPr>
        <w:t>residents, for example.</w:t>
      </w:r>
    </w:p>
    <w:p w14:paraId="359D2350" w14:textId="45607C64" w:rsidR="00FE2654" w:rsidRPr="00477C32" w:rsidRDefault="004C3B52" w:rsidP="00222B55">
      <w:pPr>
        <w:pStyle w:val="paragraph"/>
        <w:spacing w:before="0" w:beforeAutospacing="0" w:after="0" w:afterAutospacing="0"/>
        <w:ind w:firstLine="720"/>
        <w:textAlignment w:val="baseline"/>
        <w:rPr>
          <w:rFonts w:ascii="Garamond" w:hAnsi="Garamond" w:cs="Times New Roman"/>
          <w:sz w:val="24"/>
          <w:szCs w:val="24"/>
          <w:lang w:val="en-GB"/>
        </w:rPr>
      </w:pPr>
      <w:r w:rsidRPr="00477C32">
        <w:rPr>
          <w:rStyle w:val="normaltextrun"/>
          <w:rFonts w:ascii="Garamond" w:hAnsi="Garamond" w:cs="Times New Roman"/>
          <w:sz w:val="24"/>
          <w:szCs w:val="24"/>
          <w:lang w:val="en-GB"/>
        </w:rPr>
        <w:t>In sum, while</w:t>
      </w:r>
      <w:r w:rsidR="00307E4F" w:rsidRPr="00477C32">
        <w:rPr>
          <w:rStyle w:val="normaltextrun"/>
          <w:rFonts w:ascii="Garamond" w:hAnsi="Garamond" w:cs="Times New Roman"/>
          <w:sz w:val="24"/>
          <w:szCs w:val="24"/>
          <w:lang w:val="en-GB"/>
        </w:rPr>
        <w:t>,</w:t>
      </w:r>
      <w:r w:rsidRPr="00477C32">
        <w:rPr>
          <w:rStyle w:val="normaltextrun"/>
          <w:rFonts w:ascii="Garamond" w:hAnsi="Garamond" w:cs="Times New Roman"/>
          <w:sz w:val="24"/>
          <w:szCs w:val="24"/>
          <w:lang w:val="en-GB"/>
        </w:rPr>
        <w:t xml:space="preserve"> on the face of things, as we saw in Section 3, the proponent of a CSG argument can make a strong case for immigration discretion while avoiding difficult </w:t>
      </w:r>
      <w:r w:rsidR="00493C27" w:rsidRPr="00477C32">
        <w:rPr>
          <w:rStyle w:val="normaltextrun"/>
          <w:rFonts w:ascii="Garamond" w:hAnsi="Garamond" w:cs="Times New Roman"/>
          <w:sz w:val="24"/>
          <w:szCs w:val="24"/>
          <w:lang w:val="en-GB"/>
        </w:rPr>
        <w:t xml:space="preserve">empirical and </w:t>
      </w:r>
      <w:r w:rsidRPr="00477C32">
        <w:rPr>
          <w:rStyle w:val="normaltextrun"/>
          <w:rFonts w:ascii="Garamond" w:hAnsi="Garamond" w:cs="Times New Roman"/>
          <w:sz w:val="24"/>
          <w:szCs w:val="24"/>
          <w:lang w:val="en-GB"/>
        </w:rPr>
        <w:t>normative questions about the effects of immigration</w:t>
      </w:r>
      <w:r w:rsidR="00493C27" w:rsidRPr="00477C32">
        <w:rPr>
          <w:rStyle w:val="normaltextrun"/>
          <w:rFonts w:ascii="Garamond" w:hAnsi="Garamond" w:cs="Times New Roman"/>
          <w:sz w:val="24"/>
          <w:szCs w:val="24"/>
          <w:lang w:val="en-GB"/>
        </w:rPr>
        <w:t>,</w:t>
      </w:r>
      <w:r w:rsidRPr="00477C32">
        <w:rPr>
          <w:rStyle w:val="normaltextrun"/>
          <w:rFonts w:ascii="Garamond" w:hAnsi="Garamond" w:cs="Times New Roman"/>
          <w:sz w:val="24"/>
          <w:szCs w:val="24"/>
          <w:lang w:val="en-GB"/>
        </w:rPr>
        <w:t xml:space="preserve"> this is in fact an illusion: the proponent of a CSG argument must in fact face many such questions if they are to make a strong case for discretion over immigration.</w:t>
      </w:r>
      <w:r w:rsidR="00C42DE2" w:rsidRPr="00477C32">
        <w:rPr>
          <w:rStyle w:val="normaltextrun"/>
          <w:rFonts w:ascii="Garamond" w:hAnsi="Garamond" w:cs="Times New Roman"/>
          <w:sz w:val="24"/>
          <w:szCs w:val="24"/>
          <w:lang w:val="en-GB"/>
        </w:rPr>
        <w:t xml:space="preserve"> They will have to show </w:t>
      </w:r>
      <w:r w:rsidR="001C0267" w:rsidRPr="00477C32">
        <w:rPr>
          <w:rStyle w:val="normaltextrun"/>
          <w:rFonts w:ascii="Garamond" w:hAnsi="Garamond" w:cs="Times New Roman"/>
          <w:sz w:val="24"/>
          <w:szCs w:val="24"/>
          <w:lang w:val="en-GB"/>
        </w:rPr>
        <w:t xml:space="preserve">that </w:t>
      </w:r>
      <w:r w:rsidR="00C42DE2" w:rsidRPr="00477C32">
        <w:rPr>
          <w:rStyle w:val="normaltextrun"/>
          <w:rFonts w:ascii="Garamond" w:hAnsi="Garamond" w:cs="Times New Roman"/>
          <w:sz w:val="24"/>
          <w:szCs w:val="24"/>
          <w:lang w:val="en-GB"/>
        </w:rPr>
        <w:t xml:space="preserve">increased discretion over immigration really is needed </w:t>
      </w:r>
      <w:r w:rsidR="007272E1" w:rsidRPr="00477C32">
        <w:rPr>
          <w:rStyle w:val="normaltextrun"/>
          <w:rFonts w:ascii="Garamond" w:hAnsi="Garamond" w:cs="Times New Roman"/>
          <w:sz w:val="24"/>
          <w:szCs w:val="24"/>
          <w:lang w:val="en-GB"/>
        </w:rPr>
        <w:t>to have proper control over, for example, overall inequality in society</w:t>
      </w:r>
      <w:r w:rsidR="00C42DE2" w:rsidRPr="00477C32">
        <w:rPr>
          <w:rStyle w:val="normaltextrun"/>
          <w:rFonts w:ascii="Garamond" w:hAnsi="Garamond" w:cs="Times New Roman"/>
          <w:sz w:val="24"/>
          <w:szCs w:val="24"/>
          <w:lang w:val="en-GB"/>
        </w:rPr>
        <w:t>.</w:t>
      </w:r>
      <w:r w:rsidRPr="00477C32">
        <w:rPr>
          <w:rStyle w:val="normaltextrun"/>
          <w:rFonts w:ascii="Garamond" w:hAnsi="Garamond" w:cs="Times New Roman"/>
          <w:sz w:val="24"/>
          <w:szCs w:val="24"/>
          <w:lang w:val="en-GB"/>
        </w:rPr>
        <w:t xml:space="preserve"> We should not permit </w:t>
      </w:r>
      <w:r w:rsidR="000141EA" w:rsidRPr="00477C32">
        <w:rPr>
          <w:rStyle w:val="normaltextrun"/>
          <w:rFonts w:ascii="Garamond" w:hAnsi="Garamond" w:cs="Times New Roman"/>
          <w:sz w:val="24"/>
          <w:szCs w:val="24"/>
          <w:lang w:val="en-GB"/>
        </w:rPr>
        <w:t xml:space="preserve">the </w:t>
      </w:r>
      <w:r w:rsidRPr="00477C32">
        <w:rPr>
          <w:rStyle w:val="normaltextrun"/>
          <w:rFonts w:ascii="Garamond" w:hAnsi="Garamond" w:cs="Times New Roman"/>
          <w:sz w:val="24"/>
          <w:szCs w:val="24"/>
          <w:lang w:val="en-GB"/>
        </w:rPr>
        <w:t>CSG argu</w:t>
      </w:r>
      <w:r w:rsidR="003654C4" w:rsidRPr="00477C32">
        <w:rPr>
          <w:rStyle w:val="normaltextrun"/>
          <w:rFonts w:ascii="Garamond" w:hAnsi="Garamond" w:cs="Times New Roman"/>
          <w:sz w:val="24"/>
          <w:szCs w:val="24"/>
          <w:lang w:val="en-GB"/>
        </w:rPr>
        <w:t xml:space="preserve">ment to be played as </w:t>
      </w:r>
      <w:r w:rsidR="000141EA" w:rsidRPr="00477C32">
        <w:rPr>
          <w:rStyle w:val="normaltextrun"/>
          <w:rFonts w:ascii="Garamond" w:hAnsi="Garamond" w:cs="Times New Roman"/>
          <w:sz w:val="24"/>
          <w:szCs w:val="24"/>
          <w:lang w:val="en-GB"/>
        </w:rPr>
        <w:t xml:space="preserve">a </w:t>
      </w:r>
      <w:r w:rsidR="00C42DE2" w:rsidRPr="00477C32">
        <w:rPr>
          <w:rStyle w:val="normaltextrun"/>
          <w:rFonts w:ascii="Garamond" w:hAnsi="Garamond" w:cs="Times New Roman"/>
          <w:sz w:val="24"/>
          <w:szCs w:val="24"/>
          <w:lang w:val="en-GB"/>
        </w:rPr>
        <w:t xml:space="preserve">simple </w:t>
      </w:r>
      <w:r w:rsidR="003654C4" w:rsidRPr="00477C32">
        <w:rPr>
          <w:rStyle w:val="normaltextrun"/>
          <w:rFonts w:ascii="Garamond" w:hAnsi="Garamond" w:cs="Times New Roman"/>
          <w:sz w:val="24"/>
          <w:szCs w:val="24"/>
          <w:lang w:val="en-GB"/>
        </w:rPr>
        <w:t>trump card.</w:t>
      </w:r>
    </w:p>
    <w:p w14:paraId="2E7491BD" w14:textId="77777777" w:rsidR="00DE0EE7" w:rsidRPr="00477C32" w:rsidRDefault="00DE0EE7" w:rsidP="00100874">
      <w:pPr>
        <w:rPr>
          <w:rFonts w:ascii="Garamond" w:hAnsi="Garamond" w:cs="Times New Roman"/>
          <w:lang w:val="en-GB"/>
        </w:rPr>
      </w:pPr>
    </w:p>
    <w:p w14:paraId="512B0D4E" w14:textId="425AB629" w:rsidR="00DE0EE7" w:rsidRPr="00477C32" w:rsidRDefault="007135E2" w:rsidP="00100874">
      <w:pPr>
        <w:rPr>
          <w:rFonts w:ascii="Garamond" w:hAnsi="Garamond" w:cs="Times New Roman"/>
          <w:b/>
          <w:bCs/>
          <w:lang w:val="en-GB"/>
        </w:rPr>
      </w:pPr>
      <w:r w:rsidRPr="00477C32">
        <w:rPr>
          <w:rFonts w:ascii="Garamond" w:hAnsi="Garamond" w:cs="Times New Roman"/>
          <w:b/>
          <w:bCs/>
          <w:lang w:val="en-GB"/>
        </w:rPr>
        <w:t xml:space="preserve">6. </w:t>
      </w:r>
      <w:r w:rsidR="009762CA" w:rsidRPr="00477C32">
        <w:rPr>
          <w:rFonts w:ascii="Garamond" w:hAnsi="Garamond" w:cs="Times New Roman"/>
          <w:b/>
          <w:bCs/>
          <w:lang w:val="en-GB"/>
        </w:rPr>
        <w:t>When Enhancing Discretion Undermines CSG</w:t>
      </w:r>
    </w:p>
    <w:p w14:paraId="30272474" w14:textId="77777777" w:rsidR="009762CA" w:rsidRPr="00477C32" w:rsidRDefault="009762CA" w:rsidP="00100874">
      <w:pPr>
        <w:rPr>
          <w:rFonts w:ascii="Garamond" w:hAnsi="Garamond" w:cs="Times New Roman"/>
          <w:lang w:val="en-GB"/>
        </w:rPr>
      </w:pPr>
    </w:p>
    <w:p w14:paraId="6990EBF1" w14:textId="3D79849A" w:rsidR="009762CA" w:rsidRPr="00477C32" w:rsidRDefault="009762CA" w:rsidP="00222B55">
      <w:pPr>
        <w:ind w:firstLine="720"/>
        <w:rPr>
          <w:rFonts w:ascii="Garamond" w:hAnsi="Garamond" w:cs="Times New Roman"/>
          <w:lang w:val="en-GB"/>
        </w:rPr>
      </w:pPr>
      <w:r w:rsidRPr="00477C32">
        <w:rPr>
          <w:rFonts w:ascii="Garamond" w:hAnsi="Garamond" w:cs="Times New Roman"/>
          <w:lang w:val="en-GB"/>
        </w:rPr>
        <w:t>In the previous section I tried to show some significant limitations of CSG arguments</w:t>
      </w:r>
      <w:r w:rsidR="00AE1B1C" w:rsidRPr="00477C32">
        <w:rPr>
          <w:rFonts w:ascii="Garamond" w:hAnsi="Garamond" w:cs="Times New Roman"/>
          <w:lang w:val="en-GB"/>
        </w:rPr>
        <w:t>,</w:t>
      </w:r>
      <w:r w:rsidRPr="00477C32">
        <w:rPr>
          <w:rFonts w:ascii="Garamond" w:hAnsi="Garamond" w:cs="Times New Roman"/>
          <w:lang w:val="en-GB"/>
        </w:rPr>
        <w:t xml:space="preserve"> some ways in which CSG arguments can be resisted by showing that limitations on discretion over immigration do not necessarily entail any significant impact on CSG. In this section I would like to defend a strong</w:t>
      </w:r>
      <w:r w:rsidR="00ED5F25" w:rsidRPr="00477C32">
        <w:rPr>
          <w:rFonts w:ascii="Garamond" w:hAnsi="Garamond" w:cs="Times New Roman"/>
          <w:lang w:val="en-GB"/>
        </w:rPr>
        <w:t>er</w:t>
      </w:r>
      <w:r w:rsidRPr="00477C32">
        <w:rPr>
          <w:rFonts w:ascii="Garamond" w:hAnsi="Garamond" w:cs="Times New Roman"/>
          <w:lang w:val="en-GB"/>
        </w:rPr>
        <w:t xml:space="preserve"> claim that</w:t>
      </w:r>
      <w:r w:rsidR="002F4069" w:rsidRPr="00477C32">
        <w:rPr>
          <w:rFonts w:ascii="Garamond" w:hAnsi="Garamond" w:cs="Times New Roman"/>
          <w:lang w:val="en-GB"/>
        </w:rPr>
        <w:t>,</w:t>
      </w:r>
      <w:r w:rsidRPr="00477C32">
        <w:rPr>
          <w:rFonts w:ascii="Garamond" w:hAnsi="Garamond" w:cs="Times New Roman"/>
          <w:lang w:val="en-GB"/>
        </w:rPr>
        <w:t xml:space="preserve"> in fact</w:t>
      </w:r>
      <w:r w:rsidR="002F4069" w:rsidRPr="00477C32">
        <w:rPr>
          <w:rFonts w:ascii="Garamond" w:hAnsi="Garamond" w:cs="Times New Roman"/>
          <w:lang w:val="en-GB"/>
        </w:rPr>
        <w:t>,</w:t>
      </w:r>
      <w:r w:rsidRPr="00477C32">
        <w:rPr>
          <w:rFonts w:ascii="Garamond" w:hAnsi="Garamond" w:cs="Times New Roman"/>
          <w:lang w:val="en-GB"/>
        </w:rPr>
        <w:t xml:space="preserve"> </w:t>
      </w:r>
      <w:r w:rsidR="00ED5F25" w:rsidRPr="00477C32">
        <w:rPr>
          <w:rFonts w:ascii="Garamond" w:hAnsi="Garamond" w:cs="Times New Roman"/>
          <w:lang w:val="en-GB"/>
        </w:rPr>
        <w:t>sometimes</w:t>
      </w:r>
      <w:r w:rsidR="00DC0B65" w:rsidRPr="00477C32">
        <w:rPr>
          <w:rFonts w:ascii="Garamond" w:hAnsi="Garamond" w:cs="Times New Roman"/>
          <w:lang w:val="en-GB"/>
        </w:rPr>
        <w:t xml:space="preserve"> taking steps to</w:t>
      </w:r>
      <w:r w:rsidR="00635765" w:rsidRPr="00477C32">
        <w:rPr>
          <w:rFonts w:ascii="Garamond" w:hAnsi="Garamond" w:cs="Times New Roman"/>
          <w:lang w:val="en-GB"/>
        </w:rPr>
        <w:t xml:space="preserve"> enhance state discretion over i</w:t>
      </w:r>
      <w:r w:rsidR="00DC0B65" w:rsidRPr="00477C32">
        <w:rPr>
          <w:rFonts w:ascii="Garamond" w:hAnsi="Garamond" w:cs="Times New Roman"/>
          <w:lang w:val="en-GB"/>
        </w:rPr>
        <w:t xml:space="preserve">mmigration </w:t>
      </w:r>
      <w:r w:rsidR="00635765" w:rsidRPr="00477C32">
        <w:rPr>
          <w:rFonts w:ascii="Garamond" w:hAnsi="Garamond" w:cs="Times New Roman"/>
          <w:lang w:val="en-GB"/>
        </w:rPr>
        <w:t xml:space="preserve">creates a threat to </w:t>
      </w:r>
      <w:r w:rsidR="0062297D" w:rsidRPr="00477C32">
        <w:rPr>
          <w:rFonts w:ascii="Garamond" w:hAnsi="Garamond" w:cs="Times New Roman"/>
          <w:lang w:val="en-GB"/>
        </w:rPr>
        <w:t>CSG</w:t>
      </w:r>
      <w:r w:rsidR="00635765" w:rsidRPr="00477C32">
        <w:rPr>
          <w:rFonts w:ascii="Garamond" w:hAnsi="Garamond" w:cs="Times New Roman"/>
          <w:lang w:val="en-GB"/>
        </w:rPr>
        <w:t>. In particular, we need to consider the role of race in relation to immigration.</w:t>
      </w:r>
    </w:p>
    <w:p w14:paraId="3B51CA53" w14:textId="79E0EC0C" w:rsidR="00635765" w:rsidRPr="00477C32" w:rsidRDefault="00635765" w:rsidP="00222B55">
      <w:pPr>
        <w:ind w:firstLine="720"/>
        <w:rPr>
          <w:rFonts w:ascii="Garamond" w:hAnsi="Garamond" w:cs="Times New Roman"/>
          <w:lang w:val="en-GB"/>
        </w:rPr>
      </w:pPr>
      <w:r w:rsidRPr="00477C32">
        <w:rPr>
          <w:rFonts w:ascii="Garamond" w:hAnsi="Garamond" w:cs="Times New Roman"/>
          <w:lang w:val="en-GB"/>
        </w:rPr>
        <w:t>Let me first draw out some connections between race and immigration, especially in the context of Brexit and the Southern border of the U</w:t>
      </w:r>
      <w:r w:rsidR="00A26DDD" w:rsidRPr="00477C32">
        <w:rPr>
          <w:rFonts w:ascii="Garamond" w:hAnsi="Garamond" w:cs="Times New Roman"/>
          <w:lang w:val="en-GB"/>
        </w:rPr>
        <w:t xml:space="preserve">nited </w:t>
      </w:r>
      <w:r w:rsidRPr="00477C32">
        <w:rPr>
          <w:rFonts w:ascii="Garamond" w:hAnsi="Garamond" w:cs="Times New Roman"/>
          <w:lang w:val="en-GB"/>
        </w:rPr>
        <w:t>S</w:t>
      </w:r>
      <w:r w:rsidR="00A26DDD" w:rsidRPr="00477C32">
        <w:rPr>
          <w:rFonts w:ascii="Garamond" w:hAnsi="Garamond" w:cs="Times New Roman"/>
          <w:lang w:val="en-GB"/>
        </w:rPr>
        <w:t>tates,</w:t>
      </w:r>
      <w:r w:rsidRPr="00477C32">
        <w:rPr>
          <w:rFonts w:ascii="Garamond" w:hAnsi="Garamond" w:cs="Times New Roman"/>
          <w:lang w:val="en-GB"/>
        </w:rPr>
        <w:t xml:space="preserve"> and then I will explain its bearing on </w:t>
      </w:r>
      <w:r w:rsidR="0062297D" w:rsidRPr="00477C32">
        <w:rPr>
          <w:rFonts w:ascii="Garamond" w:hAnsi="Garamond" w:cs="Times New Roman"/>
          <w:lang w:val="en-GB"/>
        </w:rPr>
        <w:t>CSG</w:t>
      </w:r>
      <w:r w:rsidRPr="00477C32">
        <w:rPr>
          <w:rFonts w:ascii="Garamond" w:hAnsi="Garamond" w:cs="Times New Roman"/>
          <w:lang w:val="en-GB"/>
        </w:rPr>
        <w:t>.</w:t>
      </w:r>
    </w:p>
    <w:p w14:paraId="4925D577" w14:textId="44CC7BF9" w:rsidR="00635765" w:rsidRPr="00477C32" w:rsidRDefault="0062297D" w:rsidP="00222B55">
      <w:pPr>
        <w:ind w:firstLine="720"/>
        <w:rPr>
          <w:rFonts w:ascii="Garamond" w:hAnsi="Garamond" w:cs="Times New Roman"/>
          <w:lang w:val="en-GB"/>
        </w:rPr>
      </w:pPr>
      <w:r w:rsidRPr="00477C32">
        <w:rPr>
          <w:rFonts w:ascii="Garamond" w:hAnsi="Garamond" w:cs="Times New Roman"/>
          <w:lang w:val="en-GB"/>
        </w:rPr>
        <w:t>CSG</w:t>
      </w:r>
      <w:r w:rsidR="00635765" w:rsidRPr="00477C32">
        <w:rPr>
          <w:rFonts w:ascii="Garamond" w:hAnsi="Garamond" w:cs="Times New Roman"/>
          <w:lang w:val="en-GB"/>
        </w:rPr>
        <w:t xml:space="preserve"> involves a familiar complexity that does not arise in the case of individual self-governance: the collective is composed of different people, with different viewpoints, interests</w:t>
      </w:r>
      <w:r w:rsidR="0004358B" w:rsidRPr="00477C32">
        <w:rPr>
          <w:rFonts w:ascii="Garamond" w:hAnsi="Garamond" w:cs="Times New Roman"/>
          <w:lang w:val="en-GB"/>
        </w:rPr>
        <w:t>, and so on. This means makes it</w:t>
      </w:r>
      <w:r w:rsidR="00635765" w:rsidRPr="00477C32">
        <w:rPr>
          <w:rFonts w:ascii="Garamond" w:hAnsi="Garamond" w:cs="Times New Roman"/>
          <w:lang w:val="en-GB"/>
        </w:rPr>
        <w:t xml:space="preserve"> a matter for debate exactly when a decision can be said to </w:t>
      </w:r>
      <w:r w:rsidR="00635765" w:rsidRPr="00477C32">
        <w:rPr>
          <w:rFonts w:ascii="Garamond" w:hAnsi="Garamond" w:cs="Times New Roman"/>
          <w:lang w:val="en-GB"/>
        </w:rPr>
        <w:lastRenderedPageBreak/>
        <w:t xml:space="preserve">represent a </w:t>
      </w:r>
      <w:r w:rsidR="00635765" w:rsidRPr="00477C32">
        <w:rPr>
          <w:rFonts w:ascii="Garamond" w:hAnsi="Garamond" w:cs="Times New Roman"/>
          <w:i/>
          <w:lang w:val="en-GB"/>
        </w:rPr>
        <w:t>collective</w:t>
      </w:r>
      <w:r w:rsidR="00635765" w:rsidRPr="00477C32">
        <w:rPr>
          <w:rFonts w:ascii="Garamond" w:hAnsi="Garamond" w:cs="Times New Roman"/>
          <w:lang w:val="en-GB"/>
        </w:rPr>
        <w:t xml:space="preserve"> decision—the ‘will of the people’—rather than just the will of some subset of the collective whose voice prevailed over the dissenters. Solving this problem has of course been one of the great questions of political philosophy and this is not the place to present a full theory. But for present purposes I will rely on some relatively minimal theses about collective willing that I hope will be plausible to the reader.</w:t>
      </w:r>
    </w:p>
    <w:p w14:paraId="5E3070DA" w14:textId="0BBE2E64" w:rsidR="00635765" w:rsidRPr="00477C32" w:rsidRDefault="00635765" w:rsidP="00222B55">
      <w:pPr>
        <w:ind w:firstLine="720"/>
        <w:rPr>
          <w:rFonts w:ascii="Garamond" w:hAnsi="Garamond" w:cs="Times New Roman"/>
          <w:lang w:val="en-GB"/>
        </w:rPr>
      </w:pPr>
      <w:r w:rsidRPr="00477C32">
        <w:rPr>
          <w:rFonts w:ascii="Garamond" w:hAnsi="Garamond" w:cs="Times New Roman"/>
          <w:lang w:val="en-GB"/>
        </w:rPr>
        <w:t xml:space="preserve">In democratic societies, it is assumed that for the people’s will to be expressed </w:t>
      </w:r>
      <w:r w:rsidR="00FB500C" w:rsidRPr="00477C32">
        <w:rPr>
          <w:rFonts w:ascii="Garamond" w:hAnsi="Garamond" w:cs="Times New Roman"/>
          <w:lang w:val="en-GB"/>
        </w:rPr>
        <w:t>there</w:t>
      </w:r>
      <w:r w:rsidRPr="00477C32">
        <w:rPr>
          <w:rFonts w:ascii="Garamond" w:hAnsi="Garamond" w:cs="Times New Roman"/>
          <w:lang w:val="en-GB"/>
        </w:rPr>
        <w:t xml:space="preserve"> needs to be a process that respects each member of society as an equal</w:t>
      </w:r>
      <w:r w:rsidR="00D80D84" w:rsidRPr="00477C32">
        <w:rPr>
          <w:rFonts w:ascii="Garamond" w:hAnsi="Garamond" w:cs="Times New Roman"/>
          <w:lang w:val="en-GB"/>
        </w:rPr>
        <w:t xml:space="preserve"> (Waldron</w:t>
      </w:r>
      <w:r w:rsidR="00456E0D" w:rsidRPr="00477C32">
        <w:rPr>
          <w:rFonts w:ascii="Garamond" w:hAnsi="Garamond" w:cs="Times New Roman"/>
          <w:lang w:val="en-GB"/>
        </w:rPr>
        <w:t xml:space="preserve"> 1999</w:t>
      </w:r>
      <w:r w:rsidR="001E674C" w:rsidRPr="00477C32">
        <w:rPr>
          <w:rFonts w:ascii="Garamond" w:hAnsi="Garamond" w:cs="Times New Roman"/>
          <w:iCs/>
          <w:lang w:val="en-GB"/>
        </w:rPr>
        <w:t>,</w:t>
      </w:r>
      <w:r w:rsidR="00456E0D" w:rsidRPr="00477C32">
        <w:rPr>
          <w:rFonts w:ascii="Garamond" w:hAnsi="Garamond" w:cs="Times New Roman"/>
          <w:iCs/>
          <w:lang w:val="en-GB"/>
        </w:rPr>
        <w:t xml:space="preserve"> </w:t>
      </w:r>
      <w:r w:rsidR="00D80D84" w:rsidRPr="00477C32">
        <w:rPr>
          <w:rFonts w:ascii="Garamond" w:hAnsi="Garamond" w:cs="Times New Roman"/>
          <w:lang w:val="en-GB"/>
        </w:rPr>
        <w:t>Cohen</w:t>
      </w:r>
      <w:r w:rsidR="00456E0D" w:rsidRPr="00477C32">
        <w:rPr>
          <w:rFonts w:ascii="Garamond" w:hAnsi="Garamond" w:cs="Times New Roman"/>
          <w:lang w:val="en-GB"/>
        </w:rPr>
        <w:t xml:space="preserve"> 2009</w:t>
      </w:r>
      <w:r w:rsidR="00D80D84" w:rsidRPr="00477C32">
        <w:rPr>
          <w:rFonts w:ascii="Garamond" w:hAnsi="Garamond" w:cs="Times New Roman"/>
          <w:lang w:val="en-GB"/>
        </w:rPr>
        <w:t>)</w:t>
      </w:r>
      <w:r w:rsidRPr="00477C32">
        <w:rPr>
          <w:rFonts w:ascii="Garamond" w:hAnsi="Garamond" w:cs="Times New Roman"/>
          <w:lang w:val="en-GB"/>
        </w:rPr>
        <w:t>. It will not do if</w:t>
      </w:r>
      <w:r w:rsidR="00E10B8B" w:rsidRPr="00477C32">
        <w:rPr>
          <w:rFonts w:ascii="Garamond" w:hAnsi="Garamond" w:cs="Times New Roman"/>
          <w:lang w:val="en-GB"/>
        </w:rPr>
        <w:t>, for instance,</w:t>
      </w:r>
      <w:r w:rsidRPr="00477C32">
        <w:rPr>
          <w:rFonts w:ascii="Garamond" w:hAnsi="Garamond" w:cs="Times New Roman"/>
          <w:lang w:val="en-GB"/>
        </w:rPr>
        <w:t xml:space="preserve"> political decisions represent only the views or in</w:t>
      </w:r>
      <w:r w:rsidR="00EC33BD" w:rsidRPr="00477C32">
        <w:rPr>
          <w:rFonts w:ascii="Garamond" w:hAnsi="Garamond" w:cs="Times New Roman"/>
          <w:lang w:val="en-GB"/>
        </w:rPr>
        <w:t>terests of an aristocracy</w:t>
      </w:r>
      <w:r w:rsidR="00D80D84" w:rsidRPr="00477C32">
        <w:rPr>
          <w:rFonts w:ascii="Garamond" w:hAnsi="Garamond" w:cs="Times New Roman"/>
          <w:lang w:val="en-GB"/>
        </w:rPr>
        <w:t xml:space="preserve">. What exactly equal respect requires </w:t>
      </w:r>
      <w:r w:rsidR="00EE1E46" w:rsidRPr="00477C32">
        <w:rPr>
          <w:rFonts w:ascii="Garamond" w:hAnsi="Garamond" w:cs="Times New Roman"/>
          <w:lang w:val="en-GB"/>
        </w:rPr>
        <w:t>is more controversial</w:t>
      </w:r>
      <w:r w:rsidR="00EC33BD" w:rsidRPr="00477C32">
        <w:rPr>
          <w:rFonts w:ascii="Garamond" w:hAnsi="Garamond" w:cs="Times New Roman"/>
          <w:lang w:val="en-GB"/>
        </w:rPr>
        <w:t xml:space="preserve">, but some basic requirements are clear. For example, it violates equal respect if the votes of property owners are more heavily weighted or </w:t>
      </w:r>
      <w:r w:rsidR="00732391" w:rsidRPr="00477C32">
        <w:rPr>
          <w:rFonts w:ascii="Garamond" w:hAnsi="Garamond" w:cs="Times New Roman"/>
          <w:lang w:val="en-GB"/>
        </w:rPr>
        <w:t xml:space="preserve">if </w:t>
      </w:r>
      <w:r w:rsidR="00EC33BD" w:rsidRPr="00477C32">
        <w:rPr>
          <w:rFonts w:ascii="Garamond" w:hAnsi="Garamond" w:cs="Times New Roman"/>
          <w:lang w:val="en-GB"/>
        </w:rPr>
        <w:t xml:space="preserve">rights to speak on political matters are denied to members of a minority ethnic group. It also plausibly matters </w:t>
      </w:r>
      <w:r w:rsidR="00E65776" w:rsidRPr="00477C32">
        <w:rPr>
          <w:rFonts w:ascii="Garamond" w:hAnsi="Garamond" w:cs="Times New Roman"/>
          <w:lang w:val="en-GB"/>
        </w:rPr>
        <w:t>how exactly individuals and groups conduct themselves when they participate in the political process. For example, it would be a violat</w:t>
      </w:r>
      <w:r w:rsidR="00E10B8B" w:rsidRPr="00477C32">
        <w:rPr>
          <w:rFonts w:ascii="Garamond" w:hAnsi="Garamond" w:cs="Times New Roman"/>
          <w:lang w:val="en-GB"/>
        </w:rPr>
        <w:t>ion of equal respect if every</w:t>
      </w:r>
      <w:r w:rsidR="00E65776" w:rsidRPr="00477C32">
        <w:rPr>
          <w:rFonts w:ascii="Garamond" w:hAnsi="Garamond" w:cs="Times New Roman"/>
          <w:lang w:val="en-GB"/>
        </w:rPr>
        <w:t xml:space="preserve"> time </w:t>
      </w:r>
      <w:r w:rsidR="00E10B8B" w:rsidRPr="00477C32">
        <w:rPr>
          <w:rFonts w:ascii="Garamond" w:hAnsi="Garamond" w:cs="Times New Roman"/>
          <w:lang w:val="en-GB"/>
        </w:rPr>
        <w:t>members</w:t>
      </w:r>
      <w:r w:rsidR="00E65776" w:rsidRPr="00477C32">
        <w:rPr>
          <w:rFonts w:ascii="Garamond" w:hAnsi="Garamond" w:cs="Times New Roman"/>
          <w:lang w:val="en-GB"/>
        </w:rPr>
        <w:t xml:space="preserve"> </w:t>
      </w:r>
      <w:r w:rsidR="00E10B8B" w:rsidRPr="00477C32">
        <w:rPr>
          <w:rFonts w:ascii="Garamond" w:hAnsi="Garamond" w:cs="Times New Roman"/>
          <w:lang w:val="en-GB"/>
        </w:rPr>
        <w:t>of a minority religious group</w:t>
      </w:r>
      <w:r w:rsidR="00E65776" w:rsidRPr="00477C32">
        <w:rPr>
          <w:rFonts w:ascii="Garamond" w:hAnsi="Garamond" w:cs="Times New Roman"/>
          <w:lang w:val="en-GB"/>
        </w:rPr>
        <w:t xml:space="preserve"> attempt to raise their political voice in a public space members of the majority step in to shout them down. It is also </w:t>
      </w:r>
      <w:r w:rsidR="00AB627B" w:rsidRPr="00477C32">
        <w:rPr>
          <w:rFonts w:ascii="Garamond" w:hAnsi="Garamond" w:cs="Times New Roman"/>
          <w:lang w:val="en-GB"/>
        </w:rPr>
        <w:t xml:space="preserve">plausibly </w:t>
      </w:r>
      <w:r w:rsidR="00E65776" w:rsidRPr="00477C32">
        <w:rPr>
          <w:rFonts w:ascii="Garamond" w:hAnsi="Garamond" w:cs="Times New Roman"/>
          <w:lang w:val="en-GB"/>
        </w:rPr>
        <w:t xml:space="preserve">a violation of equal respect if </w:t>
      </w:r>
      <w:r w:rsidR="009B376D" w:rsidRPr="00477C32">
        <w:rPr>
          <w:rFonts w:ascii="Garamond" w:hAnsi="Garamond" w:cs="Times New Roman"/>
          <w:lang w:val="en-GB"/>
        </w:rPr>
        <w:t xml:space="preserve">when members of the minority group try to raise their </w:t>
      </w:r>
      <w:r w:rsidR="00137802" w:rsidRPr="00477C32">
        <w:rPr>
          <w:rFonts w:ascii="Garamond" w:hAnsi="Garamond" w:cs="Times New Roman"/>
          <w:lang w:val="en-GB"/>
        </w:rPr>
        <w:t xml:space="preserve">political </w:t>
      </w:r>
      <w:r w:rsidR="009B376D" w:rsidRPr="00477C32">
        <w:rPr>
          <w:rFonts w:ascii="Garamond" w:hAnsi="Garamond" w:cs="Times New Roman"/>
          <w:lang w:val="en-GB"/>
        </w:rPr>
        <w:t xml:space="preserve">voice </w:t>
      </w:r>
      <w:r w:rsidR="00137802" w:rsidRPr="00477C32">
        <w:rPr>
          <w:rFonts w:ascii="Garamond" w:hAnsi="Garamond" w:cs="Times New Roman"/>
          <w:lang w:val="en-GB"/>
        </w:rPr>
        <w:t>their perspectives and interests are</w:t>
      </w:r>
      <w:r w:rsidR="009B376D" w:rsidRPr="00477C32">
        <w:rPr>
          <w:rFonts w:ascii="Garamond" w:hAnsi="Garamond" w:cs="Times New Roman"/>
          <w:lang w:val="en-GB"/>
        </w:rPr>
        <w:t xml:space="preserve"> simply ignored by a majority that stereotypes them as universally stupid, degraded, and so on.</w:t>
      </w:r>
      <w:r w:rsidR="00B931A0" w:rsidRPr="00477C32">
        <w:rPr>
          <w:rStyle w:val="FootnoteReference"/>
          <w:rFonts w:ascii="Garamond" w:hAnsi="Garamond" w:cs="Times New Roman"/>
          <w:lang w:val="en-GB"/>
        </w:rPr>
        <w:footnoteReference w:id="12"/>
      </w:r>
      <w:r w:rsidR="00B931A0" w:rsidRPr="00477C32">
        <w:rPr>
          <w:rFonts w:ascii="Garamond" w:hAnsi="Garamond" w:cs="Times New Roman"/>
          <w:lang w:val="en-GB"/>
        </w:rPr>
        <w:t xml:space="preserve"> In these lat</w:t>
      </w:r>
      <w:r w:rsidR="00AB2BBE" w:rsidRPr="00477C32">
        <w:rPr>
          <w:rFonts w:ascii="Garamond" w:hAnsi="Garamond" w:cs="Times New Roman"/>
          <w:lang w:val="en-GB"/>
        </w:rPr>
        <w:t>t</w:t>
      </w:r>
      <w:r w:rsidR="00B931A0" w:rsidRPr="00477C32">
        <w:rPr>
          <w:rFonts w:ascii="Garamond" w:hAnsi="Garamond" w:cs="Times New Roman"/>
          <w:lang w:val="en-GB"/>
        </w:rPr>
        <w:t xml:space="preserve">er cases, members of the minority group have formal opportunities to speak, vote, run for office, and so on but are still being </w:t>
      </w:r>
      <w:r w:rsidR="00F32376" w:rsidRPr="00477C32">
        <w:rPr>
          <w:rFonts w:ascii="Garamond" w:hAnsi="Garamond" w:cs="Times New Roman"/>
          <w:lang w:val="en-GB"/>
        </w:rPr>
        <w:t>deprived of</w:t>
      </w:r>
      <w:r w:rsidR="00B931A0" w:rsidRPr="00477C32">
        <w:rPr>
          <w:rFonts w:ascii="Garamond" w:hAnsi="Garamond" w:cs="Times New Roman"/>
          <w:lang w:val="en-GB"/>
        </w:rPr>
        <w:t xml:space="preserve"> the ability to participate as equals: they are still being shut out from the political process and shut</w:t>
      </w:r>
      <w:r w:rsidR="0024061F" w:rsidRPr="00477C32">
        <w:rPr>
          <w:rFonts w:ascii="Garamond" w:hAnsi="Garamond" w:cs="Times New Roman"/>
          <w:lang w:val="en-GB"/>
        </w:rPr>
        <w:t xml:space="preserve"> out</w:t>
      </w:r>
      <w:r w:rsidR="00B931A0" w:rsidRPr="00477C32">
        <w:rPr>
          <w:rFonts w:ascii="Garamond" w:hAnsi="Garamond" w:cs="Times New Roman"/>
          <w:lang w:val="en-GB"/>
        </w:rPr>
        <w:t xml:space="preserve"> specifically becau</w:t>
      </w:r>
      <w:r w:rsidR="0024061F" w:rsidRPr="00477C32">
        <w:rPr>
          <w:rFonts w:ascii="Garamond" w:hAnsi="Garamond" w:cs="Times New Roman"/>
          <w:lang w:val="en-GB"/>
        </w:rPr>
        <w:t xml:space="preserve">se of a denial that they are equal members of society. That </w:t>
      </w:r>
      <w:r w:rsidR="00F32376" w:rsidRPr="00477C32">
        <w:rPr>
          <w:rFonts w:ascii="Garamond" w:hAnsi="Garamond" w:cs="Times New Roman"/>
          <w:lang w:val="en-GB"/>
        </w:rPr>
        <w:t>is</w:t>
      </w:r>
      <w:r w:rsidR="0024061F" w:rsidRPr="00477C32">
        <w:rPr>
          <w:rFonts w:ascii="Garamond" w:hAnsi="Garamond" w:cs="Times New Roman"/>
          <w:lang w:val="en-GB"/>
        </w:rPr>
        <w:t xml:space="preserve"> surely incompatible with saying that they are shown equal respect in the political process or that the laws are being made on their behalf. We have a failure of democratic CSG</w:t>
      </w:r>
      <w:r w:rsidR="00B931A0" w:rsidRPr="00477C32">
        <w:rPr>
          <w:rFonts w:ascii="Garamond" w:hAnsi="Garamond" w:cs="Times New Roman"/>
          <w:lang w:val="en-GB"/>
        </w:rPr>
        <w:t>.</w:t>
      </w:r>
    </w:p>
    <w:p w14:paraId="4093B49C" w14:textId="1A067637" w:rsidR="00E10B8B" w:rsidRPr="00477C32" w:rsidRDefault="009B376D" w:rsidP="00222B55">
      <w:pPr>
        <w:ind w:firstLine="720"/>
        <w:rPr>
          <w:rFonts w:ascii="Garamond" w:hAnsi="Garamond" w:cs="Times New Roman"/>
          <w:lang w:val="en-GB"/>
        </w:rPr>
      </w:pPr>
      <w:r w:rsidRPr="00477C32">
        <w:rPr>
          <w:rFonts w:ascii="Garamond" w:hAnsi="Garamond" w:cs="Times New Roman"/>
          <w:lang w:val="en-GB"/>
        </w:rPr>
        <w:t>Now, p</w:t>
      </w:r>
      <w:r w:rsidR="00E10B8B" w:rsidRPr="00477C32">
        <w:rPr>
          <w:rFonts w:ascii="Garamond" w:hAnsi="Garamond" w:cs="Times New Roman"/>
          <w:lang w:val="en-GB"/>
        </w:rPr>
        <w:t>hilosophers of immigration have recognized some ways in which immigration policies</w:t>
      </w:r>
      <w:r w:rsidR="00FF476A" w:rsidRPr="00477C32">
        <w:rPr>
          <w:rFonts w:ascii="Garamond" w:hAnsi="Garamond" w:cs="Times New Roman"/>
          <w:lang w:val="en-GB"/>
        </w:rPr>
        <w:t xml:space="preserve"> made out of negative racial attitudes </w:t>
      </w:r>
      <w:r w:rsidR="00E10B8B" w:rsidRPr="00477C32">
        <w:rPr>
          <w:rFonts w:ascii="Garamond" w:hAnsi="Garamond" w:cs="Times New Roman"/>
          <w:lang w:val="en-GB"/>
        </w:rPr>
        <w:t>can be in tension with ideals of equality. In particular, they</w:t>
      </w:r>
      <w:r w:rsidR="000E63D1" w:rsidRPr="00477C32">
        <w:rPr>
          <w:rFonts w:ascii="Garamond" w:hAnsi="Garamond" w:cs="Times New Roman"/>
          <w:lang w:val="en-GB"/>
        </w:rPr>
        <w:t xml:space="preserve"> have</w:t>
      </w:r>
      <w:r w:rsidR="00E10B8B" w:rsidRPr="00477C32">
        <w:rPr>
          <w:rFonts w:ascii="Garamond" w:hAnsi="Garamond" w:cs="Times New Roman"/>
          <w:lang w:val="en-GB"/>
        </w:rPr>
        <w:t xml:space="preserve"> focused on cases where an immigration policy was openly made with the aim of excluding people of a </w:t>
      </w:r>
      <w:r w:rsidR="00C13A3F" w:rsidRPr="00477C32">
        <w:rPr>
          <w:rFonts w:ascii="Garamond" w:hAnsi="Garamond" w:cs="Times New Roman"/>
          <w:lang w:val="en-GB"/>
        </w:rPr>
        <w:t>disfavoured</w:t>
      </w:r>
      <w:r w:rsidR="00E10B8B" w:rsidRPr="00477C32">
        <w:rPr>
          <w:rFonts w:ascii="Garamond" w:hAnsi="Garamond" w:cs="Times New Roman"/>
          <w:lang w:val="en-GB"/>
        </w:rPr>
        <w:t xml:space="preserve"> race: the ‘White Australia’ policy, for example, whose aim was primarily to e</w:t>
      </w:r>
      <w:r w:rsidR="000E63D1" w:rsidRPr="00477C32">
        <w:rPr>
          <w:rFonts w:ascii="Garamond" w:hAnsi="Garamond" w:cs="Times New Roman"/>
          <w:lang w:val="en-GB"/>
        </w:rPr>
        <w:t xml:space="preserve">xclude people of Asian descent. The most familiar explanation in the literature for why such policies are unacceptable </w:t>
      </w:r>
      <w:r w:rsidR="001E4DD6" w:rsidRPr="00477C32">
        <w:rPr>
          <w:rFonts w:ascii="Garamond" w:hAnsi="Garamond" w:cs="Times New Roman"/>
          <w:lang w:val="en-GB"/>
        </w:rPr>
        <w:t xml:space="preserve">focuses on </w:t>
      </w:r>
      <w:r w:rsidR="000E63D1" w:rsidRPr="00477C32">
        <w:rPr>
          <w:rFonts w:ascii="Garamond" w:hAnsi="Garamond" w:cs="Times New Roman"/>
          <w:lang w:val="en-GB"/>
        </w:rPr>
        <w:t xml:space="preserve">the message that that they send to people who are </w:t>
      </w:r>
      <w:r w:rsidR="000E63D1" w:rsidRPr="00477C32">
        <w:rPr>
          <w:rFonts w:ascii="Garamond" w:hAnsi="Garamond" w:cs="Times New Roman"/>
          <w:i/>
          <w:lang w:val="en-GB"/>
        </w:rPr>
        <w:t>already</w:t>
      </w:r>
      <w:r w:rsidR="000E63D1" w:rsidRPr="00477C32">
        <w:rPr>
          <w:rFonts w:ascii="Garamond" w:hAnsi="Garamond" w:cs="Times New Roman"/>
          <w:lang w:val="en-GB"/>
        </w:rPr>
        <w:t xml:space="preserve"> members of the </w:t>
      </w:r>
      <w:r w:rsidR="00206B01" w:rsidRPr="00477C32">
        <w:rPr>
          <w:rFonts w:ascii="Garamond" w:hAnsi="Garamond" w:cs="Times New Roman"/>
          <w:lang w:val="en-GB"/>
        </w:rPr>
        <w:t>relevant society</w:t>
      </w:r>
      <w:r w:rsidR="000E63D1" w:rsidRPr="00477C32">
        <w:rPr>
          <w:rFonts w:ascii="Garamond" w:hAnsi="Garamond" w:cs="Times New Roman"/>
          <w:lang w:val="en-GB"/>
        </w:rPr>
        <w:t>. ‘White Australia’, for instance, expressed to non-</w:t>
      </w:r>
      <w:r w:rsidR="00206B01" w:rsidRPr="00477C32">
        <w:rPr>
          <w:rFonts w:ascii="Garamond" w:hAnsi="Garamond" w:cs="Times New Roman"/>
          <w:lang w:val="en-GB"/>
        </w:rPr>
        <w:t xml:space="preserve">White </w:t>
      </w:r>
      <w:r w:rsidR="000E63D1" w:rsidRPr="00477C32">
        <w:rPr>
          <w:rFonts w:ascii="Garamond" w:hAnsi="Garamond" w:cs="Times New Roman"/>
          <w:lang w:val="en-GB"/>
        </w:rPr>
        <w:t xml:space="preserve">Australians that they were considered lesser members of Australian society. And that message, in addition to perhaps being </w:t>
      </w:r>
      <w:proofErr w:type="gramStart"/>
      <w:r w:rsidR="000E63D1" w:rsidRPr="00477C32">
        <w:rPr>
          <w:rFonts w:ascii="Garamond" w:hAnsi="Garamond" w:cs="Times New Roman"/>
          <w:lang w:val="en-GB"/>
        </w:rPr>
        <w:t>wrong in i</w:t>
      </w:r>
      <w:r w:rsidR="00BB30FC" w:rsidRPr="00477C32">
        <w:rPr>
          <w:rFonts w:ascii="Garamond" w:hAnsi="Garamond" w:cs="Times New Roman"/>
          <w:lang w:val="en-GB"/>
        </w:rPr>
        <w:t>tself, made</w:t>
      </w:r>
      <w:proofErr w:type="gramEnd"/>
      <w:r w:rsidR="00BB30FC" w:rsidRPr="00477C32">
        <w:rPr>
          <w:rFonts w:ascii="Garamond" w:hAnsi="Garamond" w:cs="Times New Roman"/>
          <w:lang w:val="en-GB"/>
        </w:rPr>
        <w:t xml:space="preserve"> it harder for non-Whites to interact as equals with their fellow Australians</w:t>
      </w:r>
      <w:r w:rsidR="00371969" w:rsidRPr="00477C32">
        <w:rPr>
          <w:rFonts w:ascii="Garamond" w:hAnsi="Garamond" w:cs="Times New Roman"/>
          <w:lang w:val="en-GB"/>
        </w:rPr>
        <w:t xml:space="preserve"> (Blake </w:t>
      </w:r>
      <w:r w:rsidR="001A4761" w:rsidRPr="00477C32">
        <w:rPr>
          <w:rFonts w:ascii="Garamond" w:hAnsi="Garamond" w:cs="Times New Roman"/>
          <w:lang w:val="en-GB"/>
        </w:rPr>
        <w:t>2002</w:t>
      </w:r>
      <w:r w:rsidR="00371969" w:rsidRPr="00477C32">
        <w:rPr>
          <w:rFonts w:ascii="Garamond" w:hAnsi="Garamond" w:cs="Times New Roman"/>
          <w:lang w:val="en-GB"/>
        </w:rPr>
        <w:t>)</w:t>
      </w:r>
      <w:r w:rsidR="00BB30FC" w:rsidRPr="00477C32">
        <w:rPr>
          <w:rFonts w:ascii="Garamond" w:hAnsi="Garamond" w:cs="Times New Roman"/>
          <w:lang w:val="en-GB"/>
        </w:rPr>
        <w:t>.</w:t>
      </w:r>
      <w:r w:rsidR="00FE1A4A" w:rsidRPr="00477C32">
        <w:rPr>
          <w:rStyle w:val="FootnoteReference"/>
          <w:rFonts w:ascii="Garamond" w:hAnsi="Garamond" w:cs="Times New Roman"/>
          <w:lang w:val="en-GB"/>
        </w:rPr>
        <w:footnoteReference w:id="13"/>
      </w:r>
    </w:p>
    <w:p w14:paraId="397EF46E" w14:textId="3FF0BB30" w:rsidR="00BB30FC" w:rsidRPr="00477C32" w:rsidRDefault="00BB30FC" w:rsidP="00222B55">
      <w:pPr>
        <w:ind w:firstLine="720"/>
        <w:rPr>
          <w:rFonts w:ascii="Garamond" w:hAnsi="Garamond" w:cs="Times New Roman"/>
          <w:lang w:val="en-GB"/>
        </w:rPr>
      </w:pPr>
      <w:r w:rsidRPr="00477C32">
        <w:rPr>
          <w:rFonts w:ascii="Garamond" w:hAnsi="Garamond" w:cs="Times New Roman"/>
          <w:lang w:val="en-GB"/>
        </w:rPr>
        <w:t xml:space="preserve">The point I wish to make here is that in addition to being a general harm to equality, such policies can also damage </w:t>
      </w:r>
      <w:r w:rsidR="0062297D" w:rsidRPr="00477C32">
        <w:rPr>
          <w:rFonts w:ascii="Garamond" w:hAnsi="Garamond" w:cs="Times New Roman"/>
          <w:lang w:val="en-GB"/>
        </w:rPr>
        <w:t>CSG</w:t>
      </w:r>
      <w:r w:rsidRPr="00477C32">
        <w:rPr>
          <w:rFonts w:ascii="Garamond" w:hAnsi="Garamond" w:cs="Times New Roman"/>
          <w:lang w:val="en-GB"/>
        </w:rPr>
        <w:t>.</w:t>
      </w:r>
      <w:r w:rsidR="008213AD" w:rsidRPr="00477C32">
        <w:rPr>
          <w:rStyle w:val="FootnoteReference"/>
          <w:rFonts w:ascii="Garamond" w:hAnsi="Garamond" w:cs="Times New Roman"/>
          <w:lang w:val="en-GB"/>
        </w:rPr>
        <w:footnoteReference w:id="14"/>
      </w:r>
      <w:r w:rsidRPr="00477C32">
        <w:rPr>
          <w:rFonts w:ascii="Garamond" w:hAnsi="Garamond" w:cs="Times New Roman"/>
          <w:lang w:val="en-GB"/>
        </w:rPr>
        <w:t xml:space="preserve"> For, as we have seen, </w:t>
      </w:r>
      <w:r w:rsidR="009B376D" w:rsidRPr="00477C32">
        <w:rPr>
          <w:rFonts w:ascii="Garamond" w:hAnsi="Garamond" w:cs="Times New Roman"/>
          <w:lang w:val="en-GB"/>
        </w:rPr>
        <w:t xml:space="preserve">democratic CSG requires that each member of a society be able to participate in the political process as an equal. And living under a government that is acting out of open hostility to </w:t>
      </w:r>
      <w:r w:rsidR="00867F44" w:rsidRPr="00477C32">
        <w:rPr>
          <w:rFonts w:ascii="Garamond" w:hAnsi="Garamond" w:cs="Times New Roman"/>
          <w:lang w:val="en-GB"/>
        </w:rPr>
        <w:t xml:space="preserve">a particular </w:t>
      </w:r>
      <w:r w:rsidR="009B376D" w:rsidRPr="00477C32">
        <w:rPr>
          <w:rFonts w:ascii="Garamond" w:hAnsi="Garamond" w:cs="Times New Roman"/>
          <w:lang w:val="en-GB"/>
        </w:rPr>
        <w:t xml:space="preserve">racial group prevents </w:t>
      </w:r>
      <w:r w:rsidR="00867F44" w:rsidRPr="00477C32">
        <w:rPr>
          <w:rFonts w:ascii="Garamond" w:hAnsi="Garamond" w:cs="Times New Roman"/>
          <w:lang w:val="en-GB"/>
        </w:rPr>
        <w:t xml:space="preserve">members of that group </w:t>
      </w:r>
      <w:r w:rsidR="009B376D" w:rsidRPr="00477C32">
        <w:rPr>
          <w:rFonts w:ascii="Garamond" w:hAnsi="Garamond" w:cs="Times New Roman"/>
          <w:lang w:val="en-GB"/>
        </w:rPr>
        <w:t xml:space="preserve">from doing this. One way that can happen is that it can create barriers to participation by making it psychologically harder. For example, when the government is openly hostile towards </w:t>
      </w:r>
      <w:r w:rsidR="004A0DF0" w:rsidRPr="00477C32">
        <w:rPr>
          <w:rFonts w:ascii="Garamond" w:hAnsi="Garamond" w:cs="Times New Roman"/>
          <w:lang w:val="en-GB"/>
        </w:rPr>
        <w:t>a person</w:t>
      </w:r>
      <w:r w:rsidR="006946E8" w:rsidRPr="00477C32">
        <w:rPr>
          <w:rFonts w:ascii="Garamond" w:hAnsi="Garamond" w:cs="Times New Roman"/>
          <w:lang w:val="en-GB"/>
        </w:rPr>
        <w:t xml:space="preserve"> or </w:t>
      </w:r>
      <w:proofErr w:type="gramStart"/>
      <w:r w:rsidR="006946E8" w:rsidRPr="00477C32">
        <w:rPr>
          <w:rFonts w:ascii="Garamond" w:hAnsi="Garamond" w:cs="Times New Roman"/>
          <w:lang w:val="en-GB"/>
        </w:rPr>
        <w:t>particular group</w:t>
      </w:r>
      <w:proofErr w:type="gramEnd"/>
      <w:r w:rsidR="00402743" w:rsidRPr="00477C32">
        <w:rPr>
          <w:rFonts w:ascii="Garamond" w:hAnsi="Garamond" w:cs="Times New Roman"/>
          <w:lang w:val="en-GB"/>
        </w:rPr>
        <w:t>,</w:t>
      </w:r>
      <w:r w:rsidR="009B376D" w:rsidRPr="00477C32">
        <w:rPr>
          <w:rFonts w:ascii="Garamond" w:hAnsi="Garamond" w:cs="Times New Roman"/>
          <w:lang w:val="en-GB"/>
        </w:rPr>
        <w:t xml:space="preserve"> that </w:t>
      </w:r>
      <w:r w:rsidR="006946E8" w:rsidRPr="00477C32">
        <w:rPr>
          <w:rFonts w:ascii="Garamond" w:hAnsi="Garamond" w:cs="Times New Roman"/>
          <w:lang w:val="en-GB"/>
        </w:rPr>
        <w:t>person or group could credi</w:t>
      </w:r>
      <w:r w:rsidR="00FA6816" w:rsidRPr="00477C32">
        <w:rPr>
          <w:rFonts w:ascii="Garamond" w:hAnsi="Garamond" w:cs="Times New Roman"/>
          <w:lang w:val="en-GB"/>
        </w:rPr>
        <w:t>b</w:t>
      </w:r>
      <w:r w:rsidR="006946E8" w:rsidRPr="00477C32">
        <w:rPr>
          <w:rFonts w:ascii="Garamond" w:hAnsi="Garamond" w:cs="Times New Roman"/>
          <w:lang w:val="en-GB"/>
        </w:rPr>
        <w:t xml:space="preserve">ly fear </w:t>
      </w:r>
      <w:r w:rsidR="009B376D" w:rsidRPr="00477C32">
        <w:rPr>
          <w:rFonts w:ascii="Garamond" w:hAnsi="Garamond" w:cs="Times New Roman"/>
          <w:lang w:val="en-GB"/>
        </w:rPr>
        <w:t xml:space="preserve">that raising </w:t>
      </w:r>
      <w:r w:rsidR="006946E8" w:rsidRPr="00477C32">
        <w:rPr>
          <w:rFonts w:ascii="Garamond" w:hAnsi="Garamond" w:cs="Times New Roman"/>
          <w:lang w:val="en-GB"/>
        </w:rPr>
        <w:t xml:space="preserve">their </w:t>
      </w:r>
      <w:r w:rsidR="009B376D" w:rsidRPr="00477C32">
        <w:rPr>
          <w:rFonts w:ascii="Garamond" w:hAnsi="Garamond" w:cs="Times New Roman"/>
          <w:lang w:val="en-GB"/>
        </w:rPr>
        <w:t xml:space="preserve">political voice will be met with punishments, whether through formal legal </w:t>
      </w:r>
      <w:r w:rsidR="0024061F" w:rsidRPr="00477C32">
        <w:rPr>
          <w:rFonts w:ascii="Garamond" w:hAnsi="Garamond" w:cs="Times New Roman"/>
          <w:lang w:val="en-GB"/>
        </w:rPr>
        <w:t>methods or from informal groups. It can also reinforce the kind of dynamic I described earlier, w</w:t>
      </w:r>
      <w:r w:rsidR="00402743" w:rsidRPr="00477C32">
        <w:rPr>
          <w:rFonts w:ascii="Garamond" w:hAnsi="Garamond" w:cs="Times New Roman"/>
          <w:lang w:val="en-GB"/>
        </w:rPr>
        <w:t xml:space="preserve">here members of </w:t>
      </w:r>
      <w:r w:rsidR="00402743" w:rsidRPr="00477C32">
        <w:rPr>
          <w:rFonts w:ascii="Garamond" w:hAnsi="Garamond" w:cs="Times New Roman"/>
          <w:lang w:val="en-GB"/>
        </w:rPr>
        <w:lastRenderedPageBreak/>
        <w:t xml:space="preserve">a minority group </w:t>
      </w:r>
      <w:r w:rsidR="0024061F" w:rsidRPr="00477C32">
        <w:rPr>
          <w:rFonts w:ascii="Garamond" w:hAnsi="Garamond" w:cs="Times New Roman"/>
          <w:lang w:val="en-GB"/>
        </w:rPr>
        <w:t>have their perspective</w:t>
      </w:r>
      <w:r w:rsidR="00402743" w:rsidRPr="00477C32">
        <w:rPr>
          <w:rFonts w:ascii="Garamond" w:hAnsi="Garamond" w:cs="Times New Roman"/>
          <w:lang w:val="en-GB"/>
        </w:rPr>
        <w:t>s</w:t>
      </w:r>
      <w:r w:rsidR="0024061F" w:rsidRPr="00477C32">
        <w:rPr>
          <w:rFonts w:ascii="Garamond" w:hAnsi="Garamond" w:cs="Times New Roman"/>
          <w:lang w:val="en-GB"/>
        </w:rPr>
        <w:t xml:space="preserve"> and interests downgraded in the political process as part of an understanding </w:t>
      </w:r>
      <w:r w:rsidR="00DC61DD" w:rsidRPr="00477C32">
        <w:rPr>
          <w:rFonts w:ascii="Garamond" w:hAnsi="Garamond" w:cs="Times New Roman"/>
          <w:lang w:val="en-GB"/>
        </w:rPr>
        <w:t xml:space="preserve">that they are </w:t>
      </w:r>
      <w:r w:rsidR="007E6A09" w:rsidRPr="00477C32">
        <w:rPr>
          <w:rFonts w:ascii="Garamond" w:hAnsi="Garamond" w:cs="Times New Roman"/>
          <w:lang w:val="en-GB"/>
        </w:rPr>
        <w:t>lesser members of</w:t>
      </w:r>
      <w:r w:rsidR="00DC61DD" w:rsidRPr="00477C32">
        <w:rPr>
          <w:rFonts w:ascii="Garamond" w:hAnsi="Garamond" w:cs="Times New Roman"/>
          <w:lang w:val="en-GB"/>
        </w:rPr>
        <w:t xml:space="preserve"> society.</w:t>
      </w:r>
    </w:p>
    <w:p w14:paraId="681DC212" w14:textId="2DD615E7" w:rsidR="001A7045" w:rsidRPr="00477C32" w:rsidRDefault="00CF228A" w:rsidP="00222B55">
      <w:pPr>
        <w:ind w:firstLine="720"/>
        <w:rPr>
          <w:rFonts w:ascii="Garamond" w:hAnsi="Garamond" w:cs="Times New Roman"/>
          <w:lang w:val="en-GB"/>
        </w:rPr>
      </w:pPr>
      <w:r w:rsidRPr="00477C32">
        <w:rPr>
          <w:rFonts w:ascii="Garamond" w:hAnsi="Garamond" w:cs="Times New Roman"/>
          <w:lang w:val="en-GB"/>
        </w:rPr>
        <w:t xml:space="preserve">Let me </w:t>
      </w:r>
      <w:r w:rsidR="006E2936" w:rsidRPr="00477C32">
        <w:rPr>
          <w:rFonts w:ascii="Garamond" w:hAnsi="Garamond" w:cs="Times New Roman"/>
          <w:lang w:val="en-GB"/>
        </w:rPr>
        <w:t>now</w:t>
      </w:r>
      <w:r w:rsidRPr="00477C32">
        <w:rPr>
          <w:rFonts w:ascii="Garamond" w:hAnsi="Garamond" w:cs="Times New Roman"/>
          <w:lang w:val="en-GB"/>
        </w:rPr>
        <w:t xml:space="preserve"> attempt to apply some of the</w:t>
      </w:r>
      <w:r w:rsidR="00A02DC9" w:rsidRPr="00477C32">
        <w:rPr>
          <w:rFonts w:ascii="Garamond" w:hAnsi="Garamond" w:cs="Times New Roman"/>
          <w:lang w:val="en-GB"/>
        </w:rPr>
        <w:t>se</w:t>
      </w:r>
      <w:r w:rsidRPr="00477C32">
        <w:rPr>
          <w:rFonts w:ascii="Garamond" w:hAnsi="Garamond" w:cs="Times New Roman"/>
          <w:lang w:val="en-GB"/>
        </w:rPr>
        <w:t xml:space="preserve"> lessons </w:t>
      </w:r>
      <w:r w:rsidR="00A02DC9" w:rsidRPr="00477C32">
        <w:rPr>
          <w:rFonts w:ascii="Garamond" w:hAnsi="Garamond" w:cs="Times New Roman"/>
          <w:lang w:val="en-GB"/>
        </w:rPr>
        <w:t xml:space="preserve">to the policies that are my central concern in this paper. There is no question that some of the </w:t>
      </w:r>
      <w:r w:rsidR="009649D1" w:rsidRPr="00477C32">
        <w:rPr>
          <w:rFonts w:ascii="Garamond" w:hAnsi="Garamond" w:cs="Times New Roman"/>
          <w:lang w:val="en-GB"/>
        </w:rPr>
        <w:t>motivations behind Brexit and movements for border controls in the U</w:t>
      </w:r>
      <w:r w:rsidR="00254FAD" w:rsidRPr="00477C32">
        <w:rPr>
          <w:rFonts w:ascii="Garamond" w:hAnsi="Garamond" w:cs="Times New Roman"/>
          <w:lang w:val="en-GB"/>
        </w:rPr>
        <w:t xml:space="preserve">nited </w:t>
      </w:r>
      <w:r w:rsidR="009649D1" w:rsidRPr="00477C32">
        <w:rPr>
          <w:rFonts w:ascii="Garamond" w:hAnsi="Garamond" w:cs="Times New Roman"/>
          <w:lang w:val="en-GB"/>
        </w:rPr>
        <w:t>S</w:t>
      </w:r>
      <w:r w:rsidR="00254FAD" w:rsidRPr="00477C32">
        <w:rPr>
          <w:rFonts w:ascii="Garamond" w:hAnsi="Garamond" w:cs="Times New Roman"/>
          <w:lang w:val="en-GB"/>
        </w:rPr>
        <w:t>tates</w:t>
      </w:r>
      <w:r w:rsidR="009649D1" w:rsidRPr="00477C32">
        <w:rPr>
          <w:rFonts w:ascii="Garamond" w:hAnsi="Garamond" w:cs="Times New Roman"/>
          <w:lang w:val="en-GB"/>
        </w:rPr>
        <w:t xml:space="preserve"> </w:t>
      </w:r>
      <w:r w:rsidR="009D3BAF" w:rsidRPr="00477C32">
        <w:rPr>
          <w:rFonts w:ascii="Garamond" w:hAnsi="Garamond" w:cs="Times New Roman"/>
          <w:lang w:val="en-GB"/>
        </w:rPr>
        <w:t>involve open racial hatred and negative stereotyping</w:t>
      </w:r>
      <w:r w:rsidR="009649D1" w:rsidRPr="00477C32">
        <w:rPr>
          <w:rFonts w:ascii="Garamond" w:hAnsi="Garamond" w:cs="Times New Roman"/>
          <w:lang w:val="en-GB"/>
        </w:rPr>
        <w:t>.</w:t>
      </w:r>
      <w:r w:rsidR="008C0913" w:rsidRPr="00477C32">
        <w:rPr>
          <w:rFonts w:ascii="Garamond" w:hAnsi="Garamond" w:cs="Times New Roman"/>
          <w:lang w:val="en-GB"/>
        </w:rPr>
        <w:t xml:space="preserve"> For example, Nigel Farage’s</w:t>
      </w:r>
      <w:r w:rsidR="009649D1" w:rsidRPr="00477C32">
        <w:rPr>
          <w:rFonts w:ascii="Garamond" w:hAnsi="Garamond" w:cs="Times New Roman"/>
          <w:lang w:val="en-GB"/>
        </w:rPr>
        <w:t xml:space="preserve"> </w:t>
      </w:r>
      <w:r w:rsidR="006C7165" w:rsidRPr="00477C32">
        <w:rPr>
          <w:rFonts w:ascii="Garamond" w:hAnsi="Garamond" w:cs="Times New Roman"/>
          <w:lang w:val="en-GB"/>
        </w:rPr>
        <w:t>famous ‘Breaking Point’ poster was clearly intended to stoke fears of a brown-skinned other</w:t>
      </w:r>
      <w:r w:rsidR="009649D1" w:rsidRPr="00477C32">
        <w:rPr>
          <w:rFonts w:ascii="Garamond" w:hAnsi="Garamond" w:cs="Times New Roman"/>
          <w:lang w:val="en-GB"/>
        </w:rPr>
        <w:t>, while President Trump continually drew on</w:t>
      </w:r>
      <w:r w:rsidR="00186AD4" w:rsidRPr="00477C32">
        <w:rPr>
          <w:rFonts w:ascii="Garamond" w:hAnsi="Garamond" w:cs="Times New Roman"/>
          <w:lang w:val="en-GB"/>
        </w:rPr>
        <w:t xml:space="preserve"> racist stereotypes about Latinx</w:t>
      </w:r>
      <w:r w:rsidR="00945A06" w:rsidRPr="00477C32">
        <w:rPr>
          <w:rFonts w:ascii="Garamond" w:hAnsi="Garamond" w:cs="Times New Roman"/>
          <w:lang w:val="en-GB"/>
        </w:rPr>
        <w:t xml:space="preserve"> persons</w:t>
      </w:r>
      <w:r w:rsidR="009649D1" w:rsidRPr="00477C32">
        <w:rPr>
          <w:rFonts w:ascii="Garamond" w:hAnsi="Garamond" w:cs="Times New Roman"/>
          <w:lang w:val="en-GB"/>
        </w:rPr>
        <w:t xml:space="preserve"> in making his case for securing the Southern border, people he described as </w:t>
      </w:r>
      <w:r w:rsidR="00C3574F" w:rsidRPr="00477C32">
        <w:rPr>
          <w:rFonts w:ascii="Garamond" w:hAnsi="Garamond" w:cs="Times New Roman"/>
          <w:lang w:val="en-GB"/>
        </w:rPr>
        <w:t>rapists and criminals</w:t>
      </w:r>
      <w:r w:rsidR="00804E23" w:rsidRPr="00477C32">
        <w:rPr>
          <w:rFonts w:ascii="Garamond" w:hAnsi="Garamond" w:cs="Times New Roman"/>
          <w:lang w:val="en-GB"/>
        </w:rPr>
        <w:t>.</w:t>
      </w:r>
      <w:r w:rsidR="001A7045" w:rsidRPr="00477C32">
        <w:rPr>
          <w:rFonts w:ascii="Garamond" w:hAnsi="Garamond" w:cs="Times New Roman"/>
          <w:lang w:val="en-GB"/>
        </w:rPr>
        <w:t xml:space="preserve"> The political success of these figures has likely helped to normalize racism in ways that make it harder for members of the targeted groups to participate as equals in the political process. British Muslims, for example, have faced increased hate crimes since Brexit, making it harder to </w:t>
      </w:r>
      <w:r w:rsidR="006E2936" w:rsidRPr="00477C32">
        <w:rPr>
          <w:rFonts w:ascii="Garamond" w:hAnsi="Garamond" w:cs="Times New Roman"/>
          <w:lang w:val="en-GB"/>
        </w:rPr>
        <w:t xml:space="preserve">for them to </w:t>
      </w:r>
      <w:r w:rsidR="001A7045" w:rsidRPr="00477C32">
        <w:rPr>
          <w:rFonts w:ascii="Garamond" w:hAnsi="Garamond" w:cs="Times New Roman"/>
          <w:lang w:val="en-GB"/>
        </w:rPr>
        <w:t xml:space="preserve">participate in the public sphere, and in some </w:t>
      </w:r>
      <w:r w:rsidR="00313EFB" w:rsidRPr="00477C32">
        <w:rPr>
          <w:rFonts w:ascii="Garamond" w:hAnsi="Garamond" w:cs="Times New Roman"/>
          <w:lang w:val="en-GB"/>
        </w:rPr>
        <w:t>cases</w:t>
      </w:r>
      <w:r w:rsidR="001A7045" w:rsidRPr="00477C32">
        <w:rPr>
          <w:rFonts w:ascii="Garamond" w:hAnsi="Garamond" w:cs="Times New Roman"/>
          <w:lang w:val="en-GB"/>
        </w:rPr>
        <w:t xml:space="preserve"> have </w:t>
      </w:r>
      <w:r w:rsidR="00CF5CF8" w:rsidRPr="00477C32">
        <w:rPr>
          <w:rFonts w:ascii="Garamond" w:hAnsi="Garamond" w:cs="Times New Roman"/>
          <w:lang w:val="en-GB"/>
        </w:rPr>
        <w:t xml:space="preserve">even </w:t>
      </w:r>
      <w:r w:rsidR="001A7045" w:rsidRPr="00477C32">
        <w:rPr>
          <w:rFonts w:ascii="Garamond" w:hAnsi="Garamond" w:cs="Times New Roman"/>
          <w:lang w:val="en-GB"/>
        </w:rPr>
        <w:t>felt compelled to leave the country due to credible fears of discrimination</w:t>
      </w:r>
      <w:r w:rsidR="001D4E7D" w:rsidRPr="00477C32">
        <w:rPr>
          <w:rFonts w:ascii="Garamond" w:hAnsi="Garamond" w:cs="Times New Roman"/>
          <w:lang w:val="en-GB"/>
        </w:rPr>
        <w:t xml:space="preserve"> and violence</w:t>
      </w:r>
      <w:r w:rsidR="001A7045" w:rsidRPr="00477C32">
        <w:rPr>
          <w:rFonts w:ascii="Garamond" w:hAnsi="Garamond" w:cs="Times New Roman"/>
          <w:lang w:val="en-GB"/>
        </w:rPr>
        <w:t>.</w:t>
      </w:r>
      <w:r w:rsidR="00890313" w:rsidRPr="00477C32">
        <w:rPr>
          <w:rStyle w:val="FootnoteReference"/>
          <w:rFonts w:ascii="Garamond" w:hAnsi="Garamond" w:cs="Times New Roman"/>
          <w:lang w:val="en-GB"/>
        </w:rPr>
        <w:footnoteReference w:id="15"/>
      </w:r>
      <w:r w:rsidR="001A7045" w:rsidRPr="00477C32">
        <w:rPr>
          <w:rFonts w:ascii="Garamond" w:hAnsi="Garamond" w:cs="Times New Roman"/>
          <w:lang w:val="en-GB"/>
        </w:rPr>
        <w:t xml:space="preserve"> These forms of exclusion are, again, not a cost to be weighed against CSG but </w:t>
      </w:r>
      <w:r w:rsidR="00A3345A" w:rsidRPr="00477C32">
        <w:rPr>
          <w:rFonts w:ascii="Garamond" w:hAnsi="Garamond" w:cs="Times New Roman"/>
          <w:lang w:val="en-GB"/>
        </w:rPr>
        <w:t>undermine</w:t>
      </w:r>
      <w:r w:rsidR="001A7045" w:rsidRPr="00477C32">
        <w:rPr>
          <w:rFonts w:ascii="Garamond" w:hAnsi="Garamond" w:cs="Times New Roman"/>
          <w:lang w:val="en-GB"/>
        </w:rPr>
        <w:t xml:space="preserve"> CSG itself.</w:t>
      </w:r>
    </w:p>
    <w:p w14:paraId="736C1E16" w14:textId="114A0778" w:rsidR="00125BFC" w:rsidRPr="00477C32" w:rsidRDefault="00804E23" w:rsidP="00222B55">
      <w:pPr>
        <w:ind w:firstLine="720"/>
        <w:rPr>
          <w:rFonts w:ascii="Garamond" w:hAnsi="Garamond" w:cs="Times New Roman"/>
          <w:lang w:val="en-GB"/>
        </w:rPr>
      </w:pPr>
      <w:r w:rsidRPr="00477C32">
        <w:rPr>
          <w:rFonts w:ascii="Garamond" w:hAnsi="Garamond" w:cs="Times New Roman"/>
          <w:lang w:val="en-GB"/>
        </w:rPr>
        <w:t>But the situation is more complicated tha</w:t>
      </w:r>
      <w:r w:rsidR="00992E48" w:rsidRPr="00477C32">
        <w:rPr>
          <w:rFonts w:ascii="Garamond" w:hAnsi="Garamond" w:cs="Times New Roman"/>
          <w:lang w:val="en-GB"/>
        </w:rPr>
        <w:t>n</w:t>
      </w:r>
      <w:r w:rsidRPr="00477C32">
        <w:rPr>
          <w:rFonts w:ascii="Garamond" w:hAnsi="Garamond" w:cs="Times New Roman"/>
          <w:lang w:val="en-GB"/>
        </w:rPr>
        <w:t xml:space="preserve"> in the case of White Austral</w:t>
      </w:r>
      <w:r w:rsidR="008C0913" w:rsidRPr="00477C32">
        <w:rPr>
          <w:rFonts w:ascii="Garamond" w:hAnsi="Garamond" w:cs="Times New Roman"/>
          <w:lang w:val="en-GB"/>
        </w:rPr>
        <w:t>ia, where racial hostility was the</w:t>
      </w:r>
      <w:r w:rsidRPr="00477C32">
        <w:rPr>
          <w:rFonts w:ascii="Garamond" w:hAnsi="Garamond" w:cs="Times New Roman"/>
          <w:lang w:val="en-GB"/>
        </w:rPr>
        <w:t xml:space="preserve"> </w:t>
      </w:r>
      <w:proofErr w:type="gramStart"/>
      <w:r w:rsidRPr="00477C32">
        <w:rPr>
          <w:rFonts w:ascii="Garamond" w:hAnsi="Garamond" w:cs="Times New Roman"/>
          <w:lang w:val="en-GB"/>
        </w:rPr>
        <w:t>more or less universal</w:t>
      </w:r>
      <w:proofErr w:type="gramEnd"/>
      <w:r w:rsidRPr="00477C32">
        <w:rPr>
          <w:rFonts w:ascii="Garamond" w:hAnsi="Garamond" w:cs="Times New Roman"/>
          <w:lang w:val="en-GB"/>
        </w:rPr>
        <w:t xml:space="preserve"> motivation for the policy. In the case of Brexit especially, </w:t>
      </w:r>
      <w:r w:rsidR="00F47CF3" w:rsidRPr="00477C32">
        <w:rPr>
          <w:rFonts w:ascii="Garamond" w:hAnsi="Garamond" w:cs="Times New Roman"/>
          <w:lang w:val="en-GB"/>
        </w:rPr>
        <w:t>there was a sizeable co</w:t>
      </w:r>
      <w:r w:rsidR="00DD464E" w:rsidRPr="00477C32">
        <w:rPr>
          <w:rFonts w:ascii="Garamond" w:hAnsi="Garamond" w:cs="Times New Roman"/>
          <w:lang w:val="en-GB"/>
        </w:rPr>
        <w:t xml:space="preserve">ntingent of left-wing ‘Lexit’ supporters </w:t>
      </w:r>
      <w:r w:rsidR="00F47CF3" w:rsidRPr="00477C32">
        <w:rPr>
          <w:rFonts w:ascii="Garamond" w:hAnsi="Garamond" w:cs="Times New Roman"/>
          <w:lang w:val="en-GB"/>
        </w:rPr>
        <w:t>who were at least willing to acquiesce in the end of freedom of movement</w:t>
      </w:r>
      <w:r w:rsidR="00F61BB5" w:rsidRPr="00477C32">
        <w:rPr>
          <w:rFonts w:ascii="Garamond" w:hAnsi="Garamond" w:cs="Times New Roman"/>
          <w:lang w:val="en-GB"/>
        </w:rPr>
        <w:t>,</w:t>
      </w:r>
      <w:r w:rsidR="00F47CF3" w:rsidRPr="00477C32">
        <w:rPr>
          <w:rFonts w:ascii="Garamond" w:hAnsi="Garamond" w:cs="Times New Roman"/>
          <w:lang w:val="en-GB"/>
        </w:rPr>
        <w:t xml:space="preserve"> </w:t>
      </w:r>
      <w:r w:rsidR="00EF76D5" w:rsidRPr="00477C32">
        <w:rPr>
          <w:rFonts w:ascii="Garamond" w:hAnsi="Garamond" w:cs="Times New Roman"/>
          <w:lang w:val="en-GB"/>
        </w:rPr>
        <w:t>but</w:t>
      </w:r>
      <w:r w:rsidR="00F47CF3" w:rsidRPr="00477C32">
        <w:rPr>
          <w:rFonts w:ascii="Garamond" w:hAnsi="Garamond" w:cs="Times New Roman"/>
          <w:lang w:val="en-GB"/>
        </w:rPr>
        <w:t xml:space="preserve"> who would strongly reject any commitment </w:t>
      </w:r>
      <w:r w:rsidR="00ED527B" w:rsidRPr="00477C32">
        <w:rPr>
          <w:rFonts w:ascii="Garamond" w:hAnsi="Garamond" w:cs="Times New Roman"/>
          <w:lang w:val="en-GB"/>
        </w:rPr>
        <w:t xml:space="preserve">to </w:t>
      </w:r>
      <w:r w:rsidR="00DD464E" w:rsidRPr="00477C32">
        <w:rPr>
          <w:rFonts w:ascii="Garamond" w:hAnsi="Garamond" w:cs="Times New Roman"/>
          <w:lang w:val="en-GB"/>
        </w:rPr>
        <w:t>negative racial stereotypes about immigrants</w:t>
      </w:r>
      <w:r w:rsidR="00ED527B" w:rsidRPr="00477C32">
        <w:rPr>
          <w:rFonts w:ascii="Garamond" w:hAnsi="Garamond" w:cs="Times New Roman"/>
          <w:lang w:val="en-GB"/>
        </w:rPr>
        <w:t xml:space="preserve"> if asked</w:t>
      </w:r>
      <w:r w:rsidR="00DD464E" w:rsidRPr="00477C32">
        <w:rPr>
          <w:rFonts w:ascii="Garamond" w:hAnsi="Garamond" w:cs="Times New Roman"/>
          <w:lang w:val="en-GB"/>
        </w:rPr>
        <w:t xml:space="preserve">. And many subsequent commentators have argued that Brexit should be seen </w:t>
      </w:r>
      <w:r w:rsidR="008C0913" w:rsidRPr="00477C32">
        <w:rPr>
          <w:rFonts w:ascii="Garamond" w:hAnsi="Garamond" w:cs="Times New Roman"/>
          <w:lang w:val="en-GB"/>
        </w:rPr>
        <w:t xml:space="preserve">in significant part </w:t>
      </w:r>
      <w:r w:rsidR="00DD464E" w:rsidRPr="00477C32">
        <w:rPr>
          <w:rFonts w:ascii="Garamond" w:hAnsi="Garamond" w:cs="Times New Roman"/>
          <w:lang w:val="en-GB"/>
        </w:rPr>
        <w:t>as a revolt of the working majority over political elites that have ignored their voice and interests: a triumph</w:t>
      </w:r>
      <w:r w:rsidR="007C41E3" w:rsidRPr="00477C32">
        <w:rPr>
          <w:rFonts w:ascii="Garamond" w:hAnsi="Garamond" w:cs="Times New Roman"/>
          <w:lang w:val="en-GB"/>
        </w:rPr>
        <w:t xml:space="preserve"> of</w:t>
      </w:r>
      <w:r w:rsidR="00DD464E" w:rsidRPr="00477C32">
        <w:rPr>
          <w:rFonts w:ascii="Garamond" w:hAnsi="Garamond" w:cs="Times New Roman"/>
          <w:lang w:val="en-GB"/>
        </w:rPr>
        <w:t xml:space="preserve"> </w:t>
      </w:r>
      <w:r w:rsidR="00F61BB5" w:rsidRPr="00477C32">
        <w:rPr>
          <w:rFonts w:ascii="Garamond" w:hAnsi="Garamond" w:cs="Times New Roman"/>
          <w:lang w:val="en-GB"/>
        </w:rPr>
        <w:t>democratic inclusion rather than exclusion</w:t>
      </w:r>
      <w:r w:rsidR="00DD464E" w:rsidRPr="00477C32">
        <w:rPr>
          <w:rFonts w:ascii="Garamond" w:hAnsi="Garamond" w:cs="Times New Roman"/>
          <w:lang w:val="en-GB"/>
        </w:rPr>
        <w:t>.</w:t>
      </w:r>
      <w:r w:rsidR="009F64E5" w:rsidRPr="00477C32">
        <w:rPr>
          <w:rStyle w:val="FootnoteReference"/>
          <w:rFonts w:ascii="Garamond" w:hAnsi="Garamond" w:cs="Times New Roman"/>
          <w:lang w:val="en-GB"/>
        </w:rPr>
        <w:footnoteReference w:id="16"/>
      </w:r>
      <w:r w:rsidR="00DD464E" w:rsidRPr="00477C32">
        <w:rPr>
          <w:rFonts w:ascii="Garamond" w:hAnsi="Garamond" w:cs="Times New Roman"/>
          <w:lang w:val="en-GB"/>
        </w:rPr>
        <w:t xml:space="preserve"> Political theorist Alex Gourevitch, for example, celebrated Brexit as </w:t>
      </w:r>
      <w:r w:rsidR="003545FF" w:rsidRPr="00477C32">
        <w:rPr>
          <w:rFonts w:ascii="Garamond" w:hAnsi="Garamond" w:cs="Times New Roman"/>
          <w:lang w:val="en-GB"/>
        </w:rPr>
        <w:t>a ‘product of longstanding popular frustration</w:t>
      </w:r>
      <w:r w:rsidR="00CE09CF" w:rsidRPr="00477C32">
        <w:rPr>
          <w:rFonts w:ascii="Garamond" w:hAnsi="Garamond" w:cs="Times New Roman"/>
          <w:lang w:val="en-GB"/>
        </w:rPr>
        <w:t xml:space="preserve"> </w:t>
      </w:r>
      <w:r w:rsidR="003545FF" w:rsidRPr="00477C32">
        <w:rPr>
          <w:rFonts w:ascii="Garamond" w:hAnsi="Garamond" w:cs="Times New Roman"/>
          <w:lang w:val="en-GB"/>
        </w:rPr>
        <w:t>at the sense that politics is out of the electorate’s control’</w:t>
      </w:r>
      <w:r w:rsidR="00DD464E" w:rsidRPr="00477C32">
        <w:rPr>
          <w:rFonts w:ascii="Garamond" w:hAnsi="Garamond" w:cs="Times New Roman"/>
          <w:lang w:val="en-GB"/>
        </w:rPr>
        <w:t>.</w:t>
      </w:r>
      <w:r w:rsidR="00BC5946" w:rsidRPr="00477C32">
        <w:rPr>
          <w:rStyle w:val="FootnoteReference"/>
          <w:rFonts w:ascii="Garamond" w:hAnsi="Garamond" w:cs="Times New Roman"/>
          <w:lang w:val="en-GB"/>
        </w:rPr>
        <w:footnoteReference w:id="17"/>
      </w:r>
      <w:r w:rsidR="00A32215" w:rsidRPr="00477C32">
        <w:rPr>
          <w:rFonts w:ascii="Garamond" w:hAnsi="Garamond" w:cs="Times New Roman"/>
          <w:lang w:val="en-GB"/>
        </w:rPr>
        <w:t xml:space="preserve"> Christopher Bickerton and Richard Tuck </w:t>
      </w:r>
      <w:r w:rsidR="005453C8" w:rsidRPr="00477C32">
        <w:rPr>
          <w:rFonts w:ascii="Garamond" w:hAnsi="Garamond" w:cs="Times New Roman"/>
          <w:lang w:val="en-GB"/>
        </w:rPr>
        <w:t>said that the core case for Brexit was the need to return power to the populace, especially the ‘poor and less educated’</w:t>
      </w:r>
      <w:r w:rsidR="00A32215" w:rsidRPr="00477C32">
        <w:rPr>
          <w:rFonts w:ascii="Garamond" w:hAnsi="Garamond" w:cs="Times New Roman"/>
          <w:lang w:val="en-GB"/>
        </w:rPr>
        <w:t>.</w:t>
      </w:r>
      <w:r w:rsidR="00CE1409" w:rsidRPr="00477C32">
        <w:rPr>
          <w:rStyle w:val="FootnoteReference"/>
          <w:rFonts w:ascii="Garamond" w:hAnsi="Garamond" w:cs="Times New Roman"/>
          <w:lang w:val="en-GB"/>
        </w:rPr>
        <w:footnoteReference w:id="18"/>
      </w:r>
      <w:r w:rsidR="00DD464E" w:rsidRPr="00477C32">
        <w:rPr>
          <w:rFonts w:ascii="Garamond" w:hAnsi="Garamond" w:cs="Times New Roman"/>
          <w:lang w:val="en-GB"/>
        </w:rPr>
        <w:t xml:space="preserve"> Similar analyses have at times been offered of the United States, with desires for controlled immigration </w:t>
      </w:r>
      <w:r w:rsidR="00F61BB5" w:rsidRPr="00477C32">
        <w:rPr>
          <w:rFonts w:ascii="Garamond" w:hAnsi="Garamond" w:cs="Times New Roman"/>
          <w:lang w:val="en-GB"/>
        </w:rPr>
        <w:t>treated as a response to</w:t>
      </w:r>
      <w:r w:rsidR="00031E60" w:rsidRPr="00477C32">
        <w:rPr>
          <w:rFonts w:ascii="Garamond" w:hAnsi="Garamond" w:cs="Times New Roman"/>
          <w:lang w:val="en-GB"/>
        </w:rPr>
        <w:t xml:space="preserve"> popular disenfranchisement. </w:t>
      </w:r>
      <w:r w:rsidR="00702276" w:rsidRPr="00477C32">
        <w:rPr>
          <w:rFonts w:ascii="Garamond" w:hAnsi="Garamond" w:cs="Times New Roman"/>
          <w:lang w:val="en-GB"/>
        </w:rPr>
        <w:t xml:space="preserve">Writing in the </w:t>
      </w:r>
      <w:r w:rsidR="00702276" w:rsidRPr="00477C32">
        <w:rPr>
          <w:rFonts w:ascii="Garamond" w:hAnsi="Garamond" w:cs="Times New Roman"/>
          <w:i/>
          <w:iCs/>
          <w:lang w:val="en-GB"/>
        </w:rPr>
        <w:t>New York Times</w:t>
      </w:r>
      <w:r w:rsidR="00702276" w:rsidRPr="00477C32">
        <w:rPr>
          <w:rFonts w:ascii="Garamond" w:hAnsi="Garamond" w:cs="Times New Roman"/>
          <w:lang w:val="en-GB"/>
        </w:rPr>
        <w:t xml:space="preserve">, Jerry Kramer described himself as a ‘liberal restrictionist’. He claimed to </w:t>
      </w:r>
      <w:r w:rsidR="00A32215" w:rsidRPr="00477C32">
        <w:rPr>
          <w:rFonts w:ascii="Garamond" w:hAnsi="Garamond" w:cs="Times New Roman"/>
          <w:lang w:val="en-GB"/>
        </w:rPr>
        <w:t xml:space="preserve">be </w:t>
      </w:r>
      <w:r w:rsidR="00702276" w:rsidRPr="00477C32">
        <w:rPr>
          <w:rFonts w:ascii="Garamond" w:hAnsi="Garamond" w:cs="Times New Roman"/>
          <w:lang w:val="en-GB"/>
        </w:rPr>
        <w:t>standing for the ‘</w:t>
      </w:r>
      <w:r w:rsidR="00A32215" w:rsidRPr="00477C32">
        <w:rPr>
          <w:rFonts w:ascii="Garamond" w:hAnsi="Garamond" w:cs="Times New Roman"/>
          <w:lang w:val="en-GB"/>
        </w:rPr>
        <w:t xml:space="preserve">working people’ of America </w:t>
      </w:r>
      <w:r w:rsidR="00702276" w:rsidRPr="00477C32">
        <w:rPr>
          <w:rFonts w:ascii="Garamond" w:hAnsi="Garamond" w:cs="Times New Roman"/>
          <w:lang w:val="en-GB"/>
        </w:rPr>
        <w:t>who are appalled by President Trump’s ‘manic nastiness’ but are attracted to ‘his willingness to wage what they see as a patriotic battle to defend common people’</w:t>
      </w:r>
      <w:r w:rsidR="00D74AD3" w:rsidRPr="00477C32">
        <w:rPr>
          <w:rFonts w:ascii="Garamond" w:hAnsi="Garamond" w:cs="Times New Roman"/>
          <w:lang w:val="en-GB"/>
        </w:rPr>
        <w:t>.</w:t>
      </w:r>
      <w:r w:rsidR="00A32215" w:rsidRPr="00477C32">
        <w:rPr>
          <w:rStyle w:val="FootnoteReference"/>
          <w:rFonts w:ascii="Garamond" w:hAnsi="Garamond" w:cs="Times New Roman"/>
          <w:lang w:val="en-GB"/>
        </w:rPr>
        <w:footnoteReference w:id="19"/>
      </w:r>
    </w:p>
    <w:p w14:paraId="0DF33070" w14:textId="600D30B4" w:rsidR="00C83E62" w:rsidRPr="00477C32" w:rsidRDefault="00F61BB5" w:rsidP="00222B55">
      <w:pPr>
        <w:ind w:firstLine="720"/>
        <w:rPr>
          <w:rFonts w:ascii="Garamond" w:hAnsi="Garamond" w:cs="Times New Roman"/>
          <w:lang w:val="en-GB"/>
        </w:rPr>
      </w:pPr>
      <w:r w:rsidRPr="00477C32">
        <w:rPr>
          <w:rFonts w:ascii="Garamond" w:hAnsi="Garamond" w:cs="Times New Roman"/>
          <w:lang w:val="en-GB"/>
        </w:rPr>
        <w:t>Many d</w:t>
      </w:r>
      <w:r w:rsidR="00125BFC" w:rsidRPr="00477C32">
        <w:rPr>
          <w:rFonts w:ascii="Garamond" w:hAnsi="Garamond" w:cs="Times New Roman"/>
          <w:lang w:val="en-GB"/>
        </w:rPr>
        <w:t xml:space="preserve">efenders of Brexit will say that they were not and are not motivated by racial considerations and that they strongly disavow the racial stereotypes that some right-wing Brexiters endorsed. They will say that their concerns and advocacy </w:t>
      </w:r>
      <w:r w:rsidR="00C13A3F" w:rsidRPr="00477C32">
        <w:rPr>
          <w:rFonts w:ascii="Garamond" w:hAnsi="Garamond" w:cs="Times New Roman"/>
          <w:lang w:val="en-GB"/>
        </w:rPr>
        <w:t>centre</w:t>
      </w:r>
      <w:r w:rsidR="00125BFC" w:rsidRPr="00477C32">
        <w:rPr>
          <w:rFonts w:ascii="Garamond" w:hAnsi="Garamond" w:cs="Times New Roman"/>
          <w:lang w:val="en-GB"/>
        </w:rPr>
        <w:t xml:space="preserve"> instead around economic and political powerlessness. </w:t>
      </w:r>
      <w:r w:rsidR="00047E5E" w:rsidRPr="00477C32">
        <w:rPr>
          <w:rFonts w:ascii="Garamond" w:hAnsi="Garamond" w:cs="Times New Roman"/>
          <w:lang w:val="en-GB"/>
        </w:rPr>
        <w:t xml:space="preserve">We saw earlier that the philosophy of immigration has been primarily concerned with ruling out immigration policies that </w:t>
      </w:r>
      <w:r w:rsidRPr="00477C32">
        <w:rPr>
          <w:rFonts w:ascii="Garamond" w:hAnsi="Garamond" w:cs="Times New Roman"/>
          <w:lang w:val="en-GB"/>
        </w:rPr>
        <w:t xml:space="preserve">are </w:t>
      </w:r>
      <w:r w:rsidR="00047E5E" w:rsidRPr="00477C32">
        <w:rPr>
          <w:rFonts w:ascii="Garamond" w:hAnsi="Garamond" w:cs="Times New Roman"/>
          <w:lang w:val="en-GB"/>
        </w:rPr>
        <w:t>motivated solely and openly by racial animus, so on the face of it these left-wing Brexit supporters are morally in the clear</w:t>
      </w:r>
      <w:r w:rsidR="00125BFC" w:rsidRPr="00477C32">
        <w:rPr>
          <w:rFonts w:ascii="Garamond" w:hAnsi="Garamond" w:cs="Times New Roman"/>
          <w:lang w:val="en-GB"/>
        </w:rPr>
        <w:t xml:space="preserve">. What I will argue now, drawing on recent sociological analyses, is that there has been </w:t>
      </w:r>
      <w:r w:rsidR="00774B02" w:rsidRPr="00477C32">
        <w:rPr>
          <w:rFonts w:ascii="Garamond" w:hAnsi="Garamond" w:cs="Times New Roman"/>
          <w:lang w:val="en-GB"/>
        </w:rPr>
        <w:t xml:space="preserve">an </w:t>
      </w:r>
      <w:r w:rsidR="00125BFC" w:rsidRPr="00477C32">
        <w:rPr>
          <w:rFonts w:ascii="Garamond" w:hAnsi="Garamond" w:cs="Times New Roman"/>
          <w:lang w:val="en-GB"/>
        </w:rPr>
        <w:t xml:space="preserve">important role for race even in these apparently </w:t>
      </w:r>
      <w:r w:rsidR="00047E5E" w:rsidRPr="00477C32">
        <w:rPr>
          <w:rFonts w:ascii="Garamond" w:hAnsi="Garamond" w:cs="Times New Roman"/>
          <w:lang w:val="en-GB"/>
        </w:rPr>
        <w:t>class-based movements for Brexit</w:t>
      </w:r>
      <w:r w:rsidR="00125BFC" w:rsidRPr="00477C32">
        <w:rPr>
          <w:rFonts w:ascii="Garamond" w:hAnsi="Garamond" w:cs="Times New Roman"/>
          <w:lang w:val="en-GB"/>
        </w:rPr>
        <w:t xml:space="preserve"> and that this role too undermines democratic CSG.</w:t>
      </w:r>
    </w:p>
    <w:p w14:paraId="520194AF" w14:textId="7D7E11DB" w:rsidR="0019381F" w:rsidRPr="00477C32" w:rsidRDefault="00C83E62" w:rsidP="00222B55">
      <w:pPr>
        <w:ind w:firstLine="720"/>
        <w:rPr>
          <w:rFonts w:ascii="Garamond" w:hAnsi="Garamond" w:cs="Times New Roman"/>
          <w:lang w:val="en-GB"/>
        </w:rPr>
      </w:pPr>
      <w:r w:rsidRPr="00477C32">
        <w:rPr>
          <w:rFonts w:ascii="Garamond" w:hAnsi="Garamond" w:cs="Times New Roman"/>
          <w:lang w:val="en-GB"/>
        </w:rPr>
        <w:lastRenderedPageBreak/>
        <w:t>Brexit was often argued for, and ultimately seen as a victory for, a long</w:t>
      </w:r>
      <w:r w:rsidR="00EF1A55" w:rsidRPr="00477C32">
        <w:rPr>
          <w:rFonts w:ascii="Garamond" w:hAnsi="Garamond" w:cs="Times New Roman"/>
          <w:lang w:val="en-GB"/>
        </w:rPr>
        <w:t>-</w:t>
      </w:r>
      <w:r w:rsidRPr="00477C32">
        <w:rPr>
          <w:rFonts w:ascii="Garamond" w:hAnsi="Garamond" w:cs="Times New Roman"/>
          <w:lang w:val="en-GB"/>
        </w:rPr>
        <w:t>ignored populace, ‘the left</w:t>
      </w:r>
      <w:r w:rsidR="00FA1F41" w:rsidRPr="00477C32">
        <w:rPr>
          <w:rFonts w:ascii="Garamond" w:hAnsi="Garamond" w:cs="Times New Roman"/>
          <w:lang w:val="en-GB"/>
        </w:rPr>
        <w:t>-</w:t>
      </w:r>
      <w:r w:rsidRPr="00477C32">
        <w:rPr>
          <w:rFonts w:ascii="Garamond" w:hAnsi="Garamond" w:cs="Times New Roman"/>
          <w:lang w:val="en-GB"/>
        </w:rPr>
        <w:t>behinds’, understood to be members of the working class who had suffered from the effects of globalization, including immigration, without due attention from political elites. So far</w:t>
      </w:r>
      <w:r w:rsidR="007D4527" w:rsidRPr="00477C32">
        <w:rPr>
          <w:rFonts w:ascii="Garamond" w:hAnsi="Garamond" w:cs="Times New Roman"/>
          <w:lang w:val="en-GB"/>
        </w:rPr>
        <w:t>,</w:t>
      </w:r>
      <w:r w:rsidRPr="00477C32">
        <w:rPr>
          <w:rFonts w:ascii="Garamond" w:hAnsi="Garamond" w:cs="Times New Roman"/>
          <w:lang w:val="en-GB"/>
        </w:rPr>
        <w:t xml:space="preserve"> no mention of race. W</w:t>
      </w:r>
      <w:r w:rsidR="003427CA" w:rsidRPr="00477C32">
        <w:rPr>
          <w:rFonts w:ascii="Garamond" w:hAnsi="Garamond" w:cs="Times New Roman"/>
          <w:lang w:val="en-GB"/>
        </w:rPr>
        <w:t xml:space="preserve">here race comes in is that the </w:t>
      </w:r>
      <w:r w:rsidR="004135B0" w:rsidRPr="00477C32">
        <w:rPr>
          <w:rFonts w:ascii="Garamond" w:hAnsi="Garamond" w:cs="Times New Roman"/>
          <w:lang w:val="en-GB"/>
        </w:rPr>
        <w:t>supposedly socio-economic roots of Brexit are in fact often a stand in for Whiteness</w:t>
      </w:r>
      <w:r w:rsidRPr="00477C32">
        <w:rPr>
          <w:rFonts w:ascii="Garamond" w:hAnsi="Garamond" w:cs="Times New Roman"/>
          <w:lang w:val="en-GB"/>
        </w:rPr>
        <w:t>. This is not an empirical paper, so I will</w:t>
      </w:r>
      <w:r w:rsidR="00685110" w:rsidRPr="00477C32">
        <w:rPr>
          <w:rFonts w:ascii="Garamond" w:hAnsi="Garamond" w:cs="Times New Roman"/>
          <w:lang w:val="en-GB"/>
        </w:rPr>
        <w:t xml:space="preserve"> be</w:t>
      </w:r>
      <w:r w:rsidRPr="00477C32">
        <w:rPr>
          <w:rFonts w:ascii="Garamond" w:hAnsi="Garamond" w:cs="Times New Roman"/>
          <w:lang w:val="en-GB"/>
        </w:rPr>
        <w:t xml:space="preserve"> relying</w:t>
      </w:r>
      <w:r w:rsidR="00685110" w:rsidRPr="00477C32">
        <w:rPr>
          <w:rFonts w:ascii="Garamond" w:hAnsi="Garamond" w:cs="Times New Roman"/>
          <w:lang w:val="en-GB"/>
        </w:rPr>
        <w:t xml:space="preserve"> heavily</w:t>
      </w:r>
      <w:r w:rsidRPr="00477C32">
        <w:rPr>
          <w:rFonts w:ascii="Garamond" w:hAnsi="Garamond" w:cs="Times New Roman"/>
          <w:lang w:val="en-GB"/>
        </w:rPr>
        <w:t xml:space="preserve"> on existing </w:t>
      </w:r>
      <w:r w:rsidR="00685110" w:rsidRPr="00477C32">
        <w:rPr>
          <w:rFonts w:ascii="Garamond" w:hAnsi="Garamond" w:cs="Times New Roman"/>
          <w:lang w:val="en-GB"/>
        </w:rPr>
        <w:t>political sociology</w:t>
      </w:r>
      <w:r w:rsidRPr="00477C32">
        <w:rPr>
          <w:rFonts w:ascii="Garamond" w:hAnsi="Garamond" w:cs="Times New Roman"/>
          <w:lang w:val="en-GB"/>
        </w:rPr>
        <w:t xml:space="preserve"> rather than making this case in full. </w:t>
      </w:r>
      <w:r w:rsidR="004135B0" w:rsidRPr="00477C32">
        <w:rPr>
          <w:rFonts w:ascii="Garamond" w:hAnsi="Garamond" w:cs="Times New Roman"/>
          <w:lang w:val="en-GB"/>
        </w:rPr>
        <w:t xml:space="preserve">Here are two important initial data points. </w:t>
      </w:r>
      <w:r w:rsidR="009E5A26" w:rsidRPr="00477C32">
        <w:rPr>
          <w:rFonts w:ascii="Garamond" w:hAnsi="Garamond" w:cs="Times New Roman"/>
          <w:lang w:val="en-GB"/>
        </w:rPr>
        <w:t xml:space="preserve">First, </w:t>
      </w:r>
      <w:r w:rsidR="00B024B6" w:rsidRPr="00477C32">
        <w:rPr>
          <w:rFonts w:ascii="Garamond" w:hAnsi="Garamond" w:cs="Times New Roman"/>
          <w:lang w:val="en-GB"/>
        </w:rPr>
        <w:t>if we look at</w:t>
      </w:r>
      <w:r w:rsidR="009E5A26" w:rsidRPr="00477C32">
        <w:rPr>
          <w:rFonts w:ascii="Garamond" w:hAnsi="Garamond" w:cs="Times New Roman"/>
          <w:lang w:val="en-GB"/>
        </w:rPr>
        <w:t xml:space="preserve"> </w:t>
      </w:r>
      <w:r w:rsidR="00B64D50" w:rsidRPr="00477C32">
        <w:rPr>
          <w:rFonts w:ascii="Garamond" w:hAnsi="Garamond" w:cs="Times New Roman"/>
          <w:lang w:val="en-GB"/>
        </w:rPr>
        <w:t>the overall proportion of Leave voters</w:t>
      </w:r>
      <w:r w:rsidR="00DA6D6A" w:rsidRPr="00477C32">
        <w:rPr>
          <w:rFonts w:ascii="Garamond" w:hAnsi="Garamond" w:cs="Times New Roman"/>
          <w:lang w:val="en-GB"/>
        </w:rPr>
        <w:t>,</w:t>
      </w:r>
      <w:r w:rsidR="00B64D50" w:rsidRPr="00477C32">
        <w:rPr>
          <w:rFonts w:ascii="Garamond" w:hAnsi="Garamond" w:cs="Times New Roman"/>
          <w:lang w:val="en-GB"/>
        </w:rPr>
        <w:t xml:space="preserve"> </w:t>
      </w:r>
      <w:r w:rsidR="00B024B6" w:rsidRPr="00477C32">
        <w:rPr>
          <w:rFonts w:ascii="Garamond" w:hAnsi="Garamond" w:cs="Times New Roman"/>
          <w:lang w:val="en-GB"/>
        </w:rPr>
        <w:t>only 24</w:t>
      </w:r>
      <w:r w:rsidR="000473E8" w:rsidRPr="00477C32">
        <w:rPr>
          <w:rFonts w:ascii="Garamond" w:hAnsi="Garamond" w:cs="Times New Roman"/>
          <w:lang w:val="en-GB"/>
        </w:rPr>
        <w:t xml:space="preserve"> percent</w:t>
      </w:r>
      <w:r w:rsidR="00B024B6" w:rsidRPr="00477C32">
        <w:rPr>
          <w:rFonts w:ascii="Garamond" w:hAnsi="Garamond" w:cs="Times New Roman"/>
          <w:lang w:val="en-GB"/>
        </w:rPr>
        <w:t xml:space="preserve"> were in the lowest two social classes, while 59</w:t>
      </w:r>
      <w:r w:rsidR="000473E8" w:rsidRPr="00477C32">
        <w:rPr>
          <w:rFonts w:ascii="Garamond" w:hAnsi="Garamond" w:cs="Times New Roman"/>
          <w:lang w:val="en-GB"/>
        </w:rPr>
        <w:t xml:space="preserve"> percent</w:t>
      </w:r>
      <w:r w:rsidR="00B024B6" w:rsidRPr="00477C32">
        <w:rPr>
          <w:rFonts w:ascii="Garamond" w:hAnsi="Garamond" w:cs="Times New Roman"/>
          <w:lang w:val="en-GB"/>
        </w:rPr>
        <w:t xml:space="preserve"> were middle class</w:t>
      </w:r>
      <w:r w:rsidR="008D64BB" w:rsidRPr="00477C32">
        <w:rPr>
          <w:rFonts w:ascii="Garamond" w:hAnsi="Garamond" w:cs="Times New Roman"/>
          <w:lang w:val="en-GB"/>
        </w:rPr>
        <w:t xml:space="preserve"> (using NRS social grades that define class by occupation)</w:t>
      </w:r>
      <w:r w:rsidR="009E5A26" w:rsidRPr="00477C32">
        <w:rPr>
          <w:rFonts w:ascii="Garamond" w:hAnsi="Garamond" w:cs="Times New Roman"/>
          <w:lang w:val="en-GB"/>
        </w:rPr>
        <w:t>.</w:t>
      </w:r>
      <w:r w:rsidR="008D64BB" w:rsidRPr="00477C32">
        <w:rPr>
          <w:rStyle w:val="FootnoteReference"/>
          <w:rFonts w:ascii="Garamond" w:hAnsi="Garamond" w:cs="Times New Roman"/>
          <w:lang w:val="en-GB"/>
        </w:rPr>
        <w:footnoteReference w:id="20"/>
      </w:r>
      <w:r w:rsidR="00F844CE" w:rsidRPr="00477C32">
        <w:rPr>
          <w:rFonts w:ascii="Garamond" w:hAnsi="Garamond" w:cs="Times New Roman"/>
          <w:lang w:val="en-GB"/>
        </w:rPr>
        <w:t xml:space="preserve"> The description of Brexit as a working</w:t>
      </w:r>
      <w:r w:rsidR="007E1161" w:rsidRPr="00477C32">
        <w:rPr>
          <w:rFonts w:ascii="Garamond" w:hAnsi="Garamond" w:cs="Times New Roman"/>
          <w:lang w:val="en-GB"/>
        </w:rPr>
        <w:t>-</w:t>
      </w:r>
      <w:r w:rsidR="00F844CE" w:rsidRPr="00477C32">
        <w:rPr>
          <w:rFonts w:ascii="Garamond" w:hAnsi="Garamond" w:cs="Times New Roman"/>
          <w:lang w:val="en-GB"/>
        </w:rPr>
        <w:t>class movement obscures the fact that these middle</w:t>
      </w:r>
      <w:r w:rsidR="00AC7DDC" w:rsidRPr="00477C32">
        <w:rPr>
          <w:rFonts w:ascii="Garamond" w:hAnsi="Garamond" w:cs="Times New Roman"/>
          <w:lang w:val="en-GB"/>
        </w:rPr>
        <w:t>-</w:t>
      </w:r>
      <w:r w:rsidR="00F844CE" w:rsidRPr="00477C32">
        <w:rPr>
          <w:rFonts w:ascii="Garamond" w:hAnsi="Garamond" w:cs="Times New Roman"/>
          <w:lang w:val="en-GB"/>
        </w:rPr>
        <w:t>class supporters were the core of the vote.</w:t>
      </w:r>
      <w:r w:rsidR="00685110" w:rsidRPr="00477C32">
        <w:rPr>
          <w:rFonts w:ascii="Garamond" w:hAnsi="Garamond" w:cs="Times New Roman"/>
          <w:lang w:val="en-GB"/>
        </w:rPr>
        <w:t xml:space="preserve"> </w:t>
      </w:r>
      <w:r w:rsidR="00B64D50" w:rsidRPr="00477C32">
        <w:rPr>
          <w:rFonts w:ascii="Garamond" w:hAnsi="Garamond" w:cs="Times New Roman"/>
          <w:lang w:val="en-GB"/>
        </w:rPr>
        <w:t>Second, the focus purely on class leaves out racial distinction</w:t>
      </w:r>
      <w:r w:rsidR="00615648" w:rsidRPr="00477C32">
        <w:rPr>
          <w:rFonts w:ascii="Garamond" w:hAnsi="Garamond" w:cs="Times New Roman"/>
          <w:lang w:val="en-GB"/>
        </w:rPr>
        <w:t>s</w:t>
      </w:r>
      <w:r w:rsidR="00B64D50" w:rsidRPr="00477C32">
        <w:rPr>
          <w:rFonts w:ascii="Garamond" w:hAnsi="Garamond" w:cs="Times New Roman"/>
          <w:lang w:val="en-GB"/>
        </w:rPr>
        <w:t xml:space="preserve"> within the working class. Black and </w:t>
      </w:r>
      <w:r w:rsidR="00980E3F" w:rsidRPr="00477C32">
        <w:rPr>
          <w:rFonts w:ascii="Garamond" w:hAnsi="Garamond" w:cs="Times New Roman"/>
          <w:lang w:val="en-GB"/>
        </w:rPr>
        <w:t>Asian</w:t>
      </w:r>
      <w:r w:rsidR="00B64D50" w:rsidRPr="00477C32">
        <w:rPr>
          <w:rFonts w:ascii="Garamond" w:hAnsi="Garamond" w:cs="Times New Roman"/>
          <w:lang w:val="en-GB"/>
        </w:rPr>
        <w:t xml:space="preserve"> </w:t>
      </w:r>
      <w:r w:rsidR="001D6523" w:rsidRPr="00477C32">
        <w:rPr>
          <w:rFonts w:ascii="Garamond" w:hAnsi="Garamond" w:cs="Times New Roman"/>
          <w:lang w:val="en-GB"/>
        </w:rPr>
        <w:t>Britons</w:t>
      </w:r>
      <w:r w:rsidR="00B64D50" w:rsidRPr="00477C32">
        <w:rPr>
          <w:rFonts w:ascii="Garamond" w:hAnsi="Garamond" w:cs="Times New Roman"/>
          <w:lang w:val="en-GB"/>
        </w:rPr>
        <w:t xml:space="preserve"> </w:t>
      </w:r>
      <w:r w:rsidR="001D6523" w:rsidRPr="00477C32">
        <w:rPr>
          <w:rFonts w:ascii="Garamond" w:hAnsi="Garamond" w:cs="Times New Roman"/>
          <w:lang w:val="en-GB"/>
        </w:rPr>
        <w:t>earn less than Whites, have higher non-employment rates, suffer worse health outcomes, and so on,</w:t>
      </w:r>
      <w:r w:rsidR="00021237" w:rsidRPr="00477C32">
        <w:rPr>
          <w:rFonts w:ascii="Garamond" w:hAnsi="Garamond" w:cs="Times New Roman"/>
          <w:lang w:val="en-GB"/>
        </w:rPr>
        <w:t xml:space="preserve"> </w:t>
      </w:r>
      <w:r w:rsidR="00B64D50" w:rsidRPr="00477C32">
        <w:rPr>
          <w:rFonts w:ascii="Garamond" w:hAnsi="Garamond" w:cs="Times New Roman"/>
          <w:lang w:val="en-GB"/>
        </w:rPr>
        <w:t>yet they voted</w:t>
      </w:r>
      <w:r w:rsidR="00685110" w:rsidRPr="00477C32">
        <w:rPr>
          <w:rFonts w:ascii="Garamond" w:hAnsi="Garamond" w:cs="Times New Roman"/>
          <w:lang w:val="en-GB"/>
        </w:rPr>
        <w:t xml:space="preserve"> </w:t>
      </w:r>
      <w:r w:rsidR="00CE09CF" w:rsidRPr="00477C32">
        <w:rPr>
          <w:rFonts w:ascii="Garamond" w:hAnsi="Garamond" w:cs="Times New Roman"/>
          <w:lang w:val="en-GB"/>
        </w:rPr>
        <w:t>clearly</w:t>
      </w:r>
      <w:r w:rsidR="00685110" w:rsidRPr="00477C32">
        <w:rPr>
          <w:rFonts w:ascii="Garamond" w:hAnsi="Garamond" w:cs="Times New Roman"/>
          <w:lang w:val="en-GB"/>
        </w:rPr>
        <w:t xml:space="preserve"> in </w:t>
      </w:r>
      <w:r w:rsidR="00C13A3F" w:rsidRPr="00477C32">
        <w:rPr>
          <w:rFonts w:ascii="Garamond" w:hAnsi="Garamond" w:cs="Times New Roman"/>
          <w:lang w:val="en-GB"/>
        </w:rPr>
        <w:t>favour</w:t>
      </w:r>
      <w:r w:rsidR="00685110" w:rsidRPr="00477C32">
        <w:rPr>
          <w:rFonts w:ascii="Garamond" w:hAnsi="Garamond" w:cs="Times New Roman"/>
          <w:lang w:val="en-GB"/>
        </w:rPr>
        <w:t xml:space="preserve"> of Remai</w:t>
      </w:r>
      <w:r w:rsidR="00F844CE" w:rsidRPr="00477C32">
        <w:rPr>
          <w:rFonts w:ascii="Garamond" w:hAnsi="Garamond" w:cs="Times New Roman"/>
          <w:lang w:val="en-GB"/>
        </w:rPr>
        <w:t>n.</w:t>
      </w:r>
      <w:r w:rsidR="00B16A45" w:rsidRPr="00477C32">
        <w:rPr>
          <w:rStyle w:val="FootnoteReference"/>
          <w:rFonts w:ascii="Garamond" w:hAnsi="Garamond" w:cs="Times New Roman"/>
          <w:lang w:val="en-GB"/>
        </w:rPr>
        <w:footnoteReference w:id="21"/>
      </w:r>
      <w:r w:rsidR="00F844CE" w:rsidRPr="00477C32">
        <w:rPr>
          <w:rFonts w:ascii="Garamond" w:hAnsi="Garamond" w:cs="Times New Roman"/>
          <w:lang w:val="en-GB"/>
        </w:rPr>
        <w:t xml:space="preserve"> </w:t>
      </w:r>
      <w:r w:rsidR="00B16A45" w:rsidRPr="00477C32">
        <w:rPr>
          <w:rFonts w:ascii="Garamond" w:hAnsi="Garamond" w:cs="Times New Roman"/>
          <w:lang w:val="en-GB"/>
        </w:rPr>
        <w:t>Black and Asian</w:t>
      </w:r>
      <w:r w:rsidR="0019381F" w:rsidRPr="00477C32">
        <w:rPr>
          <w:rFonts w:ascii="Garamond" w:hAnsi="Garamond" w:cs="Times New Roman"/>
          <w:lang w:val="en-GB"/>
        </w:rPr>
        <w:t xml:space="preserve"> Britons voted 73</w:t>
      </w:r>
      <w:r w:rsidR="00DF71D3" w:rsidRPr="00477C32">
        <w:rPr>
          <w:rFonts w:ascii="Garamond" w:hAnsi="Garamond" w:cs="Times New Roman"/>
          <w:lang w:val="en-GB"/>
        </w:rPr>
        <w:t xml:space="preserve"> percent</w:t>
      </w:r>
      <w:r w:rsidR="0019381F" w:rsidRPr="00477C32">
        <w:rPr>
          <w:rFonts w:ascii="Garamond" w:hAnsi="Garamond" w:cs="Times New Roman"/>
          <w:lang w:val="en-GB"/>
        </w:rPr>
        <w:t xml:space="preserve"> and 67</w:t>
      </w:r>
      <w:r w:rsidR="00DF71D3" w:rsidRPr="00477C32">
        <w:rPr>
          <w:rFonts w:ascii="Garamond" w:hAnsi="Garamond" w:cs="Times New Roman"/>
          <w:lang w:val="en-GB"/>
        </w:rPr>
        <w:t xml:space="preserve"> percent</w:t>
      </w:r>
      <w:r w:rsidR="0019381F" w:rsidRPr="00477C32">
        <w:rPr>
          <w:rFonts w:ascii="Garamond" w:hAnsi="Garamond" w:cs="Times New Roman"/>
          <w:lang w:val="en-GB"/>
        </w:rPr>
        <w:t>, respective</w:t>
      </w:r>
      <w:r w:rsidR="00C30E42" w:rsidRPr="00477C32">
        <w:rPr>
          <w:rFonts w:ascii="Garamond" w:hAnsi="Garamond" w:cs="Times New Roman"/>
          <w:lang w:val="en-GB"/>
        </w:rPr>
        <w:t>ly</w:t>
      </w:r>
      <w:r w:rsidR="0019381F" w:rsidRPr="00477C32">
        <w:rPr>
          <w:rFonts w:ascii="Garamond" w:hAnsi="Garamond" w:cs="Times New Roman"/>
          <w:lang w:val="en-GB"/>
        </w:rPr>
        <w:t xml:space="preserve">, in </w:t>
      </w:r>
      <w:r w:rsidR="00C13A3F" w:rsidRPr="00477C32">
        <w:rPr>
          <w:rFonts w:ascii="Garamond" w:hAnsi="Garamond" w:cs="Times New Roman"/>
          <w:lang w:val="en-GB"/>
        </w:rPr>
        <w:t>favour</w:t>
      </w:r>
      <w:r w:rsidR="0019381F" w:rsidRPr="00477C32">
        <w:rPr>
          <w:rFonts w:ascii="Garamond" w:hAnsi="Garamond" w:cs="Times New Roman"/>
          <w:lang w:val="en-GB"/>
        </w:rPr>
        <w:t xml:space="preserve"> of Remain, while White Britons voted 53</w:t>
      </w:r>
      <w:r w:rsidR="001C4173" w:rsidRPr="00477C32">
        <w:rPr>
          <w:rFonts w:ascii="Garamond" w:hAnsi="Garamond" w:cs="Times New Roman"/>
          <w:lang w:val="en-GB"/>
        </w:rPr>
        <w:t xml:space="preserve"> percent</w:t>
      </w:r>
      <w:r w:rsidR="0019381F" w:rsidRPr="00477C32">
        <w:rPr>
          <w:rFonts w:ascii="Garamond" w:hAnsi="Garamond" w:cs="Times New Roman"/>
          <w:lang w:val="en-GB"/>
        </w:rPr>
        <w:t xml:space="preserve"> in </w:t>
      </w:r>
      <w:r w:rsidR="00C13A3F" w:rsidRPr="00477C32">
        <w:rPr>
          <w:rFonts w:ascii="Garamond" w:hAnsi="Garamond" w:cs="Times New Roman"/>
          <w:lang w:val="en-GB"/>
        </w:rPr>
        <w:t>favour</w:t>
      </w:r>
      <w:r w:rsidR="0019381F" w:rsidRPr="00477C32">
        <w:rPr>
          <w:rFonts w:ascii="Garamond" w:hAnsi="Garamond" w:cs="Times New Roman"/>
          <w:lang w:val="en-GB"/>
        </w:rPr>
        <w:t xml:space="preserve"> of Leave</w:t>
      </w:r>
      <w:r w:rsidR="00685110" w:rsidRPr="00477C32">
        <w:rPr>
          <w:rFonts w:ascii="Garamond" w:hAnsi="Garamond" w:cs="Times New Roman"/>
          <w:lang w:val="en-GB"/>
        </w:rPr>
        <w:t>.</w:t>
      </w:r>
      <w:r w:rsidR="00E5312E" w:rsidRPr="00477C32">
        <w:rPr>
          <w:rStyle w:val="FootnoteReference"/>
          <w:rFonts w:ascii="Garamond" w:hAnsi="Garamond" w:cs="Times New Roman"/>
          <w:lang w:val="en-GB"/>
        </w:rPr>
        <w:footnoteReference w:id="22"/>
      </w:r>
    </w:p>
    <w:p w14:paraId="20DCA42E" w14:textId="6D13849C" w:rsidR="00C3137A" w:rsidRPr="00477C32" w:rsidRDefault="00F47996" w:rsidP="00222B55">
      <w:pPr>
        <w:ind w:firstLine="720"/>
        <w:rPr>
          <w:rFonts w:ascii="Garamond" w:hAnsi="Garamond" w:cs="Times New Roman"/>
          <w:lang w:val="en-GB"/>
        </w:rPr>
      </w:pPr>
      <w:r w:rsidRPr="00477C32">
        <w:rPr>
          <w:rFonts w:ascii="Garamond" w:hAnsi="Garamond" w:cs="Times New Roman"/>
          <w:lang w:val="en-GB"/>
        </w:rPr>
        <w:t xml:space="preserve">These facts should give us immediate reason for </w:t>
      </w:r>
      <w:r w:rsidR="00C13A3F" w:rsidRPr="00477C32">
        <w:rPr>
          <w:rFonts w:ascii="Garamond" w:hAnsi="Garamond" w:cs="Times New Roman"/>
          <w:lang w:val="en-GB"/>
        </w:rPr>
        <w:t>scepticism</w:t>
      </w:r>
      <w:r w:rsidRPr="00477C32">
        <w:rPr>
          <w:rFonts w:ascii="Garamond" w:hAnsi="Garamond" w:cs="Times New Roman"/>
          <w:lang w:val="en-GB"/>
        </w:rPr>
        <w:t xml:space="preserve"> when left-wing Brexiters claim to be putting their weight behind a purely class-based movement. In fact they are putting their weight behind a movement that is at best heterogeneous with respect to class and is </w:t>
      </w:r>
      <w:r w:rsidR="005453C8" w:rsidRPr="00477C32">
        <w:rPr>
          <w:rFonts w:ascii="Garamond" w:hAnsi="Garamond" w:cs="Times New Roman"/>
          <w:lang w:val="en-GB"/>
        </w:rPr>
        <w:t xml:space="preserve">very </w:t>
      </w:r>
      <w:r w:rsidRPr="00477C32">
        <w:rPr>
          <w:rFonts w:ascii="Garamond" w:hAnsi="Garamond" w:cs="Times New Roman"/>
          <w:lang w:val="en-GB"/>
        </w:rPr>
        <w:t xml:space="preserve">disproportionately White. </w:t>
      </w:r>
      <w:r w:rsidR="00C4356C" w:rsidRPr="00477C32">
        <w:rPr>
          <w:rFonts w:ascii="Garamond" w:hAnsi="Garamond" w:cs="Times New Roman"/>
          <w:lang w:val="en-GB"/>
        </w:rPr>
        <w:t>In addition to these sheer demographic facts, a historical perspective shows that this notion of the ‘left</w:t>
      </w:r>
      <w:r w:rsidR="00FA1F41" w:rsidRPr="00477C32">
        <w:rPr>
          <w:rFonts w:ascii="Garamond" w:hAnsi="Garamond" w:cs="Times New Roman"/>
          <w:lang w:val="en-GB"/>
        </w:rPr>
        <w:t>-</w:t>
      </w:r>
      <w:r w:rsidR="00C4356C" w:rsidRPr="00477C32">
        <w:rPr>
          <w:rFonts w:ascii="Garamond" w:hAnsi="Garamond" w:cs="Times New Roman"/>
          <w:lang w:val="en-GB"/>
        </w:rPr>
        <w:t xml:space="preserve">behinds’ has been substantially racialized. </w:t>
      </w:r>
      <w:r w:rsidR="009B7A84" w:rsidRPr="00477C32">
        <w:rPr>
          <w:rFonts w:ascii="Garamond" w:hAnsi="Garamond" w:cs="Times New Roman"/>
          <w:lang w:val="en-GB"/>
        </w:rPr>
        <w:t>At times defenders of Brexit and apologists for the Trump vote have in fact openly drawn the link between class-based rhetoric and ra</w:t>
      </w:r>
      <w:r w:rsidRPr="00477C32">
        <w:rPr>
          <w:rFonts w:ascii="Garamond" w:hAnsi="Garamond" w:cs="Times New Roman"/>
          <w:lang w:val="en-GB"/>
        </w:rPr>
        <w:t>ce in this context, openly taking</w:t>
      </w:r>
      <w:r w:rsidR="009B7A84" w:rsidRPr="00477C32">
        <w:rPr>
          <w:rFonts w:ascii="Garamond" w:hAnsi="Garamond" w:cs="Times New Roman"/>
          <w:lang w:val="en-GB"/>
        </w:rPr>
        <w:t xml:space="preserve"> themselves to be advocating on behalf of a specifically White disadvantaged population.</w:t>
      </w:r>
      <w:r w:rsidR="002E5DAF" w:rsidRPr="00477C32">
        <w:rPr>
          <w:rFonts w:ascii="Garamond" w:hAnsi="Garamond" w:cs="Times New Roman"/>
          <w:lang w:val="en-GB"/>
        </w:rPr>
        <w:t xml:space="preserve"> Williams</w:t>
      </w:r>
      <w:r w:rsidR="004F73F5" w:rsidRPr="00477C32">
        <w:rPr>
          <w:rFonts w:ascii="Garamond" w:hAnsi="Garamond" w:cs="Times New Roman"/>
          <w:lang w:val="en-GB"/>
        </w:rPr>
        <w:t>’</w:t>
      </w:r>
      <w:r w:rsidRPr="00477C32">
        <w:rPr>
          <w:rFonts w:ascii="Garamond" w:hAnsi="Garamond" w:cs="Times New Roman"/>
          <w:lang w:val="en-GB"/>
        </w:rPr>
        <w:t xml:space="preserve">s book, for example, is </w:t>
      </w:r>
      <w:r w:rsidR="004F73F5" w:rsidRPr="00477C32">
        <w:rPr>
          <w:rFonts w:ascii="Garamond" w:hAnsi="Garamond" w:cs="Times New Roman"/>
          <w:lang w:val="en-GB"/>
        </w:rPr>
        <w:t xml:space="preserve">called </w:t>
      </w:r>
      <w:r w:rsidR="004F73F5" w:rsidRPr="00477C32">
        <w:rPr>
          <w:rFonts w:ascii="Garamond" w:hAnsi="Garamond" w:cs="Times New Roman"/>
          <w:i/>
          <w:lang w:val="en-GB"/>
        </w:rPr>
        <w:t>White Working Class</w:t>
      </w:r>
      <w:r w:rsidR="00932BDD" w:rsidRPr="00477C32">
        <w:rPr>
          <w:rFonts w:ascii="Garamond" w:hAnsi="Garamond" w:cs="Times New Roman"/>
          <w:lang w:val="en-GB"/>
        </w:rPr>
        <w:t xml:space="preserve"> (2017).</w:t>
      </w:r>
      <w:r w:rsidRPr="00477C32">
        <w:rPr>
          <w:rFonts w:ascii="Garamond" w:hAnsi="Garamond" w:cs="Times New Roman"/>
          <w:lang w:val="en-GB"/>
        </w:rPr>
        <w:t xml:space="preserve"> </w:t>
      </w:r>
      <w:r w:rsidR="001274DC" w:rsidRPr="00477C32">
        <w:rPr>
          <w:rFonts w:ascii="Garamond" w:hAnsi="Garamond" w:cs="Times New Roman"/>
          <w:lang w:val="en-GB"/>
        </w:rPr>
        <w:t>And, as we’ll now see, even</w:t>
      </w:r>
      <w:r w:rsidR="009B7A84" w:rsidRPr="00477C32">
        <w:rPr>
          <w:rFonts w:ascii="Garamond" w:hAnsi="Garamond" w:cs="Times New Roman"/>
          <w:lang w:val="en-GB"/>
        </w:rPr>
        <w:t xml:space="preserve"> </w:t>
      </w:r>
      <w:r w:rsidRPr="00477C32">
        <w:rPr>
          <w:rFonts w:ascii="Garamond" w:hAnsi="Garamond" w:cs="Times New Roman"/>
          <w:lang w:val="en-GB"/>
        </w:rPr>
        <w:t>when race isn’t exp</w:t>
      </w:r>
      <w:r w:rsidR="001274DC" w:rsidRPr="00477C32">
        <w:rPr>
          <w:rFonts w:ascii="Garamond" w:hAnsi="Garamond" w:cs="Times New Roman"/>
          <w:lang w:val="en-GB"/>
        </w:rPr>
        <w:t>licitly referred to</w:t>
      </w:r>
      <w:r w:rsidR="00D85203" w:rsidRPr="00477C32">
        <w:rPr>
          <w:rFonts w:ascii="Garamond" w:hAnsi="Garamond" w:cs="Times New Roman"/>
          <w:lang w:val="en-GB"/>
        </w:rPr>
        <w:t>,</w:t>
      </w:r>
      <w:r w:rsidR="007135E2" w:rsidRPr="00477C32">
        <w:rPr>
          <w:rFonts w:ascii="Garamond" w:hAnsi="Garamond" w:cs="Times New Roman"/>
          <w:lang w:val="en-GB"/>
        </w:rPr>
        <w:t xml:space="preserve"> </w:t>
      </w:r>
      <w:r w:rsidRPr="00477C32">
        <w:rPr>
          <w:rFonts w:ascii="Garamond" w:hAnsi="Garamond" w:cs="Times New Roman"/>
          <w:lang w:val="en-GB"/>
        </w:rPr>
        <w:t>references to ‘left</w:t>
      </w:r>
      <w:r w:rsidR="00FA1F41" w:rsidRPr="00477C32">
        <w:rPr>
          <w:rFonts w:ascii="Garamond" w:hAnsi="Garamond" w:cs="Times New Roman"/>
          <w:lang w:val="en-GB"/>
        </w:rPr>
        <w:t>-</w:t>
      </w:r>
      <w:r w:rsidRPr="00477C32">
        <w:rPr>
          <w:rFonts w:ascii="Garamond" w:hAnsi="Garamond" w:cs="Times New Roman"/>
          <w:lang w:val="en-GB"/>
        </w:rPr>
        <w:t xml:space="preserve">behinds’ </w:t>
      </w:r>
      <w:r w:rsidR="001274DC" w:rsidRPr="00477C32">
        <w:rPr>
          <w:rFonts w:ascii="Garamond" w:hAnsi="Garamond" w:cs="Times New Roman"/>
          <w:lang w:val="en-GB"/>
        </w:rPr>
        <w:t xml:space="preserve">can </w:t>
      </w:r>
      <w:r w:rsidRPr="00477C32">
        <w:rPr>
          <w:rFonts w:ascii="Garamond" w:hAnsi="Garamond" w:cs="Times New Roman"/>
          <w:lang w:val="en-GB"/>
        </w:rPr>
        <w:t>still invoke a deep history of racial resentment.</w:t>
      </w:r>
    </w:p>
    <w:p w14:paraId="146283CB" w14:textId="34BEE165" w:rsidR="0056072A" w:rsidRPr="00477C32" w:rsidRDefault="00BB5BAD" w:rsidP="00222B55">
      <w:pPr>
        <w:ind w:firstLine="720"/>
        <w:rPr>
          <w:rFonts w:ascii="Garamond" w:hAnsi="Garamond" w:cs="Times New Roman"/>
          <w:lang w:val="en-GB"/>
        </w:rPr>
      </w:pPr>
      <w:r w:rsidRPr="00477C32">
        <w:rPr>
          <w:rFonts w:ascii="Garamond" w:hAnsi="Garamond" w:cs="Times New Roman"/>
          <w:lang w:val="en-GB"/>
        </w:rPr>
        <w:t>The idea that cl</w:t>
      </w:r>
      <w:r w:rsidR="00C3137A" w:rsidRPr="00477C32">
        <w:rPr>
          <w:rFonts w:ascii="Garamond" w:hAnsi="Garamond" w:cs="Times New Roman"/>
          <w:lang w:val="en-GB"/>
        </w:rPr>
        <w:t>ass and race can be entwined in this way is a familiar one. In the U</w:t>
      </w:r>
      <w:r w:rsidR="00100874" w:rsidRPr="00477C32">
        <w:rPr>
          <w:rFonts w:ascii="Garamond" w:hAnsi="Garamond" w:cs="Times New Roman"/>
          <w:lang w:val="en-GB"/>
        </w:rPr>
        <w:t xml:space="preserve">nited </w:t>
      </w:r>
      <w:r w:rsidR="00C3137A" w:rsidRPr="00477C32">
        <w:rPr>
          <w:rFonts w:ascii="Garamond" w:hAnsi="Garamond" w:cs="Times New Roman"/>
          <w:lang w:val="en-GB"/>
        </w:rPr>
        <w:t>S</w:t>
      </w:r>
      <w:r w:rsidR="00100874" w:rsidRPr="00477C32">
        <w:rPr>
          <w:rFonts w:ascii="Garamond" w:hAnsi="Garamond" w:cs="Times New Roman"/>
          <w:lang w:val="en-GB"/>
        </w:rPr>
        <w:t>tates</w:t>
      </w:r>
      <w:r w:rsidR="00C3137A" w:rsidRPr="00477C32">
        <w:rPr>
          <w:rFonts w:ascii="Garamond" w:hAnsi="Garamond" w:cs="Times New Roman"/>
          <w:lang w:val="en-GB"/>
        </w:rPr>
        <w:t xml:space="preserve">, for instance, it has long been seen that when right-wing politicians claim to be defending ‘hardworking’, ‘lower-class’ Americans from ‘takers’ who seek to exploit the welfare state, they are in fact evoking a distinction between White and Black. For the stereotype of the ‘taker’ is Black while the hardworking masses are </w:t>
      </w:r>
      <w:r w:rsidR="00514C74" w:rsidRPr="00477C32">
        <w:rPr>
          <w:rFonts w:ascii="Garamond" w:hAnsi="Garamond" w:cs="Times New Roman"/>
          <w:lang w:val="en-GB"/>
        </w:rPr>
        <w:t>assumed</w:t>
      </w:r>
      <w:r w:rsidR="00C3137A" w:rsidRPr="00477C32">
        <w:rPr>
          <w:rFonts w:ascii="Garamond" w:hAnsi="Garamond" w:cs="Times New Roman"/>
          <w:lang w:val="en-GB"/>
        </w:rPr>
        <w:t xml:space="preserve"> to be White</w:t>
      </w:r>
      <w:r w:rsidR="008B2040" w:rsidRPr="00477C32">
        <w:rPr>
          <w:rFonts w:ascii="Garamond" w:hAnsi="Garamond" w:cs="Times New Roman"/>
          <w:lang w:val="en-GB"/>
        </w:rPr>
        <w:t>: the superficially economic category of the ‘welfare queen’, for example, is nearly always applied to Black women</w:t>
      </w:r>
      <w:r w:rsidR="00C3137A" w:rsidRPr="00477C32">
        <w:rPr>
          <w:rFonts w:ascii="Garamond" w:hAnsi="Garamond" w:cs="Times New Roman"/>
          <w:lang w:val="en-GB"/>
        </w:rPr>
        <w:t>.</w:t>
      </w:r>
      <w:r w:rsidR="008B2040" w:rsidRPr="00477C32">
        <w:rPr>
          <w:rStyle w:val="FootnoteReference"/>
          <w:rFonts w:ascii="Garamond" w:hAnsi="Garamond" w:cs="Times New Roman"/>
          <w:lang w:val="en-GB"/>
        </w:rPr>
        <w:footnoteReference w:id="23"/>
      </w:r>
      <w:r w:rsidR="008B2040" w:rsidRPr="00477C32">
        <w:rPr>
          <w:rFonts w:ascii="Garamond" w:hAnsi="Garamond" w:cs="Times New Roman"/>
          <w:lang w:val="en-GB"/>
        </w:rPr>
        <w:t xml:space="preserve"> As </w:t>
      </w:r>
      <w:r w:rsidR="00A14AD7" w:rsidRPr="00477C32">
        <w:rPr>
          <w:rFonts w:ascii="Garamond" w:hAnsi="Garamond" w:cs="Times New Roman"/>
          <w:lang w:val="en-GB"/>
        </w:rPr>
        <w:t>h</w:t>
      </w:r>
      <w:r w:rsidR="008B2040" w:rsidRPr="00477C32">
        <w:rPr>
          <w:rFonts w:ascii="Garamond" w:hAnsi="Garamond" w:cs="Times New Roman"/>
          <w:lang w:val="en-GB"/>
        </w:rPr>
        <w:t>istorian Premilla Nadasen has shown, welfare cuts under Clinton’s presidency were backed by ‘racially coded language of dependency and people taking advantage of the system’.</w:t>
      </w:r>
      <w:r w:rsidR="008B2040" w:rsidRPr="00477C32">
        <w:rPr>
          <w:rStyle w:val="FootnoteReference"/>
          <w:rFonts w:ascii="Garamond" w:hAnsi="Garamond" w:cs="Times New Roman"/>
          <w:lang w:val="en-GB"/>
        </w:rPr>
        <w:footnoteReference w:id="24"/>
      </w:r>
    </w:p>
    <w:p w14:paraId="350A539A" w14:textId="4BA9555D" w:rsidR="009230C0" w:rsidRPr="00477C32" w:rsidRDefault="00047577" w:rsidP="00222B55">
      <w:pPr>
        <w:ind w:firstLine="720"/>
        <w:rPr>
          <w:rFonts w:ascii="Garamond" w:hAnsi="Garamond" w:cs="Times New Roman"/>
          <w:lang w:val="en-GB"/>
        </w:rPr>
      </w:pPr>
      <w:r w:rsidRPr="00477C32">
        <w:rPr>
          <w:rFonts w:ascii="Garamond" w:hAnsi="Garamond" w:cs="Times New Roman"/>
          <w:lang w:val="en-GB"/>
        </w:rPr>
        <w:t>Shilliam (2018) trace</w:t>
      </w:r>
      <w:r w:rsidR="00131FA9" w:rsidRPr="00477C32">
        <w:rPr>
          <w:rFonts w:ascii="Garamond" w:hAnsi="Garamond" w:cs="Times New Roman"/>
          <w:lang w:val="en-GB"/>
        </w:rPr>
        <w:t>s</w:t>
      </w:r>
      <w:r w:rsidRPr="00477C32">
        <w:rPr>
          <w:rFonts w:ascii="Garamond" w:hAnsi="Garamond" w:cs="Times New Roman"/>
          <w:lang w:val="en-GB"/>
        </w:rPr>
        <w:t xml:space="preserve"> the relevant political history and argue</w:t>
      </w:r>
      <w:r w:rsidR="00D85203" w:rsidRPr="00477C32">
        <w:rPr>
          <w:rFonts w:ascii="Garamond" w:hAnsi="Garamond" w:cs="Times New Roman"/>
          <w:lang w:val="en-GB"/>
        </w:rPr>
        <w:t>s</w:t>
      </w:r>
      <w:r w:rsidRPr="00477C32">
        <w:rPr>
          <w:rFonts w:ascii="Garamond" w:hAnsi="Garamond" w:cs="Times New Roman"/>
          <w:lang w:val="en-GB"/>
        </w:rPr>
        <w:t xml:space="preserve"> that the notion of the ‘left-behinds’ in the context of Brexit evokes a similarly strong set of racialized cultural associations. In Britain</w:t>
      </w:r>
      <w:r w:rsidR="00FD6ECC" w:rsidRPr="00477C32">
        <w:rPr>
          <w:rFonts w:ascii="Garamond" w:hAnsi="Garamond" w:cs="Times New Roman"/>
          <w:lang w:val="en-GB"/>
        </w:rPr>
        <w:t>,</w:t>
      </w:r>
      <w:r w:rsidRPr="00477C32">
        <w:rPr>
          <w:rFonts w:ascii="Garamond" w:hAnsi="Garamond" w:cs="Times New Roman"/>
          <w:lang w:val="en-GB"/>
        </w:rPr>
        <w:t xml:space="preserve"> too, he argues, there has been a historical distinction between hard</w:t>
      </w:r>
      <w:r w:rsidR="00DB3680" w:rsidRPr="00477C32">
        <w:rPr>
          <w:rFonts w:ascii="Garamond" w:hAnsi="Garamond" w:cs="Times New Roman"/>
          <w:lang w:val="en-GB"/>
        </w:rPr>
        <w:t>-</w:t>
      </w:r>
      <w:r w:rsidRPr="00477C32">
        <w:rPr>
          <w:rFonts w:ascii="Garamond" w:hAnsi="Garamond" w:cs="Times New Roman"/>
          <w:lang w:val="en-GB"/>
        </w:rPr>
        <w:t>working, deserving Whites, and</w:t>
      </w:r>
      <w:r w:rsidR="00A37453" w:rsidRPr="00477C32">
        <w:rPr>
          <w:rFonts w:ascii="Garamond" w:hAnsi="Garamond" w:cs="Times New Roman"/>
          <w:lang w:val="en-GB"/>
        </w:rPr>
        <w:t xml:space="preserve"> scrounging, undeserving others. </w:t>
      </w:r>
      <w:r w:rsidR="0056072A" w:rsidRPr="00477C32">
        <w:rPr>
          <w:rFonts w:ascii="Garamond" w:hAnsi="Garamond" w:cs="Times New Roman"/>
          <w:lang w:val="en-GB"/>
        </w:rPr>
        <w:t>He writes that we</w:t>
      </w:r>
      <w:r w:rsidR="00A37453" w:rsidRPr="00477C32">
        <w:rPr>
          <w:rFonts w:ascii="Garamond" w:hAnsi="Garamond" w:cs="Times New Roman"/>
          <w:lang w:val="en-GB"/>
        </w:rPr>
        <w:t xml:space="preserve"> must understand ‘the sentiment of being “left behind” within a </w:t>
      </w:r>
      <w:r w:rsidR="00C13A3F" w:rsidRPr="00477C32">
        <w:rPr>
          <w:rFonts w:ascii="Garamond" w:hAnsi="Garamond" w:cs="Times New Roman"/>
          <w:lang w:val="en-GB"/>
        </w:rPr>
        <w:t>defen</w:t>
      </w:r>
      <w:r w:rsidR="0075616A" w:rsidRPr="00477C32">
        <w:rPr>
          <w:rFonts w:ascii="Garamond" w:hAnsi="Garamond" w:cs="Times New Roman"/>
          <w:lang w:val="en-GB"/>
        </w:rPr>
        <w:t>c</w:t>
      </w:r>
      <w:r w:rsidR="00C13A3F" w:rsidRPr="00477C32">
        <w:rPr>
          <w:rFonts w:ascii="Garamond" w:hAnsi="Garamond" w:cs="Times New Roman"/>
          <w:lang w:val="en-GB"/>
        </w:rPr>
        <w:t>e</w:t>
      </w:r>
      <w:r w:rsidR="00A37453" w:rsidRPr="00477C32">
        <w:rPr>
          <w:rFonts w:ascii="Garamond" w:hAnsi="Garamond" w:cs="Times New Roman"/>
          <w:lang w:val="en-GB"/>
        </w:rPr>
        <w:t xml:space="preserve"> of the national compact that at one point granted white </w:t>
      </w:r>
      <w:r w:rsidR="00A37453" w:rsidRPr="00477C32">
        <w:rPr>
          <w:rFonts w:ascii="Garamond" w:hAnsi="Garamond" w:cs="Times New Roman"/>
          <w:lang w:val="en-GB"/>
        </w:rPr>
        <w:lastRenderedPageBreak/>
        <w:t xml:space="preserve">workers an institutionally advantaged position’ (156). In other words, the resentment that the notion invokes is crucially tied to the loss of </w:t>
      </w:r>
      <w:r w:rsidR="00A37453" w:rsidRPr="00477C32">
        <w:rPr>
          <w:rFonts w:ascii="Garamond" w:hAnsi="Garamond" w:cs="Times New Roman"/>
          <w:i/>
          <w:lang w:val="en-GB"/>
        </w:rPr>
        <w:t>relative</w:t>
      </w:r>
      <w:r w:rsidR="00A37453" w:rsidRPr="00477C32">
        <w:rPr>
          <w:rFonts w:ascii="Garamond" w:hAnsi="Garamond" w:cs="Times New Roman"/>
          <w:lang w:val="en-GB"/>
        </w:rPr>
        <w:t xml:space="preserve"> position on the part of</w:t>
      </w:r>
      <w:r w:rsidR="0056072A" w:rsidRPr="00477C32">
        <w:rPr>
          <w:rFonts w:ascii="Garamond" w:hAnsi="Garamond" w:cs="Times New Roman"/>
          <w:lang w:val="en-GB"/>
        </w:rPr>
        <w:t xml:space="preserve"> (supposedly)</w:t>
      </w:r>
      <w:r w:rsidR="00A37453" w:rsidRPr="00477C32">
        <w:rPr>
          <w:rFonts w:ascii="Garamond" w:hAnsi="Garamond" w:cs="Times New Roman"/>
          <w:lang w:val="en-GB"/>
        </w:rPr>
        <w:t xml:space="preserve"> more deserving </w:t>
      </w:r>
      <w:r w:rsidR="00EC2212" w:rsidRPr="00477C32">
        <w:rPr>
          <w:rFonts w:ascii="Garamond" w:hAnsi="Garamond" w:cs="Times New Roman"/>
          <w:lang w:val="en-GB"/>
        </w:rPr>
        <w:t>W</w:t>
      </w:r>
      <w:r w:rsidR="00A37453" w:rsidRPr="00477C32">
        <w:rPr>
          <w:rFonts w:ascii="Garamond" w:hAnsi="Garamond" w:cs="Times New Roman"/>
          <w:lang w:val="en-GB"/>
        </w:rPr>
        <w:t xml:space="preserve">hite workers who have, over time, lost some of their economic advantages to </w:t>
      </w:r>
      <w:r w:rsidR="0056072A" w:rsidRPr="00477C32">
        <w:rPr>
          <w:rFonts w:ascii="Garamond" w:hAnsi="Garamond" w:cs="Times New Roman"/>
          <w:lang w:val="en-GB"/>
        </w:rPr>
        <w:t xml:space="preserve">undeserving people of </w:t>
      </w:r>
      <w:r w:rsidR="00C13A3F" w:rsidRPr="00477C32">
        <w:rPr>
          <w:rFonts w:ascii="Garamond" w:hAnsi="Garamond" w:cs="Times New Roman"/>
          <w:lang w:val="en-GB"/>
        </w:rPr>
        <w:t>colour</w:t>
      </w:r>
      <w:r w:rsidR="00B732A7" w:rsidRPr="00477C32">
        <w:rPr>
          <w:rFonts w:ascii="Garamond" w:hAnsi="Garamond" w:cs="Times New Roman"/>
          <w:lang w:val="en-GB"/>
        </w:rPr>
        <w:t xml:space="preserve"> (Bhambra 2017)</w:t>
      </w:r>
      <w:r w:rsidR="0056072A" w:rsidRPr="00477C32">
        <w:rPr>
          <w:rFonts w:ascii="Garamond" w:hAnsi="Garamond" w:cs="Times New Roman"/>
          <w:lang w:val="en-GB"/>
        </w:rPr>
        <w:t xml:space="preserve">. </w:t>
      </w:r>
      <w:r w:rsidR="003006D4" w:rsidRPr="00477C32">
        <w:rPr>
          <w:rFonts w:ascii="Garamond" w:hAnsi="Garamond" w:cs="Times New Roman"/>
          <w:lang w:val="en-GB"/>
        </w:rPr>
        <w:t>The</w:t>
      </w:r>
      <w:r w:rsidR="0056072A" w:rsidRPr="00477C32">
        <w:rPr>
          <w:rFonts w:ascii="Garamond" w:hAnsi="Garamond" w:cs="Times New Roman"/>
          <w:lang w:val="en-GB"/>
        </w:rPr>
        <w:t xml:space="preserve"> associated backlash against ‘elites’ is a complaint about the role that government has played in</w:t>
      </w:r>
      <w:r w:rsidR="00D472E1" w:rsidRPr="00477C32">
        <w:rPr>
          <w:rFonts w:ascii="Garamond" w:hAnsi="Garamond" w:cs="Times New Roman"/>
          <w:lang w:val="en-GB"/>
        </w:rPr>
        <w:t>, for example,</w:t>
      </w:r>
      <w:r w:rsidR="0056072A" w:rsidRPr="00477C32">
        <w:rPr>
          <w:rFonts w:ascii="Garamond" w:hAnsi="Garamond" w:cs="Times New Roman"/>
          <w:lang w:val="en-GB"/>
        </w:rPr>
        <w:t xml:space="preserve"> introducing anti-discrimination laws that facilitated these economic changes</w:t>
      </w:r>
      <w:r w:rsidR="00827DE9" w:rsidRPr="00477C32">
        <w:rPr>
          <w:rFonts w:ascii="Garamond" w:hAnsi="Garamond" w:cs="Times New Roman"/>
          <w:lang w:val="en-GB"/>
        </w:rPr>
        <w:t xml:space="preserve">. </w:t>
      </w:r>
      <w:r w:rsidR="009230C0" w:rsidRPr="00477C32">
        <w:rPr>
          <w:rFonts w:ascii="Garamond" w:hAnsi="Garamond" w:cs="Times New Roman"/>
          <w:lang w:val="en-GB"/>
        </w:rPr>
        <w:t xml:space="preserve">Enoch Powell, for example, deployed the idea of the </w:t>
      </w:r>
      <w:r w:rsidR="00632A08" w:rsidRPr="00477C32">
        <w:rPr>
          <w:rFonts w:ascii="Garamond" w:hAnsi="Garamond" w:cs="Times New Roman"/>
          <w:lang w:val="en-GB"/>
        </w:rPr>
        <w:t>‘</w:t>
      </w:r>
      <w:r w:rsidR="009230C0" w:rsidRPr="00477C32">
        <w:rPr>
          <w:rFonts w:ascii="Garamond" w:hAnsi="Garamond" w:cs="Times New Roman"/>
          <w:lang w:val="en-GB"/>
        </w:rPr>
        <w:t>left behind</w:t>
      </w:r>
      <w:r w:rsidR="00632A08" w:rsidRPr="00477C32">
        <w:rPr>
          <w:rFonts w:ascii="Garamond" w:hAnsi="Garamond" w:cs="Times New Roman"/>
          <w:lang w:val="en-GB"/>
        </w:rPr>
        <w:t>’</w:t>
      </w:r>
      <w:r w:rsidR="009230C0" w:rsidRPr="00477C32">
        <w:rPr>
          <w:rFonts w:ascii="Garamond" w:hAnsi="Garamond" w:cs="Times New Roman"/>
          <w:lang w:val="en-GB"/>
        </w:rPr>
        <w:t xml:space="preserve"> </w:t>
      </w:r>
      <w:r w:rsidR="00EC2212" w:rsidRPr="00477C32">
        <w:rPr>
          <w:rFonts w:ascii="Garamond" w:hAnsi="Garamond" w:cs="Times New Roman"/>
          <w:lang w:val="en-GB"/>
        </w:rPr>
        <w:t>W</w:t>
      </w:r>
      <w:r w:rsidR="009230C0" w:rsidRPr="00477C32">
        <w:rPr>
          <w:rFonts w:ascii="Garamond" w:hAnsi="Garamond" w:cs="Times New Roman"/>
          <w:lang w:val="en-GB"/>
        </w:rPr>
        <w:t xml:space="preserve">hite working class: an </w:t>
      </w:r>
      <w:r w:rsidR="00632A08" w:rsidRPr="00477C32">
        <w:rPr>
          <w:rFonts w:ascii="Garamond" w:hAnsi="Garamond" w:cs="Times New Roman"/>
          <w:lang w:val="en-GB"/>
        </w:rPr>
        <w:t>‘</w:t>
      </w:r>
      <w:r w:rsidR="009230C0" w:rsidRPr="00477C32">
        <w:rPr>
          <w:rFonts w:ascii="Garamond" w:hAnsi="Garamond" w:cs="Times New Roman"/>
          <w:lang w:val="en-GB"/>
        </w:rPr>
        <w:t>ordinary</w:t>
      </w:r>
      <w:r w:rsidR="00632A08" w:rsidRPr="00477C32">
        <w:rPr>
          <w:rFonts w:ascii="Garamond" w:hAnsi="Garamond" w:cs="Times New Roman"/>
          <w:lang w:val="en-GB"/>
        </w:rPr>
        <w:t xml:space="preserve">’, </w:t>
      </w:r>
      <w:r w:rsidR="009230C0" w:rsidRPr="00477C32">
        <w:rPr>
          <w:rFonts w:ascii="Garamond" w:hAnsi="Garamond" w:cs="Times New Roman"/>
          <w:lang w:val="en-GB"/>
        </w:rPr>
        <w:t xml:space="preserve">decent majority not given proper attention by government (Shilliam 2018, 100). One aspect of that </w:t>
      </w:r>
      <w:r w:rsidR="006060FE" w:rsidRPr="00477C32">
        <w:rPr>
          <w:rFonts w:ascii="Garamond" w:hAnsi="Garamond" w:cs="Times New Roman"/>
          <w:lang w:val="en-GB"/>
        </w:rPr>
        <w:t xml:space="preserve">lack of attention </w:t>
      </w:r>
      <w:r w:rsidR="009230C0" w:rsidRPr="00477C32">
        <w:rPr>
          <w:rFonts w:ascii="Garamond" w:hAnsi="Garamond" w:cs="Times New Roman"/>
          <w:lang w:val="en-GB"/>
        </w:rPr>
        <w:t xml:space="preserve">was the passing of the Race Relations </w:t>
      </w:r>
      <w:r w:rsidR="006060FE" w:rsidRPr="00477C32">
        <w:rPr>
          <w:rFonts w:ascii="Garamond" w:hAnsi="Garamond" w:cs="Times New Roman"/>
          <w:lang w:val="en-GB"/>
        </w:rPr>
        <w:t>Act</w:t>
      </w:r>
      <w:r w:rsidR="009230C0" w:rsidRPr="00477C32">
        <w:rPr>
          <w:rFonts w:ascii="Garamond" w:hAnsi="Garamond" w:cs="Times New Roman"/>
          <w:lang w:val="en-GB"/>
        </w:rPr>
        <w:t xml:space="preserve">, which sought to elevate undeserving racial groups while ignoring the </w:t>
      </w:r>
      <w:r w:rsidR="00B42D7F" w:rsidRPr="00477C32">
        <w:rPr>
          <w:rFonts w:ascii="Garamond" w:hAnsi="Garamond" w:cs="Times New Roman"/>
          <w:lang w:val="en-GB"/>
        </w:rPr>
        <w:t>morally weighty</w:t>
      </w:r>
      <w:r w:rsidR="009230C0" w:rsidRPr="00477C32">
        <w:rPr>
          <w:rFonts w:ascii="Garamond" w:hAnsi="Garamond" w:cs="Times New Roman"/>
          <w:lang w:val="en-GB"/>
        </w:rPr>
        <w:t xml:space="preserve"> interests of Whites in deciding whom to associate with. Another aspect was immigration, which </w:t>
      </w:r>
      <w:r w:rsidR="00B42D7F" w:rsidRPr="00477C32">
        <w:rPr>
          <w:rFonts w:ascii="Garamond" w:hAnsi="Garamond" w:cs="Times New Roman"/>
          <w:lang w:val="en-GB"/>
        </w:rPr>
        <w:t xml:space="preserve">raised the </w:t>
      </w:r>
      <w:r w:rsidR="00C13A3F" w:rsidRPr="00477C32">
        <w:rPr>
          <w:rFonts w:ascii="Garamond" w:hAnsi="Garamond" w:cs="Times New Roman"/>
          <w:lang w:val="en-GB"/>
        </w:rPr>
        <w:t>spectre</w:t>
      </w:r>
      <w:r w:rsidR="00B42D7F" w:rsidRPr="00477C32">
        <w:rPr>
          <w:rFonts w:ascii="Garamond" w:hAnsi="Garamond" w:cs="Times New Roman"/>
          <w:lang w:val="en-GB"/>
        </w:rPr>
        <w:t xml:space="preserve"> of increased power and influence within the coun</w:t>
      </w:r>
      <w:r w:rsidR="003C45D3" w:rsidRPr="00477C32">
        <w:rPr>
          <w:rFonts w:ascii="Garamond" w:hAnsi="Garamond" w:cs="Times New Roman"/>
          <w:lang w:val="en-GB"/>
        </w:rPr>
        <w:t>try for Bl</w:t>
      </w:r>
      <w:r w:rsidR="002F434C" w:rsidRPr="00477C32">
        <w:rPr>
          <w:rFonts w:ascii="Garamond" w:hAnsi="Garamond" w:cs="Times New Roman"/>
          <w:lang w:val="en-GB"/>
        </w:rPr>
        <w:t xml:space="preserve">ack and Asian people—the threat that </w:t>
      </w:r>
      <w:r w:rsidR="0054691C" w:rsidRPr="00477C32">
        <w:rPr>
          <w:rFonts w:ascii="Garamond" w:hAnsi="Garamond" w:cs="Times New Roman"/>
          <w:lang w:val="en-GB"/>
        </w:rPr>
        <w:t>‘</w:t>
      </w:r>
      <w:r w:rsidR="002F434C" w:rsidRPr="00477C32">
        <w:rPr>
          <w:rFonts w:ascii="Garamond" w:hAnsi="Garamond" w:cs="Times New Roman"/>
          <w:lang w:val="en-GB"/>
        </w:rPr>
        <w:t>in fifteen or twenty years’ time the Black man will have the whip hand over the White man</w:t>
      </w:r>
      <w:r w:rsidR="0054691C" w:rsidRPr="00477C32">
        <w:rPr>
          <w:rFonts w:ascii="Garamond" w:hAnsi="Garamond" w:cs="Times New Roman"/>
          <w:lang w:val="en-GB"/>
        </w:rPr>
        <w:t>’</w:t>
      </w:r>
      <w:r w:rsidR="002F434C" w:rsidRPr="00477C32">
        <w:rPr>
          <w:rFonts w:ascii="Garamond" w:hAnsi="Garamond" w:cs="Times New Roman"/>
          <w:lang w:val="en-GB"/>
        </w:rPr>
        <w:t xml:space="preserve">—as well as </w:t>
      </w:r>
      <w:r w:rsidR="006060FE" w:rsidRPr="00477C32">
        <w:rPr>
          <w:rFonts w:ascii="Garamond" w:hAnsi="Garamond" w:cs="Times New Roman"/>
          <w:lang w:val="en-GB"/>
        </w:rPr>
        <w:t xml:space="preserve">the cultural contagion of people </w:t>
      </w:r>
      <w:r w:rsidR="00864ED6" w:rsidRPr="00477C32">
        <w:rPr>
          <w:rFonts w:ascii="Garamond" w:hAnsi="Garamond" w:cs="Times New Roman"/>
          <w:lang w:val="en-GB"/>
        </w:rPr>
        <w:t xml:space="preserve">unable to conform to English standards of responsible </w:t>
      </w:r>
      <w:r w:rsidR="00C13A3F" w:rsidRPr="00477C32">
        <w:rPr>
          <w:rFonts w:ascii="Garamond" w:hAnsi="Garamond" w:cs="Times New Roman"/>
          <w:lang w:val="en-GB"/>
        </w:rPr>
        <w:t>behaviour</w:t>
      </w:r>
      <w:r w:rsidR="006060FE" w:rsidRPr="00477C32">
        <w:rPr>
          <w:rFonts w:ascii="Garamond" w:hAnsi="Garamond" w:cs="Times New Roman"/>
          <w:lang w:val="en-GB"/>
        </w:rPr>
        <w:t>.</w:t>
      </w:r>
    </w:p>
    <w:p w14:paraId="5BEADD68" w14:textId="484EDCF1" w:rsidR="002F434C" w:rsidRPr="00477C32" w:rsidRDefault="00F9410A" w:rsidP="00222B55">
      <w:pPr>
        <w:ind w:firstLine="720"/>
        <w:rPr>
          <w:rFonts w:ascii="Garamond" w:hAnsi="Garamond" w:cs="Times New Roman"/>
          <w:lang w:val="en-GB"/>
        </w:rPr>
      </w:pPr>
      <w:r w:rsidRPr="00477C32">
        <w:rPr>
          <w:rFonts w:ascii="Garamond" w:hAnsi="Garamond" w:cs="Times New Roman"/>
          <w:lang w:val="en-GB"/>
        </w:rPr>
        <w:t>Subsequent</w:t>
      </w:r>
      <w:r w:rsidR="00A37453" w:rsidRPr="00477C32">
        <w:rPr>
          <w:rFonts w:ascii="Garamond" w:hAnsi="Garamond" w:cs="Times New Roman"/>
          <w:lang w:val="en-GB"/>
        </w:rPr>
        <w:t xml:space="preserve"> </w:t>
      </w:r>
      <w:r w:rsidR="00B64A05" w:rsidRPr="00477C32">
        <w:rPr>
          <w:rFonts w:ascii="Garamond" w:hAnsi="Garamond" w:cs="Times New Roman"/>
          <w:lang w:val="en-GB"/>
        </w:rPr>
        <w:t>left</w:t>
      </w:r>
      <w:r w:rsidR="00100874" w:rsidRPr="00477C32">
        <w:rPr>
          <w:rFonts w:ascii="Garamond" w:hAnsi="Garamond" w:cs="Times New Roman"/>
          <w:lang w:val="en-GB"/>
        </w:rPr>
        <w:t>-</w:t>
      </w:r>
      <w:r w:rsidR="00B64A05" w:rsidRPr="00477C32">
        <w:rPr>
          <w:rFonts w:ascii="Garamond" w:hAnsi="Garamond" w:cs="Times New Roman"/>
          <w:lang w:val="en-GB"/>
        </w:rPr>
        <w:t xml:space="preserve"> and right</w:t>
      </w:r>
      <w:r w:rsidR="00100874" w:rsidRPr="00477C32">
        <w:rPr>
          <w:rFonts w:ascii="Garamond" w:hAnsi="Garamond" w:cs="Times New Roman"/>
          <w:lang w:val="en-GB"/>
        </w:rPr>
        <w:t>-</w:t>
      </w:r>
      <w:r w:rsidR="00B64A05" w:rsidRPr="00477C32">
        <w:rPr>
          <w:rFonts w:ascii="Garamond" w:hAnsi="Garamond" w:cs="Times New Roman"/>
          <w:lang w:val="en-GB"/>
        </w:rPr>
        <w:t xml:space="preserve">wing </w:t>
      </w:r>
      <w:r w:rsidR="007D1340" w:rsidRPr="00477C32">
        <w:rPr>
          <w:rFonts w:ascii="Garamond" w:hAnsi="Garamond" w:cs="Times New Roman"/>
          <w:lang w:val="en-GB"/>
        </w:rPr>
        <w:t>Euroscepticism, Shilliam shows,</w:t>
      </w:r>
      <w:r w:rsidR="00A37453" w:rsidRPr="00477C32">
        <w:rPr>
          <w:rFonts w:ascii="Garamond" w:hAnsi="Garamond" w:cs="Times New Roman"/>
          <w:lang w:val="en-GB"/>
        </w:rPr>
        <w:t xml:space="preserve"> </w:t>
      </w:r>
      <w:r w:rsidR="007D1340" w:rsidRPr="00477C32">
        <w:rPr>
          <w:rFonts w:ascii="Garamond" w:hAnsi="Garamond" w:cs="Times New Roman"/>
          <w:lang w:val="en-GB"/>
        </w:rPr>
        <w:t>has also drawn on tropes of an indigenous White, English national character at risk of foreign contamination</w:t>
      </w:r>
      <w:r w:rsidR="008B45DF" w:rsidRPr="00477C32">
        <w:rPr>
          <w:rFonts w:ascii="Garamond" w:hAnsi="Garamond" w:cs="Times New Roman"/>
          <w:lang w:val="en-GB"/>
        </w:rPr>
        <w:t>.</w:t>
      </w:r>
      <w:r w:rsidR="002F434C" w:rsidRPr="00477C32">
        <w:rPr>
          <w:rFonts w:ascii="Garamond" w:hAnsi="Garamond" w:cs="Times New Roman"/>
          <w:lang w:val="en-GB"/>
        </w:rPr>
        <w:t xml:space="preserve"> </w:t>
      </w:r>
      <w:r w:rsidR="001800A7" w:rsidRPr="00477C32">
        <w:rPr>
          <w:rFonts w:ascii="Garamond" w:hAnsi="Garamond" w:cs="Times New Roman"/>
          <w:lang w:val="en-GB"/>
        </w:rPr>
        <w:t xml:space="preserve">On the left, </w:t>
      </w:r>
      <w:r w:rsidR="00226587" w:rsidRPr="00477C32">
        <w:rPr>
          <w:rFonts w:ascii="Garamond" w:hAnsi="Garamond" w:cs="Times New Roman"/>
          <w:lang w:val="en-GB"/>
        </w:rPr>
        <w:t xml:space="preserve">Labour’s Euroscepticism was </w:t>
      </w:r>
      <w:r w:rsidR="00325A7E" w:rsidRPr="00477C32">
        <w:rPr>
          <w:rFonts w:ascii="Garamond" w:hAnsi="Garamond" w:cs="Times New Roman"/>
          <w:lang w:val="en-GB"/>
        </w:rPr>
        <w:t>‘</w:t>
      </w:r>
      <w:r w:rsidR="00226587" w:rsidRPr="00477C32">
        <w:rPr>
          <w:rFonts w:ascii="Garamond" w:hAnsi="Garamond" w:cs="Times New Roman"/>
          <w:lang w:val="en-GB"/>
        </w:rPr>
        <w:t>congenitally racialized</w:t>
      </w:r>
      <w:r w:rsidR="00325A7E" w:rsidRPr="00477C32">
        <w:rPr>
          <w:rFonts w:ascii="Garamond" w:hAnsi="Garamond" w:cs="Times New Roman"/>
          <w:lang w:val="en-GB"/>
        </w:rPr>
        <w:t>’</w:t>
      </w:r>
      <w:r w:rsidR="00226587" w:rsidRPr="00477C32">
        <w:rPr>
          <w:rFonts w:ascii="Garamond" w:hAnsi="Garamond" w:cs="Times New Roman"/>
          <w:lang w:val="en-GB"/>
        </w:rPr>
        <w:t xml:space="preserve"> (136). It was born </w:t>
      </w:r>
      <w:r w:rsidR="00E95555" w:rsidRPr="00477C32">
        <w:rPr>
          <w:rFonts w:ascii="Garamond" w:hAnsi="Garamond" w:cs="Times New Roman"/>
          <w:lang w:val="en-GB"/>
        </w:rPr>
        <w:t>in a political</w:t>
      </w:r>
      <w:r w:rsidR="00E20101" w:rsidRPr="00477C32">
        <w:rPr>
          <w:rFonts w:ascii="Garamond" w:hAnsi="Garamond" w:cs="Times New Roman"/>
          <w:lang w:val="en-GB"/>
        </w:rPr>
        <w:t xml:space="preserve"> </w:t>
      </w:r>
      <w:r w:rsidR="00514DE7" w:rsidRPr="00477C32">
        <w:rPr>
          <w:rFonts w:ascii="Garamond" w:hAnsi="Garamond" w:cs="Times New Roman"/>
          <w:lang w:val="en-GB"/>
        </w:rPr>
        <w:t xml:space="preserve">system </w:t>
      </w:r>
      <w:r w:rsidR="00E95555" w:rsidRPr="00477C32">
        <w:rPr>
          <w:rFonts w:ascii="Garamond" w:hAnsi="Garamond" w:cs="Times New Roman"/>
          <w:lang w:val="en-GB"/>
        </w:rPr>
        <w:t>where</w:t>
      </w:r>
      <w:r w:rsidR="00E20101" w:rsidRPr="00477C32">
        <w:rPr>
          <w:rFonts w:ascii="Garamond" w:hAnsi="Garamond" w:cs="Times New Roman"/>
          <w:lang w:val="en-GB"/>
        </w:rPr>
        <w:t xml:space="preserve"> the </w:t>
      </w:r>
      <w:r w:rsidR="00E95555" w:rsidRPr="00477C32">
        <w:rPr>
          <w:rFonts w:ascii="Garamond" w:hAnsi="Garamond" w:cs="Times New Roman"/>
          <w:lang w:val="en-GB"/>
        </w:rPr>
        <w:t xml:space="preserve">interests of Black and Asian workers were undefended by the </w:t>
      </w:r>
      <w:r w:rsidR="009A6E58" w:rsidRPr="00477C32">
        <w:rPr>
          <w:rFonts w:ascii="Garamond" w:hAnsi="Garamond" w:cs="Times New Roman"/>
          <w:lang w:val="en-GB"/>
        </w:rPr>
        <w:t>organized</w:t>
      </w:r>
      <w:r w:rsidR="00E95555" w:rsidRPr="00477C32">
        <w:rPr>
          <w:rFonts w:ascii="Garamond" w:hAnsi="Garamond" w:cs="Times New Roman"/>
          <w:lang w:val="en-GB"/>
        </w:rPr>
        <w:t xml:space="preserve"> </w:t>
      </w:r>
      <w:r w:rsidR="00C13A3F" w:rsidRPr="00477C32">
        <w:rPr>
          <w:rFonts w:ascii="Garamond" w:hAnsi="Garamond" w:cs="Times New Roman"/>
          <w:lang w:val="en-GB"/>
        </w:rPr>
        <w:t>labour</w:t>
      </w:r>
      <w:r w:rsidR="00E95555" w:rsidRPr="00477C32">
        <w:rPr>
          <w:rFonts w:ascii="Garamond" w:hAnsi="Garamond" w:cs="Times New Roman"/>
          <w:lang w:val="en-GB"/>
        </w:rPr>
        <w:t xml:space="preserve"> movement and one-third of London dockers had participated in a strike in support of Powell (102). Left-wing Eurosceptic agitation in the 1970s, Shilliam argues, drew heavily on the idea of </w:t>
      </w:r>
      <w:r w:rsidR="003574A8" w:rsidRPr="00477C32">
        <w:rPr>
          <w:rFonts w:ascii="Garamond" w:hAnsi="Garamond" w:cs="Times New Roman"/>
          <w:lang w:val="en-GB"/>
        </w:rPr>
        <w:t xml:space="preserve">protecting the </w:t>
      </w:r>
      <w:r w:rsidR="008F4432" w:rsidRPr="00477C32">
        <w:rPr>
          <w:rFonts w:ascii="Garamond" w:hAnsi="Garamond" w:cs="Times New Roman"/>
          <w:lang w:val="en-GB"/>
        </w:rPr>
        <w:t>‘</w:t>
      </w:r>
      <w:r w:rsidR="003574A8" w:rsidRPr="00477C32">
        <w:rPr>
          <w:rFonts w:ascii="Garamond" w:hAnsi="Garamond" w:cs="Times New Roman"/>
          <w:lang w:val="en-GB"/>
        </w:rPr>
        <w:t>common people</w:t>
      </w:r>
      <w:r w:rsidR="008F4432" w:rsidRPr="00477C32">
        <w:rPr>
          <w:rFonts w:ascii="Garamond" w:hAnsi="Garamond" w:cs="Times New Roman"/>
          <w:lang w:val="en-GB"/>
        </w:rPr>
        <w:t>’</w:t>
      </w:r>
      <w:r w:rsidR="003574A8" w:rsidRPr="00477C32">
        <w:rPr>
          <w:rFonts w:ascii="Garamond" w:hAnsi="Garamond" w:cs="Times New Roman"/>
          <w:lang w:val="en-GB"/>
        </w:rPr>
        <w:t xml:space="preserve"> in a context where </w:t>
      </w:r>
      <w:r w:rsidR="008F4432" w:rsidRPr="00477C32">
        <w:rPr>
          <w:rFonts w:ascii="Garamond" w:hAnsi="Garamond" w:cs="Times New Roman"/>
          <w:lang w:val="en-GB"/>
        </w:rPr>
        <w:t>‘</w:t>
      </w:r>
      <w:r w:rsidR="003574A8" w:rsidRPr="00477C32">
        <w:rPr>
          <w:rFonts w:ascii="Garamond" w:hAnsi="Garamond" w:cs="Times New Roman"/>
          <w:lang w:val="en-GB"/>
        </w:rPr>
        <w:t>common</w:t>
      </w:r>
      <w:r w:rsidR="008F4432" w:rsidRPr="00477C32">
        <w:rPr>
          <w:rFonts w:ascii="Garamond" w:hAnsi="Garamond" w:cs="Times New Roman"/>
          <w:lang w:val="en-GB"/>
        </w:rPr>
        <w:t>’</w:t>
      </w:r>
      <w:r w:rsidR="003574A8" w:rsidRPr="00477C32">
        <w:rPr>
          <w:rFonts w:ascii="Garamond" w:hAnsi="Garamond" w:cs="Times New Roman"/>
          <w:lang w:val="en-GB"/>
        </w:rPr>
        <w:t xml:space="preserve"> and </w:t>
      </w:r>
      <w:r w:rsidR="008F4432" w:rsidRPr="00477C32">
        <w:rPr>
          <w:rFonts w:ascii="Garamond" w:hAnsi="Garamond" w:cs="Times New Roman"/>
          <w:lang w:val="en-GB"/>
        </w:rPr>
        <w:t>‘</w:t>
      </w:r>
      <w:r w:rsidR="003574A8" w:rsidRPr="00477C32">
        <w:rPr>
          <w:rFonts w:ascii="Garamond" w:hAnsi="Garamond" w:cs="Times New Roman"/>
          <w:lang w:val="en-GB"/>
        </w:rPr>
        <w:t>ordinary</w:t>
      </w:r>
      <w:r w:rsidR="008F4432" w:rsidRPr="00477C32">
        <w:rPr>
          <w:rFonts w:ascii="Garamond" w:hAnsi="Garamond" w:cs="Times New Roman"/>
          <w:lang w:val="en-GB"/>
        </w:rPr>
        <w:t>’</w:t>
      </w:r>
      <w:r w:rsidR="003574A8" w:rsidRPr="00477C32">
        <w:rPr>
          <w:rFonts w:ascii="Garamond" w:hAnsi="Garamond" w:cs="Times New Roman"/>
          <w:lang w:val="en-GB"/>
        </w:rPr>
        <w:t xml:space="preserve"> were</w:t>
      </w:r>
      <w:r w:rsidR="00681460" w:rsidRPr="00477C32">
        <w:rPr>
          <w:rFonts w:ascii="Garamond" w:hAnsi="Garamond" w:cs="Times New Roman"/>
          <w:lang w:val="en-GB"/>
        </w:rPr>
        <w:t xml:space="preserve"> heavily racialized</w:t>
      </w:r>
      <w:r w:rsidR="00B33EB0" w:rsidRPr="00477C32">
        <w:rPr>
          <w:rFonts w:ascii="Garamond" w:hAnsi="Garamond" w:cs="Times New Roman"/>
          <w:lang w:val="en-GB"/>
        </w:rPr>
        <w:t xml:space="preserve"> (</w:t>
      </w:r>
      <w:r w:rsidR="000C0A6D" w:rsidRPr="00477C32">
        <w:rPr>
          <w:rFonts w:ascii="Garamond" w:hAnsi="Garamond" w:cs="Times New Roman"/>
          <w:lang w:val="en-GB"/>
        </w:rPr>
        <w:t>as White</w:t>
      </w:r>
      <w:r w:rsidR="00B33EB0" w:rsidRPr="00477C32">
        <w:rPr>
          <w:rFonts w:ascii="Garamond" w:hAnsi="Garamond" w:cs="Times New Roman"/>
          <w:lang w:val="en-GB"/>
        </w:rPr>
        <w:t>)</w:t>
      </w:r>
      <w:r w:rsidR="00AA4333" w:rsidRPr="00477C32">
        <w:rPr>
          <w:rFonts w:ascii="Garamond" w:hAnsi="Garamond" w:cs="Times New Roman"/>
          <w:lang w:val="en-GB"/>
        </w:rPr>
        <w:t xml:space="preserve">. </w:t>
      </w:r>
      <w:r w:rsidR="00931EFF" w:rsidRPr="00477C32">
        <w:rPr>
          <w:rFonts w:ascii="Garamond" w:hAnsi="Garamond" w:cs="Times New Roman"/>
          <w:lang w:val="en-GB"/>
        </w:rPr>
        <w:t xml:space="preserve">Even after the union movement began to address the issue of racial prejudice, union leaders and Labour politicians continued to </w:t>
      </w:r>
      <w:r w:rsidR="009A6E58" w:rsidRPr="00477C32">
        <w:rPr>
          <w:rFonts w:ascii="Garamond" w:hAnsi="Garamond" w:cs="Times New Roman"/>
          <w:lang w:val="en-GB"/>
        </w:rPr>
        <w:t xml:space="preserve">often endorse a </w:t>
      </w:r>
      <w:r w:rsidR="00931EFF" w:rsidRPr="00477C32">
        <w:rPr>
          <w:rFonts w:ascii="Garamond" w:hAnsi="Garamond" w:cs="Times New Roman"/>
          <w:lang w:val="en-GB"/>
        </w:rPr>
        <w:t xml:space="preserve">narrative </w:t>
      </w:r>
      <w:r w:rsidR="006C0374" w:rsidRPr="00477C32">
        <w:rPr>
          <w:rFonts w:ascii="Garamond" w:hAnsi="Garamond" w:cs="Times New Roman"/>
          <w:lang w:val="en-GB"/>
        </w:rPr>
        <w:t>around immigration that represented immigrant</w:t>
      </w:r>
      <w:r w:rsidR="009A6E58" w:rsidRPr="00477C32">
        <w:rPr>
          <w:rFonts w:ascii="Garamond" w:hAnsi="Garamond" w:cs="Times New Roman"/>
          <w:lang w:val="en-GB"/>
        </w:rPr>
        <w:t>s primarily as scrounging users of public goods. As far as right-wing Euroscepticism goes</w:t>
      </w:r>
      <w:r w:rsidR="00E95555" w:rsidRPr="00477C32">
        <w:rPr>
          <w:rFonts w:ascii="Garamond" w:hAnsi="Garamond" w:cs="Times New Roman"/>
          <w:lang w:val="en-GB"/>
        </w:rPr>
        <w:t xml:space="preserve">, </w:t>
      </w:r>
      <w:r w:rsidR="00053D01" w:rsidRPr="00477C32">
        <w:rPr>
          <w:rFonts w:ascii="Garamond" w:hAnsi="Garamond" w:cs="Times New Roman"/>
          <w:lang w:val="en-GB"/>
        </w:rPr>
        <w:t>the Bruges Group</w:t>
      </w:r>
      <w:r w:rsidR="00E95555" w:rsidRPr="00477C32">
        <w:rPr>
          <w:rFonts w:ascii="Garamond" w:hAnsi="Garamond" w:cs="Times New Roman"/>
          <w:lang w:val="en-GB"/>
        </w:rPr>
        <w:t>, for example,</w:t>
      </w:r>
      <w:r w:rsidR="00053D01" w:rsidRPr="00477C32">
        <w:rPr>
          <w:rFonts w:ascii="Garamond" w:hAnsi="Garamond" w:cs="Times New Roman"/>
          <w:lang w:val="en-GB"/>
        </w:rPr>
        <w:t xml:space="preserve"> </w:t>
      </w:r>
      <w:r w:rsidR="00CC4278" w:rsidRPr="00477C32">
        <w:rPr>
          <w:rFonts w:ascii="Garamond" w:hAnsi="Garamond" w:cs="Times New Roman"/>
          <w:lang w:val="en-GB"/>
        </w:rPr>
        <w:t xml:space="preserve">carried forward </w:t>
      </w:r>
      <w:r w:rsidR="003574A8" w:rsidRPr="00477C32">
        <w:rPr>
          <w:rFonts w:ascii="Garamond" w:hAnsi="Garamond" w:cs="Times New Roman"/>
          <w:lang w:val="en-GB"/>
        </w:rPr>
        <w:t>a</w:t>
      </w:r>
      <w:r w:rsidR="00C67DF9" w:rsidRPr="00477C32">
        <w:rPr>
          <w:rFonts w:ascii="Garamond" w:hAnsi="Garamond" w:cs="Times New Roman"/>
          <w:lang w:val="en-GB"/>
        </w:rPr>
        <w:t xml:space="preserve"> </w:t>
      </w:r>
      <w:r w:rsidR="00CC4278" w:rsidRPr="00477C32">
        <w:rPr>
          <w:rFonts w:ascii="Garamond" w:hAnsi="Garamond" w:cs="Times New Roman"/>
          <w:lang w:val="en-GB"/>
        </w:rPr>
        <w:t xml:space="preserve">rhetoric of the need to protect the national character </w:t>
      </w:r>
      <w:r w:rsidR="003574A8" w:rsidRPr="00477C32">
        <w:rPr>
          <w:rFonts w:ascii="Garamond" w:hAnsi="Garamond" w:cs="Times New Roman"/>
          <w:lang w:val="en-GB"/>
        </w:rPr>
        <w:t>from undesirable foreign influence.</w:t>
      </w:r>
      <w:r w:rsidR="007135E2" w:rsidRPr="00477C32">
        <w:rPr>
          <w:rFonts w:ascii="Garamond" w:hAnsi="Garamond" w:cs="Times New Roman"/>
          <w:lang w:val="en-GB"/>
        </w:rPr>
        <w:t xml:space="preserve"> </w:t>
      </w:r>
      <w:r w:rsidR="00AB2954" w:rsidRPr="00477C32">
        <w:rPr>
          <w:rFonts w:ascii="Garamond" w:hAnsi="Garamond" w:cs="Times New Roman"/>
          <w:lang w:val="en-GB"/>
        </w:rPr>
        <w:t xml:space="preserve">And while </w:t>
      </w:r>
      <w:r w:rsidR="004448FB" w:rsidRPr="00477C32">
        <w:rPr>
          <w:rFonts w:ascii="Garamond" w:hAnsi="Garamond" w:cs="Times New Roman"/>
          <w:lang w:val="en-GB"/>
        </w:rPr>
        <w:t>UK Independence Party (</w:t>
      </w:r>
      <w:r w:rsidR="00AB2954" w:rsidRPr="00477C32">
        <w:rPr>
          <w:rFonts w:ascii="Garamond" w:hAnsi="Garamond" w:cs="Times New Roman"/>
          <w:lang w:val="en-GB"/>
        </w:rPr>
        <w:t>UKIP</w:t>
      </w:r>
      <w:r w:rsidR="004448FB" w:rsidRPr="00477C32">
        <w:rPr>
          <w:rFonts w:ascii="Garamond" w:hAnsi="Garamond" w:cs="Times New Roman"/>
          <w:lang w:val="en-GB"/>
        </w:rPr>
        <w:t>)</w:t>
      </w:r>
      <w:r w:rsidR="00AB2954" w:rsidRPr="00477C32">
        <w:rPr>
          <w:rFonts w:ascii="Garamond" w:hAnsi="Garamond" w:cs="Times New Roman"/>
          <w:lang w:val="en-GB"/>
        </w:rPr>
        <w:t xml:space="preserve"> founder Alan Sked was eventually to express repugnance at Nigel Farage’s overt racism and say that the party had lost its way, it is all the same true that in the party’s earlier days Sked directly sought out Powell </w:t>
      </w:r>
      <w:r w:rsidR="00E20B45" w:rsidRPr="00477C32">
        <w:rPr>
          <w:rFonts w:ascii="Garamond" w:hAnsi="Garamond" w:cs="Times New Roman"/>
          <w:lang w:val="en-GB"/>
        </w:rPr>
        <w:t>to stand as a candidate</w:t>
      </w:r>
      <w:r w:rsidR="00AB2954" w:rsidRPr="00477C32">
        <w:rPr>
          <w:rFonts w:ascii="Garamond" w:hAnsi="Garamond" w:cs="Times New Roman"/>
          <w:lang w:val="en-GB"/>
        </w:rPr>
        <w:t>.</w:t>
      </w:r>
      <w:r w:rsidR="00E20B45" w:rsidRPr="00477C32">
        <w:rPr>
          <w:rStyle w:val="FootnoteReference"/>
          <w:rFonts w:ascii="Garamond" w:hAnsi="Garamond" w:cs="Times New Roman"/>
          <w:lang w:val="en-GB"/>
        </w:rPr>
        <w:footnoteReference w:id="25"/>
      </w:r>
    </w:p>
    <w:p w14:paraId="21BDBBB1" w14:textId="474A6CB0" w:rsidR="00C4356C" w:rsidRPr="00477C32" w:rsidRDefault="0056072A" w:rsidP="00222B55">
      <w:pPr>
        <w:ind w:firstLine="720"/>
        <w:rPr>
          <w:rFonts w:ascii="Garamond" w:hAnsi="Garamond" w:cs="Times New Roman"/>
          <w:lang w:val="en-GB"/>
        </w:rPr>
      </w:pPr>
      <w:r w:rsidRPr="00477C32">
        <w:rPr>
          <w:rFonts w:ascii="Garamond" w:hAnsi="Garamond" w:cs="Times New Roman"/>
          <w:lang w:val="en-GB"/>
        </w:rPr>
        <w:t>In sum, just like the notion of the ‘</w:t>
      </w:r>
      <w:r w:rsidR="00960ED2" w:rsidRPr="00477C32">
        <w:rPr>
          <w:rFonts w:ascii="Garamond" w:hAnsi="Garamond" w:cs="Times New Roman"/>
          <w:lang w:val="en-GB"/>
        </w:rPr>
        <w:t>w</w:t>
      </w:r>
      <w:r w:rsidRPr="00477C32">
        <w:rPr>
          <w:rFonts w:ascii="Garamond" w:hAnsi="Garamond" w:cs="Times New Roman"/>
          <w:lang w:val="en-GB"/>
        </w:rPr>
        <w:t xml:space="preserve">elfare </w:t>
      </w:r>
      <w:r w:rsidR="00960ED2" w:rsidRPr="00477C32">
        <w:rPr>
          <w:rFonts w:ascii="Garamond" w:hAnsi="Garamond" w:cs="Times New Roman"/>
          <w:lang w:val="en-GB"/>
        </w:rPr>
        <w:t>q</w:t>
      </w:r>
      <w:r w:rsidRPr="00477C32">
        <w:rPr>
          <w:rFonts w:ascii="Garamond" w:hAnsi="Garamond" w:cs="Times New Roman"/>
          <w:lang w:val="en-GB"/>
        </w:rPr>
        <w:t>ueen’, the</w:t>
      </w:r>
      <w:r w:rsidR="00A37453" w:rsidRPr="00477C32">
        <w:rPr>
          <w:rFonts w:ascii="Garamond" w:hAnsi="Garamond" w:cs="Times New Roman"/>
          <w:lang w:val="en-GB"/>
        </w:rPr>
        <w:t xml:space="preserve"> seemingly race-neutra</w:t>
      </w:r>
      <w:r w:rsidRPr="00477C32">
        <w:rPr>
          <w:rFonts w:ascii="Garamond" w:hAnsi="Garamond" w:cs="Times New Roman"/>
          <w:lang w:val="en-GB"/>
        </w:rPr>
        <w:t xml:space="preserve">l notion of </w:t>
      </w:r>
      <w:r w:rsidR="00DF6C7B" w:rsidRPr="00477C32">
        <w:rPr>
          <w:rFonts w:ascii="Garamond" w:hAnsi="Garamond" w:cs="Times New Roman"/>
          <w:lang w:val="en-GB"/>
        </w:rPr>
        <w:t>the</w:t>
      </w:r>
      <w:r w:rsidRPr="00477C32">
        <w:rPr>
          <w:rFonts w:ascii="Garamond" w:hAnsi="Garamond" w:cs="Times New Roman"/>
          <w:lang w:val="en-GB"/>
        </w:rPr>
        <w:t xml:space="preserve"> ‘left-behind</w:t>
      </w:r>
      <w:r w:rsidR="00DF6C7B" w:rsidRPr="00477C32">
        <w:rPr>
          <w:rFonts w:ascii="Garamond" w:hAnsi="Garamond" w:cs="Times New Roman"/>
          <w:lang w:val="en-GB"/>
        </w:rPr>
        <w:t>s</w:t>
      </w:r>
      <w:r w:rsidRPr="00477C32">
        <w:rPr>
          <w:rFonts w:ascii="Garamond" w:hAnsi="Garamond" w:cs="Times New Roman"/>
          <w:lang w:val="en-GB"/>
        </w:rPr>
        <w:t xml:space="preserve">’ </w:t>
      </w:r>
      <w:r w:rsidR="00A37453" w:rsidRPr="00477C32">
        <w:rPr>
          <w:rFonts w:ascii="Garamond" w:hAnsi="Garamond" w:cs="Times New Roman"/>
          <w:lang w:val="en-GB"/>
        </w:rPr>
        <w:t xml:space="preserve">in fact evokes a strong set of associations with </w:t>
      </w:r>
      <w:r w:rsidRPr="00477C32">
        <w:rPr>
          <w:rFonts w:ascii="Garamond" w:hAnsi="Garamond" w:cs="Times New Roman"/>
          <w:lang w:val="en-GB"/>
        </w:rPr>
        <w:t xml:space="preserve">race, including the idea that especially deserving </w:t>
      </w:r>
      <w:r w:rsidR="00EC2212" w:rsidRPr="00477C32">
        <w:rPr>
          <w:rFonts w:ascii="Garamond" w:hAnsi="Garamond" w:cs="Times New Roman"/>
          <w:lang w:val="en-GB"/>
        </w:rPr>
        <w:t>W</w:t>
      </w:r>
      <w:r w:rsidRPr="00477C32">
        <w:rPr>
          <w:rFonts w:ascii="Garamond" w:hAnsi="Garamond" w:cs="Times New Roman"/>
          <w:lang w:val="en-GB"/>
        </w:rPr>
        <w:t>hites are being sacrificed by a political class that pays too much attention to undeserving people of colo</w:t>
      </w:r>
      <w:r w:rsidR="00B52640" w:rsidRPr="00477C32">
        <w:rPr>
          <w:rFonts w:ascii="Garamond" w:hAnsi="Garamond" w:cs="Times New Roman"/>
          <w:lang w:val="en-GB"/>
        </w:rPr>
        <w:t>u</w:t>
      </w:r>
      <w:r w:rsidRPr="00477C32">
        <w:rPr>
          <w:rFonts w:ascii="Garamond" w:hAnsi="Garamond" w:cs="Times New Roman"/>
          <w:lang w:val="en-GB"/>
        </w:rPr>
        <w:t xml:space="preserve">r. </w:t>
      </w:r>
      <w:r w:rsidR="00CB2538" w:rsidRPr="00477C32">
        <w:rPr>
          <w:rFonts w:ascii="Garamond" w:hAnsi="Garamond" w:cs="Times New Roman"/>
          <w:lang w:val="en-GB"/>
        </w:rPr>
        <w:t xml:space="preserve">Thus, even when </w:t>
      </w:r>
      <w:r w:rsidR="001E254B" w:rsidRPr="00477C32">
        <w:rPr>
          <w:rFonts w:ascii="Garamond" w:hAnsi="Garamond" w:cs="Times New Roman"/>
          <w:lang w:val="en-GB"/>
        </w:rPr>
        <w:t>people defending</w:t>
      </w:r>
      <w:r w:rsidR="00CB2538" w:rsidRPr="00477C32">
        <w:rPr>
          <w:rFonts w:ascii="Garamond" w:hAnsi="Garamond" w:cs="Times New Roman"/>
          <w:lang w:val="en-GB"/>
        </w:rPr>
        <w:t xml:space="preserve"> Brexit have not been explicitly referring to the ‘</w:t>
      </w:r>
      <w:r w:rsidR="00F12B26" w:rsidRPr="00477C32">
        <w:rPr>
          <w:rFonts w:ascii="Garamond" w:hAnsi="Garamond" w:cs="Times New Roman"/>
          <w:lang w:val="en-GB"/>
        </w:rPr>
        <w:t>W</w:t>
      </w:r>
      <w:r w:rsidR="00CB2538" w:rsidRPr="00477C32">
        <w:rPr>
          <w:rFonts w:ascii="Garamond" w:hAnsi="Garamond" w:cs="Times New Roman"/>
          <w:lang w:val="en-GB"/>
        </w:rPr>
        <w:t>hite working class’, the common advocacy on the part of the ‘left-behinds’ has still been implicitly racial.</w:t>
      </w:r>
      <w:r w:rsidR="007135E2" w:rsidRPr="00477C32">
        <w:rPr>
          <w:rFonts w:ascii="Garamond" w:hAnsi="Garamond" w:cs="Times New Roman"/>
          <w:lang w:val="en-GB"/>
        </w:rPr>
        <w:t xml:space="preserve"> </w:t>
      </w:r>
      <w:r w:rsidR="00CB2538" w:rsidRPr="00477C32">
        <w:rPr>
          <w:rFonts w:ascii="Garamond" w:hAnsi="Garamond" w:cs="Times New Roman"/>
          <w:lang w:val="en-GB"/>
        </w:rPr>
        <w:t xml:space="preserve">And </w:t>
      </w:r>
      <w:r w:rsidR="001E254B" w:rsidRPr="00477C32">
        <w:rPr>
          <w:rFonts w:ascii="Garamond" w:hAnsi="Garamond" w:cs="Times New Roman"/>
          <w:lang w:val="en-GB"/>
        </w:rPr>
        <w:t>note that those associations hold whether or not a speaker intends to draw on them: someone using the phrase ‘</w:t>
      </w:r>
      <w:r w:rsidR="00560324" w:rsidRPr="00477C32">
        <w:rPr>
          <w:rFonts w:ascii="Garamond" w:hAnsi="Garamond" w:cs="Times New Roman"/>
          <w:lang w:val="en-GB"/>
        </w:rPr>
        <w:t>w</w:t>
      </w:r>
      <w:r w:rsidR="001E254B" w:rsidRPr="00477C32">
        <w:rPr>
          <w:rFonts w:ascii="Garamond" w:hAnsi="Garamond" w:cs="Times New Roman"/>
          <w:lang w:val="en-GB"/>
        </w:rPr>
        <w:t xml:space="preserve">elfare </w:t>
      </w:r>
      <w:r w:rsidR="00560324" w:rsidRPr="00477C32">
        <w:rPr>
          <w:rFonts w:ascii="Garamond" w:hAnsi="Garamond" w:cs="Times New Roman"/>
          <w:lang w:val="en-GB"/>
        </w:rPr>
        <w:t>q</w:t>
      </w:r>
      <w:r w:rsidR="001E254B" w:rsidRPr="00477C32">
        <w:rPr>
          <w:rFonts w:ascii="Garamond" w:hAnsi="Garamond" w:cs="Times New Roman"/>
          <w:lang w:val="en-GB"/>
        </w:rPr>
        <w:t>ueen’, for example, would trigger its racial associations even if they believed strongly in racial equality</w:t>
      </w:r>
      <w:r w:rsidR="00CB2538" w:rsidRPr="00477C32">
        <w:rPr>
          <w:rFonts w:ascii="Garamond" w:hAnsi="Garamond" w:cs="Times New Roman"/>
          <w:lang w:val="en-GB"/>
        </w:rPr>
        <w:t>.</w:t>
      </w:r>
    </w:p>
    <w:p w14:paraId="329A8511" w14:textId="46300433" w:rsidR="000D349A" w:rsidRPr="00477C32" w:rsidRDefault="000D349A" w:rsidP="00222B55">
      <w:pPr>
        <w:ind w:firstLine="720"/>
        <w:rPr>
          <w:rFonts w:ascii="Garamond" w:hAnsi="Garamond" w:cs="Times New Roman"/>
          <w:lang w:val="en-GB"/>
        </w:rPr>
      </w:pPr>
      <w:r w:rsidRPr="00477C32">
        <w:rPr>
          <w:rFonts w:ascii="Garamond" w:hAnsi="Garamond" w:cs="Times New Roman"/>
          <w:lang w:val="en-GB"/>
        </w:rPr>
        <w:t xml:space="preserve">Is </w:t>
      </w:r>
      <w:r w:rsidR="0021529B" w:rsidRPr="00477C32">
        <w:rPr>
          <w:rFonts w:ascii="Garamond" w:hAnsi="Garamond" w:cs="Times New Roman"/>
          <w:lang w:val="en-GB"/>
        </w:rPr>
        <w:t>it</w:t>
      </w:r>
      <w:r w:rsidRPr="00477C32">
        <w:rPr>
          <w:rFonts w:ascii="Garamond" w:hAnsi="Garamond" w:cs="Times New Roman"/>
          <w:lang w:val="en-GB"/>
        </w:rPr>
        <w:t xml:space="preserve"> problematic</w:t>
      </w:r>
      <w:r w:rsidR="0089025F" w:rsidRPr="00477C32">
        <w:rPr>
          <w:rFonts w:ascii="Garamond" w:hAnsi="Garamond" w:cs="Times New Roman"/>
          <w:lang w:val="en-GB"/>
        </w:rPr>
        <w:t xml:space="preserve"> if people are</w:t>
      </w:r>
      <w:r w:rsidR="0021529B" w:rsidRPr="00477C32">
        <w:rPr>
          <w:rFonts w:ascii="Garamond" w:hAnsi="Garamond" w:cs="Times New Roman"/>
          <w:lang w:val="en-GB"/>
        </w:rPr>
        <w:t xml:space="preserve"> advocating, whether explicitly or implicitly, on behalf of the White working class</w:t>
      </w:r>
      <w:r w:rsidRPr="00477C32">
        <w:rPr>
          <w:rFonts w:ascii="Garamond" w:hAnsi="Garamond" w:cs="Times New Roman"/>
          <w:lang w:val="en-GB"/>
        </w:rPr>
        <w:t>?</w:t>
      </w:r>
      <w:r w:rsidR="00FD6038" w:rsidRPr="00477C32">
        <w:rPr>
          <w:rFonts w:ascii="Garamond" w:hAnsi="Garamond" w:cs="Times New Roman"/>
          <w:lang w:val="en-GB"/>
        </w:rPr>
        <w:t xml:space="preserve"> </w:t>
      </w:r>
      <w:r w:rsidR="00A32FF1" w:rsidRPr="00477C32">
        <w:rPr>
          <w:rFonts w:ascii="Garamond" w:hAnsi="Garamond" w:cs="Times New Roman"/>
          <w:lang w:val="en-GB"/>
        </w:rPr>
        <w:t xml:space="preserve">As we have seen, </w:t>
      </w:r>
      <w:r w:rsidR="00061743" w:rsidRPr="00477C32">
        <w:rPr>
          <w:rFonts w:ascii="Garamond" w:hAnsi="Garamond" w:cs="Times New Roman"/>
          <w:lang w:val="en-GB"/>
        </w:rPr>
        <w:t>defenders of</w:t>
      </w:r>
      <w:r w:rsidR="00A32FF1" w:rsidRPr="00477C32">
        <w:rPr>
          <w:rFonts w:ascii="Garamond" w:hAnsi="Garamond" w:cs="Times New Roman"/>
          <w:lang w:val="en-GB"/>
        </w:rPr>
        <w:t xml:space="preserve"> </w:t>
      </w:r>
      <w:r w:rsidR="00FD6038" w:rsidRPr="00477C32">
        <w:rPr>
          <w:rFonts w:ascii="Garamond" w:hAnsi="Garamond" w:cs="Times New Roman"/>
          <w:lang w:val="en-GB"/>
        </w:rPr>
        <w:t xml:space="preserve">Brexit and the Trump vote sometimes </w:t>
      </w:r>
      <w:r w:rsidR="00A32FF1" w:rsidRPr="00477C32">
        <w:rPr>
          <w:rFonts w:ascii="Garamond" w:hAnsi="Garamond" w:cs="Times New Roman"/>
          <w:lang w:val="en-GB"/>
        </w:rPr>
        <w:t>openly</w:t>
      </w:r>
      <w:r w:rsidR="00FD6038" w:rsidRPr="00477C32">
        <w:rPr>
          <w:rFonts w:ascii="Garamond" w:hAnsi="Garamond" w:cs="Times New Roman"/>
          <w:lang w:val="en-GB"/>
        </w:rPr>
        <w:t xml:space="preserve"> accept a role for race and say that the ‘left</w:t>
      </w:r>
      <w:r w:rsidR="00BB4B6E" w:rsidRPr="00477C32">
        <w:rPr>
          <w:rFonts w:ascii="Garamond" w:hAnsi="Garamond" w:cs="Times New Roman"/>
          <w:lang w:val="en-GB"/>
        </w:rPr>
        <w:t>-</w:t>
      </w:r>
      <w:r w:rsidR="00FD6038" w:rsidRPr="00477C32">
        <w:rPr>
          <w:rFonts w:ascii="Garamond" w:hAnsi="Garamond" w:cs="Times New Roman"/>
          <w:lang w:val="en-GB"/>
        </w:rPr>
        <w:t xml:space="preserve">behinds’ they are concerned for are really members of ‘the </w:t>
      </w:r>
      <w:r w:rsidR="006C6CE7" w:rsidRPr="00477C32">
        <w:rPr>
          <w:rFonts w:ascii="Garamond" w:hAnsi="Garamond" w:cs="Times New Roman"/>
          <w:lang w:val="en-GB"/>
        </w:rPr>
        <w:t>W</w:t>
      </w:r>
      <w:r w:rsidR="00FD6038" w:rsidRPr="00477C32">
        <w:rPr>
          <w:rFonts w:ascii="Garamond" w:hAnsi="Garamond" w:cs="Times New Roman"/>
          <w:lang w:val="en-GB"/>
        </w:rPr>
        <w:t>hite working class’.</w:t>
      </w:r>
      <w:r w:rsidR="0089025F" w:rsidRPr="00477C32">
        <w:rPr>
          <w:rFonts w:ascii="Garamond" w:hAnsi="Garamond" w:cs="Times New Roman"/>
          <w:lang w:val="en-GB"/>
        </w:rPr>
        <w:t xml:space="preserve"> They might defend this as follows. </w:t>
      </w:r>
      <w:r w:rsidR="00FD6038" w:rsidRPr="00477C32">
        <w:rPr>
          <w:rFonts w:ascii="Garamond" w:hAnsi="Garamond" w:cs="Times New Roman"/>
          <w:lang w:val="en-GB"/>
        </w:rPr>
        <w:t xml:space="preserve">On </w:t>
      </w:r>
      <w:r w:rsidR="00A32FF1" w:rsidRPr="00477C32">
        <w:rPr>
          <w:rFonts w:ascii="Garamond" w:hAnsi="Garamond" w:cs="Times New Roman"/>
          <w:lang w:val="en-GB"/>
        </w:rPr>
        <w:t>their</w:t>
      </w:r>
      <w:r w:rsidR="00FD6038" w:rsidRPr="00477C32">
        <w:rPr>
          <w:rFonts w:ascii="Garamond" w:hAnsi="Garamond" w:cs="Times New Roman"/>
          <w:lang w:val="en-GB"/>
        </w:rPr>
        <w:t xml:space="preserve"> view, the </w:t>
      </w:r>
      <w:r w:rsidR="006C6CE7" w:rsidRPr="00477C32">
        <w:rPr>
          <w:rFonts w:ascii="Garamond" w:hAnsi="Garamond" w:cs="Times New Roman"/>
          <w:lang w:val="en-GB"/>
        </w:rPr>
        <w:t>W</w:t>
      </w:r>
      <w:r w:rsidR="00FD6038" w:rsidRPr="00477C32">
        <w:rPr>
          <w:rFonts w:ascii="Garamond" w:hAnsi="Garamond" w:cs="Times New Roman"/>
          <w:lang w:val="en-GB"/>
        </w:rPr>
        <w:t>hite working class is a legitimate interest group—just like interest groups defined by occupation or re</w:t>
      </w:r>
      <w:r w:rsidR="00961D08" w:rsidRPr="00477C32">
        <w:rPr>
          <w:rFonts w:ascii="Garamond" w:hAnsi="Garamond" w:cs="Times New Roman"/>
          <w:lang w:val="en-GB"/>
        </w:rPr>
        <w:t>li</w:t>
      </w:r>
      <w:r w:rsidR="00FD6038" w:rsidRPr="00477C32">
        <w:rPr>
          <w:rFonts w:ascii="Garamond" w:hAnsi="Garamond" w:cs="Times New Roman"/>
          <w:lang w:val="en-GB"/>
        </w:rPr>
        <w:t>gion or minority racial status—and entitled to</w:t>
      </w:r>
      <w:r w:rsidR="00B83BC7" w:rsidRPr="00477C32">
        <w:rPr>
          <w:rFonts w:ascii="Garamond" w:hAnsi="Garamond" w:cs="Times New Roman"/>
          <w:lang w:val="en-GB"/>
        </w:rPr>
        <w:t xml:space="preserve"> use the political process to</w:t>
      </w:r>
      <w:r w:rsidR="00FD6038" w:rsidRPr="00477C32">
        <w:rPr>
          <w:rFonts w:ascii="Garamond" w:hAnsi="Garamond" w:cs="Times New Roman"/>
          <w:lang w:val="en-GB"/>
        </w:rPr>
        <w:t xml:space="preserve"> protect itself from the vagaries of globalization, including immigration.</w:t>
      </w:r>
      <w:r w:rsidRPr="00477C32">
        <w:rPr>
          <w:rFonts w:ascii="Garamond" w:hAnsi="Garamond" w:cs="Times New Roman"/>
          <w:lang w:val="en-GB"/>
        </w:rPr>
        <w:t xml:space="preserve"> </w:t>
      </w:r>
      <w:r w:rsidR="00061743" w:rsidRPr="00477C32">
        <w:rPr>
          <w:rFonts w:ascii="Garamond" w:hAnsi="Garamond" w:cs="Times New Roman"/>
          <w:lang w:val="en-GB"/>
        </w:rPr>
        <w:t xml:space="preserve">Brexit apologist David </w:t>
      </w:r>
      <w:r w:rsidR="00A32FF1" w:rsidRPr="00477C32">
        <w:rPr>
          <w:rFonts w:ascii="Garamond" w:hAnsi="Garamond" w:cs="Times New Roman"/>
          <w:lang w:val="en-GB"/>
        </w:rPr>
        <w:t xml:space="preserve">Goodhart, for example, </w:t>
      </w:r>
      <w:r w:rsidR="00A629E3" w:rsidRPr="00477C32">
        <w:rPr>
          <w:rFonts w:ascii="Garamond" w:hAnsi="Garamond" w:cs="Times New Roman"/>
          <w:lang w:val="en-GB"/>
        </w:rPr>
        <w:t>insinuates that it may be fine</w:t>
      </w:r>
      <w:r w:rsidR="00A32FF1" w:rsidRPr="00477C32">
        <w:rPr>
          <w:rFonts w:ascii="Garamond" w:hAnsi="Garamond" w:cs="Times New Roman"/>
          <w:lang w:val="en-GB"/>
        </w:rPr>
        <w:t xml:space="preserve"> </w:t>
      </w:r>
      <w:r w:rsidR="00A629E3" w:rsidRPr="00477C32">
        <w:rPr>
          <w:rFonts w:ascii="Garamond" w:hAnsi="Garamond" w:cs="Times New Roman"/>
          <w:lang w:val="en-GB"/>
        </w:rPr>
        <w:t>to agitate on</w:t>
      </w:r>
      <w:r w:rsidR="0089025F" w:rsidRPr="00477C32">
        <w:rPr>
          <w:rFonts w:ascii="Garamond" w:hAnsi="Garamond" w:cs="Times New Roman"/>
          <w:lang w:val="en-GB"/>
        </w:rPr>
        <w:t xml:space="preserve"> behalf of </w:t>
      </w:r>
      <w:r w:rsidR="00362A28" w:rsidRPr="00477C32">
        <w:rPr>
          <w:rFonts w:ascii="Garamond" w:hAnsi="Garamond" w:cs="Times New Roman"/>
          <w:lang w:val="en-GB"/>
        </w:rPr>
        <w:t>a</w:t>
      </w:r>
      <w:r w:rsidR="00A629E3" w:rsidRPr="00477C32">
        <w:rPr>
          <w:rFonts w:ascii="Garamond" w:hAnsi="Garamond" w:cs="Times New Roman"/>
          <w:lang w:val="en-GB"/>
        </w:rPr>
        <w:t xml:space="preserve"> racial majority</w:t>
      </w:r>
      <w:r w:rsidR="006759A9" w:rsidRPr="00477C32">
        <w:rPr>
          <w:rFonts w:ascii="Garamond" w:hAnsi="Garamond" w:cs="Times New Roman"/>
          <w:lang w:val="en-GB"/>
        </w:rPr>
        <w:t xml:space="preserve"> if it</w:t>
      </w:r>
      <w:r w:rsidR="0089025F" w:rsidRPr="00477C32">
        <w:rPr>
          <w:rFonts w:ascii="Garamond" w:hAnsi="Garamond" w:cs="Times New Roman"/>
          <w:lang w:val="en-GB"/>
        </w:rPr>
        <w:t xml:space="preserve">s interests are not receiving due attention. He </w:t>
      </w:r>
      <w:r w:rsidR="00A629E3" w:rsidRPr="00477C32">
        <w:rPr>
          <w:rFonts w:ascii="Garamond" w:hAnsi="Garamond" w:cs="Times New Roman"/>
          <w:lang w:val="en-GB"/>
        </w:rPr>
        <w:t>sympathizes</w:t>
      </w:r>
      <w:r w:rsidR="0089025F" w:rsidRPr="00477C32">
        <w:rPr>
          <w:rFonts w:ascii="Garamond" w:hAnsi="Garamond" w:cs="Times New Roman"/>
          <w:lang w:val="en-GB"/>
        </w:rPr>
        <w:t xml:space="preserve"> with </w:t>
      </w:r>
      <w:r w:rsidR="00961D08" w:rsidRPr="00477C32">
        <w:rPr>
          <w:rFonts w:ascii="Garamond" w:hAnsi="Garamond" w:cs="Times New Roman"/>
          <w:lang w:val="en-GB"/>
        </w:rPr>
        <w:t>‘</w:t>
      </w:r>
      <w:r w:rsidR="0089025F" w:rsidRPr="00477C32">
        <w:rPr>
          <w:rFonts w:ascii="Garamond" w:hAnsi="Garamond" w:cs="Times New Roman"/>
          <w:lang w:val="en-GB"/>
        </w:rPr>
        <w:t>feeling</w:t>
      </w:r>
      <w:r w:rsidR="00362A28" w:rsidRPr="00477C32">
        <w:rPr>
          <w:rFonts w:ascii="Garamond" w:hAnsi="Garamond" w:cs="Times New Roman"/>
          <w:lang w:val="en-GB"/>
        </w:rPr>
        <w:t>[s]</w:t>
      </w:r>
      <w:r w:rsidR="0089025F" w:rsidRPr="00477C32">
        <w:rPr>
          <w:rFonts w:ascii="Garamond" w:hAnsi="Garamond" w:cs="Times New Roman"/>
          <w:lang w:val="en-GB"/>
        </w:rPr>
        <w:t xml:space="preserve"> of abandonment by </w:t>
      </w:r>
      <w:r w:rsidR="0089025F" w:rsidRPr="00477C32">
        <w:rPr>
          <w:rFonts w:ascii="Garamond" w:hAnsi="Garamond" w:cs="Times New Roman"/>
          <w:lang w:val="en-GB"/>
        </w:rPr>
        <w:lastRenderedPageBreak/>
        <w:t>political and economic elites who seem to be more concerned with minorities than the white working class</w:t>
      </w:r>
      <w:r w:rsidR="00961D08" w:rsidRPr="00477C32">
        <w:rPr>
          <w:rFonts w:ascii="Garamond" w:hAnsi="Garamond" w:cs="Times New Roman"/>
          <w:lang w:val="en-GB"/>
        </w:rPr>
        <w:t>’</w:t>
      </w:r>
      <w:r w:rsidR="0089025F" w:rsidRPr="00477C32">
        <w:rPr>
          <w:rFonts w:ascii="Garamond" w:hAnsi="Garamond" w:cs="Times New Roman"/>
          <w:lang w:val="en-GB"/>
        </w:rPr>
        <w:t xml:space="preserve"> (2017, 68).</w:t>
      </w:r>
    </w:p>
    <w:p w14:paraId="69FADF9A" w14:textId="75124660" w:rsidR="008310D2" w:rsidRPr="00477C32" w:rsidRDefault="000D349A" w:rsidP="00222B55">
      <w:pPr>
        <w:ind w:firstLine="720"/>
        <w:rPr>
          <w:rFonts w:ascii="Garamond" w:hAnsi="Garamond" w:cs="Times New Roman"/>
          <w:lang w:val="en-GB"/>
        </w:rPr>
      </w:pPr>
      <w:r w:rsidRPr="00477C32">
        <w:rPr>
          <w:rFonts w:ascii="Garamond" w:hAnsi="Garamond" w:cs="Times New Roman"/>
          <w:lang w:val="en-GB"/>
        </w:rPr>
        <w:t>Let me respond to this idea that</w:t>
      </w:r>
      <w:r w:rsidR="00A32FF1" w:rsidRPr="00477C32">
        <w:rPr>
          <w:rFonts w:ascii="Garamond" w:hAnsi="Garamond" w:cs="Times New Roman"/>
          <w:lang w:val="en-GB"/>
        </w:rPr>
        <w:t xml:space="preserve"> agitation of behalf of ‘the </w:t>
      </w:r>
      <w:r w:rsidR="00EC2212" w:rsidRPr="00477C32">
        <w:rPr>
          <w:rFonts w:ascii="Garamond" w:hAnsi="Garamond" w:cs="Times New Roman"/>
          <w:lang w:val="en-GB"/>
        </w:rPr>
        <w:t>W</w:t>
      </w:r>
      <w:r w:rsidR="00A32FF1" w:rsidRPr="00477C32">
        <w:rPr>
          <w:rFonts w:ascii="Garamond" w:hAnsi="Garamond" w:cs="Times New Roman"/>
          <w:lang w:val="en-GB"/>
        </w:rPr>
        <w:t>hite working’ class need not be problematic</w:t>
      </w:r>
      <w:r w:rsidR="001A0903" w:rsidRPr="00477C32">
        <w:rPr>
          <w:rFonts w:ascii="Garamond" w:hAnsi="Garamond" w:cs="Times New Roman"/>
          <w:lang w:val="en-GB"/>
        </w:rPr>
        <w:t xml:space="preserve">. </w:t>
      </w:r>
      <w:r w:rsidR="00A32FF1" w:rsidRPr="00477C32">
        <w:rPr>
          <w:rFonts w:ascii="Garamond" w:hAnsi="Garamond" w:cs="Times New Roman"/>
          <w:lang w:val="en-GB"/>
        </w:rPr>
        <w:t xml:space="preserve">It is again worth being </w:t>
      </w:r>
      <w:r w:rsidR="001618D1" w:rsidRPr="00477C32">
        <w:rPr>
          <w:rFonts w:ascii="Garamond" w:hAnsi="Garamond" w:cs="Times New Roman"/>
          <w:lang w:val="en-GB"/>
        </w:rPr>
        <w:t xml:space="preserve">clear </w:t>
      </w:r>
      <w:r w:rsidR="00A32FF1" w:rsidRPr="00477C32">
        <w:rPr>
          <w:rFonts w:ascii="Garamond" w:hAnsi="Garamond" w:cs="Times New Roman"/>
          <w:lang w:val="en-GB"/>
        </w:rPr>
        <w:t xml:space="preserve">that references to ‘the </w:t>
      </w:r>
      <w:r w:rsidR="00EC2212" w:rsidRPr="00477C32">
        <w:rPr>
          <w:rFonts w:ascii="Garamond" w:hAnsi="Garamond" w:cs="Times New Roman"/>
          <w:lang w:val="en-GB"/>
        </w:rPr>
        <w:t>W</w:t>
      </w:r>
      <w:r w:rsidR="00A32FF1" w:rsidRPr="00477C32">
        <w:rPr>
          <w:rFonts w:ascii="Garamond" w:hAnsi="Garamond" w:cs="Times New Roman"/>
          <w:lang w:val="en-GB"/>
        </w:rPr>
        <w:t xml:space="preserve">hite working class’ are </w:t>
      </w:r>
      <w:r w:rsidR="001618D1" w:rsidRPr="00477C32">
        <w:rPr>
          <w:rFonts w:ascii="Garamond" w:hAnsi="Garamond" w:cs="Times New Roman"/>
          <w:lang w:val="en-GB"/>
        </w:rPr>
        <w:t xml:space="preserve">often </w:t>
      </w:r>
      <w:r w:rsidR="00A32FF1" w:rsidRPr="00477C32">
        <w:rPr>
          <w:rFonts w:ascii="Garamond" w:hAnsi="Garamond" w:cs="Times New Roman"/>
          <w:lang w:val="en-GB"/>
        </w:rPr>
        <w:t xml:space="preserve">deceptive, since typically people are actually referring to a group that is more heterogeneous with respect to class status. But even if we were to confine our attention to the </w:t>
      </w:r>
      <w:r w:rsidR="0037469C" w:rsidRPr="00477C32">
        <w:rPr>
          <w:rFonts w:ascii="Garamond" w:hAnsi="Garamond" w:cs="Times New Roman"/>
          <w:lang w:val="en-GB"/>
        </w:rPr>
        <w:t>White</w:t>
      </w:r>
      <w:r w:rsidR="00A32FF1" w:rsidRPr="00477C32">
        <w:rPr>
          <w:rFonts w:ascii="Garamond" w:hAnsi="Garamond" w:cs="Times New Roman"/>
          <w:lang w:val="en-GB"/>
        </w:rPr>
        <w:t xml:space="preserve"> working class</w:t>
      </w:r>
      <w:r w:rsidR="00CE19BD" w:rsidRPr="00477C32">
        <w:rPr>
          <w:rFonts w:ascii="Garamond" w:hAnsi="Garamond" w:cs="Times New Roman"/>
          <w:lang w:val="en-GB"/>
        </w:rPr>
        <w:t xml:space="preserve"> </w:t>
      </w:r>
      <w:r w:rsidR="00CE19BD" w:rsidRPr="00477C32">
        <w:rPr>
          <w:rFonts w:ascii="Garamond" w:hAnsi="Garamond" w:cs="Times New Roman"/>
          <w:i/>
          <w:lang w:val="en-GB"/>
        </w:rPr>
        <w:t>per se</w:t>
      </w:r>
      <w:r w:rsidR="00CB7496" w:rsidRPr="00477C32">
        <w:rPr>
          <w:rFonts w:ascii="Garamond" w:hAnsi="Garamond" w:cs="Times New Roman"/>
          <w:iCs/>
          <w:lang w:val="en-GB"/>
        </w:rPr>
        <w:t>,</w:t>
      </w:r>
      <w:r w:rsidR="00A32FF1" w:rsidRPr="00477C32">
        <w:rPr>
          <w:rFonts w:ascii="Garamond" w:hAnsi="Garamond" w:cs="Times New Roman"/>
          <w:lang w:val="en-GB"/>
        </w:rPr>
        <w:t xml:space="preserve"> I would argue that advocacy on behalf of </w:t>
      </w:r>
      <w:r w:rsidR="0037469C" w:rsidRPr="00477C32">
        <w:rPr>
          <w:rFonts w:ascii="Garamond" w:hAnsi="Garamond" w:cs="Times New Roman"/>
          <w:lang w:val="en-GB"/>
        </w:rPr>
        <w:t>a specifically White group</w:t>
      </w:r>
      <w:r w:rsidR="00A32FF1" w:rsidRPr="00477C32">
        <w:rPr>
          <w:rFonts w:ascii="Garamond" w:hAnsi="Garamond" w:cs="Times New Roman"/>
          <w:lang w:val="en-GB"/>
        </w:rPr>
        <w:t xml:space="preserve"> is </w:t>
      </w:r>
      <w:r w:rsidR="00CB2538" w:rsidRPr="00477C32">
        <w:rPr>
          <w:rFonts w:ascii="Garamond" w:hAnsi="Garamond" w:cs="Times New Roman"/>
          <w:lang w:val="en-GB"/>
        </w:rPr>
        <w:t>extremely</w:t>
      </w:r>
      <w:r w:rsidR="00A32FF1" w:rsidRPr="00477C32">
        <w:rPr>
          <w:rFonts w:ascii="Garamond" w:hAnsi="Garamond" w:cs="Times New Roman"/>
          <w:lang w:val="en-GB"/>
        </w:rPr>
        <w:t xml:space="preserve"> problematic. To view Whites</w:t>
      </w:r>
      <w:r w:rsidR="00912B95" w:rsidRPr="00477C32">
        <w:rPr>
          <w:rFonts w:ascii="Garamond" w:hAnsi="Garamond" w:cs="Times New Roman"/>
          <w:lang w:val="en-GB"/>
        </w:rPr>
        <w:t>, even some economic subset of Whites,</w:t>
      </w:r>
      <w:r w:rsidR="00A32FF1" w:rsidRPr="00477C32">
        <w:rPr>
          <w:rFonts w:ascii="Garamond" w:hAnsi="Garamond" w:cs="Times New Roman"/>
          <w:lang w:val="en-GB"/>
        </w:rPr>
        <w:t xml:space="preserve"> as simply an interest group like</w:t>
      </w:r>
      <w:r w:rsidR="00CE19BD" w:rsidRPr="00477C32">
        <w:rPr>
          <w:rFonts w:ascii="Garamond" w:hAnsi="Garamond" w:cs="Times New Roman"/>
          <w:lang w:val="en-GB"/>
        </w:rPr>
        <w:t xml:space="preserve"> any</w:t>
      </w:r>
      <w:r w:rsidR="00A32FF1" w:rsidRPr="00477C32">
        <w:rPr>
          <w:rFonts w:ascii="Garamond" w:hAnsi="Garamond" w:cs="Times New Roman"/>
          <w:lang w:val="en-GB"/>
        </w:rPr>
        <w:t xml:space="preserve"> another is </w:t>
      </w:r>
      <w:r w:rsidR="00CB2538" w:rsidRPr="00477C32">
        <w:rPr>
          <w:rFonts w:ascii="Garamond" w:hAnsi="Garamond" w:cs="Times New Roman"/>
          <w:lang w:val="en-GB"/>
        </w:rPr>
        <w:t xml:space="preserve">to ignore the deep history </w:t>
      </w:r>
      <w:r w:rsidR="003E3FAC" w:rsidRPr="00477C32">
        <w:rPr>
          <w:rFonts w:ascii="Garamond" w:hAnsi="Garamond" w:cs="Times New Roman"/>
          <w:lang w:val="en-GB"/>
        </w:rPr>
        <w:t xml:space="preserve">of </w:t>
      </w:r>
      <w:r w:rsidR="00CB2538" w:rsidRPr="00477C32">
        <w:rPr>
          <w:rFonts w:ascii="Garamond" w:hAnsi="Garamond" w:cs="Times New Roman"/>
          <w:lang w:val="en-GB"/>
        </w:rPr>
        <w:t>colonialism and racial hierarchy</w:t>
      </w:r>
      <w:r w:rsidR="00A64721" w:rsidRPr="00477C32">
        <w:rPr>
          <w:rFonts w:ascii="Garamond" w:hAnsi="Garamond" w:cs="Times New Roman"/>
          <w:lang w:val="en-GB"/>
        </w:rPr>
        <w:t>.</w:t>
      </w:r>
      <w:r w:rsidR="00203B22" w:rsidRPr="00477C32">
        <w:rPr>
          <w:rFonts w:ascii="Garamond" w:hAnsi="Garamond" w:cs="Times New Roman"/>
          <w:lang w:val="en-GB"/>
        </w:rPr>
        <w:t xml:space="preserve"> Historically, to be racialized as White, in the U</w:t>
      </w:r>
      <w:r w:rsidR="00AD4059" w:rsidRPr="00477C32">
        <w:rPr>
          <w:rFonts w:ascii="Garamond" w:hAnsi="Garamond" w:cs="Times New Roman"/>
          <w:lang w:val="en-GB"/>
        </w:rPr>
        <w:t xml:space="preserve">nited </w:t>
      </w:r>
      <w:r w:rsidR="00203B22" w:rsidRPr="00477C32">
        <w:rPr>
          <w:rFonts w:ascii="Garamond" w:hAnsi="Garamond" w:cs="Times New Roman"/>
          <w:lang w:val="en-GB"/>
        </w:rPr>
        <w:t>S</w:t>
      </w:r>
      <w:r w:rsidR="00AD4059" w:rsidRPr="00477C32">
        <w:rPr>
          <w:rFonts w:ascii="Garamond" w:hAnsi="Garamond" w:cs="Times New Roman"/>
          <w:lang w:val="en-GB"/>
        </w:rPr>
        <w:t>tates</w:t>
      </w:r>
      <w:r w:rsidR="00203B22" w:rsidRPr="00477C32">
        <w:rPr>
          <w:rFonts w:ascii="Garamond" w:hAnsi="Garamond" w:cs="Times New Roman"/>
          <w:lang w:val="en-GB"/>
        </w:rPr>
        <w:t xml:space="preserve"> or in the U</w:t>
      </w:r>
      <w:r w:rsidR="00AD4059" w:rsidRPr="00477C32">
        <w:rPr>
          <w:rFonts w:ascii="Garamond" w:hAnsi="Garamond" w:cs="Times New Roman"/>
          <w:lang w:val="en-GB"/>
        </w:rPr>
        <w:t xml:space="preserve">nited </w:t>
      </w:r>
      <w:r w:rsidR="00203B22" w:rsidRPr="00477C32">
        <w:rPr>
          <w:rFonts w:ascii="Garamond" w:hAnsi="Garamond" w:cs="Times New Roman"/>
          <w:lang w:val="en-GB"/>
        </w:rPr>
        <w:t>K</w:t>
      </w:r>
      <w:r w:rsidR="00AD4059" w:rsidRPr="00477C32">
        <w:rPr>
          <w:rFonts w:ascii="Garamond" w:hAnsi="Garamond" w:cs="Times New Roman"/>
          <w:lang w:val="en-GB"/>
        </w:rPr>
        <w:t>ingdom</w:t>
      </w:r>
      <w:r w:rsidR="00203B22" w:rsidRPr="00477C32">
        <w:rPr>
          <w:rFonts w:ascii="Garamond" w:hAnsi="Garamond" w:cs="Times New Roman"/>
          <w:lang w:val="en-GB"/>
        </w:rPr>
        <w:t>, has been to be marked as someone who, according to the dominant ideology and within the dominant social structures, is entitled to special privileges and power. For example, as Irish</w:t>
      </w:r>
      <w:r w:rsidR="00593B17" w:rsidRPr="00477C32">
        <w:rPr>
          <w:rFonts w:ascii="Garamond" w:hAnsi="Garamond" w:cs="Times New Roman"/>
          <w:lang w:val="en-GB"/>
        </w:rPr>
        <w:t xml:space="preserve"> </w:t>
      </w:r>
      <w:r w:rsidR="00203B22" w:rsidRPr="00477C32">
        <w:rPr>
          <w:rFonts w:ascii="Garamond" w:hAnsi="Garamond" w:cs="Times New Roman"/>
          <w:lang w:val="en-GB"/>
        </w:rPr>
        <w:t>American</w:t>
      </w:r>
      <w:r w:rsidR="00593B17" w:rsidRPr="00477C32">
        <w:rPr>
          <w:rFonts w:ascii="Garamond" w:hAnsi="Garamond" w:cs="Times New Roman"/>
          <w:lang w:val="en-GB"/>
        </w:rPr>
        <w:t xml:space="preserve"> people</w:t>
      </w:r>
      <w:r w:rsidR="00203B22" w:rsidRPr="00477C32">
        <w:rPr>
          <w:rFonts w:ascii="Garamond" w:hAnsi="Garamond" w:cs="Times New Roman"/>
          <w:lang w:val="en-GB"/>
        </w:rPr>
        <w:t xml:space="preserve"> came to be understood as White they </w:t>
      </w:r>
      <w:r w:rsidR="006A05EE" w:rsidRPr="00477C32">
        <w:rPr>
          <w:rFonts w:ascii="Garamond" w:hAnsi="Garamond" w:cs="Times New Roman"/>
          <w:lang w:val="en-GB"/>
        </w:rPr>
        <w:t>were thereby</w:t>
      </w:r>
      <w:r w:rsidR="00203B22" w:rsidRPr="00477C32">
        <w:rPr>
          <w:rFonts w:ascii="Garamond" w:hAnsi="Garamond" w:cs="Times New Roman"/>
          <w:lang w:val="en-GB"/>
        </w:rPr>
        <w:t xml:space="preserve"> no longer placed in subordinate positions along with Blacks (‘No Blacks, No Dogs, No Irish’ signs began to be removed from bars, for instance) and instead came to have access to political and economic </w:t>
      </w:r>
      <w:r w:rsidR="006A05EE" w:rsidRPr="00477C32">
        <w:rPr>
          <w:rFonts w:ascii="Garamond" w:hAnsi="Garamond" w:cs="Times New Roman"/>
          <w:lang w:val="en-GB"/>
        </w:rPr>
        <w:t>advantage</w:t>
      </w:r>
      <w:r w:rsidR="003326C8" w:rsidRPr="00477C32">
        <w:rPr>
          <w:rFonts w:ascii="Garamond" w:hAnsi="Garamond" w:cs="Times New Roman"/>
          <w:lang w:val="en-GB"/>
        </w:rPr>
        <w:t>s</w:t>
      </w:r>
      <w:r w:rsidR="006A05EE" w:rsidRPr="00477C32">
        <w:rPr>
          <w:rFonts w:ascii="Garamond" w:hAnsi="Garamond" w:cs="Times New Roman"/>
          <w:lang w:val="en-GB"/>
        </w:rPr>
        <w:t xml:space="preserve"> that were denied to Blacks</w:t>
      </w:r>
      <w:r w:rsidR="001E254B" w:rsidRPr="00477C32">
        <w:rPr>
          <w:rFonts w:ascii="Garamond" w:hAnsi="Garamond" w:cs="Times New Roman"/>
          <w:lang w:val="en-GB"/>
        </w:rPr>
        <w:t xml:space="preserve">. </w:t>
      </w:r>
      <w:r w:rsidR="00CB2538" w:rsidRPr="00477C32">
        <w:rPr>
          <w:rFonts w:ascii="Garamond" w:hAnsi="Garamond" w:cs="Times New Roman"/>
          <w:lang w:val="en-GB"/>
        </w:rPr>
        <w:t xml:space="preserve">The distinctive </w:t>
      </w:r>
      <w:r w:rsidR="006F1587" w:rsidRPr="00477C32">
        <w:rPr>
          <w:rFonts w:ascii="Garamond" w:hAnsi="Garamond" w:cs="Times New Roman"/>
          <w:lang w:val="en-GB"/>
        </w:rPr>
        <w:t>group</w:t>
      </w:r>
      <w:r w:rsidR="00CB2538" w:rsidRPr="00477C32">
        <w:rPr>
          <w:rFonts w:ascii="Garamond" w:hAnsi="Garamond" w:cs="Times New Roman"/>
          <w:lang w:val="en-GB"/>
        </w:rPr>
        <w:t xml:space="preserve"> interests of Whites </w:t>
      </w:r>
      <w:r w:rsidR="00CB2538" w:rsidRPr="00477C32">
        <w:rPr>
          <w:rFonts w:ascii="Garamond" w:hAnsi="Garamond" w:cs="Times New Roman"/>
          <w:i/>
          <w:lang w:val="en-GB"/>
        </w:rPr>
        <w:t>qua</w:t>
      </w:r>
      <w:r w:rsidR="00CB2538" w:rsidRPr="00477C32">
        <w:rPr>
          <w:rFonts w:ascii="Garamond" w:hAnsi="Garamond" w:cs="Times New Roman"/>
          <w:lang w:val="en-GB"/>
        </w:rPr>
        <w:t xml:space="preserve"> Whites are inherently tied </w:t>
      </w:r>
      <w:r w:rsidR="00A017FD" w:rsidRPr="00477C32">
        <w:rPr>
          <w:rFonts w:ascii="Garamond" w:hAnsi="Garamond" w:cs="Times New Roman"/>
          <w:lang w:val="en-GB"/>
        </w:rPr>
        <w:t xml:space="preserve">to </w:t>
      </w:r>
      <w:r w:rsidR="00CB2538" w:rsidRPr="00477C32">
        <w:rPr>
          <w:rFonts w:ascii="Garamond" w:hAnsi="Garamond" w:cs="Times New Roman"/>
          <w:lang w:val="en-GB"/>
        </w:rPr>
        <w:t>their ability t</w:t>
      </w:r>
      <w:r w:rsidR="006A05EE" w:rsidRPr="00477C32">
        <w:rPr>
          <w:rFonts w:ascii="Garamond" w:hAnsi="Garamond" w:cs="Times New Roman"/>
          <w:lang w:val="en-GB"/>
        </w:rPr>
        <w:t>o maintain a superior position in society</w:t>
      </w:r>
      <w:r w:rsidR="00203B22" w:rsidRPr="00477C32">
        <w:rPr>
          <w:rFonts w:ascii="Garamond" w:hAnsi="Garamond" w:cs="Times New Roman"/>
          <w:lang w:val="en-GB"/>
        </w:rPr>
        <w:t>.</w:t>
      </w:r>
      <w:r w:rsidR="006F1587" w:rsidRPr="00477C32">
        <w:rPr>
          <w:rFonts w:ascii="Garamond" w:hAnsi="Garamond" w:cs="Times New Roman"/>
          <w:lang w:val="en-GB"/>
        </w:rPr>
        <w:t xml:space="preserve"> </w:t>
      </w:r>
      <w:r w:rsidR="00821FA3" w:rsidRPr="00477C32">
        <w:rPr>
          <w:rFonts w:ascii="Garamond" w:hAnsi="Garamond" w:cs="Times New Roman"/>
          <w:lang w:val="en-GB"/>
        </w:rPr>
        <w:t>M</w:t>
      </w:r>
      <w:r w:rsidR="006F1587" w:rsidRPr="00477C32">
        <w:rPr>
          <w:rFonts w:ascii="Garamond" w:hAnsi="Garamond" w:cs="Times New Roman"/>
          <w:lang w:val="en-GB"/>
        </w:rPr>
        <w:t>embers of the White working class have benefitted from racial privilege even as they occupy a relatively disadvantage</w:t>
      </w:r>
      <w:r w:rsidR="00274CC0" w:rsidRPr="00477C32">
        <w:rPr>
          <w:rFonts w:ascii="Garamond" w:hAnsi="Garamond" w:cs="Times New Roman"/>
          <w:lang w:val="en-GB"/>
        </w:rPr>
        <w:t>d</w:t>
      </w:r>
      <w:r w:rsidR="006F1587" w:rsidRPr="00477C32">
        <w:rPr>
          <w:rFonts w:ascii="Garamond" w:hAnsi="Garamond" w:cs="Times New Roman"/>
          <w:lang w:val="en-GB"/>
        </w:rPr>
        <w:t xml:space="preserve"> position in </w:t>
      </w:r>
      <w:proofErr w:type="gramStart"/>
      <w:r w:rsidR="006F1587" w:rsidRPr="00477C32">
        <w:rPr>
          <w:rFonts w:ascii="Garamond" w:hAnsi="Garamond" w:cs="Times New Roman"/>
          <w:lang w:val="en-GB"/>
        </w:rPr>
        <w:t>society as a whole</w:t>
      </w:r>
      <w:proofErr w:type="gramEnd"/>
      <w:r w:rsidR="006F1587" w:rsidRPr="00477C32">
        <w:rPr>
          <w:rFonts w:ascii="Garamond" w:hAnsi="Garamond" w:cs="Times New Roman"/>
          <w:lang w:val="en-GB"/>
        </w:rPr>
        <w:t>.</w:t>
      </w:r>
      <w:r w:rsidR="00203B22" w:rsidRPr="00477C32">
        <w:rPr>
          <w:rFonts w:ascii="Garamond" w:hAnsi="Garamond" w:cs="Times New Roman"/>
          <w:lang w:val="en-GB"/>
        </w:rPr>
        <w:t xml:space="preserve"> </w:t>
      </w:r>
      <w:r w:rsidR="006A05EE" w:rsidRPr="00477C32">
        <w:rPr>
          <w:rFonts w:ascii="Garamond" w:hAnsi="Garamond" w:cs="Times New Roman"/>
          <w:lang w:val="en-GB"/>
        </w:rPr>
        <w:t xml:space="preserve">To advocate </w:t>
      </w:r>
      <w:r w:rsidR="00D70B1B" w:rsidRPr="00477C32">
        <w:rPr>
          <w:rFonts w:ascii="Garamond" w:hAnsi="Garamond" w:cs="Times New Roman"/>
          <w:lang w:val="en-GB"/>
        </w:rPr>
        <w:t xml:space="preserve">specifically </w:t>
      </w:r>
      <w:r w:rsidR="006A05EE" w:rsidRPr="00477C32">
        <w:rPr>
          <w:rFonts w:ascii="Garamond" w:hAnsi="Garamond" w:cs="Times New Roman"/>
          <w:lang w:val="en-GB"/>
        </w:rPr>
        <w:t xml:space="preserve">on behalf of </w:t>
      </w:r>
      <w:r w:rsidR="006F1587" w:rsidRPr="00477C32">
        <w:rPr>
          <w:rFonts w:ascii="Garamond" w:hAnsi="Garamond" w:cs="Times New Roman"/>
          <w:lang w:val="en-GB"/>
        </w:rPr>
        <w:t>a White group</w:t>
      </w:r>
      <w:r w:rsidR="006A05EE" w:rsidRPr="00477C32">
        <w:rPr>
          <w:rFonts w:ascii="Garamond" w:hAnsi="Garamond" w:cs="Times New Roman"/>
          <w:lang w:val="en-GB"/>
        </w:rPr>
        <w:t xml:space="preserve">, then, is to advocate on behalf of such </w:t>
      </w:r>
      <w:r w:rsidR="00A629E3" w:rsidRPr="00477C32">
        <w:rPr>
          <w:rFonts w:ascii="Garamond" w:hAnsi="Garamond" w:cs="Times New Roman"/>
          <w:lang w:val="en-GB"/>
        </w:rPr>
        <w:t>privilege</w:t>
      </w:r>
      <w:r w:rsidR="002E5874" w:rsidRPr="00477C32">
        <w:rPr>
          <w:rFonts w:ascii="Garamond" w:hAnsi="Garamond" w:cs="Times New Roman"/>
          <w:lang w:val="en-GB"/>
        </w:rPr>
        <w:t>.</w:t>
      </w:r>
      <w:r w:rsidR="009B2978" w:rsidRPr="00477C32">
        <w:rPr>
          <w:rStyle w:val="FootnoteReference"/>
          <w:rFonts w:ascii="Garamond" w:hAnsi="Garamond" w:cs="Times New Roman"/>
          <w:lang w:val="en-GB"/>
        </w:rPr>
        <w:footnoteReference w:id="26"/>
      </w:r>
    </w:p>
    <w:p w14:paraId="72FE52F5" w14:textId="368480B2" w:rsidR="00CB2538" w:rsidRPr="00477C32" w:rsidRDefault="0055429A" w:rsidP="00222B55">
      <w:pPr>
        <w:ind w:firstLine="720"/>
        <w:rPr>
          <w:rFonts w:ascii="Garamond" w:hAnsi="Garamond" w:cs="Times New Roman"/>
          <w:lang w:val="en-GB"/>
        </w:rPr>
      </w:pPr>
      <w:r w:rsidRPr="00477C32">
        <w:rPr>
          <w:rFonts w:ascii="Garamond" w:hAnsi="Garamond" w:cs="Times New Roman"/>
          <w:lang w:val="en-GB"/>
        </w:rPr>
        <w:t xml:space="preserve">Let me now tie these observations back to my broader questions about </w:t>
      </w:r>
      <w:r w:rsidR="0062297D" w:rsidRPr="00477C32">
        <w:rPr>
          <w:rFonts w:ascii="Garamond" w:hAnsi="Garamond" w:cs="Times New Roman"/>
          <w:lang w:val="en-GB"/>
        </w:rPr>
        <w:t>CSG</w:t>
      </w:r>
      <w:r w:rsidRPr="00477C32">
        <w:rPr>
          <w:rFonts w:ascii="Garamond" w:hAnsi="Garamond" w:cs="Times New Roman"/>
          <w:lang w:val="en-GB"/>
        </w:rPr>
        <w:t xml:space="preserve">. We saw earlier how immigration policies that are explicitly justified by a demand to keep out </w:t>
      </w:r>
      <w:r w:rsidR="00C13A3F" w:rsidRPr="00477C32">
        <w:rPr>
          <w:rFonts w:ascii="Garamond" w:hAnsi="Garamond" w:cs="Times New Roman"/>
          <w:lang w:val="en-GB"/>
        </w:rPr>
        <w:t>disfavoured</w:t>
      </w:r>
      <w:r w:rsidRPr="00477C32">
        <w:rPr>
          <w:rFonts w:ascii="Garamond" w:hAnsi="Garamond" w:cs="Times New Roman"/>
          <w:lang w:val="en-GB"/>
        </w:rPr>
        <w:t xml:space="preserve"> races can damage </w:t>
      </w:r>
      <w:r w:rsidR="0062297D" w:rsidRPr="00477C32">
        <w:rPr>
          <w:rFonts w:ascii="Garamond" w:hAnsi="Garamond" w:cs="Times New Roman"/>
          <w:lang w:val="en-GB"/>
        </w:rPr>
        <w:t>CSG</w:t>
      </w:r>
      <w:r w:rsidRPr="00477C32">
        <w:rPr>
          <w:rFonts w:ascii="Garamond" w:hAnsi="Garamond" w:cs="Times New Roman"/>
          <w:lang w:val="en-GB"/>
        </w:rPr>
        <w:t>, specifically by making it harder for racial minorities to participate as equals in the political process. What I have just been exploring is how even when race is</w:t>
      </w:r>
      <w:r w:rsidR="00370CAD" w:rsidRPr="00477C32">
        <w:rPr>
          <w:rFonts w:ascii="Garamond" w:hAnsi="Garamond" w:cs="Times New Roman"/>
          <w:lang w:val="en-GB"/>
        </w:rPr>
        <w:t xml:space="preserve"> </w:t>
      </w:r>
      <w:r w:rsidRPr="00477C32">
        <w:rPr>
          <w:rFonts w:ascii="Garamond" w:hAnsi="Garamond" w:cs="Times New Roman"/>
          <w:lang w:val="en-GB"/>
        </w:rPr>
        <w:t>n</w:t>
      </w:r>
      <w:r w:rsidR="00370CAD" w:rsidRPr="00477C32">
        <w:rPr>
          <w:rFonts w:ascii="Garamond" w:hAnsi="Garamond" w:cs="Times New Roman"/>
          <w:lang w:val="en-GB"/>
        </w:rPr>
        <w:t>o</w:t>
      </w:r>
      <w:r w:rsidRPr="00477C32">
        <w:rPr>
          <w:rFonts w:ascii="Garamond" w:hAnsi="Garamond" w:cs="Times New Roman"/>
          <w:lang w:val="en-GB"/>
        </w:rPr>
        <w:t xml:space="preserve">t explicitly evoked it can still play an implicit role. And I would like to suggest that in these cases too damage can be done to </w:t>
      </w:r>
      <w:r w:rsidR="0062297D" w:rsidRPr="00477C32">
        <w:rPr>
          <w:rFonts w:ascii="Garamond" w:hAnsi="Garamond" w:cs="Times New Roman"/>
          <w:lang w:val="en-GB"/>
        </w:rPr>
        <w:t>CSG</w:t>
      </w:r>
      <w:r w:rsidRPr="00477C32">
        <w:rPr>
          <w:rFonts w:ascii="Garamond" w:hAnsi="Garamond" w:cs="Times New Roman"/>
          <w:lang w:val="en-GB"/>
        </w:rPr>
        <w:t>. Appeals on behalf of the ‘left</w:t>
      </w:r>
      <w:r w:rsidR="00BB4B6E" w:rsidRPr="00477C32">
        <w:rPr>
          <w:rFonts w:ascii="Garamond" w:hAnsi="Garamond" w:cs="Times New Roman"/>
          <w:lang w:val="en-GB"/>
        </w:rPr>
        <w:t>-</w:t>
      </w:r>
      <w:r w:rsidRPr="00477C32">
        <w:rPr>
          <w:rFonts w:ascii="Garamond" w:hAnsi="Garamond" w:cs="Times New Roman"/>
          <w:lang w:val="en-GB"/>
        </w:rPr>
        <w:t xml:space="preserve">behinds’, for instance, may not make any explicit mention of </w:t>
      </w:r>
      <w:r w:rsidR="00C13A3F" w:rsidRPr="00477C32">
        <w:rPr>
          <w:rFonts w:ascii="Garamond" w:hAnsi="Garamond" w:cs="Times New Roman"/>
          <w:lang w:val="en-GB"/>
        </w:rPr>
        <w:t>disfavoured</w:t>
      </w:r>
      <w:r w:rsidRPr="00477C32">
        <w:rPr>
          <w:rFonts w:ascii="Garamond" w:hAnsi="Garamond" w:cs="Times New Roman"/>
          <w:lang w:val="en-GB"/>
        </w:rPr>
        <w:t xml:space="preserve"> race. Yet, like advocacy for people exploited by ‘</w:t>
      </w:r>
      <w:r w:rsidR="00BB4B6E" w:rsidRPr="00477C32">
        <w:rPr>
          <w:rFonts w:ascii="Garamond" w:hAnsi="Garamond" w:cs="Times New Roman"/>
          <w:lang w:val="en-GB"/>
        </w:rPr>
        <w:t>w</w:t>
      </w:r>
      <w:r w:rsidRPr="00477C32">
        <w:rPr>
          <w:rFonts w:ascii="Garamond" w:hAnsi="Garamond" w:cs="Times New Roman"/>
          <w:lang w:val="en-GB"/>
        </w:rPr>
        <w:t xml:space="preserve">elfare </w:t>
      </w:r>
      <w:r w:rsidR="00BB4B6E" w:rsidRPr="00477C32">
        <w:rPr>
          <w:rFonts w:ascii="Garamond" w:hAnsi="Garamond" w:cs="Times New Roman"/>
          <w:lang w:val="en-GB"/>
        </w:rPr>
        <w:t>q</w:t>
      </w:r>
      <w:r w:rsidRPr="00477C32">
        <w:rPr>
          <w:rFonts w:ascii="Garamond" w:hAnsi="Garamond" w:cs="Times New Roman"/>
          <w:lang w:val="en-GB"/>
        </w:rPr>
        <w:t>ueens’, they still ultimately invoke an outlook according to which there are especially deserving White members of s</w:t>
      </w:r>
      <w:r w:rsidR="0037469C" w:rsidRPr="00477C32">
        <w:rPr>
          <w:rFonts w:ascii="Garamond" w:hAnsi="Garamond" w:cs="Times New Roman"/>
          <w:lang w:val="en-GB"/>
        </w:rPr>
        <w:t xml:space="preserve">ociety whose proper position in society </w:t>
      </w:r>
      <w:r w:rsidRPr="00477C32">
        <w:rPr>
          <w:rFonts w:ascii="Garamond" w:hAnsi="Garamond" w:cs="Times New Roman"/>
          <w:lang w:val="en-GB"/>
        </w:rPr>
        <w:t xml:space="preserve">is not being maintained. </w:t>
      </w:r>
      <w:r w:rsidR="0037469C" w:rsidRPr="00477C32">
        <w:rPr>
          <w:rFonts w:ascii="Garamond" w:hAnsi="Garamond" w:cs="Times New Roman"/>
          <w:lang w:val="en-GB"/>
        </w:rPr>
        <w:t>Thus, if political discourse is structured around addressing the grievances of the ‘lef</w:t>
      </w:r>
      <w:r w:rsidR="00BB4B6E" w:rsidRPr="00477C32">
        <w:rPr>
          <w:rFonts w:ascii="Garamond" w:hAnsi="Garamond" w:cs="Times New Roman"/>
          <w:lang w:val="en-GB"/>
        </w:rPr>
        <w:t>t-</w:t>
      </w:r>
      <w:r w:rsidR="0037469C" w:rsidRPr="00477C32">
        <w:rPr>
          <w:rFonts w:ascii="Garamond" w:hAnsi="Garamond" w:cs="Times New Roman"/>
          <w:lang w:val="en-GB"/>
        </w:rPr>
        <w:t xml:space="preserve">behinds’ the voices and interests of non-Whites, understood to be less deserving, will not be given equal consideration. The political debates we have been looking at illustrate this dynamic, since they have allowed political focus to drift away from the policies that would benefit the actually least well-off—such as the healthcare, education, and housing policies needed to support poorer Black people—towards policies </w:t>
      </w:r>
      <w:r w:rsidR="008011DB" w:rsidRPr="00477C32">
        <w:rPr>
          <w:rFonts w:ascii="Garamond" w:hAnsi="Garamond" w:cs="Times New Roman"/>
          <w:lang w:val="en-GB"/>
        </w:rPr>
        <w:t>advocated by Whites and intended to shore up their interests as a racial group</w:t>
      </w:r>
      <w:r w:rsidR="0037469C" w:rsidRPr="00477C32">
        <w:rPr>
          <w:rFonts w:ascii="Garamond" w:hAnsi="Garamond" w:cs="Times New Roman"/>
          <w:lang w:val="en-GB"/>
        </w:rPr>
        <w:t>, s</w:t>
      </w:r>
      <w:r w:rsidR="00731DAC" w:rsidRPr="00477C32">
        <w:rPr>
          <w:rFonts w:ascii="Garamond" w:hAnsi="Garamond" w:cs="Times New Roman"/>
          <w:lang w:val="en-GB"/>
        </w:rPr>
        <w:t>uch as immigration restrictions</w:t>
      </w:r>
      <w:r w:rsidR="00DF16F3" w:rsidRPr="00477C32">
        <w:rPr>
          <w:rFonts w:ascii="Garamond" w:hAnsi="Garamond" w:cs="Times New Roman"/>
          <w:lang w:val="en-GB"/>
        </w:rPr>
        <w:t>.</w:t>
      </w:r>
      <w:r w:rsidR="0037469C" w:rsidRPr="00477C32">
        <w:rPr>
          <w:rFonts w:ascii="Garamond" w:hAnsi="Garamond" w:cs="Times New Roman"/>
          <w:lang w:val="en-GB"/>
        </w:rPr>
        <w:t xml:space="preserve"> </w:t>
      </w:r>
      <w:r w:rsidR="00BB1998" w:rsidRPr="00477C32">
        <w:rPr>
          <w:rFonts w:ascii="Garamond" w:hAnsi="Garamond" w:cs="Times New Roman"/>
          <w:lang w:val="en-GB"/>
        </w:rPr>
        <w:t xml:space="preserve">In such situations there is damage to </w:t>
      </w:r>
      <w:r w:rsidR="0062297D" w:rsidRPr="00477C32">
        <w:rPr>
          <w:rFonts w:ascii="Garamond" w:hAnsi="Garamond" w:cs="Times New Roman"/>
          <w:lang w:val="en-GB"/>
        </w:rPr>
        <w:t>CSG</w:t>
      </w:r>
      <w:r w:rsidR="00BB1998" w:rsidRPr="00477C32">
        <w:rPr>
          <w:rFonts w:ascii="Garamond" w:hAnsi="Garamond" w:cs="Times New Roman"/>
          <w:lang w:val="en-GB"/>
        </w:rPr>
        <w:t xml:space="preserve"> since non-Whites are not treated as equals within the political process.</w:t>
      </w:r>
    </w:p>
    <w:p w14:paraId="22E8ED24" w14:textId="0D915CF8" w:rsidR="00BB1998" w:rsidRPr="00477C32" w:rsidRDefault="00BB1998" w:rsidP="00E63A34">
      <w:pPr>
        <w:ind w:firstLine="720"/>
        <w:rPr>
          <w:rFonts w:ascii="Garamond" w:hAnsi="Garamond" w:cs="Times New Roman"/>
          <w:lang w:val="en-GB"/>
        </w:rPr>
      </w:pPr>
      <w:r w:rsidRPr="00477C32">
        <w:rPr>
          <w:rFonts w:ascii="Garamond" w:hAnsi="Garamond" w:cs="Times New Roman"/>
          <w:lang w:val="en-GB"/>
        </w:rPr>
        <w:t xml:space="preserve">Let me address </w:t>
      </w:r>
      <w:r w:rsidR="007A212C" w:rsidRPr="00477C32">
        <w:rPr>
          <w:rFonts w:ascii="Garamond" w:hAnsi="Garamond" w:cs="Times New Roman"/>
          <w:lang w:val="en-GB"/>
        </w:rPr>
        <w:t xml:space="preserve">some </w:t>
      </w:r>
      <w:r w:rsidRPr="00477C32">
        <w:rPr>
          <w:rFonts w:ascii="Garamond" w:hAnsi="Garamond" w:cs="Times New Roman"/>
          <w:lang w:val="en-GB"/>
        </w:rPr>
        <w:t xml:space="preserve">remaining questions before concluding. The immigration concerns connected to Brexit prominently featured concerns about Muslim immigrants clearly understood to be non-White. </w:t>
      </w:r>
      <w:r w:rsidR="00DC361E" w:rsidRPr="00477C32">
        <w:rPr>
          <w:rFonts w:ascii="Garamond" w:hAnsi="Garamond" w:cs="Times New Roman"/>
          <w:lang w:val="en-GB"/>
        </w:rPr>
        <w:t>Another major concern was immigration</w:t>
      </w:r>
      <w:r w:rsidRPr="00477C32">
        <w:rPr>
          <w:rFonts w:ascii="Garamond" w:hAnsi="Garamond" w:cs="Times New Roman"/>
          <w:lang w:val="en-GB"/>
        </w:rPr>
        <w:t xml:space="preserve"> from Eastern</w:t>
      </w:r>
      <w:r w:rsidR="00DC361E" w:rsidRPr="00477C32">
        <w:rPr>
          <w:rFonts w:ascii="Garamond" w:hAnsi="Garamond" w:cs="Times New Roman"/>
          <w:lang w:val="en-GB"/>
        </w:rPr>
        <w:t xml:space="preserve"> Europe and, it might </w:t>
      </w:r>
      <w:r w:rsidR="00C13A3F" w:rsidRPr="00477C32">
        <w:rPr>
          <w:rFonts w:ascii="Garamond" w:hAnsi="Garamond" w:cs="Times New Roman"/>
          <w:lang w:val="en-GB"/>
        </w:rPr>
        <w:t xml:space="preserve">be </w:t>
      </w:r>
      <w:r w:rsidR="0028009D" w:rsidRPr="00477C32">
        <w:rPr>
          <w:rFonts w:ascii="Garamond" w:hAnsi="Garamond" w:cs="Times New Roman"/>
          <w:lang w:val="en-GB"/>
        </w:rPr>
        <w:t>said</w:t>
      </w:r>
      <w:r w:rsidR="00DC361E" w:rsidRPr="00477C32">
        <w:rPr>
          <w:rFonts w:ascii="Garamond" w:hAnsi="Garamond" w:cs="Times New Roman"/>
          <w:lang w:val="en-GB"/>
        </w:rPr>
        <w:t xml:space="preserve">, </w:t>
      </w:r>
      <w:r w:rsidR="008011DB" w:rsidRPr="00477C32">
        <w:rPr>
          <w:rFonts w:ascii="Garamond" w:hAnsi="Garamond" w:cs="Times New Roman"/>
          <w:lang w:val="en-GB"/>
        </w:rPr>
        <w:t>s</w:t>
      </w:r>
      <w:r w:rsidR="0028009D" w:rsidRPr="00477C32">
        <w:rPr>
          <w:rFonts w:ascii="Garamond" w:hAnsi="Garamond" w:cs="Times New Roman"/>
          <w:lang w:val="en-GB"/>
        </w:rPr>
        <w:t xml:space="preserve">urely </w:t>
      </w:r>
      <w:r w:rsidR="0028009D" w:rsidRPr="00477C32">
        <w:rPr>
          <w:rFonts w:ascii="Garamond" w:hAnsi="Garamond" w:cs="Times New Roman"/>
          <w:i/>
          <w:lang w:val="en-GB"/>
        </w:rPr>
        <w:t>that</w:t>
      </w:r>
      <w:r w:rsidR="0028009D" w:rsidRPr="00477C32">
        <w:rPr>
          <w:rFonts w:ascii="Garamond" w:hAnsi="Garamond" w:cs="Times New Roman"/>
          <w:lang w:val="en-GB"/>
        </w:rPr>
        <w:t xml:space="preserve"> has nothing</w:t>
      </w:r>
      <w:r w:rsidR="00DC361E" w:rsidRPr="00477C32">
        <w:rPr>
          <w:rFonts w:ascii="Garamond" w:hAnsi="Garamond" w:cs="Times New Roman"/>
          <w:lang w:val="en-GB"/>
        </w:rPr>
        <w:t xml:space="preserve"> to do with race, given that those migrants are understood to be Whites</w:t>
      </w:r>
      <w:r w:rsidR="00DA4F41" w:rsidRPr="00477C32">
        <w:rPr>
          <w:rFonts w:ascii="Garamond" w:hAnsi="Garamond" w:cs="Times New Roman"/>
          <w:lang w:val="en-GB"/>
        </w:rPr>
        <w:t>.</w:t>
      </w:r>
      <w:r w:rsidR="00DC361E" w:rsidRPr="00477C32">
        <w:rPr>
          <w:rFonts w:ascii="Garamond" w:hAnsi="Garamond" w:cs="Times New Roman"/>
          <w:lang w:val="en-GB"/>
        </w:rPr>
        <w:t xml:space="preserve"> </w:t>
      </w:r>
      <w:r w:rsidR="009F06CA" w:rsidRPr="00477C32">
        <w:rPr>
          <w:rFonts w:ascii="Garamond" w:hAnsi="Garamond" w:cs="Times New Roman"/>
          <w:lang w:val="en-GB"/>
        </w:rPr>
        <w:t xml:space="preserve">The first </w:t>
      </w:r>
      <w:r w:rsidR="0028009D" w:rsidRPr="00477C32">
        <w:rPr>
          <w:rFonts w:ascii="Garamond" w:hAnsi="Garamond" w:cs="Times New Roman"/>
          <w:lang w:val="en-GB"/>
        </w:rPr>
        <w:t>re</w:t>
      </w:r>
      <w:r w:rsidR="008011DB" w:rsidRPr="00477C32">
        <w:rPr>
          <w:rFonts w:ascii="Garamond" w:hAnsi="Garamond" w:cs="Times New Roman"/>
          <w:lang w:val="en-GB"/>
        </w:rPr>
        <w:t>s</w:t>
      </w:r>
      <w:r w:rsidR="0028009D" w:rsidRPr="00477C32">
        <w:rPr>
          <w:rFonts w:ascii="Garamond" w:hAnsi="Garamond" w:cs="Times New Roman"/>
          <w:lang w:val="en-GB"/>
        </w:rPr>
        <w:t>ponse</w:t>
      </w:r>
      <w:r w:rsidR="009F06CA" w:rsidRPr="00477C32">
        <w:rPr>
          <w:rFonts w:ascii="Garamond" w:hAnsi="Garamond" w:cs="Times New Roman"/>
          <w:lang w:val="en-GB"/>
        </w:rPr>
        <w:t xml:space="preserve"> to this </w:t>
      </w:r>
      <w:r w:rsidR="0028009D" w:rsidRPr="00477C32">
        <w:rPr>
          <w:rFonts w:ascii="Garamond" w:hAnsi="Garamond" w:cs="Times New Roman"/>
          <w:lang w:val="en-GB"/>
        </w:rPr>
        <w:t>claim</w:t>
      </w:r>
      <w:r w:rsidR="009F06CA" w:rsidRPr="00477C32">
        <w:rPr>
          <w:rFonts w:ascii="Garamond" w:hAnsi="Garamond" w:cs="Times New Roman"/>
          <w:lang w:val="en-GB"/>
        </w:rPr>
        <w:t xml:space="preserve"> is that </w:t>
      </w:r>
      <w:r w:rsidR="0039764C" w:rsidRPr="00477C32">
        <w:rPr>
          <w:rFonts w:ascii="Garamond" w:hAnsi="Garamond" w:cs="Times New Roman"/>
          <w:lang w:val="en-GB"/>
        </w:rPr>
        <w:t xml:space="preserve">at times references to Eastern European migration were simply cover for an underlying focus on Muslim migration. Virdee and </w:t>
      </w:r>
      <w:r w:rsidR="0039764C" w:rsidRPr="00477C32">
        <w:rPr>
          <w:rFonts w:ascii="Garamond" w:eastAsia="Times New Roman" w:hAnsi="Garamond" w:cs="Times New Roman"/>
          <w:lang w:val="en-GB"/>
        </w:rPr>
        <w:t>McGeever</w:t>
      </w:r>
      <w:r w:rsidR="0036105A" w:rsidRPr="00477C32">
        <w:rPr>
          <w:rFonts w:ascii="Garamond" w:eastAsia="Times New Roman" w:hAnsi="Garamond" w:cs="Times New Roman"/>
          <w:lang w:val="en-GB"/>
        </w:rPr>
        <w:t xml:space="preserve"> (2017,</w:t>
      </w:r>
      <w:r w:rsidR="0028009D" w:rsidRPr="00477C32">
        <w:rPr>
          <w:rFonts w:ascii="Garamond" w:eastAsia="Times New Roman" w:hAnsi="Garamond" w:cs="Times New Roman"/>
          <w:lang w:val="en-GB"/>
        </w:rPr>
        <w:t xml:space="preserve"> 6), for example, point out that UKIP frequently presented a public face that made apparently race-neutral reference to economic migration from Eastern Europe while it was clear ‘to many within that formation itself that breaking with the EU</w:t>
      </w:r>
      <w:r w:rsidR="00BC6B01" w:rsidRPr="00477C32">
        <w:rPr>
          <w:rFonts w:ascii="Garamond" w:eastAsia="Times New Roman" w:hAnsi="Garamond" w:cs="Times New Roman"/>
          <w:lang w:val="en-GB"/>
        </w:rPr>
        <w:t xml:space="preserve"> . . . </w:t>
      </w:r>
      <w:r w:rsidR="0028009D" w:rsidRPr="00477C32">
        <w:rPr>
          <w:rFonts w:ascii="Garamond" w:eastAsia="Times New Roman" w:hAnsi="Garamond" w:cs="Times New Roman"/>
          <w:lang w:val="en-GB"/>
        </w:rPr>
        <w:t>represented an important opportunity to limit the number of Muslims entering Britain, Muslims whose culture many of them believed was incompatible with being British’</w:t>
      </w:r>
      <w:r w:rsidR="009F06CA" w:rsidRPr="00477C32">
        <w:rPr>
          <w:rFonts w:ascii="Garamond" w:hAnsi="Garamond" w:cs="Times New Roman"/>
          <w:lang w:val="en-GB"/>
        </w:rPr>
        <w:t xml:space="preserve">. </w:t>
      </w:r>
      <w:r w:rsidR="00DC361E" w:rsidRPr="00477C32">
        <w:rPr>
          <w:rFonts w:ascii="Garamond" w:hAnsi="Garamond" w:cs="Times New Roman"/>
          <w:lang w:val="en-GB"/>
        </w:rPr>
        <w:t xml:space="preserve">The </w:t>
      </w:r>
      <w:r w:rsidR="009F06CA" w:rsidRPr="00477C32">
        <w:rPr>
          <w:rFonts w:ascii="Garamond" w:hAnsi="Garamond" w:cs="Times New Roman"/>
          <w:lang w:val="en-GB"/>
        </w:rPr>
        <w:t xml:space="preserve">second </w:t>
      </w:r>
      <w:r w:rsidR="0028009D" w:rsidRPr="00477C32">
        <w:rPr>
          <w:rFonts w:ascii="Garamond" w:hAnsi="Garamond" w:cs="Times New Roman"/>
          <w:lang w:val="en-GB"/>
        </w:rPr>
        <w:t>re</w:t>
      </w:r>
      <w:r w:rsidR="009F50E0" w:rsidRPr="00477C32">
        <w:rPr>
          <w:rFonts w:ascii="Garamond" w:hAnsi="Garamond" w:cs="Times New Roman"/>
          <w:lang w:val="en-GB"/>
        </w:rPr>
        <w:t>s</w:t>
      </w:r>
      <w:r w:rsidR="0028009D" w:rsidRPr="00477C32">
        <w:rPr>
          <w:rFonts w:ascii="Garamond" w:hAnsi="Garamond" w:cs="Times New Roman"/>
          <w:lang w:val="en-GB"/>
        </w:rPr>
        <w:t>ponse</w:t>
      </w:r>
      <w:r w:rsidR="00DC361E" w:rsidRPr="00477C32">
        <w:rPr>
          <w:rFonts w:ascii="Garamond" w:hAnsi="Garamond" w:cs="Times New Roman"/>
          <w:lang w:val="en-GB"/>
        </w:rPr>
        <w:t xml:space="preserve"> is that the racial politics of migration is more complicated than </w:t>
      </w:r>
      <w:r w:rsidR="00E87612" w:rsidRPr="00477C32">
        <w:rPr>
          <w:rFonts w:ascii="Garamond" w:hAnsi="Garamond" w:cs="Times New Roman"/>
          <w:lang w:val="en-GB"/>
        </w:rPr>
        <w:t>the objection assumes</w:t>
      </w:r>
      <w:r w:rsidR="00DC361E" w:rsidRPr="00477C32">
        <w:rPr>
          <w:rFonts w:ascii="Garamond" w:hAnsi="Garamond" w:cs="Times New Roman"/>
          <w:lang w:val="en-GB"/>
        </w:rPr>
        <w:t xml:space="preserve">. As the example of Irish Americans mentioned </w:t>
      </w:r>
      <w:r w:rsidR="00DC361E" w:rsidRPr="00477C32">
        <w:rPr>
          <w:rFonts w:ascii="Garamond" w:hAnsi="Garamond" w:cs="Times New Roman"/>
          <w:lang w:val="en-GB"/>
        </w:rPr>
        <w:lastRenderedPageBreak/>
        <w:t>earlier shows, racial categorizations fluctuate over time</w:t>
      </w:r>
      <w:r w:rsidR="00BC6B01" w:rsidRPr="00477C32">
        <w:rPr>
          <w:rFonts w:ascii="Garamond" w:hAnsi="Garamond" w:cs="Times New Roman"/>
          <w:lang w:val="en-GB"/>
        </w:rPr>
        <w:t>,</w:t>
      </w:r>
      <w:r w:rsidR="00F87216" w:rsidRPr="00477C32">
        <w:rPr>
          <w:rFonts w:ascii="Garamond" w:hAnsi="Garamond" w:cs="Times New Roman"/>
          <w:lang w:val="en-GB"/>
        </w:rPr>
        <w:t xml:space="preserve"> and just as a group can become newly racialized as White</w:t>
      </w:r>
      <w:r w:rsidR="00BC6B01" w:rsidRPr="00477C32">
        <w:rPr>
          <w:rFonts w:ascii="Garamond" w:hAnsi="Garamond" w:cs="Times New Roman"/>
          <w:lang w:val="en-GB"/>
        </w:rPr>
        <w:t>,</w:t>
      </w:r>
      <w:r w:rsidR="00F87216" w:rsidRPr="00477C32">
        <w:rPr>
          <w:rFonts w:ascii="Garamond" w:hAnsi="Garamond" w:cs="Times New Roman"/>
          <w:lang w:val="en-GB"/>
        </w:rPr>
        <w:t xml:space="preserve"> it can also become newly racialized as something other than White</w:t>
      </w:r>
      <w:r w:rsidR="00806AB3" w:rsidRPr="00477C32">
        <w:rPr>
          <w:rFonts w:ascii="Garamond" w:hAnsi="Garamond" w:cs="Times New Roman"/>
          <w:lang w:val="en-GB"/>
        </w:rPr>
        <w:t xml:space="preserve">, or </w:t>
      </w:r>
      <w:r w:rsidR="00E470A5" w:rsidRPr="00477C32">
        <w:rPr>
          <w:rFonts w:ascii="Garamond" w:hAnsi="Garamond" w:cs="Times New Roman"/>
          <w:lang w:val="en-GB"/>
        </w:rPr>
        <w:t xml:space="preserve">indeed as </w:t>
      </w:r>
      <w:r w:rsidR="00E470A5" w:rsidRPr="00477C32">
        <w:rPr>
          <w:rFonts w:ascii="Garamond" w:hAnsi="Garamond" w:cs="Times New Roman"/>
          <w:i/>
          <w:iCs/>
          <w:lang w:val="en-GB"/>
        </w:rPr>
        <w:t>less</w:t>
      </w:r>
      <w:r w:rsidR="00E470A5" w:rsidRPr="00477C32">
        <w:rPr>
          <w:rFonts w:ascii="Garamond" w:hAnsi="Garamond" w:cs="Times New Roman"/>
          <w:lang w:val="en-GB"/>
        </w:rPr>
        <w:t xml:space="preserve"> White</w:t>
      </w:r>
      <w:r w:rsidR="00F87216" w:rsidRPr="00477C32">
        <w:rPr>
          <w:rFonts w:ascii="Garamond" w:hAnsi="Garamond" w:cs="Times New Roman"/>
          <w:lang w:val="en-GB"/>
        </w:rPr>
        <w:t xml:space="preserve">. </w:t>
      </w:r>
      <w:r w:rsidR="00FE1B4D" w:rsidRPr="00477C32">
        <w:rPr>
          <w:rFonts w:ascii="Garamond" w:hAnsi="Garamond" w:cs="Times New Roman"/>
          <w:lang w:val="en-GB"/>
        </w:rPr>
        <w:t>Fox</w:t>
      </w:r>
      <w:r w:rsidR="006D31FD" w:rsidRPr="00477C32">
        <w:rPr>
          <w:rFonts w:ascii="Garamond" w:hAnsi="Garamond" w:cs="Times New Roman"/>
          <w:lang w:val="en-GB"/>
        </w:rPr>
        <w:t xml:space="preserve">, </w:t>
      </w:r>
      <w:proofErr w:type="spellStart"/>
      <w:r w:rsidR="006D31FD" w:rsidRPr="00477C32">
        <w:rPr>
          <w:rFonts w:ascii="Garamond" w:hAnsi="Garamond" w:cs="Times New Roman"/>
          <w:lang w:val="en-GB"/>
        </w:rPr>
        <w:t>Moroşanu</w:t>
      </w:r>
      <w:proofErr w:type="spellEnd"/>
      <w:r w:rsidR="006D31FD" w:rsidRPr="00477C32">
        <w:rPr>
          <w:rFonts w:ascii="Garamond" w:hAnsi="Garamond" w:cs="Times New Roman"/>
          <w:lang w:val="en-GB"/>
        </w:rPr>
        <w:t xml:space="preserve">, and </w:t>
      </w:r>
      <w:proofErr w:type="spellStart"/>
      <w:r w:rsidR="006D31FD" w:rsidRPr="00477C32">
        <w:rPr>
          <w:rFonts w:ascii="Garamond" w:hAnsi="Garamond" w:cs="Times New Roman"/>
          <w:lang w:val="en-GB"/>
        </w:rPr>
        <w:t>Szilassy</w:t>
      </w:r>
      <w:proofErr w:type="spellEnd"/>
      <w:r w:rsidR="00FE1B4D" w:rsidRPr="00477C32">
        <w:rPr>
          <w:rFonts w:ascii="Garamond" w:hAnsi="Garamond" w:cs="Times New Roman"/>
          <w:lang w:val="en-GB"/>
        </w:rPr>
        <w:t xml:space="preserve"> (2012) demonstrated that Eastern European</w:t>
      </w:r>
      <w:r w:rsidR="00561CDB" w:rsidRPr="00477C32">
        <w:rPr>
          <w:rFonts w:ascii="Garamond" w:hAnsi="Garamond" w:cs="Times New Roman"/>
          <w:lang w:val="en-GB"/>
        </w:rPr>
        <w:t>s</w:t>
      </w:r>
      <w:r w:rsidR="00FE1B4D" w:rsidRPr="00477C32">
        <w:rPr>
          <w:rFonts w:ascii="Garamond" w:hAnsi="Garamond" w:cs="Times New Roman"/>
          <w:lang w:val="en-GB"/>
        </w:rPr>
        <w:t xml:space="preserve"> in the U</w:t>
      </w:r>
      <w:r w:rsidR="00BC6B01" w:rsidRPr="00477C32">
        <w:rPr>
          <w:rFonts w:ascii="Garamond" w:hAnsi="Garamond" w:cs="Times New Roman"/>
          <w:lang w:val="en-GB"/>
        </w:rPr>
        <w:t xml:space="preserve">nited </w:t>
      </w:r>
      <w:r w:rsidR="00FE1B4D" w:rsidRPr="00477C32">
        <w:rPr>
          <w:rFonts w:ascii="Garamond" w:hAnsi="Garamond" w:cs="Times New Roman"/>
          <w:lang w:val="en-GB"/>
        </w:rPr>
        <w:t>K</w:t>
      </w:r>
      <w:r w:rsidR="00BC6B01" w:rsidRPr="00477C32">
        <w:rPr>
          <w:rFonts w:ascii="Garamond" w:hAnsi="Garamond" w:cs="Times New Roman"/>
          <w:lang w:val="en-GB"/>
        </w:rPr>
        <w:t>ingdom</w:t>
      </w:r>
      <w:r w:rsidR="00FE1B4D" w:rsidRPr="00477C32">
        <w:rPr>
          <w:rFonts w:ascii="Garamond" w:hAnsi="Garamond" w:cs="Times New Roman"/>
          <w:lang w:val="en-GB"/>
        </w:rPr>
        <w:t xml:space="preserve"> have been subject to just this sort of tendency</w:t>
      </w:r>
      <w:r w:rsidR="00561CDB" w:rsidRPr="00477C32">
        <w:rPr>
          <w:rFonts w:ascii="Garamond" w:hAnsi="Garamond" w:cs="Times New Roman"/>
          <w:lang w:val="en-GB"/>
        </w:rPr>
        <w:t>, with their cultural traits being used as evidence that despite their skin tone they were a step removed from paradigm</w:t>
      </w:r>
      <w:r w:rsidR="00E470A5" w:rsidRPr="00477C32">
        <w:rPr>
          <w:rFonts w:ascii="Garamond" w:hAnsi="Garamond" w:cs="Times New Roman"/>
          <w:lang w:val="en-GB"/>
        </w:rPr>
        <w:t xml:space="preserve"> (and maximally desirable)</w:t>
      </w:r>
      <w:r w:rsidR="00561CDB" w:rsidRPr="00477C32">
        <w:rPr>
          <w:rFonts w:ascii="Garamond" w:hAnsi="Garamond" w:cs="Times New Roman"/>
          <w:lang w:val="en-GB"/>
        </w:rPr>
        <w:t xml:space="preserve"> cases of White</w:t>
      </w:r>
      <w:r w:rsidR="00E470A5" w:rsidRPr="00477C32">
        <w:rPr>
          <w:rFonts w:ascii="Garamond" w:hAnsi="Garamond" w:cs="Times New Roman"/>
          <w:lang w:val="en-GB"/>
        </w:rPr>
        <w:t>ness</w:t>
      </w:r>
      <w:r w:rsidR="00561CDB" w:rsidRPr="00477C32">
        <w:rPr>
          <w:rFonts w:ascii="Garamond" w:hAnsi="Garamond" w:cs="Times New Roman"/>
          <w:lang w:val="en-GB"/>
        </w:rPr>
        <w:t>. Analysing cohorts of Hungarian and Romanian immigrants (post-2004 and 2007, respectively), they found that ‘nominally shared whiteness between migrant and majority has not exempted these current cohorts of migrants from the sorts of racialization found in other migrations’</w:t>
      </w:r>
      <w:r w:rsidR="006D1861" w:rsidRPr="00477C32">
        <w:rPr>
          <w:rFonts w:ascii="Garamond" w:hAnsi="Garamond" w:cs="Times New Roman"/>
          <w:lang w:val="en-GB"/>
        </w:rPr>
        <w:t xml:space="preserve"> (681).</w:t>
      </w:r>
      <w:r w:rsidR="00F51F38" w:rsidRPr="00477C32">
        <w:rPr>
          <w:rFonts w:ascii="Garamond" w:hAnsi="Garamond" w:cs="Times New Roman"/>
          <w:lang w:val="en-GB"/>
        </w:rPr>
        <w:t xml:space="preserve"> </w:t>
      </w:r>
      <w:r w:rsidR="0016043B" w:rsidRPr="00477C32">
        <w:rPr>
          <w:rFonts w:ascii="Garamond" w:hAnsi="Garamond" w:cs="Times New Roman"/>
          <w:lang w:val="en-GB"/>
        </w:rPr>
        <w:t xml:space="preserve">Romanians, for example, have often been represented in the </w:t>
      </w:r>
      <w:r w:rsidR="00837CE4" w:rsidRPr="00477C32">
        <w:rPr>
          <w:rFonts w:ascii="Garamond" w:hAnsi="Garamond" w:cs="Times New Roman"/>
          <w:lang w:val="en-GB"/>
        </w:rPr>
        <w:t>t</w:t>
      </w:r>
      <w:r w:rsidR="0016043B" w:rsidRPr="00477C32">
        <w:rPr>
          <w:rFonts w:ascii="Garamond" w:hAnsi="Garamond" w:cs="Times New Roman"/>
          <w:lang w:val="en-GB"/>
        </w:rPr>
        <w:t xml:space="preserve">abloid press as inherently disposed to criminal activity and thus essentially </w:t>
      </w:r>
      <w:r w:rsidR="00837CE4" w:rsidRPr="00477C32">
        <w:rPr>
          <w:rFonts w:ascii="Garamond" w:hAnsi="Garamond" w:cs="Times New Roman"/>
          <w:lang w:val="en-GB"/>
        </w:rPr>
        <w:t>unable to achieve the</w:t>
      </w:r>
      <w:r w:rsidR="0016043B" w:rsidRPr="00477C32">
        <w:rPr>
          <w:rFonts w:ascii="Garamond" w:hAnsi="Garamond" w:cs="Times New Roman"/>
          <w:lang w:val="en-GB"/>
        </w:rPr>
        <w:t xml:space="preserve"> </w:t>
      </w:r>
      <w:r w:rsidR="00995FF2" w:rsidRPr="00477C32">
        <w:rPr>
          <w:rFonts w:ascii="Garamond" w:hAnsi="Garamond" w:cs="Times New Roman"/>
          <w:lang w:val="en-GB"/>
        </w:rPr>
        <w:t>‘</w:t>
      </w:r>
      <w:r w:rsidR="0016043B" w:rsidRPr="00477C32">
        <w:rPr>
          <w:rFonts w:ascii="Garamond" w:hAnsi="Garamond" w:cs="Times New Roman"/>
          <w:lang w:val="en-GB"/>
        </w:rPr>
        <w:t>civilized</w:t>
      </w:r>
      <w:r w:rsidR="00995FF2" w:rsidRPr="00477C32">
        <w:rPr>
          <w:rFonts w:ascii="Garamond" w:hAnsi="Garamond" w:cs="Times New Roman"/>
          <w:lang w:val="en-GB"/>
        </w:rPr>
        <w:t>’</w:t>
      </w:r>
      <w:r w:rsidR="0016043B" w:rsidRPr="00477C32">
        <w:rPr>
          <w:rFonts w:ascii="Garamond" w:hAnsi="Garamond" w:cs="Times New Roman"/>
          <w:lang w:val="en-GB"/>
        </w:rPr>
        <w:t xml:space="preserve"> qualities expected of genuinely White people (</w:t>
      </w:r>
      <w:r w:rsidR="00E63A34" w:rsidRPr="00477C32">
        <w:rPr>
          <w:rFonts w:ascii="Garamond" w:hAnsi="Garamond" w:cs="Times New Roman"/>
          <w:lang w:val="en-GB"/>
        </w:rPr>
        <w:t>687</w:t>
      </w:r>
      <w:r w:rsidR="0016043B" w:rsidRPr="00477C32">
        <w:rPr>
          <w:rFonts w:ascii="Garamond" w:hAnsi="Garamond" w:cs="Times New Roman"/>
          <w:lang w:val="en-GB"/>
        </w:rPr>
        <w:t xml:space="preserve">). </w:t>
      </w:r>
      <w:r w:rsidR="00F87216" w:rsidRPr="00477C32">
        <w:rPr>
          <w:rFonts w:ascii="Garamond" w:hAnsi="Garamond" w:cs="Times New Roman"/>
          <w:lang w:val="en-GB"/>
        </w:rPr>
        <w:t xml:space="preserve">The Brexit campaign saw </w:t>
      </w:r>
      <w:r w:rsidR="00E63A34" w:rsidRPr="00477C32">
        <w:rPr>
          <w:rFonts w:ascii="Garamond" w:hAnsi="Garamond" w:cs="Times New Roman"/>
          <w:lang w:val="en-GB"/>
        </w:rPr>
        <w:t>still further</w:t>
      </w:r>
      <w:r w:rsidR="00F87216" w:rsidRPr="00477C32">
        <w:rPr>
          <w:rFonts w:ascii="Garamond" w:hAnsi="Garamond" w:cs="Times New Roman"/>
          <w:lang w:val="en-GB"/>
        </w:rPr>
        <w:t xml:space="preserve"> distancing of Eastern Europeans from </w:t>
      </w:r>
      <w:r w:rsidR="009F06CA" w:rsidRPr="00477C32">
        <w:rPr>
          <w:rFonts w:ascii="Garamond" w:hAnsi="Garamond" w:cs="Times New Roman"/>
          <w:lang w:val="en-GB"/>
        </w:rPr>
        <w:t xml:space="preserve">White British people, the former coming to be seen as carrying traits more </w:t>
      </w:r>
      <w:r w:rsidR="00ED0A5E" w:rsidRPr="00477C32">
        <w:rPr>
          <w:rFonts w:ascii="Garamond" w:hAnsi="Garamond" w:cs="Times New Roman"/>
          <w:lang w:val="en-GB"/>
        </w:rPr>
        <w:t>traditionally associat</w:t>
      </w:r>
      <w:r w:rsidR="005354F1" w:rsidRPr="00477C32">
        <w:rPr>
          <w:rFonts w:ascii="Garamond" w:hAnsi="Garamond" w:cs="Times New Roman"/>
          <w:lang w:val="en-GB"/>
        </w:rPr>
        <w:t>ed with</w:t>
      </w:r>
      <w:r w:rsidR="00ED0A5E" w:rsidRPr="00477C32">
        <w:rPr>
          <w:rFonts w:ascii="Garamond" w:hAnsi="Garamond" w:cs="Times New Roman"/>
          <w:lang w:val="en-GB"/>
        </w:rPr>
        <w:t xml:space="preserve"> Black</w:t>
      </w:r>
      <w:r w:rsidR="00C22387" w:rsidRPr="00477C32">
        <w:rPr>
          <w:rFonts w:ascii="Garamond" w:hAnsi="Garamond" w:cs="Times New Roman"/>
          <w:lang w:val="en-GB"/>
        </w:rPr>
        <w:t xml:space="preserve"> persons</w:t>
      </w:r>
      <w:r w:rsidR="00ED0A5E" w:rsidRPr="00477C32">
        <w:rPr>
          <w:rFonts w:ascii="Garamond" w:hAnsi="Garamond" w:cs="Times New Roman"/>
          <w:lang w:val="en-GB"/>
        </w:rPr>
        <w:t>, South Asian</w:t>
      </w:r>
      <w:r w:rsidR="00C22387" w:rsidRPr="00477C32">
        <w:rPr>
          <w:rFonts w:ascii="Garamond" w:hAnsi="Garamond" w:cs="Times New Roman"/>
          <w:lang w:val="en-GB"/>
        </w:rPr>
        <w:t xml:space="preserve"> persons</w:t>
      </w:r>
      <w:r w:rsidR="00ED0A5E" w:rsidRPr="00477C32">
        <w:rPr>
          <w:rFonts w:ascii="Garamond" w:hAnsi="Garamond" w:cs="Times New Roman"/>
          <w:lang w:val="en-GB"/>
        </w:rPr>
        <w:t xml:space="preserve">, and other undesirables. And </w:t>
      </w:r>
      <w:r w:rsidR="00BC4F67" w:rsidRPr="00477C32">
        <w:rPr>
          <w:rFonts w:ascii="Garamond" w:hAnsi="Garamond" w:cs="Times New Roman"/>
          <w:lang w:val="en-GB"/>
        </w:rPr>
        <w:t xml:space="preserve">that </w:t>
      </w:r>
      <w:r w:rsidR="00ED0A5E" w:rsidRPr="00477C32">
        <w:rPr>
          <w:rFonts w:ascii="Garamond" w:hAnsi="Garamond" w:cs="Times New Roman"/>
          <w:lang w:val="en-GB"/>
        </w:rPr>
        <w:t xml:space="preserve">drift from their counting as </w:t>
      </w:r>
      <w:r w:rsidR="00BC4F67" w:rsidRPr="00477C32">
        <w:rPr>
          <w:rFonts w:ascii="Garamond" w:hAnsi="Garamond" w:cs="Times New Roman"/>
          <w:lang w:val="en-GB"/>
        </w:rPr>
        <w:t>paradigmatic</w:t>
      </w:r>
      <w:r w:rsidR="00ED0A5E" w:rsidRPr="00477C32">
        <w:rPr>
          <w:rFonts w:ascii="Garamond" w:hAnsi="Garamond" w:cs="Times New Roman"/>
          <w:lang w:val="en-GB"/>
        </w:rPr>
        <w:t xml:space="preserve"> cases of White made it easier to see them as also undeserving and less entitled to consideration.</w:t>
      </w:r>
    </w:p>
    <w:p w14:paraId="4223D90B" w14:textId="54B07C3F" w:rsidR="00AF5DAB" w:rsidRPr="00477C32" w:rsidRDefault="0037469C" w:rsidP="00222B55">
      <w:pPr>
        <w:ind w:firstLine="720"/>
        <w:rPr>
          <w:rFonts w:ascii="Garamond" w:hAnsi="Garamond" w:cs="Times New Roman"/>
          <w:lang w:val="en-GB"/>
        </w:rPr>
      </w:pPr>
      <w:r w:rsidRPr="00477C32">
        <w:rPr>
          <w:rFonts w:ascii="Garamond" w:hAnsi="Garamond" w:cs="Times New Roman"/>
          <w:lang w:val="en-GB"/>
        </w:rPr>
        <w:t xml:space="preserve">Does this mean that immigration policies, and the broader package of policies associated with Brexit, can only be </w:t>
      </w:r>
      <w:r w:rsidR="003C2C25" w:rsidRPr="00477C32">
        <w:rPr>
          <w:rFonts w:ascii="Garamond" w:hAnsi="Garamond" w:cs="Times New Roman"/>
          <w:lang w:val="en-GB"/>
        </w:rPr>
        <w:t>justified by reference to race privilege</w:t>
      </w:r>
      <w:r w:rsidRPr="00477C32">
        <w:rPr>
          <w:rFonts w:ascii="Garamond" w:hAnsi="Garamond" w:cs="Times New Roman"/>
          <w:lang w:val="en-GB"/>
        </w:rPr>
        <w:t xml:space="preserve">? It does not. </w:t>
      </w:r>
      <w:r w:rsidR="003C2C25" w:rsidRPr="00477C32">
        <w:rPr>
          <w:rFonts w:ascii="Garamond" w:hAnsi="Garamond" w:cs="Times New Roman"/>
          <w:lang w:val="en-GB"/>
        </w:rPr>
        <w:t xml:space="preserve">What we </w:t>
      </w:r>
      <w:r w:rsidR="00BB1998" w:rsidRPr="00477C32">
        <w:rPr>
          <w:rFonts w:ascii="Garamond" w:hAnsi="Garamond" w:cs="Times New Roman"/>
          <w:lang w:val="en-GB"/>
        </w:rPr>
        <w:t>have</w:t>
      </w:r>
      <w:r w:rsidR="003C2C25" w:rsidRPr="00477C32">
        <w:rPr>
          <w:rFonts w:ascii="Garamond" w:hAnsi="Garamond" w:cs="Times New Roman"/>
          <w:lang w:val="en-GB"/>
        </w:rPr>
        <w:t xml:space="preserve"> seen </w:t>
      </w:r>
      <w:r w:rsidR="006142A8" w:rsidRPr="00477C32">
        <w:rPr>
          <w:rFonts w:ascii="Garamond" w:hAnsi="Garamond" w:cs="Times New Roman"/>
          <w:lang w:val="en-GB"/>
        </w:rPr>
        <w:t>is</w:t>
      </w:r>
      <w:r w:rsidR="003C2C25" w:rsidRPr="00477C32">
        <w:rPr>
          <w:rFonts w:ascii="Garamond" w:hAnsi="Garamond" w:cs="Times New Roman"/>
          <w:lang w:val="en-GB"/>
        </w:rPr>
        <w:t xml:space="preserve"> that certain ways of advocating for those positions do either explicitly or implicitly appeal to a need to shore up racial privilege. Since that can happen even when the advocate</w:t>
      </w:r>
      <w:r w:rsidR="00EB4B17" w:rsidRPr="00477C32">
        <w:rPr>
          <w:rFonts w:ascii="Garamond" w:hAnsi="Garamond" w:cs="Times New Roman"/>
          <w:lang w:val="en-GB"/>
        </w:rPr>
        <w:t>s</w:t>
      </w:r>
      <w:r w:rsidR="003C2C25" w:rsidRPr="00477C32">
        <w:rPr>
          <w:rFonts w:ascii="Garamond" w:hAnsi="Garamond" w:cs="Times New Roman"/>
          <w:lang w:val="en-GB"/>
        </w:rPr>
        <w:t xml:space="preserve"> of the policy do</w:t>
      </w:r>
      <w:r w:rsidR="00EB4B17" w:rsidRPr="00477C32">
        <w:rPr>
          <w:rFonts w:ascii="Garamond" w:hAnsi="Garamond" w:cs="Times New Roman"/>
          <w:lang w:val="en-GB"/>
        </w:rPr>
        <w:t xml:space="preserve"> not</w:t>
      </w:r>
      <w:r w:rsidR="003C2C25" w:rsidRPr="00477C32">
        <w:rPr>
          <w:rFonts w:ascii="Garamond" w:hAnsi="Garamond" w:cs="Times New Roman"/>
          <w:lang w:val="en-GB"/>
        </w:rPr>
        <w:t xml:space="preserve"> themselves have racist attitudes, whether in the form of racial prejudice or beliefs in racial hierarchy, it is not enough for, say, Lexit defender</w:t>
      </w:r>
      <w:r w:rsidR="00E10A63" w:rsidRPr="00477C32">
        <w:rPr>
          <w:rFonts w:ascii="Garamond" w:hAnsi="Garamond" w:cs="Times New Roman"/>
          <w:lang w:val="en-GB"/>
        </w:rPr>
        <w:t>s</w:t>
      </w:r>
      <w:r w:rsidR="003C2C25" w:rsidRPr="00477C32">
        <w:rPr>
          <w:rFonts w:ascii="Garamond" w:hAnsi="Garamond" w:cs="Times New Roman"/>
          <w:lang w:val="en-GB"/>
        </w:rPr>
        <w:t xml:space="preserve"> </w:t>
      </w:r>
      <w:r w:rsidR="00BE1A6C" w:rsidRPr="00477C32">
        <w:rPr>
          <w:rFonts w:ascii="Garamond" w:hAnsi="Garamond" w:cs="Times New Roman"/>
          <w:lang w:val="en-GB"/>
        </w:rPr>
        <w:t xml:space="preserve">simply </w:t>
      </w:r>
      <w:r w:rsidR="003C2C25" w:rsidRPr="00477C32">
        <w:rPr>
          <w:rFonts w:ascii="Garamond" w:hAnsi="Garamond" w:cs="Times New Roman"/>
          <w:lang w:val="en-GB"/>
        </w:rPr>
        <w:t xml:space="preserve">to assert that they have no racist attitudes. </w:t>
      </w:r>
      <w:r w:rsidR="00D05B55" w:rsidRPr="00477C32">
        <w:rPr>
          <w:rFonts w:ascii="Garamond" w:hAnsi="Garamond" w:cs="Times New Roman"/>
          <w:lang w:val="en-GB"/>
        </w:rPr>
        <w:t>More</w:t>
      </w:r>
      <w:r w:rsidR="003C2C25" w:rsidRPr="00477C32">
        <w:rPr>
          <w:rFonts w:ascii="Garamond" w:hAnsi="Garamond" w:cs="Times New Roman"/>
          <w:lang w:val="en-GB"/>
        </w:rPr>
        <w:t xml:space="preserve"> care has to be taken to ensure that they are</w:t>
      </w:r>
      <w:r w:rsidR="009D7991" w:rsidRPr="00477C32">
        <w:rPr>
          <w:rFonts w:ascii="Garamond" w:hAnsi="Garamond" w:cs="Times New Roman"/>
          <w:lang w:val="en-GB"/>
        </w:rPr>
        <w:t xml:space="preserve"> no</w:t>
      </w:r>
      <w:r w:rsidR="003C2C25" w:rsidRPr="00477C32">
        <w:rPr>
          <w:rFonts w:ascii="Garamond" w:hAnsi="Garamond" w:cs="Times New Roman"/>
          <w:lang w:val="en-GB"/>
        </w:rPr>
        <w:t xml:space="preserve">t, even unwittingly, contributing to a political process in which </w:t>
      </w:r>
      <w:r w:rsidR="00BB1998" w:rsidRPr="00477C32">
        <w:rPr>
          <w:rFonts w:ascii="Garamond" w:hAnsi="Garamond" w:cs="Times New Roman"/>
          <w:lang w:val="en-GB"/>
        </w:rPr>
        <w:t>the interests and voices of White</w:t>
      </w:r>
      <w:r w:rsidR="009F1005" w:rsidRPr="00477C32">
        <w:rPr>
          <w:rFonts w:ascii="Garamond" w:hAnsi="Garamond" w:cs="Times New Roman"/>
          <w:lang w:val="en-GB"/>
        </w:rPr>
        <w:t xml:space="preserve"> persons</w:t>
      </w:r>
      <w:r w:rsidR="00BB1998" w:rsidRPr="00477C32">
        <w:rPr>
          <w:rFonts w:ascii="Garamond" w:hAnsi="Garamond" w:cs="Times New Roman"/>
          <w:lang w:val="en-GB"/>
        </w:rPr>
        <w:t xml:space="preserve"> are given </w:t>
      </w:r>
      <w:r w:rsidR="009F1005" w:rsidRPr="00477C32">
        <w:rPr>
          <w:rFonts w:ascii="Garamond" w:hAnsi="Garamond" w:cs="Times New Roman"/>
          <w:lang w:val="en-GB"/>
        </w:rPr>
        <w:t>pre-eminence</w:t>
      </w:r>
      <w:r w:rsidR="00BB1998" w:rsidRPr="00477C32">
        <w:rPr>
          <w:rFonts w:ascii="Garamond" w:hAnsi="Garamond" w:cs="Times New Roman"/>
          <w:lang w:val="en-GB"/>
        </w:rPr>
        <w:t xml:space="preserve">. </w:t>
      </w:r>
      <w:r w:rsidR="0036105A" w:rsidRPr="00477C32">
        <w:rPr>
          <w:rFonts w:ascii="Garamond" w:hAnsi="Garamond" w:cs="Times New Roman"/>
          <w:lang w:val="en-GB"/>
        </w:rPr>
        <w:t xml:space="preserve">As </w:t>
      </w:r>
      <w:r w:rsidR="00BB1998" w:rsidRPr="00477C32">
        <w:rPr>
          <w:rFonts w:ascii="Garamond" w:hAnsi="Garamond" w:cs="Times New Roman"/>
          <w:lang w:val="en-GB"/>
        </w:rPr>
        <w:t xml:space="preserve">Shilliam </w:t>
      </w:r>
      <w:r w:rsidR="0036105A" w:rsidRPr="00477C32">
        <w:rPr>
          <w:rFonts w:ascii="Garamond" w:hAnsi="Garamond" w:cs="Times New Roman"/>
          <w:lang w:val="en-GB"/>
        </w:rPr>
        <w:t xml:space="preserve">points out, </w:t>
      </w:r>
      <w:r w:rsidR="0028009D" w:rsidRPr="00477C32">
        <w:rPr>
          <w:rFonts w:ascii="Garamond" w:hAnsi="Garamond" w:cs="Times New Roman"/>
          <w:lang w:val="en-GB"/>
        </w:rPr>
        <w:t>Labour politicians have continued to uncritically refer to the threat of immigrant labo</w:t>
      </w:r>
      <w:r w:rsidR="00881A8C" w:rsidRPr="00477C32">
        <w:rPr>
          <w:rFonts w:ascii="Garamond" w:hAnsi="Garamond" w:cs="Times New Roman"/>
          <w:lang w:val="en-GB"/>
        </w:rPr>
        <w:t>u</w:t>
      </w:r>
      <w:r w:rsidR="0028009D" w:rsidRPr="00477C32">
        <w:rPr>
          <w:rFonts w:ascii="Garamond" w:hAnsi="Garamond" w:cs="Times New Roman"/>
          <w:lang w:val="en-GB"/>
        </w:rPr>
        <w:t>r without taking</w:t>
      </w:r>
      <w:r w:rsidR="00D05B55" w:rsidRPr="00477C32">
        <w:rPr>
          <w:rFonts w:ascii="Garamond" w:hAnsi="Garamond" w:cs="Times New Roman"/>
          <w:lang w:val="en-GB"/>
        </w:rPr>
        <w:t xml:space="preserve"> extensive</w:t>
      </w:r>
      <w:r w:rsidR="0028009D" w:rsidRPr="00477C32">
        <w:rPr>
          <w:rFonts w:ascii="Garamond" w:hAnsi="Garamond" w:cs="Times New Roman"/>
          <w:lang w:val="en-GB"/>
        </w:rPr>
        <w:t xml:space="preserve"> steps to </w:t>
      </w:r>
      <w:r w:rsidR="00A10D59" w:rsidRPr="00477C32">
        <w:rPr>
          <w:rFonts w:ascii="Garamond" w:hAnsi="Garamond" w:cs="Times New Roman"/>
          <w:lang w:val="en-GB"/>
        </w:rPr>
        <w:t xml:space="preserve">disassociate themselves </w:t>
      </w:r>
      <w:r w:rsidR="00881A8C" w:rsidRPr="00477C32">
        <w:rPr>
          <w:rFonts w:ascii="Garamond" w:hAnsi="Garamond" w:cs="Times New Roman"/>
          <w:lang w:val="en-GB"/>
        </w:rPr>
        <w:t xml:space="preserve">fully </w:t>
      </w:r>
      <w:r w:rsidR="00A10D59" w:rsidRPr="00477C32">
        <w:rPr>
          <w:rFonts w:ascii="Garamond" w:hAnsi="Garamond" w:cs="Times New Roman"/>
          <w:lang w:val="en-GB"/>
        </w:rPr>
        <w:t xml:space="preserve">from the long history </w:t>
      </w:r>
      <w:r w:rsidR="00881A8C" w:rsidRPr="00477C32">
        <w:rPr>
          <w:rFonts w:ascii="Garamond" w:hAnsi="Garamond" w:cs="Times New Roman"/>
          <w:lang w:val="en-GB"/>
        </w:rPr>
        <w:t xml:space="preserve">of </w:t>
      </w:r>
      <w:r w:rsidR="00A10D59" w:rsidRPr="00477C32">
        <w:rPr>
          <w:rFonts w:ascii="Garamond" w:hAnsi="Garamond" w:cs="Times New Roman"/>
          <w:lang w:val="en-GB"/>
        </w:rPr>
        <w:t>racialized anti</w:t>
      </w:r>
      <w:r w:rsidR="00D90190" w:rsidRPr="00477C32">
        <w:rPr>
          <w:rFonts w:ascii="Garamond" w:hAnsi="Garamond" w:cs="Times New Roman"/>
          <w:lang w:val="en-GB"/>
        </w:rPr>
        <w:t>-</w:t>
      </w:r>
      <w:r w:rsidR="00A10D59" w:rsidRPr="00477C32">
        <w:rPr>
          <w:rFonts w:ascii="Garamond" w:hAnsi="Garamond" w:cs="Times New Roman"/>
          <w:lang w:val="en-GB"/>
        </w:rPr>
        <w:t>immigrant rhetoric in Britain, including in their own party.</w:t>
      </w:r>
      <w:r w:rsidR="00D05B55" w:rsidRPr="00477C32">
        <w:rPr>
          <w:rStyle w:val="FootnoteReference"/>
          <w:rFonts w:ascii="Garamond" w:hAnsi="Garamond" w:cs="Times New Roman"/>
          <w:lang w:val="en-GB"/>
        </w:rPr>
        <w:footnoteReference w:id="27"/>
      </w:r>
      <w:r w:rsidR="00995FF2" w:rsidRPr="00477C32">
        <w:rPr>
          <w:rFonts w:ascii="Garamond" w:hAnsi="Garamond" w:cs="Times New Roman"/>
          <w:lang w:val="en-GB"/>
        </w:rPr>
        <w:t xml:space="preserve"> Brexit continues to be often celebrated as a revolt of the most downtrodden.</w:t>
      </w:r>
      <w:r w:rsidR="00D05B55" w:rsidRPr="00477C32">
        <w:rPr>
          <w:rFonts w:ascii="Garamond" w:hAnsi="Garamond" w:cs="Times New Roman"/>
          <w:lang w:val="en-GB"/>
        </w:rPr>
        <w:t xml:space="preserve"> At a minimum, then, someone who wishes to advocate for increased </w:t>
      </w:r>
      <w:r w:rsidR="00F03A26" w:rsidRPr="00477C32">
        <w:rPr>
          <w:rFonts w:ascii="Garamond" w:hAnsi="Garamond" w:cs="Times New Roman"/>
          <w:lang w:val="en-GB"/>
        </w:rPr>
        <w:t xml:space="preserve">discretion over </w:t>
      </w:r>
      <w:r w:rsidR="00995FF2" w:rsidRPr="00477C32">
        <w:rPr>
          <w:rFonts w:ascii="Garamond" w:hAnsi="Garamond" w:cs="Times New Roman"/>
          <w:lang w:val="en-GB"/>
        </w:rPr>
        <w:t>immigration but</w:t>
      </w:r>
      <w:r w:rsidR="00D05B55" w:rsidRPr="00477C32">
        <w:rPr>
          <w:rFonts w:ascii="Garamond" w:hAnsi="Garamond" w:cs="Times New Roman"/>
          <w:lang w:val="en-GB"/>
        </w:rPr>
        <w:t xml:space="preserve"> wants to respect the importance of equal political participation must take steps</w:t>
      </w:r>
      <w:r w:rsidR="00F03A26" w:rsidRPr="00477C32">
        <w:rPr>
          <w:rFonts w:ascii="Garamond" w:hAnsi="Garamond" w:cs="Times New Roman"/>
          <w:lang w:val="en-GB"/>
        </w:rPr>
        <w:t xml:space="preserve"> to avoid reinforcing the racial dynamics that I have pointed to</w:t>
      </w:r>
      <w:r w:rsidR="001800A7" w:rsidRPr="00477C32">
        <w:rPr>
          <w:rFonts w:ascii="Garamond" w:hAnsi="Garamond" w:cs="Times New Roman"/>
          <w:lang w:val="en-GB"/>
        </w:rPr>
        <w:t xml:space="preserve"> and be aware of the role that rhetoric of the </w:t>
      </w:r>
      <w:r w:rsidR="00D90190" w:rsidRPr="00477C32">
        <w:rPr>
          <w:rFonts w:ascii="Garamond" w:hAnsi="Garamond" w:cs="Times New Roman"/>
          <w:lang w:val="en-GB"/>
        </w:rPr>
        <w:t>‘</w:t>
      </w:r>
      <w:r w:rsidR="001800A7" w:rsidRPr="00477C32">
        <w:rPr>
          <w:rFonts w:ascii="Garamond" w:hAnsi="Garamond" w:cs="Times New Roman"/>
          <w:lang w:val="en-GB"/>
        </w:rPr>
        <w:t>left-behinds</w:t>
      </w:r>
      <w:r w:rsidR="00D90190" w:rsidRPr="00477C32">
        <w:rPr>
          <w:rFonts w:ascii="Garamond" w:hAnsi="Garamond" w:cs="Times New Roman"/>
          <w:lang w:val="en-GB"/>
        </w:rPr>
        <w:t>’</w:t>
      </w:r>
      <w:r w:rsidR="001800A7" w:rsidRPr="00477C32">
        <w:rPr>
          <w:rFonts w:ascii="Garamond" w:hAnsi="Garamond" w:cs="Times New Roman"/>
          <w:lang w:val="en-GB"/>
        </w:rPr>
        <w:t xml:space="preserve"> has played</w:t>
      </w:r>
      <w:r w:rsidR="006759A9" w:rsidRPr="00477C32">
        <w:rPr>
          <w:rFonts w:ascii="Garamond" w:hAnsi="Garamond" w:cs="Times New Roman"/>
          <w:lang w:val="en-GB"/>
        </w:rPr>
        <w:t xml:space="preserve"> in those dynamics</w:t>
      </w:r>
      <w:r w:rsidR="00F03A26" w:rsidRPr="00477C32">
        <w:rPr>
          <w:rFonts w:ascii="Garamond" w:hAnsi="Garamond" w:cs="Times New Roman"/>
          <w:lang w:val="en-GB"/>
        </w:rPr>
        <w:t xml:space="preserve">. </w:t>
      </w:r>
      <w:r w:rsidR="00331DD2" w:rsidRPr="00477C32">
        <w:rPr>
          <w:rFonts w:ascii="Garamond" w:hAnsi="Garamond" w:cs="Times New Roman"/>
          <w:lang w:val="en-GB"/>
        </w:rPr>
        <w:t xml:space="preserve">And that requires a much more thorough </w:t>
      </w:r>
      <w:r w:rsidR="001D12E7" w:rsidRPr="00477C32">
        <w:rPr>
          <w:rFonts w:ascii="Garamond" w:hAnsi="Garamond" w:cs="Times New Roman"/>
          <w:lang w:val="en-GB"/>
        </w:rPr>
        <w:t>re-examination</w:t>
      </w:r>
      <w:r w:rsidR="00331DD2" w:rsidRPr="00477C32">
        <w:rPr>
          <w:rFonts w:ascii="Garamond" w:hAnsi="Garamond" w:cs="Times New Roman"/>
          <w:lang w:val="en-GB"/>
        </w:rPr>
        <w:t xml:space="preserve"> of history and institutions than simply expressing distaste for Nigel Farage and others who use overtly racist language and stereotypes.</w:t>
      </w:r>
    </w:p>
    <w:p w14:paraId="77B86E97" w14:textId="77777777" w:rsidR="009762CA" w:rsidRPr="00477C32" w:rsidRDefault="009762CA" w:rsidP="00100874">
      <w:pPr>
        <w:rPr>
          <w:rFonts w:ascii="Garamond" w:hAnsi="Garamond" w:cs="Times New Roman"/>
          <w:lang w:val="en-GB"/>
        </w:rPr>
      </w:pPr>
    </w:p>
    <w:p w14:paraId="276671CD" w14:textId="0D9C400C" w:rsidR="00DE0EE7" w:rsidRPr="00477C32" w:rsidRDefault="007135E2" w:rsidP="00100874">
      <w:pPr>
        <w:rPr>
          <w:rFonts w:ascii="Garamond" w:hAnsi="Garamond" w:cs="Times New Roman"/>
          <w:b/>
          <w:bCs/>
          <w:lang w:val="en-GB"/>
        </w:rPr>
      </w:pPr>
      <w:r w:rsidRPr="00477C32">
        <w:rPr>
          <w:rFonts w:ascii="Garamond" w:hAnsi="Garamond" w:cs="Times New Roman"/>
          <w:b/>
          <w:bCs/>
          <w:lang w:val="en-GB"/>
        </w:rPr>
        <w:t xml:space="preserve">7. </w:t>
      </w:r>
      <w:r w:rsidR="00F36175" w:rsidRPr="00477C32">
        <w:rPr>
          <w:rFonts w:ascii="Garamond" w:hAnsi="Garamond" w:cs="Times New Roman"/>
          <w:b/>
          <w:bCs/>
          <w:lang w:val="en-GB"/>
        </w:rPr>
        <w:t>Conclusion</w:t>
      </w:r>
    </w:p>
    <w:p w14:paraId="09478BD4" w14:textId="77777777" w:rsidR="00F36175" w:rsidRPr="00477C32" w:rsidRDefault="00F36175" w:rsidP="00100874">
      <w:pPr>
        <w:rPr>
          <w:rFonts w:ascii="Garamond" w:hAnsi="Garamond" w:cs="Times New Roman"/>
          <w:lang w:val="en-GB"/>
        </w:rPr>
      </w:pPr>
    </w:p>
    <w:p w14:paraId="7876B3D3" w14:textId="7ECABB54" w:rsidR="007F073B" w:rsidRPr="00477C32" w:rsidRDefault="00F36175" w:rsidP="00222B55">
      <w:pPr>
        <w:ind w:firstLine="720"/>
        <w:rPr>
          <w:rFonts w:ascii="Garamond" w:hAnsi="Garamond" w:cs="Times New Roman"/>
          <w:lang w:val="en-GB"/>
        </w:rPr>
      </w:pPr>
      <w:r w:rsidRPr="00477C32">
        <w:rPr>
          <w:rFonts w:ascii="Garamond" w:hAnsi="Garamond" w:cs="Times New Roman"/>
          <w:lang w:val="en-GB"/>
        </w:rPr>
        <w:t>In recent years we have seen in the U</w:t>
      </w:r>
      <w:r w:rsidR="00B80A55" w:rsidRPr="00477C32">
        <w:rPr>
          <w:rFonts w:ascii="Garamond" w:hAnsi="Garamond" w:cs="Times New Roman"/>
          <w:lang w:val="en-GB"/>
        </w:rPr>
        <w:t xml:space="preserve">nited </w:t>
      </w:r>
      <w:r w:rsidRPr="00477C32">
        <w:rPr>
          <w:rFonts w:ascii="Garamond" w:hAnsi="Garamond" w:cs="Times New Roman"/>
          <w:lang w:val="en-GB"/>
        </w:rPr>
        <w:t>S</w:t>
      </w:r>
      <w:r w:rsidR="00B80A55" w:rsidRPr="00477C32">
        <w:rPr>
          <w:rFonts w:ascii="Garamond" w:hAnsi="Garamond" w:cs="Times New Roman"/>
          <w:lang w:val="en-GB"/>
        </w:rPr>
        <w:t>tates</w:t>
      </w:r>
      <w:r w:rsidRPr="00477C32">
        <w:rPr>
          <w:rFonts w:ascii="Garamond" w:hAnsi="Garamond" w:cs="Times New Roman"/>
          <w:lang w:val="en-GB"/>
        </w:rPr>
        <w:t xml:space="preserve"> and U</w:t>
      </w:r>
      <w:r w:rsidR="00B80A55" w:rsidRPr="00477C32">
        <w:rPr>
          <w:rFonts w:ascii="Garamond" w:hAnsi="Garamond" w:cs="Times New Roman"/>
          <w:lang w:val="en-GB"/>
        </w:rPr>
        <w:t xml:space="preserve">nited </w:t>
      </w:r>
      <w:r w:rsidRPr="00477C32">
        <w:rPr>
          <w:rFonts w:ascii="Garamond" w:hAnsi="Garamond" w:cs="Times New Roman"/>
          <w:lang w:val="en-GB"/>
        </w:rPr>
        <w:t>K</w:t>
      </w:r>
      <w:r w:rsidR="00B80A55" w:rsidRPr="00477C32">
        <w:rPr>
          <w:rFonts w:ascii="Garamond" w:hAnsi="Garamond" w:cs="Times New Roman"/>
          <w:lang w:val="en-GB"/>
        </w:rPr>
        <w:t>ingdom</w:t>
      </w:r>
      <w:r w:rsidRPr="00477C32">
        <w:rPr>
          <w:rFonts w:ascii="Garamond" w:hAnsi="Garamond" w:cs="Times New Roman"/>
          <w:lang w:val="en-GB"/>
        </w:rPr>
        <w:t xml:space="preserve"> strong political movements for increased state discretion over immigration, whether by increasing border enforcement capacity or exiting the free movement arrangements with the European Union. In this paper I have explored one potent argument for such discretion, namely that it is essential to protecting </w:t>
      </w:r>
      <w:r w:rsidR="0062297D" w:rsidRPr="00477C32">
        <w:rPr>
          <w:rFonts w:ascii="Garamond" w:hAnsi="Garamond" w:cs="Times New Roman"/>
          <w:lang w:val="en-GB"/>
        </w:rPr>
        <w:t>CSG</w:t>
      </w:r>
      <w:r w:rsidRPr="00477C32">
        <w:rPr>
          <w:rFonts w:ascii="Garamond" w:hAnsi="Garamond" w:cs="Times New Roman"/>
          <w:lang w:val="en-GB"/>
        </w:rPr>
        <w:t>. The arguments, we sa</w:t>
      </w:r>
      <w:r w:rsidR="00F03A26" w:rsidRPr="00477C32">
        <w:rPr>
          <w:rFonts w:ascii="Garamond" w:hAnsi="Garamond" w:cs="Times New Roman"/>
          <w:lang w:val="en-GB"/>
        </w:rPr>
        <w:t>w</w:t>
      </w:r>
      <w:r w:rsidRPr="00477C32">
        <w:rPr>
          <w:rFonts w:ascii="Garamond" w:hAnsi="Garamond" w:cs="Times New Roman"/>
          <w:lang w:val="en-GB"/>
        </w:rPr>
        <w:t xml:space="preserve">, appear to be especially strong since they seemingly allow the speaker to avoid </w:t>
      </w:r>
      <w:r w:rsidR="00F03A26" w:rsidRPr="00477C32">
        <w:rPr>
          <w:rFonts w:ascii="Garamond" w:hAnsi="Garamond" w:cs="Times New Roman"/>
          <w:lang w:val="en-GB"/>
        </w:rPr>
        <w:t xml:space="preserve">various strong normative and empirical assumptions that other arguments must appeal to. On the face of it, they need not show, for instance, that immigration has a deleterious impact on a country—it’s just very important </w:t>
      </w:r>
      <w:r w:rsidR="00F03A26" w:rsidRPr="00477C32">
        <w:rPr>
          <w:rFonts w:ascii="Garamond" w:hAnsi="Garamond" w:cs="Times New Roman"/>
          <w:i/>
          <w:iCs/>
          <w:lang w:val="en-GB"/>
        </w:rPr>
        <w:t>in itself</w:t>
      </w:r>
      <w:r w:rsidR="00F03A26" w:rsidRPr="00477C32">
        <w:rPr>
          <w:rFonts w:ascii="Garamond" w:hAnsi="Garamond" w:cs="Times New Roman"/>
          <w:lang w:val="en-GB"/>
        </w:rPr>
        <w:t xml:space="preserve"> to have discretion over immigration, irrespective of such effects.</w:t>
      </w:r>
    </w:p>
    <w:p w14:paraId="5D133B25" w14:textId="5A6046BC" w:rsidR="00F03A26" w:rsidRPr="00477C32" w:rsidRDefault="00F03A26" w:rsidP="00222B55">
      <w:pPr>
        <w:ind w:firstLine="720"/>
        <w:rPr>
          <w:rFonts w:ascii="Garamond" w:hAnsi="Garamond" w:cs="Times New Roman"/>
          <w:lang w:val="en-GB"/>
        </w:rPr>
      </w:pPr>
      <w:r w:rsidRPr="00477C32">
        <w:rPr>
          <w:rFonts w:ascii="Garamond" w:hAnsi="Garamond" w:cs="Times New Roman"/>
          <w:lang w:val="en-GB"/>
        </w:rPr>
        <w:t xml:space="preserve">What I hope to have demonstrated is, first, that these apparent advantages dry up substantially when we really examine what is involved in exercising </w:t>
      </w:r>
      <w:r w:rsidR="0062297D" w:rsidRPr="00477C32">
        <w:rPr>
          <w:rFonts w:ascii="Garamond" w:hAnsi="Garamond" w:cs="Times New Roman"/>
          <w:lang w:val="en-GB"/>
        </w:rPr>
        <w:t>CSG</w:t>
      </w:r>
      <w:r w:rsidRPr="00477C32">
        <w:rPr>
          <w:rFonts w:ascii="Garamond" w:hAnsi="Garamond" w:cs="Times New Roman"/>
          <w:lang w:val="en-GB"/>
        </w:rPr>
        <w:t xml:space="preserve">. What matters for </w:t>
      </w:r>
      <w:r w:rsidR="0062297D" w:rsidRPr="00477C32">
        <w:rPr>
          <w:rFonts w:ascii="Garamond" w:hAnsi="Garamond" w:cs="Times New Roman"/>
          <w:lang w:val="en-GB"/>
        </w:rPr>
        <w:t>CSG</w:t>
      </w:r>
      <w:r w:rsidRPr="00477C32">
        <w:rPr>
          <w:rFonts w:ascii="Garamond" w:hAnsi="Garamond" w:cs="Times New Roman"/>
          <w:lang w:val="en-GB"/>
        </w:rPr>
        <w:t xml:space="preserve"> is not simply making collective </w:t>
      </w:r>
      <w:r w:rsidRPr="00477C32">
        <w:rPr>
          <w:rFonts w:ascii="Garamond" w:hAnsi="Garamond" w:cs="Times New Roman"/>
          <w:i/>
          <w:iCs/>
          <w:lang w:val="en-GB"/>
        </w:rPr>
        <w:t>choices</w:t>
      </w:r>
      <w:r w:rsidRPr="00477C32">
        <w:rPr>
          <w:rFonts w:ascii="Garamond" w:hAnsi="Garamond" w:cs="Times New Roman"/>
          <w:lang w:val="en-GB"/>
        </w:rPr>
        <w:t xml:space="preserve">, but making collective choices that affect the </w:t>
      </w:r>
      <w:r w:rsidRPr="00477C32">
        <w:rPr>
          <w:rFonts w:ascii="Garamond" w:hAnsi="Garamond" w:cs="Times New Roman"/>
          <w:i/>
          <w:iCs/>
          <w:lang w:val="en-GB"/>
        </w:rPr>
        <w:t>fundamental</w:t>
      </w:r>
      <w:r w:rsidRPr="00477C32">
        <w:rPr>
          <w:rFonts w:ascii="Garamond" w:hAnsi="Garamond" w:cs="Times New Roman"/>
          <w:lang w:val="en-GB"/>
        </w:rPr>
        <w:t xml:space="preserve"> direction of the country and so the question arises once again of whether immigration has much </w:t>
      </w:r>
      <w:r w:rsidRPr="00477C32">
        <w:rPr>
          <w:rFonts w:ascii="Garamond" w:hAnsi="Garamond" w:cs="Times New Roman"/>
          <w:lang w:val="en-GB"/>
        </w:rPr>
        <w:lastRenderedPageBreak/>
        <w:t xml:space="preserve">impact on that fundamental direction. I also hope to have demonstrated, second, that </w:t>
      </w:r>
      <w:r w:rsidR="000577B5" w:rsidRPr="00477C32">
        <w:rPr>
          <w:rFonts w:ascii="Garamond" w:hAnsi="Garamond" w:cs="Times New Roman"/>
          <w:lang w:val="en-GB"/>
        </w:rPr>
        <w:t xml:space="preserve">sometimes pushes for increased border controls can </w:t>
      </w:r>
      <w:proofErr w:type="gramStart"/>
      <w:r w:rsidR="000577B5" w:rsidRPr="00477C32">
        <w:rPr>
          <w:rFonts w:ascii="Garamond" w:hAnsi="Garamond" w:cs="Times New Roman"/>
          <w:lang w:val="en-GB"/>
        </w:rPr>
        <w:t xml:space="preserve">actually </w:t>
      </w:r>
      <w:r w:rsidR="000577B5" w:rsidRPr="00477C32">
        <w:rPr>
          <w:rFonts w:ascii="Garamond" w:hAnsi="Garamond" w:cs="Times New Roman"/>
          <w:i/>
          <w:iCs/>
          <w:lang w:val="en-GB"/>
        </w:rPr>
        <w:t>damage</w:t>
      </w:r>
      <w:proofErr w:type="gramEnd"/>
      <w:r w:rsidR="000577B5" w:rsidRPr="00477C32">
        <w:rPr>
          <w:rFonts w:ascii="Garamond" w:hAnsi="Garamond" w:cs="Times New Roman"/>
          <w:lang w:val="en-GB"/>
        </w:rPr>
        <w:t xml:space="preserve"> </w:t>
      </w:r>
      <w:r w:rsidR="0062297D" w:rsidRPr="00477C32">
        <w:rPr>
          <w:rFonts w:ascii="Garamond" w:hAnsi="Garamond" w:cs="Times New Roman"/>
          <w:lang w:val="en-GB"/>
        </w:rPr>
        <w:t>CSG</w:t>
      </w:r>
      <w:r w:rsidR="000577B5" w:rsidRPr="00477C32">
        <w:rPr>
          <w:rFonts w:ascii="Garamond" w:hAnsi="Garamond" w:cs="Times New Roman"/>
          <w:lang w:val="en-GB"/>
        </w:rPr>
        <w:t xml:space="preserve">. For </w:t>
      </w:r>
      <w:r w:rsidR="0062297D" w:rsidRPr="00477C32">
        <w:rPr>
          <w:rFonts w:ascii="Garamond" w:hAnsi="Garamond" w:cs="Times New Roman"/>
          <w:lang w:val="en-GB"/>
        </w:rPr>
        <w:t>CSG</w:t>
      </w:r>
      <w:r w:rsidR="000577B5" w:rsidRPr="00477C32">
        <w:rPr>
          <w:rFonts w:ascii="Garamond" w:hAnsi="Garamond" w:cs="Times New Roman"/>
          <w:lang w:val="en-GB"/>
        </w:rPr>
        <w:t xml:space="preserve"> requires that all members of a society be able to participate as equals in </w:t>
      </w:r>
      <w:r w:rsidR="00972C33" w:rsidRPr="00477C32">
        <w:rPr>
          <w:rFonts w:ascii="Garamond" w:hAnsi="Garamond" w:cs="Times New Roman"/>
          <w:lang w:val="en-GB"/>
        </w:rPr>
        <w:t xml:space="preserve">the </w:t>
      </w:r>
      <w:r w:rsidR="000577B5" w:rsidRPr="00477C32">
        <w:rPr>
          <w:rFonts w:ascii="Garamond" w:hAnsi="Garamond" w:cs="Times New Roman"/>
          <w:lang w:val="en-GB"/>
        </w:rPr>
        <w:t xml:space="preserve">political process. And pushes for discretion over immigration can sometimes create exclusion of racial minorities from equal participation. This is true not only when movements for discretion over immigration are based on overt racial hostility but also when they </w:t>
      </w:r>
      <w:r w:rsidR="00E87612" w:rsidRPr="00477C32">
        <w:rPr>
          <w:rFonts w:ascii="Garamond" w:hAnsi="Garamond" w:cs="Times New Roman"/>
          <w:lang w:val="en-GB"/>
        </w:rPr>
        <w:t xml:space="preserve">reinforce a political discourse that downgrades </w:t>
      </w:r>
      <w:r w:rsidR="00B7781E" w:rsidRPr="00477C32">
        <w:rPr>
          <w:rFonts w:ascii="Garamond" w:hAnsi="Garamond" w:cs="Times New Roman"/>
          <w:lang w:val="en-GB"/>
        </w:rPr>
        <w:t>the</w:t>
      </w:r>
      <w:r w:rsidR="00E87612" w:rsidRPr="00477C32">
        <w:rPr>
          <w:rFonts w:ascii="Garamond" w:hAnsi="Garamond" w:cs="Times New Roman"/>
          <w:lang w:val="en-GB"/>
        </w:rPr>
        <w:t xml:space="preserve"> voices and interests</w:t>
      </w:r>
      <w:r w:rsidR="00B7781E" w:rsidRPr="00477C32">
        <w:rPr>
          <w:rFonts w:ascii="Garamond" w:hAnsi="Garamond" w:cs="Times New Roman"/>
          <w:lang w:val="en-GB"/>
        </w:rPr>
        <w:t xml:space="preserve"> of people of colo</w:t>
      </w:r>
      <w:r w:rsidR="00D54050" w:rsidRPr="00477C32">
        <w:rPr>
          <w:rFonts w:ascii="Garamond" w:hAnsi="Garamond" w:cs="Times New Roman"/>
          <w:lang w:val="en-GB"/>
        </w:rPr>
        <w:t>u</w:t>
      </w:r>
      <w:r w:rsidR="00B7781E" w:rsidRPr="00477C32">
        <w:rPr>
          <w:rFonts w:ascii="Garamond" w:hAnsi="Garamond" w:cs="Times New Roman"/>
          <w:lang w:val="en-GB"/>
        </w:rPr>
        <w:t>r</w:t>
      </w:r>
      <w:r w:rsidR="00424BEF" w:rsidRPr="00477C32">
        <w:rPr>
          <w:rFonts w:ascii="Garamond" w:hAnsi="Garamond" w:cs="Times New Roman"/>
          <w:lang w:val="en-GB"/>
        </w:rPr>
        <w:t xml:space="preserve"> to a subordinate status</w:t>
      </w:r>
      <w:r w:rsidR="000577B5" w:rsidRPr="00477C32">
        <w:rPr>
          <w:rFonts w:ascii="Garamond" w:hAnsi="Garamond" w:cs="Times New Roman"/>
          <w:lang w:val="en-GB"/>
        </w:rPr>
        <w:t>.</w:t>
      </w:r>
    </w:p>
    <w:p w14:paraId="1DE6B623" w14:textId="5C69A801" w:rsidR="00762956" w:rsidRPr="00477C32" w:rsidRDefault="00762956" w:rsidP="00222B55">
      <w:pPr>
        <w:rPr>
          <w:rFonts w:ascii="Garamond" w:hAnsi="Garamond" w:cs="Times New Roman"/>
          <w:lang w:val="en-GB"/>
        </w:rPr>
      </w:pPr>
    </w:p>
    <w:p w14:paraId="5C5F0368" w14:textId="77777777" w:rsidR="00392B14" w:rsidRPr="00477C32" w:rsidRDefault="00392B14" w:rsidP="00222B55">
      <w:pPr>
        <w:rPr>
          <w:rFonts w:ascii="Garamond" w:hAnsi="Garamond" w:cs="Times New Roman"/>
          <w:lang w:val="en-GB"/>
        </w:rPr>
      </w:pPr>
    </w:p>
    <w:p w14:paraId="469C60C4" w14:textId="2434C7B8" w:rsidR="00762956" w:rsidRPr="00477C32" w:rsidRDefault="00762956" w:rsidP="00000947">
      <w:pPr>
        <w:jc w:val="center"/>
        <w:rPr>
          <w:rFonts w:ascii="Garamond" w:hAnsi="Garamond" w:cs="Times New Roman"/>
          <w:b/>
          <w:bCs/>
          <w:lang w:val="en-GB"/>
        </w:rPr>
      </w:pPr>
      <w:r w:rsidRPr="00477C32">
        <w:rPr>
          <w:rFonts w:ascii="Garamond" w:hAnsi="Garamond" w:cs="Times New Roman"/>
          <w:b/>
          <w:bCs/>
          <w:lang w:val="en-GB"/>
        </w:rPr>
        <w:t>References</w:t>
      </w:r>
    </w:p>
    <w:p w14:paraId="7E972B47" w14:textId="1FB4E0E6" w:rsidR="00100874" w:rsidRPr="00477C32" w:rsidRDefault="00100874" w:rsidP="00100874">
      <w:pPr>
        <w:adjustRightInd w:val="0"/>
        <w:snapToGrid w:val="0"/>
        <w:ind w:left="720" w:hanging="720"/>
        <w:rPr>
          <w:rFonts w:ascii="Garamond" w:hAnsi="Garamond" w:cs="Times New Roman"/>
          <w:lang w:val="en-GB"/>
        </w:rPr>
      </w:pPr>
    </w:p>
    <w:p w14:paraId="6A7035E1" w14:textId="2CFD094E" w:rsidR="008213AD" w:rsidRPr="00477C32" w:rsidRDefault="008213AD" w:rsidP="008213AD">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Bertram, Christopher. ‘Citizenship, </w:t>
      </w:r>
      <w:r w:rsidR="008A48B4" w:rsidRPr="00477C32">
        <w:rPr>
          <w:rFonts w:ascii="Garamond" w:hAnsi="Garamond" w:cs="Times New Roman"/>
          <w:lang w:val="en-GB"/>
        </w:rPr>
        <w:t>S</w:t>
      </w:r>
      <w:r w:rsidRPr="00477C32">
        <w:rPr>
          <w:rFonts w:ascii="Garamond" w:hAnsi="Garamond" w:cs="Times New Roman"/>
          <w:lang w:val="en-GB"/>
        </w:rPr>
        <w:t>emi-</w:t>
      </w:r>
      <w:r w:rsidR="008A48B4" w:rsidRPr="00477C32">
        <w:rPr>
          <w:rFonts w:ascii="Garamond" w:hAnsi="Garamond" w:cs="Times New Roman"/>
          <w:lang w:val="en-GB"/>
        </w:rPr>
        <w:t>C</w:t>
      </w:r>
      <w:r w:rsidRPr="00477C32">
        <w:rPr>
          <w:rFonts w:ascii="Garamond" w:hAnsi="Garamond" w:cs="Times New Roman"/>
          <w:lang w:val="en-GB"/>
        </w:rPr>
        <w:t xml:space="preserve">itizenship and the </w:t>
      </w:r>
      <w:r w:rsidR="008A48B4" w:rsidRPr="00477C32">
        <w:rPr>
          <w:rFonts w:ascii="Garamond" w:hAnsi="Garamond" w:cs="Times New Roman"/>
          <w:lang w:val="en-GB"/>
        </w:rPr>
        <w:t>H</w:t>
      </w:r>
      <w:r w:rsidRPr="00477C32">
        <w:rPr>
          <w:rFonts w:ascii="Garamond" w:hAnsi="Garamond" w:cs="Times New Roman"/>
          <w:lang w:val="en-GB"/>
        </w:rPr>
        <w:t xml:space="preserve">ostile </w:t>
      </w:r>
      <w:r w:rsidR="008A48B4" w:rsidRPr="00477C32">
        <w:rPr>
          <w:rFonts w:ascii="Garamond" w:hAnsi="Garamond" w:cs="Times New Roman"/>
          <w:lang w:val="en-GB"/>
        </w:rPr>
        <w:t>E</w:t>
      </w:r>
      <w:r w:rsidRPr="00477C32">
        <w:rPr>
          <w:rFonts w:ascii="Garamond" w:hAnsi="Garamond" w:cs="Times New Roman"/>
          <w:lang w:val="en-GB"/>
        </w:rPr>
        <w:t xml:space="preserve">nvironment: </w:t>
      </w:r>
      <w:r w:rsidR="008A48B4" w:rsidRPr="00477C32">
        <w:rPr>
          <w:rFonts w:ascii="Garamond" w:hAnsi="Garamond" w:cs="Times New Roman"/>
          <w:lang w:val="en-GB"/>
        </w:rPr>
        <w:t>T</w:t>
      </w:r>
      <w:r w:rsidRPr="00477C32">
        <w:rPr>
          <w:rFonts w:ascii="Garamond" w:hAnsi="Garamond" w:cs="Times New Roman"/>
          <w:lang w:val="en-GB"/>
        </w:rPr>
        <w:t xml:space="preserve">he </w:t>
      </w:r>
      <w:r w:rsidR="008A48B4" w:rsidRPr="00477C32">
        <w:rPr>
          <w:rFonts w:ascii="Garamond" w:hAnsi="Garamond" w:cs="Times New Roman"/>
          <w:lang w:val="en-GB"/>
        </w:rPr>
        <w:t>P</w:t>
      </w:r>
      <w:r w:rsidRPr="00477C32">
        <w:rPr>
          <w:rFonts w:ascii="Garamond" w:hAnsi="Garamond" w:cs="Times New Roman"/>
          <w:lang w:val="en-GB"/>
        </w:rPr>
        <w:t xml:space="preserve">erformativity of </w:t>
      </w:r>
      <w:r w:rsidR="008A48B4" w:rsidRPr="00477C32">
        <w:rPr>
          <w:rFonts w:ascii="Garamond" w:hAnsi="Garamond" w:cs="Times New Roman"/>
          <w:lang w:val="en-GB"/>
        </w:rPr>
        <w:t>B</w:t>
      </w:r>
      <w:r w:rsidRPr="00477C32">
        <w:rPr>
          <w:rFonts w:ascii="Garamond" w:hAnsi="Garamond" w:cs="Times New Roman"/>
          <w:lang w:val="en-GB"/>
        </w:rPr>
        <w:t xml:space="preserve">ordering </w:t>
      </w:r>
      <w:r w:rsidR="008A48B4" w:rsidRPr="00477C32">
        <w:rPr>
          <w:rFonts w:ascii="Garamond" w:hAnsi="Garamond" w:cs="Times New Roman"/>
          <w:lang w:val="en-GB"/>
        </w:rPr>
        <w:t>P</w:t>
      </w:r>
      <w:r w:rsidRPr="00477C32">
        <w:rPr>
          <w:rFonts w:ascii="Garamond" w:hAnsi="Garamond" w:cs="Times New Roman"/>
          <w:lang w:val="en-GB"/>
        </w:rPr>
        <w:t>ractices’</w:t>
      </w:r>
      <w:r w:rsidR="008A48B4" w:rsidRPr="00477C32">
        <w:rPr>
          <w:rFonts w:ascii="Garamond" w:hAnsi="Garamond" w:cs="Times New Roman"/>
          <w:lang w:val="en-GB"/>
        </w:rPr>
        <w:t>. I</w:t>
      </w:r>
      <w:r w:rsidRPr="00477C32">
        <w:rPr>
          <w:rFonts w:ascii="Garamond" w:hAnsi="Garamond" w:cs="Times New Roman"/>
          <w:lang w:val="en-GB"/>
        </w:rPr>
        <w:t xml:space="preserve">n </w:t>
      </w:r>
      <w:r w:rsidRPr="00477C32">
        <w:rPr>
          <w:rFonts w:ascii="Garamond" w:hAnsi="Garamond" w:cs="Times New Roman"/>
          <w:i/>
          <w:iCs/>
          <w:lang w:val="en-GB"/>
        </w:rPr>
        <w:t xml:space="preserve">Citizenship in Times of </w:t>
      </w:r>
      <w:proofErr w:type="gramStart"/>
      <w:r w:rsidRPr="00477C32">
        <w:rPr>
          <w:rFonts w:ascii="Garamond" w:hAnsi="Garamond" w:cs="Times New Roman"/>
          <w:i/>
          <w:iCs/>
          <w:lang w:val="en-GB"/>
        </w:rPr>
        <w:t>Turmoil?</w:t>
      </w:r>
      <w:r w:rsidR="00535651" w:rsidRPr="00477C32">
        <w:rPr>
          <w:rFonts w:ascii="Garamond" w:hAnsi="Garamond" w:cs="Times New Roman"/>
          <w:i/>
          <w:iCs/>
          <w:lang w:val="en-GB"/>
        </w:rPr>
        <w:t>:</w:t>
      </w:r>
      <w:proofErr w:type="gramEnd"/>
      <w:r w:rsidRPr="00477C32">
        <w:rPr>
          <w:rFonts w:ascii="Garamond" w:hAnsi="Garamond" w:cs="Times New Roman"/>
          <w:i/>
          <w:iCs/>
          <w:lang w:val="en-GB"/>
        </w:rPr>
        <w:t xml:space="preserve"> Theory, Practice and Policy</w:t>
      </w:r>
      <w:r w:rsidRPr="00477C32">
        <w:rPr>
          <w:rFonts w:ascii="Garamond" w:hAnsi="Garamond" w:cs="Times New Roman"/>
          <w:lang w:val="en-GB"/>
        </w:rPr>
        <w:t>, ed</w:t>
      </w:r>
      <w:r w:rsidR="008A48B4" w:rsidRPr="00477C32">
        <w:rPr>
          <w:rFonts w:ascii="Garamond" w:hAnsi="Garamond" w:cs="Times New Roman"/>
          <w:lang w:val="en-GB"/>
        </w:rPr>
        <w:t>ited by</w:t>
      </w:r>
      <w:r w:rsidRPr="00477C32">
        <w:rPr>
          <w:rFonts w:ascii="Garamond" w:hAnsi="Garamond" w:cs="Times New Roman"/>
          <w:lang w:val="en-GB"/>
        </w:rPr>
        <w:t xml:space="preserve"> Devyani Prabhat. Northampton, MA: Edward Elgar Publishing, 2019. </w:t>
      </w:r>
    </w:p>
    <w:p w14:paraId="19A76D91" w14:textId="77777777" w:rsidR="000B02A8" w:rsidRPr="00477C32" w:rsidRDefault="000B02A8" w:rsidP="000B02A8">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Bhambra, Gurminder K. ‘Brexit, Trump, and “Methodological Whiteness”: On the Misrecognition of Race and Class’. </w:t>
      </w:r>
      <w:r w:rsidRPr="00477C32">
        <w:rPr>
          <w:rFonts w:ascii="Garamond" w:hAnsi="Garamond" w:cs="Times New Roman"/>
          <w:i/>
          <w:iCs/>
          <w:lang w:val="en-GB"/>
        </w:rPr>
        <w:t>British Journal of Sociology</w:t>
      </w:r>
      <w:r w:rsidRPr="00477C32">
        <w:rPr>
          <w:rFonts w:ascii="Garamond" w:hAnsi="Garamond" w:cs="Times New Roman"/>
          <w:lang w:val="en-GB"/>
        </w:rPr>
        <w:t xml:space="preserve"> 68, no. S1 (November 2017): S214–S232.</w:t>
      </w:r>
    </w:p>
    <w:p w14:paraId="22F22919" w14:textId="602AF119" w:rsidR="002F0C9A" w:rsidRPr="00477C32" w:rsidRDefault="002F0C9A" w:rsidP="00AC6957">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Blake, Michael. ‘Discretionary Immigration’. </w:t>
      </w:r>
      <w:r w:rsidRPr="00477C32">
        <w:rPr>
          <w:rFonts w:ascii="Garamond" w:hAnsi="Garamond" w:cs="Times New Roman"/>
          <w:i/>
          <w:iCs/>
          <w:lang w:val="en-GB"/>
        </w:rPr>
        <w:t>Philosophical Topics</w:t>
      </w:r>
      <w:r w:rsidRPr="00477C32">
        <w:rPr>
          <w:rFonts w:ascii="Garamond" w:hAnsi="Garamond" w:cs="Times New Roman"/>
          <w:lang w:val="en-GB"/>
        </w:rPr>
        <w:t xml:space="preserve"> 30, no. 2 (Fall 2002): 273–289.</w:t>
      </w:r>
    </w:p>
    <w:p w14:paraId="102B9A0F" w14:textId="44418995" w:rsidR="001D0FDF" w:rsidRPr="00477C32" w:rsidRDefault="001D0FDF" w:rsidP="00EA31F9">
      <w:pPr>
        <w:pStyle w:val="Reference"/>
        <w:adjustRightInd w:val="0"/>
        <w:snapToGrid w:val="0"/>
        <w:spacing w:after="0"/>
        <w:ind w:left="720" w:hanging="720"/>
        <w:rPr>
          <w:rFonts w:ascii="Garamond" w:hAnsi="Garamond"/>
          <w:iCs/>
        </w:rPr>
      </w:pPr>
      <w:r w:rsidRPr="00477C32">
        <w:rPr>
          <w:rFonts w:ascii="Garamond" w:hAnsi="Garamond"/>
        </w:rPr>
        <w:t xml:space="preserve">Cohen, Joshua. </w:t>
      </w:r>
      <w:r w:rsidRPr="00477C32">
        <w:rPr>
          <w:rFonts w:ascii="Garamond" w:hAnsi="Garamond"/>
          <w:i/>
        </w:rPr>
        <w:t>Philosophy, Politics, Democracy: Selected Essays</w:t>
      </w:r>
      <w:r w:rsidRPr="00477C32">
        <w:rPr>
          <w:rFonts w:ascii="Garamond" w:hAnsi="Garamond"/>
          <w:iCs/>
        </w:rPr>
        <w:t>. Cambridge, MA: Harvard University Press, 2009.</w:t>
      </w:r>
    </w:p>
    <w:p w14:paraId="2147E615" w14:textId="025AB10F" w:rsidR="00E5312E" w:rsidRPr="00477C32" w:rsidRDefault="00E5312E" w:rsidP="00EA31F9">
      <w:pPr>
        <w:pStyle w:val="Reference"/>
        <w:adjustRightInd w:val="0"/>
        <w:snapToGrid w:val="0"/>
        <w:spacing w:after="0"/>
        <w:ind w:left="720" w:hanging="720"/>
        <w:rPr>
          <w:rFonts w:ascii="Garamond" w:hAnsi="Garamond"/>
          <w:iCs/>
        </w:rPr>
      </w:pPr>
      <w:r w:rsidRPr="00477C32">
        <w:rPr>
          <w:rFonts w:ascii="Garamond" w:hAnsi="Garamond"/>
          <w:iCs/>
        </w:rPr>
        <w:t>Dorling, Danny</w:t>
      </w:r>
      <w:r w:rsidR="003D1B5E" w:rsidRPr="00477C32">
        <w:rPr>
          <w:rFonts w:ascii="Garamond" w:hAnsi="Garamond"/>
          <w:iCs/>
        </w:rPr>
        <w:t>,</w:t>
      </w:r>
      <w:r w:rsidRPr="00477C32">
        <w:rPr>
          <w:rFonts w:ascii="Garamond" w:hAnsi="Garamond"/>
          <w:iCs/>
        </w:rPr>
        <w:t xml:space="preserve"> and </w:t>
      </w:r>
      <w:r w:rsidR="003D1B5E" w:rsidRPr="00477C32">
        <w:rPr>
          <w:rFonts w:ascii="Garamond" w:hAnsi="Garamond"/>
          <w:iCs/>
        </w:rPr>
        <w:t xml:space="preserve">Sally </w:t>
      </w:r>
      <w:r w:rsidRPr="00477C32">
        <w:rPr>
          <w:rFonts w:ascii="Garamond" w:hAnsi="Garamond"/>
          <w:iCs/>
        </w:rPr>
        <w:t xml:space="preserve">Tomlinson. </w:t>
      </w:r>
      <w:r w:rsidRPr="00477C32">
        <w:rPr>
          <w:rFonts w:ascii="Garamond" w:hAnsi="Garamond"/>
          <w:i/>
        </w:rPr>
        <w:t xml:space="preserve">Rule Britannia: </w:t>
      </w:r>
      <w:r w:rsidR="0056534E" w:rsidRPr="00477C32">
        <w:rPr>
          <w:rFonts w:ascii="Garamond" w:hAnsi="Garamond"/>
          <w:i/>
        </w:rPr>
        <w:t>Brexit and the End of Empire</w:t>
      </w:r>
      <w:r w:rsidR="0056534E" w:rsidRPr="00477C32">
        <w:rPr>
          <w:rFonts w:ascii="Garamond" w:hAnsi="Garamond"/>
          <w:iCs/>
        </w:rPr>
        <w:t>. London: Biteback Publishing, 2019</w:t>
      </w:r>
      <w:r w:rsidRPr="00477C32">
        <w:rPr>
          <w:rFonts w:ascii="Garamond" w:hAnsi="Garamond"/>
          <w:iCs/>
        </w:rPr>
        <w:t xml:space="preserve">. </w:t>
      </w:r>
    </w:p>
    <w:p w14:paraId="73C1F050" w14:textId="68EBF955" w:rsidR="001D0FDF" w:rsidRPr="00477C32" w:rsidRDefault="001D0FDF" w:rsidP="00C6060B">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Ely, John Hart. </w:t>
      </w:r>
      <w:r w:rsidRPr="00477C32">
        <w:rPr>
          <w:rFonts w:ascii="Garamond" w:hAnsi="Garamond" w:cs="Times New Roman"/>
          <w:i/>
          <w:iCs/>
          <w:lang w:val="en-GB"/>
        </w:rPr>
        <w:t>Democracy and Distrust: A Theory of Judicial Review</w:t>
      </w:r>
      <w:r w:rsidRPr="00477C32">
        <w:rPr>
          <w:rFonts w:ascii="Garamond" w:hAnsi="Garamond" w:cs="Times New Roman"/>
          <w:lang w:val="en-GB"/>
        </w:rPr>
        <w:t>. Cambridge, MA: Harvard University Press, 1980.</w:t>
      </w:r>
    </w:p>
    <w:p w14:paraId="2A7EF18B" w14:textId="420B317B" w:rsidR="0086742E" w:rsidRPr="00477C32" w:rsidRDefault="0086742E" w:rsidP="0086742E">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Fine, Sarah. ‘The Ethics of Immigration: Self-Determination and the Right to Exclude’. </w:t>
      </w:r>
      <w:r w:rsidRPr="00477C32">
        <w:rPr>
          <w:rFonts w:ascii="Garamond" w:hAnsi="Garamond" w:cs="Times New Roman"/>
          <w:i/>
          <w:iCs/>
          <w:lang w:val="en-GB"/>
        </w:rPr>
        <w:t>Philosophy Compass</w:t>
      </w:r>
      <w:r w:rsidRPr="00477C32">
        <w:rPr>
          <w:rFonts w:ascii="Garamond" w:hAnsi="Garamond" w:cs="Times New Roman"/>
          <w:lang w:val="en-GB"/>
        </w:rPr>
        <w:t xml:space="preserve"> 8, no. 3 (</w:t>
      </w:r>
      <w:r w:rsidR="005C2A79" w:rsidRPr="00477C32">
        <w:rPr>
          <w:rFonts w:ascii="Garamond" w:hAnsi="Garamond" w:cs="Times New Roman"/>
          <w:lang w:val="en-GB"/>
        </w:rPr>
        <w:t xml:space="preserve">March </w:t>
      </w:r>
      <w:r w:rsidRPr="00477C32">
        <w:rPr>
          <w:rFonts w:ascii="Garamond" w:hAnsi="Garamond" w:cs="Times New Roman"/>
          <w:lang w:val="en-GB"/>
        </w:rPr>
        <w:t>2013): 254–268.</w:t>
      </w:r>
    </w:p>
    <w:p w14:paraId="3FAA4825" w14:textId="64D2D366" w:rsidR="009A07F1" w:rsidRPr="00477C32" w:rsidRDefault="009A07F1" w:rsidP="009A07F1">
      <w:pPr>
        <w:adjustRightInd w:val="0"/>
        <w:snapToGrid w:val="0"/>
        <w:ind w:left="720" w:hanging="720"/>
        <w:rPr>
          <w:rFonts w:ascii="Garamond" w:hAnsi="Garamond" w:cs="Times New Roman"/>
          <w:lang w:val="en-GB"/>
        </w:rPr>
      </w:pPr>
      <w:r w:rsidRPr="00477C32">
        <w:rPr>
          <w:rFonts w:ascii="Garamond" w:hAnsi="Garamond" w:cs="Times New Roman"/>
          <w:lang w:val="en-GB"/>
        </w:rPr>
        <w:t>Fox, Jon</w:t>
      </w:r>
      <w:r w:rsidR="008E38F8" w:rsidRPr="00477C32">
        <w:rPr>
          <w:rFonts w:ascii="Garamond" w:hAnsi="Garamond" w:cs="Times New Roman"/>
          <w:lang w:val="en-GB"/>
        </w:rPr>
        <w:t xml:space="preserve"> E.</w:t>
      </w:r>
      <w:r w:rsidR="0086742E" w:rsidRPr="00477C32">
        <w:rPr>
          <w:rFonts w:ascii="Garamond" w:hAnsi="Garamond" w:cs="Times New Roman"/>
          <w:lang w:val="en-GB"/>
        </w:rPr>
        <w:t xml:space="preserve">, Laura </w:t>
      </w:r>
      <w:proofErr w:type="spellStart"/>
      <w:r w:rsidRPr="00477C32">
        <w:rPr>
          <w:rFonts w:ascii="Garamond" w:hAnsi="Garamond" w:cs="Times New Roman"/>
          <w:lang w:val="en-GB"/>
        </w:rPr>
        <w:t>Moro</w:t>
      </w:r>
      <w:r w:rsidR="00162A29" w:rsidRPr="00477C32">
        <w:rPr>
          <w:rFonts w:ascii="Garamond" w:hAnsi="Garamond" w:cs="Times New Roman"/>
          <w:lang w:val="en-GB"/>
        </w:rPr>
        <w:t>ş</w:t>
      </w:r>
      <w:r w:rsidRPr="00477C32">
        <w:rPr>
          <w:rFonts w:ascii="Garamond" w:hAnsi="Garamond" w:cs="Times New Roman"/>
          <w:lang w:val="en-GB"/>
        </w:rPr>
        <w:t>anu</w:t>
      </w:r>
      <w:proofErr w:type="spellEnd"/>
      <w:r w:rsidRPr="00477C32">
        <w:rPr>
          <w:rFonts w:ascii="Garamond" w:hAnsi="Garamond" w:cs="Times New Roman"/>
          <w:lang w:val="en-GB"/>
        </w:rPr>
        <w:t xml:space="preserve">, and </w:t>
      </w:r>
      <w:proofErr w:type="spellStart"/>
      <w:r w:rsidR="0086742E" w:rsidRPr="00477C32">
        <w:rPr>
          <w:rFonts w:ascii="Garamond" w:hAnsi="Garamond" w:cs="Times New Roman"/>
          <w:lang w:val="en-GB"/>
        </w:rPr>
        <w:t>Eszter</w:t>
      </w:r>
      <w:proofErr w:type="spellEnd"/>
      <w:r w:rsidR="0086742E" w:rsidRPr="00477C32">
        <w:rPr>
          <w:rFonts w:ascii="Garamond" w:hAnsi="Garamond" w:cs="Times New Roman"/>
          <w:lang w:val="en-GB"/>
        </w:rPr>
        <w:t xml:space="preserve"> </w:t>
      </w:r>
      <w:proofErr w:type="spellStart"/>
      <w:r w:rsidRPr="00477C32">
        <w:rPr>
          <w:rFonts w:ascii="Garamond" w:hAnsi="Garamond" w:cs="Times New Roman"/>
          <w:lang w:val="en-GB"/>
        </w:rPr>
        <w:t>Szilassy</w:t>
      </w:r>
      <w:proofErr w:type="spellEnd"/>
      <w:r w:rsidRPr="00477C32">
        <w:rPr>
          <w:rFonts w:ascii="Garamond" w:hAnsi="Garamond" w:cs="Times New Roman"/>
          <w:lang w:val="en-GB"/>
        </w:rPr>
        <w:t xml:space="preserve">. </w:t>
      </w:r>
      <w:r w:rsidR="00AB3842" w:rsidRPr="00477C32">
        <w:rPr>
          <w:rFonts w:ascii="Garamond" w:hAnsi="Garamond" w:cs="Times New Roman"/>
          <w:lang w:val="en-GB"/>
        </w:rPr>
        <w:t xml:space="preserve">‘The Racialization of the New European Migration to the UK’. </w:t>
      </w:r>
      <w:r w:rsidR="00AB3842" w:rsidRPr="00477C32">
        <w:rPr>
          <w:rFonts w:ascii="Garamond" w:hAnsi="Garamond" w:cs="Times New Roman"/>
          <w:i/>
          <w:iCs/>
          <w:lang w:val="en-GB"/>
        </w:rPr>
        <w:t>Sociology</w:t>
      </w:r>
      <w:r w:rsidR="00AB3842" w:rsidRPr="00477C32">
        <w:rPr>
          <w:rFonts w:ascii="Garamond" w:hAnsi="Garamond" w:cs="Times New Roman"/>
          <w:lang w:val="en-GB"/>
        </w:rPr>
        <w:t xml:space="preserve"> 46, no. 4 (</w:t>
      </w:r>
      <w:r w:rsidR="00B65574" w:rsidRPr="00477C32">
        <w:rPr>
          <w:rFonts w:ascii="Garamond" w:hAnsi="Garamond" w:cs="Times New Roman"/>
          <w:lang w:val="en-GB"/>
        </w:rPr>
        <w:t xml:space="preserve">August </w:t>
      </w:r>
      <w:r w:rsidR="00AB3842" w:rsidRPr="00477C32">
        <w:rPr>
          <w:rFonts w:ascii="Garamond" w:hAnsi="Garamond" w:cs="Times New Roman"/>
          <w:lang w:val="en-GB"/>
        </w:rPr>
        <w:t xml:space="preserve">2012): 680–695. </w:t>
      </w:r>
    </w:p>
    <w:p w14:paraId="591BB5E6" w14:textId="4DA9B31C" w:rsidR="002648B6" w:rsidRDefault="002648B6" w:rsidP="002648B6">
      <w:pPr>
        <w:pStyle w:val="Reference"/>
        <w:adjustRightInd w:val="0"/>
        <w:snapToGrid w:val="0"/>
        <w:spacing w:after="0"/>
        <w:ind w:left="720" w:hanging="720"/>
        <w:rPr>
          <w:rFonts w:ascii="Garamond" w:hAnsi="Garamond"/>
        </w:rPr>
      </w:pPr>
      <w:r w:rsidRPr="00477C32">
        <w:rPr>
          <w:rFonts w:ascii="Garamond" w:hAnsi="Garamond"/>
        </w:rPr>
        <w:t xml:space="preserve">Goodhart, David. </w:t>
      </w:r>
      <w:r w:rsidRPr="00477C32">
        <w:rPr>
          <w:rFonts w:ascii="Garamond" w:hAnsi="Garamond"/>
          <w:i/>
          <w:iCs/>
        </w:rPr>
        <w:t>The Road to Somewhere: The Populist Revolt and the Future of Politics</w:t>
      </w:r>
      <w:r w:rsidRPr="00477C32">
        <w:rPr>
          <w:rFonts w:ascii="Garamond" w:hAnsi="Garamond"/>
        </w:rPr>
        <w:t>. London: Hurst, 2017.</w:t>
      </w:r>
    </w:p>
    <w:p w14:paraId="0249127E" w14:textId="495FF04E" w:rsidR="008A42A3" w:rsidRPr="00477C32" w:rsidRDefault="008A42A3" w:rsidP="008A42A3">
      <w:pPr>
        <w:pStyle w:val="Reference"/>
        <w:adjustRightInd w:val="0"/>
        <w:snapToGrid w:val="0"/>
        <w:spacing w:after="0"/>
        <w:ind w:left="720" w:hanging="720"/>
        <w:rPr>
          <w:rFonts w:ascii="Garamond" w:hAnsi="Garamond"/>
        </w:rPr>
      </w:pPr>
      <w:proofErr w:type="spellStart"/>
      <w:r w:rsidRPr="008A42A3">
        <w:rPr>
          <w:rFonts w:ascii="Garamond" w:hAnsi="Garamond"/>
        </w:rPr>
        <w:t>Gourevitch</w:t>
      </w:r>
      <w:proofErr w:type="spellEnd"/>
      <w:r w:rsidRPr="008A42A3">
        <w:rPr>
          <w:rFonts w:ascii="Garamond" w:hAnsi="Garamond"/>
        </w:rPr>
        <w:t>,</w:t>
      </w:r>
      <w:r>
        <w:rPr>
          <w:rFonts w:ascii="Garamond" w:hAnsi="Garamond"/>
        </w:rPr>
        <w:t xml:space="preserve"> Alex.</w:t>
      </w:r>
      <w:r w:rsidRPr="008A42A3">
        <w:rPr>
          <w:rFonts w:ascii="Garamond" w:hAnsi="Garamond"/>
        </w:rPr>
        <w:t xml:space="preserve"> ‘Leave the EU Already’, </w:t>
      </w:r>
      <w:r w:rsidRPr="008A42A3">
        <w:rPr>
          <w:rFonts w:ascii="Garamond" w:hAnsi="Garamond"/>
          <w:i/>
          <w:iCs/>
        </w:rPr>
        <w:t>Jacobin</w:t>
      </w:r>
      <w:r w:rsidRPr="008A42A3">
        <w:rPr>
          <w:rFonts w:ascii="Garamond" w:hAnsi="Garamond"/>
        </w:rPr>
        <w:t>, n.d., https://jacobinmag.com/2019/01/brexit-european-union-populism-democracy.</w:t>
      </w:r>
    </w:p>
    <w:p w14:paraId="3D67B7BF" w14:textId="0704D0B5" w:rsidR="00BC35E0" w:rsidRPr="00477C32" w:rsidRDefault="00BC35E0" w:rsidP="008A42A3">
      <w:pPr>
        <w:pStyle w:val="Reference"/>
        <w:adjustRightInd w:val="0"/>
        <w:snapToGrid w:val="0"/>
        <w:spacing w:after="0"/>
        <w:ind w:left="720" w:hanging="720"/>
        <w:rPr>
          <w:rFonts w:ascii="Garamond" w:hAnsi="Garamond"/>
        </w:rPr>
      </w:pPr>
      <w:r w:rsidRPr="00477C32">
        <w:rPr>
          <w:rFonts w:ascii="Garamond" w:hAnsi="Garamond"/>
        </w:rPr>
        <w:t xml:space="preserve">Hosein, Adam. </w:t>
      </w:r>
      <w:r w:rsidRPr="00477C32">
        <w:rPr>
          <w:rFonts w:ascii="Garamond" w:hAnsi="Garamond"/>
          <w:i/>
          <w:iCs/>
        </w:rPr>
        <w:t xml:space="preserve">The Ethics of </w:t>
      </w:r>
      <w:r w:rsidR="001D7B07" w:rsidRPr="00477C32">
        <w:rPr>
          <w:rFonts w:ascii="Garamond" w:hAnsi="Garamond"/>
          <w:i/>
          <w:iCs/>
        </w:rPr>
        <w:t>M</w:t>
      </w:r>
      <w:r w:rsidRPr="00477C32">
        <w:rPr>
          <w:rFonts w:ascii="Garamond" w:hAnsi="Garamond"/>
          <w:i/>
          <w:iCs/>
        </w:rPr>
        <w:t>igration: An Introduction</w:t>
      </w:r>
      <w:r w:rsidRPr="00477C32">
        <w:rPr>
          <w:rFonts w:ascii="Garamond" w:hAnsi="Garamond"/>
        </w:rPr>
        <w:t xml:space="preserve">. Abingdon: Routledge, 2019. </w:t>
      </w:r>
    </w:p>
    <w:p w14:paraId="46B6237D" w14:textId="4F5EE22A" w:rsidR="001D0FDF" w:rsidRPr="00477C32" w:rsidRDefault="001D0FDF" w:rsidP="001D5EBE">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Kobach, Kris W. ‘Reinforcing the Rule of Law: What States Can and Should Do to Reduce Illegal Immigration’. </w:t>
      </w:r>
      <w:r w:rsidRPr="00477C32">
        <w:rPr>
          <w:rFonts w:ascii="Garamond" w:hAnsi="Garamond" w:cs="Times New Roman"/>
          <w:i/>
          <w:iCs/>
          <w:lang w:val="en-GB"/>
        </w:rPr>
        <w:t>Georgetown Immigration Law Journal</w:t>
      </w:r>
      <w:r w:rsidRPr="00477C32">
        <w:rPr>
          <w:rFonts w:ascii="Garamond" w:hAnsi="Garamond" w:cs="Times New Roman"/>
          <w:lang w:val="en-GB"/>
        </w:rPr>
        <w:t xml:space="preserve"> 22, no. 3 (</w:t>
      </w:r>
      <w:r w:rsidR="009F13E6" w:rsidRPr="00477C32">
        <w:rPr>
          <w:rFonts w:ascii="Garamond" w:hAnsi="Garamond" w:cs="Times New Roman"/>
          <w:lang w:val="en-GB"/>
        </w:rPr>
        <w:t xml:space="preserve">Spring </w:t>
      </w:r>
      <w:r w:rsidRPr="00477C32">
        <w:rPr>
          <w:rFonts w:ascii="Garamond" w:hAnsi="Garamond" w:cs="Times New Roman"/>
          <w:lang w:val="en-GB"/>
        </w:rPr>
        <w:t>2008): 458–483.</w:t>
      </w:r>
    </w:p>
    <w:p w14:paraId="547C3ADD" w14:textId="5EC76015" w:rsidR="001D0FDF" w:rsidRPr="00477C32" w:rsidRDefault="001D0FDF" w:rsidP="001D5EBE">
      <w:pPr>
        <w:adjustRightInd w:val="0"/>
        <w:snapToGrid w:val="0"/>
        <w:ind w:left="720" w:hanging="720"/>
        <w:rPr>
          <w:rFonts w:ascii="Garamond" w:hAnsi="Garamond" w:cs="Times New Roman"/>
          <w:lang w:val="en-GB"/>
        </w:rPr>
      </w:pPr>
      <w:r w:rsidRPr="00477C32">
        <w:rPr>
          <w:rFonts w:ascii="Garamond" w:hAnsi="Garamond" w:cs="Times New Roman"/>
          <w:lang w:val="en-GB"/>
        </w:rPr>
        <w:t xml:space="preserve">Miller, David. ‘Win or Lose, the Brexit Vote Shows How Hard It Is to Defend the EU’. </w:t>
      </w:r>
      <w:r w:rsidRPr="00477C32">
        <w:rPr>
          <w:rFonts w:ascii="Garamond" w:hAnsi="Garamond" w:cs="Times New Roman"/>
          <w:i/>
          <w:lang w:val="en-GB"/>
        </w:rPr>
        <w:t>Foreign Policy</w:t>
      </w:r>
      <w:r w:rsidRPr="00477C32">
        <w:rPr>
          <w:rFonts w:ascii="Garamond" w:hAnsi="Garamond" w:cs="Times New Roman"/>
          <w:lang w:val="en-GB"/>
        </w:rPr>
        <w:t>, 22 June 2016. https://foreignpolicy.com/2016/06/22/win-or-lose-the-brexit-vote-shows-how-hard-it-is-to-defend-the-eu.</w:t>
      </w:r>
    </w:p>
    <w:p w14:paraId="3CEB22ED" w14:textId="47D36457" w:rsidR="001D0FDF" w:rsidRPr="00477C32" w:rsidRDefault="001D0FDF" w:rsidP="00C06B05">
      <w:pPr>
        <w:adjustRightInd w:val="0"/>
        <w:snapToGrid w:val="0"/>
        <w:ind w:left="720" w:hanging="720"/>
        <w:rPr>
          <w:rFonts w:ascii="Garamond" w:hAnsi="Garamond" w:cs="Times New Roman"/>
          <w:iCs/>
          <w:lang w:val="en-GB"/>
        </w:rPr>
      </w:pPr>
      <w:r w:rsidRPr="00477C32">
        <w:rPr>
          <w:rFonts w:ascii="Garamond" w:hAnsi="Garamond" w:cs="Times New Roman"/>
          <w:iCs/>
          <w:lang w:val="en-GB"/>
        </w:rPr>
        <w:t xml:space="preserve">Nadasen, Premilla. ‘From Widow to “Welfare Queen”: Welfare and the Politics of Race’. </w:t>
      </w:r>
      <w:r w:rsidRPr="00477C32">
        <w:rPr>
          <w:rFonts w:ascii="Garamond" w:hAnsi="Garamond" w:cs="Times New Roman"/>
          <w:i/>
          <w:lang w:val="en-GB"/>
        </w:rPr>
        <w:t>Black Women, Gender + Families</w:t>
      </w:r>
      <w:r w:rsidRPr="00477C32">
        <w:rPr>
          <w:rFonts w:ascii="Garamond" w:hAnsi="Garamond" w:cs="Times New Roman"/>
          <w:iCs/>
          <w:lang w:val="en-GB"/>
        </w:rPr>
        <w:t xml:space="preserve"> 1, no. 2 (Fall 2007): 52–77.</w:t>
      </w:r>
    </w:p>
    <w:p w14:paraId="13BD3FB1" w14:textId="3085B95F" w:rsidR="00D46BC9" w:rsidRPr="00477C32" w:rsidRDefault="00D46BC9" w:rsidP="00C06B05">
      <w:pPr>
        <w:adjustRightInd w:val="0"/>
        <w:snapToGrid w:val="0"/>
        <w:ind w:left="720" w:hanging="720"/>
        <w:rPr>
          <w:rFonts w:ascii="Garamond" w:hAnsi="Garamond" w:cs="Times New Roman"/>
          <w:iCs/>
          <w:lang w:val="en-GB"/>
        </w:rPr>
      </w:pPr>
      <w:r w:rsidRPr="00477C32">
        <w:rPr>
          <w:rFonts w:ascii="Garamond" w:hAnsi="Garamond" w:cs="Times New Roman"/>
          <w:iCs/>
          <w:lang w:val="en-GB"/>
        </w:rPr>
        <w:t>Oberman, Kieran. ‘Immigration as a Human Right’</w:t>
      </w:r>
      <w:r w:rsidR="006022AF" w:rsidRPr="00477C32">
        <w:rPr>
          <w:rFonts w:ascii="Garamond" w:hAnsi="Garamond" w:cs="Times New Roman"/>
          <w:iCs/>
          <w:lang w:val="en-GB"/>
        </w:rPr>
        <w:t>. I</w:t>
      </w:r>
      <w:r w:rsidRPr="00477C32">
        <w:rPr>
          <w:rFonts w:ascii="Garamond" w:hAnsi="Garamond" w:cs="Times New Roman"/>
          <w:iCs/>
          <w:lang w:val="en-GB"/>
        </w:rPr>
        <w:t xml:space="preserve">n </w:t>
      </w:r>
      <w:r w:rsidRPr="00477C32">
        <w:rPr>
          <w:rFonts w:ascii="Garamond" w:hAnsi="Garamond" w:cs="Times New Roman"/>
          <w:i/>
          <w:lang w:val="en-GB"/>
        </w:rPr>
        <w:t>Migration in Political Theory: The Ethics of Movement and Membership</w:t>
      </w:r>
      <w:r w:rsidRPr="00477C32">
        <w:rPr>
          <w:rFonts w:ascii="Garamond" w:hAnsi="Garamond" w:cs="Times New Roman"/>
          <w:iCs/>
          <w:lang w:val="en-GB"/>
        </w:rPr>
        <w:t>, ed</w:t>
      </w:r>
      <w:r w:rsidR="006022AF" w:rsidRPr="00477C32">
        <w:rPr>
          <w:rFonts w:ascii="Garamond" w:hAnsi="Garamond" w:cs="Times New Roman"/>
          <w:iCs/>
          <w:lang w:val="en-GB"/>
        </w:rPr>
        <w:t xml:space="preserve">ited by </w:t>
      </w:r>
      <w:r w:rsidRPr="00477C32">
        <w:rPr>
          <w:rFonts w:ascii="Garamond" w:hAnsi="Garamond" w:cs="Times New Roman"/>
          <w:iCs/>
          <w:lang w:val="en-GB"/>
        </w:rPr>
        <w:t>Sarah Fine and Lea Ypi</w:t>
      </w:r>
      <w:r w:rsidR="006022AF" w:rsidRPr="00477C32">
        <w:rPr>
          <w:rFonts w:ascii="Garamond" w:hAnsi="Garamond" w:cs="Times New Roman"/>
          <w:iCs/>
          <w:lang w:val="en-GB"/>
        </w:rPr>
        <w:t xml:space="preserve">. </w:t>
      </w:r>
      <w:r w:rsidRPr="00477C32">
        <w:rPr>
          <w:rFonts w:ascii="Garamond" w:hAnsi="Garamond" w:cs="Times New Roman"/>
          <w:iCs/>
          <w:lang w:val="en-GB"/>
        </w:rPr>
        <w:t>Oxford: Oxford University Press, 2016.</w:t>
      </w:r>
    </w:p>
    <w:p w14:paraId="23A7B47E" w14:textId="77777777" w:rsidR="001D0FDF" w:rsidRPr="00477C32" w:rsidRDefault="001D0FDF" w:rsidP="001D5EBE">
      <w:pPr>
        <w:adjustRightInd w:val="0"/>
        <w:snapToGrid w:val="0"/>
        <w:ind w:left="720" w:hanging="720"/>
        <w:rPr>
          <w:rFonts w:ascii="Garamond" w:hAnsi="Garamond" w:cs="Times New Roman"/>
          <w:iCs/>
          <w:lang w:val="en-GB"/>
        </w:rPr>
      </w:pPr>
      <w:r w:rsidRPr="00477C32">
        <w:rPr>
          <w:rFonts w:ascii="Garamond" w:hAnsi="Garamond" w:cs="Times New Roman"/>
          <w:iCs/>
          <w:lang w:val="en-GB"/>
        </w:rPr>
        <w:t xml:space="preserve">Shilliam, Robbie. </w:t>
      </w:r>
      <w:r w:rsidRPr="00477C32">
        <w:rPr>
          <w:rFonts w:ascii="Garamond" w:hAnsi="Garamond" w:cs="Times New Roman"/>
          <w:i/>
          <w:lang w:val="en-GB"/>
        </w:rPr>
        <w:t>Race and the Undeserving Poor: From Abolition to Brexit</w:t>
      </w:r>
      <w:r w:rsidRPr="00477C32">
        <w:rPr>
          <w:rFonts w:ascii="Garamond" w:hAnsi="Garamond" w:cs="Times New Roman"/>
          <w:iCs/>
          <w:lang w:val="en-GB"/>
        </w:rPr>
        <w:t>. Newcastle upon Tyne: Agenda Publishing, 2018.</w:t>
      </w:r>
    </w:p>
    <w:p w14:paraId="73C409CE" w14:textId="15252CA2" w:rsidR="001D0FDF" w:rsidRPr="00477C32" w:rsidRDefault="001D0FDF" w:rsidP="001D5EBE">
      <w:pPr>
        <w:adjustRightInd w:val="0"/>
        <w:snapToGrid w:val="0"/>
        <w:ind w:left="720" w:hanging="720"/>
        <w:rPr>
          <w:rFonts w:ascii="Garamond" w:eastAsia="Times New Roman" w:hAnsi="Garamond" w:cs="Times New Roman"/>
          <w:lang w:val="en-GB"/>
        </w:rPr>
      </w:pPr>
      <w:r w:rsidRPr="00477C32">
        <w:rPr>
          <w:rFonts w:ascii="Garamond" w:eastAsia="Times New Roman" w:hAnsi="Garamond" w:cs="Times New Roman"/>
          <w:lang w:val="en-GB"/>
        </w:rPr>
        <w:t xml:space="preserve">Song, Sarah. </w:t>
      </w:r>
      <w:r w:rsidRPr="00477C32">
        <w:rPr>
          <w:rFonts w:ascii="Garamond" w:eastAsia="Times New Roman" w:hAnsi="Garamond" w:cs="Times New Roman"/>
          <w:i/>
          <w:iCs/>
          <w:lang w:val="en-GB"/>
        </w:rPr>
        <w:t>Immigration and Democracy</w:t>
      </w:r>
      <w:r w:rsidRPr="00477C32">
        <w:rPr>
          <w:rFonts w:ascii="Garamond" w:eastAsia="Times New Roman" w:hAnsi="Garamond" w:cs="Times New Roman"/>
          <w:lang w:val="en-GB"/>
        </w:rPr>
        <w:t>. Oxford: Oxford University Press, 201</w:t>
      </w:r>
      <w:r w:rsidR="002837A6" w:rsidRPr="00477C32">
        <w:rPr>
          <w:rFonts w:ascii="Garamond" w:eastAsia="Times New Roman" w:hAnsi="Garamond" w:cs="Times New Roman"/>
          <w:lang w:val="en-GB"/>
        </w:rPr>
        <w:t>8</w:t>
      </w:r>
      <w:r w:rsidRPr="00477C32">
        <w:rPr>
          <w:rFonts w:ascii="Garamond" w:eastAsia="Times New Roman" w:hAnsi="Garamond" w:cs="Times New Roman"/>
          <w:lang w:val="en-GB"/>
        </w:rPr>
        <w:t>.</w:t>
      </w:r>
    </w:p>
    <w:p w14:paraId="42B92157" w14:textId="324E667D" w:rsidR="001D0FDF" w:rsidRPr="00477C32" w:rsidRDefault="001D0FDF" w:rsidP="00E353F0">
      <w:pPr>
        <w:adjustRightInd w:val="0"/>
        <w:snapToGrid w:val="0"/>
        <w:ind w:left="720" w:hanging="720"/>
        <w:rPr>
          <w:rFonts w:ascii="Garamond" w:hAnsi="Garamond" w:cs="Times New Roman"/>
          <w:bCs/>
          <w:lang w:val="en-GB"/>
        </w:rPr>
      </w:pPr>
      <w:r w:rsidRPr="00477C32">
        <w:rPr>
          <w:rFonts w:ascii="Garamond" w:hAnsi="Garamond" w:cs="Times New Roman"/>
          <w:lang w:val="en-GB"/>
        </w:rPr>
        <w:t>Stern, Scott W. ‘</w:t>
      </w:r>
      <w:r w:rsidRPr="00477C32">
        <w:rPr>
          <w:rFonts w:ascii="Garamond" w:hAnsi="Garamond" w:cs="Times New Roman"/>
          <w:bCs/>
          <w:lang w:val="en-GB"/>
        </w:rPr>
        <w:t>COVID-19 and Welfare Queens’.</w:t>
      </w:r>
      <w:r w:rsidR="00E353F0" w:rsidRPr="00477C32">
        <w:rPr>
          <w:rFonts w:ascii="Garamond" w:hAnsi="Garamond" w:cs="Times New Roman"/>
          <w:bCs/>
          <w:lang w:val="en-GB"/>
        </w:rPr>
        <w:t xml:space="preserve"> Review of </w:t>
      </w:r>
      <w:r w:rsidR="00E353F0" w:rsidRPr="00477C32">
        <w:rPr>
          <w:rFonts w:ascii="Garamond" w:hAnsi="Garamond" w:cs="Times New Roman"/>
          <w:bCs/>
          <w:i/>
          <w:iCs/>
          <w:lang w:val="en-GB"/>
        </w:rPr>
        <w:t>The Queen: The Forgotten Life Behind an American Myth</w:t>
      </w:r>
      <w:r w:rsidR="00E353F0" w:rsidRPr="00477C32">
        <w:rPr>
          <w:rFonts w:ascii="Garamond" w:hAnsi="Garamond" w:cs="Times New Roman"/>
          <w:bCs/>
          <w:lang w:val="en-GB"/>
        </w:rPr>
        <w:t>, by Josh Levin.</w:t>
      </w:r>
      <w:r w:rsidRPr="00477C32">
        <w:rPr>
          <w:rFonts w:ascii="Garamond" w:hAnsi="Garamond" w:cs="Times New Roman"/>
          <w:bCs/>
          <w:lang w:val="en-GB"/>
        </w:rPr>
        <w:t xml:space="preserve"> </w:t>
      </w:r>
      <w:r w:rsidRPr="00477C32">
        <w:rPr>
          <w:rFonts w:ascii="Garamond" w:hAnsi="Garamond" w:cs="Times New Roman"/>
          <w:bCs/>
          <w:i/>
          <w:lang w:val="en-GB"/>
        </w:rPr>
        <w:t>Boston Review</w:t>
      </w:r>
      <w:r w:rsidRPr="00477C32">
        <w:rPr>
          <w:rFonts w:ascii="Garamond" w:hAnsi="Garamond" w:cs="Times New Roman"/>
          <w:bCs/>
          <w:lang w:val="en-GB"/>
        </w:rPr>
        <w:t>, 17 April 2020. http://bostonreview.net/class-inequality/scott-w-stern-covid-19-and-welfare-queens.</w:t>
      </w:r>
    </w:p>
    <w:p w14:paraId="5340EA09" w14:textId="4E2E0264" w:rsidR="001D0FDF" w:rsidRPr="00477C32" w:rsidRDefault="001D0FDF" w:rsidP="001D5EBE">
      <w:pPr>
        <w:adjustRightInd w:val="0"/>
        <w:snapToGrid w:val="0"/>
        <w:ind w:left="720" w:hanging="720"/>
        <w:rPr>
          <w:rFonts w:ascii="Garamond" w:eastAsia="Times New Roman" w:hAnsi="Garamond" w:cs="Times New Roman"/>
          <w:lang w:val="en-GB"/>
        </w:rPr>
      </w:pPr>
      <w:r w:rsidRPr="00477C32">
        <w:rPr>
          <w:rFonts w:ascii="Garamond" w:eastAsia="Times New Roman" w:hAnsi="Garamond" w:cs="Times New Roman"/>
          <w:lang w:val="en-GB"/>
        </w:rPr>
        <w:lastRenderedPageBreak/>
        <w:t xml:space="preserve">Virdee, Satnam, and Brendan McGeever. ‘Racism, Crisis, Brexit’. </w:t>
      </w:r>
      <w:r w:rsidRPr="00477C32">
        <w:rPr>
          <w:rFonts w:ascii="Garamond" w:eastAsia="Times New Roman" w:hAnsi="Garamond" w:cs="Times New Roman"/>
          <w:i/>
          <w:iCs/>
          <w:lang w:val="en-GB"/>
        </w:rPr>
        <w:t>Ethnic and Racial Studies</w:t>
      </w:r>
      <w:r w:rsidRPr="00477C32">
        <w:rPr>
          <w:rFonts w:ascii="Garamond" w:eastAsia="Times New Roman" w:hAnsi="Garamond" w:cs="Times New Roman"/>
          <w:lang w:val="en-GB"/>
        </w:rPr>
        <w:t xml:space="preserve"> 41, no. 10 (201</w:t>
      </w:r>
      <w:r w:rsidR="00554637" w:rsidRPr="00477C32">
        <w:rPr>
          <w:rFonts w:ascii="Garamond" w:eastAsia="Times New Roman" w:hAnsi="Garamond" w:cs="Times New Roman"/>
          <w:lang w:val="en-GB"/>
        </w:rPr>
        <w:t>8</w:t>
      </w:r>
      <w:r w:rsidRPr="00477C32">
        <w:rPr>
          <w:rFonts w:ascii="Garamond" w:eastAsia="Times New Roman" w:hAnsi="Garamond" w:cs="Times New Roman"/>
          <w:lang w:val="en-GB"/>
        </w:rPr>
        <w:t>): 1802–1819.</w:t>
      </w:r>
    </w:p>
    <w:p w14:paraId="7C5F3687" w14:textId="77777777" w:rsidR="001D0FDF" w:rsidRPr="00477C32" w:rsidRDefault="001D0FDF" w:rsidP="00EA31F9">
      <w:pPr>
        <w:pStyle w:val="Reference"/>
        <w:adjustRightInd w:val="0"/>
        <w:snapToGrid w:val="0"/>
        <w:spacing w:after="0"/>
        <w:ind w:left="720" w:hanging="720"/>
        <w:rPr>
          <w:rFonts w:ascii="Garamond" w:hAnsi="Garamond"/>
        </w:rPr>
      </w:pPr>
      <w:r w:rsidRPr="00477C32">
        <w:rPr>
          <w:rFonts w:ascii="Garamond" w:hAnsi="Garamond"/>
        </w:rPr>
        <w:t xml:space="preserve">Waldron, Jeremy. </w:t>
      </w:r>
      <w:r w:rsidRPr="00477C32">
        <w:rPr>
          <w:rFonts w:ascii="Garamond" w:hAnsi="Garamond"/>
          <w:i/>
        </w:rPr>
        <w:t>Law and Disagreement</w:t>
      </w:r>
      <w:r w:rsidRPr="00477C32">
        <w:rPr>
          <w:rFonts w:ascii="Garamond" w:hAnsi="Garamond"/>
        </w:rPr>
        <w:t>. New York: Oxford University Press, 1999.</w:t>
      </w:r>
    </w:p>
    <w:p w14:paraId="6A635780" w14:textId="5CA54776" w:rsidR="008878B2" w:rsidRPr="00477C32" w:rsidRDefault="001D0FDF" w:rsidP="00474F6C">
      <w:pPr>
        <w:pStyle w:val="Reference"/>
        <w:adjustRightInd w:val="0"/>
        <w:snapToGrid w:val="0"/>
        <w:spacing w:after="0"/>
        <w:ind w:left="720" w:hanging="720"/>
        <w:rPr>
          <w:rFonts w:ascii="Garamond" w:hAnsi="Garamond"/>
        </w:rPr>
      </w:pPr>
      <w:r w:rsidRPr="00477C32">
        <w:rPr>
          <w:rStyle w:val="refsurname"/>
          <w:rFonts w:ascii="Garamond" w:hAnsi="Garamond"/>
        </w:rPr>
        <w:t>Wellman</w:t>
      </w:r>
      <w:r w:rsidRPr="00477C32">
        <w:rPr>
          <w:rFonts w:ascii="Garamond" w:hAnsi="Garamond"/>
        </w:rPr>
        <w:t xml:space="preserve">, </w:t>
      </w:r>
      <w:bookmarkStart w:id="0" w:name="ID5360"/>
      <w:bookmarkEnd w:id="0"/>
      <w:r w:rsidRPr="00477C32">
        <w:rPr>
          <w:rStyle w:val="refgivenname"/>
          <w:rFonts w:ascii="Garamond" w:hAnsi="Garamond"/>
        </w:rPr>
        <w:t>Christopher Heath</w:t>
      </w:r>
      <w:r w:rsidRPr="00477C32">
        <w:rPr>
          <w:rFonts w:ascii="Garamond" w:hAnsi="Garamond"/>
        </w:rPr>
        <w:t xml:space="preserve">. </w:t>
      </w:r>
      <w:bookmarkStart w:id="1" w:name="ID5362"/>
      <w:bookmarkEnd w:id="1"/>
      <w:r w:rsidRPr="00477C32">
        <w:rPr>
          <w:rFonts w:ascii="Garamond" w:hAnsi="Garamond"/>
        </w:rPr>
        <w:t>‘</w:t>
      </w:r>
      <w:r w:rsidRPr="00477C32">
        <w:rPr>
          <w:rStyle w:val="refarticletitle"/>
          <w:rFonts w:ascii="Garamond" w:hAnsi="Garamond"/>
        </w:rPr>
        <w:t>Immigration and Freedom of Association’.</w:t>
      </w:r>
      <w:r w:rsidRPr="00477C32">
        <w:rPr>
          <w:rFonts w:ascii="Garamond" w:hAnsi="Garamond"/>
        </w:rPr>
        <w:t xml:space="preserve"> </w:t>
      </w:r>
      <w:bookmarkStart w:id="2" w:name="ID5363"/>
      <w:bookmarkEnd w:id="2"/>
      <w:r w:rsidRPr="00477C32">
        <w:rPr>
          <w:rStyle w:val="refjournaltitle"/>
          <w:rFonts w:ascii="Garamond" w:hAnsi="Garamond"/>
        </w:rPr>
        <w:t>Ethics</w:t>
      </w:r>
      <w:r w:rsidRPr="00477C32">
        <w:rPr>
          <w:rFonts w:ascii="Garamond" w:hAnsi="Garamond"/>
        </w:rPr>
        <w:t xml:space="preserve"> </w:t>
      </w:r>
      <w:r w:rsidRPr="00477C32">
        <w:rPr>
          <w:rStyle w:val="refvolumenumber"/>
          <w:rFonts w:ascii="Garamond" w:hAnsi="Garamond"/>
          <w:i w:val="0"/>
          <w:iCs w:val="0"/>
        </w:rPr>
        <w:t>119</w:t>
      </w:r>
      <w:r w:rsidRPr="00477C32">
        <w:rPr>
          <w:rFonts w:ascii="Garamond" w:hAnsi="Garamond"/>
        </w:rPr>
        <w:t>, no</w:t>
      </w:r>
      <w:r w:rsidRPr="00477C32">
        <w:rPr>
          <w:rFonts w:ascii="Garamond" w:hAnsi="Garamond"/>
          <w:i/>
          <w:iCs/>
        </w:rPr>
        <w:t xml:space="preserve">. </w:t>
      </w:r>
      <w:r w:rsidRPr="00477C32">
        <w:rPr>
          <w:rStyle w:val="refissuenumber"/>
          <w:rFonts w:ascii="Garamond" w:hAnsi="Garamond"/>
          <w:i w:val="0"/>
          <w:iCs w:val="0"/>
        </w:rPr>
        <w:t>1</w:t>
      </w:r>
      <w:r w:rsidRPr="00477C32">
        <w:rPr>
          <w:rFonts w:ascii="Garamond" w:hAnsi="Garamond"/>
          <w:i/>
          <w:iCs/>
        </w:rPr>
        <w:t xml:space="preserve"> </w:t>
      </w:r>
      <w:r w:rsidRPr="00477C32">
        <w:rPr>
          <w:rFonts w:ascii="Garamond" w:hAnsi="Garamond"/>
        </w:rPr>
        <w:t>(</w:t>
      </w:r>
      <w:r w:rsidRPr="00477C32">
        <w:rPr>
          <w:rStyle w:val="refdate"/>
          <w:rFonts w:ascii="Garamond" w:hAnsi="Garamond"/>
        </w:rPr>
        <w:t>October 2008</w:t>
      </w:r>
      <w:r w:rsidRPr="00477C32">
        <w:rPr>
          <w:rFonts w:ascii="Garamond" w:hAnsi="Garamond"/>
        </w:rPr>
        <w:t xml:space="preserve">): </w:t>
      </w:r>
      <w:bookmarkStart w:id="3" w:name="ID5364"/>
      <w:bookmarkEnd w:id="3"/>
      <w:r w:rsidRPr="00477C32">
        <w:rPr>
          <w:rStyle w:val="refpagerange"/>
          <w:rFonts w:ascii="Garamond" w:hAnsi="Garamond"/>
        </w:rPr>
        <w:t>109–141</w:t>
      </w:r>
      <w:r w:rsidRPr="00477C32">
        <w:rPr>
          <w:rFonts w:ascii="Garamond" w:hAnsi="Garamond"/>
        </w:rPr>
        <w:t>.</w:t>
      </w:r>
    </w:p>
    <w:p w14:paraId="4BB366D0" w14:textId="3B260388" w:rsidR="005642E4" w:rsidRPr="00477C32" w:rsidRDefault="005642E4" w:rsidP="00474F6C">
      <w:pPr>
        <w:pStyle w:val="Reference"/>
        <w:adjustRightInd w:val="0"/>
        <w:snapToGrid w:val="0"/>
        <w:spacing w:after="0"/>
        <w:ind w:left="720" w:hanging="720"/>
        <w:rPr>
          <w:rFonts w:ascii="Garamond" w:hAnsi="Garamond"/>
        </w:rPr>
      </w:pPr>
      <w:r w:rsidRPr="00477C32">
        <w:rPr>
          <w:rFonts w:ascii="Garamond" w:hAnsi="Garamond"/>
        </w:rPr>
        <w:t xml:space="preserve">Williams, Joan C. </w:t>
      </w:r>
      <w:r w:rsidRPr="00477C32">
        <w:rPr>
          <w:rFonts w:ascii="Garamond" w:hAnsi="Garamond"/>
          <w:i/>
          <w:iCs/>
        </w:rPr>
        <w:t>White Working Class: Overcoming Class Cluelessness in America</w:t>
      </w:r>
      <w:r w:rsidRPr="00477C32">
        <w:rPr>
          <w:rFonts w:ascii="Garamond" w:hAnsi="Garamond"/>
        </w:rPr>
        <w:t>. Boston: Harvard Business Review Press, 201</w:t>
      </w:r>
      <w:r w:rsidR="00192E6D" w:rsidRPr="00477C32">
        <w:rPr>
          <w:rFonts w:ascii="Garamond" w:hAnsi="Garamond"/>
        </w:rPr>
        <w:t>7</w:t>
      </w:r>
      <w:r w:rsidRPr="00477C32">
        <w:rPr>
          <w:rFonts w:ascii="Garamond" w:hAnsi="Garamond"/>
        </w:rPr>
        <w:t>.</w:t>
      </w:r>
    </w:p>
    <w:sectPr w:rsidR="005642E4" w:rsidRPr="00477C32" w:rsidSect="00DE6D35">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C532" w14:textId="77777777" w:rsidR="00CB2C62" w:rsidRDefault="00CB2C62" w:rsidP="004F39DA">
      <w:r>
        <w:separator/>
      </w:r>
    </w:p>
  </w:endnote>
  <w:endnote w:type="continuationSeparator" w:id="0">
    <w:p w14:paraId="65FE40EA" w14:textId="77777777" w:rsidR="00CB2C62" w:rsidRDefault="00CB2C62" w:rsidP="004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Garamond">
    <w:panose1 w:val="0202080403030109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631748"/>
      <w:docPartObj>
        <w:docPartGallery w:val="Page Numbers (Bottom of Page)"/>
        <w:docPartUnique/>
      </w:docPartObj>
    </w:sdtPr>
    <w:sdtEndPr>
      <w:rPr>
        <w:rStyle w:val="PageNumber"/>
      </w:rPr>
    </w:sdtEndPr>
    <w:sdtContent>
      <w:p w14:paraId="0945B653" w14:textId="35BB245F" w:rsidR="00F634BB" w:rsidRDefault="00F634BB" w:rsidP="00823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96D60" w14:textId="77777777" w:rsidR="00F634BB" w:rsidRDefault="00F634BB" w:rsidP="00F63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lang w:val="en-GB"/>
      </w:rPr>
      <w:id w:val="-123308849"/>
      <w:docPartObj>
        <w:docPartGallery w:val="Page Numbers (Bottom of Page)"/>
        <w:docPartUnique/>
      </w:docPartObj>
    </w:sdtPr>
    <w:sdtEndPr>
      <w:rPr>
        <w:rStyle w:val="PageNumber"/>
      </w:rPr>
    </w:sdtEndPr>
    <w:sdtContent>
      <w:p w14:paraId="6413FBD4" w14:textId="526FC84A" w:rsidR="00F634BB" w:rsidRPr="00F634BB" w:rsidRDefault="00F634BB" w:rsidP="00823975">
        <w:pPr>
          <w:pStyle w:val="Footer"/>
          <w:framePr w:wrap="none" w:vAnchor="text" w:hAnchor="margin" w:xAlign="right" w:y="1"/>
          <w:rPr>
            <w:rStyle w:val="PageNumber"/>
            <w:rFonts w:ascii="Times New Roman" w:hAnsi="Times New Roman" w:cs="Times New Roman"/>
            <w:lang w:val="en-GB"/>
          </w:rPr>
        </w:pPr>
        <w:r w:rsidRPr="00F634BB">
          <w:rPr>
            <w:rStyle w:val="PageNumber"/>
            <w:rFonts w:ascii="Times New Roman" w:hAnsi="Times New Roman" w:cs="Times New Roman"/>
            <w:lang w:val="en-GB"/>
          </w:rPr>
          <w:fldChar w:fldCharType="begin"/>
        </w:r>
        <w:r w:rsidRPr="00F634BB">
          <w:rPr>
            <w:rStyle w:val="PageNumber"/>
            <w:rFonts w:ascii="Times New Roman" w:hAnsi="Times New Roman" w:cs="Times New Roman"/>
            <w:lang w:val="en-GB"/>
          </w:rPr>
          <w:instrText xml:space="preserve"> PAGE </w:instrText>
        </w:r>
        <w:r w:rsidRPr="00F634BB">
          <w:rPr>
            <w:rStyle w:val="PageNumber"/>
            <w:rFonts w:ascii="Times New Roman" w:hAnsi="Times New Roman" w:cs="Times New Roman"/>
            <w:lang w:val="en-GB"/>
          </w:rPr>
          <w:fldChar w:fldCharType="separate"/>
        </w:r>
        <w:r w:rsidRPr="00F634BB">
          <w:rPr>
            <w:rStyle w:val="PageNumber"/>
            <w:rFonts w:ascii="Times New Roman" w:hAnsi="Times New Roman" w:cs="Times New Roman"/>
            <w:noProof/>
            <w:lang w:val="en-GB"/>
          </w:rPr>
          <w:t>1</w:t>
        </w:r>
        <w:r w:rsidRPr="00F634BB">
          <w:rPr>
            <w:rStyle w:val="PageNumber"/>
            <w:rFonts w:ascii="Times New Roman" w:hAnsi="Times New Roman" w:cs="Times New Roman"/>
            <w:lang w:val="en-GB"/>
          </w:rPr>
          <w:fldChar w:fldCharType="end"/>
        </w:r>
      </w:p>
    </w:sdtContent>
  </w:sdt>
  <w:p w14:paraId="0E761BC5" w14:textId="77777777" w:rsidR="00F634BB" w:rsidRPr="00F634BB" w:rsidRDefault="00F634BB" w:rsidP="00F634BB">
    <w:pPr>
      <w:pStyle w:val="Footer"/>
      <w:ind w:right="360"/>
      <w:rPr>
        <w:rFonts w:ascii="Times New Roman" w:hAnsi="Times New Roman" w:cs="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F9B6" w14:textId="77777777" w:rsidR="00CB2C62" w:rsidRDefault="00CB2C62" w:rsidP="004F39DA">
      <w:r>
        <w:separator/>
      </w:r>
    </w:p>
  </w:footnote>
  <w:footnote w:type="continuationSeparator" w:id="0">
    <w:p w14:paraId="41025408" w14:textId="77777777" w:rsidR="00CB2C62" w:rsidRDefault="00CB2C62" w:rsidP="004F39DA">
      <w:r>
        <w:continuationSeparator/>
      </w:r>
    </w:p>
  </w:footnote>
  <w:footnote w:id="1">
    <w:p w14:paraId="5BF43A2B" w14:textId="128D2E6F" w:rsidR="006539D4" w:rsidRPr="00477C32" w:rsidRDefault="006539D4">
      <w:pPr>
        <w:pStyle w:val="FootnoteText"/>
        <w:rPr>
          <w:rFonts w:ascii="Garamond" w:hAnsi="Garamond"/>
          <w:sz w:val="22"/>
        </w:rPr>
      </w:pPr>
      <w:r w:rsidRPr="00477C32">
        <w:rPr>
          <w:rStyle w:val="FootnoteReference"/>
          <w:rFonts w:ascii="Garamond" w:hAnsi="Garamond"/>
          <w:sz w:val="22"/>
        </w:rPr>
        <w:footnoteRef/>
      </w:r>
      <w:r w:rsidRPr="00477C32">
        <w:rPr>
          <w:rFonts w:ascii="Garamond" w:hAnsi="Garamond"/>
          <w:sz w:val="22"/>
        </w:rPr>
        <w:t xml:space="preserve"> For comments on the paper, I’m very grateful to Alex Sager and two very generous anonymous referees. Many thanks also to </w:t>
      </w:r>
      <w:r w:rsidR="004B2464" w:rsidRPr="00477C32">
        <w:rPr>
          <w:rFonts w:ascii="Garamond" w:hAnsi="Garamond"/>
          <w:sz w:val="22"/>
        </w:rPr>
        <w:t>Duncan Bell</w:t>
      </w:r>
      <w:r w:rsidR="00B02482" w:rsidRPr="00477C32">
        <w:rPr>
          <w:rFonts w:ascii="Garamond" w:hAnsi="Garamond"/>
          <w:sz w:val="22"/>
        </w:rPr>
        <w:t xml:space="preserve">, </w:t>
      </w:r>
      <w:r w:rsidR="000D47C8" w:rsidRPr="00477C32">
        <w:rPr>
          <w:rFonts w:ascii="Garamond" w:hAnsi="Garamond"/>
          <w:sz w:val="22"/>
        </w:rPr>
        <w:t>Tiffany Joseph,</w:t>
      </w:r>
      <w:r w:rsidR="004B2464" w:rsidRPr="00477C32">
        <w:rPr>
          <w:rFonts w:ascii="Garamond" w:hAnsi="Garamond"/>
          <w:sz w:val="22"/>
        </w:rPr>
        <w:t xml:space="preserve"> and Meghan Tinsley for help locating the sociological literature.</w:t>
      </w:r>
      <w:r w:rsidR="00384883">
        <w:rPr>
          <w:rFonts w:ascii="Garamond" w:hAnsi="Garamond"/>
          <w:sz w:val="22"/>
        </w:rPr>
        <w:t xml:space="preserve"> </w:t>
      </w:r>
    </w:p>
  </w:footnote>
  <w:footnote w:id="2">
    <w:p w14:paraId="4834A387" w14:textId="087056EC" w:rsidR="006539D4" w:rsidRPr="00477C32" w:rsidRDefault="006539D4">
      <w:pPr>
        <w:pStyle w:val="FootnoteText"/>
        <w:rPr>
          <w:rFonts w:ascii="Garamond" w:hAnsi="Garamond"/>
          <w:sz w:val="22"/>
        </w:rPr>
      </w:pPr>
      <w:r w:rsidRPr="00477C32">
        <w:rPr>
          <w:rStyle w:val="FootnoteReference"/>
          <w:rFonts w:ascii="Garamond" w:hAnsi="Garamond"/>
          <w:sz w:val="22"/>
        </w:rPr>
        <w:footnoteRef/>
      </w:r>
      <w:r w:rsidRPr="00477C32">
        <w:rPr>
          <w:rFonts w:ascii="Garamond" w:hAnsi="Garamond"/>
          <w:sz w:val="22"/>
        </w:rPr>
        <w:t xml:space="preserve"> Associate Prof. of Philosophy and Religion, and Affiliate Professor of Law, Northeastern University. </w:t>
      </w:r>
    </w:p>
  </w:footnote>
  <w:footnote w:id="3">
    <w:p w14:paraId="47EB479F" w14:textId="602A3DE2" w:rsidR="00DF16F3" w:rsidRPr="00477C32" w:rsidRDefault="00DF16F3" w:rsidP="004F39DA">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From the Vote Leave campaign website: http://www.voteleavetakecontrol.org/why_vote_leave.html.</w:t>
      </w:r>
    </w:p>
  </w:footnote>
  <w:footnote w:id="4">
    <w:p w14:paraId="2931774F" w14:textId="7FFCDD81"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See, for example, Kobach </w:t>
      </w:r>
      <w:r w:rsidR="00A46E6D" w:rsidRPr="00477C32">
        <w:rPr>
          <w:rFonts w:ascii="Garamond" w:hAnsi="Garamond" w:cs="Times New Roman"/>
          <w:sz w:val="22"/>
          <w:lang w:val="en-GB"/>
        </w:rPr>
        <w:t>(</w:t>
      </w:r>
      <w:r w:rsidRPr="00477C32">
        <w:rPr>
          <w:rFonts w:ascii="Garamond" w:hAnsi="Garamond" w:cs="Times New Roman"/>
          <w:sz w:val="22"/>
          <w:lang w:val="en-GB"/>
        </w:rPr>
        <w:t>2008</w:t>
      </w:r>
      <w:r w:rsidR="00A46E6D" w:rsidRPr="00477C32">
        <w:rPr>
          <w:rFonts w:ascii="Garamond" w:hAnsi="Garamond" w:cs="Times New Roman"/>
          <w:sz w:val="22"/>
          <w:lang w:val="en-GB"/>
        </w:rPr>
        <w:t>)</w:t>
      </w:r>
      <w:r w:rsidRPr="00477C32">
        <w:rPr>
          <w:rFonts w:ascii="Garamond" w:hAnsi="Garamond" w:cs="Times New Roman"/>
          <w:sz w:val="22"/>
          <w:lang w:val="en-GB"/>
        </w:rPr>
        <w:t xml:space="preserve"> for such an appeal to the rule of law.</w:t>
      </w:r>
    </w:p>
  </w:footnote>
  <w:footnote w:id="5">
    <w:p w14:paraId="04AFD2B1" w14:textId="6D6695CE"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The version presented here relies especially on</w:t>
      </w:r>
      <w:r w:rsidR="0069286B" w:rsidRPr="00477C32">
        <w:rPr>
          <w:rFonts w:ascii="Garamond" w:hAnsi="Garamond" w:cs="Times New Roman"/>
          <w:sz w:val="22"/>
          <w:lang w:val="en-GB"/>
        </w:rPr>
        <w:t xml:space="preserve"> the </w:t>
      </w:r>
      <w:r w:rsidRPr="00477C32">
        <w:rPr>
          <w:rFonts w:ascii="Garamond" w:hAnsi="Garamond" w:cs="Times New Roman"/>
          <w:sz w:val="22"/>
          <w:lang w:val="en-GB"/>
        </w:rPr>
        <w:t>closely related CSG argument</w:t>
      </w:r>
      <w:r w:rsidR="0069286B" w:rsidRPr="00477C32">
        <w:rPr>
          <w:rFonts w:ascii="Garamond" w:hAnsi="Garamond" w:cs="Times New Roman"/>
          <w:sz w:val="22"/>
          <w:lang w:val="en-GB"/>
        </w:rPr>
        <w:t xml:space="preserve"> presented by Sarah Song (201</w:t>
      </w:r>
      <w:r w:rsidR="00A778D9" w:rsidRPr="00477C32">
        <w:rPr>
          <w:rFonts w:ascii="Garamond" w:hAnsi="Garamond" w:cs="Times New Roman"/>
          <w:sz w:val="22"/>
          <w:lang w:val="en-GB"/>
        </w:rPr>
        <w:t>8</w:t>
      </w:r>
      <w:r w:rsidR="0069286B" w:rsidRPr="00477C32">
        <w:rPr>
          <w:rFonts w:ascii="Garamond" w:hAnsi="Garamond" w:cs="Times New Roman"/>
          <w:sz w:val="22"/>
          <w:lang w:val="en-GB"/>
        </w:rPr>
        <w:t>)</w:t>
      </w:r>
      <w:r w:rsidRPr="00477C32">
        <w:rPr>
          <w:rFonts w:ascii="Garamond" w:hAnsi="Garamond" w:cs="Times New Roman"/>
          <w:sz w:val="22"/>
          <w:lang w:val="en-GB"/>
        </w:rPr>
        <w:t xml:space="preserve">. The main difference is that her argument is for a people’s </w:t>
      </w:r>
      <w:r w:rsidRPr="00477C32">
        <w:rPr>
          <w:rFonts w:ascii="Garamond" w:hAnsi="Garamond" w:cs="Times New Roman"/>
          <w:i/>
          <w:iCs/>
          <w:sz w:val="22"/>
          <w:lang w:val="en-GB"/>
        </w:rPr>
        <w:t>right</w:t>
      </w:r>
      <w:r w:rsidRPr="00477C32">
        <w:rPr>
          <w:rFonts w:ascii="Garamond" w:hAnsi="Garamond" w:cs="Times New Roman"/>
          <w:sz w:val="22"/>
          <w:lang w:val="en-GB"/>
        </w:rPr>
        <w:t xml:space="preserve"> to control its border rather than the claim that a people ought to take steps to </w:t>
      </w:r>
      <w:r w:rsidRPr="00477C32">
        <w:rPr>
          <w:rFonts w:ascii="Garamond" w:hAnsi="Garamond" w:cs="Times New Roman"/>
          <w:i/>
          <w:iCs/>
          <w:sz w:val="22"/>
          <w:lang w:val="en-GB"/>
        </w:rPr>
        <w:t>maintain</w:t>
      </w:r>
      <w:r w:rsidRPr="00477C32">
        <w:rPr>
          <w:rFonts w:ascii="Garamond" w:hAnsi="Garamond" w:cs="Times New Roman"/>
          <w:sz w:val="22"/>
          <w:lang w:val="en-GB"/>
        </w:rPr>
        <w:t xml:space="preserve"> that control. Another influential argument that relies on CSG can be found in Wellman (2008). Fine (2013) provides a helpful overview of CSG arguments in general.</w:t>
      </w:r>
    </w:p>
  </w:footnote>
  <w:footnote w:id="6">
    <w:p w14:paraId="6557CAB8" w14:textId="47CCE697"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Article 1, for example, refers to the ‘self-determination of peoples’ as a core goal for the UN.</w:t>
      </w: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Quoted in Song (</w:t>
      </w:r>
      <w:r w:rsidR="00721F37" w:rsidRPr="00477C32">
        <w:rPr>
          <w:rFonts w:ascii="Garamond" w:hAnsi="Garamond" w:cs="Times New Roman"/>
          <w:sz w:val="22"/>
          <w:lang w:val="en-GB"/>
        </w:rPr>
        <w:t>2018</w:t>
      </w:r>
      <w:r w:rsidRPr="00477C32">
        <w:rPr>
          <w:rFonts w:ascii="Garamond" w:hAnsi="Garamond" w:cs="Times New Roman"/>
          <w:sz w:val="22"/>
          <w:lang w:val="en-GB"/>
        </w:rPr>
        <w:t>).</w:t>
      </w:r>
    </w:p>
  </w:footnote>
  <w:footnote w:id="7">
    <w:p w14:paraId="51E38205" w14:textId="1AB70088"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Song </w:t>
      </w:r>
      <w:r w:rsidR="006F1866" w:rsidRPr="00477C32">
        <w:rPr>
          <w:rFonts w:ascii="Garamond" w:hAnsi="Garamond" w:cs="Times New Roman"/>
          <w:sz w:val="22"/>
          <w:lang w:val="en-GB"/>
        </w:rPr>
        <w:t>writes</w:t>
      </w:r>
      <w:r w:rsidR="00E252F6" w:rsidRPr="00477C32">
        <w:rPr>
          <w:rFonts w:ascii="Garamond" w:hAnsi="Garamond" w:cs="Times New Roman"/>
          <w:sz w:val="22"/>
          <w:lang w:val="en-GB"/>
        </w:rPr>
        <w:t xml:space="preserve"> that</w:t>
      </w:r>
      <w:r w:rsidRPr="00477C32">
        <w:rPr>
          <w:rFonts w:ascii="Garamond" w:hAnsi="Garamond" w:cs="Times New Roman"/>
          <w:sz w:val="22"/>
          <w:lang w:val="en-GB"/>
        </w:rPr>
        <w:t xml:space="preserve"> ‘to exercise self-determination on behalf of the people it represents, the state requires territorial rights, the right to make and enforce laws throughout the territory’</w:t>
      </w:r>
      <w:r w:rsidR="006F1866" w:rsidRPr="00477C32">
        <w:rPr>
          <w:rFonts w:ascii="Garamond" w:hAnsi="Garamond" w:cs="Times New Roman"/>
          <w:sz w:val="22"/>
          <w:lang w:val="en-GB"/>
        </w:rPr>
        <w:t xml:space="preserve"> (61)</w:t>
      </w:r>
      <w:r w:rsidRPr="00477C32">
        <w:rPr>
          <w:rFonts w:ascii="Garamond" w:hAnsi="Garamond" w:cs="Times New Roman"/>
          <w:sz w:val="22"/>
          <w:lang w:val="en-GB"/>
        </w:rPr>
        <w:t>.</w:t>
      </w:r>
    </w:p>
  </w:footnote>
  <w:footnote w:id="8">
    <w:p w14:paraId="23593F7C" w14:textId="2B2F7A07" w:rsidR="00F37832" w:rsidRPr="00477C32" w:rsidRDefault="00F37832">
      <w:pPr>
        <w:pStyle w:val="Footnote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See, for example, Jeff Sessions, ‘Attorney General Sessions Statement on President Trump's Immigration Priorities Announcement’, US Department of Justice, 8 October 2017, </w:t>
      </w:r>
      <w:hyperlink r:id="rId1" w:history="1">
        <w:r w:rsidRPr="00477C32">
          <w:rPr>
            <w:rStyle w:val="Hyperlink"/>
            <w:rFonts w:ascii="Garamond" w:hAnsi="Garamond" w:cs="Times New Roman"/>
            <w:sz w:val="22"/>
          </w:rPr>
          <w:t>https://www.justice.gov/opa/pr/attorney-general-sessions-statement-president-trumps-immigration-priorities-announcement</w:t>
        </w:r>
      </w:hyperlink>
      <w:r w:rsidRPr="00477C32">
        <w:rPr>
          <w:rFonts w:ascii="Garamond" w:hAnsi="Garamond" w:cs="Times New Roman"/>
          <w:sz w:val="22"/>
        </w:rPr>
        <w:t xml:space="preserve">. </w:t>
      </w:r>
    </w:p>
  </w:footnote>
  <w:footnote w:id="9">
    <w:p w14:paraId="1F8638BC" w14:textId="5B8809C1"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The phrase is, of course, Boris Johnson’s. He did not use it during a discussion of immigration, but it was clearly a reference to importance of CSG in the context of Brexit. </w:t>
      </w:r>
      <w:r w:rsidR="008E17BB" w:rsidRPr="00477C32">
        <w:rPr>
          <w:rFonts w:ascii="Garamond" w:hAnsi="Garamond" w:cs="Times New Roman"/>
          <w:sz w:val="22"/>
          <w:lang w:val="en-GB"/>
        </w:rPr>
        <w:t>‘Boris Johnson Says Brexit Deal Will Make Britain an EU Colony’</w:t>
      </w:r>
      <w:r w:rsidR="004C5EF3" w:rsidRPr="00477C32">
        <w:rPr>
          <w:rFonts w:ascii="Garamond" w:hAnsi="Garamond" w:cs="Times New Roman"/>
          <w:sz w:val="22"/>
          <w:lang w:val="en-GB"/>
        </w:rPr>
        <w:t>,</w:t>
      </w:r>
      <w:r w:rsidR="008E17BB" w:rsidRPr="00477C32">
        <w:rPr>
          <w:rFonts w:ascii="Garamond" w:hAnsi="Garamond" w:cs="Times New Roman"/>
          <w:sz w:val="22"/>
          <w:lang w:val="en-GB"/>
        </w:rPr>
        <w:t xml:space="preserve"> Reuters, </w:t>
      </w:r>
      <w:r w:rsidR="00BA47CD" w:rsidRPr="00477C32">
        <w:rPr>
          <w:rFonts w:ascii="Garamond" w:hAnsi="Garamond" w:cs="Times New Roman"/>
          <w:sz w:val="22"/>
          <w:lang w:val="en-GB"/>
        </w:rPr>
        <w:t xml:space="preserve">13 </w:t>
      </w:r>
      <w:r w:rsidR="008E17BB" w:rsidRPr="00477C32">
        <w:rPr>
          <w:rFonts w:ascii="Garamond" w:hAnsi="Garamond" w:cs="Times New Roman"/>
          <w:sz w:val="22"/>
          <w:lang w:val="en-GB"/>
        </w:rPr>
        <w:t xml:space="preserve">November 2018, </w:t>
      </w:r>
      <w:r w:rsidRPr="00477C32">
        <w:rPr>
          <w:rFonts w:ascii="Garamond" w:hAnsi="Garamond" w:cs="Times New Roman"/>
          <w:sz w:val="22"/>
          <w:lang w:val="en-GB"/>
        </w:rPr>
        <w:t>https://www.reuters.com/article/us-britain-eu-johnson/boris-johnson-says-brexit-deal-will-make-britain-an-eu-colony-idUSKCN1NI16D</w:t>
      </w:r>
      <w:r w:rsidR="00800924" w:rsidRPr="00477C32">
        <w:rPr>
          <w:rFonts w:ascii="Garamond" w:hAnsi="Garamond" w:cs="Times New Roman"/>
          <w:sz w:val="22"/>
          <w:lang w:val="en-GB"/>
        </w:rPr>
        <w:t>.</w:t>
      </w:r>
    </w:p>
  </w:footnote>
  <w:footnote w:id="10">
    <w:p w14:paraId="200E7459" w14:textId="7E481990" w:rsidR="00812B16" w:rsidRPr="00477C32" w:rsidRDefault="00812B16">
      <w:pPr>
        <w:pStyle w:val="Footnote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There are also more sophisticated attempts to undermine CSG that claim the ‘self’ </w:t>
      </w:r>
      <w:r w:rsidR="006C5D45" w:rsidRPr="00477C32">
        <w:rPr>
          <w:rFonts w:ascii="Garamond" w:hAnsi="Garamond" w:cs="Times New Roman"/>
          <w:sz w:val="22"/>
        </w:rPr>
        <w:t xml:space="preserve">in ‘collective self-governance’ </w:t>
      </w:r>
      <w:r w:rsidRPr="00477C32">
        <w:rPr>
          <w:rFonts w:ascii="Garamond" w:hAnsi="Garamond" w:cs="Times New Roman"/>
          <w:sz w:val="22"/>
        </w:rPr>
        <w:t xml:space="preserve">either cannot be non-arbitrarily defined or must be extended to include people well beyond the boundaries of the state. </w:t>
      </w:r>
      <w:r w:rsidR="006C5D45" w:rsidRPr="00477C32">
        <w:rPr>
          <w:rFonts w:ascii="Garamond" w:hAnsi="Garamond" w:cs="Times New Roman"/>
          <w:sz w:val="22"/>
        </w:rPr>
        <w:t>Both</w:t>
      </w:r>
      <w:r w:rsidRPr="00477C32">
        <w:rPr>
          <w:rFonts w:ascii="Garamond" w:hAnsi="Garamond" w:cs="Times New Roman"/>
          <w:sz w:val="22"/>
        </w:rPr>
        <w:t xml:space="preserve"> </w:t>
      </w:r>
      <w:r w:rsidR="006C5D45" w:rsidRPr="00477C32">
        <w:rPr>
          <w:rFonts w:ascii="Garamond" w:hAnsi="Garamond" w:cs="Times New Roman"/>
          <w:sz w:val="22"/>
        </w:rPr>
        <w:t xml:space="preserve">moves </w:t>
      </w:r>
      <w:r w:rsidRPr="00477C32">
        <w:rPr>
          <w:rFonts w:ascii="Garamond" w:hAnsi="Garamond" w:cs="Times New Roman"/>
          <w:sz w:val="22"/>
        </w:rPr>
        <w:t>are again highly revisionary and so I set them too aside in the text. For discussion, see</w:t>
      </w:r>
      <w:r w:rsidR="00AA5485" w:rsidRPr="00477C32">
        <w:rPr>
          <w:rFonts w:ascii="Garamond" w:hAnsi="Garamond" w:cs="Times New Roman"/>
          <w:sz w:val="22"/>
        </w:rPr>
        <w:t>, for instance,</w:t>
      </w:r>
      <w:r w:rsidRPr="00477C32">
        <w:rPr>
          <w:rFonts w:ascii="Garamond" w:hAnsi="Garamond" w:cs="Times New Roman"/>
          <w:sz w:val="22"/>
        </w:rPr>
        <w:t xml:space="preserve"> Fine </w:t>
      </w:r>
      <w:r w:rsidR="006C5D45" w:rsidRPr="00477C32">
        <w:rPr>
          <w:rFonts w:ascii="Garamond" w:hAnsi="Garamond" w:cs="Times New Roman"/>
          <w:sz w:val="22"/>
        </w:rPr>
        <w:t>(2013)</w:t>
      </w:r>
      <w:r w:rsidRPr="00477C32">
        <w:rPr>
          <w:rFonts w:ascii="Garamond" w:hAnsi="Garamond" w:cs="Times New Roman"/>
          <w:sz w:val="22"/>
        </w:rPr>
        <w:t xml:space="preserve">. </w:t>
      </w:r>
    </w:p>
  </w:footnote>
  <w:footnote w:id="11">
    <w:p w14:paraId="20A7B66E" w14:textId="1691FFDE"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More precisely, for reasons that I will explain later, limits on collective choice place limits on CSG </w:t>
      </w:r>
      <w:r w:rsidRPr="00477C32">
        <w:rPr>
          <w:rFonts w:ascii="Garamond" w:hAnsi="Garamond" w:cs="Times New Roman"/>
          <w:i/>
          <w:iCs/>
          <w:sz w:val="22"/>
          <w:lang w:val="en-GB"/>
        </w:rPr>
        <w:t>to some degree</w:t>
      </w:r>
      <w:r w:rsidRPr="00477C32">
        <w:rPr>
          <w:rFonts w:ascii="Garamond" w:hAnsi="Garamond" w:cs="Times New Roman"/>
          <w:sz w:val="22"/>
          <w:lang w:val="en-GB"/>
        </w:rPr>
        <w:t xml:space="preserve"> and </w:t>
      </w:r>
      <w:r w:rsidRPr="00477C32">
        <w:rPr>
          <w:rFonts w:ascii="Garamond" w:hAnsi="Garamond" w:cs="Times New Roman"/>
          <w:i/>
          <w:iCs/>
          <w:sz w:val="22"/>
          <w:lang w:val="en-GB"/>
        </w:rPr>
        <w:t xml:space="preserve">in some </w:t>
      </w:r>
      <w:proofErr w:type="gramStart"/>
      <w:r w:rsidRPr="00477C32">
        <w:rPr>
          <w:rFonts w:ascii="Garamond" w:hAnsi="Garamond" w:cs="Times New Roman"/>
          <w:i/>
          <w:iCs/>
          <w:sz w:val="22"/>
          <w:lang w:val="en-GB"/>
        </w:rPr>
        <w:t>respect</w:t>
      </w:r>
      <w:r w:rsidRPr="00477C32">
        <w:rPr>
          <w:rFonts w:ascii="Garamond" w:hAnsi="Garamond" w:cs="Times New Roman"/>
          <w:sz w:val="22"/>
          <w:lang w:val="en-GB"/>
        </w:rPr>
        <w:t>, since</w:t>
      </w:r>
      <w:proofErr w:type="gramEnd"/>
      <w:r w:rsidRPr="00477C32">
        <w:rPr>
          <w:rFonts w:ascii="Garamond" w:hAnsi="Garamond" w:cs="Times New Roman"/>
          <w:sz w:val="22"/>
          <w:lang w:val="en-GB"/>
        </w:rPr>
        <w:t xml:space="preserve"> there are cases where such limits still enhance CSG </w:t>
      </w:r>
      <w:r w:rsidRPr="00477C32">
        <w:rPr>
          <w:rFonts w:ascii="Garamond" w:hAnsi="Garamond" w:cs="Times New Roman"/>
          <w:i/>
          <w:iCs/>
          <w:sz w:val="22"/>
          <w:lang w:val="en-GB"/>
        </w:rPr>
        <w:t>overall</w:t>
      </w:r>
      <w:r w:rsidRPr="00477C32">
        <w:rPr>
          <w:rFonts w:ascii="Garamond" w:hAnsi="Garamond" w:cs="Times New Roman"/>
          <w:sz w:val="22"/>
          <w:lang w:val="en-GB"/>
        </w:rPr>
        <w:t>.</w:t>
      </w:r>
    </w:p>
  </w:footnote>
  <w:footnote w:id="12">
    <w:p w14:paraId="0C30DF4F" w14:textId="799C146E"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See, for example, Ely (</w:t>
      </w:r>
      <w:r w:rsidR="0000408A" w:rsidRPr="00477C32">
        <w:rPr>
          <w:rFonts w:ascii="Garamond" w:hAnsi="Garamond" w:cs="Times New Roman"/>
          <w:iCs/>
          <w:sz w:val="22"/>
          <w:lang w:val="en-GB"/>
        </w:rPr>
        <w:t>1980</w:t>
      </w:r>
      <w:r w:rsidRPr="00477C32">
        <w:rPr>
          <w:rFonts w:ascii="Garamond" w:hAnsi="Garamond" w:cs="Times New Roman"/>
          <w:sz w:val="22"/>
          <w:lang w:val="en-GB"/>
        </w:rPr>
        <w:t>) for the view that prejudice among political actors can create denials of equal respect.</w:t>
      </w:r>
    </w:p>
  </w:footnote>
  <w:footnote w:id="13">
    <w:p w14:paraId="2B0CADAC" w14:textId="610652DF" w:rsidR="00FE1A4A" w:rsidRPr="00477C32" w:rsidRDefault="00FE1A4A">
      <w:pPr>
        <w:pStyle w:val="Footnote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This example invites the following concern: what if Australia had genuinely been all White to begin with—would it then have been permissible to pursue racial exclusion in immigration policy? </w:t>
      </w:r>
      <w:r w:rsidR="00DE6234" w:rsidRPr="00477C32">
        <w:rPr>
          <w:rFonts w:ascii="Garamond" w:hAnsi="Garamond" w:cs="Times New Roman"/>
          <w:sz w:val="22"/>
        </w:rPr>
        <w:t xml:space="preserve">I discuss this issue and what to say about hypothetical racially homogenous societies in </w:t>
      </w:r>
      <w:r w:rsidR="00A778D9" w:rsidRPr="00477C32">
        <w:rPr>
          <w:rFonts w:ascii="Garamond" w:hAnsi="Garamond" w:cs="Times New Roman"/>
          <w:sz w:val="22"/>
        </w:rPr>
        <w:t>C</w:t>
      </w:r>
      <w:r w:rsidR="007F0BF3" w:rsidRPr="00477C32">
        <w:rPr>
          <w:rFonts w:ascii="Garamond" w:hAnsi="Garamond" w:cs="Times New Roman"/>
          <w:sz w:val="22"/>
        </w:rPr>
        <w:t>hapt</w:t>
      </w:r>
      <w:r w:rsidR="00A778D9" w:rsidRPr="00477C32">
        <w:rPr>
          <w:rFonts w:ascii="Garamond" w:hAnsi="Garamond" w:cs="Times New Roman"/>
          <w:sz w:val="22"/>
        </w:rPr>
        <w:t>er</w:t>
      </w:r>
      <w:r w:rsidR="007F0BF3" w:rsidRPr="00477C32">
        <w:rPr>
          <w:rFonts w:ascii="Garamond" w:hAnsi="Garamond" w:cs="Times New Roman"/>
          <w:sz w:val="22"/>
        </w:rPr>
        <w:t xml:space="preserve"> 4 of</w:t>
      </w:r>
      <w:r w:rsidR="00DE6234" w:rsidRPr="00477C32">
        <w:rPr>
          <w:rFonts w:ascii="Garamond" w:hAnsi="Garamond" w:cs="Times New Roman"/>
          <w:sz w:val="22"/>
        </w:rPr>
        <w:t xml:space="preserve"> my (2019) book, </w:t>
      </w:r>
      <w:r w:rsidR="001E7069" w:rsidRPr="00477C32">
        <w:rPr>
          <w:rFonts w:ascii="Garamond" w:hAnsi="Garamond" w:cs="Times New Roman"/>
          <w:i/>
          <w:iCs/>
          <w:sz w:val="22"/>
        </w:rPr>
        <w:t xml:space="preserve">The </w:t>
      </w:r>
      <w:r w:rsidR="00DE6234" w:rsidRPr="00477C32">
        <w:rPr>
          <w:rFonts w:ascii="Garamond" w:hAnsi="Garamond" w:cs="Times New Roman"/>
          <w:i/>
          <w:iCs/>
          <w:sz w:val="22"/>
        </w:rPr>
        <w:t xml:space="preserve">Ethics of </w:t>
      </w:r>
      <w:r w:rsidR="00A778D9" w:rsidRPr="00477C32">
        <w:rPr>
          <w:rFonts w:ascii="Garamond" w:hAnsi="Garamond" w:cs="Times New Roman"/>
          <w:i/>
          <w:iCs/>
          <w:sz w:val="22"/>
        </w:rPr>
        <w:t>Migration</w:t>
      </w:r>
      <w:r w:rsidR="001E7069" w:rsidRPr="00477C32">
        <w:rPr>
          <w:rFonts w:ascii="Garamond" w:hAnsi="Garamond" w:cs="Times New Roman"/>
          <w:i/>
          <w:iCs/>
          <w:sz w:val="22"/>
        </w:rPr>
        <w:t>: An Introduction</w:t>
      </w:r>
      <w:r w:rsidR="00DE6234" w:rsidRPr="00477C32">
        <w:rPr>
          <w:rFonts w:ascii="Garamond" w:hAnsi="Garamond" w:cs="Times New Roman"/>
          <w:sz w:val="22"/>
        </w:rPr>
        <w:t xml:space="preserve">. </w:t>
      </w:r>
    </w:p>
  </w:footnote>
  <w:footnote w:id="14">
    <w:p w14:paraId="6237AB41" w14:textId="31A348C1" w:rsidR="008213AD" w:rsidRPr="00477C32" w:rsidRDefault="008213AD">
      <w:pPr>
        <w:pStyle w:val="Footnote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Bertram (2019) also draws a connection between immigration policy and the drawing lines around membership in the polity, although I don’t share the speech-act approach that he relies on. </w:t>
      </w:r>
    </w:p>
  </w:footnote>
  <w:footnote w:id="15">
    <w:p w14:paraId="7D4DC047" w14:textId="11AE2CDC" w:rsidR="00DF16F3" w:rsidRPr="00477C32" w:rsidRDefault="00DF16F3" w:rsidP="00B14161">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w:t>
      </w:r>
      <w:r w:rsidR="00B14161" w:rsidRPr="00477C32">
        <w:rPr>
          <w:rFonts w:ascii="Garamond" w:hAnsi="Garamond" w:cs="Times New Roman"/>
          <w:sz w:val="22"/>
          <w:lang w:val="en-GB"/>
        </w:rPr>
        <w:t xml:space="preserve">Shayma Bakht, </w:t>
      </w:r>
      <w:r w:rsidR="002336B7" w:rsidRPr="00477C32">
        <w:rPr>
          <w:rFonts w:ascii="Garamond" w:hAnsi="Garamond" w:cs="Times New Roman"/>
          <w:sz w:val="22"/>
          <w:lang w:val="en-GB"/>
        </w:rPr>
        <w:t>‘</w:t>
      </w:r>
      <w:r w:rsidR="00B14161" w:rsidRPr="00477C32">
        <w:rPr>
          <w:rFonts w:ascii="Garamond" w:hAnsi="Garamond" w:cs="Times New Roman"/>
          <w:sz w:val="22"/>
          <w:lang w:val="en-GB"/>
        </w:rPr>
        <w:t>An Exodus of British Muslims Is Happening Right Under Our Noses—and Still We’re Asking Whether Islamophobia Exists</w:t>
      </w:r>
      <w:r w:rsidR="002336B7" w:rsidRPr="00477C32">
        <w:rPr>
          <w:rFonts w:ascii="Garamond" w:hAnsi="Garamond" w:cs="Times New Roman"/>
          <w:sz w:val="22"/>
          <w:lang w:val="en-GB"/>
        </w:rPr>
        <w:t>’,</w:t>
      </w:r>
      <w:r w:rsidR="00B14161" w:rsidRPr="00477C32">
        <w:rPr>
          <w:rFonts w:ascii="Garamond" w:hAnsi="Garamond" w:cs="Times New Roman"/>
          <w:sz w:val="22"/>
          <w:lang w:val="en-GB"/>
        </w:rPr>
        <w:t xml:space="preserve"> </w:t>
      </w:r>
      <w:r w:rsidR="00B14161" w:rsidRPr="00477C32">
        <w:rPr>
          <w:rFonts w:ascii="Garamond" w:hAnsi="Garamond" w:cs="Times New Roman"/>
          <w:i/>
          <w:iCs/>
          <w:sz w:val="22"/>
          <w:lang w:val="en-GB"/>
        </w:rPr>
        <w:t>Independent</w:t>
      </w:r>
      <w:r w:rsidR="00B14161" w:rsidRPr="00477C32">
        <w:rPr>
          <w:rFonts w:ascii="Garamond" w:hAnsi="Garamond" w:cs="Times New Roman"/>
          <w:sz w:val="22"/>
          <w:lang w:val="en-GB"/>
        </w:rPr>
        <w:t xml:space="preserve">, </w:t>
      </w:r>
      <w:r w:rsidR="002336B7" w:rsidRPr="00477C32">
        <w:rPr>
          <w:rFonts w:ascii="Garamond" w:hAnsi="Garamond" w:cs="Times New Roman"/>
          <w:sz w:val="22"/>
          <w:lang w:val="en-GB"/>
        </w:rPr>
        <w:t xml:space="preserve">25 </w:t>
      </w:r>
      <w:r w:rsidR="00B14161" w:rsidRPr="00477C32">
        <w:rPr>
          <w:rFonts w:ascii="Garamond" w:hAnsi="Garamond" w:cs="Times New Roman"/>
          <w:sz w:val="22"/>
          <w:lang w:val="en-GB"/>
        </w:rPr>
        <w:t xml:space="preserve">February 2020, </w:t>
      </w:r>
      <w:r w:rsidRPr="00477C32">
        <w:rPr>
          <w:rFonts w:ascii="Garamond" w:hAnsi="Garamond" w:cs="Times New Roman"/>
          <w:sz w:val="22"/>
          <w:lang w:val="en-GB"/>
        </w:rPr>
        <w:t>https://www.independent.co.uk/voices/islamophobia-british-muslims-brexit-hate-crimes-boris-johnson-a9356531.html</w:t>
      </w:r>
      <w:r w:rsidR="00B14161" w:rsidRPr="00477C32">
        <w:rPr>
          <w:rFonts w:ascii="Garamond" w:hAnsi="Garamond" w:cs="Times New Roman"/>
          <w:sz w:val="22"/>
          <w:lang w:val="en-GB"/>
        </w:rPr>
        <w:t>.</w:t>
      </w:r>
    </w:p>
  </w:footnote>
  <w:footnote w:id="16">
    <w:p w14:paraId="4E56528C" w14:textId="7C6BDB58"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Bhambra (2017) provides an overview of these commentators.</w:t>
      </w:r>
    </w:p>
  </w:footnote>
  <w:footnote w:id="17">
    <w:p w14:paraId="020F81CD" w14:textId="1E411408"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00FD4DB7" w:rsidRPr="00477C32">
        <w:rPr>
          <w:rFonts w:ascii="Garamond" w:hAnsi="Garamond" w:cs="Times New Roman"/>
          <w:sz w:val="22"/>
          <w:lang w:val="en-GB"/>
        </w:rPr>
        <w:t xml:space="preserve"> Alex Gourevitch, </w:t>
      </w:r>
      <w:r w:rsidR="002336B7" w:rsidRPr="00477C32">
        <w:rPr>
          <w:rFonts w:ascii="Garamond" w:hAnsi="Garamond" w:cs="Times New Roman"/>
          <w:sz w:val="22"/>
          <w:lang w:val="en-GB"/>
        </w:rPr>
        <w:t>‘</w:t>
      </w:r>
      <w:r w:rsidR="00FD4DB7" w:rsidRPr="00477C32">
        <w:rPr>
          <w:rFonts w:ascii="Garamond" w:hAnsi="Garamond" w:cs="Times New Roman"/>
          <w:sz w:val="22"/>
          <w:lang w:val="en-GB"/>
        </w:rPr>
        <w:t>Leave the EU Already</w:t>
      </w:r>
      <w:r w:rsidR="002336B7" w:rsidRPr="00477C32">
        <w:rPr>
          <w:rFonts w:ascii="Garamond" w:hAnsi="Garamond" w:cs="Times New Roman"/>
          <w:sz w:val="22"/>
          <w:lang w:val="en-GB"/>
        </w:rPr>
        <w:t>’,</w:t>
      </w:r>
      <w:r w:rsidR="00FD4DB7" w:rsidRPr="00477C32">
        <w:rPr>
          <w:rFonts w:ascii="Garamond" w:hAnsi="Garamond" w:cs="Times New Roman"/>
          <w:sz w:val="22"/>
          <w:lang w:val="en-GB"/>
        </w:rPr>
        <w:t xml:space="preserve"> </w:t>
      </w:r>
      <w:r w:rsidR="00FD4DB7" w:rsidRPr="00477C32">
        <w:rPr>
          <w:rFonts w:ascii="Garamond" w:hAnsi="Garamond" w:cs="Times New Roman"/>
          <w:i/>
          <w:iCs/>
          <w:sz w:val="22"/>
          <w:lang w:val="en-GB"/>
        </w:rPr>
        <w:t>Jacobin</w:t>
      </w:r>
      <w:r w:rsidR="00FD4DB7" w:rsidRPr="00477C32">
        <w:rPr>
          <w:rFonts w:ascii="Garamond" w:hAnsi="Garamond" w:cs="Times New Roman"/>
          <w:sz w:val="22"/>
          <w:lang w:val="en-GB"/>
        </w:rPr>
        <w:t xml:space="preserve">, </w:t>
      </w:r>
      <w:r w:rsidR="005424F5" w:rsidRPr="00477C32">
        <w:rPr>
          <w:rFonts w:ascii="Garamond" w:hAnsi="Garamond" w:cs="Times New Roman"/>
          <w:sz w:val="22"/>
          <w:lang w:val="en-GB"/>
        </w:rPr>
        <w:t>n.d.</w:t>
      </w:r>
      <w:r w:rsidR="00FD4DB7" w:rsidRPr="00477C32">
        <w:rPr>
          <w:rFonts w:ascii="Garamond" w:hAnsi="Garamond" w:cs="Times New Roman"/>
          <w:sz w:val="22"/>
          <w:lang w:val="en-GB"/>
        </w:rPr>
        <w:t>,</w:t>
      </w:r>
      <w:r w:rsidRPr="00477C32">
        <w:rPr>
          <w:rFonts w:ascii="Garamond" w:hAnsi="Garamond" w:cs="Times New Roman"/>
          <w:sz w:val="22"/>
          <w:lang w:val="en-GB"/>
        </w:rPr>
        <w:t xml:space="preserve"> https://jacobinmag.com/2019/01/brexit-european-union-populism-democracy.</w:t>
      </w:r>
    </w:p>
  </w:footnote>
  <w:footnote w:id="18">
    <w:p w14:paraId="6F534119" w14:textId="76540204" w:rsidR="00CE1409" w:rsidRPr="00477C32" w:rsidRDefault="00CE1409" w:rsidP="00477C32">
      <w:pPr>
        <w:pStyle w:val="Comment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w:t>
      </w:r>
      <w:r w:rsidR="006539D4" w:rsidRPr="00477C32">
        <w:rPr>
          <w:rFonts w:ascii="Garamond" w:hAnsi="Garamond" w:cs="Times New Roman"/>
          <w:sz w:val="22"/>
        </w:rPr>
        <w:t>Christopher Bickerton and Richard Tuck, “A Brexit Proposal,” 2017.</w:t>
      </w:r>
    </w:p>
  </w:footnote>
  <w:footnote w:id="19">
    <w:p w14:paraId="0B1FDE56" w14:textId="35901705"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w:t>
      </w:r>
      <w:r w:rsidR="00B14161" w:rsidRPr="00477C32">
        <w:rPr>
          <w:rFonts w:ascii="Garamond" w:hAnsi="Garamond" w:cs="Times New Roman"/>
          <w:sz w:val="22"/>
          <w:lang w:val="en-GB"/>
        </w:rPr>
        <w:t xml:space="preserve">Jerry </w:t>
      </w:r>
      <w:proofErr w:type="spellStart"/>
      <w:r w:rsidR="00B14161" w:rsidRPr="00477C32">
        <w:rPr>
          <w:rFonts w:ascii="Garamond" w:hAnsi="Garamond" w:cs="Times New Roman"/>
          <w:sz w:val="22"/>
          <w:lang w:val="en-GB"/>
        </w:rPr>
        <w:t>Kammer</w:t>
      </w:r>
      <w:proofErr w:type="spellEnd"/>
      <w:r w:rsidR="00B14161" w:rsidRPr="00477C32">
        <w:rPr>
          <w:rFonts w:ascii="Garamond" w:hAnsi="Garamond" w:cs="Times New Roman"/>
          <w:sz w:val="22"/>
          <w:lang w:val="en-GB"/>
        </w:rPr>
        <w:t xml:space="preserve">, </w:t>
      </w:r>
      <w:r w:rsidR="002336B7" w:rsidRPr="00477C32">
        <w:rPr>
          <w:rFonts w:ascii="Garamond" w:hAnsi="Garamond" w:cs="Times New Roman"/>
          <w:sz w:val="22"/>
          <w:lang w:val="en-GB"/>
        </w:rPr>
        <w:t>‘</w:t>
      </w:r>
      <w:r w:rsidR="00B14161" w:rsidRPr="00477C32">
        <w:rPr>
          <w:rFonts w:ascii="Garamond" w:hAnsi="Garamond" w:cs="Times New Roman"/>
          <w:sz w:val="22"/>
          <w:lang w:val="en-GB"/>
        </w:rPr>
        <w:t>I’m a Liberal Who Thinks Immigration Must Be Restricted</w:t>
      </w:r>
      <w:r w:rsidR="002336B7" w:rsidRPr="00477C32">
        <w:rPr>
          <w:rFonts w:ascii="Garamond" w:hAnsi="Garamond" w:cs="Times New Roman"/>
          <w:sz w:val="22"/>
          <w:lang w:val="en-GB"/>
        </w:rPr>
        <w:t>’,</w:t>
      </w:r>
      <w:r w:rsidR="00B14161" w:rsidRPr="00477C32">
        <w:rPr>
          <w:rFonts w:ascii="Garamond" w:hAnsi="Garamond" w:cs="Times New Roman"/>
          <w:sz w:val="22"/>
          <w:lang w:val="en-GB"/>
        </w:rPr>
        <w:t xml:space="preserve"> </w:t>
      </w:r>
      <w:r w:rsidR="00B14161" w:rsidRPr="00477C32">
        <w:rPr>
          <w:rFonts w:ascii="Garamond" w:hAnsi="Garamond" w:cs="Times New Roman"/>
          <w:i/>
          <w:iCs/>
          <w:sz w:val="22"/>
          <w:lang w:val="en-GB"/>
        </w:rPr>
        <w:t>New York Times</w:t>
      </w:r>
      <w:r w:rsidR="00B14161" w:rsidRPr="00477C32">
        <w:rPr>
          <w:rFonts w:ascii="Garamond" w:hAnsi="Garamond" w:cs="Times New Roman"/>
          <w:sz w:val="22"/>
          <w:lang w:val="en-GB"/>
        </w:rPr>
        <w:t>,</w:t>
      </w:r>
      <w:r w:rsidR="002336B7" w:rsidRPr="00477C32">
        <w:rPr>
          <w:rFonts w:ascii="Garamond" w:hAnsi="Garamond" w:cs="Times New Roman"/>
          <w:sz w:val="22"/>
          <w:lang w:val="en-GB"/>
        </w:rPr>
        <w:t xml:space="preserve"> 16</w:t>
      </w:r>
      <w:r w:rsidR="00B14161" w:rsidRPr="00477C32">
        <w:rPr>
          <w:rFonts w:ascii="Garamond" w:hAnsi="Garamond" w:cs="Times New Roman"/>
          <w:sz w:val="22"/>
          <w:lang w:val="en-GB"/>
        </w:rPr>
        <w:t xml:space="preserve"> January 2020, </w:t>
      </w:r>
      <w:r w:rsidRPr="00477C32">
        <w:rPr>
          <w:rFonts w:ascii="Garamond" w:hAnsi="Garamond" w:cs="Times New Roman"/>
          <w:sz w:val="22"/>
          <w:lang w:val="en-GB"/>
        </w:rPr>
        <w:t>https://www.nytimes.com/2020/01/16/opinion/immigration-democrats.html</w:t>
      </w:r>
      <w:r w:rsidR="00FD4DB7" w:rsidRPr="00477C32">
        <w:rPr>
          <w:rFonts w:ascii="Garamond" w:hAnsi="Garamond" w:cs="Times New Roman"/>
          <w:sz w:val="22"/>
          <w:lang w:val="en-GB"/>
        </w:rPr>
        <w:t>.</w:t>
      </w:r>
    </w:p>
  </w:footnote>
  <w:footnote w:id="20">
    <w:p w14:paraId="2E19DEC7" w14:textId="4AA61CF0" w:rsidR="008D64BB" w:rsidRPr="00477C32" w:rsidRDefault="008D64BB" w:rsidP="008D64BB">
      <w:pPr>
        <w:pStyle w:val="Footnote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Dorling and Tomlinson (2019), p. 36: ‘</w:t>
      </w:r>
      <w:r w:rsidR="0097162E" w:rsidRPr="00477C32">
        <w:rPr>
          <w:rFonts w:ascii="Garamond" w:hAnsi="Garamond" w:cs="Times New Roman"/>
          <w:sz w:val="22"/>
        </w:rPr>
        <w:t>O</w:t>
      </w:r>
      <w:r w:rsidRPr="00477C32">
        <w:rPr>
          <w:rFonts w:ascii="Garamond" w:hAnsi="Garamond" w:cs="Times New Roman"/>
          <w:sz w:val="22"/>
        </w:rPr>
        <w:t xml:space="preserve">f all those who voted Leave, 59 per cent were middle class (often labelled as A, B or C1), and only 41 per cent were working class (labelled as C2, D or E). The proportion of Leave voters who were of the lowest two social classes (D and E) was just 24 per cent’. </w:t>
      </w:r>
    </w:p>
  </w:footnote>
  <w:footnote w:id="21">
    <w:p w14:paraId="69D8C52C" w14:textId="61F2DD88" w:rsidR="00B16A45" w:rsidRPr="00477C32" w:rsidRDefault="00B16A45">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I have capitalized racial terms for racial groups to emphasize that they are historically contingent products of racialization. For a full explanation</w:t>
      </w:r>
      <w:r w:rsidR="00A60B5C" w:rsidRPr="00477C32">
        <w:rPr>
          <w:rFonts w:ascii="Garamond" w:hAnsi="Garamond" w:cs="Times New Roman"/>
          <w:sz w:val="22"/>
          <w:lang w:val="en-GB"/>
        </w:rPr>
        <w:t>,</w:t>
      </w:r>
      <w:r w:rsidRPr="00477C32">
        <w:rPr>
          <w:rFonts w:ascii="Garamond" w:hAnsi="Garamond" w:cs="Times New Roman"/>
          <w:sz w:val="22"/>
          <w:lang w:val="en-GB"/>
        </w:rPr>
        <w:t xml:space="preserve"> see</w:t>
      </w:r>
      <w:r w:rsidR="00A60B5C" w:rsidRPr="00477C32">
        <w:rPr>
          <w:rFonts w:ascii="Garamond" w:hAnsi="Garamond" w:cs="Times New Roman"/>
          <w:sz w:val="22"/>
          <w:lang w:val="en-GB"/>
        </w:rPr>
        <w:t xml:space="preserve"> Kwame Anthony Appiah, </w:t>
      </w:r>
      <w:r w:rsidR="009617C4" w:rsidRPr="00477C32">
        <w:rPr>
          <w:rFonts w:ascii="Garamond" w:hAnsi="Garamond" w:cs="Times New Roman"/>
          <w:sz w:val="22"/>
          <w:lang w:val="en-GB"/>
        </w:rPr>
        <w:t>‘</w:t>
      </w:r>
      <w:r w:rsidR="00A60B5C" w:rsidRPr="00477C32">
        <w:rPr>
          <w:rFonts w:ascii="Garamond" w:hAnsi="Garamond" w:cs="Times New Roman"/>
          <w:sz w:val="22"/>
          <w:lang w:val="en-GB"/>
        </w:rPr>
        <w:t>The Case for Capitalizing the B in Black</w:t>
      </w:r>
      <w:r w:rsidR="009617C4" w:rsidRPr="00477C32">
        <w:rPr>
          <w:rFonts w:ascii="Garamond" w:hAnsi="Garamond" w:cs="Times New Roman"/>
          <w:sz w:val="22"/>
          <w:lang w:val="en-GB"/>
        </w:rPr>
        <w:t>’,</w:t>
      </w:r>
      <w:r w:rsidR="00A60B5C" w:rsidRPr="00477C32">
        <w:rPr>
          <w:rFonts w:ascii="Garamond" w:hAnsi="Garamond" w:cs="Times New Roman"/>
          <w:sz w:val="22"/>
          <w:lang w:val="en-GB"/>
        </w:rPr>
        <w:t xml:space="preserve"> </w:t>
      </w:r>
      <w:r w:rsidR="00A60B5C" w:rsidRPr="00477C32">
        <w:rPr>
          <w:rFonts w:ascii="Garamond" w:hAnsi="Garamond" w:cs="Times New Roman"/>
          <w:i/>
          <w:iCs/>
          <w:sz w:val="22"/>
          <w:lang w:val="en-GB"/>
        </w:rPr>
        <w:t>Atlantic</w:t>
      </w:r>
      <w:r w:rsidR="00A60B5C" w:rsidRPr="00477C32">
        <w:rPr>
          <w:rFonts w:ascii="Garamond" w:hAnsi="Garamond" w:cs="Times New Roman"/>
          <w:sz w:val="22"/>
          <w:lang w:val="en-GB"/>
        </w:rPr>
        <w:t xml:space="preserve">, </w:t>
      </w:r>
      <w:r w:rsidR="009617C4" w:rsidRPr="00477C32">
        <w:rPr>
          <w:rFonts w:ascii="Garamond" w:hAnsi="Garamond" w:cs="Times New Roman"/>
          <w:sz w:val="22"/>
          <w:lang w:val="en-GB"/>
        </w:rPr>
        <w:t xml:space="preserve">18 </w:t>
      </w:r>
      <w:r w:rsidR="00A60B5C" w:rsidRPr="00477C32">
        <w:rPr>
          <w:rFonts w:ascii="Garamond" w:hAnsi="Garamond" w:cs="Times New Roman"/>
          <w:sz w:val="22"/>
          <w:lang w:val="en-GB"/>
        </w:rPr>
        <w:t xml:space="preserve">June 2020, </w:t>
      </w:r>
      <w:r w:rsidRPr="00477C32">
        <w:rPr>
          <w:rFonts w:ascii="Garamond" w:hAnsi="Garamond" w:cs="Times New Roman"/>
          <w:sz w:val="22"/>
          <w:lang w:val="en-GB"/>
        </w:rPr>
        <w:t>https://www.theatlantic.com/ideas/archive/2020/06/time-to-capitalize-blackand-white/613159.</w:t>
      </w:r>
    </w:p>
  </w:footnote>
  <w:footnote w:id="22">
    <w:p w14:paraId="687FE8CE" w14:textId="5D88EB7B" w:rsidR="00E5312E" w:rsidRPr="00477C32" w:rsidRDefault="00E5312E" w:rsidP="006C4205">
      <w:pPr>
        <w:pStyle w:val="FootnoteText"/>
        <w:rPr>
          <w:rFonts w:ascii="Garamond" w:hAnsi="Garamond" w:cs="Times New Roman"/>
          <w:sz w:val="22"/>
        </w:rPr>
      </w:pPr>
      <w:r w:rsidRPr="00477C32">
        <w:rPr>
          <w:rStyle w:val="FootnoteReference"/>
          <w:rFonts w:ascii="Garamond" w:hAnsi="Garamond" w:cs="Times New Roman"/>
          <w:sz w:val="22"/>
        </w:rPr>
        <w:footnoteRef/>
      </w:r>
      <w:r w:rsidRPr="00477C32">
        <w:rPr>
          <w:rFonts w:ascii="Garamond" w:hAnsi="Garamond" w:cs="Times New Roman"/>
          <w:sz w:val="22"/>
        </w:rPr>
        <w:t xml:space="preserve"> </w:t>
      </w:r>
      <w:r w:rsidR="006C4205" w:rsidRPr="00477C32">
        <w:rPr>
          <w:rFonts w:ascii="Garamond" w:hAnsi="Garamond" w:cs="Times New Roman"/>
          <w:sz w:val="22"/>
        </w:rPr>
        <w:t>Michael Ashcroft, ‘A Reminder of How Britain Voted in the EU Referendum—and Why’,</w:t>
      </w:r>
      <w:r w:rsidR="00850773" w:rsidRPr="00477C32">
        <w:rPr>
          <w:rFonts w:ascii="Garamond" w:hAnsi="Garamond" w:cs="Times New Roman"/>
          <w:sz w:val="22"/>
        </w:rPr>
        <w:t xml:space="preserve"> </w:t>
      </w:r>
      <w:r w:rsidR="00850773" w:rsidRPr="00477C32">
        <w:rPr>
          <w:rFonts w:ascii="Garamond" w:hAnsi="Garamond" w:cs="Times New Roman"/>
          <w:i/>
          <w:iCs/>
          <w:sz w:val="22"/>
        </w:rPr>
        <w:t>Lord Ashcroft Polls</w:t>
      </w:r>
      <w:r w:rsidR="00850773" w:rsidRPr="00477C32">
        <w:rPr>
          <w:rFonts w:ascii="Garamond" w:hAnsi="Garamond" w:cs="Times New Roman"/>
          <w:sz w:val="22"/>
        </w:rPr>
        <w:t>,</w:t>
      </w:r>
      <w:r w:rsidR="006C4205" w:rsidRPr="00477C32">
        <w:rPr>
          <w:rFonts w:ascii="Garamond" w:hAnsi="Garamond" w:cs="Times New Roman"/>
          <w:sz w:val="22"/>
        </w:rPr>
        <w:t xml:space="preserve"> 15 March 2019, </w:t>
      </w:r>
      <w:hyperlink w:history="1"/>
      <w:r w:rsidR="008F58B3" w:rsidRPr="00477C32">
        <w:rPr>
          <w:rFonts w:ascii="Garamond" w:hAnsi="Garamond" w:cs="Times New Roman"/>
          <w:sz w:val="22"/>
        </w:rPr>
        <w:t>https://lordashcroftpolls.com/2019/03/a-reminder-of-how-britain-voted-in-the-eu-referendum-and-why.</w:t>
      </w:r>
    </w:p>
  </w:footnote>
  <w:footnote w:id="23">
    <w:p w14:paraId="0E8CE751" w14:textId="4581D71D"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See Nadasen (</w:t>
      </w:r>
      <w:r w:rsidR="00C06B05" w:rsidRPr="00477C32">
        <w:rPr>
          <w:rFonts w:ascii="Garamond" w:hAnsi="Garamond" w:cs="Times New Roman"/>
          <w:sz w:val="22"/>
          <w:lang w:val="en-GB"/>
        </w:rPr>
        <w:t>2007</w:t>
      </w:r>
      <w:r w:rsidRPr="00477C32">
        <w:rPr>
          <w:rFonts w:ascii="Garamond" w:hAnsi="Garamond" w:cs="Times New Roman"/>
          <w:sz w:val="22"/>
          <w:lang w:val="en-GB"/>
        </w:rPr>
        <w:t>), cited in Stern (2020).</w:t>
      </w:r>
    </w:p>
  </w:footnote>
  <w:footnote w:id="24">
    <w:p w14:paraId="3BFEEF55" w14:textId="3F56E644" w:rsidR="00DF16F3" w:rsidRPr="00477C32" w:rsidRDefault="00DF16F3" w:rsidP="00F514DD">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00F514DD" w:rsidRPr="00477C32">
        <w:rPr>
          <w:rFonts w:ascii="Garamond" w:hAnsi="Garamond" w:cs="Times New Roman"/>
          <w:sz w:val="22"/>
          <w:lang w:val="en-GB"/>
        </w:rPr>
        <w:t xml:space="preserve"> Premilla Nadasen, </w:t>
      </w:r>
      <w:r w:rsidR="009617C4" w:rsidRPr="00477C32">
        <w:rPr>
          <w:rFonts w:ascii="Garamond" w:hAnsi="Garamond" w:cs="Times New Roman"/>
          <w:sz w:val="22"/>
          <w:lang w:val="en-GB"/>
        </w:rPr>
        <w:t>‘</w:t>
      </w:r>
      <w:r w:rsidR="00F514DD" w:rsidRPr="00477C32">
        <w:rPr>
          <w:rFonts w:ascii="Garamond" w:hAnsi="Garamond" w:cs="Times New Roman"/>
          <w:sz w:val="22"/>
          <w:lang w:val="en-GB"/>
        </w:rPr>
        <w:t>How a Democrat Killed Welfare</w:t>
      </w:r>
      <w:r w:rsidR="009617C4" w:rsidRPr="00477C32">
        <w:rPr>
          <w:rFonts w:ascii="Garamond" w:hAnsi="Garamond" w:cs="Times New Roman"/>
          <w:sz w:val="22"/>
          <w:lang w:val="en-GB"/>
        </w:rPr>
        <w:t>’,</w:t>
      </w:r>
      <w:r w:rsidR="00F514DD" w:rsidRPr="00477C32">
        <w:rPr>
          <w:rFonts w:ascii="Garamond" w:hAnsi="Garamond" w:cs="Times New Roman"/>
          <w:sz w:val="22"/>
          <w:lang w:val="en-GB"/>
        </w:rPr>
        <w:t xml:space="preserve"> </w:t>
      </w:r>
      <w:r w:rsidR="00F514DD" w:rsidRPr="00477C32">
        <w:rPr>
          <w:rFonts w:ascii="Garamond" w:hAnsi="Garamond" w:cs="Times New Roman"/>
          <w:i/>
          <w:iCs/>
          <w:sz w:val="22"/>
          <w:lang w:val="en-GB"/>
        </w:rPr>
        <w:t>Jacobin</w:t>
      </w:r>
      <w:r w:rsidR="00F514DD" w:rsidRPr="00477C32">
        <w:rPr>
          <w:rFonts w:ascii="Garamond" w:hAnsi="Garamond" w:cs="Times New Roman"/>
          <w:sz w:val="22"/>
          <w:lang w:val="en-GB"/>
        </w:rPr>
        <w:t xml:space="preserve">, </w:t>
      </w:r>
      <w:r w:rsidR="001A0FD4" w:rsidRPr="00477C32">
        <w:rPr>
          <w:rFonts w:ascii="Garamond" w:hAnsi="Garamond" w:cs="Times New Roman"/>
          <w:sz w:val="22"/>
          <w:lang w:val="en-GB"/>
        </w:rPr>
        <w:t>n.d.</w:t>
      </w:r>
      <w:r w:rsidR="00F514DD" w:rsidRPr="00477C32">
        <w:rPr>
          <w:rFonts w:ascii="Garamond" w:hAnsi="Garamond" w:cs="Times New Roman"/>
          <w:sz w:val="22"/>
          <w:lang w:val="en-GB"/>
        </w:rPr>
        <w:t xml:space="preserve">, </w:t>
      </w:r>
      <w:r w:rsidRPr="00477C32">
        <w:rPr>
          <w:rFonts w:ascii="Garamond" w:hAnsi="Garamond" w:cs="Times New Roman"/>
          <w:sz w:val="22"/>
          <w:lang w:val="en-GB"/>
        </w:rPr>
        <w:t>https://www.jacobinmag.com/2016/02/welfare-reform-bill-hillary-clinton-tanf-poverty-dlc</w:t>
      </w:r>
      <w:r w:rsidR="00F514DD" w:rsidRPr="00477C32">
        <w:rPr>
          <w:rFonts w:ascii="Garamond" w:hAnsi="Garamond" w:cs="Times New Roman"/>
          <w:sz w:val="22"/>
          <w:lang w:val="en-GB"/>
        </w:rPr>
        <w:t>.</w:t>
      </w:r>
    </w:p>
  </w:footnote>
  <w:footnote w:id="25">
    <w:p w14:paraId="47CE4257" w14:textId="68BEBBFA"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w:t>
      </w:r>
      <w:r w:rsidR="002202C9" w:rsidRPr="00477C32">
        <w:rPr>
          <w:rFonts w:ascii="Garamond" w:hAnsi="Garamond" w:cs="Times New Roman"/>
          <w:sz w:val="22"/>
          <w:lang w:val="en-GB"/>
        </w:rPr>
        <w:t xml:space="preserve">Pavan Amara, </w:t>
      </w:r>
      <w:r w:rsidR="00156B95" w:rsidRPr="00477C32">
        <w:rPr>
          <w:rFonts w:ascii="Garamond" w:hAnsi="Garamond" w:cs="Times New Roman"/>
          <w:sz w:val="22"/>
          <w:lang w:val="en-GB"/>
        </w:rPr>
        <w:t>‘</w:t>
      </w:r>
      <w:r w:rsidR="002202C9" w:rsidRPr="00477C32">
        <w:rPr>
          <w:rFonts w:ascii="Garamond" w:hAnsi="Garamond" w:cs="Times New Roman"/>
          <w:sz w:val="22"/>
          <w:lang w:val="en-GB"/>
        </w:rPr>
        <w:t xml:space="preserve">UKIP Founder Alan Sked and Nigel Farage </w:t>
      </w:r>
      <w:r w:rsidR="00156B95" w:rsidRPr="00477C32">
        <w:rPr>
          <w:rFonts w:ascii="Garamond" w:hAnsi="Garamond" w:cs="Times New Roman"/>
          <w:sz w:val="22"/>
          <w:lang w:val="en-GB"/>
        </w:rPr>
        <w:t>“</w:t>
      </w:r>
      <w:r w:rsidR="002202C9" w:rsidRPr="00477C32">
        <w:rPr>
          <w:rFonts w:ascii="Garamond" w:hAnsi="Garamond" w:cs="Times New Roman"/>
          <w:sz w:val="22"/>
          <w:lang w:val="en-GB"/>
        </w:rPr>
        <w:t>Begged Enoch Powell to Stand as a Candidate</w:t>
      </w:r>
      <w:r w:rsidR="00156B95" w:rsidRPr="00477C32">
        <w:rPr>
          <w:rFonts w:ascii="Garamond" w:hAnsi="Garamond" w:cs="Times New Roman"/>
          <w:sz w:val="22"/>
          <w:lang w:val="en-GB"/>
        </w:rPr>
        <w:t>”’</w:t>
      </w:r>
      <w:r w:rsidR="00D54050" w:rsidRPr="00477C32">
        <w:rPr>
          <w:rFonts w:ascii="Garamond" w:hAnsi="Garamond" w:cs="Times New Roman"/>
          <w:sz w:val="22"/>
          <w:lang w:val="en-GB"/>
        </w:rPr>
        <w:t>,</w:t>
      </w:r>
      <w:r w:rsidR="002202C9" w:rsidRPr="00477C32">
        <w:rPr>
          <w:rFonts w:ascii="Garamond" w:hAnsi="Garamond" w:cs="Times New Roman"/>
          <w:sz w:val="22"/>
          <w:lang w:val="en-GB"/>
        </w:rPr>
        <w:t xml:space="preserve"> </w:t>
      </w:r>
      <w:r w:rsidR="002202C9" w:rsidRPr="00477C32">
        <w:rPr>
          <w:rFonts w:ascii="Garamond" w:hAnsi="Garamond" w:cs="Times New Roman"/>
          <w:i/>
          <w:iCs/>
          <w:sz w:val="22"/>
          <w:lang w:val="en-GB"/>
        </w:rPr>
        <w:t>Independent</w:t>
      </w:r>
      <w:r w:rsidR="002202C9" w:rsidRPr="00477C32">
        <w:rPr>
          <w:rFonts w:ascii="Garamond" w:hAnsi="Garamond" w:cs="Times New Roman"/>
          <w:sz w:val="22"/>
          <w:lang w:val="en-GB"/>
        </w:rPr>
        <w:t xml:space="preserve">, </w:t>
      </w:r>
      <w:r w:rsidR="00156B95" w:rsidRPr="00477C32">
        <w:rPr>
          <w:rFonts w:ascii="Garamond" w:hAnsi="Garamond" w:cs="Times New Roman"/>
          <w:sz w:val="22"/>
          <w:lang w:val="en-GB"/>
        </w:rPr>
        <w:t xml:space="preserve">12 </w:t>
      </w:r>
      <w:r w:rsidR="002202C9" w:rsidRPr="00477C32">
        <w:rPr>
          <w:rFonts w:ascii="Garamond" w:hAnsi="Garamond" w:cs="Times New Roman"/>
          <w:sz w:val="22"/>
          <w:lang w:val="en-GB"/>
        </w:rPr>
        <w:t xml:space="preserve">December 2014, </w:t>
      </w:r>
      <w:r w:rsidRPr="00477C32">
        <w:rPr>
          <w:rFonts w:ascii="Garamond" w:hAnsi="Garamond" w:cs="Times New Roman"/>
          <w:sz w:val="22"/>
          <w:lang w:val="en-GB"/>
        </w:rPr>
        <w:t>https://www.independent.co.uk/news/uk/politics/ukip-founder-alan-sked-begged-enoch-powell-to-stand-as-a-candidate-9922502.html</w:t>
      </w:r>
      <w:r w:rsidR="002202C9" w:rsidRPr="00477C32">
        <w:rPr>
          <w:rFonts w:ascii="Garamond" w:hAnsi="Garamond" w:cs="Times New Roman"/>
          <w:sz w:val="22"/>
          <w:lang w:val="en-GB"/>
        </w:rPr>
        <w:t>.</w:t>
      </w:r>
    </w:p>
  </w:footnote>
  <w:footnote w:id="26">
    <w:p w14:paraId="24B5F490" w14:textId="07FB71DD" w:rsidR="009B2978" w:rsidRPr="00477C32" w:rsidRDefault="009B2978">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Bhambra (2017) makes a similar point.</w:t>
      </w:r>
    </w:p>
  </w:footnote>
  <w:footnote w:id="27">
    <w:p w14:paraId="773C5283" w14:textId="69067B0C" w:rsidR="00DF16F3" w:rsidRPr="00477C32" w:rsidRDefault="00DF16F3">
      <w:pPr>
        <w:pStyle w:val="FootnoteText"/>
        <w:rPr>
          <w:rFonts w:ascii="Garamond" w:hAnsi="Garamond" w:cs="Times New Roman"/>
          <w:sz w:val="22"/>
          <w:lang w:val="en-GB"/>
        </w:rPr>
      </w:pPr>
      <w:r w:rsidRPr="00477C32">
        <w:rPr>
          <w:rStyle w:val="FootnoteReference"/>
          <w:rFonts w:ascii="Garamond" w:hAnsi="Garamond" w:cs="Times New Roman"/>
          <w:sz w:val="22"/>
          <w:lang w:val="en-GB"/>
        </w:rPr>
        <w:footnoteRef/>
      </w:r>
      <w:r w:rsidRPr="00477C32">
        <w:rPr>
          <w:rFonts w:ascii="Garamond" w:hAnsi="Garamond" w:cs="Times New Roman"/>
          <w:sz w:val="22"/>
          <w:lang w:val="en-GB"/>
        </w:rPr>
        <w:t xml:space="preserve"> See Shilliam’s book </w:t>
      </w:r>
      <w:r w:rsidR="00156B95" w:rsidRPr="00477C32">
        <w:rPr>
          <w:rFonts w:ascii="Garamond" w:hAnsi="Garamond" w:cs="Times New Roman"/>
          <w:sz w:val="22"/>
          <w:lang w:val="en-GB"/>
        </w:rPr>
        <w:t xml:space="preserve">(2018) </w:t>
      </w:r>
      <w:r w:rsidRPr="00477C32">
        <w:rPr>
          <w:rFonts w:ascii="Garamond" w:hAnsi="Garamond" w:cs="Times New Roman"/>
          <w:sz w:val="22"/>
          <w:lang w:val="en-GB"/>
        </w:rPr>
        <w:t>for a full recounting of that history.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6A92" w14:textId="355859E5" w:rsidR="00F35B32" w:rsidRDefault="00F35B32" w:rsidP="00F35B32">
    <w:pPr>
      <w:pStyle w:val="Header"/>
      <w:jc w:val="right"/>
    </w:pPr>
    <w:r w:rsidRPr="00F35B32">
      <w:rPr>
        <w:i/>
        <w:iCs/>
      </w:rPr>
      <w:t>Forthcoming</w:t>
    </w:r>
    <w:r>
      <w:t xml:space="preserve">, </w:t>
    </w:r>
    <w:r w:rsidRPr="00F35B32">
      <w:rPr>
        <w:i/>
        <w:iCs/>
      </w:rPr>
      <w:t>Oxford Journal of Practical Ethics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011"/>
    <w:multiLevelType w:val="hybridMultilevel"/>
    <w:tmpl w:val="9456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64F06"/>
    <w:multiLevelType w:val="hybridMultilevel"/>
    <w:tmpl w:val="34B68A48"/>
    <w:lvl w:ilvl="0" w:tplc="297AB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962D8"/>
    <w:multiLevelType w:val="multilevel"/>
    <w:tmpl w:val="8EDC1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E7448B"/>
    <w:multiLevelType w:val="hybridMultilevel"/>
    <w:tmpl w:val="9492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6142"/>
    <w:multiLevelType w:val="multilevel"/>
    <w:tmpl w:val="D7182A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9B712A"/>
    <w:multiLevelType w:val="hybridMultilevel"/>
    <w:tmpl w:val="9492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4967"/>
    <w:multiLevelType w:val="multilevel"/>
    <w:tmpl w:val="58EE24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AF45A8B"/>
    <w:multiLevelType w:val="hybridMultilevel"/>
    <w:tmpl w:val="DFB252DC"/>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BF3CDE"/>
    <w:multiLevelType w:val="multilevel"/>
    <w:tmpl w:val="ACC21A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480470"/>
    <w:multiLevelType w:val="hybridMultilevel"/>
    <w:tmpl w:val="7E20EE30"/>
    <w:lvl w:ilvl="0" w:tplc="948EA1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2"/>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CC"/>
    <w:rsid w:val="00000947"/>
    <w:rsid w:val="00000D2A"/>
    <w:rsid w:val="0000408A"/>
    <w:rsid w:val="000129F7"/>
    <w:rsid w:val="000141EA"/>
    <w:rsid w:val="00021237"/>
    <w:rsid w:val="00022352"/>
    <w:rsid w:val="00022C05"/>
    <w:rsid w:val="00031E60"/>
    <w:rsid w:val="0003412C"/>
    <w:rsid w:val="0004358B"/>
    <w:rsid w:val="000443EB"/>
    <w:rsid w:val="000473E8"/>
    <w:rsid w:val="00047577"/>
    <w:rsid w:val="00047E5E"/>
    <w:rsid w:val="00050FBE"/>
    <w:rsid w:val="00051360"/>
    <w:rsid w:val="00053D01"/>
    <w:rsid w:val="000551FC"/>
    <w:rsid w:val="000577B5"/>
    <w:rsid w:val="00060620"/>
    <w:rsid w:val="0006108D"/>
    <w:rsid w:val="00061743"/>
    <w:rsid w:val="00062099"/>
    <w:rsid w:val="00064C31"/>
    <w:rsid w:val="000656F8"/>
    <w:rsid w:val="0007527E"/>
    <w:rsid w:val="00085389"/>
    <w:rsid w:val="00090F49"/>
    <w:rsid w:val="00092CD9"/>
    <w:rsid w:val="000966CD"/>
    <w:rsid w:val="000A2DE8"/>
    <w:rsid w:val="000A6331"/>
    <w:rsid w:val="000B02A8"/>
    <w:rsid w:val="000B2FF1"/>
    <w:rsid w:val="000B535F"/>
    <w:rsid w:val="000B69C4"/>
    <w:rsid w:val="000B7E23"/>
    <w:rsid w:val="000C0A6D"/>
    <w:rsid w:val="000D349A"/>
    <w:rsid w:val="000D47C8"/>
    <w:rsid w:val="000D7527"/>
    <w:rsid w:val="000E4BB9"/>
    <w:rsid w:val="000E4D77"/>
    <w:rsid w:val="000E63D1"/>
    <w:rsid w:val="000F7CD8"/>
    <w:rsid w:val="00100874"/>
    <w:rsid w:val="00104215"/>
    <w:rsid w:val="00114A42"/>
    <w:rsid w:val="001252D8"/>
    <w:rsid w:val="00125BFC"/>
    <w:rsid w:val="001274DC"/>
    <w:rsid w:val="00131FA9"/>
    <w:rsid w:val="001353CF"/>
    <w:rsid w:val="00137802"/>
    <w:rsid w:val="00146387"/>
    <w:rsid w:val="001560EE"/>
    <w:rsid w:val="00156B95"/>
    <w:rsid w:val="0016043B"/>
    <w:rsid w:val="00161446"/>
    <w:rsid w:val="001618D1"/>
    <w:rsid w:val="00162A29"/>
    <w:rsid w:val="00167735"/>
    <w:rsid w:val="0017176E"/>
    <w:rsid w:val="001800A7"/>
    <w:rsid w:val="00184B2C"/>
    <w:rsid w:val="001853BF"/>
    <w:rsid w:val="001855CF"/>
    <w:rsid w:val="00185738"/>
    <w:rsid w:val="001860F8"/>
    <w:rsid w:val="00186AD4"/>
    <w:rsid w:val="001925A6"/>
    <w:rsid w:val="00192E6D"/>
    <w:rsid w:val="0019381F"/>
    <w:rsid w:val="001A0903"/>
    <w:rsid w:val="001A0FD4"/>
    <w:rsid w:val="001A4761"/>
    <w:rsid w:val="001A7045"/>
    <w:rsid w:val="001A73DC"/>
    <w:rsid w:val="001B098C"/>
    <w:rsid w:val="001C0267"/>
    <w:rsid w:val="001C4173"/>
    <w:rsid w:val="001C7AE7"/>
    <w:rsid w:val="001D0FDF"/>
    <w:rsid w:val="001D12E7"/>
    <w:rsid w:val="001D4638"/>
    <w:rsid w:val="001D4BDD"/>
    <w:rsid w:val="001D4E7D"/>
    <w:rsid w:val="001D5EBE"/>
    <w:rsid w:val="001D6523"/>
    <w:rsid w:val="001D7B07"/>
    <w:rsid w:val="001E1D4B"/>
    <w:rsid w:val="001E254B"/>
    <w:rsid w:val="001E4DD6"/>
    <w:rsid w:val="001E674C"/>
    <w:rsid w:val="001E7069"/>
    <w:rsid w:val="001F0642"/>
    <w:rsid w:val="002039DE"/>
    <w:rsid w:val="00203B22"/>
    <w:rsid w:val="00206B01"/>
    <w:rsid w:val="00206CDC"/>
    <w:rsid w:val="00210ADF"/>
    <w:rsid w:val="0021529B"/>
    <w:rsid w:val="00215451"/>
    <w:rsid w:val="002166AD"/>
    <w:rsid w:val="002202C9"/>
    <w:rsid w:val="00222B55"/>
    <w:rsid w:val="00226587"/>
    <w:rsid w:val="00226E8D"/>
    <w:rsid w:val="002336B7"/>
    <w:rsid w:val="002376BE"/>
    <w:rsid w:val="0024061F"/>
    <w:rsid w:val="00244ACD"/>
    <w:rsid w:val="002452A5"/>
    <w:rsid w:val="0024644F"/>
    <w:rsid w:val="00254FAD"/>
    <w:rsid w:val="00257C88"/>
    <w:rsid w:val="0026304C"/>
    <w:rsid w:val="00263CF6"/>
    <w:rsid w:val="002648B6"/>
    <w:rsid w:val="00265984"/>
    <w:rsid w:val="00266D56"/>
    <w:rsid w:val="00274CC0"/>
    <w:rsid w:val="002775D5"/>
    <w:rsid w:val="0028009D"/>
    <w:rsid w:val="002837A6"/>
    <w:rsid w:val="0028452A"/>
    <w:rsid w:val="00286A8B"/>
    <w:rsid w:val="00293116"/>
    <w:rsid w:val="002958D0"/>
    <w:rsid w:val="002A2D6F"/>
    <w:rsid w:val="002B1484"/>
    <w:rsid w:val="002B5188"/>
    <w:rsid w:val="002B637B"/>
    <w:rsid w:val="002C0171"/>
    <w:rsid w:val="002C5CC2"/>
    <w:rsid w:val="002C7655"/>
    <w:rsid w:val="002D5C14"/>
    <w:rsid w:val="002E5874"/>
    <w:rsid w:val="002E5DAF"/>
    <w:rsid w:val="002F0C9A"/>
    <w:rsid w:val="002F27EE"/>
    <w:rsid w:val="002F361D"/>
    <w:rsid w:val="002F4069"/>
    <w:rsid w:val="002F434C"/>
    <w:rsid w:val="003006D4"/>
    <w:rsid w:val="00307E4F"/>
    <w:rsid w:val="00313EFB"/>
    <w:rsid w:val="00320C74"/>
    <w:rsid w:val="00325A7E"/>
    <w:rsid w:val="00331DD2"/>
    <w:rsid w:val="003326C8"/>
    <w:rsid w:val="00332A1B"/>
    <w:rsid w:val="003427CA"/>
    <w:rsid w:val="003545FF"/>
    <w:rsid w:val="003574A8"/>
    <w:rsid w:val="0036105A"/>
    <w:rsid w:val="00362A28"/>
    <w:rsid w:val="003654C4"/>
    <w:rsid w:val="00366E3B"/>
    <w:rsid w:val="00370CAD"/>
    <w:rsid w:val="00371969"/>
    <w:rsid w:val="0037469C"/>
    <w:rsid w:val="00381502"/>
    <w:rsid w:val="003818D4"/>
    <w:rsid w:val="00383DF1"/>
    <w:rsid w:val="00384883"/>
    <w:rsid w:val="00392B14"/>
    <w:rsid w:val="003939F7"/>
    <w:rsid w:val="00394DB6"/>
    <w:rsid w:val="003967FD"/>
    <w:rsid w:val="0039764C"/>
    <w:rsid w:val="003A048D"/>
    <w:rsid w:val="003C0AB4"/>
    <w:rsid w:val="003C27C0"/>
    <w:rsid w:val="003C2C25"/>
    <w:rsid w:val="003C45D3"/>
    <w:rsid w:val="003D1B5E"/>
    <w:rsid w:val="003D4CC9"/>
    <w:rsid w:val="003D5DB9"/>
    <w:rsid w:val="003E1718"/>
    <w:rsid w:val="003E256E"/>
    <w:rsid w:val="003E3C2C"/>
    <w:rsid w:val="003E3FAC"/>
    <w:rsid w:val="003F2E09"/>
    <w:rsid w:val="003F6CD1"/>
    <w:rsid w:val="00402743"/>
    <w:rsid w:val="004068E5"/>
    <w:rsid w:val="00413169"/>
    <w:rsid w:val="004135B0"/>
    <w:rsid w:val="004143F2"/>
    <w:rsid w:val="004172EF"/>
    <w:rsid w:val="00420035"/>
    <w:rsid w:val="00424BEF"/>
    <w:rsid w:val="00427FFA"/>
    <w:rsid w:val="00433269"/>
    <w:rsid w:val="00441566"/>
    <w:rsid w:val="004448FB"/>
    <w:rsid w:val="00455876"/>
    <w:rsid w:val="00456E0D"/>
    <w:rsid w:val="0046085F"/>
    <w:rsid w:val="00460F60"/>
    <w:rsid w:val="0046156A"/>
    <w:rsid w:val="00462D7E"/>
    <w:rsid w:val="00464BA9"/>
    <w:rsid w:val="004663D1"/>
    <w:rsid w:val="00466A99"/>
    <w:rsid w:val="00470BF2"/>
    <w:rsid w:val="00474F6C"/>
    <w:rsid w:val="004762D9"/>
    <w:rsid w:val="00476EE9"/>
    <w:rsid w:val="00477C32"/>
    <w:rsid w:val="00486DA5"/>
    <w:rsid w:val="00493C27"/>
    <w:rsid w:val="00494B7D"/>
    <w:rsid w:val="004969C6"/>
    <w:rsid w:val="004A0DF0"/>
    <w:rsid w:val="004B2464"/>
    <w:rsid w:val="004C3B52"/>
    <w:rsid w:val="004C4C40"/>
    <w:rsid w:val="004C5EF3"/>
    <w:rsid w:val="004D7C26"/>
    <w:rsid w:val="004E7B16"/>
    <w:rsid w:val="004F32DB"/>
    <w:rsid w:val="004F39DA"/>
    <w:rsid w:val="004F73F5"/>
    <w:rsid w:val="005115FE"/>
    <w:rsid w:val="00514C74"/>
    <w:rsid w:val="00514DE7"/>
    <w:rsid w:val="00517FF1"/>
    <w:rsid w:val="005314F7"/>
    <w:rsid w:val="00532722"/>
    <w:rsid w:val="005338CD"/>
    <w:rsid w:val="005354F1"/>
    <w:rsid w:val="00535651"/>
    <w:rsid w:val="00535791"/>
    <w:rsid w:val="005424F5"/>
    <w:rsid w:val="005453C8"/>
    <w:rsid w:val="0054691C"/>
    <w:rsid w:val="00550325"/>
    <w:rsid w:val="00551C3C"/>
    <w:rsid w:val="00552B2B"/>
    <w:rsid w:val="0055429A"/>
    <w:rsid w:val="00554637"/>
    <w:rsid w:val="00554D93"/>
    <w:rsid w:val="005551D3"/>
    <w:rsid w:val="005551DE"/>
    <w:rsid w:val="00557682"/>
    <w:rsid w:val="00560324"/>
    <w:rsid w:val="0056072A"/>
    <w:rsid w:val="00561CDB"/>
    <w:rsid w:val="0056300C"/>
    <w:rsid w:val="005642E4"/>
    <w:rsid w:val="0056534E"/>
    <w:rsid w:val="00570410"/>
    <w:rsid w:val="005705F5"/>
    <w:rsid w:val="00570A75"/>
    <w:rsid w:val="0057424A"/>
    <w:rsid w:val="00581788"/>
    <w:rsid w:val="00590EB9"/>
    <w:rsid w:val="00593B17"/>
    <w:rsid w:val="00597E47"/>
    <w:rsid w:val="005B5064"/>
    <w:rsid w:val="005B61E7"/>
    <w:rsid w:val="005C15F2"/>
    <w:rsid w:val="005C2A79"/>
    <w:rsid w:val="005C78B8"/>
    <w:rsid w:val="005D0F1D"/>
    <w:rsid w:val="005D1FE1"/>
    <w:rsid w:val="005D2A34"/>
    <w:rsid w:val="005F110D"/>
    <w:rsid w:val="005F1168"/>
    <w:rsid w:val="00600B8D"/>
    <w:rsid w:val="006022AF"/>
    <w:rsid w:val="006060FE"/>
    <w:rsid w:val="006066CC"/>
    <w:rsid w:val="006142A8"/>
    <w:rsid w:val="00615648"/>
    <w:rsid w:val="00621B34"/>
    <w:rsid w:val="0062297D"/>
    <w:rsid w:val="00624D55"/>
    <w:rsid w:val="00630042"/>
    <w:rsid w:val="00632A08"/>
    <w:rsid w:val="00633F1C"/>
    <w:rsid w:val="00635765"/>
    <w:rsid w:val="00645EE0"/>
    <w:rsid w:val="00650157"/>
    <w:rsid w:val="0065373C"/>
    <w:rsid w:val="006539D4"/>
    <w:rsid w:val="00655FAA"/>
    <w:rsid w:val="00657C52"/>
    <w:rsid w:val="006759A9"/>
    <w:rsid w:val="0067783E"/>
    <w:rsid w:val="00681460"/>
    <w:rsid w:val="0068439C"/>
    <w:rsid w:val="00685110"/>
    <w:rsid w:val="006853D9"/>
    <w:rsid w:val="00686F63"/>
    <w:rsid w:val="0069286B"/>
    <w:rsid w:val="00693B11"/>
    <w:rsid w:val="006946E8"/>
    <w:rsid w:val="00695EAD"/>
    <w:rsid w:val="006A05EE"/>
    <w:rsid w:val="006A4342"/>
    <w:rsid w:val="006A4559"/>
    <w:rsid w:val="006B3A5F"/>
    <w:rsid w:val="006B5A9C"/>
    <w:rsid w:val="006B6C0F"/>
    <w:rsid w:val="006C0374"/>
    <w:rsid w:val="006C4205"/>
    <w:rsid w:val="006C5D45"/>
    <w:rsid w:val="006C6CE7"/>
    <w:rsid w:val="006C7165"/>
    <w:rsid w:val="006D155E"/>
    <w:rsid w:val="006D1861"/>
    <w:rsid w:val="006D31FD"/>
    <w:rsid w:val="006E2936"/>
    <w:rsid w:val="006E571D"/>
    <w:rsid w:val="006E6EC5"/>
    <w:rsid w:val="006E762D"/>
    <w:rsid w:val="006F1587"/>
    <w:rsid w:val="006F1866"/>
    <w:rsid w:val="006F5443"/>
    <w:rsid w:val="007007C3"/>
    <w:rsid w:val="00702276"/>
    <w:rsid w:val="007039C9"/>
    <w:rsid w:val="007076EF"/>
    <w:rsid w:val="007135E2"/>
    <w:rsid w:val="00721A16"/>
    <w:rsid w:val="00721F37"/>
    <w:rsid w:val="007231D4"/>
    <w:rsid w:val="00725F08"/>
    <w:rsid w:val="007272E1"/>
    <w:rsid w:val="007313C2"/>
    <w:rsid w:val="00731DAC"/>
    <w:rsid w:val="00732391"/>
    <w:rsid w:val="007518DC"/>
    <w:rsid w:val="00752B6B"/>
    <w:rsid w:val="00754EEF"/>
    <w:rsid w:val="0075616A"/>
    <w:rsid w:val="007565D7"/>
    <w:rsid w:val="00762956"/>
    <w:rsid w:val="0077116C"/>
    <w:rsid w:val="00771F1D"/>
    <w:rsid w:val="00773462"/>
    <w:rsid w:val="00774B02"/>
    <w:rsid w:val="007908BE"/>
    <w:rsid w:val="00791A3D"/>
    <w:rsid w:val="007A212C"/>
    <w:rsid w:val="007A4DD1"/>
    <w:rsid w:val="007A6C7D"/>
    <w:rsid w:val="007B69FD"/>
    <w:rsid w:val="007B6C7B"/>
    <w:rsid w:val="007B783F"/>
    <w:rsid w:val="007C3277"/>
    <w:rsid w:val="007C41E3"/>
    <w:rsid w:val="007C7074"/>
    <w:rsid w:val="007D0BB0"/>
    <w:rsid w:val="007D1340"/>
    <w:rsid w:val="007D4527"/>
    <w:rsid w:val="007D7AC3"/>
    <w:rsid w:val="007E1161"/>
    <w:rsid w:val="007E4550"/>
    <w:rsid w:val="007E6A09"/>
    <w:rsid w:val="007F073B"/>
    <w:rsid w:val="007F0BF3"/>
    <w:rsid w:val="007F0EF4"/>
    <w:rsid w:val="007F10CF"/>
    <w:rsid w:val="007F215E"/>
    <w:rsid w:val="007F688E"/>
    <w:rsid w:val="007F7E1B"/>
    <w:rsid w:val="00800924"/>
    <w:rsid w:val="008011DB"/>
    <w:rsid w:val="00804E23"/>
    <w:rsid w:val="00806AB3"/>
    <w:rsid w:val="00806E13"/>
    <w:rsid w:val="00810CDA"/>
    <w:rsid w:val="00810CFA"/>
    <w:rsid w:val="00812B16"/>
    <w:rsid w:val="00813A77"/>
    <w:rsid w:val="008213AD"/>
    <w:rsid w:val="00821FA3"/>
    <w:rsid w:val="00824E34"/>
    <w:rsid w:val="00827DE9"/>
    <w:rsid w:val="008310D2"/>
    <w:rsid w:val="00837CE4"/>
    <w:rsid w:val="00850773"/>
    <w:rsid w:val="008507D8"/>
    <w:rsid w:val="00864C2A"/>
    <w:rsid w:val="00864ED6"/>
    <w:rsid w:val="0086742E"/>
    <w:rsid w:val="00867F44"/>
    <w:rsid w:val="0087338C"/>
    <w:rsid w:val="00881A8C"/>
    <w:rsid w:val="008849C7"/>
    <w:rsid w:val="008878B2"/>
    <w:rsid w:val="0089025F"/>
    <w:rsid w:val="00890313"/>
    <w:rsid w:val="00892C01"/>
    <w:rsid w:val="00894783"/>
    <w:rsid w:val="00896CA6"/>
    <w:rsid w:val="008A42A3"/>
    <w:rsid w:val="008A48B4"/>
    <w:rsid w:val="008B2040"/>
    <w:rsid w:val="008B45DF"/>
    <w:rsid w:val="008B6766"/>
    <w:rsid w:val="008C0913"/>
    <w:rsid w:val="008C3D78"/>
    <w:rsid w:val="008C55CD"/>
    <w:rsid w:val="008D360D"/>
    <w:rsid w:val="008D4FDC"/>
    <w:rsid w:val="008D64BB"/>
    <w:rsid w:val="008E17BB"/>
    <w:rsid w:val="008E1E39"/>
    <w:rsid w:val="008E38F8"/>
    <w:rsid w:val="008E46E5"/>
    <w:rsid w:val="008F4432"/>
    <w:rsid w:val="008F5080"/>
    <w:rsid w:val="008F58B3"/>
    <w:rsid w:val="008F58BC"/>
    <w:rsid w:val="00912B95"/>
    <w:rsid w:val="00922298"/>
    <w:rsid w:val="009230C0"/>
    <w:rsid w:val="00927BFE"/>
    <w:rsid w:val="00931EFF"/>
    <w:rsid w:val="00932BDD"/>
    <w:rsid w:val="00940241"/>
    <w:rsid w:val="00940CC8"/>
    <w:rsid w:val="0094179B"/>
    <w:rsid w:val="00945A06"/>
    <w:rsid w:val="009534E1"/>
    <w:rsid w:val="00960ED2"/>
    <w:rsid w:val="009617C4"/>
    <w:rsid w:val="00961D08"/>
    <w:rsid w:val="009649D1"/>
    <w:rsid w:val="00967789"/>
    <w:rsid w:val="0097162E"/>
    <w:rsid w:val="00971D45"/>
    <w:rsid w:val="00972C33"/>
    <w:rsid w:val="00973702"/>
    <w:rsid w:val="00974AB9"/>
    <w:rsid w:val="009762CA"/>
    <w:rsid w:val="00980E3F"/>
    <w:rsid w:val="00991E75"/>
    <w:rsid w:val="00992E48"/>
    <w:rsid w:val="00995405"/>
    <w:rsid w:val="00995FF2"/>
    <w:rsid w:val="00997CA4"/>
    <w:rsid w:val="009A07F1"/>
    <w:rsid w:val="009A5326"/>
    <w:rsid w:val="009A5591"/>
    <w:rsid w:val="009A6E58"/>
    <w:rsid w:val="009A7DA4"/>
    <w:rsid w:val="009B2978"/>
    <w:rsid w:val="009B34D1"/>
    <w:rsid w:val="009B376D"/>
    <w:rsid w:val="009B4E73"/>
    <w:rsid w:val="009B5C9A"/>
    <w:rsid w:val="009B750A"/>
    <w:rsid w:val="009B7A84"/>
    <w:rsid w:val="009C7130"/>
    <w:rsid w:val="009D370E"/>
    <w:rsid w:val="009D3BAF"/>
    <w:rsid w:val="009D6E14"/>
    <w:rsid w:val="009D7991"/>
    <w:rsid w:val="009E062E"/>
    <w:rsid w:val="009E161E"/>
    <w:rsid w:val="009E38BA"/>
    <w:rsid w:val="009E5919"/>
    <w:rsid w:val="009E5A26"/>
    <w:rsid w:val="009F06CA"/>
    <w:rsid w:val="009F1005"/>
    <w:rsid w:val="009F13E6"/>
    <w:rsid w:val="009F1F4D"/>
    <w:rsid w:val="009F50E0"/>
    <w:rsid w:val="009F5836"/>
    <w:rsid w:val="009F64E5"/>
    <w:rsid w:val="00A017FD"/>
    <w:rsid w:val="00A0276C"/>
    <w:rsid w:val="00A02DC9"/>
    <w:rsid w:val="00A05229"/>
    <w:rsid w:val="00A10D59"/>
    <w:rsid w:val="00A14AD7"/>
    <w:rsid w:val="00A17159"/>
    <w:rsid w:val="00A26DDD"/>
    <w:rsid w:val="00A30666"/>
    <w:rsid w:val="00A31CF6"/>
    <w:rsid w:val="00A32215"/>
    <w:rsid w:val="00A323F7"/>
    <w:rsid w:val="00A32FF1"/>
    <w:rsid w:val="00A3345A"/>
    <w:rsid w:val="00A362D2"/>
    <w:rsid w:val="00A37453"/>
    <w:rsid w:val="00A41A6B"/>
    <w:rsid w:val="00A46E6D"/>
    <w:rsid w:val="00A51CA9"/>
    <w:rsid w:val="00A53F99"/>
    <w:rsid w:val="00A601F1"/>
    <w:rsid w:val="00A60B5C"/>
    <w:rsid w:val="00A629E3"/>
    <w:rsid w:val="00A64721"/>
    <w:rsid w:val="00A75F58"/>
    <w:rsid w:val="00A7762D"/>
    <w:rsid w:val="00A778D9"/>
    <w:rsid w:val="00A8071F"/>
    <w:rsid w:val="00A90611"/>
    <w:rsid w:val="00A9120C"/>
    <w:rsid w:val="00A94BAA"/>
    <w:rsid w:val="00AA0CCD"/>
    <w:rsid w:val="00AA4333"/>
    <w:rsid w:val="00AA5485"/>
    <w:rsid w:val="00AA64F1"/>
    <w:rsid w:val="00AB2954"/>
    <w:rsid w:val="00AB2BBE"/>
    <w:rsid w:val="00AB3842"/>
    <w:rsid w:val="00AB627B"/>
    <w:rsid w:val="00AB6400"/>
    <w:rsid w:val="00AB6B86"/>
    <w:rsid w:val="00AC14DF"/>
    <w:rsid w:val="00AC3018"/>
    <w:rsid w:val="00AC5975"/>
    <w:rsid w:val="00AC6957"/>
    <w:rsid w:val="00AC7DDC"/>
    <w:rsid w:val="00AD162C"/>
    <w:rsid w:val="00AD4059"/>
    <w:rsid w:val="00AD5B92"/>
    <w:rsid w:val="00AE1B1C"/>
    <w:rsid w:val="00AE323A"/>
    <w:rsid w:val="00AE47AD"/>
    <w:rsid w:val="00AE4D92"/>
    <w:rsid w:val="00AE5611"/>
    <w:rsid w:val="00AE72B5"/>
    <w:rsid w:val="00AF5DAB"/>
    <w:rsid w:val="00AF7039"/>
    <w:rsid w:val="00B02482"/>
    <w:rsid w:val="00B024B6"/>
    <w:rsid w:val="00B02741"/>
    <w:rsid w:val="00B07D93"/>
    <w:rsid w:val="00B14161"/>
    <w:rsid w:val="00B15E06"/>
    <w:rsid w:val="00B16A45"/>
    <w:rsid w:val="00B22AA5"/>
    <w:rsid w:val="00B24980"/>
    <w:rsid w:val="00B25C00"/>
    <w:rsid w:val="00B33EB0"/>
    <w:rsid w:val="00B34C52"/>
    <w:rsid w:val="00B40439"/>
    <w:rsid w:val="00B42D7F"/>
    <w:rsid w:val="00B4571B"/>
    <w:rsid w:val="00B473D4"/>
    <w:rsid w:val="00B52640"/>
    <w:rsid w:val="00B57EB2"/>
    <w:rsid w:val="00B63462"/>
    <w:rsid w:val="00B638B6"/>
    <w:rsid w:val="00B64A05"/>
    <w:rsid w:val="00B64D50"/>
    <w:rsid w:val="00B64DC0"/>
    <w:rsid w:val="00B651F1"/>
    <w:rsid w:val="00B65574"/>
    <w:rsid w:val="00B66008"/>
    <w:rsid w:val="00B7195F"/>
    <w:rsid w:val="00B732A7"/>
    <w:rsid w:val="00B7781E"/>
    <w:rsid w:val="00B80A55"/>
    <w:rsid w:val="00B82DE9"/>
    <w:rsid w:val="00B83BC7"/>
    <w:rsid w:val="00B931A0"/>
    <w:rsid w:val="00BA1674"/>
    <w:rsid w:val="00BA47CD"/>
    <w:rsid w:val="00BB1998"/>
    <w:rsid w:val="00BB2441"/>
    <w:rsid w:val="00BB30FC"/>
    <w:rsid w:val="00BB4B6E"/>
    <w:rsid w:val="00BB5BAD"/>
    <w:rsid w:val="00BC35E0"/>
    <w:rsid w:val="00BC4F67"/>
    <w:rsid w:val="00BC5946"/>
    <w:rsid w:val="00BC6B01"/>
    <w:rsid w:val="00BC7AF3"/>
    <w:rsid w:val="00BD10F2"/>
    <w:rsid w:val="00BD1C4A"/>
    <w:rsid w:val="00BD4315"/>
    <w:rsid w:val="00BD6B10"/>
    <w:rsid w:val="00BE1A6C"/>
    <w:rsid w:val="00BE279A"/>
    <w:rsid w:val="00BE3C76"/>
    <w:rsid w:val="00BF56D9"/>
    <w:rsid w:val="00C02295"/>
    <w:rsid w:val="00C06B05"/>
    <w:rsid w:val="00C13A3F"/>
    <w:rsid w:val="00C1435C"/>
    <w:rsid w:val="00C14F0F"/>
    <w:rsid w:val="00C22387"/>
    <w:rsid w:val="00C2330C"/>
    <w:rsid w:val="00C27B0C"/>
    <w:rsid w:val="00C3025D"/>
    <w:rsid w:val="00C30E42"/>
    <w:rsid w:val="00C3137A"/>
    <w:rsid w:val="00C313E3"/>
    <w:rsid w:val="00C34D0A"/>
    <w:rsid w:val="00C356E4"/>
    <w:rsid w:val="00C3574F"/>
    <w:rsid w:val="00C41E93"/>
    <w:rsid w:val="00C42DE2"/>
    <w:rsid w:val="00C43050"/>
    <w:rsid w:val="00C4356C"/>
    <w:rsid w:val="00C50DBD"/>
    <w:rsid w:val="00C55351"/>
    <w:rsid w:val="00C565D7"/>
    <w:rsid w:val="00C6060B"/>
    <w:rsid w:val="00C61B8B"/>
    <w:rsid w:val="00C67DF9"/>
    <w:rsid w:val="00C758DD"/>
    <w:rsid w:val="00C8279B"/>
    <w:rsid w:val="00C83E62"/>
    <w:rsid w:val="00C84823"/>
    <w:rsid w:val="00C91D5A"/>
    <w:rsid w:val="00C94D32"/>
    <w:rsid w:val="00C96426"/>
    <w:rsid w:val="00CB2538"/>
    <w:rsid w:val="00CB28A2"/>
    <w:rsid w:val="00CB2C62"/>
    <w:rsid w:val="00CB7496"/>
    <w:rsid w:val="00CC1C27"/>
    <w:rsid w:val="00CC41D7"/>
    <w:rsid w:val="00CC4278"/>
    <w:rsid w:val="00CD4CD2"/>
    <w:rsid w:val="00CE09CF"/>
    <w:rsid w:val="00CE0B33"/>
    <w:rsid w:val="00CE1409"/>
    <w:rsid w:val="00CE19BD"/>
    <w:rsid w:val="00CF228A"/>
    <w:rsid w:val="00CF303F"/>
    <w:rsid w:val="00CF33A1"/>
    <w:rsid w:val="00CF4A16"/>
    <w:rsid w:val="00CF5634"/>
    <w:rsid w:val="00CF5CF8"/>
    <w:rsid w:val="00CF65AD"/>
    <w:rsid w:val="00D0006C"/>
    <w:rsid w:val="00D05B55"/>
    <w:rsid w:val="00D124D8"/>
    <w:rsid w:val="00D17BCC"/>
    <w:rsid w:val="00D30C5A"/>
    <w:rsid w:val="00D37E78"/>
    <w:rsid w:val="00D401DB"/>
    <w:rsid w:val="00D46BC9"/>
    <w:rsid w:val="00D472E1"/>
    <w:rsid w:val="00D51C28"/>
    <w:rsid w:val="00D54050"/>
    <w:rsid w:val="00D5575B"/>
    <w:rsid w:val="00D56921"/>
    <w:rsid w:val="00D70B1B"/>
    <w:rsid w:val="00D74AD3"/>
    <w:rsid w:val="00D77A46"/>
    <w:rsid w:val="00D80D84"/>
    <w:rsid w:val="00D82F81"/>
    <w:rsid w:val="00D84D94"/>
    <w:rsid w:val="00D85203"/>
    <w:rsid w:val="00D90190"/>
    <w:rsid w:val="00D9284A"/>
    <w:rsid w:val="00D934D2"/>
    <w:rsid w:val="00D943B7"/>
    <w:rsid w:val="00DA282A"/>
    <w:rsid w:val="00DA4F41"/>
    <w:rsid w:val="00DA6B1F"/>
    <w:rsid w:val="00DA6D6A"/>
    <w:rsid w:val="00DB108F"/>
    <w:rsid w:val="00DB2F63"/>
    <w:rsid w:val="00DB3680"/>
    <w:rsid w:val="00DC0B65"/>
    <w:rsid w:val="00DC2A65"/>
    <w:rsid w:val="00DC361E"/>
    <w:rsid w:val="00DC61DD"/>
    <w:rsid w:val="00DC61EC"/>
    <w:rsid w:val="00DD2C09"/>
    <w:rsid w:val="00DD316F"/>
    <w:rsid w:val="00DD464E"/>
    <w:rsid w:val="00DE0EE7"/>
    <w:rsid w:val="00DE515C"/>
    <w:rsid w:val="00DE6234"/>
    <w:rsid w:val="00DE6D35"/>
    <w:rsid w:val="00DF16F3"/>
    <w:rsid w:val="00DF62FE"/>
    <w:rsid w:val="00DF6C7B"/>
    <w:rsid w:val="00DF71D3"/>
    <w:rsid w:val="00E03863"/>
    <w:rsid w:val="00E03F0B"/>
    <w:rsid w:val="00E10A63"/>
    <w:rsid w:val="00E10B8B"/>
    <w:rsid w:val="00E16DC2"/>
    <w:rsid w:val="00E20101"/>
    <w:rsid w:val="00E20B45"/>
    <w:rsid w:val="00E252F6"/>
    <w:rsid w:val="00E27330"/>
    <w:rsid w:val="00E32F52"/>
    <w:rsid w:val="00E353F0"/>
    <w:rsid w:val="00E3544C"/>
    <w:rsid w:val="00E40379"/>
    <w:rsid w:val="00E470A5"/>
    <w:rsid w:val="00E4781B"/>
    <w:rsid w:val="00E51D6C"/>
    <w:rsid w:val="00E5312E"/>
    <w:rsid w:val="00E54111"/>
    <w:rsid w:val="00E568AA"/>
    <w:rsid w:val="00E62BB1"/>
    <w:rsid w:val="00E63366"/>
    <w:rsid w:val="00E63A34"/>
    <w:rsid w:val="00E65776"/>
    <w:rsid w:val="00E66F0C"/>
    <w:rsid w:val="00E70BDA"/>
    <w:rsid w:val="00E71464"/>
    <w:rsid w:val="00E76F82"/>
    <w:rsid w:val="00E8171E"/>
    <w:rsid w:val="00E85731"/>
    <w:rsid w:val="00E86B35"/>
    <w:rsid w:val="00E87313"/>
    <w:rsid w:val="00E87612"/>
    <w:rsid w:val="00E95555"/>
    <w:rsid w:val="00EA31F9"/>
    <w:rsid w:val="00EB11EE"/>
    <w:rsid w:val="00EB4B17"/>
    <w:rsid w:val="00EB7EE7"/>
    <w:rsid w:val="00EC2212"/>
    <w:rsid w:val="00EC27E4"/>
    <w:rsid w:val="00EC33BD"/>
    <w:rsid w:val="00ED0A5E"/>
    <w:rsid w:val="00ED45D0"/>
    <w:rsid w:val="00ED527B"/>
    <w:rsid w:val="00ED58A4"/>
    <w:rsid w:val="00ED5F25"/>
    <w:rsid w:val="00ED6707"/>
    <w:rsid w:val="00EE02B4"/>
    <w:rsid w:val="00EE102D"/>
    <w:rsid w:val="00EE1E46"/>
    <w:rsid w:val="00EF1254"/>
    <w:rsid w:val="00EF1A55"/>
    <w:rsid w:val="00EF2777"/>
    <w:rsid w:val="00EF3AF3"/>
    <w:rsid w:val="00EF76D5"/>
    <w:rsid w:val="00F02245"/>
    <w:rsid w:val="00F03A26"/>
    <w:rsid w:val="00F040D9"/>
    <w:rsid w:val="00F12B26"/>
    <w:rsid w:val="00F14239"/>
    <w:rsid w:val="00F15039"/>
    <w:rsid w:val="00F1665B"/>
    <w:rsid w:val="00F32376"/>
    <w:rsid w:val="00F33048"/>
    <w:rsid w:val="00F359C8"/>
    <w:rsid w:val="00F35B32"/>
    <w:rsid w:val="00F36175"/>
    <w:rsid w:val="00F37832"/>
    <w:rsid w:val="00F4491E"/>
    <w:rsid w:val="00F47996"/>
    <w:rsid w:val="00F47CF3"/>
    <w:rsid w:val="00F514DD"/>
    <w:rsid w:val="00F51F38"/>
    <w:rsid w:val="00F61BB5"/>
    <w:rsid w:val="00F62F26"/>
    <w:rsid w:val="00F6346E"/>
    <w:rsid w:val="00F634BB"/>
    <w:rsid w:val="00F65B31"/>
    <w:rsid w:val="00F74716"/>
    <w:rsid w:val="00F74A31"/>
    <w:rsid w:val="00F77ED3"/>
    <w:rsid w:val="00F844CE"/>
    <w:rsid w:val="00F87216"/>
    <w:rsid w:val="00F9410A"/>
    <w:rsid w:val="00F962A9"/>
    <w:rsid w:val="00F96932"/>
    <w:rsid w:val="00FA0DD3"/>
    <w:rsid w:val="00FA1F41"/>
    <w:rsid w:val="00FA3AE7"/>
    <w:rsid w:val="00FA5E64"/>
    <w:rsid w:val="00FA6816"/>
    <w:rsid w:val="00FB500C"/>
    <w:rsid w:val="00FB5DB6"/>
    <w:rsid w:val="00FC07FF"/>
    <w:rsid w:val="00FC2BBB"/>
    <w:rsid w:val="00FD0F4B"/>
    <w:rsid w:val="00FD2A18"/>
    <w:rsid w:val="00FD3CE7"/>
    <w:rsid w:val="00FD4DB7"/>
    <w:rsid w:val="00FD6038"/>
    <w:rsid w:val="00FD6ECC"/>
    <w:rsid w:val="00FE1A4A"/>
    <w:rsid w:val="00FE1B4D"/>
    <w:rsid w:val="00FE2654"/>
    <w:rsid w:val="00FE4DC6"/>
    <w:rsid w:val="00FE607B"/>
    <w:rsid w:val="00FF476A"/>
    <w:rsid w:val="05DD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38286"/>
  <w15:docId w15:val="{21986392-EDEC-1E4A-989F-FA6A2051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9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13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0C"/>
    <w:pPr>
      <w:ind w:left="720"/>
      <w:contextualSpacing/>
    </w:pPr>
  </w:style>
  <w:style w:type="paragraph" w:styleId="FootnoteText">
    <w:name w:val="footnote text"/>
    <w:basedOn w:val="Normal"/>
    <w:link w:val="FootnoteTextChar"/>
    <w:uiPriority w:val="99"/>
    <w:unhideWhenUsed/>
    <w:rsid w:val="004F39DA"/>
    <w:rPr>
      <w:sz w:val="20"/>
      <w:szCs w:val="20"/>
    </w:rPr>
  </w:style>
  <w:style w:type="character" w:customStyle="1" w:styleId="FootnoteTextChar">
    <w:name w:val="Footnote Text Char"/>
    <w:basedOn w:val="DefaultParagraphFont"/>
    <w:link w:val="FootnoteText"/>
    <w:uiPriority w:val="99"/>
    <w:rsid w:val="004F39DA"/>
    <w:rPr>
      <w:sz w:val="20"/>
      <w:szCs w:val="20"/>
    </w:rPr>
  </w:style>
  <w:style w:type="character" w:styleId="FootnoteReference">
    <w:name w:val="footnote reference"/>
    <w:basedOn w:val="DefaultParagraphFont"/>
    <w:uiPriority w:val="99"/>
    <w:unhideWhenUsed/>
    <w:rsid w:val="004F39DA"/>
    <w:rPr>
      <w:vertAlign w:val="superscript"/>
    </w:rPr>
  </w:style>
  <w:style w:type="character" w:styleId="Hyperlink">
    <w:name w:val="Hyperlink"/>
    <w:basedOn w:val="DefaultParagraphFont"/>
    <w:uiPriority w:val="99"/>
    <w:unhideWhenUsed/>
    <w:rsid w:val="004F39DA"/>
    <w:rPr>
      <w:color w:val="0563C1" w:themeColor="hyperlink"/>
      <w:u w:val="single"/>
    </w:rPr>
  </w:style>
  <w:style w:type="character" w:customStyle="1" w:styleId="Heading1Char">
    <w:name w:val="Heading 1 Char"/>
    <w:basedOn w:val="DefaultParagraphFont"/>
    <w:link w:val="Heading1"/>
    <w:uiPriority w:val="9"/>
    <w:rsid w:val="0076295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62956"/>
    <w:rPr>
      <w:rFonts w:ascii="Times New Roman" w:hAnsi="Times New Roman" w:cs="Times New Roman"/>
    </w:rPr>
  </w:style>
  <w:style w:type="paragraph" w:styleId="BalloonText">
    <w:name w:val="Balloon Text"/>
    <w:basedOn w:val="Normal"/>
    <w:link w:val="BalloonTextChar"/>
    <w:uiPriority w:val="99"/>
    <w:semiHidden/>
    <w:unhideWhenUsed/>
    <w:rsid w:val="002154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451"/>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FC07FF"/>
    <w:rPr>
      <w:color w:val="605E5C"/>
      <w:shd w:val="clear" w:color="auto" w:fill="E1DFDD"/>
    </w:rPr>
  </w:style>
  <w:style w:type="paragraph" w:customStyle="1" w:styleId="Reference">
    <w:name w:val="Reference"/>
    <w:rsid w:val="003E256E"/>
    <w:pPr>
      <w:spacing w:after="200"/>
    </w:pPr>
    <w:rPr>
      <w:rFonts w:ascii="Times New Roman" w:eastAsia="Times New Roman" w:hAnsi="Times New Roman" w:cs="Times New Roman"/>
      <w:lang w:val="en-GB" w:eastAsia="en-GB"/>
    </w:rPr>
  </w:style>
  <w:style w:type="character" w:customStyle="1" w:styleId="refarticletitle">
    <w:name w:val="ref_article_title"/>
    <w:rsid w:val="003E256E"/>
    <w:rPr>
      <w:rFonts w:ascii="Times New Roman" w:hAnsi="Times New Roman"/>
      <w:color w:val="000000"/>
      <w:sz w:val="24"/>
      <w:szCs w:val="24"/>
      <w:lang w:val="en-GB"/>
    </w:rPr>
  </w:style>
  <w:style w:type="character" w:customStyle="1" w:styleId="refdate">
    <w:name w:val="ref_date"/>
    <w:rsid w:val="003E256E"/>
    <w:rPr>
      <w:rFonts w:ascii="Times New Roman" w:hAnsi="Times New Roman"/>
      <w:color w:val="000000"/>
      <w:sz w:val="24"/>
      <w:szCs w:val="24"/>
      <w:lang w:val="en-GB"/>
    </w:rPr>
  </w:style>
  <w:style w:type="character" w:customStyle="1" w:styleId="refgivenname">
    <w:name w:val="ref_givenname"/>
    <w:rsid w:val="003E256E"/>
    <w:rPr>
      <w:rFonts w:ascii="Times New Roman" w:hAnsi="Times New Roman"/>
      <w:color w:val="000000"/>
      <w:sz w:val="24"/>
      <w:szCs w:val="24"/>
      <w:lang w:val="en-GB"/>
    </w:rPr>
  </w:style>
  <w:style w:type="character" w:customStyle="1" w:styleId="refissuenumber">
    <w:name w:val="ref_issue_number"/>
    <w:rsid w:val="003E256E"/>
    <w:rPr>
      <w:rFonts w:ascii="Times New Roman" w:hAnsi="Times New Roman"/>
      <w:i/>
      <w:iCs/>
      <w:color w:val="000000"/>
      <w:sz w:val="24"/>
      <w:szCs w:val="24"/>
      <w:lang w:val="en-GB"/>
    </w:rPr>
  </w:style>
  <w:style w:type="character" w:customStyle="1" w:styleId="refjournaltitle">
    <w:name w:val="ref_journal_title"/>
    <w:rsid w:val="003E256E"/>
    <w:rPr>
      <w:rFonts w:ascii="Times New Roman" w:hAnsi="Times New Roman"/>
      <w:i/>
      <w:iCs/>
      <w:color w:val="000000"/>
      <w:sz w:val="24"/>
      <w:szCs w:val="24"/>
      <w:lang w:val="en-GB"/>
    </w:rPr>
  </w:style>
  <w:style w:type="character" w:customStyle="1" w:styleId="refpagerange">
    <w:name w:val="ref_page_range"/>
    <w:rsid w:val="003E256E"/>
    <w:rPr>
      <w:rFonts w:ascii="Times New Roman" w:hAnsi="Times New Roman"/>
      <w:color w:val="000000"/>
      <w:sz w:val="24"/>
      <w:szCs w:val="24"/>
      <w:lang w:val="en-GB"/>
    </w:rPr>
  </w:style>
  <w:style w:type="character" w:customStyle="1" w:styleId="refsurname">
    <w:name w:val="ref_surname"/>
    <w:rsid w:val="003E256E"/>
    <w:rPr>
      <w:rFonts w:ascii="Times New Roman" w:hAnsi="Times New Roman"/>
      <w:color w:val="000000"/>
      <w:sz w:val="24"/>
      <w:szCs w:val="24"/>
      <w:lang w:val="en-GB"/>
    </w:rPr>
  </w:style>
  <w:style w:type="character" w:customStyle="1" w:styleId="refvolumenumber">
    <w:name w:val="ref_volume_number"/>
    <w:rsid w:val="003E256E"/>
    <w:rPr>
      <w:rFonts w:ascii="Times New Roman" w:hAnsi="Times New Roman"/>
      <w:i/>
      <w:iCs/>
      <w:color w:val="000000"/>
      <w:sz w:val="24"/>
      <w:szCs w:val="24"/>
      <w:lang w:val="en-GB"/>
    </w:rPr>
  </w:style>
  <w:style w:type="character" w:customStyle="1" w:styleId="refyear">
    <w:name w:val="ref_year"/>
    <w:rsid w:val="003E256E"/>
    <w:rPr>
      <w:rFonts w:ascii="Times New Roman" w:hAnsi="Times New Roman"/>
      <w:color w:val="000000"/>
      <w:sz w:val="24"/>
      <w:szCs w:val="24"/>
      <w:lang w:val="en-GB"/>
    </w:rPr>
  </w:style>
  <w:style w:type="paragraph" w:customStyle="1" w:styleId="paragraph">
    <w:name w:val="paragraph"/>
    <w:basedOn w:val="Normal"/>
    <w:rsid w:val="00FE2654"/>
    <w:pPr>
      <w:spacing w:before="100" w:beforeAutospacing="1" w:after="100" w:afterAutospacing="1"/>
    </w:pPr>
    <w:rPr>
      <w:rFonts w:ascii="Times New Roman" w:eastAsiaTheme="minorEastAsia" w:hAnsi="Times New Roman"/>
      <w:sz w:val="20"/>
      <w:szCs w:val="20"/>
    </w:rPr>
  </w:style>
  <w:style w:type="character" w:customStyle="1" w:styleId="normaltextrun">
    <w:name w:val="normaltextrun"/>
    <w:basedOn w:val="DefaultParagraphFont"/>
    <w:rsid w:val="00FE2654"/>
  </w:style>
  <w:style w:type="character" w:customStyle="1" w:styleId="apple-converted-space">
    <w:name w:val="apple-converted-space"/>
    <w:basedOn w:val="DefaultParagraphFont"/>
    <w:rsid w:val="00FE2654"/>
  </w:style>
  <w:style w:type="character" w:customStyle="1" w:styleId="eop">
    <w:name w:val="eop"/>
    <w:basedOn w:val="DefaultParagraphFont"/>
    <w:rsid w:val="00FE2654"/>
  </w:style>
  <w:style w:type="character" w:customStyle="1" w:styleId="contextualspellingandgrammarerror">
    <w:name w:val="contextualspellingandgrammarerror"/>
    <w:basedOn w:val="DefaultParagraphFont"/>
    <w:rsid w:val="00FE2654"/>
  </w:style>
  <w:style w:type="character" w:customStyle="1" w:styleId="UnresolvedMention2">
    <w:name w:val="Unresolved Mention2"/>
    <w:basedOn w:val="DefaultParagraphFont"/>
    <w:uiPriority w:val="99"/>
    <w:semiHidden/>
    <w:unhideWhenUsed/>
    <w:rsid w:val="00A32215"/>
    <w:rPr>
      <w:color w:val="605E5C"/>
      <w:shd w:val="clear" w:color="auto" w:fill="E1DFDD"/>
    </w:rPr>
  </w:style>
  <w:style w:type="character" w:styleId="FollowedHyperlink">
    <w:name w:val="FollowedHyperlink"/>
    <w:basedOn w:val="DefaultParagraphFont"/>
    <w:uiPriority w:val="99"/>
    <w:semiHidden/>
    <w:unhideWhenUsed/>
    <w:rsid w:val="009A7DA4"/>
    <w:rPr>
      <w:color w:val="954F72" w:themeColor="followedHyperlink"/>
      <w:u w:val="single"/>
    </w:rPr>
  </w:style>
  <w:style w:type="character" w:styleId="CommentReference">
    <w:name w:val="annotation reference"/>
    <w:basedOn w:val="DefaultParagraphFont"/>
    <w:uiPriority w:val="99"/>
    <w:semiHidden/>
    <w:unhideWhenUsed/>
    <w:rsid w:val="007135E2"/>
    <w:rPr>
      <w:sz w:val="16"/>
      <w:szCs w:val="16"/>
    </w:rPr>
  </w:style>
  <w:style w:type="paragraph" w:styleId="CommentText">
    <w:name w:val="annotation text"/>
    <w:basedOn w:val="Normal"/>
    <w:link w:val="CommentTextChar"/>
    <w:uiPriority w:val="99"/>
    <w:unhideWhenUsed/>
    <w:rsid w:val="007135E2"/>
    <w:rPr>
      <w:sz w:val="20"/>
      <w:szCs w:val="20"/>
    </w:rPr>
  </w:style>
  <w:style w:type="character" w:customStyle="1" w:styleId="CommentTextChar">
    <w:name w:val="Comment Text Char"/>
    <w:basedOn w:val="DefaultParagraphFont"/>
    <w:link w:val="CommentText"/>
    <w:uiPriority w:val="99"/>
    <w:rsid w:val="007135E2"/>
    <w:rPr>
      <w:sz w:val="20"/>
      <w:szCs w:val="20"/>
    </w:rPr>
  </w:style>
  <w:style w:type="paragraph" w:styleId="CommentSubject">
    <w:name w:val="annotation subject"/>
    <w:basedOn w:val="CommentText"/>
    <w:next w:val="CommentText"/>
    <w:link w:val="CommentSubjectChar"/>
    <w:uiPriority w:val="99"/>
    <w:semiHidden/>
    <w:unhideWhenUsed/>
    <w:rsid w:val="007135E2"/>
    <w:rPr>
      <w:b/>
      <w:bCs/>
    </w:rPr>
  </w:style>
  <w:style w:type="character" w:customStyle="1" w:styleId="CommentSubjectChar">
    <w:name w:val="Comment Subject Char"/>
    <w:basedOn w:val="CommentTextChar"/>
    <w:link w:val="CommentSubject"/>
    <w:uiPriority w:val="99"/>
    <w:semiHidden/>
    <w:rsid w:val="007135E2"/>
    <w:rPr>
      <w:b/>
      <w:bCs/>
      <w:sz w:val="20"/>
      <w:szCs w:val="20"/>
    </w:rPr>
  </w:style>
  <w:style w:type="paragraph" w:styleId="Footer">
    <w:name w:val="footer"/>
    <w:basedOn w:val="Normal"/>
    <w:link w:val="FooterChar"/>
    <w:uiPriority w:val="99"/>
    <w:unhideWhenUsed/>
    <w:rsid w:val="00F634BB"/>
    <w:pPr>
      <w:tabs>
        <w:tab w:val="center" w:pos="4680"/>
        <w:tab w:val="right" w:pos="9360"/>
      </w:tabs>
    </w:pPr>
  </w:style>
  <w:style w:type="character" w:customStyle="1" w:styleId="FooterChar">
    <w:name w:val="Footer Char"/>
    <w:basedOn w:val="DefaultParagraphFont"/>
    <w:link w:val="Footer"/>
    <w:uiPriority w:val="99"/>
    <w:rsid w:val="00F634BB"/>
  </w:style>
  <w:style w:type="character" w:styleId="PageNumber">
    <w:name w:val="page number"/>
    <w:basedOn w:val="DefaultParagraphFont"/>
    <w:uiPriority w:val="99"/>
    <w:semiHidden/>
    <w:unhideWhenUsed/>
    <w:rsid w:val="00F634BB"/>
  </w:style>
  <w:style w:type="paragraph" w:styleId="Header">
    <w:name w:val="header"/>
    <w:basedOn w:val="Normal"/>
    <w:link w:val="HeaderChar"/>
    <w:uiPriority w:val="99"/>
    <w:unhideWhenUsed/>
    <w:rsid w:val="00F634BB"/>
    <w:pPr>
      <w:tabs>
        <w:tab w:val="center" w:pos="4680"/>
        <w:tab w:val="right" w:pos="9360"/>
      </w:tabs>
    </w:pPr>
  </w:style>
  <w:style w:type="character" w:customStyle="1" w:styleId="HeaderChar">
    <w:name w:val="Header Char"/>
    <w:basedOn w:val="DefaultParagraphFont"/>
    <w:link w:val="Header"/>
    <w:uiPriority w:val="99"/>
    <w:rsid w:val="00F634BB"/>
  </w:style>
  <w:style w:type="character" w:customStyle="1" w:styleId="Heading2Char">
    <w:name w:val="Heading 2 Char"/>
    <w:basedOn w:val="DefaultParagraphFont"/>
    <w:link w:val="Heading2"/>
    <w:uiPriority w:val="9"/>
    <w:semiHidden/>
    <w:rsid w:val="008213A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5312E"/>
    <w:rPr>
      <w:color w:val="605E5C"/>
      <w:shd w:val="clear" w:color="auto" w:fill="E1DFDD"/>
    </w:rPr>
  </w:style>
  <w:style w:type="paragraph" w:styleId="Revision">
    <w:name w:val="Revision"/>
    <w:hidden/>
    <w:uiPriority w:val="99"/>
    <w:semiHidden/>
    <w:rsid w:val="0065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925">
      <w:bodyDiv w:val="1"/>
      <w:marLeft w:val="0"/>
      <w:marRight w:val="0"/>
      <w:marTop w:val="0"/>
      <w:marBottom w:val="0"/>
      <w:divBdr>
        <w:top w:val="none" w:sz="0" w:space="0" w:color="auto"/>
        <w:left w:val="none" w:sz="0" w:space="0" w:color="auto"/>
        <w:bottom w:val="none" w:sz="0" w:space="0" w:color="auto"/>
        <w:right w:val="none" w:sz="0" w:space="0" w:color="auto"/>
      </w:divBdr>
    </w:div>
    <w:div w:id="382026636">
      <w:bodyDiv w:val="1"/>
      <w:marLeft w:val="0"/>
      <w:marRight w:val="0"/>
      <w:marTop w:val="0"/>
      <w:marBottom w:val="0"/>
      <w:divBdr>
        <w:top w:val="none" w:sz="0" w:space="0" w:color="auto"/>
        <w:left w:val="none" w:sz="0" w:space="0" w:color="auto"/>
        <w:bottom w:val="none" w:sz="0" w:space="0" w:color="auto"/>
        <w:right w:val="none" w:sz="0" w:space="0" w:color="auto"/>
      </w:divBdr>
    </w:div>
    <w:div w:id="488137577">
      <w:bodyDiv w:val="1"/>
      <w:marLeft w:val="0"/>
      <w:marRight w:val="0"/>
      <w:marTop w:val="0"/>
      <w:marBottom w:val="0"/>
      <w:divBdr>
        <w:top w:val="none" w:sz="0" w:space="0" w:color="auto"/>
        <w:left w:val="none" w:sz="0" w:space="0" w:color="auto"/>
        <w:bottom w:val="none" w:sz="0" w:space="0" w:color="auto"/>
        <w:right w:val="none" w:sz="0" w:space="0" w:color="auto"/>
      </w:divBdr>
      <w:divsChild>
        <w:div w:id="1123039664">
          <w:marLeft w:val="0"/>
          <w:marRight w:val="0"/>
          <w:marTop w:val="0"/>
          <w:marBottom w:val="0"/>
          <w:divBdr>
            <w:top w:val="none" w:sz="0" w:space="0" w:color="auto"/>
            <w:left w:val="none" w:sz="0" w:space="0" w:color="auto"/>
            <w:bottom w:val="none" w:sz="0" w:space="0" w:color="auto"/>
            <w:right w:val="none" w:sz="0" w:space="0" w:color="auto"/>
          </w:divBdr>
          <w:divsChild>
            <w:div w:id="532889463">
              <w:marLeft w:val="0"/>
              <w:marRight w:val="0"/>
              <w:marTop w:val="0"/>
              <w:marBottom w:val="0"/>
              <w:divBdr>
                <w:top w:val="none" w:sz="0" w:space="0" w:color="auto"/>
                <w:left w:val="none" w:sz="0" w:space="0" w:color="auto"/>
                <w:bottom w:val="none" w:sz="0" w:space="0" w:color="auto"/>
                <w:right w:val="none" w:sz="0" w:space="0" w:color="auto"/>
              </w:divBdr>
              <w:divsChild>
                <w:div w:id="13303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603">
      <w:bodyDiv w:val="1"/>
      <w:marLeft w:val="0"/>
      <w:marRight w:val="0"/>
      <w:marTop w:val="0"/>
      <w:marBottom w:val="0"/>
      <w:divBdr>
        <w:top w:val="none" w:sz="0" w:space="0" w:color="auto"/>
        <w:left w:val="none" w:sz="0" w:space="0" w:color="auto"/>
        <w:bottom w:val="none" w:sz="0" w:space="0" w:color="auto"/>
        <w:right w:val="none" w:sz="0" w:space="0" w:color="auto"/>
      </w:divBdr>
    </w:div>
    <w:div w:id="925501158">
      <w:bodyDiv w:val="1"/>
      <w:marLeft w:val="0"/>
      <w:marRight w:val="0"/>
      <w:marTop w:val="0"/>
      <w:marBottom w:val="0"/>
      <w:divBdr>
        <w:top w:val="none" w:sz="0" w:space="0" w:color="auto"/>
        <w:left w:val="none" w:sz="0" w:space="0" w:color="auto"/>
        <w:bottom w:val="none" w:sz="0" w:space="0" w:color="auto"/>
        <w:right w:val="none" w:sz="0" w:space="0" w:color="auto"/>
      </w:divBdr>
    </w:div>
    <w:div w:id="974063466">
      <w:bodyDiv w:val="1"/>
      <w:marLeft w:val="0"/>
      <w:marRight w:val="0"/>
      <w:marTop w:val="0"/>
      <w:marBottom w:val="0"/>
      <w:divBdr>
        <w:top w:val="none" w:sz="0" w:space="0" w:color="auto"/>
        <w:left w:val="none" w:sz="0" w:space="0" w:color="auto"/>
        <w:bottom w:val="none" w:sz="0" w:space="0" w:color="auto"/>
        <w:right w:val="none" w:sz="0" w:space="0" w:color="auto"/>
      </w:divBdr>
    </w:div>
    <w:div w:id="1008555031">
      <w:bodyDiv w:val="1"/>
      <w:marLeft w:val="0"/>
      <w:marRight w:val="0"/>
      <w:marTop w:val="0"/>
      <w:marBottom w:val="0"/>
      <w:divBdr>
        <w:top w:val="none" w:sz="0" w:space="0" w:color="auto"/>
        <w:left w:val="none" w:sz="0" w:space="0" w:color="auto"/>
        <w:bottom w:val="none" w:sz="0" w:space="0" w:color="auto"/>
        <w:right w:val="none" w:sz="0" w:space="0" w:color="auto"/>
      </w:divBdr>
    </w:div>
    <w:div w:id="1038549979">
      <w:bodyDiv w:val="1"/>
      <w:marLeft w:val="0"/>
      <w:marRight w:val="0"/>
      <w:marTop w:val="0"/>
      <w:marBottom w:val="0"/>
      <w:divBdr>
        <w:top w:val="none" w:sz="0" w:space="0" w:color="auto"/>
        <w:left w:val="none" w:sz="0" w:space="0" w:color="auto"/>
        <w:bottom w:val="none" w:sz="0" w:space="0" w:color="auto"/>
        <w:right w:val="none" w:sz="0" w:space="0" w:color="auto"/>
      </w:divBdr>
    </w:div>
    <w:div w:id="1099956416">
      <w:bodyDiv w:val="1"/>
      <w:marLeft w:val="0"/>
      <w:marRight w:val="0"/>
      <w:marTop w:val="0"/>
      <w:marBottom w:val="0"/>
      <w:divBdr>
        <w:top w:val="none" w:sz="0" w:space="0" w:color="auto"/>
        <w:left w:val="none" w:sz="0" w:space="0" w:color="auto"/>
        <w:bottom w:val="none" w:sz="0" w:space="0" w:color="auto"/>
        <w:right w:val="none" w:sz="0" w:space="0" w:color="auto"/>
      </w:divBdr>
    </w:div>
    <w:div w:id="1135951179">
      <w:bodyDiv w:val="1"/>
      <w:marLeft w:val="0"/>
      <w:marRight w:val="0"/>
      <w:marTop w:val="0"/>
      <w:marBottom w:val="0"/>
      <w:divBdr>
        <w:top w:val="none" w:sz="0" w:space="0" w:color="auto"/>
        <w:left w:val="none" w:sz="0" w:space="0" w:color="auto"/>
        <w:bottom w:val="none" w:sz="0" w:space="0" w:color="auto"/>
        <w:right w:val="none" w:sz="0" w:space="0" w:color="auto"/>
      </w:divBdr>
      <w:divsChild>
        <w:div w:id="1039669959">
          <w:marLeft w:val="0"/>
          <w:marRight w:val="0"/>
          <w:marTop w:val="0"/>
          <w:marBottom w:val="0"/>
          <w:divBdr>
            <w:top w:val="none" w:sz="0" w:space="0" w:color="auto"/>
            <w:left w:val="none" w:sz="0" w:space="0" w:color="auto"/>
            <w:bottom w:val="none" w:sz="0" w:space="0" w:color="auto"/>
            <w:right w:val="none" w:sz="0" w:space="0" w:color="auto"/>
          </w:divBdr>
          <w:divsChild>
            <w:div w:id="1113868982">
              <w:marLeft w:val="0"/>
              <w:marRight w:val="0"/>
              <w:marTop w:val="0"/>
              <w:marBottom w:val="0"/>
              <w:divBdr>
                <w:top w:val="none" w:sz="0" w:space="0" w:color="auto"/>
                <w:left w:val="none" w:sz="0" w:space="0" w:color="auto"/>
                <w:bottom w:val="none" w:sz="0" w:space="0" w:color="auto"/>
                <w:right w:val="none" w:sz="0" w:space="0" w:color="auto"/>
              </w:divBdr>
              <w:divsChild>
                <w:div w:id="3550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9588">
      <w:bodyDiv w:val="1"/>
      <w:marLeft w:val="0"/>
      <w:marRight w:val="0"/>
      <w:marTop w:val="0"/>
      <w:marBottom w:val="0"/>
      <w:divBdr>
        <w:top w:val="none" w:sz="0" w:space="0" w:color="auto"/>
        <w:left w:val="none" w:sz="0" w:space="0" w:color="auto"/>
        <w:bottom w:val="none" w:sz="0" w:space="0" w:color="auto"/>
        <w:right w:val="none" w:sz="0" w:space="0" w:color="auto"/>
      </w:divBdr>
    </w:div>
    <w:div w:id="1242908332">
      <w:bodyDiv w:val="1"/>
      <w:marLeft w:val="0"/>
      <w:marRight w:val="0"/>
      <w:marTop w:val="0"/>
      <w:marBottom w:val="0"/>
      <w:divBdr>
        <w:top w:val="none" w:sz="0" w:space="0" w:color="auto"/>
        <w:left w:val="none" w:sz="0" w:space="0" w:color="auto"/>
        <w:bottom w:val="none" w:sz="0" w:space="0" w:color="auto"/>
        <w:right w:val="none" w:sz="0" w:space="0" w:color="auto"/>
      </w:divBdr>
      <w:divsChild>
        <w:div w:id="464083562">
          <w:marLeft w:val="0"/>
          <w:marRight w:val="0"/>
          <w:marTop w:val="0"/>
          <w:marBottom w:val="0"/>
          <w:divBdr>
            <w:top w:val="none" w:sz="0" w:space="0" w:color="auto"/>
            <w:left w:val="none" w:sz="0" w:space="0" w:color="auto"/>
            <w:bottom w:val="none" w:sz="0" w:space="0" w:color="auto"/>
            <w:right w:val="none" w:sz="0" w:space="0" w:color="auto"/>
          </w:divBdr>
          <w:divsChild>
            <w:div w:id="726294709">
              <w:marLeft w:val="0"/>
              <w:marRight w:val="0"/>
              <w:marTop w:val="0"/>
              <w:marBottom w:val="0"/>
              <w:divBdr>
                <w:top w:val="none" w:sz="0" w:space="0" w:color="auto"/>
                <w:left w:val="none" w:sz="0" w:space="0" w:color="auto"/>
                <w:bottom w:val="none" w:sz="0" w:space="0" w:color="auto"/>
                <w:right w:val="none" w:sz="0" w:space="0" w:color="auto"/>
              </w:divBdr>
              <w:divsChild>
                <w:div w:id="1162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8137">
      <w:bodyDiv w:val="1"/>
      <w:marLeft w:val="0"/>
      <w:marRight w:val="0"/>
      <w:marTop w:val="0"/>
      <w:marBottom w:val="0"/>
      <w:divBdr>
        <w:top w:val="none" w:sz="0" w:space="0" w:color="auto"/>
        <w:left w:val="none" w:sz="0" w:space="0" w:color="auto"/>
        <w:bottom w:val="none" w:sz="0" w:space="0" w:color="auto"/>
        <w:right w:val="none" w:sz="0" w:space="0" w:color="auto"/>
      </w:divBdr>
      <w:divsChild>
        <w:div w:id="1842042314">
          <w:marLeft w:val="0"/>
          <w:marRight w:val="0"/>
          <w:marTop w:val="0"/>
          <w:marBottom w:val="0"/>
          <w:divBdr>
            <w:top w:val="none" w:sz="0" w:space="0" w:color="auto"/>
            <w:left w:val="none" w:sz="0" w:space="0" w:color="auto"/>
            <w:bottom w:val="none" w:sz="0" w:space="0" w:color="auto"/>
            <w:right w:val="none" w:sz="0" w:space="0" w:color="auto"/>
          </w:divBdr>
          <w:divsChild>
            <w:div w:id="34543574">
              <w:marLeft w:val="0"/>
              <w:marRight w:val="0"/>
              <w:marTop w:val="0"/>
              <w:marBottom w:val="0"/>
              <w:divBdr>
                <w:top w:val="none" w:sz="0" w:space="0" w:color="auto"/>
                <w:left w:val="none" w:sz="0" w:space="0" w:color="auto"/>
                <w:bottom w:val="none" w:sz="0" w:space="0" w:color="auto"/>
                <w:right w:val="none" w:sz="0" w:space="0" w:color="auto"/>
              </w:divBdr>
              <w:divsChild>
                <w:div w:id="17812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28851">
      <w:bodyDiv w:val="1"/>
      <w:marLeft w:val="0"/>
      <w:marRight w:val="0"/>
      <w:marTop w:val="0"/>
      <w:marBottom w:val="0"/>
      <w:divBdr>
        <w:top w:val="none" w:sz="0" w:space="0" w:color="auto"/>
        <w:left w:val="none" w:sz="0" w:space="0" w:color="auto"/>
        <w:bottom w:val="none" w:sz="0" w:space="0" w:color="auto"/>
        <w:right w:val="none" w:sz="0" w:space="0" w:color="auto"/>
      </w:divBdr>
    </w:div>
    <w:div w:id="1851211468">
      <w:bodyDiv w:val="1"/>
      <w:marLeft w:val="0"/>
      <w:marRight w:val="0"/>
      <w:marTop w:val="0"/>
      <w:marBottom w:val="0"/>
      <w:divBdr>
        <w:top w:val="none" w:sz="0" w:space="0" w:color="auto"/>
        <w:left w:val="none" w:sz="0" w:space="0" w:color="auto"/>
        <w:bottom w:val="none" w:sz="0" w:space="0" w:color="auto"/>
        <w:right w:val="none" w:sz="0" w:space="0" w:color="auto"/>
      </w:divBdr>
    </w:div>
    <w:div w:id="1918785219">
      <w:bodyDiv w:val="1"/>
      <w:marLeft w:val="0"/>
      <w:marRight w:val="0"/>
      <w:marTop w:val="0"/>
      <w:marBottom w:val="0"/>
      <w:divBdr>
        <w:top w:val="none" w:sz="0" w:space="0" w:color="auto"/>
        <w:left w:val="none" w:sz="0" w:space="0" w:color="auto"/>
        <w:bottom w:val="none" w:sz="0" w:space="0" w:color="auto"/>
        <w:right w:val="none" w:sz="0" w:space="0" w:color="auto"/>
      </w:divBdr>
    </w:div>
    <w:div w:id="2048336658">
      <w:bodyDiv w:val="1"/>
      <w:marLeft w:val="0"/>
      <w:marRight w:val="0"/>
      <w:marTop w:val="0"/>
      <w:marBottom w:val="0"/>
      <w:divBdr>
        <w:top w:val="none" w:sz="0" w:space="0" w:color="auto"/>
        <w:left w:val="none" w:sz="0" w:space="0" w:color="auto"/>
        <w:bottom w:val="none" w:sz="0" w:space="0" w:color="auto"/>
        <w:right w:val="none" w:sz="0" w:space="0" w:color="auto"/>
      </w:divBdr>
    </w:div>
    <w:div w:id="20594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opa/pr/attorney-general-sessions-statement-president-trumps-immigration-priorities-annou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6DAA-EE1A-5441-A318-9B8CCB0D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8599</Words>
  <Characters>49017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Adam</dc:creator>
  <cp:keywords/>
  <dc:description/>
  <cp:lastModifiedBy>Hosein, Adam</cp:lastModifiedBy>
  <cp:revision>8</cp:revision>
  <cp:lastPrinted>2020-08-08T18:21:00Z</cp:lastPrinted>
  <dcterms:created xsi:type="dcterms:W3CDTF">2022-01-26T17:05:00Z</dcterms:created>
  <dcterms:modified xsi:type="dcterms:W3CDTF">2022-01-26T17:14:00Z</dcterms:modified>
</cp:coreProperties>
</file>