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42" w:rsidRDefault="004E523B" w:rsidP="004E523B">
      <w:pPr>
        <w:spacing w:line="240" w:lineRule="auto"/>
        <w:jc w:val="center"/>
      </w:pPr>
      <w:r>
        <w:t>Paul Hurley</w:t>
      </w:r>
    </w:p>
    <w:p w:rsidR="004E523B" w:rsidRDefault="004E523B" w:rsidP="004E523B">
      <w:pPr>
        <w:spacing w:line="240" w:lineRule="auto"/>
        <w:jc w:val="center"/>
      </w:pPr>
      <w:r>
        <w:t xml:space="preserve">Comments on Douglas </w:t>
      </w:r>
      <w:proofErr w:type="spellStart"/>
      <w:r>
        <w:t>Portmore’s</w:t>
      </w:r>
      <w:proofErr w:type="spellEnd"/>
      <w:r>
        <w:t xml:space="preserve"> </w:t>
      </w:r>
      <w:r w:rsidRPr="00496D57">
        <w:rPr>
          <w:i/>
        </w:rPr>
        <w:t xml:space="preserve">Commonsense </w:t>
      </w:r>
      <w:proofErr w:type="spellStart"/>
      <w:r w:rsidRPr="00496D57">
        <w:rPr>
          <w:i/>
        </w:rPr>
        <w:t>Consequentialism</w:t>
      </w:r>
      <w:proofErr w:type="spellEnd"/>
    </w:p>
    <w:p w:rsidR="004E523B" w:rsidRDefault="004E523B" w:rsidP="004E523B">
      <w:pPr>
        <w:spacing w:line="240" w:lineRule="auto"/>
        <w:jc w:val="center"/>
      </w:pPr>
      <w:r>
        <w:t>Word count: 348</w:t>
      </w:r>
      <w:r w:rsidR="00780674">
        <w:t>8</w:t>
      </w:r>
    </w:p>
    <w:p w:rsidR="004E523B" w:rsidRDefault="00391723" w:rsidP="003415D6">
      <w:pPr>
        <w:spacing w:line="480" w:lineRule="auto"/>
      </w:pPr>
      <w:r>
        <w:t xml:space="preserve">    </w:t>
      </w:r>
    </w:p>
    <w:p w:rsidR="007A03CF" w:rsidRDefault="004E523B" w:rsidP="003415D6">
      <w:pPr>
        <w:spacing w:line="480" w:lineRule="auto"/>
      </w:pPr>
      <w:r>
        <w:t xml:space="preserve">    </w:t>
      </w:r>
      <w:r w:rsidR="00433242">
        <w:t>Doug</w:t>
      </w:r>
      <w:r w:rsidR="008F4F84">
        <w:t>las</w:t>
      </w:r>
      <w:r w:rsidR="00A36569">
        <w:t xml:space="preserve"> </w:t>
      </w:r>
      <w:proofErr w:type="spellStart"/>
      <w:r w:rsidR="00A36569">
        <w:t>Portmore’s</w:t>
      </w:r>
      <w:proofErr w:type="spellEnd"/>
      <w:r w:rsidR="003415D6">
        <w:t xml:space="preserve"> </w:t>
      </w:r>
      <w:r w:rsidR="00E2407C">
        <w:t xml:space="preserve">argument in </w:t>
      </w:r>
      <w:r w:rsidR="003415D6" w:rsidRPr="00C27382">
        <w:rPr>
          <w:i/>
        </w:rPr>
        <w:t xml:space="preserve">Commonsense </w:t>
      </w:r>
      <w:proofErr w:type="spellStart"/>
      <w:r w:rsidR="003415D6" w:rsidRPr="00C27382">
        <w:rPr>
          <w:i/>
        </w:rPr>
        <w:t>Con</w:t>
      </w:r>
      <w:r w:rsidR="00A36569" w:rsidRPr="00C27382">
        <w:rPr>
          <w:i/>
        </w:rPr>
        <w:t>sequentialism</w:t>
      </w:r>
      <w:proofErr w:type="spellEnd"/>
      <w:r w:rsidR="003415D6" w:rsidRPr="00C27382">
        <w:rPr>
          <w:i/>
        </w:rPr>
        <w:t xml:space="preserve"> </w:t>
      </w:r>
      <w:r w:rsidR="0099242D">
        <w:t>unfolds</w:t>
      </w:r>
      <w:r w:rsidR="00E2407C">
        <w:t xml:space="preserve"> in two main stages</w:t>
      </w:r>
      <w:r w:rsidR="00C27382">
        <w:t>.</w:t>
      </w:r>
      <w:r w:rsidR="00C2333E">
        <w:t xml:space="preserve">  He</w:t>
      </w:r>
      <w:r w:rsidR="0099242D">
        <w:t xml:space="preserve"> first argues</w:t>
      </w:r>
      <w:r w:rsidR="004E1EDF">
        <w:t xml:space="preserve"> (chapters 1-3)</w:t>
      </w:r>
      <w:r w:rsidR="00380FAB">
        <w:t xml:space="preserve"> </w:t>
      </w:r>
      <w:r w:rsidR="003415D6">
        <w:t>that</w:t>
      </w:r>
      <w:r w:rsidR="00851361">
        <w:t xml:space="preserve"> moral rationalism sets plausibility constraints on acceptable moral </w:t>
      </w:r>
      <w:proofErr w:type="gramStart"/>
      <w:r w:rsidR="00851361">
        <w:t>theories,</w:t>
      </w:r>
      <w:proofErr w:type="gramEnd"/>
      <w:r w:rsidR="00851361">
        <w:t xml:space="preserve"> and that </w:t>
      </w:r>
      <w:r w:rsidR="008F4F84">
        <w:t xml:space="preserve">all </w:t>
      </w:r>
      <w:r w:rsidR="0005556E">
        <w:t>traditional forms of act-</w:t>
      </w:r>
      <w:proofErr w:type="spellStart"/>
      <w:r w:rsidR="00721A4B">
        <w:t>consequentialism</w:t>
      </w:r>
      <w:proofErr w:type="spellEnd"/>
      <w:r w:rsidR="00A36569">
        <w:t xml:space="preserve"> make</w:t>
      </w:r>
      <w:r w:rsidR="00C2333E">
        <w:t xml:space="preserve"> demands that violate such</w:t>
      </w:r>
      <w:r w:rsidR="00851361">
        <w:t xml:space="preserve"> constraint</w:t>
      </w:r>
      <w:r w:rsidR="00C2333E">
        <w:t>s</w:t>
      </w:r>
      <w:r w:rsidR="00851361">
        <w:t>.</w:t>
      </w:r>
      <w:r w:rsidR="003415D6">
        <w:t xml:space="preserve">  But once the heart of </w:t>
      </w:r>
      <w:proofErr w:type="spellStart"/>
      <w:r w:rsidR="003415D6">
        <w:t>c</w:t>
      </w:r>
      <w:r w:rsidR="00A36569">
        <w:t>onsequentialism</w:t>
      </w:r>
      <w:proofErr w:type="spellEnd"/>
      <w:r w:rsidR="00A36569">
        <w:t xml:space="preserve"> – not a particular theory of value</w:t>
      </w:r>
      <w:r w:rsidR="00851361">
        <w:t xml:space="preserve"> but</w:t>
      </w:r>
      <w:r w:rsidR="003415D6">
        <w:t xml:space="preserve"> a particular conception of </w:t>
      </w:r>
      <w:r w:rsidR="00851361">
        <w:t>practical reason</w:t>
      </w:r>
      <w:r w:rsidR="003415D6">
        <w:t xml:space="preserve"> -- is revealed, Portmor</w:t>
      </w:r>
      <w:r w:rsidR="00380FAB">
        <w:t>e argues that it beats true: a</w:t>
      </w:r>
      <w:r w:rsidR="003415D6">
        <w:t xml:space="preserve"> plausible moral</w:t>
      </w:r>
      <w:r w:rsidR="00E2407C">
        <w:t xml:space="preserve"> theory will</w:t>
      </w:r>
      <w:r w:rsidR="00C27382">
        <w:t xml:space="preserve"> incorporate this</w:t>
      </w:r>
      <w:r w:rsidR="0099242D">
        <w:t xml:space="preserve"> compelling idea underlying</w:t>
      </w:r>
      <w:r w:rsidR="00851361">
        <w:t xml:space="preserve"> </w:t>
      </w:r>
      <w:proofErr w:type="spellStart"/>
      <w:r w:rsidR="00851361">
        <w:t>consequenti</w:t>
      </w:r>
      <w:r w:rsidR="00380FAB">
        <w:t>alism</w:t>
      </w:r>
      <w:proofErr w:type="spellEnd"/>
      <w:r w:rsidR="00380FAB">
        <w:t>, hence a</w:t>
      </w:r>
      <w:r w:rsidR="00E2407C">
        <w:t xml:space="preserve"> plausible moral theory will</w:t>
      </w:r>
      <w:r w:rsidR="0005556E">
        <w:t xml:space="preserve"> be a form of act-</w:t>
      </w:r>
      <w:proofErr w:type="spellStart"/>
      <w:r w:rsidR="003415D6">
        <w:t>consequentialism</w:t>
      </w:r>
      <w:proofErr w:type="spellEnd"/>
      <w:r w:rsidR="003415D6">
        <w:t>, prop</w:t>
      </w:r>
      <w:r w:rsidR="00851361">
        <w:t>erly und</w:t>
      </w:r>
      <w:r w:rsidR="004E1EDF">
        <w:t>erstood.</w:t>
      </w:r>
      <w:r w:rsidR="003415D6">
        <w:t xml:space="preserve">  The se</w:t>
      </w:r>
      <w:r w:rsidR="00851361">
        <w:t>cond stage</w:t>
      </w:r>
      <w:r w:rsidR="003415D6">
        <w:t xml:space="preserve"> </w:t>
      </w:r>
      <w:r w:rsidR="00851361">
        <w:t>argues</w:t>
      </w:r>
      <w:r w:rsidR="00A36569">
        <w:t xml:space="preserve"> first</w:t>
      </w:r>
      <w:r w:rsidR="00851361">
        <w:t xml:space="preserve"> (</w:t>
      </w:r>
      <w:proofErr w:type="spellStart"/>
      <w:r w:rsidR="00851361">
        <w:t>chs</w:t>
      </w:r>
      <w:proofErr w:type="spellEnd"/>
      <w:r w:rsidR="00851361">
        <w:t xml:space="preserve"> 4 and 5) </w:t>
      </w:r>
      <w:r w:rsidR="001040FC">
        <w:t xml:space="preserve">that any </w:t>
      </w:r>
      <w:r w:rsidR="00A36569">
        <w:t xml:space="preserve">defensible </w:t>
      </w:r>
      <w:r w:rsidR="001040FC">
        <w:t xml:space="preserve">form of </w:t>
      </w:r>
      <w:proofErr w:type="spellStart"/>
      <w:r w:rsidR="001040FC">
        <w:t>consequentiali</w:t>
      </w:r>
      <w:r w:rsidR="00A36569">
        <w:t>sm</w:t>
      </w:r>
      <w:proofErr w:type="spellEnd"/>
      <w:r w:rsidR="00E2407C">
        <w:t xml:space="preserve"> will</w:t>
      </w:r>
      <w:r w:rsidR="0099242D">
        <w:t xml:space="preserve"> have a particular</w:t>
      </w:r>
      <w:r w:rsidR="001040FC">
        <w:t xml:space="preserve"> </w:t>
      </w:r>
      <w:r w:rsidR="00380FAB">
        <w:t>‘</w:t>
      </w:r>
      <w:r w:rsidR="0005556E">
        <w:t>dual-</w:t>
      </w:r>
      <w:r w:rsidR="001040FC">
        <w:t>ranking</w:t>
      </w:r>
      <w:r w:rsidR="00380FAB">
        <w:t>’</w:t>
      </w:r>
      <w:r w:rsidR="001040FC">
        <w:t xml:space="preserve"> structure</w:t>
      </w:r>
      <w:r w:rsidR="00A36569">
        <w:t>, and second for</w:t>
      </w:r>
      <w:r w:rsidR="001040FC">
        <w:t xml:space="preserve"> a particular form of </w:t>
      </w:r>
      <w:proofErr w:type="spellStart"/>
      <w:r w:rsidR="001040FC">
        <w:t>consequentialism</w:t>
      </w:r>
      <w:proofErr w:type="spellEnd"/>
      <w:r w:rsidR="001040FC">
        <w:t xml:space="preserve"> that has the requisite structure</w:t>
      </w:r>
      <w:r w:rsidR="00C2333E">
        <w:t xml:space="preserve"> (</w:t>
      </w:r>
      <w:proofErr w:type="spellStart"/>
      <w:r w:rsidR="00C2333E">
        <w:t>chs</w:t>
      </w:r>
      <w:proofErr w:type="spellEnd"/>
      <w:r w:rsidR="00C2333E">
        <w:t xml:space="preserve"> 6 and 7)</w:t>
      </w:r>
      <w:r w:rsidR="001040FC">
        <w:t>.</w:t>
      </w:r>
      <w:r w:rsidR="00391723">
        <w:t xml:space="preserve">  </w:t>
      </w:r>
      <w:r w:rsidR="00831815">
        <w:t>T</w:t>
      </w:r>
      <w:r w:rsidR="003415D6">
        <w:t>he overall strategy is ingenious, and the arguments are as rigorous as they are provocative.</w:t>
      </w:r>
      <w:r w:rsidR="007A4C37">
        <w:t xml:space="preserve"> </w:t>
      </w:r>
      <w:r w:rsidR="007A03CF">
        <w:t xml:space="preserve">  </w:t>
      </w:r>
      <w:r w:rsidR="00925B59">
        <w:t xml:space="preserve"> </w:t>
      </w:r>
    </w:p>
    <w:p w:rsidR="003415D6" w:rsidRDefault="007A03CF" w:rsidP="003415D6">
      <w:pPr>
        <w:spacing w:line="480" w:lineRule="auto"/>
      </w:pPr>
      <w:r>
        <w:t xml:space="preserve">    </w:t>
      </w:r>
      <w:r w:rsidR="00454C8D">
        <w:t>In what f</w:t>
      </w:r>
      <w:r w:rsidR="003531E2">
        <w:t>ollows I</w:t>
      </w:r>
      <w:r w:rsidR="0099242D">
        <w:t xml:space="preserve"> focus almost entirely upon the</w:t>
      </w:r>
      <w:r w:rsidR="003531E2">
        <w:t xml:space="preserve"> </w:t>
      </w:r>
      <w:r w:rsidR="00373D55">
        <w:t>first stage of</w:t>
      </w:r>
      <w:r w:rsidR="0099242D">
        <w:t xml:space="preserve"> </w:t>
      </w:r>
      <w:proofErr w:type="spellStart"/>
      <w:r w:rsidR="0099242D">
        <w:t>Portmore’s</w:t>
      </w:r>
      <w:proofErr w:type="spellEnd"/>
      <w:r w:rsidR="0099242D">
        <w:t xml:space="preserve"> argument.  I will first sketch hi</w:t>
      </w:r>
      <w:r w:rsidR="00454C8D">
        <w:t>s argument that any plausible mor</w:t>
      </w:r>
      <w:r w:rsidR="00373D55">
        <w:t>al theory must be a form of act-</w:t>
      </w:r>
      <w:proofErr w:type="spellStart"/>
      <w:r w:rsidR="00454C8D">
        <w:t>consequentialism</w:t>
      </w:r>
      <w:proofErr w:type="spellEnd"/>
      <w:r w:rsidR="00454C8D">
        <w:t xml:space="preserve">, highlighting the role </w:t>
      </w:r>
      <w:r w:rsidR="0099242D">
        <w:t>that the teleological conception of reasons (TCR) plays</w:t>
      </w:r>
      <w:r w:rsidR="00454C8D">
        <w:t xml:space="preserve"> in this argument.  I will then focus upon a pivotal</w:t>
      </w:r>
      <w:r w:rsidR="00D426D7">
        <w:t xml:space="preserve"> and extremely illuminating</w:t>
      </w:r>
      <w:r w:rsidR="00454C8D">
        <w:t xml:space="preserve"> tension within his argument for TCR.  Previ</w:t>
      </w:r>
      <w:r w:rsidR="007A4C37">
        <w:t xml:space="preserve">ous attempts to support </w:t>
      </w:r>
      <w:r w:rsidR="0099242D">
        <w:t xml:space="preserve">such </w:t>
      </w:r>
      <w:r w:rsidR="00D426D7">
        <w:t>a</w:t>
      </w:r>
      <w:r w:rsidR="00454C8D">
        <w:t xml:space="preserve"> state of affairs </w:t>
      </w:r>
      <w:r w:rsidR="00973584">
        <w:t xml:space="preserve">centered </w:t>
      </w:r>
      <w:r w:rsidR="00D426D7">
        <w:t>account of reasons</w:t>
      </w:r>
      <w:r w:rsidR="007A4C37">
        <w:t xml:space="preserve"> </w:t>
      </w:r>
      <w:r w:rsidR="00454C8D">
        <w:t xml:space="preserve">have </w:t>
      </w:r>
      <w:r>
        <w:t>attempted to ground it in a</w:t>
      </w:r>
      <w:r w:rsidR="00454C8D">
        <w:t xml:space="preserve"> </w:t>
      </w:r>
      <w:r>
        <w:t>state of affairs centered account</w:t>
      </w:r>
      <w:r w:rsidR="00454C8D">
        <w:t xml:space="preserve"> of value.  </w:t>
      </w:r>
      <w:r w:rsidR="00D426D7">
        <w:t xml:space="preserve">Portmore </w:t>
      </w:r>
      <w:r>
        <w:t xml:space="preserve">rightly </w:t>
      </w:r>
      <w:r w:rsidR="00D426D7">
        <w:t>eschews</w:t>
      </w:r>
      <w:r w:rsidR="00454C8D">
        <w:t xml:space="preserve"> such </w:t>
      </w:r>
      <w:r>
        <w:t>an</w:t>
      </w:r>
      <w:r w:rsidR="00454C8D">
        <w:t xml:space="preserve"> account of va</w:t>
      </w:r>
      <w:r w:rsidR="00973584">
        <w:t>lue</w:t>
      </w:r>
      <w:r w:rsidR="00D426D7">
        <w:t xml:space="preserve"> – pe</w:t>
      </w:r>
      <w:r w:rsidR="0099242D">
        <w:t>ople and things, not (or</w:t>
      </w:r>
      <w:r w:rsidR="00D426D7">
        <w:t xml:space="preserve"> no</w:t>
      </w:r>
      <w:r w:rsidR="0099242D">
        <w:t>t just) states of affairs, have</w:t>
      </w:r>
      <w:r w:rsidR="00D426D7">
        <w:t xml:space="preserve"> intrinsic value</w:t>
      </w:r>
      <w:r w:rsidR="00973584">
        <w:t xml:space="preserve">.  But </w:t>
      </w:r>
      <w:r w:rsidR="007A4C37">
        <w:t xml:space="preserve">why </w:t>
      </w:r>
      <w:r>
        <w:t>continue to</w:t>
      </w:r>
      <w:r w:rsidR="00973584">
        <w:t xml:space="preserve"> def</w:t>
      </w:r>
      <w:r w:rsidR="0099242D">
        <w:t>end the state of affairs centered</w:t>
      </w:r>
      <w:r w:rsidR="00973584">
        <w:t xml:space="preserve"> account of rea</w:t>
      </w:r>
      <w:r w:rsidR="007A4C37">
        <w:t>sons, TCR, after rejecting</w:t>
      </w:r>
      <w:r w:rsidR="00973584">
        <w:t xml:space="preserve"> the state of affairs centered accounts of value upon which it is typically grounded?  I will show</w:t>
      </w:r>
      <w:r>
        <w:t xml:space="preserve"> that</w:t>
      </w:r>
      <w:r w:rsidR="0099242D">
        <w:t xml:space="preserve"> his case for TCR draws upon </w:t>
      </w:r>
      <w:r w:rsidR="00454C8D">
        <w:t>s</w:t>
      </w:r>
      <w:r w:rsidR="00D36B6B">
        <w:t xml:space="preserve">tate of affairs centered </w:t>
      </w:r>
      <w:r w:rsidR="0099242D">
        <w:t>accounts</w:t>
      </w:r>
      <w:r w:rsidR="00454C8D">
        <w:t xml:space="preserve"> of action an</w:t>
      </w:r>
      <w:r w:rsidR="0099242D">
        <w:t>d desire</w:t>
      </w:r>
      <w:r w:rsidR="00405094">
        <w:t xml:space="preserve">, accounts upon which desires are understood as fundamentally attitudes </w:t>
      </w:r>
      <w:r w:rsidR="00405094">
        <w:lastRenderedPageBreak/>
        <w:t xml:space="preserve">towards states of affairs and actions are understood fundamentally as </w:t>
      </w:r>
      <w:proofErr w:type="spellStart"/>
      <w:r w:rsidR="00405094">
        <w:t>promotings</w:t>
      </w:r>
      <w:proofErr w:type="spellEnd"/>
      <w:r w:rsidR="00405094">
        <w:t xml:space="preserve"> or </w:t>
      </w:r>
      <w:proofErr w:type="spellStart"/>
      <w:r w:rsidR="00405094">
        <w:t>bringing</w:t>
      </w:r>
      <w:r w:rsidR="001B54FF">
        <w:t>s</w:t>
      </w:r>
      <w:proofErr w:type="spellEnd"/>
      <w:r w:rsidR="00405094">
        <w:t xml:space="preserve"> about of states of affairs.</w:t>
      </w:r>
      <w:r w:rsidR="00454C8D">
        <w:t xml:space="preserve">  Yet </w:t>
      </w:r>
      <w:r w:rsidR="00C13236">
        <w:t>once the state of affairs centered account of value is rejec</w:t>
      </w:r>
      <w:r w:rsidR="0099242D">
        <w:t>ted, it becomes unclear why these</w:t>
      </w:r>
      <w:r w:rsidR="00C13236">
        <w:t xml:space="preserve"> state of affairs centered account</w:t>
      </w:r>
      <w:r w:rsidR="00405094">
        <w:t>s</w:t>
      </w:r>
      <w:r w:rsidR="00C13236">
        <w:t xml:space="preserve"> of desire and action should be accepted, hence it becomes less clea</w:t>
      </w:r>
      <w:r w:rsidR="00405094">
        <w:t>r what support, if any, they can be called upon to provide</w:t>
      </w:r>
      <w:r w:rsidR="00C13236">
        <w:t xml:space="preserve"> for TCR.  I will demonstrate that such difficulties plague </w:t>
      </w:r>
      <w:proofErr w:type="spellStart"/>
      <w:r w:rsidR="00C13236">
        <w:t>Portmore’s</w:t>
      </w:r>
      <w:proofErr w:type="spellEnd"/>
      <w:r w:rsidR="00C13236">
        <w:t xml:space="preserve"> explicit arguments in support of TCR as well: once the </w:t>
      </w:r>
      <w:r>
        <w:t xml:space="preserve">full implications of his rejection of a </w:t>
      </w:r>
      <w:r w:rsidR="00C13236">
        <w:t>state of affairs cente</w:t>
      </w:r>
      <w:r>
        <w:t>red account of value are made clear</w:t>
      </w:r>
      <w:r w:rsidR="00C13236">
        <w:t xml:space="preserve">, </w:t>
      </w:r>
      <w:r w:rsidR="00405094">
        <w:t>his</w:t>
      </w:r>
      <w:r w:rsidR="00C13236">
        <w:t xml:space="preserve"> arguments for adopting a state of affairs c</w:t>
      </w:r>
      <w:r>
        <w:t>en</w:t>
      </w:r>
      <w:r w:rsidR="001B54FF">
        <w:t>tered account of reasons</w:t>
      </w:r>
      <w:r>
        <w:t xml:space="preserve">, hence for adopting </w:t>
      </w:r>
      <w:proofErr w:type="spellStart"/>
      <w:r>
        <w:t>consequentialism</w:t>
      </w:r>
      <w:proofErr w:type="spellEnd"/>
      <w:r>
        <w:t xml:space="preserve"> itself,</w:t>
      </w:r>
      <w:r w:rsidR="007A4C37">
        <w:t xml:space="preserve"> lose their apparent force. </w:t>
      </w:r>
      <w:r w:rsidR="00D426D7">
        <w:t xml:space="preserve"> </w:t>
      </w:r>
    </w:p>
    <w:p w:rsidR="00F731E7" w:rsidRDefault="00391723" w:rsidP="003415D6">
      <w:pPr>
        <w:spacing w:line="480" w:lineRule="auto"/>
      </w:pPr>
      <w:r>
        <w:t xml:space="preserve">    </w:t>
      </w:r>
      <w:r w:rsidR="00D426D7">
        <w:t xml:space="preserve">Portmore argues </w:t>
      </w:r>
      <w:r w:rsidR="0099242D">
        <w:t xml:space="preserve">in the opening chapters </w:t>
      </w:r>
      <w:r w:rsidR="00D426D7">
        <w:t>that</w:t>
      </w:r>
      <w:r w:rsidR="0099242D">
        <w:t xml:space="preserve"> a plausible</w:t>
      </w:r>
      <w:r w:rsidR="00D426D7">
        <w:t xml:space="preserve"> </w:t>
      </w:r>
      <w:proofErr w:type="spellStart"/>
      <w:r w:rsidR="00D426D7">
        <w:t>consequentialism</w:t>
      </w:r>
      <w:proofErr w:type="spellEnd"/>
      <w:r w:rsidR="00D426D7">
        <w:t xml:space="preserve"> must </w:t>
      </w:r>
      <w:r w:rsidR="00A02C85">
        <w:t>accomm</w:t>
      </w:r>
      <w:r w:rsidR="00922E5A">
        <w:t>odate central aspects of common</w:t>
      </w:r>
      <w:r w:rsidR="00A02C85">
        <w:t>sen</w:t>
      </w:r>
      <w:r w:rsidR="0099242D">
        <w:t>se morality</w:t>
      </w:r>
      <w:r w:rsidR="00A02C85">
        <w:t>, and that it must be liberated</w:t>
      </w:r>
      <w:r w:rsidR="00171425">
        <w:t xml:space="preserve"> from restriction to an</w:t>
      </w:r>
      <w:r w:rsidR="003415D6">
        <w:t xml:space="preserve"> evaluator-neutr</w:t>
      </w:r>
      <w:r w:rsidR="00171425">
        <w:t>al</w:t>
      </w:r>
      <w:r w:rsidR="003415D6">
        <w:t xml:space="preserve"> eval</w:t>
      </w:r>
      <w:r w:rsidR="003E69D1">
        <w:t>u</w:t>
      </w:r>
      <w:r w:rsidR="00A02C85">
        <w:t xml:space="preserve">ation of </w:t>
      </w:r>
      <w:r w:rsidR="007A03CF">
        <w:t>outcomes in order to do so.  In chapter 4 he</w:t>
      </w:r>
      <w:r w:rsidR="003415D6">
        <w:t xml:space="preserve"> provides a strategy for </w:t>
      </w:r>
      <w:proofErr w:type="spellStart"/>
      <w:r w:rsidR="003415D6">
        <w:t>consequentializing</w:t>
      </w:r>
      <w:proofErr w:type="spellEnd"/>
      <w:r w:rsidR="003415D6">
        <w:t xml:space="preserve"> such </w:t>
      </w:r>
      <w:r w:rsidR="008A098B">
        <w:t>apparently non-</w:t>
      </w:r>
      <w:proofErr w:type="spellStart"/>
      <w:r w:rsidR="008A098B">
        <w:t>consequentialist</w:t>
      </w:r>
      <w:proofErr w:type="spellEnd"/>
      <w:r w:rsidR="008A098B">
        <w:t xml:space="preserve"> </w:t>
      </w:r>
      <w:r w:rsidR="003415D6">
        <w:t>compo</w:t>
      </w:r>
      <w:r w:rsidR="008A098B">
        <w:t>nents of common sense</w:t>
      </w:r>
      <w:r w:rsidR="007629EE">
        <w:t xml:space="preserve">, </w:t>
      </w:r>
      <w:r w:rsidR="009D537A">
        <w:t xml:space="preserve">i.e. </w:t>
      </w:r>
      <w:r w:rsidR="007629EE">
        <w:t>for</w:t>
      </w:r>
      <w:r w:rsidR="003415D6">
        <w:t xml:space="preserve"> incorporating them into </w:t>
      </w:r>
      <w:proofErr w:type="spellStart"/>
      <w:r w:rsidR="003415D6">
        <w:t>consequentialist</w:t>
      </w:r>
      <w:proofErr w:type="spellEnd"/>
      <w:r w:rsidR="003415D6">
        <w:t xml:space="preserve"> moral theories.</w:t>
      </w:r>
      <w:r w:rsidR="007629EE">
        <w:t xml:space="preserve">  The strategy</w:t>
      </w:r>
      <w:r w:rsidR="008A098B">
        <w:t xml:space="preserve"> </w:t>
      </w:r>
      <w:r w:rsidR="007629EE">
        <w:t>is to “take whatever considerations that, on the non</w:t>
      </w:r>
      <w:r w:rsidR="00373D55">
        <w:t>-</w:t>
      </w:r>
      <w:proofErr w:type="spellStart"/>
      <w:r w:rsidR="007629EE">
        <w:t>consequentialist</w:t>
      </w:r>
      <w:proofErr w:type="spellEnd"/>
      <w:r w:rsidR="007629EE">
        <w:t xml:space="preserve"> theory, determine the </w:t>
      </w:r>
      <w:proofErr w:type="spellStart"/>
      <w:r w:rsidR="007629EE">
        <w:t>deontic</w:t>
      </w:r>
      <w:proofErr w:type="spellEnd"/>
      <w:r w:rsidR="007629EE">
        <w:t xml:space="preserve"> statuses of actions and insist that those outcomes determine how their outcomes rank.” [85</w:t>
      </w:r>
      <w:proofErr w:type="gramStart"/>
      <w:r w:rsidR="007629EE">
        <w:t>]  Thus</w:t>
      </w:r>
      <w:proofErr w:type="gramEnd"/>
      <w:r w:rsidR="007629EE">
        <w:t xml:space="preserve"> if the non</w:t>
      </w:r>
      <w:r w:rsidR="00A02C85">
        <w:t>-</w:t>
      </w:r>
      <w:proofErr w:type="spellStart"/>
      <w:r w:rsidR="007629EE">
        <w:t>consequentialist</w:t>
      </w:r>
      <w:proofErr w:type="spellEnd"/>
      <w:r w:rsidR="007629EE">
        <w:t xml:space="preserve"> theory contains an ag</w:t>
      </w:r>
      <w:r w:rsidR="00922E5A">
        <w:t>ent-centered constraint</w:t>
      </w:r>
      <w:r w:rsidR="00A02C85">
        <w:t xml:space="preserve"> upon</w:t>
      </w:r>
      <w:r w:rsidR="007629EE">
        <w:t xml:space="preserve"> murdering, th</w:t>
      </w:r>
      <w:r w:rsidR="00922E5A">
        <w:t xml:space="preserve">e </w:t>
      </w:r>
      <w:proofErr w:type="spellStart"/>
      <w:r w:rsidR="00922E5A">
        <w:t>consequentialized</w:t>
      </w:r>
      <w:proofErr w:type="spellEnd"/>
      <w:r w:rsidR="00922E5A">
        <w:t xml:space="preserve"> version will</w:t>
      </w:r>
      <w:r w:rsidR="007629EE">
        <w:t xml:space="preserve"> take the higher ranked outcome to be </w:t>
      </w:r>
      <w:r w:rsidR="00922E5A">
        <w:t>the one upon which</w:t>
      </w:r>
      <w:r w:rsidR="007629EE">
        <w:t xml:space="preserve"> I minimize the murder</w:t>
      </w:r>
      <w:r w:rsidR="009D537A">
        <w:t>s that I commit, not that</w:t>
      </w:r>
      <w:r w:rsidR="007629EE">
        <w:t xml:space="preserve"> upon which I minimize the murders that are com</w:t>
      </w:r>
      <w:r w:rsidR="00F731E7">
        <w:t xml:space="preserve">mitted.  </w:t>
      </w:r>
    </w:p>
    <w:p w:rsidR="003415D6" w:rsidRDefault="00391723" w:rsidP="003415D6">
      <w:pPr>
        <w:spacing w:line="480" w:lineRule="auto"/>
      </w:pPr>
      <w:r>
        <w:t xml:space="preserve">    </w:t>
      </w:r>
      <w:r w:rsidR="003A6385">
        <w:t xml:space="preserve">But even if a </w:t>
      </w:r>
      <w:proofErr w:type="spellStart"/>
      <w:r w:rsidR="003A6385">
        <w:t>consequentialized</w:t>
      </w:r>
      <w:proofErr w:type="spellEnd"/>
      <w:r w:rsidR="003A6385">
        <w:t xml:space="preserve"> theory can be produced that yields the s</w:t>
      </w:r>
      <w:r w:rsidR="0005556E">
        <w:t xml:space="preserve">ame </w:t>
      </w:r>
      <w:proofErr w:type="spellStart"/>
      <w:r w:rsidR="0005556E">
        <w:t>deontic</w:t>
      </w:r>
      <w:proofErr w:type="spellEnd"/>
      <w:r w:rsidR="0005556E">
        <w:t xml:space="preserve"> verdicts as its non</w:t>
      </w:r>
      <w:r w:rsidR="00373D55">
        <w:t>-</w:t>
      </w:r>
      <w:proofErr w:type="spellStart"/>
      <w:r w:rsidR="003A6385">
        <w:t>consequentalist</w:t>
      </w:r>
      <w:proofErr w:type="spellEnd"/>
      <w:r w:rsidR="003A6385">
        <w:t xml:space="preserve"> counterpart, the former may provide a plausible explanation of such ve</w:t>
      </w:r>
      <w:r w:rsidR="001B54FF">
        <w:t>rdicts while the latter might render them utterly mysterious</w:t>
      </w:r>
      <w:r w:rsidR="003A6385">
        <w:t xml:space="preserve">.  </w:t>
      </w:r>
      <w:r w:rsidR="00171425">
        <w:t>Why, then, insist upon shoehorning non</w:t>
      </w:r>
      <w:r w:rsidR="00A02C85">
        <w:t>-</w:t>
      </w:r>
      <w:proofErr w:type="spellStart"/>
      <w:r w:rsidR="00171425">
        <w:lastRenderedPageBreak/>
        <w:t>consequentialist</w:t>
      </w:r>
      <w:proofErr w:type="spellEnd"/>
      <w:r w:rsidR="00171425">
        <w:t xml:space="preserve"> theories into such a </w:t>
      </w:r>
      <w:proofErr w:type="spellStart"/>
      <w:r w:rsidR="00171425">
        <w:t>consequentialized</w:t>
      </w:r>
      <w:proofErr w:type="spellEnd"/>
      <w:r w:rsidR="00171425">
        <w:t xml:space="preserve"> form?</w:t>
      </w:r>
      <w:r w:rsidR="004E523B">
        <w:rPr>
          <w:rStyle w:val="FootnoteReference"/>
        </w:rPr>
        <w:footnoteReference w:id="1"/>
      </w:r>
      <w:r w:rsidR="00171425">
        <w:t xml:space="preserve">  </w:t>
      </w:r>
      <w:proofErr w:type="spellStart"/>
      <w:r w:rsidR="009D537A">
        <w:t>Portmore’s</w:t>
      </w:r>
      <w:proofErr w:type="spellEnd"/>
      <w:r w:rsidR="009D537A">
        <w:t xml:space="preserve"> answer is to argue</w:t>
      </w:r>
      <w:r w:rsidR="003415D6">
        <w:t xml:space="preserve"> that</w:t>
      </w:r>
      <w:r w:rsidR="00E2407C">
        <w:t xml:space="preserve"> any plausible moral theory will</w:t>
      </w:r>
      <w:r w:rsidR="0005556E">
        <w:t xml:space="preserve"> be a form of act-</w:t>
      </w:r>
      <w:proofErr w:type="spellStart"/>
      <w:r w:rsidR="003415D6">
        <w:t>consequentialism</w:t>
      </w:r>
      <w:proofErr w:type="spellEnd"/>
      <w:r w:rsidR="007248FB">
        <w:t>, hence that any plausible expl</w:t>
      </w:r>
      <w:r w:rsidR="00E2407C">
        <w:t xml:space="preserve">anation of </w:t>
      </w:r>
      <w:proofErr w:type="spellStart"/>
      <w:r w:rsidR="00E2407C">
        <w:t>deontic</w:t>
      </w:r>
      <w:proofErr w:type="spellEnd"/>
      <w:r w:rsidR="00E2407C">
        <w:t xml:space="preserve"> verdicts will</w:t>
      </w:r>
      <w:r w:rsidR="007248FB">
        <w:t xml:space="preserve"> have a </w:t>
      </w:r>
      <w:proofErr w:type="spellStart"/>
      <w:r w:rsidR="007248FB">
        <w:t>consequentialist</w:t>
      </w:r>
      <w:proofErr w:type="spellEnd"/>
      <w:r w:rsidR="007248FB">
        <w:t xml:space="preserve"> form</w:t>
      </w:r>
      <w:r w:rsidR="003415D6">
        <w:t>.</w:t>
      </w:r>
      <w:r w:rsidR="007248FB">
        <w:t xml:space="preserve"> </w:t>
      </w:r>
      <w:r w:rsidR="00E2407C">
        <w:t xml:space="preserve"> </w:t>
      </w:r>
      <w:proofErr w:type="gramStart"/>
      <w:r w:rsidR="00A02C85">
        <w:t>But why?</w:t>
      </w:r>
      <w:proofErr w:type="gramEnd"/>
      <w:r w:rsidR="00A02C85">
        <w:t xml:space="preserve">  After all, evaluator-relative </w:t>
      </w:r>
      <w:proofErr w:type="spellStart"/>
      <w:r w:rsidR="00A02C85">
        <w:t>consequentialism</w:t>
      </w:r>
      <w:proofErr w:type="spellEnd"/>
      <w:r w:rsidR="00A02C85">
        <w:t xml:space="preserve"> itself </w:t>
      </w:r>
      <w:r w:rsidR="007A4C37">
        <w:t>has encountered serious objections.</w:t>
      </w:r>
    </w:p>
    <w:p w:rsidR="003415D6" w:rsidRDefault="00391723" w:rsidP="003415D6">
      <w:pPr>
        <w:spacing w:line="480" w:lineRule="auto"/>
      </w:pPr>
      <w:r>
        <w:t xml:space="preserve">    </w:t>
      </w:r>
      <w:proofErr w:type="spellStart"/>
      <w:r w:rsidR="003415D6">
        <w:t>Portmore’s</w:t>
      </w:r>
      <w:proofErr w:type="spellEnd"/>
      <w:r w:rsidR="003415D6">
        <w:t xml:space="preserve"> </w:t>
      </w:r>
      <w:r w:rsidR="0041144F">
        <w:t xml:space="preserve">ingenious </w:t>
      </w:r>
      <w:r w:rsidR="007A4C37">
        <w:t>response to these objections</w:t>
      </w:r>
      <w:r w:rsidR="00F731E7">
        <w:t xml:space="preserve"> </w:t>
      </w:r>
      <w:r w:rsidR="008A098B">
        <w:t>is to avoid the appeal</w:t>
      </w:r>
      <w:r w:rsidR="009D537A">
        <w:t xml:space="preserve"> to</w:t>
      </w:r>
      <w:r w:rsidR="0041144F">
        <w:t xml:space="preserve"> </w:t>
      </w:r>
      <w:r w:rsidR="008A098B">
        <w:t xml:space="preserve">evaluator relative </w:t>
      </w:r>
      <w:r w:rsidR="0041144F">
        <w:t xml:space="preserve">goodness </w:t>
      </w:r>
      <w:r w:rsidR="00922E5A">
        <w:t>at which they are typically targeted</w:t>
      </w:r>
      <w:r w:rsidR="0041144F">
        <w:t xml:space="preserve"> --</w:t>
      </w:r>
      <w:r w:rsidR="009D537A">
        <w:t xml:space="preserve"> to argue that it is </w:t>
      </w:r>
      <w:r w:rsidR="00953DC2">
        <w:t xml:space="preserve">teleology without goodness, an appeal to the evaluator-relative ranking of </w:t>
      </w:r>
      <w:r w:rsidR="009D537A">
        <w:t>outcomes without an appeal</w:t>
      </w:r>
      <w:r w:rsidR="00953DC2">
        <w:t xml:space="preserve"> to evaluator-relative </w:t>
      </w:r>
      <w:r w:rsidR="00102962">
        <w:t xml:space="preserve">ranking as better and </w:t>
      </w:r>
      <w:proofErr w:type="gramStart"/>
      <w:r w:rsidR="00102962">
        <w:t>worse</w:t>
      </w:r>
      <w:r w:rsidR="00953DC2">
        <w:t xml:space="preserve">, </w:t>
      </w:r>
      <w:r w:rsidR="009D537A">
        <w:t>that</w:t>
      </w:r>
      <w:proofErr w:type="gramEnd"/>
      <w:r w:rsidR="009D537A">
        <w:t xml:space="preserve"> lies at the heart of </w:t>
      </w:r>
      <w:proofErr w:type="spellStart"/>
      <w:r w:rsidR="009D537A">
        <w:t>consequentialism</w:t>
      </w:r>
      <w:proofErr w:type="spellEnd"/>
      <w:r w:rsidR="009D537A">
        <w:t xml:space="preserve">.  To this end he distinguishes </w:t>
      </w:r>
      <w:r w:rsidR="003415D6">
        <w:t>the relationship b</w:t>
      </w:r>
      <w:r w:rsidR="008A098B">
        <w:t>etween rightness and goodness</w:t>
      </w:r>
      <w:r w:rsidR="009D537A">
        <w:t xml:space="preserve"> from</w:t>
      </w:r>
      <w:r w:rsidR="003415D6">
        <w:t xml:space="preserve"> the relationship between reasons for actions and reasons for outcomes.  Virtually all previous </w:t>
      </w:r>
      <w:proofErr w:type="spellStart"/>
      <w:r w:rsidR="003415D6">
        <w:t>consequentialists</w:t>
      </w:r>
      <w:proofErr w:type="spellEnd"/>
      <w:r w:rsidR="003415D6">
        <w:t xml:space="preserve"> take these relationships to stand or fall together, and to both be at the heart of </w:t>
      </w:r>
      <w:proofErr w:type="spellStart"/>
      <w:r w:rsidR="003415D6">
        <w:t>consequentialism</w:t>
      </w:r>
      <w:proofErr w:type="spellEnd"/>
      <w:r w:rsidR="003415D6">
        <w:t xml:space="preserve">.  It is </w:t>
      </w:r>
      <w:proofErr w:type="spellStart"/>
      <w:r w:rsidR="003415D6">
        <w:t>Portmore’s</w:t>
      </w:r>
      <w:proofErr w:type="spellEnd"/>
      <w:r w:rsidR="003415D6">
        <w:t xml:space="preserve"> radical suggestion that it is the lat</w:t>
      </w:r>
      <w:r w:rsidR="008D60A8">
        <w:t>ter alone, a distinctive conception</w:t>
      </w:r>
      <w:r w:rsidR="003415D6">
        <w:t xml:space="preserve"> of the relationship between reasons for action and reasons for </w:t>
      </w:r>
      <w:proofErr w:type="gramStart"/>
      <w:r w:rsidR="003415D6">
        <w:t>outcomes, that</w:t>
      </w:r>
      <w:proofErr w:type="gramEnd"/>
      <w:r w:rsidR="003415D6">
        <w:t xml:space="preserve"> is the heart of </w:t>
      </w:r>
      <w:proofErr w:type="spellStart"/>
      <w:r w:rsidR="003415D6">
        <w:t>consequ</w:t>
      </w:r>
      <w:r w:rsidR="008D60A8">
        <w:t>ential</w:t>
      </w:r>
      <w:r w:rsidR="009D537A">
        <w:t>ism</w:t>
      </w:r>
      <w:proofErr w:type="spellEnd"/>
      <w:r w:rsidR="009D537A">
        <w:t>.</w:t>
      </w:r>
      <w:r w:rsidR="007C5546">
        <w:t xml:space="preserve">  Thus, his account of the relevant ranking of outcomes readily allows that “sometimes agents have more reason to desire that </w:t>
      </w:r>
      <w:proofErr w:type="spellStart"/>
      <w:r w:rsidR="007C5546">
        <w:t>Oi</w:t>
      </w:r>
      <w:proofErr w:type="spellEnd"/>
      <w:r w:rsidR="007C5546">
        <w:t xml:space="preserve"> obtains…even th</w:t>
      </w:r>
      <w:r w:rsidR="00922E5A">
        <w:t xml:space="preserve">ough </w:t>
      </w:r>
      <w:proofErr w:type="spellStart"/>
      <w:r w:rsidR="00922E5A">
        <w:t>Oi</w:t>
      </w:r>
      <w:proofErr w:type="spellEnd"/>
      <w:r w:rsidR="00922E5A">
        <w:t xml:space="preserve"> is not better than </w:t>
      </w:r>
      <w:proofErr w:type="spellStart"/>
      <w:proofErr w:type="gramStart"/>
      <w:r w:rsidR="00922E5A">
        <w:t>Oj</w:t>
      </w:r>
      <w:proofErr w:type="spellEnd"/>
      <w:proofErr w:type="gramEnd"/>
      <w:r w:rsidR="00922E5A">
        <w:t xml:space="preserve">.” </w:t>
      </w:r>
      <w:r w:rsidR="007C5546">
        <w:t>[81]</w:t>
      </w:r>
      <w:r w:rsidR="00A02C85">
        <w:t xml:space="preserve">  </w:t>
      </w:r>
    </w:p>
    <w:p w:rsidR="008D4679" w:rsidRDefault="00391723" w:rsidP="00CC3D9D">
      <w:pPr>
        <w:spacing w:line="480" w:lineRule="auto"/>
      </w:pPr>
      <w:r>
        <w:t xml:space="preserve">    </w:t>
      </w:r>
      <w:r w:rsidR="003415D6">
        <w:t xml:space="preserve">Why </w:t>
      </w:r>
      <w:proofErr w:type="spellStart"/>
      <w:r w:rsidR="003415D6">
        <w:t>consequentialize</w:t>
      </w:r>
      <w:proofErr w:type="spellEnd"/>
      <w:r w:rsidR="003415D6">
        <w:t>?  Beca</w:t>
      </w:r>
      <w:r w:rsidR="007C5546">
        <w:t>use t</w:t>
      </w:r>
      <w:r w:rsidR="003415D6">
        <w:t xml:space="preserve">he heart of </w:t>
      </w:r>
      <w:proofErr w:type="spellStart"/>
      <w:r w:rsidR="003415D6">
        <w:t>consequentialism</w:t>
      </w:r>
      <w:proofErr w:type="spellEnd"/>
      <w:r w:rsidR="003415D6">
        <w:t xml:space="preserve"> is the teleological conception of reasons</w:t>
      </w:r>
      <w:r w:rsidR="007C5546">
        <w:t xml:space="preserve"> (TC</w:t>
      </w:r>
      <w:r w:rsidR="00922E5A">
        <w:t>R),</w:t>
      </w:r>
      <w:r w:rsidR="007C5546">
        <w:t xml:space="preserve"> upon which</w:t>
      </w:r>
      <w:r w:rsidR="003415D6">
        <w:t xml:space="preserve"> reasons for intending to act </w:t>
      </w:r>
      <w:r w:rsidR="007C5546">
        <w:t xml:space="preserve">are determined </w:t>
      </w:r>
      <w:r w:rsidR="00922E5A">
        <w:t xml:space="preserve">entirely </w:t>
      </w:r>
      <w:r w:rsidR="003415D6">
        <w:t xml:space="preserve">through appeal to reasons for desiring </w:t>
      </w:r>
      <w:r w:rsidR="00A02C85">
        <w:t>that outcomes</w:t>
      </w:r>
      <w:r w:rsidR="003415D6">
        <w:t xml:space="preserve"> obtain.  W</w:t>
      </w:r>
      <w:r w:rsidR="00AD6802">
        <w:t>ith moral rationalism</w:t>
      </w:r>
      <w:r w:rsidR="003415D6">
        <w:t xml:space="preserve">, </w:t>
      </w:r>
      <w:r w:rsidR="00A02C85">
        <w:t xml:space="preserve">acceptance of </w:t>
      </w:r>
      <w:r w:rsidR="003415D6">
        <w:t xml:space="preserve">TCR mandates that a plausible moral </w:t>
      </w:r>
      <w:r w:rsidR="00922E5A">
        <w:t>theory must be a</w:t>
      </w:r>
      <w:r w:rsidR="00102962">
        <w:t xml:space="preserve"> form of act-</w:t>
      </w:r>
      <w:proofErr w:type="spellStart"/>
      <w:r w:rsidR="003415D6">
        <w:t>consequentialism</w:t>
      </w:r>
      <w:proofErr w:type="spellEnd"/>
      <w:r w:rsidR="00AD6802">
        <w:t xml:space="preserve"> that incorporates central components of commonsense moralit</w:t>
      </w:r>
      <w:r w:rsidR="00922E5A">
        <w:t xml:space="preserve">y, and </w:t>
      </w:r>
      <w:proofErr w:type="spellStart"/>
      <w:r w:rsidR="00922E5A">
        <w:t>consequentializing</w:t>
      </w:r>
      <w:proofErr w:type="spellEnd"/>
      <w:r w:rsidR="00AD6802">
        <w:t xml:space="preserve"> is the strategy for incorporating such commonsense components.</w:t>
      </w:r>
      <w:r w:rsidR="00A02C85">
        <w:t xml:space="preserve">  The case both for </w:t>
      </w:r>
      <w:proofErr w:type="spellStart"/>
      <w:r w:rsidR="00A02C85">
        <w:t>consequentializing</w:t>
      </w:r>
      <w:proofErr w:type="spellEnd"/>
      <w:r w:rsidR="00A02C85">
        <w:t xml:space="preserve"> and f</w:t>
      </w:r>
      <w:r w:rsidR="008A098B">
        <w:t xml:space="preserve">or </w:t>
      </w:r>
      <w:proofErr w:type="spellStart"/>
      <w:r w:rsidR="008A098B">
        <w:t>consequentialism</w:t>
      </w:r>
      <w:proofErr w:type="spellEnd"/>
      <w:r w:rsidR="008A098B">
        <w:t>, then, pivots</w:t>
      </w:r>
      <w:r w:rsidR="00A02C85">
        <w:t xml:space="preserve"> on the case </w:t>
      </w:r>
      <w:r w:rsidR="00A02C85">
        <w:lastRenderedPageBreak/>
        <w:t>for TCR.</w:t>
      </w:r>
      <w:r>
        <w:t xml:space="preserve"> </w:t>
      </w:r>
      <w:r w:rsidR="00922E5A">
        <w:t xml:space="preserve"> T</w:t>
      </w:r>
      <w:r w:rsidR="00CC3D9D">
        <w:t xml:space="preserve">hose who are persuaded by </w:t>
      </w:r>
      <w:proofErr w:type="spellStart"/>
      <w:r w:rsidR="00CC3D9D">
        <w:t>Portmore’s</w:t>
      </w:r>
      <w:proofErr w:type="spellEnd"/>
      <w:r w:rsidR="00CC3D9D">
        <w:t xml:space="preserve"> </w:t>
      </w:r>
      <w:r w:rsidR="00922E5A">
        <w:t>first stage arguments</w:t>
      </w:r>
      <w:r w:rsidR="000778B5">
        <w:t>, however,</w:t>
      </w:r>
      <w:r w:rsidR="00922E5A">
        <w:t xml:space="preserve"> are</w:t>
      </w:r>
      <w:r w:rsidR="003415D6">
        <w:t xml:space="preserve"> left with reasons </w:t>
      </w:r>
      <w:r w:rsidR="00880594">
        <w:t xml:space="preserve">both </w:t>
      </w:r>
      <w:r w:rsidR="003415D6">
        <w:t xml:space="preserve">to </w:t>
      </w:r>
      <w:r w:rsidR="00C24E7A">
        <w:t>accept act-</w:t>
      </w:r>
      <w:proofErr w:type="spellStart"/>
      <w:r w:rsidR="00056C2A">
        <w:t>consequentialism</w:t>
      </w:r>
      <w:proofErr w:type="spellEnd"/>
      <w:r w:rsidR="00880594">
        <w:t xml:space="preserve"> and</w:t>
      </w:r>
      <w:r w:rsidR="00C24E7A">
        <w:t xml:space="preserve"> to reject all forms of act-</w:t>
      </w:r>
      <w:proofErr w:type="spellStart"/>
      <w:r w:rsidR="003415D6">
        <w:t>consequentialism</w:t>
      </w:r>
      <w:proofErr w:type="spellEnd"/>
      <w:r w:rsidR="003415D6">
        <w:t xml:space="preserve"> that have</w:t>
      </w:r>
      <w:r w:rsidR="00B3389A">
        <w:t xml:space="preserve"> been put forward to date</w:t>
      </w:r>
      <w:r w:rsidR="00C24E7A">
        <w:t>.  What form of act-</w:t>
      </w:r>
      <w:proofErr w:type="spellStart"/>
      <w:r w:rsidR="008A098B">
        <w:t>consequentialism</w:t>
      </w:r>
      <w:proofErr w:type="spellEnd"/>
      <w:r w:rsidR="008A098B">
        <w:t xml:space="preserve"> can</w:t>
      </w:r>
      <w:r w:rsidR="003415D6">
        <w:t xml:space="preserve"> they accept?  Outlining an answer to this question takes up the remaining chapters of the bo</w:t>
      </w:r>
      <w:r w:rsidR="00F67720">
        <w:t xml:space="preserve">ok. </w:t>
      </w:r>
    </w:p>
    <w:p w:rsidR="00606A17" w:rsidRDefault="00433242" w:rsidP="00CC3D9D">
      <w:pPr>
        <w:spacing w:line="480" w:lineRule="auto"/>
      </w:pPr>
      <w:r>
        <w:t xml:space="preserve">    </w:t>
      </w:r>
      <w:r w:rsidR="001E04EF">
        <w:t>But does</w:t>
      </w:r>
      <w:r w:rsidR="00594067">
        <w:t xml:space="preserve"> Portmore successfu</w:t>
      </w:r>
      <w:r w:rsidR="001E04EF">
        <w:t>lly make</w:t>
      </w:r>
      <w:r w:rsidR="00F67720">
        <w:t xml:space="preserve"> the case for TCR? </w:t>
      </w:r>
      <w:r w:rsidR="00A42052">
        <w:t xml:space="preserve"> TCR, </w:t>
      </w:r>
      <w:r w:rsidR="001E04EF">
        <w:t xml:space="preserve">recall, is </w:t>
      </w:r>
      <w:r w:rsidR="00405094">
        <w:t xml:space="preserve">a state of affairs centered account of practical reasons </w:t>
      </w:r>
      <w:r w:rsidR="001B54FF">
        <w:t xml:space="preserve">upon which person </w:t>
      </w:r>
      <w:r w:rsidR="00A42052">
        <w:t xml:space="preserve">S has more reasons to perform </w:t>
      </w:r>
      <w:r w:rsidR="001B54FF">
        <w:t xml:space="preserve">action </w:t>
      </w:r>
      <w:r w:rsidR="00A42052">
        <w:t xml:space="preserve">Ai than to perform </w:t>
      </w:r>
      <w:r w:rsidR="001B54FF">
        <w:t xml:space="preserve">action </w:t>
      </w:r>
      <w:proofErr w:type="spellStart"/>
      <w:r w:rsidR="00A42052">
        <w:t>Aj</w:t>
      </w:r>
      <w:proofErr w:type="spellEnd"/>
      <w:r w:rsidR="00A42052">
        <w:t xml:space="preserve"> if and only if, and because, S has more reason to desire that </w:t>
      </w:r>
      <w:r w:rsidR="001B54FF">
        <w:t xml:space="preserve">the </w:t>
      </w:r>
      <w:r w:rsidR="00122DD7">
        <w:t>outcome of Ai obtains.</w:t>
      </w:r>
      <w:r w:rsidR="00A42052">
        <w:t xml:space="preserve"> [58</w:t>
      </w:r>
      <w:proofErr w:type="gramStart"/>
      <w:r w:rsidR="00A42052">
        <w:t>]</w:t>
      </w:r>
      <w:r w:rsidR="001E04EF">
        <w:t xml:space="preserve">  </w:t>
      </w:r>
      <w:r w:rsidR="008D4679">
        <w:t>If</w:t>
      </w:r>
      <w:proofErr w:type="gramEnd"/>
      <w:r w:rsidR="008D4679">
        <w:t xml:space="preserve"> TCR is the hear</w:t>
      </w:r>
      <w:r w:rsidR="001E04EF">
        <w:t xml:space="preserve">t of </w:t>
      </w:r>
      <w:proofErr w:type="spellStart"/>
      <w:r w:rsidR="001E04EF">
        <w:t>consequentialism</w:t>
      </w:r>
      <w:proofErr w:type="spellEnd"/>
      <w:r w:rsidR="001E04EF">
        <w:t>, then non</w:t>
      </w:r>
      <w:r w:rsidR="008D4679">
        <w:t>-</w:t>
      </w:r>
      <w:proofErr w:type="spellStart"/>
      <w:r w:rsidR="008D4679">
        <w:t>consequentialis</w:t>
      </w:r>
      <w:r w:rsidR="00922E5A">
        <w:t>ts</w:t>
      </w:r>
      <w:proofErr w:type="spellEnd"/>
      <w:r w:rsidR="00922E5A">
        <w:t xml:space="preserve"> such as myself now</w:t>
      </w:r>
      <w:r w:rsidR="008D4679">
        <w:t xml:space="preserve"> know how to get this normative ethical </w:t>
      </w:r>
      <w:r w:rsidR="008A098B">
        <w:t xml:space="preserve">vampire off our backs; </w:t>
      </w:r>
      <w:r w:rsidR="008D4679">
        <w:t xml:space="preserve">undermine TCR, and we have ripped out the heart of </w:t>
      </w:r>
      <w:proofErr w:type="spellStart"/>
      <w:r w:rsidR="008D4679">
        <w:t>consequen</w:t>
      </w:r>
      <w:r w:rsidR="00134CCF">
        <w:t>tialism</w:t>
      </w:r>
      <w:proofErr w:type="spellEnd"/>
      <w:r w:rsidR="00134CCF">
        <w:t>.</w:t>
      </w:r>
      <w:r w:rsidR="00922E5A">
        <w:t xml:space="preserve">  </w:t>
      </w:r>
      <w:r w:rsidR="00134CCF">
        <w:t>Why, then, accept TCR?</w:t>
      </w:r>
      <w:r w:rsidR="008D4679">
        <w:t xml:space="preserve">  </w:t>
      </w:r>
      <w:r w:rsidR="00922E5A">
        <w:t>Standard defenses of</w:t>
      </w:r>
      <w:r w:rsidR="001E04EF">
        <w:t xml:space="preserve"> such a state of affairs cen</w:t>
      </w:r>
      <w:r w:rsidR="00922E5A">
        <w:t>tered account of reasons</w:t>
      </w:r>
      <w:r w:rsidR="001E04EF">
        <w:t xml:space="preserve"> appeal to a state of aff</w:t>
      </w:r>
      <w:r w:rsidR="00122DD7">
        <w:t>airs centered account of value</w:t>
      </w:r>
      <w:r w:rsidR="001E04EF">
        <w:t xml:space="preserve"> upon whi</w:t>
      </w:r>
      <w:r w:rsidR="00441FE1">
        <w:t>ch</w:t>
      </w:r>
      <w:r w:rsidR="008E719F">
        <w:t xml:space="preserve"> </w:t>
      </w:r>
      <w:r w:rsidR="00606A17">
        <w:t xml:space="preserve">“the sole primary bearers of intrinsic value are certain </w:t>
      </w:r>
      <w:proofErr w:type="spellStart"/>
      <w:r w:rsidR="00606A17">
        <w:t>abstracta</w:t>
      </w:r>
      <w:proofErr w:type="spellEnd"/>
      <w:r w:rsidR="00606A17">
        <w:t xml:space="preserve"> – facts, outcomes, states</w:t>
      </w:r>
      <w:r w:rsidR="008E719F">
        <w:t xml:space="preserve"> of affairs,” </w:t>
      </w:r>
      <w:r w:rsidR="00606A17">
        <w:t>[66]</w:t>
      </w:r>
      <w:r w:rsidR="008E719F">
        <w:t xml:space="preserve"> and </w:t>
      </w:r>
      <w:r w:rsidR="00606A17">
        <w:t>“the only proper response to value is to desire and promote it.” [66</w:t>
      </w:r>
      <w:proofErr w:type="gramStart"/>
      <w:r w:rsidR="00606A17">
        <w:t>]</w:t>
      </w:r>
      <w:r w:rsidR="008E719F">
        <w:t xml:space="preserve">  </w:t>
      </w:r>
      <w:r w:rsidR="00606A17">
        <w:t>B</w:t>
      </w:r>
      <w:r w:rsidR="008E719F">
        <w:t>ut</w:t>
      </w:r>
      <w:proofErr w:type="gramEnd"/>
      <w:r w:rsidR="008E719F">
        <w:t xml:space="preserve"> Portmore</w:t>
      </w:r>
      <w:r w:rsidR="00606A17">
        <w:t xml:space="preserve"> </w:t>
      </w:r>
      <w:r w:rsidR="00405094">
        <w:t>explicitly distances himself from such a</w:t>
      </w:r>
      <w:r w:rsidR="007A4C37">
        <w:t>n account</w:t>
      </w:r>
      <w:r w:rsidR="00122DD7">
        <w:t xml:space="preserve"> of value</w:t>
      </w:r>
      <w:r w:rsidR="00405094">
        <w:t>, allowing that</w:t>
      </w:r>
      <w:r w:rsidR="008E719F">
        <w:t xml:space="preserve"> </w:t>
      </w:r>
      <w:r w:rsidR="00606A17">
        <w:t>“the fundamental bearers of intrinsic value are concrete entities (e.g. persons, animals, and things)” [66]</w:t>
      </w:r>
      <w:r w:rsidR="008E719F">
        <w:t xml:space="preserve"> </w:t>
      </w:r>
      <w:r>
        <w:t>a</w:t>
      </w:r>
      <w:r w:rsidR="00606A17">
        <w:t>nd that</w:t>
      </w:r>
      <w:r w:rsidR="008E719F">
        <w:t xml:space="preserve"> </w:t>
      </w:r>
      <w:r w:rsidR="008A098B">
        <w:t>“as rational beings…</w:t>
      </w:r>
      <w:r w:rsidR="00606A17">
        <w:t>we appropriately respond to rational persons by respecting them.” [67]</w:t>
      </w:r>
    </w:p>
    <w:p w:rsidR="00EC6F4C" w:rsidRDefault="00787788" w:rsidP="002724F0">
      <w:pPr>
        <w:spacing w:line="480" w:lineRule="auto"/>
      </w:pPr>
      <w:r>
        <w:t xml:space="preserve">    </w:t>
      </w:r>
      <w:r w:rsidR="008A098B">
        <w:t>Yet</w:t>
      </w:r>
      <w:r w:rsidR="007A4C37">
        <w:t xml:space="preserve"> </w:t>
      </w:r>
      <w:r w:rsidR="0053655C">
        <w:t xml:space="preserve">if we </w:t>
      </w:r>
      <w:r w:rsidR="002833EF">
        <w:t xml:space="preserve">join Portmore in </w:t>
      </w:r>
      <w:r w:rsidR="0053655C">
        <w:t>reject</w:t>
      </w:r>
      <w:r w:rsidR="002833EF">
        <w:t>ing</w:t>
      </w:r>
      <w:r w:rsidR="0053655C">
        <w:t xml:space="preserve"> </w:t>
      </w:r>
      <w:r w:rsidR="008A098B">
        <w:t>a state of affairs centered account of value</w:t>
      </w:r>
      <w:r w:rsidR="002833EF">
        <w:t>,</w:t>
      </w:r>
      <w:r w:rsidR="008A098B">
        <w:t xml:space="preserve"> and with </w:t>
      </w:r>
      <w:r w:rsidR="00AC65AA">
        <w:t>it</w:t>
      </w:r>
      <w:r w:rsidR="0053655C">
        <w:t xml:space="preserve"> the tired old assumption that the only proper response to value is</w:t>
      </w:r>
      <w:r w:rsidR="001542DA">
        <w:t xml:space="preserve"> to promote it, and </w:t>
      </w:r>
      <w:r w:rsidR="00AC65AA">
        <w:t xml:space="preserve">we </w:t>
      </w:r>
      <w:r w:rsidR="00144541">
        <w:t xml:space="preserve">grant </w:t>
      </w:r>
      <w:r w:rsidR="002833EF">
        <w:t xml:space="preserve">with him </w:t>
      </w:r>
      <w:r w:rsidR="00441FE1">
        <w:t xml:space="preserve">both </w:t>
      </w:r>
      <w:r w:rsidR="00144541">
        <w:t>that persons and things</w:t>
      </w:r>
      <w:r w:rsidR="0053655C">
        <w:t xml:space="preserve"> are primary bearers of intrinsic value, and that we appropriately respond to such persons, fo</w:t>
      </w:r>
      <w:r w:rsidR="007A4C37">
        <w:t xml:space="preserve">r example, by respecting them, </w:t>
      </w:r>
      <w:r w:rsidR="0053655C">
        <w:t xml:space="preserve">then it can seem natural </w:t>
      </w:r>
      <w:r w:rsidR="002833EF">
        <w:t xml:space="preserve">on this basis </w:t>
      </w:r>
      <w:r w:rsidR="00441FE1">
        <w:t xml:space="preserve">to reject TCR, as Tim </w:t>
      </w:r>
      <w:r w:rsidR="0053655C">
        <w:t xml:space="preserve">Scanlon, </w:t>
      </w:r>
      <w:r w:rsidR="00441FE1">
        <w:t xml:space="preserve">Stephen </w:t>
      </w:r>
      <w:proofErr w:type="spellStart"/>
      <w:r w:rsidR="0053655C">
        <w:t>Darwall</w:t>
      </w:r>
      <w:proofErr w:type="spellEnd"/>
      <w:r w:rsidR="0053655C">
        <w:t>, and so many others do.</w:t>
      </w:r>
      <w:r w:rsidR="00AC61D9">
        <w:rPr>
          <w:rStyle w:val="FootnoteReference"/>
        </w:rPr>
        <w:footnoteReference w:id="2"/>
      </w:r>
      <w:r w:rsidR="007A4C37">
        <w:t xml:space="preserve">  Recognition of the intrinsic value of persons</w:t>
      </w:r>
      <w:r>
        <w:t xml:space="preserve"> seems naturally to be understood as providing us with reasons to do and not to do certain things</w:t>
      </w:r>
      <w:r w:rsidR="002833EF">
        <w:t xml:space="preserve"> in our </w:t>
      </w:r>
      <w:r w:rsidR="002833EF">
        <w:lastRenderedPageBreak/>
        <w:t>interactions with them</w:t>
      </w:r>
      <w:r>
        <w:t xml:space="preserve">.  </w:t>
      </w:r>
      <w:r w:rsidR="002833EF">
        <w:t xml:space="preserve">We value persons, for example, by keeping the promises that we make to them.  </w:t>
      </w:r>
      <w:r>
        <w:t>To the extent that an agent has any reason to “desire the outcome in which her prom</w:t>
      </w:r>
      <w:r w:rsidR="002833EF">
        <w:t xml:space="preserve">ise is fulfilled” on such an approach, </w:t>
      </w:r>
      <w:r>
        <w:t>it seems natural to think that she will have this reason “in virtue of the fact that she has a reason to fulfill her promise.” [63</w:t>
      </w:r>
      <w:proofErr w:type="gramStart"/>
      <w:r>
        <w:t>]</w:t>
      </w:r>
      <w:r w:rsidR="00AC61D9">
        <w:t xml:space="preserve"> </w:t>
      </w:r>
      <w:r w:rsidR="001542DA">
        <w:t xml:space="preserve"> </w:t>
      </w:r>
      <w:proofErr w:type="spellStart"/>
      <w:r w:rsidR="00975AF1">
        <w:t>Nik</w:t>
      </w:r>
      <w:r w:rsidR="00441FE1">
        <w:t>o</w:t>
      </w:r>
      <w:proofErr w:type="spellEnd"/>
      <w:proofErr w:type="gramEnd"/>
      <w:r w:rsidR="00441FE1">
        <w:t xml:space="preserve"> </w:t>
      </w:r>
      <w:proofErr w:type="spellStart"/>
      <w:r w:rsidR="001542DA">
        <w:t>Kolodny</w:t>
      </w:r>
      <w:proofErr w:type="spellEnd"/>
      <w:r w:rsidR="00AC61D9">
        <w:t xml:space="preserve"> concludes </w:t>
      </w:r>
      <w:r w:rsidR="00B769DA">
        <w:t>that the move to such a non-state of affairs centered accoun</w:t>
      </w:r>
      <w:r w:rsidR="00F37AD5">
        <w:t>t of value reveals that it to be</w:t>
      </w:r>
      <w:r w:rsidR="00B769DA">
        <w:t xml:space="preserve"> a “mistake…</w:t>
      </w:r>
      <w:r w:rsidR="001542DA">
        <w:t>to think that things of value are sources of reasons only in the sense that, when we are able to bring about something of value, we have reason to do so.”</w:t>
      </w:r>
      <w:r w:rsidR="00AC61D9">
        <w:rPr>
          <w:rStyle w:val="FootnoteReference"/>
        </w:rPr>
        <w:footnoteReference w:id="3"/>
      </w:r>
      <w:r w:rsidR="00144541">
        <w:t xml:space="preserve">  I</w:t>
      </w:r>
      <w:r w:rsidR="006D4647">
        <w:t>t</w:t>
      </w:r>
      <w:r w:rsidR="00433242">
        <w:t xml:space="preserve"> can seem natural</w:t>
      </w:r>
      <w:r w:rsidR="00144541">
        <w:t>, in short,</w:t>
      </w:r>
      <w:r w:rsidR="002833EF">
        <w:t xml:space="preserve"> to dismiss TCR, the state of affairs centric account of reasons,</w:t>
      </w:r>
      <w:r w:rsidR="00441FE1">
        <w:t xml:space="preserve"> as an unfortunate</w:t>
      </w:r>
      <w:r w:rsidR="006D4647">
        <w:t xml:space="preserve"> vestige of the misplaced fixation on </w:t>
      </w:r>
      <w:r w:rsidR="005D32D7">
        <w:t>state of affairs centered accounts of value.</w:t>
      </w:r>
    </w:p>
    <w:p w:rsidR="00A3533F" w:rsidRDefault="00AC65AA" w:rsidP="00CC3D9D">
      <w:pPr>
        <w:spacing w:line="480" w:lineRule="auto"/>
      </w:pPr>
      <w:r>
        <w:t xml:space="preserve">    Portmore</w:t>
      </w:r>
      <w:r w:rsidR="006D4647">
        <w:t>, of course, wants to reject the misguided reasons</w:t>
      </w:r>
      <w:r w:rsidR="005D32D7">
        <w:t>, grounded in state of affairs centered accounts of value,</w:t>
      </w:r>
      <w:r w:rsidR="00EC6F4C">
        <w:t xml:space="preserve"> for endorsing TCR,</w:t>
      </w:r>
      <w:r w:rsidR="006D4647">
        <w:t xml:space="preserve"> but also wants to resist this natural line </w:t>
      </w:r>
      <w:r w:rsidR="005D32D7">
        <w:t>of thought leading from the rejection of such a state of affairs centered account of value to the rejection of a state of affairs cente</w:t>
      </w:r>
      <w:r w:rsidR="00441FE1">
        <w:t>red account of reasons</w:t>
      </w:r>
      <w:r w:rsidR="00E97929">
        <w:t xml:space="preserve">.  </w:t>
      </w:r>
      <w:proofErr w:type="gramStart"/>
      <w:r w:rsidR="00E97929">
        <w:t>But why?</w:t>
      </w:r>
      <w:proofErr w:type="gramEnd"/>
      <w:r w:rsidR="00A42052">
        <w:t xml:space="preserve">  </w:t>
      </w:r>
      <w:r w:rsidR="00441FE1">
        <w:t>At</w:t>
      </w:r>
      <w:r w:rsidR="00B434B6">
        <w:t xml:space="preserve"> points</w:t>
      </w:r>
      <w:r w:rsidR="00EC6F4C">
        <w:t xml:space="preserve"> he</w:t>
      </w:r>
      <w:r w:rsidR="00B434B6">
        <w:t xml:space="preserve"> suggest</w:t>
      </w:r>
      <w:r w:rsidR="00441FE1">
        <w:t>s</w:t>
      </w:r>
      <w:r w:rsidR="00B434B6">
        <w:t xml:space="preserve"> t</w:t>
      </w:r>
      <w:r w:rsidR="00EC6F4C">
        <w:t>hat such a state of affairs centered account of reasons</w:t>
      </w:r>
      <w:r w:rsidR="00B434B6">
        <w:t xml:space="preserve"> flows naturally from the </w:t>
      </w:r>
      <w:r w:rsidR="00EC6F4C">
        <w:t xml:space="preserve">state of affairs centered </w:t>
      </w:r>
      <w:r w:rsidR="00B434B6">
        <w:t xml:space="preserve">nature </w:t>
      </w:r>
      <w:r w:rsidR="00441FE1">
        <w:t>of action, properly understood</w:t>
      </w:r>
      <w:r w:rsidR="00A3533F">
        <w:t>:</w:t>
      </w:r>
    </w:p>
    <w:p w:rsidR="00AC65AA" w:rsidRDefault="00AC65AA" w:rsidP="00CC3D9D">
      <w:pPr>
        <w:spacing w:line="480" w:lineRule="auto"/>
      </w:pPr>
      <w:r>
        <w:t xml:space="preserve">        </w:t>
      </w:r>
      <w:r w:rsidR="00A3533F">
        <w:t>“</w:t>
      </w:r>
      <w:r w:rsidR="00E9668A">
        <w:t>If our actions are the means by</w:t>
      </w:r>
      <w:r w:rsidR="00A3533F">
        <w:t xml:space="preserve"> which we affect the way the world goes, and if our </w:t>
      </w:r>
    </w:p>
    <w:p w:rsidR="00AC65AA" w:rsidRDefault="00AC65AA" w:rsidP="00CC3D9D">
      <w:pPr>
        <w:spacing w:line="480" w:lineRule="auto"/>
      </w:pPr>
      <w:r>
        <w:t xml:space="preserve">        </w:t>
      </w:r>
      <w:proofErr w:type="gramStart"/>
      <w:r w:rsidR="00A3533F">
        <w:t>intentional</w:t>
      </w:r>
      <w:proofErr w:type="gramEnd"/>
      <w:r w:rsidR="00A3533F">
        <w:t xml:space="preserve"> actions necessarily aim at making the world go a certain way, then it is only </w:t>
      </w:r>
    </w:p>
    <w:p w:rsidR="00AC65AA" w:rsidRDefault="00AC65AA" w:rsidP="00CC3D9D">
      <w:pPr>
        <w:spacing w:line="480" w:lineRule="auto"/>
      </w:pPr>
      <w:r>
        <w:t xml:space="preserve">        </w:t>
      </w:r>
      <w:proofErr w:type="gramStart"/>
      <w:r w:rsidR="00A3533F">
        <w:t>natural</w:t>
      </w:r>
      <w:proofErr w:type="gramEnd"/>
      <w:r w:rsidR="00A3533F">
        <w:t xml:space="preserve"> to suppose that what we have most reason to do is determined by which way </w:t>
      </w:r>
    </w:p>
    <w:p w:rsidR="002D56FD" w:rsidRDefault="00AC65AA" w:rsidP="00CC3D9D">
      <w:pPr>
        <w:spacing w:line="480" w:lineRule="auto"/>
      </w:pPr>
      <w:r>
        <w:t xml:space="preserve">        </w:t>
      </w:r>
      <w:proofErr w:type="gramStart"/>
      <w:r w:rsidR="00A3533F">
        <w:t>we</w:t>
      </w:r>
      <w:proofErr w:type="gramEnd"/>
      <w:r w:rsidR="00A3533F">
        <w:t xml:space="preserve"> have most reason to want the world to </w:t>
      </w:r>
      <w:r w:rsidR="00EC6F4C">
        <w:t>go</w:t>
      </w:r>
      <w:r w:rsidR="00A3533F">
        <w:t>.” [</w:t>
      </w:r>
      <w:proofErr w:type="gramStart"/>
      <w:r w:rsidR="00A3533F">
        <w:t>56</w:t>
      </w:r>
      <w:r w:rsidR="00441FE1">
        <w:t>,</w:t>
      </w:r>
      <w:proofErr w:type="gramEnd"/>
      <w:r w:rsidR="00441FE1">
        <w:t xml:space="preserve"> see also p. 5</w:t>
      </w:r>
      <w:r w:rsidR="00A3533F">
        <w:t xml:space="preserve">]  </w:t>
      </w:r>
    </w:p>
    <w:p w:rsidR="00A864F2" w:rsidRDefault="00E038DF" w:rsidP="00CC3D9D">
      <w:pPr>
        <w:spacing w:line="480" w:lineRule="auto"/>
      </w:pPr>
      <w:r>
        <w:lastRenderedPageBreak/>
        <w:t>Yet</w:t>
      </w:r>
      <w:r w:rsidR="002D56FD">
        <w:t xml:space="preserve"> </w:t>
      </w:r>
      <w:r w:rsidR="00155985">
        <w:t>although i</w:t>
      </w:r>
      <w:r w:rsidR="002D56FD">
        <w:t xml:space="preserve">t </w:t>
      </w:r>
      <w:r>
        <w:t>does seem</w:t>
      </w:r>
      <w:r w:rsidR="00441FE1">
        <w:t xml:space="preserve"> non-controversial</w:t>
      </w:r>
      <w:r w:rsidR="002D56FD">
        <w:t xml:space="preserve"> that </w:t>
      </w:r>
      <w:r w:rsidR="00155985">
        <w:t>it is through our actions that</w:t>
      </w:r>
      <w:r w:rsidR="00A864F2">
        <w:t xml:space="preserve"> “</w:t>
      </w:r>
      <w:r w:rsidR="002D56FD">
        <w:t xml:space="preserve">we affect </w:t>
      </w:r>
      <w:r w:rsidR="00A864F2">
        <w:t xml:space="preserve">the way </w:t>
      </w:r>
      <w:r w:rsidR="002D56FD">
        <w:t>the world</w:t>
      </w:r>
      <w:r w:rsidR="00A864F2">
        <w:t xml:space="preserve"> goes</w:t>
      </w:r>
      <w:r w:rsidR="00155985">
        <w:t>,</w:t>
      </w:r>
      <w:r w:rsidR="002D56FD">
        <w:t xml:space="preserve">” </w:t>
      </w:r>
      <w:r w:rsidR="00155985">
        <w:t>(</w:t>
      </w:r>
      <w:r w:rsidR="002D56FD">
        <w:t>Who could disagree?</w:t>
      </w:r>
      <w:r w:rsidR="00155985">
        <w:t>)</w:t>
      </w:r>
      <w:r>
        <w:t xml:space="preserve"> it is something very </w:t>
      </w:r>
      <w:r w:rsidR="00AC65AA">
        <w:t>different, and quite</w:t>
      </w:r>
      <w:r>
        <w:t xml:space="preserve"> controversial</w:t>
      </w:r>
      <w:r w:rsidR="00AC65AA">
        <w:t xml:space="preserve"> indeed</w:t>
      </w:r>
      <w:r>
        <w:t>,</w:t>
      </w:r>
      <w:r w:rsidR="00A864F2">
        <w:t xml:space="preserve"> to claim that all actions are means for promoting states of affairs – that the aim of every action is </w:t>
      </w:r>
      <w:r w:rsidR="00EC6F4C">
        <w:t xml:space="preserve">necessarily </w:t>
      </w:r>
      <w:r w:rsidR="00A864F2">
        <w:t xml:space="preserve">to bring it about that the world goes a certain way.  </w:t>
      </w:r>
      <w:r w:rsidR="001542DA">
        <w:t>Every action</w:t>
      </w:r>
      <w:r w:rsidR="005F3CA8">
        <w:t xml:space="preserve"> affects the way the world goes – such</w:t>
      </w:r>
      <w:r w:rsidR="00AC65AA">
        <w:t xml:space="preserve"> a claim is as plausible as Portmore</w:t>
      </w:r>
      <w:r w:rsidR="005F3CA8">
        <w:t xml:space="preserve"> suggests.</w:t>
      </w:r>
      <w:r w:rsidR="001542DA">
        <w:t xml:space="preserve">  Moreover, s</w:t>
      </w:r>
      <w:r w:rsidR="005F3CA8">
        <w:t xml:space="preserve">ome actions are </w:t>
      </w:r>
      <w:r w:rsidR="001542DA">
        <w:t>actions of brin</w:t>
      </w:r>
      <w:r w:rsidR="00441FE1">
        <w:t>ging about, promoting</w:t>
      </w:r>
      <w:r w:rsidR="001542DA">
        <w:t>, or in some other way making</w:t>
      </w:r>
      <w:r w:rsidR="005F3CA8">
        <w:t xml:space="preserve"> cau</w:t>
      </w:r>
      <w:r w:rsidR="00787788">
        <w:t>sal contributions to some state of affairs</w:t>
      </w:r>
      <w:r w:rsidR="00122DD7">
        <w:t xml:space="preserve"> obtaining</w:t>
      </w:r>
      <w:r w:rsidR="005F3CA8">
        <w:t xml:space="preserve">.  But why claim that </w:t>
      </w:r>
      <w:r w:rsidR="009C4A98">
        <w:t xml:space="preserve">all actions are such </w:t>
      </w:r>
      <w:proofErr w:type="spellStart"/>
      <w:r w:rsidR="009C4A98">
        <w:t>promot</w:t>
      </w:r>
      <w:r w:rsidR="00AC65AA">
        <w:t>ings</w:t>
      </w:r>
      <w:proofErr w:type="spellEnd"/>
      <w:r w:rsidR="009C4A98">
        <w:t xml:space="preserve"> or </w:t>
      </w:r>
      <w:proofErr w:type="spellStart"/>
      <w:r w:rsidR="009C4A98">
        <w:t>bringing</w:t>
      </w:r>
      <w:r w:rsidR="00155985">
        <w:t>s</w:t>
      </w:r>
      <w:proofErr w:type="spellEnd"/>
      <w:r w:rsidR="00787788">
        <w:t xml:space="preserve"> about</w:t>
      </w:r>
      <w:r>
        <w:t>?  I might bring</w:t>
      </w:r>
      <w:r w:rsidR="009C4A98">
        <w:t xml:space="preserve"> it about that my neighbor goes for a walk, but don’t I just go for a walk, keep a promise, treat</w:t>
      </w:r>
      <w:r w:rsidR="005F3CA8">
        <w:t xml:space="preserve"> another person with respec</w:t>
      </w:r>
      <w:r w:rsidR="009C4A98">
        <w:t>t, etc</w:t>
      </w:r>
      <w:r w:rsidR="005F3CA8">
        <w:t>?</w:t>
      </w:r>
      <w:r w:rsidR="009C4A98">
        <w:t xml:space="preserve"> </w:t>
      </w:r>
      <w:r w:rsidR="005F3CA8">
        <w:t xml:space="preserve">  Wh</w:t>
      </w:r>
      <w:r w:rsidR="00441FE1">
        <w:t>en the natural, plausible claim</w:t>
      </w:r>
      <w:r w:rsidR="005F3CA8">
        <w:t xml:space="preserve"> that our action</w:t>
      </w:r>
      <w:r w:rsidR="009C4A98">
        <w:t>s affect the way the world goes</w:t>
      </w:r>
      <w:r w:rsidR="005F3CA8">
        <w:t xml:space="preserve"> is disambiguated from the alternative claim, that our actions are all </w:t>
      </w:r>
      <w:proofErr w:type="spellStart"/>
      <w:r w:rsidR="005F3CA8">
        <w:t>promotings</w:t>
      </w:r>
      <w:proofErr w:type="spellEnd"/>
      <w:r w:rsidR="005F3CA8">
        <w:t xml:space="preserve"> of </w:t>
      </w:r>
      <w:r w:rsidR="0077754E">
        <w:t>states of affairs in the world</w:t>
      </w:r>
      <w:r w:rsidR="005F3CA8">
        <w:t xml:space="preserve">, </w:t>
      </w:r>
      <w:r w:rsidR="009C4A98">
        <w:t>the n</w:t>
      </w:r>
      <w:r w:rsidR="00441FE1">
        <w:t>atural response is</w:t>
      </w:r>
      <w:r w:rsidR="009C4A98">
        <w:t xml:space="preserve"> to reject such an </w:t>
      </w:r>
      <w:r>
        <w:t xml:space="preserve">alternative claim, and with it </w:t>
      </w:r>
      <w:proofErr w:type="spellStart"/>
      <w:r>
        <w:t>Portmore’s</w:t>
      </w:r>
      <w:proofErr w:type="spellEnd"/>
      <w:r>
        <w:t xml:space="preserve"> account of action</w:t>
      </w:r>
      <w:r w:rsidR="00AC3A39">
        <w:t xml:space="preserve"> as necessarily aimed at making the world go a certain way</w:t>
      </w:r>
      <w:r w:rsidR="009C4A98">
        <w:t>, just as the natural response is to reject TCR itself.</w:t>
      </w:r>
      <w:r w:rsidR="00876D19">
        <w:rPr>
          <w:rStyle w:val="FootnoteReference"/>
        </w:rPr>
        <w:footnoteReference w:id="4"/>
      </w:r>
      <w:r w:rsidR="005F3CA8">
        <w:t xml:space="preserve"> </w:t>
      </w:r>
    </w:p>
    <w:p w:rsidR="00727DF7" w:rsidRDefault="00C445FD" w:rsidP="00CC3D9D">
      <w:pPr>
        <w:spacing w:line="480" w:lineRule="auto"/>
      </w:pPr>
      <w:r>
        <w:t xml:space="preserve">    </w:t>
      </w:r>
      <w:r w:rsidR="00F96068">
        <w:t>Portmore</w:t>
      </w:r>
      <w:r w:rsidR="0031292D">
        <w:t xml:space="preserve"> also</w:t>
      </w:r>
      <w:r w:rsidR="005F3CA8">
        <w:t xml:space="preserve"> appeals at various points to what I will label the </w:t>
      </w:r>
      <w:r w:rsidR="00122DD7">
        <w:t>‘</w:t>
      </w:r>
      <w:proofErr w:type="spellStart"/>
      <w:r w:rsidR="005F3CA8">
        <w:t>assimilatio</w:t>
      </w:r>
      <w:r w:rsidR="00787788">
        <w:t>nist</w:t>
      </w:r>
      <w:proofErr w:type="spellEnd"/>
      <w:r w:rsidR="00787788">
        <w:t xml:space="preserve"> move</w:t>
      </w:r>
      <w:r w:rsidR="00122DD7">
        <w:t>’</w:t>
      </w:r>
      <w:r w:rsidR="00787788">
        <w:t>.  Such a move interprets</w:t>
      </w:r>
      <w:r w:rsidR="009A71CF">
        <w:t xml:space="preserve"> apparently fundamental reasons</w:t>
      </w:r>
      <w:r w:rsidR="0052333E">
        <w:t>, intentions and desires</w:t>
      </w:r>
      <w:r w:rsidR="009A71CF">
        <w:t xml:space="preserve"> to act</w:t>
      </w:r>
      <w:r w:rsidR="00093696">
        <w:t xml:space="preserve">, e.g. </w:t>
      </w:r>
      <w:r w:rsidR="00787788">
        <w:t>to run or to keep one’s promise</w:t>
      </w:r>
      <w:r w:rsidR="00F37AD5">
        <w:t>,</w:t>
      </w:r>
      <w:r w:rsidR="00093696">
        <w:t xml:space="preserve"> as reasons for</w:t>
      </w:r>
      <w:r w:rsidR="0052333E">
        <w:t xml:space="preserve"> </w:t>
      </w:r>
      <w:r w:rsidR="00093696">
        <w:t>“</w:t>
      </w:r>
      <w:r w:rsidR="0052333E">
        <w:t xml:space="preserve">bringing it about </w:t>
      </w:r>
      <w:r>
        <w:t>that one runs,” [5</w:t>
      </w:r>
      <w:r w:rsidR="00093696">
        <w:t>6] and desiring</w:t>
      </w:r>
      <w:r w:rsidR="00133DD6">
        <w:t xml:space="preserve"> </w:t>
      </w:r>
      <w:r w:rsidR="00093696">
        <w:t>“</w:t>
      </w:r>
      <w:r w:rsidR="00133DD6">
        <w:t>that her promis</w:t>
      </w:r>
      <w:r w:rsidR="00093696">
        <w:t xml:space="preserve">e is fulfilled.” [63] </w:t>
      </w:r>
      <w:r w:rsidR="00F37AD5">
        <w:t>In short, an agent’s</w:t>
      </w:r>
      <w:r w:rsidR="009A71CF">
        <w:t xml:space="preserve"> reasons to </w:t>
      </w:r>
      <w:r w:rsidR="00093696">
        <w:t>act are assimilated to TCR as reason</w:t>
      </w:r>
      <w:r w:rsidR="00787788">
        <w:t>s</w:t>
      </w:r>
      <w:r w:rsidR="00093696">
        <w:t xml:space="preserve"> to bring it about that she acts.</w:t>
      </w:r>
      <w:r w:rsidR="00AC65AA">
        <w:t xml:space="preserve">  But as Talbot Brewer has pointed out</w:t>
      </w:r>
      <w:r w:rsidR="0077754E">
        <w:t xml:space="preserve"> in </w:t>
      </w:r>
      <w:r w:rsidR="00E4713E">
        <w:t>a</w:t>
      </w:r>
      <w:r w:rsidR="00876D19">
        <w:t xml:space="preserve"> related context</w:t>
      </w:r>
      <w:r w:rsidR="00E4713E">
        <w:t>,</w:t>
      </w:r>
      <w:r w:rsidR="00876D19">
        <w:rPr>
          <w:rStyle w:val="FootnoteReference"/>
        </w:rPr>
        <w:footnoteReference w:id="5"/>
      </w:r>
      <w:r w:rsidR="00AC65AA">
        <w:t xml:space="preserve"> such assimilations can</w:t>
      </w:r>
      <w:r w:rsidR="00133DD6">
        <w:t xml:space="preserve"> </w:t>
      </w:r>
      <w:r w:rsidR="00093696">
        <w:t>go both ways.  On the countervailing</w:t>
      </w:r>
      <w:r w:rsidR="00E4713E">
        <w:t xml:space="preserve"> </w:t>
      </w:r>
      <w:proofErr w:type="spellStart"/>
      <w:r w:rsidR="00E4713E">
        <w:t>assimilationist</w:t>
      </w:r>
      <w:proofErr w:type="spellEnd"/>
      <w:r w:rsidR="00E4713E">
        <w:t xml:space="preserve"> in</w:t>
      </w:r>
      <w:r>
        <w:t>terpretation, reasons to bring something about</w:t>
      </w:r>
      <w:r w:rsidR="00727DF7">
        <w:t xml:space="preserve"> are assimilated as</w:t>
      </w:r>
      <w:r w:rsidR="00E4713E">
        <w:t xml:space="preserve"> a subs</w:t>
      </w:r>
      <w:r w:rsidR="00455633">
        <w:t>et of the set of reason</w:t>
      </w:r>
      <w:r w:rsidR="00787788">
        <w:t>s to act</w:t>
      </w:r>
      <w:r w:rsidR="00455633">
        <w:t xml:space="preserve">, and whether I have most reasons to </w:t>
      </w:r>
      <w:r w:rsidR="00B769DA">
        <w:t xml:space="preserve">perform an action of </w:t>
      </w:r>
      <w:r w:rsidR="00455633">
        <w:t>bring</w:t>
      </w:r>
      <w:r w:rsidR="00B769DA">
        <w:t>ing</w:t>
      </w:r>
      <w:r w:rsidR="00455633">
        <w:t xml:space="preserve"> something about, e.g. that you go for a run, or to perform some other action, e.g. </w:t>
      </w:r>
      <w:r w:rsidR="00727DF7">
        <w:t xml:space="preserve">to </w:t>
      </w:r>
      <w:r w:rsidR="00455633">
        <w:t>go for a run</w:t>
      </w:r>
      <w:r w:rsidR="00122DD7">
        <w:t xml:space="preserve"> myself</w:t>
      </w:r>
      <w:r w:rsidR="00455633">
        <w:t xml:space="preserve">, </w:t>
      </w:r>
      <w:r w:rsidR="00455633">
        <w:lastRenderedPageBreak/>
        <w:t>is determined by the relative strengths of these various reasons to act</w:t>
      </w:r>
      <w:r w:rsidR="00E4713E">
        <w:t>.</w:t>
      </w:r>
      <w:r w:rsidR="00842398">
        <w:t xml:space="preserve">  Brewer argues that assimilations of this latter sort are </w:t>
      </w:r>
      <w:r w:rsidR="00E4713E">
        <w:t>mo</w:t>
      </w:r>
      <w:r w:rsidR="00842398">
        <w:t>re plausible, and they would seem to undermine rather than support</w:t>
      </w:r>
      <w:r w:rsidR="00E4713E">
        <w:t xml:space="preserve"> TCR.</w:t>
      </w:r>
      <w:r w:rsidR="00876D19">
        <w:rPr>
          <w:rStyle w:val="FootnoteReference"/>
        </w:rPr>
        <w:footnoteReference w:id="6"/>
      </w:r>
      <w:r w:rsidR="00455633">
        <w:t xml:space="preserve"> </w:t>
      </w:r>
    </w:p>
    <w:p w:rsidR="00D37FC1" w:rsidRDefault="00455633" w:rsidP="00CC3D9D">
      <w:pPr>
        <w:spacing w:line="480" w:lineRule="auto"/>
      </w:pPr>
      <w:r>
        <w:t xml:space="preserve">    </w:t>
      </w:r>
      <w:r w:rsidR="00842398">
        <w:t>So appeal to the state of affairs centered</w:t>
      </w:r>
      <w:r w:rsidR="0031292D">
        <w:t xml:space="preserve"> nature of action do</w:t>
      </w:r>
      <w:r w:rsidR="00AC3A39">
        <w:t>es not seem to provide support for TCR</w:t>
      </w:r>
      <w:r w:rsidR="0031292D">
        <w:t xml:space="preserve">, absent additional argument.  Nor, I would </w:t>
      </w:r>
      <w:r w:rsidR="00F96068">
        <w:t>suggest, does the appeal to a state of affairs centered account</w:t>
      </w:r>
      <w:r w:rsidR="0031292D">
        <w:t xml:space="preserve"> of desires hold out the prospect of being any more successful – again, absent additional argument.</w:t>
      </w:r>
      <w:r w:rsidR="00D37FC1">
        <w:t xml:space="preserve">  </w:t>
      </w:r>
      <w:r w:rsidR="00F96068">
        <w:t>The only desire</w:t>
      </w:r>
      <w:r w:rsidR="00842398">
        <w:t>s discussed by Portmore are</w:t>
      </w:r>
      <w:r w:rsidR="00F96068">
        <w:t xml:space="preserve"> desires that some state of affairs/outcome obtains.  </w:t>
      </w:r>
      <w:r w:rsidR="00D37FC1">
        <w:t>If it is plausible that</w:t>
      </w:r>
      <w:r w:rsidR="00EC5860">
        <w:t xml:space="preserve"> what</w:t>
      </w:r>
      <w:r w:rsidR="00D37FC1">
        <w:t xml:space="preserve"> I have reason to do </w:t>
      </w:r>
      <w:r w:rsidR="00EC5860">
        <w:t xml:space="preserve">is </w:t>
      </w:r>
      <w:r w:rsidR="00D37FC1">
        <w:t xml:space="preserve">what I have most reason to desire, and desires are </w:t>
      </w:r>
      <w:r w:rsidR="00122DD7">
        <w:t>all properly understood as fundamentally</w:t>
      </w:r>
      <w:r w:rsidR="00EC5860">
        <w:t xml:space="preserve"> </w:t>
      </w:r>
      <w:r w:rsidR="00D37FC1">
        <w:t xml:space="preserve">attitudes towards states of affairs, then it is plausible that I have most reason to do what promotes the states of affairs the obtaining of which I have the most reason to desire.  But again, why </w:t>
      </w:r>
      <w:r w:rsidR="00842398">
        <w:t>adopt a state of affairs centered</w:t>
      </w:r>
      <w:r w:rsidR="00D37FC1">
        <w:t xml:space="preserve"> account of desire, upon which all desires are that some state of affairs obtain</w:t>
      </w:r>
      <w:r w:rsidR="001803CE">
        <w:t>s</w:t>
      </w:r>
      <w:r w:rsidR="00D37FC1">
        <w:t xml:space="preserve">?  </w:t>
      </w:r>
      <w:r w:rsidR="00E97929">
        <w:t xml:space="preserve">If I have reasons to intend to phi, and to phi, then presumably I have reasons to want to phi.  But it seems most natural to take the object of </w:t>
      </w:r>
      <w:r w:rsidR="00F37AD5">
        <w:t xml:space="preserve">an </w:t>
      </w:r>
      <w:r w:rsidR="00E97929">
        <w:t xml:space="preserve">intention to phi </w:t>
      </w:r>
      <w:r w:rsidR="00876D19">
        <w:t xml:space="preserve">to </w:t>
      </w:r>
      <w:r w:rsidR="00E97929">
        <w:t>be an action</w:t>
      </w:r>
      <w:r w:rsidR="00EC5C84">
        <w:t xml:space="preserve"> (</w:t>
      </w:r>
      <w:proofErr w:type="spellStart"/>
      <w:r w:rsidR="00EC5C84">
        <w:t>phiing</w:t>
      </w:r>
      <w:proofErr w:type="spellEnd"/>
      <w:r w:rsidR="00EC5C84">
        <w:t>)</w:t>
      </w:r>
      <w:r w:rsidR="00E97929">
        <w:t>, not a state of affairs, and it seems most natural to t</w:t>
      </w:r>
      <w:r w:rsidR="00EC5C84">
        <w:t>ake the object of the desire or want that reflects this intention also to be an action (</w:t>
      </w:r>
      <w:proofErr w:type="spellStart"/>
      <w:r w:rsidR="00EC5C84">
        <w:t>phiing</w:t>
      </w:r>
      <w:proofErr w:type="spellEnd"/>
      <w:r w:rsidR="00EC5C84">
        <w:t>), not a state of affairs.</w:t>
      </w:r>
      <w:r w:rsidR="00876D19">
        <w:rPr>
          <w:rStyle w:val="FootnoteReference"/>
        </w:rPr>
        <w:footnoteReference w:id="7"/>
      </w:r>
      <w:r w:rsidR="00EC5C84">
        <w:t xml:space="preserve"> </w:t>
      </w:r>
      <w:r w:rsidR="00787788">
        <w:t xml:space="preserve"> Portmore has provided</w:t>
      </w:r>
      <w:r w:rsidR="00EC5C84">
        <w:t xml:space="preserve"> no grou</w:t>
      </w:r>
      <w:r w:rsidR="00787788">
        <w:t xml:space="preserve">nd </w:t>
      </w:r>
      <w:r w:rsidR="00EC5C84">
        <w:t xml:space="preserve">for taking such reasons to </w:t>
      </w:r>
      <w:r w:rsidR="00787788">
        <w:t>phi</w:t>
      </w:r>
      <w:r w:rsidR="00EC5C84">
        <w:t xml:space="preserve">, </w:t>
      </w:r>
      <w:r w:rsidR="00EC5860">
        <w:t xml:space="preserve">to </w:t>
      </w:r>
      <w:r w:rsidR="00787788">
        <w:t>intend to phi</w:t>
      </w:r>
      <w:r w:rsidR="00EC5C84">
        <w:t xml:space="preserve">, and </w:t>
      </w:r>
      <w:r w:rsidR="00EC5860">
        <w:t xml:space="preserve">to </w:t>
      </w:r>
      <w:r w:rsidR="00787788">
        <w:t>want to phi</w:t>
      </w:r>
      <w:r w:rsidR="00EC5C84">
        <w:t xml:space="preserve"> to be determined by reasons to desire that the state of af</w:t>
      </w:r>
      <w:r w:rsidR="00787788">
        <w:t>fairs in which I phi</w:t>
      </w:r>
      <w:r w:rsidR="00EC5C84">
        <w:t xml:space="preserve"> obtain</w:t>
      </w:r>
      <w:r w:rsidR="00EC5860">
        <w:t>s</w:t>
      </w:r>
      <w:r w:rsidR="00EC5C84">
        <w:t>.</w:t>
      </w:r>
    </w:p>
    <w:p w:rsidR="00FD5608" w:rsidRDefault="00455633" w:rsidP="00CC3D9D">
      <w:pPr>
        <w:spacing w:line="480" w:lineRule="auto"/>
      </w:pPr>
      <w:r>
        <w:t xml:space="preserve">    </w:t>
      </w:r>
      <w:r w:rsidR="0031292D">
        <w:t xml:space="preserve">Nor, it seems to me, does his attempt to preempt Scanlon’s worries </w:t>
      </w:r>
      <w:r w:rsidR="00F96068">
        <w:t>about TCR succeed.</w:t>
      </w:r>
      <w:r w:rsidR="00D37FC1">
        <w:t xml:space="preserve"> </w:t>
      </w:r>
      <w:r w:rsidR="0031292D">
        <w:t xml:space="preserve"> </w:t>
      </w:r>
      <w:r w:rsidR="00842398">
        <w:t>Pace Scanlon, Portmore</w:t>
      </w:r>
      <w:r w:rsidR="000935DA">
        <w:t xml:space="preserve"> suggests </w:t>
      </w:r>
      <w:r w:rsidR="00701C2E">
        <w:t xml:space="preserve">that TCR can allow that “a person who values friendship will see that </w:t>
      </w:r>
      <w:r w:rsidR="001270AF">
        <w:t xml:space="preserve">what </w:t>
      </w:r>
      <w:r w:rsidR="00701C2E">
        <w:t xml:space="preserve">she has reason </w:t>
      </w:r>
      <w:r w:rsidR="001270AF">
        <w:t xml:space="preserve">to do, first and foremost, is to be a </w:t>
      </w:r>
      <w:r w:rsidR="001F461A">
        <w:t>good friend.”[68] But o</w:t>
      </w:r>
      <w:r w:rsidR="00842398">
        <w:t>n hi</w:t>
      </w:r>
      <w:r w:rsidR="000C5145">
        <w:t>s</w:t>
      </w:r>
      <w:r w:rsidR="00BE0126">
        <w:t xml:space="preserve"> account </w:t>
      </w:r>
      <w:r w:rsidR="000C5145">
        <w:t>my reasons for acting are alway</w:t>
      </w:r>
      <w:r w:rsidR="00BE0126">
        <w:t>s “primarily, a matter of promo</w:t>
      </w:r>
      <w:r w:rsidR="000C5145">
        <w:t>t</w:t>
      </w:r>
      <w:r w:rsidR="00842398">
        <w:t>ing certain states of affairs,</w:t>
      </w:r>
      <w:r w:rsidR="005C5374">
        <w:t>”</w:t>
      </w:r>
      <w:r w:rsidR="00842398">
        <w:t xml:space="preserve"> e.g. m</w:t>
      </w:r>
      <w:r>
        <w:t>y reasons to ful</w:t>
      </w:r>
      <w:r w:rsidR="00842398">
        <w:t xml:space="preserve">fill my </w:t>
      </w:r>
      <w:r w:rsidR="00842398">
        <w:lastRenderedPageBreak/>
        <w:t>promise</w:t>
      </w:r>
      <w:r w:rsidR="000C5145">
        <w:t xml:space="preserve"> are </w:t>
      </w:r>
      <w:r w:rsidR="005C5374">
        <w:t xml:space="preserve">fundamentally </w:t>
      </w:r>
      <w:r w:rsidR="000C5145">
        <w:t>my reaso</w:t>
      </w:r>
      <w:r>
        <w:t>ns to bring it about that my promise is fulfilled</w:t>
      </w:r>
      <w:r w:rsidR="000C5145">
        <w:t xml:space="preserve">. </w:t>
      </w:r>
      <w:r w:rsidR="005C5374">
        <w:t xml:space="preserve"> </w:t>
      </w:r>
      <w:r w:rsidR="000935DA">
        <w:t xml:space="preserve"> Scanlon’s point, as I understand it, is that </w:t>
      </w:r>
      <w:r w:rsidR="00173302">
        <w:t>t</w:t>
      </w:r>
      <w:r w:rsidR="00842398">
        <w:t xml:space="preserve">his is </w:t>
      </w:r>
      <w:r w:rsidR="00697845">
        <w:t>backwards:</w:t>
      </w:r>
      <w:r w:rsidR="00842398">
        <w:t xml:space="preserve"> </w:t>
      </w:r>
      <w:r w:rsidR="00731B3A">
        <w:t>reasons that</w:t>
      </w:r>
      <w:r w:rsidR="000C5145">
        <w:t xml:space="preserve"> I might have to </w:t>
      </w:r>
      <w:r>
        <w:t>bring it about that my promise is fulfilled</w:t>
      </w:r>
      <w:r w:rsidR="000C5145">
        <w:t xml:space="preserve"> </w:t>
      </w:r>
      <w:r w:rsidR="00697845">
        <w:t>seem most naturally to be understood</w:t>
      </w:r>
      <w:r w:rsidR="00AC3A39">
        <w:t xml:space="preserve">, on an account that </w:t>
      </w:r>
      <w:r w:rsidR="001F461A">
        <w:t>recognizes the</w:t>
      </w:r>
      <w:r w:rsidR="00842398">
        <w:t xml:space="preserve"> intrinsic value of persons</w:t>
      </w:r>
      <w:r w:rsidR="00AC3A39">
        <w:t>,</w:t>
      </w:r>
      <w:r w:rsidR="00697845">
        <w:t xml:space="preserve"> as reflecting</w:t>
      </w:r>
      <w:r w:rsidR="00D24CEE">
        <w:t xml:space="preserve"> the reasons that I have to fulfill</w:t>
      </w:r>
      <w:r w:rsidR="00731B3A">
        <w:t xml:space="preserve"> my promise in the first place.</w:t>
      </w:r>
      <w:r w:rsidR="00B67FA9">
        <w:t xml:space="preserve">  </w:t>
      </w:r>
      <w:r w:rsidR="00F37AD5">
        <w:t>But t</w:t>
      </w:r>
      <w:r w:rsidR="00842398">
        <w:t>his is</w:t>
      </w:r>
      <w:r w:rsidR="00731B3A">
        <w:t xml:space="preserve"> what Portmore</w:t>
      </w:r>
      <w:r w:rsidR="00842398">
        <w:t>, as I understand him,</w:t>
      </w:r>
      <w:r w:rsidR="00D24CEE">
        <w:t xml:space="preserve"> is ultimately</w:t>
      </w:r>
      <w:r w:rsidR="000C5145">
        <w:t xml:space="preserve"> deny</w:t>
      </w:r>
      <w:r w:rsidR="00B67FA9">
        <w:t>ing</w:t>
      </w:r>
      <w:r w:rsidR="000C5145">
        <w:t>.</w:t>
      </w:r>
      <w:r w:rsidR="00EC5860">
        <w:t xml:space="preserve"> </w:t>
      </w:r>
    </w:p>
    <w:p w:rsidR="00361EF8" w:rsidRDefault="00D24CEE" w:rsidP="00CC3D9D">
      <w:pPr>
        <w:spacing w:line="480" w:lineRule="auto"/>
      </w:pPr>
      <w:r>
        <w:t xml:space="preserve">    For those non-</w:t>
      </w:r>
      <w:proofErr w:type="spellStart"/>
      <w:r>
        <w:t>consequentialists</w:t>
      </w:r>
      <w:proofErr w:type="spellEnd"/>
      <w:r>
        <w:t xml:space="preserve"> who are as skeptical </w:t>
      </w:r>
      <w:r w:rsidR="00842398">
        <w:t xml:space="preserve">about </w:t>
      </w:r>
      <w:proofErr w:type="spellStart"/>
      <w:r w:rsidR="00842398">
        <w:t>Portmore’s</w:t>
      </w:r>
      <w:proofErr w:type="spellEnd"/>
      <w:r w:rsidR="00842398">
        <w:t xml:space="preserve"> state-of-affairs-centered</w:t>
      </w:r>
      <w:r>
        <w:t xml:space="preserve"> accounts of action a</w:t>
      </w:r>
      <w:r w:rsidR="00173302">
        <w:t>nd desire as they are about</w:t>
      </w:r>
      <w:r>
        <w:t xml:space="preserve"> his state-of-aff</w:t>
      </w:r>
      <w:r w:rsidR="00842398">
        <w:t>airs centered</w:t>
      </w:r>
      <w:r w:rsidR="003531E2">
        <w:t xml:space="preserve"> account of reason</w:t>
      </w:r>
      <w:r w:rsidR="00173302">
        <w:t xml:space="preserve">, </w:t>
      </w:r>
      <w:r>
        <w:t>hi</w:t>
      </w:r>
      <w:r w:rsidR="00FD5608">
        <w:t>s positiv</w:t>
      </w:r>
      <w:r w:rsidR="00EC5860">
        <w:t xml:space="preserve">e arguments for TCR </w:t>
      </w:r>
      <w:r>
        <w:t>will also prove unpersuasive.</w:t>
      </w:r>
      <w:r w:rsidR="005C5374">
        <w:t xml:space="preserve">  TCR, recall, is the position that “S has more reasons to perform Ai than to perform </w:t>
      </w:r>
      <w:proofErr w:type="spellStart"/>
      <w:r w:rsidR="005C5374">
        <w:t>Aj</w:t>
      </w:r>
      <w:proofErr w:type="spellEnd"/>
      <w:r w:rsidR="005C5374">
        <w:t xml:space="preserve"> if and only if, and because, S has more reason to desire that </w:t>
      </w:r>
      <w:proofErr w:type="spellStart"/>
      <w:r w:rsidR="005C5374">
        <w:t>Oi</w:t>
      </w:r>
      <w:proofErr w:type="spellEnd"/>
      <w:r w:rsidR="005C5374">
        <w:t xml:space="preserve"> obtains than to </w:t>
      </w:r>
      <w:r w:rsidR="00731B3A">
        <w:t xml:space="preserve">desire that </w:t>
      </w:r>
      <w:proofErr w:type="spellStart"/>
      <w:proofErr w:type="gramStart"/>
      <w:r w:rsidR="00731B3A">
        <w:t>Oj</w:t>
      </w:r>
      <w:proofErr w:type="spellEnd"/>
      <w:proofErr w:type="gramEnd"/>
      <w:r w:rsidR="00731B3A">
        <w:t xml:space="preserve"> obtains.” [58]  But consider, for example</w:t>
      </w:r>
      <w:r w:rsidR="001803CE">
        <w:t>,</w:t>
      </w:r>
      <w:r w:rsidR="00731B3A">
        <w:t xml:space="preserve"> his argument for</w:t>
      </w:r>
      <w:r w:rsidR="005C5374">
        <w:t xml:space="preserve"> the commitment “to the right-hand side of that bi-conditional having expla</w:t>
      </w:r>
      <w:r w:rsidR="00731B3A">
        <w:t>natory priority.</w:t>
      </w:r>
      <w:r>
        <w:t>” [78]</w:t>
      </w:r>
      <w:r w:rsidR="00731B3A">
        <w:t xml:space="preserve">  Portmore</w:t>
      </w:r>
      <w:r w:rsidR="005C5374">
        <w:t xml:space="preserve"> argues that the contrasting view, upon which it is the left-hand, ‘reasons to do’ side that is explanatorily prior, is revealed to be “clearly false” [78] by cases in which “what an agent has reason to do depends on what she has reason to desire.” [78</w:t>
      </w:r>
      <w:proofErr w:type="gramStart"/>
      <w:r w:rsidR="005C5374">
        <w:t>]  For</w:t>
      </w:r>
      <w:proofErr w:type="gramEnd"/>
      <w:r w:rsidR="005C5374">
        <w:t xml:space="preserve"> example, I have more reason to put money in a savings account that yields 2% than in one that yields 1%, because I have more reason to desire that the 2% outcome obtains.</w:t>
      </w:r>
      <w:r w:rsidR="00C55AF4">
        <w:t xml:space="preserve">  But with the rejection of the state of affairs centered account of value</w:t>
      </w:r>
      <w:r w:rsidR="00842398">
        <w:t xml:space="preserve"> </w:t>
      </w:r>
      <w:r w:rsidR="00BF544B">
        <w:t>kept clearly in view, such cases seem to pose no problem for opponents of TCR.  They</w:t>
      </w:r>
      <w:r w:rsidR="00C55AF4">
        <w:t xml:space="preserve"> can readily allow both that the value of states of affairs, e.g. as better for me or better overall, provides me with reasons to </w:t>
      </w:r>
      <w:r w:rsidR="00BF544B">
        <w:t>act, in particular to promote</w:t>
      </w:r>
      <w:r w:rsidR="00C55AF4">
        <w:t xml:space="preserve">, and that the value of persons and things provides me with </w:t>
      </w:r>
      <w:r w:rsidR="00BF544B">
        <w:t xml:space="preserve">other </w:t>
      </w:r>
      <w:r w:rsidR="00C55AF4">
        <w:t>reasons to</w:t>
      </w:r>
      <w:r w:rsidR="00B77E8C">
        <w:t xml:space="preserve"> </w:t>
      </w:r>
      <w:r w:rsidR="00BF544B">
        <w:t xml:space="preserve">act – to </w:t>
      </w:r>
      <w:r w:rsidR="00B77E8C">
        <w:t>treat people</w:t>
      </w:r>
      <w:r w:rsidR="00C55AF4">
        <w:t xml:space="preserve"> respectfully</w:t>
      </w:r>
      <w:r w:rsidR="00B77E8C">
        <w:t>, preserve valuable things</w:t>
      </w:r>
      <w:r w:rsidR="00C55AF4">
        <w:t>, etc.</w:t>
      </w:r>
      <w:r w:rsidR="001F461A">
        <w:t xml:space="preserve">  All such reasons </w:t>
      </w:r>
      <w:r w:rsidR="005C5374">
        <w:t xml:space="preserve">are relevant to the determination of </w:t>
      </w:r>
      <w:r w:rsidR="00EC5C84">
        <w:t>what I have the best reasons to do</w:t>
      </w:r>
      <w:r w:rsidR="005C5374">
        <w:t xml:space="preserve"> – </w:t>
      </w:r>
      <w:r w:rsidR="00BF544B">
        <w:t xml:space="preserve">to </w:t>
      </w:r>
      <w:r w:rsidR="005C5374">
        <w:t xml:space="preserve">the left-hand side of </w:t>
      </w:r>
      <w:r w:rsidR="00731B3A">
        <w:t>the bi-conditional.</w:t>
      </w:r>
      <w:r w:rsidR="005C5374">
        <w:t xml:space="preserve">  In short, it is unclear why such examples cannot </w:t>
      </w:r>
      <w:r w:rsidR="001F461A">
        <w:t xml:space="preserve">readily </w:t>
      </w:r>
      <w:r w:rsidR="005C5374">
        <w:t>be accommodated by the opponent of TCR</w:t>
      </w:r>
      <w:r w:rsidR="00F37AD5">
        <w:t xml:space="preserve"> in</w:t>
      </w:r>
      <w:r w:rsidR="005C5374">
        <w:t xml:space="preserve"> an account upon which it is the left (reasons to do) side of the bi-conditional that in the relevant sense has explanatory priority.</w:t>
      </w:r>
      <w:r w:rsidR="00B77E8C">
        <w:t xml:space="preserve">  </w:t>
      </w:r>
      <w:r w:rsidR="00F37AD5">
        <w:t>A</w:t>
      </w:r>
      <w:r w:rsidR="00BF544B">
        <w:t>lthough commitment to a</w:t>
      </w:r>
      <w:r w:rsidR="00B77E8C">
        <w:t xml:space="preserve"> state of affairs cent</w:t>
      </w:r>
      <w:r w:rsidR="00BF544B">
        <w:t xml:space="preserve">ered account of value may well </w:t>
      </w:r>
      <w:r w:rsidR="00BF544B">
        <w:lastRenderedPageBreak/>
        <w:t>support</w:t>
      </w:r>
      <w:r w:rsidR="00B77E8C">
        <w:t xml:space="preserve"> state of affairs centered accounts of rea</w:t>
      </w:r>
      <w:r w:rsidR="00BF544B">
        <w:t>sons, desires, and actions,</w:t>
      </w:r>
      <w:r w:rsidR="00B77E8C">
        <w:t xml:space="preserve"> Portmore, </w:t>
      </w:r>
      <w:r w:rsidR="00BF544B">
        <w:t>in rejecting such an account of value</w:t>
      </w:r>
      <w:r w:rsidR="001F461A">
        <w:t xml:space="preserve">, </w:t>
      </w:r>
      <w:r w:rsidR="00BF544B">
        <w:t>inadvertently undermines</w:t>
      </w:r>
      <w:r w:rsidR="003531E2">
        <w:t xml:space="preserve"> the case for a </w:t>
      </w:r>
      <w:r w:rsidR="00B77E8C">
        <w:t xml:space="preserve">state of affairs centered </w:t>
      </w:r>
      <w:r w:rsidR="003531E2">
        <w:t>account of reason</w:t>
      </w:r>
      <w:r w:rsidR="00BF544B">
        <w:t>s, in the process undermining</w:t>
      </w:r>
      <w:r w:rsidR="003531E2">
        <w:t xml:space="preserve"> the</w:t>
      </w:r>
      <w:r w:rsidR="00F37AD5">
        <w:t xml:space="preserve"> case for act-</w:t>
      </w:r>
      <w:proofErr w:type="spellStart"/>
      <w:r w:rsidR="001F461A">
        <w:t>consequentialism</w:t>
      </w:r>
      <w:proofErr w:type="spellEnd"/>
      <w:r w:rsidR="001F461A">
        <w:t>.</w:t>
      </w:r>
    </w:p>
    <w:p w:rsidR="00F3618A" w:rsidRDefault="00BB1336" w:rsidP="00134CCF">
      <w:pPr>
        <w:spacing w:line="480" w:lineRule="auto"/>
      </w:pPr>
      <w:r>
        <w:t xml:space="preserve">  </w:t>
      </w:r>
      <w:r w:rsidR="00BF544B">
        <w:t xml:space="preserve">  That</w:t>
      </w:r>
      <w:r w:rsidR="003531E2">
        <w:t xml:space="preserve"> Portmore does not provide</w:t>
      </w:r>
      <w:r w:rsidR="008B1C28">
        <w:t xml:space="preserve"> arguments for state of affairs centered accounts of </w:t>
      </w:r>
      <w:r w:rsidR="003531E2">
        <w:t>desire and action, hence</w:t>
      </w:r>
      <w:r w:rsidR="008B1C28">
        <w:t xml:space="preserve"> </w:t>
      </w:r>
      <w:r w:rsidR="00BF544B">
        <w:t xml:space="preserve">for </w:t>
      </w:r>
      <w:r w:rsidR="008B1C28">
        <w:t xml:space="preserve">his state of affairs centered account of reasons, </w:t>
      </w:r>
      <w:proofErr w:type="gramStart"/>
      <w:r w:rsidR="00BF544B">
        <w:t>does</w:t>
      </w:r>
      <w:proofErr w:type="gramEnd"/>
      <w:r w:rsidR="00BF544B">
        <w:t xml:space="preserve"> not establish that </w:t>
      </w:r>
      <w:r w:rsidR="008B1C28">
        <w:t>such arguments can</w:t>
      </w:r>
      <w:r w:rsidR="00BF544B">
        <w:t>not</w:t>
      </w:r>
      <w:r w:rsidR="008B1C28">
        <w:t xml:space="preserve"> be provided.  The</w:t>
      </w:r>
      <w:r w:rsidR="00BF544B">
        <w:t xml:space="preserve"> state of affairs centered</w:t>
      </w:r>
      <w:r>
        <w:t xml:space="preserve"> account of ac</w:t>
      </w:r>
      <w:r w:rsidR="003531E2">
        <w:t>ti</w:t>
      </w:r>
      <w:r w:rsidR="00BF544B">
        <w:t>on, for example, seems to find support</w:t>
      </w:r>
      <w:r w:rsidR="003531E2">
        <w:t xml:space="preserve"> from commitment to what has come to be known as</w:t>
      </w:r>
      <w:r>
        <w:t xml:space="preserve"> the standard story of action</w:t>
      </w:r>
      <w:r w:rsidR="00CE5CAB">
        <w:t xml:space="preserve">, upon which the difference between an arm rising that is </w:t>
      </w:r>
      <w:r w:rsidR="00173302">
        <w:t>a raising of my arm (an action)</w:t>
      </w:r>
      <w:r w:rsidR="00CE5CAB">
        <w:t xml:space="preserve"> and an arm rising that is a mere happening, not a raising of my arm, is that the arm rising in the one case is caused in the relevant way by the relevant sort of mental state, and is caused in the other case by something else. </w:t>
      </w:r>
      <w:r>
        <w:t>It seems natural to hold that o</w:t>
      </w:r>
      <w:r w:rsidR="00BF544B">
        <w:t>n such a standard story</w:t>
      </w:r>
      <w:r w:rsidR="00CE5CAB">
        <w:t xml:space="preserve"> actions all do a</w:t>
      </w:r>
      <w:r w:rsidR="00BF544B">
        <w:t>im at promoting some outcome</w:t>
      </w:r>
      <w:r w:rsidR="003531E2">
        <w:t xml:space="preserve">, </w:t>
      </w:r>
      <w:r w:rsidR="00CE5CAB">
        <w:t xml:space="preserve">e.g. a rising of my arm, </w:t>
      </w:r>
      <w:r w:rsidR="00E02E77">
        <w:t xml:space="preserve">and that it is the </w:t>
      </w:r>
      <w:r w:rsidR="00E02E77" w:rsidRPr="00173302">
        <w:rPr>
          <w:i/>
        </w:rPr>
        <w:t>way</w:t>
      </w:r>
      <w:r w:rsidR="00E02E77">
        <w:t xml:space="preserve"> th</w:t>
      </w:r>
      <w:r w:rsidR="00173302">
        <w:t>at a state of affairs</w:t>
      </w:r>
      <w:r w:rsidR="00E02E77">
        <w:t xml:space="preserve"> </w:t>
      </w:r>
      <w:r w:rsidR="00173302">
        <w:t xml:space="preserve">is caused to </w:t>
      </w:r>
      <w:r w:rsidR="00E02E77">
        <w:t>happen that makes it a</w:t>
      </w:r>
      <w:r>
        <w:t xml:space="preserve"> </w:t>
      </w:r>
      <w:r w:rsidR="00BF544B">
        <w:t xml:space="preserve">an action – a </w:t>
      </w:r>
      <w:r>
        <w:t>raising of my arm.</w:t>
      </w:r>
      <w:r w:rsidR="00A96193">
        <w:rPr>
          <w:rStyle w:val="FootnoteReference"/>
        </w:rPr>
        <w:footnoteReference w:id="8"/>
      </w:r>
      <w:r w:rsidR="00731B3A">
        <w:t xml:space="preserve"> </w:t>
      </w:r>
      <w:r w:rsidR="00CE5CAB">
        <w:t xml:space="preserve">  </w:t>
      </w:r>
      <w:r w:rsidR="00F3618A">
        <w:t xml:space="preserve">   </w:t>
      </w:r>
    </w:p>
    <w:p w:rsidR="00134CCF" w:rsidRDefault="00F3618A" w:rsidP="00134CCF">
      <w:pPr>
        <w:spacing w:line="480" w:lineRule="auto"/>
      </w:pPr>
      <w:r>
        <w:t xml:space="preserve">    </w:t>
      </w:r>
      <w:r w:rsidR="00CE5CAB">
        <w:t xml:space="preserve">Similarly, </w:t>
      </w:r>
      <w:r w:rsidR="00140910">
        <w:t xml:space="preserve">one prevailing characterization of the direction </w:t>
      </w:r>
      <w:r w:rsidR="00BF544B">
        <w:t>of fit contrast appears to lend support</w:t>
      </w:r>
      <w:r w:rsidR="00D0231B">
        <w:t xml:space="preserve"> to</w:t>
      </w:r>
      <w:r w:rsidR="00BF544B">
        <w:t xml:space="preserve"> </w:t>
      </w:r>
      <w:proofErr w:type="spellStart"/>
      <w:r w:rsidR="00731B3A">
        <w:t>Portmore</w:t>
      </w:r>
      <w:r w:rsidR="00140910">
        <w:t>’s</w:t>
      </w:r>
      <w:proofErr w:type="spellEnd"/>
      <w:r w:rsidR="00140910">
        <w:t xml:space="preserve"> </w:t>
      </w:r>
      <w:r w:rsidR="00731B3A">
        <w:t xml:space="preserve">state of affairs centered </w:t>
      </w:r>
      <w:r w:rsidR="00140910">
        <w:t>account of desire, upon which the fundamen</w:t>
      </w:r>
      <w:r w:rsidR="00E02E77">
        <w:t>tal practical attitudes are</w:t>
      </w:r>
      <w:r w:rsidR="00731B3A">
        <w:t xml:space="preserve"> </w:t>
      </w:r>
      <w:r w:rsidR="00E02E77">
        <w:t>desire</w:t>
      </w:r>
      <w:r w:rsidR="00173302">
        <w:t>s</w:t>
      </w:r>
      <w:r w:rsidR="00140910">
        <w:t xml:space="preserve"> that states of affairs obtain.  </w:t>
      </w:r>
      <w:r w:rsidR="00134CCF">
        <w:t>The contrast, on this view, is between be</w:t>
      </w:r>
      <w:r w:rsidR="00F37AD5">
        <w:t>liefs that aim to fit the world</w:t>
      </w:r>
      <w:r w:rsidR="00134CCF">
        <w:t xml:space="preserve"> and desires that aim to make the world fit them.</w:t>
      </w:r>
      <w:r w:rsidR="00134CCF">
        <w:rPr>
          <w:rStyle w:val="FootnoteReference"/>
        </w:rPr>
        <w:footnoteReference w:id="9"/>
      </w:r>
      <w:r w:rsidR="00134CCF">
        <w:t xml:space="preserve"> This contrast takes desires that phi to play an analogous and equally fundamental role in the practical sphere to the role played by beliefs that phi</w:t>
      </w:r>
      <w:r w:rsidR="001F461A">
        <w:t xml:space="preserve"> in the theoretical </w:t>
      </w:r>
      <w:r w:rsidR="00134CCF">
        <w:t>sphere. Like beliefs, such desires are taken to be propositional attitudes; the objects of desires and beliefs are states of the world.  Withi</w:t>
      </w:r>
      <w:r w:rsidR="001F461A">
        <w:t>n the context of this</w:t>
      </w:r>
      <w:r w:rsidR="00134CCF">
        <w:t xml:space="preserve"> characterization of</w:t>
      </w:r>
      <w:r w:rsidR="001F461A">
        <w:t xml:space="preserve"> the contrast</w:t>
      </w:r>
      <w:r w:rsidR="00134CCF">
        <w:t xml:space="preserve"> it </w:t>
      </w:r>
      <w:r w:rsidR="001F461A">
        <w:lastRenderedPageBreak/>
        <w:t>can seem</w:t>
      </w:r>
      <w:r w:rsidR="00134CCF">
        <w:t xml:space="preserve"> natural to take </w:t>
      </w:r>
      <w:r w:rsidR="00D0231B">
        <w:t xml:space="preserve">all </w:t>
      </w:r>
      <w:r w:rsidR="00134CCF">
        <w:t xml:space="preserve">reasons to act to be reasons to promote the states of affairs that are the </w:t>
      </w:r>
      <w:r w:rsidR="00D0231B">
        <w:t>objects of such desires</w:t>
      </w:r>
      <w:r w:rsidR="00E02E77">
        <w:t>.</w:t>
      </w:r>
    </w:p>
    <w:p w:rsidR="00EC6A96" w:rsidRDefault="00E02E77" w:rsidP="00134CCF">
      <w:pPr>
        <w:spacing w:line="480" w:lineRule="auto"/>
      </w:pPr>
      <w:r>
        <w:t xml:space="preserve">    </w:t>
      </w:r>
      <w:r w:rsidR="00DB7CC8">
        <w:t>Has Portmore</w:t>
      </w:r>
      <w:r w:rsidR="00202EA0">
        <w:t xml:space="preserve"> offered a persuasive defense of TCR</w:t>
      </w:r>
      <w:r w:rsidR="00DB7CC8">
        <w:t xml:space="preserve">, hence of </w:t>
      </w:r>
      <w:proofErr w:type="spellStart"/>
      <w:r w:rsidR="00DB7CC8">
        <w:t>consequentialism</w:t>
      </w:r>
      <w:proofErr w:type="spellEnd"/>
      <w:r w:rsidR="00202EA0">
        <w:t>?  I have suggested that he has not.  But he has rejecte</w:t>
      </w:r>
      <w:r w:rsidR="00DB7CC8">
        <w:t>d certain problematic defenses o</w:t>
      </w:r>
      <w:r w:rsidR="00202EA0">
        <w:t>f TCR, and his own defense, relying on a</w:t>
      </w:r>
      <w:r w:rsidR="00D0231B">
        <w:t>ccounts of actions and desires</w:t>
      </w:r>
      <w:r w:rsidR="00202EA0">
        <w:t xml:space="preserve"> either or both of which many non-</w:t>
      </w:r>
      <w:proofErr w:type="spellStart"/>
      <w:r w:rsidR="00202EA0">
        <w:t>consequentialists</w:t>
      </w:r>
      <w:proofErr w:type="spellEnd"/>
      <w:r w:rsidR="00202EA0">
        <w:t xml:space="preserve"> will reject, </w:t>
      </w:r>
      <w:r w:rsidR="00D0231B">
        <w:t>can at least</w:t>
      </w:r>
      <w:r w:rsidR="00202EA0">
        <w:t xml:space="preserve"> draw up</w:t>
      </w:r>
      <w:r w:rsidR="00DB7CC8">
        <w:t>on the standard story of action</w:t>
      </w:r>
      <w:r w:rsidR="00202EA0">
        <w:t xml:space="preserve"> and a common interpretation o</w:t>
      </w:r>
      <w:r w:rsidR="00DB7CC8">
        <w:t>f the direction of fit contrast</w:t>
      </w:r>
      <w:r w:rsidR="001F461A">
        <w:t xml:space="preserve"> for support.</w:t>
      </w:r>
      <w:r w:rsidR="00202EA0">
        <w:t xml:space="preserve">  I </w:t>
      </w:r>
      <w:r w:rsidR="00DB7CC8">
        <w:t xml:space="preserve">am far from alone in </w:t>
      </w:r>
      <w:r w:rsidR="00202EA0">
        <w:t>find</w:t>
      </w:r>
      <w:r w:rsidR="00DB7CC8">
        <w:t>ing</w:t>
      </w:r>
      <w:r w:rsidR="00202EA0">
        <w:t xml:space="preserve"> the standard stor</w:t>
      </w:r>
      <w:r w:rsidR="001F461A">
        <w:t>y of action deeply suspect and</w:t>
      </w:r>
      <w:r w:rsidR="00173302">
        <w:t xml:space="preserve"> </w:t>
      </w:r>
      <w:r w:rsidR="00D0231B">
        <w:t xml:space="preserve">in finding </w:t>
      </w:r>
      <w:r w:rsidR="00202EA0">
        <w:t>the common interpretation of the direction of fit contrast highly problematic.  But to make a c</w:t>
      </w:r>
      <w:r w:rsidR="00DB7CC8">
        <w:t>ompelling case against TCR, Portmore</w:t>
      </w:r>
      <w:r w:rsidR="00202EA0">
        <w:t xml:space="preserve"> has shown me that I need to substantiate these suspicions.  </w:t>
      </w:r>
      <w:r w:rsidR="00780674">
        <w:t>I am suggesting, by contrast, that in order t</w:t>
      </w:r>
      <w:r w:rsidR="00202EA0">
        <w:t xml:space="preserve">o counter-balance the natural line of argument that leads </w:t>
      </w:r>
      <w:r w:rsidR="00D0231B">
        <w:t>from the rejection of a state of affairs centered account of value to the re</w:t>
      </w:r>
      <w:r w:rsidR="00780674">
        <w:t>jection of TCR, Portmore</w:t>
      </w:r>
      <w:r w:rsidR="00202EA0">
        <w:t xml:space="preserve"> needs to defend the </w:t>
      </w:r>
      <w:r w:rsidR="001F461A">
        <w:t xml:space="preserve">state of affairs centered </w:t>
      </w:r>
      <w:r w:rsidR="003531E2">
        <w:t>accounts of actions and desire</w:t>
      </w:r>
      <w:r w:rsidR="00202EA0">
        <w:t>s up</w:t>
      </w:r>
      <w:r w:rsidR="00D0231B">
        <w:t>on which he draws</w:t>
      </w:r>
      <w:r w:rsidR="00202EA0">
        <w:t xml:space="preserve"> in this illuminating book.   </w:t>
      </w:r>
    </w:p>
    <w:p w:rsidR="00227C4D" w:rsidRDefault="00227C4D"/>
    <w:p w:rsidR="00594067" w:rsidRDefault="00594067"/>
    <w:p w:rsidR="00594067" w:rsidRDefault="00594067"/>
    <w:p w:rsidR="00594067" w:rsidRDefault="00594067"/>
    <w:p w:rsidR="00594067" w:rsidRDefault="00594067"/>
    <w:p w:rsidR="008B1C28" w:rsidRDefault="00594067" w:rsidP="00594067">
      <w:pPr>
        <w:spacing w:line="480" w:lineRule="auto"/>
      </w:pPr>
      <w:r>
        <w:t xml:space="preserve">    </w:t>
      </w:r>
    </w:p>
    <w:p w:rsidR="008B1C28" w:rsidRDefault="008B1C28" w:rsidP="00594067">
      <w:pPr>
        <w:spacing w:line="480" w:lineRule="auto"/>
      </w:pPr>
    </w:p>
    <w:p w:rsidR="008B1C28" w:rsidRDefault="008B1C28" w:rsidP="00594067">
      <w:pPr>
        <w:spacing w:line="480" w:lineRule="auto"/>
      </w:pPr>
    </w:p>
    <w:p w:rsidR="008B1C28" w:rsidRDefault="008B1C28" w:rsidP="00594067">
      <w:pPr>
        <w:spacing w:line="480" w:lineRule="auto"/>
      </w:pPr>
    </w:p>
    <w:p w:rsidR="008B1C28" w:rsidRDefault="008B1C28" w:rsidP="00594067">
      <w:pPr>
        <w:spacing w:line="480" w:lineRule="auto"/>
      </w:pPr>
    </w:p>
    <w:p w:rsidR="00731B3A" w:rsidRDefault="00731B3A"/>
    <w:sectPr w:rsidR="00731B3A" w:rsidSect="00783E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5B" w:rsidRDefault="006C025B" w:rsidP="00831815">
      <w:pPr>
        <w:spacing w:after="0" w:line="240" w:lineRule="auto"/>
      </w:pPr>
      <w:r>
        <w:separator/>
      </w:r>
    </w:p>
  </w:endnote>
  <w:endnote w:type="continuationSeparator" w:id="0">
    <w:p w:rsidR="006C025B" w:rsidRDefault="006C025B" w:rsidP="00831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909"/>
      <w:docPartObj>
        <w:docPartGallery w:val="Page Numbers (Bottom of Page)"/>
        <w:docPartUnique/>
      </w:docPartObj>
    </w:sdtPr>
    <w:sdtContent>
      <w:p w:rsidR="00BF544B" w:rsidRDefault="004E22EA">
        <w:pPr>
          <w:pStyle w:val="Footer"/>
          <w:jc w:val="right"/>
        </w:pPr>
        <w:fldSimple w:instr=" PAGE   \* MERGEFORMAT ">
          <w:r w:rsidR="00496D57">
            <w:rPr>
              <w:noProof/>
            </w:rPr>
            <w:t>1</w:t>
          </w:r>
        </w:fldSimple>
      </w:p>
    </w:sdtContent>
  </w:sdt>
  <w:p w:rsidR="00BF544B" w:rsidRDefault="00BF5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5B" w:rsidRDefault="006C025B" w:rsidP="00831815">
      <w:pPr>
        <w:spacing w:after="0" w:line="240" w:lineRule="auto"/>
      </w:pPr>
      <w:r>
        <w:separator/>
      </w:r>
    </w:p>
  </w:footnote>
  <w:footnote w:type="continuationSeparator" w:id="0">
    <w:p w:rsidR="006C025B" w:rsidRDefault="006C025B" w:rsidP="00831815">
      <w:pPr>
        <w:spacing w:after="0" w:line="240" w:lineRule="auto"/>
      </w:pPr>
      <w:r>
        <w:continuationSeparator/>
      </w:r>
    </w:p>
  </w:footnote>
  <w:footnote w:id="1">
    <w:p w:rsidR="004E523B" w:rsidRDefault="004E523B">
      <w:pPr>
        <w:pStyle w:val="FootnoteText"/>
      </w:pPr>
      <w:r>
        <w:rPr>
          <w:rStyle w:val="FootnoteReference"/>
        </w:rPr>
        <w:footnoteRef/>
      </w:r>
      <w:r>
        <w:t xml:space="preserve"> The question becomes particularly pressing with the realization that all </w:t>
      </w:r>
      <w:proofErr w:type="spellStart"/>
      <w:r>
        <w:t>consequentialist</w:t>
      </w:r>
      <w:proofErr w:type="spellEnd"/>
      <w:r>
        <w:t xml:space="preserve"> theories can also readily be ‘</w:t>
      </w:r>
      <w:proofErr w:type="spellStart"/>
      <w:r>
        <w:t>deontologized</w:t>
      </w:r>
      <w:proofErr w:type="spellEnd"/>
      <w:r>
        <w:t>.’  See my “</w:t>
      </w:r>
      <w:proofErr w:type="spellStart"/>
      <w:r>
        <w:t>Consequentializing</w:t>
      </w:r>
      <w:proofErr w:type="spellEnd"/>
      <w:r>
        <w:t xml:space="preserve"> and </w:t>
      </w:r>
      <w:proofErr w:type="spellStart"/>
      <w:r>
        <w:t>Deontologizing</w:t>
      </w:r>
      <w:proofErr w:type="spellEnd"/>
      <w:r>
        <w:t xml:space="preserve">: Clogging the </w:t>
      </w:r>
      <w:proofErr w:type="spellStart"/>
      <w:r>
        <w:t>Consequentialist</w:t>
      </w:r>
      <w:proofErr w:type="spellEnd"/>
      <w:r>
        <w:t xml:space="preserve"> Vacuum,” in </w:t>
      </w:r>
      <w:r w:rsidRPr="004E523B">
        <w:rPr>
          <w:i/>
        </w:rPr>
        <w:t>Oxford Studies in Normative Ethics, Vol. 3</w:t>
      </w:r>
      <w:r>
        <w:t>, ed. Mark Timmons (New York: Oxford University Press, 2013), pp. 123-153.</w:t>
      </w:r>
    </w:p>
  </w:footnote>
  <w:footnote w:id="2">
    <w:p w:rsidR="00BF544B" w:rsidRDefault="00BF544B">
      <w:pPr>
        <w:pStyle w:val="FootnoteText"/>
      </w:pPr>
      <w:r>
        <w:rPr>
          <w:rStyle w:val="FootnoteReference"/>
        </w:rPr>
        <w:footnoteRef/>
      </w:r>
      <w:r w:rsidR="00975AF1">
        <w:t xml:space="preserve"> See </w:t>
      </w:r>
      <w:r>
        <w:t xml:space="preserve">Scanlon, </w:t>
      </w:r>
      <w:r w:rsidRPr="00AC61D9">
        <w:rPr>
          <w:i/>
        </w:rPr>
        <w:t>What We Owe to Each Other</w:t>
      </w:r>
      <w:r w:rsidR="00975AF1">
        <w:t xml:space="preserve"> (Cambridge, Harvard University Press, 1998),</w:t>
      </w:r>
      <w:r>
        <w:t xml:space="preserve"> p. 95, and </w:t>
      </w:r>
      <w:proofErr w:type="spellStart"/>
      <w:r>
        <w:t>Darwall</w:t>
      </w:r>
      <w:proofErr w:type="spellEnd"/>
      <w:r>
        <w:t xml:space="preserve">, </w:t>
      </w:r>
      <w:r w:rsidRPr="00AC61D9">
        <w:rPr>
          <w:i/>
        </w:rPr>
        <w:t>The Second-Person Standpoint</w:t>
      </w:r>
      <w:r>
        <w:t xml:space="preserve">, </w:t>
      </w:r>
      <w:r w:rsidR="00975AF1">
        <w:t xml:space="preserve">(Cambridge, Harvard University Press, 2006), </w:t>
      </w:r>
      <w:r>
        <w:t>p. 158.</w:t>
      </w:r>
    </w:p>
  </w:footnote>
  <w:footnote w:id="3">
    <w:p w:rsidR="00BF544B" w:rsidRDefault="00BF544B">
      <w:pPr>
        <w:pStyle w:val="FootnoteText"/>
      </w:pPr>
      <w:r>
        <w:rPr>
          <w:rStyle w:val="FootnoteReference"/>
        </w:rPr>
        <w:footnoteRef/>
      </w:r>
      <w:r>
        <w:t xml:space="preserve"> “Aims as Reasons,” </w:t>
      </w:r>
      <w:r w:rsidR="00975AF1">
        <w:t xml:space="preserve">in </w:t>
      </w:r>
      <w:r w:rsidR="00975AF1" w:rsidRPr="00975AF1">
        <w:rPr>
          <w:i/>
        </w:rPr>
        <w:t>Reasons and Recognition</w:t>
      </w:r>
      <w:r w:rsidR="00975AF1">
        <w:t xml:space="preserve">, R. J. Wallace, R. Kumar, and S. Freeman </w:t>
      </w:r>
      <w:proofErr w:type="spellStart"/>
      <w:proofErr w:type="gramStart"/>
      <w:r w:rsidR="00975AF1">
        <w:t>eds</w:t>
      </w:r>
      <w:proofErr w:type="spellEnd"/>
      <w:proofErr w:type="gramEnd"/>
      <w:r w:rsidR="00975AF1">
        <w:t xml:space="preserve"> (New York: Oxford, 2011): pp. 43-78, </w:t>
      </w:r>
      <w:r>
        <w:t>p. 68.</w:t>
      </w:r>
    </w:p>
  </w:footnote>
  <w:footnote w:id="4">
    <w:p w:rsidR="00BF544B" w:rsidRDefault="00BF544B">
      <w:pPr>
        <w:pStyle w:val="FootnoteText"/>
      </w:pPr>
      <w:r>
        <w:rPr>
          <w:rStyle w:val="FootnoteReference"/>
        </w:rPr>
        <w:footnoteRef/>
      </w:r>
      <w:r>
        <w:t xml:space="preserve"> See Annette </w:t>
      </w:r>
      <w:proofErr w:type="spellStart"/>
      <w:r>
        <w:t>Baier</w:t>
      </w:r>
      <w:proofErr w:type="spellEnd"/>
      <w:r>
        <w:t xml:space="preserve">, “Act and Intent,” </w:t>
      </w:r>
      <w:r w:rsidRPr="00876D19">
        <w:rPr>
          <w:i/>
        </w:rPr>
        <w:t>The Journal of Philosophy</w:t>
      </w:r>
      <w:r>
        <w:t xml:space="preserve"> Vol. 67 (1970): 648-658.</w:t>
      </w:r>
    </w:p>
  </w:footnote>
  <w:footnote w:id="5">
    <w:p w:rsidR="00BF544B" w:rsidRDefault="00BF544B">
      <w:pPr>
        <w:pStyle w:val="FootnoteText"/>
      </w:pPr>
      <w:r>
        <w:rPr>
          <w:rStyle w:val="FootnoteReference"/>
        </w:rPr>
        <w:footnoteRef/>
      </w:r>
      <w:r>
        <w:t xml:space="preserve"> Talbot Brewer, </w:t>
      </w:r>
      <w:proofErr w:type="gramStart"/>
      <w:r w:rsidRPr="00876D19">
        <w:rPr>
          <w:i/>
        </w:rPr>
        <w:t>The</w:t>
      </w:r>
      <w:proofErr w:type="gramEnd"/>
      <w:r w:rsidRPr="00876D19">
        <w:rPr>
          <w:i/>
        </w:rPr>
        <w:t xml:space="preserve"> Retrieval of Ethics</w:t>
      </w:r>
      <w:r w:rsidR="00A54CBB">
        <w:t xml:space="preserve"> (New York: Oxford University Press, 2009),</w:t>
      </w:r>
      <w:r>
        <w:t xml:space="preserve"> pp. 19-24.</w:t>
      </w:r>
    </w:p>
  </w:footnote>
  <w:footnote w:id="6">
    <w:p w:rsidR="00BF544B" w:rsidRDefault="00BF544B">
      <w:pPr>
        <w:pStyle w:val="FootnoteText"/>
      </w:pPr>
      <w:r>
        <w:rPr>
          <w:rStyle w:val="FootnoteReference"/>
        </w:rPr>
        <w:footnoteRef/>
      </w:r>
      <w:r>
        <w:t xml:space="preserve"> </w:t>
      </w:r>
      <w:proofErr w:type="gramStart"/>
      <w:r w:rsidRPr="00A54CBB">
        <w:rPr>
          <w:i/>
        </w:rPr>
        <w:t>Ibid</w:t>
      </w:r>
      <w:r>
        <w:t>.,</w:t>
      </w:r>
      <w:proofErr w:type="gramEnd"/>
      <w:r>
        <w:t xml:space="preserve"> pp. 19-24.</w:t>
      </w:r>
    </w:p>
  </w:footnote>
  <w:footnote w:id="7">
    <w:p w:rsidR="00BF544B" w:rsidRDefault="00BF544B">
      <w:pPr>
        <w:pStyle w:val="FootnoteText"/>
      </w:pPr>
      <w:r>
        <w:rPr>
          <w:rStyle w:val="FootnoteReference"/>
        </w:rPr>
        <w:footnoteRef/>
      </w:r>
      <w:r>
        <w:t xml:space="preserve"> See, on this point, Matthew Boyle and Douglas Lavin, “Goodness and Desire,” in </w:t>
      </w:r>
      <w:r w:rsidRPr="006F6CFA">
        <w:rPr>
          <w:i/>
        </w:rPr>
        <w:t>Desire, Practical Reason, and the</w:t>
      </w:r>
      <w:r>
        <w:t xml:space="preserve"> </w:t>
      </w:r>
      <w:r w:rsidRPr="006F6CFA">
        <w:rPr>
          <w:i/>
        </w:rPr>
        <w:t>Good</w:t>
      </w:r>
      <w:r>
        <w:t xml:space="preserve">, Sergio Tenenbaum ed. (New York: Oxford University Press, 2010): 161-201, esp. 170-74; Michael Thompson, </w:t>
      </w:r>
      <w:r w:rsidRPr="00A96193">
        <w:rPr>
          <w:i/>
        </w:rPr>
        <w:t>Life and Action</w:t>
      </w:r>
      <w:r>
        <w:t xml:space="preserve"> (Cambridge: Harvard University Press, 208): 97-105; </w:t>
      </w:r>
      <w:r w:rsidR="00373D55">
        <w:t xml:space="preserve">and </w:t>
      </w:r>
      <w:r>
        <w:t>Richard Moran and Martin Stone, “</w:t>
      </w:r>
      <w:proofErr w:type="spellStart"/>
      <w:r>
        <w:t>Anscombe</w:t>
      </w:r>
      <w:proofErr w:type="spellEnd"/>
      <w:r>
        <w:t xml:space="preserve"> on Expression of Intention,” in </w:t>
      </w:r>
      <w:r w:rsidRPr="00A96193">
        <w:rPr>
          <w:i/>
        </w:rPr>
        <w:t xml:space="preserve">Essays on </w:t>
      </w:r>
      <w:proofErr w:type="spellStart"/>
      <w:r w:rsidRPr="00A96193">
        <w:rPr>
          <w:i/>
        </w:rPr>
        <w:t>Anscombe’s</w:t>
      </w:r>
      <w:proofErr w:type="spellEnd"/>
      <w:r w:rsidRPr="00A96193">
        <w:rPr>
          <w:i/>
        </w:rPr>
        <w:t xml:space="preserve"> Intention</w:t>
      </w:r>
      <w:r>
        <w:t xml:space="preserve">, A. Ford, J. Hornsby, and F. </w:t>
      </w:r>
      <w:proofErr w:type="spellStart"/>
      <w:r>
        <w:t>Stoutland</w:t>
      </w:r>
      <w:proofErr w:type="spellEnd"/>
      <w:r>
        <w:t xml:space="preserve"> eds. (Cambridge: Harvard University Press, 2011): 33-75, e.g. 72-75.</w:t>
      </w:r>
    </w:p>
  </w:footnote>
  <w:footnote w:id="8">
    <w:p w:rsidR="00BF544B" w:rsidRDefault="00BF544B">
      <w:pPr>
        <w:pStyle w:val="FootnoteText"/>
      </w:pPr>
      <w:r>
        <w:rPr>
          <w:rStyle w:val="FootnoteReference"/>
        </w:rPr>
        <w:footnoteRef/>
      </w:r>
      <w:r>
        <w:t xml:space="preserve"> Lavin and Boyle, “Goodness a</w:t>
      </w:r>
      <w:r w:rsidR="00975AF1">
        <w:t>nd Desire,” pp. 168-70.</w:t>
      </w:r>
    </w:p>
  </w:footnote>
  <w:footnote w:id="9">
    <w:p w:rsidR="00BF544B" w:rsidRDefault="00BF544B" w:rsidP="00134CCF">
      <w:pPr>
        <w:pStyle w:val="FootnoteText"/>
      </w:pPr>
      <w:r>
        <w:rPr>
          <w:rStyle w:val="FootnoteReference"/>
        </w:rPr>
        <w:footnoteRef/>
      </w:r>
      <w:r>
        <w:t xml:space="preserve"> For presentations of this prevailing form of the contrast, see Mark </w:t>
      </w:r>
      <w:proofErr w:type="spellStart"/>
      <w:r>
        <w:t>Platts</w:t>
      </w:r>
      <w:proofErr w:type="spellEnd"/>
      <w:r>
        <w:t xml:space="preserve">, </w:t>
      </w:r>
      <w:r w:rsidRPr="00B709B7">
        <w:rPr>
          <w:i/>
        </w:rPr>
        <w:t>Ways of Meaning</w:t>
      </w:r>
      <w:r>
        <w:t xml:space="preserve"> (London: </w:t>
      </w:r>
      <w:proofErr w:type="spellStart"/>
      <w:r>
        <w:t>Routledge</w:t>
      </w:r>
      <w:proofErr w:type="spellEnd"/>
      <w:r>
        <w:t xml:space="preserve">, 1979), pp. 256-7, </w:t>
      </w:r>
      <w:r w:rsidR="00A54CBB">
        <w:t xml:space="preserve">and </w:t>
      </w:r>
      <w:r>
        <w:t xml:space="preserve">Michael Smith, </w:t>
      </w:r>
      <w:r w:rsidRPr="00B709B7">
        <w:rPr>
          <w:i/>
        </w:rPr>
        <w:t>The Moral Problem</w:t>
      </w:r>
      <w:r>
        <w:t>,</w:t>
      </w:r>
      <w:r w:rsidR="00373D55">
        <w:t xml:space="preserve"> (Oxford: Blackwell, 1994),</w:t>
      </w:r>
      <w:r>
        <w:t xml:space="preserve"> pp. 111-11</w:t>
      </w:r>
      <w:r w:rsidR="00A54CBB">
        <w:t>9.  There are multiple</w:t>
      </w:r>
      <w:r>
        <w:t xml:space="preserve"> versions of this prevailing contrast, but it is the elements common to them that are relevan</w:t>
      </w:r>
      <w:r w:rsidR="00A54CBB">
        <w:t xml:space="preserve">t here.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911"/>
      <w:docPartObj>
        <w:docPartGallery w:val="Page Numbers (Top of Page)"/>
        <w:docPartUnique/>
      </w:docPartObj>
    </w:sdtPr>
    <w:sdtContent>
      <w:p w:rsidR="00BF544B" w:rsidRDefault="004E22EA">
        <w:pPr>
          <w:pStyle w:val="Header"/>
          <w:jc w:val="right"/>
        </w:pPr>
        <w:fldSimple w:instr=" PAGE   \* MERGEFORMAT ">
          <w:r w:rsidR="00496D57">
            <w:rPr>
              <w:noProof/>
            </w:rPr>
            <w:t>1</w:t>
          </w:r>
        </w:fldSimple>
      </w:p>
    </w:sdtContent>
  </w:sdt>
  <w:p w:rsidR="00BF544B" w:rsidRDefault="00BF5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D5B1F"/>
    <w:rsid w:val="00005AB8"/>
    <w:rsid w:val="000167AA"/>
    <w:rsid w:val="000306A0"/>
    <w:rsid w:val="00033C00"/>
    <w:rsid w:val="00045E67"/>
    <w:rsid w:val="000474BF"/>
    <w:rsid w:val="0005556E"/>
    <w:rsid w:val="00056C2A"/>
    <w:rsid w:val="0007076E"/>
    <w:rsid w:val="000778B5"/>
    <w:rsid w:val="000935DA"/>
    <w:rsid w:val="00093696"/>
    <w:rsid w:val="000A4635"/>
    <w:rsid w:val="000A5341"/>
    <w:rsid w:val="000B26DF"/>
    <w:rsid w:val="000C054E"/>
    <w:rsid w:val="000C308D"/>
    <w:rsid w:val="000C3135"/>
    <w:rsid w:val="000C41D8"/>
    <w:rsid w:val="000C5145"/>
    <w:rsid w:val="000D6491"/>
    <w:rsid w:val="000F0917"/>
    <w:rsid w:val="000F1782"/>
    <w:rsid w:val="000F56C2"/>
    <w:rsid w:val="00102962"/>
    <w:rsid w:val="001040FC"/>
    <w:rsid w:val="001051B1"/>
    <w:rsid w:val="00111664"/>
    <w:rsid w:val="00112B39"/>
    <w:rsid w:val="00122DD7"/>
    <w:rsid w:val="001270AF"/>
    <w:rsid w:val="00127D02"/>
    <w:rsid w:val="00133DD6"/>
    <w:rsid w:val="00134CCF"/>
    <w:rsid w:val="00137BDE"/>
    <w:rsid w:val="00140910"/>
    <w:rsid w:val="00144541"/>
    <w:rsid w:val="00146C75"/>
    <w:rsid w:val="001542DA"/>
    <w:rsid w:val="00155985"/>
    <w:rsid w:val="00171425"/>
    <w:rsid w:val="00173302"/>
    <w:rsid w:val="001803CE"/>
    <w:rsid w:val="001812ED"/>
    <w:rsid w:val="001849F2"/>
    <w:rsid w:val="00196561"/>
    <w:rsid w:val="001B54FF"/>
    <w:rsid w:val="001D3166"/>
    <w:rsid w:val="001E04EF"/>
    <w:rsid w:val="001E0BA7"/>
    <w:rsid w:val="001E58E0"/>
    <w:rsid w:val="001F461A"/>
    <w:rsid w:val="001F6085"/>
    <w:rsid w:val="00202EA0"/>
    <w:rsid w:val="00215B5C"/>
    <w:rsid w:val="00222CCF"/>
    <w:rsid w:val="00227C4D"/>
    <w:rsid w:val="002336FE"/>
    <w:rsid w:val="00243BB1"/>
    <w:rsid w:val="00244D2B"/>
    <w:rsid w:val="0026528E"/>
    <w:rsid w:val="0027197C"/>
    <w:rsid w:val="002724F0"/>
    <w:rsid w:val="00274CDD"/>
    <w:rsid w:val="002833EF"/>
    <w:rsid w:val="002914AE"/>
    <w:rsid w:val="00291DB5"/>
    <w:rsid w:val="0029398B"/>
    <w:rsid w:val="002B22BE"/>
    <w:rsid w:val="002C4C52"/>
    <w:rsid w:val="002D23A4"/>
    <w:rsid w:val="002D56FD"/>
    <w:rsid w:val="002F53ED"/>
    <w:rsid w:val="002F6201"/>
    <w:rsid w:val="0031292D"/>
    <w:rsid w:val="00313598"/>
    <w:rsid w:val="003241C1"/>
    <w:rsid w:val="0033531B"/>
    <w:rsid w:val="003415D6"/>
    <w:rsid w:val="00350814"/>
    <w:rsid w:val="003531E2"/>
    <w:rsid w:val="00356D2E"/>
    <w:rsid w:val="00361EF8"/>
    <w:rsid w:val="00373D55"/>
    <w:rsid w:val="00380FAB"/>
    <w:rsid w:val="00387EB8"/>
    <w:rsid w:val="00390EFB"/>
    <w:rsid w:val="00391723"/>
    <w:rsid w:val="003A6385"/>
    <w:rsid w:val="003A6C14"/>
    <w:rsid w:val="003B2005"/>
    <w:rsid w:val="003B4828"/>
    <w:rsid w:val="003C2246"/>
    <w:rsid w:val="003C7617"/>
    <w:rsid w:val="003E69D1"/>
    <w:rsid w:val="00402ED3"/>
    <w:rsid w:val="00403AC4"/>
    <w:rsid w:val="00405094"/>
    <w:rsid w:val="0041144F"/>
    <w:rsid w:val="004126B8"/>
    <w:rsid w:val="00421883"/>
    <w:rsid w:val="00433242"/>
    <w:rsid w:val="004332ED"/>
    <w:rsid w:val="00441FE1"/>
    <w:rsid w:val="004508D3"/>
    <w:rsid w:val="00454C8D"/>
    <w:rsid w:val="00455633"/>
    <w:rsid w:val="0045570B"/>
    <w:rsid w:val="00464831"/>
    <w:rsid w:val="00470E85"/>
    <w:rsid w:val="004768B3"/>
    <w:rsid w:val="004843E7"/>
    <w:rsid w:val="00484D3D"/>
    <w:rsid w:val="004905EE"/>
    <w:rsid w:val="00494603"/>
    <w:rsid w:val="00496D57"/>
    <w:rsid w:val="004A1D06"/>
    <w:rsid w:val="004A6EA1"/>
    <w:rsid w:val="004B4EA1"/>
    <w:rsid w:val="004E1EDF"/>
    <w:rsid w:val="004E22EA"/>
    <w:rsid w:val="004E523B"/>
    <w:rsid w:val="004F78E6"/>
    <w:rsid w:val="00521171"/>
    <w:rsid w:val="0052333E"/>
    <w:rsid w:val="00524C73"/>
    <w:rsid w:val="0053169B"/>
    <w:rsid w:val="0053655C"/>
    <w:rsid w:val="00543FC6"/>
    <w:rsid w:val="005446CC"/>
    <w:rsid w:val="00552726"/>
    <w:rsid w:val="00554C31"/>
    <w:rsid w:val="00557A8A"/>
    <w:rsid w:val="00580E5E"/>
    <w:rsid w:val="005830DC"/>
    <w:rsid w:val="00594067"/>
    <w:rsid w:val="005A65F5"/>
    <w:rsid w:val="005C5374"/>
    <w:rsid w:val="005D32D7"/>
    <w:rsid w:val="005D3900"/>
    <w:rsid w:val="005D7F87"/>
    <w:rsid w:val="005E126A"/>
    <w:rsid w:val="005F0431"/>
    <w:rsid w:val="005F3CA8"/>
    <w:rsid w:val="00606A17"/>
    <w:rsid w:val="0061264C"/>
    <w:rsid w:val="0061510A"/>
    <w:rsid w:val="00615814"/>
    <w:rsid w:val="0062070C"/>
    <w:rsid w:val="00636452"/>
    <w:rsid w:val="00644CF7"/>
    <w:rsid w:val="00647BD6"/>
    <w:rsid w:val="00653DD3"/>
    <w:rsid w:val="0065669F"/>
    <w:rsid w:val="00661D12"/>
    <w:rsid w:val="00677491"/>
    <w:rsid w:val="00684642"/>
    <w:rsid w:val="00686492"/>
    <w:rsid w:val="0069281F"/>
    <w:rsid w:val="0069345B"/>
    <w:rsid w:val="00694640"/>
    <w:rsid w:val="00697845"/>
    <w:rsid w:val="006A63E2"/>
    <w:rsid w:val="006B77CC"/>
    <w:rsid w:val="006C025B"/>
    <w:rsid w:val="006C5D9E"/>
    <w:rsid w:val="006D4647"/>
    <w:rsid w:val="006F6CFA"/>
    <w:rsid w:val="00701C2E"/>
    <w:rsid w:val="00721A4B"/>
    <w:rsid w:val="007248FB"/>
    <w:rsid w:val="007263EB"/>
    <w:rsid w:val="00727DF7"/>
    <w:rsid w:val="00731B3A"/>
    <w:rsid w:val="00731FC1"/>
    <w:rsid w:val="00742D39"/>
    <w:rsid w:val="0076061D"/>
    <w:rsid w:val="00760710"/>
    <w:rsid w:val="007629EE"/>
    <w:rsid w:val="007737D4"/>
    <w:rsid w:val="00776D57"/>
    <w:rsid w:val="0077754E"/>
    <w:rsid w:val="00780674"/>
    <w:rsid w:val="00783E6F"/>
    <w:rsid w:val="007871D6"/>
    <w:rsid w:val="00787788"/>
    <w:rsid w:val="00790C17"/>
    <w:rsid w:val="007A03CF"/>
    <w:rsid w:val="007A4C37"/>
    <w:rsid w:val="007C1BAF"/>
    <w:rsid w:val="007C30ED"/>
    <w:rsid w:val="007C5546"/>
    <w:rsid w:val="007C7C48"/>
    <w:rsid w:val="007D1205"/>
    <w:rsid w:val="007D4F2C"/>
    <w:rsid w:val="00801CEB"/>
    <w:rsid w:val="0080606A"/>
    <w:rsid w:val="00823914"/>
    <w:rsid w:val="00826AFA"/>
    <w:rsid w:val="0082708C"/>
    <w:rsid w:val="00831815"/>
    <w:rsid w:val="00834ABA"/>
    <w:rsid w:val="00837612"/>
    <w:rsid w:val="00842398"/>
    <w:rsid w:val="008439E6"/>
    <w:rsid w:val="00846E83"/>
    <w:rsid w:val="00850709"/>
    <w:rsid w:val="00851361"/>
    <w:rsid w:val="00865B0D"/>
    <w:rsid w:val="00874E86"/>
    <w:rsid w:val="00876D19"/>
    <w:rsid w:val="00877C72"/>
    <w:rsid w:val="00880594"/>
    <w:rsid w:val="0088242C"/>
    <w:rsid w:val="00886762"/>
    <w:rsid w:val="00896A7C"/>
    <w:rsid w:val="008A098B"/>
    <w:rsid w:val="008A713C"/>
    <w:rsid w:val="008B1C28"/>
    <w:rsid w:val="008C2109"/>
    <w:rsid w:val="008D1522"/>
    <w:rsid w:val="008D4679"/>
    <w:rsid w:val="008D60A8"/>
    <w:rsid w:val="008E1B0D"/>
    <w:rsid w:val="008E719F"/>
    <w:rsid w:val="008F4F84"/>
    <w:rsid w:val="00904750"/>
    <w:rsid w:val="00922E5A"/>
    <w:rsid w:val="009242B4"/>
    <w:rsid w:val="00925B59"/>
    <w:rsid w:val="00953DC2"/>
    <w:rsid w:val="00973455"/>
    <w:rsid w:val="00973584"/>
    <w:rsid w:val="00975AF1"/>
    <w:rsid w:val="00976C9E"/>
    <w:rsid w:val="00977BB7"/>
    <w:rsid w:val="0099242D"/>
    <w:rsid w:val="00993B6B"/>
    <w:rsid w:val="009A71CF"/>
    <w:rsid w:val="009B6568"/>
    <w:rsid w:val="009C4A98"/>
    <w:rsid w:val="009D537A"/>
    <w:rsid w:val="009E074C"/>
    <w:rsid w:val="009E5A33"/>
    <w:rsid w:val="009F061D"/>
    <w:rsid w:val="009F2AFA"/>
    <w:rsid w:val="009F44AD"/>
    <w:rsid w:val="009F4D2D"/>
    <w:rsid w:val="00A00220"/>
    <w:rsid w:val="00A02C85"/>
    <w:rsid w:val="00A03374"/>
    <w:rsid w:val="00A12299"/>
    <w:rsid w:val="00A16979"/>
    <w:rsid w:val="00A3099E"/>
    <w:rsid w:val="00A3533F"/>
    <w:rsid w:val="00A36569"/>
    <w:rsid w:val="00A41295"/>
    <w:rsid w:val="00A42052"/>
    <w:rsid w:val="00A5064D"/>
    <w:rsid w:val="00A54CBB"/>
    <w:rsid w:val="00A60290"/>
    <w:rsid w:val="00A82417"/>
    <w:rsid w:val="00A864F2"/>
    <w:rsid w:val="00A96193"/>
    <w:rsid w:val="00AC3A39"/>
    <w:rsid w:val="00AC61D9"/>
    <w:rsid w:val="00AC65AA"/>
    <w:rsid w:val="00AD0928"/>
    <w:rsid w:val="00AD6802"/>
    <w:rsid w:val="00B06FEA"/>
    <w:rsid w:val="00B13191"/>
    <w:rsid w:val="00B15DAB"/>
    <w:rsid w:val="00B17D43"/>
    <w:rsid w:val="00B21448"/>
    <w:rsid w:val="00B30B66"/>
    <w:rsid w:val="00B3389A"/>
    <w:rsid w:val="00B3605E"/>
    <w:rsid w:val="00B434B6"/>
    <w:rsid w:val="00B436A5"/>
    <w:rsid w:val="00B44953"/>
    <w:rsid w:val="00B45FEA"/>
    <w:rsid w:val="00B47549"/>
    <w:rsid w:val="00B54AF3"/>
    <w:rsid w:val="00B55703"/>
    <w:rsid w:val="00B619B7"/>
    <w:rsid w:val="00B65FA7"/>
    <w:rsid w:val="00B67B98"/>
    <w:rsid w:val="00B67FA9"/>
    <w:rsid w:val="00B73ADA"/>
    <w:rsid w:val="00B769DA"/>
    <w:rsid w:val="00B77E8C"/>
    <w:rsid w:val="00B8044E"/>
    <w:rsid w:val="00B87014"/>
    <w:rsid w:val="00BA22E7"/>
    <w:rsid w:val="00BB1336"/>
    <w:rsid w:val="00BB4568"/>
    <w:rsid w:val="00BB6AD8"/>
    <w:rsid w:val="00BD1D3E"/>
    <w:rsid w:val="00BD30CA"/>
    <w:rsid w:val="00BD5B1F"/>
    <w:rsid w:val="00BE0126"/>
    <w:rsid w:val="00BE3569"/>
    <w:rsid w:val="00BE3F6D"/>
    <w:rsid w:val="00BF0E9D"/>
    <w:rsid w:val="00BF23C3"/>
    <w:rsid w:val="00BF544B"/>
    <w:rsid w:val="00C112A2"/>
    <w:rsid w:val="00C13236"/>
    <w:rsid w:val="00C2333E"/>
    <w:rsid w:val="00C24E7A"/>
    <w:rsid w:val="00C25730"/>
    <w:rsid w:val="00C27382"/>
    <w:rsid w:val="00C362E6"/>
    <w:rsid w:val="00C445FD"/>
    <w:rsid w:val="00C55AF4"/>
    <w:rsid w:val="00C73A4A"/>
    <w:rsid w:val="00C92073"/>
    <w:rsid w:val="00CB240B"/>
    <w:rsid w:val="00CB7C36"/>
    <w:rsid w:val="00CC15A7"/>
    <w:rsid w:val="00CC3D9D"/>
    <w:rsid w:val="00CE5CAB"/>
    <w:rsid w:val="00D0231B"/>
    <w:rsid w:val="00D0265D"/>
    <w:rsid w:val="00D027C3"/>
    <w:rsid w:val="00D06137"/>
    <w:rsid w:val="00D10CC4"/>
    <w:rsid w:val="00D12C78"/>
    <w:rsid w:val="00D1642E"/>
    <w:rsid w:val="00D24CEE"/>
    <w:rsid w:val="00D309FE"/>
    <w:rsid w:val="00D31235"/>
    <w:rsid w:val="00D36B6B"/>
    <w:rsid w:val="00D37FC1"/>
    <w:rsid w:val="00D426D7"/>
    <w:rsid w:val="00D46934"/>
    <w:rsid w:val="00D5362B"/>
    <w:rsid w:val="00D5727F"/>
    <w:rsid w:val="00D737B2"/>
    <w:rsid w:val="00D84DA8"/>
    <w:rsid w:val="00DA62C2"/>
    <w:rsid w:val="00DB6997"/>
    <w:rsid w:val="00DB7CC8"/>
    <w:rsid w:val="00DD5334"/>
    <w:rsid w:val="00E02E77"/>
    <w:rsid w:val="00E038DF"/>
    <w:rsid w:val="00E1495E"/>
    <w:rsid w:val="00E1724D"/>
    <w:rsid w:val="00E205CD"/>
    <w:rsid w:val="00E2407C"/>
    <w:rsid w:val="00E4487E"/>
    <w:rsid w:val="00E4713E"/>
    <w:rsid w:val="00E47B9E"/>
    <w:rsid w:val="00E50D63"/>
    <w:rsid w:val="00E51F1A"/>
    <w:rsid w:val="00E54491"/>
    <w:rsid w:val="00E64D73"/>
    <w:rsid w:val="00E70B01"/>
    <w:rsid w:val="00E82A75"/>
    <w:rsid w:val="00E87BED"/>
    <w:rsid w:val="00E9668A"/>
    <w:rsid w:val="00E97929"/>
    <w:rsid w:val="00EA5754"/>
    <w:rsid w:val="00EA6D6F"/>
    <w:rsid w:val="00EC5860"/>
    <w:rsid w:val="00EC5C84"/>
    <w:rsid w:val="00EC63D7"/>
    <w:rsid w:val="00EC6A96"/>
    <w:rsid w:val="00EC6F4C"/>
    <w:rsid w:val="00ED5174"/>
    <w:rsid w:val="00F10854"/>
    <w:rsid w:val="00F15756"/>
    <w:rsid w:val="00F171D0"/>
    <w:rsid w:val="00F30DA4"/>
    <w:rsid w:val="00F33FB2"/>
    <w:rsid w:val="00F34719"/>
    <w:rsid w:val="00F3618A"/>
    <w:rsid w:val="00F37AD5"/>
    <w:rsid w:val="00F401E2"/>
    <w:rsid w:val="00F51CB1"/>
    <w:rsid w:val="00F54C03"/>
    <w:rsid w:val="00F67720"/>
    <w:rsid w:val="00F700CD"/>
    <w:rsid w:val="00F731E7"/>
    <w:rsid w:val="00F74927"/>
    <w:rsid w:val="00F76DCC"/>
    <w:rsid w:val="00F95163"/>
    <w:rsid w:val="00F96068"/>
    <w:rsid w:val="00FA7762"/>
    <w:rsid w:val="00FD035D"/>
    <w:rsid w:val="00FD5608"/>
    <w:rsid w:val="00FD5901"/>
    <w:rsid w:val="00FD5E74"/>
    <w:rsid w:val="00FE3784"/>
    <w:rsid w:val="00FE5449"/>
    <w:rsid w:val="00FF0FE8"/>
    <w:rsid w:val="00FF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1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815"/>
    <w:rPr>
      <w:sz w:val="20"/>
      <w:szCs w:val="20"/>
    </w:rPr>
  </w:style>
  <w:style w:type="character" w:styleId="FootnoteReference">
    <w:name w:val="footnote reference"/>
    <w:basedOn w:val="DefaultParagraphFont"/>
    <w:uiPriority w:val="99"/>
    <w:semiHidden/>
    <w:unhideWhenUsed/>
    <w:rsid w:val="00831815"/>
    <w:rPr>
      <w:vertAlign w:val="superscript"/>
    </w:rPr>
  </w:style>
  <w:style w:type="paragraph" w:styleId="Header">
    <w:name w:val="header"/>
    <w:basedOn w:val="Normal"/>
    <w:link w:val="HeaderChar"/>
    <w:uiPriority w:val="99"/>
    <w:unhideWhenUsed/>
    <w:rsid w:val="00A8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17"/>
  </w:style>
  <w:style w:type="paragraph" w:styleId="Footer">
    <w:name w:val="footer"/>
    <w:basedOn w:val="Normal"/>
    <w:link w:val="FooterChar"/>
    <w:uiPriority w:val="99"/>
    <w:unhideWhenUsed/>
    <w:rsid w:val="00A8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17"/>
  </w:style>
</w:styles>
</file>

<file path=word/webSettings.xml><?xml version="1.0" encoding="utf-8"?>
<w:webSettings xmlns:r="http://schemas.openxmlformats.org/officeDocument/2006/relationships" xmlns:w="http://schemas.openxmlformats.org/wordprocessingml/2006/main">
  <w:divs>
    <w:div w:id="918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A296B-98A6-4A37-B28C-E3247883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11</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Information Systems</cp:lastModifiedBy>
  <cp:revision>20</cp:revision>
  <cp:lastPrinted>2013-07-09T18:06:00Z</cp:lastPrinted>
  <dcterms:created xsi:type="dcterms:W3CDTF">2013-06-24T23:20:00Z</dcterms:created>
  <dcterms:modified xsi:type="dcterms:W3CDTF">2013-07-15T23:35:00Z</dcterms:modified>
</cp:coreProperties>
</file>