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BF" w:rsidRDefault="0034114F">
      <w:pPr>
        <w:spacing w:line="360" w:lineRule="auto"/>
        <w:rPr>
          <w:b/>
          <w:bCs/>
        </w:rPr>
      </w:pPr>
      <w:bookmarkStart w:id="0" w:name="__DdeLink__8507_37875301"/>
      <w:bookmarkEnd w:id="0"/>
      <w:r>
        <w:rPr>
          <w:b/>
          <w:bCs/>
        </w:rPr>
        <w:t xml:space="preserve">Being as Iconic: Aquinas on </w:t>
      </w:r>
      <w:r w:rsidR="00956DD4">
        <w:rPr>
          <w:b/>
          <w:bCs/>
        </w:rPr>
        <w:t>‘</w:t>
      </w:r>
      <w:r>
        <w:rPr>
          <w:b/>
          <w:bCs/>
        </w:rPr>
        <w:t>He Who Is</w:t>
      </w:r>
      <w:r w:rsidR="00956DD4">
        <w:rPr>
          <w:b/>
          <w:bCs/>
        </w:rPr>
        <w:t>’</w:t>
      </w:r>
      <w:r>
        <w:rPr>
          <w:b/>
          <w:bCs/>
        </w:rPr>
        <w:t xml:space="preserve"> as Name for God</w:t>
      </w:r>
    </w:p>
    <w:p w:rsidR="00667BBF" w:rsidRDefault="00667BBF" w:rsidP="00667BBF">
      <w:pPr>
        <w:widowControl/>
        <w:overflowPunct/>
        <w:jc w:val="both"/>
        <w:rPr>
          <w:bCs/>
          <w:i/>
        </w:rPr>
      </w:pPr>
      <w:r>
        <w:rPr>
          <w:bCs/>
          <w:i/>
        </w:rPr>
        <w:t>James Dominic Rooney</w:t>
      </w:r>
    </w:p>
    <w:p w:rsidR="00667BBF" w:rsidRDefault="00667BBF" w:rsidP="00667BBF">
      <w:pPr>
        <w:widowControl/>
        <w:overflowPunct/>
        <w:jc w:val="both"/>
        <w:rPr>
          <w:bCs/>
          <w:i/>
        </w:rPr>
      </w:pPr>
    </w:p>
    <w:p w:rsidR="00667BBF" w:rsidRDefault="00667BBF" w:rsidP="00667BBF">
      <w:pPr>
        <w:widowControl/>
        <w:overflowPunct/>
        <w:jc w:val="both"/>
        <w:rPr>
          <w:b/>
          <w:bCs/>
        </w:rPr>
      </w:pPr>
      <w:r w:rsidRPr="00ED1E52">
        <w:rPr>
          <w:bCs/>
          <w:u w:val="single"/>
        </w:rPr>
        <w:t>Abstract</w:t>
      </w:r>
      <w:r>
        <w:rPr>
          <w:b/>
          <w:bCs/>
        </w:rPr>
        <w:t>:</w:t>
      </w:r>
    </w:p>
    <w:p w:rsidR="00667BBF" w:rsidRPr="00667BBF" w:rsidRDefault="00667BBF" w:rsidP="00667BBF">
      <w:pPr>
        <w:widowControl/>
        <w:overflowPunct/>
        <w:jc w:val="both"/>
        <w:rPr>
          <w:bCs/>
        </w:rPr>
      </w:pPr>
    </w:p>
    <w:p w:rsidR="00ED1E52" w:rsidRPr="00ED1E52" w:rsidRDefault="00ED1E52" w:rsidP="00ED1E52">
      <w:pPr>
        <w:spacing w:line="360" w:lineRule="auto"/>
        <w:ind w:firstLine="709"/>
        <w:rPr>
          <w:bCs/>
        </w:rPr>
      </w:pPr>
      <w:r w:rsidRPr="00ED1E52">
        <w:rPr>
          <w:bCs/>
        </w:rPr>
        <w:t xml:space="preserve">Aquinas claims that ‘He Who Is’ is the most proper of the names we have for God.  But this attempt to ‘describe’ God with a philosophical concept like ‘being’ can seem dangerously close to creating a false conception based on our limited understanding – an idol. </w:t>
      </w:r>
      <w:r>
        <w:rPr>
          <w:bCs/>
        </w:rPr>
        <w:t>A</w:t>
      </w:r>
      <w:r w:rsidRPr="00ED1E52">
        <w:rPr>
          <w:bCs/>
        </w:rPr>
        <w:t xml:space="preserve"> dominant </w:t>
      </w:r>
      <w:r>
        <w:rPr>
          <w:bCs/>
        </w:rPr>
        <w:t>criticism of Aquinas’ use of this term</w:t>
      </w:r>
      <w:r w:rsidRPr="00ED1E52">
        <w:rPr>
          <w:bCs/>
        </w:rPr>
        <w:t xml:space="preserve"> is that any </w:t>
      </w:r>
      <w:proofErr w:type="gramStart"/>
      <w:r w:rsidRPr="00ED1E52">
        <w:rPr>
          <w:bCs/>
        </w:rPr>
        <w:t>attempt to use ‘being’ to describe God will inevitably make</w:t>
      </w:r>
      <w:proofErr w:type="gramEnd"/>
      <w:r w:rsidRPr="00ED1E52">
        <w:rPr>
          <w:bCs/>
        </w:rPr>
        <w:t xml:space="preserve"> Him merely some object in our ontology alongside other </w:t>
      </w:r>
      <w:r>
        <w:rPr>
          <w:bCs/>
        </w:rPr>
        <w:t>beings,</w:t>
      </w:r>
      <w:r w:rsidRPr="00ED1E52">
        <w:rPr>
          <w:bCs/>
        </w:rPr>
        <w:t xml:space="preserve"> unacceptably mitigat</w:t>
      </w:r>
      <w:r>
        <w:rPr>
          <w:bCs/>
        </w:rPr>
        <w:t>ing</w:t>
      </w:r>
      <w:r w:rsidRPr="00ED1E52">
        <w:rPr>
          <w:bCs/>
        </w:rPr>
        <w:t xml:space="preserve"> God's radical transcendence and otherness.  </w:t>
      </w:r>
      <w:r>
        <w:rPr>
          <w:bCs/>
        </w:rPr>
        <w:t xml:space="preserve">I will argue that </w:t>
      </w:r>
      <w:r w:rsidRPr="00ED1E52">
        <w:rPr>
          <w:bCs/>
        </w:rPr>
        <w:t xml:space="preserve">Aquinas has a very creative response to this charge: ‘being’ stands in a unique relationship as the only concept that can ensure we do not draw God under some particular creaturely limit and thus use divine names to create an ‘idol.’ </w:t>
      </w:r>
      <w:r>
        <w:rPr>
          <w:bCs/>
        </w:rPr>
        <w:t xml:space="preserve">In other words, </w:t>
      </w:r>
      <w:r w:rsidRPr="00ED1E52">
        <w:rPr>
          <w:bCs/>
        </w:rPr>
        <w:t xml:space="preserve">‘being’ is a special paradigm concept/term which ensures we preserve humility in our attempts to name God. </w:t>
      </w:r>
    </w:p>
    <w:p w:rsidR="00916DBC" w:rsidRDefault="0034114F" w:rsidP="00916DBC">
      <w:pPr>
        <w:spacing w:line="360" w:lineRule="auto"/>
      </w:pPr>
      <w:r w:rsidRPr="00ED1E52">
        <w:tab/>
      </w:r>
    </w:p>
    <w:p w:rsidR="00916DBC" w:rsidRDefault="00916DBC" w:rsidP="00916DBC">
      <w:pPr>
        <w:spacing w:line="360" w:lineRule="auto"/>
      </w:pPr>
      <w:r>
        <w:t xml:space="preserve">[DRAFT COPY – DO </w:t>
      </w:r>
      <w:r w:rsidR="006E56DA">
        <w:t xml:space="preserve">NOT </w:t>
      </w:r>
      <w:r w:rsidR="006E56DA">
        <w:t xml:space="preserve">CITE OR </w:t>
      </w:r>
      <w:r w:rsidR="006E56DA">
        <w:t xml:space="preserve">SHARE </w:t>
      </w:r>
      <w:r>
        <w:t>WITHOUT EXPLICIT WRITTEN PERMISSION]</w:t>
      </w:r>
    </w:p>
    <w:p w:rsidR="00916DBC" w:rsidRDefault="00916DBC">
      <w:pPr>
        <w:widowControl/>
        <w:overflowPunct/>
      </w:pPr>
      <w:r>
        <w:br w:type="page"/>
      </w:r>
      <w:bookmarkStart w:id="1" w:name="_GoBack"/>
      <w:bookmarkEnd w:id="1"/>
    </w:p>
    <w:p w:rsidR="00705E6D" w:rsidRDefault="0034114F" w:rsidP="00667BBF">
      <w:pPr>
        <w:spacing w:line="360" w:lineRule="auto"/>
        <w:ind w:firstLine="709"/>
      </w:pPr>
      <w:r>
        <w:lastRenderedPageBreak/>
        <w:t xml:space="preserve">There is a common misunderstanding of the position Thomas Aquinas takes in regard to his doctrine of divine names, or how we predicate terms of God. Aquinas claims that </w:t>
      </w:r>
      <w:r w:rsidR="00956DD4">
        <w:t>‘</w:t>
      </w:r>
      <w:r>
        <w:t>He Who Is</w:t>
      </w:r>
      <w:r w:rsidR="00956DD4">
        <w:t>’</w:t>
      </w:r>
      <w:r>
        <w:t xml:space="preserve"> is the most proper of the names we have for God.</w:t>
      </w:r>
      <w:r>
        <w:rPr>
          <w:rStyle w:val="FootnoteAnchor"/>
        </w:rPr>
        <w:footnoteReference w:id="1"/>
      </w:r>
      <w:r>
        <w:t xml:space="preserve"> But this attempt to </w:t>
      </w:r>
      <w:r w:rsidR="00956DD4">
        <w:t>‘</w:t>
      </w:r>
      <w:r>
        <w:t>describe</w:t>
      </w:r>
      <w:r w:rsidR="00956DD4">
        <w:t>’</w:t>
      </w:r>
      <w:r>
        <w:t xml:space="preserve"> God with a philosophical concept like </w:t>
      </w:r>
      <w:r w:rsidR="00956DD4">
        <w:t>‘</w:t>
      </w:r>
      <w:r>
        <w:t>being</w:t>
      </w:r>
      <w:r w:rsidR="00956DD4">
        <w:t>’</w:t>
      </w:r>
      <w:r>
        <w:t xml:space="preserve"> can seem dangerously close to creating a false conception based on our limited understanding – an idol. When we consider that all of our concepts are derived from what we know of created things, we could be deceiving ourselves with our own ideas rather than allowing God to be known as He really is. This is broadly how Jean-Luc Marion, for instance, has read the metaphysical tradition; he has argued that the attempt of metaphysicians to describe God as </w:t>
      </w:r>
      <w:r w:rsidR="00956DD4">
        <w:t>‘</w:t>
      </w:r>
      <w:r>
        <w:t xml:space="preserve">being </w:t>
      </w:r>
      <w:proofErr w:type="gramStart"/>
      <w:r>
        <w:t>itself</w:t>
      </w:r>
      <w:proofErr w:type="gramEnd"/>
      <w:r w:rsidR="00956DD4">
        <w:t>’</w:t>
      </w:r>
      <w:r>
        <w:t xml:space="preserve"> has been an exercise in intellectual </w:t>
      </w:r>
      <w:r>
        <w:rPr>
          <w:i/>
          <w:iCs/>
        </w:rPr>
        <w:t>hubris.</w:t>
      </w:r>
      <w:r>
        <w:rPr>
          <w:rStyle w:val="FootnoteAnchor"/>
          <w:i/>
          <w:iCs/>
        </w:rPr>
        <w:footnoteReference w:id="2"/>
      </w:r>
      <w:r>
        <w:t xml:space="preserve"> </w:t>
      </w:r>
    </w:p>
    <w:p w:rsidR="00705E6D" w:rsidRDefault="0034114F">
      <w:pPr>
        <w:spacing w:line="360" w:lineRule="auto"/>
      </w:pPr>
      <w:r>
        <w:tab/>
        <w:t>The criticism (</w:t>
      </w:r>
      <w:proofErr w:type="spellStart"/>
      <w:r>
        <w:t>Heideggarian</w:t>
      </w:r>
      <w:proofErr w:type="spellEnd"/>
      <w:r>
        <w:t xml:space="preserve"> in origin) that Aquinas is engaging in illicit </w:t>
      </w:r>
      <w:r w:rsidR="00956DD4">
        <w:t>‘</w:t>
      </w:r>
      <w:r>
        <w:t>onto-theology</w:t>
      </w:r>
      <w:r w:rsidR="00956DD4">
        <w:t>’</w:t>
      </w:r>
      <w:r>
        <w:t xml:space="preserve"> is in the background of Marion's claims that this is a form of idolatry. The dominant idea is that any attempt to use </w:t>
      </w:r>
      <w:r w:rsidR="00956DD4">
        <w:t>‘</w:t>
      </w:r>
      <w:r>
        <w:t>being</w:t>
      </w:r>
      <w:r w:rsidR="00956DD4">
        <w:t>’</w:t>
      </w:r>
      <w:r>
        <w:t xml:space="preserve"> to describe God will inevitably make Him merely some object in our ontology alongside other beings – and this in serves to unacceptably mitigate God's radical transcendence and otherness.</w:t>
      </w:r>
      <w:r>
        <w:rPr>
          <w:rStyle w:val="FootnoteAnchor"/>
        </w:rPr>
        <w:footnoteReference w:id="3"/>
      </w:r>
      <w:r>
        <w:t xml:space="preserve"> While it seems plausible to me that a careful reading of Aquinas exempts him from the charge of </w:t>
      </w:r>
      <w:r w:rsidR="00956DD4">
        <w:t>‘</w:t>
      </w:r>
      <w:r>
        <w:t>onto-theology</w:t>
      </w:r>
      <w:r w:rsidR="00956DD4">
        <w:t>’</w:t>
      </w:r>
      <w:r>
        <w:t xml:space="preserve">, I will focus on a more fundamental response. Aquinas has a very creative response to this charge: </w:t>
      </w:r>
      <w:r w:rsidR="00956DD4">
        <w:t>‘</w:t>
      </w:r>
      <w:r>
        <w:t>being</w:t>
      </w:r>
      <w:r w:rsidR="00956DD4">
        <w:t>’</w:t>
      </w:r>
      <w:r>
        <w:t xml:space="preserve"> stands in a unique relationship as the </w:t>
      </w:r>
      <w:r>
        <w:rPr>
          <w:i/>
          <w:iCs/>
        </w:rPr>
        <w:t>only</w:t>
      </w:r>
      <w:r>
        <w:t xml:space="preserve"> </w:t>
      </w:r>
      <w:r w:rsidRPr="007F7EDF">
        <w:t xml:space="preserve">concept that can ensure we do not draw God under some particular creaturely limit and thus use divine names to create an </w:t>
      </w:r>
      <w:r w:rsidR="00956DD4">
        <w:t>‘</w:t>
      </w:r>
      <w:r w:rsidRPr="007F7EDF">
        <w:t>idol.</w:t>
      </w:r>
      <w:r w:rsidR="00956DD4">
        <w:t>’</w:t>
      </w:r>
      <w:r w:rsidRPr="007F7EDF">
        <w:t xml:space="preserve"> </w:t>
      </w:r>
      <w:r w:rsidR="00056CA2" w:rsidRPr="007F7EDF">
        <w:t>This is true even if, as Aquinas notes, any positive</w:t>
      </w:r>
      <w:r w:rsidR="00DB3062" w:rsidRPr="007F7EDF">
        <w:t xml:space="preserve"> </w:t>
      </w:r>
      <w:r w:rsidR="00956DD4">
        <w:t>‘</w:t>
      </w:r>
      <w:r w:rsidR="00DB3062" w:rsidRPr="007F7EDF">
        <w:t>pure</w:t>
      </w:r>
      <w:r w:rsidR="00056CA2" w:rsidRPr="007F7EDF">
        <w:t xml:space="preserve"> perfection</w:t>
      </w:r>
      <w:r w:rsidR="00956DD4">
        <w:t>’</w:t>
      </w:r>
      <w:r w:rsidR="00056CA2" w:rsidRPr="007F7EDF">
        <w:t xml:space="preserve"> may be </w:t>
      </w:r>
      <w:r w:rsidR="00DB3062" w:rsidRPr="007F7EDF">
        <w:t>termed</w:t>
      </w:r>
      <w:r w:rsidR="00056CA2" w:rsidRPr="007F7EDF">
        <w:t xml:space="preserve"> </w:t>
      </w:r>
      <w:proofErr w:type="spellStart"/>
      <w:r w:rsidR="00056CA2" w:rsidRPr="007F7EDF">
        <w:rPr>
          <w:i/>
        </w:rPr>
        <w:t>proprie</w:t>
      </w:r>
      <w:proofErr w:type="spellEnd"/>
      <w:r w:rsidR="00056CA2" w:rsidRPr="007F7EDF">
        <w:rPr>
          <w:i/>
        </w:rPr>
        <w:t xml:space="preserve"> </w:t>
      </w:r>
      <w:r w:rsidR="00056CA2" w:rsidRPr="007F7EDF">
        <w:t>of God</w:t>
      </w:r>
      <w:r w:rsidR="00DB3062" w:rsidRPr="007F7EDF">
        <w:t xml:space="preserve"> (e.g., God is literally and really </w:t>
      </w:r>
      <w:r w:rsidR="00956DD4">
        <w:t>‘</w:t>
      </w:r>
      <w:r w:rsidR="00DB3062" w:rsidRPr="007F7EDF">
        <w:t>wise</w:t>
      </w:r>
      <w:r w:rsidR="00956DD4">
        <w:t>’</w:t>
      </w:r>
      <w:r w:rsidR="00DB3062" w:rsidRPr="007F7EDF">
        <w:t>)</w:t>
      </w:r>
      <w:r w:rsidR="00056CA2" w:rsidRPr="007F7EDF">
        <w:t>.</w:t>
      </w:r>
      <w:r w:rsidR="0046518F" w:rsidRPr="007F7EDF">
        <w:rPr>
          <w:rStyle w:val="FootnoteReference"/>
        </w:rPr>
        <w:footnoteReference w:id="4"/>
      </w:r>
      <w:r w:rsidR="00056CA2" w:rsidRPr="007F7EDF">
        <w:t xml:space="preserve"> </w:t>
      </w:r>
      <w:r w:rsidR="00B955F7" w:rsidRPr="007F7EDF">
        <w:t xml:space="preserve">As </w:t>
      </w:r>
      <w:r w:rsidR="00DB3062" w:rsidRPr="007F7EDF">
        <w:t>I will argue,</w:t>
      </w:r>
      <w:r w:rsidR="00056CA2" w:rsidRPr="007F7EDF">
        <w:t xml:space="preserve"> </w:t>
      </w:r>
      <w:r w:rsidR="00956DD4">
        <w:t>‘</w:t>
      </w:r>
      <w:r w:rsidR="00056CA2" w:rsidRPr="007F7EDF">
        <w:t>being</w:t>
      </w:r>
      <w:r w:rsidR="00956DD4">
        <w:t>’</w:t>
      </w:r>
      <w:r w:rsidR="00056CA2" w:rsidRPr="007F7EDF">
        <w:t xml:space="preserve"> may be thought of as the logical term </w:t>
      </w:r>
      <w:r w:rsidR="0046518F" w:rsidRPr="007F7EDF">
        <w:t>by</w:t>
      </w:r>
      <w:r w:rsidR="00056CA2" w:rsidRPr="007F7EDF">
        <w:t xml:space="preserve"> which all other positive perfections are related</w:t>
      </w:r>
      <w:r w:rsidR="0046518F" w:rsidRPr="007F7EDF">
        <w:t xml:space="preserve"> appropriately to the divine na</w:t>
      </w:r>
      <w:r w:rsidR="0046518F">
        <w:t>ture</w:t>
      </w:r>
      <w:r w:rsidR="00B955F7">
        <w:t>. I</w:t>
      </w:r>
      <w:r w:rsidR="0046518F">
        <w:t xml:space="preserve">t is in the overarching context of appropriate metaphysical distinctions between God and </w:t>
      </w:r>
      <w:r w:rsidR="0056074C">
        <w:t xml:space="preserve">creation (supplied by a divine name like </w:t>
      </w:r>
      <w:proofErr w:type="spellStart"/>
      <w:r w:rsidR="0056074C" w:rsidRPr="0056074C">
        <w:rPr>
          <w:i/>
        </w:rPr>
        <w:t>esse</w:t>
      </w:r>
      <w:proofErr w:type="spellEnd"/>
      <w:r w:rsidR="0056074C" w:rsidRPr="0056074C">
        <w:rPr>
          <w:i/>
        </w:rPr>
        <w:t xml:space="preserve"> ipsum </w:t>
      </w:r>
      <w:proofErr w:type="spellStart"/>
      <w:r w:rsidR="0056074C" w:rsidRPr="0056074C">
        <w:rPr>
          <w:i/>
        </w:rPr>
        <w:t>subsistens</w:t>
      </w:r>
      <w:proofErr w:type="spellEnd"/>
      <w:r w:rsidR="0056074C">
        <w:t>)</w:t>
      </w:r>
      <w:r w:rsidR="0046518F">
        <w:t xml:space="preserve"> that any more creaturely </w:t>
      </w:r>
      <w:r w:rsidR="00956DD4">
        <w:t>‘</w:t>
      </w:r>
      <w:r w:rsidR="0046518F">
        <w:t>positive perfection</w:t>
      </w:r>
      <w:r w:rsidR="0056695A">
        <w:t>’,</w:t>
      </w:r>
      <w:r w:rsidR="0046518F">
        <w:t xml:space="preserve"> such as </w:t>
      </w:r>
      <w:r w:rsidR="00956DD4">
        <w:t>‘</w:t>
      </w:r>
      <w:r w:rsidR="0046518F">
        <w:t>power</w:t>
      </w:r>
      <w:r w:rsidR="00956DD4">
        <w:t>’</w:t>
      </w:r>
      <w:r w:rsidR="0046518F">
        <w:t xml:space="preserve"> or </w:t>
      </w:r>
      <w:r w:rsidR="00956DD4">
        <w:t>‘</w:t>
      </w:r>
      <w:r w:rsidR="0046518F">
        <w:t>wisdom</w:t>
      </w:r>
      <w:r w:rsidR="0056695A">
        <w:t>’,</w:t>
      </w:r>
      <w:r w:rsidR="0046518F">
        <w:t xml:space="preserve"> </w:t>
      </w:r>
      <w:r w:rsidR="0056074C">
        <w:t xml:space="preserve">does not overreach into becoming a </w:t>
      </w:r>
      <w:r w:rsidR="00956DD4">
        <w:t>‘</w:t>
      </w:r>
      <w:r w:rsidR="0056074C">
        <w:t>comprehensive</w:t>
      </w:r>
      <w:r w:rsidR="00956DD4">
        <w:t>’</w:t>
      </w:r>
      <w:r w:rsidR="0056074C">
        <w:t xml:space="preserve"> concept</w:t>
      </w:r>
      <w:r w:rsidR="00B955F7">
        <w:t>/term</w:t>
      </w:r>
      <w:r w:rsidR="0056074C">
        <w:t xml:space="preserve"> that attempt</w:t>
      </w:r>
      <w:r w:rsidR="00B955F7">
        <w:t>s</w:t>
      </w:r>
      <w:r w:rsidR="0056074C">
        <w:t xml:space="preserve"> to describe fully how God is</w:t>
      </w:r>
      <w:r w:rsidR="00B955F7">
        <w:t xml:space="preserve"> without respecting our epistemic limits</w:t>
      </w:r>
      <w:r w:rsidR="0056074C">
        <w:t xml:space="preserve">. </w:t>
      </w:r>
      <w:r>
        <w:t xml:space="preserve">Thus, we can make a compelling case that </w:t>
      </w:r>
      <w:r w:rsidR="00956DD4">
        <w:t>‘</w:t>
      </w:r>
      <w:r>
        <w:t>being</w:t>
      </w:r>
      <w:r w:rsidR="00956DD4">
        <w:t>’</w:t>
      </w:r>
      <w:r>
        <w:t xml:space="preserve"> is </w:t>
      </w:r>
      <w:r w:rsidR="0056074C">
        <w:t>a special paradigm c</w:t>
      </w:r>
      <w:r w:rsidR="007166F7">
        <w:t>oncept/</w:t>
      </w:r>
      <w:r w:rsidR="0056074C">
        <w:t>term which ensures we</w:t>
      </w:r>
      <w:r>
        <w:t xml:space="preserve"> preserve humility in our attempts to name God. </w:t>
      </w:r>
    </w:p>
    <w:p w:rsidR="00705E6D" w:rsidRDefault="0034114F">
      <w:pPr>
        <w:spacing w:line="360" w:lineRule="auto"/>
      </w:pPr>
      <w:r>
        <w:tab/>
        <w:t xml:space="preserve">My account as to the discovery and the content of the concept of </w:t>
      </w:r>
      <w:r w:rsidR="00956DD4">
        <w:t>‘</w:t>
      </w:r>
      <w:r>
        <w:t>being</w:t>
      </w:r>
      <w:r w:rsidR="00956DD4">
        <w:t>’</w:t>
      </w:r>
      <w:r>
        <w:t xml:space="preserve"> that Aquinas thinks we ordinarily employ will be significantly curtailed. I will follow primarily the view of John </w:t>
      </w:r>
      <w:proofErr w:type="spellStart"/>
      <w:r>
        <w:t>Wippel</w:t>
      </w:r>
      <w:proofErr w:type="spellEnd"/>
      <w:r>
        <w:t xml:space="preserve">, </w:t>
      </w:r>
      <w:r>
        <w:lastRenderedPageBreak/>
        <w:t>which I take to be a mainstream interpretation of Aquinas, although not uncontroversial.</w:t>
      </w:r>
      <w:r>
        <w:rPr>
          <w:rStyle w:val="FootnoteAnchor"/>
        </w:rPr>
        <w:footnoteReference w:id="5"/>
      </w:r>
      <w:r>
        <w:t xml:space="preserve"> Instead, rather than focus on the discovery of </w:t>
      </w:r>
      <w:r w:rsidR="00956DD4">
        <w:t>‘</w:t>
      </w:r>
      <w:r>
        <w:t>being-as-being</w:t>
      </w:r>
      <w:r w:rsidR="00956DD4">
        <w:t>’</w:t>
      </w:r>
      <w:r>
        <w:t xml:space="preserve">, I want to highlight a peculiar </w:t>
      </w:r>
      <w:r>
        <w:rPr>
          <w:i/>
          <w:iCs/>
        </w:rPr>
        <w:t xml:space="preserve">role </w:t>
      </w:r>
      <w:r>
        <w:t>or</w:t>
      </w:r>
      <w:r>
        <w:rPr>
          <w:i/>
          <w:iCs/>
        </w:rPr>
        <w:t xml:space="preserve"> function</w:t>
      </w:r>
      <w:r>
        <w:t xml:space="preserve"> that the concept </w:t>
      </w:r>
      <w:r w:rsidR="00956DD4">
        <w:t>‘</w:t>
      </w:r>
      <w:r>
        <w:t>being</w:t>
      </w:r>
      <w:r w:rsidR="00956DD4">
        <w:t>’</w:t>
      </w:r>
      <w:r w:rsidR="00E252D3">
        <w:t xml:space="preserve"> </w:t>
      </w:r>
      <w:r w:rsidRPr="00E252D3">
        <w:t>plays</w:t>
      </w:r>
      <w:r>
        <w:t xml:space="preserve"> within Aquinas' doctrine of the </w:t>
      </w:r>
      <w:r w:rsidR="00956DD4">
        <w:t>‘</w:t>
      </w:r>
      <w:r>
        <w:t>names of God</w:t>
      </w:r>
      <w:r w:rsidR="00DB3062">
        <w:t>.</w:t>
      </w:r>
      <w:r w:rsidR="00956DD4">
        <w:t>’</w:t>
      </w:r>
      <w:r w:rsidR="00893D9F">
        <w:t xml:space="preserve"> </w:t>
      </w:r>
      <w:r>
        <w:t xml:space="preserve">The role played by the concept </w:t>
      </w:r>
      <w:r w:rsidR="00956DD4">
        <w:t>‘</w:t>
      </w:r>
      <w:r>
        <w:t>being</w:t>
      </w:r>
      <w:r w:rsidR="00956DD4">
        <w:t>’</w:t>
      </w:r>
      <w:r>
        <w:t xml:space="preserve"> is that it serves as a paradigmatic </w:t>
      </w:r>
      <w:r w:rsidR="00956DD4">
        <w:t>‘</w:t>
      </w:r>
      <w:r>
        <w:t>non-descriptive</w:t>
      </w:r>
      <w:r w:rsidR="00956DD4">
        <w:t>’</w:t>
      </w:r>
      <w:r>
        <w:t xml:space="preserve"> term; it signifies all possible perfections that could possibly be predicated of God in the highest possible mode (insofar as God is </w:t>
      </w:r>
      <w:r w:rsidR="00956DD4">
        <w:t>‘</w:t>
      </w:r>
      <w:r>
        <w:t>being itself subsisting</w:t>
      </w:r>
      <w:r w:rsidR="00956DD4">
        <w:t>’</w:t>
      </w:r>
      <w:r>
        <w:t xml:space="preserve">) but no determinate one of these. Consequently for Aquinas, </w:t>
      </w:r>
      <w:r w:rsidR="00956DD4">
        <w:t>‘</w:t>
      </w:r>
      <w:r>
        <w:t>being</w:t>
      </w:r>
      <w:r w:rsidR="00956DD4">
        <w:t>’</w:t>
      </w:r>
      <w:r>
        <w:t xml:space="preserve"> is the most proper means for human beings to name God, because only this term remains within the scope of our cognitive limits and indicates God's transcendence of any term we might otherwise use. </w:t>
      </w:r>
      <w:r>
        <w:tab/>
      </w:r>
    </w:p>
    <w:p w:rsidR="00705E6D" w:rsidRDefault="0034114F">
      <w:pPr>
        <w:spacing w:line="360" w:lineRule="auto"/>
      </w:pPr>
      <w:r>
        <w:tab/>
      </w:r>
      <w:r w:rsidRPr="00087584">
        <w:t xml:space="preserve">John </w:t>
      </w:r>
      <w:proofErr w:type="spellStart"/>
      <w:r w:rsidRPr="00087584">
        <w:t>Wippel</w:t>
      </w:r>
      <w:proofErr w:type="spellEnd"/>
      <w:r w:rsidRPr="00087584">
        <w:t xml:space="preserve"> understands Thomas Aquinas to hold that there is a special kind of mental operation, </w:t>
      </w:r>
      <w:proofErr w:type="spellStart"/>
      <w:r w:rsidRPr="00087584">
        <w:rPr>
          <w:i/>
          <w:iCs/>
        </w:rPr>
        <w:t>separatio</w:t>
      </w:r>
      <w:proofErr w:type="spellEnd"/>
      <w:r w:rsidRPr="00087584">
        <w:rPr>
          <w:i/>
          <w:iCs/>
        </w:rPr>
        <w:t xml:space="preserve">, </w:t>
      </w:r>
      <w:r w:rsidRPr="00087584">
        <w:t xml:space="preserve">by which human beings discover </w:t>
      </w:r>
      <w:r w:rsidR="00956DD4">
        <w:t>‘</w:t>
      </w:r>
      <w:r w:rsidRPr="00087584">
        <w:t>being-as-being</w:t>
      </w:r>
      <w:r w:rsidR="0056695A">
        <w:t>’,</w:t>
      </w:r>
      <w:r w:rsidRPr="00087584">
        <w:t xml:space="preserve"> the unique subject of the science of metaphysics. This mental operation is opposed to that of </w:t>
      </w:r>
      <w:r w:rsidR="00956DD4">
        <w:t>‘</w:t>
      </w:r>
      <w:r w:rsidRPr="00087584">
        <w:t>abstraction.</w:t>
      </w:r>
      <w:r w:rsidR="00956DD4">
        <w:t>’</w:t>
      </w:r>
      <w:r w:rsidRPr="00087584">
        <w:t xml:space="preserve"> In Thomas' famous questions on the </w:t>
      </w:r>
      <w:r w:rsidRPr="00087584">
        <w:rPr>
          <w:i/>
          <w:iCs/>
        </w:rPr>
        <w:t xml:space="preserve">De </w:t>
      </w:r>
      <w:proofErr w:type="spellStart"/>
      <w:r w:rsidRPr="00087584">
        <w:rPr>
          <w:i/>
          <w:iCs/>
        </w:rPr>
        <w:t>Trinitate</w:t>
      </w:r>
      <w:proofErr w:type="spellEnd"/>
      <w:r w:rsidRPr="00087584">
        <w:rPr>
          <w:i/>
          <w:iCs/>
        </w:rPr>
        <w:t xml:space="preserve">, </w:t>
      </w:r>
      <w:r w:rsidRPr="00087584">
        <w:t xml:space="preserve">he opposes these two operations and categorizes methodology in different scientific disciplines according to whether they work by abstraction or </w:t>
      </w:r>
      <w:proofErr w:type="spellStart"/>
      <w:r w:rsidRPr="00087584">
        <w:rPr>
          <w:i/>
          <w:iCs/>
        </w:rPr>
        <w:t>separatio</w:t>
      </w:r>
      <w:proofErr w:type="spellEnd"/>
      <w:r w:rsidRPr="00087584">
        <w:rPr>
          <w:i/>
          <w:iCs/>
        </w:rPr>
        <w:t xml:space="preserve">. </w:t>
      </w:r>
      <w:r w:rsidRPr="00087584">
        <w:t xml:space="preserve">Abstraction is a process of considering some object of consideration </w:t>
      </w:r>
      <w:r w:rsidR="00956DD4">
        <w:t>‘</w:t>
      </w:r>
      <w:r w:rsidRPr="00087584">
        <w:t>formally</w:t>
      </w:r>
      <w:r w:rsidR="0056695A">
        <w:t>’,</w:t>
      </w:r>
      <w:r w:rsidRPr="00087584">
        <w:t xml:space="preserve"> in separation from the concrete circumstances in which it might exist and considering some </w:t>
      </w:r>
      <w:proofErr w:type="spellStart"/>
      <w:r w:rsidRPr="00087584">
        <w:t>universalizable</w:t>
      </w:r>
      <w:proofErr w:type="spellEnd"/>
      <w:r w:rsidRPr="00087584">
        <w:t xml:space="preserve"> aspect in isolation from other (both physics and mathematics, for Aquinas, operate primarily by abstraction).</w:t>
      </w:r>
      <w:r w:rsidRPr="00087584">
        <w:rPr>
          <w:rStyle w:val="FootnoteAnchor"/>
        </w:rPr>
        <w:footnoteReference w:id="6"/>
      </w:r>
      <w:r w:rsidRPr="00087584">
        <w:t xml:space="preserve"> By contrast, metaphysics requires </w:t>
      </w:r>
      <w:r w:rsidR="000A49D7" w:rsidRPr="00087584">
        <w:rPr>
          <w:i/>
          <w:iCs/>
        </w:rPr>
        <w:t xml:space="preserve">separation, </w:t>
      </w:r>
      <w:r w:rsidRPr="00087584">
        <w:t xml:space="preserve">because it cannot consider any particular formal aspect – it considers the real existence of things, </w:t>
      </w:r>
      <w:r w:rsidR="00893D9F" w:rsidRPr="00087584">
        <w:t xml:space="preserve">their </w:t>
      </w:r>
      <w:proofErr w:type="spellStart"/>
      <w:r w:rsidR="00893D9F" w:rsidRPr="00087584">
        <w:rPr>
          <w:i/>
        </w:rPr>
        <w:t>esse</w:t>
      </w:r>
      <w:proofErr w:type="spellEnd"/>
      <w:r w:rsidR="00893D9F" w:rsidRPr="00087584">
        <w:rPr>
          <w:i/>
        </w:rPr>
        <w:t xml:space="preserve">, </w:t>
      </w:r>
      <w:r w:rsidR="00893D9F" w:rsidRPr="00087584">
        <w:t xml:space="preserve">and </w:t>
      </w:r>
      <w:r w:rsidRPr="00087584">
        <w:t xml:space="preserve">not merely their formal properties. </w:t>
      </w:r>
      <w:proofErr w:type="spellStart"/>
      <w:r w:rsidRPr="00087584">
        <w:t>Wippel</w:t>
      </w:r>
      <w:proofErr w:type="spellEnd"/>
      <w:r w:rsidRPr="00087584">
        <w:t xml:space="preserve"> understands the operation of </w:t>
      </w:r>
      <w:proofErr w:type="spellStart"/>
      <w:r w:rsidRPr="00087584">
        <w:rPr>
          <w:i/>
          <w:iCs/>
        </w:rPr>
        <w:t>separatio</w:t>
      </w:r>
      <w:proofErr w:type="spellEnd"/>
      <w:r w:rsidRPr="00087584">
        <w:t xml:space="preserve"> to refer to the operation of the intellect in judging </w:t>
      </w:r>
      <w:r w:rsidR="000A49D7" w:rsidRPr="00087584">
        <w:t xml:space="preserve">(it is specifically an act of </w:t>
      </w:r>
      <w:r w:rsidR="000A49D7" w:rsidRPr="00087584">
        <w:rPr>
          <w:i/>
        </w:rPr>
        <w:t xml:space="preserve">negative </w:t>
      </w:r>
      <w:r w:rsidR="000A49D7" w:rsidRPr="00087584">
        <w:t xml:space="preserve">judgment) </w:t>
      </w:r>
      <w:r w:rsidRPr="00087584">
        <w:t xml:space="preserve">that allows </w:t>
      </w:r>
      <w:r w:rsidR="000A49D7" w:rsidRPr="00087584">
        <w:t>us</w:t>
      </w:r>
      <w:r w:rsidRPr="00087584">
        <w:t xml:space="preserve"> to consider beings insofar as they exist, without considering the particular modes of how they exist; this follows Aquinas' own use of it in the aforementioned article of the </w:t>
      </w:r>
      <w:r w:rsidRPr="00087584">
        <w:rPr>
          <w:i/>
          <w:iCs/>
        </w:rPr>
        <w:t xml:space="preserve">De </w:t>
      </w:r>
      <w:proofErr w:type="spellStart"/>
      <w:r w:rsidRPr="00087584">
        <w:rPr>
          <w:i/>
          <w:iCs/>
        </w:rPr>
        <w:t>Trinitate</w:t>
      </w:r>
      <w:proofErr w:type="spellEnd"/>
      <w:r w:rsidRPr="00087584">
        <w:t>.</w:t>
      </w:r>
      <w:r w:rsidRPr="00087584">
        <w:rPr>
          <w:rStyle w:val="FootnoteAnchor"/>
        </w:rPr>
        <w:footnoteReference w:id="7"/>
      </w:r>
      <w:r w:rsidRPr="00087584">
        <w:t xml:space="preserve"> It allows one to conceive of </w:t>
      </w:r>
      <w:r w:rsidR="00956DD4">
        <w:t>‘</w:t>
      </w:r>
      <w:r w:rsidRPr="00087584">
        <w:t>existence</w:t>
      </w:r>
      <w:r w:rsidR="00956DD4">
        <w:t>’</w:t>
      </w:r>
      <w:r w:rsidRPr="00087584">
        <w:t xml:space="preserve"> or </w:t>
      </w:r>
      <w:r w:rsidR="00956DD4">
        <w:t>‘</w:t>
      </w:r>
      <w:r w:rsidRPr="00087584">
        <w:t>being</w:t>
      </w:r>
      <w:r w:rsidR="00956DD4">
        <w:t>’</w:t>
      </w:r>
      <w:r w:rsidRPr="00087584">
        <w:t xml:space="preserve"> </w:t>
      </w:r>
      <w:r w:rsidR="00AC5350" w:rsidRPr="00087584">
        <w:t>(</w:t>
      </w:r>
      <w:proofErr w:type="spellStart"/>
      <w:r w:rsidR="00AC5350" w:rsidRPr="00087584">
        <w:rPr>
          <w:i/>
        </w:rPr>
        <w:t>esse</w:t>
      </w:r>
      <w:proofErr w:type="spellEnd"/>
      <w:r w:rsidR="00AC5350" w:rsidRPr="00087584">
        <w:rPr>
          <w:i/>
        </w:rPr>
        <w:t xml:space="preserve">) </w:t>
      </w:r>
      <w:r w:rsidRPr="00087584">
        <w:t xml:space="preserve">as a concept that, instead of being a merely abstract and empty notion, can support the way Aquinas understands </w:t>
      </w:r>
      <w:r w:rsidR="00956DD4">
        <w:t>‘</w:t>
      </w:r>
      <w:r w:rsidRPr="00087584">
        <w:t>being</w:t>
      </w:r>
      <w:r w:rsidR="00956DD4">
        <w:t>’</w:t>
      </w:r>
      <w:r w:rsidRPr="00087584">
        <w:t xml:space="preserve"> to be the </w:t>
      </w:r>
      <w:r w:rsidR="00893D9F" w:rsidRPr="00087584">
        <w:t>richest</w:t>
      </w:r>
      <w:r w:rsidRPr="00087584">
        <w:t xml:space="preserve"> concept of all human concepts (encompassing actuality, goodness, and so forth).</w:t>
      </w:r>
      <w:r w:rsidRPr="00087584">
        <w:rPr>
          <w:rStyle w:val="FootnoteAnchor"/>
        </w:rPr>
        <w:footnoteReference w:id="8"/>
      </w:r>
      <w:r w:rsidR="00CC543C">
        <w:rPr>
          <w:rStyle w:val="FootnoteReference"/>
        </w:rPr>
        <w:footnoteReference w:id="9"/>
      </w:r>
      <w:r w:rsidR="00CC543C" w:rsidRPr="00FB65EC">
        <w:t xml:space="preserve"> But </w:t>
      </w:r>
      <w:proofErr w:type="spellStart"/>
      <w:r w:rsidR="00CC543C" w:rsidRPr="00FB65EC">
        <w:rPr>
          <w:i/>
        </w:rPr>
        <w:t>separatio</w:t>
      </w:r>
      <w:proofErr w:type="spellEnd"/>
      <w:r w:rsidR="00CC543C" w:rsidRPr="00FB65EC">
        <w:t xml:space="preserve">, as </w:t>
      </w:r>
      <w:proofErr w:type="spellStart"/>
      <w:r w:rsidR="00CC543C" w:rsidRPr="00FB65EC">
        <w:t>Wippel</w:t>
      </w:r>
      <w:proofErr w:type="spellEnd"/>
      <w:r w:rsidR="00CC543C" w:rsidRPr="00FB65EC">
        <w:t xml:space="preserve"> conceives of it, attains to </w:t>
      </w:r>
      <w:proofErr w:type="spellStart"/>
      <w:r w:rsidR="00CC543C" w:rsidRPr="00FB65EC">
        <w:rPr>
          <w:i/>
        </w:rPr>
        <w:t>esse</w:t>
      </w:r>
      <w:proofErr w:type="spellEnd"/>
      <w:r w:rsidR="00CC543C" w:rsidRPr="00FB65EC">
        <w:t xml:space="preserve"> by noting that </w:t>
      </w:r>
      <w:r w:rsidR="00726AFD">
        <w:t>to be a substance or a being</w:t>
      </w:r>
      <w:r w:rsidR="00CC543C" w:rsidRPr="00FB65EC">
        <w:t xml:space="preserve"> </w:t>
      </w:r>
      <w:r w:rsidR="00726AFD">
        <w:t>(</w:t>
      </w:r>
      <w:proofErr w:type="spellStart"/>
      <w:r w:rsidR="00CC543C" w:rsidRPr="00FB65EC">
        <w:rPr>
          <w:i/>
        </w:rPr>
        <w:t>ens</w:t>
      </w:r>
      <w:proofErr w:type="spellEnd"/>
      <w:r w:rsidR="00726AFD">
        <w:t>)</w:t>
      </w:r>
      <w:r w:rsidR="00CC543C" w:rsidRPr="00FB65EC">
        <w:rPr>
          <w:i/>
        </w:rPr>
        <w:t xml:space="preserve"> </w:t>
      </w:r>
      <w:r w:rsidR="00CC543C" w:rsidRPr="00FB65EC">
        <w:t xml:space="preserve">does not </w:t>
      </w:r>
      <w:r w:rsidR="008E002A">
        <w:t>mean</w:t>
      </w:r>
      <w:r w:rsidR="00726AFD">
        <w:t xml:space="preserve"> </w:t>
      </w:r>
      <w:r w:rsidR="008E002A">
        <w:t xml:space="preserve">exemplifying some particular mode of existence, such as material instantiation (while </w:t>
      </w:r>
      <w:r w:rsidR="008E002A">
        <w:lastRenderedPageBreak/>
        <w:t>this is a contentious thesis, we might here note we need not think of this as subsistent immaterial existence; instead, all we mean is that there is some sense in which existence judgments are made across domains like numbers and material objects)</w:t>
      </w:r>
      <w:r w:rsidR="00CC543C">
        <w:t>.</w:t>
      </w:r>
      <w:r w:rsidR="00CC543C">
        <w:rPr>
          <w:rStyle w:val="FootnoteReference"/>
        </w:rPr>
        <w:footnoteReference w:id="10"/>
      </w:r>
      <w:r w:rsidR="00CC543C">
        <w:t xml:space="preserve"> </w:t>
      </w:r>
      <w:r w:rsidR="00CC543C" w:rsidRPr="00FB65EC">
        <w:t>Posi</w:t>
      </w:r>
      <w:r w:rsidR="00CC543C">
        <w:t>tive judgments of existence are</w:t>
      </w:r>
      <w:r w:rsidR="00CC543C" w:rsidRPr="00FB65EC">
        <w:t xml:space="preserve"> directed toward the </w:t>
      </w:r>
      <w:proofErr w:type="spellStart"/>
      <w:r w:rsidR="00CC543C" w:rsidRPr="00FB65EC">
        <w:rPr>
          <w:i/>
        </w:rPr>
        <w:t>esse</w:t>
      </w:r>
      <w:proofErr w:type="spellEnd"/>
      <w:r w:rsidR="00CC543C" w:rsidRPr="00FB65EC">
        <w:rPr>
          <w:i/>
        </w:rPr>
        <w:t xml:space="preserve"> </w:t>
      </w:r>
      <w:r w:rsidR="00CC543C" w:rsidRPr="00FB65EC">
        <w:t xml:space="preserve">of the things they judge, but it is by </w:t>
      </w:r>
      <w:r w:rsidR="00CC543C">
        <w:t>the</w:t>
      </w:r>
      <w:r w:rsidR="00CC543C" w:rsidRPr="00FB65EC">
        <w:t xml:space="preserve"> process of </w:t>
      </w:r>
      <w:proofErr w:type="spellStart"/>
      <w:r w:rsidR="00CC543C" w:rsidRPr="00FB65EC">
        <w:rPr>
          <w:i/>
        </w:rPr>
        <w:t>separatio</w:t>
      </w:r>
      <w:proofErr w:type="spellEnd"/>
      <w:r w:rsidR="00CC543C" w:rsidRPr="00FB65EC">
        <w:t xml:space="preserve">-negative judgments that we explicitly consider </w:t>
      </w:r>
      <w:proofErr w:type="spellStart"/>
      <w:r w:rsidR="00CC543C" w:rsidRPr="00FB65EC">
        <w:rPr>
          <w:i/>
        </w:rPr>
        <w:t>esse</w:t>
      </w:r>
      <w:proofErr w:type="spellEnd"/>
      <w:r w:rsidR="00CC543C" w:rsidRPr="00FB65EC">
        <w:rPr>
          <w:i/>
        </w:rPr>
        <w:t xml:space="preserve"> </w:t>
      </w:r>
      <w:r w:rsidR="00CC543C" w:rsidRPr="00FB65EC">
        <w:t xml:space="preserve">in </w:t>
      </w:r>
      <w:r w:rsidR="00CC543C">
        <w:t xml:space="preserve">itself by considering that, for something to exist, it need not exist </w:t>
      </w:r>
      <w:r w:rsidR="00956DD4">
        <w:t>‘</w:t>
      </w:r>
      <w:r w:rsidR="00CC543C">
        <w:t>in this way or that</w:t>
      </w:r>
      <w:r w:rsidR="00956DD4">
        <w:t>’</w:t>
      </w:r>
      <w:r w:rsidR="00CC543C">
        <w:t>, such as materially or no.</w:t>
      </w:r>
    </w:p>
    <w:p w:rsidR="00705E6D" w:rsidRDefault="0034114F">
      <w:pPr>
        <w:spacing w:line="360" w:lineRule="auto"/>
      </w:pPr>
      <w:r>
        <w:tab/>
        <w:t xml:space="preserve">This is connected to why Aquinas conceives of </w:t>
      </w:r>
      <w:r w:rsidR="00956DD4">
        <w:t>‘</w:t>
      </w:r>
      <w:r>
        <w:t>being</w:t>
      </w:r>
      <w:r w:rsidR="00956DD4">
        <w:t>’</w:t>
      </w:r>
      <w:r>
        <w:t xml:space="preserve"> as an analogically-predicated term. Aquinas holds that </w:t>
      </w:r>
      <w:r w:rsidR="00956DD4">
        <w:t>‘</w:t>
      </w:r>
      <w:r>
        <w:t>being</w:t>
      </w:r>
      <w:r w:rsidR="00956DD4">
        <w:t>’</w:t>
      </w:r>
      <w:r w:rsidR="00CC543C">
        <w:t xml:space="preserve"> (</w:t>
      </w:r>
      <w:proofErr w:type="spellStart"/>
      <w:proofErr w:type="gramStart"/>
      <w:r w:rsidR="00CC543C">
        <w:rPr>
          <w:i/>
        </w:rPr>
        <w:t>ens</w:t>
      </w:r>
      <w:proofErr w:type="spellEnd"/>
      <w:proofErr w:type="gramEnd"/>
      <w:r w:rsidR="00CC543C">
        <w:t>)</w:t>
      </w:r>
      <w:r>
        <w:t xml:space="preserve"> is not a widest kind of categorization, or a </w:t>
      </w:r>
      <w:r w:rsidR="00956DD4">
        <w:t>‘</w:t>
      </w:r>
      <w:r>
        <w:t>genus</w:t>
      </w:r>
      <w:r w:rsidR="00956DD4">
        <w:t>’</w:t>
      </w:r>
      <w:r>
        <w:t xml:space="preserve"> that would encompass all things. Following Aristotle, he thinks that the genus </w:t>
      </w:r>
      <w:r w:rsidR="00956DD4">
        <w:t>‘</w:t>
      </w:r>
      <w:r>
        <w:t>being</w:t>
      </w:r>
      <w:r w:rsidR="00956DD4">
        <w:t>’</w:t>
      </w:r>
      <w:r>
        <w:t xml:space="preserve"> would be unacceptably implicated in its own differentiae.</w:t>
      </w:r>
      <w:r>
        <w:rPr>
          <w:rStyle w:val="FootnoteAnchor"/>
        </w:rPr>
        <w:footnoteReference w:id="11"/>
      </w:r>
      <w:r>
        <w:t xml:space="preserve"> Instead, Aquinas holds that we use the term </w:t>
      </w:r>
      <w:r w:rsidR="00956DD4">
        <w:t>‘</w:t>
      </w:r>
      <w:r>
        <w:t>being</w:t>
      </w:r>
      <w:r w:rsidR="00956DD4">
        <w:t>’</w:t>
      </w:r>
      <w:r>
        <w:t xml:space="preserve"> according to a set of related meanings; this is what </w:t>
      </w:r>
      <w:proofErr w:type="spellStart"/>
      <w:r>
        <w:t>Wippel</w:t>
      </w:r>
      <w:proofErr w:type="spellEnd"/>
      <w:r>
        <w:t xml:space="preserve"> has called </w:t>
      </w:r>
      <w:r w:rsidR="00956DD4">
        <w:t>‘</w:t>
      </w:r>
      <w:r>
        <w:t>horizontal</w:t>
      </w:r>
      <w:r w:rsidR="00956DD4">
        <w:t>’</w:t>
      </w:r>
      <w:r>
        <w:t xml:space="preserve"> or </w:t>
      </w:r>
      <w:r w:rsidR="00956DD4">
        <w:t>‘</w:t>
      </w:r>
      <w:r>
        <w:t>predicamental</w:t>
      </w:r>
      <w:r w:rsidR="00956DD4">
        <w:t>’</w:t>
      </w:r>
      <w:r>
        <w:t xml:space="preserve"> analogy</w:t>
      </w:r>
      <w:r w:rsidR="000A49D7">
        <w:t>.</w:t>
      </w:r>
      <w:r w:rsidR="000A49D7">
        <w:rPr>
          <w:rStyle w:val="FootnoteReference"/>
        </w:rPr>
        <w:footnoteReference w:id="12"/>
      </w:r>
      <w:r>
        <w:t xml:space="preserve">Analogy is involved in discussing what unites different uses of the term </w:t>
      </w:r>
      <w:r w:rsidR="00956DD4">
        <w:t>‘</w:t>
      </w:r>
      <w:r>
        <w:t>being</w:t>
      </w:r>
      <w:r w:rsidR="00956DD4">
        <w:t>’</w:t>
      </w:r>
      <w:r>
        <w:t xml:space="preserve"> or </w:t>
      </w:r>
      <w:r w:rsidR="00956DD4">
        <w:t>‘</w:t>
      </w:r>
      <w:r>
        <w:t>is</w:t>
      </w:r>
      <w:r w:rsidR="00956DD4">
        <w:t>’</w:t>
      </w:r>
      <w:r>
        <w:t xml:space="preserve"> or </w:t>
      </w:r>
      <w:r w:rsidR="00956DD4">
        <w:t>‘</w:t>
      </w:r>
      <w:r>
        <w:t>exists.</w:t>
      </w:r>
      <w:r w:rsidR="00956DD4">
        <w:t>’</w:t>
      </w:r>
      <w:r>
        <w:t xml:space="preserve"> Aquinas does not think that we mean the same thing when we say </w:t>
      </w:r>
      <w:r w:rsidR="00956DD4">
        <w:t>‘</w:t>
      </w:r>
      <w:r>
        <w:t>the apple is red</w:t>
      </w:r>
      <w:r w:rsidR="0056695A">
        <w:t>’,</w:t>
      </w:r>
      <w:r>
        <w:t xml:space="preserve"> and </w:t>
      </w:r>
      <w:r w:rsidR="00956DD4">
        <w:t>‘</w:t>
      </w:r>
      <w:r>
        <w:t>Santa Claus really exists</w:t>
      </w:r>
      <w:r w:rsidR="00956DD4">
        <w:t>’</w:t>
      </w:r>
      <w:r>
        <w:t xml:space="preserve"> and </w:t>
      </w:r>
      <w:r w:rsidR="00956DD4">
        <w:t>‘</w:t>
      </w:r>
      <w:r>
        <w:t>the dog is under the rug.</w:t>
      </w:r>
      <w:r w:rsidR="00956DD4">
        <w:t>’</w:t>
      </w:r>
      <w:r>
        <w:t xml:space="preserve"> In each of the cases above, a different relationship is indicated in our use of </w:t>
      </w:r>
      <w:r w:rsidR="00956DD4">
        <w:t>‘</w:t>
      </w:r>
      <w:r>
        <w:t>being</w:t>
      </w:r>
      <w:r w:rsidR="00956DD4">
        <w:t>’</w:t>
      </w:r>
      <w:r>
        <w:t>-related terms. All of the meanings are referred to a primary instance in which being primarily occurs: substances, or those which do not have their being through another.</w:t>
      </w:r>
      <w:r>
        <w:rPr>
          <w:rStyle w:val="FootnoteAnchor"/>
        </w:rPr>
        <w:footnoteReference w:id="13"/>
      </w:r>
      <w:r>
        <w:t xml:space="preserve"> It is the case, then, that </w:t>
      </w:r>
      <w:r w:rsidR="00956DD4">
        <w:t>‘</w:t>
      </w:r>
      <w:r>
        <w:t>being</w:t>
      </w:r>
      <w:r w:rsidR="00956DD4">
        <w:t>’</w:t>
      </w:r>
      <w:r>
        <w:t xml:space="preserve"> does not </w:t>
      </w:r>
      <w:r>
        <w:rPr>
          <w:i/>
          <w:iCs/>
        </w:rPr>
        <w:t xml:space="preserve">mean </w:t>
      </w:r>
      <w:r>
        <w:t xml:space="preserve">or signify the same thing in each of these varied contexts; it is </w:t>
      </w:r>
      <w:proofErr w:type="gramStart"/>
      <w:r>
        <w:t>neither univocal or</w:t>
      </w:r>
      <w:proofErr w:type="gramEnd"/>
      <w:r>
        <w:t xml:space="preserve"> equivocal, but analogical in meaning. For Aquinas, then, </w:t>
      </w:r>
      <w:r w:rsidR="00956DD4">
        <w:t>‘</w:t>
      </w:r>
      <w:r>
        <w:t>being</w:t>
      </w:r>
      <w:r w:rsidR="00956DD4">
        <w:t>’</w:t>
      </w:r>
      <w:r>
        <w:t xml:space="preserve"> can become the proper subject of metaphysics as a study of </w:t>
      </w:r>
      <w:proofErr w:type="spellStart"/>
      <w:r>
        <w:rPr>
          <w:i/>
          <w:iCs/>
        </w:rPr>
        <w:t>ens</w:t>
      </w:r>
      <w:proofErr w:type="spellEnd"/>
      <w:r>
        <w:rPr>
          <w:i/>
          <w:iCs/>
        </w:rPr>
        <w:t xml:space="preserve"> in commune</w:t>
      </w:r>
      <w:r>
        <w:t xml:space="preserve"> (</w:t>
      </w:r>
      <w:r w:rsidR="00956DD4">
        <w:t>‘</w:t>
      </w:r>
      <w:r>
        <w:t>being in general</w:t>
      </w:r>
      <w:r w:rsidR="00956DD4">
        <w:t>’</w:t>
      </w:r>
      <w:r>
        <w:t>) according as we can study the principles that might govern the existence of anything at all (e.g., act and potency).</w:t>
      </w:r>
      <w:r>
        <w:rPr>
          <w:rStyle w:val="FootnoteAnchor"/>
        </w:rPr>
        <w:footnoteReference w:id="14"/>
      </w:r>
      <w:r>
        <w:t xml:space="preserve"> </w:t>
      </w:r>
    </w:p>
    <w:p w:rsidR="00705E6D" w:rsidRPr="004125B3" w:rsidRDefault="0034114F">
      <w:pPr>
        <w:spacing w:line="360" w:lineRule="auto"/>
      </w:pPr>
      <w:r>
        <w:tab/>
      </w:r>
      <w:r w:rsidR="00D800E7">
        <w:t xml:space="preserve">The </w:t>
      </w:r>
      <w:r w:rsidR="00956DD4">
        <w:t>‘</w:t>
      </w:r>
      <w:r w:rsidR="00D800E7">
        <w:t>analogy of being</w:t>
      </w:r>
      <w:r w:rsidR="00956DD4">
        <w:t>’</w:t>
      </w:r>
      <w:r w:rsidR="00D800E7">
        <w:t xml:space="preserve"> in this horizontal sense is of utmost importance in understanding the way the concept of </w:t>
      </w:r>
      <w:proofErr w:type="spellStart"/>
      <w:r w:rsidR="00D800E7">
        <w:rPr>
          <w:i/>
        </w:rPr>
        <w:t>esse</w:t>
      </w:r>
      <w:proofErr w:type="spellEnd"/>
      <w:r w:rsidR="00E67EC7">
        <w:rPr>
          <w:i/>
        </w:rPr>
        <w:t xml:space="preserve"> </w:t>
      </w:r>
      <w:r w:rsidR="00E67EC7">
        <w:t xml:space="preserve">(the act of being) </w:t>
      </w:r>
      <w:r w:rsidR="00D800E7">
        <w:t>functions in Aquinas’ thought, as i</w:t>
      </w:r>
      <w:r>
        <w:t xml:space="preserve">t is metaphysically significant that there is no </w:t>
      </w:r>
      <w:r>
        <w:rPr>
          <w:i/>
          <w:iCs/>
        </w:rPr>
        <w:t xml:space="preserve">definition </w:t>
      </w:r>
      <w:r>
        <w:t xml:space="preserve">of </w:t>
      </w:r>
      <w:r w:rsidR="00956DD4">
        <w:t>‘</w:t>
      </w:r>
      <w:r>
        <w:t>being</w:t>
      </w:r>
      <w:r w:rsidR="00956DD4">
        <w:t>’</w:t>
      </w:r>
      <w:r w:rsidR="00E67EC7">
        <w:t xml:space="preserve"> (</w:t>
      </w:r>
      <w:proofErr w:type="spellStart"/>
      <w:r w:rsidR="00E67EC7">
        <w:rPr>
          <w:i/>
        </w:rPr>
        <w:t>ens</w:t>
      </w:r>
      <w:proofErr w:type="spellEnd"/>
      <w:r w:rsidR="00E67EC7">
        <w:t>)</w:t>
      </w:r>
      <w:r>
        <w:t xml:space="preserve"> that would apply to all instances</w:t>
      </w:r>
      <w:r w:rsidR="00D800E7">
        <w:t xml:space="preserve"> (as an implication from the fact that </w:t>
      </w:r>
      <w:r w:rsidR="00956DD4">
        <w:t>‘</w:t>
      </w:r>
      <w:r w:rsidR="00D800E7">
        <w:t>being</w:t>
      </w:r>
      <w:r w:rsidR="00956DD4">
        <w:t>’</w:t>
      </w:r>
      <w:r w:rsidR="00D800E7">
        <w:t xml:space="preserve"> is</w:t>
      </w:r>
      <w:r>
        <w:t xml:space="preserve"> not a univocal term</w:t>
      </w:r>
      <w:r w:rsidR="00D800E7">
        <w:t>)</w:t>
      </w:r>
      <w:r w:rsidR="00E67EC7">
        <w:t xml:space="preserve">, as each individual exemplifies different meanings of what it is for it to exist (to have </w:t>
      </w:r>
      <w:proofErr w:type="spellStart"/>
      <w:r w:rsidR="00E67EC7">
        <w:rPr>
          <w:i/>
        </w:rPr>
        <w:t>esse</w:t>
      </w:r>
      <w:proofErr w:type="spellEnd"/>
      <w:r w:rsidR="00E67EC7">
        <w:t>)</w:t>
      </w:r>
      <w:r>
        <w:t xml:space="preserve">. As Robert </w:t>
      </w:r>
      <w:proofErr w:type="spellStart"/>
      <w:r>
        <w:t>Sokolowski</w:t>
      </w:r>
      <w:proofErr w:type="spellEnd"/>
      <w:r>
        <w:t xml:space="preserve"> has remarked, </w:t>
      </w:r>
      <w:r w:rsidR="00956DD4">
        <w:t>‘</w:t>
      </w:r>
      <w:r>
        <w:t>being</w:t>
      </w:r>
      <w:r w:rsidR="00956DD4">
        <w:t>’</w:t>
      </w:r>
      <w:r>
        <w:t xml:space="preserve"> is a</w:t>
      </w:r>
      <w:r w:rsidR="00D800E7">
        <w:t>n</w:t>
      </w:r>
      <w:r>
        <w:t xml:space="preserve"> </w:t>
      </w:r>
      <w:r w:rsidR="00D800E7">
        <w:t>especially</w:t>
      </w:r>
      <w:r>
        <w:t xml:space="preserve"> </w:t>
      </w:r>
      <w:r w:rsidR="00956DD4">
        <w:t>‘</w:t>
      </w:r>
      <w:r>
        <w:t>presentative</w:t>
      </w:r>
      <w:r w:rsidR="00956DD4">
        <w:t>’</w:t>
      </w:r>
      <w:r>
        <w:t xml:space="preserve"> kind of concept which unites a whole series of meanings and usages into an ordered whole of predicative possibilities.</w:t>
      </w:r>
      <w:r>
        <w:rPr>
          <w:rStyle w:val="FootnoteAnchor"/>
        </w:rPr>
        <w:footnoteReference w:id="15"/>
      </w:r>
      <w:r>
        <w:t xml:space="preserve"> This is opposed to what we might call a </w:t>
      </w:r>
      <w:r w:rsidR="00956DD4">
        <w:t>‘</w:t>
      </w:r>
      <w:r>
        <w:t>determinative</w:t>
      </w:r>
      <w:r w:rsidR="00956DD4">
        <w:t>’</w:t>
      </w:r>
      <w:r>
        <w:t xml:space="preserve"> concept </w:t>
      </w:r>
      <w:r>
        <w:lastRenderedPageBreak/>
        <w:t xml:space="preserve">that offers something like a definition. While </w:t>
      </w:r>
      <w:r w:rsidR="00956DD4">
        <w:t>‘</w:t>
      </w:r>
      <w:r>
        <w:t>being</w:t>
      </w:r>
      <w:r w:rsidR="00956DD4">
        <w:t>’</w:t>
      </w:r>
      <w:r>
        <w:t xml:space="preserve"> has a primary meaning – which Thomas, following Aristotle, associates with substance</w:t>
      </w:r>
      <w:r>
        <w:rPr>
          <w:rStyle w:val="FootnoteAnchor"/>
        </w:rPr>
        <w:footnoteReference w:id="16"/>
      </w:r>
      <w:r>
        <w:t xml:space="preserve"> – it also has a whole host of other meanings that acquire significance in relation to that primary meaning (e.g., the categories of accidental being and logical being).</w:t>
      </w:r>
      <w:r>
        <w:rPr>
          <w:rStyle w:val="FootnoteAnchor"/>
        </w:rPr>
        <w:footnoteReference w:id="17"/>
      </w:r>
      <w:r>
        <w:t xml:space="preserve"> </w:t>
      </w:r>
      <w:r w:rsidR="005125AF">
        <w:t xml:space="preserve">These are united insofar as we might say individual </w:t>
      </w:r>
      <w:r w:rsidR="004125B3">
        <w:t>beings (</w:t>
      </w:r>
      <w:proofErr w:type="spellStart"/>
      <w:proofErr w:type="gramStart"/>
      <w:r w:rsidR="005125AF">
        <w:rPr>
          <w:i/>
        </w:rPr>
        <w:t>ens</w:t>
      </w:r>
      <w:proofErr w:type="spellEnd"/>
      <w:proofErr w:type="gramEnd"/>
      <w:r w:rsidR="004125B3">
        <w:t>)</w:t>
      </w:r>
      <w:r w:rsidR="005125AF">
        <w:rPr>
          <w:i/>
        </w:rPr>
        <w:t xml:space="preserve"> </w:t>
      </w:r>
      <w:r w:rsidR="004125B3">
        <w:t xml:space="preserve">exist in different ways, but insofar as each of these different things </w:t>
      </w:r>
      <w:r w:rsidR="004125B3" w:rsidRPr="004125B3">
        <w:rPr>
          <w:i/>
        </w:rPr>
        <w:t>exist</w:t>
      </w:r>
      <w:r w:rsidR="004125B3">
        <w:t>, are all exemplifying ways to exist (</w:t>
      </w:r>
      <w:proofErr w:type="spellStart"/>
      <w:r w:rsidR="004125B3">
        <w:rPr>
          <w:i/>
        </w:rPr>
        <w:t>esse</w:t>
      </w:r>
      <w:proofErr w:type="spellEnd"/>
      <w:r w:rsidR="004125B3">
        <w:t xml:space="preserve">). </w:t>
      </w:r>
    </w:p>
    <w:p w:rsidR="00705E6D" w:rsidRPr="00154161" w:rsidRDefault="0034114F">
      <w:pPr>
        <w:spacing w:line="360" w:lineRule="auto"/>
      </w:pPr>
      <w:r>
        <w:tab/>
      </w:r>
      <w:r w:rsidR="00956DD4">
        <w:t>‘</w:t>
      </w:r>
      <w:r>
        <w:t>Being</w:t>
      </w:r>
      <w:r w:rsidR="00956DD4">
        <w:t>’</w:t>
      </w:r>
      <w:r>
        <w:t xml:space="preserve"> must have, </w:t>
      </w:r>
      <w:r w:rsidR="003A5743">
        <w:t>then</w:t>
      </w:r>
      <w:r>
        <w:t xml:space="preserve">, an interestingly </w:t>
      </w:r>
      <w:r w:rsidR="003A5743">
        <w:t>dual character</w:t>
      </w:r>
      <w:r>
        <w:t>. While its extension is universal (</w:t>
      </w:r>
      <w:r w:rsidR="003A5743">
        <w:t>i.e.,</w:t>
      </w:r>
      <w:r>
        <w:t xml:space="preserve"> </w:t>
      </w:r>
      <w:r w:rsidR="003A5743">
        <w:t>everything</w:t>
      </w:r>
      <w:r>
        <w:t xml:space="preserve"> that exists or could exist</w:t>
      </w:r>
      <w:r w:rsidR="003A5743">
        <w:t xml:space="preserve"> falls under it</w:t>
      </w:r>
      <w:r>
        <w:t xml:space="preserve">), the sense or intension has a peculiar character </w:t>
      </w:r>
      <w:r w:rsidR="003A5743">
        <w:t>as it is not</w:t>
      </w:r>
      <w:r>
        <w:t xml:space="preserve"> identical</w:t>
      </w:r>
      <w:r w:rsidR="003A5743">
        <w:t xml:space="preserve"> across all instances of entities.</w:t>
      </w:r>
      <w:r>
        <w:t xml:space="preserve"> This has important implications for the subject matter of metaphysics</w:t>
      </w:r>
      <w:r w:rsidR="003A5743">
        <w:t xml:space="preserve"> as the science of </w:t>
      </w:r>
      <w:r w:rsidR="00956DD4">
        <w:t>‘</w:t>
      </w:r>
      <w:r w:rsidR="003A5743">
        <w:t>being.</w:t>
      </w:r>
      <w:r w:rsidR="00956DD4">
        <w:t>’</w:t>
      </w:r>
      <w:r w:rsidR="003A5743">
        <w:t xml:space="preserve"> </w:t>
      </w:r>
      <w:r w:rsidR="00BE40A9">
        <w:t>The</w:t>
      </w:r>
      <w:r>
        <w:t xml:space="preserve"> closest thing to a categorical </w:t>
      </w:r>
      <w:r w:rsidR="00956DD4">
        <w:t>‘</w:t>
      </w:r>
      <w:r>
        <w:t>universal</w:t>
      </w:r>
      <w:r w:rsidR="00956DD4">
        <w:t>’</w:t>
      </w:r>
      <w:r>
        <w:t xml:space="preserve"> concept of </w:t>
      </w:r>
      <w:r w:rsidR="00956DD4">
        <w:t>‘</w:t>
      </w:r>
      <w:r>
        <w:t>being</w:t>
      </w:r>
      <w:r w:rsidR="00956DD4">
        <w:t>’</w:t>
      </w:r>
      <w:r>
        <w:t xml:space="preserve"> is what Aquinas calls </w:t>
      </w:r>
      <w:proofErr w:type="spellStart"/>
      <w:r>
        <w:rPr>
          <w:i/>
          <w:iCs/>
        </w:rPr>
        <w:t>esse</w:t>
      </w:r>
      <w:proofErr w:type="spellEnd"/>
      <w:r>
        <w:rPr>
          <w:i/>
          <w:iCs/>
        </w:rPr>
        <w:t xml:space="preserve"> commune</w:t>
      </w:r>
      <w:r w:rsidR="00400591">
        <w:rPr>
          <w:i/>
          <w:iCs/>
        </w:rPr>
        <w:t xml:space="preserve"> </w:t>
      </w:r>
      <w:r w:rsidR="00400591">
        <w:rPr>
          <w:iCs/>
        </w:rPr>
        <w:t xml:space="preserve">(we might translate as, </w:t>
      </w:r>
      <w:r w:rsidR="00956DD4">
        <w:rPr>
          <w:iCs/>
        </w:rPr>
        <w:t>‘</w:t>
      </w:r>
      <w:r w:rsidR="00400591">
        <w:rPr>
          <w:iCs/>
        </w:rPr>
        <w:t>what it is to be, generally considered</w:t>
      </w:r>
      <w:r w:rsidR="00956DD4">
        <w:rPr>
          <w:iCs/>
        </w:rPr>
        <w:t>’</w:t>
      </w:r>
      <w:r w:rsidR="00400591">
        <w:rPr>
          <w:iCs/>
        </w:rPr>
        <w:t>)</w:t>
      </w:r>
      <w:r w:rsidR="001E0674">
        <w:rPr>
          <w:i/>
          <w:iCs/>
        </w:rPr>
        <w:t xml:space="preserve">; </w:t>
      </w:r>
      <w:r w:rsidR="001E0674">
        <w:rPr>
          <w:iCs/>
        </w:rPr>
        <w:t>it is</w:t>
      </w:r>
      <w:r w:rsidR="005125AF">
        <w:rPr>
          <w:iCs/>
        </w:rPr>
        <w:t xml:space="preserve"> the common notion of what it is for </w:t>
      </w:r>
      <w:r w:rsidR="001E0674">
        <w:rPr>
          <w:iCs/>
        </w:rPr>
        <w:t xml:space="preserve">any given </w:t>
      </w:r>
      <w:r w:rsidR="005125AF">
        <w:rPr>
          <w:iCs/>
        </w:rPr>
        <w:t>thing to exist</w:t>
      </w:r>
      <w:r>
        <w:rPr>
          <w:i/>
          <w:iCs/>
        </w:rPr>
        <w:t xml:space="preserve">. </w:t>
      </w:r>
      <w:r>
        <w:t xml:space="preserve">This is what we conceive of when we consider the whole of </w:t>
      </w:r>
      <w:r w:rsidR="001E0674">
        <w:t>being;</w:t>
      </w:r>
      <w:r>
        <w:t xml:space="preserve"> </w:t>
      </w:r>
      <w:r w:rsidR="001E0674">
        <w:t>we consider</w:t>
      </w:r>
      <w:r w:rsidR="005125AF">
        <w:t xml:space="preserve"> </w:t>
      </w:r>
      <w:r>
        <w:t>what actually exists</w:t>
      </w:r>
      <w:r w:rsidR="005125AF">
        <w:t xml:space="preserve"> and </w:t>
      </w:r>
      <w:r w:rsidR="001E0674">
        <w:t>come up with</w:t>
      </w:r>
      <w:r w:rsidR="005125AF">
        <w:t xml:space="preserve"> some </w:t>
      </w:r>
      <w:r w:rsidR="001E0674">
        <w:t>unified notion of</w:t>
      </w:r>
      <w:r w:rsidR="005125AF">
        <w:t xml:space="preserve"> </w:t>
      </w:r>
      <w:r w:rsidR="00956DD4">
        <w:t>‘</w:t>
      </w:r>
      <w:r w:rsidR="005125AF">
        <w:t>existence</w:t>
      </w:r>
      <w:r w:rsidR="00956DD4">
        <w:t>’</w:t>
      </w:r>
      <w:r w:rsidR="005125AF">
        <w:t xml:space="preserve"> </w:t>
      </w:r>
      <w:r w:rsidR="001E0674">
        <w:t>which applies to</w:t>
      </w:r>
      <w:r w:rsidR="005125AF">
        <w:t xml:space="preserve"> the whole scope</w:t>
      </w:r>
      <w:r>
        <w:t xml:space="preserve">. </w:t>
      </w:r>
      <w:proofErr w:type="spellStart"/>
      <w:r w:rsidR="008048F8" w:rsidRPr="008048F8">
        <w:rPr>
          <w:i/>
        </w:rPr>
        <w:t>E</w:t>
      </w:r>
      <w:r>
        <w:rPr>
          <w:i/>
          <w:iCs/>
        </w:rPr>
        <w:t>sse</w:t>
      </w:r>
      <w:proofErr w:type="spellEnd"/>
      <w:r>
        <w:rPr>
          <w:i/>
          <w:iCs/>
        </w:rPr>
        <w:t xml:space="preserve"> commune </w:t>
      </w:r>
      <w:r w:rsidR="001E0674">
        <w:t>is not conceived of as</w:t>
      </w:r>
      <w:r>
        <w:t xml:space="preserve"> a subsistent thing separate from real existents. It is more a universal which, in the individual kinds of existence enjoyed by entities, is </w:t>
      </w:r>
      <w:r w:rsidR="001E0674">
        <w:t>exemplified</w:t>
      </w:r>
      <w:r>
        <w:t xml:space="preserve"> in different ways.</w:t>
      </w:r>
      <w:r>
        <w:rPr>
          <w:rStyle w:val="FootnoteAnchor"/>
        </w:rPr>
        <w:footnoteReference w:id="18"/>
      </w:r>
      <w:r>
        <w:t xml:space="preserve"> </w:t>
      </w:r>
      <w:proofErr w:type="spellStart"/>
      <w:r>
        <w:rPr>
          <w:i/>
          <w:iCs/>
        </w:rPr>
        <w:t>Esse</w:t>
      </w:r>
      <w:proofErr w:type="spellEnd"/>
      <w:r>
        <w:rPr>
          <w:i/>
          <w:iCs/>
        </w:rPr>
        <w:t xml:space="preserve"> commune </w:t>
      </w:r>
      <w:r>
        <w:t xml:space="preserve">then seems to signify what it would mean </w:t>
      </w:r>
      <w:r w:rsidR="00956DD4">
        <w:t>‘</w:t>
      </w:r>
      <w:r>
        <w:t>to exist</w:t>
      </w:r>
      <w:r w:rsidR="00956DD4">
        <w:t>’</w:t>
      </w:r>
      <w:r>
        <w:rPr>
          <w:i/>
          <w:iCs/>
        </w:rPr>
        <w:t xml:space="preserve"> </w:t>
      </w:r>
      <w:r>
        <w:t>without restricting that meaning to any particular mode – we could give a set of ontological categories, for example.</w:t>
      </w:r>
      <w:r>
        <w:rPr>
          <w:rStyle w:val="FootnoteAnchor"/>
        </w:rPr>
        <w:footnoteReference w:id="19"/>
      </w:r>
      <w:r>
        <w:t xml:space="preserve"> </w:t>
      </w:r>
      <w:r w:rsidR="00154161">
        <w:t xml:space="preserve">While God might be said </w:t>
      </w:r>
      <w:r w:rsidR="00C152FB">
        <w:t>to exist,</w:t>
      </w:r>
      <w:r w:rsidR="00154161">
        <w:t xml:space="preserve"> it by no means follows that He must fit </w:t>
      </w:r>
      <w:r w:rsidR="00956DD4">
        <w:t>‘</w:t>
      </w:r>
      <w:r w:rsidR="00154161">
        <w:t>within</w:t>
      </w:r>
      <w:r w:rsidR="00956DD4">
        <w:t>’</w:t>
      </w:r>
      <w:r w:rsidR="00154161">
        <w:t xml:space="preserve"> </w:t>
      </w:r>
      <w:proofErr w:type="spellStart"/>
      <w:r w:rsidR="00154161">
        <w:rPr>
          <w:i/>
        </w:rPr>
        <w:t>esse</w:t>
      </w:r>
      <w:proofErr w:type="spellEnd"/>
      <w:r w:rsidR="00154161">
        <w:rPr>
          <w:i/>
        </w:rPr>
        <w:t xml:space="preserve"> commune </w:t>
      </w:r>
      <w:r w:rsidR="00220454">
        <w:t xml:space="preserve">as falling under a common notion of existence shared with creatures </w:t>
      </w:r>
      <w:r w:rsidR="00154161">
        <w:t xml:space="preserve">(in fact, as we will see, God transcends </w:t>
      </w:r>
      <w:proofErr w:type="spellStart"/>
      <w:r w:rsidR="00154161">
        <w:rPr>
          <w:i/>
        </w:rPr>
        <w:t>esse</w:t>
      </w:r>
      <w:proofErr w:type="spellEnd"/>
      <w:r w:rsidR="00154161">
        <w:rPr>
          <w:i/>
        </w:rPr>
        <w:t xml:space="preserve"> commune</w:t>
      </w:r>
      <w:r w:rsidR="00154161">
        <w:t xml:space="preserve"> as its cause</w:t>
      </w:r>
      <w:r w:rsidR="00C152FB">
        <w:rPr>
          <w:rStyle w:val="FootnoteReference"/>
        </w:rPr>
        <w:footnoteReference w:id="20"/>
      </w:r>
      <w:r w:rsidR="00154161">
        <w:t xml:space="preserve">). </w:t>
      </w:r>
    </w:p>
    <w:p w:rsidR="00705E6D" w:rsidRDefault="0034114F">
      <w:pPr>
        <w:spacing w:line="360" w:lineRule="auto"/>
      </w:pPr>
      <w:r>
        <w:tab/>
      </w:r>
      <w:proofErr w:type="gramStart"/>
      <w:r>
        <w:t xml:space="preserve">Having given this overview of how the concept of </w:t>
      </w:r>
      <w:r w:rsidR="00956DD4">
        <w:t>‘</w:t>
      </w:r>
      <w:r>
        <w:t>being</w:t>
      </w:r>
      <w:r w:rsidR="00956DD4">
        <w:t>’</w:t>
      </w:r>
      <w:r>
        <w:t xml:space="preserve"> functions in Aquinas' metaphysics, we can turn to how it functions in Aquinas' theory of the divine names.</w:t>
      </w:r>
      <w:proofErr w:type="gramEnd"/>
      <w:r>
        <w:t xml:space="preserve"> Aquinas conceives of our description of God as functioning by a similar kind of </w:t>
      </w:r>
      <w:r w:rsidR="00956DD4">
        <w:t>‘</w:t>
      </w:r>
      <w:r>
        <w:t>analogical</w:t>
      </w:r>
      <w:r w:rsidR="00956DD4">
        <w:t>’</w:t>
      </w:r>
      <w:r>
        <w:t xml:space="preserve"> predication – we predicate terms which are creaturely in origin (terms like </w:t>
      </w:r>
      <w:r w:rsidR="00956DD4">
        <w:t>‘</w:t>
      </w:r>
      <w:r>
        <w:t>wisdom</w:t>
      </w:r>
      <w:r w:rsidR="00956DD4">
        <w:t>’</w:t>
      </w:r>
      <w:r>
        <w:t xml:space="preserve"> or </w:t>
      </w:r>
      <w:r w:rsidR="00956DD4">
        <w:t>‘</w:t>
      </w:r>
      <w:r>
        <w:t>power</w:t>
      </w:r>
      <w:r w:rsidR="00956DD4">
        <w:t>’</w:t>
      </w:r>
      <w:r>
        <w:t>) to God.</w:t>
      </w:r>
      <w:r>
        <w:rPr>
          <w:rStyle w:val="FootnoteAnchor"/>
        </w:rPr>
        <w:footnoteReference w:id="21"/>
      </w:r>
      <w:r>
        <w:t xml:space="preserve"> This happens either negatively, where we deny some term could apply to God (e.g., </w:t>
      </w:r>
      <w:r w:rsidR="00956DD4">
        <w:t>‘</w:t>
      </w:r>
      <w:r>
        <w:t>God is not a body</w:t>
      </w:r>
      <w:r w:rsidR="00956DD4">
        <w:t>’</w:t>
      </w:r>
      <w:r>
        <w:t xml:space="preserve">), or positively, where we affirm that God must possess some kind of property </w:t>
      </w:r>
      <w:r w:rsidR="00956DD4">
        <w:t>‘</w:t>
      </w:r>
      <w:r>
        <w:t>super-eminently.</w:t>
      </w:r>
      <w:r w:rsidR="00956DD4">
        <w:t>’</w:t>
      </w:r>
      <w:r>
        <w:rPr>
          <w:rStyle w:val="FootnoteAnchor"/>
        </w:rPr>
        <w:footnoteReference w:id="22"/>
      </w:r>
      <w:r>
        <w:t xml:space="preserve"> The negative movement is called </w:t>
      </w:r>
      <w:proofErr w:type="spellStart"/>
      <w:r>
        <w:rPr>
          <w:i/>
          <w:iCs/>
        </w:rPr>
        <w:t>remotio</w:t>
      </w:r>
      <w:proofErr w:type="spellEnd"/>
      <w:r>
        <w:t xml:space="preserve"> or </w:t>
      </w:r>
      <w:r w:rsidR="00956DD4">
        <w:t>‘</w:t>
      </w:r>
      <w:proofErr w:type="spellStart"/>
      <w:r>
        <w:t>remotion</w:t>
      </w:r>
      <w:proofErr w:type="spellEnd"/>
      <w:r>
        <w:t>.</w:t>
      </w:r>
      <w:r w:rsidR="00956DD4">
        <w:t>’</w:t>
      </w:r>
      <w:r>
        <w:t xml:space="preserve"> We </w:t>
      </w:r>
      <w:r w:rsidR="00956DD4">
        <w:t>‘</w:t>
      </w:r>
      <w:r>
        <w:t>remove</w:t>
      </w:r>
      <w:r w:rsidR="00956DD4">
        <w:t>’</w:t>
      </w:r>
      <w:r>
        <w:t xml:space="preserve"> the improper parts of the concept and deny them when it comes to God. The positive movement is </w:t>
      </w:r>
      <w:proofErr w:type="spellStart"/>
      <w:r>
        <w:rPr>
          <w:i/>
          <w:iCs/>
        </w:rPr>
        <w:t>excellentia</w:t>
      </w:r>
      <w:proofErr w:type="spellEnd"/>
      <w:r>
        <w:rPr>
          <w:i/>
          <w:iCs/>
        </w:rPr>
        <w:t xml:space="preserve">, </w:t>
      </w:r>
      <w:r>
        <w:t xml:space="preserve">where we purify a concept and deny </w:t>
      </w:r>
      <w:r>
        <w:lastRenderedPageBreak/>
        <w:t>what is unfitting to divine perfection – we re-conceptualize a perfection as existing without limitation</w:t>
      </w:r>
      <w:r>
        <w:rPr>
          <w:i/>
          <w:iCs/>
        </w:rPr>
        <w:t xml:space="preserve">, </w:t>
      </w:r>
      <w:r>
        <w:t xml:space="preserve">as we might use </w:t>
      </w:r>
      <w:r w:rsidR="00956DD4">
        <w:t>‘</w:t>
      </w:r>
      <w:r>
        <w:t>power</w:t>
      </w:r>
      <w:r w:rsidR="00956DD4">
        <w:t>’</w:t>
      </w:r>
      <w:r>
        <w:t xml:space="preserve"> or </w:t>
      </w:r>
      <w:r w:rsidR="00956DD4">
        <w:t>‘</w:t>
      </w:r>
      <w:r>
        <w:t>knowledge</w:t>
      </w:r>
      <w:r w:rsidR="00956DD4">
        <w:t>’</w:t>
      </w:r>
      <w:r>
        <w:t xml:space="preserve"> in concepts of omnipotence or omniscience. From separation and purification of concepts, we draw them back into an affirmative unity by composition of concepts.</w:t>
      </w:r>
      <w:r>
        <w:rPr>
          <w:rStyle w:val="FootnoteAnchor"/>
        </w:rPr>
        <w:footnoteReference w:id="23"/>
      </w:r>
      <w:r>
        <w:t xml:space="preserve"> On this picture, our names for God begins in causal inferences, where we conclude to God as cause (e.g., of the universe). Then, we take a concept of perfection from a created thing (an effect of God's causal power) and deny, by means of </w:t>
      </w:r>
      <w:proofErr w:type="spellStart"/>
      <w:r>
        <w:rPr>
          <w:i/>
          <w:iCs/>
        </w:rPr>
        <w:t>remotio</w:t>
      </w:r>
      <w:proofErr w:type="spellEnd"/>
      <w:r>
        <w:rPr>
          <w:i/>
          <w:iCs/>
        </w:rPr>
        <w:t xml:space="preserve">, </w:t>
      </w:r>
      <w:r>
        <w:t xml:space="preserve">whatever is unfitting and imperfect in that concept. Finally, we proceed to name God by way of </w:t>
      </w:r>
      <w:proofErr w:type="spellStart"/>
      <w:r>
        <w:rPr>
          <w:i/>
          <w:iCs/>
        </w:rPr>
        <w:t>excellentia</w:t>
      </w:r>
      <w:proofErr w:type="spellEnd"/>
      <w:r>
        <w:t xml:space="preserve"> – that He instantiates that perfection perfectly. </w:t>
      </w:r>
    </w:p>
    <w:p w:rsidR="001C3471" w:rsidRDefault="0034114F">
      <w:pPr>
        <w:spacing w:line="360" w:lineRule="auto"/>
      </w:pPr>
      <w:r>
        <w:tab/>
        <w:t xml:space="preserve">Contrary to some modern attempts to read Aquinas' theory through the lens of </w:t>
      </w:r>
      <w:r w:rsidR="00A1535A">
        <w:t xml:space="preserve">a </w:t>
      </w:r>
      <w:r>
        <w:t xml:space="preserve">radical </w:t>
      </w:r>
      <w:proofErr w:type="spellStart"/>
      <w:r>
        <w:t>apophaticism</w:t>
      </w:r>
      <w:proofErr w:type="spellEnd"/>
      <w:r>
        <w:t>,</w:t>
      </w:r>
      <w:r w:rsidR="0073249E">
        <w:rPr>
          <w:rStyle w:val="FootnoteReference"/>
        </w:rPr>
        <w:footnoteReference w:id="24"/>
      </w:r>
      <w:r>
        <w:t xml:space="preserve"> Aquinas himself points out that each negative claim about God is founded upon a positive concept of perfections and does not hesitate to claim that we have real knowledge of God despite it not being </w:t>
      </w:r>
      <w:r>
        <w:rPr>
          <w:i/>
          <w:iCs/>
        </w:rPr>
        <w:t xml:space="preserve">essential </w:t>
      </w:r>
      <w:r>
        <w:t>knowledge.</w:t>
      </w:r>
      <w:r>
        <w:rPr>
          <w:rStyle w:val="FootnoteAnchor"/>
        </w:rPr>
        <w:footnoteReference w:id="25"/>
      </w:r>
      <w:r>
        <w:t xml:space="preserve"> This leads him to reject the apophatic position held by Moses Maimonides, which would make all divine names</w:t>
      </w:r>
      <w:r>
        <w:rPr>
          <w:i/>
          <w:iCs/>
        </w:rPr>
        <w:t xml:space="preserve"> </w:t>
      </w:r>
      <w:r>
        <w:t>end only in saying what we cannot predicate of God.</w:t>
      </w:r>
      <w:r>
        <w:rPr>
          <w:rStyle w:val="FootnoteAnchor"/>
        </w:rPr>
        <w:footnoteReference w:id="26"/>
      </w:r>
      <w:r>
        <w:t xml:space="preserve"> The names of God </w:t>
      </w:r>
      <w:r w:rsidR="00CD3A31">
        <w:t>involve a direct proportionality because of a real relation between the created perfection to God;</w:t>
      </w:r>
      <w:r>
        <w:t xml:space="preserve"> God is</w:t>
      </w:r>
      <w:r w:rsidR="00CD3A31">
        <w:t xml:space="preserve"> thus</w:t>
      </w:r>
      <w:r>
        <w:t xml:space="preserve"> the more excellent and primary </w:t>
      </w:r>
      <w:proofErr w:type="spellStart"/>
      <w:r>
        <w:t>instantiator</w:t>
      </w:r>
      <w:proofErr w:type="spellEnd"/>
      <w:r>
        <w:t xml:space="preserve"> of the perfection than the creature.</w:t>
      </w:r>
      <w:r>
        <w:rPr>
          <w:rStyle w:val="FootnoteAnchor"/>
        </w:rPr>
        <w:footnoteReference w:id="27"/>
      </w:r>
      <w:r>
        <w:t xml:space="preserve"> It is this move that allows Aquinas to avoid Maimonides' implications; the perfection, while drawn from creatures, is substantially present in God and properly said of Him, and creatures only secondarily.</w:t>
      </w:r>
      <w:r>
        <w:rPr>
          <w:rStyle w:val="FootnoteAnchor"/>
        </w:rPr>
        <w:footnoteReference w:id="28"/>
      </w:r>
      <w:r>
        <w:t xml:space="preserve"> We need not end merely either in causal statements of a relation of </w:t>
      </w:r>
      <w:proofErr w:type="gramStart"/>
      <w:r>
        <w:t>a perfection</w:t>
      </w:r>
      <w:proofErr w:type="gramEnd"/>
      <w:r>
        <w:t xml:space="preserve"> to God or in negative statements of the deficiency of the perfection. Rather, some names are more </w:t>
      </w:r>
      <w:proofErr w:type="spellStart"/>
      <w:r>
        <w:t>significative</w:t>
      </w:r>
      <w:proofErr w:type="spellEnd"/>
      <w:r>
        <w:t xml:space="preserve"> than others because of the nature of the perfection signified and the way we can signify in language. </w:t>
      </w:r>
      <w:r>
        <w:tab/>
      </w:r>
    </w:p>
    <w:p w:rsidR="00705E6D" w:rsidRDefault="0034114F" w:rsidP="001C3471">
      <w:pPr>
        <w:spacing w:line="360" w:lineRule="auto"/>
        <w:ind w:firstLine="709"/>
      </w:pPr>
      <w:r>
        <w:t xml:space="preserve">Thus, the divine names function in a conceptual hierarchy. Some are </w:t>
      </w:r>
      <w:r w:rsidR="00956DD4">
        <w:t>‘</w:t>
      </w:r>
      <w:r>
        <w:t>properly</w:t>
      </w:r>
      <w:r w:rsidR="00956DD4">
        <w:t>’</w:t>
      </w:r>
      <w:r>
        <w:t xml:space="preserve"> (</w:t>
      </w:r>
      <w:proofErr w:type="spellStart"/>
      <w:r>
        <w:rPr>
          <w:i/>
          <w:iCs/>
        </w:rPr>
        <w:t>proprie</w:t>
      </w:r>
      <w:proofErr w:type="spellEnd"/>
      <w:r>
        <w:t xml:space="preserve">) or </w:t>
      </w:r>
      <w:r w:rsidR="00956DD4">
        <w:t>‘</w:t>
      </w:r>
      <w:r>
        <w:t>literally</w:t>
      </w:r>
      <w:r w:rsidR="00956DD4">
        <w:t>’</w:t>
      </w:r>
      <w:r>
        <w:t xml:space="preserve"> predicated of the divine essence whereas others are only said </w:t>
      </w:r>
      <w:r w:rsidR="00956DD4">
        <w:t>‘</w:t>
      </w:r>
      <w:r>
        <w:t>metaphorically</w:t>
      </w:r>
      <w:r w:rsidR="00956DD4">
        <w:t>’</w:t>
      </w:r>
      <w:r>
        <w:t>.</w:t>
      </w:r>
      <w:r>
        <w:rPr>
          <w:rStyle w:val="FootnoteAnchor"/>
        </w:rPr>
        <w:footnoteReference w:id="29"/>
      </w:r>
      <w:r>
        <w:t xml:space="preserve"> Divine names have an order that ascends from the purely metaphorical to a more conceptual or </w:t>
      </w:r>
      <w:r w:rsidR="00956DD4">
        <w:t>‘</w:t>
      </w:r>
      <w:r>
        <w:t>intellectual</w:t>
      </w:r>
      <w:r w:rsidR="00956DD4">
        <w:t>’</w:t>
      </w:r>
      <w:r>
        <w:t xml:space="preserve"> </w:t>
      </w:r>
      <w:r>
        <w:lastRenderedPageBreak/>
        <w:t>sense. We don't say God is a body, despite Him being the cause of all bodies, for instance.</w:t>
      </w:r>
      <w:r>
        <w:rPr>
          <w:rStyle w:val="FootnoteAnchor"/>
        </w:rPr>
        <w:footnoteReference w:id="30"/>
      </w:r>
      <w:r>
        <w:t xml:space="preserve"> The basis for this distinction is that Aquinas differentiates metaphorical names from conceptual ones</w:t>
      </w:r>
      <w:r w:rsidR="001C3471">
        <w:rPr>
          <w:rStyle w:val="FootnoteReference"/>
        </w:rPr>
        <w:footnoteReference w:id="31"/>
      </w:r>
      <w:r>
        <w:t xml:space="preserve"> because metaphorical names signify directly the creaturely </w:t>
      </w:r>
      <w:r>
        <w:rPr>
          <w:i/>
          <w:iCs/>
        </w:rPr>
        <w:t>mode</w:t>
      </w:r>
      <w:r>
        <w:t xml:space="preserve"> of perfection (they entail both a creaturely </w:t>
      </w:r>
      <w:r>
        <w:rPr>
          <w:i/>
          <w:iCs/>
        </w:rPr>
        <w:t xml:space="preserve">res </w:t>
      </w:r>
      <w:r>
        <w:t xml:space="preserve">and </w:t>
      </w:r>
      <w:r>
        <w:rPr>
          <w:i/>
          <w:iCs/>
        </w:rPr>
        <w:t xml:space="preserve">modus </w:t>
      </w:r>
      <w:proofErr w:type="spellStart"/>
      <w:r>
        <w:rPr>
          <w:i/>
          <w:iCs/>
        </w:rPr>
        <w:t>significandi</w:t>
      </w:r>
      <w:proofErr w:type="spellEnd"/>
      <w:r>
        <w:t xml:space="preserve">), whereas the conceptual terms signify the </w:t>
      </w:r>
      <w:r>
        <w:rPr>
          <w:i/>
          <w:iCs/>
        </w:rPr>
        <w:t>perfection</w:t>
      </w:r>
      <w:r>
        <w:t xml:space="preserve"> itself (the </w:t>
      </w:r>
      <w:r>
        <w:rPr>
          <w:i/>
          <w:iCs/>
        </w:rPr>
        <w:t xml:space="preserve">modus </w:t>
      </w:r>
      <w:proofErr w:type="spellStart"/>
      <w:r>
        <w:rPr>
          <w:i/>
          <w:iCs/>
        </w:rPr>
        <w:t>significandi</w:t>
      </w:r>
      <w:proofErr w:type="spellEnd"/>
      <w:r>
        <w:rPr>
          <w:i/>
          <w:iCs/>
        </w:rPr>
        <w:t xml:space="preserve"> </w:t>
      </w:r>
      <w:r>
        <w:t xml:space="preserve">is creaturely, but the </w:t>
      </w:r>
      <w:r>
        <w:rPr>
          <w:i/>
          <w:iCs/>
        </w:rPr>
        <w:t xml:space="preserve">res </w:t>
      </w:r>
      <w:proofErr w:type="spellStart"/>
      <w:r>
        <w:rPr>
          <w:i/>
          <w:iCs/>
        </w:rPr>
        <w:t>significandi</w:t>
      </w:r>
      <w:proofErr w:type="spellEnd"/>
      <w:r>
        <w:rPr>
          <w:i/>
          <w:iCs/>
        </w:rPr>
        <w:t xml:space="preserve"> </w:t>
      </w:r>
      <w:r>
        <w:t xml:space="preserve">is a </w:t>
      </w:r>
      <w:r w:rsidR="00956DD4">
        <w:t>‘</w:t>
      </w:r>
      <w:r>
        <w:t>pure</w:t>
      </w:r>
      <w:r w:rsidR="00956DD4">
        <w:t>’</w:t>
      </w:r>
      <w:r>
        <w:t xml:space="preserve"> perfection).</w:t>
      </w:r>
      <w:r>
        <w:rPr>
          <w:rStyle w:val="FootnoteAnchor"/>
        </w:rPr>
        <w:footnoteReference w:id="32"/>
      </w:r>
      <w:r>
        <w:t xml:space="preserve"> While it is true that even conceptual names remain creaturely in extraction and in the </w:t>
      </w:r>
      <w:r>
        <w:rPr>
          <w:i/>
          <w:iCs/>
        </w:rPr>
        <w:t xml:space="preserve">modus </w:t>
      </w:r>
      <w:proofErr w:type="spellStart"/>
      <w:r>
        <w:rPr>
          <w:i/>
          <w:iCs/>
        </w:rPr>
        <w:t>significandi</w:t>
      </w:r>
      <w:proofErr w:type="spellEnd"/>
      <w:r>
        <w:rPr>
          <w:i/>
          <w:iCs/>
        </w:rPr>
        <w:t>,</w:t>
      </w:r>
      <w:r>
        <w:t xml:space="preserve"> Aquinas thinks that the latter can be purified and made unlimited in conceptual signification. </w:t>
      </w:r>
    </w:p>
    <w:p w:rsidR="00705E6D" w:rsidRDefault="0034114F" w:rsidP="00E83F3A">
      <w:pPr>
        <w:spacing w:line="360" w:lineRule="auto"/>
      </w:pPr>
      <w:r>
        <w:tab/>
        <w:t xml:space="preserve">This has been characterized by Eleonore Stump as </w:t>
      </w:r>
      <w:r w:rsidR="00956DD4">
        <w:t>‘</w:t>
      </w:r>
      <w:r>
        <w:t>quantum theology</w:t>
      </w:r>
      <w:r w:rsidR="0056695A">
        <w:t>’,</w:t>
      </w:r>
      <w:r>
        <w:t xml:space="preserve"> in that it requires the recognition of the deficient character not in the </w:t>
      </w:r>
      <w:r>
        <w:rPr>
          <w:i/>
          <w:iCs/>
        </w:rPr>
        <w:t xml:space="preserve">res </w:t>
      </w:r>
      <w:proofErr w:type="spellStart"/>
      <w:r>
        <w:rPr>
          <w:i/>
          <w:iCs/>
        </w:rPr>
        <w:t>significandi</w:t>
      </w:r>
      <w:proofErr w:type="spellEnd"/>
      <w:r>
        <w:rPr>
          <w:i/>
          <w:iCs/>
        </w:rPr>
        <w:t xml:space="preserve">, </w:t>
      </w:r>
      <w:r>
        <w:t xml:space="preserve">or what we are signifying, but in the </w:t>
      </w:r>
      <w:r>
        <w:rPr>
          <w:i/>
          <w:iCs/>
        </w:rPr>
        <w:t xml:space="preserve">modus </w:t>
      </w:r>
      <w:proofErr w:type="spellStart"/>
      <w:r>
        <w:rPr>
          <w:i/>
          <w:iCs/>
        </w:rPr>
        <w:t>significandi</w:t>
      </w:r>
      <w:proofErr w:type="spellEnd"/>
      <w:r>
        <w:rPr>
          <w:i/>
          <w:iCs/>
        </w:rPr>
        <w:t>,</w:t>
      </w:r>
      <w:r>
        <w:t xml:space="preserve"> or manner in which the concept signifies.</w:t>
      </w:r>
      <w:r>
        <w:rPr>
          <w:rStyle w:val="FootnoteAnchor"/>
        </w:rPr>
        <w:footnoteReference w:id="33"/>
      </w:r>
      <w:r>
        <w:t xml:space="preserve"> We never gain epistemic access in this life to what God is in </w:t>
      </w:r>
      <w:proofErr w:type="gramStart"/>
      <w:r>
        <w:t>Himself</w:t>
      </w:r>
      <w:proofErr w:type="gramEnd"/>
      <w:r>
        <w:t>. The names or terms we use are concepts drawn from these creaturely effects that, while signifying the correct referent, fall short in terms of adequate sense.</w:t>
      </w:r>
      <w:r>
        <w:rPr>
          <w:rStyle w:val="FootnoteAnchor"/>
        </w:rPr>
        <w:footnoteReference w:id="34"/>
      </w:r>
      <w:r>
        <w:t xml:space="preserve"> Our names for God are necessarily multiple</w:t>
      </w:r>
      <w:r>
        <w:rPr>
          <w:i/>
          <w:iCs/>
        </w:rPr>
        <w:t xml:space="preserve"> </w:t>
      </w:r>
      <w:r>
        <w:t xml:space="preserve">because of our human cognitive limits. As in the case of describing something as both exhibiting behavior of a particle and wave at the same time, we cannot conceive of what it is for God to </w:t>
      </w:r>
      <w:r w:rsidR="00720611">
        <w:t>exemplify elements of being both</w:t>
      </w:r>
      <w:r>
        <w:t xml:space="preserve"> universal and particular (e.g., </w:t>
      </w:r>
      <w:r w:rsidR="00720611">
        <w:t xml:space="preserve">to be </w:t>
      </w:r>
      <w:r w:rsidR="00956DD4">
        <w:t>‘</w:t>
      </w:r>
      <w:r w:rsidR="00720611">
        <w:t>Goodness itself</w:t>
      </w:r>
      <w:r w:rsidR="00956DD4">
        <w:t>’</w:t>
      </w:r>
      <w:r>
        <w:t xml:space="preserve"> and </w:t>
      </w:r>
      <w:r w:rsidR="00956DD4">
        <w:t>‘</w:t>
      </w:r>
      <w:r>
        <w:t>a good</w:t>
      </w:r>
      <w:r w:rsidR="00956DD4">
        <w:t>’</w:t>
      </w:r>
      <w:r>
        <w:t>), because our concepts, while logically compatible in predication and rigidly indicative, cannot mutually predicate both at the same time.</w:t>
      </w:r>
      <w:r>
        <w:rPr>
          <w:rStyle w:val="FootnoteAnchor"/>
        </w:rPr>
        <w:footnoteReference w:id="35"/>
      </w:r>
      <w:r>
        <w:t xml:space="preserve"> </w:t>
      </w:r>
      <w:r w:rsidR="002160D3">
        <w:t xml:space="preserve">While </w:t>
      </w:r>
      <w:proofErr w:type="spellStart"/>
      <w:r w:rsidR="002160D3">
        <w:t>Gaven</w:t>
      </w:r>
      <w:proofErr w:type="spellEnd"/>
      <w:r w:rsidR="002160D3">
        <w:t xml:space="preserve"> Kerr has </w:t>
      </w:r>
      <w:r w:rsidR="00A8420E">
        <w:t xml:space="preserve">pointed out that Stump’s theory </w:t>
      </w:r>
      <w:r w:rsidR="002160D3">
        <w:t xml:space="preserve">underappreciates the role of analogy in predication of </w:t>
      </w:r>
      <w:r w:rsidR="00160F90">
        <w:t xml:space="preserve">positive </w:t>
      </w:r>
      <w:r w:rsidR="002160D3">
        <w:t>divine names, because we are not really attributing incompatible properties of the same thing (as</w:t>
      </w:r>
      <w:r w:rsidR="00160F90">
        <w:t xml:space="preserve"> he understands</w:t>
      </w:r>
      <w:r w:rsidR="002160D3">
        <w:t xml:space="preserve"> Stump </w:t>
      </w:r>
      <w:r w:rsidR="00160F90">
        <w:t>to portray</w:t>
      </w:r>
      <w:r w:rsidR="002160D3">
        <w:t xml:space="preserve"> </w:t>
      </w:r>
      <w:r w:rsidR="00956DD4">
        <w:t>‘</w:t>
      </w:r>
      <w:r w:rsidR="002160D3">
        <w:t>abstract</w:t>
      </w:r>
      <w:r w:rsidR="00956DD4">
        <w:t>’</w:t>
      </w:r>
      <w:r w:rsidR="002160D3">
        <w:t xml:space="preserve"> and </w:t>
      </w:r>
      <w:r w:rsidR="00956DD4">
        <w:t>‘</w:t>
      </w:r>
      <w:r w:rsidR="002160D3">
        <w:t>concrete</w:t>
      </w:r>
      <w:r w:rsidR="00956DD4">
        <w:t>’</w:t>
      </w:r>
      <w:r w:rsidR="002160D3">
        <w:t>)</w:t>
      </w:r>
      <w:r w:rsidR="00A8420E">
        <w:rPr>
          <w:rStyle w:val="FootnoteReference"/>
        </w:rPr>
        <w:footnoteReference w:id="36"/>
      </w:r>
      <w:r w:rsidR="002160D3">
        <w:t xml:space="preserve">, I am only availing myself of Stump’s </w:t>
      </w:r>
      <w:r w:rsidR="00160F90">
        <w:t>language to</w:t>
      </w:r>
      <w:r w:rsidR="002160D3">
        <w:t xml:space="preserve"> mak</w:t>
      </w:r>
      <w:r w:rsidR="00160F90">
        <w:t>e</w:t>
      </w:r>
      <w:r w:rsidR="002160D3">
        <w:t xml:space="preserve"> the general point that </w:t>
      </w:r>
      <w:r w:rsidR="00160F90">
        <w:t>the</w:t>
      </w:r>
      <w:r w:rsidR="002160D3">
        <w:t xml:space="preserve"> </w:t>
      </w:r>
      <w:r w:rsidR="002160D3">
        <w:rPr>
          <w:i/>
        </w:rPr>
        <w:t xml:space="preserve">modus </w:t>
      </w:r>
      <w:proofErr w:type="spellStart"/>
      <w:r w:rsidR="002160D3">
        <w:rPr>
          <w:i/>
        </w:rPr>
        <w:t>significandi</w:t>
      </w:r>
      <w:proofErr w:type="spellEnd"/>
      <w:r w:rsidR="002160D3">
        <w:rPr>
          <w:i/>
        </w:rPr>
        <w:t xml:space="preserve"> </w:t>
      </w:r>
      <w:r w:rsidR="002160D3">
        <w:t xml:space="preserve">of these terms must be applied analogously to avoid contradiction. </w:t>
      </w:r>
      <w:r>
        <w:rPr>
          <w:color w:val="000000"/>
        </w:rPr>
        <w:t xml:space="preserve">Even while, for Aquinas, revelation brings human beings into a different relationship to God, </w:t>
      </w:r>
      <w:r w:rsidR="00160F90">
        <w:rPr>
          <w:color w:val="000000"/>
        </w:rPr>
        <w:t>this</w:t>
      </w:r>
      <w:r>
        <w:rPr>
          <w:color w:val="000000"/>
        </w:rPr>
        <w:t xml:space="preserve"> does </w:t>
      </w:r>
      <w:r>
        <w:rPr>
          <w:color w:val="000000"/>
        </w:rPr>
        <w:lastRenderedPageBreak/>
        <w:t>not surpass the epistemological limits of analogical language.</w:t>
      </w:r>
      <w:r>
        <w:rPr>
          <w:rStyle w:val="FootnoteAnchor"/>
          <w:color w:val="000000"/>
        </w:rPr>
        <w:footnoteReference w:id="37"/>
      </w:r>
      <w:r>
        <w:rPr>
          <w:color w:val="000000"/>
        </w:rPr>
        <w:t xml:space="preserve"> All our concepts remain inherently limited by our own mode of cognition.</w:t>
      </w:r>
      <w:r>
        <w:rPr>
          <w:rStyle w:val="FootnoteAnchor"/>
          <w:color w:val="000000"/>
        </w:rPr>
        <w:footnoteReference w:id="38"/>
      </w:r>
      <w:r>
        <w:rPr>
          <w:color w:val="000000"/>
        </w:rPr>
        <w:t xml:space="preserve"> </w:t>
      </w:r>
    </w:p>
    <w:p w:rsidR="00C36DF7" w:rsidRDefault="0034114F">
      <w:pPr>
        <w:spacing w:line="360" w:lineRule="auto"/>
      </w:pPr>
      <w:r>
        <w:tab/>
      </w:r>
      <w:r w:rsidR="004249B0">
        <w:t>When we turn to the article in the</w:t>
      </w:r>
      <w:r>
        <w:t xml:space="preserve"> </w:t>
      </w:r>
      <w:r>
        <w:rPr>
          <w:i/>
          <w:iCs/>
        </w:rPr>
        <w:t>Summa Theologiae</w:t>
      </w:r>
      <w:r>
        <w:t xml:space="preserve"> where </w:t>
      </w:r>
      <w:r w:rsidR="004249B0">
        <w:t>Aquinas explicitly</w:t>
      </w:r>
      <w:r>
        <w:t xml:space="preserve"> considers </w:t>
      </w:r>
      <w:r w:rsidR="004249B0">
        <w:t xml:space="preserve">our central question, </w:t>
      </w:r>
      <w:r w:rsidR="00956DD4">
        <w:t>‘</w:t>
      </w:r>
      <w:r>
        <w:t>whether 'He Who Is'</w:t>
      </w:r>
      <w:r w:rsidR="00F50C31">
        <w:t xml:space="preserve"> </w:t>
      </w:r>
      <w:r w:rsidR="00971547">
        <w:t>[</w:t>
      </w:r>
      <w:r w:rsidR="00971547" w:rsidRPr="00971547">
        <w:rPr>
          <w:i/>
        </w:rPr>
        <w:t xml:space="preserve">qui </w:t>
      </w:r>
      <w:proofErr w:type="spellStart"/>
      <w:proofErr w:type="gramStart"/>
      <w:r w:rsidR="00971547" w:rsidRPr="00971547">
        <w:rPr>
          <w:i/>
        </w:rPr>
        <w:t>est</w:t>
      </w:r>
      <w:proofErr w:type="spellEnd"/>
      <w:proofErr w:type="gramEnd"/>
      <w:r w:rsidR="00971547">
        <w:t>] is the most proper [</w:t>
      </w:r>
      <w:proofErr w:type="spellStart"/>
      <w:r w:rsidR="00971547" w:rsidRPr="00971547">
        <w:rPr>
          <w:i/>
        </w:rPr>
        <w:t>maxime</w:t>
      </w:r>
      <w:proofErr w:type="spellEnd"/>
      <w:r w:rsidR="00971547" w:rsidRPr="00971547">
        <w:rPr>
          <w:i/>
        </w:rPr>
        <w:t xml:space="preserve"> </w:t>
      </w:r>
      <w:proofErr w:type="spellStart"/>
      <w:r w:rsidR="00971547" w:rsidRPr="00971547">
        <w:rPr>
          <w:i/>
        </w:rPr>
        <w:t>proprium</w:t>
      </w:r>
      <w:proofErr w:type="spellEnd"/>
      <w:r w:rsidR="00971547">
        <w:t>] name of God</w:t>
      </w:r>
      <w:r w:rsidR="0056695A">
        <w:t>’,</w:t>
      </w:r>
      <w:r>
        <w:t xml:space="preserve"> he makes three claims</w:t>
      </w:r>
      <w:r w:rsidR="00655255">
        <w:t xml:space="preserve"> as to why </w:t>
      </w:r>
      <w:r w:rsidR="00956DD4">
        <w:t>‘</w:t>
      </w:r>
      <w:r w:rsidR="00655255">
        <w:t>being</w:t>
      </w:r>
      <w:r w:rsidR="00956DD4">
        <w:t>’</w:t>
      </w:r>
      <w:r w:rsidR="00655255">
        <w:t xml:space="preserve"> is the most appropriate term to describe God</w:t>
      </w:r>
      <w:r>
        <w:t>.</w:t>
      </w:r>
      <w:r w:rsidR="00F72033" w:rsidRPr="00F72033">
        <w:rPr>
          <w:rStyle w:val="FootnoteAnchor"/>
        </w:rPr>
        <w:t xml:space="preserve"> </w:t>
      </w:r>
      <w:r w:rsidR="00F72033">
        <w:rPr>
          <w:rStyle w:val="FootnoteAnchor"/>
        </w:rPr>
        <w:footnoteReference w:id="39"/>
      </w:r>
      <w:r>
        <w:t xml:space="preserve"> </w:t>
      </w:r>
      <w:r w:rsidR="007953A6">
        <w:t xml:space="preserve">Using the resources we have laid out above, we can reconstruct more clearly the points Aquinas is making. </w:t>
      </w:r>
    </w:p>
    <w:p w:rsidR="00971547" w:rsidRPr="00C06E91" w:rsidRDefault="0034114F" w:rsidP="00376FB1">
      <w:pPr>
        <w:spacing w:line="360" w:lineRule="auto"/>
        <w:ind w:firstLine="709"/>
        <w:rPr>
          <w:rFonts w:ascii="Verdana" w:hAnsi="Verdana"/>
          <w:color w:val="002200"/>
          <w:sz w:val="27"/>
          <w:szCs w:val="27"/>
        </w:rPr>
      </w:pPr>
      <w:r>
        <w:t xml:space="preserve">The first </w:t>
      </w:r>
      <w:r w:rsidR="007953A6">
        <w:t xml:space="preserve">claim </w:t>
      </w:r>
      <w:r>
        <w:t xml:space="preserve">is that </w:t>
      </w:r>
      <w:r w:rsidR="00956DD4">
        <w:t>‘</w:t>
      </w:r>
      <w:r w:rsidRPr="005370AE">
        <w:t>He Who Is</w:t>
      </w:r>
      <w:r w:rsidR="00956DD4">
        <w:t>’</w:t>
      </w:r>
      <w:r>
        <w:t xml:space="preserve"> does not signify any determinate property or nature, but identifies God only as </w:t>
      </w:r>
      <w:r w:rsidR="00956DD4">
        <w:t>‘</w:t>
      </w:r>
      <w:r>
        <w:t>existing</w:t>
      </w:r>
      <w:r w:rsidR="00956DD4">
        <w:t>’</w:t>
      </w:r>
      <w:r>
        <w:t xml:space="preserve"> in a way that would be utterly unique</w:t>
      </w:r>
      <w:r w:rsidR="00F72033">
        <w:t xml:space="preserve">; </w:t>
      </w:r>
      <w:r w:rsidR="00956DD4">
        <w:t>‘</w:t>
      </w:r>
      <w:r w:rsidR="00971547">
        <w:t>it does not signify any form but existing itself</w:t>
      </w:r>
      <w:r w:rsidR="00F50C31">
        <w:t xml:space="preserve"> [</w:t>
      </w:r>
      <w:r w:rsidR="00F50C31" w:rsidRPr="00376FB1">
        <w:rPr>
          <w:rFonts w:cs="Times New Roman"/>
          <w:color w:val="002200"/>
        </w:rPr>
        <w:t xml:space="preserve">Non </w:t>
      </w:r>
      <w:proofErr w:type="spellStart"/>
      <w:r w:rsidR="00F50C31" w:rsidRPr="00376FB1">
        <w:rPr>
          <w:rFonts w:cs="Times New Roman"/>
          <w:color w:val="002200"/>
        </w:rPr>
        <w:t>enim</w:t>
      </w:r>
      <w:proofErr w:type="spellEnd"/>
      <w:r w:rsidR="00F50C31" w:rsidRPr="00376FB1">
        <w:rPr>
          <w:rFonts w:cs="Times New Roman"/>
          <w:color w:val="002200"/>
        </w:rPr>
        <w:t xml:space="preserve"> </w:t>
      </w:r>
      <w:proofErr w:type="spellStart"/>
      <w:r w:rsidR="00F50C31" w:rsidRPr="00376FB1">
        <w:rPr>
          <w:rFonts w:cs="Times New Roman"/>
          <w:color w:val="002200"/>
        </w:rPr>
        <w:t>significat</w:t>
      </w:r>
      <w:proofErr w:type="spellEnd"/>
      <w:r w:rsidR="00F50C31" w:rsidRPr="00376FB1">
        <w:rPr>
          <w:rFonts w:cs="Times New Roman"/>
          <w:color w:val="002200"/>
        </w:rPr>
        <w:t xml:space="preserve"> </w:t>
      </w:r>
      <w:proofErr w:type="spellStart"/>
      <w:r w:rsidR="00F50C31" w:rsidRPr="00376FB1">
        <w:rPr>
          <w:rFonts w:cs="Times New Roman"/>
          <w:color w:val="002200"/>
        </w:rPr>
        <w:t>formam</w:t>
      </w:r>
      <w:proofErr w:type="spellEnd"/>
      <w:r w:rsidR="00F50C31" w:rsidRPr="00376FB1">
        <w:rPr>
          <w:rFonts w:cs="Times New Roman"/>
          <w:color w:val="002200"/>
        </w:rPr>
        <w:t xml:space="preserve"> </w:t>
      </w:r>
      <w:proofErr w:type="spellStart"/>
      <w:r w:rsidR="00F50C31" w:rsidRPr="00376FB1">
        <w:rPr>
          <w:rFonts w:cs="Times New Roman"/>
          <w:color w:val="002200"/>
        </w:rPr>
        <w:t>aliquam</w:t>
      </w:r>
      <w:proofErr w:type="spellEnd"/>
      <w:r w:rsidR="00F50C31" w:rsidRPr="00376FB1">
        <w:rPr>
          <w:rFonts w:cs="Times New Roman"/>
          <w:color w:val="002200"/>
        </w:rPr>
        <w:t xml:space="preserve">, </w:t>
      </w:r>
      <w:proofErr w:type="spellStart"/>
      <w:r w:rsidR="00F50C31" w:rsidRPr="00376FB1">
        <w:rPr>
          <w:rFonts w:cs="Times New Roman"/>
          <w:color w:val="002200"/>
        </w:rPr>
        <w:t>sed</w:t>
      </w:r>
      <w:proofErr w:type="spellEnd"/>
      <w:r w:rsidR="00F50C31" w:rsidRPr="00376FB1">
        <w:rPr>
          <w:rFonts w:cs="Times New Roman"/>
          <w:color w:val="002200"/>
        </w:rPr>
        <w:t xml:space="preserve"> ipsum </w:t>
      </w:r>
      <w:proofErr w:type="spellStart"/>
      <w:r w:rsidR="00F50C31" w:rsidRPr="00376FB1">
        <w:rPr>
          <w:rFonts w:cs="Times New Roman"/>
          <w:color w:val="002200"/>
        </w:rPr>
        <w:t>esse</w:t>
      </w:r>
      <w:proofErr w:type="spellEnd"/>
      <w:r w:rsidR="00F50C31">
        <w:rPr>
          <w:rFonts w:ascii="Verdana" w:hAnsi="Verdana"/>
          <w:color w:val="002200"/>
          <w:sz w:val="27"/>
          <w:szCs w:val="27"/>
        </w:rPr>
        <w:t>]</w:t>
      </w:r>
      <w:r>
        <w:t>.</w:t>
      </w:r>
      <w:r w:rsidR="00956DD4">
        <w:t>’</w:t>
      </w:r>
      <w:r>
        <w:t xml:space="preserve"> </w:t>
      </w:r>
      <w:r w:rsidR="00956DD4">
        <w:t>‘</w:t>
      </w:r>
      <w:r w:rsidR="005370AE">
        <w:t>He Who Is</w:t>
      </w:r>
      <w:r w:rsidR="00956DD4">
        <w:t>’</w:t>
      </w:r>
      <w:r>
        <w:t xml:space="preserve"> is thus uniquely fitted to be used as a name for God, as it specially indicates </w:t>
      </w:r>
      <w:r w:rsidR="00655255">
        <w:t>transcendence</w:t>
      </w:r>
      <w:r>
        <w:t xml:space="preserve"> </w:t>
      </w:r>
      <w:r w:rsidR="00655255">
        <w:t xml:space="preserve">which </w:t>
      </w:r>
      <w:r>
        <w:t xml:space="preserve">no other being could have, because He could </w:t>
      </w:r>
      <w:r>
        <w:rPr>
          <w:i/>
          <w:iCs/>
        </w:rPr>
        <w:t xml:space="preserve">not </w:t>
      </w:r>
      <w:r w:rsidR="00EF2D92">
        <w:t xml:space="preserve">be a </w:t>
      </w:r>
      <w:r w:rsidR="00956DD4">
        <w:t>‘</w:t>
      </w:r>
      <w:r w:rsidR="00EF2D92">
        <w:t>being alongside other beings</w:t>
      </w:r>
      <w:r w:rsidR="00956DD4">
        <w:t>’</w:t>
      </w:r>
      <w:r w:rsidR="00EF2D92">
        <w:t xml:space="preserve"> in the ordinary sense.</w:t>
      </w:r>
      <w:r w:rsidR="005370AE">
        <w:t xml:space="preserve"> W</w:t>
      </w:r>
      <w:r>
        <w:t xml:space="preserve">hat it means for Him to </w:t>
      </w:r>
      <w:r w:rsidR="00956DD4">
        <w:t>‘</w:t>
      </w:r>
      <w:r>
        <w:t>exist</w:t>
      </w:r>
      <w:r w:rsidR="00956DD4">
        <w:t>’</w:t>
      </w:r>
      <w:r>
        <w:t xml:space="preserve"> is different</w:t>
      </w:r>
      <w:r w:rsidR="00C36DF7">
        <w:t xml:space="preserve">, given that </w:t>
      </w:r>
      <w:r w:rsidR="00956DD4">
        <w:t>‘</w:t>
      </w:r>
      <w:r w:rsidR="00C36DF7">
        <w:t>His essence is His existence [</w:t>
      </w:r>
      <w:proofErr w:type="spellStart"/>
      <w:r w:rsidR="00C36DF7" w:rsidRPr="00376FB1">
        <w:t>esse</w:t>
      </w:r>
      <w:proofErr w:type="spellEnd"/>
      <w:r w:rsidR="00C36DF7" w:rsidRPr="00376FB1">
        <w:t xml:space="preserve"> Dei sit </w:t>
      </w:r>
      <w:proofErr w:type="spellStart"/>
      <w:r w:rsidR="00C36DF7" w:rsidRPr="00376FB1">
        <w:t>ipsa</w:t>
      </w:r>
      <w:proofErr w:type="spellEnd"/>
      <w:r w:rsidR="00C36DF7" w:rsidRPr="00376FB1">
        <w:t xml:space="preserve"> </w:t>
      </w:r>
      <w:proofErr w:type="spellStart"/>
      <w:r w:rsidR="00C36DF7" w:rsidRPr="00376FB1">
        <w:t>eius</w:t>
      </w:r>
      <w:proofErr w:type="spellEnd"/>
      <w:r w:rsidR="00C36DF7" w:rsidRPr="00376FB1">
        <w:t xml:space="preserve"> </w:t>
      </w:r>
      <w:proofErr w:type="spellStart"/>
      <w:proofErr w:type="gramStart"/>
      <w:r w:rsidR="00376FB1">
        <w:t>essentia</w:t>
      </w:r>
      <w:proofErr w:type="spellEnd"/>
      <w:r w:rsidR="00C36DF7" w:rsidRPr="00376FB1">
        <w:t>]</w:t>
      </w:r>
      <w:r w:rsidR="0056695A">
        <w:t>’,</w:t>
      </w:r>
      <w:proofErr w:type="gramEnd"/>
      <w:r w:rsidR="00C36DF7">
        <w:t xml:space="preserve"> and nothing else </w:t>
      </w:r>
      <w:r w:rsidR="00EF2D92">
        <w:t>can exemplify this kind of existence</w:t>
      </w:r>
      <w:r>
        <w:t xml:space="preserve">. </w:t>
      </w:r>
      <w:r w:rsidR="00C36DF7">
        <w:t xml:space="preserve">In fact, then, the name </w:t>
      </w:r>
      <w:r w:rsidR="00956DD4">
        <w:t>‘</w:t>
      </w:r>
      <w:r w:rsidR="00C36DF7">
        <w:t>He Who Is</w:t>
      </w:r>
      <w:r w:rsidR="00956DD4">
        <w:t>’</w:t>
      </w:r>
      <w:r w:rsidR="00C36DF7">
        <w:t xml:space="preserve"> denominates God </w:t>
      </w:r>
      <w:r w:rsidR="00C36DF7" w:rsidRPr="00376FB1">
        <w:rPr>
          <w:i/>
        </w:rPr>
        <w:t>precisely</w:t>
      </w:r>
      <w:r w:rsidR="00C36DF7">
        <w:t xml:space="preserve"> insofar as He transcends the created order – it names Him by reference </w:t>
      </w:r>
      <w:r w:rsidR="00376FB1">
        <w:t>to His most proper characteristic</w:t>
      </w:r>
      <w:r w:rsidR="00EF2D92">
        <w:t xml:space="preserve"> (at least insofar as our epistemic faculties are able to apprehend Him, given that we do not know His essence, properly speaking), which is to designate Him as that whose very existence is unique and unlimited,</w:t>
      </w:r>
      <w:r w:rsidR="00376FB1">
        <w:t xml:space="preserve"> just as </w:t>
      </w:r>
      <w:r w:rsidR="00956DD4">
        <w:t>‘</w:t>
      </w:r>
      <w:r w:rsidR="00376FB1">
        <w:t>everything is named according to its form [</w:t>
      </w:r>
      <w:proofErr w:type="spellStart"/>
      <w:r w:rsidR="00376FB1" w:rsidRPr="00376FB1">
        <w:t>unumquodque</w:t>
      </w:r>
      <w:proofErr w:type="spellEnd"/>
      <w:r w:rsidR="00376FB1" w:rsidRPr="00376FB1">
        <w:t xml:space="preserve"> </w:t>
      </w:r>
      <w:proofErr w:type="spellStart"/>
      <w:r w:rsidR="00376FB1" w:rsidRPr="00376FB1">
        <w:t>enim</w:t>
      </w:r>
      <w:proofErr w:type="spellEnd"/>
      <w:r w:rsidR="00376FB1" w:rsidRPr="00376FB1">
        <w:t xml:space="preserve"> denominator a </w:t>
      </w:r>
      <w:proofErr w:type="spellStart"/>
      <w:r w:rsidR="00376FB1" w:rsidRPr="00376FB1">
        <w:t>sua</w:t>
      </w:r>
      <w:proofErr w:type="spellEnd"/>
      <w:r w:rsidR="00376FB1" w:rsidRPr="00376FB1">
        <w:t xml:space="preserve"> forma]</w:t>
      </w:r>
      <w:r w:rsidR="00956DD4">
        <w:t>’</w:t>
      </w:r>
      <w:r w:rsidR="00376FB1">
        <w:t xml:space="preserve">. </w:t>
      </w:r>
      <w:r w:rsidR="00C06E91">
        <w:t xml:space="preserve">We might say that, as opposed to other terms, the very </w:t>
      </w:r>
      <w:r w:rsidR="00C06E91">
        <w:rPr>
          <w:i/>
        </w:rPr>
        <w:t xml:space="preserve">modus </w:t>
      </w:r>
      <w:proofErr w:type="spellStart"/>
      <w:r w:rsidR="00C06E91">
        <w:rPr>
          <w:i/>
        </w:rPr>
        <w:t>significandi</w:t>
      </w:r>
      <w:proofErr w:type="spellEnd"/>
      <w:r w:rsidR="00C06E91">
        <w:rPr>
          <w:i/>
        </w:rPr>
        <w:t xml:space="preserve"> </w:t>
      </w:r>
      <w:r w:rsidR="00C06E91">
        <w:t>of the term used (</w:t>
      </w:r>
      <w:r w:rsidR="00956DD4">
        <w:t>‘</w:t>
      </w:r>
      <w:r w:rsidR="00C06E91">
        <w:t>being</w:t>
      </w:r>
      <w:r w:rsidR="00956DD4">
        <w:t>’</w:t>
      </w:r>
      <w:r w:rsidR="00C06E91">
        <w:t xml:space="preserve">) is such that, when we </w:t>
      </w:r>
      <w:r w:rsidR="00924918">
        <w:t>imply</w:t>
      </w:r>
      <w:r w:rsidR="00C06E91">
        <w:t xml:space="preserve"> that God’s essence is His existence </w:t>
      </w:r>
      <w:r w:rsidR="00924918">
        <w:t>in the name</w:t>
      </w:r>
      <w:r w:rsidR="00C06E91">
        <w:t xml:space="preserve"> </w:t>
      </w:r>
      <w:r w:rsidR="00956DD4">
        <w:t>‘</w:t>
      </w:r>
      <w:r w:rsidR="00C06E91">
        <w:t>He Who Is</w:t>
      </w:r>
      <w:r w:rsidR="0056695A">
        <w:t>’,</w:t>
      </w:r>
      <w:r w:rsidR="00C06E91">
        <w:t xml:space="preserve"> we </w:t>
      </w:r>
      <w:r w:rsidR="00924918">
        <w:t>are indicating how our use of terms is</w:t>
      </w:r>
      <w:r w:rsidR="00C06E91">
        <w:t xml:space="preserve"> </w:t>
      </w:r>
      <w:r w:rsidR="00924918">
        <w:t xml:space="preserve">limited – namely, that we can specify no determinate mode of being for God at all. It is for that reason the intension of the term </w:t>
      </w:r>
      <w:r w:rsidR="00956DD4">
        <w:t>‘</w:t>
      </w:r>
      <w:r w:rsidR="00924918">
        <w:t>being</w:t>
      </w:r>
      <w:r w:rsidR="00956DD4">
        <w:t>’</w:t>
      </w:r>
      <w:r w:rsidR="00924918">
        <w:t xml:space="preserve"> is uniquely fitted for </w:t>
      </w:r>
      <w:r w:rsidR="00EF7A0A">
        <w:t xml:space="preserve">designating God as existing </w:t>
      </w:r>
      <w:r w:rsidR="00956DD4">
        <w:t>‘</w:t>
      </w:r>
      <w:r w:rsidR="00EF7A0A">
        <w:t>beyond our epistemic limits.</w:t>
      </w:r>
      <w:r w:rsidR="00956DD4">
        <w:t>’</w:t>
      </w:r>
      <w:r w:rsidR="00EF7A0A">
        <w:t xml:space="preserve"> </w:t>
      </w:r>
    </w:p>
    <w:p w:rsidR="00CB3727" w:rsidRDefault="008F3854" w:rsidP="00986A22">
      <w:pPr>
        <w:spacing w:line="360" w:lineRule="auto"/>
        <w:ind w:firstLine="709"/>
        <w:rPr>
          <w:rFonts w:ascii="Verdana" w:hAnsi="Verdana"/>
          <w:color w:val="002200"/>
          <w:sz w:val="27"/>
          <w:szCs w:val="27"/>
        </w:rPr>
      </w:pPr>
      <w:r>
        <w:t xml:space="preserve">The second reason Aquinas gives is the </w:t>
      </w:r>
      <w:r w:rsidR="00956DD4">
        <w:t>‘</w:t>
      </w:r>
      <w:r w:rsidR="00B83E5D" w:rsidRPr="004A1101">
        <w:t>universality</w:t>
      </w:r>
      <w:r w:rsidR="00956DD4">
        <w:t>’</w:t>
      </w:r>
      <w:r w:rsidR="00B83E5D" w:rsidRPr="004A1101">
        <w:t xml:space="preserve"> of the term. </w:t>
      </w:r>
      <w:r w:rsidR="00956DD4">
        <w:t>‘</w:t>
      </w:r>
      <w:r w:rsidR="00B83E5D" w:rsidRPr="004A1101">
        <w:t>Being</w:t>
      </w:r>
      <w:r w:rsidR="00956DD4">
        <w:t>’</w:t>
      </w:r>
      <w:r w:rsidR="00B83E5D" w:rsidRPr="004A1101">
        <w:t xml:space="preserve"> is the most universal term, so that every other predicated term would eit</w:t>
      </w:r>
      <w:r w:rsidR="001774FA" w:rsidRPr="004A1101">
        <w:t xml:space="preserve">her be restricted in extension </w:t>
      </w:r>
      <w:r w:rsidR="00B83E5D" w:rsidRPr="004A1101">
        <w:t>(</w:t>
      </w:r>
      <w:r w:rsidR="00956DD4">
        <w:t>‘</w:t>
      </w:r>
      <w:r w:rsidR="00B83E5D" w:rsidRPr="004A1101">
        <w:t xml:space="preserve">minus </w:t>
      </w:r>
      <w:proofErr w:type="spellStart"/>
      <w:r w:rsidR="00B83E5D" w:rsidRPr="004A1101">
        <w:t>communia</w:t>
      </w:r>
      <w:proofErr w:type="spellEnd"/>
      <w:r w:rsidR="00956DD4">
        <w:t>’</w:t>
      </w:r>
      <w:r w:rsidR="00B83E5D" w:rsidRPr="004A1101">
        <w:t xml:space="preserve">) </w:t>
      </w:r>
      <w:r w:rsidR="001774FA" w:rsidRPr="004A1101">
        <w:t xml:space="preserve">or, if </w:t>
      </w:r>
      <w:r w:rsidR="00956DD4">
        <w:t>‘</w:t>
      </w:r>
      <w:r w:rsidR="001774FA" w:rsidRPr="004A1101">
        <w:t>convertible</w:t>
      </w:r>
      <w:r w:rsidR="00956DD4">
        <w:t>’</w:t>
      </w:r>
      <w:r w:rsidR="001774FA" w:rsidRPr="004A1101">
        <w:t xml:space="preserve"> with </w:t>
      </w:r>
      <w:r w:rsidR="00956DD4">
        <w:t>‘</w:t>
      </w:r>
      <w:r w:rsidR="001774FA" w:rsidRPr="004A1101">
        <w:t>being</w:t>
      </w:r>
      <w:r w:rsidR="00956DD4">
        <w:t>’</w:t>
      </w:r>
      <w:r w:rsidR="001774FA" w:rsidRPr="004A1101">
        <w:t xml:space="preserve"> (as Aquinas understands terms like </w:t>
      </w:r>
      <w:r w:rsidR="00956DD4">
        <w:t>‘</w:t>
      </w:r>
      <w:r w:rsidR="001774FA" w:rsidRPr="004A1101">
        <w:t>goodness</w:t>
      </w:r>
      <w:r w:rsidR="00956DD4">
        <w:t>’</w:t>
      </w:r>
      <w:r w:rsidR="001774FA" w:rsidRPr="004A1101">
        <w:t xml:space="preserve"> or </w:t>
      </w:r>
      <w:r w:rsidR="00956DD4">
        <w:t>‘</w:t>
      </w:r>
      <w:r w:rsidR="001774FA" w:rsidRPr="004A1101">
        <w:t>truth</w:t>
      </w:r>
      <w:r w:rsidR="00956DD4">
        <w:t>’</w:t>
      </w:r>
      <w:r w:rsidR="001774FA" w:rsidRPr="004A1101">
        <w:t xml:space="preserve">) </w:t>
      </w:r>
      <w:r w:rsidR="00093FCE" w:rsidRPr="004A1101">
        <w:t xml:space="preserve">the term </w:t>
      </w:r>
      <w:r w:rsidR="001774FA" w:rsidRPr="004A1101">
        <w:t xml:space="preserve"> indicates some more restricted aspect of </w:t>
      </w:r>
      <w:r w:rsidR="00956DD4">
        <w:t>‘</w:t>
      </w:r>
      <w:r w:rsidR="001774FA" w:rsidRPr="004A1101">
        <w:t>being</w:t>
      </w:r>
      <w:r w:rsidR="00956DD4">
        <w:t>’</w:t>
      </w:r>
      <w:r w:rsidR="001774FA" w:rsidRPr="004A1101">
        <w:t xml:space="preserve"> (</w:t>
      </w:r>
      <w:r w:rsidR="00956DD4">
        <w:t>‘</w:t>
      </w:r>
      <w:proofErr w:type="spellStart"/>
      <w:r w:rsidR="001774FA" w:rsidRPr="004A1101">
        <w:t>addunt</w:t>
      </w:r>
      <w:proofErr w:type="spellEnd"/>
      <w:r w:rsidR="001774FA" w:rsidRPr="004A1101">
        <w:t xml:space="preserve"> </w:t>
      </w:r>
      <w:proofErr w:type="spellStart"/>
      <w:r w:rsidR="001774FA" w:rsidRPr="004A1101">
        <w:t>aliqua</w:t>
      </w:r>
      <w:proofErr w:type="spellEnd"/>
      <w:r w:rsidR="001774FA" w:rsidRPr="004A1101">
        <w:t xml:space="preserve"> supra ipsum </w:t>
      </w:r>
      <w:proofErr w:type="spellStart"/>
      <w:r w:rsidR="001774FA" w:rsidRPr="004A1101">
        <w:t>secundum</w:t>
      </w:r>
      <w:proofErr w:type="spellEnd"/>
      <w:r w:rsidR="001774FA" w:rsidRPr="004A1101">
        <w:t xml:space="preserve"> </w:t>
      </w:r>
      <w:proofErr w:type="spellStart"/>
      <w:r w:rsidR="001774FA" w:rsidRPr="004A1101">
        <w:t>rationem</w:t>
      </w:r>
      <w:proofErr w:type="spellEnd"/>
      <w:r w:rsidR="00956DD4">
        <w:t>’</w:t>
      </w:r>
      <w:r w:rsidR="001774FA" w:rsidRPr="004A1101">
        <w:t>; as, for example, goodness adds to being the note of desirab</w:t>
      </w:r>
      <w:r w:rsidR="00072237" w:rsidRPr="004A1101">
        <w:t>ility</w:t>
      </w:r>
      <w:r w:rsidR="001774FA" w:rsidRPr="004A1101">
        <w:rPr>
          <w:rStyle w:val="FootnoteReference"/>
        </w:rPr>
        <w:footnoteReference w:id="40"/>
      </w:r>
      <w:r w:rsidR="001774FA" w:rsidRPr="004A1101">
        <w:t xml:space="preserve">). </w:t>
      </w:r>
      <w:r w:rsidR="00E32FD8" w:rsidRPr="004A1101">
        <w:t xml:space="preserve">These other terms thus designate </w:t>
      </w:r>
      <w:r w:rsidR="00E32FD8" w:rsidRPr="004A1101">
        <w:lastRenderedPageBreak/>
        <w:t>something determin</w:t>
      </w:r>
      <w:r w:rsidR="00BC5AFC" w:rsidRPr="004A1101">
        <w:t>ate</w:t>
      </w:r>
      <w:r w:rsidR="00E32FD8" w:rsidRPr="004A1101">
        <w:t xml:space="preserve"> (</w:t>
      </w:r>
      <w:r w:rsidR="00956DD4">
        <w:t>‘</w:t>
      </w:r>
      <w:proofErr w:type="spellStart"/>
      <w:r w:rsidR="00E32FD8" w:rsidRPr="004A1101">
        <w:t>unde</w:t>
      </w:r>
      <w:proofErr w:type="spellEnd"/>
      <w:r w:rsidR="00E32FD8" w:rsidRPr="004A1101">
        <w:t xml:space="preserve"> </w:t>
      </w:r>
      <w:proofErr w:type="spellStart"/>
      <w:r w:rsidR="00E32FD8" w:rsidRPr="004A1101">
        <w:t>quodammodo</w:t>
      </w:r>
      <w:proofErr w:type="spellEnd"/>
      <w:r w:rsidR="00E32FD8" w:rsidRPr="004A1101">
        <w:t xml:space="preserve"> informant et determinant ipsum</w:t>
      </w:r>
      <w:r w:rsidR="00956DD4">
        <w:t>’</w:t>
      </w:r>
      <w:r w:rsidR="00E32FD8" w:rsidRPr="004A1101">
        <w:t>)</w:t>
      </w:r>
      <w:r w:rsidR="00093FCE" w:rsidRPr="004A1101">
        <w:t xml:space="preserve"> because </w:t>
      </w:r>
      <w:r w:rsidR="00BC5AFC" w:rsidRPr="004A1101">
        <w:t>they supply</w:t>
      </w:r>
      <w:r w:rsidR="00093FCE" w:rsidRPr="004A1101">
        <w:t xml:space="preserve"> </w:t>
      </w:r>
      <w:r w:rsidR="00BC5AFC" w:rsidRPr="004A1101">
        <w:t xml:space="preserve">some distinct conception of </w:t>
      </w:r>
      <w:r w:rsidR="00BC5AFC" w:rsidRPr="004A1101">
        <w:rPr>
          <w:i/>
        </w:rPr>
        <w:t xml:space="preserve">what </w:t>
      </w:r>
      <w:r w:rsidR="00BC5AFC" w:rsidRPr="004A1101">
        <w:t>the thing they are predicated of is</w:t>
      </w:r>
      <w:r w:rsidR="00E32FD8" w:rsidRPr="004A1101">
        <w:t>.</w:t>
      </w:r>
      <w:r w:rsidR="00BC5AFC" w:rsidRPr="004A1101">
        <w:t xml:space="preserve"> But, following from our epistemic limits in not being able to know </w:t>
      </w:r>
      <w:r w:rsidR="008E4C36" w:rsidRPr="004A1101">
        <w:t>God’s essence</w:t>
      </w:r>
      <w:r w:rsidR="002145A3" w:rsidRPr="004A1101">
        <w:t xml:space="preserve"> (in this life)</w:t>
      </w:r>
      <w:r w:rsidR="00BC5AFC" w:rsidRPr="004A1101">
        <w:t xml:space="preserve">, </w:t>
      </w:r>
      <w:r w:rsidR="008E4C36" w:rsidRPr="004A1101">
        <w:t xml:space="preserve">all </w:t>
      </w:r>
      <w:r w:rsidR="00D549BD" w:rsidRPr="004A1101">
        <w:t>our human concepts</w:t>
      </w:r>
      <w:r w:rsidR="00D549BD">
        <w:t xml:space="preserve"> of any determinate </w:t>
      </w:r>
      <w:r w:rsidR="00956DD4">
        <w:t>‘</w:t>
      </w:r>
      <w:r w:rsidR="00D549BD">
        <w:t>property</w:t>
      </w:r>
      <w:r w:rsidR="00956DD4">
        <w:t>’</w:t>
      </w:r>
      <w:r w:rsidR="00D549BD">
        <w:t xml:space="preserve"> are defective</w:t>
      </w:r>
      <w:r w:rsidR="008E4C36">
        <w:t xml:space="preserve"> </w:t>
      </w:r>
      <w:r w:rsidR="00D549BD">
        <w:t xml:space="preserve">when applied to what God is in Himself </w:t>
      </w:r>
      <w:r w:rsidR="008E4C36">
        <w:t>(</w:t>
      </w:r>
      <w:r w:rsidR="00956DD4">
        <w:t>‘</w:t>
      </w:r>
      <w:r w:rsidR="008E4C36">
        <w:t xml:space="preserve">deficit a </w:t>
      </w:r>
      <w:proofErr w:type="spellStart"/>
      <w:r w:rsidR="008E4C36">
        <w:t>modo</w:t>
      </w:r>
      <w:proofErr w:type="spellEnd"/>
      <w:r w:rsidR="008E4C36">
        <w:t xml:space="preserve"> quo Deus in se </w:t>
      </w:r>
      <w:proofErr w:type="spellStart"/>
      <w:proofErr w:type="gramStart"/>
      <w:r w:rsidR="008E4C36">
        <w:t>est</w:t>
      </w:r>
      <w:proofErr w:type="spellEnd"/>
      <w:proofErr w:type="gramEnd"/>
      <w:r w:rsidR="00956DD4">
        <w:t>’</w:t>
      </w:r>
      <w:r w:rsidR="008E4C36">
        <w:t xml:space="preserve">). </w:t>
      </w:r>
      <w:r w:rsidR="0062135A">
        <w:t xml:space="preserve">Consequently, </w:t>
      </w:r>
      <w:r w:rsidR="002145A3">
        <w:t>the epistemic limit implies a rule</w:t>
      </w:r>
      <w:r w:rsidR="0062135A">
        <w:t xml:space="preserve"> for predicating names of God: the more proper names for God are those less determinate and more common and absolute (</w:t>
      </w:r>
      <w:r w:rsidR="00956DD4">
        <w:t>‘</w:t>
      </w:r>
      <w:r w:rsidR="0062135A">
        <w:t xml:space="preserve">minus </w:t>
      </w:r>
      <w:proofErr w:type="spellStart"/>
      <w:r w:rsidR="0062135A">
        <w:t>determinat</w:t>
      </w:r>
      <w:r w:rsidR="00CB3727">
        <w:t>a</w:t>
      </w:r>
      <w:proofErr w:type="spellEnd"/>
      <w:r w:rsidR="0062135A">
        <w:t xml:space="preserve">, et </w:t>
      </w:r>
      <w:proofErr w:type="spellStart"/>
      <w:r w:rsidR="0062135A">
        <w:t>magi</w:t>
      </w:r>
      <w:r w:rsidR="00CB3727">
        <w:t>s</w:t>
      </w:r>
      <w:proofErr w:type="spellEnd"/>
      <w:r w:rsidR="0062135A">
        <w:t xml:space="preserve"> </w:t>
      </w:r>
      <w:proofErr w:type="spellStart"/>
      <w:r w:rsidR="0062135A">
        <w:t>communia</w:t>
      </w:r>
      <w:proofErr w:type="spellEnd"/>
      <w:r w:rsidR="0062135A">
        <w:t xml:space="preserve"> et </w:t>
      </w:r>
      <w:proofErr w:type="spellStart"/>
      <w:r w:rsidR="0062135A">
        <w:t>absoluta</w:t>
      </w:r>
      <w:proofErr w:type="spellEnd"/>
      <w:r w:rsidR="00956DD4">
        <w:t>’</w:t>
      </w:r>
      <w:r w:rsidR="0062135A">
        <w:t xml:space="preserve">). </w:t>
      </w:r>
      <w:r w:rsidR="00872DB4">
        <w:t xml:space="preserve">Following the poetic phrase of St. John Damascene, </w:t>
      </w:r>
      <w:r w:rsidR="00956DD4">
        <w:t>‘</w:t>
      </w:r>
      <w:r w:rsidR="00872DB4">
        <w:t>He Who Is</w:t>
      </w:r>
      <w:r w:rsidR="00956DD4">
        <w:t>’</w:t>
      </w:r>
      <w:r w:rsidR="00872DB4">
        <w:t xml:space="preserve"> is the most proper name for God because it is the least determinate term we have but also the most common and absolute, so that by designating God in this way we are saying He is an </w:t>
      </w:r>
      <w:r w:rsidR="00956DD4">
        <w:t>‘</w:t>
      </w:r>
      <w:r w:rsidR="00872DB4">
        <w:t>infinite ocean of substance [</w:t>
      </w:r>
      <w:proofErr w:type="spellStart"/>
      <w:r w:rsidR="00872DB4">
        <w:t>pelagus</w:t>
      </w:r>
      <w:proofErr w:type="spellEnd"/>
      <w:r w:rsidR="00872DB4">
        <w:t xml:space="preserve"> </w:t>
      </w:r>
      <w:proofErr w:type="spellStart"/>
      <w:r w:rsidR="00872DB4">
        <w:t>substantiae</w:t>
      </w:r>
      <w:proofErr w:type="spellEnd"/>
      <w:r w:rsidR="00872DB4">
        <w:t xml:space="preserve"> infinitum].</w:t>
      </w:r>
      <w:r w:rsidR="00956DD4">
        <w:t>’</w:t>
      </w:r>
      <w:r w:rsidR="00872DB4">
        <w:t xml:space="preserve"> </w:t>
      </w:r>
      <w:r>
        <w:t xml:space="preserve">Because </w:t>
      </w:r>
      <w:r w:rsidR="00956DD4">
        <w:t>‘</w:t>
      </w:r>
      <w:r w:rsidR="002145A3">
        <w:t>being</w:t>
      </w:r>
      <w:r w:rsidR="00956DD4">
        <w:t>’</w:t>
      </w:r>
      <w:r>
        <w:t xml:space="preserve"> is an entirely </w:t>
      </w:r>
      <w:r w:rsidR="00956DD4">
        <w:t>‘</w:t>
      </w:r>
      <w:r>
        <w:t>indeterminate</w:t>
      </w:r>
      <w:r w:rsidR="00956DD4">
        <w:t>’</w:t>
      </w:r>
      <w:r>
        <w:t xml:space="preserve"> term in a way that no other term can be, given tha</w:t>
      </w:r>
      <w:r w:rsidR="002145A3">
        <w:t xml:space="preserve">t </w:t>
      </w:r>
      <w:r w:rsidR="00956DD4">
        <w:t>‘</w:t>
      </w:r>
      <w:r w:rsidR="002145A3">
        <w:t>being</w:t>
      </w:r>
      <w:r w:rsidR="00956DD4">
        <w:t>’</w:t>
      </w:r>
      <w:r w:rsidR="002145A3">
        <w:t xml:space="preserve"> can be applied to any</w:t>
      </w:r>
      <w:r>
        <w:t xml:space="preserve">thing that exists, it signifies </w:t>
      </w:r>
      <w:r>
        <w:rPr>
          <w:i/>
          <w:iCs/>
        </w:rPr>
        <w:t xml:space="preserve">no </w:t>
      </w:r>
      <w:r w:rsidR="003A6CE6">
        <w:rPr>
          <w:iCs/>
        </w:rPr>
        <w:t xml:space="preserve">distinct </w:t>
      </w:r>
      <w:r>
        <w:t>mode of being</w:t>
      </w:r>
      <w:r w:rsidR="002145A3">
        <w:t xml:space="preserve"> </w:t>
      </w:r>
      <w:r w:rsidR="003A6CE6">
        <w:t xml:space="preserve">by only indeterminately signifying being in general </w:t>
      </w:r>
      <w:r w:rsidR="002145A3">
        <w:t>(</w:t>
      </w:r>
      <w:r w:rsidR="00956DD4">
        <w:t>‘</w:t>
      </w:r>
      <w:proofErr w:type="spellStart"/>
      <w:r w:rsidR="003A6CE6">
        <w:t>nullum</w:t>
      </w:r>
      <w:proofErr w:type="spellEnd"/>
      <w:r w:rsidR="003A6CE6">
        <w:t xml:space="preserve"> </w:t>
      </w:r>
      <w:proofErr w:type="spellStart"/>
      <w:r w:rsidR="003A6CE6">
        <w:t>modum</w:t>
      </w:r>
      <w:proofErr w:type="spellEnd"/>
      <w:r w:rsidR="003A6CE6">
        <w:t xml:space="preserve"> </w:t>
      </w:r>
      <w:proofErr w:type="spellStart"/>
      <w:r w:rsidR="003A6CE6">
        <w:t>essendi</w:t>
      </w:r>
      <w:proofErr w:type="spellEnd"/>
      <w:r w:rsidR="003A6CE6">
        <w:t xml:space="preserve"> </w:t>
      </w:r>
      <w:proofErr w:type="spellStart"/>
      <w:r w:rsidR="003A6CE6">
        <w:t>determinat</w:t>
      </w:r>
      <w:proofErr w:type="spellEnd"/>
      <w:r w:rsidR="003A6CE6">
        <w:t xml:space="preserve">, </w:t>
      </w:r>
      <w:proofErr w:type="spellStart"/>
      <w:r w:rsidR="003A6CE6">
        <w:t>sed</w:t>
      </w:r>
      <w:proofErr w:type="spellEnd"/>
      <w:r w:rsidR="003A6CE6">
        <w:t xml:space="preserve"> se </w:t>
      </w:r>
      <w:proofErr w:type="spellStart"/>
      <w:r w:rsidR="003A6CE6">
        <w:t>habet</w:t>
      </w:r>
      <w:proofErr w:type="spellEnd"/>
      <w:r w:rsidR="003A6CE6">
        <w:t xml:space="preserve"> indeterminate ad </w:t>
      </w:r>
      <w:proofErr w:type="spellStart"/>
      <w:r w:rsidR="003A6CE6">
        <w:t>omnes</w:t>
      </w:r>
      <w:proofErr w:type="spellEnd"/>
      <w:r w:rsidR="00956DD4">
        <w:t>’</w:t>
      </w:r>
      <w:r w:rsidR="003A6CE6">
        <w:t>)</w:t>
      </w:r>
      <w:r>
        <w:t xml:space="preserve">. It hence </w:t>
      </w:r>
      <w:r w:rsidR="003A6CE6">
        <w:t xml:space="preserve">functions </w:t>
      </w:r>
      <w:r>
        <w:t>simultaneously a</w:t>
      </w:r>
      <w:r w:rsidR="003A6CE6">
        <w:t>s a</w:t>
      </w:r>
      <w:r>
        <w:t xml:space="preserve"> term that can signify </w:t>
      </w:r>
      <w:proofErr w:type="gramStart"/>
      <w:r>
        <w:t xml:space="preserve">both the </w:t>
      </w:r>
      <w:r w:rsidR="00956DD4">
        <w:t>‘</w:t>
      </w:r>
      <w:r>
        <w:t>most real</w:t>
      </w:r>
      <w:r w:rsidR="00956DD4">
        <w:t>’</w:t>
      </w:r>
      <w:r>
        <w:t xml:space="preserve"> or</w:t>
      </w:r>
      <w:proofErr w:type="gramEnd"/>
      <w:r>
        <w:t xml:space="preserve"> </w:t>
      </w:r>
      <w:r w:rsidR="00956DD4">
        <w:t>‘</w:t>
      </w:r>
      <w:r>
        <w:t>most perfect</w:t>
      </w:r>
      <w:r w:rsidR="00956DD4">
        <w:t>’</w:t>
      </w:r>
      <w:r>
        <w:t xml:space="preserve"> </w:t>
      </w:r>
      <w:r w:rsidR="003A6CE6">
        <w:t xml:space="preserve">(by indicating that there is </w:t>
      </w:r>
      <w:r w:rsidR="003A6CE6">
        <w:rPr>
          <w:i/>
        </w:rPr>
        <w:t>some way</w:t>
      </w:r>
      <w:r w:rsidR="003A6CE6">
        <w:t xml:space="preserve"> God is)</w:t>
      </w:r>
      <w:r>
        <w:t xml:space="preserve"> and </w:t>
      </w:r>
      <w:r w:rsidR="003A6CE6">
        <w:t>that whatever this might be exceeds</w:t>
      </w:r>
      <w:r>
        <w:t xml:space="preserve"> the limits of our cognitive grasp. </w:t>
      </w:r>
      <w:r w:rsidR="003A6CE6">
        <w:t xml:space="preserve">The term functions rather interestingly like post-modern attempts at </w:t>
      </w:r>
      <w:r w:rsidR="00956DD4">
        <w:t>‘</w:t>
      </w:r>
      <w:r w:rsidR="003A6CE6">
        <w:t>erasure</w:t>
      </w:r>
      <w:r w:rsidR="0056695A">
        <w:t>’,</w:t>
      </w:r>
      <w:r w:rsidR="003A6CE6">
        <w:t xml:space="preserve"> where one writes a term with strike marks to indicate how the term </w:t>
      </w:r>
      <w:r w:rsidR="00744439">
        <w:t xml:space="preserve">somehow </w:t>
      </w:r>
      <w:r w:rsidR="003A6CE6">
        <w:t>falls short of what it should signify</w:t>
      </w:r>
      <w:r w:rsidR="00744439">
        <w:t xml:space="preserve"> or is being denied in some way</w:t>
      </w:r>
      <w:r w:rsidR="003A6CE6">
        <w:t>. By</w:t>
      </w:r>
      <w:r>
        <w:t xml:space="preserve"> intentionally not specifying any essential property, </w:t>
      </w:r>
      <w:r w:rsidR="003A6CE6">
        <w:t xml:space="preserve">using </w:t>
      </w:r>
      <w:r w:rsidR="00956DD4">
        <w:t>‘</w:t>
      </w:r>
      <w:r w:rsidR="003A6CE6">
        <w:t>He Who Is</w:t>
      </w:r>
      <w:r w:rsidR="00956DD4">
        <w:t>’</w:t>
      </w:r>
      <w:r>
        <w:t xml:space="preserve"> does not signify any creaturely kind of being</w:t>
      </w:r>
      <w:r w:rsidR="003A6CE6">
        <w:t xml:space="preserve"> of God</w:t>
      </w:r>
      <w:r>
        <w:t xml:space="preserve"> </w:t>
      </w:r>
      <w:r w:rsidR="003A6CE6">
        <w:t>and consequently does not</w:t>
      </w:r>
      <w:r w:rsidR="0008265D">
        <w:t xml:space="preserve"> put God in any genus. </w:t>
      </w:r>
    </w:p>
    <w:p w:rsidR="00F65F7E" w:rsidRDefault="001A79F0" w:rsidP="001A79F0">
      <w:pPr>
        <w:spacing w:line="360" w:lineRule="auto"/>
        <w:ind w:firstLine="709"/>
      </w:pPr>
      <w:r>
        <w:t xml:space="preserve">The third reason for this name is that it signifies </w:t>
      </w:r>
      <w:r w:rsidR="00956DD4">
        <w:t>‘</w:t>
      </w:r>
      <w:r>
        <w:t>present existence</w:t>
      </w:r>
      <w:r w:rsidR="00956DD4">
        <w:t>’</w:t>
      </w:r>
      <w:r>
        <w:t xml:space="preserve"> – God </w:t>
      </w:r>
      <w:r w:rsidR="00967CE5">
        <w:t>is outside of time</w:t>
      </w:r>
      <w:r w:rsidR="00C87A35">
        <w:t xml:space="preserve"> (</w:t>
      </w:r>
      <w:r w:rsidR="00956DD4">
        <w:t>‘</w:t>
      </w:r>
      <w:r w:rsidR="00955930">
        <w:t>[</w:t>
      </w:r>
      <w:r w:rsidR="00F23EDB">
        <w:t>He</w:t>
      </w:r>
      <w:r w:rsidR="00955930">
        <w:t>]</w:t>
      </w:r>
      <w:r w:rsidR="00F23EDB">
        <w:t xml:space="preserve"> </w:t>
      </w:r>
      <w:r w:rsidR="00C87A35">
        <w:t>who</w:t>
      </w:r>
      <w:r w:rsidR="00F23EDB">
        <w:t>se</w:t>
      </w:r>
      <w:r w:rsidR="00C87A35">
        <w:t xml:space="preserve"> existence does not know past or future [</w:t>
      </w:r>
      <w:proofErr w:type="spellStart"/>
      <w:r w:rsidR="00C87A35">
        <w:t>cuius</w:t>
      </w:r>
      <w:proofErr w:type="spellEnd"/>
      <w:r w:rsidR="00C87A35">
        <w:t xml:space="preserve"> </w:t>
      </w:r>
      <w:proofErr w:type="spellStart"/>
      <w:r w:rsidR="00C87A35">
        <w:t>esse</w:t>
      </w:r>
      <w:proofErr w:type="spellEnd"/>
      <w:r w:rsidR="00C87A35">
        <w:t xml:space="preserve"> non </w:t>
      </w:r>
      <w:proofErr w:type="spellStart"/>
      <w:r w:rsidR="00C87A35">
        <w:t>novit</w:t>
      </w:r>
      <w:proofErr w:type="spellEnd"/>
      <w:r w:rsidR="00C87A35">
        <w:t xml:space="preserve"> </w:t>
      </w:r>
      <w:proofErr w:type="spellStart"/>
      <w:r w:rsidR="00C87A35">
        <w:t>praeteritum</w:t>
      </w:r>
      <w:proofErr w:type="spellEnd"/>
      <w:r w:rsidR="00C87A35">
        <w:t xml:space="preserve"> </w:t>
      </w:r>
      <w:proofErr w:type="spellStart"/>
      <w:r w:rsidR="00C87A35">
        <w:t>vel</w:t>
      </w:r>
      <w:proofErr w:type="spellEnd"/>
      <w:r w:rsidR="00C87A35">
        <w:t xml:space="preserve"> </w:t>
      </w:r>
      <w:proofErr w:type="spellStart"/>
      <w:r w:rsidR="00C87A35">
        <w:t>futurum</w:t>
      </w:r>
      <w:proofErr w:type="spellEnd"/>
      <w:r w:rsidR="00C87A35">
        <w:t>]</w:t>
      </w:r>
      <w:r w:rsidR="00956DD4">
        <w:t>’</w:t>
      </w:r>
      <w:r w:rsidR="00C87A35">
        <w:t>)</w:t>
      </w:r>
      <w:r>
        <w:t>.</w:t>
      </w:r>
      <w:r w:rsidR="00387840">
        <w:t xml:space="preserve"> While the other two reasons focused more on the intension and extension of </w:t>
      </w:r>
      <w:r w:rsidR="00956DD4">
        <w:t>‘</w:t>
      </w:r>
      <w:r w:rsidR="002D6924">
        <w:t>being</w:t>
      </w:r>
      <w:r w:rsidR="00956DD4">
        <w:t>’</w:t>
      </w:r>
      <w:r w:rsidR="00387840">
        <w:t xml:space="preserve">, this third reason has to do with the temporal modality </w:t>
      </w:r>
      <w:r w:rsidR="002D6924">
        <w:t>of the name</w:t>
      </w:r>
      <w:r w:rsidR="00387840">
        <w:t xml:space="preserve">. </w:t>
      </w:r>
      <w:r w:rsidR="00F65F7E">
        <w:t>It seems, however, that other terms could be predicated in present tense</w:t>
      </w:r>
      <w:r w:rsidR="006E3068">
        <w:t xml:space="preserve">, </w:t>
      </w:r>
      <w:r w:rsidR="00F65F7E">
        <w:t xml:space="preserve">and so that this third consideration is less unique to the term </w:t>
      </w:r>
      <w:r w:rsidR="00956DD4">
        <w:t>‘</w:t>
      </w:r>
      <w:r w:rsidR="00F65F7E">
        <w:t>being</w:t>
      </w:r>
      <w:r w:rsidR="00956DD4">
        <w:t>’</w:t>
      </w:r>
      <w:r w:rsidR="00F65F7E">
        <w:t xml:space="preserve"> than the first two reasons. </w:t>
      </w:r>
    </w:p>
    <w:p w:rsidR="004249B0" w:rsidRPr="00F74F75" w:rsidRDefault="002278F2" w:rsidP="00F74F75">
      <w:pPr>
        <w:spacing w:line="360" w:lineRule="auto"/>
        <w:ind w:firstLine="709"/>
        <w:rPr>
          <w:rFonts w:ascii="Verdana" w:hAnsi="Verdana"/>
          <w:color w:val="002200"/>
          <w:sz w:val="27"/>
          <w:szCs w:val="27"/>
        </w:rPr>
      </w:pPr>
      <w:r>
        <w:t xml:space="preserve"> </w:t>
      </w:r>
      <w:r w:rsidR="00C85F8E">
        <w:t>The</w:t>
      </w:r>
      <w:r w:rsidR="00882444">
        <w:t xml:space="preserve"> reply to the</w:t>
      </w:r>
      <w:r w:rsidR="00C85F8E">
        <w:t xml:space="preserve"> first two objections, however, expand</w:t>
      </w:r>
      <w:r w:rsidR="00882444">
        <w:t>s</w:t>
      </w:r>
      <w:r w:rsidR="00C85F8E">
        <w:t xml:space="preserve"> the scope of how </w:t>
      </w:r>
      <w:r w:rsidR="00E86759">
        <w:t>the</w:t>
      </w:r>
      <w:r w:rsidR="00C85F8E">
        <w:t xml:space="preserve"> </w:t>
      </w:r>
      <w:r w:rsidR="00882444">
        <w:t>name</w:t>
      </w:r>
      <w:r w:rsidR="00E86759">
        <w:t xml:space="preserve"> </w:t>
      </w:r>
      <w:r w:rsidR="00956DD4">
        <w:t>‘</w:t>
      </w:r>
      <w:r w:rsidR="00E86759">
        <w:t>He Who Is</w:t>
      </w:r>
      <w:r w:rsidR="00956DD4">
        <w:t>’</w:t>
      </w:r>
      <w:r w:rsidR="00E86759">
        <w:t xml:space="preserve"> functions in</w:t>
      </w:r>
      <w:r w:rsidR="00C85F8E">
        <w:t xml:space="preserve"> helping delineate other divine names</w:t>
      </w:r>
      <w:r w:rsidR="00882444">
        <w:t>; it has a special role because</w:t>
      </w:r>
      <w:r w:rsidR="00E86759">
        <w:t xml:space="preserve"> of its conceptual</w:t>
      </w:r>
      <w:r w:rsidR="00C85F8E">
        <w:t xml:space="preserve"> prior</w:t>
      </w:r>
      <w:r w:rsidR="00E86759">
        <w:t>ity</w:t>
      </w:r>
      <w:r w:rsidR="00C85F8E">
        <w:t xml:space="preserve">. In the reply to the first objection, we see Aquinas noting that the name </w:t>
      </w:r>
      <w:r w:rsidR="00956DD4">
        <w:t>‘</w:t>
      </w:r>
      <w:r w:rsidR="00C85F8E">
        <w:t>God</w:t>
      </w:r>
      <w:r w:rsidR="00956DD4">
        <w:t>’</w:t>
      </w:r>
      <w:r w:rsidR="00C85F8E">
        <w:t xml:space="preserve"> or even more so the </w:t>
      </w:r>
      <w:proofErr w:type="spellStart"/>
      <w:r w:rsidR="00C85F8E">
        <w:t>Tetragrammaton</w:t>
      </w:r>
      <w:proofErr w:type="spellEnd"/>
      <w:r w:rsidR="00C85F8E">
        <w:t xml:space="preserve"> (the Hebrew acronym indicating God’s proper name in the Old Testament) might be more proper than </w:t>
      </w:r>
      <w:r w:rsidR="00956DD4">
        <w:t>‘</w:t>
      </w:r>
      <w:r w:rsidR="00C85F8E">
        <w:t>He Who Is</w:t>
      </w:r>
      <w:r w:rsidR="00956DD4">
        <w:t>’</w:t>
      </w:r>
      <w:r w:rsidR="00C85F8E">
        <w:t xml:space="preserve"> insofar as the two aforementioned are proper names </w:t>
      </w:r>
      <w:r w:rsidR="009C34A5">
        <w:t>and</w:t>
      </w:r>
      <w:r w:rsidR="00761EC3">
        <w:t xml:space="preserve"> </w:t>
      </w:r>
      <w:r w:rsidR="009C34A5">
        <w:t>not properly applied to another</w:t>
      </w:r>
      <w:r w:rsidR="00761EC3">
        <w:t xml:space="preserve"> (proper names aren’t shared by multiple people, generally)</w:t>
      </w:r>
      <w:r w:rsidR="009C34A5">
        <w:t>. God is thus named as</w:t>
      </w:r>
      <w:r w:rsidR="00761EC3">
        <w:t xml:space="preserve"> a</w:t>
      </w:r>
      <w:r w:rsidR="00C85F8E">
        <w:t xml:space="preserve"> singular, concrete entity</w:t>
      </w:r>
      <w:r w:rsidR="00761EC3">
        <w:t xml:space="preserve"> (</w:t>
      </w:r>
      <w:r w:rsidR="00956DD4">
        <w:t>‘</w:t>
      </w:r>
      <w:proofErr w:type="spellStart"/>
      <w:r w:rsidR="00761EC3">
        <w:t>ipsam</w:t>
      </w:r>
      <w:proofErr w:type="spellEnd"/>
      <w:r w:rsidR="00761EC3">
        <w:t xml:space="preserve"> Dei </w:t>
      </w:r>
      <w:proofErr w:type="spellStart"/>
      <w:r w:rsidR="00761EC3">
        <w:t>substantiam</w:t>
      </w:r>
      <w:proofErr w:type="spellEnd"/>
      <w:r w:rsidR="00761EC3">
        <w:t xml:space="preserve"> </w:t>
      </w:r>
      <w:proofErr w:type="spellStart"/>
      <w:r w:rsidR="00761EC3">
        <w:t>incommunicabilem</w:t>
      </w:r>
      <w:proofErr w:type="spellEnd"/>
      <w:r w:rsidR="00761EC3">
        <w:t xml:space="preserve">, </w:t>
      </w:r>
      <w:proofErr w:type="gramStart"/>
      <w:r w:rsidR="00761EC3">
        <w:t>et</w:t>
      </w:r>
      <w:proofErr w:type="gramEnd"/>
      <w:r w:rsidR="00761EC3">
        <w:t xml:space="preserve">, </w:t>
      </w:r>
      <w:proofErr w:type="spellStart"/>
      <w:r w:rsidR="00761EC3">
        <w:t>ut</w:t>
      </w:r>
      <w:proofErr w:type="spellEnd"/>
      <w:r w:rsidR="00761EC3">
        <w:t xml:space="preserve"> sic </w:t>
      </w:r>
      <w:proofErr w:type="spellStart"/>
      <w:r w:rsidR="00761EC3">
        <w:t>liceat</w:t>
      </w:r>
      <w:proofErr w:type="spellEnd"/>
      <w:r w:rsidR="00761EC3">
        <w:t xml:space="preserve"> </w:t>
      </w:r>
      <w:proofErr w:type="spellStart"/>
      <w:r w:rsidR="00761EC3">
        <w:t>loqui</w:t>
      </w:r>
      <w:proofErr w:type="spellEnd"/>
      <w:r w:rsidR="00761EC3">
        <w:t xml:space="preserve">, </w:t>
      </w:r>
      <w:proofErr w:type="spellStart"/>
      <w:r w:rsidR="00761EC3">
        <w:lastRenderedPageBreak/>
        <w:t>singularem</w:t>
      </w:r>
      <w:proofErr w:type="spellEnd"/>
      <w:r w:rsidR="00956DD4">
        <w:t>’</w:t>
      </w:r>
      <w:r w:rsidR="00761EC3">
        <w:t>)</w:t>
      </w:r>
      <w:r w:rsidR="00C85F8E">
        <w:t>.</w:t>
      </w:r>
      <w:r w:rsidR="00C85F8E">
        <w:rPr>
          <w:rStyle w:val="FootnoteReference"/>
        </w:rPr>
        <w:footnoteReference w:id="41"/>
      </w:r>
      <w:r w:rsidR="00C85F8E">
        <w:t xml:space="preserve"> The name </w:t>
      </w:r>
      <w:r w:rsidR="00956DD4">
        <w:t>‘</w:t>
      </w:r>
      <w:r w:rsidR="00C85F8E">
        <w:t>He Who Is</w:t>
      </w:r>
      <w:r w:rsidR="00956DD4">
        <w:t>’</w:t>
      </w:r>
      <w:r w:rsidR="00C85F8E">
        <w:t xml:space="preserve"> could seem </w:t>
      </w:r>
      <w:r w:rsidR="009C34A5">
        <w:t xml:space="preserve">communicable </w:t>
      </w:r>
      <w:r w:rsidR="00C85F8E">
        <w:t xml:space="preserve">in terms of its </w:t>
      </w:r>
      <w:r w:rsidR="009C34A5">
        <w:t xml:space="preserve">intension because </w:t>
      </w:r>
      <w:r w:rsidR="00956DD4">
        <w:t>‘</w:t>
      </w:r>
      <w:r w:rsidR="00C85F8E">
        <w:t>being</w:t>
      </w:r>
      <w:r w:rsidR="00956DD4">
        <w:t>’</w:t>
      </w:r>
      <w:r w:rsidR="00C85F8E">
        <w:t xml:space="preserve"> </w:t>
      </w:r>
      <w:r w:rsidR="00122391">
        <w:t xml:space="preserve">is a </w:t>
      </w:r>
      <w:r w:rsidR="009C34A5">
        <w:t>universal</w:t>
      </w:r>
      <w:r w:rsidR="00122391">
        <w:t xml:space="preserve"> (and so theoretically sharable by others)</w:t>
      </w:r>
      <w:r w:rsidR="00C85F8E">
        <w:t xml:space="preserve">. But </w:t>
      </w:r>
      <w:r w:rsidR="009C34A5">
        <w:t xml:space="preserve">Aquinas thinks </w:t>
      </w:r>
      <w:r w:rsidR="00C85F8E">
        <w:t xml:space="preserve">this does not deny that </w:t>
      </w:r>
      <w:r w:rsidR="00956DD4">
        <w:t>‘</w:t>
      </w:r>
      <w:r w:rsidR="00C85F8E">
        <w:t>He Who Is</w:t>
      </w:r>
      <w:r w:rsidR="00956DD4">
        <w:t>’</w:t>
      </w:r>
      <w:r w:rsidR="00C85F8E">
        <w:t xml:space="preserve"> better desi</w:t>
      </w:r>
      <w:r w:rsidR="009C34A5">
        <w:t>gnates God, because its very significance and mode is more proper</w:t>
      </w:r>
      <w:r w:rsidR="00C85F8E">
        <w:t xml:space="preserve">. We might extend Aquinas’ reasoning on this point and point out that </w:t>
      </w:r>
      <w:r w:rsidR="00956DD4">
        <w:t>‘</w:t>
      </w:r>
      <w:r w:rsidR="00C85F8E">
        <w:t>God</w:t>
      </w:r>
      <w:r w:rsidR="00956DD4">
        <w:t>’</w:t>
      </w:r>
      <w:r w:rsidR="00C85F8E">
        <w:t xml:space="preserve"> as an English word </w:t>
      </w:r>
      <w:r w:rsidR="001A4CC8">
        <w:t xml:space="preserve">is </w:t>
      </w:r>
      <w:r w:rsidR="00C85F8E">
        <w:t xml:space="preserve">derived from pagan </w:t>
      </w:r>
      <w:r w:rsidR="001A4CC8">
        <w:t>usage</w:t>
      </w:r>
      <w:r w:rsidR="00C85F8E">
        <w:t xml:space="preserve">, as </w:t>
      </w:r>
      <w:r w:rsidR="001A4CC8">
        <w:t>is</w:t>
      </w:r>
      <w:r w:rsidR="00C85F8E">
        <w:t xml:space="preserve"> the Latin term. What we intend to indicate by capitalizing this term and using it as a proper name is better or more absolutely indicated by the name </w:t>
      </w:r>
      <w:r w:rsidR="00956DD4">
        <w:t>‘</w:t>
      </w:r>
      <w:r w:rsidR="00C85F8E">
        <w:t>He Who Is</w:t>
      </w:r>
      <w:r w:rsidR="00956DD4">
        <w:t>’</w:t>
      </w:r>
      <w:r w:rsidR="00C85F8E">
        <w:t xml:space="preserve"> because we are signifying that we intend to name </w:t>
      </w:r>
      <w:r w:rsidR="00956DD4">
        <w:t>‘</w:t>
      </w:r>
      <w:r w:rsidR="00C85F8E">
        <w:t>that singular entity which has an utterly unique way of existing.</w:t>
      </w:r>
      <w:r w:rsidR="00956DD4">
        <w:t>’</w:t>
      </w:r>
      <w:r w:rsidR="00C85F8E">
        <w:t xml:space="preserve"> </w:t>
      </w:r>
      <w:r w:rsidR="001A4CC8">
        <w:t xml:space="preserve">We are not naming merely a big pagan god of some sort. </w:t>
      </w:r>
      <w:r w:rsidR="00956DD4">
        <w:t>‘</w:t>
      </w:r>
      <w:r w:rsidR="001A4CC8">
        <w:t>He Who Is</w:t>
      </w:r>
      <w:r w:rsidR="00956DD4">
        <w:t>’</w:t>
      </w:r>
      <w:r w:rsidR="001A4CC8">
        <w:t xml:space="preserve"> is</w:t>
      </w:r>
      <w:r w:rsidR="00C85F8E">
        <w:t xml:space="preserve"> thus indirectly incommunicable</w:t>
      </w:r>
      <w:r w:rsidR="001A4CC8">
        <w:t xml:space="preserve"> (as its sense </w:t>
      </w:r>
      <w:proofErr w:type="spellStart"/>
      <w:r w:rsidR="001A4CC8">
        <w:t>cosignifies</w:t>
      </w:r>
      <w:proofErr w:type="spellEnd"/>
      <w:r w:rsidR="001A4CC8">
        <w:t xml:space="preserve"> that there could only be one such X)</w:t>
      </w:r>
      <w:r w:rsidR="00C85F8E">
        <w:t xml:space="preserve">, even if it is not a proper name. As it were, the use of </w:t>
      </w:r>
      <w:r w:rsidR="00956DD4">
        <w:t>‘</w:t>
      </w:r>
      <w:r w:rsidR="00C85F8E">
        <w:t>He Who Is</w:t>
      </w:r>
      <w:r w:rsidR="00956DD4">
        <w:t>’</w:t>
      </w:r>
      <w:r w:rsidR="00C85F8E">
        <w:t xml:space="preserve"> helps fix the (Christian) meaning of the term </w:t>
      </w:r>
      <w:r w:rsidR="00956DD4">
        <w:t>‘</w:t>
      </w:r>
      <w:r w:rsidR="00C85F8E">
        <w:t>God.</w:t>
      </w:r>
      <w:r w:rsidR="00956DD4">
        <w:t>’</w:t>
      </w:r>
      <w:r w:rsidR="00C85F8E">
        <w:t xml:space="preserve"> </w:t>
      </w:r>
      <w:r w:rsidR="001A4CC8">
        <w:t xml:space="preserve">The short reply to the second objection, we might see, follows a similar thought in rejecting </w:t>
      </w:r>
      <w:r w:rsidR="00956DD4">
        <w:t>‘</w:t>
      </w:r>
      <w:r w:rsidR="001A4CC8">
        <w:t>Good</w:t>
      </w:r>
      <w:r w:rsidR="00956DD4">
        <w:t>’</w:t>
      </w:r>
      <w:r w:rsidR="001A4CC8">
        <w:t xml:space="preserve"> (</w:t>
      </w:r>
      <w:r w:rsidR="00956DD4">
        <w:t>‘</w:t>
      </w:r>
      <w:proofErr w:type="spellStart"/>
      <w:r w:rsidR="001A4CC8">
        <w:t>Bonum</w:t>
      </w:r>
      <w:proofErr w:type="spellEnd"/>
      <w:r w:rsidR="00956DD4">
        <w:t>’</w:t>
      </w:r>
      <w:r w:rsidR="001A4CC8">
        <w:t xml:space="preserve">) as the most proper name for God. </w:t>
      </w:r>
      <w:r w:rsidR="00E75713">
        <w:t>Whereas goodness might indicate how God is a cause (</w:t>
      </w:r>
      <w:r w:rsidR="002D234C">
        <w:t xml:space="preserve">namely if, following Pseudo-Dionysius, we think that </w:t>
      </w:r>
      <w:r w:rsidR="00956DD4">
        <w:t>‘</w:t>
      </w:r>
      <w:r w:rsidR="002D234C">
        <w:t>God as the Good itself</w:t>
      </w:r>
      <w:r w:rsidR="00956DD4">
        <w:t>’</w:t>
      </w:r>
      <w:r w:rsidR="002D234C">
        <w:t xml:space="preserve"> entails a relation to the creatures, </w:t>
      </w:r>
      <w:r w:rsidR="00122391">
        <w:t>creating</w:t>
      </w:r>
      <w:r w:rsidR="002D234C">
        <w:t xml:space="preserve"> out of His superabundance</w:t>
      </w:r>
      <w:r w:rsidR="00E75713">
        <w:t>), existence is logically prior to acting or being in a certain way absolutely (</w:t>
      </w:r>
      <w:r w:rsidR="00956DD4">
        <w:t>‘</w:t>
      </w:r>
      <w:proofErr w:type="spellStart"/>
      <w:r w:rsidR="00E75713">
        <w:t>esse</w:t>
      </w:r>
      <w:proofErr w:type="spellEnd"/>
      <w:r w:rsidR="00E75713">
        <w:t xml:space="preserve"> abs</w:t>
      </w:r>
      <w:r w:rsidR="00122391">
        <w:t xml:space="preserve">olute </w:t>
      </w:r>
      <w:proofErr w:type="spellStart"/>
      <w:r w:rsidR="00122391">
        <w:t>praeintelligitur</w:t>
      </w:r>
      <w:proofErr w:type="spellEnd"/>
      <w:r w:rsidR="00122391">
        <w:t xml:space="preserve"> </w:t>
      </w:r>
      <w:proofErr w:type="spellStart"/>
      <w:r w:rsidR="00122391">
        <w:t>causae</w:t>
      </w:r>
      <w:proofErr w:type="spellEnd"/>
      <w:r w:rsidR="00956DD4">
        <w:t>’</w:t>
      </w:r>
      <w:r w:rsidR="00122391">
        <w:t xml:space="preserve">). Again, we </w:t>
      </w:r>
      <w:r w:rsidR="00E75713">
        <w:t xml:space="preserve">might infer, </w:t>
      </w:r>
      <w:r w:rsidR="00122391">
        <w:t xml:space="preserve">Aquinas is thinking of </w:t>
      </w:r>
      <w:r w:rsidR="00956DD4">
        <w:t>‘</w:t>
      </w:r>
      <w:r w:rsidR="00122391">
        <w:t>He Who Is</w:t>
      </w:r>
      <w:r w:rsidR="00956DD4">
        <w:t>’</w:t>
      </w:r>
      <w:r w:rsidR="00122391">
        <w:t xml:space="preserve"> as </w:t>
      </w:r>
      <w:r w:rsidR="00E75713">
        <w:t>grou</w:t>
      </w:r>
      <w:r w:rsidR="00122391">
        <w:t>nding the unique sense of</w:t>
      </w:r>
      <w:r w:rsidR="00E75713">
        <w:t xml:space="preserve"> what we mean by God’s </w:t>
      </w:r>
      <w:r w:rsidR="00956DD4">
        <w:t>‘</w:t>
      </w:r>
      <w:r w:rsidR="00E75713">
        <w:t>goodness.</w:t>
      </w:r>
      <w:r w:rsidR="00956DD4">
        <w:t>’</w:t>
      </w:r>
      <w:r w:rsidR="00E75713">
        <w:t xml:space="preserve"> </w:t>
      </w:r>
      <w:r w:rsidR="00122391">
        <w:t xml:space="preserve">We intend to indicate not just any kind of goodness, or even an abstract goodness, but we intend to name the superabundant, transcendent Good that creates all things. </w:t>
      </w:r>
      <w:r w:rsidR="00F74F75">
        <w:t xml:space="preserve">While </w:t>
      </w:r>
      <w:r w:rsidR="00956DD4">
        <w:t>‘</w:t>
      </w:r>
      <w:r w:rsidR="00F74F75">
        <w:t>being</w:t>
      </w:r>
      <w:r w:rsidR="00956DD4">
        <w:t>’</w:t>
      </w:r>
      <w:r w:rsidR="00F74F75">
        <w:t xml:space="preserve"> </w:t>
      </w:r>
      <w:proofErr w:type="gramStart"/>
      <w:r w:rsidR="00F74F75">
        <w:t>can</w:t>
      </w:r>
      <w:proofErr w:type="gramEnd"/>
      <w:r w:rsidR="00F74F75">
        <w:t xml:space="preserve"> indicate that transcendence absolutely, </w:t>
      </w:r>
      <w:r w:rsidR="00956DD4">
        <w:t>‘</w:t>
      </w:r>
      <w:r w:rsidR="00F74F75">
        <w:t>good</w:t>
      </w:r>
      <w:r w:rsidR="00956DD4">
        <w:t>’</w:t>
      </w:r>
      <w:r w:rsidR="00F74F75">
        <w:t xml:space="preserve"> can only do that in one kind of order (i.e., the causal order).  </w:t>
      </w:r>
      <w:r w:rsidR="00F74F75" w:rsidRPr="00F74F75">
        <w:t xml:space="preserve"> </w:t>
      </w:r>
    </w:p>
    <w:p w:rsidR="00705E6D" w:rsidRDefault="0034114F">
      <w:pPr>
        <w:spacing w:line="360" w:lineRule="auto"/>
        <w:rPr>
          <w:color w:val="000000"/>
        </w:rPr>
      </w:pPr>
      <w:r>
        <w:rPr>
          <w:color w:val="000000"/>
        </w:rPr>
        <w:tab/>
        <w:t>This avoids entirely, by a deftly subtle metaphysical theory, what torments modern thinkers in regard to concepts of being applied to God</w:t>
      </w:r>
      <w:r w:rsidR="00717F1D">
        <w:rPr>
          <w:color w:val="000000"/>
        </w:rPr>
        <w:t xml:space="preserve">. Aquinas makes it possible to see </w:t>
      </w:r>
      <w:r>
        <w:rPr>
          <w:color w:val="000000"/>
        </w:rPr>
        <w:t xml:space="preserve">that being was </w:t>
      </w:r>
      <w:r>
        <w:rPr>
          <w:i/>
          <w:iCs/>
          <w:color w:val="000000"/>
        </w:rPr>
        <w:t>never</w:t>
      </w:r>
      <w:r>
        <w:rPr>
          <w:color w:val="000000"/>
        </w:rPr>
        <w:t xml:space="preserve"> the sort of term that attempts to tell us </w:t>
      </w:r>
      <w:r>
        <w:rPr>
          <w:i/>
          <w:iCs/>
          <w:color w:val="000000"/>
        </w:rPr>
        <w:t xml:space="preserve">what </w:t>
      </w:r>
      <w:r>
        <w:rPr>
          <w:color w:val="000000"/>
        </w:rPr>
        <w:t xml:space="preserve">God is. It is an exemplary case of a term that is not a property in the same way as other properties, and so cannot function as an exhaustive description of God's essence – it names neither species nor genus. Rather, it is – to use Marion's language – an inherently </w:t>
      </w:r>
      <w:r>
        <w:rPr>
          <w:i/>
          <w:iCs/>
          <w:color w:val="000000"/>
        </w:rPr>
        <w:t>iconic</w:t>
      </w:r>
      <w:r>
        <w:rPr>
          <w:color w:val="000000"/>
        </w:rPr>
        <w:t xml:space="preserve"> rather than an </w:t>
      </w:r>
      <w:proofErr w:type="spellStart"/>
      <w:r>
        <w:rPr>
          <w:i/>
          <w:iCs/>
          <w:color w:val="000000"/>
        </w:rPr>
        <w:t>idolic</w:t>
      </w:r>
      <w:proofErr w:type="spellEnd"/>
      <w:r>
        <w:rPr>
          <w:i/>
          <w:iCs/>
          <w:color w:val="000000"/>
        </w:rPr>
        <w:t xml:space="preserve"> </w:t>
      </w:r>
      <w:r>
        <w:rPr>
          <w:color w:val="000000"/>
        </w:rPr>
        <w:t xml:space="preserve">concept; Jacques Maritain thus referred to use of </w:t>
      </w:r>
      <w:proofErr w:type="spellStart"/>
      <w:r>
        <w:rPr>
          <w:i/>
          <w:iCs/>
          <w:color w:val="000000"/>
        </w:rPr>
        <w:t>esse</w:t>
      </w:r>
      <w:proofErr w:type="spellEnd"/>
      <w:r>
        <w:rPr>
          <w:i/>
          <w:iCs/>
          <w:color w:val="000000"/>
        </w:rPr>
        <w:t xml:space="preserve"> ipsum </w:t>
      </w:r>
      <w:proofErr w:type="spellStart"/>
      <w:r>
        <w:rPr>
          <w:i/>
          <w:iCs/>
          <w:color w:val="000000"/>
        </w:rPr>
        <w:t>subsistens</w:t>
      </w:r>
      <w:proofErr w:type="spellEnd"/>
      <w:r>
        <w:rPr>
          <w:color w:val="000000"/>
        </w:rPr>
        <w:t xml:space="preserve"> as an </w:t>
      </w:r>
      <w:r w:rsidR="00956DD4">
        <w:rPr>
          <w:color w:val="000000"/>
        </w:rPr>
        <w:t>‘</w:t>
      </w:r>
      <w:proofErr w:type="spellStart"/>
      <w:r>
        <w:rPr>
          <w:color w:val="000000"/>
        </w:rPr>
        <w:t>uncircumscriptive</w:t>
      </w:r>
      <w:proofErr w:type="spellEnd"/>
      <w:r w:rsidR="00956DD4">
        <w:rPr>
          <w:color w:val="000000"/>
        </w:rPr>
        <w:t>’</w:t>
      </w:r>
      <w:r>
        <w:rPr>
          <w:color w:val="000000"/>
        </w:rPr>
        <w:t xml:space="preserve"> analogical predication.</w:t>
      </w:r>
      <w:r>
        <w:rPr>
          <w:rStyle w:val="FootnoteAnchor"/>
          <w:color w:val="000000"/>
        </w:rPr>
        <w:footnoteReference w:id="42"/>
      </w:r>
      <w:r>
        <w:rPr>
          <w:color w:val="000000"/>
        </w:rPr>
        <w:t xml:space="preserve"> </w:t>
      </w:r>
      <w:r w:rsidR="00717F1D">
        <w:rPr>
          <w:color w:val="000000"/>
        </w:rPr>
        <w:t xml:space="preserve">While other positive terms can be used in this </w:t>
      </w:r>
      <w:proofErr w:type="spellStart"/>
      <w:r w:rsidR="00717F1D">
        <w:rPr>
          <w:color w:val="000000"/>
        </w:rPr>
        <w:t>uncircumscriptive</w:t>
      </w:r>
      <w:proofErr w:type="spellEnd"/>
      <w:r w:rsidR="00717F1D">
        <w:rPr>
          <w:color w:val="000000"/>
        </w:rPr>
        <w:t xml:space="preserve"> way, there is a sense in which </w:t>
      </w:r>
      <w:r w:rsidR="00956DD4">
        <w:rPr>
          <w:color w:val="000000"/>
        </w:rPr>
        <w:t>‘</w:t>
      </w:r>
      <w:r w:rsidR="00717F1D">
        <w:rPr>
          <w:color w:val="000000"/>
        </w:rPr>
        <w:t>being</w:t>
      </w:r>
      <w:r w:rsidR="00956DD4">
        <w:rPr>
          <w:color w:val="000000"/>
        </w:rPr>
        <w:t>’</w:t>
      </w:r>
      <w:r w:rsidR="00717F1D">
        <w:rPr>
          <w:color w:val="000000"/>
        </w:rPr>
        <w:t xml:space="preserve"> grounds these other uses of positive perfections. </w:t>
      </w:r>
      <w:r>
        <w:rPr>
          <w:color w:val="000000"/>
        </w:rPr>
        <w:t xml:space="preserve">It is the </w:t>
      </w:r>
      <w:r>
        <w:rPr>
          <w:i/>
          <w:iCs/>
          <w:color w:val="000000"/>
        </w:rPr>
        <w:t xml:space="preserve">most fitting term </w:t>
      </w:r>
      <w:r>
        <w:rPr>
          <w:color w:val="000000"/>
        </w:rPr>
        <w:t xml:space="preserve">to be applied to God, as it is </w:t>
      </w:r>
      <w:r w:rsidR="00717F1D">
        <w:rPr>
          <w:color w:val="000000"/>
        </w:rPr>
        <w:t xml:space="preserve">the most logically prior </w:t>
      </w:r>
      <w:r w:rsidR="00B90864">
        <w:rPr>
          <w:color w:val="000000"/>
        </w:rPr>
        <w:t xml:space="preserve">and uniquely </w:t>
      </w:r>
      <w:r w:rsidR="00956DD4">
        <w:rPr>
          <w:color w:val="000000"/>
        </w:rPr>
        <w:t>‘</w:t>
      </w:r>
      <w:r>
        <w:rPr>
          <w:color w:val="000000"/>
        </w:rPr>
        <w:t>presentat</w:t>
      </w:r>
      <w:r w:rsidR="00717F1D">
        <w:rPr>
          <w:color w:val="000000"/>
        </w:rPr>
        <w:t>ive</w:t>
      </w:r>
      <w:r w:rsidR="00956DD4">
        <w:rPr>
          <w:color w:val="000000"/>
        </w:rPr>
        <w:t>’</w:t>
      </w:r>
      <w:r w:rsidR="00717F1D">
        <w:rPr>
          <w:color w:val="000000"/>
        </w:rPr>
        <w:t xml:space="preserve"> rather than </w:t>
      </w:r>
      <w:r w:rsidR="00956DD4">
        <w:rPr>
          <w:color w:val="000000"/>
        </w:rPr>
        <w:t>‘</w:t>
      </w:r>
      <w:r w:rsidR="00717F1D">
        <w:rPr>
          <w:color w:val="000000"/>
        </w:rPr>
        <w:t>determinative</w:t>
      </w:r>
      <w:r w:rsidR="00956DD4">
        <w:rPr>
          <w:color w:val="000000"/>
        </w:rPr>
        <w:t>’</w:t>
      </w:r>
      <w:r w:rsidR="00717F1D">
        <w:rPr>
          <w:color w:val="000000"/>
        </w:rPr>
        <w:t xml:space="preserve"> concept we have.</w:t>
      </w:r>
      <w:r>
        <w:rPr>
          <w:rStyle w:val="FootnoteAnchor"/>
          <w:color w:val="000000"/>
        </w:rPr>
        <w:footnoteReference w:id="43"/>
      </w:r>
      <w:r>
        <w:rPr>
          <w:color w:val="000000"/>
        </w:rPr>
        <w:t xml:space="preserve"> Even considering God in regard to the subject of metaphysics</w:t>
      </w:r>
      <w:r>
        <w:rPr>
          <w:i/>
          <w:iCs/>
          <w:color w:val="000000"/>
        </w:rPr>
        <w:t xml:space="preserve">, </w:t>
      </w:r>
      <w:r>
        <w:rPr>
          <w:color w:val="000000"/>
        </w:rPr>
        <w:t xml:space="preserve">God transcends the conceptual content of </w:t>
      </w:r>
      <w:proofErr w:type="spellStart"/>
      <w:r>
        <w:rPr>
          <w:i/>
          <w:iCs/>
          <w:color w:val="000000"/>
        </w:rPr>
        <w:t>esse</w:t>
      </w:r>
      <w:proofErr w:type="spellEnd"/>
      <w:r>
        <w:rPr>
          <w:i/>
          <w:iCs/>
          <w:color w:val="000000"/>
        </w:rPr>
        <w:t xml:space="preserve"> commune</w:t>
      </w:r>
      <w:r>
        <w:rPr>
          <w:color w:val="000000"/>
        </w:rPr>
        <w:t xml:space="preserve">. God does not </w:t>
      </w:r>
      <w:r>
        <w:rPr>
          <w:color w:val="000000"/>
        </w:rPr>
        <w:lastRenderedPageBreak/>
        <w:t xml:space="preserve">participate in </w:t>
      </w:r>
      <w:proofErr w:type="spellStart"/>
      <w:r>
        <w:rPr>
          <w:i/>
          <w:iCs/>
          <w:color w:val="000000"/>
        </w:rPr>
        <w:t>esse</w:t>
      </w:r>
      <w:proofErr w:type="spellEnd"/>
      <w:r>
        <w:rPr>
          <w:i/>
          <w:iCs/>
          <w:color w:val="000000"/>
        </w:rPr>
        <w:t xml:space="preserve"> commune; </w:t>
      </w:r>
      <w:r>
        <w:rPr>
          <w:color w:val="000000"/>
        </w:rPr>
        <w:t xml:space="preserve">it is what He </w:t>
      </w:r>
      <w:r>
        <w:rPr>
          <w:i/>
          <w:iCs/>
          <w:color w:val="000000"/>
        </w:rPr>
        <w:t>causes</w:t>
      </w:r>
      <w:r>
        <w:rPr>
          <w:color w:val="000000"/>
        </w:rPr>
        <w:t>.</w:t>
      </w:r>
      <w:r>
        <w:rPr>
          <w:rStyle w:val="FootnoteAnchor"/>
          <w:color w:val="000000"/>
        </w:rPr>
        <w:footnoteReference w:id="44"/>
      </w:r>
      <w:r>
        <w:rPr>
          <w:color w:val="000000"/>
        </w:rPr>
        <w:t xml:space="preserve"> We might describe the difference by saying that God is studied by metaphysics not as something we </w:t>
      </w:r>
      <w:r w:rsidR="00956DD4">
        <w:rPr>
          <w:color w:val="000000"/>
        </w:rPr>
        <w:t>‘</w:t>
      </w:r>
      <w:r>
        <w:rPr>
          <w:color w:val="000000"/>
        </w:rPr>
        <w:t>comprehend</w:t>
      </w:r>
      <w:r w:rsidR="00956DD4">
        <w:rPr>
          <w:color w:val="000000"/>
        </w:rPr>
        <w:t>’</w:t>
      </w:r>
      <w:r>
        <w:rPr>
          <w:color w:val="000000"/>
        </w:rPr>
        <w:t xml:space="preserve"> by means of metaphysical concepts (</w:t>
      </w:r>
      <w:r w:rsidR="00CC71AD">
        <w:rPr>
          <w:color w:val="000000"/>
        </w:rPr>
        <w:t xml:space="preserve">there remain lacunae in how we use even metaphysical language; e.g., </w:t>
      </w:r>
      <w:r>
        <w:rPr>
          <w:color w:val="000000"/>
        </w:rPr>
        <w:t xml:space="preserve">God is </w:t>
      </w:r>
      <w:r w:rsidR="00CC71AD">
        <w:rPr>
          <w:color w:val="000000"/>
        </w:rPr>
        <w:t>inadequately described as</w:t>
      </w:r>
      <w:r>
        <w:rPr>
          <w:color w:val="000000"/>
        </w:rPr>
        <w:t xml:space="preserve"> a </w:t>
      </w:r>
      <w:r w:rsidR="00956DD4">
        <w:rPr>
          <w:color w:val="000000"/>
        </w:rPr>
        <w:t>‘</w:t>
      </w:r>
      <w:r>
        <w:rPr>
          <w:color w:val="000000"/>
        </w:rPr>
        <w:t>substance</w:t>
      </w:r>
      <w:r w:rsidR="00956DD4">
        <w:rPr>
          <w:color w:val="000000"/>
        </w:rPr>
        <w:t>’</w:t>
      </w:r>
      <w:r>
        <w:rPr>
          <w:rStyle w:val="FootnoteAnchor"/>
          <w:color w:val="000000"/>
        </w:rPr>
        <w:footnoteReference w:id="45"/>
      </w:r>
      <w:r>
        <w:rPr>
          <w:color w:val="000000"/>
        </w:rPr>
        <w:t>), but rather insofar as we understand by metaphysic</w:t>
      </w:r>
      <w:r w:rsidR="00627DA9">
        <w:rPr>
          <w:color w:val="000000"/>
        </w:rPr>
        <w:t>al distinctions</w:t>
      </w:r>
      <w:r>
        <w:rPr>
          <w:color w:val="000000"/>
        </w:rPr>
        <w:t xml:space="preserve"> </w:t>
      </w:r>
      <w:r w:rsidR="00CC71AD">
        <w:rPr>
          <w:color w:val="000000"/>
        </w:rPr>
        <w:t xml:space="preserve">that </w:t>
      </w:r>
      <w:r>
        <w:rPr>
          <w:color w:val="000000"/>
        </w:rPr>
        <w:t xml:space="preserve">He transcends the </w:t>
      </w:r>
      <w:r w:rsidR="00CC71AD">
        <w:rPr>
          <w:color w:val="000000"/>
        </w:rPr>
        <w:t xml:space="preserve">entire </w:t>
      </w:r>
      <w:r>
        <w:rPr>
          <w:color w:val="000000"/>
        </w:rPr>
        <w:t>created order as its cause.</w:t>
      </w:r>
      <w:r>
        <w:rPr>
          <w:rStyle w:val="FootnoteAnchor"/>
          <w:color w:val="000000"/>
        </w:rPr>
        <w:footnoteReference w:id="46"/>
      </w:r>
      <w:r>
        <w:rPr>
          <w:color w:val="000000"/>
        </w:rPr>
        <w:t xml:space="preserve"> In fact, </w:t>
      </w:r>
      <w:r w:rsidR="0078264E">
        <w:rPr>
          <w:color w:val="000000"/>
        </w:rPr>
        <w:t>it seems hard to image what aside from</w:t>
      </w:r>
      <w:r>
        <w:rPr>
          <w:color w:val="000000"/>
        </w:rPr>
        <w:t xml:space="preserve"> metaphysical language could ever indicate</w:t>
      </w:r>
      <w:r w:rsidR="00C90A96">
        <w:rPr>
          <w:color w:val="000000"/>
        </w:rPr>
        <w:t xml:space="preserve"> what we could mean by</w:t>
      </w:r>
      <w:r>
        <w:rPr>
          <w:color w:val="000000"/>
        </w:rPr>
        <w:t xml:space="preserve"> </w:t>
      </w:r>
      <w:r>
        <w:rPr>
          <w:i/>
          <w:iCs/>
          <w:color w:val="000000"/>
        </w:rPr>
        <w:t>complete</w:t>
      </w:r>
      <w:r>
        <w:rPr>
          <w:color w:val="000000"/>
        </w:rPr>
        <w:t xml:space="preserve"> transcendence of the created order. </w:t>
      </w:r>
    </w:p>
    <w:p w:rsidR="00E83F3A" w:rsidRPr="00EB76E1" w:rsidRDefault="00E83F3A" w:rsidP="00EB76E1">
      <w:pPr>
        <w:widowControl/>
        <w:overflowPunct/>
        <w:autoSpaceDE w:val="0"/>
        <w:autoSpaceDN w:val="0"/>
        <w:adjustRightInd w:val="0"/>
        <w:spacing w:line="360" w:lineRule="auto"/>
      </w:pPr>
      <w:r w:rsidRPr="00EB76E1">
        <w:rPr>
          <w:color w:val="000000"/>
        </w:rPr>
        <w:tab/>
        <w:t xml:space="preserve">As in use of the </w:t>
      </w:r>
      <w:r w:rsidR="00956DD4">
        <w:rPr>
          <w:color w:val="000000"/>
        </w:rPr>
        <w:t>‘</w:t>
      </w:r>
      <w:r w:rsidRPr="00EB76E1">
        <w:rPr>
          <w:color w:val="000000"/>
        </w:rPr>
        <w:t>being</w:t>
      </w:r>
      <w:r w:rsidR="00956DD4">
        <w:rPr>
          <w:color w:val="000000"/>
        </w:rPr>
        <w:t>’</w:t>
      </w:r>
      <w:r w:rsidRPr="00EB76E1">
        <w:rPr>
          <w:color w:val="000000"/>
        </w:rPr>
        <w:t xml:space="preserve">, the names of God involve no </w:t>
      </w:r>
      <w:r w:rsidRPr="00EB76E1">
        <w:rPr>
          <w:i/>
          <w:iCs/>
          <w:color w:val="000000"/>
        </w:rPr>
        <w:t xml:space="preserve">univocal </w:t>
      </w:r>
      <w:r w:rsidRPr="00EB76E1">
        <w:rPr>
          <w:color w:val="000000"/>
        </w:rPr>
        <w:t xml:space="preserve">concept that applies exactly the same concept of perfection to both God and creature. Instead, </w:t>
      </w:r>
      <w:r w:rsidR="00EB76E1" w:rsidRPr="00EB76E1">
        <w:rPr>
          <w:color w:val="000000"/>
        </w:rPr>
        <w:t xml:space="preserve">while each name </w:t>
      </w:r>
      <w:r w:rsidR="00EB76E1">
        <w:rPr>
          <w:color w:val="000000"/>
        </w:rPr>
        <w:t xml:space="preserve">is extracted from </w:t>
      </w:r>
      <w:r w:rsidR="00EB76E1" w:rsidRPr="00EB76E1">
        <w:rPr>
          <w:color w:val="000000"/>
        </w:rPr>
        <w:t xml:space="preserve">some imperfectly creaturely perfection, we can utilize them of God because we have the ability in judgment to draw out of each </w:t>
      </w:r>
      <w:r w:rsidR="00EB76E1">
        <w:rPr>
          <w:color w:val="000000"/>
        </w:rPr>
        <w:t xml:space="preserve">what is appropriate </w:t>
      </w:r>
      <w:r w:rsidR="00EB76E1" w:rsidRPr="00EB76E1">
        <w:rPr>
          <w:color w:val="000000"/>
        </w:rPr>
        <w:t xml:space="preserve">and predicate </w:t>
      </w:r>
      <w:r w:rsidR="00EB76E1">
        <w:rPr>
          <w:color w:val="000000"/>
        </w:rPr>
        <w:t xml:space="preserve">them in some overarching context </w:t>
      </w:r>
      <w:r w:rsidR="005D4CBD">
        <w:rPr>
          <w:color w:val="000000"/>
        </w:rPr>
        <w:t>that indicates how God transcends each particular concept</w:t>
      </w:r>
      <w:r w:rsidR="00EB76E1" w:rsidRPr="00EB76E1">
        <w:rPr>
          <w:color w:val="000000"/>
        </w:rPr>
        <w:t xml:space="preserve">; </w:t>
      </w:r>
      <w:r w:rsidR="005D4CBD">
        <w:rPr>
          <w:color w:val="000000"/>
        </w:rPr>
        <w:t xml:space="preserve">what underlies our use of all the divine names is </w:t>
      </w:r>
      <w:r w:rsidR="00956DD4">
        <w:rPr>
          <w:color w:val="000000"/>
        </w:rPr>
        <w:t>‘</w:t>
      </w:r>
      <w:r w:rsidR="00EB76E1" w:rsidRPr="00EB76E1">
        <w:rPr>
          <w:rFonts w:ascii="Minion-Regular" w:hAnsi="Minion-Regular" w:cs="Minion-Regular"/>
          <w:color w:val="auto"/>
          <w:lang w:bidi="ar-SA"/>
        </w:rPr>
        <w:t>an act of judgment claiming a truth about the holy darkness of God, which transcends anything the concept can intuitively grasp on its own</w:t>
      </w:r>
      <w:r w:rsidRPr="00EB76E1">
        <w:rPr>
          <w:color w:val="000000"/>
        </w:rPr>
        <w:t>.</w:t>
      </w:r>
      <w:r w:rsidR="00956DD4">
        <w:rPr>
          <w:color w:val="000000"/>
        </w:rPr>
        <w:t>’</w:t>
      </w:r>
      <w:r w:rsidRPr="00EB76E1">
        <w:rPr>
          <w:rStyle w:val="FootnoteAnchor"/>
          <w:color w:val="000000"/>
        </w:rPr>
        <w:footnoteReference w:id="47"/>
      </w:r>
      <w:r w:rsidRPr="00EB76E1">
        <w:rPr>
          <w:color w:val="000000"/>
        </w:rPr>
        <w:t xml:space="preserve"> I think the idea is the following: using divine names of the lower more clearly </w:t>
      </w:r>
      <w:r w:rsidR="00956DD4">
        <w:rPr>
          <w:color w:val="000000"/>
        </w:rPr>
        <w:t>‘</w:t>
      </w:r>
      <w:r w:rsidRPr="00EB76E1">
        <w:rPr>
          <w:color w:val="000000"/>
        </w:rPr>
        <w:t>metaphorical</w:t>
      </w:r>
      <w:r w:rsidR="00956DD4">
        <w:rPr>
          <w:color w:val="000000"/>
        </w:rPr>
        <w:t>’</w:t>
      </w:r>
      <w:r w:rsidRPr="00EB76E1">
        <w:rPr>
          <w:color w:val="000000"/>
        </w:rPr>
        <w:t xml:space="preserve"> kind without an overarching set of metaphysical distinctions which govern our use of metaphors would lead to being unable to distinguish a priority between predications like </w:t>
      </w:r>
      <w:r w:rsidR="00956DD4">
        <w:rPr>
          <w:color w:val="000000"/>
        </w:rPr>
        <w:t>‘</w:t>
      </w:r>
      <w:r w:rsidRPr="00EB76E1">
        <w:rPr>
          <w:color w:val="000000"/>
        </w:rPr>
        <w:t>God is stable like a rock</w:t>
      </w:r>
      <w:r w:rsidR="0056695A">
        <w:rPr>
          <w:color w:val="000000"/>
        </w:rPr>
        <w:t>’,</w:t>
      </w:r>
      <w:r w:rsidRPr="00EB76E1">
        <w:rPr>
          <w:color w:val="000000"/>
        </w:rPr>
        <w:t xml:space="preserve"> and </w:t>
      </w:r>
      <w:r w:rsidR="00956DD4">
        <w:rPr>
          <w:color w:val="000000"/>
        </w:rPr>
        <w:t>‘</w:t>
      </w:r>
      <w:r w:rsidRPr="00EB76E1">
        <w:rPr>
          <w:color w:val="000000"/>
        </w:rPr>
        <w:t>God is wise.</w:t>
      </w:r>
      <w:r w:rsidR="00956DD4">
        <w:rPr>
          <w:color w:val="000000"/>
        </w:rPr>
        <w:t>’</w:t>
      </w:r>
      <w:r w:rsidRPr="00EB76E1">
        <w:rPr>
          <w:color w:val="000000"/>
        </w:rPr>
        <w:t xml:space="preserve"> Each of these would be equally proper of the divine nature. But </w:t>
      </w:r>
      <w:r w:rsidR="005D4CBD">
        <w:rPr>
          <w:color w:val="000000"/>
        </w:rPr>
        <w:t xml:space="preserve">Aquinas’ insight is that </w:t>
      </w:r>
      <w:r w:rsidR="00956DD4">
        <w:rPr>
          <w:color w:val="000000"/>
        </w:rPr>
        <w:t>‘</w:t>
      </w:r>
      <w:r w:rsidRPr="00EB76E1">
        <w:rPr>
          <w:color w:val="000000"/>
        </w:rPr>
        <w:t>being</w:t>
      </w:r>
      <w:r w:rsidR="0056695A">
        <w:rPr>
          <w:color w:val="000000"/>
        </w:rPr>
        <w:t>’,</w:t>
      </w:r>
      <w:r w:rsidRPr="00EB76E1">
        <w:rPr>
          <w:color w:val="000000"/>
        </w:rPr>
        <w:t xml:space="preserve"> as </w:t>
      </w:r>
      <w:r w:rsidR="005D4CBD">
        <w:rPr>
          <w:color w:val="000000"/>
        </w:rPr>
        <w:t>a unique term or conceptual designator</w:t>
      </w:r>
      <w:r w:rsidRPr="00EB76E1">
        <w:rPr>
          <w:color w:val="000000"/>
        </w:rPr>
        <w:t>, serves as a kind of logical limit that preserves the incomprehensibility of the divine nature</w:t>
      </w:r>
      <w:r w:rsidR="005D4CBD">
        <w:rPr>
          <w:color w:val="000000"/>
        </w:rPr>
        <w:t xml:space="preserve">. Our use of </w:t>
      </w:r>
      <w:r w:rsidR="00956DD4">
        <w:rPr>
          <w:color w:val="000000"/>
        </w:rPr>
        <w:t>‘</w:t>
      </w:r>
      <w:r w:rsidR="005D4CBD">
        <w:rPr>
          <w:color w:val="000000"/>
        </w:rPr>
        <w:t>He Who Is</w:t>
      </w:r>
      <w:r w:rsidR="00956DD4">
        <w:rPr>
          <w:color w:val="000000"/>
        </w:rPr>
        <w:t>’</w:t>
      </w:r>
      <w:r w:rsidR="005D4CBD">
        <w:rPr>
          <w:color w:val="000000"/>
        </w:rPr>
        <w:t xml:space="preserve"> and naming God as </w:t>
      </w:r>
      <w:r w:rsidR="00956DD4">
        <w:rPr>
          <w:color w:val="000000"/>
        </w:rPr>
        <w:t>‘</w:t>
      </w:r>
      <w:proofErr w:type="spellStart"/>
      <w:r w:rsidR="005D4CBD">
        <w:rPr>
          <w:i/>
          <w:color w:val="000000"/>
        </w:rPr>
        <w:t>esse</w:t>
      </w:r>
      <w:proofErr w:type="spellEnd"/>
      <w:r w:rsidR="005D4CBD">
        <w:rPr>
          <w:i/>
          <w:color w:val="000000"/>
        </w:rPr>
        <w:t xml:space="preserve"> ipsum </w:t>
      </w:r>
      <w:proofErr w:type="spellStart"/>
      <w:r w:rsidR="005D4CBD">
        <w:rPr>
          <w:i/>
          <w:color w:val="000000"/>
        </w:rPr>
        <w:t>subsistens</w:t>
      </w:r>
      <w:proofErr w:type="spellEnd"/>
      <w:r w:rsidR="00956DD4">
        <w:rPr>
          <w:color w:val="000000"/>
        </w:rPr>
        <w:t>’</w:t>
      </w:r>
      <w:r w:rsidR="005D4CBD">
        <w:rPr>
          <w:color w:val="000000"/>
        </w:rPr>
        <w:t xml:space="preserve"> orders</w:t>
      </w:r>
      <w:r w:rsidRPr="00EB76E1">
        <w:rPr>
          <w:color w:val="000000"/>
        </w:rPr>
        <w:t xml:space="preserve"> the sequence of </w:t>
      </w:r>
      <w:r w:rsidR="005D4CBD">
        <w:rPr>
          <w:color w:val="000000"/>
        </w:rPr>
        <w:t xml:space="preserve">divine </w:t>
      </w:r>
      <w:r w:rsidRPr="00EB76E1">
        <w:rPr>
          <w:color w:val="000000"/>
        </w:rPr>
        <w:t>names from less to more intellectual/conceptual names or perfections, and preserves our use of subordinate terms from idolatrous reference</w:t>
      </w:r>
      <w:r w:rsidRPr="005D4CBD">
        <w:rPr>
          <w:color w:val="000000"/>
        </w:rPr>
        <w:t xml:space="preserve">. </w:t>
      </w:r>
      <w:r w:rsidR="00050CEF" w:rsidRPr="005D4CBD">
        <w:rPr>
          <w:color w:val="000000"/>
        </w:rPr>
        <w:t xml:space="preserve">In other words, </w:t>
      </w:r>
      <w:proofErr w:type="spellStart"/>
      <w:r w:rsidR="00145DB8">
        <w:rPr>
          <w:i/>
          <w:color w:val="000000"/>
        </w:rPr>
        <w:t>esse</w:t>
      </w:r>
      <w:proofErr w:type="spellEnd"/>
      <w:r w:rsidR="00145DB8">
        <w:rPr>
          <w:i/>
          <w:color w:val="000000"/>
        </w:rPr>
        <w:t xml:space="preserve"> ipsum </w:t>
      </w:r>
      <w:proofErr w:type="spellStart"/>
      <w:r w:rsidR="00145DB8">
        <w:rPr>
          <w:i/>
          <w:color w:val="000000"/>
        </w:rPr>
        <w:t>subsistens</w:t>
      </w:r>
      <w:proofErr w:type="spellEnd"/>
      <w:r w:rsidR="00145DB8">
        <w:rPr>
          <w:i/>
          <w:color w:val="000000"/>
        </w:rPr>
        <w:t xml:space="preserve"> </w:t>
      </w:r>
      <w:r w:rsidR="00145DB8">
        <w:rPr>
          <w:color w:val="000000"/>
        </w:rPr>
        <w:t xml:space="preserve">is </w:t>
      </w:r>
      <w:r w:rsidR="00050CEF" w:rsidRPr="005D4CBD">
        <w:rPr>
          <w:color w:val="000000"/>
        </w:rPr>
        <w:t>the most proper name of God</w:t>
      </w:r>
      <w:r w:rsidR="00145DB8">
        <w:rPr>
          <w:color w:val="000000"/>
        </w:rPr>
        <w:t xml:space="preserve"> because it</w:t>
      </w:r>
      <w:r w:rsidR="00E3486E" w:rsidRPr="005D4CBD">
        <w:rPr>
          <w:color w:val="000000"/>
        </w:rPr>
        <w:t xml:space="preserve"> serves as a horizon for</w:t>
      </w:r>
      <w:r w:rsidRPr="005D4CBD">
        <w:rPr>
          <w:color w:val="000000"/>
        </w:rPr>
        <w:t xml:space="preserve"> the intellect to transcend the conceptual significance of the particular perfection</w:t>
      </w:r>
      <w:r w:rsidR="00050CEF" w:rsidRPr="005D4CBD">
        <w:rPr>
          <w:color w:val="000000"/>
        </w:rPr>
        <w:t>s</w:t>
      </w:r>
      <w:r w:rsidR="00E3486E" w:rsidRPr="005D4CBD">
        <w:rPr>
          <w:color w:val="000000"/>
        </w:rPr>
        <w:t xml:space="preserve"> that serve</w:t>
      </w:r>
      <w:r w:rsidRPr="005D4CBD">
        <w:rPr>
          <w:color w:val="000000"/>
        </w:rPr>
        <w:t xml:space="preserve"> as </w:t>
      </w:r>
      <w:proofErr w:type="spellStart"/>
      <w:r w:rsidRPr="005D4CBD">
        <w:rPr>
          <w:color w:val="000000"/>
        </w:rPr>
        <w:t>analogate</w:t>
      </w:r>
      <w:r w:rsidR="00E3486E" w:rsidRPr="005D4CBD">
        <w:rPr>
          <w:color w:val="000000"/>
        </w:rPr>
        <w:t>s</w:t>
      </w:r>
      <w:proofErr w:type="spellEnd"/>
      <w:r w:rsidR="00E3486E" w:rsidRPr="005D4CBD">
        <w:rPr>
          <w:color w:val="000000"/>
        </w:rPr>
        <w:t xml:space="preserve"> in lower names</w:t>
      </w:r>
      <w:r w:rsidRPr="005D4CBD">
        <w:rPr>
          <w:color w:val="000000"/>
        </w:rPr>
        <w:t>.</w:t>
      </w:r>
      <w:r w:rsidRPr="005D4CBD">
        <w:rPr>
          <w:rStyle w:val="FootnoteAnchor"/>
          <w:color w:val="000000"/>
        </w:rPr>
        <w:footnoteReference w:id="48"/>
      </w:r>
      <w:r w:rsidRPr="00EB76E1">
        <w:rPr>
          <w:color w:val="000000"/>
        </w:rPr>
        <w:t xml:space="preserve"> </w:t>
      </w:r>
      <w:r w:rsidR="00E3486E" w:rsidRPr="00EB76E1">
        <w:rPr>
          <w:color w:val="000000"/>
        </w:rPr>
        <w:t xml:space="preserve">What is focused on in each lower metaphor is some </w:t>
      </w:r>
      <w:r w:rsidR="00E3486E" w:rsidRPr="00EB76E1">
        <w:rPr>
          <w:i/>
          <w:color w:val="000000"/>
        </w:rPr>
        <w:t xml:space="preserve">perfection </w:t>
      </w:r>
      <w:r w:rsidR="00E3486E" w:rsidRPr="00EB76E1">
        <w:rPr>
          <w:color w:val="000000"/>
        </w:rPr>
        <w:t xml:space="preserve">in the sensible thing, however imperfect, upon which </w:t>
      </w:r>
      <w:r w:rsidR="00965A2D" w:rsidRPr="00EB76E1">
        <w:rPr>
          <w:color w:val="000000"/>
        </w:rPr>
        <w:t>that</w:t>
      </w:r>
      <w:r w:rsidR="00E3486E" w:rsidRPr="00EB76E1">
        <w:rPr>
          <w:color w:val="000000"/>
        </w:rPr>
        <w:t xml:space="preserve"> metaphorical comparison</w:t>
      </w:r>
      <w:r w:rsidR="00965A2D" w:rsidRPr="00EB76E1">
        <w:rPr>
          <w:color w:val="000000"/>
        </w:rPr>
        <w:t xml:space="preserve"> between God and creature</w:t>
      </w:r>
      <w:r w:rsidR="00E3486E" w:rsidRPr="00EB76E1">
        <w:rPr>
          <w:color w:val="000000"/>
        </w:rPr>
        <w:t xml:space="preserve"> is founded. But the very way we are conceiving of </w:t>
      </w:r>
      <w:r w:rsidR="00956DD4">
        <w:rPr>
          <w:color w:val="000000"/>
        </w:rPr>
        <w:t>‘</w:t>
      </w:r>
      <w:r w:rsidR="00E3486E" w:rsidRPr="00EB76E1">
        <w:rPr>
          <w:color w:val="000000"/>
        </w:rPr>
        <w:t>perfections</w:t>
      </w:r>
      <w:r w:rsidR="00956DD4">
        <w:rPr>
          <w:color w:val="000000"/>
        </w:rPr>
        <w:t>’</w:t>
      </w:r>
      <w:r w:rsidR="00965A2D" w:rsidRPr="00EB76E1">
        <w:rPr>
          <w:color w:val="000000"/>
        </w:rPr>
        <w:t xml:space="preserve"> as more or less </w:t>
      </w:r>
      <w:r w:rsidR="00956DD4">
        <w:rPr>
          <w:color w:val="000000"/>
        </w:rPr>
        <w:t>‘</w:t>
      </w:r>
      <w:r w:rsidR="00965A2D" w:rsidRPr="00EB76E1">
        <w:rPr>
          <w:color w:val="000000"/>
        </w:rPr>
        <w:t>pure</w:t>
      </w:r>
      <w:r w:rsidR="00956DD4">
        <w:rPr>
          <w:color w:val="000000"/>
        </w:rPr>
        <w:t>’</w:t>
      </w:r>
      <w:r w:rsidR="00965A2D" w:rsidRPr="00EB76E1">
        <w:rPr>
          <w:color w:val="000000"/>
        </w:rPr>
        <w:t xml:space="preserve"> (e.g., immaterial) </w:t>
      </w:r>
      <w:r w:rsidR="00E3486E" w:rsidRPr="00EB76E1">
        <w:rPr>
          <w:color w:val="000000"/>
        </w:rPr>
        <w:t xml:space="preserve">comes in large part from the metaphysical distinctions we assume in making those comparisons. </w:t>
      </w:r>
    </w:p>
    <w:p w:rsidR="00705E6D" w:rsidRDefault="0034114F">
      <w:pPr>
        <w:spacing w:line="360" w:lineRule="auto"/>
      </w:pPr>
      <w:r>
        <w:rPr>
          <w:color w:val="000000"/>
        </w:rPr>
        <w:tab/>
      </w:r>
      <w:r w:rsidR="00145DB8">
        <w:rPr>
          <w:color w:val="000000"/>
        </w:rPr>
        <w:t>This might seem overly theoretical, but</w:t>
      </w:r>
      <w:r>
        <w:rPr>
          <w:color w:val="000000"/>
        </w:rPr>
        <w:t xml:space="preserve"> Aquinas' view also contains an implicitly spiritual point about our relationship to God, insofar as the term </w:t>
      </w:r>
      <w:r w:rsidR="00956DD4">
        <w:rPr>
          <w:color w:val="000000"/>
        </w:rPr>
        <w:t>‘</w:t>
      </w:r>
      <w:r>
        <w:rPr>
          <w:color w:val="000000"/>
        </w:rPr>
        <w:t>being</w:t>
      </w:r>
      <w:r w:rsidR="00956DD4">
        <w:rPr>
          <w:color w:val="000000"/>
        </w:rPr>
        <w:t>’</w:t>
      </w:r>
      <w:r>
        <w:rPr>
          <w:color w:val="000000"/>
        </w:rPr>
        <w:t xml:space="preserve"> keeps us within our cognitive limits. Other </w:t>
      </w:r>
      <w:r>
        <w:rPr>
          <w:color w:val="000000"/>
        </w:rPr>
        <w:lastRenderedPageBreak/>
        <w:t>sciences resolve themselves back into either sense knowledge or imagination, such as natural science and mathematics, but metaphysics does not. All knowledge begins in sensation, but metaphysics terminates in pure conceptual understanding purified (ideally) of sense knowledge.</w:t>
      </w:r>
      <w:r>
        <w:rPr>
          <w:rStyle w:val="FootnoteAnchor"/>
          <w:color w:val="000000"/>
        </w:rPr>
        <w:footnoteReference w:id="49"/>
      </w:r>
      <w:r>
        <w:rPr>
          <w:color w:val="000000"/>
        </w:rPr>
        <w:t xml:space="preserve"> Even more, metaphysics moves us beyond </w:t>
      </w:r>
      <w:r w:rsidR="00956DD4">
        <w:rPr>
          <w:color w:val="000000"/>
        </w:rPr>
        <w:t>‘</w:t>
      </w:r>
      <w:r>
        <w:rPr>
          <w:color w:val="000000"/>
        </w:rPr>
        <w:t>rational</w:t>
      </w:r>
      <w:r w:rsidR="00956DD4">
        <w:rPr>
          <w:color w:val="000000"/>
        </w:rPr>
        <w:t>’</w:t>
      </w:r>
      <w:r>
        <w:rPr>
          <w:color w:val="000000"/>
        </w:rPr>
        <w:t xml:space="preserve"> or discursive thinking, despite it having to use discursive thinking to reach its terminus. Instead of terminating in a plurality of concepts, metaphysics (or ideal cognition) </w:t>
      </w:r>
      <w:r w:rsidR="004252EC">
        <w:rPr>
          <w:color w:val="000000"/>
        </w:rPr>
        <w:t xml:space="preserve">seeks to unify: </w:t>
      </w:r>
      <w:r>
        <w:rPr>
          <w:color w:val="000000"/>
        </w:rPr>
        <w:t xml:space="preserve">to understand the principles of being </w:t>
      </w:r>
      <w:r>
        <w:rPr>
          <w:i/>
          <w:iCs/>
          <w:color w:val="000000"/>
        </w:rPr>
        <w:t xml:space="preserve">qua </w:t>
      </w:r>
      <w:r w:rsidR="004252EC">
        <w:rPr>
          <w:color w:val="000000"/>
        </w:rPr>
        <w:t>being and unite all knowledge in a pure intellectual grasp of reality</w:t>
      </w:r>
      <w:r>
        <w:rPr>
          <w:color w:val="000000"/>
        </w:rPr>
        <w:t>.</w:t>
      </w:r>
      <w:r>
        <w:rPr>
          <w:rStyle w:val="FootnoteAnchor"/>
          <w:color w:val="000000"/>
        </w:rPr>
        <w:footnoteReference w:id="50"/>
      </w:r>
      <w:r>
        <w:rPr>
          <w:color w:val="000000"/>
        </w:rPr>
        <w:t xml:space="preserve"> </w:t>
      </w:r>
    </w:p>
    <w:p w:rsidR="00705E6D" w:rsidRDefault="0034114F">
      <w:pPr>
        <w:spacing w:line="360" w:lineRule="auto"/>
      </w:pPr>
      <w:r>
        <w:rPr>
          <w:color w:val="000000"/>
        </w:rPr>
        <w:tab/>
        <w:t xml:space="preserve">This could seem to conflict with the tenor of Scripture, where metaphors seem to abound and </w:t>
      </w:r>
      <w:r w:rsidR="00956DD4">
        <w:rPr>
          <w:color w:val="000000"/>
        </w:rPr>
        <w:t>‘</w:t>
      </w:r>
      <w:r>
        <w:rPr>
          <w:color w:val="000000"/>
        </w:rPr>
        <w:t>purely intellectual</w:t>
      </w:r>
      <w:r w:rsidR="00956DD4">
        <w:rPr>
          <w:color w:val="000000"/>
        </w:rPr>
        <w:t>’</w:t>
      </w:r>
      <w:r>
        <w:rPr>
          <w:color w:val="000000"/>
        </w:rPr>
        <w:t xml:space="preserve"> terms are rare. We are encouraged to relate to God in terms like </w:t>
      </w:r>
      <w:r w:rsidR="00956DD4">
        <w:rPr>
          <w:color w:val="000000"/>
        </w:rPr>
        <w:t>‘</w:t>
      </w:r>
      <w:r>
        <w:rPr>
          <w:color w:val="000000"/>
        </w:rPr>
        <w:t>father.</w:t>
      </w:r>
      <w:r w:rsidR="00956DD4">
        <w:rPr>
          <w:color w:val="000000"/>
        </w:rPr>
        <w:t>’</w:t>
      </w:r>
      <w:r>
        <w:rPr>
          <w:color w:val="000000"/>
        </w:rPr>
        <w:t xml:space="preserve"> Here Aquinas shows how the doctrine of divine names implies a spiritual point. He follows Pseudo-</w:t>
      </w:r>
      <w:proofErr w:type="spellStart"/>
      <w:r>
        <w:rPr>
          <w:color w:val="000000"/>
        </w:rPr>
        <w:t>Dioynsius</w:t>
      </w:r>
      <w:proofErr w:type="spellEnd"/>
      <w:r>
        <w:rPr>
          <w:color w:val="000000"/>
        </w:rPr>
        <w:t xml:space="preserve"> in claiming that the concrete names found in Scripture lead us immediately and easily to grasp the purely spiritual signification of the name in question, as they are more clearly unlike God. We cannot normally easily confuse the name </w:t>
      </w:r>
      <w:r w:rsidR="00956DD4">
        <w:rPr>
          <w:color w:val="000000"/>
        </w:rPr>
        <w:t>‘</w:t>
      </w:r>
      <w:r>
        <w:rPr>
          <w:color w:val="000000"/>
        </w:rPr>
        <w:t>Father</w:t>
      </w:r>
      <w:r w:rsidR="00956DD4">
        <w:rPr>
          <w:color w:val="000000"/>
        </w:rPr>
        <w:t>’</w:t>
      </w:r>
      <w:r>
        <w:rPr>
          <w:color w:val="000000"/>
        </w:rPr>
        <w:t xml:space="preserve"> with the claim that God is a human reproductive agent, and so the name leads us more directly to His personal property. Concrete names can be significant theologically the more obviously unfitting they are, because they move us more immediately </w:t>
      </w:r>
      <w:r>
        <w:rPr>
          <w:i/>
          <w:iCs/>
          <w:color w:val="000000"/>
        </w:rPr>
        <w:t xml:space="preserve">beyond </w:t>
      </w:r>
      <w:r>
        <w:rPr>
          <w:color w:val="000000"/>
        </w:rPr>
        <w:t>sense metaphors to purely spiritual, intelligible senses of our predication.</w:t>
      </w:r>
      <w:r>
        <w:rPr>
          <w:rStyle w:val="FootnoteAnchor"/>
          <w:color w:val="000000"/>
        </w:rPr>
        <w:footnoteReference w:id="51"/>
      </w:r>
      <w:r>
        <w:rPr>
          <w:color w:val="000000"/>
        </w:rPr>
        <w:t xml:space="preserve"> In his commentary on the </w:t>
      </w:r>
      <w:r>
        <w:rPr>
          <w:i/>
          <w:iCs/>
          <w:color w:val="000000"/>
        </w:rPr>
        <w:t xml:space="preserve">Divine Names, </w:t>
      </w:r>
      <w:r>
        <w:rPr>
          <w:color w:val="000000"/>
        </w:rPr>
        <w:t>Aquinas notes that our minds are to terminate not in the sensible effect we predicate of God, but in purely intellectual understanding of these perfections in their transcendence beyond creaturely instantiation.</w:t>
      </w:r>
      <w:r>
        <w:rPr>
          <w:rStyle w:val="FootnoteAnchor"/>
          <w:color w:val="000000"/>
        </w:rPr>
        <w:footnoteReference w:id="52"/>
      </w:r>
      <w:r>
        <w:rPr>
          <w:color w:val="000000"/>
        </w:rPr>
        <w:t xml:space="preserve"> While there are obviously complications that arise when we consider the role revelation plays, the name of God revealed on Sinai, </w:t>
      </w:r>
      <w:r w:rsidR="00956DD4">
        <w:rPr>
          <w:color w:val="000000"/>
        </w:rPr>
        <w:t>‘</w:t>
      </w:r>
      <w:r>
        <w:rPr>
          <w:color w:val="000000"/>
        </w:rPr>
        <w:t>He Who Is</w:t>
      </w:r>
      <w:r w:rsidR="0056695A">
        <w:rPr>
          <w:color w:val="000000"/>
        </w:rPr>
        <w:t>’,</w:t>
      </w:r>
      <w:r>
        <w:rPr>
          <w:color w:val="000000"/>
        </w:rPr>
        <w:t xml:space="preserve"> functions to indicate the transcendent context of our cognitive limits. </w:t>
      </w:r>
      <w:r w:rsidR="00956DD4">
        <w:rPr>
          <w:color w:val="000000"/>
        </w:rPr>
        <w:t>‘</w:t>
      </w:r>
      <w:r>
        <w:rPr>
          <w:color w:val="000000"/>
        </w:rPr>
        <w:t>He Who Is</w:t>
      </w:r>
      <w:r w:rsidR="00956DD4">
        <w:rPr>
          <w:color w:val="000000"/>
        </w:rPr>
        <w:t>’</w:t>
      </w:r>
      <w:r>
        <w:rPr>
          <w:color w:val="000000"/>
        </w:rPr>
        <w:t xml:space="preserve"> consequently has a special</w:t>
      </w:r>
      <w:r w:rsidR="00B413F4">
        <w:rPr>
          <w:color w:val="000000"/>
        </w:rPr>
        <w:t xml:space="preserve"> role in moving us beyond images, grounding how we use our other positive names for God</w:t>
      </w:r>
      <w:r>
        <w:rPr>
          <w:color w:val="000000"/>
        </w:rPr>
        <w:t xml:space="preserve">, </w:t>
      </w:r>
      <w:r w:rsidR="00B413F4">
        <w:rPr>
          <w:color w:val="000000"/>
        </w:rPr>
        <w:t xml:space="preserve">so that we keep our names for God from becoming </w:t>
      </w:r>
      <w:proofErr w:type="spellStart"/>
      <w:r w:rsidR="00B413F4">
        <w:rPr>
          <w:color w:val="000000"/>
        </w:rPr>
        <w:t>idolic</w:t>
      </w:r>
      <w:proofErr w:type="spellEnd"/>
      <w:r w:rsidR="00B413F4">
        <w:rPr>
          <w:color w:val="000000"/>
        </w:rPr>
        <w:t xml:space="preserve"> conceptions and instead use them as icons for the One who we will one day hope to see face-to-face. </w:t>
      </w:r>
      <w:r>
        <w:rPr>
          <w:color w:val="000000"/>
        </w:rPr>
        <w:t xml:space="preserve"> </w:t>
      </w:r>
    </w:p>
    <w:sectPr w:rsidR="00705E6D">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4C" w:rsidRDefault="0019254C">
      <w:r>
        <w:separator/>
      </w:r>
    </w:p>
  </w:endnote>
  <w:endnote w:type="continuationSeparator" w:id="0">
    <w:p w:rsidR="0019254C" w:rsidRDefault="0019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4C" w:rsidRDefault="0019254C">
      <w:r>
        <w:separator/>
      </w:r>
    </w:p>
  </w:footnote>
  <w:footnote w:type="continuationSeparator" w:id="0">
    <w:p w:rsidR="0019254C" w:rsidRDefault="0019254C">
      <w:r>
        <w:continuationSeparator/>
      </w:r>
    </w:p>
  </w:footnote>
  <w:footnote w:id="1">
    <w:p w:rsidR="00E75713" w:rsidRPr="005608E0" w:rsidRDefault="00E75713">
      <w:pPr>
        <w:pStyle w:val="Footnote"/>
        <w:rPr>
          <w:sz w:val="20"/>
        </w:rPr>
      </w:pPr>
      <w:r w:rsidRPr="005608E0">
        <w:rPr>
          <w:iCs/>
          <w:sz w:val="20"/>
        </w:rPr>
        <w:footnoteRef/>
      </w:r>
      <w:r w:rsidRPr="005608E0">
        <w:rPr>
          <w:i/>
          <w:iCs/>
          <w:sz w:val="20"/>
        </w:rPr>
        <w:tab/>
      </w:r>
      <w:proofErr w:type="gramStart"/>
      <w:r w:rsidR="0023128C">
        <w:rPr>
          <w:iCs/>
          <w:sz w:val="20"/>
        </w:rPr>
        <w:t xml:space="preserve">Thomas Aquinas, </w:t>
      </w:r>
      <w:r w:rsidRPr="005608E0">
        <w:rPr>
          <w:i/>
          <w:iCs/>
          <w:sz w:val="20"/>
        </w:rPr>
        <w:t>Summa Theologiae</w:t>
      </w:r>
      <w:r w:rsidRPr="005608E0">
        <w:rPr>
          <w:sz w:val="20"/>
        </w:rPr>
        <w:t xml:space="preserve"> </w:t>
      </w:r>
      <w:r w:rsidR="0023128C">
        <w:rPr>
          <w:sz w:val="20"/>
        </w:rPr>
        <w:t xml:space="preserve">(hereafter </w:t>
      </w:r>
      <w:r w:rsidR="0023128C">
        <w:rPr>
          <w:i/>
          <w:sz w:val="20"/>
        </w:rPr>
        <w:t>ST</w:t>
      </w:r>
      <w:r w:rsidR="0023128C" w:rsidRPr="0023128C">
        <w:rPr>
          <w:sz w:val="20"/>
        </w:rPr>
        <w:t xml:space="preserve">) </w:t>
      </w:r>
      <w:r w:rsidRPr="005608E0">
        <w:rPr>
          <w:sz w:val="20"/>
        </w:rPr>
        <w:t>I, q. 13, a. 11.</w:t>
      </w:r>
      <w:proofErr w:type="gramEnd"/>
      <w:r w:rsidR="00DB35D1">
        <w:rPr>
          <w:sz w:val="20"/>
        </w:rPr>
        <w:t xml:space="preserve"> [All citations taken from the Leonine ed., 1888-1906]</w:t>
      </w:r>
    </w:p>
  </w:footnote>
  <w:footnote w:id="2">
    <w:p w:rsidR="00E75713" w:rsidRPr="005608E0" w:rsidRDefault="00E75713">
      <w:pPr>
        <w:pStyle w:val="Footnote"/>
        <w:rPr>
          <w:sz w:val="20"/>
        </w:rPr>
      </w:pPr>
      <w:r w:rsidRPr="005608E0">
        <w:rPr>
          <w:sz w:val="20"/>
        </w:rPr>
        <w:footnoteRef/>
      </w:r>
      <w:r w:rsidRPr="005608E0">
        <w:rPr>
          <w:sz w:val="20"/>
        </w:rPr>
        <w:tab/>
        <w:t xml:space="preserve">Jean-Luc Marion, </w:t>
      </w:r>
      <w:r w:rsidRPr="005608E0">
        <w:rPr>
          <w:i/>
          <w:iCs/>
          <w:sz w:val="20"/>
        </w:rPr>
        <w:t xml:space="preserve">God without Being, </w:t>
      </w:r>
      <w:r w:rsidRPr="005608E0">
        <w:rPr>
          <w:sz w:val="20"/>
        </w:rPr>
        <w:t xml:space="preserve">trans. T. </w:t>
      </w:r>
      <w:proofErr w:type="gramStart"/>
      <w:r w:rsidRPr="005608E0">
        <w:rPr>
          <w:sz w:val="20"/>
        </w:rPr>
        <w:t xml:space="preserve">Carlson </w:t>
      </w:r>
      <w:r w:rsidR="00667BBF">
        <w:rPr>
          <w:sz w:val="20"/>
        </w:rPr>
        <w:t xml:space="preserve"> </w:t>
      </w:r>
      <w:r w:rsidRPr="005608E0">
        <w:rPr>
          <w:sz w:val="20"/>
        </w:rPr>
        <w:t>(</w:t>
      </w:r>
      <w:proofErr w:type="gramEnd"/>
      <w:r w:rsidRPr="005608E0">
        <w:rPr>
          <w:sz w:val="20"/>
        </w:rPr>
        <w:t xml:space="preserve">Chicago, IL: University of Chicago Press, 1991); esp. </w:t>
      </w:r>
      <w:r w:rsidR="0056695A">
        <w:rPr>
          <w:sz w:val="20"/>
        </w:rPr>
        <w:t xml:space="preserve">pp. </w:t>
      </w:r>
      <w:r w:rsidRPr="005608E0">
        <w:rPr>
          <w:sz w:val="20"/>
        </w:rPr>
        <w:t xml:space="preserve">xix-52. After this initial work, Marion has rescinded some of his criticisms of Aquinas in particular; </w:t>
      </w:r>
    </w:p>
  </w:footnote>
  <w:footnote w:id="3">
    <w:p w:rsidR="00E75713" w:rsidRPr="005608E0" w:rsidRDefault="00E75713">
      <w:pPr>
        <w:pStyle w:val="Footnote"/>
        <w:rPr>
          <w:sz w:val="20"/>
        </w:rPr>
      </w:pPr>
      <w:r w:rsidRPr="005608E0">
        <w:rPr>
          <w:sz w:val="20"/>
        </w:rPr>
        <w:footnoteRef/>
      </w:r>
      <w:r w:rsidRPr="005608E0">
        <w:rPr>
          <w:sz w:val="20"/>
        </w:rPr>
        <w:tab/>
        <w:t xml:space="preserve">This kind of criticism has been made by John </w:t>
      </w:r>
      <w:proofErr w:type="spellStart"/>
      <w:r w:rsidRPr="005608E0">
        <w:rPr>
          <w:sz w:val="20"/>
        </w:rPr>
        <w:t>Zizioulas</w:t>
      </w:r>
      <w:proofErr w:type="spellEnd"/>
      <w:r w:rsidRPr="005608E0">
        <w:rPr>
          <w:sz w:val="20"/>
        </w:rPr>
        <w:t xml:space="preserve">; </w:t>
      </w:r>
      <w:r w:rsidRPr="005608E0">
        <w:rPr>
          <w:i/>
          <w:iCs/>
          <w:sz w:val="20"/>
        </w:rPr>
        <w:t xml:space="preserve">Lectures on Christian </w:t>
      </w:r>
      <w:proofErr w:type="spellStart"/>
      <w:r w:rsidRPr="005608E0">
        <w:rPr>
          <w:i/>
          <w:iCs/>
          <w:sz w:val="20"/>
        </w:rPr>
        <w:t>Dogmatics</w:t>
      </w:r>
      <w:proofErr w:type="spellEnd"/>
      <w:r w:rsidRPr="005608E0">
        <w:rPr>
          <w:i/>
          <w:iCs/>
          <w:sz w:val="20"/>
        </w:rPr>
        <w:t xml:space="preserve">, </w:t>
      </w:r>
      <w:r w:rsidRPr="005608E0">
        <w:rPr>
          <w:sz w:val="20"/>
        </w:rPr>
        <w:t>ed. Knight</w:t>
      </w:r>
      <w:r w:rsidRPr="005608E0">
        <w:rPr>
          <w:i/>
          <w:iCs/>
          <w:sz w:val="20"/>
        </w:rPr>
        <w:t xml:space="preserve"> </w:t>
      </w:r>
      <w:r w:rsidRPr="005608E0">
        <w:rPr>
          <w:sz w:val="20"/>
        </w:rPr>
        <w:t xml:space="preserve">(New York, NY: T &amp; T Clark, 2008), </w:t>
      </w:r>
      <w:r w:rsidR="0056695A">
        <w:rPr>
          <w:sz w:val="20"/>
        </w:rPr>
        <w:t xml:space="preserve">pp. </w:t>
      </w:r>
      <w:r w:rsidRPr="005608E0">
        <w:rPr>
          <w:sz w:val="20"/>
        </w:rPr>
        <w:t>16-22.</w:t>
      </w:r>
    </w:p>
  </w:footnote>
  <w:footnote w:id="4">
    <w:p w:rsidR="00E75713" w:rsidRPr="005608E0" w:rsidRDefault="00E75713">
      <w:pPr>
        <w:pStyle w:val="FootnoteText"/>
        <w:rPr>
          <w:szCs w:val="20"/>
        </w:rPr>
      </w:pPr>
      <w:r w:rsidRPr="005608E0">
        <w:rPr>
          <w:rStyle w:val="FootnoteReference"/>
          <w:szCs w:val="20"/>
          <w:vertAlign w:val="baseline"/>
        </w:rPr>
        <w:footnoteRef/>
      </w:r>
      <w:r w:rsidRPr="005608E0">
        <w:rPr>
          <w:szCs w:val="20"/>
        </w:rPr>
        <w:t xml:space="preserve"> </w:t>
      </w:r>
      <w:r w:rsidR="007F7EDF">
        <w:rPr>
          <w:szCs w:val="20"/>
        </w:rPr>
        <w:t xml:space="preserve">   </w:t>
      </w:r>
      <w:proofErr w:type="gramStart"/>
      <w:r w:rsidR="007F7EDF" w:rsidRPr="0023128C">
        <w:rPr>
          <w:i/>
          <w:szCs w:val="20"/>
        </w:rPr>
        <w:t>ST</w:t>
      </w:r>
      <w:r w:rsidR="007F7EDF">
        <w:rPr>
          <w:szCs w:val="20"/>
        </w:rPr>
        <w:t xml:space="preserve"> I, q. 13, a. 3 &amp; 5.</w:t>
      </w:r>
      <w:proofErr w:type="gramEnd"/>
      <w:r w:rsidR="007F7EDF">
        <w:rPr>
          <w:szCs w:val="20"/>
        </w:rPr>
        <w:t xml:space="preserve"> </w:t>
      </w:r>
      <w:r w:rsidR="0056695A">
        <w:rPr>
          <w:szCs w:val="20"/>
        </w:rPr>
        <w:t>And, e</w:t>
      </w:r>
      <w:r w:rsidR="007F7EDF">
        <w:rPr>
          <w:szCs w:val="20"/>
        </w:rPr>
        <w:t xml:space="preserve">.g., </w:t>
      </w:r>
      <w:r w:rsidR="00956DD4">
        <w:rPr>
          <w:szCs w:val="20"/>
        </w:rPr>
        <w:t>‘</w:t>
      </w:r>
      <w:proofErr w:type="spellStart"/>
      <w:r w:rsidR="007F7EDF" w:rsidRPr="007F7EDF">
        <w:rPr>
          <w:szCs w:val="20"/>
        </w:rPr>
        <w:t>Quaedam</w:t>
      </w:r>
      <w:proofErr w:type="spellEnd"/>
      <w:r w:rsidR="007F7EDF" w:rsidRPr="007F7EDF">
        <w:rPr>
          <w:szCs w:val="20"/>
        </w:rPr>
        <w:t xml:space="preserve"> </w:t>
      </w:r>
      <w:proofErr w:type="spellStart"/>
      <w:r w:rsidR="007F7EDF" w:rsidRPr="007F7EDF">
        <w:rPr>
          <w:szCs w:val="20"/>
        </w:rPr>
        <w:t>vero</w:t>
      </w:r>
      <w:proofErr w:type="spellEnd"/>
      <w:r w:rsidR="007F7EDF" w:rsidRPr="007F7EDF">
        <w:rPr>
          <w:szCs w:val="20"/>
        </w:rPr>
        <w:t xml:space="preserve"> </w:t>
      </w:r>
      <w:proofErr w:type="spellStart"/>
      <w:r w:rsidR="007F7EDF" w:rsidRPr="007F7EDF">
        <w:rPr>
          <w:szCs w:val="20"/>
        </w:rPr>
        <w:t>nomina</w:t>
      </w:r>
      <w:proofErr w:type="spellEnd"/>
      <w:r w:rsidR="007F7EDF" w:rsidRPr="007F7EDF">
        <w:rPr>
          <w:szCs w:val="20"/>
        </w:rPr>
        <w:t xml:space="preserve"> significant </w:t>
      </w:r>
      <w:proofErr w:type="spellStart"/>
      <w:r w:rsidR="007F7EDF" w:rsidRPr="007F7EDF">
        <w:rPr>
          <w:szCs w:val="20"/>
        </w:rPr>
        <w:t>ipsas</w:t>
      </w:r>
      <w:proofErr w:type="spellEnd"/>
      <w:r w:rsidR="007F7EDF" w:rsidRPr="007F7EDF">
        <w:rPr>
          <w:szCs w:val="20"/>
        </w:rPr>
        <w:t xml:space="preserve"> </w:t>
      </w:r>
      <w:proofErr w:type="spellStart"/>
      <w:r w:rsidR="007F7EDF" w:rsidRPr="007F7EDF">
        <w:rPr>
          <w:szCs w:val="20"/>
        </w:rPr>
        <w:t>perfectiones</w:t>
      </w:r>
      <w:proofErr w:type="spellEnd"/>
      <w:r w:rsidR="007F7EDF" w:rsidRPr="007F7EDF">
        <w:rPr>
          <w:szCs w:val="20"/>
        </w:rPr>
        <w:t xml:space="preserve"> absolute, </w:t>
      </w:r>
      <w:proofErr w:type="spellStart"/>
      <w:r w:rsidR="007F7EDF" w:rsidRPr="007F7EDF">
        <w:rPr>
          <w:szCs w:val="20"/>
        </w:rPr>
        <w:t>absque</w:t>
      </w:r>
      <w:proofErr w:type="spellEnd"/>
      <w:r w:rsidR="007F7EDF" w:rsidRPr="007F7EDF">
        <w:rPr>
          <w:szCs w:val="20"/>
        </w:rPr>
        <w:t xml:space="preserve"> hoc quod </w:t>
      </w:r>
      <w:proofErr w:type="spellStart"/>
      <w:r w:rsidR="007F7EDF" w:rsidRPr="007F7EDF">
        <w:rPr>
          <w:szCs w:val="20"/>
        </w:rPr>
        <w:t>aliquis</w:t>
      </w:r>
      <w:proofErr w:type="spellEnd"/>
      <w:r w:rsidR="007F7EDF" w:rsidRPr="007F7EDF">
        <w:rPr>
          <w:szCs w:val="20"/>
        </w:rPr>
        <w:t xml:space="preserve"> modus </w:t>
      </w:r>
      <w:proofErr w:type="spellStart"/>
      <w:r w:rsidR="007F7EDF" w:rsidRPr="007F7EDF">
        <w:rPr>
          <w:szCs w:val="20"/>
        </w:rPr>
        <w:t>participandi</w:t>
      </w:r>
      <w:proofErr w:type="spellEnd"/>
      <w:r w:rsidR="007F7EDF" w:rsidRPr="007F7EDF">
        <w:rPr>
          <w:szCs w:val="20"/>
        </w:rPr>
        <w:t xml:space="preserve"> </w:t>
      </w:r>
      <w:proofErr w:type="spellStart"/>
      <w:r w:rsidR="007F7EDF" w:rsidRPr="007F7EDF">
        <w:rPr>
          <w:szCs w:val="20"/>
        </w:rPr>
        <w:t>claudatur</w:t>
      </w:r>
      <w:proofErr w:type="spellEnd"/>
      <w:r w:rsidR="007F7EDF" w:rsidRPr="007F7EDF">
        <w:rPr>
          <w:szCs w:val="20"/>
        </w:rPr>
        <w:t xml:space="preserve"> in </w:t>
      </w:r>
      <w:proofErr w:type="spellStart"/>
      <w:r w:rsidR="007F7EDF" w:rsidRPr="007F7EDF">
        <w:rPr>
          <w:szCs w:val="20"/>
        </w:rPr>
        <w:t>eorum</w:t>
      </w:r>
      <w:proofErr w:type="spellEnd"/>
      <w:r w:rsidR="007F7EDF" w:rsidRPr="007F7EDF">
        <w:rPr>
          <w:szCs w:val="20"/>
        </w:rPr>
        <w:t xml:space="preserve"> </w:t>
      </w:r>
      <w:proofErr w:type="spellStart"/>
      <w:r w:rsidR="007F7EDF" w:rsidRPr="007F7EDF">
        <w:rPr>
          <w:szCs w:val="20"/>
        </w:rPr>
        <w:t>significatione</w:t>
      </w:r>
      <w:proofErr w:type="spellEnd"/>
      <w:r w:rsidR="007F7EDF" w:rsidRPr="007F7EDF">
        <w:rPr>
          <w:szCs w:val="20"/>
        </w:rPr>
        <w:t xml:space="preserve">, </w:t>
      </w:r>
      <w:proofErr w:type="spellStart"/>
      <w:r w:rsidR="007F7EDF" w:rsidRPr="007F7EDF">
        <w:rPr>
          <w:szCs w:val="20"/>
        </w:rPr>
        <w:t>ut</w:t>
      </w:r>
      <w:proofErr w:type="spellEnd"/>
      <w:r w:rsidR="007F7EDF" w:rsidRPr="007F7EDF">
        <w:rPr>
          <w:szCs w:val="20"/>
        </w:rPr>
        <w:t xml:space="preserve"> </w:t>
      </w:r>
      <w:proofErr w:type="spellStart"/>
      <w:proofErr w:type="gramStart"/>
      <w:r w:rsidR="007F7EDF" w:rsidRPr="007F7EDF">
        <w:rPr>
          <w:szCs w:val="20"/>
        </w:rPr>
        <w:t>ens</w:t>
      </w:r>
      <w:proofErr w:type="spellEnd"/>
      <w:proofErr w:type="gramEnd"/>
      <w:r w:rsidR="007F7EDF" w:rsidRPr="007F7EDF">
        <w:rPr>
          <w:szCs w:val="20"/>
        </w:rPr>
        <w:t xml:space="preserve">, </w:t>
      </w:r>
      <w:proofErr w:type="spellStart"/>
      <w:r w:rsidR="007F7EDF" w:rsidRPr="007F7EDF">
        <w:rPr>
          <w:szCs w:val="20"/>
        </w:rPr>
        <w:t>bonum</w:t>
      </w:r>
      <w:proofErr w:type="spellEnd"/>
      <w:r w:rsidR="007F7EDF" w:rsidRPr="007F7EDF">
        <w:rPr>
          <w:szCs w:val="20"/>
        </w:rPr>
        <w:t xml:space="preserve"> </w:t>
      </w:r>
      <w:proofErr w:type="spellStart"/>
      <w:r w:rsidR="007F7EDF" w:rsidRPr="007F7EDF">
        <w:rPr>
          <w:szCs w:val="20"/>
        </w:rPr>
        <w:t>vivens</w:t>
      </w:r>
      <w:proofErr w:type="spellEnd"/>
      <w:r w:rsidR="007F7EDF" w:rsidRPr="007F7EDF">
        <w:rPr>
          <w:szCs w:val="20"/>
        </w:rPr>
        <w:t xml:space="preserve">, et </w:t>
      </w:r>
      <w:proofErr w:type="spellStart"/>
      <w:r w:rsidR="007F7EDF" w:rsidRPr="007F7EDF">
        <w:rPr>
          <w:szCs w:val="20"/>
        </w:rPr>
        <w:t>huiusmodi</w:t>
      </w:r>
      <w:proofErr w:type="spellEnd"/>
      <w:r w:rsidR="007F7EDF" w:rsidRPr="007F7EDF">
        <w:rPr>
          <w:szCs w:val="20"/>
        </w:rPr>
        <w:t>, e</w:t>
      </w:r>
      <w:r w:rsidR="007F7EDF">
        <w:rPr>
          <w:szCs w:val="20"/>
        </w:rPr>
        <w:t xml:space="preserve">t </w:t>
      </w:r>
      <w:proofErr w:type="spellStart"/>
      <w:r w:rsidR="007F7EDF">
        <w:rPr>
          <w:szCs w:val="20"/>
        </w:rPr>
        <w:t>talia</w:t>
      </w:r>
      <w:proofErr w:type="spellEnd"/>
      <w:r w:rsidR="007F7EDF">
        <w:rPr>
          <w:szCs w:val="20"/>
        </w:rPr>
        <w:t xml:space="preserve"> </w:t>
      </w:r>
      <w:proofErr w:type="spellStart"/>
      <w:r w:rsidR="007F7EDF">
        <w:rPr>
          <w:szCs w:val="20"/>
        </w:rPr>
        <w:t>proprie</w:t>
      </w:r>
      <w:proofErr w:type="spellEnd"/>
      <w:r w:rsidR="007F7EDF">
        <w:rPr>
          <w:szCs w:val="20"/>
        </w:rPr>
        <w:t xml:space="preserve"> </w:t>
      </w:r>
      <w:proofErr w:type="spellStart"/>
      <w:r w:rsidR="007F7EDF">
        <w:rPr>
          <w:szCs w:val="20"/>
        </w:rPr>
        <w:t>dicuntur</w:t>
      </w:r>
      <w:proofErr w:type="spellEnd"/>
      <w:r w:rsidR="007F7EDF">
        <w:rPr>
          <w:szCs w:val="20"/>
        </w:rPr>
        <w:t xml:space="preserve"> de </w:t>
      </w:r>
      <w:proofErr w:type="spellStart"/>
      <w:r w:rsidR="007F7EDF">
        <w:rPr>
          <w:szCs w:val="20"/>
        </w:rPr>
        <w:t>Deo</w:t>
      </w:r>
      <w:proofErr w:type="spellEnd"/>
      <w:r w:rsidR="00956DD4">
        <w:rPr>
          <w:szCs w:val="20"/>
        </w:rPr>
        <w:t>’</w:t>
      </w:r>
      <w:r w:rsidR="007F7EDF">
        <w:rPr>
          <w:szCs w:val="20"/>
        </w:rPr>
        <w:t xml:space="preserve"> (</w:t>
      </w:r>
      <w:r w:rsidR="0056695A" w:rsidRPr="0056695A">
        <w:rPr>
          <w:szCs w:val="20"/>
        </w:rPr>
        <w:t>ST I, q. 13</w:t>
      </w:r>
      <w:r w:rsidR="007F7EDF">
        <w:rPr>
          <w:szCs w:val="20"/>
        </w:rPr>
        <w:t xml:space="preserve">, a. 3, ad. 1). </w:t>
      </w:r>
    </w:p>
  </w:footnote>
  <w:footnote w:id="5">
    <w:p w:rsidR="00E75713" w:rsidRPr="005608E0" w:rsidRDefault="00E75713">
      <w:pPr>
        <w:pStyle w:val="Footnote"/>
        <w:rPr>
          <w:sz w:val="20"/>
        </w:rPr>
      </w:pPr>
      <w:r w:rsidRPr="005608E0">
        <w:rPr>
          <w:sz w:val="20"/>
        </w:rPr>
        <w:footnoteRef/>
      </w:r>
      <w:r w:rsidRPr="005608E0">
        <w:rPr>
          <w:sz w:val="20"/>
        </w:rPr>
        <w:tab/>
        <w:t xml:space="preserve">Alternate accounts, for example, are presented in Benedict Ashley, </w:t>
      </w:r>
      <w:r w:rsidRPr="005608E0">
        <w:rPr>
          <w:i/>
          <w:iCs/>
          <w:sz w:val="20"/>
        </w:rPr>
        <w:t xml:space="preserve">The Way </w:t>
      </w:r>
      <w:proofErr w:type="gramStart"/>
      <w:r w:rsidRPr="005608E0">
        <w:rPr>
          <w:i/>
          <w:iCs/>
          <w:sz w:val="20"/>
        </w:rPr>
        <w:t>Toward</w:t>
      </w:r>
      <w:proofErr w:type="gramEnd"/>
      <w:r w:rsidRPr="005608E0">
        <w:rPr>
          <w:i/>
          <w:iCs/>
          <w:sz w:val="20"/>
        </w:rPr>
        <w:t xml:space="preserve"> Wisdom </w:t>
      </w:r>
      <w:r w:rsidRPr="005608E0">
        <w:rPr>
          <w:sz w:val="20"/>
        </w:rPr>
        <w:t>(Notre Dame, IN: University of Notre Dame Press, 2006), esp.</w:t>
      </w:r>
      <w:r w:rsidRPr="005608E0">
        <w:rPr>
          <w:i/>
          <w:iCs/>
          <w:sz w:val="20"/>
        </w:rPr>
        <w:t xml:space="preserve"> </w:t>
      </w:r>
      <w:r w:rsidR="0056695A">
        <w:rPr>
          <w:sz w:val="20"/>
        </w:rPr>
        <w:t xml:space="preserve">pp. </w:t>
      </w:r>
      <w:r w:rsidRPr="005608E0">
        <w:rPr>
          <w:sz w:val="20"/>
        </w:rPr>
        <w:t xml:space="preserve">92-171; Lawrence Dewan, </w:t>
      </w:r>
      <w:r w:rsidRPr="005608E0">
        <w:rPr>
          <w:i/>
          <w:iCs/>
          <w:sz w:val="20"/>
        </w:rPr>
        <w:t xml:space="preserve">Form and Being </w:t>
      </w:r>
      <w:r w:rsidRPr="005608E0">
        <w:rPr>
          <w:sz w:val="20"/>
        </w:rPr>
        <w:t xml:space="preserve">(Washington, DC: Catholic University Press, 2006), esp. </w:t>
      </w:r>
      <w:r w:rsidR="0056695A">
        <w:rPr>
          <w:sz w:val="20"/>
        </w:rPr>
        <w:t xml:space="preserve">pp. </w:t>
      </w:r>
      <w:r w:rsidRPr="005608E0">
        <w:rPr>
          <w:sz w:val="20"/>
        </w:rPr>
        <w:t>1-46.</w:t>
      </w:r>
    </w:p>
  </w:footnote>
  <w:footnote w:id="6">
    <w:p w:rsidR="00E75713" w:rsidRPr="005608E0" w:rsidRDefault="00E75713">
      <w:pPr>
        <w:pStyle w:val="Footnote"/>
        <w:rPr>
          <w:sz w:val="20"/>
        </w:rPr>
      </w:pPr>
      <w:r w:rsidRPr="005608E0">
        <w:rPr>
          <w:sz w:val="20"/>
        </w:rPr>
        <w:footnoteRef/>
      </w:r>
      <w:r w:rsidRPr="005608E0">
        <w:rPr>
          <w:sz w:val="20"/>
        </w:rPr>
        <w:tab/>
        <w:t xml:space="preserve">Thomas Aquinas, </w:t>
      </w:r>
      <w:r w:rsidR="00DB35D1">
        <w:rPr>
          <w:i/>
          <w:iCs/>
          <w:sz w:val="20"/>
        </w:rPr>
        <w:t xml:space="preserve">Super De </w:t>
      </w:r>
      <w:proofErr w:type="spellStart"/>
      <w:r w:rsidR="00DB35D1">
        <w:rPr>
          <w:i/>
          <w:iCs/>
          <w:sz w:val="20"/>
        </w:rPr>
        <w:t>Trinitate</w:t>
      </w:r>
      <w:proofErr w:type="spellEnd"/>
      <w:r w:rsidRPr="005608E0">
        <w:rPr>
          <w:i/>
          <w:iCs/>
          <w:sz w:val="20"/>
        </w:rPr>
        <w:t xml:space="preserve">, </w:t>
      </w:r>
      <w:r w:rsidRPr="005608E0">
        <w:rPr>
          <w:sz w:val="20"/>
        </w:rPr>
        <w:t xml:space="preserve">q. 5, a. 3, </w:t>
      </w:r>
      <w:proofErr w:type="spellStart"/>
      <w:r w:rsidRPr="005608E0">
        <w:rPr>
          <w:sz w:val="20"/>
        </w:rPr>
        <w:t>resp</w:t>
      </w:r>
      <w:proofErr w:type="spellEnd"/>
      <w:r w:rsidRPr="005608E0">
        <w:rPr>
          <w:sz w:val="20"/>
        </w:rPr>
        <w:t xml:space="preserve">; c.f., Jacques Maritain, </w:t>
      </w:r>
      <w:r w:rsidRPr="005608E0">
        <w:rPr>
          <w:i/>
          <w:iCs/>
          <w:sz w:val="20"/>
        </w:rPr>
        <w:t xml:space="preserve">Degrees of Knowledge </w:t>
      </w:r>
      <w:r w:rsidRPr="005608E0">
        <w:rPr>
          <w:sz w:val="20"/>
        </w:rPr>
        <w:t xml:space="preserve">(Notre Dame, IN: University of Notre Dame Press, 1995), </w:t>
      </w:r>
      <w:r w:rsidR="0056695A">
        <w:rPr>
          <w:sz w:val="20"/>
        </w:rPr>
        <w:t xml:space="preserve">pp. </w:t>
      </w:r>
      <w:r w:rsidRPr="005608E0">
        <w:rPr>
          <w:sz w:val="20"/>
        </w:rPr>
        <w:t>39-40.</w:t>
      </w:r>
    </w:p>
  </w:footnote>
  <w:footnote w:id="7">
    <w:p w:rsidR="00E75713" w:rsidRPr="005608E0" w:rsidRDefault="00E75713">
      <w:pPr>
        <w:pStyle w:val="Footnote"/>
        <w:rPr>
          <w:sz w:val="20"/>
        </w:rPr>
      </w:pPr>
      <w:r w:rsidRPr="005608E0">
        <w:rPr>
          <w:sz w:val="20"/>
        </w:rPr>
        <w:footnoteRef/>
      </w:r>
      <w:r w:rsidRPr="005608E0">
        <w:rPr>
          <w:sz w:val="20"/>
        </w:rPr>
        <w:tab/>
        <w:t xml:space="preserve">John </w:t>
      </w:r>
      <w:proofErr w:type="spellStart"/>
      <w:r w:rsidRPr="005608E0">
        <w:rPr>
          <w:sz w:val="20"/>
        </w:rPr>
        <w:t>Wippel</w:t>
      </w:r>
      <w:proofErr w:type="spellEnd"/>
      <w:r w:rsidRPr="005608E0">
        <w:rPr>
          <w:sz w:val="20"/>
        </w:rPr>
        <w:t xml:space="preserve">, </w:t>
      </w:r>
      <w:r w:rsidRPr="005608E0">
        <w:rPr>
          <w:i/>
          <w:iCs/>
          <w:sz w:val="20"/>
        </w:rPr>
        <w:t xml:space="preserve">Metaphysical Thought of Thomas Aquinas </w:t>
      </w:r>
      <w:r w:rsidRPr="005608E0">
        <w:rPr>
          <w:sz w:val="20"/>
        </w:rPr>
        <w:t xml:space="preserve">(Washington, DC: Catholic University Press, 2000), </w:t>
      </w:r>
      <w:r w:rsidR="0056695A">
        <w:rPr>
          <w:sz w:val="20"/>
        </w:rPr>
        <w:t xml:space="preserve">pp. </w:t>
      </w:r>
      <w:r w:rsidRPr="005608E0">
        <w:rPr>
          <w:sz w:val="20"/>
        </w:rPr>
        <w:t xml:space="preserve">44-45. </w:t>
      </w:r>
    </w:p>
  </w:footnote>
  <w:footnote w:id="8">
    <w:p w:rsidR="00E75713" w:rsidRPr="005608E0" w:rsidRDefault="00E75713">
      <w:pPr>
        <w:pStyle w:val="Footnote"/>
        <w:rPr>
          <w:sz w:val="20"/>
        </w:rPr>
      </w:pPr>
      <w:r w:rsidRPr="005608E0">
        <w:rPr>
          <w:sz w:val="20"/>
        </w:rPr>
        <w:footnoteRef/>
      </w:r>
      <w:r w:rsidRPr="005608E0">
        <w:rPr>
          <w:sz w:val="20"/>
        </w:rPr>
        <w:tab/>
      </w:r>
      <w:proofErr w:type="spellStart"/>
      <w:r w:rsidR="0056695A">
        <w:rPr>
          <w:sz w:val="20"/>
        </w:rPr>
        <w:t>Wippel</w:t>
      </w:r>
      <w:proofErr w:type="spellEnd"/>
      <w:r w:rsidR="0056695A">
        <w:rPr>
          <w:sz w:val="20"/>
        </w:rPr>
        <w:t xml:space="preserve">, </w:t>
      </w:r>
      <w:r w:rsidR="0056695A">
        <w:rPr>
          <w:i/>
          <w:sz w:val="20"/>
        </w:rPr>
        <w:t xml:space="preserve">Metaphysical </w:t>
      </w:r>
      <w:proofErr w:type="gramStart"/>
      <w:r w:rsidR="0056695A">
        <w:rPr>
          <w:i/>
          <w:sz w:val="20"/>
        </w:rPr>
        <w:t>Thought</w:t>
      </w:r>
      <w:r w:rsidRPr="005608E0">
        <w:rPr>
          <w:sz w:val="20"/>
        </w:rPr>
        <w:t>,</w:t>
      </w:r>
      <w:proofErr w:type="gramEnd"/>
      <w:r w:rsidRPr="005608E0">
        <w:rPr>
          <w:sz w:val="20"/>
        </w:rPr>
        <w:t xml:space="preserve"> </w:t>
      </w:r>
      <w:r w:rsidR="0056695A">
        <w:rPr>
          <w:sz w:val="20"/>
        </w:rPr>
        <w:t xml:space="preserve">pp. </w:t>
      </w:r>
      <w:r w:rsidRPr="005608E0">
        <w:rPr>
          <w:sz w:val="20"/>
        </w:rPr>
        <w:t>48.</w:t>
      </w:r>
    </w:p>
  </w:footnote>
  <w:footnote w:id="9">
    <w:p w:rsidR="00CC543C" w:rsidRDefault="00CC543C">
      <w:pPr>
        <w:pStyle w:val="FootnoteText"/>
      </w:pPr>
      <w:r w:rsidRPr="00CC543C">
        <w:rPr>
          <w:rStyle w:val="FootnoteReference"/>
          <w:vertAlign w:val="baseline"/>
        </w:rPr>
        <w:footnoteRef/>
      </w:r>
      <w:r>
        <w:t xml:space="preserve">  </w:t>
      </w:r>
      <w:r w:rsidR="00DB05D2">
        <w:t xml:space="preserve">  </w:t>
      </w:r>
      <w:r w:rsidR="00726AFD">
        <w:t>This notion of the</w:t>
      </w:r>
      <w:r w:rsidR="00726AFD" w:rsidRPr="00FB65EC">
        <w:t xml:space="preserve"> act of being – </w:t>
      </w:r>
      <w:proofErr w:type="spellStart"/>
      <w:r w:rsidR="00726AFD" w:rsidRPr="00FB65EC">
        <w:rPr>
          <w:i/>
        </w:rPr>
        <w:t>esse</w:t>
      </w:r>
      <w:proofErr w:type="spellEnd"/>
      <w:r w:rsidR="00726AFD">
        <w:t xml:space="preserve"> – is the primary content</w:t>
      </w:r>
      <w:r w:rsidR="00726AFD" w:rsidRPr="00FB65EC">
        <w:t xml:space="preserve"> of the </w:t>
      </w:r>
      <w:r w:rsidR="00726AFD">
        <w:t>name</w:t>
      </w:r>
      <w:r w:rsidR="00726AFD" w:rsidRPr="00FB65EC">
        <w:t xml:space="preserve"> we will use to describe the divine nature</w:t>
      </w:r>
      <w:r w:rsidR="00726AFD">
        <w:t xml:space="preserve"> (</w:t>
      </w:r>
      <w:r w:rsidR="00956DD4">
        <w:t>‘</w:t>
      </w:r>
      <w:r w:rsidR="00726AFD">
        <w:t>Qui Est</w:t>
      </w:r>
      <w:r w:rsidR="00956DD4">
        <w:t>’</w:t>
      </w:r>
      <w:r w:rsidR="00726AFD">
        <w:t>)</w:t>
      </w:r>
      <w:r w:rsidR="00726AFD" w:rsidRPr="00FB65EC">
        <w:t xml:space="preserve">, but it also seems to me that our language must always straddle the distinction between the two poles of considering God both as pure </w:t>
      </w:r>
      <w:proofErr w:type="spellStart"/>
      <w:r w:rsidR="00726AFD" w:rsidRPr="00726AFD">
        <w:rPr>
          <w:i/>
        </w:rPr>
        <w:t>esse</w:t>
      </w:r>
      <w:proofErr w:type="spellEnd"/>
      <w:r w:rsidR="00726AFD" w:rsidRPr="00FB65EC">
        <w:t xml:space="preserve"> and as a concrete subject of that act, or as an </w:t>
      </w:r>
      <w:proofErr w:type="spellStart"/>
      <w:r w:rsidR="00726AFD" w:rsidRPr="00726AFD">
        <w:rPr>
          <w:i/>
        </w:rPr>
        <w:t>ens</w:t>
      </w:r>
      <w:r w:rsidR="00726AFD" w:rsidRPr="00FB65EC">
        <w:t>.</w:t>
      </w:r>
      <w:proofErr w:type="spellEnd"/>
      <w:r w:rsidR="00726AFD">
        <w:t xml:space="preserve"> </w:t>
      </w:r>
      <w:r w:rsidRPr="00FB65EC">
        <w:t xml:space="preserve">This is what I will argue for later in this paper which, following Eleonore </w:t>
      </w:r>
      <w:proofErr w:type="gramStart"/>
      <w:r w:rsidRPr="00FB65EC">
        <w:t>Stump,</w:t>
      </w:r>
      <w:proofErr w:type="gramEnd"/>
      <w:r w:rsidRPr="00FB65EC">
        <w:t xml:space="preserve"> I am calling a version of </w:t>
      </w:r>
      <w:r w:rsidR="00956DD4">
        <w:t>‘</w:t>
      </w:r>
      <w:r w:rsidRPr="00FB65EC">
        <w:t>quantum theology.</w:t>
      </w:r>
      <w:r w:rsidR="00956DD4">
        <w:t>’</w:t>
      </w:r>
    </w:p>
  </w:footnote>
  <w:footnote w:id="10">
    <w:p w:rsidR="00CC543C" w:rsidRPr="00CC543C" w:rsidRDefault="00CC543C">
      <w:pPr>
        <w:pStyle w:val="FootnoteText"/>
      </w:pPr>
      <w:r w:rsidRPr="00CC543C">
        <w:rPr>
          <w:rStyle w:val="FootnoteReference"/>
          <w:vertAlign w:val="baseline"/>
        </w:rPr>
        <w:footnoteRef/>
      </w:r>
      <w:r w:rsidRPr="00CC543C">
        <w:t xml:space="preserve">  </w:t>
      </w:r>
      <w:proofErr w:type="spellStart"/>
      <w:r w:rsidR="0056695A">
        <w:t>Wippel</w:t>
      </w:r>
      <w:proofErr w:type="spellEnd"/>
      <w:r w:rsidR="0056695A">
        <w:t xml:space="preserve">, </w:t>
      </w:r>
      <w:r w:rsidR="0056695A">
        <w:rPr>
          <w:i/>
        </w:rPr>
        <w:t xml:space="preserve">Metaphysical </w:t>
      </w:r>
      <w:proofErr w:type="gramStart"/>
      <w:r w:rsidR="0056695A">
        <w:rPr>
          <w:i/>
        </w:rPr>
        <w:t>Thought</w:t>
      </w:r>
      <w:r w:rsidRPr="00CC543C">
        <w:t>,</w:t>
      </w:r>
      <w:proofErr w:type="gramEnd"/>
      <w:r w:rsidRPr="00CC543C">
        <w:t xml:space="preserve"> </w:t>
      </w:r>
      <w:r w:rsidR="0056695A">
        <w:t xml:space="preserve">p. </w:t>
      </w:r>
      <w:r w:rsidRPr="00CC543C">
        <w:t xml:space="preserve">47. </w:t>
      </w:r>
    </w:p>
  </w:footnote>
  <w:footnote w:id="11">
    <w:p w:rsidR="00E75713" w:rsidRPr="005608E0" w:rsidRDefault="00E75713">
      <w:pPr>
        <w:pStyle w:val="Footnote"/>
        <w:rPr>
          <w:sz w:val="20"/>
        </w:rPr>
      </w:pPr>
      <w:r w:rsidRPr="005608E0">
        <w:rPr>
          <w:sz w:val="20"/>
        </w:rPr>
        <w:footnoteRef/>
      </w:r>
      <w:r w:rsidRPr="005608E0">
        <w:rPr>
          <w:sz w:val="20"/>
        </w:rPr>
        <w:tab/>
        <w:t xml:space="preserve">Thomas Aquinas, </w:t>
      </w:r>
      <w:r w:rsidRPr="005608E0">
        <w:rPr>
          <w:i/>
          <w:iCs/>
          <w:sz w:val="20"/>
        </w:rPr>
        <w:t>Summa Contra Gentiles</w:t>
      </w:r>
      <w:r w:rsidRPr="005608E0">
        <w:rPr>
          <w:sz w:val="20"/>
        </w:rPr>
        <w:t xml:space="preserve"> I.25.6. </w:t>
      </w:r>
    </w:p>
  </w:footnote>
  <w:footnote w:id="12">
    <w:p w:rsidR="00E75713" w:rsidRPr="005608E0" w:rsidRDefault="00E75713" w:rsidP="000A49D7">
      <w:pPr>
        <w:pStyle w:val="FootnoteText"/>
        <w:rPr>
          <w:rStyle w:val="FootnoteCharacters"/>
        </w:rPr>
      </w:pPr>
      <w:r w:rsidRPr="005608E0">
        <w:rPr>
          <w:rStyle w:val="FootnoteCharacters"/>
        </w:rPr>
        <w:footnoteRef/>
      </w:r>
      <w:r w:rsidRPr="005608E0">
        <w:rPr>
          <w:rStyle w:val="FootnoteCharacters"/>
        </w:rPr>
        <w:t xml:space="preserve">  </w:t>
      </w:r>
      <w:r w:rsidRPr="005608E0">
        <w:t xml:space="preserve">The terms originate with Cornelio </w:t>
      </w:r>
      <w:proofErr w:type="spellStart"/>
      <w:r w:rsidRPr="005608E0">
        <w:t>Fabro</w:t>
      </w:r>
      <w:proofErr w:type="spellEnd"/>
      <w:r w:rsidRPr="005608E0">
        <w:t xml:space="preserve">; c.f., </w:t>
      </w:r>
      <w:r w:rsidRPr="005608E0">
        <w:rPr>
          <w:rFonts w:cs="Times New Roman"/>
          <w:i/>
          <w:iCs/>
          <w:color w:val="auto"/>
          <w:szCs w:val="20"/>
          <w:shd w:val="clear" w:color="auto" w:fill="FFFFFF"/>
        </w:rPr>
        <w:t>The Metaphysical Notion of Participation according to St. Thomas Aquinas</w:t>
      </w:r>
      <w:r w:rsidRPr="005608E0">
        <w:rPr>
          <w:rFonts w:cs="Times New Roman"/>
          <w:color w:val="auto"/>
          <w:szCs w:val="20"/>
          <w:shd w:val="clear" w:color="auto" w:fill="FFFFFF"/>
        </w:rPr>
        <w:t xml:space="preserve">, </w:t>
      </w:r>
      <w:proofErr w:type="spellStart"/>
      <w:r w:rsidRPr="005608E0">
        <w:rPr>
          <w:rFonts w:cs="Times New Roman"/>
          <w:color w:val="auto"/>
          <w:szCs w:val="20"/>
          <w:shd w:val="clear" w:color="auto" w:fill="FFFFFF"/>
        </w:rPr>
        <w:t>Edizioni</w:t>
      </w:r>
      <w:proofErr w:type="spellEnd"/>
      <w:r w:rsidRPr="005608E0">
        <w:rPr>
          <w:rFonts w:cs="Times New Roman"/>
          <w:color w:val="auto"/>
          <w:szCs w:val="20"/>
          <w:shd w:val="clear" w:color="auto" w:fill="FFFFFF"/>
        </w:rPr>
        <w:t xml:space="preserve"> </w:t>
      </w:r>
      <w:proofErr w:type="spellStart"/>
      <w:r w:rsidRPr="005608E0">
        <w:rPr>
          <w:rFonts w:cs="Times New Roman"/>
          <w:color w:val="auto"/>
          <w:szCs w:val="20"/>
          <w:shd w:val="clear" w:color="auto" w:fill="FFFFFF"/>
        </w:rPr>
        <w:t>Scientifiche</w:t>
      </w:r>
      <w:proofErr w:type="spellEnd"/>
      <w:r w:rsidRPr="005608E0">
        <w:rPr>
          <w:rFonts w:cs="Times New Roman"/>
          <w:color w:val="auto"/>
          <w:szCs w:val="20"/>
          <w:shd w:val="clear" w:color="auto" w:fill="FFFFFF"/>
        </w:rPr>
        <w:t xml:space="preserve"> </w:t>
      </w:r>
      <w:proofErr w:type="spellStart"/>
      <w:r w:rsidRPr="005608E0">
        <w:rPr>
          <w:rFonts w:cs="Times New Roman"/>
          <w:color w:val="auto"/>
          <w:szCs w:val="20"/>
          <w:shd w:val="clear" w:color="auto" w:fill="FFFFFF"/>
        </w:rPr>
        <w:t>Italiane</w:t>
      </w:r>
      <w:proofErr w:type="spellEnd"/>
      <w:r w:rsidRPr="005608E0">
        <w:rPr>
          <w:rFonts w:cs="Times New Roman"/>
          <w:color w:val="auto"/>
          <w:szCs w:val="20"/>
          <w:shd w:val="clear" w:color="auto" w:fill="FFFFFF"/>
        </w:rPr>
        <w:t xml:space="preserve"> (Turin, 1939).</w:t>
      </w:r>
    </w:p>
  </w:footnote>
  <w:footnote w:id="13">
    <w:p w:rsidR="00E75713" w:rsidRPr="005608E0" w:rsidRDefault="00E75713">
      <w:pPr>
        <w:pStyle w:val="Footnote"/>
        <w:rPr>
          <w:sz w:val="20"/>
        </w:rPr>
      </w:pPr>
      <w:r w:rsidRPr="005608E0">
        <w:rPr>
          <w:sz w:val="20"/>
        </w:rPr>
        <w:footnoteRef/>
      </w:r>
      <w:r w:rsidRPr="005608E0">
        <w:rPr>
          <w:sz w:val="20"/>
        </w:rPr>
        <w:tab/>
        <w:t xml:space="preserve">Thomas Aquinas, </w:t>
      </w:r>
      <w:proofErr w:type="spellStart"/>
      <w:r w:rsidRPr="005608E0">
        <w:rPr>
          <w:i/>
          <w:iCs/>
          <w:sz w:val="20"/>
        </w:rPr>
        <w:t>Sententia</w:t>
      </w:r>
      <w:proofErr w:type="spellEnd"/>
      <w:r w:rsidRPr="005608E0">
        <w:rPr>
          <w:i/>
          <w:iCs/>
          <w:sz w:val="20"/>
        </w:rPr>
        <w:t xml:space="preserve"> </w:t>
      </w:r>
      <w:proofErr w:type="spellStart"/>
      <w:r w:rsidRPr="005608E0">
        <w:rPr>
          <w:i/>
          <w:iCs/>
          <w:sz w:val="20"/>
        </w:rPr>
        <w:t>Libri</w:t>
      </w:r>
      <w:proofErr w:type="spellEnd"/>
      <w:r w:rsidRPr="005608E0">
        <w:rPr>
          <w:i/>
          <w:iCs/>
          <w:sz w:val="20"/>
        </w:rPr>
        <w:t xml:space="preserve"> </w:t>
      </w:r>
      <w:proofErr w:type="spellStart"/>
      <w:r w:rsidRPr="005608E0">
        <w:rPr>
          <w:i/>
          <w:iCs/>
          <w:sz w:val="20"/>
        </w:rPr>
        <w:t>Metaphysicae</w:t>
      </w:r>
      <w:proofErr w:type="spellEnd"/>
      <w:r w:rsidRPr="005608E0">
        <w:rPr>
          <w:i/>
          <w:iCs/>
          <w:sz w:val="20"/>
        </w:rPr>
        <w:t xml:space="preserve">, </w:t>
      </w:r>
      <w:r w:rsidRPr="005608E0">
        <w:rPr>
          <w:sz w:val="20"/>
        </w:rPr>
        <w:t xml:space="preserve">bk. V, </w:t>
      </w:r>
      <w:proofErr w:type="spellStart"/>
      <w:r w:rsidRPr="005608E0">
        <w:rPr>
          <w:sz w:val="20"/>
        </w:rPr>
        <w:t>lec</w:t>
      </w:r>
      <w:proofErr w:type="spellEnd"/>
      <w:r w:rsidRPr="005608E0">
        <w:rPr>
          <w:sz w:val="20"/>
        </w:rPr>
        <w:t xml:space="preserve">. </w:t>
      </w:r>
      <w:proofErr w:type="gramStart"/>
      <w:r w:rsidRPr="005608E0">
        <w:rPr>
          <w:sz w:val="20"/>
        </w:rPr>
        <w:t>9, n. 891.</w:t>
      </w:r>
      <w:proofErr w:type="gramEnd"/>
    </w:p>
  </w:footnote>
  <w:footnote w:id="14">
    <w:p w:rsidR="00E75713" w:rsidRPr="005608E0" w:rsidRDefault="00E75713">
      <w:pPr>
        <w:pStyle w:val="Footnote"/>
        <w:rPr>
          <w:sz w:val="20"/>
        </w:rPr>
      </w:pPr>
      <w:r w:rsidRPr="005608E0">
        <w:rPr>
          <w:sz w:val="20"/>
        </w:rPr>
        <w:footnoteRef/>
      </w:r>
      <w:r w:rsidRPr="005608E0">
        <w:rPr>
          <w:sz w:val="20"/>
        </w:rPr>
        <w:tab/>
      </w:r>
      <w:proofErr w:type="spellStart"/>
      <w:r w:rsidR="0056695A">
        <w:rPr>
          <w:sz w:val="20"/>
        </w:rPr>
        <w:t>Wippel</w:t>
      </w:r>
      <w:proofErr w:type="spellEnd"/>
      <w:r w:rsidR="0056695A">
        <w:rPr>
          <w:sz w:val="20"/>
        </w:rPr>
        <w:t xml:space="preserve">, </w:t>
      </w:r>
      <w:r w:rsidR="0056695A">
        <w:rPr>
          <w:i/>
          <w:sz w:val="20"/>
        </w:rPr>
        <w:t xml:space="preserve">Metaphysical </w:t>
      </w:r>
      <w:proofErr w:type="gramStart"/>
      <w:r w:rsidR="0056695A">
        <w:rPr>
          <w:i/>
          <w:sz w:val="20"/>
        </w:rPr>
        <w:t>Thought</w:t>
      </w:r>
      <w:r w:rsidRPr="0056695A">
        <w:rPr>
          <w:iCs/>
          <w:sz w:val="20"/>
        </w:rPr>
        <w:t>,</w:t>
      </w:r>
      <w:proofErr w:type="gramEnd"/>
      <w:r w:rsidRPr="0056695A">
        <w:rPr>
          <w:iCs/>
          <w:sz w:val="20"/>
        </w:rPr>
        <w:t xml:space="preserve"> </w:t>
      </w:r>
      <w:r w:rsidR="0056695A" w:rsidRPr="0056695A">
        <w:rPr>
          <w:iCs/>
          <w:sz w:val="20"/>
        </w:rPr>
        <w:t xml:space="preserve">p. </w:t>
      </w:r>
      <w:r w:rsidRPr="0056695A">
        <w:rPr>
          <w:sz w:val="20"/>
        </w:rPr>
        <w:t>54</w:t>
      </w:r>
      <w:r w:rsidRPr="005608E0">
        <w:rPr>
          <w:sz w:val="20"/>
        </w:rPr>
        <w:t xml:space="preserve">. cf., </w:t>
      </w:r>
      <w:r w:rsidR="0023128C">
        <w:rPr>
          <w:sz w:val="20"/>
        </w:rPr>
        <w:t xml:space="preserve">Aquinas, </w:t>
      </w:r>
      <w:proofErr w:type="spellStart"/>
      <w:r w:rsidRPr="005608E0">
        <w:rPr>
          <w:i/>
          <w:iCs/>
          <w:sz w:val="20"/>
        </w:rPr>
        <w:t>Sententia</w:t>
      </w:r>
      <w:proofErr w:type="spellEnd"/>
      <w:r w:rsidRPr="005608E0">
        <w:rPr>
          <w:i/>
          <w:iCs/>
          <w:sz w:val="20"/>
        </w:rPr>
        <w:t xml:space="preserve"> </w:t>
      </w:r>
      <w:proofErr w:type="spellStart"/>
      <w:r w:rsidRPr="005608E0">
        <w:rPr>
          <w:i/>
          <w:iCs/>
          <w:sz w:val="20"/>
        </w:rPr>
        <w:t>Libri</w:t>
      </w:r>
      <w:proofErr w:type="spellEnd"/>
      <w:r w:rsidRPr="005608E0">
        <w:rPr>
          <w:i/>
          <w:iCs/>
          <w:sz w:val="20"/>
        </w:rPr>
        <w:t xml:space="preserve"> </w:t>
      </w:r>
      <w:proofErr w:type="spellStart"/>
      <w:r w:rsidRPr="005608E0">
        <w:rPr>
          <w:i/>
          <w:iCs/>
          <w:sz w:val="20"/>
        </w:rPr>
        <w:t>Metaphysicae</w:t>
      </w:r>
      <w:proofErr w:type="spellEnd"/>
      <w:r w:rsidRPr="005608E0">
        <w:rPr>
          <w:i/>
          <w:iCs/>
          <w:sz w:val="20"/>
        </w:rPr>
        <w:t>,</w:t>
      </w:r>
      <w:r w:rsidRPr="005608E0">
        <w:rPr>
          <w:sz w:val="20"/>
        </w:rPr>
        <w:t xml:space="preserve"> </w:t>
      </w:r>
      <w:proofErr w:type="gramStart"/>
      <w:r w:rsidRPr="005608E0">
        <w:rPr>
          <w:sz w:val="20"/>
        </w:rPr>
        <w:t>bk</w:t>
      </w:r>
      <w:proofErr w:type="gramEnd"/>
      <w:r w:rsidRPr="005608E0">
        <w:rPr>
          <w:sz w:val="20"/>
        </w:rPr>
        <w:t xml:space="preserve">. 4, </w:t>
      </w:r>
      <w:proofErr w:type="spellStart"/>
      <w:r w:rsidRPr="005608E0">
        <w:rPr>
          <w:sz w:val="20"/>
        </w:rPr>
        <w:t>lec</w:t>
      </w:r>
      <w:proofErr w:type="spellEnd"/>
      <w:r w:rsidRPr="005608E0">
        <w:rPr>
          <w:sz w:val="20"/>
        </w:rPr>
        <w:t xml:space="preserve">. </w:t>
      </w:r>
      <w:proofErr w:type="gramStart"/>
      <w:r w:rsidRPr="005608E0">
        <w:rPr>
          <w:sz w:val="20"/>
        </w:rPr>
        <w:t>1, n. 533.</w:t>
      </w:r>
      <w:proofErr w:type="gramEnd"/>
    </w:p>
  </w:footnote>
  <w:footnote w:id="15">
    <w:p w:rsidR="00E75713" w:rsidRPr="005608E0" w:rsidRDefault="00E75713">
      <w:pPr>
        <w:pStyle w:val="Footnote"/>
        <w:rPr>
          <w:sz w:val="20"/>
        </w:rPr>
      </w:pPr>
      <w:r w:rsidRPr="005608E0">
        <w:rPr>
          <w:sz w:val="20"/>
        </w:rPr>
        <w:footnoteRef/>
      </w:r>
      <w:r w:rsidRPr="005608E0">
        <w:rPr>
          <w:sz w:val="20"/>
        </w:rPr>
        <w:tab/>
      </w:r>
      <w:proofErr w:type="spellStart"/>
      <w:r w:rsidR="00DB05D2">
        <w:rPr>
          <w:sz w:val="20"/>
        </w:rPr>
        <w:t>Sokolowski</w:t>
      </w:r>
      <w:proofErr w:type="spellEnd"/>
      <w:r w:rsidR="00DB05D2">
        <w:rPr>
          <w:sz w:val="20"/>
        </w:rPr>
        <w:t xml:space="preserve"> is commenting from a phenomenological perspective on </w:t>
      </w:r>
      <w:proofErr w:type="spellStart"/>
      <w:r w:rsidR="00DB05D2">
        <w:rPr>
          <w:sz w:val="20"/>
        </w:rPr>
        <w:t>Wippel’s</w:t>
      </w:r>
      <w:proofErr w:type="spellEnd"/>
      <w:r w:rsidR="00DB05D2">
        <w:rPr>
          <w:sz w:val="20"/>
        </w:rPr>
        <w:t xml:space="preserve"> distinctions, so the distinction is directly relevant; </w:t>
      </w:r>
      <w:r w:rsidRPr="005608E0">
        <w:rPr>
          <w:sz w:val="20"/>
        </w:rPr>
        <w:t xml:space="preserve">Robert </w:t>
      </w:r>
      <w:proofErr w:type="spellStart"/>
      <w:r w:rsidRPr="005608E0">
        <w:rPr>
          <w:sz w:val="20"/>
        </w:rPr>
        <w:t>Sokolowski</w:t>
      </w:r>
      <w:proofErr w:type="spellEnd"/>
      <w:r w:rsidRPr="005608E0">
        <w:rPr>
          <w:sz w:val="20"/>
        </w:rPr>
        <w:t xml:space="preserve"> </w:t>
      </w:r>
      <w:r w:rsidR="00956DD4">
        <w:rPr>
          <w:sz w:val="20"/>
        </w:rPr>
        <w:t>‘</w:t>
      </w:r>
      <w:r w:rsidRPr="005608E0">
        <w:rPr>
          <w:sz w:val="20"/>
        </w:rPr>
        <w:t xml:space="preserve">The Science of Being as Being in Aristotle, Aquinas, and </w:t>
      </w:r>
      <w:proofErr w:type="spellStart"/>
      <w:r w:rsidRPr="005608E0">
        <w:rPr>
          <w:sz w:val="20"/>
        </w:rPr>
        <w:t>Wippel</w:t>
      </w:r>
      <w:proofErr w:type="spellEnd"/>
      <w:r w:rsidR="0056695A">
        <w:rPr>
          <w:sz w:val="20"/>
        </w:rPr>
        <w:t>’,</w:t>
      </w:r>
      <w:r w:rsidRPr="005608E0">
        <w:rPr>
          <w:sz w:val="20"/>
        </w:rPr>
        <w:t xml:space="preserve"> in </w:t>
      </w:r>
      <w:r w:rsidRPr="005608E0">
        <w:rPr>
          <w:i/>
          <w:iCs/>
          <w:sz w:val="20"/>
        </w:rPr>
        <w:t>Science of Being as Being,</w:t>
      </w:r>
      <w:r w:rsidRPr="005608E0">
        <w:rPr>
          <w:sz w:val="20"/>
        </w:rPr>
        <w:t xml:space="preserve"> ed., </w:t>
      </w:r>
      <w:proofErr w:type="spellStart"/>
      <w:r w:rsidRPr="005608E0">
        <w:rPr>
          <w:sz w:val="20"/>
        </w:rPr>
        <w:t>Doolan</w:t>
      </w:r>
      <w:proofErr w:type="spellEnd"/>
      <w:r w:rsidRPr="005608E0">
        <w:rPr>
          <w:sz w:val="20"/>
        </w:rPr>
        <w:t xml:space="preserve"> (Washington, DC: CUA Press, 2012), </w:t>
      </w:r>
      <w:r w:rsidR="0056695A">
        <w:rPr>
          <w:sz w:val="20"/>
        </w:rPr>
        <w:t xml:space="preserve">pp. </w:t>
      </w:r>
      <w:r w:rsidRPr="005608E0">
        <w:rPr>
          <w:sz w:val="20"/>
        </w:rPr>
        <w:t xml:space="preserve">14-16. </w:t>
      </w:r>
    </w:p>
  </w:footnote>
  <w:footnote w:id="16">
    <w:p w:rsidR="00E75713" w:rsidRPr="005608E0" w:rsidRDefault="00E75713">
      <w:pPr>
        <w:pStyle w:val="Footnote"/>
        <w:rPr>
          <w:sz w:val="20"/>
        </w:rPr>
      </w:pPr>
      <w:r w:rsidRPr="008048F8">
        <w:rPr>
          <w:iCs/>
          <w:sz w:val="20"/>
        </w:rPr>
        <w:footnoteRef/>
      </w:r>
      <w:r w:rsidRPr="005608E0">
        <w:rPr>
          <w:i/>
          <w:iCs/>
          <w:sz w:val="20"/>
        </w:rPr>
        <w:tab/>
      </w:r>
      <w:proofErr w:type="spellStart"/>
      <w:r w:rsidRPr="005608E0">
        <w:rPr>
          <w:i/>
          <w:iCs/>
          <w:sz w:val="20"/>
        </w:rPr>
        <w:t>Sententia</w:t>
      </w:r>
      <w:proofErr w:type="spellEnd"/>
      <w:r w:rsidRPr="005608E0">
        <w:rPr>
          <w:i/>
          <w:iCs/>
          <w:sz w:val="20"/>
        </w:rPr>
        <w:t xml:space="preserve"> </w:t>
      </w:r>
      <w:proofErr w:type="spellStart"/>
      <w:r w:rsidRPr="005608E0">
        <w:rPr>
          <w:i/>
          <w:iCs/>
          <w:sz w:val="20"/>
        </w:rPr>
        <w:t>Libri</w:t>
      </w:r>
      <w:proofErr w:type="spellEnd"/>
      <w:r w:rsidRPr="005608E0">
        <w:rPr>
          <w:i/>
          <w:iCs/>
          <w:sz w:val="20"/>
        </w:rPr>
        <w:t xml:space="preserve"> </w:t>
      </w:r>
      <w:proofErr w:type="spellStart"/>
      <w:r w:rsidRPr="005608E0">
        <w:rPr>
          <w:i/>
          <w:iCs/>
          <w:sz w:val="20"/>
        </w:rPr>
        <w:t>Metaphysicae</w:t>
      </w:r>
      <w:proofErr w:type="spellEnd"/>
      <w:r w:rsidRPr="005608E0">
        <w:rPr>
          <w:i/>
          <w:iCs/>
          <w:sz w:val="20"/>
        </w:rPr>
        <w:t xml:space="preserve">, </w:t>
      </w:r>
      <w:r w:rsidRPr="005608E0">
        <w:rPr>
          <w:sz w:val="20"/>
        </w:rPr>
        <w:t xml:space="preserve">bk. V, </w:t>
      </w:r>
      <w:proofErr w:type="spellStart"/>
      <w:r w:rsidRPr="005608E0">
        <w:rPr>
          <w:sz w:val="20"/>
        </w:rPr>
        <w:t>lec</w:t>
      </w:r>
      <w:proofErr w:type="spellEnd"/>
      <w:r w:rsidRPr="005608E0">
        <w:rPr>
          <w:sz w:val="20"/>
        </w:rPr>
        <w:t xml:space="preserve">. </w:t>
      </w:r>
      <w:proofErr w:type="gramStart"/>
      <w:r w:rsidRPr="005608E0">
        <w:rPr>
          <w:sz w:val="20"/>
        </w:rPr>
        <w:t>9, n. 891.</w:t>
      </w:r>
      <w:proofErr w:type="gramEnd"/>
      <w:r w:rsidRPr="005608E0">
        <w:rPr>
          <w:sz w:val="20"/>
        </w:rPr>
        <w:t xml:space="preserve"> cf., </w:t>
      </w:r>
      <w:proofErr w:type="spellStart"/>
      <w:r w:rsidR="0056695A">
        <w:rPr>
          <w:sz w:val="20"/>
        </w:rPr>
        <w:t>Wippel</w:t>
      </w:r>
      <w:proofErr w:type="spellEnd"/>
      <w:r w:rsidR="0056695A">
        <w:rPr>
          <w:sz w:val="20"/>
        </w:rPr>
        <w:t xml:space="preserve">, </w:t>
      </w:r>
      <w:r w:rsidR="0056695A">
        <w:rPr>
          <w:i/>
          <w:sz w:val="20"/>
        </w:rPr>
        <w:t>Metaphysical Thought</w:t>
      </w:r>
      <w:r w:rsidRPr="005608E0">
        <w:rPr>
          <w:sz w:val="20"/>
        </w:rPr>
        <w:t xml:space="preserve">, </w:t>
      </w:r>
      <w:proofErr w:type="gramStart"/>
      <w:r w:rsidR="0056695A">
        <w:rPr>
          <w:sz w:val="20"/>
        </w:rPr>
        <w:t>p</w:t>
      </w:r>
      <w:proofErr w:type="gramEnd"/>
      <w:r w:rsidR="0056695A">
        <w:rPr>
          <w:sz w:val="20"/>
        </w:rPr>
        <w:t xml:space="preserve">. </w:t>
      </w:r>
      <w:r w:rsidRPr="005608E0">
        <w:rPr>
          <w:sz w:val="20"/>
        </w:rPr>
        <w:t xml:space="preserve">222. </w:t>
      </w:r>
    </w:p>
  </w:footnote>
  <w:footnote w:id="17">
    <w:p w:rsidR="00E75713" w:rsidRPr="005608E0" w:rsidRDefault="00E75713">
      <w:pPr>
        <w:pStyle w:val="Footnote"/>
        <w:rPr>
          <w:sz w:val="20"/>
        </w:rPr>
      </w:pPr>
      <w:r w:rsidRPr="005608E0">
        <w:rPr>
          <w:sz w:val="20"/>
        </w:rPr>
        <w:footnoteRef/>
      </w:r>
      <w:r w:rsidRPr="005608E0">
        <w:rPr>
          <w:sz w:val="20"/>
        </w:rPr>
        <w:tab/>
      </w:r>
      <w:proofErr w:type="spellStart"/>
      <w:r w:rsidR="0056695A">
        <w:rPr>
          <w:sz w:val="20"/>
        </w:rPr>
        <w:t>Wippel</w:t>
      </w:r>
      <w:proofErr w:type="spellEnd"/>
      <w:r w:rsidR="0056695A">
        <w:rPr>
          <w:sz w:val="20"/>
        </w:rPr>
        <w:t xml:space="preserve">, </w:t>
      </w:r>
      <w:r w:rsidR="0056695A">
        <w:rPr>
          <w:i/>
          <w:sz w:val="20"/>
        </w:rPr>
        <w:t xml:space="preserve">Metaphysical </w:t>
      </w:r>
      <w:proofErr w:type="gramStart"/>
      <w:r w:rsidR="0056695A">
        <w:rPr>
          <w:i/>
          <w:sz w:val="20"/>
        </w:rPr>
        <w:t>Thought</w:t>
      </w:r>
      <w:r w:rsidRPr="005608E0">
        <w:rPr>
          <w:sz w:val="20"/>
        </w:rPr>
        <w:t>,</w:t>
      </w:r>
      <w:proofErr w:type="gramEnd"/>
      <w:r w:rsidRPr="005608E0">
        <w:rPr>
          <w:sz w:val="20"/>
        </w:rPr>
        <w:t xml:space="preserve"> </w:t>
      </w:r>
      <w:r w:rsidR="0056695A">
        <w:rPr>
          <w:sz w:val="20"/>
        </w:rPr>
        <w:t xml:space="preserve">p. </w:t>
      </w:r>
      <w:r w:rsidRPr="005608E0">
        <w:rPr>
          <w:sz w:val="20"/>
        </w:rPr>
        <w:t xml:space="preserve">76. </w:t>
      </w:r>
    </w:p>
  </w:footnote>
  <w:footnote w:id="18">
    <w:p w:rsidR="00E75713" w:rsidRPr="005608E0" w:rsidRDefault="00E75713">
      <w:pPr>
        <w:pStyle w:val="Footnote"/>
        <w:rPr>
          <w:sz w:val="20"/>
        </w:rPr>
      </w:pPr>
      <w:r w:rsidRPr="005608E0">
        <w:rPr>
          <w:sz w:val="20"/>
        </w:rPr>
        <w:footnoteRef/>
      </w:r>
      <w:r w:rsidRPr="005608E0">
        <w:rPr>
          <w:sz w:val="20"/>
        </w:rPr>
        <w:tab/>
      </w:r>
      <w:proofErr w:type="spellStart"/>
      <w:r w:rsidR="0056695A">
        <w:rPr>
          <w:sz w:val="20"/>
        </w:rPr>
        <w:t>Wippel</w:t>
      </w:r>
      <w:proofErr w:type="spellEnd"/>
      <w:r w:rsidR="0056695A">
        <w:rPr>
          <w:sz w:val="20"/>
        </w:rPr>
        <w:t xml:space="preserve">, </w:t>
      </w:r>
      <w:r w:rsidR="0056695A">
        <w:rPr>
          <w:i/>
          <w:sz w:val="20"/>
        </w:rPr>
        <w:t xml:space="preserve">Metaphysical </w:t>
      </w:r>
      <w:proofErr w:type="gramStart"/>
      <w:r w:rsidR="0056695A">
        <w:rPr>
          <w:i/>
          <w:sz w:val="20"/>
        </w:rPr>
        <w:t>Thought</w:t>
      </w:r>
      <w:r w:rsidR="0056695A" w:rsidRPr="005608E0">
        <w:rPr>
          <w:sz w:val="20"/>
        </w:rPr>
        <w:t>,</w:t>
      </w:r>
      <w:proofErr w:type="gramEnd"/>
      <w:r w:rsidRPr="005608E0">
        <w:rPr>
          <w:sz w:val="20"/>
        </w:rPr>
        <w:t xml:space="preserve"> </w:t>
      </w:r>
      <w:r w:rsidR="0056695A">
        <w:rPr>
          <w:sz w:val="20"/>
        </w:rPr>
        <w:t xml:space="preserve">pp. </w:t>
      </w:r>
      <w:r w:rsidRPr="005608E0">
        <w:rPr>
          <w:sz w:val="20"/>
        </w:rPr>
        <w:t xml:space="preserve">115-116. </w:t>
      </w:r>
    </w:p>
  </w:footnote>
  <w:footnote w:id="19">
    <w:p w:rsidR="00E75713" w:rsidRPr="005608E0" w:rsidRDefault="00E75713">
      <w:pPr>
        <w:pStyle w:val="Footnote"/>
        <w:rPr>
          <w:sz w:val="20"/>
        </w:rPr>
      </w:pPr>
      <w:r w:rsidRPr="005608E0">
        <w:rPr>
          <w:sz w:val="20"/>
        </w:rPr>
        <w:footnoteRef/>
      </w:r>
      <w:r w:rsidRPr="005608E0">
        <w:rPr>
          <w:sz w:val="20"/>
        </w:rPr>
        <w:tab/>
      </w:r>
      <w:proofErr w:type="spellStart"/>
      <w:r w:rsidR="0056695A">
        <w:rPr>
          <w:sz w:val="20"/>
        </w:rPr>
        <w:t>Wippel</w:t>
      </w:r>
      <w:proofErr w:type="spellEnd"/>
      <w:r w:rsidR="0056695A">
        <w:rPr>
          <w:sz w:val="20"/>
        </w:rPr>
        <w:t xml:space="preserve">, </w:t>
      </w:r>
      <w:r w:rsidR="0056695A">
        <w:rPr>
          <w:i/>
          <w:sz w:val="20"/>
        </w:rPr>
        <w:t>Metaphysical Thought</w:t>
      </w:r>
      <w:proofErr w:type="gramStart"/>
      <w:r w:rsidR="0056695A" w:rsidRPr="005608E0">
        <w:rPr>
          <w:sz w:val="20"/>
        </w:rPr>
        <w:t>,</w:t>
      </w:r>
      <w:r w:rsidRPr="005608E0">
        <w:rPr>
          <w:i/>
          <w:iCs/>
          <w:sz w:val="20"/>
        </w:rPr>
        <w:t>,</w:t>
      </w:r>
      <w:proofErr w:type="gramEnd"/>
      <w:r w:rsidRPr="005608E0">
        <w:rPr>
          <w:i/>
          <w:iCs/>
          <w:sz w:val="20"/>
        </w:rPr>
        <w:t xml:space="preserve"> </w:t>
      </w:r>
      <w:r w:rsidR="0056695A">
        <w:rPr>
          <w:sz w:val="20"/>
        </w:rPr>
        <w:t xml:space="preserve">pp. </w:t>
      </w:r>
      <w:r w:rsidRPr="005608E0">
        <w:rPr>
          <w:sz w:val="20"/>
        </w:rPr>
        <w:t xml:space="preserve">120-121. </w:t>
      </w:r>
    </w:p>
  </w:footnote>
  <w:footnote w:id="20">
    <w:p w:rsidR="00C152FB" w:rsidRPr="00C152FB" w:rsidRDefault="00C152FB">
      <w:pPr>
        <w:pStyle w:val="FootnoteText"/>
      </w:pPr>
      <w:r w:rsidRPr="00105824">
        <w:rPr>
          <w:rStyle w:val="FootnoteReference"/>
          <w:vertAlign w:val="baseline"/>
        </w:rPr>
        <w:footnoteRef/>
      </w:r>
      <w:r w:rsidR="00105824">
        <w:t xml:space="preserve">   </w:t>
      </w:r>
      <w:proofErr w:type="spellStart"/>
      <w:r>
        <w:t>Wippel</w:t>
      </w:r>
      <w:proofErr w:type="spellEnd"/>
      <w:r>
        <w:t xml:space="preserve"> provides a good discussion of how subsistent </w:t>
      </w:r>
      <w:proofErr w:type="spellStart"/>
      <w:r>
        <w:rPr>
          <w:i/>
        </w:rPr>
        <w:t>esse</w:t>
      </w:r>
      <w:proofErr w:type="spellEnd"/>
      <w:r>
        <w:rPr>
          <w:i/>
        </w:rPr>
        <w:t xml:space="preserve"> </w:t>
      </w:r>
      <w:r>
        <w:t xml:space="preserve">(God) does not fall under either </w:t>
      </w:r>
      <w:proofErr w:type="spellStart"/>
      <w:r>
        <w:rPr>
          <w:i/>
        </w:rPr>
        <w:t>esse</w:t>
      </w:r>
      <w:proofErr w:type="spellEnd"/>
      <w:r>
        <w:rPr>
          <w:i/>
        </w:rPr>
        <w:t xml:space="preserve"> commune </w:t>
      </w:r>
      <w:r>
        <w:t xml:space="preserve">or the slightly different </w:t>
      </w:r>
      <w:proofErr w:type="spellStart"/>
      <w:proofErr w:type="gramStart"/>
      <w:r>
        <w:rPr>
          <w:i/>
        </w:rPr>
        <w:t>ens</w:t>
      </w:r>
      <w:proofErr w:type="spellEnd"/>
      <w:proofErr w:type="gramEnd"/>
      <w:r>
        <w:rPr>
          <w:i/>
        </w:rPr>
        <w:t xml:space="preserve"> commune; </w:t>
      </w:r>
      <w:proofErr w:type="spellStart"/>
      <w:r w:rsidR="0056695A">
        <w:t>Wippel</w:t>
      </w:r>
      <w:proofErr w:type="spellEnd"/>
      <w:r w:rsidR="0056695A">
        <w:t xml:space="preserve">, </w:t>
      </w:r>
      <w:r w:rsidR="0056695A">
        <w:rPr>
          <w:i/>
        </w:rPr>
        <w:t>Metaphysical Thought</w:t>
      </w:r>
      <w:r w:rsidR="0056695A" w:rsidRPr="005608E0">
        <w:t>,</w:t>
      </w:r>
      <w:r>
        <w:t xml:space="preserve"> </w:t>
      </w:r>
      <w:r w:rsidR="0056695A">
        <w:t xml:space="preserve">p. </w:t>
      </w:r>
      <w:r>
        <w:t xml:space="preserve">123. </w:t>
      </w:r>
    </w:p>
  </w:footnote>
  <w:footnote w:id="21">
    <w:p w:rsidR="00E75713" w:rsidRPr="005608E0" w:rsidRDefault="00E75713">
      <w:pPr>
        <w:pStyle w:val="Footnote"/>
        <w:rPr>
          <w:sz w:val="20"/>
        </w:rPr>
      </w:pPr>
      <w:r w:rsidRPr="005608E0">
        <w:rPr>
          <w:sz w:val="20"/>
        </w:rPr>
        <w:footnoteRef/>
      </w:r>
      <w:r w:rsidRPr="005608E0">
        <w:rPr>
          <w:sz w:val="20"/>
        </w:rPr>
        <w:tab/>
        <w:t xml:space="preserve">For an extended discussion, see Thomas Joseph White, </w:t>
      </w:r>
      <w:r w:rsidRPr="005608E0">
        <w:rPr>
          <w:i/>
          <w:iCs/>
          <w:sz w:val="20"/>
        </w:rPr>
        <w:t xml:space="preserve">Wisdom in the Face of Modernity </w:t>
      </w:r>
      <w:r w:rsidRPr="005608E0">
        <w:rPr>
          <w:sz w:val="20"/>
        </w:rPr>
        <w:t xml:space="preserve">(Washington, DC: CUA Press, 2009), </w:t>
      </w:r>
      <w:r w:rsidR="0056695A">
        <w:rPr>
          <w:sz w:val="20"/>
        </w:rPr>
        <w:t xml:space="preserve">pp. </w:t>
      </w:r>
      <w:r w:rsidRPr="005608E0">
        <w:rPr>
          <w:sz w:val="20"/>
        </w:rPr>
        <w:t xml:space="preserve">90-94. </w:t>
      </w:r>
    </w:p>
  </w:footnote>
  <w:footnote w:id="22">
    <w:p w:rsidR="00E75713" w:rsidRPr="005608E0" w:rsidRDefault="00E75713">
      <w:pPr>
        <w:pStyle w:val="Footnote"/>
        <w:rPr>
          <w:sz w:val="20"/>
        </w:rPr>
      </w:pPr>
      <w:r w:rsidRPr="005608E0">
        <w:rPr>
          <w:sz w:val="20"/>
        </w:rPr>
        <w:footnoteRef/>
      </w:r>
      <w:r w:rsidRPr="005608E0">
        <w:rPr>
          <w:sz w:val="20"/>
        </w:rPr>
        <w:tab/>
      </w:r>
      <w:proofErr w:type="gramStart"/>
      <w:r w:rsidRPr="0023128C">
        <w:rPr>
          <w:i/>
          <w:sz w:val="20"/>
        </w:rPr>
        <w:t>ST</w:t>
      </w:r>
      <w:r w:rsidRPr="005608E0">
        <w:rPr>
          <w:sz w:val="20"/>
        </w:rPr>
        <w:t xml:space="preserve"> I q. 13, a. 2, resp.</w:t>
      </w:r>
      <w:proofErr w:type="gramEnd"/>
      <w:r w:rsidRPr="005608E0">
        <w:rPr>
          <w:sz w:val="20"/>
        </w:rPr>
        <w:t xml:space="preserve"> </w:t>
      </w:r>
    </w:p>
  </w:footnote>
  <w:footnote w:id="23">
    <w:p w:rsidR="00E75713" w:rsidRPr="005608E0" w:rsidRDefault="00E75713">
      <w:pPr>
        <w:pStyle w:val="Footnote"/>
        <w:rPr>
          <w:sz w:val="20"/>
        </w:rPr>
      </w:pPr>
      <w:r w:rsidRPr="005608E0">
        <w:rPr>
          <w:sz w:val="20"/>
        </w:rPr>
        <w:footnoteRef/>
      </w:r>
      <w:r w:rsidRPr="005608E0">
        <w:rPr>
          <w:sz w:val="20"/>
        </w:rPr>
        <w:tab/>
        <w:t xml:space="preserve">See </w:t>
      </w:r>
      <w:r w:rsidR="0023128C" w:rsidRPr="0023128C">
        <w:rPr>
          <w:i/>
          <w:sz w:val="20"/>
        </w:rPr>
        <w:t>ST</w:t>
      </w:r>
      <w:r w:rsidRPr="005608E0">
        <w:rPr>
          <w:sz w:val="20"/>
        </w:rPr>
        <w:t xml:space="preserve"> I q. 13, a. 12, resp. </w:t>
      </w:r>
    </w:p>
  </w:footnote>
  <w:footnote w:id="24">
    <w:p w:rsidR="00E75713" w:rsidRPr="005608E0" w:rsidRDefault="00E75713">
      <w:pPr>
        <w:pStyle w:val="FootnoteText"/>
      </w:pPr>
      <w:r w:rsidRPr="005608E0">
        <w:rPr>
          <w:rStyle w:val="FootnoteReference"/>
          <w:vertAlign w:val="baseline"/>
        </w:rPr>
        <w:footnoteRef/>
      </w:r>
      <w:r w:rsidRPr="005608E0">
        <w:t xml:space="preserve">  See, for example, John Milbank </w:t>
      </w:r>
      <w:r w:rsidR="00956DD4">
        <w:t>‘</w:t>
      </w:r>
      <w:r w:rsidRPr="005608E0">
        <w:t>Truth and Vision</w:t>
      </w:r>
      <w:r w:rsidR="0056695A">
        <w:t>’,</w:t>
      </w:r>
      <w:r w:rsidRPr="005608E0">
        <w:t xml:space="preserve"> in </w:t>
      </w:r>
      <w:r w:rsidRPr="005608E0">
        <w:rPr>
          <w:i/>
        </w:rPr>
        <w:t xml:space="preserve">Truth in Aquinas, </w:t>
      </w:r>
      <w:r w:rsidRPr="005608E0">
        <w:t xml:space="preserve">John Milbank and Catherine </w:t>
      </w:r>
      <w:proofErr w:type="spellStart"/>
      <w:r w:rsidRPr="005608E0">
        <w:t>Pickstock</w:t>
      </w:r>
      <w:proofErr w:type="spellEnd"/>
      <w:r w:rsidR="0056695A">
        <w:t>,</w:t>
      </w:r>
      <w:r w:rsidRPr="005608E0">
        <w:t xml:space="preserve"> </w:t>
      </w:r>
      <w:r w:rsidR="0056695A" w:rsidRPr="005608E0">
        <w:t>eds.</w:t>
      </w:r>
      <w:r w:rsidR="0056695A">
        <w:t>,</w:t>
      </w:r>
      <w:r w:rsidR="0056695A" w:rsidRPr="005608E0">
        <w:t xml:space="preserve"> </w:t>
      </w:r>
      <w:r w:rsidRPr="005608E0">
        <w:t xml:space="preserve">(London: Routledge, 2001), </w:t>
      </w:r>
      <w:r w:rsidR="0056695A">
        <w:t xml:space="preserve">pp. </w:t>
      </w:r>
      <w:r w:rsidRPr="005608E0">
        <w:t xml:space="preserve">19–59; Jean-Luc Marion is probably the most explicit advocate of this reading, </w:t>
      </w:r>
      <w:r w:rsidRPr="005608E0">
        <w:rPr>
          <w:i/>
        </w:rPr>
        <w:t xml:space="preserve">God </w:t>
      </w:r>
      <w:proofErr w:type="gramStart"/>
      <w:r w:rsidRPr="005608E0">
        <w:rPr>
          <w:i/>
        </w:rPr>
        <w:t>Without</w:t>
      </w:r>
      <w:proofErr w:type="gramEnd"/>
      <w:r w:rsidRPr="005608E0">
        <w:rPr>
          <w:i/>
        </w:rPr>
        <w:t xml:space="preserve"> Being, </w:t>
      </w:r>
      <w:r w:rsidR="0056695A">
        <w:t>2</w:t>
      </w:r>
      <w:r w:rsidR="0056695A" w:rsidRPr="0056695A">
        <w:rPr>
          <w:vertAlign w:val="superscript"/>
        </w:rPr>
        <w:t>nd</w:t>
      </w:r>
      <w:r w:rsidRPr="005608E0">
        <w:t xml:space="preserve"> </w:t>
      </w:r>
      <w:proofErr w:type="spellStart"/>
      <w:r w:rsidR="0056695A">
        <w:t>edn</w:t>
      </w:r>
      <w:proofErr w:type="spellEnd"/>
      <w:r w:rsidRPr="005608E0">
        <w:t xml:space="preserve"> (Chicago: University of Chicago Press, 2012), esp. </w:t>
      </w:r>
      <w:r w:rsidR="0056695A">
        <w:t xml:space="preserve">pp. </w:t>
      </w:r>
      <w:r w:rsidRPr="005608E0">
        <w:t xml:space="preserve">199-235. One finds a similar </w:t>
      </w:r>
      <w:proofErr w:type="spellStart"/>
      <w:r w:rsidRPr="005608E0">
        <w:t>apophaticism</w:t>
      </w:r>
      <w:proofErr w:type="spellEnd"/>
      <w:r w:rsidRPr="005608E0">
        <w:t xml:space="preserve"> (not as an interpretation of Aquinas but as derived from a probably Thomistic account of analogical predication) in David Tracy, </w:t>
      </w:r>
      <w:r w:rsidR="00956DD4">
        <w:t>‘</w:t>
      </w:r>
      <w:r w:rsidRPr="005608E0">
        <w:t>Approaching the Christian Understanding of God</w:t>
      </w:r>
      <w:r w:rsidR="0056695A">
        <w:t>’,</w:t>
      </w:r>
      <w:r w:rsidRPr="005608E0">
        <w:t xml:space="preserve"> in </w:t>
      </w:r>
      <w:r w:rsidRPr="005608E0">
        <w:rPr>
          <w:i/>
        </w:rPr>
        <w:t xml:space="preserve">Systematic Theology: Roman Catholic Perspectives, </w:t>
      </w:r>
      <w:r w:rsidRPr="005608E0">
        <w:t xml:space="preserve">Francis </w:t>
      </w:r>
      <w:proofErr w:type="spellStart"/>
      <w:r w:rsidRPr="005608E0">
        <w:t>Schuessler-Fiorenza</w:t>
      </w:r>
      <w:proofErr w:type="spellEnd"/>
      <w:r w:rsidRPr="005608E0">
        <w:t xml:space="preserve"> and John Galvin, </w:t>
      </w:r>
      <w:r w:rsidR="0056695A" w:rsidRPr="005608E0">
        <w:t>ed</w:t>
      </w:r>
      <w:r w:rsidR="0056695A">
        <w:t>s</w:t>
      </w:r>
      <w:r w:rsidR="0056695A" w:rsidRPr="005608E0">
        <w:t>.</w:t>
      </w:r>
      <w:r w:rsidR="0056695A">
        <w:t>,</w:t>
      </w:r>
      <w:r w:rsidR="0056695A" w:rsidRPr="005608E0">
        <w:t xml:space="preserve"> </w:t>
      </w:r>
      <w:r w:rsidRPr="005608E0">
        <w:t xml:space="preserve">2nd </w:t>
      </w:r>
      <w:proofErr w:type="spellStart"/>
      <w:r w:rsidRPr="005608E0">
        <w:t>e</w:t>
      </w:r>
      <w:r w:rsidR="0056695A">
        <w:t>dn</w:t>
      </w:r>
      <w:proofErr w:type="spellEnd"/>
      <w:r w:rsidRPr="005608E0">
        <w:t xml:space="preserve"> (Minneapolis, MN: Fortress Press, 2011), </w:t>
      </w:r>
      <w:r w:rsidR="0056695A">
        <w:t xml:space="preserve">pp. </w:t>
      </w:r>
      <w:r w:rsidRPr="005608E0">
        <w:t xml:space="preserve">109-127; but more clearly in Elizabeth Johnson, </w:t>
      </w:r>
      <w:r w:rsidRPr="005608E0">
        <w:rPr>
          <w:i/>
        </w:rPr>
        <w:t>Quest</w:t>
      </w:r>
      <w:r w:rsidR="0056695A">
        <w:rPr>
          <w:i/>
        </w:rPr>
        <w:t xml:space="preserve"> for the Living God </w:t>
      </w:r>
      <w:r w:rsidRPr="005608E0">
        <w:rPr>
          <w:i/>
        </w:rPr>
        <w:t xml:space="preserve"> </w:t>
      </w:r>
      <w:r w:rsidRPr="005608E0">
        <w:t>(New York: Continuum International Publishing Group Inc., 2007)</w:t>
      </w:r>
      <w:r w:rsidRPr="005608E0">
        <w:rPr>
          <w:i/>
        </w:rPr>
        <w:t xml:space="preserve">, </w:t>
      </w:r>
      <w:r w:rsidRPr="005608E0">
        <w:t xml:space="preserve">esp. </w:t>
      </w:r>
      <w:r w:rsidR="0056695A">
        <w:t xml:space="preserve">pp. </w:t>
      </w:r>
      <w:r w:rsidRPr="005608E0">
        <w:t xml:space="preserve">7-48. </w:t>
      </w:r>
    </w:p>
  </w:footnote>
  <w:footnote w:id="25">
    <w:p w:rsidR="00E75713" w:rsidRPr="005608E0" w:rsidRDefault="00E75713">
      <w:pPr>
        <w:pStyle w:val="Footnote"/>
        <w:rPr>
          <w:sz w:val="20"/>
        </w:rPr>
      </w:pPr>
      <w:r w:rsidRPr="005608E0">
        <w:rPr>
          <w:sz w:val="20"/>
        </w:rPr>
        <w:footnoteRef/>
      </w:r>
      <w:r w:rsidRPr="005608E0">
        <w:rPr>
          <w:sz w:val="20"/>
        </w:rPr>
        <w:tab/>
        <w:t xml:space="preserve">Thomas Aquinas, </w:t>
      </w:r>
      <w:proofErr w:type="spellStart"/>
      <w:r w:rsidRPr="005608E0">
        <w:rPr>
          <w:i/>
          <w:iCs/>
          <w:sz w:val="20"/>
        </w:rPr>
        <w:t>Quaestiones</w:t>
      </w:r>
      <w:proofErr w:type="spellEnd"/>
      <w:r w:rsidRPr="005608E0">
        <w:rPr>
          <w:sz w:val="20"/>
        </w:rPr>
        <w:t xml:space="preserve"> </w:t>
      </w:r>
      <w:r w:rsidRPr="005608E0">
        <w:rPr>
          <w:i/>
          <w:iCs/>
          <w:sz w:val="20"/>
        </w:rPr>
        <w:t xml:space="preserve">De </w:t>
      </w:r>
      <w:proofErr w:type="spellStart"/>
      <w:r w:rsidRPr="005608E0">
        <w:rPr>
          <w:i/>
          <w:iCs/>
          <w:sz w:val="20"/>
        </w:rPr>
        <w:t>Potentia</w:t>
      </w:r>
      <w:proofErr w:type="spellEnd"/>
      <w:r w:rsidR="0023128C">
        <w:rPr>
          <w:i/>
          <w:iCs/>
          <w:sz w:val="20"/>
        </w:rPr>
        <w:t xml:space="preserve"> Dei</w:t>
      </w:r>
      <w:r w:rsidRPr="005608E0">
        <w:rPr>
          <w:i/>
          <w:iCs/>
          <w:sz w:val="20"/>
        </w:rPr>
        <w:t xml:space="preserve">, </w:t>
      </w:r>
      <w:r w:rsidRPr="005608E0">
        <w:rPr>
          <w:sz w:val="20"/>
        </w:rPr>
        <w:t>7.5. cf., Thomas Joseph White,</w:t>
      </w:r>
      <w:r w:rsidR="0056695A">
        <w:rPr>
          <w:sz w:val="20"/>
        </w:rPr>
        <w:t xml:space="preserve"> </w:t>
      </w:r>
      <w:r w:rsidR="0056695A">
        <w:rPr>
          <w:i/>
          <w:sz w:val="20"/>
        </w:rPr>
        <w:t>Wisdom in the Face of Modernity,</w:t>
      </w:r>
      <w:r w:rsidRPr="005608E0">
        <w:rPr>
          <w:sz w:val="20"/>
        </w:rPr>
        <w:t xml:space="preserve"> </w:t>
      </w:r>
      <w:r w:rsidR="0056695A">
        <w:rPr>
          <w:sz w:val="20"/>
        </w:rPr>
        <w:t xml:space="preserve">pp. </w:t>
      </w:r>
      <w:r w:rsidRPr="005608E0">
        <w:rPr>
          <w:sz w:val="20"/>
        </w:rPr>
        <w:t xml:space="preserve">270-274; Gregory Rocca, </w:t>
      </w:r>
      <w:r w:rsidRPr="005608E0">
        <w:rPr>
          <w:i/>
          <w:iCs/>
          <w:sz w:val="20"/>
        </w:rPr>
        <w:t xml:space="preserve">Speaking the Incomprehensible God </w:t>
      </w:r>
      <w:r w:rsidRPr="005608E0">
        <w:rPr>
          <w:sz w:val="20"/>
        </w:rPr>
        <w:t xml:space="preserve">(Washington, DC: CUA Press, 2004), </w:t>
      </w:r>
      <w:r w:rsidR="0056695A">
        <w:rPr>
          <w:sz w:val="20"/>
        </w:rPr>
        <w:t xml:space="preserve">p. </w:t>
      </w:r>
      <w:r w:rsidRPr="005608E0">
        <w:rPr>
          <w:sz w:val="20"/>
        </w:rPr>
        <w:t xml:space="preserve">66. </w:t>
      </w:r>
    </w:p>
  </w:footnote>
  <w:footnote w:id="26">
    <w:p w:rsidR="00E75713" w:rsidRPr="005608E0" w:rsidRDefault="00E75713">
      <w:pPr>
        <w:pStyle w:val="Footnote"/>
        <w:rPr>
          <w:sz w:val="20"/>
        </w:rPr>
      </w:pPr>
      <w:r w:rsidRPr="005608E0">
        <w:rPr>
          <w:sz w:val="20"/>
        </w:rPr>
        <w:footnoteRef/>
      </w:r>
      <w:r w:rsidRPr="005608E0">
        <w:rPr>
          <w:sz w:val="20"/>
        </w:rPr>
        <w:tab/>
      </w:r>
      <w:proofErr w:type="spellStart"/>
      <w:r w:rsidR="0056695A">
        <w:rPr>
          <w:sz w:val="20"/>
        </w:rPr>
        <w:t>Wippel</w:t>
      </w:r>
      <w:proofErr w:type="spellEnd"/>
      <w:r w:rsidR="0056695A">
        <w:rPr>
          <w:sz w:val="20"/>
        </w:rPr>
        <w:t xml:space="preserve">, </w:t>
      </w:r>
      <w:r w:rsidR="0056695A">
        <w:rPr>
          <w:i/>
          <w:sz w:val="20"/>
        </w:rPr>
        <w:t xml:space="preserve">Metaphysical </w:t>
      </w:r>
      <w:proofErr w:type="gramStart"/>
      <w:r w:rsidR="0056695A">
        <w:rPr>
          <w:i/>
          <w:sz w:val="20"/>
        </w:rPr>
        <w:t>Thought</w:t>
      </w:r>
      <w:r w:rsidR="0056695A" w:rsidRPr="005608E0">
        <w:rPr>
          <w:sz w:val="20"/>
        </w:rPr>
        <w:t>,</w:t>
      </w:r>
      <w:proofErr w:type="gramEnd"/>
      <w:r w:rsidRPr="005608E0">
        <w:rPr>
          <w:i/>
          <w:iCs/>
          <w:sz w:val="20"/>
        </w:rPr>
        <w:t xml:space="preserve"> </w:t>
      </w:r>
      <w:r w:rsidR="0056695A">
        <w:rPr>
          <w:sz w:val="20"/>
        </w:rPr>
        <w:t xml:space="preserve">p. </w:t>
      </w:r>
      <w:r w:rsidRPr="005608E0">
        <w:rPr>
          <w:sz w:val="20"/>
        </w:rPr>
        <w:t>527.</w:t>
      </w:r>
    </w:p>
  </w:footnote>
  <w:footnote w:id="27">
    <w:p w:rsidR="00E75713" w:rsidRPr="005608E0" w:rsidRDefault="00E75713">
      <w:pPr>
        <w:pStyle w:val="Footnote"/>
        <w:rPr>
          <w:sz w:val="20"/>
        </w:rPr>
      </w:pPr>
      <w:r w:rsidRPr="005608E0">
        <w:rPr>
          <w:sz w:val="20"/>
        </w:rPr>
        <w:footnoteRef/>
      </w:r>
      <w:r w:rsidRPr="005608E0">
        <w:rPr>
          <w:sz w:val="20"/>
        </w:rPr>
        <w:tab/>
      </w:r>
      <w:proofErr w:type="spellStart"/>
      <w:r w:rsidR="0056695A">
        <w:rPr>
          <w:sz w:val="20"/>
        </w:rPr>
        <w:t>Wippel</w:t>
      </w:r>
      <w:proofErr w:type="spellEnd"/>
      <w:r w:rsidR="0056695A">
        <w:rPr>
          <w:sz w:val="20"/>
        </w:rPr>
        <w:t xml:space="preserve">, </w:t>
      </w:r>
      <w:r w:rsidR="0056695A">
        <w:rPr>
          <w:i/>
          <w:sz w:val="20"/>
        </w:rPr>
        <w:t xml:space="preserve">Metaphysical </w:t>
      </w:r>
      <w:proofErr w:type="gramStart"/>
      <w:r w:rsidR="0056695A">
        <w:rPr>
          <w:i/>
          <w:sz w:val="20"/>
        </w:rPr>
        <w:t>Thought</w:t>
      </w:r>
      <w:r w:rsidRPr="005608E0">
        <w:rPr>
          <w:i/>
          <w:iCs/>
          <w:sz w:val="20"/>
        </w:rPr>
        <w:t>,</w:t>
      </w:r>
      <w:proofErr w:type="gramEnd"/>
      <w:r w:rsidRPr="005608E0">
        <w:rPr>
          <w:i/>
          <w:iCs/>
          <w:sz w:val="20"/>
        </w:rPr>
        <w:t xml:space="preserve"> </w:t>
      </w:r>
      <w:r w:rsidR="0056695A">
        <w:rPr>
          <w:sz w:val="20"/>
        </w:rPr>
        <w:t xml:space="preserve">pp. </w:t>
      </w:r>
      <w:r w:rsidRPr="005608E0">
        <w:rPr>
          <w:sz w:val="20"/>
        </w:rPr>
        <w:t>571-572.</w:t>
      </w:r>
    </w:p>
  </w:footnote>
  <w:footnote w:id="28">
    <w:p w:rsidR="00E75713" w:rsidRPr="005608E0" w:rsidRDefault="00E75713">
      <w:pPr>
        <w:pStyle w:val="Footnote"/>
        <w:rPr>
          <w:sz w:val="20"/>
        </w:rPr>
      </w:pPr>
      <w:r w:rsidRPr="005608E0">
        <w:rPr>
          <w:sz w:val="20"/>
        </w:rPr>
        <w:footnoteRef/>
      </w:r>
      <w:r w:rsidRPr="005608E0">
        <w:rPr>
          <w:sz w:val="20"/>
        </w:rPr>
        <w:tab/>
      </w:r>
      <w:proofErr w:type="gramStart"/>
      <w:r w:rsidRPr="0023128C">
        <w:rPr>
          <w:i/>
          <w:sz w:val="20"/>
        </w:rPr>
        <w:t>ST</w:t>
      </w:r>
      <w:r w:rsidRPr="005608E0">
        <w:rPr>
          <w:sz w:val="20"/>
        </w:rPr>
        <w:t xml:space="preserve"> I, q. 13, a. 2, resp.</w:t>
      </w:r>
      <w:proofErr w:type="gramEnd"/>
      <w:r w:rsidRPr="005608E0">
        <w:rPr>
          <w:sz w:val="20"/>
        </w:rPr>
        <w:t xml:space="preserve"> </w:t>
      </w:r>
    </w:p>
  </w:footnote>
  <w:footnote w:id="29">
    <w:p w:rsidR="00E75713" w:rsidRPr="005608E0" w:rsidRDefault="00E75713">
      <w:pPr>
        <w:pStyle w:val="Footnote"/>
        <w:rPr>
          <w:sz w:val="20"/>
        </w:rPr>
      </w:pPr>
      <w:r w:rsidRPr="005608E0">
        <w:rPr>
          <w:sz w:val="20"/>
        </w:rPr>
        <w:footnoteRef/>
      </w:r>
      <w:r w:rsidRPr="005608E0">
        <w:rPr>
          <w:sz w:val="20"/>
        </w:rPr>
        <w:tab/>
      </w:r>
      <w:proofErr w:type="gramStart"/>
      <w:r w:rsidRPr="0023128C">
        <w:rPr>
          <w:i/>
          <w:sz w:val="20"/>
        </w:rPr>
        <w:t>ST</w:t>
      </w:r>
      <w:r w:rsidRPr="005608E0">
        <w:rPr>
          <w:sz w:val="20"/>
        </w:rPr>
        <w:t xml:space="preserve"> I, q. 13, a. 3, resp.</w:t>
      </w:r>
      <w:proofErr w:type="gramEnd"/>
    </w:p>
  </w:footnote>
  <w:footnote w:id="30">
    <w:p w:rsidR="00E75713" w:rsidRPr="005608E0" w:rsidRDefault="00E75713">
      <w:pPr>
        <w:pStyle w:val="Footnote"/>
        <w:rPr>
          <w:sz w:val="20"/>
        </w:rPr>
      </w:pPr>
      <w:r w:rsidRPr="005608E0">
        <w:rPr>
          <w:sz w:val="20"/>
        </w:rPr>
        <w:footnoteRef/>
      </w:r>
      <w:r w:rsidRPr="005608E0">
        <w:rPr>
          <w:sz w:val="20"/>
        </w:rPr>
        <w:tab/>
      </w:r>
      <w:proofErr w:type="gramStart"/>
      <w:r w:rsidRPr="0023128C">
        <w:rPr>
          <w:i/>
          <w:sz w:val="20"/>
        </w:rPr>
        <w:t>ST</w:t>
      </w:r>
      <w:r w:rsidRPr="005608E0">
        <w:rPr>
          <w:sz w:val="20"/>
        </w:rPr>
        <w:t xml:space="preserve"> I, q. 13, a. 2, resp.</w:t>
      </w:r>
      <w:proofErr w:type="gramEnd"/>
    </w:p>
  </w:footnote>
  <w:footnote w:id="31">
    <w:p w:rsidR="00E75713" w:rsidRPr="005608E0" w:rsidRDefault="00E75713">
      <w:pPr>
        <w:pStyle w:val="FootnoteText"/>
        <w:rPr>
          <w:rFonts w:cs="Times New Roman"/>
          <w:color w:val="auto"/>
          <w:szCs w:val="20"/>
        </w:rPr>
      </w:pPr>
      <w:r w:rsidRPr="005608E0">
        <w:rPr>
          <w:rStyle w:val="FootnoteReference"/>
          <w:rFonts w:cs="Times New Roman"/>
          <w:color w:val="auto"/>
          <w:szCs w:val="20"/>
          <w:vertAlign w:val="baseline"/>
        </w:rPr>
        <w:footnoteRef/>
      </w:r>
      <w:r w:rsidRPr="005608E0">
        <w:rPr>
          <w:rFonts w:cs="Times New Roman"/>
          <w:color w:val="auto"/>
          <w:szCs w:val="20"/>
        </w:rPr>
        <w:t xml:space="preserve">  Here I am following a distinction from </w:t>
      </w:r>
      <w:r w:rsidR="0023128C">
        <w:rPr>
          <w:rFonts w:cs="Times New Roman"/>
          <w:color w:val="auto"/>
          <w:szCs w:val="20"/>
        </w:rPr>
        <w:t xml:space="preserve">Thomas </w:t>
      </w:r>
      <w:r w:rsidRPr="005608E0">
        <w:rPr>
          <w:rFonts w:cs="Times New Roman"/>
          <w:color w:val="auto"/>
          <w:szCs w:val="20"/>
        </w:rPr>
        <w:t xml:space="preserve">Aquinas’ commentary on Pseudo-Dionysius: </w:t>
      </w:r>
      <w:r w:rsidR="00956DD4">
        <w:rPr>
          <w:rFonts w:cs="Times New Roman"/>
          <w:color w:val="auto"/>
          <w:szCs w:val="20"/>
        </w:rPr>
        <w:t>‘</w:t>
      </w:r>
      <w:r w:rsidRPr="005608E0">
        <w:rPr>
          <w:rStyle w:val="FootnoteCharacters"/>
        </w:rPr>
        <w:t xml:space="preserve">Dicit </w:t>
      </w:r>
      <w:proofErr w:type="spellStart"/>
      <w:r w:rsidRPr="005608E0">
        <w:rPr>
          <w:rStyle w:val="FootnoteCharacters"/>
        </w:rPr>
        <w:t>autem</w:t>
      </w:r>
      <w:proofErr w:type="spellEnd"/>
      <w:r w:rsidRPr="005608E0">
        <w:rPr>
          <w:rStyle w:val="FootnoteCharacters"/>
        </w:rPr>
        <w:t> </w:t>
      </w:r>
      <w:proofErr w:type="spellStart"/>
      <w:r w:rsidRPr="005608E0">
        <w:rPr>
          <w:rStyle w:val="FootnoteCharacters"/>
          <w:i/>
        </w:rPr>
        <w:t>intelligibiles</w:t>
      </w:r>
      <w:proofErr w:type="spellEnd"/>
      <w:r w:rsidRPr="005608E0">
        <w:rPr>
          <w:rStyle w:val="FootnoteCharacters"/>
        </w:rPr>
        <w:t> </w:t>
      </w:r>
      <w:proofErr w:type="spellStart"/>
      <w:r w:rsidRPr="005608E0">
        <w:rPr>
          <w:rStyle w:val="FootnoteCharacters"/>
        </w:rPr>
        <w:t>ad</w:t>
      </w:r>
      <w:proofErr w:type="spellEnd"/>
      <w:r w:rsidRPr="005608E0">
        <w:rPr>
          <w:rStyle w:val="FootnoteCharacters"/>
        </w:rPr>
        <w:t xml:space="preserve"> </w:t>
      </w:r>
      <w:proofErr w:type="spellStart"/>
      <w:r w:rsidRPr="005608E0">
        <w:rPr>
          <w:rStyle w:val="FootnoteCharacters"/>
        </w:rPr>
        <w:t>differentiam</w:t>
      </w:r>
      <w:proofErr w:type="spellEnd"/>
      <w:r w:rsidRPr="005608E0">
        <w:rPr>
          <w:rStyle w:val="FootnoteCharacters"/>
        </w:rPr>
        <w:t xml:space="preserve"> </w:t>
      </w:r>
      <w:proofErr w:type="spellStart"/>
      <w:r w:rsidRPr="005608E0">
        <w:rPr>
          <w:rStyle w:val="FootnoteCharacters"/>
        </w:rPr>
        <w:t>eorum</w:t>
      </w:r>
      <w:proofErr w:type="spellEnd"/>
      <w:r w:rsidRPr="005608E0">
        <w:rPr>
          <w:rStyle w:val="FootnoteCharacters"/>
        </w:rPr>
        <w:t xml:space="preserve"> quae </w:t>
      </w:r>
      <w:proofErr w:type="spellStart"/>
      <w:r w:rsidRPr="005608E0">
        <w:rPr>
          <w:rStyle w:val="FootnoteCharacters"/>
        </w:rPr>
        <w:t>symbolice</w:t>
      </w:r>
      <w:proofErr w:type="spellEnd"/>
      <w:r w:rsidRPr="005608E0">
        <w:rPr>
          <w:rStyle w:val="FootnoteCharacters"/>
        </w:rPr>
        <w:t xml:space="preserve"> </w:t>
      </w:r>
      <w:proofErr w:type="spellStart"/>
      <w:r w:rsidRPr="005608E0">
        <w:rPr>
          <w:rStyle w:val="FootnoteCharacters"/>
        </w:rPr>
        <w:t>vel</w:t>
      </w:r>
      <w:proofErr w:type="spellEnd"/>
      <w:r w:rsidRPr="005608E0">
        <w:rPr>
          <w:rStyle w:val="FootnoteCharacters"/>
        </w:rPr>
        <w:t xml:space="preserve"> </w:t>
      </w:r>
      <w:proofErr w:type="spellStart"/>
      <w:r w:rsidRPr="005608E0">
        <w:rPr>
          <w:rStyle w:val="FootnoteCharacters"/>
        </w:rPr>
        <w:t>metaphorice</w:t>
      </w:r>
      <w:proofErr w:type="spellEnd"/>
      <w:r w:rsidRPr="005608E0">
        <w:rPr>
          <w:rStyle w:val="FootnoteCharacters"/>
        </w:rPr>
        <w:t xml:space="preserve"> </w:t>
      </w:r>
      <w:proofErr w:type="spellStart"/>
      <w:r w:rsidRPr="005608E0">
        <w:rPr>
          <w:rStyle w:val="FootnoteCharacters"/>
        </w:rPr>
        <w:t>dicuntur</w:t>
      </w:r>
      <w:proofErr w:type="spellEnd"/>
      <w:r w:rsidRPr="005608E0">
        <w:rPr>
          <w:rStyle w:val="FootnoteCharacters"/>
        </w:rPr>
        <w:t xml:space="preserve"> de </w:t>
      </w:r>
      <w:proofErr w:type="spellStart"/>
      <w:r w:rsidRPr="005608E0">
        <w:rPr>
          <w:rStyle w:val="FootnoteCharacters"/>
        </w:rPr>
        <w:t>Deo</w:t>
      </w:r>
      <w:proofErr w:type="spellEnd"/>
      <w:r w:rsidRPr="005608E0">
        <w:rPr>
          <w:rStyle w:val="FootnoteCharacters"/>
        </w:rPr>
        <w:t xml:space="preserve">, quorum </w:t>
      </w:r>
      <w:proofErr w:type="spellStart"/>
      <w:r w:rsidRPr="005608E0">
        <w:rPr>
          <w:rStyle w:val="FootnoteCharacters"/>
        </w:rPr>
        <w:t>significationes</w:t>
      </w:r>
      <w:proofErr w:type="spellEnd"/>
      <w:r w:rsidRPr="005608E0">
        <w:rPr>
          <w:rStyle w:val="FootnoteCharacters"/>
        </w:rPr>
        <w:t xml:space="preserve"> </w:t>
      </w:r>
      <w:proofErr w:type="spellStart"/>
      <w:r w:rsidRPr="005608E0">
        <w:rPr>
          <w:rStyle w:val="FootnoteCharacters"/>
        </w:rPr>
        <w:t>sunt</w:t>
      </w:r>
      <w:proofErr w:type="spellEnd"/>
      <w:r w:rsidRPr="005608E0">
        <w:rPr>
          <w:rStyle w:val="FootnoteCharacters"/>
        </w:rPr>
        <w:t xml:space="preserve"> </w:t>
      </w:r>
      <w:proofErr w:type="spellStart"/>
      <w:r w:rsidRPr="005608E0">
        <w:rPr>
          <w:rStyle w:val="FootnoteCharacters"/>
        </w:rPr>
        <w:t>sensibiles</w:t>
      </w:r>
      <w:proofErr w:type="spellEnd"/>
      <w:r w:rsidR="00956DD4">
        <w:rPr>
          <w:rStyle w:val="FootnoteCharacters"/>
        </w:rPr>
        <w:t>’</w:t>
      </w:r>
      <w:r w:rsidRPr="005608E0">
        <w:rPr>
          <w:rStyle w:val="FootnoteCharacters"/>
        </w:rPr>
        <w:t xml:space="preserve"> (</w:t>
      </w:r>
      <w:r w:rsidR="0056695A">
        <w:rPr>
          <w:rStyle w:val="FootnoteCharacters"/>
        </w:rPr>
        <w:t xml:space="preserve">Thomas Aquinas, </w:t>
      </w:r>
      <w:r w:rsidR="00DB36CB" w:rsidRPr="00DB36CB">
        <w:rPr>
          <w:rStyle w:val="FootnoteCharacters"/>
          <w:i/>
        </w:rPr>
        <w:t xml:space="preserve">In </w:t>
      </w:r>
      <w:proofErr w:type="spellStart"/>
      <w:r w:rsidR="00DB36CB" w:rsidRPr="00DB36CB">
        <w:rPr>
          <w:rStyle w:val="FootnoteCharacters"/>
          <w:i/>
        </w:rPr>
        <w:t>librum</w:t>
      </w:r>
      <w:proofErr w:type="spellEnd"/>
      <w:r w:rsidR="00DB36CB" w:rsidRPr="00DB36CB">
        <w:rPr>
          <w:rStyle w:val="FootnoteCharacters"/>
          <w:i/>
        </w:rPr>
        <w:t xml:space="preserve"> </w:t>
      </w:r>
      <w:proofErr w:type="spellStart"/>
      <w:r w:rsidR="00DB36CB" w:rsidRPr="00DB36CB">
        <w:rPr>
          <w:rStyle w:val="FootnoteCharacters"/>
          <w:i/>
        </w:rPr>
        <w:t>Beati</w:t>
      </w:r>
      <w:proofErr w:type="spellEnd"/>
      <w:r w:rsidR="00DB36CB" w:rsidRPr="00DB36CB">
        <w:rPr>
          <w:rStyle w:val="FootnoteCharacters"/>
          <w:i/>
        </w:rPr>
        <w:t xml:space="preserve"> </w:t>
      </w:r>
      <w:proofErr w:type="spellStart"/>
      <w:r w:rsidR="00DB36CB" w:rsidRPr="00DB36CB">
        <w:rPr>
          <w:rStyle w:val="FootnoteCharacters"/>
          <w:i/>
        </w:rPr>
        <w:t>Dionysii</w:t>
      </w:r>
      <w:proofErr w:type="spellEnd"/>
      <w:r w:rsidR="00DB36CB" w:rsidRPr="00DB36CB">
        <w:rPr>
          <w:rStyle w:val="FootnoteCharacters"/>
          <w:i/>
        </w:rPr>
        <w:t xml:space="preserve"> De </w:t>
      </w:r>
      <w:proofErr w:type="spellStart"/>
      <w:r w:rsidR="00DB36CB" w:rsidRPr="00DB36CB">
        <w:rPr>
          <w:rStyle w:val="FootnoteCharacters"/>
          <w:i/>
        </w:rPr>
        <w:t>divinis</w:t>
      </w:r>
      <w:proofErr w:type="spellEnd"/>
      <w:r w:rsidR="00DB36CB" w:rsidRPr="00DB36CB">
        <w:rPr>
          <w:rStyle w:val="FootnoteCharacters"/>
          <w:i/>
        </w:rPr>
        <w:t xml:space="preserve"> </w:t>
      </w:r>
      <w:proofErr w:type="spellStart"/>
      <w:r w:rsidR="00DB36CB" w:rsidRPr="00DB36CB">
        <w:rPr>
          <w:rStyle w:val="FootnoteCharacters"/>
          <w:i/>
        </w:rPr>
        <w:t>nominibus</w:t>
      </w:r>
      <w:proofErr w:type="spellEnd"/>
      <w:r w:rsidR="00DB36CB" w:rsidRPr="00DB36CB">
        <w:rPr>
          <w:rStyle w:val="FootnoteCharacters"/>
          <w:i/>
        </w:rPr>
        <w:t xml:space="preserve"> </w:t>
      </w:r>
      <w:proofErr w:type="spellStart"/>
      <w:r w:rsidR="00DB36CB" w:rsidRPr="00DB36CB">
        <w:rPr>
          <w:rStyle w:val="FootnoteCharacters"/>
          <w:i/>
        </w:rPr>
        <w:t>expositio</w:t>
      </w:r>
      <w:proofErr w:type="spellEnd"/>
      <w:r w:rsidR="00DB36CB">
        <w:rPr>
          <w:rStyle w:val="FootnoteCharacters"/>
          <w:i/>
        </w:rPr>
        <w:t xml:space="preserve"> </w:t>
      </w:r>
      <w:r w:rsidR="00DB36CB">
        <w:rPr>
          <w:rStyle w:val="FootnoteCharacters"/>
        </w:rPr>
        <w:t xml:space="preserve">[hereafter </w:t>
      </w:r>
      <w:r w:rsidR="00DB36CB">
        <w:rPr>
          <w:rStyle w:val="FootnoteCharacters"/>
          <w:i/>
        </w:rPr>
        <w:t xml:space="preserve">De </w:t>
      </w:r>
      <w:proofErr w:type="spellStart"/>
      <w:r w:rsidR="00DB36CB">
        <w:rPr>
          <w:rStyle w:val="FootnoteCharacters"/>
          <w:i/>
        </w:rPr>
        <w:t>divinis</w:t>
      </w:r>
      <w:proofErr w:type="spellEnd"/>
      <w:r w:rsidR="00DB36CB">
        <w:rPr>
          <w:rStyle w:val="FootnoteCharacters"/>
          <w:i/>
        </w:rPr>
        <w:t xml:space="preserve"> </w:t>
      </w:r>
      <w:proofErr w:type="spellStart"/>
      <w:r w:rsidR="00DB36CB">
        <w:rPr>
          <w:rStyle w:val="FootnoteCharacters"/>
          <w:i/>
        </w:rPr>
        <w:t>nominibus</w:t>
      </w:r>
      <w:proofErr w:type="spellEnd"/>
      <w:r w:rsidR="00DB36CB">
        <w:rPr>
          <w:rStyle w:val="FootnoteCharacters"/>
        </w:rPr>
        <w:t>]</w:t>
      </w:r>
      <w:r w:rsidRPr="005608E0">
        <w:rPr>
          <w:rStyle w:val="FootnoteCharacters"/>
          <w:i/>
        </w:rPr>
        <w:t xml:space="preserve">, </w:t>
      </w:r>
      <w:r w:rsidRPr="005608E0">
        <w:rPr>
          <w:rStyle w:val="FootnoteCharacters"/>
        </w:rPr>
        <w:t>XIII</w:t>
      </w:r>
      <w:proofErr w:type="gramStart"/>
      <w:r w:rsidRPr="005608E0">
        <w:rPr>
          <w:rStyle w:val="FootnoteCharacters"/>
        </w:rPr>
        <w:t>:4</w:t>
      </w:r>
      <w:proofErr w:type="gramEnd"/>
      <w:r w:rsidRPr="005608E0">
        <w:rPr>
          <w:rStyle w:val="FootnoteCharacters"/>
        </w:rPr>
        <w:t xml:space="preserve">). This is what the distinction between conceptual terms and sensible metaphors I have been making is supposed to track, even as Aquinas’ own term is </w:t>
      </w:r>
      <w:r w:rsidR="00956DD4">
        <w:rPr>
          <w:rStyle w:val="FootnoteCharacters"/>
        </w:rPr>
        <w:t>‘</w:t>
      </w:r>
      <w:r w:rsidRPr="005608E0">
        <w:rPr>
          <w:rStyle w:val="FootnoteCharacters"/>
        </w:rPr>
        <w:t>intelligible</w:t>
      </w:r>
      <w:r w:rsidR="00956DD4">
        <w:rPr>
          <w:rStyle w:val="FootnoteCharacters"/>
        </w:rPr>
        <w:t>’</w:t>
      </w:r>
      <w:r w:rsidRPr="005608E0">
        <w:rPr>
          <w:rStyle w:val="FootnoteCharacters"/>
        </w:rPr>
        <w:t xml:space="preserve"> opposed to </w:t>
      </w:r>
      <w:r w:rsidR="00956DD4">
        <w:rPr>
          <w:rStyle w:val="FootnoteCharacters"/>
        </w:rPr>
        <w:t>‘</w:t>
      </w:r>
      <w:proofErr w:type="spellStart"/>
      <w:r w:rsidRPr="005608E0">
        <w:rPr>
          <w:rStyle w:val="FootnoteCharacters"/>
        </w:rPr>
        <w:t>symbolice</w:t>
      </w:r>
      <w:proofErr w:type="spellEnd"/>
      <w:r w:rsidRPr="005608E0">
        <w:rPr>
          <w:rStyle w:val="FootnoteCharacters"/>
        </w:rPr>
        <w:t xml:space="preserve"> </w:t>
      </w:r>
      <w:proofErr w:type="spellStart"/>
      <w:r w:rsidRPr="005608E0">
        <w:rPr>
          <w:rStyle w:val="FootnoteCharacters"/>
        </w:rPr>
        <w:t>vel</w:t>
      </w:r>
      <w:proofErr w:type="spellEnd"/>
      <w:r w:rsidRPr="005608E0">
        <w:rPr>
          <w:rStyle w:val="FootnoteCharacters"/>
        </w:rPr>
        <w:t xml:space="preserve"> </w:t>
      </w:r>
      <w:proofErr w:type="spellStart"/>
      <w:r w:rsidRPr="005608E0">
        <w:rPr>
          <w:rStyle w:val="FootnoteCharacters"/>
        </w:rPr>
        <w:t>metaphorice</w:t>
      </w:r>
      <w:proofErr w:type="spellEnd"/>
      <w:r w:rsidR="00956DD4">
        <w:rPr>
          <w:rStyle w:val="FootnoteCharacters"/>
        </w:rPr>
        <w:t>’</w:t>
      </w:r>
      <w:r w:rsidRPr="005608E0">
        <w:rPr>
          <w:rStyle w:val="FootnoteCharacters"/>
        </w:rPr>
        <w:t xml:space="preserve">. The idea is that intellect predicates more appropriately of God than metaphors or symbols which originate in sense, so that more proper names are more intellectual. </w:t>
      </w:r>
    </w:p>
  </w:footnote>
  <w:footnote w:id="32">
    <w:p w:rsidR="00E75713" w:rsidRPr="002C2CD9" w:rsidRDefault="00E75713">
      <w:pPr>
        <w:pStyle w:val="Footnote"/>
        <w:rPr>
          <w:sz w:val="20"/>
        </w:rPr>
      </w:pPr>
      <w:r w:rsidRPr="005608E0">
        <w:rPr>
          <w:sz w:val="20"/>
        </w:rPr>
        <w:footnoteRef/>
      </w:r>
      <w:r w:rsidRPr="005608E0">
        <w:rPr>
          <w:sz w:val="20"/>
        </w:rPr>
        <w:tab/>
      </w:r>
      <w:proofErr w:type="gramStart"/>
      <w:r w:rsidRPr="002C2CD9">
        <w:rPr>
          <w:i/>
          <w:sz w:val="20"/>
        </w:rPr>
        <w:t>ST</w:t>
      </w:r>
      <w:r w:rsidRPr="002C2CD9">
        <w:rPr>
          <w:sz w:val="20"/>
        </w:rPr>
        <w:t xml:space="preserve"> I, q. 13, a. 3, ad.</w:t>
      </w:r>
      <w:proofErr w:type="gramEnd"/>
      <w:r w:rsidRPr="002C2CD9">
        <w:rPr>
          <w:sz w:val="20"/>
        </w:rPr>
        <w:t xml:space="preserve"> </w:t>
      </w:r>
      <w:proofErr w:type="gramStart"/>
      <w:r w:rsidRPr="002C2CD9">
        <w:rPr>
          <w:sz w:val="20"/>
        </w:rPr>
        <w:t>1 &amp; ad.</w:t>
      </w:r>
      <w:proofErr w:type="gramEnd"/>
      <w:r w:rsidRPr="002C2CD9">
        <w:rPr>
          <w:sz w:val="20"/>
        </w:rPr>
        <w:t xml:space="preserve"> 2. </w:t>
      </w:r>
    </w:p>
  </w:footnote>
  <w:footnote w:id="33">
    <w:p w:rsidR="00E75713" w:rsidRPr="005608E0" w:rsidRDefault="00E75713">
      <w:pPr>
        <w:pStyle w:val="Footnote"/>
        <w:rPr>
          <w:sz w:val="20"/>
        </w:rPr>
      </w:pPr>
      <w:r w:rsidRPr="002C2CD9">
        <w:rPr>
          <w:sz w:val="20"/>
        </w:rPr>
        <w:footnoteRef/>
      </w:r>
      <w:r w:rsidRPr="002C2CD9">
        <w:rPr>
          <w:sz w:val="20"/>
        </w:rPr>
        <w:tab/>
        <w:t xml:space="preserve">Eleonore Stump, </w:t>
      </w:r>
      <w:r w:rsidR="00956DD4" w:rsidRPr="002C2CD9">
        <w:rPr>
          <w:sz w:val="20"/>
        </w:rPr>
        <w:t>‘</w:t>
      </w:r>
      <w:r w:rsidRPr="002C2CD9">
        <w:rPr>
          <w:sz w:val="20"/>
        </w:rPr>
        <w:t>The Nature of a Simple God</w:t>
      </w:r>
      <w:r w:rsidR="0056695A" w:rsidRPr="002C2CD9">
        <w:rPr>
          <w:sz w:val="20"/>
        </w:rPr>
        <w:t>’,</w:t>
      </w:r>
      <w:r w:rsidRPr="002C2CD9">
        <w:rPr>
          <w:sz w:val="20"/>
        </w:rPr>
        <w:t xml:space="preserve"> in </w:t>
      </w:r>
      <w:r w:rsidRPr="002C2CD9">
        <w:rPr>
          <w:i/>
          <w:iCs/>
          <w:sz w:val="20"/>
        </w:rPr>
        <w:t xml:space="preserve">Proceedings of the American Catholic Philosophical Association, </w:t>
      </w:r>
      <w:r w:rsidR="002C2CD9" w:rsidRPr="002C2CD9">
        <w:rPr>
          <w:sz w:val="20"/>
        </w:rPr>
        <w:t>vol. 87</w:t>
      </w:r>
      <w:r w:rsidRPr="002C2CD9">
        <w:rPr>
          <w:i/>
          <w:iCs/>
          <w:sz w:val="20"/>
        </w:rPr>
        <w:t xml:space="preserve"> </w:t>
      </w:r>
      <w:r w:rsidRPr="002C2CD9">
        <w:rPr>
          <w:sz w:val="20"/>
        </w:rPr>
        <w:t xml:space="preserve">(2014): </w:t>
      </w:r>
      <w:r w:rsidR="0056695A" w:rsidRPr="002C2CD9">
        <w:rPr>
          <w:sz w:val="20"/>
        </w:rPr>
        <w:t>pp</w:t>
      </w:r>
      <w:r w:rsidR="002C2CD9" w:rsidRPr="002C2CD9">
        <w:rPr>
          <w:sz w:val="20"/>
        </w:rPr>
        <w:t xml:space="preserve"> 36-38</w:t>
      </w:r>
      <w:r w:rsidRPr="002C2CD9">
        <w:rPr>
          <w:sz w:val="20"/>
        </w:rPr>
        <w:t>.</w:t>
      </w:r>
    </w:p>
  </w:footnote>
  <w:footnote w:id="34">
    <w:p w:rsidR="00E75713" w:rsidRPr="005608E0" w:rsidRDefault="00E75713">
      <w:pPr>
        <w:pStyle w:val="Footnote"/>
        <w:rPr>
          <w:sz w:val="20"/>
        </w:rPr>
      </w:pPr>
      <w:r w:rsidRPr="005608E0">
        <w:rPr>
          <w:sz w:val="20"/>
        </w:rPr>
        <w:footnoteRef/>
      </w:r>
      <w:r w:rsidRPr="005608E0">
        <w:rPr>
          <w:sz w:val="20"/>
        </w:rPr>
        <w:tab/>
      </w:r>
      <w:r w:rsidR="0045102D">
        <w:rPr>
          <w:sz w:val="20"/>
        </w:rPr>
        <w:t xml:space="preserve">While </w:t>
      </w:r>
      <w:r w:rsidRPr="005608E0">
        <w:rPr>
          <w:sz w:val="20"/>
        </w:rPr>
        <w:t>Rocca</w:t>
      </w:r>
      <w:r w:rsidR="0045102D">
        <w:rPr>
          <w:sz w:val="20"/>
        </w:rPr>
        <w:t xml:space="preserve"> has a very distinct perspective than that of Stump on the divine names, it seems to me that they agree on this point that, given that our concepts of perfections originate in creaturely perfections, this conceptual origin is the source of the deficient </w:t>
      </w:r>
      <w:r w:rsidR="0045102D" w:rsidRPr="0045102D">
        <w:rPr>
          <w:i/>
          <w:sz w:val="20"/>
        </w:rPr>
        <w:t xml:space="preserve">modus </w:t>
      </w:r>
      <w:proofErr w:type="spellStart"/>
      <w:r w:rsidR="0045102D" w:rsidRPr="0045102D">
        <w:rPr>
          <w:i/>
          <w:sz w:val="20"/>
        </w:rPr>
        <w:t>significandi</w:t>
      </w:r>
      <w:proofErr w:type="spellEnd"/>
      <w:r w:rsidR="0045102D">
        <w:rPr>
          <w:sz w:val="20"/>
        </w:rPr>
        <w:t>; Rocca</w:t>
      </w:r>
      <w:r w:rsidRPr="005608E0">
        <w:rPr>
          <w:sz w:val="20"/>
        </w:rPr>
        <w:t xml:space="preserve">, </w:t>
      </w:r>
      <w:r w:rsidR="0056695A">
        <w:rPr>
          <w:i/>
          <w:sz w:val="20"/>
        </w:rPr>
        <w:t xml:space="preserve">Speaking the Incomprehensible God, </w:t>
      </w:r>
      <w:r w:rsidR="0056695A">
        <w:rPr>
          <w:sz w:val="20"/>
        </w:rPr>
        <w:t xml:space="preserve">p. </w:t>
      </w:r>
      <w:r w:rsidRPr="005608E0">
        <w:rPr>
          <w:sz w:val="20"/>
        </w:rPr>
        <w:t xml:space="preserve">332. </w:t>
      </w:r>
    </w:p>
  </w:footnote>
  <w:footnote w:id="35">
    <w:p w:rsidR="00E75713" w:rsidRPr="005608E0" w:rsidRDefault="00E75713">
      <w:pPr>
        <w:pStyle w:val="Footnote"/>
        <w:rPr>
          <w:sz w:val="20"/>
        </w:rPr>
      </w:pPr>
      <w:r w:rsidRPr="005608E0">
        <w:rPr>
          <w:sz w:val="20"/>
        </w:rPr>
        <w:footnoteRef/>
      </w:r>
      <w:r w:rsidRPr="005608E0">
        <w:rPr>
          <w:sz w:val="20"/>
        </w:rPr>
        <w:tab/>
        <w:t xml:space="preserve">Stump, </w:t>
      </w:r>
      <w:r w:rsidR="00956DD4">
        <w:rPr>
          <w:sz w:val="20"/>
        </w:rPr>
        <w:t>‘</w:t>
      </w:r>
      <w:r w:rsidRPr="005608E0">
        <w:rPr>
          <w:sz w:val="20"/>
        </w:rPr>
        <w:t>The Nature of a Simple God</w:t>
      </w:r>
      <w:r w:rsidR="0056695A">
        <w:rPr>
          <w:sz w:val="20"/>
        </w:rPr>
        <w:t>’,</w:t>
      </w:r>
      <w:r w:rsidRPr="005608E0">
        <w:rPr>
          <w:sz w:val="20"/>
        </w:rPr>
        <w:t xml:space="preserve"> </w:t>
      </w:r>
      <w:r w:rsidR="0056695A">
        <w:rPr>
          <w:sz w:val="20"/>
        </w:rPr>
        <w:t xml:space="preserve">p. </w:t>
      </w:r>
      <w:r w:rsidR="002C2CD9">
        <w:rPr>
          <w:sz w:val="20"/>
        </w:rPr>
        <w:t>39</w:t>
      </w:r>
      <w:r w:rsidRPr="005608E0">
        <w:rPr>
          <w:sz w:val="20"/>
        </w:rPr>
        <w:t>.</w:t>
      </w:r>
    </w:p>
  </w:footnote>
  <w:footnote w:id="36">
    <w:p w:rsidR="00E75713" w:rsidRPr="005608E0" w:rsidRDefault="00E75713">
      <w:pPr>
        <w:pStyle w:val="FootnoteText"/>
      </w:pPr>
      <w:r w:rsidRPr="005608E0">
        <w:rPr>
          <w:rStyle w:val="FootnoteReference"/>
          <w:vertAlign w:val="baseline"/>
        </w:rPr>
        <w:footnoteRef/>
      </w:r>
      <w:r w:rsidR="004A1101" w:rsidRPr="005608E0">
        <w:t xml:space="preserve">  </w:t>
      </w:r>
      <w:proofErr w:type="spellStart"/>
      <w:r w:rsidRPr="005608E0">
        <w:t>Gaven</w:t>
      </w:r>
      <w:proofErr w:type="spellEnd"/>
      <w:r w:rsidRPr="005608E0">
        <w:t xml:space="preserve"> Kerr, </w:t>
      </w:r>
      <w:r w:rsidR="00956DD4">
        <w:t>‘</w:t>
      </w:r>
      <w:r w:rsidRPr="005608E0">
        <w:t>Aquinas, Stump, and the Nature of a Simple God</w:t>
      </w:r>
      <w:r w:rsidR="0056695A">
        <w:t>’,</w:t>
      </w:r>
      <w:r w:rsidRPr="005608E0">
        <w:t xml:space="preserve"> in </w:t>
      </w:r>
      <w:r w:rsidRPr="005608E0">
        <w:rPr>
          <w:i/>
        </w:rPr>
        <w:t>American Ca</w:t>
      </w:r>
      <w:r w:rsidR="005115C9">
        <w:rPr>
          <w:i/>
        </w:rPr>
        <w:t xml:space="preserve">tholic Philosophical Quarterly, </w:t>
      </w:r>
      <w:r w:rsidR="005115C9" w:rsidRPr="005115C9">
        <w:t>vol. 9, is. 3 (</w:t>
      </w:r>
      <w:r w:rsidR="005115C9">
        <w:t xml:space="preserve">Summer </w:t>
      </w:r>
      <w:r w:rsidR="005115C9" w:rsidRPr="005115C9">
        <w:t xml:space="preserve">2016): </w:t>
      </w:r>
      <w:r w:rsidR="0056695A">
        <w:t xml:space="preserve">pp. </w:t>
      </w:r>
      <w:r w:rsidR="005115C9" w:rsidRPr="005115C9">
        <w:t>441-454.</w:t>
      </w:r>
    </w:p>
  </w:footnote>
  <w:footnote w:id="37">
    <w:p w:rsidR="00E75713" w:rsidRPr="005608E0" w:rsidRDefault="00E75713">
      <w:pPr>
        <w:pStyle w:val="Footnote"/>
        <w:rPr>
          <w:sz w:val="20"/>
        </w:rPr>
      </w:pPr>
      <w:r w:rsidRPr="005608E0">
        <w:rPr>
          <w:sz w:val="20"/>
        </w:rPr>
        <w:footnoteRef/>
      </w:r>
      <w:r w:rsidRPr="005608E0">
        <w:rPr>
          <w:sz w:val="20"/>
        </w:rPr>
        <w:tab/>
      </w:r>
      <w:r w:rsidR="004E0172">
        <w:rPr>
          <w:sz w:val="20"/>
        </w:rPr>
        <w:t xml:space="preserve">This point is readily attested to by commentators. </w:t>
      </w:r>
      <w:proofErr w:type="gramStart"/>
      <w:r w:rsidR="004E0172">
        <w:rPr>
          <w:sz w:val="20"/>
        </w:rPr>
        <w:t xml:space="preserve">C.f., </w:t>
      </w:r>
      <w:r w:rsidRPr="005608E0">
        <w:rPr>
          <w:sz w:val="20"/>
        </w:rPr>
        <w:t xml:space="preserve">Maritain, </w:t>
      </w:r>
      <w:r w:rsidR="0056695A">
        <w:rPr>
          <w:i/>
          <w:sz w:val="20"/>
        </w:rPr>
        <w:t xml:space="preserve">Degrees of Knowledge, </w:t>
      </w:r>
      <w:r w:rsidR="0056695A">
        <w:rPr>
          <w:sz w:val="20"/>
        </w:rPr>
        <w:t xml:space="preserve">pp. </w:t>
      </w:r>
      <w:r w:rsidRPr="005608E0">
        <w:rPr>
          <w:sz w:val="20"/>
        </w:rPr>
        <w:t>251-252, 299.</w:t>
      </w:r>
      <w:proofErr w:type="gramEnd"/>
      <w:r w:rsidRPr="005608E0">
        <w:rPr>
          <w:sz w:val="20"/>
        </w:rPr>
        <w:t xml:space="preserve"> See also Gilles Emery, </w:t>
      </w:r>
      <w:r w:rsidRPr="005608E0">
        <w:rPr>
          <w:i/>
          <w:iCs/>
          <w:sz w:val="20"/>
        </w:rPr>
        <w:t xml:space="preserve">Trinity, Church, Human Person </w:t>
      </w:r>
      <w:r w:rsidRPr="005608E0">
        <w:rPr>
          <w:sz w:val="20"/>
        </w:rPr>
        <w:t xml:space="preserve">(Ann Arbor, MI: </w:t>
      </w:r>
      <w:proofErr w:type="spellStart"/>
      <w:r w:rsidRPr="005608E0">
        <w:rPr>
          <w:sz w:val="20"/>
        </w:rPr>
        <w:t>Sapientia</w:t>
      </w:r>
      <w:proofErr w:type="spellEnd"/>
      <w:r w:rsidRPr="005608E0">
        <w:rPr>
          <w:sz w:val="20"/>
        </w:rPr>
        <w:t xml:space="preserve"> Press, 2007),</w:t>
      </w:r>
      <w:r w:rsidRPr="005608E0">
        <w:rPr>
          <w:i/>
          <w:iCs/>
          <w:sz w:val="20"/>
        </w:rPr>
        <w:t xml:space="preserve"> </w:t>
      </w:r>
      <w:r w:rsidR="0056695A">
        <w:rPr>
          <w:sz w:val="20"/>
        </w:rPr>
        <w:t xml:space="preserve">p. </w:t>
      </w:r>
      <w:r w:rsidRPr="005608E0">
        <w:rPr>
          <w:sz w:val="20"/>
        </w:rPr>
        <w:t xml:space="preserve">52; </w:t>
      </w:r>
      <w:r w:rsidRPr="005608E0">
        <w:rPr>
          <w:i/>
          <w:iCs/>
          <w:sz w:val="20"/>
        </w:rPr>
        <w:t xml:space="preserve">John Mortensen, Understanding St. Thomas on Analogy </w:t>
      </w:r>
      <w:r w:rsidRPr="005608E0">
        <w:rPr>
          <w:sz w:val="20"/>
        </w:rPr>
        <w:t>(PhD. diss., Rome, 2006; reprinted by Aquinas Institute for the Study of Sacred Doctrine),</w:t>
      </w:r>
      <w:r w:rsidRPr="005608E0">
        <w:rPr>
          <w:i/>
          <w:iCs/>
          <w:sz w:val="20"/>
        </w:rPr>
        <w:t xml:space="preserve"> </w:t>
      </w:r>
      <w:r w:rsidR="0056695A">
        <w:rPr>
          <w:sz w:val="20"/>
        </w:rPr>
        <w:t xml:space="preserve">pp. </w:t>
      </w:r>
      <w:r w:rsidRPr="005608E0">
        <w:rPr>
          <w:sz w:val="20"/>
        </w:rPr>
        <w:t>181-182.</w:t>
      </w:r>
    </w:p>
  </w:footnote>
  <w:footnote w:id="38">
    <w:p w:rsidR="00E75713" w:rsidRPr="005608E0" w:rsidRDefault="00E75713">
      <w:pPr>
        <w:pStyle w:val="Footnote"/>
        <w:rPr>
          <w:sz w:val="20"/>
        </w:rPr>
      </w:pPr>
      <w:r w:rsidRPr="005608E0">
        <w:rPr>
          <w:sz w:val="20"/>
        </w:rPr>
        <w:footnoteRef/>
      </w:r>
      <w:r w:rsidRPr="005608E0">
        <w:rPr>
          <w:sz w:val="20"/>
        </w:rPr>
        <w:tab/>
      </w:r>
      <w:r w:rsidR="0023128C">
        <w:rPr>
          <w:i/>
          <w:sz w:val="20"/>
        </w:rPr>
        <w:t>Summa Contra Gentiles</w:t>
      </w:r>
      <w:r w:rsidRPr="005608E0">
        <w:rPr>
          <w:sz w:val="20"/>
        </w:rPr>
        <w:t xml:space="preserve"> I.30.4 [</w:t>
      </w:r>
      <w:r w:rsidRPr="005608E0">
        <w:rPr>
          <w:color w:val="000000"/>
          <w:sz w:val="20"/>
        </w:rPr>
        <w:t xml:space="preserve">Non </w:t>
      </w:r>
      <w:proofErr w:type="spellStart"/>
      <w:r w:rsidRPr="005608E0">
        <w:rPr>
          <w:color w:val="000000"/>
          <w:sz w:val="20"/>
        </w:rPr>
        <w:t>enim</w:t>
      </w:r>
      <w:proofErr w:type="spellEnd"/>
      <w:r w:rsidRPr="005608E0">
        <w:rPr>
          <w:color w:val="000000"/>
          <w:sz w:val="20"/>
        </w:rPr>
        <w:t xml:space="preserve"> de </w:t>
      </w:r>
      <w:proofErr w:type="spellStart"/>
      <w:r w:rsidRPr="005608E0">
        <w:rPr>
          <w:color w:val="000000"/>
          <w:sz w:val="20"/>
        </w:rPr>
        <w:t>Deo</w:t>
      </w:r>
      <w:proofErr w:type="spellEnd"/>
      <w:r w:rsidRPr="005608E0">
        <w:rPr>
          <w:color w:val="000000"/>
          <w:sz w:val="20"/>
        </w:rPr>
        <w:t xml:space="preserve"> </w:t>
      </w:r>
      <w:proofErr w:type="spellStart"/>
      <w:r w:rsidRPr="005608E0">
        <w:rPr>
          <w:color w:val="000000"/>
          <w:sz w:val="20"/>
        </w:rPr>
        <w:t>capere</w:t>
      </w:r>
      <w:proofErr w:type="spellEnd"/>
      <w:r w:rsidRPr="005608E0">
        <w:rPr>
          <w:color w:val="000000"/>
          <w:sz w:val="20"/>
        </w:rPr>
        <w:t xml:space="preserve"> </w:t>
      </w:r>
      <w:proofErr w:type="spellStart"/>
      <w:r w:rsidRPr="005608E0">
        <w:rPr>
          <w:color w:val="000000"/>
          <w:sz w:val="20"/>
        </w:rPr>
        <w:t>possumus</w:t>
      </w:r>
      <w:proofErr w:type="spellEnd"/>
      <w:r w:rsidRPr="005608E0">
        <w:rPr>
          <w:color w:val="000000"/>
          <w:sz w:val="20"/>
        </w:rPr>
        <w:t xml:space="preserve"> quid </w:t>
      </w:r>
      <w:proofErr w:type="spellStart"/>
      <w:proofErr w:type="gramStart"/>
      <w:r w:rsidRPr="005608E0">
        <w:rPr>
          <w:color w:val="000000"/>
          <w:sz w:val="20"/>
        </w:rPr>
        <w:t>est</w:t>
      </w:r>
      <w:proofErr w:type="spellEnd"/>
      <w:proofErr w:type="gramEnd"/>
      <w:r w:rsidRPr="005608E0">
        <w:rPr>
          <w:color w:val="000000"/>
          <w:sz w:val="20"/>
        </w:rPr>
        <w:t xml:space="preserve">, </w:t>
      </w:r>
      <w:proofErr w:type="spellStart"/>
      <w:r w:rsidRPr="005608E0">
        <w:rPr>
          <w:color w:val="000000"/>
          <w:sz w:val="20"/>
        </w:rPr>
        <w:t>sed</w:t>
      </w:r>
      <w:proofErr w:type="spellEnd"/>
      <w:r w:rsidRPr="005608E0">
        <w:rPr>
          <w:color w:val="000000"/>
          <w:sz w:val="20"/>
        </w:rPr>
        <w:t xml:space="preserve"> quid non </w:t>
      </w:r>
      <w:proofErr w:type="spellStart"/>
      <w:r w:rsidRPr="005608E0">
        <w:rPr>
          <w:color w:val="000000"/>
          <w:sz w:val="20"/>
        </w:rPr>
        <w:t>est</w:t>
      </w:r>
      <w:proofErr w:type="spellEnd"/>
      <w:r w:rsidRPr="005608E0">
        <w:rPr>
          <w:color w:val="000000"/>
          <w:sz w:val="20"/>
        </w:rPr>
        <w:t xml:space="preserve">, et </w:t>
      </w:r>
      <w:proofErr w:type="spellStart"/>
      <w:r w:rsidRPr="005608E0">
        <w:rPr>
          <w:color w:val="000000"/>
          <w:sz w:val="20"/>
        </w:rPr>
        <w:t>qualiter</w:t>
      </w:r>
      <w:proofErr w:type="spellEnd"/>
      <w:r w:rsidRPr="005608E0">
        <w:rPr>
          <w:color w:val="000000"/>
          <w:sz w:val="20"/>
        </w:rPr>
        <w:t xml:space="preserve"> alia se </w:t>
      </w:r>
      <w:proofErr w:type="spellStart"/>
      <w:r w:rsidRPr="005608E0">
        <w:rPr>
          <w:color w:val="000000"/>
          <w:sz w:val="20"/>
        </w:rPr>
        <w:t>habeant</w:t>
      </w:r>
      <w:proofErr w:type="spellEnd"/>
      <w:r w:rsidRPr="005608E0">
        <w:rPr>
          <w:color w:val="000000"/>
          <w:sz w:val="20"/>
        </w:rPr>
        <w:t xml:space="preserve"> ad ipsum]. </w:t>
      </w:r>
      <w:proofErr w:type="gramStart"/>
      <w:r w:rsidR="0023128C" w:rsidRPr="005608E0">
        <w:rPr>
          <w:color w:val="000000"/>
          <w:sz w:val="20"/>
        </w:rPr>
        <w:t>C</w:t>
      </w:r>
      <w:r w:rsidR="0023128C">
        <w:rPr>
          <w:color w:val="000000"/>
          <w:sz w:val="20"/>
        </w:rPr>
        <w:t>.</w:t>
      </w:r>
      <w:r w:rsidRPr="005608E0">
        <w:rPr>
          <w:color w:val="000000"/>
          <w:sz w:val="20"/>
        </w:rPr>
        <w:t xml:space="preserve">f., </w:t>
      </w:r>
      <w:proofErr w:type="spellStart"/>
      <w:r w:rsidRPr="005608E0">
        <w:rPr>
          <w:i/>
          <w:iCs/>
          <w:sz w:val="20"/>
        </w:rPr>
        <w:t>Divinis</w:t>
      </w:r>
      <w:proofErr w:type="spellEnd"/>
      <w:r w:rsidRPr="005608E0">
        <w:rPr>
          <w:i/>
          <w:iCs/>
          <w:sz w:val="20"/>
        </w:rPr>
        <w:t xml:space="preserve"> </w:t>
      </w:r>
      <w:proofErr w:type="spellStart"/>
      <w:r w:rsidRPr="005608E0">
        <w:rPr>
          <w:i/>
          <w:iCs/>
          <w:sz w:val="20"/>
        </w:rPr>
        <w:t>Nominibus</w:t>
      </w:r>
      <w:proofErr w:type="spellEnd"/>
      <w:r w:rsidRPr="005608E0">
        <w:rPr>
          <w:sz w:val="20"/>
        </w:rPr>
        <w:t xml:space="preserve">, XIII-3, </w:t>
      </w:r>
      <w:proofErr w:type="spellStart"/>
      <w:r w:rsidR="0056695A">
        <w:rPr>
          <w:sz w:val="20"/>
        </w:rPr>
        <w:t>nn</w:t>
      </w:r>
      <w:proofErr w:type="spellEnd"/>
      <w:r w:rsidR="0056695A">
        <w:rPr>
          <w:sz w:val="20"/>
        </w:rPr>
        <w:t>.</w:t>
      </w:r>
      <w:proofErr w:type="gramEnd"/>
      <w:r w:rsidR="0056695A">
        <w:rPr>
          <w:sz w:val="20"/>
        </w:rPr>
        <w:t xml:space="preserve"> </w:t>
      </w:r>
      <w:r w:rsidRPr="005608E0">
        <w:rPr>
          <w:sz w:val="20"/>
        </w:rPr>
        <w:t xml:space="preserve">88-108. </w:t>
      </w:r>
    </w:p>
  </w:footnote>
  <w:footnote w:id="39">
    <w:p w:rsidR="00E75713" w:rsidRPr="005608E0" w:rsidRDefault="00E75713" w:rsidP="00F72033">
      <w:pPr>
        <w:pStyle w:val="Footnote"/>
        <w:rPr>
          <w:sz w:val="20"/>
        </w:rPr>
      </w:pPr>
      <w:r w:rsidRPr="005608E0">
        <w:rPr>
          <w:sz w:val="20"/>
        </w:rPr>
        <w:footnoteRef/>
      </w:r>
      <w:r w:rsidRPr="005608E0">
        <w:rPr>
          <w:sz w:val="20"/>
        </w:rPr>
        <w:tab/>
      </w:r>
      <w:proofErr w:type="gramStart"/>
      <w:r w:rsidRPr="0023128C">
        <w:rPr>
          <w:i/>
          <w:sz w:val="20"/>
        </w:rPr>
        <w:t>ST</w:t>
      </w:r>
      <w:r w:rsidRPr="005608E0">
        <w:rPr>
          <w:sz w:val="20"/>
        </w:rPr>
        <w:t xml:space="preserve"> I, q. 13, a. 11, resp.</w:t>
      </w:r>
      <w:proofErr w:type="gramEnd"/>
      <w:r w:rsidRPr="005608E0">
        <w:rPr>
          <w:sz w:val="20"/>
        </w:rPr>
        <w:t xml:space="preserve"> </w:t>
      </w:r>
    </w:p>
  </w:footnote>
  <w:footnote w:id="40">
    <w:p w:rsidR="00E75713" w:rsidRPr="005608E0" w:rsidRDefault="00E75713">
      <w:pPr>
        <w:pStyle w:val="FootnoteText"/>
      </w:pPr>
      <w:r w:rsidRPr="005608E0">
        <w:rPr>
          <w:rStyle w:val="FootnoteReference"/>
          <w:vertAlign w:val="baseline"/>
        </w:rPr>
        <w:footnoteRef/>
      </w:r>
      <w:r w:rsidRPr="005608E0">
        <w:t xml:space="preserve"> </w:t>
      </w:r>
      <w:r w:rsidR="001A5116">
        <w:t xml:space="preserve"> </w:t>
      </w:r>
      <w:proofErr w:type="gramStart"/>
      <w:r w:rsidR="004A1101" w:rsidRPr="0023128C">
        <w:rPr>
          <w:i/>
        </w:rPr>
        <w:t>ST</w:t>
      </w:r>
      <w:r w:rsidR="004A1101" w:rsidRPr="005608E0">
        <w:t xml:space="preserve"> I, q. 5, a. 1.</w:t>
      </w:r>
      <w:proofErr w:type="gramEnd"/>
      <w:r w:rsidR="004A1101" w:rsidRPr="005608E0">
        <w:t xml:space="preserve"> </w:t>
      </w:r>
    </w:p>
  </w:footnote>
  <w:footnote w:id="41">
    <w:p w:rsidR="00E75713" w:rsidRPr="005608E0" w:rsidRDefault="00E75713" w:rsidP="00C85F8E">
      <w:pPr>
        <w:pStyle w:val="FootnoteText"/>
      </w:pPr>
      <w:r w:rsidRPr="005608E0">
        <w:rPr>
          <w:rStyle w:val="FootnoteReference"/>
          <w:vertAlign w:val="baseline"/>
        </w:rPr>
        <w:footnoteRef/>
      </w:r>
      <w:r w:rsidRPr="005608E0">
        <w:t xml:space="preserve"> </w:t>
      </w:r>
      <w:r w:rsidR="00105824">
        <w:t xml:space="preserve"> </w:t>
      </w:r>
      <w:r w:rsidR="0056695A">
        <w:rPr>
          <w:i/>
        </w:rPr>
        <w:t xml:space="preserve">ST </w:t>
      </w:r>
      <w:r w:rsidR="0056695A">
        <w:t>I, q.5, a. 1</w:t>
      </w:r>
      <w:r w:rsidRPr="005608E0">
        <w:t xml:space="preserve">, ad. 1. </w:t>
      </w:r>
    </w:p>
  </w:footnote>
  <w:footnote w:id="42">
    <w:p w:rsidR="00E75713" w:rsidRPr="005608E0" w:rsidRDefault="00E75713">
      <w:pPr>
        <w:pStyle w:val="Footnote"/>
        <w:rPr>
          <w:sz w:val="20"/>
        </w:rPr>
      </w:pPr>
      <w:r w:rsidRPr="005608E0">
        <w:rPr>
          <w:sz w:val="20"/>
        </w:rPr>
        <w:footnoteRef/>
      </w:r>
      <w:r w:rsidRPr="005608E0">
        <w:rPr>
          <w:sz w:val="20"/>
        </w:rPr>
        <w:tab/>
        <w:t>Maritain</w:t>
      </w:r>
      <w:r w:rsidR="004E0172">
        <w:rPr>
          <w:sz w:val="20"/>
        </w:rPr>
        <w:t xml:space="preserve"> gives a theory of these terms that I think complements my own in </w:t>
      </w:r>
      <w:r w:rsidR="004E0172">
        <w:rPr>
          <w:i/>
          <w:sz w:val="20"/>
        </w:rPr>
        <w:t>Degrees of Knowledge</w:t>
      </w:r>
      <w:r w:rsidRPr="005608E0">
        <w:rPr>
          <w:sz w:val="20"/>
        </w:rPr>
        <w:t xml:space="preserve">, </w:t>
      </w:r>
      <w:r w:rsidR="0056695A">
        <w:rPr>
          <w:sz w:val="20"/>
        </w:rPr>
        <w:t xml:space="preserve">p. </w:t>
      </w:r>
      <w:r w:rsidRPr="005608E0">
        <w:rPr>
          <w:sz w:val="20"/>
        </w:rPr>
        <w:t>240</w:t>
      </w:r>
      <w:r w:rsidR="004E0172">
        <w:rPr>
          <w:sz w:val="20"/>
        </w:rPr>
        <w:t xml:space="preserve">; it also coheres well with the aforementioned way </w:t>
      </w:r>
      <w:proofErr w:type="spellStart"/>
      <w:r w:rsidR="004E0172">
        <w:rPr>
          <w:sz w:val="20"/>
        </w:rPr>
        <w:t>Sokolowski</w:t>
      </w:r>
      <w:proofErr w:type="spellEnd"/>
      <w:r w:rsidR="004E0172">
        <w:rPr>
          <w:sz w:val="20"/>
        </w:rPr>
        <w:t xml:space="preserve"> has delineated </w:t>
      </w:r>
      <w:r w:rsidR="00CC71AD">
        <w:rPr>
          <w:sz w:val="20"/>
        </w:rPr>
        <w:t xml:space="preserve"> being as a </w:t>
      </w:r>
      <w:r w:rsidR="00956DD4">
        <w:rPr>
          <w:sz w:val="20"/>
        </w:rPr>
        <w:t>‘</w:t>
      </w:r>
      <w:r w:rsidR="004E0172">
        <w:rPr>
          <w:sz w:val="20"/>
        </w:rPr>
        <w:t>presentative</w:t>
      </w:r>
      <w:r w:rsidR="00956DD4">
        <w:rPr>
          <w:sz w:val="20"/>
        </w:rPr>
        <w:t>’</w:t>
      </w:r>
      <w:r w:rsidR="00CC71AD">
        <w:rPr>
          <w:sz w:val="20"/>
        </w:rPr>
        <w:t xml:space="preserve"> concept</w:t>
      </w:r>
      <w:r w:rsidR="004E0172">
        <w:rPr>
          <w:sz w:val="20"/>
        </w:rPr>
        <w:t xml:space="preserve">. </w:t>
      </w:r>
    </w:p>
  </w:footnote>
  <w:footnote w:id="43">
    <w:p w:rsidR="00E75713" w:rsidRPr="005608E0" w:rsidRDefault="00E75713">
      <w:pPr>
        <w:pStyle w:val="Footnote"/>
        <w:rPr>
          <w:sz w:val="20"/>
        </w:rPr>
      </w:pPr>
      <w:r w:rsidRPr="005608E0">
        <w:rPr>
          <w:sz w:val="20"/>
        </w:rPr>
        <w:footnoteRef/>
      </w:r>
      <w:r w:rsidRPr="005608E0">
        <w:rPr>
          <w:sz w:val="20"/>
        </w:rPr>
        <w:tab/>
      </w:r>
      <w:r w:rsidR="0056695A">
        <w:rPr>
          <w:sz w:val="20"/>
        </w:rPr>
        <w:t xml:space="preserve">Maritain, </w:t>
      </w:r>
      <w:r w:rsidR="0056695A">
        <w:rPr>
          <w:i/>
          <w:sz w:val="20"/>
        </w:rPr>
        <w:t>Degrees of Knowledge</w:t>
      </w:r>
      <w:r w:rsidRPr="005608E0">
        <w:rPr>
          <w:sz w:val="20"/>
        </w:rPr>
        <w:t xml:space="preserve">, </w:t>
      </w:r>
      <w:r w:rsidR="0056695A">
        <w:rPr>
          <w:sz w:val="20"/>
        </w:rPr>
        <w:t xml:space="preserve">pp. </w:t>
      </w:r>
      <w:r w:rsidRPr="005608E0">
        <w:rPr>
          <w:sz w:val="20"/>
        </w:rPr>
        <w:t>232-240.</w:t>
      </w:r>
    </w:p>
  </w:footnote>
  <w:footnote w:id="44">
    <w:p w:rsidR="00E75713" w:rsidRPr="005608E0" w:rsidRDefault="00E75713">
      <w:pPr>
        <w:pStyle w:val="Footnote"/>
        <w:rPr>
          <w:sz w:val="20"/>
        </w:rPr>
      </w:pPr>
      <w:r w:rsidRPr="005608E0">
        <w:rPr>
          <w:sz w:val="20"/>
        </w:rPr>
        <w:footnoteRef/>
      </w:r>
      <w:r w:rsidRPr="005608E0">
        <w:rPr>
          <w:sz w:val="20"/>
        </w:rPr>
        <w:tab/>
      </w:r>
      <w:proofErr w:type="spellStart"/>
      <w:r w:rsidR="0056695A">
        <w:rPr>
          <w:sz w:val="20"/>
        </w:rPr>
        <w:t>Wippel</w:t>
      </w:r>
      <w:proofErr w:type="spellEnd"/>
      <w:r w:rsidR="0056695A">
        <w:rPr>
          <w:sz w:val="20"/>
        </w:rPr>
        <w:t xml:space="preserve">, </w:t>
      </w:r>
      <w:r w:rsidR="0056695A">
        <w:rPr>
          <w:i/>
          <w:sz w:val="20"/>
        </w:rPr>
        <w:t xml:space="preserve">Metaphysical </w:t>
      </w:r>
      <w:proofErr w:type="gramStart"/>
      <w:r w:rsidR="0056695A">
        <w:rPr>
          <w:i/>
          <w:sz w:val="20"/>
        </w:rPr>
        <w:t>Thought</w:t>
      </w:r>
      <w:r w:rsidRPr="005608E0">
        <w:rPr>
          <w:sz w:val="20"/>
        </w:rPr>
        <w:t>,</w:t>
      </w:r>
      <w:proofErr w:type="gramEnd"/>
      <w:r w:rsidRPr="005608E0">
        <w:rPr>
          <w:sz w:val="20"/>
        </w:rPr>
        <w:t xml:space="preserve"> </w:t>
      </w:r>
      <w:r w:rsidR="0056695A">
        <w:rPr>
          <w:sz w:val="20"/>
        </w:rPr>
        <w:t xml:space="preserve">p. </w:t>
      </w:r>
      <w:r w:rsidRPr="005608E0">
        <w:rPr>
          <w:sz w:val="20"/>
        </w:rPr>
        <w:t xml:space="preserve">115. </w:t>
      </w:r>
    </w:p>
  </w:footnote>
  <w:footnote w:id="45">
    <w:p w:rsidR="00E75713" w:rsidRPr="005608E0" w:rsidRDefault="00E75713">
      <w:pPr>
        <w:pStyle w:val="Footnote"/>
        <w:rPr>
          <w:sz w:val="20"/>
        </w:rPr>
      </w:pPr>
      <w:r w:rsidRPr="005608E0">
        <w:rPr>
          <w:sz w:val="20"/>
        </w:rPr>
        <w:footnoteRef/>
      </w:r>
      <w:r w:rsidRPr="005608E0">
        <w:rPr>
          <w:sz w:val="20"/>
        </w:rPr>
        <w:tab/>
      </w:r>
      <w:proofErr w:type="gramStart"/>
      <w:r w:rsidRPr="0023128C">
        <w:rPr>
          <w:i/>
          <w:sz w:val="20"/>
        </w:rPr>
        <w:t>ST</w:t>
      </w:r>
      <w:r w:rsidRPr="005608E0">
        <w:rPr>
          <w:sz w:val="20"/>
        </w:rPr>
        <w:t xml:space="preserve"> I, q. 3, a. 5, ad.</w:t>
      </w:r>
      <w:proofErr w:type="gramEnd"/>
      <w:r w:rsidRPr="005608E0">
        <w:rPr>
          <w:sz w:val="20"/>
        </w:rPr>
        <w:t xml:space="preserve"> 1. </w:t>
      </w:r>
    </w:p>
  </w:footnote>
  <w:footnote w:id="46">
    <w:p w:rsidR="00E75713" w:rsidRPr="005608E0" w:rsidRDefault="00E75713">
      <w:pPr>
        <w:pStyle w:val="Footnote"/>
        <w:rPr>
          <w:sz w:val="20"/>
        </w:rPr>
      </w:pPr>
      <w:r w:rsidRPr="005608E0">
        <w:rPr>
          <w:sz w:val="20"/>
        </w:rPr>
        <w:footnoteRef/>
      </w:r>
      <w:r w:rsidRPr="005608E0">
        <w:rPr>
          <w:sz w:val="20"/>
        </w:rPr>
        <w:tab/>
      </w:r>
      <w:proofErr w:type="spellStart"/>
      <w:proofErr w:type="gramStart"/>
      <w:r w:rsidRPr="005608E0">
        <w:rPr>
          <w:sz w:val="20"/>
        </w:rPr>
        <w:t>Sokolowski</w:t>
      </w:r>
      <w:proofErr w:type="spellEnd"/>
      <w:r w:rsidRPr="005608E0">
        <w:rPr>
          <w:sz w:val="20"/>
        </w:rPr>
        <w:t>,</w:t>
      </w:r>
      <w:r w:rsidR="0056695A">
        <w:rPr>
          <w:sz w:val="20"/>
        </w:rPr>
        <w:t xml:space="preserve"> ‘The Science of Being as Being’, p. </w:t>
      </w:r>
      <w:r w:rsidRPr="005608E0">
        <w:rPr>
          <w:sz w:val="20"/>
        </w:rPr>
        <w:t>31.</w:t>
      </w:r>
      <w:proofErr w:type="gramEnd"/>
      <w:r w:rsidRPr="005608E0">
        <w:rPr>
          <w:sz w:val="20"/>
        </w:rPr>
        <w:t xml:space="preserve"> </w:t>
      </w:r>
    </w:p>
  </w:footnote>
  <w:footnote w:id="47">
    <w:p w:rsidR="00E75713" w:rsidRPr="005608E0" w:rsidRDefault="00E75713" w:rsidP="00E83F3A">
      <w:pPr>
        <w:pStyle w:val="Footnote"/>
        <w:rPr>
          <w:sz w:val="20"/>
        </w:rPr>
      </w:pPr>
      <w:r w:rsidRPr="005D4CBD">
        <w:rPr>
          <w:sz w:val="20"/>
        </w:rPr>
        <w:footnoteRef/>
      </w:r>
      <w:r w:rsidRPr="005D4CBD">
        <w:rPr>
          <w:sz w:val="20"/>
        </w:rPr>
        <w:tab/>
      </w:r>
      <w:proofErr w:type="gramStart"/>
      <w:r w:rsidRPr="005D4CBD">
        <w:rPr>
          <w:sz w:val="20"/>
        </w:rPr>
        <w:t xml:space="preserve">Rocca, </w:t>
      </w:r>
      <w:r w:rsidR="0056695A">
        <w:rPr>
          <w:i/>
          <w:sz w:val="20"/>
        </w:rPr>
        <w:t xml:space="preserve">Speaking the Incomprehensible God, </w:t>
      </w:r>
      <w:r w:rsidR="0056695A">
        <w:rPr>
          <w:sz w:val="20"/>
        </w:rPr>
        <w:t xml:space="preserve">p. </w:t>
      </w:r>
      <w:r w:rsidRPr="005D4CBD">
        <w:rPr>
          <w:sz w:val="20"/>
        </w:rPr>
        <w:t>350.</w:t>
      </w:r>
      <w:proofErr w:type="gramEnd"/>
      <w:r w:rsidRPr="005608E0">
        <w:rPr>
          <w:sz w:val="20"/>
        </w:rPr>
        <w:t xml:space="preserve"> </w:t>
      </w:r>
    </w:p>
  </w:footnote>
  <w:footnote w:id="48">
    <w:p w:rsidR="00E75713" w:rsidRPr="005608E0" w:rsidRDefault="00E75713" w:rsidP="00E83F3A">
      <w:pPr>
        <w:pStyle w:val="Footnote"/>
        <w:rPr>
          <w:sz w:val="20"/>
        </w:rPr>
      </w:pPr>
      <w:r w:rsidRPr="005608E0">
        <w:rPr>
          <w:sz w:val="20"/>
        </w:rPr>
        <w:footnoteRef/>
      </w:r>
      <w:r w:rsidRPr="005608E0">
        <w:rPr>
          <w:sz w:val="20"/>
        </w:rPr>
        <w:tab/>
      </w:r>
      <w:proofErr w:type="gramStart"/>
      <w:r w:rsidR="0056695A" w:rsidRPr="005D4CBD">
        <w:rPr>
          <w:sz w:val="20"/>
        </w:rPr>
        <w:t xml:space="preserve">Rocca, </w:t>
      </w:r>
      <w:r w:rsidR="0056695A">
        <w:rPr>
          <w:i/>
          <w:sz w:val="20"/>
        </w:rPr>
        <w:t xml:space="preserve">Speaking the Incomprehensible God, </w:t>
      </w:r>
      <w:r w:rsidR="0056695A">
        <w:rPr>
          <w:sz w:val="20"/>
        </w:rPr>
        <w:t xml:space="preserve">pp. </w:t>
      </w:r>
      <w:r w:rsidRPr="005608E0">
        <w:rPr>
          <w:sz w:val="20"/>
        </w:rPr>
        <w:t>150-151, 192-193.</w:t>
      </w:r>
      <w:proofErr w:type="gramEnd"/>
      <w:r w:rsidRPr="005608E0">
        <w:rPr>
          <w:sz w:val="20"/>
        </w:rPr>
        <w:t xml:space="preserve"> </w:t>
      </w:r>
    </w:p>
  </w:footnote>
  <w:footnote w:id="49">
    <w:p w:rsidR="00E75713" w:rsidRPr="005608E0" w:rsidRDefault="00E75713">
      <w:pPr>
        <w:pStyle w:val="Footnote"/>
        <w:rPr>
          <w:sz w:val="20"/>
        </w:rPr>
      </w:pPr>
      <w:r w:rsidRPr="005608E0">
        <w:rPr>
          <w:sz w:val="20"/>
        </w:rPr>
        <w:footnoteRef/>
      </w:r>
      <w:r w:rsidRPr="005608E0">
        <w:rPr>
          <w:sz w:val="20"/>
        </w:rPr>
        <w:tab/>
        <w:t xml:space="preserve">Thomas Aquinas, </w:t>
      </w:r>
      <w:r w:rsidR="00DB35D1">
        <w:rPr>
          <w:i/>
          <w:iCs/>
          <w:sz w:val="20"/>
        </w:rPr>
        <w:t xml:space="preserve">Super </w:t>
      </w:r>
      <w:proofErr w:type="spellStart"/>
      <w:r w:rsidR="00DB36CB">
        <w:rPr>
          <w:i/>
          <w:iCs/>
          <w:sz w:val="20"/>
        </w:rPr>
        <w:t>Boetium</w:t>
      </w:r>
      <w:proofErr w:type="spellEnd"/>
      <w:r w:rsidR="00DB36CB">
        <w:rPr>
          <w:i/>
          <w:iCs/>
          <w:sz w:val="20"/>
        </w:rPr>
        <w:t xml:space="preserve"> </w:t>
      </w:r>
      <w:r w:rsidR="00DB35D1">
        <w:rPr>
          <w:i/>
          <w:iCs/>
          <w:sz w:val="20"/>
        </w:rPr>
        <w:t xml:space="preserve">De </w:t>
      </w:r>
      <w:proofErr w:type="spellStart"/>
      <w:r w:rsidR="00DB35D1">
        <w:rPr>
          <w:i/>
          <w:iCs/>
          <w:sz w:val="20"/>
        </w:rPr>
        <w:t>Trinitate</w:t>
      </w:r>
      <w:proofErr w:type="spellEnd"/>
      <w:r w:rsidRPr="005608E0">
        <w:rPr>
          <w:sz w:val="20"/>
        </w:rPr>
        <w:t>, q. 6, a. 2.  cf., ST II-II, q. 180, a. 5, ad. 2.</w:t>
      </w:r>
    </w:p>
  </w:footnote>
  <w:footnote w:id="50">
    <w:p w:rsidR="00E75713" w:rsidRPr="005608E0" w:rsidRDefault="00E75713">
      <w:pPr>
        <w:pStyle w:val="Footnote"/>
        <w:rPr>
          <w:sz w:val="20"/>
        </w:rPr>
      </w:pPr>
      <w:r w:rsidRPr="005608E0">
        <w:rPr>
          <w:sz w:val="20"/>
        </w:rPr>
        <w:footnoteRef/>
      </w:r>
      <w:r w:rsidRPr="005608E0">
        <w:rPr>
          <w:sz w:val="20"/>
        </w:rPr>
        <w:tab/>
      </w:r>
      <w:r w:rsidR="00DB35D1">
        <w:rPr>
          <w:i/>
          <w:iCs/>
          <w:sz w:val="20"/>
        </w:rPr>
        <w:t xml:space="preserve">Super De </w:t>
      </w:r>
      <w:proofErr w:type="spellStart"/>
      <w:r w:rsidR="00DB35D1">
        <w:rPr>
          <w:i/>
          <w:iCs/>
          <w:sz w:val="20"/>
        </w:rPr>
        <w:t>Trinitate</w:t>
      </w:r>
      <w:proofErr w:type="spellEnd"/>
      <w:r w:rsidRPr="005608E0">
        <w:rPr>
          <w:sz w:val="20"/>
        </w:rPr>
        <w:t xml:space="preserve">, q. 6, a. 1, resp. </w:t>
      </w:r>
    </w:p>
  </w:footnote>
  <w:footnote w:id="51">
    <w:p w:rsidR="00E75713" w:rsidRPr="005608E0" w:rsidRDefault="00E75713">
      <w:pPr>
        <w:pStyle w:val="Footnote"/>
        <w:rPr>
          <w:sz w:val="20"/>
        </w:rPr>
      </w:pPr>
      <w:r w:rsidRPr="00105824">
        <w:rPr>
          <w:iCs/>
          <w:sz w:val="20"/>
        </w:rPr>
        <w:footnoteRef/>
      </w:r>
      <w:r w:rsidRPr="005608E0">
        <w:rPr>
          <w:i/>
          <w:iCs/>
          <w:sz w:val="20"/>
        </w:rPr>
        <w:tab/>
      </w:r>
      <w:r w:rsidR="00DB35D1">
        <w:rPr>
          <w:i/>
          <w:iCs/>
          <w:sz w:val="20"/>
        </w:rPr>
        <w:t xml:space="preserve">Super De </w:t>
      </w:r>
      <w:proofErr w:type="spellStart"/>
      <w:r w:rsidR="00DB35D1">
        <w:rPr>
          <w:i/>
          <w:iCs/>
          <w:sz w:val="20"/>
        </w:rPr>
        <w:t>Trinitate</w:t>
      </w:r>
      <w:proofErr w:type="spellEnd"/>
      <w:r w:rsidRPr="005608E0">
        <w:rPr>
          <w:sz w:val="20"/>
        </w:rPr>
        <w:t xml:space="preserve">, q. 6, a. 2, ad. 1. </w:t>
      </w:r>
      <w:bookmarkStart w:id="2" w:name="62"/>
      <w:bookmarkEnd w:id="2"/>
      <w:r w:rsidRPr="005608E0">
        <w:rPr>
          <w:sz w:val="20"/>
        </w:rPr>
        <w:t>[</w:t>
      </w:r>
      <w:r w:rsidRPr="005608E0">
        <w:rPr>
          <w:color w:val="000000"/>
          <w:sz w:val="20"/>
        </w:rPr>
        <w:t xml:space="preserve">Ad </w:t>
      </w:r>
      <w:proofErr w:type="spellStart"/>
      <w:r w:rsidRPr="005608E0">
        <w:rPr>
          <w:color w:val="000000"/>
          <w:sz w:val="20"/>
        </w:rPr>
        <w:t>primum</w:t>
      </w:r>
      <w:proofErr w:type="spellEnd"/>
      <w:r w:rsidRPr="005608E0">
        <w:rPr>
          <w:color w:val="000000"/>
          <w:sz w:val="20"/>
        </w:rPr>
        <w:t xml:space="preserve"> ergo </w:t>
      </w:r>
      <w:proofErr w:type="spellStart"/>
      <w:r w:rsidRPr="005608E0">
        <w:rPr>
          <w:color w:val="000000"/>
          <w:sz w:val="20"/>
        </w:rPr>
        <w:t>dicendum</w:t>
      </w:r>
      <w:proofErr w:type="spellEnd"/>
      <w:r w:rsidRPr="005608E0">
        <w:rPr>
          <w:color w:val="000000"/>
          <w:sz w:val="20"/>
        </w:rPr>
        <w:t xml:space="preserve"> quod sacra Scriptura non </w:t>
      </w:r>
      <w:proofErr w:type="spellStart"/>
      <w:r w:rsidRPr="005608E0">
        <w:rPr>
          <w:color w:val="000000"/>
          <w:sz w:val="20"/>
        </w:rPr>
        <w:t>proponit</w:t>
      </w:r>
      <w:proofErr w:type="spellEnd"/>
      <w:r w:rsidRPr="005608E0">
        <w:rPr>
          <w:color w:val="000000"/>
          <w:sz w:val="20"/>
        </w:rPr>
        <w:t xml:space="preserve"> </w:t>
      </w:r>
      <w:proofErr w:type="spellStart"/>
      <w:r w:rsidRPr="005608E0">
        <w:rPr>
          <w:color w:val="000000"/>
          <w:sz w:val="20"/>
        </w:rPr>
        <w:t>nobis</w:t>
      </w:r>
      <w:proofErr w:type="spellEnd"/>
      <w:r w:rsidRPr="005608E0">
        <w:rPr>
          <w:color w:val="000000"/>
          <w:sz w:val="20"/>
        </w:rPr>
        <w:t xml:space="preserve"> </w:t>
      </w:r>
      <w:proofErr w:type="spellStart"/>
      <w:r w:rsidRPr="005608E0">
        <w:rPr>
          <w:color w:val="000000"/>
          <w:sz w:val="20"/>
        </w:rPr>
        <w:t>divina</w:t>
      </w:r>
      <w:proofErr w:type="spellEnd"/>
      <w:r w:rsidRPr="005608E0">
        <w:rPr>
          <w:color w:val="000000"/>
          <w:sz w:val="20"/>
        </w:rPr>
        <w:t xml:space="preserve"> sub </w:t>
      </w:r>
      <w:proofErr w:type="spellStart"/>
      <w:r w:rsidRPr="005608E0">
        <w:rPr>
          <w:color w:val="000000"/>
          <w:sz w:val="20"/>
        </w:rPr>
        <w:t>figuris</w:t>
      </w:r>
      <w:proofErr w:type="spellEnd"/>
      <w:r w:rsidRPr="005608E0">
        <w:rPr>
          <w:color w:val="000000"/>
          <w:sz w:val="20"/>
        </w:rPr>
        <w:t xml:space="preserve"> </w:t>
      </w:r>
      <w:proofErr w:type="spellStart"/>
      <w:r w:rsidRPr="005608E0">
        <w:rPr>
          <w:color w:val="000000"/>
          <w:sz w:val="20"/>
        </w:rPr>
        <w:t>sensibilibus</w:t>
      </w:r>
      <w:proofErr w:type="spellEnd"/>
      <w:r w:rsidRPr="005608E0">
        <w:rPr>
          <w:color w:val="000000"/>
          <w:sz w:val="20"/>
        </w:rPr>
        <w:t xml:space="preserve">, </w:t>
      </w:r>
      <w:proofErr w:type="spellStart"/>
      <w:r w:rsidRPr="005608E0">
        <w:rPr>
          <w:color w:val="000000"/>
          <w:sz w:val="20"/>
        </w:rPr>
        <w:t>ut</w:t>
      </w:r>
      <w:proofErr w:type="spellEnd"/>
      <w:r w:rsidRPr="005608E0">
        <w:rPr>
          <w:color w:val="000000"/>
          <w:sz w:val="20"/>
        </w:rPr>
        <w:t xml:space="preserve"> </w:t>
      </w:r>
      <w:proofErr w:type="spellStart"/>
      <w:r w:rsidRPr="005608E0">
        <w:rPr>
          <w:color w:val="000000"/>
          <w:sz w:val="20"/>
        </w:rPr>
        <w:t>ibi</w:t>
      </w:r>
      <w:proofErr w:type="spellEnd"/>
      <w:r w:rsidRPr="005608E0">
        <w:rPr>
          <w:color w:val="000000"/>
          <w:sz w:val="20"/>
        </w:rPr>
        <w:t xml:space="preserve"> </w:t>
      </w:r>
      <w:proofErr w:type="spellStart"/>
      <w:r w:rsidRPr="005608E0">
        <w:rPr>
          <w:color w:val="000000"/>
          <w:sz w:val="20"/>
        </w:rPr>
        <w:t>intellectus</w:t>
      </w:r>
      <w:proofErr w:type="spellEnd"/>
      <w:r w:rsidRPr="005608E0">
        <w:rPr>
          <w:color w:val="000000"/>
          <w:sz w:val="20"/>
        </w:rPr>
        <w:t xml:space="preserve"> </w:t>
      </w:r>
      <w:proofErr w:type="spellStart"/>
      <w:r w:rsidRPr="005608E0">
        <w:rPr>
          <w:color w:val="000000"/>
          <w:sz w:val="20"/>
        </w:rPr>
        <w:t>noster</w:t>
      </w:r>
      <w:proofErr w:type="spellEnd"/>
      <w:r w:rsidRPr="005608E0">
        <w:rPr>
          <w:color w:val="000000"/>
          <w:sz w:val="20"/>
        </w:rPr>
        <w:t xml:space="preserve"> </w:t>
      </w:r>
      <w:proofErr w:type="spellStart"/>
      <w:r w:rsidRPr="005608E0">
        <w:rPr>
          <w:color w:val="000000"/>
          <w:sz w:val="20"/>
        </w:rPr>
        <w:t>remaneat</w:t>
      </w:r>
      <w:proofErr w:type="spellEnd"/>
      <w:r w:rsidRPr="005608E0">
        <w:rPr>
          <w:color w:val="000000"/>
          <w:sz w:val="20"/>
        </w:rPr>
        <w:t xml:space="preserve">, </w:t>
      </w:r>
      <w:proofErr w:type="spellStart"/>
      <w:r w:rsidRPr="005608E0">
        <w:rPr>
          <w:color w:val="000000"/>
          <w:sz w:val="20"/>
        </w:rPr>
        <w:t>sed</w:t>
      </w:r>
      <w:proofErr w:type="spellEnd"/>
      <w:r w:rsidRPr="005608E0">
        <w:rPr>
          <w:color w:val="000000"/>
          <w:sz w:val="20"/>
        </w:rPr>
        <w:t xml:space="preserve"> </w:t>
      </w:r>
      <w:proofErr w:type="spellStart"/>
      <w:r w:rsidRPr="005608E0">
        <w:rPr>
          <w:color w:val="000000"/>
          <w:sz w:val="20"/>
        </w:rPr>
        <w:t>ut</w:t>
      </w:r>
      <w:proofErr w:type="spellEnd"/>
      <w:r w:rsidRPr="005608E0">
        <w:rPr>
          <w:color w:val="000000"/>
          <w:sz w:val="20"/>
        </w:rPr>
        <w:t xml:space="preserve"> ab his ad </w:t>
      </w:r>
      <w:proofErr w:type="spellStart"/>
      <w:r w:rsidRPr="005608E0">
        <w:rPr>
          <w:color w:val="000000"/>
          <w:sz w:val="20"/>
        </w:rPr>
        <w:t>immaterialia</w:t>
      </w:r>
      <w:proofErr w:type="spellEnd"/>
      <w:r w:rsidRPr="005608E0">
        <w:rPr>
          <w:color w:val="000000"/>
          <w:sz w:val="20"/>
        </w:rPr>
        <w:t xml:space="preserve"> </w:t>
      </w:r>
      <w:proofErr w:type="spellStart"/>
      <w:r w:rsidRPr="005608E0">
        <w:rPr>
          <w:color w:val="000000"/>
          <w:sz w:val="20"/>
        </w:rPr>
        <w:t>ascendat</w:t>
      </w:r>
      <w:proofErr w:type="spellEnd"/>
      <w:r w:rsidRPr="005608E0">
        <w:rPr>
          <w:color w:val="000000"/>
          <w:sz w:val="20"/>
        </w:rPr>
        <w:t xml:space="preserve">. </w:t>
      </w:r>
      <w:proofErr w:type="spellStart"/>
      <w:proofErr w:type="gramStart"/>
      <w:r w:rsidRPr="005608E0">
        <w:rPr>
          <w:color w:val="000000"/>
          <w:sz w:val="20"/>
        </w:rPr>
        <w:t>Unde</w:t>
      </w:r>
      <w:proofErr w:type="spellEnd"/>
      <w:r w:rsidRPr="005608E0">
        <w:rPr>
          <w:color w:val="000000"/>
          <w:sz w:val="20"/>
        </w:rPr>
        <w:t xml:space="preserve"> </w:t>
      </w:r>
      <w:proofErr w:type="spellStart"/>
      <w:r w:rsidRPr="005608E0">
        <w:rPr>
          <w:color w:val="000000"/>
          <w:sz w:val="20"/>
        </w:rPr>
        <w:t>etiam</w:t>
      </w:r>
      <w:proofErr w:type="spellEnd"/>
      <w:r w:rsidRPr="005608E0">
        <w:rPr>
          <w:color w:val="000000"/>
          <w:sz w:val="20"/>
        </w:rPr>
        <w:t xml:space="preserve"> per </w:t>
      </w:r>
      <w:proofErr w:type="spellStart"/>
      <w:r w:rsidRPr="005608E0">
        <w:rPr>
          <w:color w:val="000000"/>
          <w:sz w:val="20"/>
        </w:rPr>
        <w:t>vilium</w:t>
      </w:r>
      <w:proofErr w:type="spellEnd"/>
      <w:r w:rsidRPr="005608E0">
        <w:rPr>
          <w:color w:val="000000"/>
          <w:sz w:val="20"/>
        </w:rPr>
        <w:t xml:space="preserve"> </w:t>
      </w:r>
      <w:proofErr w:type="spellStart"/>
      <w:r w:rsidRPr="005608E0">
        <w:rPr>
          <w:color w:val="000000"/>
          <w:sz w:val="20"/>
        </w:rPr>
        <w:t>rerum</w:t>
      </w:r>
      <w:proofErr w:type="spellEnd"/>
      <w:r w:rsidRPr="005608E0">
        <w:rPr>
          <w:color w:val="000000"/>
          <w:sz w:val="20"/>
        </w:rPr>
        <w:t xml:space="preserve"> </w:t>
      </w:r>
      <w:proofErr w:type="spellStart"/>
      <w:r w:rsidRPr="005608E0">
        <w:rPr>
          <w:color w:val="000000"/>
          <w:sz w:val="20"/>
        </w:rPr>
        <w:t>figuras</w:t>
      </w:r>
      <w:proofErr w:type="spellEnd"/>
      <w:r w:rsidRPr="005608E0">
        <w:rPr>
          <w:color w:val="000000"/>
          <w:sz w:val="20"/>
        </w:rPr>
        <w:t xml:space="preserve"> </w:t>
      </w:r>
      <w:proofErr w:type="spellStart"/>
      <w:r w:rsidRPr="005608E0">
        <w:rPr>
          <w:color w:val="000000"/>
          <w:sz w:val="20"/>
        </w:rPr>
        <w:t>divina</w:t>
      </w:r>
      <w:proofErr w:type="spellEnd"/>
      <w:r w:rsidRPr="005608E0">
        <w:rPr>
          <w:color w:val="000000"/>
          <w:sz w:val="20"/>
        </w:rPr>
        <w:t xml:space="preserve"> </w:t>
      </w:r>
      <w:proofErr w:type="spellStart"/>
      <w:r w:rsidRPr="005608E0">
        <w:rPr>
          <w:color w:val="000000"/>
          <w:sz w:val="20"/>
        </w:rPr>
        <w:t>tradit</w:t>
      </w:r>
      <w:proofErr w:type="spellEnd"/>
      <w:r w:rsidRPr="005608E0">
        <w:rPr>
          <w:color w:val="000000"/>
          <w:sz w:val="20"/>
        </w:rPr>
        <w:t xml:space="preserve">, </w:t>
      </w:r>
      <w:proofErr w:type="spellStart"/>
      <w:r w:rsidRPr="005608E0">
        <w:rPr>
          <w:color w:val="000000"/>
          <w:sz w:val="20"/>
        </w:rPr>
        <w:t>ut</w:t>
      </w:r>
      <w:proofErr w:type="spellEnd"/>
      <w:r w:rsidRPr="005608E0">
        <w:rPr>
          <w:color w:val="000000"/>
          <w:sz w:val="20"/>
        </w:rPr>
        <w:t xml:space="preserve"> minor </w:t>
      </w:r>
      <w:proofErr w:type="spellStart"/>
      <w:r w:rsidRPr="005608E0">
        <w:rPr>
          <w:color w:val="000000"/>
          <w:sz w:val="20"/>
        </w:rPr>
        <w:t>praebeatur</w:t>
      </w:r>
      <w:proofErr w:type="spellEnd"/>
      <w:r w:rsidRPr="005608E0">
        <w:rPr>
          <w:color w:val="000000"/>
          <w:sz w:val="20"/>
        </w:rPr>
        <w:t xml:space="preserve"> </w:t>
      </w:r>
      <w:proofErr w:type="spellStart"/>
      <w:r w:rsidRPr="005608E0">
        <w:rPr>
          <w:color w:val="000000"/>
          <w:sz w:val="20"/>
        </w:rPr>
        <w:t>occasio</w:t>
      </w:r>
      <w:proofErr w:type="spellEnd"/>
      <w:r w:rsidRPr="005608E0">
        <w:rPr>
          <w:color w:val="000000"/>
          <w:sz w:val="20"/>
        </w:rPr>
        <w:t xml:space="preserve"> in </w:t>
      </w:r>
      <w:proofErr w:type="spellStart"/>
      <w:r w:rsidRPr="005608E0">
        <w:rPr>
          <w:color w:val="000000"/>
          <w:sz w:val="20"/>
        </w:rPr>
        <w:t>talibus</w:t>
      </w:r>
      <w:proofErr w:type="spellEnd"/>
      <w:r w:rsidRPr="005608E0">
        <w:rPr>
          <w:color w:val="000000"/>
          <w:sz w:val="20"/>
        </w:rPr>
        <w:t xml:space="preserve"> </w:t>
      </w:r>
      <w:proofErr w:type="spellStart"/>
      <w:r w:rsidRPr="005608E0">
        <w:rPr>
          <w:color w:val="000000"/>
          <w:sz w:val="20"/>
        </w:rPr>
        <w:t>remanendi</w:t>
      </w:r>
      <w:proofErr w:type="spellEnd"/>
      <w:r w:rsidRPr="005608E0">
        <w:rPr>
          <w:color w:val="000000"/>
          <w:sz w:val="20"/>
        </w:rPr>
        <w:t xml:space="preserve">, </w:t>
      </w:r>
      <w:proofErr w:type="spellStart"/>
      <w:r w:rsidRPr="005608E0">
        <w:rPr>
          <w:color w:val="000000"/>
          <w:sz w:val="20"/>
        </w:rPr>
        <w:t>ut</w:t>
      </w:r>
      <w:proofErr w:type="spellEnd"/>
      <w:r w:rsidRPr="005608E0">
        <w:rPr>
          <w:color w:val="000000"/>
          <w:sz w:val="20"/>
        </w:rPr>
        <w:t xml:space="preserve"> dicit Dionysius in 2 c. </w:t>
      </w:r>
      <w:proofErr w:type="spellStart"/>
      <w:r w:rsidRPr="005608E0">
        <w:rPr>
          <w:color w:val="000000"/>
          <w:sz w:val="20"/>
        </w:rPr>
        <w:t>caelestis</w:t>
      </w:r>
      <w:proofErr w:type="spellEnd"/>
      <w:r w:rsidRPr="005608E0">
        <w:rPr>
          <w:color w:val="000000"/>
          <w:sz w:val="20"/>
        </w:rPr>
        <w:t xml:space="preserve"> </w:t>
      </w:r>
      <w:proofErr w:type="spellStart"/>
      <w:r w:rsidRPr="005608E0">
        <w:rPr>
          <w:color w:val="000000"/>
          <w:sz w:val="20"/>
        </w:rPr>
        <w:t>hierarchiae</w:t>
      </w:r>
      <w:proofErr w:type="spellEnd"/>
      <w:r w:rsidRPr="005608E0">
        <w:rPr>
          <w:color w:val="000000"/>
          <w:sz w:val="20"/>
        </w:rPr>
        <w:t>.]</w:t>
      </w:r>
      <w:proofErr w:type="gramEnd"/>
    </w:p>
  </w:footnote>
  <w:footnote w:id="52">
    <w:p w:rsidR="00E75713" w:rsidRPr="005608E0" w:rsidRDefault="00E75713">
      <w:pPr>
        <w:pStyle w:val="Footnote"/>
        <w:rPr>
          <w:sz w:val="20"/>
        </w:rPr>
      </w:pPr>
      <w:r w:rsidRPr="005608E0">
        <w:rPr>
          <w:sz w:val="20"/>
        </w:rPr>
        <w:footnoteRef/>
      </w:r>
      <w:r w:rsidRPr="005608E0">
        <w:rPr>
          <w:sz w:val="20"/>
        </w:rPr>
        <w:tab/>
      </w:r>
      <w:r w:rsidRPr="005608E0">
        <w:rPr>
          <w:i/>
          <w:iCs/>
          <w:sz w:val="20"/>
        </w:rPr>
        <w:t xml:space="preserve">De </w:t>
      </w:r>
      <w:proofErr w:type="spellStart"/>
      <w:r w:rsidRPr="005608E0">
        <w:rPr>
          <w:i/>
          <w:iCs/>
          <w:sz w:val="20"/>
        </w:rPr>
        <w:t>Divinis</w:t>
      </w:r>
      <w:proofErr w:type="spellEnd"/>
      <w:r w:rsidRPr="005608E0">
        <w:rPr>
          <w:i/>
          <w:iCs/>
          <w:sz w:val="20"/>
        </w:rPr>
        <w:t xml:space="preserve"> </w:t>
      </w:r>
      <w:proofErr w:type="spellStart"/>
      <w:r w:rsidRPr="005608E0">
        <w:rPr>
          <w:i/>
          <w:iCs/>
          <w:sz w:val="20"/>
        </w:rPr>
        <w:t>Nominibus</w:t>
      </w:r>
      <w:proofErr w:type="spellEnd"/>
      <w:r w:rsidRPr="005608E0">
        <w:rPr>
          <w:sz w:val="20"/>
        </w:rPr>
        <w:t xml:space="preserve">, I-2, </w:t>
      </w:r>
      <w:proofErr w:type="spellStart"/>
      <w:r w:rsidR="0056695A">
        <w:rPr>
          <w:sz w:val="20"/>
        </w:rPr>
        <w:t>nn</w:t>
      </w:r>
      <w:proofErr w:type="spellEnd"/>
      <w:r w:rsidR="0056695A">
        <w:rPr>
          <w:sz w:val="20"/>
        </w:rPr>
        <w:t xml:space="preserve">. </w:t>
      </w:r>
      <w:r w:rsidRPr="005608E0">
        <w:rPr>
          <w:sz w:val="20"/>
        </w:rPr>
        <w:t xml:space="preserve">238-245.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6D"/>
    <w:rsid w:val="0000796F"/>
    <w:rsid w:val="00015564"/>
    <w:rsid w:val="00016D92"/>
    <w:rsid w:val="00050CEF"/>
    <w:rsid w:val="00053D78"/>
    <w:rsid w:val="00053FFA"/>
    <w:rsid w:val="000566C8"/>
    <w:rsid w:val="00056CA2"/>
    <w:rsid w:val="00072237"/>
    <w:rsid w:val="0008265D"/>
    <w:rsid w:val="00087584"/>
    <w:rsid w:val="00093FCE"/>
    <w:rsid w:val="000A1497"/>
    <w:rsid w:val="000A49D7"/>
    <w:rsid w:val="000A7C24"/>
    <w:rsid w:val="000D26B2"/>
    <w:rsid w:val="00105824"/>
    <w:rsid w:val="00122391"/>
    <w:rsid w:val="00145DB8"/>
    <w:rsid w:val="00154161"/>
    <w:rsid w:val="00160F90"/>
    <w:rsid w:val="001774FA"/>
    <w:rsid w:val="0019254C"/>
    <w:rsid w:val="001A4840"/>
    <w:rsid w:val="001A4CC8"/>
    <w:rsid w:val="001A5116"/>
    <w:rsid w:val="001A79F0"/>
    <w:rsid w:val="001C3471"/>
    <w:rsid w:val="001E0674"/>
    <w:rsid w:val="001E695C"/>
    <w:rsid w:val="001F1C61"/>
    <w:rsid w:val="002145A3"/>
    <w:rsid w:val="002160D3"/>
    <w:rsid w:val="00220454"/>
    <w:rsid w:val="002278F2"/>
    <w:rsid w:val="0023128C"/>
    <w:rsid w:val="002423B6"/>
    <w:rsid w:val="002A3C0D"/>
    <w:rsid w:val="002B4F44"/>
    <w:rsid w:val="002C2CD9"/>
    <w:rsid w:val="002D234C"/>
    <w:rsid w:val="002D6924"/>
    <w:rsid w:val="002F67DB"/>
    <w:rsid w:val="003117FD"/>
    <w:rsid w:val="0033512B"/>
    <w:rsid w:val="0034114F"/>
    <w:rsid w:val="00345A35"/>
    <w:rsid w:val="0036112E"/>
    <w:rsid w:val="00376FB1"/>
    <w:rsid w:val="00387840"/>
    <w:rsid w:val="003A5743"/>
    <w:rsid w:val="003A6CE6"/>
    <w:rsid w:val="003D7AF5"/>
    <w:rsid w:val="003F479D"/>
    <w:rsid w:val="00400591"/>
    <w:rsid w:val="004125B3"/>
    <w:rsid w:val="004249B0"/>
    <w:rsid w:val="004252EC"/>
    <w:rsid w:val="0045102D"/>
    <w:rsid w:val="0046518F"/>
    <w:rsid w:val="00474806"/>
    <w:rsid w:val="00492434"/>
    <w:rsid w:val="004A1101"/>
    <w:rsid w:val="004B44CC"/>
    <w:rsid w:val="004E0172"/>
    <w:rsid w:val="00503B37"/>
    <w:rsid w:val="005115C9"/>
    <w:rsid w:val="005125AF"/>
    <w:rsid w:val="005370AE"/>
    <w:rsid w:val="0054760B"/>
    <w:rsid w:val="0056074C"/>
    <w:rsid w:val="005608E0"/>
    <w:rsid w:val="0056695A"/>
    <w:rsid w:val="00567806"/>
    <w:rsid w:val="005D4CBD"/>
    <w:rsid w:val="005D51D8"/>
    <w:rsid w:val="005D737A"/>
    <w:rsid w:val="0062135A"/>
    <w:rsid w:val="00625A69"/>
    <w:rsid w:val="00627DA9"/>
    <w:rsid w:val="00645732"/>
    <w:rsid w:val="00655255"/>
    <w:rsid w:val="00667BBF"/>
    <w:rsid w:val="006E00B9"/>
    <w:rsid w:val="006E3068"/>
    <w:rsid w:val="006E56DA"/>
    <w:rsid w:val="00705E6D"/>
    <w:rsid w:val="007166F7"/>
    <w:rsid w:val="00717F1D"/>
    <w:rsid w:val="00720611"/>
    <w:rsid w:val="00726AFD"/>
    <w:rsid w:val="0073249E"/>
    <w:rsid w:val="00744439"/>
    <w:rsid w:val="00760BC5"/>
    <w:rsid w:val="00761EC3"/>
    <w:rsid w:val="00780B77"/>
    <w:rsid w:val="0078264E"/>
    <w:rsid w:val="007905CE"/>
    <w:rsid w:val="007953A6"/>
    <w:rsid w:val="007C3F5B"/>
    <w:rsid w:val="007D7364"/>
    <w:rsid w:val="007F7EDF"/>
    <w:rsid w:val="008048F8"/>
    <w:rsid w:val="00805774"/>
    <w:rsid w:val="00822F18"/>
    <w:rsid w:val="00832742"/>
    <w:rsid w:val="008348B1"/>
    <w:rsid w:val="00872DB4"/>
    <w:rsid w:val="00875FDB"/>
    <w:rsid w:val="00882444"/>
    <w:rsid w:val="008828AB"/>
    <w:rsid w:val="00893D9F"/>
    <w:rsid w:val="008E002A"/>
    <w:rsid w:val="008E4C36"/>
    <w:rsid w:val="008F3854"/>
    <w:rsid w:val="00905146"/>
    <w:rsid w:val="00905309"/>
    <w:rsid w:val="00916DBC"/>
    <w:rsid w:val="00924918"/>
    <w:rsid w:val="0094754C"/>
    <w:rsid w:val="00955930"/>
    <w:rsid w:val="00956DD4"/>
    <w:rsid w:val="00965A2D"/>
    <w:rsid w:val="00967CE5"/>
    <w:rsid w:val="00971547"/>
    <w:rsid w:val="00986A22"/>
    <w:rsid w:val="009952A1"/>
    <w:rsid w:val="009C34A5"/>
    <w:rsid w:val="00A13C90"/>
    <w:rsid w:val="00A1535A"/>
    <w:rsid w:val="00A30895"/>
    <w:rsid w:val="00A347F7"/>
    <w:rsid w:val="00A41577"/>
    <w:rsid w:val="00A8420E"/>
    <w:rsid w:val="00AC2731"/>
    <w:rsid w:val="00AC5350"/>
    <w:rsid w:val="00AD3C9E"/>
    <w:rsid w:val="00AE22A0"/>
    <w:rsid w:val="00B27A09"/>
    <w:rsid w:val="00B413F4"/>
    <w:rsid w:val="00B8367F"/>
    <w:rsid w:val="00B83E5D"/>
    <w:rsid w:val="00B90864"/>
    <w:rsid w:val="00B955F7"/>
    <w:rsid w:val="00BC184A"/>
    <w:rsid w:val="00BC5AFC"/>
    <w:rsid w:val="00BD316F"/>
    <w:rsid w:val="00BE40A9"/>
    <w:rsid w:val="00C06E91"/>
    <w:rsid w:val="00C14E7B"/>
    <w:rsid w:val="00C152FB"/>
    <w:rsid w:val="00C36DF7"/>
    <w:rsid w:val="00C7383E"/>
    <w:rsid w:val="00C85F8E"/>
    <w:rsid w:val="00C87A35"/>
    <w:rsid w:val="00C90A96"/>
    <w:rsid w:val="00CB3727"/>
    <w:rsid w:val="00CC543C"/>
    <w:rsid w:val="00CC71AD"/>
    <w:rsid w:val="00CD3A31"/>
    <w:rsid w:val="00D549BD"/>
    <w:rsid w:val="00D800E7"/>
    <w:rsid w:val="00DB05D2"/>
    <w:rsid w:val="00DB3062"/>
    <w:rsid w:val="00DB35D1"/>
    <w:rsid w:val="00DB36CB"/>
    <w:rsid w:val="00DF10B3"/>
    <w:rsid w:val="00E126E6"/>
    <w:rsid w:val="00E15BC0"/>
    <w:rsid w:val="00E223E6"/>
    <w:rsid w:val="00E252D3"/>
    <w:rsid w:val="00E30127"/>
    <w:rsid w:val="00E32FD8"/>
    <w:rsid w:val="00E3486E"/>
    <w:rsid w:val="00E65254"/>
    <w:rsid w:val="00E67EC7"/>
    <w:rsid w:val="00E72204"/>
    <w:rsid w:val="00E74E1E"/>
    <w:rsid w:val="00E75713"/>
    <w:rsid w:val="00E83F3A"/>
    <w:rsid w:val="00E86759"/>
    <w:rsid w:val="00EB76E1"/>
    <w:rsid w:val="00ED1E52"/>
    <w:rsid w:val="00EF2D92"/>
    <w:rsid w:val="00EF7A0A"/>
    <w:rsid w:val="00F23EDB"/>
    <w:rsid w:val="00F50C31"/>
    <w:rsid w:val="00F65F7E"/>
    <w:rsid w:val="00F72033"/>
    <w:rsid w:val="00F74F75"/>
    <w:rsid w:val="00F770E5"/>
    <w:rsid w:val="00F817B3"/>
    <w:rsid w:val="00F81C52"/>
    <w:rsid w:val="00F95BB2"/>
    <w:rsid w:val="00FB65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rsid w:val="000A49D7"/>
    <w:rPr>
      <w:sz w:val="20"/>
    </w:rPr>
  </w:style>
  <w:style w:type="character" w:customStyle="1" w:styleId="FootnoteAnchor">
    <w:name w:val="Footnote Anchor"/>
    <w:rPr>
      <w:vertAlign w:val="superscript"/>
    </w:rPr>
  </w:style>
  <w:style w:type="character" w:customStyle="1" w:styleId="InternetLink">
    <w:name w:val="Internet 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eastAsia="Microsoft YaHei"/>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ootnote">
    <w:name w:val="Footnote"/>
    <w:basedOn w:val="Normal"/>
    <w:pPr>
      <w:suppressLineNumbers/>
      <w:ind w:left="339" w:hanging="339"/>
    </w:pPr>
    <w:rPr>
      <w:szCs w:val="20"/>
    </w:rPr>
  </w:style>
  <w:style w:type="paragraph" w:customStyle="1" w:styleId="TableContents">
    <w:name w:val="Table Contents"/>
    <w:basedOn w:val="TextBody"/>
    <w:qFormat/>
  </w:style>
  <w:style w:type="paragraph" w:styleId="FootnoteText">
    <w:name w:val="footnote text"/>
    <w:basedOn w:val="Normal"/>
    <w:link w:val="FootnoteTextChar"/>
    <w:uiPriority w:val="99"/>
    <w:unhideWhenUsed/>
    <w:rsid w:val="000A49D7"/>
    <w:pPr>
      <w:ind w:left="346" w:hanging="346"/>
    </w:pPr>
    <w:rPr>
      <w:rFonts w:cs="Mangal"/>
      <w:sz w:val="20"/>
      <w:szCs w:val="18"/>
    </w:rPr>
  </w:style>
  <w:style w:type="character" w:customStyle="1" w:styleId="FootnoteTextChar">
    <w:name w:val="Footnote Text Char"/>
    <w:basedOn w:val="DefaultParagraphFont"/>
    <w:link w:val="FootnoteText"/>
    <w:uiPriority w:val="99"/>
    <w:rsid w:val="000A49D7"/>
    <w:rPr>
      <w:rFonts w:cs="Mangal"/>
      <w:color w:val="00000A"/>
      <w:szCs w:val="18"/>
    </w:rPr>
  </w:style>
  <w:style w:type="character" w:styleId="FootnoteReference">
    <w:name w:val="footnote reference"/>
    <w:basedOn w:val="DefaultParagraphFont"/>
    <w:uiPriority w:val="99"/>
    <w:semiHidden/>
    <w:unhideWhenUsed/>
    <w:rsid w:val="0046518F"/>
    <w:rPr>
      <w:vertAlign w:val="superscript"/>
    </w:rPr>
  </w:style>
  <w:style w:type="character" w:styleId="CommentReference">
    <w:name w:val="annotation reference"/>
    <w:basedOn w:val="DefaultParagraphFont"/>
    <w:uiPriority w:val="99"/>
    <w:semiHidden/>
    <w:unhideWhenUsed/>
    <w:rsid w:val="00905146"/>
    <w:rPr>
      <w:sz w:val="16"/>
      <w:szCs w:val="16"/>
    </w:rPr>
  </w:style>
  <w:style w:type="paragraph" w:styleId="CommentText">
    <w:name w:val="annotation text"/>
    <w:basedOn w:val="Normal"/>
    <w:link w:val="CommentTextChar"/>
    <w:uiPriority w:val="99"/>
    <w:semiHidden/>
    <w:unhideWhenUsed/>
    <w:rsid w:val="00905146"/>
    <w:rPr>
      <w:rFonts w:cs="Mangal"/>
      <w:sz w:val="20"/>
      <w:szCs w:val="18"/>
    </w:rPr>
  </w:style>
  <w:style w:type="character" w:customStyle="1" w:styleId="CommentTextChar">
    <w:name w:val="Comment Text Char"/>
    <w:basedOn w:val="DefaultParagraphFont"/>
    <w:link w:val="CommentText"/>
    <w:uiPriority w:val="99"/>
    <w:semiHidden/>
    <w:rsid w:val="00905146"/>
    <w:rPr>
      <w:rFonts w:cs="Mangal"/>
      <w:color w:val="00000A"/>
      <w:szCs w:val="18"/>
    </w:rPr>
  </w:style>
  <w:style w:type="paragraph" w:styleId="CommentSubject">
    <w:name w:val="annotation subject"/>
    <w:basedOn w:val="CommentText"/>
    <w:next w:val="CommentText"/>
    <w:link w:val="CommentSubjectChar"/>
    <w:uiPriority w:val="99"/>
    <w:semiHidden/>
    <w:unhideWhenUsed/>
    <w:rsid w:val="00905146"/>
    <w:rPr>
      <w:b/>
      <w:bCs/>
    </w:rPr>
  </w:style>
  <w:style w:type="character" w:customStyle="1" w:styleId="CommentSubjectChar">
    <w:name w:val="Comment Subject Char"/>
    <w:basedOn w:val="CommentTextChar"/>
    <w:link w:val="CommentSubject"/>
    <w:uiPriority w:val="99"/>
    <w:semiHidden/>
    <w:rsid w:val="00905146"/>
    <w:rPr>
      <w:rFonts w:cs="Mangal"/>
      <w:b/>
      <w:bCs/>
      <w:color w:val="00000A"/>
      <w:szCs w:val="18"/>
    </w:rPr>
  </w:style>
  <w:style w:type="paragraph" w:styleId="BalloonText">
    <w:name w:val="Balloon Text"/>
    <w:basedOn w:val="Normal"/>
    <w:link w:val="BalloonTextChar"/>
    <w:uiPriority w:val="99"/>
    <w:semiHidden/>
    <w:unhideWhenUsed/>
    <w:rsid w:val="00905146"/>
    <w:rPr>
      <w:rFonts w:ascii="Tahoma" w:hAnsi="Tahoma" w:cs="Mangal"/>
      <w:sz w:val="16"/>
      <w:szCs w:val="14"/>
    </w:rPr>
  </w:style>
  <w:style w:type="character" w:customStyle="1" w:styleId="BalloonTextChar">
    <w:name w:val="Balloon Text Char"/>
    <w:basedOn w:val="DefaultParagraphFont"/>
    <w:link w:val="BalloonText"/>
    <w:uiPriority w:val="99"/>
    <w:semiHidden/>
    <w:rsid w:val="00905146"/>
    <w:rPr>
      <w:rFonts w:ascii="Tahoma" w:hAnsi="Tahoma" w:cs="Mangal"/>
      <w:color w:val="00000A"/>
      <w:sz w:val="16"/>
      <w:szCs w:val="14"/>
    </w:rPr>
  </w:style>
  <w:style w:type="character" w:customStyle="1" w:styleId="apple-converted-space">
    <w:name w:val="apple-converted-space"/>
    <w:basedOn w:val="DefaultParagraphFont"/>
    <w:rsid w:val="00C14E7B"/>
  </w:style>
  <w:style w:type="paragraph" w:styleId="NormalWeb">
    <w:name w:val="Normal (Web)"/>
    <w:basedOn w:val="Normal"/>
    <w:uiPriority w:val="99"/>
    <w:semiHidden/>
    <w:unhideWhenUsed/>
    <w:rsid w:val="0054760B"/>
    <w:pPr>
      <w:widowControl/>
      <w:overflowPunct/>
      <w:spacing w:before="100" w:beforeAutospacing="1" w:after="100" w:afterAutospacing="1"/>
    </w:pPr>
    <w:rPr>
      <w:rFonts w:eastAsia="Times New Roman" w:cs="Times New Roman"/>
      <w:color w:val="auto"/>
      <w:lang w:eastAsia="en-US" w:bidi="ar-SA"/>
    </w:rPr>
  </w:style>
  <w:style w:type="paragraph" w:styleId="EndnoteText">
    <w:name w:val="endnote text"/>
    <w:basedOn w:val="Normal"/>
    <w:link w:val="EndnoteTextChar"/>
    <w:uiPriority w:val="99"/>
    <w:semiHidden/>
    <w:unhideWhenUsed/>
    <w:rsid w:val="001774FA"/>
    <w:rPr>
      <w:rFonts w:cs="Mangal"/>
      <w:sz w:val="20"/>
      <w:szCs w:val="18"/>
    </w:rPr>
  </w:style>
  <w:style w:type="character" w:customStyle="1" w:styleId="EndnoteTextChar">
    <w:name w:val="Endnote Text Char"/>
    <w:basedOn w:val="DefaultParagraphFont"/>
    <w:link w:val="EndnoteText"/>
    <w:uiPriority w:val="99"/>
    <w:semiHidden/>
    <w:rsid w:val="001774FA"/>
    <w:rPr>
      <w:rFonts w:cs="Mangal"/>
      <w:color w:val="00000A"/>
      <w:szCs w:val="18"/>
    </w:rPr>
  </w:style>
  <w:style w:type="character" w:styleId="EndnoteReference">
    <w:name w:val="endnote reference"/>
    <w:basedOn w:val="DefaultParagraphFont"/>
    <w:uiPriority w:val="99"/>
    <w:semiHidden/>
    <w:unhideWhenUsed/>
    <w:rsid w:val="001774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rsid w:val="000A49D7"/>
    <w:rPr>
      <w:sz w:val="20"/>
    </w:rPr>
  </w:style>
  <w:style w:type="character" w:customStyle="1" w:styleId="FootnoteAnchor">
    <w:name w:val="Footnote Anchor"/>
    <w:rPr>
      <w:vertAlign w:val="superscript"/>
    </w:rPr>
  </w:style>
  <w:style w:type="character" w:customStyle="1" w:styleId="InternetLink">
    <w:name w:val="Internet 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eastAsia="Microsoft YaHei"/>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ootnote">
    <w:name w:val="Footnote"/>
    <w:basedOn w:val="Normal"/>
    <w:pPr>
      <w:suppressLineNumbers/>
      <w:ind w:left="339" w:hanging="339"/>
    </w:pPr>
    <w:rPr>
      <w:szCs w:val="20"/>
    </w:rPr>
  </w:style>
  <w:style w:type="paragraph" w:customStyle="1" w:styleId="TableContents">
    <w:name w:val="Table Contents"/>
    <w:basedOn w:val="TextBody"/>
    <w:qFormat/>
  </w:style>
  <w:style w:type="paragraph" w:styleId="FootnoteText">
    <w:name w:val="footnote text"/>
    <w:basedOn w:val="Normal"/>
    <w:link w:val="FootnoteTextChar"/>
    <w:uiPriority w:val="99"/>
    <w:unhideWhenUsed/>
    <w:rsid w:val="000A49D7"/>
    <w:pPr>
      <w:ind w:left="346" w:hanging="346"/>
    </w:pPr>
    <w:rPr>
      <w:rFonts w:cs="Mangal"/>
      <w:sz w:val="20"/>
      <w:szCs w:val="18"/>
    </w:rPr>
  </w:style>
  <w:style w:type="character" w:customStyle="1" w:styleId="FootnoteTextChar">
    <w:name w:val="Footnote Text Char"/>
    <w:basedOn w:val="DefaultParagraphFont"/>
    <w:link w:val="FootnoteText"/>
    <w:uiPriority w:val="99"/>
    <w:rsid w:val="000A49D7"/>
    <w:rPr>
      <w:rFonts w:cs="Mangal"/>
      <w:color w:val="00000A"/>
      <w:szCs w:val="18"/>
    </w:rPr>
  </w:style>
  <w:style w:type="character" w:styleId="FootnoteReference">
    <w:name w:val="footnote reference"/>
    <w:basedOn w:val="DefaultParagraphFont"/>
    <w:uiPriority w:val="99"/>
    <w:semiHidden/>
    <w:unhideWhenUsed/>
    <w:rsid w:val="0046518F"/>
    <w:rPr>
      <w:vertAlign w:val="superscript"/>
    </w:rPr>
  </w:style>
  <w:style w:type="character" w:styleId="CommentReference">
    <w:name w:val="annotation reference"/>
    <w:basedOn w:val="DefaultParagraphFont"/>
    <w:uiPriority w:val="99"/>
    <w:semiHidden/>
    <w:unhideWhenUsed/>
    <w:rsid w:val="00905146"/>
    <w:rPr>
      <w:sz w:val="16"/>
      <w:szCs w:val="16"/>
    </w:rPr>
  </w:style>
  <w:style w:type="paragraph" w:styleId="CommentText">
    <w:name w:val="annotation text"/>
    <w:basedOn w:val="Normal"/>
    <w:link w:val="CommentTextChar"/>
    <w:uiPriority w:val="99"/>
    <w:semiHidden/>
    <w:unhideWhenUsed/>
    <w:rsid w:val="00905146"/>
    <w:rPr>
      <w:rFonts w:cs="Mangal"/>
      <w:sz w:val="20"/>
      <w:szCs w:val="18"/>
    </w:rPr>
  </w:style>
  <w:style w:type="character" w:customStyle="1" w:styleId="CommentTextChar">
    <w:name w:val="Comment Text Char"/>
    <w:basedOn w:val="DefaultParagraphFont"/>
    <w:link w:val="CommentText"/>
    <w:uiPriority w:val="99"/>
    <w:semiHidden/>
    <w:rsid w:val="00905146"/>
    <w:rPr>
      <w:rFonts w:cs="Mangal"/>
      <w:color w:val="00000A"/>
      <w:szCs w:val="18"/>
    </w:rPr>
  </w:style>
  <w:style w:type="paragraph" w:styleId="CommentSubject">
    <w:name w:val="annotation subject"/>
    <w:basedOn w:val="CommentText"/>
    <w:next w:val="CommentText"/>
    <w:link w:val="CommentSubjectChar"/>
    <w:uiPriority w:val="99"/>
    <w:semiHidden/>
    <w:unhideWhenUsed/>
    <w:rsid w:val="00905146"/>
    <w:rPr>
      <w:b/>
      <w:bCs/>
    </w:rPr>
  </w:style>
  <w:style w:type="character" w:customStyle="1" w:styleId="CommentSubjectChar">
    <w:name w:val="Comment Subject Char"/>
    <w:basedOn w:val="CommentTextChar"/>
    <w:link w:val="CommentSubject"/>
    <w:uiPriority w:val="99"/>
    <w:semiHidden/>
    <w:rsid w:val="00905146"/>
    <w:rPr>
      <w:rFonts w:cs="Mangal"/>
      <w:b/>
      <w:bCs/>
      <w:color w:val="00000A"/>
      <w:szCs w:val="18"/>
    </w:rPr>
  </w:style>
  <w:style w:type="paragraph" w:styleId="BalloonText">
    <w:name w:val="Balloon Text"/>
    <w:basedOn w:val="Normal"/>
    <w:link w:val="BalloonTextChar"/>
    <w:uiPriority w:val="99"/>
    <w:semiHidden/>
    <w:unhideWhenUsed/>
    <w:rsid w:val="00905146"/>
    <w:rPr>
      <w:rFonts w:ascii="Tahoma" w:hAnsi="Tahoma" w:cs="Mangal"/>
      <w:sz w:val="16"/>
      <w:szCs w:val="14"/>
    </w:rPr>
  </w:style>
  <w:style w:type="character" w:customStyle="1" w:styleId="BalloonTextChar">
    <w:name w:val="Balloon Text Char"/>
    <w:basedOn w:val="DefaultParagraphFont"/>
    <w:link w:val="BalloonText"/>
    <w:uiPriority w:val="99"/>
    <w:semiHidden/>
    <w:rsid w:val="00905146"/>
    <w:rPr>
      <w:rFonts w:ascii="Tahoma" w:hAnsi="Tahoma" w:cs="Mangal"/>
      <w:color w:val="00000A"/>
      <w:sz w:val="16"/>
      <w:szCs w:val="14"/>
    </w:rPr>
  </w:style>
  <w:style w:type="character" w:customStyle="1" w:styleId="apple-converted-space">
    <w:name w:val="apple-converted-space"/>
    <w:basedOn w:val="DefaultParagraphFont"/>
    <w:rsid w:val="00C14E7B"/>
  </w:style>
  <w:style w:type="paragraph" w:styleId="NormalWeb">
    <w:name w:val="Normal (Web)"/>
    <w:basedOn w:val="Normal"/>
    <w:uiPriority w:val="99"/>
    <w:semiHidden/>
    <w:unhideWhenUsed/>
    <w:rsid w:val="0054760B"/>
    <w:pPr>
      <w:widowControl/>
      <w:overflowPunct/>
      <w:spacing w:before="100" w:beforeAutospacing="1" w:after="100" w:afterAutospacing="1"/>
    </w:pPr>
    <w:rPr>
      <w:rFonts w:eastAsia="Times New Roman" w:cs="Times New Roman"/>
      <w:color w:val="auto"/>
      <w:lang w:eastAsia="en-US" w:bidi="ar-SA"/>
    </w:rPr>
  </w:style>
  <w:style w:type="paragraph" w:styleId="EndnoteText">
    <w:name w:val="endnote text"/>
    <w:basedOn w:val="Normal"/>
    <w:link w:val="EndnoteTextChar"/>
    <w:uiPriority w:val="99"/>
    <w:semiHidden/>
    <w:unhideWhenUsed/>
    <w:rsid w:val="001774FA"/>
    <w:rPr>
      <w:rFonts w:cs="Mangal"/>
      <w:sz w:val="20"/>
      <w:szCs w:val="18"/>
    </w:rPr>
  </w:style>
  <w:style w:type="character" w:customStyle="1" w:styleId="EndnoteTextChar">
    <w:name w:val="Endnote Text Char"/>
    <w:basedOn w:val="DefaultParagraphFont"/>
    <w:link w:val="EndnoteText"/>
    <w:uiPriority w:val="99"/>
    <w:semiHidden/>
    <w:rsid w:val="001774FA"/>
    <w:rPr>
      <w:rFonts w:cs="Mangal"/>
      <w:color w:val="00000A"/>
      <w:szCs w:val="18"/>
    </w:rPr>
  </w:style>
  <w:style w:type="character" w:styleId="EndnoteReference">
    <w:name w:val="endnote reference"/>
    <w:basedOn w:val="DefaultParagraphFont"/>
    <w:uiPriority w:val="99"/>
    <w:semiHidden/>
    <w:unhideWhenUsed/>
    <w:rsid w:val="00177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5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E11ACB-2918-4FF5-92CF-11668671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3187</TotalTime>
  <Pages>12</Pages>
  <Words>4452</Words>
  <Characters>25378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StMichael71</dc:creator>
  <cp:lastModifiedBy>stmichael71@gmail.com</cp:lastModifiedBy>
  <cp:revision>108</cp:revision>
  <dcterms:created xsi:type="dcterms:W3CDTF">2016-07-19T15:03:00Z</dcterms:created>
  <dcterms:modified xsi:type="dcterms:W3CDTF">2017-03-30T16:12:00Z</dcterms:modified>
  <dc:language>en-US</dc:language>
</cp:coreProperties>
</file>