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65F92" w14:textId="1FA6F207" w:rsidR="00D615CB" w:rsidRPr="00D615CB" w:rsidRDefault="00D615CB" w:rsidP="00D615CB">
      <w:pPr>
        <w:pStyle w:val="Ttulo2"/>
        <w:spacing w:line="360" w:lineRule="auto"/>
        <w:jc w:val="center"/>
        <w:rPr>
          <w:b/>
          <w:sz w:val="28"/>
          <w:szCs w:val="28"/>
        </w:rPr>
      </w:pPr>
      <w:bookmarkStart w:id="0" w:name="_Toc525207632"/>
      <w:r>
        <w:rPr>
          <w:b/>
          <w:sz w:val="28"/>
          <w:szCs w:val="28"/>
        </w:rPr>
        <w:t xml:space="preserve">Penúltimo borrador. Aparecerá en </w:t>
      </w:r>
      <w:r>
        <w:rPr>
          <w:b/>
          <w:i/>
          <w:iCs/>
          <w:sz w:val="28"/>
          <w:szCs w:val="28"/>
        </w:rPr>
        <w:t>Signos.</w:t>
      </w:r>
      <w:r>
        <w:rPr>
          <w:b/>
          <w:sz w:val="28"/>
          <w:szCs w:val="28"/>
        </w:rPr>
        <w:t xml:space="preserve"> Citar la versión definitiva</w:t>
      </w:r>
    </w:p>
    <w:p w14:paraId="3EF2016C" w14:textId="61862A01" w:rsidR="009A3691" w:rsidRPr="00B84C86" w:rsidRDefault="009A3691" w:rsidP="00AD1FD3">
      <w:pPr>
        <w:pStyle w:val="Ttulo2"/>
        <w:spacing w:line="360" w:lineRule="auto"/>
        <w:rPr>
          <w:b/>
          <w:sz w:val="28"/>
          <w:szCs w:val="28"/>
        </w:rPr>
      </w:pPr>
      <w:r w:rsidRPr="00B84C86">
        <w:rPr>
          <w:b/>
          <w:sz w:val="28"/>
          <w:szCs w:val="28"/>
        </w:rPr>
        <w:t xml:space="preserve">Desambiguación de presuposiciones anafóricas: el caso de </w:t>
      </w:r>
      <w:r w:rsidR="00BE36C5">
        <w:rPr>
          <w:b/>
          <w:sz w:val="28"/>
          <w:szCs w:val="28"/>
        </w:rPr>
        <w:t>‘</w:t>
      </w:r>
      <w:r w:rsidRPr="00B84C86">
        <w:rPr>
          <w:b/>
          <w:sz w:val="28"/>
          <w:szCs w:val="28"/>
        </w:rPr>
        <w:t>también</w:t>
      </w:r>
      <w:r w:rsidR="00BE36C5">
        <w:rPr>
          <w:b/>
          <w:sz w:val="28"/>
          <w:szCs w:val="28"/>
        </w:rPr>
        <w:t>’</w:t>
      </w:r>
      <w:r w:rsidRPr="00B84C86">
        <w:rPr>
          <w:b/>
          <w:sz w:val="28"/>
          <w:szCs w:val="28"/>
        </w:rPr>
        <w:t xml:space="preserve"> </w:t>
      </w:r>
    </w:p>
    <w:p w14:paraId="4C82BFB1" w14:textId="77777777" w:rsidR="00321CA9" w:rsidRDefault="00321CA9" w:rsidP="00321CA9">
      <w:pPr>
        <w:sectPr w:rsidR="00321CA9" w:rsidSect="0053086D">
          <w:footerReference w:type="default" r:id="rId8"/>
          <w:pgSz w:w="11909" w:h="16834"/>
          <w:pgMar w:top="1699" w:right="1699" w:bottom="1699" w:left="1699" w:header="0" w:footer="720" w:gutter="0"/>
          <w:pgNumType w:start="1"/>
          <w:cols w:space="720"/>
          <w:docGrid w:linePitch="326"/>
        </w:sectPr>
      </w:pPr>
    </w:p>
    <w:p w14:paraId="5A95A75A" w14:textId="1B6D55D6" w:rsidR="00321CA9" w:rsidRDefault="00321CA9" w:rsidP="00321CA9">
      <w:r>
        <w:t>William Jiménez-Leal</w:t>
      </w:r>
    </w:p>
    <w:p w14:paraId="75D8B9C3" w14:textId="1C25EDDA" w:rsidR="00321CA9" w:rsidRDefault="00321CA9" w:rsidP="00321CA9">
      <w:r>
        <w:t>Departamento de Psicología</w:t>
      </w:r>
    </w:p>
    <w:p w14:paraId="7622756C" w14:textId="54AE62E1" w:rsidR="00321CA9" w:rsidRDefault="00321CA9" w:rsidP="00321CA9">
      <w:r>
        <w:t xml:space="preserve">Universidad de los Andes </w:t>
      </w:r>
    </w:p>
    <w:p w14:paraId="41142B34" w14:textId="0C0F2043" w:rsidR="00321CA9" w:rsidRDefault="00321CA9" w:rsidP="00321CA9">
      <w:r>
        <w:t xml:space="preserve">Bogotá, Colombia </w:t>
      </w:r>
    </w:p>
    <w:p w14:paraId="0C2C6917" w14:textId="6039571C" w:rsidR="00321CA9" w:rsidRDefault="00000000" w:rsidP="00321CA9">
      <w:hyperlink r:id="rId9" w:history="1">
        <w:r w:rsidR="00321CA9" w:rsidRPr="006A1755">
          <w:rPr>
            <w:rStyle w:val="Hipervnculo"/>
          </w:rPr>
          <w:t>w.jimenezleal@uniandes.edu.co</w:t>
        </w:r>
      </w:hyperlink>
      <w:r w:rsidR="00321CA9">
        <w:t xml:space="preserve"> </w:t>
      </w:r>
    </w:p>
    <w:p w14:paraId="12CFA451" w14:textId="42DF746B" w:rsidR="00321CA9" w:rsidRDefault="00321CA9" w:rsidP="00321CA9"/>
    <w:p w14:paraId="1A128987" w14:textId="4CBC319E" w:rsidR="00321CA9" w:rsidRDefault="00321CA9" w:rsidP="00321CA9">
      <w:r>
        <w:t xml:space="preserve">Tomás Barrero </w:t>
      </w:r>
    </w:p>
    <w:p w14:paraId="6AC8622C" w14:textId="38090331" w:rsidR="00321CA9" w:rsidRDefault="00321CA9" w:rsidP="00321CA9">
      <w:r>
        <w:t>Departamento de Filosofía</w:t>
      </w:r>
    </w:p>
    <w:p w14:paraId="3B3EB30D" w14:textId="77777777" w:rsidR="00321CA9" w:rsidRDefault="00321CA9" w:rsidP="00321CA9">
      <w:r>
        <w:t xml:space="preserve">Universidad de los Andes </w:t>
      </w:r>
    </w:p>
    <w:p w14:paraId="6F67C087" w14:textId="0832A141" w:rsidR="00321CA9" w:rsidRDefault="00321CA9" w:rsidP="00321CA9">
      <w:r>
        <w:t xml:space="preserve">Bogotá, Colombia </w:t>
      </w:r>
    </w:p>
    <w:p w14:paraId="4CCC3575" w14:textId="6818BFA2" w:rsidR="00321CA9" w:rsidRDefault="00000000" w:rsidP="00321CA9">
      <w:hyperlink r:id="rId10" w:history="1">
        <w:r w:rsidR="00321CA9" w:rsidRPr="006A1755">
          <w:rPr>
            <w:rStyle w:val="Hipervnculo"/>
          </w:rPr>
          <w:t>ta.barrero32@uniandes.edu.co</w:t>
        </w:r>
      </w:hyperlink>
      <w:r w:rsidR="00321CA9">
        <w:t xml:space="preserve"> </w:t>
      </w:r>
    </w:p>
    <w:p w14:paraId="187C93E1" w14:textId="77777777" w:rsidR="00321CA9" w:rsidRPr="00321CA9" w:rsidRDefault="00321CA9" w:rsidP="00321CA9"/>
    <w:p w14:paraId="6E6D09AA" w14:textId="77777777" w:rsidR="00321CA9" w:rsidRDefault="00321CA9" w:rsidP="00AD1FD3">
      <w:pPr>
        <w:pStyle w:val="Ttulo2"/>
        <w:spacing w:line="360" w:lineRule="auto"/>
        <w:rPr>
          <w:sz w:val="24"/>
          <w:szCs w:val="24"/>
        </w:rPr>
        <w:sectPr w:rsidR="00321CA9" w:rsidSect="0053086D">
          <w:type w:val="continuous"/>
          <w:pgSz w:w="11909" w:h="16834"/>
          <w:pgMar w:top="1699" w:right="1699" w:bottom="1699" w:left="1699" w:header="0" w:footer="720" w:gutter="0"/>
          <w:pgNumType w:start="1"/>
          <w:cols w:num="2" w:space="720"/>
          <w:docGrid w:linePitch="326"/>
        </w:sectPr>
      </w:pPr>
    </w:p>
    <w:p w14:paraId="0F8567A6" w14:textId="7D3409BA" w:rsidR="009A3691" w:rsidRPr="0053086D" w:rsidRDefault="00D216EA" w:rsidP="00681E3D">
      <w:pPr>
        <w:pStyle w:val="Ttulo2"/>
        <w:spacing w:line="360" w:lineRule="auto"/>
        <w:jc w:val="both"/>
        <w:rPr>
          <w:b/>
          <w:bCs/>
          <w:sz w:val="24"/>
          <w:szCs w:val="24"/>
        </w:rPr>
      </w:pPr>
      <w:r w:rsidRPr="00321CA9">
        <w:rPr>
          <w:b/>
          <w:bCs/>
          <w:sz w:val="24"/>
          <w:szCs w:val="24"/>
        </w:rPr>
        <w:t>Resumen</w:t>
      </w:r>
      <w:r w:rsidR="00321CA9">
        <w:rPr>
          <w:b/>
          <w:bCs/>
          <w:sz w:val="24"/>
          <w:szCs w:val="24"/>
        </w:rPr>
        <w:t>:</w:t>
      </w:r>
      <w:r w:rsidR="0053086D">
        <w:rPr>
          <w:b/>
          <w:bCs/>
          <w:sz w:val="24"/>
          <w:szCs w:val="24"/>
        </w:rPr>
        <w:t xml:space="preserve"> </w:t>
      </w:r>
      <w:r w:rsidR="00D924DD" w:rsidRPr="0053086D">
        <w:rPr>
          <w:sz w:val="24"/>
          <w:szCs w:val="24"/>
        </w:rPr>
        <w:t xml:space="preserve">Este trabajo analiza los patrones de desambiguación de presuposiciones que se pueden considerar anafóricas </w:t>
      </w:r>
      <w:r w:rsidR="00AD2DA1">
        <w:rPr>
          <w:sz w:val="24"/>
          <w:szCs w:val="24"/>
        </w:rPr>
        <w:t>y son generadas</w:t>
      </w:r>
      <w:r w:rsidR="00D924DD" w:rsidRPr="0053086D">
        <w:rPr>
          <w:sz w:val="24"/>
          <w:szCs w:val="24"/>
        </w:rPr>
        <w:t xml:space="preserve"> </w:t>
      </w:r>
      <w:r w:rsidR="00AD2DA1">
        <w:rPr>
          <w:sz w:val="24"/>
          <w:szCs w:val="24"/>
        </w:rPr>
        <w:t xml:space="preserve">por </w:t>
      </w:r>
      <w:r w:rsidR="005B0478" w:rsidRPr="0053086D">
        <w:rPr>
          <w:sz w:val="24"/>
          <w:szCs w:val="24"/>
        </w:rPr>
        <w:t>partículas</w:t>
      </w:r>
      <w:r w:rsidR="00D924DD" w:rsidRPr="0053086D">
        <w:rPr>
          <w:sz w:val="24"/>
          <w:szCs w:val="24"/>
        </w:rPr>
        <w:t xml:space="preserve"> inde</w:t>
      </w:r>
      <w:r w:rsidR="00B032E8" w:rsidRPr="0053086D">
        <w:rPr>
          <w:sz w:val="24"/>
          <w:szCs w:val="24"/>
        </w:rPr>
        <w:t xml:space="preserve">xicales. </w:t>
      </w:r>
      <w:r w:rsidR="005B0478" w:rsidRPr="0053086D">
        <w:rPr>
          <w:sz w:val="24"/>
          <w:szCs w:val="24"/>
        </w:rPr>
        <w:t xml:space="preserve"> </w:t>
      </w:r>
      <w:r w:rsidR="00AD2DA1">
        <w:rPr>
          <w:sz w:val="24"/>
          <w:szCs w:val="24"/>
        </w:rPr>
        <w:t>E</w:t>
      </w:r>
      <w:r w:rsidR="00AD2DA1" w:rsidRPr="0053086D">
        <w:rPr>
          <w:sz w:val="24"/>
          <w:szCs w:val="24"/>
        </w:rPr>
        <w:t xml:space="preserve">n contraste con teorías recientes sobre la presuposición que privilegian la información lexical </w:t>
      </w:r>
      <w:r w:rsidR="00AD2DA1">
        <w:rPr>
          <w:sz w:val="24"/>
          <w:szCs w:val="24"/>
        </w:rPr>
        <w:t>p</w:t>
      </w:r>
      <w:r w:rsidR="005B0478" w:rsidRPr="0053086D">
        <w:rPr>
          <w:sz w:val="24"/>
          <w:szCs w:val="24"/>
        </w:rPr>
        <w:t>roponemos un análisis perspectiv</w:t>
      </w:r>
      <w:r w:rsidR="00AD2DA1">
        <w:rPr>
          <w:sz w:val="24"/>
          <w:szCs w:val="24"/>
        </w:rPr>
        <w:t>o</w:t>
      </w:r>
      <w:r w:rsidR="005B0478" w:rsidRPr="0053086D">
        <w:rPr>
          <w:sz w:val="24"/>
          <w:szCs w:val="24"/>
        </w:rPr>
        <w:t xml:space="preserve"> de la presuposición </w:t>
      </w:r>
      <w:r w:rsidR="00AD2DA1">
        <w:rPr>
          <w:sz w:val="24"/>
          <w:szCs w:val="24"/>
        </w:rPr>
        <w:t xml:space="preserve">según el cual </w:t>
      </w:r>
      <w:r w:rsidR="005B0478" w:rsidRPr="0053086D">
        <w:rPr>
          <w:sz w:val="24"/>
          <w:szCs w:val="24"/>
        </w:rPr>
        <w:t xml:space="preserve">la inferencia por defecto sobre </w:t>
      </w:r>
      <w:r w:rsidR="00AD2DA1">
        <w:rPr>
          <w:sz w:val="24"/>
          <w:szCs w:val="24"/>
        </w:rPr>
        <w:t>este tipo de</w:t>
      </w:r>
      <w:r w:rsidR="005B0478" w:rsidRPr="0053086D">
        <w:rPr>
          <w:sz w:val="24"/>
          <w:szCs w:val="24"/>
        </w:rPr>
        <w:t xml:space="preserve"> información hace uso de la perspectiva de los hablantes. </w:t>
      </w:r>
      <w:r w:rsidR="009A3691" w:rsidRPr="0053086D">
        <w:rPr>
          <w:sz w:val="24"/>
          <w:szCs w:val="24"/>
        </w:rPr>
        <w:t xml:space="preserve">En </w:t>
      </w:r>
      <w:r w:rsidR="007C3A7D">
        <w:rPr>
          <w:sz w:val="24"/>
          <w:szCs w:val="24"/>
        </w:rPr>
        <w:t>dos</w:t>
      </w:r>
      <w:r w:rsidR="009A3691" w:rsidRPr="0053086D">
        <w:rPr>
          <w:sz w:val="24"/>
          <w:szCs w:val="24"/>
        </w:rPr>
        <w:t xml:space="preserve"> </w:t>
      </w:r>
      <w:r w:rsidR="0065448A">
        <w:rPr>
          <w:sz w:val="24"/>
          <w:szCs w:val="24"/>
        </w:rPr>
        <w:t>estudios</w:t>
      </w:r>
      <w:r w:rsidR="0065448A" w:rsidRPr="0053086D">
        <w:rPr>
          <w:sz w:val="24"/>
          <w:szCs w:val="24"/>
        </w:rPr>
        <w:t xml:space="preserve"> </w:t>
      </w:r>
      <w:r w:rsidR="009A3691" w:rsidRPr="0053086D">
        <w:rPr>
          <w:sz w:val="24"/>
          <w:szCs w:val="24"/>
        </w:rPr>
        <w:t>exploramos el patrón de desambiguación de oraci</w:t>
      </w:r>
      <w:r w:rsidR="00134E8A" w:rsidRPr="0053086D">
        <w:rPr>
          <w:sz w:val="24"/>
          <w:szCs w:val="24"/>
        </w:rPr>
        <w:t>ones</w:t>
      </w:r>
      <w:r w:rsidR="009A3691" w:rsidRPr="0053086D">
        <w:rPr>
          <w:sz w:val="24"/>
          <w:szCs w:val="24"/>
        </w:rPr>
        <w:t xml:space="preserve"> que contienen la palabra </w:t>
      </w:r>
      <w:r w:rsidR="00BE36C5">
        <w:rPr>
          <w:sz w:val="24"/>
          <w:szCs w:val="24"/>
        </w:rPr>
        <w:t>‘</w:t>
      </w:r>
      <w:r w:rsidR="009A3691" w:rsidRPr="0053086D">
        <w:rPr>
          <w:sz w:val="24"/>
          <w:szCs w:val="24"/>
        </w:rPr>
        <w:t>también</w:t>
      </w:r>
      <w:r w:rsidR="00BE36C5">
        <w:rPr>
          <w:sz w:val="24"/>
          <w:szCs w:val="24"/>
        </w:rPr>
        <w:t>’</w:t>
      </w:r>
      <w:r w:rsidR="009A3691" w:rsidRPr="0053086D">
        <w:rPr>
          <w:sz w:val="24"/>
          <w:szCs w:val="24"/>
        </w:rPr>
        <w:t xml:space="preserve"> en contextos donde se usa </w:t>
      </w:r>
      <w:r w:rsidR="005758C9">
        <w:rPr>
          <w:sz w:val="24"/>
          <w:szCs w:val="24"/>
        </w:rPr>
        <w:t>el</w:t>
      </w:r>
      <w:r w:rsidR="009A3691" w:rsidRPr="0053086D">
        <w:rPr>
          <w:sz w:val="24"/>
          <w:szCs w:val="24"/>
        </w:rPr>
        <w:t xml:space="preserve"> indéx</w:t>
      </w:r>
      <w:r w:rsidR="005758C9">
        <w:rPr>
          <w:sz w:val="24"/>
          <w:szCs w:val="24"/>
        </w:rPr>
        <w:t>ico</w:t>
      </w:r>
      <w:r w:rsidR="009A3691" w:rsidRPr="0053086D">
        <w:rPr>
          <w:sz w:val="24"/>
          <w:szCs w:val="24"/>
        </w:rPr>
        <w:t xml:space="preserve"> </w:t>
      </w:r>
      <w:r w:rsidR="00BE36C5">
        <w:rPr>
          <w:sz w:val="24"/>
          <w:szCs w:val="24"/>
        </w:rPr>
        <w:t>‘</w:t>
      </w:r>
      <w:r w:rsidR="009A3691" w:rsidRPr="0053086D">
        <w:rPr>
          <w:sz w:val="24"/>
          <w:szCs w:val="24"/>
        </w:rPr>
        <w:t>yo</w:t>
      </w:r>
      <w:r w:rsidR="00BE36C5">
        <w:rPr>
          <w:sz w:val="24"/>
          <w:szCs w:val="24"/>
        </w:rPr>
        <w:t>’</w:t>
      </w:r>
      <w:r w:rsidR="009A3691" w:rsidRPr="0053086D">
        <w:rPr>
          <w:sz w:val="24"/>
          <w:szCs w:val="24"/>
        </w:rPr>
        <w:t>.</w:t>
      </w:r>
      <w:r w:rsidR="006C7821" w:rsidRPr="0053086D">
        <w:rPr>
          <w:sz w:val="24"/>
          <w:szCs w:val="24"/>
        </w:rPr>
        <w:t xml:space="preserve"> Los resultados confirman nuestra hipótesis y se discuten a la luz las principales ideas sobre presuposición</w:t>
      </w:r>
      <w:r w:rsidR="00B205DE">
        <w:rPr>
          <w:sz w:val="24"/>
          <w:szCs w:val="24"/>
        </w:rPr>
        <w:t xml:space="preserve"> y anáfora</w:t>
      </w:r>
      <w:r w:rsidR="00FD6E8F">
        <w:rPr>
          <w:sz w:val="24"/>
          <w:szCs w:val="24"/>
        </w:rPr>
        <w:t>.</w:t>
      </w:r>
      <w:r w:rsidR="002D5B9D">
        <w:rPr>
          <w:sz w:val="24"/>
          <w:szCs w:val="24"/>
        </w:rPr>
        <w:t xml:space="preserve"> A partir de estos resultados</w:t>
      </w:r>
      <w:r w:rsidR="009A3691" w:rsidRPr="0053086D">
        <w:rPr>
          <w:sz w:val="24"/>
          <w:szCs w:val="24"/>
        </w:rPr>
        <w:t xml:space="preserve"> </w:t>
      </w:r>
      <w:r w:rsidR="002D5B9D">
        <w:rPr>
          <w:sz w:val="24"/>
          <w:szCs w:val="24"/>
        </w:rPr>
        <w:t>s</w:t>
      </w:r>
      <w:r w:rsidR="009A3691" w:rsidRPr="0053086D">
        <w:rPr>
          <w:sz w:val="24"/>
          <w:szCs w:val="24"/>
        </w:rPr>
        <w:t>uger</w:t>
      </w:r>
      <w:r w:rsidR="002D5B9D">
        <w:rPr>
          <w:sz w:val="24"/>
          <w:szCs w:val="24"/>
        </w:rPr>
        <w:t>imos</w:t>
      </w:r>
      <w:r w:rsidR="009A3691" w:rsidRPr="0053086D">
        <w:rPr>
          <w:sz w:val="24"/>
          <w:szCs w:val="24"/>
        </w:rPr>
        <w:t xml:space="preserve"> algunas direcciones futuras de investigación. </w:t>
      </w:r>
    </w:p>
    <w:p w14:paraId="10BF34CF" w14:textId="779CF003" w:rsidR="0053086D" w:rsidRDefault="0042376B" w:rsidP="0053086D">
      <w:pPr>
        <w:pBdr>
          <w:top w:val="nil"/>
          <w:left w:val="nil"/>
          <w:bottom w:val="nil"/>
          <w:right w:val="nil"/>
          <w:between w:val="nil"/>
        </w:pBdr>
        <w:spacing w:line="360" w:lineRule="auto"/>
      </w:pPr>
      <w:r w:rsidRPr="00321CA9">
        <w:rPr>
          <w:b/>
          <w:bCs/>
        </w:rPr>
        <w:t>Palabras clave:</w:t>
      </w:r>
      <w:r>
        <w:t xml:space="preserve"> anáfora, ind</w:t>
      </w:r>
      <w:r w:rsidR="005758C9">
        <w:t>é</w:t>
      </w:r>
      <w:r>
        <w:t>xic</w:t>
      </w:r>
      <w:r w:rsidR="005758C9">
        <w:t>o</w:t>
      </w:r>
      <w:r>
        <w:t>s,</w:t>
      </w:r>
      <w:r w:rsidR="00832998">
        <w:t xml:space="preserve"> predicación paramétrica,</w:t>
      </w:r>
      <w:r>
        <w:t xml:space="preserve"> presuposición</w:t>
      </w:r>
      <w:r w:rsidR="004C207A">
        <w:t>, referencia, p</w:t>
      </w:r>
      <w:r w:rsidR="00F221DD">
        <w:t>erspectiva</w:t>
      </w:r>
    </w:p>
    <w:p w14:paraId="134F6559" w14:textId="77777777" w:rsidR="0053086D" w:rsidRDefault="0053086D" w:rsidP="0053086D">
      <w:pPr>
        <w:pBdr>
          <w:top w:val="nil"/>
          <w:left w:val="nil"/>
          <w:bottom w:val="nil"/>
          <w:right w:val="nil"/>
          <w:between w:val="nil"/>
        </w:pBdr>
        <w:spacing w:line="360" w:lineRule="auto"/>
      </w:pPr>
    </w:p>
    <w:p w14:paraId="340FFFDB" w14:textId="4BF5132A" w:rsidR="0053086D" w:rsidRPr="00472B3F" w:rsidRDefault="0053086D" w:rsidP="00681E3D">
      <w:pPr>
        <w:pBdr>
          <w:top w:val="nil"/>
          <w:left w:val="nil"/>
          <w:bottom w:val="nil"/>
          <w:right w:val="nil"/>
          <w:between w:val="nil"/>
        </w:pBdr>
        <w:spacing w:line="360" w:lineRule="auto"/>
        <w:jc w:val="both"/>
        <w:rPr>
          <w:lang w:val="en-US"/>
        </w:rPr>
      </w:pPr>
      <w:r w:rsidRPr="009A15FF">
        <w:rPr>
          <w:b/>
          <w:lang w:val="en-US"/>
        </w:rPr>
        <w:t>Abstract</w:t>
      </w:r>
      <w:r>
        <w:rPr>
          <w:b/>
          <w:lang w:val="en-US"/>
        </w:rPr>
        <w:t xml:space="preserve">: </w:t>
      </w:r>
      <w:r w:rsidRPr="0053086D">
        <w:rPr>
          <w:lang w:val="en-US"/>
        </w:rPr>
        <w:t xml:space="preserve">The objective of this paper is to analyze the disambiguation patterns of presuppositions, that can be considered anaphoric, in the context of the use of indexical particles. </w:t>
      </w:r>
      <w:r w:rsidRPr="00472B3F">
        <w:rPr>
          <w:lang w:val="en-US"/>
        </w:rPr>
        <w:t xml:space="preserve"> </w:t>
      </w:r>
      <w:r w:rsidR="002D5B9D">
        <w:rPr>
          <w:lang w:val="en-US"/>
        </w:rPr>
        <w:t>I</w:t>
      </w:r>
      <w:r w:rsidR="002D5B9D" w:rsidRPr="00472B3F">
        <w:rPr>
          <w:lang w:val="en-US"/>
        </w:rPr>
        <w:t>n contrast to recent theories about the presupposition, which privilege lexical information</w:t>
      </w:r>
      <w:r w:rsidR="002D5B9D">
        <w:rPr>
          <w:lang w:val="en-US"/>
        </w:rPr>
        <w:t>,</w:t>
      </w:r>
      <w:r w:rsidR="002D5B9D" w:rsidRPr="00472B3F">
        <w:rPr>
          <w:lang w:val="en-US"/>
        </w:rPr>
        <w:t xml:space="preserve"> </w:t>
      </w:r>
      <w:r w:rsidR="002D5B9D">
        <w:rPr>
          <w:lang w:val="en-US"/>
        </w:rPr>
        <w:t>w</w:t>
      </w:r>
      <w:r w:rsidRPr="00472B3F">
        <w:rPr>
          <w:lang w:val="en-US"/>
        </w:rPr>
        <w:t xml:space="preserve">e propose a perspectival analysis of the presupposition, where the default inference about the presupposition information makes use of the perspective of the speakers. In </w:t>
      </w:r>
      <w:r w:rsidR="007C3A7D">
        <w:rPr>
          <w:lang w:val="en-US"/>
        </w:rPr>
        <w:t>two</w:t>
      </w:r>
      <w:r w:rsidRPr="00472B3F">
        <w:rPr>
          <w:lang w:val="en-US"/>
        </w:rPr>
        <w:t xml:space="preserve"> </w:t>
      </w:r>
      <w:r w:rsidR="0065448A">
        <w:rPr>
          <w:lang w:val="en-US"/>
        </w:rPr>
        <w:t>studies</w:t>
      </w:r>
      <w:r w:rsidR="0065448A" w:rsidRPr="00472B3F">
        <w:rPr>
          <w:lang w:val="en-US"/>
        </w:rPr>
        <w:t xml:space="preserve"> </w:t>
      </w:r>
      <w:r w:rsidRPr="00472B3F">
        <w:rPr>
          <w:lang w:val="en-US"/>
        </w:rPr>
        <w:t xml:space="preserve">we explore the disambiguation pattern of sentences that contain the word </w:t>
      </w:r>
      <w:r w:rsidR="00BE36C5">
        <w:rPr>
          <w:lang w:val="en-US"/>
        </w:rPr>
        <w:t>‘</w:t>
      </w:r>
      <w:r w:rsidRPr="00472B3F">
        <w:rPr>
          <w:lang w:val="en-US"/>
        </w:rPr>
        <w:t>also</w:t>
      </w:r>
      <w:r w:rsidR="00BE36C5">
        <w:rPr>
          <w:lang w:val="en-US"/>
        </w:rPr>
        <w:t>’</w:t>
      </w:r>
      <w:r w:rsidRPr="00472B3F">
        <w:rPr>
          <w:lang w:val="en-US"/>
        </w:rPr>
        <w:t xml:space="preserve"> in contexts where the indexical </w:t>
      </w:r>
      <w:r w:rsidR="00BE36C5">
        <w:rPr>
          <w:lang w:val="en-US"/>
        </w:rPr>
        <w:t>‘</w:t>
      </w:r>
      <w:r w:rsidRPr="00472B3F">
        <w:rPr>
          <w:lang w:val="en-US"/>
        </w:rPr>
        <w:t>I</w:t>
      </w:r>
      <w:r w:rsidR="00BE36C5">
        <w:rPr>
          <w:lang w:val="en-US"/>
        </w:rPr>
        <w:t>’</w:t>
      </w:r>
      <w:r w:rsidRPr="00472B3F">
        <w:rPr>
          <w:lang w:val="en-US"/>
        </w:rPr>
        <w:t xml:space="preserve"> is used. The results</w:t>
      </w:r>
      <w:r w:rsidR="002D5B9D">
        <w:rPr>
          <w:lang w:val="en-US"/>
        </w:rPr>
        <w:t>, that</w:t>
      </w:r>
      <w:r w:rsidRPr="00472B3F">
        <w:rPr>
          <w:lang w:val="en-US"/>
        </w:rPr>
        <w:t xml:space="preserve"> support our hypothesis and are discussed considering the main theories about presupposition</w:t>
      </w:r>
      <w:r w:rsidR="00B205DE">
        <w:rPr>
          <w:lang w:val="en-US"/>
        </w:rPr>
        <w:t xml:space="preserve"> and anaphora</w:t>
      </w:r>
      <w:r w:rsidRPr="00472B3F">
        <w:rPr>
          <w:lang w:val="en-US"/>
        </w:rPr>
        <w:t xml:space="preserve"> </w:t>
      </w:r>
      <w:r w:rsidR="002D5B9D">
        <w:rPr>
          <w:lang w:val="en-US"/>
        </w:rPr>
        <w:t>suggest s</w:t>
      </w:r>
      <w:r w:rsidRPr="00472B3F">
        <w:rPr>
          <w:lang w:val="en-US"/>
        </w:rPr>
        <w:t>ome future research directions.</w:t>
      </w:r>
    </w:p>
    <w:p w14:paraId="28E0163A" w14:textId="77777777" w:rsidR="0053086D" w:rsidRDefault="0053086D" w:rsidP="00AD1FD3">
      <w:pPr>
        <w:pBdr>
          <w:top w:val="nil"/>
          <w:left w:val="nil"/>
          <w:bottom w:val="nil"/>
          <w:right w:val="nil"/>
          <w:between w:val="nil"/>
        </w:pBdr>
        <w:spacing w:line="360" w:lineRule="auto"/>
        <w:rPr>
          <w:b/>
          <w:bCs/>
          <w:lang w:val="en-US"/>
        </w:rPr>
      </w:pPr>
    </w:p>
    <w:p w14:paraId="0A8E5436" w14:textId="13ED1ED5" w:rsidR="009A15FF" w:rsidRDefault="0053086D" w:rsidP="00AD1FD3">
      <w:pPr>
        <w:pBdr>
          <w:top w:val="nil"/>
          <w:left w:val="nil"/>
          <w:bottom w:val="nil"/>
          <w:right w:val="nil"/>
          <w:between w:val="nil"/>
        </w:pBdr>
        <w:spacing w:line="360" w:lineRule="auto"/>
        <w:rPr>
          <w:b/>
          <w:bCs/>
          <w:lang w:val="en-US"/>
        </w:rPr>
      </w:pPr>
      <w:r w:rsidRPr="0053086D">
        <w:rPr>
          <w:b/>
          <w:bCs/>
          <w:lang w:val="en-US"/>
        </w:rPr>
        <w:lastRenderedPageBreak/>
        <w:t>Key words:</w:t>
      </w:r>
      <w:r>
        <w:rPr>
          <w:b/>
          <w:bCs/>
          <w:lang w:val="en-US"/>
        </w:rPr>
        <w:t xml:space="preserve"> </w:t>
      </w:r>
      <w:r w:rsidRPr="0053086D">
        <w:rPr>
          <w:lang w:val="en-US"/>
        </w:rPr>
        <w:t>anaphora, indexicals,</w:t>
      </w:r>
      <w:r w:rsidR="00832998">
        <w:rPr>
          <w:lang w:val="en-US"/>
        </w:rPr>
        <w:t xml:space="preserve"> parametric predication,</w:t>
      </w:r>
      <w:r w:rsidRPr="0053086D">
        <w:rPr>
          <w:lang w:val="en-US"/>
        </w:rPr>
        <w:t xml:space="preserve"> presupposition</w:t>
      </w:r>
      <w:r>
        <w:rPr>
          <w:lang w:val="en-US"/>
        </w:rPr>
        <w:t xml:space="preserve">, reference, </w:t>
      </w:r>
      <w:r w:rsidR="00F221DD">
        <w:rPr>
          <w:lang w:val="en-US"/>
        </w:rPr>
        <w:t>perspective</w:t>
      </w:r>
      <w:r>
        <w:rPr>
          <w:b/>
          <w:bCs/>
          <w:lang w:val="en-US"/>
        </w:rPr>
        <w:t xml:space="preserve"> </w:t>
      </w:r>
    </w:p>
    <w:p w14:paraId="6D60C4A6" w14:textId="77777777" w:rsidR="004E6843" w:rsidRPr="0053086D" w:rsidRDefault="004E6843" w:rsidP="00AD1FD3">
      <w:pPr>
        <w:pBdr>
          <w:top w:val="nil"/>
          <w:left w:val="nil"/>
          <w:bottom w:val="nil"/>
          <w:right w:val="nil"/>
          <w:between w:val="nil"/>
        </w:pBdr>
        <w:spacing w:line="360" w:lineRule="auto"/>
        <w:rPr>
          <w:lang w:val="en-US"/>
        </w:rPr>
      </w:pPr>
    </w:p>
    <w:bookmarkEnd w:id="0"/>
    <w:p w14:paraId="0E50E2E2" w14:textId="70B8C4A8" w:rsidR="0053086D" w:rsidRDefault="0053086D" w:rsidP="0053086D">
      <w:pPr>
        <w:spacing w:line="360" w:lineRule="auto"/>
        <w:rPr>
          <w:b/>
          <w:bCs/>
        </w:rPr>
      </w:pPr>
      <w:r w:rsidRPr="0053086D">
        <w:rPr>
          <w:b/>
          <w:bCs/>
        </w:rPr>
        <w:t>INTRODUCCIÓN</w:t>
      </w:r>
    </w:p>
    <w:p w14:paraId="2E293046" w14:textId="3EFC3D5F" w:rsidR="00A40A62" w:rsidRDefault="00675EA4" w:rsidP="00D76F28">
      <w:pPr>
        <w:spacing w:line="360" w:lineRule="auto"/>
        <w:ind w:firstLine="720"/>
        <w:jc w:val="both"/>
        <w:rPr>
          <w:iCs/>
        </w:rPr>
      </w:pPr>
      <w:bookmarkStart w:id="1" w:name="_Hlk49701259"/>
      <w:r>
        <w:t xml:space="preserve">La resolución de la ambigüedad es uno de los problemas centrales de la comprensión del lenguaje. </w:t>
      </w:r>
      <w:r w:rsidR="005758C9">
        <w:t>P</w:t>
      </w:r>
      <w:r>
        <w:t>articularmente difícil de explicar es</w:t>
      </w:r>
      <w:r w:rsidR="002D5B9D">
        <w:t xml:space="preserve"> </w:t>
      </w:r>
      <w:r>
        <w:t xml:space="preserve">el proceso de desambiguación </w:t>
      </w:r>
      <w:r w:rsidR="002D5B9D">
        <w:t>propio</w:t>
      </w:r>
      <w:r>
        <w:t xml:space="preserve"> </w:t>
      </w:r>
      <w:r w:rsidR="002D5B9D">
        <w:t>d</w:t>
      </w:r>
      <w:r>
        <w:t>e</w:t>
      </w:r>
      <w:r w:rsidR="004E6843" w:rsidRPr="006008A0">
        <w:t xml:space="preserve">l uso de adverbios de afirmación (‘también’) y de negación (‘yo no’) en el contexto del uso de pronombres </w:t>
      </w:r>
      <w:r w:rsidR="004E6843" w:rsidRPr="006008A0">
        <w:rPr>
          <w:i/>
        </w:rPr>
        <w:t>indéxicos</w:t>
      </w:r>
      <w:r w:rsidR="00343858">
        <w:rPr>
          <w:i/>
        </w:rPr>
        <w:t>.</w:t>
      </w:r>
      <w:r w:rsidR="00343858">
        <w:rPr>
          <w:iCs/>
        </w:rPr>
        <w:t xml:space="preserve"> Por ejemplo,</w:t>
      </w:r>
      <w:r w:rsidR="005F421A">
        <w:rPr>
          <w:i/>
        </w:rPr>
        <w:t xml:space="preserve"> </w:t>
      </w:r>
      <w:r w:rsidR="00BE36C5">
        <w:rPr>
          <w:iCs/>
        </w:rPr>
        <w:t>‘</w:t>
      </w:r>
      <w:r w:rsidR="00681E3D">
        <w:rPr>
          <w:iCs/>
        </w:rPr>
        <w:t>Yo también</w:t>
      </w:r>
      <w:r w:rsidR="00BE36C5">
        <w:rPr>
          <w:iCs/>
        </w:rPr>
        <w:t>’</w:t>
      </w:r>
      <w:r w:rsidR="00681E3D">
        <w:rPr>
          <w:iCs/>
        </w:rPr>
        <w:t xml:space="preserve"> admite significados diversos dependiendo del contexto de discurso</w:t>
      </w:r>
      <w:r w:rsidR="002A3577">
        <w:rPr>
          <w:iCs/>
        </w:rPr>
        <w:t>, y su</w:t>
      </w:r>
      <w:r w:rsidR="00A31E51">
        <w:rPr>
          <w:iCs/>
        </w:rPr>
        <w:t xml:space="preserve"> desambiguación </w:t>
      </w:r>
      <w:r w:rsidR="00160AB0">
        <w:rPr>
          <w:iCs/>
        </w:rPr>
        <w:t>requiere</w:t>
      </w:r>
      <w:r w:rsidR="00832998">
        <w:rPr>
          <w:iCs/>
        </w:rPr>
        <w:t xml:space="preserve"> </w:t>
      </w:r>
      <w:r w:rsidR="00A31E51">
        <w:rPr>
          <w:iCs/>
        </w:rPr>
        <w:t xml:space="preserve">identificar presuposiciones relevantes </w:t>
      </w:r>
      <w:r w:rsidR="00160AB0">
        <w:rPr>
          <w:iCs/>
        </w:rPr>
        <w:t>para</w:t>
      </w:r>
      <w:r w:rsidR="00A31E51">
        <w:rPr>
          <w:iCs/>
        </w:rPr>
        <w:t xml:space="preserve"> los hablantes</w:t>
      </w:r>
      <w:r w:rsidR="000B5A7D">
        <w:rPr>
          <w:iCs/>
        </w:rPr>
        <w:t xml:space="preserve"> y</w:t>
      </w:r>
      <w:r w:rsidR="00B205DE">
        <w:rPr>
          <w:iCs/>
        </w:rPr>
        <w:t xml:space="preserve"> relaciones de dependencia entre lo que dicen</w:t>
      </w:r>
      <w:r w:rsidR="00A31E51">
        <w:rPr>
          <w:iCs/>
        </w:rPr>
        <w:t xml:space="preserve">. Las </w:t>
      </w:r>
      <w:r w:rsidR="008E49DE">
        <w:rPr>
          <w:iCs/>
        </w:rPr>
        <w:t>explicaciones</w:t>
      </w:r>
      <w:r w:rsidR="00CA1B9A">
        <w:rPr>
          <w:iCs/>
        </w:rPr>
        <w:t xml:space="preserve"> semánticas</w:t>
      </w:r>
      <w:r w:rsidR="00A31E51">
        <w:rPr>
          <w:iCs/>
        </w:rPr>
        <w:t xml:space="preserve"> que han dominado este análisis, tanto en filosofía </w:t>
      </w:r>
      <w:r w:rsidR="00160AB0">
        <w:rPr>
          <w:iCs/>
        </w:rPr>
        <w:t xml:space="preserve">del lenguaje </w:t>
      </w:r>
      <w:r w:rsidR="00A31E51">
        <w:rPr>
          <w:iCs/>
        </w:rPr>
        <w:t xml:space="preserve">como en psicolingüística, se han caracterizado por privilegiar </w:t>
      </w:r>
      <w:r w:rsidR="00657FB3">
        <w:rPr>
          <w:iCs/>
        </w:rPr>
        <w:t>una aproximación</w:t>
      </w:r>
      <w:r w:rsidR="00B205DE">
        <w:rPr>
          <w:iCs/>
        </w:rPr>
        <w:t xml:space="preserve"> o bien</w:t>
      </w:r>
      <w:r w:rsidR="006B255B">
        <w:rPr>
          <w:iCs/>
        </w:rPr>
        <w:t xml:space="preserve"> en términos de</w:t>
      </w:r>
      <w:r w:rsidR="00D76F28">
        <w:rPr>
          <w:iCs/>
        </w:rPr>
        <w:t xml:space="preserve"> presuposiciones existenciales</w:t>
      </w:r>
      <w:r w:rsidR="006B255B">
        <w:rPr>
          <w:iCs/>
        </w:rPr>
        <w:t xml:space="preserve"> </w:t>
      </w:r>
      <w:r w:rsidR="00D76F28">
        <w:rPr>
          <w:iCs/>
        </w:rPr>
        <w:t xml:space="preserve">o bien </w:t>
      </w:r>
      <w:r w:rsidR="00B205DE">
        <w:rPr>
          <w:iCs/>
        </w:rPr>
        <w:t xml:space="preserve">de </w:t>
      </w:r>
      <w:r w:rsidR="00D76F28">
        <w:rPr>
          <w:iCs/>
        </w:rPr>
        <w:t>aquellas</w:t>
      </w:r>
      <w:r w:rsidR="006B255B">
        <w:rPr>
          <w:iCs/>
        </w:rPr>
        <w:t xml:space="preserve"> </w:t>
      </w:r>
      <w:r w:rsidR="00657FB3">
        <w:rPr>
          <w:iCs/>
        </w:rPr>
        <w:t>condiciones</w:t>
      </w:r>
      <w:r w:rsidR="00D76F28">
        <w:rPr>
          <w:iCs/>
        </w:rPr>
        <w:t xml:space="preserve"> que apelan a elementos </w:t>
      </w:r>
      <w:r w:rsidR="00657FB3">
        <w:rPr>
          <w:iCs/>
        </w:rPr>
        <w:t xml:space="preserve">léxicos </w:t>
      </w:r>
      <w:r w:rsidR="00D76F28">
        <w:rPr>
          <w:iCs/>
        </w:rPr>
        <w:t xml:space="preserve">del contexto. </w:t>
      </w:r>
    </w:p>
    <w:p w14:paraId="7B5D5864" w14:textId="3DDB0399" w:rsidR="004E6843" w:rsidRPr="008E49DE" w:rsidRDefault="003924B3" w:rsidP="008E49DE">
      <w:pPr>
        <w:spacing w:line="360" w:lineRule="auto"/>
        <w:ind w:firstLine="720"/>
        <w:jc w:val="both"/>
        <w:rPr>
          <w:iCs/>
        </w:rPr>
      </w:pPr>
      <w:r>
        <w:rPr>
          <w:iCs/>
        </w:rPr>
        <w:t xml:space="preserve">En este texto reconstruimos la explicación </w:t>
      </w:r>
      <w:r w:rsidR="00160AB0">
        <w:rPr>
          <w:iCs/>
        </w:rPr>
        <w:t xml:space="preserve">que </w:t>
      </w:r>
      <w:r>
        <w:rPr>
          <w:iCs/>
        </w:rPr>
        <w:t>ofrec</w:t>
      </w:r>
      <w:r w:rsidR="00160AB0">
        <w:rPr>
          <w:iCs/>
        </w:rPr>
        <w:t>e</w:t>
      </w:r>
      <w:r>
        <w:rPr>
          <w:iCs/>
        </w:rPr>
        <w:t xml:space="preserve"> la </w:t>
      </w:r>
      <w:r w:rsidRPr="006008A0">
        <w:t>Teoría de Representación del Discurso (TRD</w:t>
      </w:r>
      <w:r>
        <w:t>) para e</w:t>
      </w:r>
      <w:r w:rsidR="00C83128">
        <w:t>l uso conjunto de ‘también’ y las partículas indéxicas</w:t>
      </w:r>
      <w:r>
        <w:t xml:space="preserve"> e ilustramos sus dificultades. Este análisis nos permite proponer una solución novedosa </w:t>
      </w:r>
      <w:r w:rsidR="00863D7F">
        <w:rPr>
          <w:iCs/>
        </w:rPr>
        <w:t>que hemos d</w:t>
      </w:r>
      <w:r>
        <w:rPr>
          <w:iCs/>
        </w:rPr>
        <w:t>e</w:t>
      </w:r>
      <w:r w:rsidR="00863D7F">
        <w:rPr>
          <w:iCs/>
        </w:rPr>
        <w:t>n</w:t>
      </w:r>
      <w:r>
        <w:rPr>
          <w:iCs/>
        </w:rPr>
        <w:t>o</w:t>
      </w:r>
      <w:r w:rsidR="00863D7F">
        <w:rPr>
          <w:iCs/>
        </w:rPr>
        <w:t>mi</w:t>
      </w:r>
      <w:r>
        <w:rPr>
          <w:iCs/>
        </w:rPr>
        <w:t>n</w:t>
      </w:r>
      <w:r w:rsidR="00863D7F">
        <w:rPr>
          <w:iCs/>
        </w:rPr>
        <w:t xml:space="preserve">ado interpretación perspectiva de </w:t>
      </w:r>
      <w:r w:rsidR="00657FB3">
        <w:rPr>
          <w:iCs/>
        </w:rPr>
        <w:t>los indéxicos</w:t>
      </w:r>
      <w:r w:rsidR="00863D7F">
        <w:rPr>
          <w:iCs/>
        </w:rPr>
        <w:t xml:space="preserve">. </w:t>
      </w:r>
      <w:r>
        <w:rPr>
          <w:iCs/>
        </w:rPr>
        <w:t xml:space="preserve">En síntesis, si bien es razonable partir de la idea de que la </w:t>
      </w:r>
      <w:r w:rsidRPr="00E62416">
        <w:t xml:space="preserve">presuposición del significado de una oración depende de la presuposición de sus partes, la presuposición en presencia de indéxicos no puede ser entendida adecuadamente de esta forma. </w:t>
      </w:r>
      <w:r w:rsidR="00A32171" w:rsidRPr="00E62416">
        <w:t xml:space="preserve">A partir de ideas de Kaplan </w:t>
      </w:r>
      <w:r w:rsidR="00A32171" w:rsidRPr="00E62416">
        <w:fldChar w:fldCharType="begin" w:fldLock="1"/>
      </w:r>
      <w:r w:rsidR="00A32171" w:rsidRPr="00E62416">
        <w:instrText>ADDIN CSL_CITATION {"citationItems":[{"id":"ITEM-1","itemData":{"author":[{"dropping-particle":"","family":"Kaplan","given":"David","non-dropping-particle":"","parse-names":false,"suffix":""}],"container-title":"Los indéxicos y la semántica de Kaplan","editor":[{"dropping-particle":"","family":"Ezcurdia","given":"Maite","non-dropping-particle":"","parse-names":false,"suffix":""}],"id":"ITEM-1","issued":{"date-parts":[["2014"]]},"page":"51-139","publisher":"UNAM, Instituto de Investigaciones Filosóficas","publisher-place":"México, DF, México","title":"Demostrativos","type":"chapter"},"suppress-author":1,"uris":["http://www.mendeley.com/documents/?uuid=03b389f2-e9d4-4609-bf15-8c7b34530f69"]}],"mendeley":{"formattedCitation":"(2014)","plainTextFormattedCitation":"(2014)","previouslyFormattedCitation":"(2014)"},"properties":{"noteIndex":0},"schema":"https://github.com/citation-style-language/schema/raw/master/csl-citation.json"}</w:instrText>
      </w:r>
      <w:r w:rsidR="00A32171" w:rsidRPr="00E62416">
        <w:fldChar w:fldCharType="separate"/>
      </w:r>
      <w:r w:rsidR="00A32171" w:rsidRPr="00E62416">
        <w:rPr>
          <w:noProof/>
        </w:rPr>
        <w:t>(2014)</w:t>
      </w:r>
      <w:r w:rsidR="00A32171" w:rsidRPr="00E62416">
        <w:fldChar w:fldCharType="end"/>
      </w:r>
      <w:r w:rsidR="00A32171" w:rsidRPr="00E62416">
        <w:t>, prop</w:t>
      </w:r>
      <w:r w:rsidR="000B4E24">
        <w:t>onemos que los indéxicos sean</w:t>
      </w:r>
      <w:r w:rsidR="00B92AF5">
        <w:t xml:space="preserve"> formalizados</w:t>
      </w:r>
      <w:r w:rsidR="00E407CD">
        <w:t xml:space="preserve"> con</w:t>
      </w:r>
      <w:r w:rsidR="00A32171" w:rsidRPr="00E62416">
        <w:t xml:space="preserve"> variables neutras en el proceso de desambiguación</w:t>
      </w:r>
      <w:r w:rsidR="00B92AF5">
        <w:t>. Dichas variables</w:t>
      </w:r>
      <w:r w:rsidR="006B255B" w:rsidRPr="00E62416">
        <w:t xml:space="preserve"> </w:t>
      </w:r>
      <w:r w:rsidR="00A32171" w:rsidRPr="00E62416">
        <w:t>activan la represent</w:t>
      </w:r>
      <w:r w:rsidR="00B92AF5">
        <w:t>ación explícita de un agente</w:t>
      </w:r>
      <w:r w:rsidR="00A3776B" w:rsidRPr="00E62416">
        <w:t xml:space="preserve"> e inducen relaciones </w:t>
      </w:r>
      <w:r w:rsidR="000B5A7D" w:rsidRPr="00E62416">
        <w:t>an</w:t>
      </w:r>
      <w:r w:rsidR="00B92AF5">
        <w:t>afóricas depedendientes de tal</w:t>
      </w:r>
      <w:r w:rsidR="00A3776B" w:rsidRPr="00E62416">
        <w:t xml:space="preserve"> representación agencial</w:t>
      </w:r>
      <w:r w:rsidR="00A32171" w:rsidRPr="00E62416">
        <w:t xml:space="preserve">. </w:t>
      </w:r>
      <w:r w:rsidRPr="00E62416">
        <w:rPr>
          <w:iCs/>
        </w:rPr>
        <w:t>L</w:t>
      </w:r>
      <w:r w:rsidRPr="00E62416">
        <w:t>os patrones de desambiguación propios de las situaciones analizada</w:t>
      </w:r>
      <w:r w:rsidR="00160AB0" w:rsidRPr="00E62416">
        <w:t>s</w:t>
      </w:r>
      <w:r w:rsidRPr="00E62416">
        <w:t xml:space="preserve"> son ilustrados en </w:t>
      </w:r>
      <w:r w:rsidR="007C3A7D">
        <w:rPr>
          <w:iCs/>
        </w:rPr>
        <w:t xml:space="preserve">dos </w:t>
      </w:r>
      <w:r w:rsidR="001766E0" w:rsidRPr="00E62416">
        <w:rPr>
          <w:iCs/>
        </w:rPr>
        <w:t>estudios</w:t>
      </w:r>
      <w:r w:rsidR="00863D7F" w:rsidRPr="00E62416">
        <w:rPr>
          <w:iCs/>
        </w:rPr>
        <w:t xml:space="preserve"> en los que se pone a</w:t>
      </w:r>
      <w:r w:rsidR="00160AB0" w:rsidRPr="00E62416">
        <w:rPr>
          <w:iCs/>
        </w:rPr>
        <w:t xml:space="preserve"> </w:t>
      </w:r>
      <w:r w:rsidR="00863D7F" w:rsidRPr="00E62416">
        <w:rPr>
          <w:iCs/>
        </w:rPr>
        <w:t>prueba nuestra explicación y se contrast</w:t>
      </w:r>
      <w:r w:rsidRPr="00E62416">
        <w:rPr>
          <w:iCs/>
        </w:rPr>
        <w:t>a</w:t>
      </w:r>
      <w:r w:rsidR="00863D7F" w:rsidRPr="00E62416">
        <w:rPr>
          <w:iCs/>
        </w:rPr>
        <w:t xml:space="preserve"> con la </w:t>
      </w:r>
      <w:r w:rsidRPr="00E62416">
        <w:rPr>
          <w:iCs/>
        </w:rPr>
        <w:t>de</w:t>
      </w:r>
      <w:r w:rsidR="00343858">
        <w:rPr>
          <w:iCs/>
        </w:rPr>
        <w:t xml:space="preserve"> la</w:t>
      </w:r>
      <w:r w:rsidRPr="00E62416">
        <w:rPr>
          <w:iCs/>
        </w:rPr>
        <w:t xml:space="preserve"> </w:t>
      </w:r>
      <w:r w:rsidR="00863D7F" w:rsidRPr="00E62416">
        <w:rPr>
          <w:iCs/>
        </w:rPr>
        <w:t xml:space="preserve">TDR. </w:t>
      </w:r>
      <w:r w:rsidR="00A32171" w:rsidRPr="00E62416">
        <w:rPr>
          <w:iCs/>
        </w:rPr>
        <w:t xml:space="preserve">En estos </w:t>
      </w:r>
      <w:r w:rsidR="001766E0" w:rsidRPr="00E62416">
        <w:rPr>
          <w:iCs/>
        </w:rPr>
        <w:t xml:space="preserve">estudios </w:t>
      </w:r>
      <w:r w:rsidR="00A32171" w:rsidRPr="00E62416">
        <w:rPr>
          <w:iCs/>
        </w:rPr>
        <w:t xml:space="preserve">usamos distintos métodos de desambiguación con el objetivo de </w:t>
      </w:r>
      <w:r w:rsidR="00160AB0" w:rsidRPr="00E62416">
        <w:rPr>
          <w:iCs/>
        </w:rPr>
        <w:t>dotar de</w:t>
      </w:r>
      <w:r w:rsidR="00A32171" w:rsidRPr="00E62416">
        <w:rPr>
          <w:iCs/>
        </w:rPr>
        <w:t xml:space="preserve"> validez ecológica a nuestro análisis.</w:t>
      </w:r>
    </w:p>
    <w:bookmarkEnd w:id="1"/>
    <w:p w14:paraId="064141D6" w14:textId="77777777" w:rsidR="004E6843" w:rsidRPr="0053086D" w:rsidRDefault="004E6843" w:rsidP="0053086D">
      <w:pPr>
        <w:spacing w:line="360" w:lineRule="auto"/>
        <w:rPr>
          <w:b/>
          <w:bCs/>
        </w:rPr>
      </w:pPr>
    </w:p>
    <w:p w14:paraId="28A25B70" w14:textId="77777777" w:rsidR="0053086D" w:rsidRPr="005442FB" w:rsidRDefault="0053086D" w:rsidP="0053086D">
      <w:pPr>
        <w:pStyle w:val="Prrafodelista"/>
        <w:numPr>
          <w:ilvl w:val="0"/>
          <w:numId w:val="7"/>
        </w:numPr>
        <w:spacing w:line="360" w:lineRule="auto"/>
        <w:rPr>
          <w:b/>
          <w:bCs/>
        </w:rPr>
      </w:pPr>
      <w:r w:rsidRPr="005442FB">
        <w:rPr>
          <w:b/>
          <w:bCs/>
        </w:rPr>
        <w:t xml:space="preserve">Marco teórico </w:t>
      </w:r>
    </w:p>
    <w:p w14:paraId="06524AF3" w14:textId="77777777" w:rsidR="00FA5B4D" w:rsidRDefault="00FA5B4D" w:rsidP="00681E3D">
      <w:pPr>
        <w:spacing w:line="360" w:lineRule="auto"/>
        <w:ind w:firstLine="360"/>
        <w:jc w:val="both"/>
      </w:pPr>
    </w:p>
    <w:p w14:paraId="4F74BBA5" w14:textId="4ACD00C3" w:rsidR="005758C9" w:rsidRPr="00073F80" w:rsidRDefault="00CA1B9A" w:rsidP="00BF261A">
      <w:pPr>
        <w:spacing w:line="360" w:lineRule="auto"/>
        <w:ind w:firstLine="360"/>
        <w:jc w:val="both"/>
      </w:pPr>
      <w:r>
        <w:t>La noci</w:t>
      </w:r>
      <w:r w:rsidR="00790E5E">
        <w:t>ón de presuposición</w:t>
      </w:r>
      <w:r w:rsidR="00E24419">
        <w:t xml:space="preserve"> se origina</w:t>
      </w:r>
      <w:r>
        <w:t xml:space="preserve"> </w:t>
      </w:r>
      <w:r w:rsidR="00790E5E">
        <w:t>en filosof</w:t>
      </w:r>
      <w:r w:rsidR="005758C9">
        <w:t xml:space="preserve">ía del lenguaje </w:t>
      </w:r>
      <w:r w:rsidR="008E49DE">
        <w:t>en el contexto de</w:t>
      </w:r>
      <w:r w:rsidR="005758C9">
        <w:t xml:space="preserve"> discusiones</w:t>
      </w:r>
      <w:r w:rsidR="00790E5E">
        <w:t xml:space="preserve"> </w:t>
      </w:r>
      <w:r w:rsidR="008E49DE">
        <w:t>sobre</w:t>
      </w:r>
      <w:r w:rsidR="00790E5E">
        <w:t xml:space="preserve"> los efectos </w:t>
      </w:r>
      <w:r w:rsidR="00790E5E">
        <w:rPr>
          <w:i/>
        </w:rPr>
        <w:t>semánticos</w:t>
      </w:r>
      <w:r w:rsidR="00790E5E">
        <w:t xml:space="preserve"> de fallas</w:t>
      </w:r>
      <w:r w:rsidR="005758C9">
        <w:t xml:space="preserve"> de las descripciones definidas como expresiones </w:t>
      </w:r>
      <w:r w:rsidR="005758C9" w:rsidRPr="00073F80">
        <w:t>referenciales</w:t>
      </w:r>
      <w:r w:rsidRPr="00073F80">
        <w:t xml:space="preserve"> (</w:t>
      </w:r>
      <w:r w:rsidR="00C111AB" w:rsidRPr="00073F80">
        <w:t xml:space="preserve">Frege </w:t>
      </w:r>
      <w:r w:rsidR="00790E5E" w:rsidRPr="00073F80">
        <w:t>1892</w:t>
      </w:r>
      <w:r w:rsidR="000424D2" w:rsidRPr="00073F80">
        <w:t xml:space="preserve">, </w:t>
      </w:r>
      <w:r w:rsidR="00790E5E" w:rsidRPr="00073F80">
        <w:t xml:space="preserve">Strawson 1950). </w:t>
      </w:r>
      <w:r w:rsidR="00FB7D9C" w:rsidRPr="00073F80">
        <w:t xml:space="preserve">En su formulación más general, una presuposición es una condición implícita cuya satisfacción permite la evaluación semántica de una oración y cuyo incumplimiento </w:t>
      </w:r>
      <w:r w:rsidR="009D7605" w:rsidRPr="00073F80">
        <w:t xml:space="preserve">la </w:t>
      </w:r>
      <w:r w:rsidR="000424D2" w:rsidRPr="00073F80">
        <w:t>marca como semánticamente no-</w:t>
      </w:r>
      <w:r w:rsidR="00FB7D9C" w:rsidRPr="00073F80">
        <w:t>ev</w:t>
      </w:r>
      <w:r w:rsidR="00BF261A" w:rsidRPr="00073F80">
        <w:t>aluable</w:t>
      </w:r>
      <w:r w:rsidR="00E24419" w:rsidRPr="00073F80">
        <w:t>. Aunque originalmente la presuposició</w:t>
      </w:r>
      <w:r w:rsidR="00B57C51" w:rsidRPr="00073F80">
        <w:t xml:space="preserve">n se </w:t>
      </w:r>
      <w:r w:rsidR="00BD12C5" w:rsidRPr="00073F80">
        <w:t>aplicó a</w:t>
      </w:r>
      <w:r w:rsidR="00B57C51" w:rsidRPr="00073F80">
        <w:t xml:space="preserve"> expresiones referenciales, </w:t>
      </w:r>
      <w:r w:rsidR="00BF261A" w:rsidRPr="00073F80">
        <w:t xml:space="preserve">pronto </w:t>
      </w:r>
      <w:r w:rsidR="00BD12C5" w:rsidRPr="00073F80">
        <w:t>se transformó en una herramienta multi-propósito para lidiar con</w:t>
      </w:r>
      <w:r w:rsidR="005758C9" w:rsidRPr="00073F80">
        <w:t xml:space="preserve"> verbos y predicados</w:t>
      </w:r>
      <w:r w:rsidR="00B57C51" w:rsidRPr="00073F80">
        <w:t>, adverbios y conectivos lógicos</w:t>
      </w:r>
      <w:r w:rsidR="00BC46CC" w:rsidRPr="00073F80">
        <w:t xml:space="preserve"> por igual</w:t>
      </w:r>
      <w:r w:rsidR="00FF78A8" w:rsidRPr="00073F80">
        <w:t>.</w:t>
      </w:r>
      <w:r w:rsidR="00B57C51" w:rsidRPr="00073F80">
        <w:t xml:space="preserve"> Como reacción a este uso indiscrimado, Grice</w:t>
      </w:r>
      <w:r w:rsidR="009D7605" w:rsidRPr="00073F80">
        <w:t xml:space="preserve"> (Grice 1961, 1967, 1981</w:t>
      </w:r>
      <w:r w:rsidR="00B57C51" w:rsidRPr="00073F80">
        <w:t xml:space="preserve">) propuso una aproximación </w:t>
      </w:r>
      <w:r w:rsidR="00B57C51" w:rsidRPr="00073F80">
        <w:rPr>
          <w:i/>
        </w:rPr>
        <w:t>pragmática</w:t>
      </w:r>
      <w:r w:rsidR="00B57C51" w:rsidRPr="00073F80">
        <w:t xml:space="preserve"> a problemas aparentemente intratables con las técnicas semánticas tradicionales</w:t>
      </w:r>
      <w:r w:rsidR="000424D2" w:rsidRPr="00073F80">
        <w:t>. Su tratamiento</w:t>
      </w:r>
      <w:r w:rsidR="00B57C51" w:rsidRPr="00073F80">
        <w:t xml:space="preserve"> permitió </w:t>
      </w:r>
      <w:r w:rsidR="000424D2" w:rsidRPr="00073F80">
        <w:t xml:space="preserve">entonces </w:t>
      </w:r>
      <w:r w:rsidR="00B57C51" w:rsidRPr="00073F80">
        <w:t xml:space="preserve">distinguir </w:t>
      </w:r>
      <w:r w:rsidR="00FF78A8" w:rsidRPr="00073F80">
        <w:t xml:space="preserve">los contenidos </w:t>
      </w:r>
      <w:r w:rsidR="00FF78A8" w:rsidRPr="00073F80">
        <w:rPr>
          <w:i/>
        </w:rPr>
        <w:t>aseverados</w:t>
      </w:r>
      <w:r w:rsidR="009D7605" w:rsidRPr="00073F80">
        <w:rPr>
          <w:i/>
        </w:rPr>
        <w:t>,</w:t>
      </w:r>
      <w:r w:rsidR="00FF78A8" w:rsidRPr="00073F80">
        <w:rPr>
          <w:i/>
        </w:rPr>
        <w:t xml:space="preserve"> </w:t>
      </w:r>
      <w:r w:rsidR="00FF78A8" w:rsidRPr="00073F80">
        <w:t>sujetos a evaluación semántica</w:t>
      </w:r>
      <w:r w:rsidR="009D7605" w:rsidRPr="00073F80">
        <w:t>,</w:t>
      </w:r>
      <w:r w:rsidR="00FF78A8" w:rsidRPr="00073F80">
        <w:t xml:space="preserve"> de contenidos </w:t>
      </w:r>
      <w:r w:rsidR="00FF78A8" w:rsidRPr="00073F80">
        <w:rPr>
          <w:i/>
        </w:rPr>
        <w:t>implicados</w:t>
      </w:r>
      <w:r w:rsidR="009D7605" w:rsidRPr="00073F80">
        <w:rPr>
          <w:i/>
        </w:rPr>
        <w:t>,</w:t>
      </w:r>
      <w:r w:rsidR="009D7605" w:rsidRPr="00073F80">
        <w:t xml:space="preserve"> </w:t>
      </w:r>
      <w:r w:rsidR="00BF261A" w:rsidRPr="00073F80">
        <w:t>que s</w:t>
      </w:r>
      <w:r w:rsidR="001716B0" w:rsidRPr="00073F80">
        <w:t>e obtienen a partir de</w:t>
      </w:r>
      <w:r w:rsidR="00BF261A" w:rsidRPr="00073F80">
        <w:t xml:space="preserve"> </w:t>
      </w:r>
      <w:r w:rsidR="00FF78A8" w:rsidRPr="00073F80">
        <w:t>condiciones pragmáticas</w:t>
      </w:r>
      <w:r w:rsidR="00BF261A" w:rsidRPr="00073F80">
        <w:t xml:space="preserve"> derivadas de</w:t>
      </w:r>
      <w:r w:rsidR="00BC46CC" w:rsidRPr="00073F80">
        <w:t xml:space="preserve"> su</w:t>
      </w:r>
      <w:r w:rsidR="00FF78A8" w:rsidRPr="00073F80">
        <w:t xml:space="preserve"> Principio de Cooperación Conversacional. La propuesta de Grice abrió un nuevo campo de investigación en pragmática lingüística al que pertenecen la </w:t>
      </w:r>
      <w:r w:rsidR="0082390A">
        <w:t>T</w:t>
      </w:r>
      <w:r w:rsidR="00FF78A8" w:rsidRPr="00073F80">
        <w:t>eoría de la Relevancia de Sperber y Wilson (Sperber y Wilson 1995) y desarrollos a partir de ella como el trabajo sobre marcadores semánticos de Blakemore (Blakemore 2000)</w:t>
      </w:r>
      <w:r w:rsidR="00BC46CC" w:rsidRPr="00073F80">
        <w:t xml:space="preserve"> que se han usado ampliamente para lenguas como el español</w:t>
      </w:r>
      <w:r w:rsidR="00FF78A8" w:rsidRPr="00073F80">
        <w:t xml:space="preserve">. </w:t>
      </w:r>
    </w:p>
    <w:p w14:paraId="1A6E0DD4" w14:textId="10D43B5F" w:rsidR="00CA1B9A" w:rsidRDefault="00BF261A" w:rsidP="00BF261A">
      <w:pPr>
        <w:spacing w:line="360" w:lineRule="auto"/>
        <w:ind w:firstLine="360"/>
        <w:jc w:val="both"/>
      </w:pPr>
      <w:r w:rsidRPr="00073F80">
        <w:t>E</w:t>
      </w:r>
      <w:r w:rsidR="009D7605" w:rsidRPr="00073F80">
        <w:t>ste artículo</w:t>
      </w:r>
      <w:r w:rsidR="002A3577" w:rsidRPr="00073F80">
        <w:t>, sin embargo,</w:t>
      </w:r>
      <w:r w:rsidR="009D7605" w:rsidRPr="00073F80">
        <w:t xml:space="preserve"> se encuadra</w:t>
      </w:r>
      <w:r w:rsidR="00FF78A8" w:rsidRPr="00073F80">
        <w:t xml:space="preserve"> en la orientación semántica</w:t>
      </w:r>
      <w:r w:rsidR="005758C9" w:rsidRPr="00073F80">
        <w:t>. N</w:t>
      </w:r>
      <w:r w:rsidR="009D7605" w:rsidRPr="00073F80">
        <w:t>os interesa</w:t>
      </w:r>
      <w:r w:rsidR="005758C9" w:rsidRPr="00073F80">
        <w:t xml:space="preserve"> establecer</w:t>
      </w:r>
      <w:r w:rsidR="009D7605" w:rsidRPr="00073F80">
        <w:t xml:space="preserve"> qué condiciones deben cumplirse para que una oración s</w:t>
      </w:r>
      <w:r w:rsidR="002A3577" w:rsidRPr="00073F80">
        <w:t>ea evaluable como verdadera o falsa</w:t>
      </w:r>
      <w:r w:rsidR="00EC5247" w:rsidRPr="00073F80">
        <w:t xml:space="preserve"> y solam</w:t>
      </w:r>
      <w:r w:rsidR="00BC46CC" w:rsidRPr="00073F80">
        <w:t>ente</w:t>
      </w:r>
      <w:r w:rsidR="00BC46CC">
        <w:t xml:space="preserve"> a partir de ahí</w:t>
      </w:r>
      <w:r w:rsidR="00EC5247">
        <w:t xml:space="preserve"> nos preguntamos</w:t>
      </w:r>
      <w:r w:rsidR="009D7605">
        <w:t xml:space="preserve"> qué significados adicionales puede tener </w:t>
      </w:r>
      <w:r w:rsidR="002A3577">
        <w:t>dicha</w:t>
      </w:r>
      <w:r w:rsidR="0079780E">
        <w:t xml:space="preserve"> oración </w:t>
      </w:r>
      <w:r w:rsidR="009D7605">
        <w:t>en contexto</w:t>
      </w:r>
      <w:r w:rsidR="00EC5247">
        <w:t>.</w:t>
      </w:r>
      <w:r w:rsidR="00BC46CC">
        <w:t xml:space="preserve"> Q</w:t>
      </w:r>
      <w:r w:rsidR="00A65156">
        <w:t xml:space="preserve">ueremos saber </w:t>
      </w:r>
      <w:r w:rsidR="0046362B">
        <w:t xml:space="preserve">qué condiciones deben darse para </w:t>
      </w:r>
      <w:r w:rsidR="0046362B" w:rsidRPr="007C3A7D">
        <w:rPr>
          <w:i/>
        </w:rPr>
        <w:t>decir</w:t>
      </w:r>
      <w:r w:rsidR="0046362B">
        <w:t xml:space="preserve"> algo con una oració</w:t>
      </w:r>
      <w:r w:rsidR="00A65156">
        <w:t>n que incluye ind</w:t>
      </w:r>
      <w:r w:rsidR="00EC5247">
        <w:t>éxicos</w:t>
      </w:r>
      <w:r w:rsidR="00A65156">
        <w:t xml:space="preserve"> </w:t>
      </w:r>
      <w:r w:rsidR="00EC5247">
        <w:t xml:space="preserve">y solamente entonces </w:t>
      </w:r>
      <w:r w:rsidR="002F246F">
        <w:t>indagamos</w:t>
      </w:r>
      <w:r w:rsidR="00EC5247">
        <w:t xml:space="preserve"> si se </w:t>
      </w:r>
      <w:r w:rsidR="006A61CD">
        <w:rPr>
          <w:i/>
        </w:rPr>
        <w:t>qu</w:t>
      </w:r>
      <w:r w:rsidR="00EC5247">
        <w:rPr>
          <w:i/>
        </w:rPr>
        <w:t>iere</w:t>
      </w:r>
      <w:r w:rsidR="006A61CD">
        <w:rPr>
          <w:i/>
        </w:rPr>
        <w:t xml:space="preserve"> decir</w:t>
      </w:r>
      <w:r w:rsidR="000424D2">
        <w:rPr>
          <w:i/>
        </w:rPr>
        <w:t xml:space="preserve"> con ella</w:t>
      </w:r>
      <w:r w:rsidR="006A61CD">
        <w:rPr>
          <w:i/>
        </w:rPr>
        <w:t xml:space="preserve"> algo más</w:t>
      </w:r>
      <w:r w:rsidR="000424D2">
        <w:rPr>
          <w:i/>
        </w:rPr>
        <w:t xml:space="preserve"> allá de su significado convencional</w:t>
      </w:r>
      <w:r w:rsidR="006A61CD">
        <w:t>. Esta restricción de enfoque nos acerca a posiciones filosóficas que identifican el contenido semántico de una oración y lo que se dice con ella (Kaplan 2014).</w:t>
      </w:r>
      <w:r w:rsidR="00BD12C5">
        <w:t xml:space="preserve"> </w:t>
      </w:r>
      <w:r w:rsidR="009D7605">
        <w:t>Pero, a</w:t>
      </w:r>
      <w:r w:rsidR="00BD12C5">
        <w:t xml:space="preserve"> diferencia de</w:t>
      </w:r>
      <w:r w:rsidR="002A3577">
        <w:t xml:space="preserve"> estas</w:t>
      </w:r>
      <w:r w:rsidR="00BD12C5">
        <w:t xml:space="preserve"> otras aproximaciones semá</w:t>
      </w:r>
      <w:r>
        <w:t>nticas, nuestra pro</w:t>
      </w:r>
      <w:r w:rsidR="000B7D4F">
        <w:t xml:space="preserve">puesta enfatiza qué efectos tiene </w:t>
      </w:r>
      <w:r w:rsidR="00E47D98">
        <w:t>la</w:t>
      </w:r>
      <w:r>
        <w:t xml:space="preserve"> presuposición referencial</w:t>
      </w:r>
      <w:r w:rsidR="00167A19">
        <w:t xml:space="preserve"> conectada con “también”</w:t>
      </w:r>
      <w:r>
        <w:t xml:space="preserve"> en las condiciones de aplicabilidad para predicados</w:t>
      </w:r>
      <w:r w:rsidR="00167A19">
        <w:t xml:space="preserve">. Como los verbos expresan predicados, nuestro estudio incluye una tipología verbal orientada por las presuposiciones referenciales y </w:t>
      </w:r>
      <w:r w:rsidR="005758C9">
        <w:t xml:space="preserve">explora </w:t>
      </w:r>
      <w:r w:rsidR="00167A19">
        <w:t>las dependencias anafóricas que genera la categorización contextual de alguien como agente.</w:t>
      </w:r>
      <w:r w:rsidR="00422D10">
        <w:t xml:space="preserve"> </w:t>
      </w:r>
      <w:r w:rsidR="00F63157">
        <w:t xml:space="preserve"> </w:t>
      </w:r>
      <w:r w:rsidR="008A7385">
        <w:t xml:space="preserve">Aunque reconocemos el origen pragmático de la categorización agencial en nuestro análisis, nos interesa mostrar  por nuestra explicación de este fenómeno resulta superior al de las hipótesis semánticas imperantes.  </w:t>
      </w:r>
    </w:p>
    <w:p w14:paraId="56CEC428" w14:textId="5E80B7CC" w:rsidR="00A44ADE" w:rsidRPr="006008A0" w:rsidRDefault="009E54F8" w:rsidP="008E49DE">
      <w:pPr>
        <w:spacing w:line="360" w:lineRule="auto"/>
        <w:ind w:firstLine="360"/>
        <w:jc w:val="both"/>
      </w:pPr>
      <w:r>
        <w:t>Seg</w:t>
      </w:r>
      <w:r>
        <w:rPr>
          <w:vanish/>
        </w:rPr>
        <w:t xml:space="preserve">,ludese refiereuloguaje se ha cos referenciales y las dependencias anafciones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t>ún buena parte de la</w:t>
      </w:r>
      <w:r w:rsidR="007C5D6D" w:rsidRPr="006008A0">
        <w:t xml:space="preserve"> filosofía del lenguaje</w:t>
      </w:r>
      <w:r w:rsidR="008E49DE">
        <w:t xml:space="preserve"> imperante</w:t>
      </w:r>
      <w:r w:rsidR="007C5D6D" w:rsidRPr="006008A0">
        <w:t xml:space="preserve"> </w:t>
      </w:r>
      <w:r w:rsidR="00BE36C5">
        <w:t>‘</w:t>
      </w:r>
      <w:r w:rsidR="007C5D6D" w:rsidRPr="006008A0">
        <w:t>también</w:t>
      </w:r>
      <w:r w:rsidR="00BE36C5">
        <w:t>’</w:t>
      </w:r>
      <w:r w:rsidR="007C5D6D" w:rsidRPr="006008A0">
        <w:t xml:space="preserve"> induce una presuposición existencial</w:t>
      </w:r>
      <w:r w:rsidR="00C94718">
        <w:t xml:space="preserve"> </w:t>
      </w:r>
      <w:r w:rsidR="00C94718">
        <w:rPr>
          <w:rStyle w:val="Refdenotaalpie"/>
        </w:rPr>
        <w:fldChar w:fldCharType="begin" w:fldLock="1"/>
      </w:r>
      <w:r w:rsidR="00FB4FFF">
        <w:instrText>ADDIN CSL_CITATION {"citationItems":[{"id":"ITEM-1","itemData":{"author":[{"dropping-particle":"","family":"Heim","given":"Irene","non-dropping-particle":"","parse-names":false,"suffix":""}],"container-title":"Journal of semantics","id":"ITEM-1","issue":"3","issued":{"date-parts":[["1992"]]},"page":"183-221","publisher":"Oxford University Press","title":"Presupposition projection and the semantics of attitude verbs","type":"article-journal","volume":"9"},"uris":["http://www.mendeley.com/documents/?uuid=ef471bca-f7a0-4545-b94f-f841902ccd4c"]},{"id":"ITEM-2","itemData":{"author":[{"dropping-particle":"","family":"Stalnaker","given":"Robert","non-dropping-particle":"","parse-names":false,"suffix":""}],"container-title":"Journal of philosophical logic","id":"ITEM-2","issue":"4","issued":{"date-parts":[["1973"]]},"page":"447-457","publisher":"Springer","title":"Presuppositions","type":"article-journal","volume":"2"},"uris":["http://www.mendeley.com/documents/?uuid=66d80f0b-fe28-4da3-9d6c-77e4d929b849"]}],"mendeley":{"formattedCitation":"(Heim, 1992; Stalnaker, 1973)","plainTextFormattedCitation":"(Heim, 1992; Stalnaker, 1973)","previouslyFormattedCitation":"(Heim 1992; Stalnaker 1973)"},"properties":{"noteIndex":0},"schema":"https://github.com/citation-style-language/schema/raw/master/csl-citation.json"}</w:instrText>
      </w:r>
      <w:r w:rsidR="00C94718">
        <w:rPr>
          <w:rStyle w:val="Refdenotaalpie"/>
        </w:rPr>
        <w:fldChar w:fldCharType="separate"/>
      </w:r>
      <w:r w:rsidR="00FB4FFF" w:rsidRPr="00FB4FFF">
        <w:rPr>
          <w:bCs/>
          <w:noProof/>
        </w:rPr>
        <w:t>(Heim, 1992; Stalnaker, 1973)</w:t>
      </w:r>
      <w:r w:rsidR="00C94718">
        <w:rPr>
          <w:rStyle w:val="Refdenotaalpie"/>
        </w:rPr>
        <w:fldChar w:fldCharType="end"/>
      </w:r>
      <w:r w:rsidR="007C5D6D" w:rsidRPr="006008A0">
        <w:t>, mientras que</w:t>
      </w:r>
      <w:r w:rsidR="00B205DE">
        <w:t xml:space="preserve"> buena parte</w:t>
      </w:r>
      <w:r w:rsidR="007C5D6D" w:rsidRPr="006008A0">
        <w:t xml:space="preserve"> </w:t>
      </w:r>
      <w:r w:rsidR="00B205DE">
        <w:t>d</w:t>
      </w:r>
      <w:r w:rsidR="007C5D6D" w:rsidRPr="006008A0">
        <w:t>el trabajo en lingüística</w:t>
      </w:r>
      <w:r w:rsidR="00160AB0">
        <w:t xml:space="preserve"> ha resaltado</w:t>
      </w:r>
      <w:r w:rsidR="007C5D6D" w:rsidRPr="006008A0">
        <w:t xml:space="preserve"> </w:t>
      </w:r>
      <w:r w:rsidR="008E49DE">
        <w:t>su</w:t>
      </w:r>
      <w:r w:rsidR="007C5D6D" w:rsidRPr="006008A0">
        <w:t xml:space="preserve"> carácter anafórico</w:t>
      </w:r>
      <w:r w:rsidR="00B54097" w:rsidRPr="006008A0">
        <w:t xml:space="preserve"> </w:t>
      </w:r>
      <w:r w:rsidR="00C94718">
        <w:fldChar w:fldCharType="begin" w:fldLock="1"/>
      </w:r>
      <w:r w:rsidR="00FB4FFF">
        <w:instrText>ADDIN CSL_CITATION {"citationItems":[{"id":"ITEM-1","itemData":{"author":[{"dropping-particle":"","family":"Geurts","given":"Bart","non-dropping-particle":"","parse-names":false,"suffix":""},{"dropping-particle":"","family":"Sandt","given":"Rob","non-dropping-particle":"van der","parse-names":false,"suffix":""}],"container-title":"Theoretical linguistics","id":"ITEM-1","issued":{"date-parts":[["2004"]]},"title":"Interpreting focus","type":"article-journal","volume":"30"},"prefix":"ver en especial","uris":["http://www.mendeley.com/documents/?uuid=8b37d63c-2c15-42ed-82ba-2fc272474009"]},{"id":"ITEM-2","itemData":{"author":[{"dropping-particle":"","family":"Geurts","given":"Bart","non-dropping-particle":"","parse-names":false,"suffix":""}],"container-title":"The Oxford Handbook of Pragmatics","id":"ITEM-2","issued":{"date-parts":[["2017"]]},"title":"Presupposition and givenness","type":"chapter"},"uris":["http://www.mendeley.com/documents/?uuid=4795fb4b-68ab-4821-a41c-592a605de4fd"]}],"mendeley":{"formattedCitation":"(Geurts, 2017; ver en especial Geurts &amp; van der Sandt, 2004)","plainTextFormattedCitation":"(Geurts, 2017; ver en especial Geurts &amp; van der Sandt, 2004)","previouslyFormattedCitation":"(ver en especial Geurts and van der Sandt 2004; Geurts 2017)"},"properties":{"noteIndex":0},"schema":"https://github.com/citation-style-language/schema/raw/master/csl-citation.json"}</w:instrText>
      </w:r>
      <w:r w:rsidR="00C94718">
        <w:fldChar w:fldCharType="separate"/>
      </w:r>
      <w:r w:rsidR="00FB4FFF" w:rsidRPr="00FB4FFF">
        <w:rPr>
          <w:noProof/>
        </w:rPr>
        <w:t>(Geurts, 2017; ver en especial Geurts &amp; van der Sandt, 2004)</w:t>
      </w:r>
      <w:r w:rsidR="00C94718">
        <w:fldChar w:fldCharType="end"/>
      </w:r>
      <w:r w:rsidR="007C5D6D" w:rsidRPr="006008A0">
        <w:t xml:space="preserve">. A </w:t>
      </w:r>
      <w:r w:rsidR="008829A8" w:rsidRPr="006008A0">
        <w:t>continuación,</w:t>
      </w:r>
      <w:r w:rsidR="007C5D6D" w:rsidRPr="006008A0">
        <w:t xml:space="preserve"> se presenta un panorama de las explicaciones </w:t>
      </w:r>
      <w:r w:rsidR="00160AB0">
        <w:t>d</w:t>
      </w:r>
      <w:r w:rsidR="007C5D6D" w:rsidRPr="006008A0">
        <w:t xml:space="preserve">el uso de </w:t>
      </w:r>
      <w:r w:rsidR="00BE36C5">
        <w:t>‘</w:t>
      </w:r>
      <w:r w:rsidR="00B03DEF" w:rsidRPr="006008A0">
        <w:t>también</w:t>
      </w:r>
      <w:r w:rsidR="00BE36C5">
        <w:t>’</w:t>
      </w:r>
      <w:r w:rsidR="00FA5B4D">
        <w:t>,</w:t>
      </w:r>
      <w:r w:rsidR="007C5D6D" w:rsidRPr="006008A0">
        <w:t xml:space="preserve"> se introduce una </w:t>
      </w:r>
      <w:r w:rsidR="008829A8" w:rsidRPr="006008A0">
        <w:t>crítica</w:t>
      </w:r>
      <w:r w:rsidR="007C5D6D" w:rsidRPr="006008A0">
        <w:t xml:space="preserve"> a la teoría de la vinculación de la referencia de Geurts y van der Sandt (2004)</w:t>
      </w:r>
      <w:r w:rsidR="00A3776B">
        <w:t xml:space="preserve"> y se</w:t>
      </w:r>
      <w:r w:rsidR="00FA5B4D">
        <w:t xml:space="preserve"> propone una distinción entre presuposición y anáfora</w:t>
      </w:r>
      <w:r w:rsidR="00DA1A9F">
        <w:t xml:space="preserve"> que orienta la construcción de nuestros experimentos</w:t>
      </w:r>
      <w:r w:rsidR="00836D74" w:rsidRPr="006008A0">
        <w:t xml:space="preserve">. </w:t>
      </w:r>
      <w:r w:rsidR="00160AB0">
        <w:t xml:space="preserve">A partir </w:t>
      </w:r>
      <w:r w:rsidR="00CF4C3A">
        <w:t>de</w:t>
      </w:r>
      <w:r w:rsidR="00160AB0" w:rsidRPr="006008A0">
        <w:t xml:space="preserve"> tres </w:t>
      </w:r>
      <w:r w:rsidR="00160AB0">
        <w:t>observaciones empíricas</w:t>
      </w:r>
      <w:r w:rsidR="00160AB0" w:rsidRPr="006008A0">
        <w:t xml:space="preserve"> </w:t>
      </w:r>
      <w:r w:rsidR="00160AB0">
        <w:t>n</w:t>
      </w:r>
      <w:r w:rsidR="00836D74" w:rsidRPr="006008A0">
        <w:t xml:space="preserve">uestra solución a este problema </w:t>
      </w:r>
      <w:r w:rsidR="00160AB0">
        <w:t>se</w:t>
      </w:r>
      <w:r w:rsidR="00836D74" w:rsidRPr="006008A0">
        <w:t xml:space="preserve"> contrasta con la teoría de Geurts y van der Sandt</w:t>
      </w:r>
      <w:r w:rsidR="007C5D6D" w:rsidRPr="006008A0">
        <w:t>.</w:t>
      </w:r>
    </w:p>
    <w:p w14:paraId="493A5CBC" w14:textId="63E734F3" w:rsidR="00A44ADE" w:rsidRPr="005442FB" w:rsidRDefault="007C5D6D" w:rsidP="004E6843">
      <w:pPr>
        <w:pStyle w:val="Ttulo4"/>
        <w:numPr>
          <w:ilvl w:val="1"/>
          <w:numId w:val="7"/>
        </w:numPr>
        <w:spacing w:line="360" w:lineRule="auto"/>
        <w:rPr>
          <w:i/>
          <w:iCs/>
          <w:color w:val="auto"/>
        </w:rPr>
      </w:pPr>
      <w:bookmarkStart w:id="2" w:name="_Toc525207633"/>
      <w:r w:rsidRPr="005442FB">
        <w:rPr>
          <w:i/>
          <w:iCs/>
          <w:color w:val="auto"/>
        </w:rPr>
        <w:t>Presuposición y anáfora</w:t>
      </w:r>
      <w:bookmarkEnd w:id="2"/>
      <w:r w:rsidRPr="005442FB">
        <w:rPr>
          <w:i/>
          <w:iCs/>
          <w:color w:val="auto"/>
        </w:rPr>
        <w:t xml:space="preserve"> </w:t>
      </w:r>
    </w:p>
    <w:p w14:paraId="61B993F6" w14:textId="77777777" w:rsidR="00227FE9" w:rsidRDefault="00656FD9" w:rsidP="00AD1FD3">
      <w:pPr>
        <w:spacing w:line="360" w:lineRule="auto"/>
      </w:pPr>
      <w:r>
        <w:t>El problema de la elipsis con</w:t>
      </w:r>
      <w:r w:rsidR="00A37CA0">
        <w:t xml:space="preserve"> ‘también’ se hace manifiesto en</w:t>
      </w:r>
      <w:r w:rsidR="003659A2" w:rsidRPr="006008A0">
        <w:t xml:space="preserve"> </w:t>
      </w:r>
      <w:r w:rsidR="00227FE9">
        <w:t>el ejemplo (1)</w:t>
      </w:r>
      <w:r w:rsidR="003659A2" w:rsidRPr="006008A0">
        <w:t>:</w:t>
      </w:r>
    </w:p>
    <w:p w14:paraId="7A9C63DF" w14:textId="3EC9E095" w:rsidR="003659A2" w:rsidRPr="006008A0" w:rsidRDefault="003659A2" w:rsidP="00AD1FD3">
      <w:pPr>
        <w:spacing w:line="360" w:lineRule="auto"/>
      </w:pPr>
      <w:r w:rsidRPr="006008A0">
        <w:t xml:space="preserve"> </w:t>
      </w:r>
    </w:p>
    <w:p w14:paraId="5CB0570C" w14:textId="3EA47B1F" w:rsidR="003659A2" w:rsidRPr="006008A0" w:rsidRDefault="003659A2" w:rsidP="00AD1FD3">
      <w:pPr>
        <w:pStyle w:val="Prrafodelista"/>
        <w:numPr>
          <w:ilvl w:val="0"/>
          <w:numId w:val="2"/>
        </w:numPr>
        <w:spacing w:line="360" w:lineRule="auto"/>
      </w:pPr>
      <w:r w:rsidRPr="006008A0">
        <w:t xml:space="preserve">A: Yo creo que </w:t>
      </w:r>
      <w:r w:rsidR="008A67EE" w:rsidRPr="006008A0">
        <w:t>soy generoso</w:t>
      </w:r>
    </w:p>
    <w:p w14:paraId="74085D12" w14:textId="5001DC47" w:rsidR="003659A2" w:rsidRPr="006008A0" w:rsidRDefault="003659A2" w:rsidP="00AD1FD3">
      <w:pPr>
        <w:spacing w:line="360" w:lineRule="auto"/>
        <w:ind w:left="360" w:firstLine="720"/>
      </w:pPr>
      <w:r w:rsidRPr="006008A0">
        <w:t xml:space="preserve">B: Yo también </w:t>
      </w:r>
    </w:p>
    <w:p w14:paraId="485E33D8" w14:textId="77777777" w:rsidR="00227FE9" w:rsidRDefault="00227FE9" w:rsidP="00656FD9">
      <w:pPr>
        <w:spacing w:line="360" w:lineRule="auto"/>
        <w:ind w:firstLine="360"/>
        <w:jc w:val="both"/>
      </w:pPr>
    </w:p>
    <w:p w14:paraId="781C195B" w14:textId="1C031D59" w:rsidR="00227FE9" w:rsidRPr="006008A0" w:rsidRDefault="003659A2" w:rsidP="00347F7C">
      <w:pPr>
        <w:spacing w:line="360" w:lineRule="auto"/>
        <w:ind w:firstLine="360"/>
        <w:jc w:val="both"/>
      </w:pPr>
      <w:r w:rsidRPr="006008A0">
        <w:t>¿</w:t>
      </w:r>
      <w:r w:rsidR="00863FE2" w:rsidRPr="006008A0">
        <w:t>A</w:t>
      </w:r>
      <w:r w:rsidRPr="006008A0">
        <w:t xml:space="preserve"> qué </w:t>
      </w:r>
      <w:r w:rsidR="009E54F8">
        <w:t>alude</w:t>
      </w:r>
      <w:r w:rsidRPr="006008A0">
        <w:t xml:space="preserve"> la palabra ‘</w:t>
      </w:r>
      <w:r w:rsidRPr="006008A0">
        <w:rPr>
          <w:i/>
        </w:rPr>
        <w:t>también’</w:t>
      </w:r>
      <w:r w:rsidRPr="006008A0">
        <w:t xml:space="preserve"> dicha por B?</w:t>
      </w:r>
      <w:r w:rsidR="00A37CA0">
        <w:t xml:space="preserve"> ¿Qué elemento de la conversación </w:t>
      </w:r>
      <w:r w:rsidR="003D2EE7">
        <w:t>ha sido</w:t>
      </w:r>
      <w:r w:rsidR="00656FD9">
        <w:t xml:space="preserve"> elidido </w:t>
      </w:r>
      <w:r w:rsidR="003D2EE7">
        <w:t>y se presupone en la comprensión</w:t>
      </w:r>
      <w:r w:rsidR="00B205DE">
        <w:t xml:space="preserve"> de este texto</w:t>
      </w:r>
      <w:r w:rsidR="00656FD9">
        <w:t>?</w:t>
      </w:r>
      <w:r w:rsidRPr="006008A0">
        <w:t xml:space="preserve"> </w:t>
      </w:r>
      <w:r w:rsidR="006F7842">
        <w:t>Es posible</w:t>
      </w:r>
      <w:r w:rsidRPr="006008A0">
        <w:t xml:space="preserve"> contrastar al menos dos </w:t>
      </w:r>
      <w:r w:rsidR="00160AB0">
        <w:t>respuestas</w:t>
      </w:r>
      <w:r w:rsidRPr="006008A0">
        <w:t>. De un lado</w:t>
      </w:r>
      <w:r w:rsidR="00786F1D" w:rsidRPr="006008A0">
        <w:t>,</w:t>
      </w:r>
      <w:r w:rsidR="004947B1" w:rsidRPr="006008A0">
        <w:t xml:space="preserve"> </w:t>
      </w:r>
      <w:r w:rsidR="00160AB0" w:rsidRPr="006008A0">
        <w:t>‘</w:t>
      </w:r>
      <w:r w:rsidR="00160AB0" w:rsidRPr="006008A0">
        <w:rPr>
          <w:i/>
        </w:rPr>
        <w:t>también’</w:t>
      </w:r>
      <w:r w:rsidR="00160AB0" w:rsidRPr="006008A0">
        <w:t xml:space="preserve"> </w:t>
      </w:r>
      <w:r w:rsidRPr="006008A0">
        <w:t xml:space="preserve">se puede referir al contenido de la creencia de </w:t>
      </w:r>
      <w:r w:rsidR="00733B51" w:rsidRPr="006008A0">
        <w:t>B</w:t>
      </w:r>
      <w:r w:rsidRPr="006008A0">
        <w:t xml:space="preserve">. Es decir, que </w:t>
      </w:r>
      <w:r w:rsidR="00786F1D" w:rsidRPr="006008A0">
        <w:t>B</w:t>
      </w:r>
      <w:r w:rsidRPr="006008A0">
        <w:t xml:space="preserve"> </w:t>
      </w:r>
      <w:r w:rsidRPr="006008A0">
        <w:rPr>
          <w:i/>
        </w:rPr>
        <w:t>también cree</w:t>
      </w:r>
      <w:r w:rsidRPr="006008A0">
        <w:t xml:space="preserve"> </w:t>
      </w:r>
      <w:r w:rsidR="003625DB" w:rsidRPr="003625DB">
        <w:rPr>
          <w:i/>
          <w:iCs/>
        </w:rPr>
        <w:t>de sí</w:t>
      </w:r>
      <w:r w:rsidR="004947B1" w:rsidRPr="003625DB">
        <w:rPr>
          <w:i/>
          <w:iCs/>
        </w:rPr>
        <w:t xml:space="preserve"> mismo</w:t>
      </w:r>
      <w:r w:rsidR="003625DB">
        <w:t xml:space="preserve"> que</w:t>
      </w:r>
      <w:r w:rsidR="008A67EE" w:rsidRPr="006008A0">
        <w:t xml:space="preserve"> </w:t>
      </w:r>
      <w:r w:rsidRPr="006008A0">
        <w:t>es</w:t>
      </w:r>
      <w:r w:rsidR="008A67EE" w:rsidRPr="006008A0">
        <w:t xml:space="preserve"> generoso</w:t>
      </w:r>
      <w:r w:rsidRPr="006008A0">
        <w:t xml:space="preserve">. De otro lado, </w:t>
      </w:r>
      <w:r w:rsidR="00160AB0" w:rsidRPr="006008A0">
        <w:t>‘</w:t>
      </w:r>
      <w:r w:rsidR="00160AB0" w:rsidRPr="006008A0">
        <w:rPr>
          <w:i/>
        </w:rPr>
        <w:t>también’</w:t>
      </w:r>
      <w:r w:rsidR="00160AB0" w:rsidRPr="006008A0">
        <w:t xml:space="preserve"> </w:t>
      </w:r>
      <w:r w:rsidRPr="006008A0">
        <w:t>se puede referir a</w:t>
      </w:r>
      <w:r w:rsidR="008A67EE" w:rsidRPr="006008A0">
        <w:t xml:space="preserve">l conjunto de la emisión misma, es decir, que </w:t>
      </w:r>
      <w:r w:rsidR="008A67EE" w:rsidRPr="006008A0">
        <w:rPr>
          <w:i/>
        </w:rPr>
        <w:t xml:space="preserve">B cree que ‘A cree que </w:t>
      </w:r>
      <w:r w:rsidR="00160AB0">
        <w:rPr>
          <w:i/>
        </w:rPr>
        <w:t>é</w:t>
      </w:r>
      <w:r w:rsidR="008A67EE" w:rsidRPr="006008A0">
        <w:rPr>
          <w:i/>
        </w:rPr>
        <w:t xml:space="preserve">l </w:t>
      </w:r>
      <w:r w:rsidR="00733B51" w:rsidRPr="006008A0">
        <w:rPr>
          <w:i/>
        </w:rPr>
        <w:t xml:space="preserve">mismo </w:t>
      </w:r>
      <w:r w:rsidR="008A67EE" w:rsidRPr="006008A0">
        <w:rPr>
          <w:i/>
        </w:rPr>
        <w:t>es generoso’</w:t>
      </w:r>
      <w:r w:rsidR="008A67EE" w:rsidRPr="006008A0">
        <w:t xml:space="preserve">. </w:t>
      </w:r>
      <w:r w:rsidR="00943532" w:rsidRPr="006008A0">
        <w:t xml:space="preserve">La primera interpretación supone </w:t>
      </w:r>
      <w:r w:rsidR="00AE79D6">
        <w:t>un</w:t>
      </w:r>
      <w:r w:rsidR="00943532" w:rsidRPr="006008A0">
        <w:t xml:space="preserve"> cambio de perspectiva del hablante B y el uso de una teoría de la mente con cierta sofisticación </w:t>
      </w:r>
      <w:r w:rsidR="00396E30">
        <w:fldChar w:fldCharType="begin" w:fldLock="1"/>
      </w:r>
      <w:r w:rsidR="00FB4FFF">
        <w:instrText>ADDIN CSL_CITATION {"citationItems":[{"id":"ITEM-1","itemData":{"author":[{"dropping-particle":"","family":"Franco","given":"Fabia","non-dropping-particle":"","parse-names":false,"suffix":""}],"container-title":"Joint attention: Communication and other minds","editor":[{"dropping-particle":"","family":"Eilan","given":"Naomi","non-dropping-particle":"","parse-names":false,"suffix":""},{"dropping-particle":"","family":"Hoerl","given":"Christoph","non-dropping-particle":"","parse-names":false,"suffix":""},{"dropping-particle":"","family":"McCormack","given":"Teresa","non-dropping-particle":"","parse-names":false,"suffix":""},{"dropping-particle":"","family":"Roessler","given":"Johannes","non-dropping-particle":"","parse-names":false,"suffix":""}],"id":"ITEM-1","issued":{"date-parts":[["2005"]]},"page":"129-164","publisher":"Clarendon Press/Oxford University Press New York, NY","title":"Infant pointing: Harlequin, Servant of two masters","type":"chapter"},"uris":["http://www.mendeley.com/documents/?uuid=2a308ca8-617f-455f-aae4-5f76eb7e9577"]}],"mendeley":{"formattedCitation":"(Franco, 2005)","plainTextFormattedCitation":"(Franco, 2005)","previouslyFormattedCitation":"(Franco 2005)"},"properties":{"noteIndex":0},"schema":"https://github.com/citation-style-language/schema/raw/master/csl-citation.json"}</w:instrText>
      </w:r>
      <w:r w:rsidR="00396E30">
        <w:fldChar w:fldCharType="separate"/>
      </w:r>
      <w:r w:rsidR="00FB4FFF" w:rsidRPr="00FB4FFF">
        <w:rPr>
          <w:noProof/>
        </w:rPr>
        <w:t>(Franco, 2005)</w:t>
      </w:r>
      <w:r w:rsidR="00396E30">
        <w:fldChar w:fldCharType="end"/>
      </w:r>
      <w:r w:rsidR="00943532" w:rsidRPr="006008A0">
        <w:t>.</w:t>
      </w:r>
      <w:r w:rsidR="00234D83" w:rsidRPr="006008A0">
        <w:t xml:space="preserve"> </w:t>
      </w:r>
      <w:r w:rsidR="00160AB0">
        <w:t>Denomin</w:t>
      </w:r>
      <w:r w:rsidR="00B205DE">
        <w:t>ar</w:t>
      </w:r>
      <w:r w:rsidR="00160AB0">
        <w:t>emos</w:t>
      </w:r>
      <w:r w:rsidR="004947B1" w:rsidRPr="006008A0">
        <w:t xml:space="preserve"> la primera interpretación una solución </w:t>
      </w:r>
      <w:r w:rsidR="004947B1" w:rsidRPr="006008A0">
        <w:rPr>
          <w:i/>
        </w:rPr>
        <w:t xml:space="preserve">perspectiva </w:t>
      </w:r>
      <w:r w:rsidR="004947B1" w:rsidRPr="006008A0">
        <w:t xml:space="preserve">y la segunda una solución </w:t>
      </w:r>
      <w:r w:rsidR="004947B1" w:rsidRPr="006008A0">
        <w:rPr>
          <w:i/>
        </w:rPr>
        <w:t>referencial</w:t>
      </w:r>
      <w:r w:rsidR="004947B1" w:rsidRPr="006008A0">
        <w:t>.</w:t>
      </w:r>
      <w:r w:rsidR="005F421A">
        <w:t xml:space="preserve"> </w:t>
      </w:r>
      <w:r w:rsidR="00E70AED">
        <w:t>E</w:t>
      </w:r>
      <w:r w:rsidR="00B03DEF" w:rsidRPr="006008A0">
        <w:t>n filosofía</w:t>
      </w:r>
      <w:r w:rsidR="00131DCB">
        <w:t xml:space="preserve"> del lenguaje</w:t>
      </w:r>
      <w:r w:rsidR="00B03DEF" w:rsidRPr="006008A0">
        <w:t xml:space="preserve"> </w:t>
      </w:r>
      <w:r w:rsidR="00656FD9">
        <w:t xml:space="preserve">la elisión implícita en </w:t>
      </w:r>
      <w:r w:rsidR="00BE36C5">
        <w:t>‘</w:t>
      </w:r>
      <w:r w:rsidR="00B03DEF" w:rsidRPr="006008A0">
        <w:t>también</w:t>
      </w:r>
      <w:r w:rsidR="00BE36C5">
        <w:t>’</w:t>
      </w:r>
      <w:r w:rsidR="00B03DEF" w:rsidRPr="006008A0">
        <w:t xml:space="preserve"> s</w:t>
      </w:r>
      <w:r w:rsidR="00B205DE">
        <w:t>uele</w:t>
      </w:r>
      <w:r w:rsidR="00B03DEF" w:rsidRPr="006008A0">
        <w:t xml:space="preserve"> </w:t>
      </w:r>
      <w:r w:rsidR="00B205DE">
        <w:t>reso</w:t>
      </w:r>
      <w:r w:rsidR="00656FD9">
        <w:t>lve</w:t>
      </w:r>
      <w:r w:rsidR="00B205DE">
        <w:t>rse</w:t>
      </w:r>
      <w:r w:rsidR="00656FD9">
        <w:t xml:space="preserve"> con</w:t>
      </w:r>
      <w:r w:rsidR="00B03DEF" w:rsidRPr="006008A0">
        <w:t xml:space="preserve"> la </w:t>
      </w:r>
      <w:r w:rsidR="00656FD9">
        <w:t xml:space="preserve">noción de </w:t>
      </w:r>
      <w:r w:rsidR="00B03DEF" w:rsidRPr="006008A0">
        <w:t>presuposición existencial.</w:t>
      </w:r>
      <w:r w:rsidR="00975B72" w:rsidRPr="006008A0">
        <w:t xml:space="preserve"> Un ejemplo clásico es </w:t>
      </w:r>
      <w:r w:rsidR="00227FE9">
        <w:t>(2)</w:t>
      </w:r>
      <w:r w:rsidR="00975B72" w:rsidRPr="006008A0">
        <w:t xml:space="preserve"> </w:t>
      </w:r>
      <w:r w:rsidR="00396E30">
        <w:fldChar w:fldCharType="begin" w:fldLock="1"/>
      </w:r>
      <w:r w:rsidR="00FB4FFF">
        <w:instrText>ADDIN CSL_CITATION {"citationItems":[{"id":"ITEM-1","itemData":{"author":[{"dropping-particle":"","family":"Kripke","given":"Saul A","non-dropping-particle":"","parse-names":false,"suffix":""}],"container-title":"Linguistic Inquiry","id":"ITEM-1","issue":"3","issued":{"date-parts":[["2009"]]},"page":"367-386","publisher":"MIT Press","title":"Presupposition and anaphora: Remarks on the formulation of the projection problem","type":"article-journal","volume":"40"},"uris":["http://www.mendeley.com/documents/?uuid=6a9a9d78-fcb4-45be-9713-31aac3aa7558"]}],"mendeley":{"formattedCitation":"(Kripke, 2009)","plainTextFormattedCitation":"(Kripke, 2009)","previouslyFormattedCitation":"(Kripke 2009)"},"properties":{"noteIndex":0},"schema":"https://github.com/citation-style-language/schema/raw/master/csl-citation.json"}</w:instrText>
      </w:r>
      <w:r w:rsidR="00396E30">
        <w:fldChar w:fldCharType="separate"/>
      </w:r>
      <w:r w:rsidR="00FB4FFF" w:rsidRPr="00FB4FFF">
        <w:rPr>
          <w:noProof/>
        </w:rPr>
        <w:t>(Kripke, 2009)</w:t>
      </w:r>
      <w:r w:rsidR="00396E30">
        <w:fldChar w:fldCharType="end"/>
      </w:r>
      <w:r w:rsidR="00975B72" w:rsidRPr="006008A0">
        <w:t>:</w:t>
      </w:r>
    </w:p>
    <w:p w14:paraId="4C150FC8" w14:textId="65B570BC" w:rsidR="00975B72" w:rsidRPr="006008A0" w:rsidRDefault="00525AF0" w:rsidP="00AD1FD3">
      <w:pPr>
        <w:pStyle w:val="Prrafodelista"/>
        <w:numPr>
          <w:ilvl w:val="0"/>
          <w:numId w:val="2"/>
        </w:numPr>
        <w:spacing w:line="360" w:lineRule="auto"/>
      </w:pPr>
      <w:r w:rsidRPr="006008A0">
        <w:t xml:space="preserve">Bill </w:t>
      </w:r>
      <w:r w:rsidRPr="006008A0">
        <w:rPr>
          <w:i/>
        </w:rPr>
        <w:t>también</w:t>
      </w:r>
      <w:r w:rsidRPr="006008A0">
        <w:t xml:space="preserve"> es culpable</w:t>
      </w:r>
      <w:r w:rsidR="00975B72" w:rsidRPr="006008A0">
        <w:rPr>
          <w:i/>
        </w:rPr>
        <w:t>.</w:t>
      </w:r>
    </w:p>
    <w:p w14:paraId="1A0AC4A5" w14:textId="77777777" w:rsidR="00227FE9" w:rsidRDefault="00227FE9" w:rsidP="00681E3D">
      <w:pPr>
        <w:spacing w:line="360" w:lineRule="auto"/>
        <w:ind w:firstLine="720"/>
        <w:jc w:val="both"/>
      </w:pPr>
    </w:p>
    <w:p w14:paraId="53183AE6" w14:textId="03CCC974" w:rsidR="00C92620" w:rsidRPr="006008A0" w:rsidRDefault="00656FD9" w:rsidP="00307EBB">
      <w:pPr>
        <w:spacing w:line="360" w:lineRule="auto"/>
        <w:ind w:firstLine="720"/>
        <w:jc w:val="both"/>
      </w:pPr>
      <w:r>
        <w:t>Según</w:t>
      </w:r>
      <w:r w:rsidR="00525AF0" w:rsidRPr="006008A0">
        <w:t xml:space="preserve"> la presuposición existencial esta oración da por sentado que</w:t>
      </w:r>
      <w:r w:rsidR="00E70AED">
        <w:t>,</w:t>
      </w:r>
      <w:r w:rsidR="00525AF0" w:rsidRPr="006008A0">
        <w:t xml:space="preserve"> además de Bill, alguien más</w:t>
      </w:r>
      <w:r w:rsidR="00962DCE" w:rsidRPr="006008A0">
        <w:t>, que permanece sin identificar en el contexto en el que se emite la oración</w:t>
      </w:r>
      <w:r w:rsidR="00962DCE">
        <w:t>,</w:t>
      </w:r>
      <w:r w:rsidR="00962DCE" w:rsidRPr="006008A0">
        <w:t xml:space="preserve"> </w:t>
      </w:r>
      <w:r w:rsidR="00525AF0" w:rsidRPr="006008A0">
        <w:t xml:space="preserve">es culpable. La oración resultará apropiada una vez se acepte la existencia de </w:t>
      </w:r>
      <w:r w:rsidR="005A76CB" w:rsidRPr="006008A0">
        <w:t>esa persona.</w:t>
      </w:r>
      <w:r w:rsidR="00131DCB">
        <w:t xml:space="preserve"> </w:t>
      </w:r>
      <w:r w:rsidR="00A3776B">
        <w:t xml:space="preserve">A pesar de que no </w:t>
      </w:r>
      <w:r w:rsidR="00307EBB">
        <w:t>hay</w:t>
      </w:r>
      <w:r w:rsidR="00A3776B">
        <w:t xml:space="preserve"> un acuerdo en la literatura </w:t>
      </w:r>
      <w:r w:rsidR="00307EBB">
        <w:t>respecto a cómo clasificar este tipo de presuposición</w:t>
      </w:r>
      <w:r w:rsidR="00A3776B">
        <w:t>,</w:t>
      </w:r>
      <w:r w:rsidR="00307EBB">
        <w:t xml:space="preserve"> la</w:t>
      </w:r>
      <w:r w:rsidR="00A3776B">
        <w:t xml:space="preserve"> clasificaremos</w:t>
      </w:r>
      <w:r w:rsidR="00131DCB">
        <w:t xml:space="preserve"> como </w:t>
      </w:r>
      <w:r w:rsidR="00131DCB">
        <w:rPr>
          <w:i/>
        </w:rPr>
        <w:t>semántica</w:t>
      </w:r>
      <w:r w:rsidR="00131DCB">
        <w:t xml:space="preserve"> porque introduce un</w:t>
      </w:r>
      <w:r w:rsidR="00962DCE">
        <w:t>a condición</w:t>
      </w:r>
      <w:r w:rsidR="00131DCB">
        <w:t xml:space="preserve"> para </w:t>
      </w:r>
      <w:r w:rsidR="00962DCE">
        <w:t>que</w:t>
      </w:r>
      <w:r w:rsidR="00131DCB">
        <w:t xml:space="preserve"> (2)</w:t>
      </w:r>
      <w:r w:rsidR="00962DCE">
        <w:t xml:space="preserve"> pueda ser</w:t>
      </w:r>
      <w:r w:rsidR="00DA1A9F">
        <w:t xml:space="preserve"> </w:t>
      </w:r>
      <w:r w:rsidR="00E436E4">
        <w:t>evaluada</w:t>
      </w:r>
      <w:r w:rsidR="00DA1A9F">
        <w:t xml:space="preserve"> como</w:t>
      </w:r>
      <w:r w:rsidR="00962DCE">
        <w:t xml:space="preserve"> verdadera o falsa</w:t>
      </w:r>
      <w:r w:rsidR="00DA1A9F">
        <w:t>.</w:t>
      </w:r>
      <w:r w:rsidR="002A3577">
        <w:t xml:space="preserve"> Algunas</w:t>
      </w:r>
      <w:r w:rsidR="00727713">
        <w:t xml:space="preserve"> presuposiciones, sin embargo, pueden incluir información que va más allá de las condiciones mínimas que garantizan la verdad o falsedad.</w:t>
      </w:r>
      <w:r w:rsidR="00B03DEF" w:rsidRPr="006008A0">
        <w:t xml:space="preserve"> Kripke (2009) argumenta que no se pueden entender algunas frases que involucran </w:t>
      </w:r>
      <w:r w:rsidR="00BE36C5">
        <w:t>‘</w:t>
      </w:r>
      <w:r w:rsidR="00B03DEF" w:rsidRPr="006008A0">
        <w:t>también</w:t>
      </w:r>
      <w:r w:rsidR="00BE36C5">
        <w:t>’</w:t>
      </w:r>
      <w:r w:rsidR="00B03DEF" w:rsidRPr="006008A0">
        <w:t xml:space="preserve"> sin </w:t>
      </w:r>
      <w:r w:rsidR="00727713">
        <w:t>información</w:t>
      </w:r>
      <w:r w:rsidR="00B03DEF" w:rsidRPr="006008A0">
        <w:t xml:space="preserve"> paralela</w:t>
      </w:r>
      <w:r w:rsidR="003D2EE7">
        <w:t xml:space="preserve"> </w:t>
      </w:r>
      <w:r w:rsidR="00B03DEF" w:rsidRPr="006008A0">
        <w:t>que la</w:t>
      </w:r>
      <w:r w:rsidR="00863FE2" w:rsidRPr="006008A0">
        <w:t>s</w:t>
      </w:r>
      <w:r w:rsidR="00B03DEF" w:rsidRPr="006008A0">
        <w:t xml:space="preserve"> preceda</w:t>
      </w:r>
      <w:r w:rsidR="00E70AED">
        <w:t>,</w:t>
      </w:r>
      <w:r w:rsidR="00B03DEF" w:rsidRPr="006008A0">
        <w:t xml:space="preserve"> </w:t>
      </w:r>
      <w:r w:rsidR="00E70AED">
        <w:t>l</w:t>
      </w:r>
      <w:r w:rsidR="005A76CB" w:rsidRPr="006008A0">
        <w:t>o</w:t>
      </w:r>
      <w:r w:rsidR="00E70AED">
        <w:t xml:space="preserve"> que</w:t>
      </w:r>
      <w:r w:rsidR="005A76CB" w:rsidRPr="006008A0">
        <w:t xml:space="preserve"> equivale a </w:t>
      </w:r>
      <w:r w:rsidR="00AD57A0" w:rsidRPr="006008A0">
        <w:t xml:space="preserve">asumir que hay dos tipos de </w:t>
      </w:r>
      <w:r w:rsidR="005A76CB" w:rsidRPr="006008A0">
        <w:t xml:space="preserve">contexto que hacen adecuada la oración sobre la culpabilidad de Bill. La presuposición existencial captura un tipo de contexto </w:t>
      </w:r>
      <w:r w:rsidR="00BE36C5">
        <w:t>‘</w:t>
      </w:r>
      <w:r w:rsidR="005A76CB" w:rsidRPr="006008A0">
        <w:t>pasivo</w:t>
      </w:r>
      <w:r w:rsidR="00BE36C5">
        <w:t>’</w:t>
      </w:r>
      <w:r w:rsidR="005A76CB" w:rsidRPr="006008A0">
        <w:t xml:space="preserve"> </w:t>
      </w:r>
      <w:r w:rsidR="00DD008F" w:rsidRPr="006008A0">
        <w:t>que contiene</w:t>
      </w:r>
      <w:r w:rsidR="005A76CB" w:rsidRPr="006008A0">
        <w:t xml:space="preserve"> </w:t>
      </w:r>
      <w:r w:rsidR="00E70AED">
        <w:t>un</w:t>
      </w:r>
      <w:r w:rsidR="005A76CB" w:rsidRPr="006008A0">
        <w:t xml:space="preserve"> tipo de información general, disponible para cualquier persona que escuche la oración</w:t>
      </w:r>
      <w:r w:rsidR="00DA1A9F">
        <w:t xml:space="preserve"> y conozca suficientemente el lenguaje en el qu</w:t>
      </w:r>
      <w:r w:rsidR="001615CF">
        <w:t>e se ha emitido</w:t>
      </w:r>
      <w:r w:rsidR="005A76CB" w:rsidRPr="006008A0">
        <w:t>.</w:t>
      </w:r>
      <w:r w:rsidR="00F90948" w:rsidRPr="006008A0">
        <w:t xml:space="preserve"> De acuerdo con el contexto pasivo</w:t>
      </w:r>
      <w:r w:rsidR="000D5B90" w:rsidRPr="006008A0">
        <w:t>,</w:t>
      </w:r>
      <w:r w:rsidR="005A76CB" w:rsidRPr="006008A0">
        <w:t xml:space="preserve"> </w:t>
      </w:r>
      <w:r w:rsidR="00F90948" w:rsidRPr="006008A0">
        <w:t>s</w:t>
      </w:r>
      <w:r w:rsidR="005A76CB" w:rsidRPr="006008A0">
        <w:t xml:space="preserve">i solamente nos enfocamos en la función que </w:t>
      </w:r>
      <w:r w:rsidR="005A76CB" w:rsidRPr="006008A0">
        <w:rPr>
          <w:i/>
        </w:rPr>
        <w:t>normalmente</w:t>
      </w:r>
      <w:r w:rsidR="005A76CB" w:rsidRPr="006008A0">
        <w:t xml:space="preserve"> desempeña </w:t>
      </w:r>
      <w:r w:rsidR="00BE36C5">
        <w:t>‘</w:t>
      </w:r>
      <w:r w:rsidR="005A76CB" w:rsidRPr="006008A0">
        <w:t>también</w:t>
      </w:r>
      <w:r w:rsidR="00BE36C5">
        <w:t>’</w:t>
      </w:r>
      <w:r w:rsidR="005A76CB" w:rsidRPr="006008A0">
        <w:t xml:space="preserve">, la oración es </w:t>
      </w:r>
      <w:r w:rsidR="006512C1">
        <w:t>evaluable en términos de verdad o falsedad</w:t>
      </w:r>
      <w:r w:rsidR="005A76CB" w:rsidRPr="006008A0">
        <w:t xml:space="preserve"> dado que</w:t>
      </w:r>
      <w:r w:rsidR="00DD008F" w:rsidRPr="006008A0">
        <w:t xml:space="preserve"> el uso de dicha expresión presupone que </w:t>
      </w:r>
      <w:r w:rsidR="005A76CB" w:rsidRPr="006008A0">
        <w:t>alguien además de Bill es culpable. Pero puede suceder que la oración</w:t>
      </w:r>
      <w:r w:rsidR="00E85AD5" w:rsidRPr="006008A0">
        <w:t xml:space="preserve"> se emita</w:t>
      </w:r>
      <w:r w:rsidR="005A76CB" w:rsidRPr="006008A0">
        <w:t xml:space="preserve"> </w:t>
      </w:r>
      <w:r w:rsidR="00E85AD5" w:rsidRPr="006008A0">
        <w:t xml:space="preserve">en un contexto </w:t>
      </w:r>
      <w:r w:rsidR="00BE36C5">
        <w:t>‘</w:t>
      </w:r>
      <w:r w:rsidR="00AD57A0" w:rsidRPr="006008A0">
        <w:t>activo</w:t>
      </w:r>
      <w:r w:rsidR="00BE36C5">
        <w:t>’</w:t>
      </w:r>
      <w:r w:rsidR="00AD57A0" w:rsidRPr="006008A0">
        <w:t xml:space="preserve"> </w:t>
      </w:r>
      <w:r w:rsidR="00E85AD5" w:rsidRPr="006008A0">
        <w:t>en el que los hablantes tienen en mente información prominente</w:t>
      </w:r>
      <w:r w:rsidR="00DA1A9F">
        <w:t xml:space="preserve"> que no hace parte de su conocimiento del lenguaje sino de un tipo de conocimiento general</w:t>
      </w:r>
      <w:r w:rsidR="00E85AD5" w:rsidRPr="006008A0">
        <w:t xml:space="preserve">. Por ejemplo, si </w:t>
      </w:r>
      <w:r w:rsidR="00F90948" w:rsidRPr="006008A0">
        <w:t xml:space="preserve">la oración </w:t>
      </w:r>
      <w:r w:rsidR="00E85AD5" w:rsidRPr="006008A0">
        <w:t xml:space="preserve">se emite al final de una descripción psicológica de Bill por parte de un fiscal que lo caracteriza como un buen padre de familia, un trabajador honesto y un marido ejemplar, la presuposición existencial es inadecuada. </w:t>
      </w:r>
      <w:r w:rsidR="006512C1">
        <w:t>Este segundo tipo de presuposición</w:t>
      </w:r>
      <w:r w:rsidR="0038724A">
        <w:t xml:space="preserve"> puede caracterizarse como pragmática</w:t>
      </w:r>
      <w:r w:rsidR="00267DCE">
        <w:t xml:space="preserve"> en el sentido de que</w:t>
      </w:r>
      <w:r w:rsidR="0038724A" w:rsidRPr="006008A0">
        <w:t xml:space="preserve"> </w:t>
      </w:r>
      <w:r w:rsidR="0038724A">
        <w:t>l</w:t>
      </w:r>
      <w:r w:rsidR="00E85AD5" w:rsidRPr="006008A0">
        <w:t>a información que los participantes en la conversación tienen en mente</w:t>
      </w:r>
      <w:r w:rsidR="00E70AED">
        <w:t xml:space="preserve"> en este caso</w:t>
      </w:r>
      <w:r w:rsidR="00E85AD5" w:rsidRPr="006008A0">
        <w:t xml:space="preserve"> no </w:t>
      </w:r>
      <w:r w:rsidR="00DA1A9F">
        <w:t>tiene que ver con su conocimiento del significado de ‘también’</w:t>
      </w:r>
      <w:r w:rsidR="00A46CCE">
        <w:t xml:space="preserve">, </w:t>
      </w:r>
      <w:r w:rsidR="00E85AD5" w:rsidRPr="006008A0">
        <w:t>sino</w:t>
      </w:r>
      <w:r w:rsidR="00120F4B">
        <w:t>,</w:t>
      </w:r>
      <w:r w:rsidR="001615CF">
        <w:t xml:space="preserve"> </w:t>
      </w:r>
      <w:r w:rsidR="00A46CCE">
        <w:t>por ejemplo,</w:t>
      </w:r>
      <w:r w:rsidR="00E85AD5" w:rsidRPr="006008A0">
        <w:t xml:space="preserve"> </w:t>
      </w:r>
      <w:r w:rsidR="00120F4B">
        <w:t>con su conocimiento de Bill</w:t>
      </w:r>
      <w:r w:rsidR="004E11F8">
        <w:t xml:space="preserve"> y</w:t>
      </w:r>
      <w:r w:rsidR="00120F4B">
        <w:t xml:space="preserve"> de </w:t>
      </w:r>
      <w:r w:rsidR="00E85AD5" w:rsidRPr="006008A0">
        <w:t>cómo se</w:t>
      </w:r>
      <w:r w:rsidR="0038724A">
        <w:t xml:space="preserve"> </w:t>
      </w:r>
      <w:r w:rsidR="0038724A" w:rsidRPr="005A1F79">
        <w:rPr>
          <w:i/>
        </w:rPr>
        <w:t>compagina</w:t>
      </w:r>
      <w:r w:rsidR="00E85AD5" w:rsidRPr="006008A0">
        <w:t xml:space="preserve"> </w:t>
      </w:r>
      <w:r w:rsidR="00120F4B">
        <w:rPr>
          <w:i/>
        </w:rPr>
        <w:t>su</w:t>
      </w:r>
      <w:r w:rsidR="00E85AD5" w:rsidRPr="006008A0">
        <w:t xml:space="preserve"> culpabilidad con otros rasgos de </w:t>
      </w:r>
      <w:r w:rsidR="00CC06A4">
        <w:rPr>
          <w:i/>
          <w:iCs/>
        </w:rPr>
        <w:t xml:space="preserve">su </w:t>
      </w:r>
      <w:r w:rsidR="00E85AD5" w:rsidRPr="006008A0">
        <w:t>carácter.</w:t>
      </w:r>
      <w:r w:rsidR="0038724A">
        <w:t xml:space="preserve"> </w:t>
      </w:r>
      <w:r w:rsidR="00E85AD5" w:rsidRPr="006008A0">
        <w:t>E</w:t>
      </w:r>
      <w:r w:rsidR="00BE0B3B" w:rsidRPr="006008A0">
        <w:t>l</w:t>
      </w:r>
      <w:r w:rsidR="00E85AD5" w:rsidRPr="006008A0">
        <w:t xml:space="preserve"> contexto es activo porque requiere que Bill y sus rasgos de carácter</w:t>
      </w:r>
      <w:r w:rsidR="00120F4B">
        <w:t>, un tipo de conocimiento no lingüístico,</w:t>
      </w:r>
      <w:r w:rsidR="00E85AD5" w:rsidRPr="006008A0">
        <w:t xml:space="preserve"> resulten prominentes</w:t>
      </w:r>
      <w:r w:rsidR="003D2EE7">
        <w:t xml:space="preserve"> para los participantes en la co</w:t>
      </w:r>
      <w:r w:rsidR="00A46CCE">
        <w:t>nversación</w:t>
      </w:r>
      <w:r w:rsidR="00C92620" w:rsidRPr="0042376B">
        <w:rPr>
          <w:rStyle w:val="Refdenotaalfinal"/>
        </w:rPr>
        <w:endnoteReference w:id="1"/>
      </w:r>
      <w:r w:rsidR="00C92620" w:rsidRPr="006008A0">
        <w:t>.</w:t>
      </w:r>
      <w:r w:rsidR="005B70C0">
        <w:t xml:space="preserve"> </w:t>
      </w:r>
      <w:r w:rsidR="00120F4B">
        <w:t>Si entendemos ciertas formas de</w:t>
      </w:r>
      <w:r w:rsidR="005B70C0">
        <w:t xml:space="preserve"> anáfora</w:t>
      </w:r>
      <w:r w:rsidR="00120F4B">
        <w:t xml:space="preserve"> como</w:t>
      </w:r>
      <w:r w:rsidR="005B70C0">
        <w:t xml:space="preserve"> mecanismo</w:t>
      </w:r>
      <w:r w:rsidR="00120F4B">
        <w:t>s lingüísticos</w:t>
      </w:r>
      <w:r w:rsidR="005B70C0">
        <w:t xml:space="preserve"> que permite</w:t>
      </w:r>
      <w:r w:rsidR="00120F4B">
        <w:t>n</w:t>
      </w:r>
      <w:r w:rsidR="00A3776B">
        <w:t xml:space="preserve"> introducir y</w:t>
      </w:r>
      <w:r w:rsidR="005B70C0">
        <w:t xml:space="preserve"> heredar este tipo de </w:t>
      </w:r>
      <w:r w:rsidR="00120F4B">
        <w:t>conocimiento general</w:t>
      </w:r>
      <w:r w:rsidR="005B70C0">
        <w:t>, los contextos activos muestran que para la desambiguación de ‘también’ la anáfora puede resultar más importante que la presuposición</w:t>
      </w:r>
      <w:r w:rsidR="00A3776B">
        <w:t xml:space="preserve"> existencial</w:t>
      </w:r>
      <w:r w:rsidR="005B70C0">
        <w:t>.</w:t>
      </w:r>
      <w:r w:rsidR="00C92620" w:rsidRPr="006008A0">
        <w:t xml:space="preserve"> Pero ¿cómo funciona la resolución de ambigüedad si se asume esta función anafórica de </w:t>
      </w:r>
      <w:r w:rsidR="00BE36C5">
        <w:t>‘</w:t>
      </w:r>
      <w:r w:rsidR="00C92620" w:rsidRPr="006008A0">
        <w:t>también</w:t>
      </w:r>
      <w:r w:rsidR="00BE36C5">
        <w:t>’</w:t>
      </w:r>
      <w:r w:rsidR="00C92620" w:rsidRPr="006008A0">
        <w:t xml:space="preserve">? </w:t>
      </w:r>
    </w:p>
    <w:p w14:paraId="4D2ED668" w14:textId="7869875B" w:rsidR="002F64B5" w:rsidRDefault="00A46CCE" w:rsidP="00681E3D">
      <w:pPr>
        <w:spacing w:line="360" w:lineRule="auto"/>
        <w:ind w:firstLine="720"/>
        <w:jc w:val="both"/>
      </w:pPr>
      <w:r>
        <w:t xml:space="preserve">Cuando se conecta con elipsis y presuposición </w:t>
      </w:r>
      <w:r w:rsidR="00BE36C5">
        <w:t>‘</w:t>
      </w:r>
      <w:r>
        <w:t>t</w:t>
      </w:r>
      <w:r w:rsidR="00C92620" w:rsidRPr="006008A0">
        <w:t>ambién</w:t>
      </w:r>
      <w:r w:rsidR="00BE36C5">
        <w:t>’</w:t>
      </w:r>
      <w:r w:rsidR="00C92620" w:rsidRPr="006008A0">
        <w:t xml:space="preserve"> permite la omisión de información por medio del principio de economía cognitiva </w:t>
      </w:r>
      <w:r w:rsidR="00C92620">
        <w:fldChar w:fldCharType="begin" w:fldLock="1"/>
      </w:r>
      <w:r w:rsidR="00C92620">
        <w:instrText>ADDIN CSL_CITATION {"citationItems":[{"id":"ITEM-1","itemData":{"author":[{"dropping-particle":"","family":"Rescher","given":"Nicholas","non-dropping-particle":"","parse-names":false,"suffix":""}],"id":"ITEM-1","issued":{"date-parts":[["1989"]]},"publisher":"University of Pittsburgh Pre","title":"Cognitive economy: The economic dimension of the theory of knowledge","type":"book"},"uris":["http://www.mendeley.com/documents/?uuid=85b3fcb0-853a-4a0f-8e3a-7e2ad7e9f329"]},{"id":"ITEM-2","itemData":{"author":[{"dropping-particle":"","family":"Hietaranta","given":"Pertti","non-dropping-particle":"","parse-names":false,"suffix":""}],"container-title":"Empirical modelling of translation and interpreting","id":"ITEM-2","issued":{"date-parts":[["2017"]]},"page":"441","publisher":"Language Science Press","title":"Cognitive economy and mental worlds: Accounting for translation mistakes and other communication errors","type":"article-journal","volume":"7"},"uris":["http://www.mendeley.com/documents/?uuid=aa69c2e1-2a69-4204-ad39-8ff4557e4764"]}],"mendeley":{"formattedCitation":"(Hietaranta, 2017; Rescher, 1989)","plainTextFormattedCitation":"(Hietaranta, 2017; Rescher, 1989)","previouslyFormattedCitation":"(Rescher 1989; Hietaranta 2017)"},"properties":{"noteIndex":0},"schema":"https://github.com/citation-style-language/schema/raw/master/csl-citation.json"}</w:instrText>
      </w:r>
      <w:r w:rsidR="00C92620">
        <w:fldChar w:fldCharType="separate"/>
      </w:r>
      <w:r w:rsidR="00C92620" w:rsidRPr="00FB4FFF">
        <w:rPr>
          <w:noProof/>
        </w:rPr>
        <w:t>(Hietaranta, 2017; Rescher, 1989)</w:t>
      </w:r>
      <w:r w:rsidR="00C92620">
        <w:fldChar w:fldCharType="end"/>
      </w:r>
      <w:r w:rsidR="00C92620" w:rsidRPr="006008A0">
        <w:t xml:space="preserve">. Elementos motivacionales y contextuales, así como principios pragmáticos, hacen posible la comunicación exitosa en casos en que </w:t>
      </w:r>
      <w:r w:rsidR="00BE36C5">
        <w:t>‘</w:t>
      </w:r>
      <w:r w:rsidR="00C92620" w:rsidRPr="006008A0">
        <w:t>también</w:t>
      </w:r>
      <w:r w:rsidR="00BE36C5">
        <w:t>’</w:t>
      </w:r>
      <w:r w:rsidR="00C92620" w:rsidRPr="006008A0">
        <w:t xml:space="preserve"> cumple una función elíptica con respecto a nombres, verbos y oraciones. Sin embargo, </w:t>
      </w:r>
      <w:r w:rsidR="005B70C0">
        <w:t xml:space="preserve">los contextos activos indican que </w:t>
      </w:r>
      <w:r w:rsidR="0038724A">
        <w:t>‘</w:t>
      </w:r>
      <w:r w:rsidR="0038724A" w:rsidRPr="006008A0">
        <w:t>también</w:t>
      </w:r>
      <w:r w:rsidR="0038724A">
        <w:t>’ tiene</w:t>
      </w:r>
      <w:r w:rsidR="005B70C0">
        <w:t>,</w:t>
      </w:r>
      <w:r w:rsidR="0038724A">
        <w:t xml:space="preserve"> además</w:t>
      </w:r>
      <w:r w:rsidR="005B70C0">
        <w:t>,</w:t>
      </w:r>
      <w:r w:rsidR="00C92620" w:rsidRPr="006008A0">
        <w:t xml:space="preserve"> </w:t>
      </w:r>
      <w:r w:rsidR="0038724A">
        <w:t>una función</w:t>
      </w:r>
      <w:r w:rsidR="00C92620" w:rsidRPr="006008A0">
        <w:t xml:space="preserve"> anafóric</w:t>
      </w:r>
      <w:r w:rsidR="0038724A">
        <w:t>a</w:t>
      </w:r>
      <w:r w:rsidR="00C92620" w:rsidRPr="006008A0">
        <w:t xml:space="preserve"> que</w:t>
      </w:r>
      <w:r w:rsidR="0038724A">
        <w:t xml:space="preserve"> genera otro tipo</w:t>
      </w:r>
      <w:r w:rsidR="00C92620" w:rsidRPr="006008A0">
        <w:t xml:space="preserve"> </w:t>
      </w:r>
      <w:r w:rsidR="0038724A">
        <w:t>de</w:t>
      </w:r>
      <w:r w:rsidR="00C92620" w:rsidRPr="006008A0">
        <w:t xml:space="preserve"> ambigüedad.</w:t>
      </w:r>
      <w:r w:rsidR="002C7333">
        <w:t xml:space="preserve"> Elementos como</w:t>
      </w:r>
      <w:r w:rsidR="003C13A2">
        <w:t xml:space="preserve"> la categorización de personas y objetos con ciertos roles</w:t>
      </w:r>
      <w:r w:rsidR="00120F4B">
        <w:t xml:space="preserve"> como resultado de</w:t>
      </w:r>
      <w:r w:rsidR="003C13A2">
        <w:t xml:space="preserve"> ciertas perspectivas</w:t>
      </w:r>
      <w:r w:rsidR="002C7333">
        <w:t xml:space="preserve"> son propios de la función anafórica de ‘también’. </w:t>
      </w:r>
    </w:p>
    <w:p w14:paraId="63985DC6" w14:textId="0A4D3217" w:rsidR="00C92620" w:rsidRPr="006008A0" w:rsidRDefault="005B70C0" w:rsidP="00681E3D">
      <w:pPr>
        <w:spacing w:line="360" w:lineRule="auto"/>
        <w:ind w:firstLine="720"/>
        <w:jc w:val="both"/>
      </w:pPr>
      <w:r>
        <w:t>Presuposición y an</w:t>
      </w:r>
      <w:r w:rsidR="006E32C0">
        <w:t>áfora no se distinguen</w:t>
      </w:r>
      <w:r>
        <w:t xml:space="preserve"> </w:t>
      </w:r>
      <w:r w:rsidR="00FA2771">
        <w:t xml:space="preserve">con suficiente claridad </w:t>
      </w:r>
      <w:r>
        <w:t>en la</w:t>
      </w:r>
      <w:r w:rsidR="006E32C0">
        <w:t xml:space="preserve"> literatura</w:t>
      </w:r>
      <w:r w:rsidR="00A46CCE">
        <w:t xml:space="preserve"> </w:t>
      </w:r>
      <w:r w:rsidR="00975C65">
        <w:t>de orientación semántica</w:t>
      </w:r>
      <w:r w:rsidR="006E32C0">
        <w:t>.</w:t>
      </w:r>
      <w:r>
        <w:t xml:space="preserve"> </w:t>
      </w:r>
      <w:r w:rsidR="00C92620" w:rsidRPr="006008A0">
        <w:t xml:space="preserve">Beaver y Zeevat </w:t>
      </w:r>
      <w:r w:rsidR="00C92620">
        <w:fldChar w:fldCharType="begin" w:fldLock="1"/>
      </w:r>
      <w:r w:rsidR="00C92620">
        <w:instrText>ADDIN CSL_CITATION {"citationItems":[{"id":"ITEM-1","itemData":{"author":[{"dropping-particle":"","family":"Beaver","given":"David","non-dropping-particle":"","parse-names":false,"suffix":""},{"dropping-particle":"","family":"Zeevat","given":"Hiram","non-dropping-particle":"","parse-names":false,"suffix":""}],"container-title":"The Oxford handbook of linguistic interfaces","editor":[{"dropping-particle":"","family":"Ramchand","given":"Gillian","non-dropping-particle":"","parse-names":false,"suffix":""},{"dropping-particle":"","family":"Reiss","given":"Charles","non-dropping-particle":"","parse-names":false,"suffix":""}],"id":"ITEM-1","issued":{"date-parts":[["2007"]]},"publisher":"Oxford University Press","title":"Accommodation","type":"chapter"},"suppress-author":1,"uris":["http://www.mendeley.com/documents/?uuid=cd287aa8-9e86-4aff-898d-e0e382947935"]}],"mendeley":{"formattedCitation":"(2007)","plainTextFormattedCitation":"(2007)","previouslyFormattedCitation":"(2007)"},"properties":{"noteIndex":0},"schema":"https://github.com/citation-style-language/schema/raw/master/csl-citation.json"}</w:instrText>
      </w:r>
      <w:r w:rsidR="00C92620">
        <w:fldChar w:fldCharType="separate"/>
      </w:r>
      <w:r w:rsidR="00C92620" w:rsidRPr="00826EB5">
        <w:rPr>
          <w:noProof/>
        </w:rPr>
        <w:t>(2007)</w:t>
      </w:r>
      <w:r w:rsidR="00C92620">
        <w:fldChar w:fldCharType="end"/>
      </w:r>
      <w:r w:rsidR="00A46CCE">
        <w:t>, por ejemplo,</w:t>
      </w:r>
      <w:r w:rsidR="00C92620" w:rsidRPr="006008A0">
        <w:t xml:space="preserve"> señalan que </w:t>
      </w:r>
      <w:r w:rsidR="00BE36C5">
        <w:t>‘</w:t>
      </w:r>
      <w:r w:rsidR="00C92620" w:rsidRPr="006008A0">
        <w:t>también</w:t>
      </w:r>
      <w:r w:rsidR="00BE36C5">
        <w:t>’</w:t>
      </w:r>
      <w:r w:rsidR="00C92620" w:rsidRPr="006008A0">
        <w:t xml:space="preserve"> es un disparador de presuposición que resiste la acomodación.</w:t>
      </w:r>
      <w:r w:rsidR="00A46CCE">
        <w:t xml:space="preserve"> </w:t>
      </w:r>
      <w:r w:rsidR="00A3776B">
        <w:t>Así pues, la expresión</w:t>
      </w:r>
      <w:r w:rsidR="00A3776B" w:rsidRPr="006008A0">
        <w:t xml:space="preserve"> </w:t>
      </w:r>
      <w:r w:rsidR="00A3776B">
        <w:t>‘</w:t>
      </w:r>
      <w:r w:rsidR="00A3776B" w:rsidRPr="006008A0">
        <w:t>también</w:t>
      </w:r>
      <w:r w:rsidR="00A3776B">
        <w:t>’</w:t>
      </w:r>
      <w:r w:rsidR="00A3776B" w:rsidRPr="006008A0">
        <w:t xml:space="preserve"> p</w:t>
      </w:r>
      <w:r w:rsidR="00A3776B">
        <w:t>odría</w:t>
      </w:r>
      <w:r w:rsidR="00A3776B" w:rsidRPr="006008A0">
        <w:t xml:space="preserve"> referirse a diversos elementos </w:t>
      </w:r>
      <w:r w:rsidR="00A3776B" w:rsidRPr="00784F8C">
        <w:t>que han sido mencionados previamente en una conversación, como en el ejemplo de Bill</w:t>
      </w:r>
      <w:r w:rsidR="00577DF2" w:rsidRPr="00784F8C">
        <w:t>. E</w:t>
      </w:r>
      <w:r w:rsidR="00A3776B" w:rsidRPr="00784F8C">
        <w:t>n t</w:t>
      </w:r>
      <w:r w:rsidR="0020118E" w:rsidRPr="00784F8C">
        <w:rPr>
          <w:vanish/>
        </w:rPr>
        <w:t xml:space="preserve">.ica y no presupositiva anafill. este art literatura al respectorizaci referentes son correctos </w:t>
      </w:r>
      <w:r w:rsidR="0020118E" w:rsidRPr="00784F8C">
        <w:rPr>
          <w:vanish/>
        </w:rPr>
        <w:pgNum/>
      </w:r>
      <w:r w:rsidR="0020118E" w:rsidRPr="00784F8C">
        <w:rPr>
          <w:vanish/>
        </w:rPr>
        <w:pgNum/>
      </w:r>
      <w:r w:rsidR="0020118E" w:rsidRPr="00784F8C">
        <w:rPr>
          <w:vanish/>
        </w:rPr>
        <w:pgNum/>
      </w:r>
      <w:r w:rsidR="0020118E" w:rsidRPr="00784F8C">
        <w:rPr>
          <w:vanish/>
        </w:rPr>
        <w:pgNum/>
      </w:r>
      <w:r w:rsidR="0020118E" w:rsidRPr="00784F8C">
        <w:rPr>
          <w:vanish/>
        </w:rPr>
        <w:pgNum/>
      </w:r>
      <w:r w:rsidR="0020118E" w:rsidRPr="00784F8C">
        <w:rPr>
          <w:vanish/>
        </w:rPr>
        <w:pgNum/>
      </w:r>
      <w:r w:rsidR="0020118E" w:rsidRPr="00784F8C">
        <w:rPr>
          <w:vanish/>
        </w:rPr>
        <w:pgNum/>
      </w:r>
      <w:r w:rsidR="0020118E" w:rsidRPr="00784F8C">
        <w:rPr>
          <w:vanish/>
        </w:rPr>
        <w:pgNum/>
      </w:r>
      <w:r w:rsidR="0020118E" w:rsidRPr="00784F8C">
        <w:rPr>
          <w:vanish/>
        </w:rPr>
        <w:pgNum/>
      </w:r>
      <w:r w:rsidR="0020118E" w:rsidRPr="00784F8C">
        <w:rPr>
          <w:vanish/>
        </w:rPr>
        <w:pgNum/>
      </w:r>
      <w:r w:rsidR="0020118E" w:rsidRPr="00784F8C">
        <w:rPr>
          <w:vanish/>
        </w:rPr>
        <w:pgNum/>
      </w:r>
      <w:r w:rsidR="0020118E" w:rsidRPr="00784F8C">
        <w:rPr>
          <w:vanish/>
        </w:rPr>
        <w:pgNum/>
      </w:r>
      <w:r w:rsidR="0020118E" w:rsidRPr="00784F8C">
        <w:rPr>
          <w:vanish/>
        </w:rPr>
        <w:pgNum/>
      </w:r>
      <w:r w:rsidR="0020118E" w:rsidRPr="00784F8C">
        <w:rPr>
          <w:vanish/>
        </w:rPr>
        <w:pgNum/>
      </w:r>
      <w:r w:rsidR="0020118E" w:rsidRPr="00784F8C">
        <w:rPr>
          <w:vanish/>
        </w:rPr>
        <w:pgNum/>
      </w:r>
      <w:r w:rsidR="0020118E" w:rsidRPr="00784F8C">
        <w:rPr>
          <w:vanish/>
        </w:rPr>
        <w:pgNum/>
      </w:r>
      <w:r w:rsidR="0020118E" w:rsidRPr="00784F8C">
        <w:rPr>
          <w:vanish/>
        </w:rPr>
        <w:pgNum/>
      </w:r>
      <w:r w:rsidR="0020118E" w:rsidRPr="00784F8C">
        <w:rPr>
          <w:vanish/>
        </w:rPr>
        <w:pgNum/>
      </w:r>
      <w:r w:rsidR="0020118E" w:rsidRPr="00784F8C">
        <w:rPr>
          <w:vanish/>
        </w:rPr>
        <w:pgNum/>
      </w:r>
      <w:r w:rsidR="0020118E" w:rsidRPr="00784F8C">
        <w:rPr>
          <w:vanish/>
        </w:rPr>
        <w:pgNum/>
      </w:r>
      <w:r w:rsidR="0020118E" w:rsidRPr="00784F8C">
        <w:rPr>
          <w:vanish/>
        </w:rPr>
        <w:pgNum/>
      </w:r>
      <w:r w:rsidR="0020118E" w:rsidRPr="00784F8C">
        <w:rPr>
          <w:vanish/>
        </w:rPr>
        <w:pgNum/>
      </w:r>
      <w:r w:rsidR="0020118E" w:rsidRPr="00784F8C">
        <w:rPr>
          <w:vanish/>
        </w:rPr>
        <w:pgNum/>
      </w:r>
      <w:r w:rsidR="0020118E" w:rsidRPr="00784F8C">
        <w:rPr>
          <w:vanish/>
        </w:rPr>
        <w:pgNum/>
      </w:r>
      <w:r w:rsidR="0020118E" w:rsidRPr="00784F8C">
        <w:rPr>
          <w:vanish/>
        </w:rPr>
        <w:pgNum/>
      </w:r>
      <w:r w:rsidR="0020118E" w:rsidRPr="00784F8C">
        <w:rPr>
          <w:vanish/>
        </w:rPr>
        <w:pgNum/>
      </w:r>
      <w:r w:rsidR="0020118E" w:rsidRPr="00784F8C">
        <w:rPr>
          <w:vanish/>
        </w:rPr>
        <w:pgNum/>
      </w:r>
      <w:r w:rsidR="0020118E" w:rsidRPr="00784F8C">
        <w:rPr>
          <w:vanish/>
        </w:rPr>
        <w:pgNum/>
      </w:r>
      <w:r w:rsidR="0020118E" w:rsidRPr="00784F8C">
        <w:rPr>
          <w:vanish/>
        </w:rPr>
        <w:pgNum/>
      </w:r>
      <w:r w:rsidR="0020118E" w:rsidRPr="00784F8C">
        <w:rPr>
          <w:vanish/>
        </w:rPr>
        <w:pgNum/>
      </w:r>
      <w:r w:rsidR="0020118E" w:rsidRPr="00784F8C">
        <w:rPr>
          <w:vanish/>
        </w:rPr>
        <w:pgNum/>
      </w:r>
      <w:r w:rsidR="00A3776B" w:rsidRPr="00784F8C">
        <w:t>érminos de este artículo tal dependencia es anafórica y no presupositiva</w:t>
      </w:r>
      <w:r w:rsidR="00D910AE" w:rsidRPr="00784F8C">
        <w:t>.</w:t>
      </w:r>
      <w:r w:rsidR="00C92620" w:rsidRPr="006008A0">
        <w:t xml:space="preserve"> </w:t>
      </w:r>
    </w:p>
    <w:p w14:paraId="6280B257" w14:textId="40240864" w:rsidR="00227FE9" w:rsidRDefault="00D910AE" w:rsidP="00681E3D">
      <w:pPr>
        <w:spacing w:line="360" w:lineRule="auto"/>
        <w:ind w:firstLine="720"/>
        <w:jc w:val="both"/>
      </w:pPr>
      <w:r>
        <w:t>La identificación de presuposición y anáfora también aparece en</w:t>
      </w:r>
      <w:r w:rsidR="00C92620" w:rsidRPr="006008A0">
        <w:t xml:space="preserve"> Geurts y </w:t>
      </w:r>
      <w:r w:rsidR="00C92620">
        <w:t>v</w:t>
      </w:r>
      <w:r w:rsidR="00C92620" w:rsidRPr="006008A0">
        <w:t xml:space="preserve">an der Sandt </w:t>
      </w:r>
      <w:r w:rsidR="00C92620">
        <w:fldChar w:fldCharType="begin" w:fldLock="1"/>
      </w:r>
      <w:r w:rsidR="00C92620">
        <w:instrText>ADDIN CSL_CITATION {"citationItems":[{"id":"ITEM-1","itemData":{"author":[{"dropping-particle":"","family":"Geurts","given":"Bart","non-dropping-particle":"","parse-names":false,"suffix":""},{"dropping-particle":"","family":"Sandt","given":"Rob","non-dropping-particle":"van der","parse-names":false,"suffix":""}],"container-title":"Theoretical linguistics","id":"ITEM-1","issued":{"date-parts":[["2004"]]},"title":"Interpreting focus","type":"article-journal","volume":"30"},"suppress-author":1,"uris":["http://www.mendeley.com/documents/?uuid=8b37d63c-2c15-42ed-82ba-2fc272474009"]},{"id":"ITEM-2","itemData":{"author":[{"dropping-particle":"","family":"Geurts","given":"Bart","non-dropping-particle":"","parse-names":false,"suffix":""}],"container-title":"The Oxford Handbook of Pragmatics","id":"ITEM-2","issued":{"date-parts":[["2017"]]},"title":"Presupposition and givenness","type":"chapter"},"uris":["http://www.mendeley.com/documents/?uuid=4795fb4b-68ab-4821-a41c-592a605de4fd"]},{"id":"ITEM-3","itemData":{"author":[{"dropping-particle":"","family":"Sandt","given":"Rob","non-dropping-particle":"van der","parse-names":false,"suffix":""}],"container-title":"The Cambridge handbook of pragmatics","id":"ITEM-3","issued":{"date-parts":[["2012"]]},"page":"329-350","title":"Presupposition and accommodation in discourse","type":"article-journal"},"uris":["http://www.mendeley.com/documents/?uuid=1b06ed5e-517f-40b2-b155-9c2c87fc611c"]}],"mendeley":{"formattedCitation":"(Geurts, 2017; 2004; van der Sandt, 2012)","plainTextFormattedCitation":"(Geurts, 2017; 2004; van der Sandt, 2012)","previouslyFormattedCitation":"(2004; Geurts 2017; van der Sandt 2012)"},"properties":{"noteIndex":0},"schema":"https://github.com/citation-style-language/schema/raw/master/csl-citation.json"}</w:instrText>
      </w:r>
      <w:r w:rsidR="00C92620">
        <w:fldChar w:fldCharType="separate"/>
      </w:r>
      <w:r w:rsidR="00C92620" w:rsidRPr="00FB4FFF">
        <w:rPr>
          <w:noProof/>
        </w:rPr>
        <w:t>(Geurts, 2017; 2004; van der Sandt, 2012)</w:t>
      </w:r>
      <w:r w:rsidR="00C92620">
        <w:fldChar w:fldCharType="end"/>
      </w:r>
      <w:r w:rsidR="00C92620" w:rsidRPr="006008A0">
        <w:t xml:space="preserve">, quienes retoman la idea de Kripke y la incorporan en </w:t>
      </w:r>
      <w:r w:rsidR="00CB1AAF">
        <w:t>la</w:t>
      </w:r>
      <w:r w:rsidR="00C92620" w:rsidRPr="006008A0">
        <w:t xml:space="preserve"> TRD bajo la forma de un modelo de vinculación anafórica, una teoría de corte representacionalista y mentalista. Para ilustrar cómo se integran la idea de presuposición y la de vinculación (</w:t>
      </w:r>
      <w:r w:rsidR="00C92620" w:rsidRPr="006008A0">
        <w:rPr>
          <w:i/>
        </w:rPr>
        <w:t>binding</w:t>
      </w:r>
      <w:r w:rsidR="00C92620" w:rsidRPr="006008A0">
        <w:t xml:space="preserve">) para </w:t>
      </w:r>
      <w:r w:rsidR="00AE79D6">
        <w:t xml:space="preserve">los </w:t>
      </w:r>
      <w:r w:rsidR="00C92620" w:rsidRPr="006008A0">
        <w:t>referentes</w:t>
      </w:r>
      <w:r>
        <w:t xml:space="preserve"> típica de ciertas formas de anáfora</w:t>
      </w:r>
      <w:r w:rsidR="00C92620" w:rsidRPr="006008A0">
        <w:t xml:space="preserve"> considérese</w:t>
      </w:r>
      <w:r w:rsidR="00227FE9">
        <w:t xml:space="preserve"> (3), ejemplo que</w:t>
      </w:r>
      <w:r w:rsidR="00C92620" w:rsidRPr="006008A0">
        <w:t xml:space="preserve"> Geurts y Van der Sandt (2004) proponen:</w:t>
      </w:r>
    </w:p>
    <w:p w14:paraId="184DF9A0" w14:textId="3A0164B1" w:rsidR="00C92620" w:rsidRPr="006008A0" w:rsidRDefault="00C92620" w:rsidP="00681E3D">
      <w:pPr>
        <w:spacing w:line="360" w:lineRule="auto"/>
        <w:ind w:firstLine="720"/>
        <w:jc w:val="both"/>
      </w:pPr>
      <w:r w:rsidRPr="006008A0">
        <w:t xml:space="preserve"> </w:t>
      </w:r>
    </w:p>
    <w:p w14:paraId="57435355" w14:textId="0A7CA783" w:rsidR="00C92620" w:rsidRDefault="00C92620" w:rsidP="00AD1FD3">
      <w:pPr>
        <w:pStyle w:val="Prrafodelista"/>
        <w:numPr>
          <w:ilvl w:val="0"/>
          <w:numId w:val="2"/>
        </w:numPr>
        <w:spacing w:line="360" w:lineRule="auto"/>
      </w:pPr>
      <w:r w:rsidRPr="006008A0">
        <w:t>El párroco también está deprimido.</w:t>
      </w:r>
    </w:p>
    <w:p w14:paraId="55E436D0" w14:textId="77777777" w:rsidR="00227FE9" w:rsidRPr="006008A0" w:rsidRDefault="00227FE9" w:rsidP="00227FE9">
      <w:pPr>
        <w:spacing w:line="360" w:lineRule="auto"/>
      </w:pPr>
    </w:p>
    <w:p w14:paraId="37EB0635" w14:textId="3F119440" w:rsidR="00C92620" w:rsidRPr="006008A0" w:rsidRDefault="00C92620" w:rsidP="00681E3D">
      <w:pPr>
        <w:spacing w:line="360" w:lineRule="auto"/>
        <w:ind w:firstLine="720"/>
        <w:jc w:val="both"/>
      </w:pPr>
      <w:r w:rsidRPr="006008A0">
        <w:t xml:space="preserve">Geurts y </w:t>
      </w:r>
      <w:r>
        <w:t>v</w:t>
      </w:r>
      <w:r w:rsidRPr="006008A0">
        <w:t xml:space="preserve">an der Sandt (2004) sugieren descomponer la presuposición de este enunciado en dos partes. La primera es la presuposición existencial clásica y consiste en que hay una persona X diferente del párroco. “X” es entonces una variable sujeta a cuantificación existencial que puede </w:t>
      </w:r>
      <w:r w:rsidR="002605C6">
        <w:t xml:space="preserve">o bien </w:t>
      </w:r>
      <w:r w:rsidRPr="006008A0">
        <w:t xml:space="preserve">estar vinculada al contexto de la emisión lingüística o </w:t>
      </w:r>
      <w:r w:rsidR="002605C6">
        <w:t>bien</w:t>
      </w:r>
      <w:r w:rsidRPr="006008A0">
        <w:t xml:space="preserve"> ser </w:t>
      </w:r>
      <w:r w:rsidR="00BE36C5">
        <w:t>‘</w:t>
      </w:r>
      <w:r w:rsidRPr="006008A0">
        <w:t>acomodada</w:t>
      </w:r>
      <w:r w:rsidR="00BE36C5">
        <w:t>’</w:t>
      </w:r>
      <w:r w:rsidRPr="006008A0">
        <w:t xml:space="preserve"> suponiendo que el contexto de emisión se incluye en un universo de discurso más amplio. La segunda presuposición es que X está deprimido. La presuposición primaria se deriva del significado mismo de </w:t>
      </w:r>
      <w:r w:rsidR="00BE36C5">
        <w:t>‘</w:t>
      </w:r>
      <w:r w:rsidRPr="006008A0">
        <w:t>también</w:t>
      </w:r>
      <w:r w:rsidR="00BE36C5">
        <w:t>’</w:t>
      </w:r>
      <w:r w:rsidRPr="006008A0">
        <w:t xml:space="preserve">. </w:t>
      </w:r>
      <w:r w:rsidRPr="005F421A">
        <w:t xml:space="preserve">La presuposición secundaria se deriva de la regla de presuposición del trasfondo (BPR): </w:t>
      </w:r>
      <w:r w:rsidR="005F421A" w:rsidRPr="005F421A">
        <w:t>“</w:t>
      </w:r>
      <w:r w:rsidRPr="005F421A">
        <w:rPr>
          <w:i/>
        </w:rPr>
        <w:t>Whenever focusing gives rise to a background lx:j(x), there is a presupposition to the effect that lx:j(x) holds of some individual.</w:t>
      </w:r>
      <w:r w:rsidRPr="005F421A">
        <w:t xml:space="preserve"> </w:t>
      </w:r>
      <w:r w:rsidRPr="006008A0">
        <w:t>(p. 1)</w:t>
      </w:r>
      <w:r w:rsidR="005F421A">
        <w:t>”</w:t>
      </w:r>
    </w:p>
    <w:p w14:paraId="17F210FB" w14:textId="61F0DDC4" w:rsidR="00C92620" w:rsidRPr="006008A0" w:rsidRDefault="00C92620" w:rsidP="00681E3D">
      <w:pPr>
        <w:spacing w:line="360" w:lineRule="auto"/>
        <w:ind w:firstLine="720"/>
        <w:jc w:val="both"/>
      </w:pPr>
      <w:r w:rsidRPr="006008A0">
        <w:t xml:space="preserve">Esta presuposición secundaria solo es posible gracias a una variable vinculada al contexto de emisión lingüística. Así, (2) puede ser comprendida gracias a una presuposición compleja que de un lado requiere una presuposición existencial que podemos denominar </w:t>
      </w:r>
      <w:r w:rsidR="00BE36C5">
        <w:t>‘</w:t>
      </w:r>
      <w:r w:rsidRPr="006008A0">
        <w:t>global</w:t>
      </w:r>
      <w:r w:rsidR="00BE36C5">
        <w:t>’</w:t>
      </w:r>
      <w:r w:rsidRPr="006008A0">
        <w:t xml:space="preserve"> y, de otro, una presuposición </w:t>
      </w:r>
      <w:r w:rsidR="00700BB7" w:rsidRPr="006008A0">
        <w:t xml:space="preserve">que podemos denominar </w:t>
      </w:r>
      <w:r w:rsidR="00700BB7">
        <w:t>‘</w:t>
      </w:r>
      <w:r w:rsidR="00700BB7" w:rsidRPr="006008A0">
        <w:t>local</w:t>
      </w:r>
      <w:r w:rsidR="00700BB7">
        <w:t xml:space="preserve">’ </w:t>
      </w:r>
      <w:r w:rsidRPr="006008A0">
        <w:t xml:space="preserve">vinculada con elementos presentados previamente en la situación comunicativa textual o deíctica </w:t>
      </w:r>
      <w:r w:rsidR="00441A21">
        <w:t xml:space="preserve">y </w:t>
      </w:r>
      <w:r w:rsidR="00D910AE">
        <w:t xml:space="preserve">que </w:t>
      </w:r>
      <w:r w:rsidR="00120F4B">
        <w:t xml:space="preserve">en su terminología </w:t>
      </w:r>
      <w:r w:rsidR="00D910AE">
        <w:t>introduce un antecedente anafórico</w:t>
      </w:r>
      <w:r w:rsidRPr="006008A0">
        <w:t xml:space="preserve">. </w:t>
      </w:r>
      <w:r w:rsidR="0045781D">
        <w:t xml:space="preserve">En este preciso sentido, </w:t>
      </w:r>
      <w:r w:rsidR="00BE36C5">
        <w:t>‘</w:t>
      </w:r>
      <w:r w:rsidRPr="006008A0">
        <w:t>también</w:t>
      </w:r>
      <w:r w:rsidR="00BE36C5">
        <w:t>’</w:t>
      </w:r>
      <w:r w:rsidRPr="006008A0">
        <w:t xml:space="preserve"> se concibe como un elemento que induce una </w:t>
      </w:r>
      <w:r w:rsidRPr="0045781D">
        <w:rPr>
          <w:i/>
          <w:iCs/>
        </w:rPr>
        <w:t>presuposición anafórica</w:t>
      </w:r>
      <w:r w:rsidRPr="0042376B">
        <w:rPr>
          <w:rStyle w:val="Refdenotaalfinal"/>
        </w:rPr>
        <w:endnoteReference w:id="2"/>
      </w:r>
      <w:r w:rsidRPr="006008A0">
        <w:t xml:space="preserve">. </w:t>
      </w:r>
    </w:p>
    <w:p w14:paraId="6AA77B44" w14:textId="6ABA76C1" w:rsidR="00347F7C" w:rsidRDefault="00C92620" w:rsidP="006A5AA4">
      <w:pPr>
        <w:spacing w:line="360" w:lineRule="auto"/>
        <w:ind w:firstLine="720"/>
        <w:jc w:val="both"/>
      </w:pPr>
      <w:r w:rsidRPr="006008A0">
        <w:t xml:space="preserve">Este análisis, sin embargo, todavía no permite dar cuenta de la ambigüedad propia del uso de </w:t>
      </w:r>
      <w:r w:rsidR="00BE36C5">
        <w:t>‘</w:t>
      </w:r>
      <w:r w:rsidRPr="006008A0">
        <w:t>también</w:t>
      </w:r>
      <w:r w:rsidR="00BE36C5">
        <w:t>’</w:t>
      </w:r>
      <w:r w:rsidRPr="006008A0">
        <w:t xml:space="preserve"> en presencia de partículas ind</w:t>
      </w:r>
      <w:r w:rsidR="002605C6">
        <w:t>éxicas</w:t>
      </w:r>
      <w:r w:rsidR="00D605E6">
        <w:t xml:space="preserve"> ya que en</w:t>
      </w:r>
      <w:r w:rsidRPr="006008A0">
        <w:t xml:space="preserve"> </w:t>
      </w:r>
      <w:r w:rsidR="00D605E6">
        <w:t>e</w:t>
      </w:r>
      <w:r w:rsidRPr="006008A0">
        <w:t xml:space="preserve">stos casos la presuposición secundaria, o anafórica sigue un patrón que desafía la distinción proyección local vs. proyección global propia de la propuesta de Geurts y </w:t>
      </w:r>
      <w:r>
        <w:t>v</w:t>
      </w:r>
      <w:r w:rsidRPr="006008A0">
        <w:t xml:space="preserve">an der Sandt.  </w:t>
      </w:r>
    </w:p>
    <w:p w14:paraId="30765626" w14:textId="2FB1DF00" w:rsidR="00C92620" w:rsidRPr="006008A0" w:rsidRDefault="00C92620" w:rsidP="00681E3D">
      <w:pPr>
        <w:spacing w:line="360" w:lineRule="auto"/>
        <w:ind w:firstLine="360"/>
        <w:jc w:val="both"/>
      </w:pPr>
      <w:r w:rsidRPr="006008A0">
        <w:t>En e</w:t>
      </w:r>
      <w:r w:rsidR="006A5AA4">
        <w:t>jemplos como (1)</w:t>
      </w:r>
      <w:r w:rsidRPr="006008A0">
        <w:t xml:space="preserve">, </w:t>
      </w:r>
      <w:r w:rsidR="00BE36C5">
        <w:t>‘</w:t>
      </w:r>
      <w:r w:rsidRPr="006008A0">
        <w:t>también</w:t>
      </w:r>
      <w:r w:rsidR="00BE36C5">
        <w:t>’</w:t>
      </w:r>
      <w:r w:rsidRPr="006008A0">
        <w:t xml:space="preserve"> tiene una función adicional</w:t>
      </w:r>
      <w:r w:rsidR="005442FB">
        <w:t>,</w:t>
      </w:r>
      <w:r w:rsidRPr="006008A0">
        <w:t xml:space="preserve"> pues además de inducir una presuposición existencial y sugerir la acomodación de información contextual previa, señala un punto de vista particular, de manera similar al de una anáfora pronominal.  El elemento clave aquí es que, a diferencia de otras expresiones anafóricas, el tipo de vinculación particular que es necesaria para la resolución de la anáfora implica tener en cuenta el punto de vista generado por el uso de expresiones</w:t>
      </w:r>
      <w:r w:rsidR="003C13A2">
        <w:t xml:space="preserve"> indéxicas.</w:t>
      </w:r>
      <w:r w:rsidRPr="006008A0">
        <w:t xml:space="preserve"> </w:t>
      </w:r>
      <w:r w:rsidR="003C13A2">
        <w:t>E</w:t>
      </w:r>
      <w:r w:rsidRPr="006008A0">
        <w:t xml:space="preserve">n el caso considerado, el pronombre </w:t>
      </w:r>
      <w:r w:rsidR="00BE36C5">
        <w:t>‘</w:t>
      </w:r>
      <w:r w:rsidRPr="006008A0">
        <w:t>yo</w:t>
      </w:r>
      <w:r w:rsidR="00BE36C5">
        <w:t>’</w:t>
      </w:r>
      <w:r w:rsidR="003C13A2">
        <w:t xml:space="preserve"> introduce el punto de vista de un agente epistémico que cree ser generoso</w:t>
      </w:r>
      <w:r w:rsidRPr="006008A0">
        <w:t>.</w:t>
      </w:r>
      <w:r w:rsidR="00441A21">
        <w:t xml:space="preserve"> No</w:t>
      </w:r>
      <w:r w:rsidR="002D0D08">
        <w:t xml:space="preserve"> hay </w:t>
      </w:r>
      <w:r w:rsidR="00120F4B">
        <w:t>un objeto o conjunto de objetos a los que los participantes en el diálogo refieran</w:t>
      </w:r>
      <w:r w:rsidR="00441A21">
        <w:t>, como en los ejemplos de presuposición anafórica</w:t>
      </w:r>
      <w:r w:rsidR="00577DF2" w:rsidRPr="00577DF2">
        <w:t xml:space="preserve"> </w:t>
      </w:r>
      <w:r w:rsidR="00D70687">
        <w:t xml:space="preserve">de </w:t>
      </w:r>
      <w:r w:rsidR="00577DF2" w:rsidRPr="006008A0">
        <w:t xml:space="preserve">Geurts y </w:t>
      </w:r>
      <w:r w:rsidR="00577DF2">
        <w:t>v</w:t>
      </w:r>
      <w:r w:rsidR="00577DF2" w:rsidRPr="006008A0">
        <w:t>an der Sandt</w:t>
      </w:r>
      <w:r w:rsidR="00441A21">
        <w:t>, sino un punto de vista</w:t>
      </w:r>
      <w:r w:rsidR="00120F4B">
        <w:t xml:space="preserve"> al que que ambos aluden</w:t>
      </w:r>
      <w:r w:rsidR="00441A21">
        <w:t>, el tipo de punto de vista que otro agente epistémico puede compartir</w:t>
      </w:r>
      <w:r w:rsidR="00140693">
        <w:t>.</w:t>
      </w:r>
      <w:r w:rsidR="00577DF2">
        <w:t xml:space="preserve"> La presuposición con</w:t>
      </w:r>
      <w:r w:rsidR="00120F4B">
        <w:t xml:space="preserve"> indéxicos</w:t>
      </w:r>
      <w:r w:rsidR="00DA35D7">
        <w:t xml:space="preserve"> permite</w:t>
      </w:r>
      <w:r w:rsidR="00577DF2">
        <w:t xml:space="preserve"> relaciones </w:t>
      </w:r>
      <w:r w:rsidR="00D70687">
        <w:t xml:space="preserve">de </w:t>
      </w:r>
      <w:r w:rsidR="00120F4B">
        <w:t xml:space="preserve">este tipo </w:t>
      </w:r>
      <w:r w:rsidR="00577DF2">
        <w:t>de dependencia anafórica entre puntos de vista.</w:t>
      </w:r>
      <w:r w:rsidR="00441A21">
        <w:t xml:space="preserve"> </w:t>
      </w:r>
    </w:p>
    <w:p w14:paraId="6640C792" w14:textId="4FD849D6" w:rsidR="00C92620" w:rsidRPr="005442FB" w:rsidRDefault="00C92620" w:rsidP="0053086D">
      <w:pPr>
        <w:pStyle w:val="Ttulo4"/>
        <w:numPr>
          <w:ilvl w:val="1"/>
          <w:numId w:val="7"/>
        </w:numPr>
        <w:spacing w:line="360" w:lineRule="auto"/>
        <w:rPr>
          <w:i/>
          <w:iCs/>
          <w:color w:val="auto"/>
        </w:rPr>
      </w:pPr>
      <w:bookmarkStart w:id="3" w:name="_Toc525207634"/>
      <w:r w:rsidRPr="005442FB">
        <w:rPr>
          <w:i/>
          <w:iCs/>
          <w:color w:val="auto"/>
        </w:rPr>
        <w:t>El problema de la proyección y la presuposición</w:t>
      </w:r>
      <w:bookmarkEnd w:id="3"/>
      <w:r w:rsidRPr="005442FB">
        <w:rPr>
          <w:i/>
          <w:iCs/>
          <w:color w:val="auto"/>
        </w:rPr>
        <w:t xml:space="preserve"> </w:t>
      </w:r>
    </w:p>
    <w:p w14:paraId="2549DAD2" w14:textId="74F905E1" w:rsidR="00C92620" w:rsidRPr="006008A0" w:rsidRDefault="003C13A2" w:rsidP="00681E3D">
      <w:pPr>
        <w:spacing w:line="360" w:lineRule="auto"/>
        <w:ind w:firstLine="720"/>
        <w:jc w:val="both"/>
      </w:pPr>
      <w:r>
        <w:t xml:space="preserve">En la literatura </w:t>
      </w:r>
      <w:r w:rsidR="00983B51">
        <w:t>que asocia presuposición y anáfora</w:t>
      </w:r>
      <w:r>
        <w:t xml:space="preserve"> es común considerar e</w:t>
      </w:r>
      <w:r w:rsidR="00C92620" w:rsidRPr="006008A0">
        <w:t xml:space="preserve">l problema introducido por el uso de los pronombres personales </w:t>
      </w:r>
      <w:r>
        <w:t>como</w:t>
      </w:r>
      <w:r w:rsidR="00C92620" w:rsidRPr="006008A0">
        <w:t xml:space="preserve"> un caso del problema más amplio de la proyección de la presuposición. En palabras de Geurts (2017): “¿Cómo sucede que las presuposiciones de una oración dependen de las presuposiciones de sus partes?” (p. 182). </w:t>
      </w:r>
    </w:p>
    <w:p w14:paraId="13329001" w14:textId="28705CD6" w:rsidR="00C92620" w:rsidRPr="006008A0" w:rsidRDefault="00C92620" w:rsidP="00681E3D">
      <w:pPr>
        <w:spacing w:line="360" w:lineRule="auto"/>
        <w:ind w:firstLine="720"/>
        <w:jc w:val="both"/>
      </w:pPr>
      <w:r w:rsidRPr="006008A0">
        <w:t xml:space="preserve">La teoría de la vinculación anafórica (Geurts y van der Sandt, 2004; Geurts, 2017) contempla el caso de presuposiciones que son heredadas por oraciones subordinadas a contextos más amplios de discurso. El mecanismo general es el de vinculación referencial, lo cual implica que la inferencia por defecto es la proyección de las presuposiciones de los componentes al todo. Esto no quiere decir que mecanismos como los de acomodación o satisfacción (van der Sandt, 2012) no puedan jugar un papel en la comprensión de la </w:t>
      </w:r>
      <w:r w:rsidRPr="001E3C15">
        <w:rPr>
          <w:lang w:val="es-ES_tradnl"/>
        </w:rPr>
        <w:t>información</w:t>
      </w:r>
      <w:r w:rsidRPr="006008A0">
        <w:t>, pero sí que se necesita especificar la información sintáctica y contextual que permit</w:t>
      </w:r>
      <w:r w:rsidR="002605C6">
        <w:t>a</w:t>
      </w:r>
      <w:r w:rsidRPr="006008A0">
        <w:t xml:space="preserve"> anular la inferencia referencial. En caso de que la presuposición referencial deje de gobernar la interpretación</w:t>
      </w:r>
      <w:r w:rsidR="00AE79D6">
        <w:t>,</w:t>
      </w:r>
      <w:r w:rsidRPr="006008A0">
        <w:t xml:space="preserve"> debe haber una poderosa razón adicional para ello y en ausencia de esa razón, la oración debe entenderse acomodando la interpretación de la anáfora a la condición existencial. Consideremos el </w:t>
      </w:r>
      <w:r w:rsidR="00E01BAA">
        <w:t>ejemplo (4)</w:t>
      </w:r>
      <w:r w:rsidRPr="006008A0">
        <w:t xml:space="preserve"> presentado por Geurts (2017):</w:t>
      </w:r>
    </w:p>
    <w:p w14:paraId="15CB36E1" w14:textId="77777777" w:rsidR="00C92620" w:rsidRPr="006008A0" w:rsidRDefault="00C92620" w:rsidP="00AD1FD3">
      <w:pPr>
        <w:spacing w:line="360" w:lineRule="auto"/>
      </w:pPr>
    </w:p>
    <w:p w14:paraId="30051847" w14:textId="6B218212" w:rsidR="00C92620" w:rsidRPr="006008A0" w:rsidRDefault="00C92620" w:rsidP="005906CB">
      <w:pPr>
        <w:pStyle w:val="Prrafodelista"/>
        <w:numPr>
          <w:ilvl w:val="0"/>
          <w:numId w:val="2"/>
        </w:numPr>
        <w:spacing w:line="360" w:lineRule="auto"/>
      </w:pPr>
      <w:r w:rsidRPr="006008A0">
        <w:t xml:space="preserve">Jill tiene hambre y ella cree que la pizzería en el Vaticano está cerrada los domingos. </w:t>
      </w:r>
    </w:p>
    <w:p w14:paraId="4E811AA8" w14:textId="77777777" w:rsidR="00C92620" w:rsidRPr="006008A0" w:rsidRDefault="00C92620" w:rsidP="00AD1FD3">
      <w:pPr>
        <w:spacing w:line="360" w:lineRule="auto"/>
      </w:pPr>
    </w:p>
    <w:p w14:paraId="4E46424E" w14:textId="5E9A88E5" w:rsidR="00C92620" w:rsidRPr="006008A0" w:rsidRDefault="00C92620" w:rsidP="00681E3D">
      <w:pPr>
        <w:spacing w:line="360" w:lineRule="auto"/>
        <w:ind w:firstLine="720"/>
        <w:jc w:val="both"/>
      </w:pPr>
      <w:r w:rsidRPr="006008A0">
        <w:t xml:space="preserve">Geurts (2017; ver también van der Sandt, 2012) considera que en </w:t>
      </w:r>
      <w:r w:rsidR="00227FE9">
        <w:t>(4)</w:t>
      </w:r>
      <w:r w:rsidRPr="006008A0">
        <w:t xml:space="preserve"> normalmente un hablante se comprometería con el supuesto de que hay una pizzería en el Vaticano mediante la inferencia referencial por defecto. Esto se debe a que la oración “la pizzería en el Vaticano está cerrada” presupone “hay una pizzería en el Vaticano”, presuposición que es proyectada a (4) en su totalidad. La información que se requiere está vinculada con elementos que se presentan en el texto, como el hecho de que si Jill tiene hambre, el horario de la pizzería del Vaticano resulta un estado de cosas prominente para ella y ese estado de cosas prominente tiene como presuposición la existencia de una pizzería en el Vaticano. De esta manera se vinculan la presuposición existencial tradicional y la presuposición propiamente referencial.</w:t>
      </w:r>
    </w:p>
    <w:p w14:paraId="6D059DCD" w14:textId="1A0E1B2D" w:rsidR="00C92620" w:rsidRPr="006008A0" w:rsidRDefault="00C92620" w:rsidP="00681E3D">
      <w:pPr>
        <w:spacing w:line="360" w:lineRule="auto"/>
        <w:ind w:firstLine="720"/>
        <w:jc w:val="both"/>
        <w:rPr>
          <w:b/>
        </w:rPr>
      </w:pPr>
      <w:r w:rsidRPr="006008A0">
        <w:t xml:space="preserve">Es claro, sin embargo, que este análisis es insuficiente para (1). No podemos vincular la presuposición existencial con la referencial de esta manera. La presuposición existencial tradicional de </w:t>
      </w:r>
      <w:r w:rsidR="00BE36C5">
        <w:t>‘</w:t>
      </w:r>
      <w:r w:rsidRPr="006008A0">
        <w:t>también</w:t>
      </w:r>
      <w:r w:rsidR="00BE36C5">
        <w:t>’</w:t>
      </w:r>
      <w:r w:rsidRPr="006008A0">
        <w:t xml:space="preserve"> dice que </w:t>
      </w:r>
      <w:r w:rsidRPr="006008A0">
        <w:rPr>
          <w:i/>
        </w:rPr>
        <w:t>alguien más que A</w:t>
      </w:r>
      <w:r w:rsidRPr="006008A0">
        <w:t xml:space="preserve"> cree que </w:t>
      </w:r>
      <w:r w:rsidRPr="006008A0">
        <w:rPr>
          <w:i/>
        </w:rPr>
        <w:t>A</w:t>
      </w:r>
      <w:r w:rsidRPr="006008A0">
        <w:t xml:space="preserve"> es generoso, es decir, que hay otro agente epistémico de la misma creencia. La presuposición referencial para </w:t>
      </w:r>
      <w:r w:rsidR="00BE36C5">
        <w:t>‘</w:t>
      </w:r>
      <w:r w:rsidRPr="006008A0">
        <w:t>yo</w:t>
      </w:r>
      <w:r w:rsidR="00BE36C5">
        <w:t>’</w:t>
      </w:r>
      <w:r w:rsidRPr="006008A0">
        <w:t xml:space="preserve">, a su vez, dice que ese agente epistémico es </w:t>
      </w:r>
      <w:r w:rsidRPr="006008A0">
        <w:rPr>
          <w:i/>
        </w:rPr>
        <w:t>B</w:t>
      </w:r>
      <w:r w:rsidRPr="006008A0">
        <w:t>. Y así</w:t>
      </w:r>
      <w:r w:rsidR="00851858">
        <w:t>,</w:t>
      </w:r>
      <w:r w:rsidRPr="006008A0">
        <w:t xml:space="preserve"> la combinación de presuposiciones produce la lectura errónea de (1): </w:t>
      </w:r>
      <w:r w:rsidRPr="006008A0">
        <w:rPr>
          <w:i/>
        </w:rPr>
        <w:t>A</w:t>
      </w:r>
      <w:r w:rsidRPr="006008A0">
        <w:t xml:space="preserve"> y </w:t>
      </w:r>
      <w:r w:rsidRPr="006008A0">
        <w:rPr>
          <w:i/>
        </w:rPr>
        <w:t xml:space="preserve">B </w:t>
      </w:r>
      <w:r w:rsidRPr="006008A0">
        <w:t xml:space="preserve">son agentes epistémicos de la </w:t>
      </w:r>
      <w:r w:rsidRPr="006008A0">
        <w:rPr>
          <w:i/>
        </w:rPr>
        <w:t>misma creencia</w:t>
      </w:r>
      <w:r w:rsidRPr="006008A0">
        <w:t xml:space="preserve">. </w:t>
      </w:r>
    </w:p>
    <w:p w14:paraId="1E98A070" w14:textId="09474D69" w:rsidR="00C92620" w:rsidRPr="006008A0" w:rsidRDefault="00C92620" w:rsidP="00681E3D">
      <w:pPr>
        <w:spacing w:line="360" w:lineRule="auto"/>
        <w:ind w:firstLine="720"/>
        <w:jc w:val="both"/>
      </w:pPr>
      <w:r w:rsidRPr="006008A0">
        <w:t xml:space="preserve">Este problema es </w:t>
      </w:r>
      <w:r w:rsidR="00851858">
        <w:t>previsto</w:t>
      </w:r>
      <w:r w:rsidRPr="006008A0">
        <w:t xml:space="preserve"> parcialmente por Geurts y van der Sandt (2004)</w:t>
      </w:r>
      <w:r w:rsidR="00851858">
        <w:t>, quienes</w:t>
      </w:r>
      <w:r w:rsidRPr="006008A0">
        <w:t xml:space="preserve"> distinguen entre proyecciones locales (válidas solo en el alcance reducido de las oraciones o componentes de una emisión lingüística) y las proyecciones globales (válidas para el conjunto de la emisión lingüística).  Esto sugiere que a pesar de que la inferencia por defecto es la de la lectura referencial (o proyección global), existen contextos en los que </w:t>
      </w:r>
      <w:r w:rsidR="00667C97">
        <w:t xml:space="preserve">se privilegia </w:t>
      </w:r>
      <w:r w:rsidRPr="006008A0">
        <w:t>la proyección local, tales como los contextos introducidos por verbos factitivos</w:t>
      </w:r>
      <w:r>
        <w:t xml:space="preserve"> </w:t>
      </w:r>
      <w:r>
        <w:fldChar w:fldCharType="begin" w:fldLock="1"/>
      </w:r>
      <w:r>
        <w:instrText>ADDIN CSL_CITATION {"citationItems":[{"id":"ITEM-1","itemData":{"author":[{"dropping-particle":"","family":"Sharvit","given":"Yul","non-dropping-particle":"","parse-names":false,"suffix":""},{"dropping-particle":"","family":"Shai","given":"Carl","non-dropping-particle":"","parse-names":false,"suffix":""}],"container-title":"Logic and Sensibility","editor":[{"dropping-particle":"","family":"Watanabe","given":"S","non-dropping-particle":"","parse-names":false,"suffix":""}],"id":"ITEM-1","issued":{"date-parts":[["2012"]]},"page":"255-274","publisher":"Keio University Press","publisher-place":"Tokyo, Japan","title":"The unexpected projection of some presupposition triggers","type":"chapter"},"uris":["http://www.mendeley.com/documents/?uuid=3e61a52e-efd1-49e8-872e-a77fddb38a91"]}],"mendeley":{"formattedCitation":"(Sharvit &amp; Shai, 2012)","plainTextFormattedCitation":"(Sharvit &amp; Shai, 2012)","previouslyFormattedCitation":"(Sharvit and Shai 2012)"},"properties":{"noteIndex":0},"schema":"https://github.com/citation-style-language/schema/raw/master/csl-citation.json"}</w:instrText>
      </w:r>
      <w:r>
        <w:fldChar w:fldCharType="separate"/>
      </w:r>
      <w:r w:rsidRPr="00FB4FFF">
        <w:rPr>
          <w:noProof/>
        </w:rPr>
        <w:t>(Sharvit &amp; Shai, 2012)</w:t>
      </w:r>
      <w:r>
        <w:fldChar w:fldCharType="end"/>
      </w:r>
      <w:r w:rsidRPr="006008A0">
        <w:t>.  Esta solución, sin embargo, no es tal. Se trata de una re</w:t>
      </w:r>
      <w:r w:rsidR="00851858">
        <w:t>formula</w:t>
      </w:r>
      <w:r w:rsidRPr="006008A0">
        <w:t xml:space="preserve">ción del fenómeno que se quiere explicar, pues la distinción entre presuposiciones globales y locales apela al mismo sistema de general de desambiguación de las proposiciones presentado arriba y que produce resultados erróneos para oraciones con indéxicos.  </w:t>
      </w:r>
    </w:p>
    <w:p w14:paraId="7D588651" w14:textId="75C28CF4" w:rsidR="00C92620" w:rsidRPr="006008A0" w:rsidRDefault="00441A21" w:rsidP="00681E3D">
      <w:pPr>
        <w:spacing w:line="360" w:lineRule="auto"/>
        <w:ind w:firstLine="720"/>
        <w:jc w:val="both"/>
      </w:pPr>
      <w:r>
        <w:t>En síntesis,</w:t>
      </w:r>
      <w:r w:rsidR="00C92620" w:rsidRPr="006008A0">
        <w:t xml:space="preserve"> el análisis de casos como (1) se ha desarrollado en dos líneas según la TRD. De un lado, el análisis de </w:t>
      </w:r>
      <w:r w:rsidR="00BE36C5">
        <w:t>‘</w:t>
      </w:r>
      <w:r w:rsidR="00C92620" w:rsidRPr="006008A0">
        <w:t>también</w:t>
      </w:r>
      <w:r w:rsidR="00BE36C5">
        <w:t>’</w:t>
      </w:r>
      <w:r w:rsidR="00C92620" w:rsidRPr="006008A0">
        <w:t xml:space="preserve"> sugiere que se dispara una inferencia </w:t>
      </w:r>
      <w:r w:rsidR="00851858">
        <w:t>por presuposición</w:t>
      </w:r>
      <w:r w:rsidR="00C92620" w:rsidRPr="006008A0">
        <w:t xml:space="preserve"> de foco, de carácter anafórico</w:t>
      </w:r>
      <w:r w:rsidR="00D56A26">
        <w:t xml:space="preserve"> en su terminología</w:t>
      </w:r>
      <w:r w:rsidR="00C92620" w:rsidRPr="006008A0">
        <w:t>, que s</w:t>
      </w:r>
      <w:r w:rsidR="00851858">
        <w:t>e</w:t>
      </w:r>
      <w:r w:rsidR="00C92620" w:rsidRPr="006008A0">
        <w:t xml:space="preserve"> acomoda en virtud de una condición existencial general. De otro lado, el análisis de las oraciones incrustadas</w:t>
      </w:r>
      <w:r w:rsidR="004B7086">
        <w:t xml:space="preserve"> en las que se atribuyen creencias</w:t>
      </w:r>
      <w:r w:rsidR="00C92620" w:rsidRPr="006008A0">
        <w:t xml:space="preserve"> sugiere que por defecto se realiza una inferencia global, es decir, de carácter referencial. Ambas lecturas ofrecen una solución incompleta al problema de la desambiguación de </w:t>
      </w:r>
      <w:r w:rsidR="00BE36C5">
        <w:t>‘</w:t>
      </w:r>
      <w:r w:rsidR="00C92620" w:rsidRPr="006008A0">
        <w:t>yo también</w:t>
      </w:r>
      <w:r w:rsidR="00BE36C5">
        <w:t>’</w:t>
      </w:r>
      <w:r w:rsidR="00C92620" w:rsidRPr="006008A0">
        <w:t xml:space="preserve"> en (1), que sugiere que se debe privilegiar la lectura referencial de la desambiguación, a pesar de reconocer que puede</w:t>
      </w:r>
      <w:r w:rsidR="00C92620">
        <w:t>n</w:t>
      </w:r>
      <w:r w:rsidR="00C92620" w:rsidRPr="006008A0">
        <w:t xml:space="preserve"> existir inferencias locales de alcance limitado (Sharvit </w:t>
      </w:r>
      <w:r w:rsidR="005906CB" w:rsidRPr="005906CB">
        <w:t>&amp;</w:t>
      </w:r>
      <w:r w:rsidR="00C92620" w:rsidRPr="006008A0">
        <w:t xml:space="preserve"> Shai, 2012) cuyo mecanismo es desconocido.  </w:t>
      </w:r>
    </w:p>
    <w:p w14:paraId="3DD5F9BC" w14:textId="5D9D67AD" w:rsidR="00C92620" w:rsidRPr="005442FB" w:rsidRDefault="00C92620" w:rsidP="0053086D">
      <w:pPr>
        <w:pStyle w:val="Ttulo4"/>
        <w:numPr>
          <w:ilvl w:val="1"/>
          <w:numId w:val="7"/>
        </w:numPr>
        <w:spacing w:line="360" w:lineRule="auto"/>
        <w:rPr>
          <w:i/>
          <w:iCs/>
          <w:color w:val="auto"/>
        </w:rPr>
      </w:pPr>
      <w:bookmarkStart w:id="4" w:name="_Toc525207635"/>
      <w:r w:rsidRPr="005442FB">
        <w:rPr>
          <w:i/>
          <w:iCs/>
          <w:color w:val="auto"/>
        </w:rPr>
        <w:t>Un análisis alternativo</w:t>
      </w:r>
      <w:bookmarkEnd w:id="4"/>
      <w:r w:rsidRPr="005442FB">
        <w:rPr>
          <w:i/>
          <w:iCs/>
          <w:color w:val="auto"/>
        </w:rPr>
        <w:t xml:space="preserve">  </w:t>
      </w:r>
    </w:p>
    <w:p w14:paraId="2F07902E" w14:textId="1F7C4D12" w:rsidR="00C92620" w:rsidRDefault="00C92620" w:rsidP="00E01BAA">
      <w:pPr>
        <w:spacing w:line="360" w:lineRule="auto"/>
        <w:ind w:firstLine="720"/>
        <w:jc w:val="both"/>
      </w:pPr>
      <w:r w:rsidRPr="006008A0">
        <w:t>Nuestro análisis perspectiv</w:t>
      </w:r>
      <w:r w:rsidR="00851858">
        <w:t>o</w:t>
      </w:r>
      <w:r w:rsidRPr="006008A0">
        <w:t xml:space="preserve"> tiene como punto de inicio el rechazo de</w:t>
      </w:r>
      <w:r w:rsidR="004B7086">
        <w:t xml:space="preserve"> la identificación entre anáfora y presuposición</w:t>
      </w:r>
      <w:r w:rsidRPr="006008A0">
        <w:t xml:space="preserve"> </w:t>
      </w:r>
      <w:r w:rsidR="004B7086">
        <w:t>para el caso de</w:t>
      </w:r>
      <w:r w:rsidRPr="006008A0">
        <w:t xml:space="preserve"> </w:t>
      </w:r>
      <w:r w:rsidR="00BE36C5">
        <w:t>‘</w:t>
      </w:r>
      <w:r w:rsidRPr="006008A0">
        <w:t>también</w:t>
      </w:r>
      <w:r w:rsidR="00BE36C5">
        <w:t>’</w:t>
      </w:r>
      <w:r w:rsidRPr="006008A0">
        <w:t>.</w:t>
      </w:r>
      <w:r w:rsidR="004B7086">
        <w:t xml:space="preserve"> </w:t>
      </w:r>
      <w:r w:rsidR="00D56A26">
        <w:t>A</w:t>
      </w:r>
      <w:r w:rsidR="00DA35D7">
        <w:t xml:space="preserve">plicadas a los ejemplos con indéxicos </w:t>
      </w:r>
      <w:r w:rsidR="00140693">
        <w:t>l</w:t>
      </w:r>
      <w:r w:rsidR="004B7086">
        <w:t xml:space="preserve">as presuposiciones </w:t>
      </w:r>
      <w:r w:rsidR="006D2071">
        <w:t>garantizan cláusulas de evaluación semántica correctas</w:t>
      </w:r>
      <w:r w:rsidR="00DA35D7">
        <w:t>, mientras las anáforas ayudan a</w:t>
      </w:r>
      <w:r w:rsidR="004B7086">
        <w:t xml:space="preserve"> rastrear condiciones de categorización y puntos de vista.</w:t>
      </w:r>
      <w:r w:rsidRPr="006008A0">
        <w:t xml:space="preserve"> </w:t>
      </w:r>
      <w:r w:rsidR="00D56A26">
        <w:t>Además, l</w:t>
      </w:r>
      <w:r w:rsidRPr="006008A0">
        <w:t>as presuposiciones con deícticos, o indéxicos, no son existenciales, entendidas estas últimas como condiciones generales (cuantifica</w:t>
      </w:r>
      <w:r w:rsidR="00D54072">
        <w:t>da</w:t>
      </w:r>
      <w:r w:rsidRPr="006008A0">
        <w:t xml:space="preserve">s) de interpretación. Siguiendo algunas sugerencias marginales de Kaplan </w:t>
      </w:r>
      <w:r>
        <w:fldChar w:fldCharType="begin" w:fldLock="1"/>
      </w:r>
      <w:r>
        <w:instrText>ADDIN CSL_CITATION {"citationItems":[{"id":"ITEM-1","itemData":{"author":[{"dropping-particle":"","family":"Kaplan","given":"David","non-dropping-particle":"","parse-names":false,"suffix":""}],"container-title":"Los indéxicos y la semántica de Kaplan","editor":[{"dropping-particle":"","family":"Ezcurdia","given":"Maite","non-dropping-particle":"","parse-names":false,"suffix":""}],"id":"ITEM-1","issued":{"date-parts":[["2014"]]},"page":"51-139","publisher":"UNAM, Instituto de Investigaciones Filosóficas","publisher-place":"México, DF, México","title":"Demostrativos","type":"chapter"},"suppress-author":1,"uris":["http://www.mendeley.com/documents/?uuid=03b389f2-e9d4-4609-bf15-8c7b34530f69"]}],"mendeley":{"formattedCitation":"(2014)","plainTextFormattedCitation":"(2014)","previouslyFormattedCitation":"(2014)"},"properties":{"noteIndex":0},"schema":"https://github.com/citation-style-language/schema/raw/master/csl-citation.json"}</w:instrText>
      </w:r>
      <w:r>
        <w:fldChar w:fldCharType="separate"/>
      </w:r>
      <w:r w:rsidRPr="00402783">
        <w:rPr>
          <w:noProof/>
        </w:rPr>
        <w:t>(2014)</w:t>
      </w:r>
      <w:r>
        <w:fldChar w:fldCharType="end"/>
      </w:r>
      <w:r>
        <w:t xml:space="preserve"> </w:t>
      </w:r>
      <w:r w:rsidRPr="006008A0">
        <w:t>es posible interpretar los pronombres personales</w:t>
      </w:r>
      <w:r w:rsidR="00DA35D7">
        <w:t xml:space="preserve"> en estos ejemplos</w:t>
      </w:r>
      <w:r w:rsidRPr="006008A0">
        <w:t xml:space="preserve"> como variables </w:t>
      </w:r>
      <w:r w:rsidRPr="006008A0">
        <w:rPr>
          <w:i/>
        </w:rPr>
        <w:t>neutrales</w:t>
      </w:r>
      <w:r w:rsidRPr="006008A0">
        <w:t xml:space="preserve"> no sujetas a cuantificación. Estas variables libres pueden adicionarse al lenguaje sin que su interpretación choque con la de variables ligadas o previamente interpretadas. </w:t>
      </w:r>
      <w:r w:rsidR="00DA35D7" w:rsidRPr="006008A0">
        <w:t xml:space="preserve">Con cada nuevo hablante o agente que emite </w:t>
      </w:r>
      <w:r w:rsidR="00DA35D7">
        <w:t>‘</w:t>
      </w:r>
      <w:r w:rsidR="00DA35D7" w:rsidRPr="006008A0">
        <w:t>yo</w:t>
      </w:r>
      <w:r w:rsidR="00DA35D7">
        <w:t>’</w:t>
      </w:r>
      <w:r w:rsidR="00DA35D7" w:rsidRPr="006008A0">
        <w:t xml:space="preserve"> hay una variable neutral que establece la presuposición</w:t>
      </w:r>
      <w:r w:rsidR="00DA35D7">
        <w:t xml:space="preserve">. </w:t>
      </w:r>
      <w:r w:rsidRPr="006008A0">
        <w:t>La condición existencial está garantizada por cada introducción de variables neutrales, pero se exig</w:t>
      </w:r>
      <w:r w:rsidR="00D56A26">
        <w:t>e</w:t>
      </w:r>
      <w:r w:rsidRPr="006008A0">
        <w:t xml:space="preserve"> que las variables neutrales no</w:t>
      </w:r>
      <w:r w:rsidR="007C03ED">
        <w:t xml:space="preserve"> puedan</w:t>
      </w:r>
      <w:r w:rsidRPr="006008A0">
        <w:t xml:space="preserve"> ser cuantificadas. </w:t>
      </w:r>
      <w:r w:rsidR="00140693">
        <w:t xml:space="preserve">Las variables neutrales </w:t>
      </w:r>
      <w:r w:rsidR="004B7086">
        <w:t>genera</w:t>
      </w:r>
      <w:r w:rsidR="00140693">
        <w:t>n</w:t>
      </w:r>
      <w:r w:rsidR="004B7086">
        <w:t xml:space="preserve"> formas especí</w:t>
      </w:r>
      <w:r w:rsidR="00DC23B1">
        <w:t>ficas de cate</w:t>
      </w:r>
      <w:r w:rsidR="004B7086">
        <w:t>g</w:t>
      </w:r>
      <w:r w:rsidR="00DC23B1">
        <w:t>o</w:t>
      </w:r>
      <w:r w:rsidR="004B7086">
        <w:t>rizació</w:t>
      </w:r>
      <w:r w:rsidR="00DC23B1">
        <w:t>n que capturan la idea general de</w:t>
      </w:r>
      <w:r w:rsidR="004B7086">
        <w:t xml:space="preserve"> perspectiva</w:t>
      </w:r>
      <w:r w:rsidR="00140693">
        <w:t xml:space="preserve"> mediante lo que designaremos</w:t>
      </w:r>
      <w:r w:rsidR="00567BF8">
        <w:t xml:space="preserve"> como</w:t>
      </w:r>
      <w:r w:rsidR="00140693">
        <w:t xml:space="preserve"> </w:t>
      </w:r>
      <w:r w:rsidR="008D3F71">
        <w:rPr>
          <w:i/>
        </w:rPr>
        <w:t>predicación paramétrica</w:t>
      </w:r>
      <w:r w:rsidRPr="0042376B">
        <w:rPr>
          <w:rStyle w:val="Refdenotaalfinal"/>
        </w:rPr>
        <w:endnoteReference w:id="3"/>
      </w:r>
      <w:r w:rsidRPr="006008A0">
        <w:t>. En concreto, sean α y β variables neutrales. Podemos entonces representar el diálogo entre A y B</w:t>
      </w:r>
      <w:r w:rsidR="006A5AA4">
        <w:t xml:space="preserve"> en (1)</w:t>
      </w:r>
      <w:r w:rsidRPr="006008A0">
        <w:t xml:space="preserve"> </w:t>
      </w:r>
      <w:r w:rsidR="006A5AA4">
        <w:t>con la formalización</w:t>
      </w:r>
      <w:r w:rsidR="00E01BAA">
        <w:t xml:space="preserve"> (5)</w:t>
      </w:r>
      <w:r w:rsidR="00610F0E">
        <w:t>:</w:t>
      </w:r>
      <w:r w:rsidRPr="006008A0">
        <w:t xml:space="preserve"> </w:t>
      </w:r>
    </w:p>
    <w:p w14:paraId="6188A493" w14:textId="77777777" w:rsidR="00E01BAA" w:rsidRPr="006008A0" w:rsidRDefault="00E01BAA" w:rsidP="00E01BAA">
      <w:pPr>
        <w:spacing w:line="360" w:lineRule="auto"/>
        <w:ind w:firstLine="720"/>
        <w:jc w:val="both"/>
      </w:pPr>
    </w:p>
    <w:p w14:paraId="618093D1" w14:textId="79545AB3" w:rsidR="00C92620" w:rsidRPr="006008A0" w:rsidRDefault="00C92620" w:rsidP="00AD1FD3">
      <w:pPr>
        <w:pStyle w:val="Prrafodelista"/>
        <w:numPr>
          <w:ilvl w:val="0"/>
          <w:numId w:val="2"/>
        </w:numPr>
        <w:spacing w:line="360" w:lineRule="auto"/>
      </w:pPr>
      <w:r w:rsidRPr="006008A0">
        <w:t>A: α creo que soy generoso</w:t>
      </w:r>
    </w:p>
    <w:p w14:paraId="1CB3A4FA" w14:textId="166991E5" w:rsidR="00C92620" w:rsidRPr="006008A0" w:rsidRDefault="00C92620" w:rsidP="00AD1FD3">
      <w:pPr>
        <w:spacing w:line="360" w:lineRule="auto"/>
        <w:ind w:left="360" w:firstLine="720"/>
      </w:pPr>
      <w:r w:rsidRPr="006008A0">
        <w:t>B: β también</w:t>
      </w:r>
    </w:p>
    <w:p w14:paraId="30B316DB" w14:textId="77777777" w:rsidR="00C92620" w:rsidRPr="006008A0" w:rsidRDefault="00C92620" w:rsidP="00AD1FD3">
      <w:pPr>
        <w:spacing w:line="360" w:lineRule="auto"/>
        <w:ind w:left="720" w:firstLine="720"/>
      </w:pPr>
    </w:p>
    <w:p w14:paraId="14AD92DF" w14:textId="20713730" w:rsidR="00C92620" w:rsidRPr="006008A0" w:rsidRDefault="00C92620" w:rsidP="00AD1FD3">
      <w:pPr>
        <w:spacing w:line="360" w:lineRule="auto"/>
        <w:ind w:firstLine="360"/>
      </w:pPr>
      <w:r w:rsidRPr="006008A0">
        <w:t xml:space="preserve">La presuposición referencial de </w:t>
      </w:r>
      <w:r w:rsidR="00BE36C5">
        <w:t>‘</w:t>
      </w:r>
      <w:r w:rsidRPr="006008A0">
        <w:t>también</w:t>
      </w:r>
      <w:r w:rsidR="00BE36C5">
        <w:t>’</w:t>
      </w:r>
      <w:r w:rsidRPr="006008A0">
        <w:t xml:space="preserve"> es:</w:t>
      </w:r>
    </w:p>
    <w:p w14:paraId="61E83898" w14:textId="77777777" w:rsidR="00C92620" w:rsidRPr="006008A0" w:rsidRDefault="00C92620" w:rsidP="00AD1FD3">
      <w:pPr>
        <w:spacing w:line="360" w:lineRule="auto"/>
      </w:pPr>
    </w:p>
    <w:p w14:paraId="24D01947" w14:textId="72BCCFED" w:rsidR="00C92620" w:rsidRPr="006008A0" w:rsidRDefault="00C92620" w:rsidP="00AD1FD3">
      <w:pPr>
        <w:spacing w:line="360" w:lineRule="auto"/>
      </w:pPr>
      <w:r w:rsidRPr="006008A0">
        <w:t xml:space="preserve"> α ≠ β (el agente de la primera intervención no es el agente de la segunda).</w:t>
      </w:r>
    </w:p>
    <w:p w14:paraId="5E668E82" w14:textId="77777777" w:rsidR="00C92620" w:rsidRPr="006008A0" w:rsidRDefault="00C92620" w:rsidP="00AD1FD3">
      <w:pPr>
        <w:spacing w:line="360" w:lineRule="auto"/>
      </w:pPr>
    </w:p>
    <w:p w14:paraId="0B2489E9" w14:textId="7BEEAB8B" w:rsidR="00C92620" w:rsidRPr="006008A0" w:rsidRDefault="00C92620" w:rsidP="00681E3D">
      <w:pPr>
        <w:spacing w:line="360" w:lineRule="auto"/>
        <w:ind w:firstLine="720"/>
        <w:jc w:val="both"/>
      </w:pPr>
      <w:r w:rsidRPr="006008A0">
        <w:t xml:space="preserve">La presuposición se enfoca directamente en quien emite el indéxico </w:t>
      </w:r>
      <w:r w:rsidR="00BE36C5">
        <w:t>‘</w:t>
      </w:r>
      <w:r w:rsidRPr="006008A0">
        <w:t>yo</w:t>
      </w:r>
      <w:r w:rsidR="00BE36C5">
        <w:t>’</w:t>
      </w:r>
      <w:r w:rsidRPr="006008A0">
        <w:t xml:space="preserve"> y se modifica funcionalmente cuando alguien más interviene en la conversación usando el mismo indéxico. </w:t>
      </w:r>
      <w:r w:rsidR="008D3F71">
        <w:t>C</w:t>
      </w:r>
      <w:r w:rsidRPr="006008A0">
        <w:t xml:space="preserve">uando una variable neutral aparece en una presuposición nuestro modelo hace depender la interpretación de los predicados de esa variable entendida como </w:t>
      </w:r>
      <w:r w:rsidRPr="006008A0">
        <w:rPr>
          <w:i/>
        </w:rPr>
        <w:t>parámetro</w:t>
      </w:r>
      <w:r w:rsidR="00DA35D7">
        <w:t xml:space="preserve"> de predicación</w:t>
      </w:r>
      <w:r w:rsidRPr="006008A0">
        <w:rPr>
          <w:i/>
        </w:rPr>
        <w:t>,</w:t>
      </w:r>
      <w:r w:rsidRPr="006008A0">
        <w:t xml:space="preserve"> no como argumento.</w:t>
      </w:r>
      <w:r w:rsidR="00DC23B1">
        <w:t xml:space="preserve"> Mientras la</w:t>
      </w:r>
      <w:r w:rsidR="003B4DFC">
        <w:t xml:space="preserve"> variable neutral</w:t>
      </w:r>
      <w:r w:rsidR="00DC23B1">
        <w:t xml:space="preserve"> </w:t>
      </w:r>
      <w:r w:rsidR="003B4DFC">
        <w:t xml:space="preserve">en la </w:t>
      </w:r>
      <w:r w:rsidR="00DC23B1">
        <w:t>presuposición</w:t>
      </w:r>
      <w:r w:rsidR="003B4DFC">
        <w:t xml:space="preserve"> garantiza que las condiciones de verdad sean las correctas porque los referentes </w:t>
      </w:r>
      <w:r w:rsidR="006D2071">
        <w:t xml:space="preserve">asignados a cada uso del indéxico </w:t>
      </w:r>
      <w:r w:rsidR="003B4DFC">
        <w:t xml:space="preserve">(A y B en este caso) son correctos, la parametrización introduce condiciones especiales con respecto a la predicación. </w:t>
      </w:r>
      <w:r w:rsidR="008D3F71">
        <w:t>En este caso, l</w:t>
      </w:r>
      <w:r w:rsidR="003B4DFC">
        <w:t>a posibilidad de anáfora nos indica que agentes epistémicos categorizan sus creencias de manera semejante.</w:t>
      </w:r>
    </w:p>
    <w:p w14:paraId="0E5C8816" w14:textId="325F0168" w:rsidR="00C92620" w:rsidRPr="006008A0" w:rsidRDefault="003B4DFC" w:rsidP="00681E3D">
      <w:pPr>
        <w:spacing w:line="360" w:lineRule="auto"/>
        <w:ind w:firstLine="720"/>
        <w:jc w:val="both"/>
      </w:pPr>
      <w:r>
        <w:t>M</w:t>
      </w:r>
      <w:r w:rsidR="00C92620" w:rsidRPr="006008A0">
        <w:t xml:space="preserve">ientras </w:t>
      </w:r>
      <w:r w:rsidR="00AE79D6">
        <w:t>que</w:t>
      </w:r>
      <w:r w:rsidR="00C92620" w:rsidRPr="006008A0">
        <w:t xml:space="preserve"> Geurts y van der Sandt tratan por igual cualquier propiedad que se le atribuya al individuo mencionado en la presuposición, el análisis aquí propuesto </w:t>
      </w:r>
      <w:r w:rsidR="00BE36C5">
        <w:t>‘</w:t>
      </w:r>
      <w:r w:rsidR="00C92620" w:rsidRPr="006008A0">
        <w:t>filtra</w:t>
      </w:r>
      <w:r w:rsidR="00BE36C5">
        <w:t>’</w:t>
      </w:r>
      <w:r w:rsidR="00C92620" w:rsidRPr="006008A0">
        <w:t xml:space="preserve"> esas propiedades indicando que los individuos a los que se aplican</w:t>
      </w:r>
      <w:r w:rsidR="00851858">
        <w:t xml:space="preserve"> dichas propiedades</w:t>
      </w:r>
      <w:r w:rsidR="00C92620" w:rsidRPr="006008A0">
        <w:t xml:space="preserve"> son </w:t>
      </w:r>
      <w:r w:rsidR="00C92620" w:rsidRPr="006008A0">
        <w:rPr>
          <w:i/>
        </w:rPr>
        <w:t>agentes</w:t>
      </w:r>
      <w:r w:rsidR="00C92620" w:rsidRPr="006008A0">
        <w:t xml:space="preserve"> diferentes. Como consecuencia de estas diferencias formales y de enfoque en nuestro modelo el procesamiento de las anáforas con </w:t>
      </w:r>
      <w:r w:rsidR="00BE36C5">
        <w:t>‘</w:t>
      </w:r>
      <w:r w:rsidR="00C92620" w:rsidRPr="006008A0">
        <w:t>también</w:t>
      </w:r>
      <w:r w:rsidR="00BE36C5">
        <w:t>’</w:t>
      </w:r>
      <w:r w:rsidR="00C92620" w:rsidRPr="006008A0">
        <w:t xml:space="preserve"> depende fuertemente de una categorización de los hablantes como agentes y de una interpretación paramétrica de los predicados. Por ejemplo, si regresamos al ejemplo de Bill, la presuposición referencial predice, correctamente, que el predicado es paramétrico con respecto a </w:t>
      </w:r>
      <w:r w:rsidR="00C92620" w:rsidRPr="006008A0">
        <w:rPr>
          <w:i/>
        </w:rPr>
        <w:t>Bill.</w:t>
      </w:r>
      <w:r w:rsidR="00C92620" w:rsidRPr="006008A0">
        <w:t xml:space="preserve"> A </w:t>
      </w:r>
      <w:r w:rsidR="00C92620" w:rsidRPr="006008A0">
        <w:rPr>
          <w:i/>
        </w:rPr>
        <w:t>él</w:t>
      </w:r>
      <w:r w:rsidR="00C92620" w:rsidRPr="006008A0">
        <w:t xml:space="preserve"> le adscribimos muchas propiedades de carácter (i.e. todo predicado tiene a </w:t>
      </w:r>
      <w:r w:rsidR="00C92620" w:rsidRPr="006008A0">
        <w:rPr>
          <w:i/>
        </w:rPr>
        <w:t>Bill</w:t>
      </w:r>
      <w:r w:rsidR="00C92620" w:rsidRPr="006008A0">
        <w:t xml:space="preserve"> como parámetro de aplicación). Sin embargo, la categorización de Bill no es agencial porque la situación se limita a describir a Bill y no involucra un intercambio que, como el de A y B, requiere de una toma de posición de cada </w:t>
      </w:r>
      <w:r w:rsidR="00CA5142">
        <w:t>participante</w:t>
      </w:r>
      <w:r w:rsidR="00C92620" w:rsidRPr="006008A0">
        <w:t xml:space="preserve"> como </w:t>
      </w:r>
      <w:r w:rsidR="00C92620" w:rsidRPr="006008A0">
        <w:rPr>
          <w:i/>
        </w:rPr>
        <w:t>agente epistémico</w:t>
      </w:r>
      <w:r w:rsidR="00C92620" w:rsidRPr="006008A0">
        <w:t>.</w:t>
      </w:r>
      <w:r w:rsidR="008D3F71">
        <w:t xml:space="preserve"> Esta toma de posición induce relaciones anafóricas entre las intervenciones de A y B: A introduce a la conversación la perspectiva de ser un agente epistémico </w:t>
      </w:r>
      <w:r w:rsidR="005B62A6">
        <w:t>que B manifiesta</w:t>
      </w:r>
      <w:r w:rsidR="008D3F71">
        <w:t xml:space="preserve"> compartir.</w:t>
      </w:r>
      <w:r>
        <w:t xml:space="preserve"> </w:t>
      </w:r>
      <w:r w:rsidR="00C92620" w:rsidRPr="006008A0">
        <w:t xml:space="preserve"> </w:t>
      </w:r>
    </w:p>
    <w:p w14:paraId="6C5F99A3" w14:textId="01C5CBE0" w:rsidR="00FA5B4D" w:rsidRDefault="00FA5B4D" w:rsidP="00E62416">
      <w:pPr>
        <w:spacing w:line="360" w:lineRule="auto"/>
        <w:ind w:firstLine="709"/>
        <w:jc w:val="both"/>
      </w:pPr>
      <w:r w:rsidRPr="006008A0">
        <w:t>Nuestro enfoque se construye</w:t>
      </w:r>
      <w:r>
        <w:t xml:space="preserve"> entonces</w:t>
      </w:r>
      <w:r w:rsidRPr="006008A0">
        <w:t xml:space="preserve"> sobre </w:t>
      </w:r>
      <w:r>
        <w:t>los</w:t>
      </w:r>
      <w:r w:rsidRPr="006008A0">
        <w:t xml:space="preserve"> principio</w:t>
      </w:r>
      <w:r>
        <w:t>s</w:t>
      </w:r>
      <w:r w:rsidRPr="006008A0">
        <w:t xml:space="preserve"> metodológico</w:t>
      </w:r>
      <w:r>
        <w:t>s</w:t>
      </w:r>
      <w:r w:rsidRPr="006008A0">
        <w:t xml:space="preserve"> de que no toda presuposición </w:t>
      </w:r>
      <w:r w:rsidR="00932EE9">
        <w:t xml:space="preserve">semántica </w:t>
      </w:r>
      <w:r w:rsidRPr="006008A0">
        <w:t>debe ser representada de la misma manera</w:t>
      </w:r>
      <w:r w:rsidR="006D2071">
        <w:t xml:space="preserve"> y de que presuposición y anáfora no se reducen al mismo fenómeno</w:t>
      </w:r>
      <w:r w:rsidRPr="006008A0">
        <w:t xml:space="preserve">. </w:t>
      </w:r>
      <w:r>
        <w:t>A</w:t>
      </w:r>
      <w:r w:rsidRPr="006008A0">
        <w:t>lgunas presuposiciones requieren cu</w:t>
      </w:r>
      <w:r w:rsidR="00D56A26">
        <w:t>antificación, otras</w:t>
      </w:r>
      <w:r w:rsidRPr="006008A0">
        <w:t xml:space="preserve"> el uso de variables libres como indicadores de referencia y otras más necesitan del uso de variables libres </w:t>
      </w:r>
      <w:r w:rsidR="00CA5142">
        <w:t>neutrales</w:t>
      </w:r>
      <w:r w:rsidRPr="006008A0">
        <w:t xml:space="preserve"> como indicadores de perspectiva.</w:t>
      </w:r>
      <w:r>
        <w:t xml:space="preserve"> Estas últimas presuposiciones generan predicaciones especiales que introducen formas de depe</w:t>
      </w:r>
      <w:r w:rsidR="006D2071">
        <w:t>ndencia anafórica</w:t>
      </w:r>
      <w:r>
        <w:t>: la información que se transfiere no es sobre quién hizo algo sino sobre qué perspectiva tiene alguien cuando hace algo.</w:t>
      </w:r>
      <w:r w:rsidRPr="006008A0">
        <w:t xml:space="preserve"> El enfoque perspectiv</w:t>
      </w:r>
      <w:r>
        <w:t>o</w:t>
      </w:r>
      <w:r w:rsidR="00DA35D7">
        <w:t xml:space="preserve"> de la anáfora</w:t>
      </w:r>
      <w:r w:rsidRPr="006008A0">
        <w:t xml:space="preserve"> requiere entonces dos componentes: predicación paramétrica y categorización agencial.</w:t>
      </w:r>
      <w:r>
        <w:t xml:space="preserve"> </w:t>
      </w:r>
      <w:r w:rsidRPr="006008A0">
        <w:t xml:space="preserve">Esta idea no es compatible con la preminencia de la lectura referencial </w:t>
      </w:r>
      <w:r w:rsidR="00DA35D7">
        <w:t xml:space="preserve">de la presuposición </w:t>
      </w:r>
      <w:r w:rsidRPr="006008A0">
        <w:t>que sugieren Geurts y van der Sandt (2012)</w:t>
      </w:r>
      <w:r w:rsidR="00D62D5B">
        <w:t xml:space="preserve"> y plantea interrogantes sobre cómo debemos entender la contribución de cada elemento lingüístico al significado de la oración</w:t>
      </w:r>
      <w:r w:rsidR="00D62D5B">
        <w:rPr>
          <w:rStyle w:val="Refdenotaalfinal"/>
        </w:rPr>
        <w:endnoteReference w:id="4"/>
      </w:r>
      <w:r w:rsidRPr="006008A0">
        <w:t>.</w:t>
      </w:r>
    </w:p>
    <w:p w14:paraId="1C8C453C" w14:textId="1B1991B4" w:rsidR="00C92620" w:rsidRPr="006008A0" w:rsidRDefault="00A90185" w:rsidP="00681E3D">
      <w:pPr>
        <w:spacing w:line="360" w:lineRule="auto"/>
        <w:ind w:firstLine="720"/>
        <w:jc w:val="both"/>
      </w:pPr>
      <w:r>
        <w:t>El</w:t>
      </w:r>
      <w:r w:rsidR="00FA5B4D">
        <w:t xml:space="preserve"> enfoque </w:t>
      </w:r>
      <w:r>
        <w:t xml:space="preserve">perspectivo </w:t>
      </w:r>
      <w:r w:rsidR="00FA5B4D">
        <w:t>se refleja en</w:t>
      </w:r>
      <w:r w:rsidR="00C92620" w:rsidRPr="006008A0">
        <w:t xml:space="preserve"> los predicados que usamos como guía en la formulación de nuestros ejemplos </w:t>
      </w:r>
      <w:r w:rsidR="00C92620" w:rsidRPr="000F686B">
        <w:t>experimentales. Cuando clasificamos una predicación como paramétrica queremos decir que el predicado se asocia obstinadamente con el mismo sujeto en una determinada interpretación y que el cambio de sujeto tiene que estar forzado por otro elemento léxico</w:t>
      </w:r>
      <w:r w:rsidR="00C92620" w:rsidRPr="006008A0">
        <w:t xml:space="preserve">. Uno de esos elementos es el pronombre indéxico </w:t>
      </w:r>
      <w:r w:rsidR="00BE36C5">
        <w:t>‘</w:t>
      </w:r>
      <w:r w:rsidR="00C92620" w:rsidRPr="006008A0">
        <w:t>yo</w:t>
      </w:r>
      <w:r w:rsidR="00BE36C5">
        <w:t>’</w:t>
      </w:r>
      <w:r w:rsidR="00C92620" w:rsidRPr="006008A0">
        <w:t xml:space="preserve"> que permite combinar dos agentes en un mismo contexto; otro elemento es el predicado mismo</w:t>
      </w:r>
      <w:r w:rsidR="00932EE9">
        <w:t xml:space="preserve"> que se expresa con un verbo</w:t>
      </w:r>
      <w:r w:rsidR="00C92620" w:rsidRPr="006008A0">
        <w:t>. Cuando un predicado reporta o adscribe ciertas actitudes que normalmente consideramos dirigidas a otras personas (</w:t>
      </w:r>
      <w:r w:rsidR="00932EE9">
        <w:t xml:space="preserve">como con el verbo </w:t>
      </w:r>
      <w:r w:rsidR="00BE36C5">
        <w:t>‘</w:t>
      </w:r>
      <w:r w:rsidR="00C92620" w:rsidRPr="006008A0">
        <w:t>reconocer</w:t>
      </w:r>
      <w:r w:rsidR="00BE36C5">
        <w:t>’</w:t>
      </w:r>
      <w:r w:rsidR="00C92620" w:rsidRPr="006008A0">
        <w:t xml:space="preserve">), normalmente la predicación paramétrica se asocia al pronombre de segunda persona </w:t>
      </w:r>
      <w:r w:rsidR="00BE36C5">
        <w:t>‘</w:t>
      </w:r>
      <w:r w:rsidR="00C92620" w:rsidRPr="006008A0">
        <w:t>tú</w:t>
      </w:r>
      <w:r w:rsidR="00BE36C5">
        <w:t>’</w:t>
      </w:r>
      <w:r w:rsidR="00C92620" w:rsidRPr="006008A0">
        <w:t xml:space="preserve"> y lo designamos como </w:t>
      </w:r>
      <w:r w:rsidR="00C92620" w:rsidRPr="006008A0">
        <w:rPr>
          <w:i/>
        </w:rPr>
        <w:t>alocéntrico</w:t>
      </w:r>
      <w:r w:rsidR="00C92620" w:rsidRPr="006008A0">
        <w:t>. Cuando un predicado adscribe una actitud normalmente dirigida a uno mismo (</w:t>
      </w:r>
      <w:r w:rsidR="00932EE9">
        <w:t xml:space="preserve">como con el verbo </w:t>
      </w:r>
      <w:r w:rsidR="00BE36C5">
        <w:t>‘</w:t>
      </w:r>
      <w:r w:rsidR="00C92620" w:rsidRPr="006008A0">
        <w:t>tener la intención</w:t>
      </w:r>
      <w:r w:rsidR="00BE36C5">
        <w:t>’</w:t>
      </w:r>
      <w:r w:rsidR="00C92620" w:rsidRPr="006008A0">
        <w:t xml:space="preserve">), regularmente la actitud se asocia al pronombre </w:t>
      </w:r>
      <w:r w:rsidR="00BE36C5">
        <w:t>‘</w:t>
      </w:r>
      <w:r w:rsidR="00C92620" w:rsidRPr="006008A0">
        <w:t>yo</w:t>
      </w:r>
      <w:r w:rsidR="00BE36C5">
        <w:t>’</w:t>
      </w:r>
      <w:r w:rsidR="00C92620" w:rsidRPr="006008A0">
        <w:t xml:space="preserve"> y lo designamos como </w:t>
      </w:r>
      <w:r w:rsidR="00C92620" w:rsidRPr="006008A0">
        <w:rPr>
          <w:i/>
        </w:rPr>
        <w:t>egocéntrico</w:t>
      </w:r>
      <w:r w:rsidR="00C92620" w:rsidRPr="006008A0">
        <w:t>.</w:t>
      </w:r>
    </w:p>
    <w:p w14:paraId="0BBE64AD" w14:textId="72654DD8" w:rsidR="00C92620" w:rsidRPr="005442FB" w:rsidRDefault="00C92620" w:rsidP="00C92620">
      <w:pPr>
        <w:spacing w:before="240" w:line="360" w:lineRule="auto"/>
        <w:rPr>
          <w:i/>
          <w:iCs/>
        </w:rPr>
      </w:pPr>
      <w:bookmarkStart w:id="5" w:name="_Toc525207636"/>
      <w:r w:rsidRPr="005442FB">
        <w:rPr>
          <w:i/>
          <w:iCs/>
        </w:rPr>
        <w:t>1.</w:t>
      </w:r>
      <w:r w:rsidR="0014172A" w:rsidRPr="005442FB">
        <w:rPr>
          <w:i/>
          <w:iCs/>
        </w:rPr>
        <w:t>4</w:t>
      </w:r>
      <w:r w:rsidRPr="005442FB">
        <w:rPr>
          <w:i/>
          <w:iCs/>
        </w:rPr>
        <w:t>. Más allá de las intuiciones</w:t>
      </w:r>
      <w:bookmarkEnd w:id="5"/>
    </w:p>
    <w:p w14:paraId="73B5F5FA" w14:textId="0DE6146D" w:rsidR="00C92620" w:rsidRPr="006008A0" w:rsidRDefault="00C92620" w:rsidP="00681E3D">
      <w:pPr>
        <w:spacing w:line="360" w:lineRule="auto"/>
        <w:ind w:firstLine="720"/>
        <w:jc w:val="both"/>
      </w:pPr>
      <w:r w:rsidRPr="006008A0">
        <w:t>La investigación empíric</w:t>
      </w:r>
      <w:r w:rsidR="00567BF8">
        <w:t>o</w:t>
      </w:r>
      <w:r w:rsidRPr="006008A0">
        <w:t>-experimental sobre la presuposición lingüística es relativamente reciente. Esto se explica parcialmente porque las propuestas teóricas sobre la presuposición no están formuladas como hipótesis empíricas acerca del proceso involucrado en el uso e inferencia de presuposiciones. Sin embargo, como  señala</w:t>
      </w:r>
      <w:r>
        <w:t xml:space="preserve"> </w:t>
      </w:r>
      <w:r>
        <w:fldChar w:fldCharType="begin" w:fldLock="1"/>
      </w:r>
      <w:r>
        <w:instrText>ADDIN CSL_CITATION {"citationItems":[{"id":"ITEM-1","itemData":{"author":[{"dropping-particle":"","family":"Schwarz","given":"Florian","non-dropping-particle":"","parse-names":false,"suffix":""}],"container-title":"Experimental perspectives on presuppositions","editor":[{"dropping-particle":"","family":"Schwarz","given":"Florian","non-dropping-particle":"","parse-names":false,"suffix":""}],"id":"ITEM-1","issued":{"date-parts":[["2014"]]},"page":"89-108","publisher":"Springer","title":"Presuppositions vs. asserted content in online processing","type":"chapter"},"uris":["http://www.mendeley.com/documents/?uuid=9f23633b-e18c-4edd-8ed7-423b323adcc6"]}],"mendeley":{"formattedCitation":"(Schwarz, 2014b)","plainTextFormattedCitation":"(Schwarz, 2014b)","previouslyFormattedCitation":"(Schwarz 2014b)"},"properties":{"noteIndex":0},"schema":"https://github.com/citation-style-language/schema/raw/master/csl-citation.json"}</w:instrText>
      </w:r>
      <w:r>
        <w:fldChar w:fldCharType="separate"/>
      </w:r>
      <w:r w:rsidRPr="00FB4FFF">
        <w:rPr>
          <w:noProof/>
        </w:rPr>
        <w:t>(Schwarz, 2014b)</w:t>
      </w:r>
      <w:r>
        <w:fldChar w:fldCharType="end"/>
      </w:r>
      <w:r w:rsidRPr="006008A0">
        <w:t>, los análisis teóricos constituyen el punto de inicio para formular preguntas acerca de los procesos cognitivos involucrados y sobre el ajuste de la teoría a patrones lingüísticos exhibidos por los hablantes. En ese sentido, este trabajo se alinea con las ideas de Schwarz (2014</w:t>
      </w:r>
      <w:r>
        <w:t>b</w:t>
      </w:r>
      <w:r w:rsidRPr="006008A0">
        <w:t xml:space="preserve">) al respecto, quien considera que el trabajo experimental permite la evaluación de la propuesta teórica solo en presencia de un análisis de los supuestos necesarios de tales teorías, tal como el que hemos realizado en las páginas precedentes.   </w:t>
      </w:r>
    </w:p>
    <w:p w14:paraId="760EC5D5" w14:textId="7A9DE955" w:rsidR="00C92620" w:rsidRPr="006008A0" w:rsidRDefault="00C92620" w:rsidP="00681E3D">
      <w:pPr>
        <w:spacing w:line="360" w:lineRule="auto"/>
        <w:ind w:firstLine="720"/>
        <w:jc w:val="both"/>
      </w:pPr>
      <w:r w:rsidRPr="006008A0">
        <w:t>La investigación experimental sobre</w:t>
      </w:r>
      <w:r w:rsidR="00891D80">
        <w:t xml:space="preserve"> </w:t>
      </w:r>
      <w:r w:rsidR="001F274B">
        <w:t xml:space="preserve">las presuposiciones de </w:t>
      </w:r>
      <w:r w:rsidR="00891D80">
        <w:t>‘</w:t>
      </w:r>
      <w:r w:rsidR="00891D80" w:rsidRPr="006008A0">
        <w:t>también</w:t>
      </w:r>
      <w:r w:rsidR="00891D80">
        <w:t>’</w:t>
      </w:r>
      <w:r w:rsidRPr="006008A0">
        <w:t xml:space="preserve"> se ha enfocado en la fuerza de los disparadores correspondientes </w:t>
      </w:r>
      <w:r>
        <w:fldChar w:fldCharType="begin" w:fldLock="1"/>
      </w:r>
      <w:r>
        <w:instrText>ADDIN CSL_CITATION {"citationItems":[{"id":"ITEM-1","itemData":{"author":[{"dropping-particle":"","family":"Schwarz","given":"Florian","non-dropping-particle":"","parse-names":false,"suffix":""}],"id":"ITEM-1","issued":{"date-parts":[["2014"]]},"publisher":"Springer","title":"Experimental perspectives on presuppositions","type":"book","volume":"45"},"prefix":"ver ","uris":["http://www.mendeley.com/documents/?uuid=2a514fcc-96dd-4d9b-b00f-9a40f9615be8"]}],"mendeley":{"formattedCitation":"(ver Schwarz, 2014a)","plainTextFormattedCitation":"(ver Schwarz, 2014a)","previouslyFormattedCitation":"(ver Schwarz 2014a)"},"properties":{"noteIndex":0},"schema":"https://github.com/citation-style-language/schema/raw/master/csl-citation.json"}</w:instrText>
      </w:r>
      <w:r>
        <w:fldChar w:fldCharType="separate"/>
      </w:r>
      <w:r w:rsidRPr="00FB4FFF">
        <w:rPr>
          <w:noProof/>
        </w:rPr>
        <w:t>(ver Schwarz, 2014a)</w:t>
      </w:r>
      <w:r>
        <w:fldChar w:fldCharType="end"/>
      </w:r>
      <w:r w:rsidRPr="006008A0">
        <w:t xml:space="preserve"> y cómo esta fuerza tiene consecuencia sobre el alcance de las presuposiciones y su procesamiento. Schwarz </w:t>
      </w:r>
      <w:r>
        <w:fldChar w:fldCharType="begin" w:fldLock="1"/>
      </w:r>
      <w:r>
        <w:instrText>ADDIN CSL_CITATION {"citationItems":[{"id":"ITEM-1","itemData":{"DOI":"10.1093/jos/ffm011","ISBN":"0167-5133","ISSN":"01675133","author":[{"dropping-particle":"","family":"Schwarz","given":"Florian","non-dropping-particle":"","parse-names":false,"suffix":""}],"container-title":"Journal of Semantics","id":"ITEM-1","issue":"4","issued":{"date-parts":[["2007"]]},"page":"373-416","title":"Processing presupposed content","type":"article-journal","volume":"24"},"suppress-author":1,"uris":["http://www.mendeley.com/documents/?uuid=4b39f6d5-2411-458b-a8ac-d635968fa38f"]}],"mendeley":{"formattedCitation":"(2007)","plainTextFormattedCitation":"(2007)","previouslyFormattedCitation":"(2007)"},"properties":{"noteIndex":0},"schema":"https://github.com/citation-style-language/schema/raw/master/csl-citation.json"}</w:instrText>
      </w:r>
      <w:r>
        <w:fldChar w:fldCharType="separate"/>
      </w:r>
      <w:r w:rsidRPr="00683912">
        <w:rPr>
          <w:noProof/>
        </w:rPr>
        <w:t>(2007)</w:t>
      </w:r>
      <w:r>
        <w:fldChar w:fldCharType="end"/>
      </w:r>
      <w:r w:rsidRPr="006008A0">
        <w:t xml:space="preserve"> muestra que en casos de lectura espontánea, la presencia de </w:t>
      </w:r>
      <w:r w:rsidR="00BE36C5">
        <w:t>‘</w:t>
      </w:r>
      <w:r w:rsidRPr="006008A0">
        <w:t>también</w:t>
      </w:r>
      <w:r w:rsidR="00BE36C5">
        <w:t>’</w:t>
      </w:r>
      <w:r w:rsidRPr="006008A0">
        <w:t xml:space="preserve">, analizada mediante </w:t>
      </w:r>
      <w:r w:rsidRPr="006008A0">
        <w:rPr>
          <w:i/>
        </w:rPr>
        <w:t>also</w:t>
      </w:r>
      <w:r w:rsidRPr="006008A0">
        <w:t xml:space="preserve"> en inglés y </w:t>
      </w:r>
      <w:r w:rsidRPr="006008A0">
        <w:rPr>
          <w:i/>
        </w:rPr>
        <w:t>auch</w:t>
      </w:r>
      <w:r w:rsidRPr="006008A0">
        <w:t xml:space="preserve"> en alemán, incrementa los tiempos de lectura de oraciones que contienen el disparador de la presuposición cuando no es transparente el contexto intra oracional. En esta línea, Spenader </w:t>
      </w:r>
      <w:r>
        <w:fldChar w:fldCharType="begin" w:fldLock="1"/>
      </w:r>
      <w:r>
        <w:instrText>ADDIN CSL_CITATION {"citationItems":[{"id":"ITEM-1","itemData":{"author":[{"dropping-particle":"","family":"Spenader","given":"Jennifer","non-dropping-particle":"","parse-names":false,"suffix":""}],"id":"ITEM-1","issued":{"date-parts":[["2002"]]},"publisher":"University of Stockholm","title":"Presuppositions in Spoken Discourse.","type":"thesis"},"suppress-author":1,"uris":["http://www.mendeley.com/documents/?uuid=028d8971-cf88-4a04-9282-bd481c7e8b61"]}],"mendeley":{"formattedCitation":"(2002)","plainTextFormattedCitation":"(2002)","previouslyFormattedCitation":"(2002)"},"properties":{"noteIndex":0},"schema":"https://github.com/citation-style-language/schema/raw/master/csl-citation.json"}</w:instrText>
      </w:r>
      <w:r>
        <w:fldChar w:fldCharType="separate"/>
      </w:r>
      <w:r w:rsidRPr="00683912">
        <w:rPr>
          <w:noProof/>
        </w:rPr>
        <w:t>(2002)</w:t>
      </w:r>
      <w:r>
        <w:fldChar w:fldCharType="end"/>
      </w:r>
      <w:r w:rsidRPr="006008A0">
        <w:t xml:space="preserve"> muestra, con un análisis de corpus, que a pesar de que </w:t>
      </w:r>
      <w:r w:rsidR="00BE36C5">
        <w:t>‘</w:t>
      </w:r>
      <w:r w:rsidRPr="006008A0">
        <w:t>también</w:t>
      </w:r>
      <w:r w:rsidR="00BE36C5">
        <w:t>’</w:t>
      </w:r>
      <w:r w:rsidRPr="006008A0">
        <w:t xml:space="preserve"> casi siempre tiene un antecedente léxico claro</w:t>
      </w:r>
      <w:r w:rsidR="0073367F">
        <w:t xml:space="preserve"> que induce relaciones anafóricas</w:t>
      </w:r>
      <w:r w:rsidRPr="006008A0">
        <w:t>, es mucho más difícil de desambiguar que disparadores de presuposición que carecen de tales antecedentes.</w:t>
      </w:r>
    </w:p>
    <w:p w14:paraId="7C3E4145" w14:textId="1EAD8FCB" w:rsidR="00C92620" w:rsidRPr="006008A0" w:rsidRDefault="00C92620" w:rsidP="0073367F">
      <w:pPr>
        <w:spacing w:line="360" w:lineRule="auto"/>
        <w:ind w:firstLine="720"/>
        <w:jc w:val="both"/>
      </w:pPr>
      <w:r w:rsidRPr="006008A0">
        <w:t xml:space="preserve">La investigación empírica también ha arrojado luces sobre la función de </w:t>
      </w:r>
      <w:r w:rsidR="00BE36C5">
        <w:t>‘</w:t>
      </w:r>
      <w:r w:rsidRPr="006008A0">
        <w:t>también</w:t>
      </w:r>
      <w:r w:rsidR="00BE36C5">
        <w:t>’</w:t>
      </w:r>
      <w:r w:rsidRPr="006008A0">
        <w:t xml:space="preserve">. Amaral y Cummins </w:t>
      </w:r>
      <w:r>
        <w:fldChar w:fldCharType="begin" w:fldLock="1"/>
      </w:r>
      <w:r>
        <w:instrText>ADDIN CSL_CITATION {"citationItems":[{"id":"ITEM-1","itemData":{"author":[{"dropping-particle":"","family":"Amaral","given":"Patricia","non-dropping-particle":"","parse-names":false,"suffix":""},{"dropping-particle":"","family":"Cummins","given":"Chris","non-dropping-particle":"","parse-names":false,"suffix":""}],"container-title":"Experimental perspectives on presuppositions","id":"ITEM-1","issued":{"date-parts":[["2014"]]},"page":"157-172","publisher":"Springer","title":"A cross-linguistic study on information backgrounding and presupposition projection","type":"chapter"},"suppress-author":1,"uris":["http://www.mendeley.com/documents/?uuid=9d7c2ca6-8ab7-4d67-8948-c91d69212e55"]}],"mendeley":{"formattedCitation":"(2014)","plainTextFormattedCitation":"(2014)","previouslyFormattedCitation":"(2014)"},"properties":{"noteIndex":0},"schema":"https://github.com/citation-style-language/schema/raw/master/csl-citation.json"}</w:instrText>
      </w:r>
      <w:r>
        <w:fldChar w:fldCharType="separate"/>
      </w:r>
      <w:r w:rsidRPr="00683912">
        <w:rPr>
          <w:noProof/>
        </w:rPr>
        <w:t>(2014)</w:t>
      </w:r>
      <w:r>
        <w:fldChar w:fldCharType="end"/>
      </w:r>
      <w:r w:rsidRPr="006008A0">
        <w:t xml:space="preserve"> consideran que </w:t>
      </w:r>
      <w:r w:rsidR="00BE36C5">
        <w:t>‘</w:t>
      </w:r>
      <w:r w:rsidRPr="006008A0">
        <w:t>también</w:t>
      </w:r>
      <w:r w:rsidR="00BE36C5">
        <w:t>’</w:t>
      </w:r>
      <w:r w:rsidRPr="006008A0">
        <w:t xml:space="preserve"> es un disparador de presuposición anafórica</w:t>
      </w:r>
      <w:r w:rsidR="0005413B">
        <w:t xml:space="preserve"> en el sentido descrito arriba</w:t>
      </w:r>
      <w:r w:rsidRPr="006008A0">
        <w:t>, en contraste con una presuposición lexical</w:t>
      </w:r>
      <w:r w:rsidR="005F49EC">
        <w:t>.</w:t>
      </w:r>
      <w:r w:rsidRPr="006008A0">
        <w:t xml:space="preserve"> </w:t>
      </w:r>
      <w:r w:rsidR="005F49EC">
        <w:t>S</w:t>
      </w:r>
      <w:r w:rsidRPr="006008A0">
        <w:t xml:space="preserve">us datos dan fundamento a esta distinción. El trabajo de Schwarz </w:t>
      </w:r>
      <w:r>
        <w:fldChar w:fldCharType="begin" w:fldLock="1"/>
      </w:r>
      <w:r>
        <w:instrText>ADDIN CSL_CITATION {"citationItems":[{"id":"ITEM-1","itemData":{"author":[{"dropping-particle":"","family":"Schwarz","given":"Florian","non-dropping-particle":"","parse-names":false,"suffix":""}],"container-title":"Experimental perspectives on presuppositions","editor":[{"dropping-particle":"","family":"Schwarz","given":"Florian","non-dropping-particle":"","parse-names":false,"suffix":""}],"id":"ITEM-1","issued":{"date-parts":[["2014"]]},"page":"89-108","publisher":"Springer","title":"Presuppositions vs. asserted content in online processing","type":"chapter"},"suppress-author":1,"uris":["http://www.mendeley.com/documents/?uuid=9f23633b-e18c-4edd-8ed7-423b323adcc6"]}],"mendeley":{"formattedCitation":"(2014b)","plainTextFormattedCitation":"(2014b)","previouslyFormattedCitation":"(2014b)"},"properties":{"noteIndex":0},"schema":"https://github.com/citation-style-language/schema/raw/master/csl-citation.json"}</w:instrText>
      </w:r>
      <w:r>
        <w:fldChar w:fldCharType="separate"/>
      </w:r>
      <w:r w:rsidRPr="00683912">
        <w:rPr>
          <w:noProof/>
        </w:rPr>
        <w:t>(2014b)</w:t>
      </w:r>
      <w:r>
        <w:fldChar w:fldCharType="end"/>
      </w:r>
      <w:r w:rsidRPr="006008A0">
        <w:t xml:space="preserve"> sugiere que el procesamiento en línea de la presuposición de </w:t>
      </w:r>
      <w:r w:rsidR="00BE36C5">
        <w:t>‘</w:t>
      </w:r>
      <w:r w:rsidRPr="006008A0">
        <w:t>también</w:t>
      </w:r>
      <w:r w:rsidR="00BE36C5">
        <w:t>’</w:t>
      </w:r>
      <w:r w:rsidRPr="006008A0">
        <w:t xml:space="preserve"> se utiliza, en primer lugar, para determinar el </w:t>
      </w:r>
      <w:r w:rsidRPr="00E606F0">
        <w:t xml:space="preserve">referente, antes de proceder a la desambiguación de información adicional. Tanto Schwarz </w:t>
      </w:r>
      <w:r w:rsidRPr="00E606F0">
        <w:fldChar w:fldCharType="begin" w:fldLock="1"/>
      </w:r>
      <w:r w:rsidRPr="00E606F0">
        <w:instrText>ADDIN CSL_CITATION {"citationItems":[{"id":"ITEM-1","itemData":{"author":[{"dropping-particle":"","family":"Schwarz","given":"Florian","non-dropping-particle":"","parse-names":false,"suffix":""}],"container-title":"Experimental perspectives on presuppositions","editor":[{"dropping-particle":"","family":"Schwarz","given":"Florian","non-dropping-particle":"","parse-names":false,"suffix":""}],"id":"ITEM-1","issued":{"date-parts":[["2014"]]},"page":"89-108","publisher":"Springer","title":"Presuppositions vs. asserted content in online processing","type":"chapter"},"suppress-author":1,"uris":["http://www.mendeley.com/documents/?uuid=9f23633b-e18c-4edd-8ed7-423b323adcc6"]}],"mendeley":{"formattedCitation":"(2014b)","plainTextFormattedCitation":"(2014b)","previouslyFormattedCitation":"(2014b)"},"properties":{"noteIndex":0},"schema":"https://github.com/citation-style-language/schema/raw/master/csl-citation.json"}</w:instrText>
      </w:r>
      <w:r w:rsidRPr="00E606F0">
        <w:fldChar w:fldCharType="separate"/>
      </w:r>
      <w:r w:rsidRPr="00E606F0">
        <w:rPr>
          <w:noProof/>
        </w:rPr>
        <w:t>(2014b)</w:t>
      </w:r>
      <w:r w:rsidRPr="00E606F0">
        <w:fldChar w:fldCharType="end"/>
      </w:r>
      <w:r w:rsidRPr="00E606F0">
        <w:t xml:space="preserve">, como Kim </w:t>
      </w:r>
      <w:r>
        <w:fldChar w:fldCharType="begin" w:fldLock="1"/>
      </w:r>
      <w:r>
        <w:instrText>ADDIN CSL_CITATION {"citationItems":[{"id":"ITEM-1","itemData":{"author":[{"dropping-particle":"","family":"Kim","given":"Christina S","non-dropping-particle":"","parse-names":false,"suffix":""}],"container-title":"Experimental perspectives on presuppositions","id":"ITEM-1","issued":{"date-parts":[["2014"]]},"page":"109-134","publisher":"Springer","title":"Presupposition satisfaction, locality and discourse constituency","type":"chapter"},"suppress-author":1,"uris":["http://www.mendeley.com/documents/?uuid=e931b51a-8f0a-47b2-b05f-82650aa67393"]}],"mendeley":{"formattedCitation":"(2014)","plainTextFormattedCitation":"(2014)","previouslyFormattedCitation":"(2014)"},"properties":{"noteIndex":0},"schema":"https://github.com/citation-style-language/schema/raw/master/csl-citation.json"}</w:instrText>
      </w:r>
      <w:r>
        <w:fldChar w:fldCharType="separate"/>
      </w:r>
      <w:r w:rsidRPr="00E606F0">
        <w:rPr>
          <w:noProof/>
        </w:rPr>
        <w:t>(2014)</w:t>
      </w:r>
      <w:r>
        <w:fldChar w:fldCharType="end"/>
      </w:r>
      <w:r w:rsidRPr="006008A0">
        <w:t xml:space="preserve"> llegan a esta conclusión mediante el uso del paradigma de mundos visuales y el análisis de tiempos de respuesta e inspección. En este paradigma experimental los participantes leen frases de contexto (ej: el niño tiene un tenedor) y posteriormente tiene que seleccionar una imagen que sea coherente con una oración de prueba que contiene el disparador de presuposición (ej: Una niña también tiene un tenedor) de un conjunto de cuatro posibilidades (niña con plato, niña con cuchara, etc.). Así, </w:t>
      </w:r>
      <w:r w:rsidR="000805FB" w:rsidRPr="006008A0">
        <w:t>en estos casos</w:t>
      </w:r>
      <w:r w:rsidR="000805FB">
        <w:t xml:space="preserve"> </w:t>
      </w:r>
      <w:r w:rsidR="00BE36C5">
        <w:t>‘</w:t>
      </w:r>
      <w:r w:rsidRPr="006008A0">
        <w:t>también</w:t>
      </w:r>
      <w:r w:rsidR="00BE36C5">
        <w:t>’</w:t>
      </w:r>
      <w:r w:rsidRPr="006008A0">
        <w:t xml:space="preserve"> parecer disparar la resolución de la ambigüedad mediante la identificación del sujeto al que se hace referencia en la oración de acción </w:t>
      </w:r>
      <w:r w:rsidR="0073367F">
        <w:t>y no simplemente mediante la identificación de un referente no categorizado</w:t>
      </w:r>
      <w:r w:rsidRPr="006008A0">
        <w:t>.</w:t>
      </w:r>
      <w:r w:rsidR="0073367F">
        <w:t xml:space="preserve"> </w:t>
      </w:r>
      <w:r w:rsidRPr="006008A0">
        <w:t xml:space="preserve"> </w:t>
      </w:r>
    </w:p>
    <w:p w14:paraId="2D083E86" w14:textId="73693A30" w:rsidR="00C92620" w:rsidRPr="006008A0" w:rsidRDefault="001C130D" w:rsidP="00681E3D">
      <w:pPr>
        <w:spacing w:line="360" w:lineRule="auto"/>
        <w:ind w:firstLine="720"/>
        <w:jc w:val="both"/>
      </w:pPr>
      <w:r>
        <w:t>Pese a las diferencias terminológicas, e</w:t>
      </w:r>
      <w:r w:rsidR="00C92620" w:rsidRPr="006008A0">
        <w:t xml:space="preserve">stos hallazgos son coherentes con una interpretación anafórica de </w:t>
      </w:r>
      <w:r w:rsidR="00BE36C5">
        <w:t>‘</w:t>
      </w:r>
      <w:r w:rsidR="00C92620" w:rsidRPr="006008A0">
        <w:t>también</w:t>
      </w:r>
      <w:r w:rsidR="00BE36C5">
        <w:t>’</w:t>
      </w:r>
      <w:r w:rsidR="00C92620" w:rsidRPr="006008A0">
        <w:t xml:space="preserve"> acorde con nuestro análisis, pero </w:t>
      </w:r>
      <w:r w:rsidR="00E01BAA">
        <w:t xml:space="preserve">son </w:t>
      </w:r>
      <w:r w:rsidR="00C92620" w:rsidRPr="006008A0">
        <w:t xml:space="preserve">inconsistentes con la TRD. En la medida en que </w:t>
      </w:r>
      <w:r w:rsidR="00BE36C5">
        <w:t>‘</w:t>
      </w:r>
      <w:r w:rsidR="00C92620" w:rsidRPr="006008A0">
        <w:t>también</w:t>
      </w:r>
      <w:r w:rsidR="00BE36C5">
        <w:t>’</w:t>
      </w:r>
      <w:r w:rsidR="00C92620" w:rsidRPr="006008A0">
        <w:t xml:space="preserve"> es un disparador de resolución de una presuposición (Amaral </w:t>
      </w:r>
      <w:r w:rsidR="00D9264C" w:rsidRPr="00D9264C">
        <w:t>&amp;</w:t>
      </w:r>
      <w:r w:rsidR="00C92620" w:rsidRPr="006008A0">
        <w:t xml:space="preserve"> Cummins, 2014), la búsqueda en el contexto del referente o evento al que hace referencia es un proceso determinado por la predicación paramétrica y</w:t>
      </w:r>
      <w:r w:rsidR="0073367F">
        <w:t xml:space="preserve"> las relaciones anafó</w:t>
      </w:r>
      <w:r w:rsidR="00140693">
        <w:t>ricas que ella genera,</w:t>
      </w:r>
      <w:r w:rsidR="0073367F">
        <w:t xml:space="preserve"> </w:t>
      </w:r>
      <w:r w:rsidR="00C92620" w:rsidRPr="006008A0">
        <w:t xml:space="preserve">no por la combinación de presuposición existencial y presuposición referencial. </w:t>
      </w:r>
    </w:p>
    <w:p w14:paraId="099AB86D" w14:textId="402E4129" w:rsidR="00C92620" w:rsidRPr="006008A0" w:rsidRDefault="00C92620" w:rsidP="00681E3D">
      <w:pPr>
        <w:spacing w:line="360" w:lineRule="auto"/>
        <w:ind w:firstLine="720"/>
        <w:jc w:val="both"/>
      </w:pPr>
      <w:r w:rsidRPr="006008A0">
        <w:t xml:space="preserve">De otro lado, los estudios experimentales sobre proyección muestran que la evidencia empírica contradice algunas intuiciones teóricas presentadas arriba. </w:t>
      </w:r>
      <w:r w:rsidR="00473760">
        <w:t>N</w:t>
      </w:r>
      <w:r w:rsidRPr="006008A0">
        <w:t xml:space="preserve">o </w:t>
      </w:r>
      <w:r w:rsidR="00473760">
        <w:t>resulta</w:t>
      </w:r>
      <w:r w:rsidRPr="006008A0">
        <w:t xml:space="preserve"> claro cu</w:t>
      </w:r>
      <w:r w:rsidR="00473760">
        <w:t>á</w:t>
      </w:r>
      <w:r w:rsidRPr="006008A0">
        <w:t xml:space="preserve">ndo los hablantes prefieren las proyecciones locales a las globales, a pesar de que varias teorías sugieren que se debe preferir la proyección global. El caso más claro es el de los verbos factitivos. Chemla y Bott </w:t>
      </w:r>
      <w:r>
        <w:fldChar w:fldCharType="begin" w:fldLock="1"/>
      </w:r>
      <w:r>
        <w:instrText>ADDIN CSL_CITATION {"citationItems":[{"id":"ITEM-1","itemData":{"author":[{"dropping-particle":"","family":"Chemla","given":"Emmanuel","non-dropping-particle":"","parse-names":false,"suffix":""},{"dropping-particle":"","family":"Bott","given":"Lewis","non-dropping-particle":"","parse-names":false,"suffix":""}],"container-title":"Language and cognitive processes","id":"ITEM-1","issue":"3","issued":{"date-parts":[["2013"]]},"page":"241-260","publisher":"Taylor &amp; Francis","title":"Processing presuppositions: Dynamic semantics vs pragmatic enrichment","type":"article-journal","volume":"28"},"suppress-author":1,"uris":["http://www.mendeley.com/documents/?uuid=1191e602-40ea-449c-aa3c-3e0ad0735732"]}],"mendeley":{"formattedCitation":"(2013)","plainTextFormattedCitation":"(2013)","previouslyFormattedCitation":"(2013)"},"properties":{"noteIndex":0},"schema":"https://github.com/citation-style-language/schema/raw/master/csl-citation.json"}</w:instrText>
      </w:r>
      <w:r>
        <w:fldChar w:fldCharType="separate"/>
      </w:r>
      <w:r w:rsidRPr="00FF5125">
        <w:rPr>
          <w:noProof/>
        </w:rPr>
        <w:t>(2013)</w:t>
      </w:r>
      <w:r>
        <w:fldChar w:fldCharType="end"/>
      </w:r>
      <w:r>
        <w:t xml:space="preserve"> </w:t>
      </w:r>
      <w:r w:rsidRPr="006008A0">
        <w:t>muestran que los hablantes no prefieren de manera consistente la proyección local frente a la global, si bien la proyección local no se puede considerar como un aspecto que depende del significado literal solamente. De nuevo, esto es coherente con nuestro análisis, pero no con el de</w:t>
      </w:r>
      <w:r w:rsidR="007C03ED">
        <w:t xml:space="preserve"> </w:t>
      </w:r>
      <w:r w:rsidRPr="006008A0">
        <w:t>l</w:t>
      </w:r>
      <w:r w:rsidR="007C03ED">
        <w:t>a</w:t>
      </w:r>
      <w:r w:rsidRPr="006008A0">
        <w:t xml:space="preserve"> TRD.</w:t>
      </w:r>
    </w:p>
    <w:p w14:paraId="44AE567D" w14:textId="66F06B46" w:rsidR="00C92620" w:rsidRPr="006008A0" w:rsidRDefault="00C92620" w:rsidP="00681E3D">
      <w:pPr>
        <w:spacing w:line="360" w:lineRule="auto"/>
        <w:ind w:firstLine="720"/>
        <w:jc w:val="both"/>
      </w:pPr>
      <w:r w:rsidRPr="006008A0">
        <w:t>A nivel metodológico, en la evaluación de presuposiciones se ha</w:t>
      </w:r>
      <w:r w:rsidR="00473760">
        <w:t>n</w:t>
      </w:r>
      <w:r w:rsidRPr="006008A0">
        <w:t xml:space="preserve"> privilegiado tres métodos: juicios de interpretación, ratings de aceptabilidad y tareas de continuación </w:t>
      </w:r>
      <w:r>
        <w:fldChar w:fldCharType="begin" w:fldLock="1"/>
      </w:r>
      <w:r>
        <w:instrText>ADDIN CSL_CITATION {"citationItems":[{"id":"ITEM-1","itemData":{"author":[{"dropping-particle":"","family":"Schwarz","given":"Florian","non-dropping-particle":"","parse-names":false,"suffix":""}],"container-title":"Annual review of linguistics","id":"ITEM-1","issued":{"date-parts":[["2016"]]},"page":"273-292","publisher":"Annual Reviews","title":"Experimental work in presupposition and presupposition projection","type":"article-journal","volume":"2"},"uris":["http://www.mendeley.com/documents/?uuid=728ad925-1cb9-4af9-b0e9-122238f6648e"]}],"mendeley":{"formattedCitation":"(Schwarz, 2016)","plainTextFormattedCitation":"(Schwarz, 2016)","previouslyFormattedCitation":"(Schwarz 2016)"},"properties":{"noteIndex":0},"schema":"https://github.com/citation-style-language/schema/raw/master/csl-citation.json"}</w:instrText>
      </w:r>
      <w:r>
        <w:fldChar w:fldCharType="separate"/>
      </w:r>
      <w:r w:rsidRPr="00FB4FFF">
        <w:rPr>
          <w:noProof/>
        </w:rPr>
        <w:t>(Schwarz, 2016)</w:t>
      </w:r>
      <w:r>
        <w:fldChar w:fldCharType="end"/>
      </w:r>
      <w:r w:rsidRPr="006008A0">
        <w:t>. Normalmente los estudios empíricos se centran en una de estas medidas, de modo que es común que investigadores que estudian el mismo fenómeno lleguen a conclusiones distintas debido a divergencias en la registro y medida de respuestas básicas (Schwarz</w:t>
      </w:r>
      <w:r w:rsidR="005906CB">
        <w:t>,</w:t>
      </w:r>
      <w:r w:rsidRPr="006008A0">
        <w:t xml:space="preserve"> 2016). En este trabajo respondemos a esta dificultad mediante el uso de distintas medidas de presuposición. Por último, vale la pena mencionar que si bien existen análisis juiciosos acerca de las implicaciones conceptuales de las teorías de la presuposición en español </w:t>
      </w:r>
      <w:r>
        <w:fldChar w:fldCharType="begin" w:fldLock="1"/>
      </w:r>
      <w:r>
        <w:instrText>ADDIN CSL_CITATION {"citationItems":[{"id":"ITEM-1","itemData":{"author":[{"dropping-particle":"","family":"Sentis","given":"Franklin","non-dropping-particle":"","parse-names":false,"suffix":""}],"container-title":"Onomázein: Revista de lingüística, filología y traducción de la Pontificia Universidad Católica de Chile","id":"ITEM-1","issue":"6","issued":{"date-parts":[["2001"]]},"page":"105-148","publisher":"Pontificia Universidad Católica de Chile","title":"La presuposición como categoría pragmática:: un caso de confrontación epistemológica","type":"article-journal"},"prefix":"ej: ","uris":["http://www.mendeley.com/documents/?uuid=dbf1320b-b700-4670-a0c7-2b0fb3a413b2"]}],"mendeley":{"formattedCitation":"(ej: Sentis, 2001)","plainTextFormattedCitation":"(ej: Sentis, 2001)","previouslyFormattedCitation":"(ej: Sentis 2001)"},"properties":{"noteIndex":0},"schema":"https://github.com/citation-style-language/schema/raw/master/csl-citation.json"}</w:instrText>
      </w:r>
      <w:r>
        <w:fldChar w:fldCharType="separate"/>
      </w:r>
      <w:r w:rsidRPr="00FB4FFF">
        <w:rPr>
          <w:noProof/>
        </w:rPr>
        <w:t>(ej: Sentis, 2001)</w:t>
      </w:r>
      <w:r>
        <w:fldChar w:fldCharType="end"/>
      </w:r>
      <w:r>
        <w:t xml:space="preserve"> </w:t>
      </w:r>
      <w:r w:rsidRPr="006008A0">
        <w:t xml:space="preserve">la investigación experimental en presuposición lingüística con este idioma ha sido escasa (ver Amaral </w:t>
      </w:r>
      <w:r w:rsidR="005906CB">
        <w:t>&amp;</w:t>
      </w:r>
      <w:r w:rsidRPr="006008A0">
        <w:t xml:space="preserve"> Cummins, 2014 para una excepción).</w:t>
      </w:r>
    </w:p>
    <w:p w14:paraId="277250DA" w14:textId="1460B73D" w:rsidR="00C92620" w:rsidRPr="006008A0" w:rsidRDefault="00C92620" w:rsidP="00681E3D">
      <w:pPr>
        <w:spacing w:line="360" w:lineRule="auto"/>
        <w:ind w:firstLine="720"/>
        <w:jc w:val="both"/>
      </w:pPr>
      <w:r w:rsidRPr="006008A0">
        <w:t xml:space="preserve">Así, el objetivo </w:t>
      </w:r>
      <w:r>
        <w:t>del componente empírico de</w:t>
      </w:r>
      <w:r w:rsidRPr="006008A0">
        <w:t xml:space="preserve"> este trabajo</w:t>
      </w:r>
      <w:r>
        <w:t xml:space="preserve"> </w:t>
      </w:r>
      <w:r w:rsidRPr="006008A0">
        <w:t xml:space="preserve">es explorar la forma en que se desambiguan emisiones que hacen uso de expresiones adverbiales de adición (como </w:t>
      </w:r>
      <w:r w:rsidR="00BE36C5">
        <w:t>‘</w:t>
      </w:r>
      <w:r w:rsidRPr="006008A0">
        <w:t>también</w:t>
      </w:r>
      <w:r w:rsidR="00BE36C5">
        <w:t>’</w:t>
      </w:r>
      <w:r w:rsidRPr="006008A0">
        <w:t>) o sustracción (</w:t>
      </w:r>
      <w:r w:rsidR="00BE36C5">
        <w:t>‘</w:t>
      </w:r>
      <w:r w:rsidRPr="006008A0">
        <w:t>yo no</w:t>
      </w:r>
      <w:r w:rsidR="00BE36C5">
        <w:t>’</w:t>
      </w:r>
      <w:r w:rsidRPr="006008A0">
        <w:t xml:space="preserve">). A partir de nuestro análisis y de la evidencia </w:t>
      </w:r>
      <w:r w:rsidR="0065448A">
        <w:t>empírica</w:t>
      </w:r>
      <w:r w:rsidR="0065448A" w:rsidRPr="006008A0">
        <w:t xml:space="preserve"> </w:t>
      </w:r>
      <w:r w:rsidRPr="006008A0">
        <w:t xml:space="preserve">reciente, esperamos que las interpretaciones perspectivas </w:t>
      </w:r>
      <w:r w:rsidR="00140693">
        <w:t xml:space="preserve">que se apoyan en anáfora </w:t>
      </w:r>
      <w:r w:rsidRPr="006008A0">
        <w:t xml:space="preserve">sean más comunes que las referenciales, </w:t>
      </w:r>
      <w:r w:rsidRPr="006008A0">
        <w:rPr>
          <w:i/>
        </w:rPr>
        <w:t>contra</w:t>
      </w:r>
      <w:r w:rsidRPr="006008A0">
        <w:t xml:space="preserve"> Geurts y van der Sandt (2004). También esperamos que los distintos tipos de verbos usados hagan más prominentes interpretaciones</w:t>
      </w:r>
      <w:r w:rsidR="00140693">
        <w:t xml:space="preserve"> de la anáfora</w:t>
      </w:r>
      <w:r w:rsidRPr="006008A0">
        <w:t xml:space="preserve"> perspectiva</w:t>
      </w:r>
      <w:r w:rsidR="00140693">
        <w:t>s</w:t>
      </w:r>
      <w:r w:rsidRPr="006008A0">
        <w:t xml:space="preserve"> o referenciales en el sentido de Geurts y van der Sandt (2004) dependiendo de la presuposición de trasfondo </w:t>
      </w:r>
      <w:r w:rsidR="00B735CF">
        <w:t>de la que se extraigan</w:t>
      </w:r>
      <w:r w:rsidRPr="006008A0">
        <w:t xml:space="preserve">. </w:t>
      </w:r>
    </w:p>
    <w:p w14:paraId="21CE663E" w14:textId="20ED5A02" w:rsidR="00C92620" w:rsidRPr="006008A0" w:rsidRDefault="00C92620" w:rsidP="00681E3D">
      <w:pPr>
        <w:spacing w:line="360" w:lineRule="auto"/>
        <w:ind w:firstLine="720"/>
        <w:jc w:val="both"/>
      </w:pPr>
      <w:r w:rsidRPr="006008A0">
        <w:t xml:space="preserve">Con este fin se llevaron a cabo </w:t>
      </w:r>
      <w:r w:rsidR="007C3A7D">
        <w:t>dos</w:t>
      </w:r>
      <w:r w:rsidRPr="006008A0">
        <w:t xml:space="preserve"> </w:t>
      </w:r>
      <w:r w:rsidR="0065448A">
        <w:t>estudios</w:t>
      </w:r>
      <w:r w:rsidR="0065448A" w:rsidRPr="006008A0">
        <w:t xml:space="preserve"> </w:t>
      </w:r>
      <w:r w:rsidRPr="006008A0">
        <w:t>descritos a continuación. Se examinaron dos variedades principales de desambiguación, definidas por el tipo de verbo, epistémico (alocéntrico) o de intención (egocéntrico). En concordancia con nuestra propuesta, la hipótesis principal es que las oraciones con un patrón deíctico</w:t>
      </w:r>
      <w:r w:rsidR="00B735CF">
        <w:t xml:space="preserve"> de presuposición</w:t>
      </w:r>
      <w:r w:rsidRPr="006008A0">
        <w:t xml:space="preserve"> que implica un verbo de intención/acción son más difíciles de desambiguar que oraciones equivalentes con verbos epistémicos. También se espera que en la desambiguación se privilegie el uso de enunciados </w:t>
      </w:r>
      <w:r w:rsidR="00E070FF">
        <w:t xml:space="preserve">que expresan </w:t>
      </w:r>
      <w:r w:rsidRPr="006008A0">
        <w:t>perspectiv</w:t>
      </w:r>
      <w:r w:rsidR="00E070FF">
        <w:t>a</w:t>
      </w:r>
      <w:r w:rsidRPr="006008A0">
        <w:t>s, a pesar de ser más costosos psicológicamente. Esta es una consecuencia de la idea de predicación paramétrica</w:t>
      </w:r>
      <w:r w:rsidR="00715ADE">
        <w:t>,</w:t>
      </w:r>
      <w:r w:rsidRPr="006008A0">
        <w:t xml:space="preserve"> se deriva directamente de la información lingüística propia de la emisión y no requiere inferencias de acomodación basadas en el contexto amplio de la comunicación</w:t>
      </w:r>
      <w:r w:rsidR="00140693">
        <w:t xml:space="preserve"> sino en </w:t>
      </w:r>
      <w:r w:rsidR="0036100A">
        <w:t>material</w:t>
      </w:r>
      <w:r w:rsidR="00E070FF">
        <w:t xml:space="preserve"> </w:t>
      </w:r>
      <w:r w:rsidR="0036100A">
        <w:t xml:space="preserve">lingüístico </w:t>
      </w:r>
      <w:r w:rsidR="00140693">
        <w:t>dispo</w:t>
      </w:r>
      <w:r w:rsidR="0036100A">
        <w:t>nible</w:t>
      </w:r>
      <w:r w:rsidR="00140693">
        <w:t xml:space="preserve"> en los</w:t>
      </w:r>
      <w:r w:rsidR="00E070FF">
        <w:t xml:space="preserve"> propios</w:t>
      </w:r>
      <w:r w:rsidR="00140693">
        <w:t xml:space="preserve"> ejemplos</w:t>
      </w:r>
      <w:r w:rsidRPr="006008A0">
        <w:t xml:space="preserve">. </w:t>
      </w:r>
    </w:p>
    <w:p w14:paraId="3D1A9C45" w14:textId="7A7085F6" w:rsidR="004A371E" w:rsidRDefault="00C92620" w:rsidP="000D1C89">
      <w:pPr>
        <w:pStyle w:val="Ttulo3"/>
        <w:numPr>
          <w:ilvl w:val="0"/>
          <w:numId w:val="7"/>
        </w:numPr>
        <w:spacing w:line="360" w:lineRule="auto"/>
        <w:rPr>
          <w:b/>
          <w:bCs/>
          <w:sz w:val="24"/>
          <w:szCs w:val="24"/>
        </w:rPr>
      </w:pPr>
      <w:bookmarkStart w:id="6" w:name="_Toc525207637"/>
      <w:r w:rsidRPr="005442FB">
        <w:rPr>
          <w:b/>
          <w:bCs/>
          <w:sz w:val="24"/>
          <w:szCs w:val="24"/>
        </w:rPr>
        <w:t>Marco metodológico</w:t>
      </w:r>
      <w:r w:rsidR="004A371E">
        <w:rPr>
          <w:b/>
          <w:bCs/>
          <w:sz w:val="24"/>
          <w:szCs w:val="24"/>
        </w:rPr>
        <w:t xml:space="preserve"> General</w:t>
      </w:r>
    </w:p>
    <w:p w14:paraId="2DC7C200" w14:textId="51D610C0" w:rsidR="00207CA8" w:rsidRDefault="00207CA8" w:rsidP="007463ED">
      <w:pPr>
        <w:spacing w:line="360" w:lineRule="auto"/>
        <w:jc w:val="both"/>
      </w:pPr>
      <w:r>
        <w:rPr>
          <w:iCs/>
        </w:rPr>
        <w:t>El uso conjunto de ‘también’ y las partículas indéxicas constituye un escenario límite para poner a prueba los análisis tradicionales de desambiguación de</w:t>
      </w:r>
      <w:r w:rsidR="00857631">
        <w:rPr>
          <w:iCs/>
        </w:rPr>
        <w:t xml:space="preserve"> lo que se ha designado en la literatura como</w:t>
      </w:r>
      <w:r>
        <w:rPr>
          <w:iCs/>
        </w:rPr>
        <w:t xml:space="preserve"> presuposiciones</w:t>
      </w:r>
      <w:r w:rsidR="00E01BAA">
        <w:rPr>
          <w:iCs/>
        </w:rPr>
        <w:t xml:space="preserve"> anafóricas</w:t>
      </w:r>
      <w:r w:rsidR="00715ADE">
        <w:rPr>
          <w:iCs/>
        </w:rPr>
        <w:t xml:space="preserve">. </w:t>
      </w:r>
      <w:r w:rsidR="00047802">
        <w:rPr>
          <w:iCs/>
        </w:rPr>
        <w:t xml:space="preserve">En los </w:t>
      </w:r>
      <w:r w:rsidR="007C3A7D">
        <w:rPr>
          <w:iCs/>
        </w:rPr>
        <w:t xml:space="preserve">dos </w:t>
      </w:r>
      <w:r w:rsidR="00047802">
        <w:rPr>
          <w:iCs/>
        </w:rPr>
        <w:t xml:space="preserve">estudios experimentales que se presentan a continuación </w:t>
      </w:r>
      <w:r w:rsidR="001766E0">
        <w:rPr>
          <w:iCs/>
        </w:rPr>
        <w:t xml:space="preserve">manipulamos el uso ambiguo del adverbio </w:t>
      </w:r>
      <w:r w:rsidR="00B726EC">
        <w:rPr>
          <w:iCs/>
        </w:rPr>
        <w:t>‘</w:t>
      </w:r>
      <w:r w:rsidR="001766E0">
        <w:rPr>
          <w:iCs/>
        </w:rPr>
        <w:t>también</w:t>
      </w:r>
      <w:r w:rsidR="00B726EC">
        <w:rPr>
          <w:iCs/>
        </w:rPr>
        <w:t>’</w:t>
      </w:r>
      <w:r w:rsidR="001766E0">
        <w:rPr>
          <w:iCs/>
        </w:rPr>
        <w:t xml:space="preserve"> con una evaluación de consistencia (estudio 1) y de contraste entre sentido literal y sentido </w:t>
      </w:r>
      <w:r w:rsidR="0065448A">
        <w:rPr>
          <w:iCs/>
        </w:rPr>
        <w:t>intencional (estudio 2)</w:t>
      </w:r>
      <w:r w:rsidR="007463ED">
        <w:rPr>
          <w:iCs/>
        </w:rPr>
        <w:t>.</w:t>
      </w:r>
    </w:p>
    <w:p w14:paraId="2F4627EB" w14:textId="337ABB88" w:rsidR="00BE1EDF" w:rsidRPr="006008A0" w:rsidRDefault="00BE1EDF" w:rsidP="007463ED">
      <w:pPr>
        <w:spacing w:line="360" w:lineRule="auto"/>
        <w:ind w:firstLine="720"/>
        <w:jc w:val="both"/>
      </w:pPr>
      <w:r w:rsidRPr="006008A0">
        <w:t xml:space="preserve">Para todos los experimentos el número de participantes mínimo determinado fue de 23. Esto se debe a que se trata de efectos estadísticos grandes que son examinados con procedimientos de medidas repetidas </w:t>
      </w:r>
      <w:r>
        <w:t xml:space="preserve"> </w:t>
      </w:r>
      <w:r>
        <w:fldChar w:fldCharType="begin" w:fldLock="1"/>
      </w:r>
      <w:r>
        <w:instrText>ADDIN CSL_CITATION {"citationItems":[{"id":"ITEM-1","itemData":{"author":[{"dropping-particle":"","family":"Plonsky","given":"Luke","non-dropping-particle":"","parse-names":false,"suffix":""},{"dropping-particle":"","family":"Oswald","given":"Frederick L","non-dropping-particle":"","parse-names":false,"suffix":""}],"container-title":"Language Learning","id":"ITEM-1","issue":"4","issued":{"date-parts":[["2014"]]},"page":"878-912","publisher":"Wiley Online Library","title":"How big is “big”? Interpreting effect sizes in L2 research","type":"article-journal","volume":"64"},"uris":["http://www.mendeley.com/documents/?uuid=d8feb534-413a-4ae7-a975-fbe1d037751d"]},{"id":"ITEM-2","itemData":{"author":[{"dropping-particle":"","family":"Schwarz","given":"Florian","non-dropping-particle":"","parse-names":false,"suffix":""}],"id":"ITEM-2","issued":{"date-parts":[["2014"]]},"publisher":"Springer","title":"Experimental perspectives on presuppositions","type":"book","volume":"45"},"uris":["http://www.mendeley.com/documents/?uuid=2a514fcc-96dd-4d9b-b00f-9a40f9615be8"]}],"mendeley":{"formattedCitation":"(Plonsky &amp; Oswald, 2014; Schwarz, 2014a)","plainTextFormattedCitation":"(Plonsky &amp; Oswald, 2014; Schwarz, 2014a)","previouslyFormattedCitation":"(Plonsky and Oswald 2014; Schwarz 2014a)"},"properties":{"noteIndex":0},"schema":"https://github.com/citation-style-language/schema/raw/master/csl-citation.json"}</w:instrText>
      </w:r>
      <w:r>
        <w:fldChar w:fldCharType="separate"/>
      </w:r>
      <w:r w:rsidRPr="00FB4FFF">
        <w:rPr>
          <w:noProof/>
        </w:rPr>
        <w:t>(Plonsky &amp; Oswald, 2014; Schwarz, 2014a)</w:t>
      </w:r>
      <w:r>
        <w:fldChar w:fldCharType="end"/>
      </w:r>
      <w:r w:rsidRPr="006008A0">
        <w:t xml:space="preserve">. Los materiales fueron construidos por los autores a partir de ejemplos publicados en la literatura en filosofía del lenguaje sobre indéxicos y presuposición </w:t>
      </w:r>
      <w:r>
        <w:fldChar w:fldCharType="begin" w:fldLock="1"/>
      </w:r>
      <w:r>
        <w:instrText>ADDIN CSL_CITATION {"citationItems":[{"id":"ITEM-1","itemData":{"author":[{"dropping-particle":"","family":"Schwarz","given":"Florian","non-dropping-particle":"","parse-names":false,"suffix":""}],"container-title":"Experimental perspectives on presuppositions","editor":[{"dropping-particle":"","family":"Schwarz","given":"Florian","non-dropping-particle":"","parse-names":false,"suffix":""}],"id":"ITEM-1","issued":{"date-parts":[["2014"]]},"page":"89-108","publisher":"Springer","title":"Presuppositions vs. asserted content in online processing","type":"chapter"},"uris":["http://www.mendeley.com/documents/?uuid=9f23633b-e18c-4edd-8ed7-423b323adcc6"]},{"id":"ITEM-2","itemData":{"author":[{"dropping-particle":"","family":"Amaral","given":"Patricia","non-dropping-particle":"","parse-names":false,"suffix":""},{"dropping-particle":"","family":"Cummins","given":"Chris","non-dropping-particle":"","parse-names":false,"suffix":""}],"container-title":"Experimental perspectives on presuppositions","id":"ITEM-2","issued":{"date-parts":[["2014"]]},"page":"157-172","publisher":"Springer","title":"A cross-linguistic study on information backgrounding and presupposition projection","type":"chapter"},"uris":["http://www.mendeley.com/documents/?uuid=9d7c2ca6-8ab7-4d67-8948-c91d69212e55"]}],"mendeley":{"formattedCitation":"(Amaral &amp; Cummins, 2014; Schwarz, 2014b)","plainTextFormattedCitation":"(Amaral &amp; Cummins, 2014; Schwarz, 2014b)","previouslyFormattedCitation":"(Schwarz 2014b; Amaral and Cummins 2014)"},"properties":{"noteIndex":0},"schema":"https://github.com/citation-style-language/schema/raw/master/csl-citation.json"}</w:instrText>
      </w:r>
      <w:r>
        <w:fldChar w:fldCharType="separate"/>
      </w:r>
      <w:r w:rsidRPr="00FB4FFF">
        <w:rPr>
          <w:noProof/>
        </w:rPr>
        <w:t>(Amaral &amp; Cummins, 2014; Schwarz, 2014b)</w:t>
      </w:r>
      <w:r>
        <w:fldChar w:fldCharType="end"/>
      </w:r>
      <w:r w:rsidRPr="006008A0">
        <w:t xml:space="preserve">. A partir de una muestra de 35 enunciados se seleccionaron y ajustaron 24 y se usaron conjuntos distintos en cada </w:t>
      </w:r>
      <w:r w:rsidR="0065448A">
        <w:t>estudio</w:t>
      </w:r>
      <w:r w:rsidRPr="006008A0">
        <w:t xml:space="preserve">. Además de los enunciados, la principal diferencia entre los </w:t>
      </w:r>
      <w:r w:rsidR="0065448A">
        <w:t>estudios</w:t>
      </w:r>
      <w:r w:rsidRPr="006008A0">
        <w:t xml:space="preserve"> es el método de evaluación y decisión sobre la desambiguación de la información. El listado completo de los ítems usados, así como de las opciones de respuesta de cada experimento y los datos en bruto se encuentran en el repositorio en línea del Open Science</w:t>
      </w:r>
      <w:r>
        <w:t xml:space="preserve"> </w:t>
      </w:r>
      <w:r w:rsidRPr="006008A0">
        <w:t>Framework (</w:t>
      </w:r>
      <w:hyperlink r:id="rId11" w:history="1">
        <w:r w:rsidRPr="000F582E">
          <w:rPr>
            <w:rStyle w:val="Hipervnculo"/>
          </w:rPr>
          <w:t>https://osf.io/xzeyn/?view_only=6bf6b82b01e240cd941567ac7a6f7b34</w:t>
        </w:r>
      </w:hyperlink>
      <w:r w:rsidRPr="006008A0">
        <w:t xml:space="preserve">). </w:t>
      </w:r>
    </w:p>
    <w:p w14:paraId="7F24A9CF" w14:textId="77777777" w:rsidR="00BE1EDF" w:rsidRDefault="00BE1EDF" w:rsidP="00E62416">
      <w:pPr>
        <w:spacing w:line="360" w:lineRule="auto"/>
      </w:pPr>
    </w:p>
    <w:p w14:paraId="70B11304" w14:textId="309F10B9" w:rsidR="00D92070" w:rsidRDefault="00207CA8" w:rsidP="00D92070">
      <w:pPr>
        <w:spacing w:line="360" w:lineRule="auto"/>
        <w:jc w:val="both"/>
      </w:pPr>
      <w:r>
        <w:t xml:space="preserve">Contamos con la participación de </w:t>
      </w:r>
      <w:r w:rsidR="00C76937">
        <w:t>89</w:t>
      </w:r>
      <w:r>
        <w:t xml:space="preserve"> personas (</w:t>
      </w:r>
      <w:r w:rsidR="007C3A7D">
        <w:t>4</w:t>
      </w:r>
      <w:r w:rsidR="005B7DCF">
        <w:t>5</w:t>
      </w:r>
      <w:r w:rsidR="007C3A7D">
        <w:t xml:space="preserve"> y 44 en cada estudio</w:t>
      </w:r>
      <w:r>
        <w:t>), tod</w:t>
      </w:r>
      <w:r w:rsidR="00B74974">
        <w:t>o</w:t>
      </w:r>
      <w:r>
        <w:t>s estudiantes universitari</w:t>
      </w:r>
      <w:r w:rsidR="00B74974">
        <w:t>o</w:t>
      </w:r>
      <w:r>
        <w:t>s con edades comprendidas entre los 18 y los 25 años. C</w:t>
      </w:r>
      <w:r w:rsidRPr="006008A0">
        <w:t xml:space="preserve">omo primer paso </w:t>
      </w:r>
      <w:r w:rsidR="00B74974">
        <w:t xml:space="preserve">la persona encargada de las sesiones experimentales determinó si los participantes eran hablantes nativos de español preguntando al inicio de la tarea si esa era su primera lengua. No se descartaron participantes en este paso y </w:t>
      </w:r>
      <w:r>
        <w:t>n</w:t>
      </w:r>
      <w:r w:rsidRPr="006008A0">
        <w:t>o se registró información demográfica adiciona</w:t>
      </w:r>
      <w:r w:rsidR="00B74974">
        <w:t>l. A continuación, l</w:t>
      </w:r>
      <w:r w:rsidRPr="006008A0">
        <w:t>os participantes llenaron una encuesta en línea con los materiales</w:t>
      </w:r>
      <w:r w:rsidR="0065448A">
        <w:t xml:space="preserve"> del estudio</w:t>
      </w:r>
      <w:r w:rsidRPr="006008A0">
        <w:t xml:space="preserve">, una vez dieron su consentimiento informado. La duración de su participación </w:t>
      </w:r>
      <w:r w:rsidR="00B74974">
        <w:t>osciló</w:t>
      </w:r>
      <w:r w:rsidRPr="006008A0">
        <w:t xml:space="preserve"> entre 4 y </w:t>
      </w:r>
      <w:r w:rsidR="00B74974">
        <w:t>10</w:t>
      </w:r>
      <w:r w:rsidRPr="006008A0">
        <w:t xml:space="preserve"> minutos. Al finalizar la sesión se agradeció su participación y se explicó el objetivo del estudio.</w:t>
      </w:r>
    </w:p>
    <w:p w14:paraId="6F4046C3" w14:textId="6EB09AC1" w:rsidR="00207CA8" w:rsidRDefault="00B74974" w:rsidP="00D92070">
      <w:pPr>
        <w:spacing w:line="360" w:lineRule="auto"/>
        <w:ind w:firstLine="709"/>
        <w:jc w:val="both"/>
      </w:pPr>
      <w:r>
        <w:t>Las tareas consistieron en la evaluación de diálogos potencialmente ambiguos (ver abajo) entre dos personas. E</w:t>
      </w:r>
      <w:r w:rsidRPr="006008A0">
        <w:t>n todos los casos se procuró mantener constante la longitud de la afirmación del primer hablante</w:t>
      </w:r>
      <w:r>
        <w:t xml:space="preserve"> y s</w:t>
      </w:r>
      <w:r w:rsidR="00207CA8" w:rsidRPr="006008A0">
        <w:t>e balancearon los nombres femeninos y masculinos</w:t>
      </w:r>
      <w:r>
        <w:t xml:space="preserve">. El orden de las situaciones </w:t>
      </w:r>
      <w:r w:rsidR="000A71FB">
        <w:t xml:space="preserve">y de las opciones de respuesta </w:t>
      </w:r>
      <w:r>
        <w:t>fue aleatorizado para cada participante para evitar efectos de orden</w:t>
      </w:r>
      <w:r w:rsidR="00D92070">
        <w:t>.</w:t>
      </w:r>
      <w:r w:rsidR="00207CA8" w:rsidRPr="006008A0">
        <w:t xml:space="preserve"> </w:t>
      </w:r>
    </w:p>
    <w:p w14:paraId="4B03A242" w14:textId="2D6928C9" w:rsidR="00C92620" w:rsidRPr="005442FB" w:rsidRDefault="000D1EB4" w:rsidP="00E62416">
      <w:pPr>
        <w:pStyle w:val="Ttulo3"/>
        <w:numPr>
          <w:ilvl w:val="0"/>
          <w:numId w:val="7"/>
        </w:numPr>
        <w:spacing w:line="360" w:lineRule="auto"/>
        <w:rPr>
          <w:b/>
          <w:bCs/>
          <w:sz w:val="24"/>
          <w:szCs w:val="24"/>
        </w:rPr>
      </w:pPr>
      <w:r>
        <w:rPr>
          <w:b/>
          <w:bCs/>
          <w:sz w:val="24"/>
          <w:szCs w:val="24"/>
        </w:rPr>
        <w:t>E</w:t>
      </w:r>
      <w:r w:rsidR="00207CA8">
        <w:rPr>
          <w:b/>
          <w:bCs/>
          <w:sz w:val="24"/>
          <w:szCs w:val="24"/>
        </w:rPr>
        <w:t>studio</w:t>
      </w:r>
      <w:r w:rsidR="00C92620" w:rsidRPr="005442FB">
        <w:rPr>
          <w:b/>
          <w:bCs/>
          <w:sz w:val="24"/>
          <w:szCs w:val="24"/>
        </w:rPr>
        <w:t xml:space="preserve"> 1. Elipsis Verbal y desambiguación</w:t>
      </w:r>
      <w:bookmarkEnd w:id="6"/>
      <w:r w:rsidR="00C92620" w:rsidRPr="005442FB">
        <w:rPr>
          <w:b/>
          <w:bCs/>
          <w:sz w:val="24"/>
          <w:szCs w:val="24"/>
        </w:rPr>
        <w:t xml:space="preserve"> </w:t>
      </w:r>
    </w:p>
    <w:p w14:paraId="6574A513" w14:textId="425CDE8F" w:rsidR="00C92620" w:rsidRPr="006008A0" w:rsidRDefault="00C92620" w:rsidP="00681E3D">
      <w:pPr>
        <w:spacing w:line="360" w:lineRule="auto"/>
        <w:ind w:firstLine="720"/>
        <w:jc w:val="both"/>
      </w:pPr>
      <w:r w:rsidRPr="006008A0">
        <w:t xml:space="preserve">En este </w:t>
      </w:r>
      <w:r w:rsidR="00207CA8">
        <w:t>estudio</w:t>
      </w:r>
      <w:r w:rsidR="00207CA8" w:rsidRPr="006008A0">
        <w:t xml:space="preserve"> </w:t>
      </w:r>
      <w:r w:rsidRPr="006008A0">
        <w:t xml:space="preserve">los participantes debían seleccionar la oración que mejor describiera una situación, así como valorar la consistencia de las posibilidades de desambiguación. </w:t>
      </w:r>
    </w:p>
    <w:p w14:paraId="58C1CA30" w14:textId="1EB916C7" w:rsidR="00C92620" w:rsidRPr="006008A0" w:rsidRDefault="00C92620" w:rsidP="00681E3D">
      <w:pPr>
        <w:spacing w:line="360" w:lineRule="auto"/>
        <w:ind w:firstLine="720"/>
        <w:jc w:val="both"/>
      </w:pPr>
      <w:r w:rsidRPr="006008A0">
        <w:t xml:space="preserve">Se utilizaron siete situaciones de diálogo </w:t>
      </w:r>
      <w:r w:rsidR="004F4795">
        <w:t>con</w:t>
      </w:r>
      <w:r w:rsidRPr="006008A0">
        <w:t xml:space="preserve"> dos hablantes. El primero siempre afirmaba alguna cosa y el segundo siempre usaba una oración con el a</w:t>
      </w:r>
      <w:r w:rsidR="0005770D">
        <w:t>dverbio ‘también’ en respuesta.</w:t>
      </w:r>
      <w:r w:rsidRPr="006008A0">
        <w:t xml:space="preserve"> En solo uno de los casos la oración emitida por el primer hablante incluye una negación. </w:t>
      </w:r>
    </w:p>
    <w:p w14:paraId="0C93750A" w14:textId="59AE253E" w:rsidR="00C92620" w:rsidRPr="006008A0" w:rsidRDefault="00C92620" w:rsidP="00681E3D">
      <w:pPr>
        <w:spacing w:line="360" w:lineRule="auto"/>
        <w:ind w:firstLine="720"/>
        <w:jc w:val="both"/>
      </w:pPr>
      <w:r w:rsidRPr="006008A0">
        <w:t xml:space="preserve">Los participantes debían realizar la evaluación de la ambigüedad de la situación comunicativa de dos formas. De un lado, se solicitaba que los participantes organizaran un conjunto de tres enunciados “en términos de cuál describe mejor la situación comunicativa”. Los tres enunciados correspondían a paráfrasis ampliadas del enunciado del segundo hablante de forma perspectiva, referencial y una oración distractora, que no era directamente relevante. </w:t>
      </w:r>
    </w:p>
    <w:p w14:paraId="34E6BD55" w14:textId="6CED5D0C" w:rsidR="00C92620" w:rsidRPr="006008A0" w:rsidRDefault="00C92620" w:rsidP="00681E3D">
      <w:pPr>
        <w:spacing w:line="360" w:lineRule="auto"/>
        <w:ind w:firstLine="720"/>
        <w:jc w:val="both"/>
      </w:pPr>
      <w:r w:rsidRPr="006008A0">
        <w:t xml:space="preserve">De otro lado, los participantes debían indicar “qué tan consistentes” eran los enunciados con respecto a lo que dijo el segundo hablante. La consistencia se evaluó en una escala de 1 a 7, donde 1 era “completamente inconsistente” y 7 “Completamente consistente”.  De este modo, los participantes evaluaron cada situación de dos maneras, para un total de 14 respuestas. Las situaciones fueron presentadas de forma aleatoria y secuencial y el tipo de evaluación también fue aleatorizado por situación. En la figura 1 se presenta un ejemplo de una de las situaciones con las dos formas evaluación de la ambigüedad. </w:t>
      </w:r>
      <w:r w:rsidRPr="006008A0">
        <w:tab/>
      </w:r>
    </w:p>
    <w:tbl>
      <w:tblPr>
        <w:tblStyle w:val="Tablaconcuadrcula"/>
        <w:tblW w:w="0" w:type="auto"/>
        <w:tblBorders>
          <w:insideH w:val="none" w:sz="0" w:space="0" w:color="auto"/>
        </w:tblBorders>
        <w:tblLook w:val="0480" w:firstRow="0" w:lastRow="0" w:firstColumn="1" w:lastColumn="0" w:noHBand="0" w:noVBand="1"/>
      </w:tblPr>
      <w:tblGrid>
        <w:gridCol w:w="8501"/>
      </w:tblGrid>
      <w:tr w:rsidR="00C92620" w:rsidRPr="006008A0" w14:paraId="2C8A3375" w14:textId="77777777" w:rsidTr="00EE7DCE">
        <w:tc>
          <w:tcPr>
            <w:tcW w:w="9245" w:type="dxa"/>
          </w:tcPr>
          <w:p w14:paraId="64B91C94" w14:textId="77777777" w:rsidR="00C92620" w:rsidRPr="006008A0" w:rsidRDefault="00C92620" w:rsidP="00AD1FD3">
            <w:pPr>
              <w:spacing w:line="360" w:lineRule="auto"/>
              <w:rPr>
                <w:noProof/>
              </w:rPr>
            </w:pPr>
            <w:r w:rsidRPr="006008A0">
              <w:rPr>
                <w:noProof/>
                <w:lang w:val="es-ES" w:eastAsia="es-ES"/>
              </w:rPr>
              <w:drawing>
                <wp:inline distT="0" distB="0" distL="0" distR="0" wp14:anchorId="7359B538" wp14:editId="66960467">
                  <wp:extent cx="2778125" cy="1879600"/>
                  <wp:effectExtent l="0" t="0" r="317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3743" t="8506" r="33507" b="24751"/>
                          <a:stretch/>
                        </pic:blipFill>
                        <pic:spPr bwMode="auto">
                          <a:xfrm>
                            <a:off x="0" y="0"/>
                            <a:ext cx="2798059" cy="1893087"/>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6008A0">
              <w:rPr>
                <w:noProof/>
              </w:rPr>
              <w:t xml:space="preserve"> </w:t>
            </w:r>
            <w:r w:rsidRPr="006008A0">
              <w:rPr>
                <w:noProof/>
                <w:lang w:val="es-ES" w:eastAsia="es-ES"/>
              </w:rPr>
              <w:drawing>
                <wp:inline distT="0" distB="0" distL="0" distR="0" wp14:anchorId="74C1154D" wp14:editId="60BE01D1">
                  <wp:extent cx="2274191" cy="16665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3312" t="14831" r="23054" b="15299"/>
                          <a:stretch/>
                        </pic:blipFill>
                        <pic:spPr bwMode="auto">
                          <a:xfrm>
                            <a:off x="0" y="0"/>
                            <a:ext cx="2290114" cy="1678244"/>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r>
      <w:tr w:rsidR="00C92620" w:rsidRPr="006008A0" w14:paraId="0188ACCC" w14:textId="77777777" w:rsidTr="00EE7DCE">
        <w:tc>
          <w:tcPr>
            <w:tcW w:w="9245" w:type="dxa"/>
          </w:tcPr>
          <w:p w14:paraId="4CE4D33D" w14:textId="77777777" w:rsidR="00C92620" w:rsidRPr="006008A0" w:rsidRDefault="00C92620" w:rsidP="00AD1FD3">
            <w:pPr>
              <w:spacing w:line="360" w:lineRule="auto"/>
            </w:pPr>
            <w:r w:rsidRPr="006008A0">
              <w:t>A</w:t>
            </w:r>
            <w:r w:rsidRPr="006008A0">
              <w:tab/>
            </w:r>
            <w:r w:rsidRPr="006008A0">
              <w:tab/>
            </w:r>
            <w:r w:rsidRPr="006008A0">
              <w:tab/>
            </w:r>
            <w:r w:rsidRPr="006008A0">
              <w:tab/>
            </w:r>
            <w:r w:rsidRPr="006008A0">
              <w:tab/>
            </w:r>
            <w:r w:rsidRPr="006008A0">
              <w:tab/>
              <w:t>B</w:t>
            </w:r>
          </w:p>
        </w:tc>
      </w:tr>
    </w:tbl>
    <w:p w14:paraId="2F5A5001" w14:textId="2FE6D6E1" w:rsidR="00C92620" w:rsidRPr="006008A0" w:rsidRDefault="00C92620" w:rsidP="00641334">
      <w:pPr>
        <w:spacing w:line="360" w:lineRule="auto"/>
        <w:jc w:val="center"/>
      </w:pPr>
      <w:r>
        <w:rPr>
          <w:b/>
          <w:bCs/>
        </w:rPr>
        <w:t xml:space="preserve">Figura </w:t>
      </w:r>
      <w:r w:rsidRPr="00641334">
        <w:rPr>
          <w:b/>
          <w:bCs/>
        </w:rPr>
        <w:t>1</w:t>
      </w:r>
      <w:r w:rsidRPr="006008A0">
        <w:t>. Facsímil de uno de los ítems usados. El panel A corresponde a la evaluación por medio del ordenamiento de oraciones y el panel B corresponde a la evaluación de consistencia.</w:t>
      </w:r>
    </w:p>
    <w:p w14:paraId="547D8712" w14:textId="4CAA9E5D" w:rsidR="00C92620" w:rsidRPr="005442FB" w:rsidRDefault="00C92620" w:rsidP="00E62416">
      <w:pPr>
        <w:pStyle w:val="Ttulo4"/>
        <w:numPr>
          <w:ilvl w:val="1"/>
          <w:numId w:val="7"/>
        </w:numPr>
        <w:spacing w:after="0" w:line="360" w:lineRule="auto"/>
        <w:rPr>
          <w:b/>
          <w:bCs/>
          <w:iCs/>
          <w:color w:val="auto"/>
        </w:rPr>
      </w:pPr>
      <w:bookmarkStart w:id="7" w:name="_Toc525207640"/>
      <w:r w:rsidRPr="005442FB">
        <w:rPr>
          <w:b/>
          <w:bCs/>
          <w:iCs/>
          <w:color w:val="auto"/>
        </w:rPr>
        <w:t>Resultados</w:t>
      </w:r>
      <w:bookmarkEnd w:id="7"/>
      <w:r w:rsidRPr="005442FB">
        <w:rPr>
          <w:b/>
          <w:bCs/>
          <w:iCs/>
          <w:color w:val="auto"/>
        </w:rPr>
        <w:t xml:space="preserve"> </w:t>
      </w:r>
      <w:r w:rsidR="0065448A">
        <w:rPr>
          <w:b/>
          <w:bCs/>
          <w:iCs/>
          <w:color w:val="auto"/>
        </w:rPr>
        <w:t>Estudio</w:t>
      </w:r>
      <w:r w:rsidR="0065448A" w:rsidRPr="005442FB">
        <w:rPr>
          <w:b/>
          <w:bCs/>
          <w:iCs/>
          <w:color w:val="auto"/>
        </w:rPr>
        <w:t xml:space="preserve"> </w:t>
      </w:r>
      <w:r w:rsidRPr="005442FB">
        <w:rPr>
          <w:b/>
          <w:bCs/>
          <w:iCs/>
          <w:color w:val="auto"/>
        </w:rPr>
        <w:t>1</w:t>
      </w:r>
    </w:p>
    <w:p w14:paraId="69E7433B" w14:textId="756D0B5B" w:rsidR="00C92620" w:rsidRPr="006008A0" w:rsidRDefault="00C92620" w:rsidP="00681E3D">
      <w:pPr>
        <w:spacing w:line="360" w:lineRule="auto"/>
        <w:ind w:firstLine="720"/>
        <w:jc w:val="both"/>
      </w:pPr>
      <w:r w:rsidRPr="006008A0">
        <w:t xml:space="preserve">En primer lugar, se presenta el análisis del ordenamiento de oraciones. Los participantes eligieron de forma consistente la oración que expresaba la desambiguación perspectiva sobre la referencial para todas las oraciones (ver Tablas 1 y 2) con independencia del tipo de verbo. La </w:t>
      </w:r>
      <w:r w:rsidR="00295D12">
        <w:t>T</w:t>
      </w:r>
      <w:r w:rsidRPr="006008A0">
        <w:t>abla 1 muestra las frecuencias de elección con respecto a cada opción. Se puede observar que</w:t>
      </w:r>
      <w:r w:rsidR="002879E7">
        <w:t>,</w:t>
      </w:r>
      <w:r w:rsidRPr="006008A0">
        <w:t xml:space="preserve"> si bien la opción perspectiva es elegida por la mayoría de</w:t>
      </w:r>
      <w:r w:rsidR="00AE79D6">
        <w:t xml:space="preserve"> los</w:t>
      </w:r>
      <w:r w:rsidRPr="006008A0">
        <w:t xml:space="preserve"> participantes, hay un porcentaje importante de respuestas de elección del enunciado referencial. </w:t>
      </w:r>
    </w:p>
    <w:p w14:paraId="069082BC" w14:textId="0291EB50" w:rsidR="00C92620" w:rsidRPr="006008A0" w:rsidRDefault="00C92620" w:rsidP="00681E3D">
      <w:pPr>
        <w:spacing w:line="360" w:lineRule="auto"/>
        <w:ind w:firstLine="720"/>
        <w:jc w:val="both"/>
      </w:pPr>
      <w:r w:rsidRPr="006008A0">
        <w:t xml:space="preserve">Así, para los enunciados con el verbo ‘saber’, el 37% de las respuestas fue a favor del enunciado referencial. Para el caso de ‘creer’ estas respuestas constituyen el 10% del total. Estos casos tienen explicaciones distintas. ‘Saber’ tiene un carácter factitivo: si uno sabe que p, entonces p. Este rasgo no lo comparten ‘creer’ ni ‘tener la intención de’. </w:t>
      </w:r>
    </w:p>
    <w:p w14:paraId="44F73968" w14:textId="5B62218C" w:rsidR="00C92620" w:rsidRPr="006008A0" w:rsidRDefault="00C92620" w:rsidP="00AD1FD3">
      <w:pPr>
        <w:spacing w:line="360" w:lineRule="auto"/>
      </w:pPr>
    </w:p>
    <w:p w14:paraId="4F46BB32" w14:textId="54D7F0AA" w:rsidR="00C92620" w:rsidRPr="006008A0" w:rsidRDefault="00C92620" w:rsidP="000D1C89">
      <w:pPr>
        <w:spacing w:line="360" w:lineRule="auto"/>
        <w:jc w:val="center"/>
      </w:pPr>
      <w:r w:rsidRPr="000D1C89">
        <w:rPr>
          <w:b/>
          <w:bCs/>
        </w:rPr>
        <w:t>Tabla 1</w:t>
      </w:r>
      <w:r w:rsidRPr="006008A0">
        <w:t>. Frecuencias de elección por verbo</w:t>
      </w:r>
    </w:p>
    <w:tbl>
      <w:tblPr>
        <w:tblW w:w="8352" w:type="dxa"/>
        <w:jc w:val="center"/>
        <w:tblCellMar>
          <w:left w:w="70" w:type="dxa"/>
          <w:right w:w="70" w:type="dxa"/>
        </w:tblCellMar>
        <w:tblLook w:val="04A0" w:firstRow="1" w:lastRow="0" w:firstColumn="1" w:lastColumn="0" w:noHBand="0" w:noVBand="1"/>
      </w:tblPr>
      <w:tblGrid>
        <w:gridCol w:w="1490"/>
        <w:gridCol w:w="1084"/>
        <w:gridCol w:w="1404"/>
        <w:gridCol w:w="1260"/>
        <w:gridCol w:w="1193"/>
        <w:gridCol w:w="1170"/>
        <w:gridCol w:w="751"/>
      </w:tblGrid>
      <w:tr w:rsidR="00C92620" w:rsidRPr="006008A0" w14:paraId="148FF83C" w14:textId="77777777" w:rsidTr="00681E3D">
        <w:trPr>
          <w:trHeight w:val="320"/>
          <w:jc w:val="center"/>
        </w:trPr>
        <w:tc>
          <w:tcPr>
            <w:tcW w:w="1490" w:type="dxa"/>
            <w:tcBorders>
              <w:top w:val="single" w:sz="4" w:space="0" w:color="auto"/>
              <w:left w:val="nil"/>
              <w:bottom w:val="single" w:sz="4" w:space="0" w:color="auto"/>
              <w:right w:val="nil"/>
            </w:tcBorders>
          </w:tcPr>
          <w:p w14:paraId="5788229B" w14:textId="4427AE75" w:rsidR="00C92620" w:rsidRPr="00AD1FD3" w:rsidRDefault="00C92620" w:rsidP="00AD1FD3">
            <w:pPr>
              <w:spacing w:line="360" w:lineRule="auto"/>
              <w:rPr>
                <w:b/>
                <w:bCs/>
                <w:color w:val="000000"/>
                <w:sz w:val="20"/>
                <w:szCs w:val="20"/>
              </w:rPr>
            </w:pPr>
            <w:r w:rsidRPr="00AD1FD3">
              <w:rPr>
                <w:b/>
                <w:bCs/>
                <w:color w:val="000000"/>
                <w:sz w:val="20"/>
                <w:szCs w:val="20"/>
              </w:rPr>
              <w:t>Tipo de verbo</w:t>
            </w:r>
          </w:p>
        </w:tc>
        <w:tc>
          <w:tcPr>
            <w:tcW w:w="1084" w:type="dxa"/>
            <w:tcBorders>
              <w:top w:val="single" w:sz="4" w:space="0" w:color="auto"/>
              <w:left w:val="nil"/>
              <w:bottom w:val="single" w:sz="4" w:space="0" w:color="auto"/>
              <w:right w:val="nil"/>
            </w:tcBorders>
            <w:shd w:val="clear" w:color="auto" w:fill="auto"/>
            <w:noWrap/>
            <w:vAlign w:val="bottom"/>
            <w:hideMark/>
          </w:tcPr>
          <w:p w14:paraId="67885264" w14:textId="70ACA42C" w:rsidR="00C92620" w:rsidRPr="00AD1FD3" w:rsidRDefault="00C92620" w:rsidP="00AD1FD3">
            <w:pPr>
              <w:spacing w:line="360" w:lineRule="auto"/>
              <w:rPr>
                <w:b/>
                <w:bCs/>
                <w:color w:val="000000"/>
                <w:sz w:val="20"/>
                <w:szCs w:val="20"/>
              </w:rPr>
            </w:pPr>
            <w:r w:rsidRPr="00AD1FD3">
              <w:rPr>
                <w:b/>
                <w:bCs/>
                <w:color w:val="000000"/>
                <w:sz w:val="20"/>
                <w:szCs w:val="20"/>
              </w:rPr>
              <w:t>Verbo*</w:t>
            </w:r>
          </w:p>
        </w:tc>
        <w:tc>
          <w:tcPr>
            <w:tcW w:w="1404" w:type="dxa"/>
            <w:tcBorders>
              <w:top w:val="single" w:sz="4" w:space="0" w:color="auto"/>
              <w:left w:val="nil"/>
              <w:bottom w:val="single" w:sz="4" w:space="0" w:color="auto"/>
              <w:right w:val="nil"/>
            </w:tcBorders>
            <w:shd w:val="clear" w:color="auto" w:fill="auto"/>
            <w:noWrap/>
            <w:vAlign w:val="center"/>
            <w:hideMark/>
          </w:tcPr>
          <w:p w14:paraId="34CDE90A" w14:textId="4FC3823D" w:rsidR="00C92620" w:rsidRPr="00AD1FD3" w:rsidRDefault="00C92620" w:rsidP="00AD1FD3">
            <w:pPr>
              <w:spacing w:line="360" w:lineRule="auto"/>
              <w:rPr>
                <w:b/>
                <w:bCs/>
                <w:color w:val="000000"/>
                <w:sz w:val="20"/>
                <w:szCs w:val="20"/>
              </w:rPr>
            </w:pPr>
            <w:r w:rsidRPr="00AD1FD3">
              <w:rPr>
                <w:b/>
                <w:bCs/>
                <w:color w:val="000000"/>
                <w:sz w:val="20"/>
                <w:szCs w:val="20"/>
                <w:lang w:val="en-US" w:eastAsia="en-US"/>
              </w:rPr>
              <w:t xml:space="preserve"> Perspectiva   </w:t>
            </w:r>
          </w:p>
        </w:tc>
        <w:tc>
          <w:tcPr>
            <w:tcW w:w="1260" w:type="dxa"/>
            <w:tcBorders>
              <w:top w:val="single" w:sz="4" w:space="0" w:color="auto"/>
              <w:left w:val="nil"/>
              <w:bottom w:val="single" w:sz="4" w:space="0" w:color="auto"/>
              <w:right w:val="nil"/>
            </w:tcBorders>
            <w:shd w:val="clear" w:color="auto" w:fill="auto"/>
            <w:noWrap/>
            <w:vAlign w:val="center"/>
            <w:hideMark/>
          </w:tcPr>
          <w:p w14:paraId="5A720584" w14:textId="60642C55" w:rsidR="00C92620" w:rsidRPr="00AD1FD3" w:rsidRDefault="00C92620" w:rsidP="00AD1FD3">
            <w:pPr>
              <w:spacing w:line="360" w:lineRule="auto"/>
              <w:rPr>
                <w:b/>
                <w:bCs/>
                <w:color w:val="000000"/>
                <w:sz w:val="20"/>
                <w:szCs w:val="20"/>
              </w:rPr>
            </w:pPr>
            <w:r w:rsidRPr="00AD1FD3">
              <w:rPr>
                <w:b/>
                <w:bCs/>
                <w:color w:val="000000"/>
                <w:sz w:val="20"/>
                <w:szCs w:val="20"/>
                <w:lang w:eastAsia="en-US"/>
              </w:rPr>
              <w:t>Referencial</w:t>
            </w:r>
          </w:p>
        </w:tc>
        <w:tc>
          <w:tcPr>
            <w:tcW w:w="1193" w:type="dxa"/>
            <w:tcBorders>
              <w:top w:val="single" w:sz="4" w:space="0" w:color="auto"/>
              <w:left w:val="nil"/>
              <w:bottom w:val="single" w:sz="4" w:space="0" w:color="auto"/>
              <w:right w:val="nil"/>
            </w:tcBorders>
            <w:shd w:val="clear" w:color="auto" w:fill="auto"/>
            <w:noWrap/>
            <w:vAlign w:val="center"/>
            <w:hideMark/>
          </w:tcPr>
          <w:p w14:paraId="634A6D78" w14:textId="248C31F1" w:rsidR="00C92620" w:rsidRPr="00AD1FD3" w:rsidRDefault="00C92620" w:rsidP="00AD1FD3">
            <w:pPr>
              <w:spacing w:line="360" w:lineRule="auto"/>
              <w:rPr>
                <w:b/>
                <w:bCs/>
                <w:color w:val="000000"/>
                <w:sz w:val="20"/>
                <w:szCs w:val="20"/>
              </w:rPr>
            </w:pPr>
            <w:r w:rsidRPr="00AD1FD3">
              <w:rPr>
                <w:b/>
                <w:bCs/>
                <w:color w:val="000000"/>
                <w:sz w:val="20"/>
                <w:szCs w:val="20"/>
                <w:lang w:eastAsia="en-US"/>
              </w:rPr>
              <w:t xml:space="preserve"> Distractor</w:t>
            </w:r>
          </w:p>
        </w:tc>
        <w:tc>
          <w:tcPr>
            <w:tcW w:w="1170" w:type="dxa"/>
            <w:tcBorders>
              <w:top w:val="single" w:sz="4" w:space="0" w:color="auto"/>
              <w:left w:val="nil"/>
              <w:bottom w:val="single" w:sz="4" w:space="0" w:color="auto"/>
              <w:right w:val="nil"/>
            </w:tcBorders>
            <w:shd w:val="clear" w:color="auto" w:fill="auto"/>
            <w:noWrap/>
            <w:vAlign w:val="center"/>
            <w:hideMark/>
          </w:tcPr>
          <w:p w14:paraId="48F62F06" w14:textId="77777777" w:rsidR="00C92620" w:rsidRPr="00AD1FD3" w:rsidRDefault="00C92620" w:rsidP="00AD1FD3">
            <w:pPr>
              <w:spacing w:line="360" w:lineRule="auto"/>
              <w:rPr>
                <w:b/>
                <w:bCs/>
                <w:sz w:val="20"/>
                <w:szCs w:val="20"/>
              </w:rPr>
            </w:pPr>
            <w:r w:rsidRPr="00AD1FD3">
              <w:rPr>
                <w:b/>
                <w:bCs/>
                <w:sz w:val="20"/>
                <w:szCs w:val="20"/>
              </w:rPr>
              <w:t xml:space="preserve">χ² </w:t>
            </w:r>
          </w:p>
        </w:tc>
        <w:tc>
          <w:tcPr>
            <w:tcW w:w="751" w:type="dxa"/>
            <w:tcBorders>
              <w:top w:val="single" w:sz="4" w:space="0" w:color="auto"/>
              <w:left w:val="nil"/>
              <w:bottom w:val="single" w:sz="4" w:space="0" w:color="auto"/>
              <w:right w:val="nil"/>
            </w:tcBorders>
            <w:shd w:val="clear" w:color="auto" w:fill="auto"/>
            <w:noWrap/>
            <w:vAlign w:val="bottom"/>
            <w:hideMark/>
          </w:tcPr>
          <w:p w14:paraId="2776D32C" w14:textId="77777777" w:rsidR="00C92620" w:rsidRPr="00AD1FD3" w:rsidRDefault="00C92620" w:rsidP="00AD1FD3">
            <w:pPr>
              <w:spacing w:line="360" w:lineRule="auto"/>
              <w:rPr>
                <w:b/>
                <w:bCs/>
                <w:sz w:val="20"/>
                <w:szCs w:val="20"/>
              </w:rPr>
            </w:pPr>
            <w:r w:rsidRPr="00AD1FD3">
              <w:rPr>
                <w:b/>
                <w:bCs/>
                <w:sz w:val="20"/>
                <w:szCs w:val="20"/>
              </w:rPr>
              <w:t>η²</w:t>
            </w:r>
          </w:p>
        </w:tc>
      </w:tr>
      <w:tr w:rsidR="00C92620" w:rsidRPr="006008A0" w14:paraId="071AB848" w14:textId="77777777" w:rsidTr="00681E3D">
        <w:trPr>
          <w:trHeight w:val="320"/>
          <w:jc w:val="center"/>
        </w:trPr>
        <w:tc>
          <w:tcPr>
            <w:tcW w:w="1490" w:type="dxa"/>
            <w:tcBorders>
              <w:top w:val="nil"/>
              <w:left w:val="nil"/>
              <w:bottom w:val="nil"/>
              <w:right w:val="nil"/>
            </w:tcBorders>
          </w:tcPr>
          <w:p w14:paraId="6CAF27A1" w14:textId="0B3A5F23" w:rsidR="00C92620" w:rsidRPr="00AD1FD3" w:rsidRDefault="00C92620" w:rsidP="00AD1FD3">
            <w:pPr>
              <w:spacing w:line="360" w:lineRule="auto"/>
              <w:rPr>
                <w:color w:val="000000"/>
                <w:sz w:val="20"/>
                <w:szCs w:val="20"/>
              </w:rPr>
            </w:pPr>
            <w:r w:rsidRPr="00AD1FD3">
              <w:rPr>
                <w:color w:val="000000"/>
                <w:sz w:val="20"/>
                <w:szCs w:val="20"/>
              </w:rPr>
              <w:t>Epistémico</w:t>
            </w:r>
          </w:p>
        </w:tc>
        <w:tc>
          <w:tcPr>
            <w:tcW w:w="1084" w:type="dxa"/>
            <w:tcBorders>
              <w:top w:val="nil"/>
              <w:left w:val="nil"/>
              <w:right w:val="nil"/>
            </w:tcBorders>
            <w:shd w:val="clear" w:color="auto" w:fill="auto"/>
            <w:noWrap/>
            <w:vAlign w:val="bottom"/>
            <w:hideMark/>
          </w:tcPr>
          <w:p w14:paraId="6486B25B" w14:textId="1CA4787D" w:rsidR="00C92620" w:rsidRPr="00AD1FD3" w:rsidRDefault="00C92620" w:rsidP="00AD1FD3">
            <w:pPr>
              <w:spacing w:line="360" w:lineRule="auto"/>
              <w:rPr>
                <w:color w:val="000000"/>
                <w:sz w:val="20"/>
                <w:szCs w:val="20"/>
              </w:rPr>
            </w:pPr>
            <w:r w:rsidRPr="00AD1FD3">
              <w:rPr>
                <w:color w:val="000000"/>
                <w:sz w:val="20"/>
                <w:szCs w:val="20"/>
              </w:rPr>
              <w:t>Creer</w:t>
            </w:r>
          </w:p>
        </w:tc>
        <w:tc>
          <w:tcPr>
            <w:tcW w:w="1404" w:type="dxa"/>
            <w:tcBorders>
              <w:top w:val="nil"/>
              <w:left w:val="nil"/>
              <w:right w:val="nil"/>
            </w:tcBorders>
            <w:shd w:val="clear" w:color="auto" w:fill="auto"/>
            <w:noWrap/>
            <w:vAlign w:val="bottom"/>
            <w:hideMark/>
          </w:tcPr>
          <w:p w14:paraId="1122830E" w14:textId="53E56581" w:rsidR="00C92620" w:rsidRPr="00AD1FD3" w:rsidRDefault="00C76937" w:rsidP="00AD1FD3">
            <w:pPr>
              <w:spacing w:line="360" w:lineRule="auto"/>
              <w:rPr>
                <w:color w:val="000000"/>
                <w:sz w:val="20"/>
                <w:szCs w:val="20"/>
              </w:rPr>
            </w:pPr>
            <w:r>
              <w:rPr>
                <w:color w:val="000000"/>
                <w:sz w:val="20"/>
                <w:szCs w:val="20"/>
              </w:rPr>
              <w:t>31</w:t>
            </w:r>
          </w:p>
        </w:tc>
        <w:tc>
          <w:tcPr>
            <w:tcW w:w="1260" w:type="dxa"/>
            <w:tcBorders>
              <w:top w:val="nil"/>
              <w:left w:val="nil"/>
              <w:right w:val="nil"/>
            </w:tcBorders>
            <w:shd w:val="clear" w:color="auto" w:fill="auto"/>
            <w:noWrap/>
            <w:vAlign w:val="bottom"/>
            <w:hideMark/>
          </w:tcPr>
          <w:p w14:paraId="740A6C66" w14:textId="58E4CAB0" w:rsidR="00C92620" w:rsidRPr="00AD1FD3" w:rsidRDefault="00C76937" w:rsidP="00AD1FD3">
            <w:pPr>
              <w:spacing w:line="360" w:lineRule="auto"/>
              <w:rPr>
                <w:color w:val="000000"/>
                <w:sz w:val="20"/>
                <w:szCs w:val="20"/>
              </w:rPr>
            </w:pPr>
            <w:r>
              <w:rPr>
                <w:color w:val="000000"/>
                <w:sz w:val="20"/>
                <w:szCs w:val="20"/>
              </w:rPr>
              <w:t>13</w:t>
            </w:r>
          </w:p>
        </w:tc>
        <w:tc>
          <w:tcPr>
            <w:tcW w:w="1193" w:type="dxa"/>
            <w:tcBorders>
              <w:top w:val="nil"/>
              <w:left w:val="nil"/>
              <w:right w:val="nil"/>
            </w:tcBorders>
            <w:shd w:val="clear" w:color="auto" w:fill="auto"/>
            <w:noWrap/>
            <w:vAlign w:val="bottom"/>
            <w:hideMark/>
          </w:tcPr>
          <w:p w14:paraId="4EED8DB9" w14:textId="7DAD2D12" w:rsidR="00C92620" w:rsidRPr="00AD1FD3" w:rsidRDefault="00C92620" w:rsidP="00AD1FD3">
            <w:pPr>
              <w:spacing w:line="360" w:lineRule="auto"/>
              <w:rPr>
                <w:color w:val="000000"/>
                <w:sz w:val="20"/>
                <w:szCs w:val="20"/>
              </w:rPr>
            </w:pPr>
            <w:r w:rsidRPr="00AD1FD3">
              <w:rPr>
                <w:color w:val="000000"/>
                <w:sz w:val="20"/>
                <w:szCs w:val="20"/>
              </w:rPr>
              <w:t>1</w:t>
            </w:r>
          </w:p>
        </w:tc>
        <w:tc>
          <w:tcPr>
            <w:tcW w:w="1170" w:type="dxa"/>
            <w:tcBorders>
              <w:top w:val="nil"/>
              <w:left w:val="nil"/>
              <w:right w:val="nil"/>
            </w:tcBorders>
            <w:shd w:val="clear" w:color="auto" w:fill="auto"/>
            <w:noWrap/>
            <w:vAlign w:val="bottom"/>
            <w:hideMark/>
          </w:tcPr>
          <w:p w14:paraId="0D06A558" w14:textId="4046F61A" w:rsidR="00C92620" w:rsidRPr="00AD1FD3" w:rsidRDefault="00CC434A" w:rsidP="00AD1FD3">
            <w:pPr>
              <w:spacing w:line="360" w:lineRule="auto"/>
              <w:rPr>
                <w:color w:val="000000"/>
                <w:sz w:val="20"/>
                <w:szCs w:val="20"/>
              </w:rPr>
            </w:pPr>
            <w:r>
              <w:rPr>
                <w:color w:val="000000"/>
                <w:sz w:val="20"/>
                <w:szCs w:val="20"/>
              </w:rPr>
              <w:t>36</w:t>
            </w:r>
            <w:r w:rsidR="00C92620" w:rsidRPr="00AD1FD3">
              <w:rPr>
                <w:color w:val="000000"/>
                <w:sz w:val="20"/>
                <w:szCs w:val="20"/>
              </w:rPr>
              <w:t>.</w:t>
            </w:r>
            <w:r>
              <w:rPr>
                <w:color w:val="000000"/>
                <w:sz w:val="20"/>
                <w:szCs w:val="20"/>
              </w:rPr>
              <w:t>10</w:t>
            </w:r>
          </w:p>
        </w:tc>
        <w:tc>
          <w:tcPr>
            <w:tcW w:w="751" w:type="dxa"/>
            <w:tcBorders>
              <w:top w:val="nil"/>
              <w:left w:val="nil"/>
              <w:right w:val="nil"/>
            </w:tcBorders>
            <w:shd w:val="clear" w:color="auto" w:fill="auto"/>
            <w:noWrap/>
            <w:vAlign w:val="bottom"/>
            <w:hideMark/>
          </w:tcPr>
          <w:p w14:paraId="5301CCCD" w14:textId="41E8A546" w:rsidR="00C92620" w:rsidRPr="00AD1FD3" w:rsidRDefault="00C92620" w:rsidP="00AD1FD3">
            <w:pPr>
              <w:spacing w:line="360" w:lineRule="auto"/>
              <w:rPr>
                <w:color w:val="000000"/>
                <w:sz w:val="20"/>
                <w:szCs w:val="20"/>
              </w:rPr>
            </w:pPr>
            <w:r w:rsidRPr="00AD1FD3">
              <w:rPr>
                <w:color w:val="000000"/>
                <w:sz w:val="20"/>
                <w:szCs w:val="20"/>
              </w:rPr>
              <w:t>0,</w:t>
            </w:r>
            <w:r w:rsidR="00CC434A">
              <w:rPr>
                <w:color w:val="000000"/>
                <w:sz w:val="20"/>
                <w:szCs w:val="20"/>
              </w:rPr>
              <w:t>79</w:t>
            </w:r>
          </w:p>
        </w:tc>
      </w:tr>
      <w:tr w:rsidR="00C92620" w:rsidRPr="006008A0" w14:paraId="04D300C1" w14:textId="77777777" w:rsidTr="00681E3D">
        <w:trPr>
          <w:trHeight w:val="320"/>
          <w:jc w:val="center"/>
        </w:trPr>
        <w:tc>
          <w:tcPr>
            <w:tcW w:w="1490" w:type="dxa"/>
            <w:tcBorders>
              <w:top w:val="nil"/>
              <w:left w:val="nil"/>
              <w:bottom w:val="nil"/>
              <w:right w:val="nil"/>
            </w:tcBorders>
          </w:tcPr>
          <w:p w14:paraId="33E64E66" w14:textId="77777777" w:rsidR="00C92620" w:rsidRPr="00AD1FD3" w:rsidRDefault="00C92620" w:rsidP="00AD1FD3">
            <w:pPr>
              <w:spacing w:line="360" w:lineRule="auto"/>
              <w:rPr>
                <w:color w:val="000000"/>
                <w:sz w:val="20"/>
                <w:szCs w:val="20"/>
              </w:rPr>
            </w:pPr>
          </w:p>
        </w:tc>
        <w:tc>
          <w:tcPr>
            <w:tcW w:w="1084" w:type="dxa"/>
            <w:tcBorders>
              <w:top w:val="nil"/>
              <w:left w:val="nil"/>
              <w:bottom w:val="single" w:sz="4" w:space="0" w:color="auto"/>
              <w:right w:val="nil"/>
            </w:tcBorders>
            <w:shd w:val="clear" w:color="auto" w:fill="auto"/>
            <w:noWrap/>
            <w:vAlign w:val="bottom"/>
            <w:hideMark/>
          </w:tcPr>
          <w:p w14:paraId="271C5389" w14:textId="16902BA0" w:rsidR="00C92620" w:rsidRPr="00AD1FD3" w:rsidRDefault="00C92620" w:rsidP="00AD1FD3">
            <w:pPr>
              <w:spacing w:line="360" w:lineRule="auto"/>
              <w:rPr>
                <w:color w:val="000000"/>
                <w:sz w:val="20"/>
                <w:szCs w:val="20"/>
              </w:rPr>
            </w:pPr>
            <w:r w:rsidRPr="00AD1FD3">
              <w:rPr>
                <w:color w:val="000000"/>
                <w:sz w:val="20"/>
                <w:szCs w:val="20"/>
              </w:rPr>
              <w:t>Saber</w:t>
            </w:r>
          </w:p>
        </w:tc>
        <w:tc>
          <w:tcPr>
            <w:tcW w:w="1404" w:type="dxa"/>
            <w:tcBorders>
              <w:top w:val="nil"/>
              <w:left w:val="nil"/>
              <w:bottom w:val="single" w:sz="4" w:space="0" w:color="auto"/>
              <w:right w:val="nil"/>
            </w:tcBorders>
            <w:shd w:val="clear" w:color="auto" w:fill="auto"/>
            <w:noWrap/>
            <w:vAlign w:val="bottom"/>
            <w:hideMark/>
          </w:tcPr>
          <w:p w14:paraId="7476CE21" w14:textId="0CAA2512" w:rsidR="00C92620" w:rsidRPr="00AD1FD3" w:rsidRDefault="00C76937" w:rsidP="00AD1FD3">
            <w:pPr>
              <w:spacing w:line="360" w:lineRule="auto"/>
              <w:rPr>
                <w:color w:val="000000"/>
                <w:sz w:val="20"/>
                <w:szCs w:val="20"/>
              </w:rPr>
            </w:pPr>
            <w:r>
              <w:rPr>
                <w:color w:val="000000"/>
                <w:sz w:val="20"/>
                <w:szCs w:val="20"/>
              </w:rPr>
              <w:t>29</w:t>
            </w:r>
          </w:p>
        </w:tc>
        <w:tc>
          <w:tcPr>
            <w:tcW w:w="1260" w:type="dxa"/>
            <w:tcBorders>
              <w:top w:val="nil"/>
              <w:left w:val="nil"/>
              <w:bottom w:val="single" w:sz="4" w:space="0" w:color="auto"/>
              <w:right w:val="nil"/>
            </w:tcBorders>
            <w:shd w:val="clear" w:color="auto" w:fill="auto"/>
            <w:noWrap/>
            <w:vAlign w:val="bottom"/>
            <w:hideMark/>
          </w:tcPr>
          <w:p w14:paraId="0CCEB217" w14:textId="2A2830B7" w:rsidR="00C92620" w:rsidRPr="00C76937" w:rsidRDefault="00CC434A" w:rsidP="00AD1FD3">
            <w:pPr>
              <w:spacing w:line="360" w:lineRule="auto"/>
              <w:rPr>
                <w:color w:val="000000"/>
                <w:sz w:val="20"/>
                <w:szCs w:val="20"/>
                <w:lang w:val="en-US"/>
              </w:rPr>
            </w:pPr>
            <w:r>
              <w:rPr>
                <w:color w:val="000000"/>
                <w:sz w:val="20"/>
                <w:szCs w:val="20"/>
              </w:rPr>
              <w:t>16</w:t>
            </w:r>
          </w:p>
        </w:tc>
        <w:tc>
          <w:tcPr>
            <w:tcW w:w="1193" w:type="dxa"/>
            <w:tcBorders>
              <w:top w:val="nil"/>
              <w:left w:val="nil"/>
              <w:bottom w:val="single" w:sz="4" w:space="0" w:color="auto"/>
              <w:right w:val="nil"/>
            </w:tcBorders>
            <w:shd w:val="clear" w:color="auto" w:fill="auto"/>
            <w:noWrap/>
            <w:vAlign w:val="bottom"/>
            <w:hideMark/>
          </w:tcPr>
          <w:p w14:paraId="7092D79F" w14:textId="77777777" w:rsidR="00C92620" w:rsidRPr="00AD1FD3" w:rsidRDefault="00C92620" w:rsidP="00AD1FD3">
            <w:pPr>
              <w:spacing w:line="360" w:lineRule="auto"/>
              <w:rPr>
                <w:color w:val="000000"/>
                <w:sz w:val="20"/>
                <w:szCs w:val="20"/>
              </w:rPr>
            </w:pPr>
            <w:r w:rsidRPr="00AD1FD3">
              <w:rPr>
                <w:color w:val="000000"/>
                <w:sz w:val="20"/>
                <w:szCs w:val="20"/>
              </w:rPr>
              <w:t>0</w:t>
            </w:r>
          </w:p>
        </w:tc>
        <w:tc>
          <w:tcPr>
            <w:tcW w:w="1170" w:type="dxa"/>
            <w:tcBorders>
              <w:top w:val="nil"/>
              <w:left w:val="nil"/>
              <w:bottom w:val="single" w:sz="4" w:space="0" w:color="auto"/>
              <w:right w:val="nil"/>
            </w:tcBorders>
            <w:shd w:val="clear" w:color="auto" w:fill="auto"/>
            <w:noWrap/>
            <w:vAlign w:val="bottom"/>
            <w:hideMark/>
          </w:tcPr>
          <w:p w14:paraId="221000E5" w14:textId="07079C2E" w:rsidR="00C92620" w:rsidRPr="00AD1FD3" w:rsidRDefault="00C92620" w:rsidP="00AD1FD3">
            <w:pPr>
              <w:spacing w:line="360" w:lineRule="auto"/>
              <w:rPr>
                <w:color w:val="000000"/>
                <w:sz w:val="20"/>
                <w:szCs w:val="20"/>
              </w:rPr>
            </w:pPr>
            <w:r w:rsidRPr="00AD1FD3">
              <w:rPr>
                <w:color w:val="000000"/>
                <w:sz w:val="20"/>
                <w:szCs w:val="20"/>
              </w:rPr>
              <w:t>14,25</w:t>
            </w:r>
          </w:p>
        </w:tc>
        <w:tc>
          <w:tcPr>
            <w:tcW w:w="751" w:type="dxa"/>
            <w:tcBorders>
              <w:top w:val="nil"/>
              <w:left w:val="nil"/>
              <w:bottom w:val="single" w:sz="4" w:space="0" w:color="auto"/>
              <w:right w:val="nil"/>
            </w:tcBorders>
            <w:shd w:val="clear" w:color="auto" w:fill="auto"/>
            <w:noWrap/>
            <w:vAlign w:val="bottom"/>
            <w:hideMark/>
          </w:tcPr>
          <w:p w14:paraId="5AFF0797" w14:textId="059A54E1" w:rsidR="00C92620" w:rsidRPr="00AD1FD3" w:rsidRDefault="00C92620" w:rsidP="00AD1FD3">
            <w:pPr>
              <w:spacing w:line="360" w:lineRule="auto"/>
              <w:rPr>
                <w:color w:val="000000"/>
                <w:sz w:val="20"/>
                <w:szCs w:val="20"/>
              </w:rPr>
            </w:pPr>
            <w:r w:rsidRPr="00AD1FD3">
              <w:rPr>
                <w:color w:val="000000"/>
                <w:sz w:val="20"/>
                <w:szCs w:val="20"/>
              </w:rPr>
              <w:t>0,5</w:t>
            </w:r>
            <w:r w:rsidR="00CC434A">
              <w:rPr>
                <w:color w:val="000000"/>
                <w:sz w:val="20"/>
                <w:szCs w:val="20"/>
              </w:rPr>
              <w:t>2</w:t>
            </w:r>
          </w:p>
        </w:tc>
      </w:tr>
      <w:tr w:rsidR="00C92620" w:rsidRPr="006008A0" w14:paraId="0116E905" w14:textId="77777777" w:rsidTr="00681E3D">
        <w:trPr>
          <w:trHeight w:val="320"/>
          <w:jc w:val="center"/>
        </w:trPr>
        <w:tc>
          <w:tcPr>
            <w:tcW w:w="1490" w:type="dxa"/>
            <w:vMerge w:val="restart"/>
            <w:tcBorders>
              <w:top w:val="nil"/>
              <w:left w:val="nil"/>
              <w:right w:val="nil"/>
            </w:tcBorders>
          </w:tcPr>
          <w:p w14:paraId="2785DC96" w14:textId="77777777" w:rsidR="00C92620" w:rsidRPr="00AD1FD3" w:rsidRDefault="00C92620" w:rsidP="00AD1FD3">
            <w:pPr>
              <w:spacing w:line="360" w:lineRule="auto"/>
              <w:rPr>
                <w:color w:val="000000"/>
                <w:sz w:val="20"/>
                <w:szCs w:val="20"/>
              </w:rPr>
            </w:pPr>
            <w:r w:rsidRPr="00AD1FD3">
              <w:rPr>
                <w:color w:val="000000"/>
                <w:sz w:val="20"/>
                <w:szCs w:val="20"/>
              </w:rPr>
              <w:t>Intención</w:t>
            </w:r>
          </w:p>
          <w:p w14:paraId="1BB4512B" w14:textId="70F2A3E1" w:rsidR="00C92620" w:rsidRPr="00AD1FD3" w:rsidRDefault="00C92620" w:rsidP="00AD1FD3">
            <w:pPr>
              <w:spacing w:line="360" w:lineRule="auto"/>
              <w:rPr>
                <w:color w:val="000000"/>
                <w:sz w:val="20"/>
                <w:szCs w:val="20"/>
              </w:rPr>
            </w:pPr>
            <w:r w:rsidRPr="00AD1FD3">
              <w:rPr>
                <w:color w:val="000000"/>
                <w:sz w:val="20"/>
                <w:szCs w:val="20"/>
                <w:lang w:val="en-US"/>
              </w:rPr>
              <w:t>/acci</w:t>
            </w:r>
            <w:r w:rsidRPr="00AD1FD3">
              <w:rPr>
                <w:color w:val="000000"/>
                <w:sz w:val="20"/>
                <w:szCs w:val="20"/>
              </w:rPr>
              <w:t>ón</w:t>
            </w:r>
          </w:p>
        </w:tc>
        <w:tc>
          <w:tcPr>
            <w:tcW w:w="1084" w:type="dxa"/>
            <w:tcBorders>
              <w:top w:val="single" w:sz="4" w:space="0" w:color="auto"/>
              <w:left w:val="nil"/>
              <w:bottom w:val="nil"/>
              <w:right w:val="nil"/>
            </w:tcBorders>
            <w:shd w:val="clear" w:color="auto" w:fill="auto"/>
            <w:noWrap/>
            <w:vAlign w:val="bottom"/>
            <w:hideMark/>
          </w:tcPr>
          <w:p w14:paraId="2DD097DF" w14:textId="255A7E84" w:rsidR="00C92620" w:rsidRPr="00AD1FD3" w:rsidRDefault="00C92620" w:rsidP="00AD1FD3">
            <w:pPr>
              <w:spacing w:line="360" w:lineRule="auto"/>
              <w:rPr>
                <w:color w:val="000000"/>
                <w:sz w:val="20"/>
                <w:szCs w:val="20"/>
              </w:rPr>
            </w:pPr>
            <w:r w:rsidRPr="00AD1FD3">
              <w:rPr>
                <w:color w:val="000000"/>
                <w:sz w:val="20"/>
                <w:szCs w:val="20"/>
              </w:rPr>
              <w:t>Querer</w:t>
            </w:r>
          </w:p>
        </w:tc>
        <w:tc>
          <w:tcPr>
            <w:tcW w:w="1404" w:type="dxa"/>
            <w:tcBorders>
              <w:top w:val="single" w:sz="4" w:space="0" w:color="auto"/>
              <w:left w:val="nil"/>
              <w:bottom w:val="nil"/>
              <w:right w:val="nil"/>
            </w:tcBorders>
            <w:shd w:val="clear" w:color="auto" w:fill="auto"/>
            <w:noWrap/>
            <w:vAlign w:val="bottom"/>
            <w:hideMark/>
          </w:tcPr>
          <w:p w14:paraId="7AC8BAB1" w14:textId="72C88D04" w:rsidR="00C92620" w:rsidRPr="00AD1FD3" w:rsidRDefault="00C76937" w:rsidP="00AD1FD3">
            <w:pPr>
              <w:spacing w:line="360" w:lineRule="auto"/>
              <w:rPr>
                <w:color w:val="000000"/>
                <w:sz w:val="20"/>
                <w:szCs w:val="20"/>
              </w:rPr>
            </w:pPr>
            <w:r>
              <w:rPr>
                <w:color w:val="000000"/>
                <w:sz w:val="20"/>
                <w:szCs w:val="20"/>
              </w:rPr>
              <w:t>43</w:t>
            </w:r>
          </w:p>
        </w:tc>
        <w:tc>
          <w:tcPr>
            <w:tcW w:w="1260" w:type="dxa"/>
            <w:tcBorders>
              <w:top w:val="single" w:sz="4" w:space="0" w:color="auto"/>
              <w:left w:val="nil"/>
              <w:bottom w:val="nil"/>
              <w:right w:val="nil"/>
            </w:tcBorders>
            <w:shd w:val="clear" w:color="auto" w:fill="auto"/>
            <w:noWrap/>
            <w:vAlign w:val="bottom"/>
            <w:hideMark/>
          </w:tcPr>
          <w:p w14:paraId="01AF0CAB" w14:textId="62E1AF59" w:rsidR="00C92620" w:rsidRPr="00AD1FD3" w:rsidRDefault="00CC434A" w:rsidP="00AD1FD3">
            <w:pPr>
              <w:spacing w:line="360" w:lineRule="auto"/>
              <w:rPr>
                <w:color w:val="000000"/>
                <w:sz w:val="20"/>
                <w:szCs w:val="20"/>
              </w:rPr>
            </w:pPr>
            <w:r>
              <w:rPr>
                <w:color w:val="000000"/>
                <w:sz w:val="20"/>
                <w:szCs w:val="20"/>
              </w:rPr>
              <w:t>2</w:t>
            </w:r>
          </w:p>
        </w:tc>
        <w:tc>
          <w:tcPr>
            <w:tcW w:w="1193" w:type="dxa"/>
            <w:tcBorders>
              <w:top w:val="single" w:sz="4" w:space="0" w:color="auto"/>
              <w:left w:val="nil"/>
              <w:bottom w:val="nil"/>
              <w:right w:val="nil"/>
            </w:tcBorders>
            <w:shd w:val="clear" w:color="auto" w:fill="auto"/>
            <w:noWrap/>
            <w:vAlign w:val="bottom"/>
            <w:hideMark/>
          </w:tcPr>
          <w:p w14:paraId="3385B30B" w14:textId="77777777" w:rsidR="00C92620" w:rsidRPr="00AD1FD3" w:rsidRDefault="00C92620" w:rsidP="00AD1FD3">
            <w:pPr>
              <w:spacing w:line="360" w:lineRule="auto"/>
              <w:rPr>
                <w:color w:val="000000"/>
                <w:sz w:val="20"/>
                <w:szCs w:val="20"/>
              </w:rPr>
            </w:pPr>
            <w:r w:rsidRPr="00AD1FD3">
              <w:rPr>
                <w:color w:val="000000"/>
                <w:sz w:val="20"/>
                <w:szCs w:val="20"/>
              </w:rPr>
              <w:t>0</w:t>
            </w:r>
          </w:p>
        </w:tc>
        <w:tc>
          <w:tcPr>
            <w:tcW w:w="1170" w:type="dxa"/>
            <w:tcBorders>
              <w:top w:val="single" w:sz="4" w:space="0" w:color="auto"/>
              <w:left w:val="nil"/>
              <w:bottom w:val="nil"/>
              <w:right w:val="nil"/>
            </w:tcBorders>
            <w:shd w:val="clear" w:color="auto" w:fill="auto"/>
            <w:noWrap/>
            <w:vAlign w:val="bottom"/>
            <w:hideMark/>
          </w:tcPr>
          <w:p w14:paraId="4D3D7EFA" w14:textId="682C1DE4" w:rsidR="00C92620" w:rsidRPr="00AD1FD3" w:rsidRDefault="00C92620" w:rsidP="00AD1FD3">
            <w:pPr>
              <w:spacing w:line="360" w:lineRule="auto"/>
              <w:rPr>
                <w:color w:val="000000"/>
                <w:sz w:val="20"/>
                <w:szCs w:val="20"/>
              </w:rPr>
            </w:pPr>
            <w:r w:rsidRPr="00AD1FD3">
              <w:rPr>
                <w:color w:val="000000"/>
                <w:sz w:val="20"/>
                <w:szCs w:val="20"/>
              </w:rPr>
              <w:t>37.00</w:t>
            </w:r>
          </w:p>
        </w:tc>
        <w:tc>
          <w:tcPr>
            <w:tcW w:w="751" w:type="dxa"/>
            <w:tcBorders>
              <w:top w:val="single" w:sz="4" w:space="0" w:color="auto"/>
              <w:left w:val="nil"/>
              <w:bottom w:val="nil"/>
              <w:right w:val="nil"/>
            </w:tcBorders>
            <w:shd w:val="clear" w:color="auto" w:fill="auto"/>
            <w:noWrap/>
            <w:vAlign w:val="bottom"/>
            <w:hideMark/>
          </w:tcPr>
          <w:p w14:paraId="4B3D1336" w14:textId="63768675" w:rsidR="00C92620" w:rsidRPr="00AD1FD3" w:rsidRDefault="00C92620" w:rsidP="00AD1FD3">
            <w:pPr>
              <w:spacing w:line="360" w:lineRule="auto"/>
              <w:rPr>
                <w:color w:val="000000"/>
                <w:sz w:val="20"/>
                <w:szCs w:val="20"/>
              </w:rPr>
            </w:pPr>
            <w:r w:rsidRPr="00AD1FD3">
              <w:rPr>
                <w:color w:val="000000"/>
                <w:sz w:val="20"/>
                <w:szCs w:val="20"/>
              </w:rPr>
              <w:t>0,8</w:t>
            </w:r>
            <w:r w:rsidR="00CC434A">
              <w:rPr>
                <w:color w:val="000000"/>
                <w:sz w:val="20"/>
                <w:szCs w:val="20"/>
              </w:rPr>
              <w:t>9</w:t>
            </w:r>
          </w:p>
        </w:tc>
      </w:tr>
      <w:tr w:rsidR="00C92620" w:rsidRPr="006008A0" w14:paraId="473AAD5C" w14:textId="77777777" w:rsidTr="00681E3D">
        <w:trPr>
          <w:trHeight w:val="320"/>
          <w:jc w:val="center"/>
        </w:trPr>
        <w:tc>
          <w:tcPr>
            <w:tcW w:w="1490" w:type="dxa"/>
            <w:vMerge/>
            <w:tcBorders>
              <w:left w:val="nil"/>
              <w:right w:val="nil"/>
            </w:tcBorders>
          </w:tcPr>
          <w:p w14:paraId="177EFF48" w14:textId="2FB87FE3" w:rsidR="00C92620" w:rsidRPr="00AD1FD3" w:rsidRDefault="00C92620" w:rsidP="00AD1FD3">
            <w:pPr>
              <w:spacing w:line="360" w:lineRule="auto"/>
              <w:rPr>
                <w:color w:val="000000"/>
                <w:sz w:val="20"/>
                <w:szCs w:val="20"/>
              </w:rPr>
            </w:pPr>
          </w:p>
        </w:tc>
        <w:tc>
          <w:tcPr>
            <w:tcW w:w="1084" w:type="dxa"/>
            <w:tcBorders>
              <w:top w:val="nil"/>
              <w:left w:val="nil"/>
              <w:bottom w:val="nil"/>
              <w:right w:val="nil"/>
            </w:tcBorders>
            <w:shd w:val="clear" w:color="auto" w:fill="auto"/>
            <w:noWrap/>
            <w:vAlign w:val="bottom"/>
            <w:hideMark/>
          </w:tcPr>
          <w:p w14:paraId="6144BFC0" w14:textId="6F9A8F79" w:rsidR="00C92620" w:rsidRPr="00AD1FD3" w:rsidRDefault="00C92620" w:rsidP="00AD1FD3">
            <w:pPr>
              <w:spacing w:line="360" w:lineRule="auto"/>
              <w:rPr>
                <w:color w:val="000000"/>
                <w:sz w:val="20"/>
                <w:szCs w:val="20"/>
              </w:rPr>
            </w:pPr>
            <w:r w:rsidRPr="00AD1FD3">
              <w:rPr>
                <w:color w:val="000000"/>
                <w:sz w:val="20"/>
                <w:szCs w:val="20"/>
              </w:rPr>
              <w:t>Intención</w:t>
            </w:r>
          </w:p>
        </w:tc>
        <w:tc>
          <w:tcPr>
            <w:tcW w:w="1404" w:type="dxa"/>
            <w:tcBorders>
              <w:top w:val="nil"/>
              <w:left w:val="nil"/>
              <w:bottom w:val="nil"/>
              <w:right w:val="nil"/>
            </w:tcBorders>
            <w:shd w:val="clear" w:color="auto" w:fill="auto"/>
            <w:noWrap/>
            <w:vAlign w:val="bottom"/>
            <w:hideMark/>
          </w:tcPr>
          <w:p w14:paraId="257D0224" w14:textId="3B03FF00" w:rsidR="00C92620" w:rsidRPr="00AD1FD3" w:rsidRDefault="00C76937" w:rsidP="00AD1FD3">
            <w:pPr>
              <w:spacing w:line="360" w:lineRule="auto"/>
              <w:rPr>
                <w:color w:val="000000"/>
                <w:sz w:val="20"/>
                <w:szCs w:val="20"/>
              </w:rPr>
            </w:pPr>
            <w:r>
              <w:rPr>
                <w:color w:val="000000"/>
                <w:sz w:val="20"/>
                <w:szCs w:val="20"/>
              </w:rPr>
              <w:t>44</w:t>
            </w:r>
          </w:p>
        </w:tc>
        <w:tc>
          <w:tcPr>
            <w:tcW w:w="1260" w:type="dxa"/>
            <w:tcBorders>
              <w:top w:val="nil"/>
              <w:left w:val="nil"/>
              <w:bottom w:val="nil"/>
              <w:right w:val="nil"/>
            </w:tcBorders>
            <w:shd w:val="clear" w:color="auto" w:fill="auto"/>
            <w:noWrap/>
            <w:vAlign w:val="bottom"/>
            <w:hideMark/>
          </w:tcPr>
          <w:p w14:paraId="47C7ED4E" w14:textId="77777777" w:rsidR="00C92620" w:rsidRPr="00AD1FD3" w:rsidRDefault="00C92620" w:rsidP="00AD1FD3">
            <w:pPr>
              <w:spacing w:line="360" w:lineRule="auto"/>
              <w:rPr>
                <w:color w:val="000000"/>
                <w:sz w:val="20"/>
                <w:szCs w:val="20"/>
              </w:rPr>
            </w:pPr>
            <w:r w:rsidRPr="00AD1FD3">
              <w:rPr>
                <w:color w:val="000000"/>
                <w:sz w:val="20"/>
                <w:szCs w:val="20"/>
              </w:rPr>
              <w:t>1</w:t>
            </w:r>
          </w:p>
        </w:tc>
        <w:tc>
          <w:tcPr>
            <w:tcW w:w="1193" w:type="dxa"/>
            <w:tcBorders>
              <w:top w:val="nil"/>
              <w:left w:val="nil"/>
              <w:bottom w:val="nil"/>
              <w:right w:val="nil"/>
            </w:tcBorders>
            <w:shd w:val="clear" w:color="auto" w:fill="auto"/>
            <w:noWrap/>
            <w:vAlign w:val="bottom"/>
            <w:hideMark/>
          </w:tcPr>
          <w:p w14:paraId="5BE79516" w14:textId="77777777" w:rsidR="00C92620" w:rsidRPr="00AD1FD3" w:rsidRDefault="00C92620" w:rsidP="00AD1FD3">
            <w:pPr>
              <w:spacing w:line="360" w:lineRule="auto"/>
              <w:rPr>
                <w:color w:val="000000"/>
                <w:sz w:val="20"/>
                <w:szCs w:val="20"/>
              </w:rPr>
            </w:pPr>
            <w:r w:rsidRPr="00AD1FD3">
              <w:rPr>
                <w:color w:val="000000"/>
                <w:sz w:val="20"/>
                <w:szCs w:val="20"/>
              </w:rPr>
              <w:t>0</w:t>
            </w:r>
          </w:p>
        </w:tc>
        <w:tc>
          <w:tcPr>
            <w:tcW w:w="1170" w:type="dxa"/>
            <w:tcBorders>
              <w:top w:val="nil"/>
              <w:left w:val="nil"/>
              <w:bottom w:val="nil"/>
              <w:right w:val="nil"/>
            </w:tcBorders>
            <w:shd w:val="clear" w:color="auto" w:fill="auto"/>
            <w:noWrap/>
            <w:vAlign w:val="bottom"/>
            <w:hideMark/>
          </w:tcPr>
          <w:p w14:paraId="5E4F5F55" w14:textId="77777777" w:rsidR="00C92620" w:rsidRPr="00AD1FD3" w:rsidRDefault="00C92620" w:rsidP="00AD1FD3">
            <w:pPr>
              <w:spacing w:line="360" w:lineRule="auto"/>
              <w:rPr>
                <w:color w:val="000000"/>
                <w:sz w:val="20"/>
                <w:szCs w:val="20"/>
              </w:rPr>
            </w:pPr>
            <w:r w:rsidRPr="00AD1FD3">
              <w:rPr>
                <w:color w:val="000000"/>
                <w:sz w:val="20"/>
                <w:szCs w:val="20"/>
              </w:rPr>
              <w:t>42.25</w:t>
            </w:r>
          </w:p>
        </w:tc>
        <w:tc>
          <w:tcPr>
            <w:tcW w:w="751" w:type="dxa"/>
            <w:tcBorders>
              <w:top w:val="nil"/>
              <w:left w:val="nil"/>
              <w:bottom w:val="nil"/>
              <w:right w:val="nil"/>
            </w:tcBorders>
            <w:shd w:val="clear" w:color="auto" w:fill="auto"/>
            <w:noWrap/>
            <w:vAlign w:val="bottom"/>
            <w:hideMark/>
          </w:tcPr>
          <w:p w14:paraId="260920C3" w14:textId="0DF42BE1" w:rsidR="00C92620" w:rsidRPr="00AD1FD3" w:rsidRDefault="00C92620" w:rsidP="00AD1FD3">
            <w:pPr>
              <w:spacing w:line="360" w:lineRule="auto"/>
              <w:rPr>
                <w:color w:val="000000"/>
                <w:sz w:val="20"/>
                <w:szCs w:val="20"/>
              </w:rPr>
            </w:pPr>
            <w:r w:rsidRPr="00AD1FD3">
              <w:rPr>
                <w:color w:val="000000"/>
                <w:sz w:val="20"/>
                <w:szCs w:val="20"/>
              </w:rPr>
              <w:t>0,9</w:t>
            </w:r>
            <w:r w:rsidR="00CC434A">
              <w:rPr>
                <w:color w:val="000000"/>
                <w:sz w:val="20"/>
                <w:szCs w:val="20"/>
              </w:rPr>
              <w:t>1</w:t>
            </w:r>
          </w:p>
        </w:tc>
      </w:tr>
      <w:tr w:rsidR="00C92620" w:rsidRPr="006008A0" w14:paraId="0359B1E0" w14:textId="77777777" w:rsidTr="00681E3D">
        <w:trPr>
          <w:trHeight w:val="320"/>
          <w:jc w:val="center"/>
        </w:trPr>
        <w:tc>
          <w:tcPr>
            <w:tcW w:w="1490" w:type="dxa"/>
            <w:vMerge/>
            <w:tcBorders>
              <w:left w:val="nil"/>
              <w:bottom w:val="single" w:sz="4" w:space="0" w:color="auto"/>
              <w:right w:val="nil"/>
            </w:tcBorders>
          </w:tcPr>
          <w:p w14:paraId="698486DC" w14:textId="77777777" w:rsidR="00C92620" w:rsidRPr="00AD1FD3" w:rsidRDefault="00C92620" w:rsidP="00AD1FD3">
            <w:pPr>
              <w:spacing w:line="360" w:lineRule="auto"/>
              <w:rPr>
                <w:color w:val="000000"/>
                <w:sz w:val="20"/>
                <w:szCs w:val="20"/>
              </w:rPr>
            </w:pPr>
          </w:p>
        </w:tc>
        <w:tc>
          <w:tcPr>
            <w:tcW w:w="1084" w:type="dxa"/>
            <w:tcBorders>
              <w:top w:val="nil"/>
              <w:left w:val="nil"/>
              <w:bottom w:val="single" w:sz="4" w:space="0" w:color="auto"/>
              <w:right w:val="nil"/>
            </w:tcBorders>
            <w:shd w:val="clear" w:color="auto" w:fill="auto"/>
            <w:noWrap/>
            <w:vAlign w:val="bottom"/>
            <w:hideMark/>
          </w:tcPr>
          <w:p w14:paraId="66F61598" w14:textId="7E143D67" w:rsidR="00C92620" w:rsidRPr="00AD1FD3" w:rsidRDefault="00C92620" w:rsidP="00AD1FD3">
            <w:pPr>
              <w:spacing w:line="360" w:lineRule="auto"/>
              <w:rPr>
                <w:color w:val="000000"/>
                <w:sz w:val="20"/>
                <w:szCs w:val="20"/>
              </w:rPr>
            </w:pPr>
            <w:r w:rsidRPr="00AD1FD3">
              <w:rPr>
                <w:color w:val="000000"/>
                <w:sz w:val="20"/>
                <w:szCs w:val="20"/>
              </w:rPr>
              <w:t>Ir</w:t>
            </w:r>
          </w:p>
        </w:tc>
        <w:tc>
          <w:tcPr>
            <w:tcW w:w="1404" w:type="dxa"/>
            <w:tcBorders>
              <w:top w:val="nil"/>
              <w:left w:val="nil"/>
              <w:bottom w:val="single" w:sz="4" w:space="0" w:color="auto"/>
              <w:right w:val="nil"/>
            </w:tcBorders>
            <w:shd w:val="clear" w:color="auto" w:fill="auto"/>
            <w:noWrap/>
            <w:vAlign w:val="bottom"/>
            <w:hideMark/>
          </w:tcPr>
          <w:p w14:paraId="720B2628" w14:textId="0D9B786C" w:rsidR="00C92620" w:rsidRPr="00AD1FD3" w:rsidRDefault="00C76937" w:rsidP="00AD1FD3">
            <w:pPr>
              <w:spacing w:line="360" w:lineRule="auto"/>
              <w:rPr>
                <w:color w:val="000000"/>
                <w:sz w:val="20"/>
                <w:szCs w:val="20"/>
              </w:rPr>
            </w:pPr>
            <w:r>
              <w:rPr>
                <w:color w:val="000000"/>
                <w:sz w:val="20"/>
                <w:szCs w:val="20"/>
              </w:rPr>
              <w:t>37</w:t>
            </w:r>
          </w:p>
        </w:tc>
        <w:tc>
          <w:tcPr>
            <w:tcW w:w="1260" w:type="dxa"/>
            <w:tcBorders>
              <w:top w:val="nil"/>
              <w:left w:val="nil"/>
              <w:bottom w:val="single" w:sz="4" w:space="0" w:color="auto"/>
              <w:right w:val="nil"/>
            </w:tcBorders>
            <w:shd w:val="clear" w:color="auto" w:fill="auto"/>
            <w:noWrap/>
            <w:vAlign w:val="bottom"/>
            <w:hideMark/>
          </w:tcPr>
          <w:p w14:paraId="30C3D1FB" w14:textId="2E40C56D" w:rsidR="00C92620" w:rsidRPr="00AD1FD3" w:rsidRDefault="00CC434A" w:rsidP="00AD1FD3">
            <w:pPr>
              <w:spacing w:line="360" w:lineRule="auto"/>
              <w:rPr>
                <w:color w:val="000000"/>
                <w:sz w:val="20"/>
                <w:szCs w:val="20"/>
              </w:rPr>
            </w:pPr>
            <w:r>
              <w:rPr>
                <w:color w:val="000000"/>
                <w:sz w:val="20"/>
                <w:szCs w:val="20"/>
              </w:rPr>
              <w:t>8</w:t>
            </w:r>
          </w:p>
        </w:tc>
        <w:tc>
          <w:tcPr>
            <w:tcW w:w="1193" w:type="dxa"/>
            <w:tcBorders>
              <w:top w:val="nil"/>
              <w:left w:val="nil"/>
              <w:bottom w:val="single" w:sz="4" w:space="0" w:color="auto"/>
              <w:right w:val="nil"/>
            </w:tcBorders>
            <w:shd w:val="clear" w:color="auto" w:fill="auto"/>
            <w:noWrap/>
            <w:vAlign w:val="bottom"/>
            <w:hideMark/>
          </w:tcPr>
          <w:p w14:paraId="635B50FD" w14:textId="001C640F" w:rsidR="00C92620" w:rsidRPr="00AD1FD3" w:rsidRDefault="00C92620" w:rsidP="00AD1FD3">
            <w:pPr>
              <w:spacing w:line="360" w:lineRule="auto"/>
              <w:rPr>
                <w:color w:val="000000"/>
                <w:sz w:val="20"/>
                <w:szCs w:val="20"/>
              </w:rPr>
            </w:pPr>
            <w:r w:rsidRPr="00AD1FD3">
              <w:rPr>
                <w:color w:val="000000"/>
                <w:sz w:val="20"/>
                <w:szCs w:val="20"/>
              </w:rPr>
              <w:t>0</w:t>
            </w:r>
          </w:p>
        </w:tc>
        <w:tc>
          <w:tcPr>
            <w:tcW w:w="1170" w:type="dxa"/>
            <w:tcBorders>
              <w:top w:val="nil"/>
              <w:left w:val="nil"/>
              <w:bottom w:val="single" w:sz="4" w:space="0" w:color="auto"/>
              <w:right w:val="nil"/>
            </w:tcBorders>
            <w:shd w:val="clear" w:color="auto" w:fill="auto"/>
            <w:noWrap/>
            <w:vAlign w:val="bottom"/>
            <w:hideMark/>
          </w:tcPr>
          <w:p w14:paraId="260B735C" w14:textId="571FE86A" w:rsidR="00C92620" w:rsidRPr="00AD1FD3" w:rsidRDefault="00CC434A" w:rsidP="00AD1FD3">
            <w:pPr>
              <w:spacing w:line="360" w:lineRule="auto"/>
              <w:rPr>
                <w:color w:val="000000"/>
                <w:sz w:val="20"/>
                <w:szCs w:val="20"/>
              </w:rPr>
            </w:pPr>
            <w:r>
              <w:rPr>
                <w:color w:val="000000"/>
                <w:sz w:val="20"/>
                <w:szCs w:val="20"/>
              </w:rPr>
              <w:t>39</w:t>
            </w:r>
            <w:r w:rsidR="00C92620" w:rsidRPr="00AD1FD3">
              <w:rPr>
                <w:color w:val="000000"/>
                <w:sz w:val="20"/>
                <w:szCs w:val="20"/>
              </w:rPr>
              <w:t>.</w:t>
            </w:r>
            <w:r>
              <w:rPr>
                <w:color w:val="000000"/>
                <w:sz w:val="20"/>
                <w:szCs w:val="20"/>
              </w:rPr>
              <w:t>97</w:t>
            </w:r>
          </w:p>
        </w:tc>
        <w:tc>
          <w:tcPr>
            <w:tcW w:w="751" w:type="dxa"/>
            <w:tcBorders>
              <w:top w:val="nil"/>
              <w:left w:val="nil"/>
              <w:bottom w:val="single" w:sz="4" w:space="0" w:color="auto"/>
              <w:right w:val="nil"/>
            </w:tcBorders>
            <w:shd w:val="clear" w:color="auto" w:fill="auto"/>
            <w:noWrap/>
            <w:vAlign w:val="bottom"/>
            <w:hideMark/>
          </w:tcPr>
          <w:p w14:paraId="20554C38" w14:textId="2FDAC887" w:rsidR="00C92620" w:rsidRPr="00AD1FD3" w:rsidRDefault="00C92620" w:rsidP="00AD1FD3">
            <w:pPr>
              <w:spacing w:line="360" w:lineRule="auto"/>
              <w:rPr>
                <w:color w:val="000000"/>
                <w:sz w:val="20"/>
                <w:szCs w:val="20"/>
              </w:rPr>
            </w:pPr>
            <w:r w:rsidRPr="00AD1FD3">
              <w:rPr>
                <w:color w:val="000000"/>
                <w:sz w:val="20"/>
                <w:szCs w:val="20"/>
              </w:rPr>
              <w:t>0,7</w:t>
            </w:r>
            <w:r w:rsidR="00CC434A">
              <w:rPr>
                <w:color w:val="000000"/>
                <w:sz w:val="20"/>
                <w:szCs w:val="20"/>
              </w:rPr>
              <w:t>0</w:t>
            </w:r>
          </w:p>
        </w:tc>
      </w:tr>
    </w:tbl>
    <w:p w14:paraId="1006A2D6" w14:textId="77777777" w:rsidR="00C92620" w:rsidRPr="006008A0" w:rsidRDefault="00C92620" w:rsidP="00AD1FD3">
      <w:pPr>
        <w:spacing w:line="360" w:lineRule="auto"/>
      </w:pPr>
      <w:r w:rsidRPr="006008A0">
        <w:t>Todos los valores de chi cuadrado son significativos con p&lt;0,01</w:t>
      </w:r>
    </w:p>
    <w:p w14:paraId="4A8A5E8F" w14:textId="77777777" w:rsidR="007C03ED" w:rsidRDefault="00C92620" w:rsidP="00681E3D">
      <w:pPr>
        <w:spacing w:line="360" w:lineRule="auto"/>
        <w:jc w:val="both"/>
      </w:pPr>
      <w:r w:rsidRPr="006008A0">
        <w:t xml:space="preserve">*Los verbos pueden agrupar frecuencias de respuesta a varias oraciones. </w:t>
      </w:r>
      <w:r w:rsidRPr="006008A0">
        <w:tab/>
      </w:r>
      <w:r w:rsidRPr="006008A0">
        <w:tab/>
      </w:r>
      <w:r w:rsidRPr="006008A0">
        <w:tab/>
      </w:r>
    </w:p>
    <w:p w14:paraId="51CD33F6" w14:textId="4986918B" w:rsidR="00C92620" w:rsidRPr="006008A0" w:rsidRDefault="00C92620" w:rsidP="007C03ED">
      <w:pPr>
        <w:spacing w:line="360" w:lineRule="auto"/>
        <w:ind w:firstLine="284"/>
        <w:jc w:val="both"/>
      </w:pPr>
      <w:r w:rsidRPr="006008A0">
        <w:t xml:space="preserve">En la </w:t>
      </w:r>
      <w:r w:rsidR="00295D12">
        <w:t>T</w:t>
      </w:r>
      <w:r w:rsidRPr="006008A0">
        <w:t xml:space="preserve">abla 2 se presentan las frecuencias por cada uno de los enunciados. Tanto la </w:t>
      </w:r>
      <w:r w:rsidR="00295D12">
        <w:t>T</w:t>
      </w:r>
      <w:r w:rsidRPr="006008A0">
        <w:t xml:space="preserve">abla 1 como la 2 muestran que, si bien la opción perspectiva es preferida de forma consistente, los verbos de epistémicos (alocéntricos) muestran mayor variación. Cerca de una tercera parte de los participantes eligió la opción referencial en el caso de los verbos saber y creer. </w:t>
      </w:r>
    </w:p>
    <w:p w14:paraId="484F3D62" w14:textId="1C423831" w:rsidR="00C92620" w:rsidRPr="006008A0" w:rsidRDefault="00C92620" w:rsidP="000D1C89">
      <w:pPr>
        <w:spacing w:line="360" w:lineRule="auto"/>
        <w:jc w:val="center"/>
      </w:pPr>
      <w:r w:rsidRPr="000D1C89">
        <w:rPr>
          <w:b/>
          <w:bCs/>
        </w:rPr>
        <w:t>Tabla 2</w:t>
      </w:r>
      <w:r w:rsidRPr="006008A0">
        <w:t xml:space="preserve">.  Frecuencias de elección de cada ítem del </w:t>
      </w:r>
      <w:r w:rsidR="0065448A">
        <w:t>estudio</w:t>
      </w:r>
      <w:r w:rsidR="0065448A" w:rsidRPr="006008A0">
        <w:t xml:space="preserve"> </w:t>
      </w:r>
      <w:r w:rsidRPr="006008A0">
        <w:t>1.</w:t>
      </w:r>
    </w:p>
    <w:tbl>
      <w:tblPr>
        <w:tblW w:w="6470" w:type="dxa"/>
        <w:jc w:val="center"/>
        <w:tblLook w:val="04A0" w:firstRow="1" w:lastRow="0" w:firstColumn="1" w:lastColumn="0" w:noHBand="0" w:noVBand="1"/>
      </w:tblPr>
      <w:tblGrid>
        <w:gridCol w:w="1123"/>
        <w:gridCol w:w="1468"/>
        <w:gridCol w:w="1291"/>
        <w:gridCol w:w="1184"/>
        <w:gridCol w:w="766"/>
        <w:gridCol w:w="638"/>
      </w:tblGrid>
      <w:tr w:rsidR="00C92620" w:rsidRPr="006008A0" w14:paraId="1D2694FF" w14:textId="77777777" w:rsidTr="00683976">
        <w:trPr>
          <w:trHeight w:val="310"/>
          <w:jc w:val="center"/>
        </w:trPr>
        <w:tc>
          <w:tcPr>
            <w:tcW w:w="1123" w:type="dxa"/>
            <w:tcBorders>
              <w:top w:val="single" w:sz="8" w:space="0" w:color="000000"/>
              <w:left w:val="nil"/>
              <w:bottom w:val="single" w:sz="8" w:space="0" w:color="000000"/>
              <w:right w:val="nil"/>
            </w:tcBorders>
            <w:shd w:val="clear" w:color="auto" w:fill="auto"/>
            <w:vAlign w:val="center"/>
            <w:hideMark/>
          </w:tcPr>
          <w:p w14:paraId="2448D352" w14:textId="77777777" w:rsidR="00C92620" w:rsidRPr="00AD1FD3" w:rsidRDefault="00C92620" w:rsidP="00AD1FD3">
            <w:pPr>
              <w:spacing w:line="360" w:lineRule="auto"/>
              <w:rPr>
                <w:b/>
                <w:bCs/>
                <w:color w:val="000000"/>
                <w:sz w:val="20"/>
                <w:szCs w:val="20"/>
                <w:lang w:val="en-US" w:eastAsia="en-US"/>
              </w:rPr>
            </w:pPr>
            <w:r w:rsidRPr="00AD1FD3">
              <w:rPr>
                <w:b/>
                <w:bCs/>
                <w:color w:val="000000"/>
                <w:sz w:val="20"/>
                <w:szCs w:val="20"/>
                <w:lang w:eastAsia="en-US"/>
              </w:rPr>
              <w:t xml:space="preserve">   Verbo</w:t>
            </w:r>
          </w:p>
        </w:tc>
        <w:tc>
          <w:tcPr>
            <w:tcW w:w="1468" w:type="dxa"/>
            <w:tcBorders>
              <w:top w:val="single" w:sz="8" w:space="0" w:color="000000"/>
              <w:left w:val="nil"/>
              <w:bottom w:val="single" w:sz="8" w:space="0" w:color="000000"/>
              <w:right w:val="nil"/>
            </w:tcBorders>
            <w:shd w:val="clear" w:color="auto" w:fill="auto"/>
            <w:vAlign w:val="center"/>
            <w:hideMark/>
          </w:tcPr>
          <w:p w14:paraId="5B7BDF06" w14:textId="2CBD3837" w:rsidR="00C92620" w:rsidRPr="00AD1FD3" w:rsidRDefault="00C92620" w:rsidP="00AD1FD3">
            <w:pPr>
              <w:spacing w:line="360" w:lineRule="auto"/>
              <w:rPr>
                <w:b/>
                <w:bCs/>
                <w:color w:val="000000"/>
                <w:sz w:val="20"/>
                <w:szCs w:val="20"/>
                <w:lang w:val="en-US" w:eastAsia="en-US"/>
              </w:rPr>
            </w:pPr>
            <w:r w:rsidRPr="00AD1FD3">
              <w:rPr>
                <w:b/>
                <w:bCs/>
                <w:color w:val="000000"/>
                <w:sz w:val="20"/>
                <w:szCs w:val="20"/>
                <w:lang w:val="en-US" w:eastAsia="en-US"/>
              </w:rPr>
              <w:t>Perspectiva</w:t>
            </w:r>
          </w:p>
        </w:tc>
        <w:tc>
          <w:tcPr>
            <w:tcW w:w="1291" w:type="dxa"/>
            <w:tcBorders>
              <w:top w:val="single" w:sz="8" w:space="0" w:color="000000"/>
              <w:left w:val="nil"/>
              <w:bottom w:val="single" w:sz="8" w:space="0" w:color="000000"/>
              <w:right w:val="nil"/>
            </w:tcBorders>
            <w:shd w:val="clear" w:color="auto" w:fill="auto"/>
            <w:vAlign w:val="center"/>
            <w:hideMark/>
          </w:tcPr>
          <w:p w14:paraId="3A27C378" w14:textId="025B9EB7" w:rsidR="00C92620" w:rsidRPr="00AD1FD3" w:rsidRDefault="00C92620" w:rsidP="00AD1FD3">
            <w:pPr>
              <w:spacing w:line="360" w:lineRule="auto"/>
              <w:rPr>
                <w:b/>
                <w:bCs/>
                <w:color w:val="000000"/>
                <w:sz w:val="20"/>
                <w:szCs w:val="20"/>
                <w:lang w:val="en-US" w:eastAsia="en-US"/>
              </w:rPr>
            </w:pPr>
            <w:r w:rsidRPr="00AD1FD3">
              <w:rPr>
                <w:b/>
                <w:bCs/>
                <w:color w:val="000000"/>
                <w:sz w:val="20"/>
                <w:szCs w:val="20"/>
                <w:lang w:eastAsia="en-US"/>
              </w:rPr>
              <w:t>Referencial</w:t>
            </w:r>
          </w:p>
        </w:tc>
        <w:tc>
          <w:tcPr>
            <w:tcW w:w="1184" w:type="dxa"/>
            <w:tcBorders>
              <w:top w:val="single" w:sz="8" w:space="0" w:color="000000"/>
              <w:left w:val="nil"/>
              <w:bottom w:val="single" w:sz="8" w:space="0" w:color="000000"/>
              <w:right w:val="nil"/>
            </w:tcBorders>
            <w:shd w:val="clear" w:color="auto" w:fill="auto"/>
            <w:vAlign w:val="center"/>
            <w:hideMark/>
          </w:tcPr>
          <w:p w14:paraId="2282A7B7" w14:textId="5FEF6C7B" w:rsidR="00C92620" w:rsidRPr="00AD1FD3" w:rsidRDefault="00C92620" w:rsidP="00AD1FD3">
            <w:pPr>
              <w:spacing w:line="360" w:lineRule="auto"/>
              <w:rPr>
                <w:b/>
                <w:bCs/>
                <w:color w:val="000000"/>
                <w:sz w:val="20"/>
                <w:szCs w:val="20"/>
                <w:lang w:val="en-US" w:eastAsia="en-US"/>
              </w:rPr>
            </w:pPr>
            <w:r w:rsidRPr="00AD1FD3">
              <w:rPr>
                <w:b/>
                <w:bCs/>
                <w:color w:val="000000"/>
                <w:sz w:val="20"/>
                <w:szCs w:val="20"/>
                <w:lang w:eastAsia="en-US"/>
              </w:rPr>
              <w:t>Distractor</w:t>
            </w:r>
          </w:p>
        </w:tc>
        <w:tc>
          <w:tcPr>
            <w:tcW w:w="766" w:type="dxa"/>
            <w:tcBorders>
              <w:top w:val="single" w:sz="8" w:space="0" w:color="000000"/>
              <w:left w:val="nil"/>
              <w:bottom w:val="single" w:sz="8" w:space="0" w:color="000000"/>
              <w:right w:val="nil"/>
            </w:tcBorders>
            <w:shd w:val="clear" w:color="auto" w:fill="auto"/>
            <w:vAlign w:val="center"/>
            <w:hideMark/>
          </w:tcPr>
          <w:p w14:paraId="0968D826" w14:textId="2A7C6680" w:rsidR="00C92620" w:rsidRPr="00AD1FD3" w:rsidRDefault="00C92620" w:rsidP="00AD1FD3">
            <w:pPr>
              <w:spacing w:line="360" w:lineRule="auto"/>
              <w:rPr>
                <w:b/>
                <w:bCs/>
                <w:color w:val="000000"/>
                <w:sz w:val="20"/>
                <w:szCs w:val="20"/>
                <w:lang w:val="en-US" w:eastAsia="en-US"/>
              </w:rPr>
            </w:pPr>
            <w:r w:rsidRPr="00AD1FD3">
              <w:rPr>
                <w:b/>
                <w:bCs/>
                <w:color w:val="000000"/>
                <w:sz w:val="20"/>
                <w:szCs w:val="20"/>
                <w:lang w:eastAsia="en-US"/>
              </w:rPr>
              <w:t>χ²</w:t>
            </w:r>
          </w:p>
        </w:tc>
        <w:tc>
          <w:tcPr>
            <w:tcW w:w="638" w:type="dxa"/>
            <w:tcBorders>
              <w:top w:val="single" w:sz="8" w:space="0" w:color="000000"/>
              <w:left w:val="nil"/>
              <w:bottom w:val="single" w:sz="8" w:space="0" w:color="000000"/>
              <w:right w:val="nil"/>
            </w:tcBorders>
            <w:shd w:val="clear" w:color="auto" w:fill="auto"/>
            <w:vAlign w:val="center"/>
            <w:hideMark/>
          </w:tcPr>
          <w:p w14:paraId="1638D3EB" w14:textId="29E229C6" w:rsidR="00C92620" w:rsidRPr="00AD1FD3" w:rsidRDefault="00C92620" w:rsidP="00AD1FD3">
            <w:pPr>
              <w:spacing w:line="360" w:lineRule="auto"/>
              <w:rPr>
                <w:b/>
                <w:bCs/>
                <w:color w:val="000000"/>
                <w:sz w:val="20"/>
                <w:szCs w:val="20"/>
                <w:lang w:val="en-US" w:eastAsia="en-US"/>
              </w:rPr>
            </w:pPr>
            <w:r w:rsidRPr="00AD1FD3">
              <w:rPr>
                <w:b/>
                <w:bCs/>
                <w:color w:val="000000"/>
                <w:sz w:val="20"/>
                <w:szCs w:val="20"/>
                <w:lang w:eastAsia="en-US"/>
              </w:rPr>
              <w:t>η²</w:t>
            </w:r>
          </w:p>
        </w:tc>
      </w:tr>
      <w:tr w:rsidR="00CC434A" w:rsidRPr="006008A0" w14:paraId="18092CB8" w14:textId="77777777" w:rsidTr="00EA4606">
        <w:trPr>
          <w:trHeight w:val="310"/>
          <w:jc w:val="center"/>
        </w:trPr>
        <w:tc>
          <w:tcPr>
            <w:tcW w:w="1123" w:type="dxa"/>
            <w:tcBorders>
              <w:top w:val="nil"/>
              <w:left w:val="nil"/>
              <w:bottom w:val="nil"/>
              <w:right w:val="nil"/>
            </w:tcBorders>
            <w:shd w:val="clear" w:color="auto" w:fill="auto"/>
            <w:vAlign w:val="center"/>
            <w:hideMark/>
          </w:tcPr>
          <w:p w14:paraId="6C2EBE12" w14:textId="77777777" w:rsidR="00CC434A" w:rsidRPr="00AD1FD3" w:rsidRDefault="00CC434A" w:rsidP="00CC434A">
            <w:pPr>
              <w:spacing w:line="360" w:lineRule="auto"/>
              <w:rPr>
                <w:color w:val="000000"/>
                <w:sz w:val="20"/>
                <w:szCs w:val="20"/>
                <w:lang w:val="en-US" w:eastAsia="en-US"/>
              </w:rPr>
            </w:pPr>
            <w:r w:rsidRPr="00AD1FD3">
              <w:rPr>
                <w:color w:val="000000"/>
                <w:sz w:val="20"/>
                <w:szCs w:val="20"/>
                <w:lang w:eastAsia="en-US"/>
              </w:rPr>
              <w:t>Intención</w:t>
            </w:r>
          </w:p>
        </w:tc>
        <w:tc>
          <w:tcPr>
            <w:tcW w:w="1468" w:type="dxa"/>
            <w:tcBorders>
              <w:top w:val="nil"/>
              <w:left w:val="nil"/>
              <w:bottom w:val="nil"/>
              <w:right w:val="nil"/>
            </w:tcBorders>
            <w:shd w:val="clear" w:color="auto" w:fill="auto"/>
            <w:hideMark/>
          </w:tcPr>
          <w:p w14:paraId="763FC56D" w14:textId="37597D21" w:rsidR="00CC434A" w:rsidRPr="00AD1FD3" w:rsidRDefault="00CC434A" w:rsidP="00CC434A">
            <w:pPr>
              <w:spacing w:line="360" w:lineRule="auto"/>
              <w:rPr>
                <w:color w:val="000000"/>
                <w:sz w:val="20"/>
                <w:szCs w:val="20"/>
                <w:lang w:val="en-US" w:eastAsia="en-US"/>
              </w:rPr>
            </w:pPr>
            <w:r w:rsidRPr="00844577">
              <w:t>44</w:t>
            </w:r>
          </w:p>
        </w:tc>
        <w:tc>
          <w:tcPr>
            <w:tcW w:w="1291" w:type="dxa"/>
            <w:tcBorders>
              <w:top w:val="nil"/>
              <w:left w:val="nil"/>
              <w:bottom w:val="nil"/>
              <w:right w:val="nil"/>
            </w:tcBorders>
            <w:shd w:val="clear" w:color="auto" w:fill="auto"/>
            <w:vAlign w:val="center"/>
            <w:hideMark/>
          </w:tcPr>
          <w:p w14:paraId="0785E53B" w14:textId="77777777" w:rsidR="00CC434A" w:rsidRPr="00AD1FD3" w:rsidRDefault="00CC434A" w:rsidP="00CC434A">
            <w:pPr>
              <w:spacing w:line="360" w:lineRule="auto"/>
              <w:rPr>
                <w:color w:val="000000"/>
                <w:sz w:val="20"/>
                <w:szCs w:val="20"/>
                <w:lang w:val="en-US" w:eastAsia="en-US"/>
              </w:rPr>
            </w:pPr>
            <w:r w:rsidRPr="00AD1FD3">
              <w:rPr>
                <w:color w:val="000000"/>
                <w:sz w:val="20"/>
                <w:szCs w:val="20"/>
                <w:lang w:eastAsia="en-US"/>
              </w:rPr>
              <w:t>1</w:t>
            </w:r>
          </w:p>
        </w:tc>
        <w:tc>
          <w:tcPr>
            <w:tcW w:w="1184" w:type="dxa"/>
            <w:tcBorders>
              <w:top w:val="nil"/>
              <w:left w:val="nil"/>
              <w:bottom w:val="nil"/>
              <w:right w:val="nil"/>
            </w:tcBorders>
            <w:shd w:val="clear" w:color="auto" w:fill="auto"/>
            <w:vAlign w:val="center"/>
            <w:hideMark/>
          </w:tcPr>
          <w:p w14:paraId="36B7BB03" w14:textId="77777777" w:rsidR="00CC434A" w:rsidRPr="00AD1FD3" w:rsidRDefault="00CC434A" w:rsidP="00CC434A">
            <w:pPr>
              <w:spacing w:line="360" w:lineRule="auto"/>
              <w:rPr>
                <w:color w:val="000000"/>
                <w:sz w:val="20"/>
                <w:szCs w:val="20"/>
                <w:lang w:val="en-US" w:eastAsia="en-US"/>
              </w:rPr>
            </w:pPr>
            <w:r w:rsidRPr="00AD1FD3">
              <w:rPr>
                <w:color w:val="000000"/>
                <w:sz w:val="20"/>
                <w:szCs w:val="20"/>
                <w:lang w:eastAsia="en-US"/>
              </w:rPr>
              <w:t>0</w:t>
            </w:r>
          </w:p>
        </w:tc>
        <w:tc>
          <w:tcPr>
            <w:tcW w:w="766" w:type="dxa"/>
            <w:tcBorders>
              <w:top w:val="nil"/>
              <w:left w:val="nil"/>
              <w:bottom w:val="nil"/>
              <w:right w:val="nil"/>
            </w:tcBorders>
            <w:shd w:val="clear" w:color="auto" w:fill="auto"/>
            <w:noWrap/>
            <w:vAlign w:val="bottom"/>
            <w:hideMark/>
          </w:tcPr>
          <w:p w14:paraId="418E2CDE" w14:textId="4B19D037" w:rsidR="00CC434A" w:rsidRPr="00AD1FD3" w:rsidRDefault="00CC434A" w:rsidP="00CC434A">
            <w:pPr>
              <w:spacing w:line="360" w:lineRule="auto"/>
              <w:rPr>
                <w:sz w:val="20"/>
                <w:szCs w:val="20"/>
                <w:lang w:val="en-US" w:eastAsia="en-US"/>
              </w:rPr>
            </w:pPr>
            <w:r>
              <w:rPr>
                <w:sz w:val="20"/>
                <w:szCs w:val="20"/>
                <w:lang w:eastAsia="en-US"/>
              </w:rPr>
              <w:t>39</w:t>
            </w:r>
            <w:r w:rsidRPr="00AD1FD3">
              <w:rPr>
                <w:sz w:val="20"/>
                <w:szCs w:val="20"/>
                <w:lang w:eastAsia="en-US"/>
              </w:rPr>
              <w:t>.</w:t>
            </w:r>
            <w:r>
              <w:rPr>
                <w:sz w:val="20"/>
                <w:szCs w:val="20"/>
                <w:lang w:eastAsia="en-US"/>
              </w:rPr>
              <w:t>7</w:t>
            </w:r>
            <w:r w:rsidRPr="00AD1FD3">
              <w:rPr>
                <w:sz w:val="20"/>
                <w:szCs w:val="20"/>
                <w:lang w:eastAsia="en-US"/>
              </w:rPr>
              <w:t>5</w:t>
            </w:r>
          </w:p>
        </w:tc>
        <w:tc>
          <w:tcPr>
            <w:tcW w:w="638" w:type="dxa"/>
            <w:tcBorders>
              <w:top w:val="nil"/>
              <w:left w:val="nil"/>
              <w:bottom w:val="nil"/>
              <w:right w:val="nil"/>
            </w:tcBorders>
            <w:shd w:val="clear" w:color="auto" w:fill="auto"/>
            <w:vAlign w:val="center"/>
            <w:hideMark/>
          </w:tcPr>
          <w:p w14:paraId="065C2522" w14:textId="4F6F2C05" w:rsidR="00CC434A" w:rsidRPr="00AD1FD3" w:rsidRDefault="00CC434A" w:rsidP="00CC434A">
            <w:pPr>
              <w:spacing w:line="360" w:lineRule="auto"/>
              <w:rPr>
                <w:color w:val="000000"/>
                <w:sz w:val="20"/>
                <w:szCs w:val="20"/>
                <w:lang w:val="en-US" w:eastAsia="en-US"/>
              </w:rPr>
            </w:pPr>
            <w:r w:rsidRPr="00AD1FD3">
              <w:rPr>
                <w:color w:val="000000"/>
                <w:sz w:val="20"/>
                <w:szCs w:val="20"/>
                <w:lang w:eastAsia="en-US"/>
              </w:rPr>
              <w:t>0.9</w:t>
            </w:r>
            <w:r>
              <w:rPr>
                <w:color w:val="000000"/>
                <w:sz w:val="20"/>
                <w:szCs w:val="20"/>
                <w:lang w:eastAsia="en-US"/>
              </w:rPr>
              <w:t>1</w:t>
            </w:r>
          </w:p>
        </w:tc>
      </w:tr>
      <w:tr w:rsidR="00CC434A" w:rsidRPr="006008A0" w14:paraId="397CBE97" w14:textId="77777777" w:rsidTr="00EA4606">
        <w:trPr>
          <w:trHeight w:val="310"/>
          <w:jc w:val="center"/>
        </w:trPr>
        <w:tc>
          <w:tcPr>
            <w:tcW w:w="1123" w:type="dxa"/>
            <w:tcBorders>
              <w:top w:val="nil"/>
              <w:left w:val="nil"/>
              <w:bottom w:val="nil"/>
              <w:right w:val="nil"/>
            </w:tcBorders>
            <w:shd w:val="clear" w:color="auto" w:fill="auto"/>
            <w:vAlign w:val="center"/>
            <w:hideMark/>
          </w:tcPr>
          <w:p w14:paraId="33055E7E" w14:textId="77777777" w:rsidR="00CC434A" w:rsidRPr="00AD1FD3" w:rsidRDefault="00CC434A" w:rsidP="00CC434A">
            <w:pPr>
              <w:spacing w:line="360" w:lineRule="auto"/>
              <w:rPr>
                <w:color w:val="000000"/>
                <w:sz w:val="20"/>
                <w:szCs w:val="20"/>
                <w:lang w:val="en-US" w:eastAsia="en-US"/>
              </w:rPr>
            </w:pPr>
            <w:r w:rsidRPr="00AD1FD3">
              <w:rPr>
                <w:color w:val="000000"/>
                <w:sz w:val="20"/>
                <w:szCs w:val="20"/>
                <w:lang w:eastAsia="en-US"/>
              </w:rPr>
              <w:t>Creer</w:t>
            </w:r>
          </w:p>
        </w:tc>
        <w:tc>
          <w:tcPr>
            <w:tcW w:w="1468" w:type="dxa"/>
            <w:tcBorders>
              <w:top w:val="nil"/>
              <w:left w:val="nil"/>
              <w:bottom w:val="nil"/>
              <w:right w:val="nil"/>
            </w:tcBorders>
            <w:shd w:val="clear" w:color="auto" w:fill="auto"/>
            <w:hideMark/>
          </w:tcPr>
          <w:p w14:paraId="5385B025" w14:textId="5FE6C873" w:rsidR="00CC434A" w:rsidRPr="00AD1FD3" w:rsidRDefault="00CC434A" w:rsidP="00CC434A">
            <w:pPr>
              <w:spacing w:line="360" w:lineRule="auto"/>
              <w:rPr>
                <w:color w:val="000000"/>
                <w:sz w:val="20"/>
                <w:szCs w:val="20"/>
                <w:lang w:val="en-US" w:eastAsia="en-US"/>
              </w:rPr>
            </w:pPr>
            <w:r w:rsidRPr="00844577">
              <w:t>43</w:t>
            </w:r>
          </w:p>
        </w:tc>
        <w:tc>
          <w:tcPr>
            <w:tcW w:w="1291" w:type="dxa"/>
            <w:tcBorders>
              <w:top w:val="nil"/>
              <w:left w:val="nil"/>
              <w:bottom w:val="nil"/>
              <w:right w:val="nil"/>
            </w:tcBorders>
            <w:shd w:val="clear" w:color="auto" w:fill="auto"/>
            <w:vAlign w:val="center"/>
            <w:hideMark/>
          </w:tcPr>
          <w:p w14:paraId="4AC36384" w14:textId="4FFC40CA" w:rsidR="00CC434A" w:rsidRPr="00AD1FD3" w:rsidRDefault="00CC434A" w:rsidP="00CC434A">
            <w:pPr>
              <w:spacing w:line="360" w:lineRule="auto"/>
              <w:rPr>
                <w:color w:val="000000"/>
                <w:sz w:val="20"/>
                <w:szCs w:val="20"/>
                <w:lang w:val="en-US" w:eastAsia="en-US"/>
              </w:rPr>
            </w:pPr>
            <w:r>
              <w:rPr>
                <w:color w:val="000000"/>
                <w:sz w:val="20"/>
                <w:szCs w:val="20"/>
                <w:lang w:eastAsia="en-US"/>
              </w:rPr>
              <w:t>2</w:t>
            </w:r>
          </w:p>
        </w:tc>
        <w:tc>
          <w:tcPr>
            <w:tcW w:w="1184" w:type="dxa"/>
            <w:tcBorders>
              <w:top w:val="nil"/>
              <w:left w:val="nil"/>
              <w:bottom w:val="nil"/>
              <w:right w:val="nil"/>
            </w:tcBorders>
            <w:shd w:val="clear" w:color="auto" w:fill="auto"/>
            <w:vAlign w:val="center"/>
            <w:hideMark/>
          </w:tcPr>
          <w:p w14:paraId="44CDA442" w14:textId="77777777" w:rsidR="00CC434A" w:rsidRPr="00AD1FD3" w:rsidRDefault="00CC434A" w:rsidP="00CC434A">
            <w:pPr>
              <w:spacing w:line="360" w:lineRule="auto"/>
              <w:rPr>
                <w:color w:val="000000"/>
                <w:sz w:val="20"/>
                <w:szCs w:val="20"/>
                <w:lang w:val="en-US" w:eastAsia="en-US"/>
              </w:rPr>
            </w:pPr>
            <w:r w:rsidRPr="00AD1FD3">
              <w:rPr>
                <w:color w:val="000000"/>
                <w:sz w:val="20"/>
                <w:szCs w:val="20"/>
                <w:lang w:eastAsia="en-US"/>
              </w:rPr>
              <w:t>0</w:t>
            </w:r>
          </w:p>
        </w:tc>
        <w:tc>
          <w:tcPr>
            <w:tcW w:w="766" w:type="dxa"/>
            <w:tcBorders>
              <w:top w:val="nil"/>
              <w:left w:val="nil"/>
              <w:bottom w:val="nil"/>
              <w:right w:val="nil"/>
            </w:tcBorders>
            <w:shd w:val="clear" w:color="auto" w:fill="auto"/>
            <w:noWrap/>
            <w:vAlign w:val="bottom"/>
            <w:hideMark/>
          </w:tcPr>
          <w:p w14:paraId="202341A2" w14:textId="143B5AD3" w:rsidR="00CC434A" w:rsidRPr="00AD1FD3" w:rsidRDefault="00CC434A" w:rsidP="00CC434A">
            <w:pPr>
              <w:spacing w:line="360" w:lineRule="auto"/>
              <w:rPr>
                <w:sz w:val="20"/>
                <w:szCs w:val="20"/>
                <w:lang w:val="en-US" w:eastAsia="en-US"/>
              </w:rPr>
            </w:pPr>
            <w:r>
              <w:rPr>
                <w:sz w:val="20"/>
                <w:szCs w:val="20"/>
                <w:lang w:eastAsia="en-US"/>
              </w:rPr>
              <w:t>38</w:t>
            </w:r>
            <w:r w:rsidRPr="00AD1FD3">
              <w:rPr>
                <w:sz w:val="20"/>
                <w:szCs w:val="20"/>
                <w:lang w:eastAsia="en-US"/>
              </w:rPr>
              <w:t>.</w:t>
            </w:r>
            <w:r>
              <w:rPr>
                <w:sz w:val="20"/>
                <w:szCs w:val="20"/>
                <w:lang w:eastAsia="en-US"/>
              </w:rPr>
              <w:t>01</w:t>
            </w:r>
          </w:p>
        </w:tc>
        <w:tc>
          <w:tcPr>
            <w:tcW w:w="638" w:type="dxa"/>
            <w:tcBorders>
              <w:top w:val="nil"/>
              <w:left w:val="nil"/>
              <w:bottom w:val="nil"/>
              <w:right w:val="nil"/>
            </w:tcBorders>
            <w:shd w:val="clear" w:color="auto" w:fill="auto"/>
            <w:vAlign w:val="center"/>
            <w:hideMark/>
          </w:tcPr>
          <w:p w14:paraId="0399AC89" w14:textId="6D6E5683" w:rsidR="00CC434A" w:rsidRPr="00AD1FD3" w:rsidRDefault="00CC434A" w:rsidP="00CC434A">
            <w:pPr>
              <w:spacing w:line="360" w:lineRule="auto"/>
              <w:rPr>
                <w:color w:val="000000"/>
                <w:sz w:val="20"/>
                <w:szCs w:val="20"/>
                <w:lang w:val="en-US" w:eastAsia="en-US"/>
              </w:rPr>
            </w:pPr>
            <w:r w:rsidRPr="00AD1FD3">
              <w:rPr>
                <w:color w:val="000000"/>
                <w:sz w:val="20"/>
                <w:szCs w:val="20"/>
                <w:lang w:eastAsia="en-US"/>
              </w:rPr>
              <w:t>0.</w:t>
            </w:r>
            <w:r>
              <w:rPr>
                <w:color w:val="000000"/>
                <w:sz w:val="20"/>
                <w:szCs w:val="20"/>
                <w:lang w:eastAsia="en-US"/>
              </w:rPr>
              <w:t>87</w:t>
            </w:r>
          </w:p>
        </w:tc>
      </w:tr>
      <w:tr w:rsidR="00CC434A" w:rsidRPr="006008A0" w14:paraId="6FAEDAB0" w14:textId="77777777" w:rsidTr="00EA4606">
        <w:trPr>
          <w:trHeight w:val="310"/>
          <w:jc w:val="center"/>
        </w:trPr>
        <w:tc>
          <w:tcPr>
            <w:tcW w:w="1123" w:type="dxa"/>
            <w:tcBorders>
              <w:top w:val="nil"/>
              <w:left w:val="nil"/>
              <w:bottom w:val="nil"/>
              <w:right w:val="nil"/>
            </w:tcBorders>
            <w:shd w:val="clear" w:color="auto" w:fill="auto"/>
            <w:vAlign w:val="center"/>
            <w:hideMark/>
          </w:tcPr>
          <w:p w14:paraId="01A870E4" w14:textId="77777777" w:rsidR="00CC434A" w:rsidRPr="00AD1FD3" w:rsidRDefault="00CC434A" w:rsidP="00CC434A">
            <w:pPr>
              <w:spacing w:line="360" w:lineRule="auto"/>
              <w:rPr>
                <w:color w:val="000000"/>
                <w:sz w:val="20"/>
                <w:szCs w:val="20"/>
                <w:lang w:val="en-US" w:eastAsia="en-US"/>
              </w:rPr>
            </w:pPr>
            <w:r w:rsidRPr="00AD1FD3">
              <w:rPr>
                <w:color w:val="000000"/>
                <w:sz w:val="20"/>
                <w:szCs w:val="20"/>
                <w:lang w:eastAsia="en-US"/>
              </w:rPr>
              <w:t>Saber</w:t>
            </w:r>
          </w:p>
        </w:tc>
        <w:tc>
          <w:tcPr>
            <w:tcW w:w="1468" w:type="dxa"/>
            <w:tcBorders>
              <w:top w:val="nil"/>
              <w:left w:val="nil"/>
              <w:bottom w:val="nil"/>
              <w:right w:val="nil"/>
            </w:tcBorders>
            <w:shd w:val="clear" w:color="auto" w:fill="auto"/>
            <w:hideMark/>
          </w:tcPr>
          <w:p w14:paraId="24E9BBB4" w14:textId="56E4F033" w:rsidR="00CC434A" w:rsidRPr="00AD1FD3" w:rsidRDefault="00CC434A" w:rsidP="00CC434A">
            <w:pPr>
              <w:spacing w:line="360" w:lineRule="auto"/>
              <w:rPr>
                <w:color w:val="000000"/>
                <w:sz w:val="20"/>
                <w:szCs w:val="20"/>
                <w:lang w:val="en-US" w:eastAsia="en-US"/>
              </w:rPr>
            </w:pPr>
            <w:r w:rsidRPr="00844577">
              <w:t>34</w:t>
            </w:r>
          </w:p>
        </w:tc>
        <w:tc>
          <w:tcPr>
            <w:tcW w:w="1291" w:type="dxa"/>
            <w:tcBorders>
              <w:top w:val="nil"/>
              <w:left w:val="nil"/>
              <w:bottom w:val="nil"/>
              <w:right w:val="nil"/>
            </w:tcBorders>
            <w:shd w:val="clear" w:color="auto" w:fill="auto"/>
            <w:vAlign w:val="center"/>
            <w:hideMark/>
          </w:tcPr>
          <w:p w14:paraId="35D2BFC2" w14:textId="494A8190" w:rsidR="00CC434A" w:rsidRPr="00AD1FD3" w:rsidRDefault="00CC434A" w:rsidP="00CC434A">
            <w:pPr>
              <w:spacing w:line="360" w:lineRule="auto"/>
              <w:rPr>
                <w:color w:val="000000"/>
                <w:sz w:val="20"/>
                <w:szCs w:val="20"/>
                <w:lang w:val="en-US" w:eastAsia="en-US"/>
              </w:rPr>
            </w:pPr>
            <w:r>
              <w:rPr>
                <w:color w:val="000000"/>
                <w:sz w:val="20"/>
                <w:szCs w:val="20"/>
                <w:lang w:val="en-US" w:eastAsia="en-US"/>
              </w:rPr>
              <w:t>11</w:t>
            </w:r>
          </w:p>
        </w:tc>
        <w:tc>
          <w:tcPr>
            <w:tcW w:w="1184" w:type="dxa"/>
            <w:tcBorders>
              <w:top w:val="nil"/>
              <w:left w:val="nil"/>
              <w:bottom w:val="nil"/>
              <w:right w:val="nil"/>
            </w:tcBorders>
            <w:shd w:val="clear" w:color="auto" w:fill="auto"/>
            <w:vAlign w:val="center"/>
            <w:hideMark/>
          </w:tcPr>
          <w:p w14:paraId="7113475F" w14:textId="77777777" w:rsidR="00CC434A" w:rsidRPr="00AD1FD3" w:rsidRDefault="00CC434A" w:rsidP="00CC434A">
            <w:pPr>
              <w:spacing w:line="360" w:lineRule="auto"/>
              <w:rPr>
                <w:color w:val="000000"/>
                <w:sz w:val="20"/>
                <w:szCs w:val="20"/>
                <w:lang w:val="en-US" w:eastAsia="en-US"/>
              </w:rPr>
            </w:pPr>
            <w:r w:rsidRPr="00AD1FD3">
              <w:rPr>
                <w:color w:val="000000"/>
                <w:sz w:val="20"/>
                <w:szCs w:val="20"/>
                <w:lang w:val="en-US" w:eastAsia="en-US"/>
              </w:rPr>
              <w:t>0</w:t>
            </w:r>
          </w:p>
        </w:tc>
        <w:tc>
          <w:tcPr>
            <w:tcW w:w="766" w:type="dxa"/>
            <w:tcBorders>
              <w:top w:val="nil"/>
              <w:left w:val="nil"/>
              <w:bottom w:val="nil"/>
              <w:right w:val="nil"/>
            </w:tcBorders>
            <w:shd w:val="clear" w:color="auto" w:fill="auto"/>
            <w:noWrap/>
            <w:vAlign w:val="bottom"/>
            <w:hideMark/>
          </w:tcPr>
          <w:p w14:paraId="0BA5F5CF" w14:textId="66444E3F" w:rsidR="00CC434A" w:rsidRPr="00AD1FD3" w:rsidRDefault="00CC434A" w:rsidP="00CC434A">
            <w:pPr>
              <w:spacing w:line="360" w:lineRule="auto"/>
              <w:rPr>
                <w:sz w:val="20"/>
                <w:szCs w:val="20"/>
                <w:lang w:val="en-US" w:eastAsia="en-US"/>
              </w:rPr>
            </w:pPr>
            <w:r w:rsidRPr="00AD1FD3">
              <w:rPr>
                <w:sz w:val="20"/>
                <w:szCs w:val="20"/>
                <w:lang w:eastAsia="en-US"/>
              </w:rPr>
              <w:t>1</w:t>
            </w:r>
            <w:r>
              <w:rPr>
                <w:sz w:val="20"/>
                <w:szCs w:val="20"/>
                <w:lang w:eastAsia="en-US"/>
              </w:rPr>
              <w:t>2</w:t>
            </w:r>
            <w:r w:rsidRPr="00AD1FD3">
              <w:rPr>
                <w:sz w:val="20"/>
                <w:szCs w:val="20"/>
                <w:lang w:eastAsia="en-US"/>
              </w:rPr>
              <w:t>.25</w:t>
            </w:r>
          </w:p>
        </w:tc>
        <w:tc>
          <w:tcPr>
            <w:tcW w:w="638" w:type="dxa"/>
            <w:tcBorders>
              <w:top w:val="nil"/>
              <w:left w:val="nil"/>
              <w:bottom w:val="nil"/>
              <w:right w:val="nil"/>
            </w:tcBorders>
            <w:shd w:val="clear" w:color="auto" w:fill="auto"/>
            <w:vAlign w:val="center"/>
            <w:hideMark/>
          </w:tcPr>
          <w:p w14:paraId="78D3C80F" w14:textId="16547B67" w:rsidR="00CC434A" w:rsidRPr="00AD1FD3" w:rsidRDefault="00CC434A" w:rsidP="00CC434A">
            <w:pPr>
              <w:spacing w:line="360" w:lineRule="auto"/>
              <w:rPr>
                <w:color w:val="000000"/>
                <w:sz w:val="20"/>
                <w:szCs w:val="20"/>
                <w:lang w:val="en-US" w:eastAsia="en-US"/>
              </w:rPr>
            </w:pPr>
            <w:r w:rsidRPr="00AD1FD3">
              <w:rPr>
                <w:color w:val="000000"/>
                <w:sz w:val="20"/>
                <w:szCs w:val="20"/>
                <w:lang w:eastAsia="en-US"/>
              </w:rPr>
              <w:t>0.</w:t>
            </w:r>
            <w:r>
              <w:rPr>
                <w:color w:val="000000"/>
                <w:sz w:val="20"/>
                <w:szCs w:val="20"/>
                <w:lang w:eastAsia="en-US"/>
              </w:rPr>
              <w:t>49</w:t>
            </w:r>
          </w:p>
        </w:tc>
      </w:tr>
      <w:tr w:rsidR="00CC434A" w:rsidRPr="006008A0" w14:paraId="1AFB2B6E" w14:textId="77777777" w:rsidTr="00EA4606">
        <w:trPr>
          <w:trHeight w:val="310"/>
          <w:jc w:val="center"/>
        </w:trPr>
        <w:tc>
          <w:tcPr>
            <w:tcW w:w="1123" w:type="dxa"/>
            <w:tcBorders>
              <w:top w:val="nil"/>
              <w:left w:val="nil"/>
              <w:bottom w:val="nil"/>
              <w:right w:val="nil"/>
            </w:tcBorders>
            <w:shd w:val="clear" w:color="auto" w:fill="auto"/>
            <w:vAlign w:val="center"/>
            <w:hideMark/>
          </w:tcPr>
          <w:p w14:paraId="220879DD" w14:textId="77777777" w:rsidR="00CC434A" w:rsidRPr="00AD1FD3" w:rsidRDefault="00CC434A" w:rsidP="00CC434A">
            <w:pPr>
              <w:spacing w:line="360" w:lineRule="auto"/>
              <w:rPr>
                <w:color w:val="000000"/>
                <w:sz w:val="20"/>
                <w:szCs w:val="20"/>
                <w:lang w:val="en-US" w:eastAsia="en-US"/>
              </w:rPr>
            </w:pPr>
            <w:r w:rsidRPr="00AD1FD3">
              <w:rPr>
                <w:color w:val="000000"/>
                <w:sz w:val="20"/>
                <w:szCs w:val="20"/>
                <w:lang w:eastAsia="en-US"/>
              </w:rPr>
              <w:t>Querer</w:t>
            </w:r>
          </w:p>
        </w:tc>
        <w:tc>
          <w:tcPr>
            <w:tcW w:w="1468" w:type="dxa"/>
            <w:tcBorders>
              <w:top w:val="nil"/>
              <w:left w:val="nil"/>
              <w:bottom w:val="nil"/>
              <w:right w:val="nil"/>
            </w:tcBorders>
            <w:shd w:val="clear" w:color="auto" w:fill="auto"/>
            <w:hideMark/>
          </w:tcPr>
          <w:p w14:paraId="0E34BA70" w14:textId="4E89B748" w:rsidR="00CC434A" w:rsidRPr="00AD1FD3" w:rsidRDefault="00CC434A" w:rsidP="00CC434A">
            <w:pPr>
              <w:spacing w:line="360" w:lineRule="auto"/>
              <w:rPr>
                <w:color w:val="000000"/>
                <w:sz w:val="20"/>
                <w:szCs w:val="20"/>
                <w:lang w:val="en-US" w:eastAsia="en-US"/>
              </w:rPr>
            </w:pPr>
            <w:r w:rsidRPr="00844577">
              <w:t>42</w:t>
            </w:r>
          </w:p>
        </w:tc>
        <w:tc>
          <w:tcPr>
            <w:tcW w:w="1291" w:type="dxa"/>
            <w:tcBorders>
              <w:top w:val="nil"/>
              <w:left w:val="nil"/>
              <w:bottom w:val="nil"/>
              <w:right w:val="nil"/>
            </w:tcBorders>
            <w:shd w:val="clear" w:color="auto" w:fill="auto"/>
            <w:vAlign w:val="center"/>
            <w:hideMark/>
          </w:tcPr>
          <w:p w14:paraId="17E11E80" w14:textId="60A1B1F3" w:rsidR="00CC434A" w:rsidRPr="00AD1FD3" w:rsidRDefault="00CC434A" w:rsidP="00CC434A">
            <w:pPr>
              <w:spacing w:line="360" w:lineRule="auto"/>
              <w:rPr>
                <w:color w:val="000000"/>
                <w:sz w:val="20"/>
                <w:szCs w:val="20"/>
                <w:lang w:val="en-US" w:eastAsia="en-US"/>
              </w:rPr>
            </w:pPr>
            <w:r>
              <w:rPr>
                <w:color w:val="000000"/>
                <w:sz w:val="20"/>
                <w:szCs w:val="20"/>
                <w:lang w:val="en-US" w:eastAsia="en-US"/>
              </w:rPr>
              <w:t>3</w:t>
            </w:r>
          </w:p>
        </w:tc>
        <w:tc>
          <w:tcPr>
            <w:tcW w:w="1184" w:type="dxa"/>
            <w:tcBorders>
              <w:top w:val="nil"/>
              <w:left w:val="nil"/>
              <w:bottom w:val="nil"/>
              <w:right w:val="nil"/>
            </w:tcBorders>
            <w:shd w:val="clear" w:color="auto" w:fill="auto"/>
            <w:vAlign w:val="center"/>
            <w:hideMark/>
          </w:tcPr>
          <w:p w14:paraId="325BD6BD" w14:textId="77777777" w:rsidR="00CC434A" w:rsidRPr="00AD1FD3" w:rsidRDefault="00CC434A" w:rsidP="00CC434A">
            <w:pPr>
              <w:spacing w:line="360" w:lineRule="auto"/>
              <w:rPr>
                <w:color w:val="000000"/>
                <w:sz w:val="20"/>
                <w:szCs w:val="20"/>
                <w:lang w:val="en-US" w:eastAsia="en-US"/>
              </w:rPr>
            </w:pPr>
            <w:r w:rsidRPr="00AD1FD3">
              <w:rPr>
                <w:color w:val="000000"/>
                <w:sz w:val="20"/>
                <w:szCs w:val="20"/>
                <w:lang w:val="en-US" w:eastAsia="en-US"/>
              </w:rPr>
              <w:t>0</w:t>
            </w:r>
          </w:p>
        </w:tc>
        <w:tc>
          <w:tcPr>
            <w:tcW w:w="766" w:type="dxa"/>
            <w:tcBorders>
              <w:top w:val="nil"/>
              <w:left w:val="nil"/>
              <w:bottom w:val="nil"/>
              <w:right w:val="nil"/>
            </w:tcBorders>
            <w:shd w:val="clear" w:color="auto" w:fill="auto"/>
            <w:noWrap/>
            <w:vAlign w:val="bottom"/>
            <w:hideMark/>
          </w:tcPr>
          <w:p w14:paraId="0849DA05" w14:textId="0D246019" w:rsidR="00CC434A" w:rsidRPr="00AD1FD3" w:rsidRDefault="00CC434A" w:rsidP="00CC434A">
            <w:pPr>
              <w:spacing w:line="360" w:lineRule="auto"/>
              <w:rPr>
                <w:sz w:val="20"/>
                <w:szCs w:val="20"/>
                <w:lang w:val="en-US" w:eastAsia="en-US"/>
              </w:rPr>
            </w:pPr>
            <w:r w:rsidRPr="00AD1FD3">
              <w:rPr>
                <w:sz w:val="20"/>
                <w:szCs w:val="20"/>
                <w:lang w:eastAsia="en-US"/>
              </w:rPr>
              <w:t>3</w:t>
            </w:r>
            <w:r>
              <w:rPr>
                <w:sz w:val="20"/>
                <w:szCs w:val="20"/>
                <w:lang w:eastAsia="en-US"/>
              </w:rPr>
              <w:t>6</w:t>
            </w:r>
            <w:r w:rsidRPr="00AD1FD3">
              <w:rPr>
                <w:sz w:val="20"/>
                <w:szCs w:val="20"/>
                <w:lang w:eastAsia="en-US"/>
              </w:rPr>
              <w:t>.</w:t>
            </w:r>
            <w:r>
              <w:rPr>
                <w:sz w:val="20"/>
                <w:szCs w:val="20"/>
                <w:lang w:eastAsia="en-US"/>
              </w:rPr>
              <w:t>28</w:t>
            </w:r>
          </w:p>
        </w:tc>
        <w:tc>
          <w:tcPr>
            <w:tcW w:w="638" w:type="dxa"/>
            <w:tcBorders>
              <w:top w:val="nil"/>
              <w:left w:val="nil"/>
              <w:bottom w:val="nil"/>
              <w:right w:val="nil"/>
            </w:tcBorders>
            <w:shd w:val="clear" w:color="auto" w:fill="auto"/>
            <w:vAlign w:val="center"/>
            <w:hideMark/>
          </w:tcPr>
          <w:p w14:paraId="143D9EA0" w14:textId="2F70F2DC" w:rsidR="00CC434A" w:rsidRPr="00AD1FD3" w:rsidRDefault="00CC434A" w:rsidP="00CC434A">
            <w:pPr>
              <w:spacing w:line="360" w:lineRule="auto"/>
              <w:rPr>
                <w:color w:val="000000"/>
                <w:sz w:val="20"/>
                <w:szCs w:val="20"/>
                <w:lang w:val="en-US" w:eastAsia="en-US"/>
              </w:rPr>
            </w:pPr>
            <w:r w:rsidRPr="00AD1FD3">
              <w:rPr>
                <w:color w:val="000000"/>
                <w:sz w:val="20"/>
                <w:szCs w:val="20"/>
                <w:lang w:eastAsia="en-US"/>
              </w:rPr>
              <w:t>0.8</w:t>
            </w:r>
            <w:r>
              <w:rPr>
                <w:color w:val="000000"/>
                <w:sz w:val="20"/>
                <w:szCs w:val="20"/>
                <w:lang w:eastAsia="en-US"/>
              </w:rPr>
              <w:t>5</w:t>
            </w:r>
          </w:p>
        </w:tc>
      </w:tr>
      <w:tr w:rsidR="00CC434A" w:rsidRPr="006008A0" w14:paraId="08F97B01" w14:textId="77777777" w:rsidTr="00EA4606">
        <w:trPr>
          <w:trHeight w:val="310"/>
          <w:jc w:val="center"/>
        </w:trPr>
        <w:tc>
          <w:tcPr>
            <w:tcW w:w="1123" w:type="dxa"/>
            <w:tcBorders>
              <w:top w:val="nil"/>
              <w:left w:val="nil"/>
              <w:bottom w:val="nil"/>
              <w:right w:val="nil"/>
            </w:tcBorders>
            <w:shd w:val="clear" w:color="auto" w:fill="auto"/>
            <w:vAlign w:val="center"/>
            <w:hideMark/>
          </w:tcPr>
          <w:p w14:paraId="30BDE37E" w14:textId="77777777" w:rsidR="00CC434A" w:rsidRPr="00AD1FD3" w:rsidRDefault="00CC434A" w:rsidP="00CC434A">
            <w:pPr>
              <w:spacing w:line="360" w:lineRule="auto"/>
              <w:rPr>
                <w:color w:val="000000"/>
                <w:sz w:val="20"/>
                <w:szCs w:val="20"/>
                <w:lang w:val="en-US" w:eastAsia="en-US"/>
              </w:rPr>
            </w:pPr>
            <w:r w:rsidRPr="00AD1FD3">
              <w:rPr>
                <w:color w:val="000000"/>
                <w:sz w:val="20"/>
                <w:szCs w:val="20"/>
                <w:lang w:eastAsia="en-US"/>
              </w:rPr>
              <w:t>Creer</w:t>
            </w:r>
          </w:p>
        </w:tc>
        <w:tc>
          <w:tcPr>
            <w:tcW w:w="1468" w:type="dxa"/>
            <w:tcBorders>
              <w:top w:val="nil"/>
              <w:left w:val="nil"/>
              <w:bottom w:val="nil"/>
              <w:right w:val="nil"/>
            </w:tcBorders>
            <w:shd w:val="clear" w:color="auto" w:fill="auto"/>
            <w:hideMark/>
          </w:tcPr>
          <w:p w14:paraId="7D1E8E16" w14:textId="54146FDC" w:rsidR="00CC434A" w:rsidRPr="00AD1FD3" w:rsidRDefault="00CC434A" w:rsidP="00CC434A">
            <w:pPr>
              <w:spacing w:line="360" w:lineRule="auto"/>
              <w:rPr>
                <w:color w:val="000000"/>
                <w:sz w:val="20"/>
                <w:szCs w:val="20"/>
                <w:lang w:val="en-US" w:eastAsia="en-US"/>
              </w:rPr>
            </w:pPr>
            <w:r w:rsidRPr="00844577">
              <w:t>43</w:t>
            </w:r>
          </w:p>
        </w:tc>
        <w:tc>
          <w:tcPr>
            <w:tcW w:w="1291" w:type="dxa"/>
            <w:tcBorders>
              <w:top w:val="nil"/>
              <w:left w:val="nil"/>
              <w:bottom w:val="nil"/>
              <w:right w:val="nil"/>
            </w:tcBorders>
            <w:shd w:val="clear" w:color="auto" w:fill="auto"/>
            <w:vAlign w:val="center"/>
            <w:hideMark/>
          </w:tcPr>
          <w:p w14:paraId="183DCCEB" w14:textId="198A9F41" w:rsidR="00CC434A" w:rsidRPr="00AD1FD3" w:rsidRDefault="00CC434A" w:rsidP="00CC434A">
            <w:pPr>
              <w:spacing w:line="360" w:lineRule="auto"/>
              <w:rPr>
                <w:color w:val="000000"/>
                <w:sz w:val="20"/>
                <w:szCs w:val="20"/>
                <w:lang w:val="en-US" w:eastAsia="en-US"/>
              </w:rPr>
            </w:pPr>
            <w:r>
              <w:rPr>
                <w:color w:val="000000"/>
                <w:sz w:val="20"/>
                <w:szCs w:val="20"/>
                <w:lang w:val="en-US" w:eastAsia="en-US"/>
              </w:rPr>
              <w:t>2</w:t>
            </w:r>
          </w:p>
        </w:tc>
        <w:tc>
          <w:tcPr>
            <w:tcW w:w="1184" w:type="dxa"/>
            <w:tcBorders>
              <w:top w:val="nil"/>
              <w:left w:val="nil"/>
              <w:bottom w:val="nil"/>
              <w:right w:val="nil"/>
            </w:tcBorders>
            <w:shd w:val="clear" w:color="auto" w:fill="auto"/>
            <w:vAlign w:val="center"/>
            <w:hideMark/>
          </w:tcPr>
          <w:p w14:paraId="15EB0EA4" w14:textId="77777777" w:rsidR="00CC434A" w:rsidRPr="00AD1FD3" w:rsidRDefault="00CC434A" w:rsidP="00CC434A">
            <w:pPr>
              <w:spacing w:line="360" w:lineRule="auto"/>
              <w:rPr>
                <w:color w:val="000000"/>
                <w:sz w:val="20"/>
                <w:szCs w:val="20"/>
                <w:lang w:val="en-US" w:eastAsia="en-US"/>
              </w:rPr>
            </w:pPr>
            <w:r w:rsidRPr="00AD1FD3">
              <w:rPr>
                <w:color w:val="000000"/>
                <w:sz w:val="20"/>
                <w:szCs w:val="20"/>
                <w:lang w:val="en-US" w:eastAsia="en-US"/>
              </w:rPr>
              <w:t>2</w:t>
            </w:r>
          </w:p>
        </w:tc>
        <w:tc>
          <w:tcPr>
            <w:tcW w:w="766" w:type="dxa"/>
            <w:tcBorders>
              <w:top w:val="nil"/>
              <w:left w:val="nil"/>
              <w:bottom w:val="nil"/>
              <w:right w:val="nil"/>
            </w:tcBorders>
            <w:shd w:val="clear" w:color="auto" w:fill="auto"/>
            <w:noWrap/>
            <w:vAlign w:val="bottom"/>
            <w:hideMark/>
          </w:tcPr>
          <w:p w14:paraId="759D770D" w14:textId="7058F78A" w:rsidR="00CC434A" w:rsidRPr="00AD1FD3" w:rsidRDefault="00CC434A" w:rsidP="00CC434A">
            <w:pPr>
              <w:spacing w:line="360" w:lineRule="auto"/>
              <w:rPr>
                <w:sz w:val="20"/>
                <w:szCs w:val="20"/>
                <w:lang w:val="en-US" w:eastAsia="en-US"/>
              </w:rPr>
            </w:pPr>
            <w:r>
              <w:rPr>
                <w:sz w:val="20"/>
                <w:szCs w:val="20"/>
                <w:lang w:eastAsia="en-US"/>
              </w:rPr>
              <w:t>39</w:t>
            </w:r>
            <w:r w:rsidRPr="00AD1FD3">
              <w:rPr>
                <w:sz w:val="20"/>
                <w:szCs w:val="20"/>
                <w:lang w:eastAsia="en-US"/>
              </w:rPr>
              <w:t>.</w:t>
            </w:r>
            <w:r>
              <w:rPr>
                <w:sz w:val="20"/>
                <w:szCs w:val="20"/>
                <w:lang w:eastAsia="en-US"/>
              </w:rPr>
              <w:t>14</w:t>
            </w:r>
          </w:p>
        </w:tc>
        <w:tc>
          <w:tcPr>
            <w:tcW w:w="638" w:type="dxa"/>
            <w:tcBorders>
              <w:top w:val="nil"/>
              <w:left w:val="nil"/>
              <w:bottom w:val="nil"/>
              <w:right w:val="nil"/>
            </w:tcBorders>
            <w:shd w:val="clear" w:color="auto" w:fill="auto"/>
            <w:vAlign w:val="center"/>
            <w:hideMark/>
          </w:tcPr>
          <w:p w14:paraId="34ED26E2" w14:textId="4167D070" w:rsidR="00CC434A" w:rsidRPr="00AD1FD3" w:rsidRDefault="00CC434A" w:rsidP="00CC434A">
            <w:pPr>
              <w:spacing w:line="360" w:lineRule="auto"/>
              <w:rPr>
                <w:color w:val="000000"/>
                <w:sz w:val="20"/>
                <w:szCs w:val="20"/>
                <w:lang w:val="en-US" w:eastAsia="en-US"/>
              </w:rPr>
            </w:pPr>
            <w:r w:rsidRPr="00AD1FD3">
              <w:rPr>
                <w:color w:val="000000"/>
                <w:sz w:val="20"/>
                <w:szCs w:val="20"/>
                <w:lang w:eastAsia="en-US"/>
              </w:rPr>
              <w:t>0.8</w:t>
            </w:r>
            <w:r>
              <w:rPr>
                <w:color w:val="000000"/>
                <w:sz w:val="20"/>
                <w:szCs w:val="20"/>
                <w:lang w:eastAsia="en-US"/>
              </w:rPr>
              <w:t>8</w:t>
            </w:r>
          </w:p>
        </w:tc>
      </w:tr>
      <w:tr w:rsidR="00CC434A" w:rsidRPr="006008A0" w14:paraId="76C94A81" w14:textId="77777777" w:rsidTr="00EA4606">
        <w:trPr>
          <w:trHeight w:val="310"/>
          <w:jc w:val="center"/>
        </w:trPr>
        <w:tc>
          <w:tcPr>
            <w:tcW w:w="1123" w:type="dxa"/>
            <w:tcBorders>
              <w:top w:val="nil"/>
              <w:left w:val="nil"/>
              <w:bottom w:val="nil"/>
              <w:right w:val="nil"/>
            </w:tcBorders>
            <w:shd w:val="clear" w:color="auto" w:fill="auto"/>
            <w:vAlign w:val="center"/>
            <w:hideMark/>
          </w:tcPr>
          <w:p w14:paraId="65F0931A" w14:textId="77777777" w:rsidR="00CC434A" w:rsidRPr="00AD1FD3" w:rsidRDefault="00CC434A" w:rsidP="00CC434A">
            <w:pPr>
              <w:spacing w:line="360" w:lineRule="auto"/>
              <w:rPr>
                <w:color w:val="000000"/>
                <w:sz w:val="20"/>
                <w:szCs w:val="20"/>
                <w:lang w:val="en-US" w:eastAsia="en-US"/>
              </w:rPr>
            </w:pPr>
            <w:r w:rsidRPr="00AD1FD3">
              <w:rPr>
                <w:color w:val="000000"/>
                <w:sz w:val="20"/>
                <w:szCs w:val="20"/>
                <w:lang w:eastAsia="en-US"/>
              </w:rPr>
              <w:t>Ir</w:t>
            </w:r>
          </w:p>
        </w:tc>
        <w:tc>
          <w:tcPr>
            <w:tcW w:w="1468" w:type="dxa"/>
            <w:tcBorders>
              <w:top w:val="nil"/>
              <w:left w:val="nil"/>
              <w:bottom w:val="nil"/>
              <w:right w:val="nil"/>
            </w:tcBorders>
            <w:shd w:val="clear" w:color="auto" w:fill="auto"/>
            <w:hideMark/>
          </w:tcPr>
          <w:p w14:paraId="43CE63B4" w14:textId="346B4C26" w:rsidR="00CC434A" w:rsidRPr="00AD1FD3" w:rsidRDefault="00CC434A" w:rsidP="00CC434A">
            <w:pPr>
              <w:spacing w:line="360" w:lineRule="auto"/>
              <w:rPr>
                <w:color w:val="000000"/>
                <w:sz w:val="20"/>
                <w:szCs w:val="20"/>
                <w:lang w:val="en-US" w:eastAsia="en-US"/>
              </w:rPr>
            </w:pPr>
            <w:r w:rsidRPr="00844577">
              <w:t>40</w:t>
            </w:r>
          </w:p>
        </w:tc>
        <w:tc>
          <w:tcPr>
            <w:tcW w:w="1291" w:type="dxa"/>
            <w:tcBorders>
              <w:top w:val="nil"/>
              <w:left w:val="nil"/>
              <w:bottom w:val="nil"/>
              <w:right w:val="nil"/>
            </w:tcBorders>
            <w:shd w:val="clear" w:color="auto" w:fill="auto"/>
            <w:vAlign w:val="center"/>
            <w:hideMark/>
          </w:tcPr>
          <w:p w14:paraId="5FD3CB94" w14:textId="4F6D6E8D" w:rsidR="00CC434A" w:rsidRPr="00AD1FD3" w:rsidRDefault="00CC434A" w:rsidP="00CC434A">
            <w:pPr>
              <w:spacing w:line="360" w:lineRule="auto"/>
              <w:rPr>
                <w:color w:val="000000"/>
                <w:sz w:val="20"/>
                <w:szCs w:val="20"/>
                <w:lang w:val="en-US" w:eastAsia="en-US"/>
              </w:rPr>
            </w:pPr>
            <w:r>
              <w:rPr>
                <w:color w:val="000000"/>
                <w:sz w:val="20"/>
                <w:szCs w:val="20"/>
                <w:lang w:val="en-US" w:eastAsia="en-US"/>
              </w:rPr>
              <w:t>5</w:t>
            </w:r>
          </w:p>
        </w:tc>
        <w:tc>
          <w:tcPr>
            <w:tcW w:w="1184" w:type="dxa"/>
            <w:tcBorders>
              <w:top w:val="nil"/>
              <w:left w:val="nil"/>
              <w:bottom w:val="nil"/>
              <w:right w:val="nil"/>
            </w:tcBorders>
            <w:shd w:val="clear" w:color="auto" w:fill="auto"/>
            <w:vAlign w:val="center"/>
            <w:hideMark/>
          </w:tcPr>
          <w:p w14:paraId="5B35C8C7" w14:textId="77777777" w:rsidR="00CC434A" w:rsidRPr="00AD1FD3" w:rsidRDefault="00CC434A" w:rsidP="00CC434A">
            <w:pPr>
              <w:spacing w:line="360" w:lineRule="auto"/>
              <w:rPr>
                <w:color w:val="000000"/>
                <w:sz w:val="20"/>
                <w:szCs w:val="20"/>
                <w:lang w:val="en-US" w:eastAsia="en-US"/>
              </w:rPr>
            </w:pPr>
            <w:r w:rsidRPr="00AD1FD3">
              <w:rPr>
                <w:color w:val="000000"/>
                <w:sz w:val="20"/>
                <w:szCs w:val="20"/>
                <w:lang w:val="en-US" w:eastAsia="en-US"/>
              </w:rPr>
              <w:t>0</w:t>
            </w:r>
          </w:p>
        </w:tc>
        <w:tc>
          <w:tcPr>
            <w:tcW w:w="766" w:type="dxa"/>
            <w:tcBorders>
              <w:top w:val="nil"/>
              <w:left w:val="nil"/>
              <w:bottom w:val="nil"/>
              <w:right w:val="nil"/>
            </w:tcBorders>
            <w:shd w:val="clear" w:color="auto" w:fill="auto"/>
            <w:noWrap/>
            <w:vAlign w:val="bottom"/>
            <w:hideMark/>
          </w:tcPr>
          <w:p w14:paraId="3964563B" w14:textId="610379A1" w:rsidR="00CC434A" w:rsidRPr="00AD1FD3" w:rsidRDefault="00CC434A" w:rsidP="00CC434A">
            <w:pPr>
              <w:spacing w:line="360" w:lineRule="auto"/>
              <w:rPr>
                <w:sz w:val="20"/>
                <w:szCs w:val="20"/>
                <w:lang w:val="en-US" w:eastAsia="en-US"/>
              </w:rPr>
            </w:pPr>
            <w:r w:rsidRPr="00AD1FD3">
              <w:rPr>
                <w:sz w:val="20"/>
                <w:szCs w:val="20"/>
                <w:lang w:eastAsia="en-US"/>
              </w:rPr>
              <w:t>40.</w:t>
            </w:r>
            <w:r>
              <w:rPr>
                <w:sz w:val="20"/>
                <w:szCs w:val="20"/>
                <w:lang w:eastAsia="en-US"/>
              </w:rPr>
              <w:t>11</w:t>
            </w:r>
          </w:p>
        </w:tc>
        <w:tc>
          <w:tcPr>
            <w:tcW w:w="638" w:type="dxa"/>
            <w:tcBorders>
              <w:top w:val="nil"/>
              <w:left w:val="nil"/>
              <w:bottom w:val="nil"/>
              <w:right w:val="nil"/>
            </w:tcBorders>
            <w:shd w:val="clear" w:color="auto" w:fill="auto"/>
            <w:vAlign w:val="center"/>
            <w:hideMark/>
          </w:tcPr>
          <w:p w14:paraId="594CEA67" w14:textId="22479AA5" w:rsidR="00CC434A" w:rsidRPr="00AD1FD3" w:rsidRDefault="00CC434A" w:rsidP="00CC434A">
            <w:pPr>
              <w:spacing w:line="360" w:lineRule="auto"/>
              <w:rPr>
                <w:color w:val="000000"/>
                <w:sz w:val="20"/>
                <w:szCs w:val="20"/>
                <w:lang w:val="en-US" w:eastAsia="en-US"/>
              </w:rPr>
            </w:pPr>
            <w:r w:rsidRPr="00AD1FD3">
              <w:rPr>
                <w:color w:val="000000"/>
                <w:sz w:val="20"/>
                <w:szCs w:val="20"/>
                <w:lang w:eastAsia="en-US"/>
              </w:rPr>
              <w:t>0.</w:t>
            </w:r>
            <w:r>
              <w:rPr>
                <w:color w:val="000000"/>
                <w:sz w:val="20"/>
                <w:szCs w:val="20"/>
                <w:lang w:eastAsia="en-US"/>
              </w:rPr>
              <w:t>91</w:t>
            </w:r>
          </w:p>
        </w:tc>
      </w:tr>
      <w:tr w:rsidR="00CC434A" w:rsidRPr="006008A0" w14:paraId="2E73CEF5" w14:textId="77777777" w:rsidTr="00EA4606">
        <w:trPr>
          <w:trHeight w:val="320"/>
          <w:jc w:val="center"/>
        </w:trPr>
        <w:tc>
          <w:tcPr>
            <w:tcW w:w="1123" w:type="dxa"/>
            <w:tcBorders>
              <w:top w:val="nil"/>
              <w:left w:val="nil"/>
              <w:bottom w:val="single" w:sz="12" w:space="0" w:color="000000"/>
              <w:right w:val="nil"/>
            </w:tcBorders>
            <w:shd w:val="clear" w:color="auto" w:fill="auto"/>
            <w:vAlign w:val="center"/>
            <w:hideMark/>
          </w:tcPr>
          <w:p w14:paraId="233C35F2" w14:textId="77777777" w:rsidR="00CC434A" w:rsidRPr="00AD1FD3" w:rsidRDefault="00CC434A" w:rsidP="00CC434A">
            <w:pPr>
              <w:spacing w:line="360" w:lineRule="auto"/>
              <w:rPr>
                <w:color w:val="000000"/>
                <w:sz w:val="20"/>
                <w:szCs w:val="20"/>
                <w:lang w:val="en-US" w:eastAsia="en-US"/>
              </w:rPr>
            </w:pPr>
            <w:r w:rsidRPr="00AD1FD3">
              <w:rPr>
                <w:color w:val="000000"/>
                <w:sz w:val="20"/>
                <w:szCs w:val="20"/>
                <w:lang w:eastAsia="en-US"/>
              </w:rPr>
              <w:t>Creer</w:t>
            </w:r>
          </w:p>
        </w:tc>
        <w:tc>
          <w:tcPr>
            <w:tcW w:w="1468" w:type="dxa"/>
            <w:tcBorders>
              <w:top w:val="nil"/>
              <w:left w:val="nil"/>
              <w:bottom w:val="single" w:sz="12" w:space="0" w:color="000000"/>
              <w:right w:val="nil"/>
            </w:tcBorders>
            <w:shd w:val="clear" w:color="auto" w:fill="auto"/>
            <w:hideMark/>
          </w:tcPr>
          <w:p w14:paraId="695221DC" w14:textId="4357C834" w:rsidR="00CC434A" w:rsidRPr="00AD1FD3" w:rsidRDefault="00CC434A" w:rsidP="00CC434A">
            <w:pPr>
              <w:spacing w:line="360" w:lineRule="auto"/>
              <w:rPr>
                <w:color w:val="000000"/>
                <w:sz w:val="20"/>
                <w:szCs w:val="20"/>
                <w:lang w:val="en-US" w:eastAsia="en-US"/>
              </w:rPr>
            </w:pPr>
            <w:r w:rsidRPr="00844577">
              <w:t>39</w:t>
            </w:r>
          </w:p>
        </w:tc>
        <w:tc>
          <w:tcPr>
            <w:tcW w:w="1291" w:type="dxa"/>
            <w:tcBorders>
              <w:top w:val="nil"/>
              <w:left w:val="nil"/>
              <w:bottom w:val="single" w:sz="12" w:space="0" w:color="000000"/>
              <w:right w:val="nil"/>
            </w:tcBorders>
            <w:shd w:val="clear" w:color="auto" w:fill="auto"/>
            <w:vAlign w:val="center"/>
            <w:hideMark/>
          </w:tcPr>
          <w:p w14:paraId="0EE9E3E5" w14:textId="39CDCFDE" w:rsidR="00CC434A" w:rsidRPr="00AD1FD3" w:rsidRDefault="00CC434A" w:rsidP="00CC434A">
            <w:pPr>
              <w:spacing w:line="360" w:lineRule="auto"/>
              <w:rPr>
                <w:color w:val="000000"/>
                <w:sz w:val="20"/>
                <w:szCs w:val="20"/>
                <w:lang w:val="en-US" w:eastAsia="en-US"/>
              </w:rPr>
            </w:pPr>
            <w:r>
              <w:rPr>
                <w:color w:val="000000"/>
                <w:sz w:val="20"/>
                <w:szCs w:val="20"/>
                <w:lang w:val="en-US" w:eastAsia="en-US"/>
              </w:rPr>
              <w:t>6</w:t>
            </w:r>
          </w:p>
        </w:tc>
        <w:tc>
          <w:tcPr>
            <w:tcW w:w="1184" w:type="dxa"/>
            <w:tcBorders>
              <w:top w:val="nil"/>
              <w:left w:val="nil"/>
              <w:bottom w:val="single" w:sz="12" w:space="0" w:color="000000"/>
              <w:right w:val="nil"/>
            </w:tcBorders>
            <w:shd w:val="clear" w:color="auto" w:fill="auto"/>
            <w:vAlign w:val="center"/>
            <w:hideMark/>
          </w:tcPr>
          <w:p w14:paraId="3DD87C0B" w14:textId="77777777" w:rsidR="00CC434A" w:rsidRPr="00AD1FD3" w:rsidRDefault="00CC434A" w:rsidP="00CC434A">
            <w:pPr>
              <w:spacing w:line="360" w:lineRule="auto"/>
              <w:rPr>
                <w:color w:val="000000"/>
                <w:sz w:val="20"/>
                <w:szCs w:val="20"/>
                <w:lang w:val="en-US" w:eastAsia="en-US"/>
              </w:rPr>
            </w:pPr>
            <w:r w:rsidRPr="00AD1FD3">
              <w:rPr>
                <w:color w:val="000000"/>
                <w:sz w:val="20"/>
                <w:szCs w:val="20"/>
                <w:lang w:val="en-US" w:eastAsia="en-US"/>
              </w:rPr>
              <w:t>1</w:t>
            </w:r>
          </w:p>
        </w:tc>
        <w:tc>
          <w:tcPr>
            <w:tcW w:w="766" w:type="dxa"/>
            <w:tcBorders>
              <w:top w:val="nil"/>
              <w:left w:val="nil"/>
              <w:bottom w:val="single" w:sz="12" w:space="0" w:color="000000"/>
              <w:right w:val="nil"/>
            </w:tcBorders>
            <w:shd w:val="clear" w:color="auto" w:fill="auto"/>
            <w:vAlign w:val="center"/>
            <w:hideMark/>
          </w:tcPr>
          <w:p w14:paraId="351B8026" w14:textId="4FF48F3C" w:rsidR="00CC434A" w:rsidRPr="00AD1FD3" w:rsidRDefault="00CC434A" w:rsidP="00CC434A">
            <w:pPr>
              <w:spacing w:line="360" w:lineRule="auto"/>
              <w:rPr>
                <w:color w:val="000000"/>
                <w:sz w:val="20"/>
                <w:szCs w:val="20"/>
                <w:lang w:val="en-US" w:eastAsia="en-US"/>
              </w:rPr>
            </w:pPr>
            <w:r>
              <w:rPr>
                <w:color w:val="000000"/>
                <w:sz w:val="20"/>
                <w:szCs w:val="20"/>
                <w:lang w:val="en-US" w:eastAsia="en-US"/>
              </w:rPr>
              <w:t>38</w:t>
            </w:r>
            <w:r w:rsidRPr="00AD1FD3">
              <w:rPr>
                <w:color w:val="000000"/>
                <w:sz w:val="20"/>
                <w:szCs w:val="20"/>
                <w:lang w:val="en-US" w:eastAsia="en-US"/>
              </w:rPr>
              <w:t>.</w:t>
            </w:r>
            <w:r>
              <w:rPr>
                <w:color w:val="000000"/>
                <w:sz w:val="20"/>
                <w:szCs w:val="20"/>
                <w:lang w:val="en-US" w:eastAsia="en-US"/>
              </w:rPr>
              <w:t>75</w:t>
            </w:r>
          </w:p>
        </w:tc>
        <w:tc>
          <w:tcPr>
            <w:tcW w:w="638" w:type="dxa"/>
            <w:tcBorders>
              <w:top w:val="nil"/>
              <w:left w:val="nil"/>
              <w:bottom w:val="single" w:sz="12" w:space="0" w:color="000000"/>
              <w:right w:val="nil"/>
            </w:tcBorders>
            <w:shd w:val="clear" w:color="auto" w:fill="auto"/>
            <w:vAlign w:val="center"/>
            <w:hideMark/>
          </w:tcPr>
          <w:p w14:paraId="7B0FF696" w14:textId="0BC6826A" w:rsidR="00CC434A" w:rsidRPr="00AD1FD3" w:rsidRDefault="00CC434A" w:rsidP="00CC434A">
            <w:pPr>
              <w:spacing w:line="360" w:lineRule="auto"/>
              <w:rPr>
                <w:color w:val="000000"/>
                <w:sz w:val="20"/>
                <w:szCs w:val="20"/>
                <w:lang w:val="en-US" w:eastAsia="en-US"/>
              </w:rPr>
            </w:pPr>
            <w:r w:rsidRPr="00AD1FD3">
              <w:rPr>
                <w:color w:val="000000"/>
                <w:sz w:val="20"/>
                <w:szCs w:val="20"/>
                <w:lang w:eastAsia="en-US"/>
              </w:rPr>
              <w:t>0.7</w:t>
            </w:r>
            <w:r>
              <w:rPr>
                <w:color w:val="000000"/>
                <w:sz w:val="20"/>
                <w:szCs w:val="20"/>
                <w:lang w:eastAsia="en-US"/>
              </w:rPr>
              <w:t>3</w:t>
            </w:r>
          </w:p>
        </w:tc>
      </w:tr>
    </w:tbl>
    <w:p w14:paraId="68C4CF43" w14:textId="77777777" w:rsidR="00C92620" w:rsidRPr="00AD1FD3" w:rsidRDefault="00C92620" w:rsidP="00AD1FD3">
      <w:pPr>
        <w:spacing w:line="360" w:lineRule="auto"/>
        <w:ind w:left="720" w:firstLine="720"/>
        <w:rPr>
          <w:sz w:val="20"/>
          <w:szCs w:val="20"/>
        </w:rPr>
      </w:pPr>
      <w:r w:rsidRPr="00AD1FD3">
        <w:rPr>
          <w:sz w:val="20"/>
          <w:szCs w:val="20"/>
        </w:rPr>
        <w:t>Todos los valores de chi cuadrado son significativos con p&lt;0,01</w:t>
      </w:r>
    </w:p>
    <w:p w14:paraId="07749603" w14:textId="77777777" w:rsidR="006A5305" w:rsidRDefault="006A5305" w:rsidP="00681E3D">
      <w:pPr>
        <w:spacing w:line="360" w:lineRule="auto"/>
        <w:jc w:val="both"/>
      </w:pPr>
    </w:p>
    <w:p w14:paraId="03E747AF" w14:textId="61514FF0" w:rsidR="00C92620" w:rsidRPr="006008A0" w:rsidRDefault="00C92620" w:rsidP="00681E3D">
      <w:pPr>
        <w:spacing w:line="360" w:lineRule="auto"/>
        <w:jc w:val="both"/>
      </w:pPr>
      <w:r w:rsidRPr="006008A0">
        <w:t xml:space="preserve">El análisis de los puntajes de consistencia revela un patrón similar, que se puede observar en </w:t>
      </w:r>
      <w:r w:rsidR="00472B3F">
        <w:t>el gráfico 1</w:t>
      </w:r>
      <w:r w:rsidRPr="006008A0">
        <w:t>. En promedio, las oraciones perspectivas fueron calificadas como más consistentes (</w:t>
      </w:r>
      <w:r w:rsidR="00472B3F" w:rsidRPr="00472B3F">
        <w:rPr>
          <w:i/>
          <w:iCs/>
        </w:rPr>
        <w:t>M</w:t>
      </w:r>
      <w:r w:rsidRPr="006008A0">
        <w:t>= 6.</w:t>
      </w:r>
      <w:r w:rsidR="00C76937">
        <w:t>52</w:t>
      </w:r>
      <w:r w:rsidRPr="006008A0">
        <w:t>) que las oraciones referenciales (</w:t>
      </w:r>
      <w:r w:rsidR="00472B3F" w:rsidRPr="00472B3F">
        <w:rPr>
          <w:i/>
          <w:iCs/>
        </w:rPr>
        <w:t>M</w:t>
      </w:r>
      <w:r w:rsidRPr="006008A0">
        <w:t>=4.</w:t>
      </w:r>
      <w:r w:rsidR="00C76937">
        <w:t>67</w:t>
      </w:r>
      <w:r w:rsidRPr="006008A0">
        <w:t>) o los distractores (</w:t>
      </w:r>
      <w:r w:rsidR="00472B3F" w:rsidRPr="00472B3F">
        <w:rPr>
          <w:i/>
          <w:iCs/>
        </w:rPr>
        <w:t>M</w:t>
      </w:r>
      <w:r w:rsidRPr="006008A0">
        <w:t>=3.</w:t>
      </w:r>
      <w:r w:rsidR="00C76937">
        <w:t>28</w:t>
      </w:r>
      <w:r w:rsidRPr="006008A0">
        <w:t xml:space="preserve">). </w:t>
      </w:r>
    </w:p>
    <w:p w14:paraId="042063E1" w14:textId="17B53B4E" w:rsidR="00C92620" w:rsidRPr="006008A0" w:rsidRDefault="00C92620" w:rsidP="00AD1FD3">
      <w:pPr>
        <w:spacing w:line="360" w:lineRule="auto"/>
      </w:pPr>
    </w:p>
    <w:p w14:paraId="40F9432C" w14:textId="7D5177A5" w:rsidR="00C92620" w:rsidRPr="006008A0" w:rsidRDefault="002B6D1E" w:rsidP="00AD1FD3">
      <w:pPr>
        <w:spacing w:line="360" w:lineRule="auto"/>
      </w:pPr>
      <w:r w:rsidRPr="002B6D1E">
        <w:rPr>
          <w:noProof/>
        </w:rPr>
        <w:drawing>
          <wp:inline distT="0" distB="0" distL="0" distR="0" wp14:anchorId="3967E496" wp14:editId="4EB408C3">
            <wp:extent cx="5404485" cy="4053205"/>
            <wp:effectExtent l="0" t="0" r="571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04485" cy="4053205"/>
                    </a:xfrm>
                    <a:prstGeom prst="rect">
                      <a:avLst/>
                    </a:prstGeom>
                  </pic:spPr>
                </pic:pic>
              </a:graphicData>
            </a:graphic>
          </wp:inline>
        </w:drawing>
      </w:r>
      <w:r w:rsidR="00C92620" w:rsidRPr="006008A0">
        <w:rPr>
          <w:noProof/>
        </w:rPr>
        <w:t xml:space="preserve"> </w:t>
      </w:r>
    </w:p>
    <w:p w14:paraId="08AB83ED" w14:textId="68B1B8FE" w:rsidR="00C92620" w:rsidRPr="006008A0" w:rsidRDefault="00C92620" w:rsidP="000D1C89">
      <w:pPr>
        <w:spacing w:line="360" w:lineRule="auto"/>
        <w:jc w:val="center"/>
      </w:pPr>
      <w:r w:rsidRPr="00641334">
        <w:rPr>
          <w:b/>
          <w:bCs/>
        </w:rPr>
        <w:t xml:space="preserve">Gráfico </w:t>
      </w:r>
      <w:r>
        <w:rPr>
          <w:b/>
          <w:bCs/>
        </w:rPr>
        <w:t>1</w:t>
      </w:r>
      <w:r w:rsidRPr="00641334">
        <w:rPr>
          <w:b/>
          <w:bCs/>
        </w:rPr>
        <w:t>.</w:t>
      </w:r>
      <w:r w:rsidRPr="006008A0">
        <w:t xml:space="preserve"> Consistencia promedio por enunciado y tipo de verbo</w:t>
      </w:r>
    </w:p>
    <w:p w14:paraId="20E5DB38" w14:textId="77777777" w:rsidR="007C03ED" w:rsidRDefault="007C03ED" w:rsidP="00681E3D">
      <w:pPr>
        <w:spacing w:line="360" w:lineRule="auto"/>
        <w:ind w:firstLine="720"/>
        <w:jc w:val="both"/>
      </w:pPr>
    </w:p>
    <w:p w14:paraId="0EBC6808" w14:textId="239B890F" w:rsidR="00C92620" w:rsidRDefault="00C92620" w:rsidP="00681E3D">
      <w:pPr>
        <w:spacing w:line="360" w:lineRule="auto"/>
        <w:ind w:firstLine="720"/>
        <w:jc w:val="both"/>
      </w:pPr>
      <w:r w:rsidRPr="006008A0">
        <w:t xml:space="preserve">En </w:t>
      </w:r>
      <w:r>
        <w:t>el gráfico 1</w:t>
      </w:r>
      <w:r w:rsidRPr="006008A0">
        <w:t xml:space="preserve"> también se puede observar cómo el patrón de preferencia es virtualmente idéntico para los verbos de intención/acción y los verbos epistémicos. Se realizaron análisis de varianza de medidas repetidas (utilizando el tipo de oración como factor intra</w:t>
      </w:r>
      <w:r w:rsidR="002879E7">
        <w:t>-</w:t>
      </w:r>
      <w:r w:rsidRPr="006008A0">
        <w:t>sujeto) por cada una de las situaciones que confirmaron que las diferencias son significativas para cada uno de los verbos (</w:t>
      </w:r>
      <w:r>
        <w:t>v</w:t>
      </w:r>
      <w:r w:rsidRPr="006008A0">
        <w:t xml:space="preserve">er </w:t>
      </w:r>
      <w:r w:rsidR="00295D12">
        <w:t>T</w:t>
      </w:r>
      <w:r w:rsidRPr="006008A0">
        <w:t>abla 3).</w:t>
      </w:r>
    </w:p>
    <w:p w14:paraId="3C05A721" w14:textId="77777777" w:rsidR="006A5305" w:rsidRPr="006008A0" w:rsidRDefault="006A5305" w:rsidP="00681E3D">
      <w:pPr>
        <w:spacing w:line="360" w:lineRule="auto"/>
        <w:ind w:firstLine="720"/>
        <w:jc w:val="both"/>
      </w:pPr>
    </w:p>
    <w:p w14:paraId="7E3445C3" w14:textId="62B51255" w:rsidR="00C92620" w:rsidRPr="006008A0" w:rsidRDefault="00C92620" w:rsidP="00641334">
      <w:pPr>
        <w:spacing w:line="360" w:lineRule="auto"/>
        <w:jc w:val="center"/>
      </w:pPr>
      <w:r w:rsidRPr="00641334">
        <w:rPr>
          <w:b/>
          <w:bCs/>
        </w:rPr>
        <w:t>Tabla 3</w:t>
      </w:r>
      <w:r w:rsidRPr="006008A0">
        <w:t>. Consistencia promedio evaluada para cada enunciado</w:t>
      </w:r>
    </w:p>
    <w:tbl>
      <w:tblPr>
        <w:tblW w:w="7100" w:type="dxa"/>
        <w:jc w:val="center"/>
        <w:tblLook w:val="04A0" w:firstRow="1" w:lastRow="0" w:firstColumn="1" w:lastColumn="0" w:noHBand="0" w:noVBand="1"/>
      </w:tblPr>
      <w:tblGrid>
        <w:gridCol w:w="1156"/>
        <w:gridCol w:w="1261"/>
        <w:gridCol w:w="1194"/>
        <w:gridCol w:w="1094"/>
        <w:gridCol w:w="690"/>
        <w:gridCol w:w="889"/>
        <w:gridCol w:w="816"/>
      </w:tblGrid>
      <w:tr w:rsidR="00C92620" w:rsidRPr="00AD1FD3" w14:paraId="457457D9" w14:textId="44680228" w:rsidTr="00681E3D">
        <w:trPr>
          <w:trHeight w:val="310"/>
          <w:jc w:val="center"/>
        </w:trPr>
        <w:tc>
          <w:tcPr>
            <w:tcW w:w="1340" w:type="dxa"/>
            <w:tcBorders>
              <w:top w:val="single" w:sz="4" w:space="0" w:color="auto"/>
              <w:left w:val="nil"/>
              <w:bottom w:val="single" w:sz="8" w:space="0" w:color="000000"/>
              <w:right w:val="nil"/>
            </w:tcBorders>
            <w:shd w:val="clear" w:color="auto" w:fill="auto"/>
            <w:vAlign w:val="center"/>
            <w:hideMark/>
          </w:tcPr>
          <w:p w14:paraId="32198D05" w14:textId="77777777" w:rsidR="00C92620" w:rsidRPr="00AD1FD3" w:rsidRDefault="00C92620" w:rsidP="00AD1FD3">
            <w:pPr>
              <w:spacing w:line="360" w:lineRule="auto"/>
              <w:rPr>
                <w:b/>
                <w:bCs/>
                <w:color w:val="000000"/>
                <w:sz w:val="20"/>
                <w:szCs w:val="20"/>
                <w:lang w:val="en-US" w:eastAsia="en-US"/>
              </w:rPr>
            </w:pPr>
            <w:r w:rsidRPr="00AD1FD3">
              <w:rPr>
                <w:b/>
                <w:bCs/>
                <w:color w:val="000000"/>
                <w:sz w:val="20"/>
                <w:szCs w:val="20"/>
                <w:lang w:eastAsia="en-US"/>
              </w:rPr>
              <w:t>Verbo</w:t>
            </w:r>
          </w:p>
        </w:tc>
        <w:tc>
          <w:tcPr>
            <w:tcW w:w="960" w:type="dxa"/>
            <w:tcBorders>
              <w:top w:val="single" w:sz="4" w:space="0" w:color="auto"/>
              <w:left w:val="nil"/>
              <w:bottom w:val="single" w:sz="8" w:space="0" w:color="000000"/>
              <w:right w:val="nil"/>
            </w:tcBorders>
          </w:tcPr>
          <w:p w14:paraId="10BF94C0" w14:textId="57474657" w:rsidR="00C92620" w:rsidRPr="00AD1FD3" w:rsidRDefault="00C92620" w:rsidP="00AD1FD3">
            <w:pPr>
              <w:spacing w:line="360" w:lineRule="auto"/>
              <w:rPr>
                <w:b/>
                <w:bCs/>
                <w:color w:val="000000"/>
                <w:sz w:val="20"/>
                <w:szCs w:val="20"/>
                <w:lang w:eastAsia="en-US"/>
              </w:rPr>
            </w:pPr>
            <w:r w:rsidRPr="00AD1FD3">
              <w:rPr>
                <w:b/>
                <w:bCs/>
                <w:color w:val="000000"/>
                <w:sz w:val="20"/>
                <w:szCs w:val="20"/>
                <w:lang w:eastAsia="en-US"/>
              </w:rPr>
              <w:t>Perspectival</w:t>
            </w:r>
          </w:p>
        </w:tc>
        <w:tc>
          <w:tcPr>
            <w:tcW w:w="960" w:type="dxa"/>
            <w:tcBorders>
              <w:top w:val="single" w:sz="4" w:space="0" w:color="auto"/>
              <w:left w:val="nil"/>
              <w:bottom w:val="single" w:sz="8" w:space="0" w:color="000000"/>
              <w:right w:val="nil"/>
            </w:tcBorders>
          </w:tcPr>
          <w:p w14:paraId="39D19F06" w14:textId="1EBCB30D" w:rsidR="00C92620" w:rsidRPr="00AD1FD3" w:rsidRDefault="00C92620" w:rsidP="00AD1FD3">
            <w:pPr>
              <w:spacing w:line="360" w:lineRule="auto"/>
              <w:rPr>
                <w:b/>
                <w:bCs/>
                <w:color w:val="000000"/>
                <w:sz w:val="20"/>
                <w:szCs w:val="20"/>
                <w:lang w:eastAsia="en-US"/>
              </w:rPr>
            </w:pPr>
            <w:r w:rsidRPr="00AD1FD3">
              <w:rPr>
                <w:b/>
                <w:bCs/>
                <w:color w:val="000000"/>
                <w:sz w:val="20"/>
                <w:szCs w:val="20"/>
                <w:lang w:eastAsia="en-US"/>
              </w:rPr>
              <w:t>Referencial</w:t>
            </w:r>
          </w:p>
        </w:tc>
        <w:tc>
          <w:tcPr>
            <w:tcW w:w="960" w:type="dxa"/>
            <w:tcBorders>
              <w:top w:val="single" w:sz="4" w:space="0" w:color="auto"/>
              <w:left w:val="nil"/>
              <w:bottom w:val="single" w:sz="8" w:space="0" w:color="000000"/>
              <w:right w:val="nil"/>
            </w:tcBorders>
          </w:tcPr>
          <w:p w14:paraId="62B6B0FB" w14:textId="64E10B12" w:rsidR="00C92620" w:rsidRPr="00AD1FD3" w:rsidRDefault="00C92620" w:rsidP="00AD1FD3">
            <w:pPr>
              <w:spacing w:line="360" w:lineRule="auto"/>
              <w:rPr>
                <w:b/>
                <w:bCs/>
                <w:color w:val="000000"/>
                <w:sz w:val="20"/>
                <w:szCs w:val="20"/>
                <w:lang w:eastAsia="en-US"/>
              </w:rPr>
            </w:pPr>
            <w:r w:rsidRPr="00AD1FD3">
              <w:rPr>
                <w:b/>
                <w:bCs/>
                <w:color w:val="000000"/>
                <w:sz w:val="20"/>
                <w:szCs w:val="20"/>
                <w:lang w:eastAsia="en-US"/>
              </w:rPr>
              <w:t>Distractor</w:t>
            </w:r>
          </w:p>
        </w:tc>
        <w:tc>
          <w:tcPr>
            <w:tcW w:w="960" w:type="dxa"/>
            <w:tcBorders>
              <w:top w:val="single" w:sz="4" w:space="0" w:color="auto"/>
              <w:left w:val="nil"/>
              <w:bottom w:val="single" w:sz="8" w:space="0" w:color="000000"/>
              <w:right w:val="nil"/>
            </w:tcBorders>
          </w:tcPr>
          <w:p w14:paraId="15B069DF" w14:textId="644F0359" w:rsidR="00C92620" w:rsidRPr="00AD1FD3" w:rsidRDefault="00C92620" w:rsidP="00AD1FD3">
            <w:pPr>
              <w:spacing w:line="360" w:lineRule="auto"/>
              <w:rPr>
                <w:b/>
                <w:bCs/>
                <w:color w:val="000000"/>
                <w:sz w:val="20"/>
                <w:szCs w:val="20"/>
                <w:lang w:eastAsia="en-US"/>
              </w:rPr>
            </w:pPr>
          </w:p>
        </w:tc>
        <w:tc>
          <w:tcPr>
            <w:tcW w:w="960" w:type="dxa"/>
            <w:tcBorders>
              <w:top w:val="single" w:sz="4" w:space="0" w:color="auto"/>
              <w:left w:val="nil"/>
              <w:bottom w:val="single" w:sz="8" w:space="0" w:color="000000"/>
              <w:right w:val="nil"/>
            </w:tcBorders>
            <w:vAlign w:val="center"/>
          </w:tcPr>
          <w:p w14:paraId="6527A40D" w14:textId="4FD9CB64" w:rsidR="00C92620" w:rsidRPr="00AD1FD3" w:rsidRDefault="00C92620" w:rsidP="00AD1FD3">
            <w:pPr>
              <w:spacing w:line="360" w:lineRule="auto"/>
              <w:rPr>
                <w:b/>
                <w:bCs/>
                <w:color w:val="000000"/>
                <w:sz w:val="20"/>
                <w:szCs w:val="20"/>
                <w:lang w:eastAsia="en-US"/>
              </w:rPr>
            </w:pPr>
            <w:r w:rsidRPr="00AD1FD3">
              <w:rPr>
                <w:b/>
                <w:bCs/>
                <w:color w:val="000000"/>
                <w:sz w:val="20"/>
                <w:szCs w:val="20"/>
                <w:lang w:val="en-US" w:eastAsia="en-US"/>
              </w:rPr>
              <w:t>F</w:t>
            </w:r>
          </w:p>
        </w:tc>
        <w:tc>
          <w:tcPr>
            <w:tcW w:w="960" w:type="dxa"/>
            <w:tcBorders>
              <w:top w:val="single" w:sz="4" w:space="0" w:color="auto"/>
              <w:left w:val="nil"/>
              <w:bottom w:val="single" w:sz="8" w:space="0" w:color="000000"/>
              <w:right w:val="nil"/>
            </w:tcBorders>
            <w:vAlign w:val="center"/>
          </w:tcPr>
          <w:p w14:paraId="3CCD79AA" w14:textId="715CAD97" w:rsidR="00C92620" w:rsidRPr="00AD1FD3" w:rsidRDefault="00C92620" w:rsidP="00AD1FD3">
            <w:pPr>
              <w:spacing w:line="360" w:lineRule="auto"/>
              <w:rPr>
                <w:b/>
                <w:bCs/>
                <w:color w:val="000000"/>
                <w:sz w:val="20"/>
                <w:szCs w:val="20"/>
                <w:lang w:eastAsia="en-US"/>
              </w:rPr>
            </w:pPr>
            <w:r w:rsidRPr="00AD1FD3">
              <w:rPr>
                <w:b/>
                <w:bCs/>
                <w:color w:val="000000"/>
                <w:sz w:val="20"/>
                <w:szCs w:val="20"/>
                <w:lang w:eastAsia="en-US"/>
              </w:rPr>
              <w:t xml:space="preserve"> η² </w:t>
            </w:r>
          </w:p>
        </w:tc>
      </w:tr>
      <w:tr w:rsidR="00C92620" w:rsidRPr="00AD1FD3" w14:paraId="23FE2A19" w14:textId="31C13AA9" w:rsidTr="00681E3D">
        <w:trPr>
          <w:trHeight w:val="310"/>
          <w:jc w:val="center"/>
        </w:trPr>
        <w:tc>
          <w:tcPr>
            <w:tcW w:w="1340" w:type="dxa"/>
            <w:tcBorders>
              <w:top w:val="nil"/>
              <w:left w:val="nil"/>
              <w:bottom w:val="nil"/>
              <w:right w:val="nil"/>
            </w:tcBorders>
            <w:shd w:val="clear" w:color="auto" w:fill="auto"/>
            <w:vAlign w:val="center"/>
            <w:hideMark/>
          </w:tcPr>
          <w:p w14:paraId="1B5AED29" w14:textId="592CC16F" w:rsidR="00C92620" w:rsidRPr="00AD1FD3" w:rsidRDefault="00D61E7D" w:rsidP="00AD1FD3">
            <w:pPr>
              <w:spacing w:line="360" w:lineRule="auto"/>
              <w:rPr>
                <w:color w:val="000000"/>
                <w:sz w:val="20"/>
                <w:szCs w:val="20"/>
                <w:lang w:val="en-US" w:eastAsia="en-US"/>
              </w:rPr>
            </w:pPr>
            <w:r>
              <w:rPr>
                <w:color w:val="000000"/>
                <w:sz w:val="20"/>
                <w:szCs w:val="20"/>
                <w:lang w:val="en-US" w:eastAsia="en-US"/>
              </w:rPr>
              <w:t>Intentar</w:t>
            </w:r>
          </w:p>
        </w:tc>
        <w:tc>
          <w:tcPr>
            <w:tcW w:w="960" w:type="dxa"/>
            <w:tcBorders>
              <w:top w:val="nil"/>
              <w:left w:val="nil"/>
              <w:bottom w:val="nil"/>
              <w:right w:val="nil"/>
            </w:tcBorders>
          </w:tcPr>
          <w:p w14:paraId="227E3ABF" w14:textId="4949D66E" w:rsidR="00C92620" w:rsidRPr="00AD1FD3" w:rsidRDefault="00C92620" w:rsidP="00AD1FD3">
            <w:pPr>
              <w:spacing w:line="360" w:lineRule="auto"/>
              <w:rPr>
                <w:color w:val="000000"/>
                <w:sz w:val="20"/>
                <w:szCs w:val="20"/>
                <w:lang w:val="en-US" w:eastAsia="en-US"/>
              </w:rPr>
            </w:pPr>
            <w:r w:rsidRPr="00AD1FD3">
              <w:rPr>
                <w:color w:val="000000"/>
                <w:sz w:val="20"/>
                <w:szCs w:val="20"/>
                <w:lang w:eastAsia="en-US"/>
              </w:rPr>
              <w:t>6.</w:t>
            </w:r>
            <w:r w:rsidR="00CC434A">
              <w:rPr>
                <w:color w:val="000000"/>
                <w:sz w:val="20"/>
                <w:szCs w:val="20"/>
                <w:lang w:eastAsia="en-US"/>
              </w:rPr>
              <w:t>84</w:t>
            </w:r>
            <w:r w:rsidRPr="00AD1FD3">
              <w:rPr>
                <w:color w:val="000000"/>
                <w:sz w:val="20"/>
                <w:szCs w:val="20"/>
                <w:lang w:val="en-US" w:eastAsia="en-US"/>
              </w:rPr>
              <w:t>(0.</w:t>
            </w:r>
            <w:r w:rsidR="00CC434A">
              <w:rPr>
                <w:color w:val="000000"/>
                <w:sz w:val="20"/>
                <w:szCs w:val="20"/>
                <w:lang w:val="en-US" w:eastAsia="en-US"/>
              </w:rPr>
              <w:t>37</w:t>
            </w:r>
            <w:r w:rsidRPr="00AD1FD3">
              <w:rPr>
                <w:color w:val="000000"/>
                <w:sz w:val="20"/>
                <w:szCs w:val="20"/>
                <w:lang w:val="en-US" w:eastAsia="en-US"/>
              </w:rPr>
              <w:t>)</w:t>
            </w:r>
          </w:p>
        </w:tc>
        <w:tc>
          <w:tcPr>
            <w:tcW w:w="960" w:type="dxa"/>
            <w:tcBorders>
              <w:top w:val="nil"/>
              <w:left w:val="nil"/>
              <w:bottom w:val="nil"/>
              <w:right w:val="nil"/>
            </w:tcBorders>
          </w:tcPr>
          <w:p w14:paraId="42C185C6" w14:textId="14B6B1E9" w:rsidR="00C92620" w:rsidRPr="00AD1FD3" w:rsidRDefault="00C92620" w:rsidP="00AD1FD3">
            <w:pPr>
              <w:spacing w:line="360" w:lineRule="auto"/>
              <w:rPr>
                <w:color w:val="000000"/>
                <w:sz w:val="20"/>
                <w:szCs w:val="20"/>
                <w:lang w:eastAsia="en-US"/>
              </w:rPr>
            </w:pPr>
            <w:r w:rsidRPr="00AD1FD3">
              <w:rPr>
                <w:color w:val="000000"/>
                <w:sz w:val="20"/>
                <w:szCs w:val="20"/>
                <w:lang w:eastAsia="en-US"/>
              </w:rPr>
              <w:t>3.21(1.86)</w:t>
            </w:r>
          </w:p>
        </w:tc>
        <w:tc>
          <w:tcPr>
            <w:tcW w:w="960" w:type="dxa"/>
            <w:tcBorders>
              <w:top w:val="nil"/>
              <w:left w:val="nil"/>
              <w:bottom w:val="nil"/>
              <w:right w:val="nil"/>
            </w:tcBorders>
          </w:tcPr>
          <w:p w14:paraId="7352966D" w14:textId="2FBC1ED4" w:rsidR="00C92620" w:rsidRPr="00AD1FD3" w:rsidRDefault="00DF7AF1" w:rsidP="00AD1FD3">
            <w:pPr>
              <w:spacing w:line="360" w:lineRule="auto"/>
              <w:rPr>
                <w:color w:val="000000"/>
                <w:sz w:val="20"/>
                <w:szCs w:val="20"/>
                <w:lang w:eastAsia="en-US"/>
              </w:rPr>
            </w:pPr>
            <w:r>
              <w:rPr>
                <w:color w:val="000000"/>
                <w:sz w:val="20"/>
                <w:szCs w:val="20"/>
                <w:lang w:eastAsia="en-US"/>
              </w:rPr>
              <w:t>3</w:t>
            </w:r>
            <w:r w:rsidR="00C92620" w:rsidRPr="00AD1FD3">
              <w:rPr>
                <w:color w:val="000000"/>
                <w:sz w:val="20"/>
                <w:szCs w:val="20"/>
                <w:lang w:eastAsia="en-US"/>
              </w:rPr>
              <w:t>.</w:t>
            </w:r>
            <w:r>
              <w:rPr>
                <w:color w:val="000000"/>
                <w:sz w:val="20"/>
                <w:szCs w:val="20"/>
                <w:lang w:eastAsia="en-US"/>
              </w:rPr>
              <w:t>1</w:t>
            </w:r>
            <w:r w:rsidR="00C92620" w:rsidRPr="00AD1FD3">
              <w:rPr>
                <w:color w:val="000000"/>
                <w:sz w:val="20"/>
                <w:szCs w:val="20"/>
                <w:lang w:eastAsia="en-US"/>
              </w:rPr>
              <w:t>1(2.17)</w:t>
            </w:r>
          </w:p>
        </w:tc>
        <w:tc>
          <w:tcPr>
            <w:tcW w:w="960" w:type="dxa"/>
            <w:tcBorders>
              <w:top w:val="nil"/>
              <w:left w:val="nil"/>
              <w:bottom w:val="nil"/>
              <w:right w:val="nil"/>
            </w:tcBorders>
          </w:tcPr>
          <w:p w14:paraId="4261D66C" w14:textId="01A3B978" w:rsidR="00C92620" w:rsidRPr="00AD1FD3" w:rsidRDefault="00C92620" w:rsidP="00AD1FD3">
            <w:pPr>
              <w:spacing w:line="360" w:lineRule="auto"/>
              <w:rPr>
                <w:color w:val="000000"/>
                <w:sz w:val="20"/>
                <w:szCs w:val="20"/>
                <w:lang w:eastAsia="en-US"/>
              </w:rPr>
            </w:pPr>
          </w:p>
        </w:tc>
        <w:tc>
          <w:tcPr>
            <w:tcW w:w="960" w:type="dxa"/>
            <w:tcBorders>
              <w:top w:val="nil"/>
              <w:left w:val="nil"/>
              <w:bottom w:val="nil"/>
              <w:right w:val="nil"/>
            </w:tcBorders>
            <w:vAlign w:val="center"/>
          </w:tcPr>
          <w:p w14:paraId="5CF43F4F" w14:textId="365258FD" w:rsidR="00C92620" w:rsidRPr="00AD1FD3" w:rsidRDefault="00DF7AF1" w:rsidP="00AD1FD3">
            <w:pPr>
              <w:spacing w:line="360" w:lineRule="auto"/>
              <w:rPr>
                <w:color w:val="000000"/>
                <w:sz w:val="20"/>
                <w:szCs w:val="20"/>
                <w:lang w:eastAsia="en-US"/>
              </w:rPr>
            </w:pPr>
            <w:r>
              <w:rPr>
                <w:color w:val="000000"/>
                <w:sz w:val="20"/>
                <w:szCs w:val="20"/>
                <w:lang w:eastAsia="en-US"/>
              </w:rPr>
              <w:t>29</w:t>
            </w:r>
            <w:r w:rsidR="00C92620" w:rsidRPr="00AD1FD3">
              <w:rPr>
                <w:color w:val="000000"/>
                <w:sz w:val="20"/>
                <w:szCs w:val="20"/>
                <w:lang w:eastAsia="en-US"/>
              </w:rPr>
              <w:t>.30</w:t>
            </w:r>
          </w:p>
        </w:tc>
        <w:tc>
          <w:tcPr>
            <w:tcW w:w="960" w:type="dxa"/>
            <w:tcBorders>
              <w:top w:val="nil"/>
              <w:left w:val="nil"/>
              <w:bottom w:val="nil"/>
              <w:right w:val="nil"/>
            </w:tcBorders>
            <w:vAlign w:val="center"/>
          </w:tcPr>
          <w:p w14:paraId="212D9257" w14:textId="1E06539E" w:rsidR="00C92620" w:rsidRPr="00AD1FD3" w:rsidRDefault="00C92620" w:rsidP="00AD1FD3">
            <w:pPr>
              <w:spacing w:line="360" w:lineRule="auto"/>
              <w:rPr>
                <w:color w:val="000000"/>
                <w:sz w:val="20"/>
                <w:szCs w:val="20"/>
                <w:lang w:eastAsia="en-US"/>
              </w:rPr>
            </w:pPr>
            <w:r w:rsidRPr="00AD1FD3">
              <w:rPr>
                <w:color w:val="000000"/>
                <w:sz w:val="20"/>
                <w:szCs w:val="20"/>
                <w:lang w:eastAsia="en-US"/>
              </w:rPr>
              <w:t>0.5</w:t>
            </w:r>
            <w:r w:rsidR="00DF7AF1">
              <w:rPr>
                <w:color w:val="000000"/>
                <w:sz w:val="20"/>
                <w:szCs w:val="20"/>
                <w:lang w:eastAsia="en-US"/>
              </w:rPr>
              <w:t>5</w:t>
            </w:r>
          </w:p>
        </w:tc>
      </w:tr>
      <w:tr w:rsidR="00C92620" w:rsidRPr="00AD1FD3" w14:paraId="1638EE5C" w14:textId="6C53E8DF" w:rsidTr="00681E3D">
        <w:trPr>
          <w:trHeight w:val="310"/>
          <w:jc w:val="center"/>
        </w:trPr>
        <w:tc>
          <w:tcPr>
            <w:tcW w:w="1340" w:type="dxa"/>
            <w:tcBorders>
              <w:top w:val="nil"/>
              <w:left w:val="nil"/>
              <w:bottom w:val="nil"/>
              <w:right w:val="nil"/>
            </w:tcBorders>
            <w:shd w:val="clear" w:color="auto" w:fill="auto"/>
            <w:vAlign w:val="center"/>
            <w:hideMark/>
          </w:tcPr>
          <w:p w14:paraId="68A1D97F" w14:textId="77777777" w:rsidR="00C92620" w:rsidRPr="00AD1FD3" w:rsidRDefault="00C92620" w:rsidP="00AD1FD3">
            <w:pPr>
              <w:spacing w:line="360" w:lineRule="auto"/>
              <w:rPr>
                <w:color w:val="000000"/>
                <w:sz w:val="20"/>
                <w:szCs w:val="20"/>
                <w:lang w:val="en-US" w:eastAsia="en-US"/>
              </w:rPr>
            </w:pPr>
            <w:r w:rsidRPr="00AD1FD3">
              <w:rPr>
                <w:color w:val="000000"/>
                <w:sz w:val="20"/>
                <w:szCs w:val="20"/>
                <w:lang w:eastAsia="en-US"/>
              </w:rPr>
              <w:t>Creer</w:t>
            </w:r>
          </w:p>
        </w:tc>
        <w:tc>
          <w:tcPr>
            <w:tcW w:w="960" w:type="dxa"/>
            <w:tcBorders>
              <w:top w:val="nil"/>
              <w:left w:val="nil"/>
              <w:bottom w:val="nil"/>
              <w:right w:val="nil"/>
            </w:tcBorders>
          </w:tcPr>
          <w:p w14:paraId="29DF6637" w14:textId="307B1BA3" w:rsidR="00C92620" w:rsidRPr="00AD1FD3" w:rsidRDefault="00C92620" w:rsidP="00AD1FD3">
            <w:pPr>
              <w:spacing w:line="360" w:lineRule="auto"/>
              <w:rPr>
                <w:color w:val="000000"/>
                <w:sz w:val="20"/>
                <w:szCs w:val="20"/>
                <w:lang w:eastAsia="en-US"/>
              </w:rPr>
            </w:pPr>
            <w:r w:rsidRPr="00AD1FD3">
              <w:rPr>
                <w:color w:val="000000"/>
                <w:sz w:val="20"/>
                <w:szCs w:val="20"/>
                <w:lang w:eastAsia="en-US"/>
              </w:rPr>
              <w:t>6.</w:t>
            </w:r>
            <w:r w:rsidR="00CC434A">
              <w:rPr>
                <w:color w:val="000000"/>
                <w:sz w:val="20"/>
                <w:szCs w:val="20"/>
                <w:lang w:eastAsia="en-US"/>
              </w:rPr>
              <w:t>95</w:t>
            </w:r>
            <w:r w:rsidRPr="00AD1FD3">
              <w:rPr>
                <w:color w:val="000000"/>
                <w:sz w:val="20"/>
                <w:szCs w:val="20"/>
                <w:lang w:eastAsia="en-US"/>
              </w:rPr>
              <w:t>(0.</w:t>
            </w:r>
            <w:r w:rsidR="00CC434A">
              <w:rPr>
                <w:color w:val="000000"/>
                <w:sz w:val="20"/>
                <w:szCs w:val="20"/>
                <w:lang w:eastAsia="en-US"/>
              </w:rPr>
              <w:t>31</w:t>
            </w:r>
            <w:r w:rsidRPr="00AD1FD3">
              <w:rPr>
                <w:color w:val="000000"/>
                <w:sz w:val="20"/>
                <w:szCs w:val="20"/>
                <w:lang w:eastAsia="en-US"/>
              </w:rPr>
              <w:t>)</w:t>
            </w:r>
          </w:p>
        </w:tc>
        <w:tc>
          <w:tcPr>
            <w:tcW w:w="960" w:type="dxa"/>
            <w:tcBorders>
              <w:top w:val="nil"/>
              <w:left w:val="nil"/>
              <w:bottom w:val="nil"/>
              <w:right w:val="nil"/>
            </w:tcBorders>
          </w:tcPr>
          <w:p w14:paraId="4BF346F5" w14:textId="266FDD7A" w:rsidR="00C92620" w:rsidRPr="00AD1FD3" w:rsidRDefault="00C92620" w:rsidP="00AD1FD3">
            <w:pPr>
              <w:spacing w:line="360" w:lineRule="auto"/>
              <w:rPr>
                <w:color w:val="000000"/>
                <w:sz w:val="20"/>
                <w:szCs w:val="20"/>
                <w:lang w:eastAsia="en-US"/>
              </w:rPr>
            </w:pPr>
            <w:r w:rsidRPr="00AD1FD3">
              <w:rPr>
                <w:color w:val="000000"/>
                <w:sz w:val="20"/>
                <w:szCs w:val="20"/>
                <w:lang w:eastAsia="en-US"/>
              </w:rPr>
              <w:t>4.04(2.10)</w:t>
            </w:r>
          </w:p>
        </w:tc>
        <w:tc>
          <w:tcPr>
            <w:tcW w:w="960" w:type="dxa"/>
            <w:tcBorders>
              <w:top w:val="nil"/>
              <w:left w:val="nil"/>
              <w:bottom w:val="nil"/>
              <w:right w:val="nil"/>
            </w:tcBorders>
          </w:tcPr>
          <w:p w14:paraId="489B6BBF" w14:textId="26103FAD" w:rsidR="00C92620" w:rsidRPr="00AD1FD3" w:rsidRDefault="00C92620" w:rsidP="00AD1FD3">
            <w:pPr>
              <w:spacing w:line="360" w:lineRule="auto"/>
              <w:rPr>
                <w:color w:val="000000"/>
                <w:sz w:val="20"/>
                <w:szCs w:val="20"/>
                <w:lang w:eastAsia="en-US"/>
              </w:rPr>
            </w:pPr>
            <w:r w:rsidRPr="00AD1FD3">
              <w:rPr>
                <w:color w:val="000000"/>
                <w:sz w:val="20"/>
                <w:szCs w:val="20"/>
                <w:lang w:eastAsia="en-US"/>
              </w:rPr>
              <w:t>2.71(2.05)</w:t>
            </w:r>
          </w:p>
        </w:tc>
        <w:tc>
          <w:tcPr>
            <w:tcW w:w="960" w:type="dxa"/>
            <w:tcBorders>
              <w:top w:val="nil"/>
              <w:left w:val="nil"/>
              <w:bottom w:val="nil"/>
              <w:right w:val="nil"/>
            </w:tcBorders>
          </w:tcPr>
          <w:p w14:paraId="0D81517C" w14:textId="3E0E8A9E" w:rsidR="00C92620" w:rsidRPr="00AD1FD3" w:rsidRDefault="00C92620" w:rsidP="00AD1FD3">
            <w:pPr>
              <w:spacing w:line="360" w:lineRule="auto"/>
              <w:rPr>
                <w:color w:val="000000"/>
                <w:sz w:val="20"/>
                <w:szCs w:val="20"/>
                <w:lang w:eastAsia="en-US"/>
              </w:rPr>
            </w:pPr>
          </w:p>
        </w:tc>
        <w:tc>
          <w:tcPr>
            <w:tcW w:w="960" w:type="dxa"/>
            <w:tcBorders>
              <w:top w:val="nil"/>
              <w:left w:val="nil"/>
              <w:bottom w:val="nil"/>
              <w:right w:val="nil"/>
            </w:tcBorders>
            <w:vAlign w:val="center"/>
          </w:tcPr>
          <w:p w14:paraId="6A19A7F9" w14:textId="39E58E68" w:rsidR="00C92620" w:rsidRPr="00AD1FD3" w:rsidRDefault="00C92620" w:rsidP="00AD1FD3">
            <w:pPr>
              <w:spacing w:line="360" w:lineRule="auto"/>
              <w:rPr>
                <w:color w:val="000000"/>
                <w:sz w:val="20"/>
                <w:szCs w:val="20"/>
                <w:lang w:eastAsia="en-US"/>
              </w:rPr>
            </w:pPr>
            <w:r w:rsidRPr="00AD1FD3">
              <w:rPr>
                <w:color w:val="000000"/>
                <w:sz w:val="20"/>
                <w:szCs w:val="20"/>
                <w:lang w:eastAsia="en-US"/>
              </w:rPr>
              <w:t>4</w:t>
            </w:r>
            <w:r w:rsidR="00DF7AF1">
              <w:rPr>
                <w:color w:val="000000"/>
                <w:sz w:val="20"/>
                <w:szCs w:val="20"/>
                <w:lang w:eastAsia="en-US"/>
              </w:rPr>
              <w:t>5</w:t>
            </w:r>
            <w:r w:rsidRPr="00AD1FD3">
              <w:rPr>
                <w:color w:val="000000"/>
                <w:sz w:val="20"/>
                <w:szCs w:val="20"/>
                <w:lang w:eastAsia="en-US"/>
              </w:rPr>
              <w:t>.</w:t>
            </w:r>
            <w:r w:rsidR="00DF7AF1">
              <w:rPr>
                <w:color w:val="000000"/>
                <w:sz w:val="20"/>
                <w:szCs w:val="20"/>
                <w:lang w:eastAsia="en-US"/>
              </w:rPr>
              <w:t>81</w:t>
            </w:r>
          </w:p>
        </w:tc>
        <w:tc>
          <w:tcPr>
            <w:tcW w:w="960" w:type="dxa"/>
            <w:tcBorders>
              <w:top w:val="nil"/>
              <w:left w:val="nil"/>
              <w:bottom w:val="nil"/>
              <w:right w:val="nil"/>
            </w:tcBorders>
            <w:vAlign w:val="center"/>
          </w:tcPr>
          <w:p w14:paraId="754DEA20" w14:textId="20A0A619" w:rsidR="00C92620" w:rsidRPr="00AD1FD3" w:rsidRDefault="00C92620" w:rsidP="00AD1FD3">
            <w:pPr>
              <w:spacing w:line="360" w:lineRule="auto"/>
              <w:rPr>
                <w:color w:val="000000"/>
                <w:sz w:val="20"/>
                <w:szCs w:val="20"/>
                <w:lang w:eastAsia="en-US"/>
              </w:rPr>
            </w:pPr>
            <w:r w:rsidRPr="00AD1FD3">
              <w:rPr>
                <w:color w:val="000000"/>
                <w:sz w:val="20"/>
                <w:szCs w:val="20"/>
                <w:lang w:eastAsia="en-US"/>
              </w:rPr>
              <w:t>0.66</w:t>
            </w:r>
          </w:p>
        </w:tc>
      </w:tr>
      <w:tr w:rsidR="00C92620" w:rsidRPr="00AD1FD3" w14:paraId="119C2161" w14:textId="491BB254" w:rsidTr="00681E3D">
        <w:trPr>
          <w:trHeight w:val="310"/>
          <w:jc w:val="center"/>
        </w:trPr>
        <w:tc>
          <w:tcPr>
            <w:tcW w:w="1340" w:type="dxa"/>
            <w:tcBorders>
              <w:top w:val="nil"/>
              <w:left w:val="nil"/>
              <w:bottom w:val="nil"/>
              <w:right w:val="nil"/>
            </w:tcBorders>
            <w:shd w:val="clear" w:color="auto" w:fill="auto"/>
            <w:vAlign w:val="center"/>
            <w:hideMark/>
          </w:tcPr>
          <w:p w14:paraId="211D015C" w14:textId="77777777" w:rsidR="00C92620" w:rsidRPr="00AD1FD3" w:rsidRDefault="00C92620" w:rsidP="00AD1FD3">
            <w:pPr>
              <w:spacing w:line="360" w:lineRule="auto"/>
              <w:rPr>
                <w:color w:val="000000"/>
                <w:sz w:val="20"/>
                <w:szCs w:val="20"/>
                <w:lang w:val="en-US" w:eastAsia="en-US"/>
              </w:rPr>
            </w:pPr>
            <w:r w:rsidRPr="00AD1FD3">
              <w:rPr>
                <w:color w:val="000000"/>
                <w:sz w:val="20"/>
                <w:szCs w:val="20"/>
                <w:lang w:eastAsia="en-US"/>
              </w:rPr>
              <w:t xml:space="preserve">Saber </w:t>
            </w:r>
          </w:p>
        </w:tc>
        <w:tc>
          <w:tcPr>
            <w:tcW w:w="960" w:type="dxa"/>
            <w:tcBorders>
              <w:top w:val="nil"/>
              <w:left w:val="nil"/>
              <w:bottom w:val="nil"/>
              <w:right w:val="nil"/>
            </w:tcBorders>
          </w:tcPr>
          <w:p w14:paraId="77D2EA8D" w14:textId="79A5B31B" w:rsidR="00C92620" w:rsidRPr="00AD1FD3" w:rsidRDefault="00CC434A" w:rsidP="00AD1FD3">
            <w:pPr>
              <w:spacing w:line="360" w:lineRule="auto"/>
              <w:rPr>
                <w:color w:val="000000"/>
                <w:sz w:val="20"/>
                <w:szCs w:val="20"/>
                <w:lang w:val="en-US" w:eastAsia="en-US"/>
              </w:rPr>
            </w:pPr>
            <w:r>
              <w:rPr>
                <w:color w:val="000000"/>
                <w:sz w:val="20"/>
                <w:szCs w:val="20"/>
                <w:lang w:val="en-US" w:eastAsia="en-US"/>
              </w:rPr>
              <w:t>6.20</w:t>
            </w:r>
            <w:r w:rsidR="00C92620" w:rsidRPr="00AD1FD3">
              <w:rPr>
                <w:color w:val="000000"/>
                <w:sz w:val="20"/>
                <w:szCs w:val="20"/>
                <w:lang w:val="en-US" w:eastAsia="en-US"/>
              </w:rPr>
              <w:t>(</w:t>
            </w:r>
            <w:r>
              <w:rPr>
                <w:color w:val="000000"/>
                <w:sz w:val="20"/>
                <w:szCs w:val="20"/>
                <w:lang w:val="en-US" w:eastAsia="en-US"/>
              </w:rPr>
              <w:t>0</w:t>
            </w:r>
            <w:r w:rsidR="00C92620" w:rsidRPr="00AD1FD3">
              <w:rPr>
                <w:color w:val="000000"/>
                <w:sz w:val="20"/>
                <w:szCs w:val="20"/>
                <w:lang w:val="en-US" w:eastAsia="en-US"/>
              </w:rPr>
              <w:t>.</w:t>
            </w:r>
            <w:r>
              <w:rPr>
                <w:color w:val="000000"/>
                <w:sz w:val="20"/>
                <w:szCs w:val="20"/>
                <w:lang w:val="en-US" w:eastAsia="en-US"/>
              </w:rPr>
              <w:t>99</w:t>
            </w:r>
            <w:r w:rsidR="00C92620" w:rsidRPr="00AD1FD3">
              <w:rPr>
                <w:color w:val="000000"/>
                <w:sz w:val="20"/>
                <w:szCs w:val="20"/>
                <w:lang w:val="en-US" w:eastAsia="en-US"/>
              </w:rPr>
              <w:t>)</w:t>
            </w:r>
          </w:p>
        </w:tc>
        <w:tc>
          <w:tcPr>
            <w:tcW w:w="960" w:type="dxa"/>
            <w:tcBorders>
              <w:top w:val="nil"/>
              <w:left w:val="nil"/>
              <w:bottom w:val="nil"/>
              <w:right w:val="nil"/>
            </w:tcBorders>
          </w:tcPr>
          <w:p w14:paraId="4C8C69AB" w14:textId="38334A83" w:rsidR="00C92620" w:rsidRPr="00AD1FD3" w:rsidRDefault="00C92620" w:rsidP="00AD1FD3">
            <w:pPr>
              <w:spacing w:line="360" w:lineRule="auto"/>
              <w:rPr>
                <w:color w:val="000000"/>
                <w:sz w:val="20"/>
                <w:szCs w:val="20"/>
                <w:lang w:val="en-US" w:eastAsia="en-US"/>
              </w:rPr>
            </w:pPr>
            <w:r w:rsidRPr="00AD1FD3">
              <w:rPr>
                <w:color w:val="000000"/>
                <w:sz w:val="20"/>
                <w:szCs w:val="20"/>
                <w:lang w:val="en-US" w:eastAsia="en-US"/>
              </w:rPr>
              <w:t>5.25(1.89)</w:t>
            </w:r>
          </w:p>
        </w:tc>
        <w:tc>
          <w:tcPr>
            <w:tcW w:w="960" w:type="dxa"/>
            <w:tcBorders>
              <w:top w:val="nil"/>
              <w:left w:val="nil"/>
              <w:bottom w:val="nil"/>
              <w:right w:val="nil"/>
            </w:tcBorders>
          </w:tcPr>
          <w:p w14:paraId="1F0A6A41" w14:textId="3BED7B41" w:rsidR="00C92620" w:rsidRPr="00AD1FD3" w:rsidRDefault="00C92620" w:rsidP="00AD1FD3">
            <w:pPr>
              <w:spacing w:line="360" w:lineRule="auto"/>
              <w:rPr>
                <w:color w:val="000000"/>
                <w:sz w:val="20"/>
                <w:szCs w:val="20"/>
                <w:lang w:val="en-US" w:eastAsia="en-US"/>
              </w:rPr>
            </w:pPr>
            <w:r w:rsidRPr="00AD1FD3">
              <w:rPr>
                <w:color w:val="000000"/>
                <w:sz w:val="20"/>
                <w:szCs w:val="20"/>
                <w:lang w:val="en-US" w:eastAsia="en-US"/>
              </w:rPr>
              <w:t>2.</w:t>
            </w:r>
            <w:r w:rsidR="00DF7AF1">
              <w:rPr>
                <w:color w:val="000000"/>
                <w:sz w:val="20"/>
                <w:szCs w:val="20"/>
                <w:lang w:val="en-US" w:eastAsia="en-US"/>
              </w:rPr>
              <w:t>89</w:t>
            </w:r>
            <w:r w:rsidRPr="00AD1FD3">
              <w:rPr>
                <w:color w:val="000000"/>
                <w:sz w:val="20"/>
                <w:szCs w:val="20"/>
                <w:lang w:val="en-US" w:eastAsia="en-US"/>
              </w:rPr>
              <w:t>(1.92)</w:t>
            </w:r>
          </w:p>
        </w:tc>
        <w:tc>
          <w:tcPr>
            <w:tcW w:w="960" w:type="dxa"/>
            <w:tcBorders>
              <w:top w:val="nil"/>
              <w:left w:val="nil"/>
              <w:bottom w:val="nil"/>
              <w:right w:val="nil"/>
            </w:tcBorders>
          </w:tcPr>
          <w:p w14:paraId="6D9B127B" w14:textId="1147B985" w:rsidR="00C92620" w:rsidRPr="00AD1FD3" w:rsidRDefault="00C92620" w:rsidP="00AD1FD3">
            <w:pPr>
              <w:spacing w:line="360" w:lineRule="auto"/>
              <w:rPr>
                <w:color w:val="000000"/>
                <w:sz w:val="20"/>
                <w:szCs w:val="20"/>
                <w:lang w:val="en-US" w:eastAsia="en-US"/>
              </w:rPr>
            </w:pPr>
          </w:p>
        </w:tc>
        <w:tc>
          <w:tcPr>
            <w:tcW w:w="960" w:type="dxa"/>
            <w:tcBorders>
              <w:top w:val="nil"/>
              <w:left w:val="nil"/>
              <w:bottom w:val="nil"/>
              <w:right w:val="nil"/>
            </w:tcBorders>
            <w:vAlign w:val="center"/>
          </w:tcPr>
          <w:p w14:paraId="46951F26" w14:textId="5B6BCADE" w:rsidR="00C92620" w:rsidRPr="00AD1FD3" w:rsidRDefault="00C92620" w:rsidP="00AD1FD3">
            <w:pPr>
              <w:spacing w:line="360" w:lineRule="auto"/>
              <w:rPr>
                <w:color w:val="000000"/>
                <w:sz w:val="20"/>
                <w:szCs w:val="20"/>
                <w:lang w:val="en-US" w:eastAsia="en-US"/>
              </w:rPr>
            </w:pPr>
            <w:r w:rsidRPr="00AD1FD3">
              <w:rPr>
                <w:color w:val="000000"/>
                <w:sz w:val="20"/>
                <w:szCs w:val="20"/>
                <w:lang w:val="en-US" w:eastAsia="en-US"/>
              </w:rPr>
              <w:t>1</w:t>
            </w:r>
            <w:r w:rsidR="00DF7AF1">
              <w:rPr>
                <w:color w:val="000000"/>
                <w:sz w:val="20"/>
                <w:szCs w:val="20"/>
                <w:lang w:val="en-US" w:eastAsia="en-US"/>
              </w:rPr>
              <w:t>6</w:t>
            </w:r>
            <w:r w:rsidRPr="00AD1FD3">
              <w:rPr>
                <w:color w:val="000000"/>
                <w:sz w:val="20"/>
                <w:szCs w:val="20"/>
                <w:lang w:val="en-US" w:eastAsia="en-US"/>
              </w:rPr>
              <w:t>.</w:t>
            </w:r>
            <w:r w:rsidR="00DF7AF1">
              <w:rPr>
                <w:color w:val="000000"/>
                <w:sz w:val="20"/>
                <w:szCs w:val="20"/>
                <w:lang w:val="en-US" w:eastAsia="en-US"/>
              </w:rPr>
              <w:t>22</w:t>
            </w:r>
          </w:p>
        </w:tc>
        <w:tc>
          <w:tcPr>
            <w:tcW w:w="960" w:type="dxa"/>
            <w:tcBorders>
              <w:top w:val="nil"/>
              <w:left w:val="nil"/>
              <w:bottom w:val="nil"/>
              <w:right w:val="nil"/>
            </w:tcBorders>
            <w:vAlign w:val="center"/>
          </w:tcPr>
          <w:p w14:paraId="61D8DE74" w14:textId="76D43BCB" w:rsidR="00C92620" w:rsidRPr="00AD1FD3" w:rsidRDefault="00C92620" w:rsidP="00AD1FD3">
            <w:pPr>
              <w:spacing w:line="360" w:lineRule="auto"/>
              <w:rPr>
                <w:color w:val="000000"/>
                <w:sz w:val="20"/>
                <w:szCs w:val="20"/>
                <w:lang w:val="en-US" w:eastAsia="en-US"/>
              </w:rPr>
            </w:pPr>
            <w:r w:rsidRPr="00AD1FD3">
              <w:rPr>
                <w:color w:val="000000"/>
                <w:sz w:val="20"/>
                <w:szCs w:val="20"/>
                <w:lang w:val="en-US" w:eastAsia="en-US"/>
              </w:rPr>
              <w:t>0.40</w:t>
            </w:r>
          </w:p>
        </w:tc>
      </w:tr>
      <w:tr w:rsidR="00C92620" w:rsidRPr="00AD1FD3" w14:paraId="6D58212B" w14:textId="57DAE653" w:rsidTr="00681E3D">
        <w:trPr>
          <w:trHeight w:val="310"/>
          <w:jc w:val="center"/>
        </w:trPr>
        <w:tc>
          <w:tcPr>
            <w:tcW w:w="1340" w:type="dxa"/>
            <w:tcBorders>
              <w:top w:val="nil"/>
              <w:left w:val="nil"/>
              <w:bottom w:val="nil"/>
              <w:right w:val="nil"/>
            </w:tcBorders>
            <w:shd w:val="clear" w:color="auto" w:fill="auto"/>
            <w:vAlign w:val="center"/>
            <w:hideMark/>
          </w:tcPr>
          <w:p w14:paraId="2DB9446E" w14:textId="77777777" w:rsidR="00C92620" w:rsidRPr="00AD1FD3" w:rsidRDefault="00C92620" w:rsidP="00AD1FD3">
            <w:pPr>
              <w:spacing w:line="360" w:lineRule="auto"/>
              <w:rPr>
                <w:color w:val="000000"/>
                <w:sz w:val="20"/>
                <w:szCs w:val="20"/>
                <w:lang w:val="en-US" w:eastAsia="en-US"/>
              </w:rPr>
            </w:pPr>
            <w:r w:rsidRPr="00AD1FD3">
              <w:rPr>
                <w:color w:val="000000"/>
                <w:sz w:val="20"/>
                <w:szCs w:val="20"/>
                <w:lang w:eastAsia="en-US"/>
              </w:rPr>
              <w:t xml:space="preserve">Querer </w:t>
            </w:r>
          </w:p>
        </w:tc>
        <w:tc>
          <w:tcPr>
            <w:tcW w:w="960" w:type="dxa"/>
            <w:tcBorders>
              <w:top w:val="nil"/>
              <w:left w:val="nil"/>
              <w:bottom w:val="nil"/>
              <w:right w:val="nil"/>
            </w:tcBorders>
          </w:tcPr>
          <w:p w14:paraId="66077DE6" w14:textId="53401AEF" w:rsidR="00C92620" w:rsidRPr="00AD1FD3" w:rsidRDefault="00C92620" w:rsidP="00AD1FD3">
            <w:pPr>
              <w:spacing w:line="360" w:lineRule="auto"/>
              <w:rPr>
                <w:color w:val="000000"/>
                <w:sz w:val="20"/>
                <w:szCs w:val="20"/>
                <w:lang w:val="en-US" w:eastAsia="en-US"/>
              </w:rPr>
            </w:pPr>
            <w:r w:rsidRPr="00AD1FD3">
              <w:rPr>
                <w:color w:val="000000"/>
                <w:sz w:val="20"/>
                <w:szCs w:val="20"/>
                <w:lang w:val="en-US" w:eastAsia="en-US"/>
              </w:rPr>
              <w:t>6.6</w:t>
            </w:r>
            <w:r w:rsidR="00DF7AF1">
              <w:rPr>
                <w:color w:val="000000"/>
                <w:sz w:val="20"/>
                <w:szCs w:val="20"/>
                <w:lang w:val="en-US" w:eastAsia="en-US"/>
              </w:rPr>
              <w:t>8</w:t>
            </w:r>
            <w:r w:rsidRPr="00AD1FD3">
              <w:rPr>
                <w:color w:val="000000"/>
                <w:sz w:val="20"/>
                <w:szCs w:val="20"/>
                <w:lang w:val="en-US" w:eastAsia="en-US"/>
              </w:rPr>
              <w:t>(0.7</w:t>
            </w:r>
            <w:r w:rsidR="00CC434A">
              <w:rPr>
                <w:color w:val="000000"/>
                <w:sz w:val="20"/>
                <w:szCs w:val="20"/>
                <w:lang w:val="en-US" w:eastAsia="en-US"/>
              </w:rPr>
              <w:t>3</w:t>
            </w:r>
            <w:r w:rsidRPr="00AD1FD3">
              <w:rPr>
                <w:color w:val="000000"/>
                <w:sz w:val="20"/>
                <w:szCs w:val="20"/>
                <w:lang w:val="en-US" w:eastAsia="en-US"/>
              </w:rPr>
              <w:t>)</w:t>
            </w:r>
          </w:p>
        </w:tc>
        <w:tc>
          <w:tcPr>
            <w:tcW w:w="960" w:type="dxa"/>
            <w:tcBorders>
              <w:top w:val="nil"/>
              <w:left w:val="nil"/>
              <w:bottom w:val="nil"/>
              <w:right w:val="nil"/>
            </w:tcBorders>
          </w:tcPr>
          <w:p w14:paraId="4A18A733" w14:textId="5A0BFC6D" w:rsidR="00C92620" w:rsidRPr="00AD1FD3" w:rsidRDefault="00C92620" w:rsidP="00AD1FD3">
            <w:pPr>
              <w:spacing w:line="360" w:lineRule="auto"/>
              <w:rPr>
                <w:color w:val="000000"/>
                <w:sz w:val="20"/>
                <w:szCs w:val="20"/>
                <w:lang w:val="en-US" w:eastAsia="en-US"/>
              </w:rPr>
            </w:pPr>
            <w:r w:rsidRPr="00AD1FD3">
              <w:rPr>
                <w:color w:val="000000"/>
                <w:sz w:val="20"/>
                <w:szCs w:val="20"/>
                <w:lang w:val="en-US" w:eastAsia="en-US"/>
              </w:rPr>
              <w:t>3.79(1.89)</w:t>
            </w:r>
          </w:p>
        </w:tc>
        <w:tc>
          <w:tcPr>
            <w:tcW w:w="960" w:type="dxa"/>
            <w:tcBorders>
              <w:top w:val="nil"/>
              <w:left w:val="nil"/>
              <w:bottom w:val="nil"/>
              <w:right w:val="nil"/>
            </w:tcBorders>
          </w:tcPr>
          <w:p w14:paraId="185DB533" w14:textId="718ED27E" w:rsidR="00C92620" w:rsidRPr="00AD1FD3" w:rsidRDefault="00C92620" w:rsidP="00AD1FD3">
            <w:pPr>
              <w:spacing w:line="360" w:lineRule="auto"/>
              <w:rPr>
                <w:color w:val="000000"/>
                <w:sz w:val="20"/>
                <w:szCs w:val="20"/>
                <w:lang w:val="en-US" w:eastAsia="en-US"/>
              </w:rPr>
            </w:pPr>
            <w:r w:rsidRPr="00AD1FD3">
              <w:rPr>
                <w:color w:val="000000"/>
                <w:sz w:val="20"/>
                <w:szCs w:val="20"/>
                <w:lang w:val="en-US" w:eastAsia="en-US"/>
              </w:rPr>
              <w:t>2.2</w:t>
            </w:r>
            <w:r w:rsidR="00DF7AF1">
              <w:rPr>
                <w:color w:val="000000"/>
                <w:sz w:val="20"/>
                <w:szCs w:val="20"/>
                <w:lang w:val="en-US" w:eastAsia="en-US"/>
              </w:rPr>
              <w:t>7</w:t>
            </w:r>
            <w:r w:rsidRPr="00AD1FD3">
              <w:rPr>
                <w:color w:val="000000"/>
                <w:sz w:val="20"/>
                <w:szCs w:val="20"/>
                <w:lang w:val="en-US" w:eastAsia="en-US"/>
              </w:rPr>
              <w:t>(1.46)</w:t>
            </w:r>
          </w:p>
        </w:tc>
        <w:tc>
          <w:tcPr>
            <w:tcW w:w="960" w:type="dxa"/>
            <w:tcBorders>
              <w:top w:val="nil"/>
              <w:left w:val="nil"/>
              <w:bottom w:val="nil"/>
              <w:right w:val="nil"/>
            </w:tcBorders>
          </w:tcPr>
          <w:p w14:paraId="5DFD17F4" w14:textId="7FBB0DB1" w:rsidR="00C92620" w:rsidRPr="00AD1FD3" w:rsidRDefault="00C92620" w:rsidP="00AD1FD3">
            <w:pPr>
              <w:spacing w:line="360" w:lineRule="auto"/>
              <w:rPr>
                <w:color w:val="000000"/>
                <w:sz w:val="20"/>
                <w:szCs w:val="20"/>
                <w:lang w:val="en-US" w:eastAsia="en-US"/>
              </w:rPr>
            </w:pPr>
          </w:p>
        </w:tc>
        <w:tc>
          <w:tcPr>
            <w:tcW w:w="960" w:type="dxa"/>
            <w:tcBorders>
              <w:top w:val="nil"/>
              <w:left w:val="nil"/>
              <w:bottom w:val="nil"/>
              <w:right w:val="nil"/>
            </w:tcBorders>
            <w:vAlign w:val="center"/>
          </w:tcPr>
          <w:p w14:paraId="03C2E45C" w14:textId="19AC765B" w:rsidR="00C92620" w:rsidRPr="00AD1FD3" w:rsidRDefault="00DF7AF1" w:rsidP="00AD1FD3">
            <w:pPr>
              <w:spacing w:line="360" w:lineRule="auto"/>
              <w:rPr>
                <w:color w:val="000000"/>
                <w:sz w:val="20"/>
                <w:szCs w:val="20"/>
                <w:lang w:val="en-US" w:eastAsia="en-US"/>
              </w:rPr>
            </w:pPr>
            <w:r>
              <w:rPr>
                <w:color w:val="000000"/>
                <w:sz w:val="20"/>
                <w:szCs w:val="20"/>
                <w:lang w:val="en-US" w:eastAsia="en-US"/>
              </w:rPr>
              <w:t>49</w:t>
            </w:r>
            <w:r w:rsidR="00C92620" w:rsidRPr="00AD1FD3">
              <w:rPr>
                <w:color w:val="000000"/>
                <w:sz w:val="20"/>
                <w:szCs w:val="20"/>
                <w:lang w:val="en-US" w:eastAsia="en-US"/>
              </w:rPr>
              <w:t>.</w:t>
            </w:r>
            <w:r>
              <w:rPr>
                <w:color w:val="000000"/>
                <w:sz w:val="20"/>
                <w:szCs w:val="20"/>
                <w:lang w:val="en-US" w:eastAsia="en-US"/>
              </w:rPr>
              <w:t>98</w:t>
            </w:r>
          </w:p>
        </w:tc>
        <w:tc>
          <w:tcPr>
            <w:tcW w:w="960" w:type="dxa"/>
            <w:tcBorders>
              <w:top w:val="nil"/>
              <w:left w:val="nil"/>
              <w:bottom w:val="nil"/>
              <w:right w:val="nil"/>
            </w:tcBorders>
            <w:vAlign w:val="center"/>
          </w:tcPr>
          <w:p w14:paraId="66BF479B" w14:textId="66612ADF" w:rsidR="00C92620" w:rsidRPr="00AD1FD3" w:rsidRDefault="00C92620" w:rsidP="00AD1FD3">
            <w:pPr>
              <w:spacing w:line="360" w:lineRule="auto"/>
              <w:rPr>
                <w:color w:val="000000"/>
                <w:sz w:val="20"/>
                <w:szCs w:val="20"/>
                <w:lang w:val="en-US" w:eastAsia="en-US"/>
              </w:rPr>
            </w:pPr>
            <w:r w:rsidRPr="00AD1FD3">
              <w:rPr>
                <w:color w:val="000000"/>
                <w:sz w:val="20"/>
                <w:szCs w:val="20"/>
                <w:lang w:val="en-US" w:eastAsia="en-US"/>
              </w:rPr>
              <w:t>0.7</w:t>
            </w:r>
            <w:r w:rsidR="00DF7AF1">
              <w:rPr>
                <w:color w:val="000000"/>
                <w:sz w:val="20"/>
                <w:szCs w:val="20"/>
                <w:lang w:val="en-US" w:eastAsia="en-US"/>
              </w:rPr>
              <w:t>3</w:t>
            </w:r>
          </w:p>
        </w:tc>
      </w:tr>
      <w:tr w:rsidR="00C92620" w:rsidRPr="00AD1FD3" w14:paraId="37BFCE34" w14:textId="532AE943" w:rsidTr="00681E3D">
        <w:trPr>
          <w:trHeight w:val="310"/>
          <w:jc w:val="center"/>
        </w:trPr>
        <w:tc>
          <w:tcPr>
            <w:tcW w:w="1340" w:type="dxa"/>
            <w:tcBorders>
              <w:top w:val="nil"/>
              <w:left w:val="nil"/>
              <w:bottom w:val="nil"/>
              <w:right w:val="nil"/>
            </w:tcBorders>
            <w:shd w:val="clear" w:color="auto" w:fill="auto"/>
            <w:vAlign w:val="center"/>
            <w:hideMark/>
          </w:tcPr>
          <w:p w14:paraId="68FD5BDD" w14:textId="77777777" w:rsidR="00C92620" w:rsidRPr="00AD1FD3" w:rsidRDefault="00C92620" w:rsidP="00AD1FD3">
            <w:pPr>
              <w:spacing w:line="360" w:lineRule="auto"/>
              <w:rPr>
                <w:color w:val="000000"/>
                <w:sz w:val="20"/>
                <w:szCs w:val="20"/>
                <w:lang w:val="en-US" w:eastAsia="en-US"/>
              </w:rPr>
            </w:pPr>
            <w:r w:rsidRPr="00AD1FD3">
              <w:rPr>
                <w:color w:val="000000"/>
                <w:sz w:val="20"/>
                <w:szCs w:val="20"/>
                <w:lang w:eastAsia="en-US"/>
              </w:rPr>
              <w:t>Creer</w:t>
            </w:r>
          </w:p>
        </w:tc>
        <w:tc>
          <w:tcPr>
            <w:tcW w:w="960" w:type="dxa"/>
            <w:tcBorders>
              <w:top w:val="nil"/>
              <w:left w:val="nil"/>
              <w:bottom w:val="nil"/>
              <w:right w:val="nil"/>
            </w:tcBorders>
          </w:tcPr>
          <w:p w14:paraId="69AFED03" w14:textId="24A92D95" w:rsidR="00C92620" w:rsidRPr="00AD1FD3" w:rsidRDefault="00C92620" w:rsidP="00AD1FD3">
            <w:pPr>
              <w:spacing w:line="360" w:lineRule="auto"/>
              <w:rPr>
                <w:color w:val="000000"/>
                <w:sz w:val="20"/>
                <w:szCs w:val="20"/>
                <w:lang w:val="en-US" w:eastAsia="en-US"/>
              </w:rPr>
            </w:pPr>
            <w:r w:rsidRPr="00AD1FD3">
              <w:rPr>
                <w:color w:val="000000"/>
                <w:sz w:val="20"/>
                <w:szCs w:val="20"/>
                <w:lang w:val="en-US" w:eastAsia="en-US"/>
              </w:rPr>
              <w:t>6.</w:t>
            </w:r>
            <w:r w:rsidR="00DF7AF1">
              <w:rPr>
                <w:color w:val="000000"/>
                <w:sz w:val="20"/>
                <w:szCs w:val="20"/>
                <w:lang w:val="en-US" w:eastAsia="en-US"/>
              </w:rPr>
              <w:t>55</w:t>
            </w:r>
            <w:r w:rsidRPr="00AD1FD3">
              <w:rPr>
                <w:color w:val="000000"/>
                <w:sz w:val="20"/>
                <w:szCs w:val="20"/>
                <w:lang w:val="en-US" w:eastAsia="en-US"/>
              </w:rPr>
              <w:t>(1.</w:t>
            </w:r>
            <w:r w:rsidR="00CC434A">
              <w:rPr>
                <w:color w:val="000000"/>
                <w:sz w:val="20"/>
                <w:szCs w:val="20"/>
                <w:lang w:val="en-US" w:eastAsia="en-US"/>
              </w:rPr>
              <w:t>10</w:t>
            </w:r>
            <w:r w:rsidRPr="00AD1FD3">
              <w:rPr>
                <w:color w:val="000000"/>
                <w:sz w:val="20"/>
                <w:szCs w:val="20"/>
                <w:lang w:val="en-US" w:eastAsia="en-US"/>
              </w:rPr>
              <w:t>)</w:t>
            </w:r>
          </w:p>
        </w:tc>
        <w:tc>
          <w:tcPr>
            <w:tcW w:w="960" w:type="dxa"/>
            <w:tcBorders>
              <w:top w:val="nil"/>
              <w:left w:val="nil"/>
              <w:bottom w:val="nil"/>
              <w:right w:val="nil"/>
            </w:tcBorders>
          </w:tcPr>
          <w:p w14:paraId="78BE0C19" w14:textId="4CB0E4A8" w:rsidR="00C92620" w:rsidRPr="00AD1FD3" w:rsidRDefault="00C92620" w:rsidP="00AD1FD3">
            <w:pPr>
              <w:spacing w:line="360" w:lineRule="auto"/>
              <w:rPr>
                <w:color w:val="000000"/>
                <w:sz w:val="20"/>
                <w:szCs w:val="20"/>
                <w:lang w:val="en-US" w:eastAsia="en-US"/>
              </w:rPr>
            </w:pPr>
            <w:r w:rsidRPr="00AD1FD3">
              <w:rPr>
                <w:color w:val="000000"/>
                <w:sz w:val="20"/>
                <w:szCs w:val="20"/>
                <w:lang w:val="en-US" w:eastAsia="en-US"/>
              </w:rPr>
              <w:t>2.24(1.30)</w:t>
            </w:r>
          </w:p>
        </w:tc>
        <w:tc>
          <w:tcPr>
            <w:tcW w:w="960" w:type="dxa"/>
            <w:tcBorders>
              <w:top w:val="nil"/>
              <w:left w:val="nil"/>
              <w:bottom w:val="nil"/>
              <w:right w:val="nil"/>
            </w:tcBorders>
          </w:tcPr>
          <w:p w14:paraId="21E82131" w14:textId="7876D1B5" w:rsidR="00C92620" w:rsidRPr="00AD1FD3" w:rsidRDefault="00C92620" w:rsidP="00AD1FD3">
            <w:pPr>
              <w:spacing w:line="360" w:lineRule="auto"/>
              <w:rPr>
                <w:color w:val="000000"/>
                <w:sz w:val="20"/>
                <w:szCs w:val="20"/>
                <w:lang w:val="en-US" w:eastAsia="en-US"/>
              </w:rPr>
            </w:pPr>
            <w:r w:rsidRPr="00AD1FD3">
              <w:rPr>
                <w:color w:val="000000"/>
                <w:sz w:val="20"/>
                <w:szCs w:val="20"/>
                <w:lang w:val="en-US" w:eastAsia="en-US"/>
              </w:rPr>
              <w:t>3.2</w:t>
            </w:r>
            <w:r w:rsidR="00DF7AF1">
              <w:rPr>
                <w:color w:val="000000"/>
                <w:sz w:val="20"/>
                <w:szCs w:val="20"/>
                <w:lang w:val="en-US" w:eastAsia="en-US"/>
              </w:rPr>
              <w:t>4</w:t>
            </w:r>
            <w:r w:rsidRPr="00AD1FD3">
              <w:rPr>
                <w:color w:val="000000"/>
                <w:sz w:val="20"/>
                <w:szCs w:val="20"/>
                <w:lang w:val="en-US" w:eastAsia="en-US"/>
              </w:rPr>
              <w:t>(1.88)</w:t>
            </w:r>
          </w:p>
        </w:tc>
        <w:tc>
          <w:tcPr>
            <w:tcW w:w="960" w:type="dxa"/>
            <w:tcBorders>
              <w:top w:val="nil"/>
              <w:left w:val="nil"/>
              <w:bottom w:val="nil"/>
              <w:right w:val="nil"/>
            </w:tcBorders>
          </w:tcPr>
          <w:p w14:paraId="614E1DC7" w14:textId="5A52FF16" w:rsidR="00C92620" w:rsidRPr="00AD1FD3" w:rsidRDefault="00C92620" w:rsidP="00AD1FD3">
            <w:pPr>
              <w:spacing w:line="360" w:lineRule="auto"/>
              <w:rPr>
                <w:color w:val="000000"/>
                <w:sz w:val="20"/>
                <w:szCs w:val="20"/>
                <w:lang w:val="en-US" w:eastAsia="en-US"/>
              </w:rPr>
            </w:pPr>
          </w:p>
        </w:tc>
        <w:tc>
          <w:tcPr>
            <w:tcW w:w="960" w:type="dxa"/>
            <w:tcBorders>
              <w:top w:val="nil"/>
              <w:left w:val="nil"/>
              <w:bottom w:val="nil"/>
              <w:right w:val="nil"/>
            </w:tcBorders>
            <w:vAlign w:val="center"/>
          </w:tcPr>
          <w:p w14:paraId="30439505" w14:textId="06E9D567" w:rsidR="00C92620" w:rsidRPr="00AD1FD3" w:rsidRDefault="00C92620" w:rsidP="00AD1FD3">
            <w:pPr>
              <w:spacing w:line="360" w:lineRule="auto"/>
              <w:rPr>
                <w:color w:val="000000"/>
                <w:sz w:val="20"/>
                <w:szCs w:val="20"/>
                <w:lang w:val="en-US" w:eastAsia="en-US"/>
              </w:rPr>
            </w:pPr>
            <w:r w:rsidRPr="00AD1FD3">
              <w:rPr>
                <w:color w:val="000000"/>
                <w:sz w:val="20"/>
                <w:szCs w:val="20"/>
                <w:lang w:val="en-US" w:eastAsia="en-US"/>
              </w:rPr>
              <w:t>41.14</w:t>
            </w:r>
          </w:p>
        </w:tc>
        <w:tc>
          <w:tcPr>
            <w:tcW w:w="960" w:type="dxa"/>
            <w:tcBorders>
              <w:top w:val="nil"/>
              <w:left w:val="nil"/>
              <w:bottom w:val="nil"/>
              <w:right w:val="nil"/>
            </w:tcBorders>
            <w:vAlign w:val="center"/>
          </w:tcPr>
          <w:p w14:paraId="2BB8A6F3" w14:textId="53AC7668" w:rsidR="00C92620" w:rsidRPr="00AD1FD3" w:rsidRDefault="00C92620" w:rsidP="00AD1FD3">
            <w:pPr>
              <w:spacing w:line="360" w:lineRule="auto"/>
              <w:rPr>
                <w:color w:val="000000"/>
                <w:sz w:val="20"/>
                <w:szCs w:val="20"/>
                <w:lang w:val="en-US" w:eastAsia="en-US"/>
              </w:rPr>
            </w:pPr>
            <w:r w:rsidRPr="00AD1FD3">
              <w:rPr>
                <w:color w:val="000000"/>
                <w:sz w:val="20"/>
                <w:szCs w:val="20"/>
                <w:lang w:val="en-US" w:eastAsia="en-US"/>
              </w:rPr>
              <w:t>0.65</w:t>
            </w:r>
          </w:p>
        </w:tc>
      </w:tr>
      <w:tr w:rsidR="00C92620" w:rsidRPr="00AD1FD3" w14:paraId="2818FC7B" w14:textId="65E992B7" w:rsidTr="00681E3D">
        <w:trPr>
          <w:trHeight w:val="310"/>
          <w:jc w:val="center"/>
        </w:trPr>
        <w:tc>
          <w:tcPr>
            <w:tcW w:w="1340" w:type="dxa"/>
            <w:tcBorders>
              <w:top w:val="nil"/>
              <w:left w:val="nil"/>
              <w:bottom w:val="nil"/>
              <w:right w:val="nil"/>
            </w:tcBorders>
            <w:shd w:val="clear" w:color="auto" w:fill="auto"/>
            <w:vAlign w:val="center"/>
            <w:hideMark/>
          </w:tcPr>
          <w:p w14:paraId="54567602" w14:textId="030E01AC" w:rsidR="00C92620" w:rsidRPr="00AD1FD3" w:rsidRDefault="00C92620" w:rsidP="00AD1FD3">
            <w:pPr>
              <w:spacing w:line="360" w:lineRule="auto"/>
              <w:rPr>
                <w:color w:val="000000"/>
                <w:sz w:val="20"/>
                <w:szCs w:val="20"/>
                <w:lang w:val="en-US" w:eastAsia="en-US"/>
              </w:rPr>
            </w:pPr>
            <w:r w:rsidRPr="00AD1FD3">
              <w:rPr>
                <w:color w:val="000000"/>
                <w:sz w:val="20"/>
                <w:szCs w:val="20"/>
                <w:lang w:eastAsia="en-US"/>
              </w:rPr>
              <w:t>Ir</w:t>
            </w:r>
            <w:r w:rsidRPr="00472B3F">
              <w:rPr>
                <w:color w:val="000000"/>
                <w:sz w:val="22"/>
                <w:szCs w:val="22"/>
                <w:vertAlign w:val="superscript"/>
                <w:lang w:val="en-US" w:eastAsia="en-US"/>
              </w:rPr>
              <w:t>+</w:t>
            </w:r>
          </w:p>
        </w:tc>
        <w:tc>
          <w:tcPr>
            <w:tcW w:w="960" w:type="dxa"/>
            <w:tcBorders>
              <w:top w:val="nil"/>
              <w:left w:val="nil"/>
              <w:bottom w:val="nil"/>
              <w:right w:val="nil"/>
            </w:tcBorders>
          </w:tcPr>
          <w:p w14:paraId="1DC52F51" w14:textId="2ABF3A06" w:rsidR="00C92620" w:rsidRPr="00AD1FD3" w:rsidRDefault="00C92620" w:rsidP="00AD1FD3">
            <w:pPr>
              <w:spacing w:line="360" w:lineRule="auto"/>
              <w:rPr>
                <w:color w:val="000000"/>
                <w:sz w:val="20"/>
                <w:szCs w:val="20"/>
                <w:lang w:val="en-US" w:eastAsia="en-US"/>
              </w:rPr>
            </w:pPr>
            <w:r w:rsidRPr="00AD1FD3">
              <w:rPr>
                <w:color w:val="000000"/>
                <w:sz w:val="20"/>
                <w:szCs w:val="20"/>
                <w:lang w:val="en-US" w:eastAsia="en-US"/>
              </w:rPr>
              <w:t>6.</w:t>
            </w:r>
            <w:r w:rsidR="00DF7AF1">
              <w:rPr>
                <w:color w:val="000000"/>
                <w:sz w:val="20"/>
                <w:szCs w:val="20"/>
                <w:lang w:val="en-US" w:eastAsia="en-US"/>
              </w:rPr>
              <w:t>74</w:t>
            </w:r>
            <w:r w:rsidRPr="00AD1FD3">
              <w:rPr>
                <w:color w:val="000000"/>
                <w:sz w:val="20"/>
                <w:szCs w:val="20"/>
                <w:lang w:val="en-US" w:eastAsia="en-US"/>
              </w:rPr>
              <w:t>(0.3</w:t>
            </w:r>
            <w:r w:rsidR="00CC434A">
              <w:rPr>
                <w:color w:val="000000"/>
                <w:sz w:val="20"/>
                <w:szCs w:val="20"/>
                <w:lang w:val="en-US" w:eastAsia="en-US"/>
              </w:rPr>
              <w:t>8</w:t>
            </w:r>
            <w:r w:rsidRPr="00AD1FD3">
              <w:rPr>
                <w:color w:val="000000"/>
                <w:sz w:val="20"/>
                <w:szCs w:val="20"/>
                <w:lang w:val="en-US" w:eastAsia="en-US"/>
              </w:rPr>
              <w:t>)</w:t>
            </w:r>
          </w:p>
        </w:tc>
        <w:tc>
          <w:tcPr>
            <w:tcW w:w="960" w:type="dxa"/>
            <w:tcBorders>
              <w:top w:val="nil"/>
              <w:left w:val="nil"/>
              <w:bottom w:val="nil"/>
              <w:right w:val="nil"/>
            </w:tcBorders>
          </w:tcPr>
          <w:p w14:paraId="7B83BDE2" w14:textId="5FA09A1D" w:rsidR="00C92620" w:rsidRPr="00AD1FD3" w:rsidRDefault="00C92620" w:rsidP="00AD1FD3">
            <w:pPr>
              <w:spacing w:line="360" w:lineRule="auto"/>
              <w:rPr>
                <w:color w:val="000000"/>
                <w:sz w:val="20"/>
                <w:szCs w:val="20"/>
                <w:lang w:val="en-US" w:eastAsia="en-US"/>
              </w:rPr>
            </w:pPr>
            <w:r w:rsidRPr="00AD1FD3">
              <w:rPr>
                <w:color w:val="000000"/>
                <w:sz w:val="20"/>
                <w:szCs w:val="20"/>
                <w:lang w:val="en-US" w:eastAsia="en-US"/>
              </w:rPr>
              <w:t>6.8</w:t>
            </w:r>
            <w:r w:rsidR="00DF7AF1">
              <w:rPr>
                <w:color w:val="000000"/>
                <w:sz w:val="20"/>
                <w:szCs w:val="20"/>
                <w:lang w:val="en-US" w:eastAsia="en-US"/>
              </w:rPr>
              <w:t>5</w:t>
            </w:r>
            <w:r w:rsidRPr="00AD1FD3">
              <w:rPr>
                <w:color w:val="000000"/>
                <w:sz w:val="20"/>
                <w:szCs w:val="20"/>
                <w:lang w:val="en-US" w:eastAsia="en-US"/>
              </w:rPr>
              <w:t>(0.</w:t>
            </w:r>
            <w:r w:rsidR="00CC434A">
              <w:rPr>
                <w:color w:val="000000"/>
                <w:sz w:val="20"/>
                <w:szCs w:val="20"/>
                <w:lang w:val="en-US" w:eastAsia="en-US"/>
              </w:rPr>
              <w:t>45</w:t>
            </w:r>
            <w:r w:rsidRPr="00AD1FD3">
              <w:rPr>
                <w:color w:val="000000"/>
                <w:sz w:val="20"/>
                <w:szCs w:val="20"/>
                <w:lang w:val="en-US" w:eastAsia="en-US"/>
              </w:rPr>
              <w:t>)</w:t>
            </w:r>
          </w:p>
        </w:tc>
        <w:tc>
          <w:tcPr>
            <w:tcW w:w="960" w:type="dxa"/>
            <w:tcBorders>
              <w:top w:val="nil"/>
              <w:left w:val="nil"/>
              <w:bottom w:val="nil"/>
              <w:right w:val="nil"/>
            </w:tcBorders>
          </w:tcPr>
          <w:p w14:paraId="091F2E3E" w14:textId="61F40EBF" w:rsidR="00C92620" w:rsidRPr="00AD1FD3" w:rsidRDefault="00C92620" w:rsidP="00AD1FD3">
            <w:pPr>
              <w:spacing w:line="360" w:lineRule="auto"/>
              <w:rPr>
                <w:color w:val="000000"/>
                <w:sz w:val="20"/>
                <w:szCs w:val="20"/>
                <w:lang w:val="en-US" w:eastAsia="en-US"/>
              </w:rPr>
            </w:pPr>
            <w:r w:rsidRPr="00AD1FD3">
              <w:rPr>
                <w:color w:val="000000"/>
                <w:sz w:val="20"/>
                <w:szCs w:val="20"/>
                <w:lang w:val="en-US" w:eastAsia="en-US"/>
              </w:rPr>
              <w:t>4.</w:t>
            </w:r>
            <w:r w:rsidR="00DF7AF1">
              <w:rPr>
                <w:color w:val="000000"/>
                <w:sz w:val="20"/>
                <w:szCs w:val="20"/>
                <w:lang w:val="en-US" w:eastAsia="en-US"/>
              </w:rPr>
              <w:t>05</w:t>
            </w:r>
            <w:r w:rsidRPr="00AD1FD3">
              <w:rPr>
                <w:color w:val="000000"/>
                <w:sz w:val="20"/>
                <w:szCs w:val="20"/>
                <w:lang w:val="en-US" w:eastAsia="en-US"/>
              </w:rPr>
              <w:t>(0.</w:t>
            </w:r>
            <w:r w:rsidR="00CC434A">
              <w:rPr>
                <w:color w:val="000000"/>
                <w:sz w:val="20"/>
                <w:szCs w:val="20"/>
                <w:lang w:val="en-US" w:eastAsia="en-US"/>
              </w:rPr>
              <w:t>6</w:t>
            </w:r>
            <w:r w:rsidRPr="00AD1FD3">
              <w:rPr>
                <w:color w:val="000000"/>
                <w:sz w:val="20"/>
                <w:szCs w:val="20"/>
                <w:lang w:val="en-US" w:eastAsia="en-US"/>
              </w:rPr>
              <w:t>5)</w:t>
            </w:r>
          </w:p>
        </w:tc>
        <w:tc>
          <w:tcPr>
            <w:tcW w:w="960" w:type="dxa"/>
            <w:tcBorders>
              <w:top w:val="nil"/>
              <w:left w:val="nil"/>
              <w:bottom w:val="nil"/>
              <w:right w:val="nil"/>
            </w:tcBorders>
          </w:tcPr>
          <w:p w14:paraId="0C3DC72F" w14:textId="518C8D65" w:rsidR="00C92620" w:rsidRPr="00AD1FD3" w:rsidRDefault="00C92620" w:rsidP="00AD1FD3">
            <w:pPr>
              <w:spacing w:line="360" w:lineRule="auto"/>
              <w:rPr>
                <w:color w:val="000000"/>
                <w:sz w:val="20"/>
                <w:szCs w:val="20"/>
                <w:lang w:val="en-US" w:eastAsia="en-US"/>
              </w:rPr>
            </w:pPr>
          </w:p>
        </w:tc>
        <w:tc>
          <w:tcPr>
            <w:tcW w:w="960" w:type="dxa"/>
            <w:tcBorders>
              <w:top w:val="nil"/>
              <w:left w:val="nil"/>
              <w:bottom w:val="nil"/>
              <w:right w:val="nil"/>
            </w:tcBorders>
            <w:vAlign w:val="center"/>
          </w:tcPr>
          <w:p w14:paraId="4CAE5989" w14:textId="1A475125" w:rsidR="00C92620" w:rsidRPr="00AD1FD3" w:rsidRDefault="00C92620" w:rsidP="00AD1FD3">
            <w:pPr>
              <w:spacing w:line="360" w:lineRule="auto"/>
              <w:rPr>
                <w:color w:val="000000"/>
                <w:sz w:val="20"/>
                <w:szCs w:val="20"/>
                <w:lang w:val="en-US" w:eastAsia="en-US"/>
              </w:rPr>
            </w:pPr>
            <w:r w:rsidRPr="00AD1FD3">
              <w:rPr>
                <w:color w:val="000000"/>
                <w:sz w:val="20"/>
                <w:szCs w:val="20"/>
                <w:lang w:val="en-US" w:eastAsia="en-US"/>
              </w:rPr>
              <w:t>428.14</w:t>
            </w:r>
          </w:p>
        </w:tc>
        <w:tc>
          <w:tcPr>
            <w:tcW w:w="960" w:type="dxa"/>
            <w:tcBorders>
              <w:top w:val="nil"/>
              <w:left w:val="nil"/>
              <w:bottom w:val="nil"/>
              <w:right w:val="nil"/>
            </w:tcBorders>
            <w:vAlign w:val="center"/>
          </w:tcPr>
          <w:p w14:paraId="57ADBB8D" w14:textId="3D00B85B" w:rsidR="00C92620" w:rsidRPr="00AD1FD3" w:rsidRDefault="00C92620" w:rsidP="00AD1FD3">
            <w:pPr>
              <w:spacing w:line="360" w:lineRule="auto"/>
              <w:rPr>
                <w:color w:val="000000"/>
                <w:sz w:val="20"/>
                <w:szCs w:val="20"/>
                <w:lang w:val="en-US" w:eastAsia="en-US"/>
              </w:rPr>
            </w:pPr>
            <w:r w:rsidRPr="00AD1FD3">
              <w:rPr>
                <w:color w:val="000000"/>
                <w:sz w:val="20"/>
                <w:szCs w:val="20"/>
                <w:lang w:val="en-US" w:eastAsia="en-US"/>
              </w:rPr>
              <w:t>0.95</w:t>
            </w:r>
          </w:p>
        </w:tc>
      </w:tr>
      <w:tr w:rsidR="00C92620" w:rsidRPr="00AD1FD3" w14:paraId="4FD8B5CB" w14:textId="3F0107CF" w:rsidTr="00681E3D">
        <w:trPr>
          <w:trHeight w:val="320"/>
          <w:jc w:val="center"/>
        </w:trPr>
        <w:tc>
          <w:tcPr>
            <w:tcW w:w="1340" w:type="dxa"/>
            <w:tcBorders>
              <w:top w:val="nil"/>
              <w:left w:val="nil"/>
              <w:bottom w:val="single" w:sz="12" w:space="0" w:color="000000"/>
              <w:right w:val="nil"/>
            </w:tcBorders>
            <w:shd w:val="clear" w:color="auto" w:fill="auto"/>
            <w:vAlign w:val="center"/>
            <w:hideMark/>
          </w:tcPr>
          <w:p w14:paraId="619ABE31" w14:textId="1C9D001B" w:rsidR="00C92620" w:rsidRPr="00AD1FD3" w:rsidRDefault="00C92620" w:rsidP="00AD1FD3">
            <w:pPr>
              <w:spacing w:line="360" w:lineRule="auto"/>
              <w:rPr>
                <w:color w:val="000000"/>
                <w:sz w:val="20"/>
                <w:szCs w:val="20"/>
                <w:lang w:val="en-US" w:eastAsia="en-US"/>
              </w:rPr>
            </w:pPr>
            <w:r w:rsidRPr="00AD1FD3">
              <w:rPr>
                <w:color w:val="000000"/>
                <w:sz w:val="20"/>
                <w:szCs w:val="20"/>
                <w:lang w:eastAsia="en-US"/>
              </w:rPr>
              <w:t xml:space="preserve">Creer </w:t>
            </w:r>
            <w:r w:rsidRPr="00AD1FD3">
              <w:rPr>
                <w:color w:val="000000"/>
                <w:sz w:val="20"/>
                <w:szCs w:val="20"/>
                <w:vertAlign w:val="superscript"/>
                <w:lang w:eastAsia="en-US"/>
              </w:rPr>
              <w:t>+</w:t>
            </w:r>
          </w:p>
        </w:tc>
        <w:tc>
          <w:tcPr>
            <w:tcW w:w="960" w:type="dxa"/>
            <w:tcBorders>
              <w:top w:val="nil"/>
              <w:left w:val="nil"/>
              <w:bottom w:val="single" w:sz="12" w:space="0" w:color="000000"/>
              <w:right w:val="nil"/>
            </w:tcBorders>
          </w:tcPr>
          <w:p w14:paraId="2B2CEA2C" w14:textId="65659443" w:rsidR="00C92620" w:rsidRPr="00AD1FD3" w:rsidRDefault="00C92620" w:rsidP="00AD1FD3">
            <w:pPr>
              <w:spacing w:line="360" w:lineRule="auto"/>
              <w:rPr>
                <w:color w:val="000000"/>
                <w:sz w:val="20"/>
                <w:szCs w:val="20"/>
                <w:lang w:val="en-US" w:eastAsia="en-US"/>
              </w:rPr>
            </w:pPr>
            <w:r w:rsidRPr="00AD1FD3">
              <w:rPr>
                <w:color w:val="000000"/>
                <w:sz w:val="20"/>
                <w:szCs w:val="20"/>
                <w:lang w:val="en-US" w:eastAsia="en-US"/>
              </w:rPr>
              <w:t>6.</w:t>
            </w:r>
            <w:r w:rsidR="00DF7AF1">
              <w:rPr>
                <w:color w:val="000000"/>
                <w:sz w:val="20"/>
                <w:szCs w:val="20"/>
                <w:lang w:val="en-US" w:eastAsia="en-US"/>
              </w:rPr>
              <w:t>71</w:t>
            </w:r>
            <w:r w:rsidRPr="00AD1FD3">
              <w:rPr>
                <w:color w:val="000000"/>
                <w:sz w:val="20"/>
                <w:szCs w:val="20"/>
                <w:lang w:val="en-US" w:eastAsia="en-US"/>
              </w:rPr>
              <w:t>(1.</w:t>
            </w:r>
            <w:r w:rsidR="00DF7AF1">
              <w:rPr>
                <w:color w:val="000000"/>
                <w:sz w:val="20"/>
                <w:szCs w:val="20"/>
                <w:lang w:val="en-US" w:eastAsia="en-US"/>
              </w:rPr>
              <w:t>05</w:t>
            </w:r>
            <w:r w:rsidRPr="00AD1FD3">
              <w:rPr>
                <w:color w:val="000000"/>
                <w:sz w:val="20"/>
                <w:szCs w:val="20"/>
                <w:lang w:val="en-US" w:eastAsia="en-US"/>
              </w:rPr>
              <w:t>)</w:t>
            </w:r>
          </w:p>
        </w:tc>
        <w:tc>
          <w:tcPr>
            <w:tcW w:w="960" w:type="dxa"/>
            <w:tcBorders>
              <w:top w:val="nil"/>
              <w:left w:val="nil"/>
              <w:bottom w:val="single" w:sz="12" w:space="0" w:color="000000"/>
              <w:right w:val="nil"/>
            </w:tcBorders>
          </w:tcPr>
          <w:p w14:paraId="2EBB3C4A" w14:textId="2CB4BFA6" w:rsidR="00C92620" w:rsidRPr="00AD1FD3" w:rsidRDefault="00C92620" w:rsidP="00AD1FD3">
            <w:pPr>
              <w:spacing w:line="360" w:lineRule="auto"/>
              <w:rPr>
                <w:color w:val="000000"/>
                <w:sz w:val="20"/>
                <w:szCs w:val="20"/>
                <w:lang w:val="en-US" w:eastAsia="en-US"/>
              </w:rPr>
            </w:pPr>
            <w:r w:rsidRPr="00AD1FD3">
              <w:rPr>
                <w:color w:val="000000"/>
                <w:sz w:val="20"/>
                <w:szCs w:val="20"/>
                <w:lang w:val="en-US" w:eastAsia="en-US"/>
              </w:rPr>
              <w:t>6.53(0.88)</w:t>
            </w:r>
          </w:p>
        </w:tc>
        <w:tc>
          <w:tcPr>
            <w:tcW w:w="960" w:type="dxa"/>
            <w:tcBorders>
              <w:top w:val="nil"/>
              <w:left w:val="nil"/>
              <w:bottom w:val="single" w:sz="12" w:space="0" w:color="000000"/>
              <w:right w:val="nil"/>
            </w:tcBorders>
          </w:tcPr>
          <w:p w14:paraId="1294C4E3" w14:textId="2D696BD4" w:rsidR="00C92620" w:rsidRPr="00AD1FD3" w:rsidRDefault="00C92620" w:rsidP="00AD1FD3">
            <w:pPr>
              <w:spacing w:line="360" w:lineRule="auto"/>
              <w:rPr>
                <w:color w:val="000000"/>
                <w:sz w:val="20"/>
                <w:szCs w:val="20"/>
                <w:lang w:val="en-US" w:eastAsia="en-US"/>
              </w:rPr>
            </w:pPr>
            <w:r w:rsidRPr="00AD1FD3">
              <w:rPr>
                <w:color w:val="000000"/>
                <w:sz w:val="20"/>
                <w:szCs w:val="20"/>
                <w:lang w:val="en-US" w:eastAsia="en-US"/>
              </w:rPr>
              <w:t>4.</w:t>
            </w:r>
            <w:r w:rsidR="00DF7AF1">
              <w:rPr>
                <w:color w:val="000000"/>
                <w:sz w:val="20"/>
                <w:szCs w:val="20"/>
                <w:lang w:val="en-US" w:eastAsia="en-US"/>
              </w:rPr>
              <w:t>71</w:t>
            </w:r>
            <w:r w:rsidRPr="00AD1FD3">
              <w:rPr>
                <w:color w:val="000000"/>
                <w:sz w:val="20"/>
                <w:szCs w:val="20"/>
                <w:lang w:val="en-US" w:eastAsia="en-US"/>
              </w:rPr>
              <w:t>(1.</w:t>
            </w:r>
            <w:r w:rsidR="00CC434A">
              <w:rPr>
                <w:color w:val="000000"/>
                <w:sz w:val="20"/>
                <w:szCs w:val="20"/>
                <w:lang w:val="en-US" w:eastAsia="en-US"/>
              </w:rPr>
              <w:t>75</w:t>
            </w:r>
            <w:r w:rsidRPr="00AD1FD3">
              <w:rPr>
                <w:color w:val="000000"/>
                <w:sz w:val="20"/>
                <w:szCs w:val="20"/>
                <w:lang w:val="en-US" w:eastAsia="en-US"/>
              </w:rPr>
              <w:t>)</w:t>
            </w:r>
          </w:p>
        </w:tc>
        <w:tc>
          <w:tcPr>
            <w:tcW w:w="960" w:type="dxa"/>
            <w:tcBorders>
              <w:top w:val="nil"/>
              <w:left w:val="nil"/>
              <w:bottom w:val="single" w:sz="12" w:space="0" w:color="000000"/>
              <w:right w:val="nil"/>
            </w:tcBorders>
          </w:tcPr>
          <w:p w14:paraId="7051F381" w14:textId="6CBD3103" w:rsidR="00C92620" w:rsidRPr="00AD1FD3" w:rsidRDefault="00C92620" w:rsidP="00AD1FD3">
            <w:pPr>
              <w:spacing w:line="360" w:lineRule="auto"/>
              <w:rPr>
                <w:color w:val="000000"/>
                <w:sz w:val="20"/>
                <w:szCs w:val="20"/>
                <w:lang w:val="en-US" w:eastAsia="en-US"/>
              </w:rPr>
            </w:pPr>
          </w:p>
        </w:tc>
        <w:tc>
          <w:tcPr>
            <w:tcW w:w="960" w:type="dxa"/>
            <w:tcBorders>
              <w:top w:val="nil"/>
              <w:left w:val="nil"/>
              <w:bottom w:val="single" w:sz="12" w:space="0" w:color="000000"/>
              <w:right w:val="nil"/>
            </w:tcBorders>
            <w:vAlign w:val="center"/>
          </w:tcPr>
          <w:p w14:paraId="25956625" w14:textId="5FAD5293" w:rsidR="00C92620" w:rsidRPr="00AD1FD3" w:rsidRDefault="00C92620" w:rsidP="00AD1FD3">
            <w:pPr>
              <w:spacing w:line="360" w:lineRule="auto"/>
              <w:rPr>
                <w:color w:val="000000"/>
                <w:sz w:val="20"/>
                <w:szCs w:val="20"/>
                <w:lang w:val="en-US" w:eastAsia="en-US"/>
              </w:rPr>
            </w:pPr>
            <w:r w:rsidRPr="00AD1FD3">
              <w:rPr>
                <w:color w:val="000000"/>
                <w:sz w:val="20"/>
                <w:szCs w:val="20"/>
                <w:lang w:val="en-US" w:eastAsia="en-US"/>
              </w:rPr>
              <w:t>8.91</w:t>
            </w:r>
          </w:p>
        </w:tc>
        <w:tc>
          <w:tcPr>
            <w:tcW w:w="960" w:type="dxa"/>
            <w:tcBorders>
              <w:top w:val="nil"/>
              <w:left w:val="nil"/>
              <w:bottom w:val="single" w:sz="12" w:space="0" w:color="000000"/>
              <w:right w:val="nil"/>
            </w:tcBorders>
            <w:vAlign w:val="center"/>
          </w:tcPr>
          <w:p w14:paraId="6F7C5A07" w14:textId="1745B13D" w:rsidR="00C92620" w:rsidRPr="00AD1FD3" w:rsidRDefault="00C92620" w:rsidP="00AD1FD3">
            <w:pPr>
              <w:spacing w:line="360" w:lineRule="auto"/>
              <w:rPr>
                <w:color w:val="000000"/>
                <w:sz w:val="20"/>
                <w:szCs w:val="20"/>
                <w:lang w:val="en-US" w:eastAsia="en-US"/>
              </w:rPr>
            </w:pPr>
            <w:r w:rsidRPr="00AD1FD3">
              <w:rPr>
                <w:color w:val="000000"/>
                <w:sz w:val="20"/>
                <w:szCs w:val="20"/>
                <w:lang w:val="en-US" w:eastAsia="en-US"/>
              </w:rPr>
              <w:t>0.28</w:t>
            </w:r>
          </w:p>
        </w:tc>
      </w:tr>
    </w:tbl>
    <w:p w14:paraId="7BA435A0" w14:textId="318570BA" w:rsidR="00C92620" w:rsidRPr="006008A0" w:rsidRDefault="00C92620" w:rsidP="00681E3D">
      <w:pPr>
        <w:spacing w:line="360" w:lineRule="auto"/>
        <w:ind w:firstLine="720"/>
      </w:pPr>
      <w:r w:rsidRPr="00AD1FD3">
        <w:rPr>
          <w:sz w:val="20"/>
          <w:szCs w:val="20"/>
        </w:rPr>
        <w:t xml:space="preserve">Todos los valores de F son significativos con p&lt;0,001. </w:t>
      </w:r>
    </w:p>
    <w:p w14:paraId="32A9668E" w14:textId="469EB558" w:rsidR="00C92620" w:rsidRPr="006008A0" w:rsidRDefault="00C92620" w:rsidP="00681E3D">
      <w:pPr>
        <w:spacing w:line="360" w:lineRule="auto"/>
        <w:ind w:left="720"/>
      </w:pPr>
      <w:r w:rsidRPr="006008A0">
        <w:rPr>
          <w:vertAlign w:val="superscript"/>
        </w:rPr>
        <w:t>+</w:t>
      </w:r>
      <w:r w:rsidRPr="00472B3F">
        <w:rPr>
          <w:sz w:val="22"/>
          <w:szCs w:val="22"/>
        </w:rPr>
        <w:t>Estos ítems tenían dos oraciones distractoras. La media de la consistencia del distractor se calculó combinando estos dos ítems, pero el análisis de varianza se realizó con las cuatro opciones</w:t>
      </w:r>
      <w:r w:rsidR="00D61E7D">
        <w:rPr>
          <w:sz w:val="22"/>
          <w:szCs w:val="22"/>
        </w:rPr>
        <w:t xml:space="preserve">. </w:t>
      </w:r>
      <w:r w:rsidR="001A3E2F">
        <w:rPr>
          <w:sz w:val="22"/>
          <w:szCs w:val="22"/>
        </w:rPr>
        <w:t>El verbo “intentar” se usó en la forma “tener la intención”.</w:t>
      </w:r>
      <w:r w:rsidR="00D61E7D">
        <w:rPr>
          <w:sz w:val="22"/>
          <w:szCs w:val="22"/>
        </w:rPr>
        <w:t xml:space="preserve"> </w:t>
      </w:r>
    </w:p>
    <w:p w14:paraId="510760F1" w14:textId="77777777" w:rsidR="001653DA" w:rsidRDefault="001653DA" w:rsidP="00681E3D">
      <w:pPr>
        <w:spacing w:line="360" w:lineRule="auto"/>
        <w:ind w:firstLine="720"/>
        <w:jc w:val="both"/>
      </w:pPr>
    </w:p>
    <w:p w14:paraId="787B7C89" w14:textId="20936145" w:rsidR="00C92620" w:rsidRPr="006008A0" w:rsidRDefault="00C92620" w:rsidP="00681E3D">
      <w:pPr>
        <w:spacing w:line="360" w:lineRule="auto"/>
        <w:ind w:firstLine="720"/>
        <w:jc w:val="both"/>
      </w:pPr>
      <w:r w:rsidRPr="006008A0">
        <w:t>La consistencia evaluada para cada uno de los ítems y verbos corresponde con el patrón general. La variación de la consistencia atribuida a las oraciones referenciales es mayor que la de las</w:t>
      </w:r>
      <w:r w:rsidR="002879E7">
        <w:t xml:space="preserve"> que señalan</w:t>
      </w:r>
      <w:r w:rsidRPr="006008A0">
        <w:t xml:space="preserve"> perspectivas, a pesar de que, en promedio, los participantes señalan que la opción referencial no es “ni consistente ni inconsistente”. Esto se puede deducir a partir del agrupamiento de las medias cerca de puntajes de 4, que constituye el punto medio de respuesta de nuestra escala. A nivel de los ítems se encontró que las oraciones con los verbos ‘saber’ e ‘ir’ son las que presentan un patrón ligeramente distinto al general. En ambos casos no existen diferencias significativas entre el promedio de consistencia atribuido a la oración perspectiva y la referencial. </w:t>
      </w:r>
    </w:p>
    <w:p w14:paraId="27971D60" w14:textId="3233F327" w:rsidR="00C92620" w:rsidRPr="006008A0" w:rsidRDefault="00C92620" w:rsidP="00681E3D">
      <w:pPr>
        <w:spacing w:line="360" w:lineRule="auto"/>
        <w:ind w:firstLine="720"/>
        <w:jc w:val="both"/>
      </w:pPr>
      <w:r w:rsidRPr="006008A0">
        <w:t xml:space="preserve">En general, las dos modalidades de desambiguación de las situaciones son consistentes y las personas se comportan de acuerdo con lo esperado a pesar de que existe un claro contraste entre el comportamiento de verbos epistémicos como </w:t>
      </w:r>
      <w:r w:rsidR="00BE36C5">
        <w:t>‘</w:t>
      </w:r>
      <w:r w:rsidRPr="006008A0">
        <w:t>saber</w:t>
      </w:r>
      <w:r w:rsidR="00BE36C5">
        <w:t>’</w:t>
      </w:r>
      <w:r w:rsidRPr="006008A0">
        <w:t xml:space="preserve"> y  </w:t>
      </w:r>
      <w:r w:rsidR="00BE36C5">
        <w:t>‘</w:t>
      </w:r>
      <w:r w:rsidRPr="006008A0">
        <w:t>creer</w:t>
      </w:r>
      <w:r w:rsidR="00BE36C5">
        <w:t>’</w:t>
      </w:r>
      <w:r w:rsidRPr="006008A0">
        <w:t xml:space="preserve">. Este resultado no es del todo sorprendente y se encuentra bien atestiguado en la literatura filosófica sobre actitudes epistémicas </w:t>
      </w:r>
      <w:r>
        <w:fldChar w:fldCharType="begin" w:fldLock="1"/>
      </w:r>
      <w:r>
        <w:instrText>ADDIN CSL_CITATION {"citationItems":[{"id":"ITEM-1","itemData":{"author":[{"dropping-particle":"","family":"Hintikka","given":"Jakko","non-dropping-particle":"","parse-names":false,"suffix":""}],"id":"ITEM-1","issued":{"date-parts":[["1962"]]},"publisher":"Press","title":"Knowledge and Belief Ithaca, NY: Cornell U","type":"article"},"uris":["http://www.mendeley.com/documents/?uuid=2e694625-1378-4fb8-ac55-cb16341e3ed0"]}],"mendeley":{"formattedCitation":"(Hintikka, 1962)","plainTextFormattedCitation":"(Hintikka, 1962)","previouslyFormattedCitation":"(Hintikka 1962)"},"properties":{"noteIndex":0},"schema":"https://github.com/citation-style-language/schema/raw/master/csl-citation.json"}</w:instrText>
      </w:r>
      <w:r>
        <w:fldChar w:fldCharType="separate"/>
      </w:r>
      <w:r w:rsidRPr="00FB4FFF">
        <w:rPr>
          <w:noProof/>
        </w:rPr>
        <w:t>(Hintikka, 1962)</w:t>
      </w:r>
      <w:r>
        <w:fldChar w:fldCharType="end"/>
      </w:r>
      <w:r w:rsidRPr="006008A0">
        <w:t xml:space="preserve">. </w:t>
      </w:r>
    </w:p>
    <w:p w14:paraId="347C683A" w14:textId="4AF7B72F" w:rsidR="00C92620" w:rsidRPr="005442FB" w:rsidRDefault="006419AD" w:rsidP="000D1C89">
      <w:pPr>
        <w:pStyle w:val="Ttulo3"/>
        <w:numPr>
          <w:ilvl w:val="0"/>
          <w:numId w:val="7"/>
        </w:numPr>
        <w:spacing w:line="360" w:lineRule="auto"/>
        <w:rPr>
          <w:b/>
          <w:bCs/>
          <w:sz w:val="24"/>
          <w:szCs w:val="24"/>
        </w:rPr>
      </w:pPr>
      <w:bookmarkStart w:id="8" w:name="_Toc525207641"/>
      <w:r>
        <w:rPr>
          <w:b/>
          <w:bCs/>
          <w:sz w:val="24"/>
          <w:szCs w:val="24"/>
        </w:rPr>
        <w:t>Estudio</w:t>
      </w:r>
      <w:r w:rsidR="00C92620" w:rsidRPr="005442FB">
        <w:rPr>
          <w:b/>
          <w:bCs/>
          <w:sz w:val="24"/>
          <w:szCs w:val="24"/>
        </w:rPr>
        <w:t xml:space="preserve"> 2. ‘Quiso decir’</w:t>
      </w:r>
      <w:bookmarkEnd w:id="8"/>
    </w:p>
    <w:p w14:paraId="11BD29E4" w14:textId="77B0B4F8" w:rsidR="00C92620" w:rsidRPr="006008A0" w:rsidRDefault="00C92620" w:rsidP="00681E3D">
      <w:pPr>
        <w:spacing w:line="360" w:lineRule="auto"/>
        <w:ind w:firstLine="720"/>
        <w:jc w:val="both"/>
      </w:pPr>
      <w:r w:rsidRPr="006008A0">
        <w:t xml:space="preserve">El </w:t>
      </w:r>
      <w:r w:rsidR="001766E0">
        <w:t>estudio</w:t>
      </w:r>
      <w:r w:rsidR="001766E0" w:rsidRPr="006008A0">
        <w:t xml:space="preserve"> </w:t>
      </w:r>
      <w:r w:rsidRPr="006008A0">
        <w:t xml:space="preserve">1 muestra que las personas ordenan oraciones y evalúan consistencia de la manera esperada, es decir, privilegiando una lectura perspectiva a menos de que se presenten elementos léxicos que indiquen la necesidad de evaluar la presuposición de forma alternativa. Sin embargo, es posible que estos métodos de evaluación no tengan mayor validez ecológica. Es posible que la evaluación realizada mediante ordenación y consistencia refleje de manera distorsionada lo que las personas hacen normalmente en casos de desambiguación. Del mismo modo, la inclusión de un punto medio en nuestra escala, que representa neutralidad sobre la consistencia, puede haber llevado a que las personas inflaran artificialmente sus valoraciones. </w:t>
      </w:r>
    </w:p>
    <w:p w14:paraId="23B74B7E" w14:textId="511B7319" w:rsidR="00C92620" w:rsidRPr="006008A0" w:rsidRDefault="00C92620" w:rsidP="00681E3D">
      <w:pPr>
        <w:spacing w:line="360" w:lineRule="auto"/>
        <w:ind w:firstLine="720"/>
        <w:jc w:val="both"/>
      </w:pPr>
      <w:r w:rsidRPr="006008A0">
        <w:t xml:space="preserve">En el </w:t>
      </w:r>
      <w:r w:rsidR="001766E0">
        <w:t>estudio</w:t>
      </w:r>
      <w:r w:rsidR="001766E0" w:rsidRPr="006008A0">
        <w:t xml:space="preserve"> </w:t>
      </w:r>
      <w:r w:rsidRPr="006008A0">
        <w:t xml:space="preserve">2 atendemos a esta posibilidad pidiéndole a las personas que consideren lo que los hablantes </w:t>
      </w:r>
      <w:r w:rsidRPr="006008A0">
        <w:rPr>
          <w:i/>
        </w:rPr>
        <w:t xml:space="preserve">quisieron decir. </w:t>
      </w:r>
      <w:r w:rsidRPr="006008A0">
        <w:t xml:space="preserve">La diferencia entre lo que se dice y lo que se quiere decir es una distinción aceptada en lingüística </w:t>
      </w:r>
      <w:r>
        <w:fldChar w:fldCharType="begin" w:fldLock="1"/>
      </w:r>
      <w:r>
        <w:instrText>ADDIN CSL_CITATION {"citationItems":[{"id":"ITEM-1","itemData":{"author":[{"dropping-particle":"","family":"Bach","given":"Kent","non-dropping-particle":"","parse-names":false,"suffix":""}],"container-title":"Cambridge handbook of pragmatics","id":"ITEM-1","issued":{"date-parts":[["2012"]]},"page":"47-68","publisher":"Citeseer","title":"Saying, meaning, and implicating","type":"article-journal"},"uris":["http://www.mendeley.com/documents/?uuid=cebf11c6-100d-40cb-99d2-f8d3a1c6b9cd"]}],"mendeley":{"formattedCitation":"(Bach, 2012)","plainTextFormattedCitation":"(Bach, 2012)","previouslyFormattedCitation":"(Bach 2012)"},"properties":{"noteIndex":0},"schema":"https://github.com/citation-style-language/schema/raw/master/csl-citation.json"}</w:instrText>
      </w:r>
      <w:r>
        <w:fldChar w:fldCharType="separate"/>
      </w:r>
      <w:r w:rsidRPr="00FB4FFF">
        <w:rPr>
          <w:noProof/>
        </w:rPr>
        <w:t>(Bach, 2012)</w:t>
      </w:r>
      <w:r>
        <w:fldChar w:fldCharType="end"/>
      </w:r>
      <w:r>
        <w:t xml:space="preserve"> </w:t>
      </w:r>
      <w:r w:rsidRPr="006008A0">
        <w:t xml:space="preserve">y entre los hablantes de lenguajes como el español. </w:t>
      </w:r>
    </w:p>
    <w:p w14:paraId="30648B9A" w14:textId="5D6839FB" w:rsidR="00C92620" w:rsidRPr="006008A0" w:rsidRDefault="00C92620" w:rsidP="00E62416">
      <w:pPr>
        <w:spacing w:line="360" w:lineRule="auto"/>
        <w:ind w:firstLine="720"/>
        <w:jc w:val="both"/>
      </w:pPr>
      <w:r w:rsidRPr="006008A0">
        <w:t xml:space="preserve">Al igual que con el </w:t>
      </w:r>
      <w:r w:rsidR="001766E0">
        <w:t>estudio</w:t>
      </w:r>
      <w:r w:rsidR="001766E0" w:rsidRPr="006008A0">
        <w:t xml:space="preserve"> </w:t>
      </w:r>
      <w:r w:rsidRPr="006008A0">
        <w:t>1, la hipótesis es que las personas considerar</w:t>
      </w:r>
      <w:r>
        <w:t>á</w:t>
      </w:r>
      <w:r w:rsidRPr="006008A0">
        <w:t>n que lo que los hablantes quieren decir en casos de uso ambiguo de adverbios de afirmación se realiza predominantemente desde una interpretación perspectiva</w:t>
      </w:r>
      <w:r w:rsidR="000262B8">
        <w:t>. En línea con nuestro enfoque, esperamos que la presuposición de lo que se dice con una oración tenga efectos predecibles sobre lo que se quiere decir con ella</w:t>
      </w:r>
      <w:r w:rsidRPr="006008A0">
        <w:t xml:space="preserve">. En este experimento se modificaron sistemáticamente las condiciones generalmente asociadas con la presuposición de </w:t>
      </w:r>
      <w:r w:rsidR="00BE36C5">
        <w:t>‘</w:t>
      </w:r>
      <w:r w:rsidRPr="006008A0">
        <w:t>también</w:t>
      </w:r>
      <w:r w:rsidR="00BE36C5">
        <w:t>’</w:t>
      </w:r>
      <w:r w:rsidRPr="006008A0">
        <w:t xml:space="preserve"> usando elementos como repetición, elipsis y negación. Los casos de elipsis son similares a los casos presentados hasta ahora. Los ítems que introducen negación consisten en una anulación explícita de la inferencia perspectiva por defecto, así como los ítems de repetición.</w:t>
      </w:r>
    </w:p>
    <w:p w14:paraId="6D694982" w14:textId="52F330A3" w:rsidR="00C92620" w:rsidRPr="006008A0" w:rsidRDefault="00C92620" w:rsidP="00681E3D">
      <w:pPr>
        <w:spacing w:line="360" w:lineRule="auto"/>
        <w:ind w:firstLine="720"/>
        <w:jc w:val="both"/>
      </w:pPr>
      <w:r w:rsidRPr="006008A0">
        <w:t xml:space="preserve">Se utilizaron ocho situaciones </w:t>
      </w:r>
      <w:r w:rsidR="00472B3F">
        <w:t xml:space="preserve">con </w:t>
      </w:r>
      <w:r w:rsidRPr="006008A0">
        <w:t xml:space="preserve">dos hablantes. El primero siempre afirmaba, o negaba algo, y el segundo usaba una oración con el adverbio ‘también’ en respuesta a una negación de la oración del primer hablante diciendo </w:t>
      </w:r>
      <w:r w:rsidR="00BE36C5">
        <w:t>‘</w:t>
      </w:r>
      <w:r w:rsidRPr="006008A0">
        <w:t>Yo sí</w:t>
      </w:r>
      <w:r w:rsidR="00BE36C5">
        <w:t>’</w:t>
      </w:r>
      <w:r w:rsidRPr="006008A0">
        <w:t>.</w:t>
      </w:r>
    </w:p>
    <w:p w14:paraId="2BBBB761" w14:textId="330CDF93" w:rsidR="00C92620" w:rsidRPr="006008A0" w:rsidRDefault="00C92620" w:rsidP="00681E3D">
      <w:pPr>
        <w:spacing w:line="360" w:lineRule="auto"/>
        <w:ind w:firstLine="720"/>
        <w:jc w:val="both"/>
      </w:pPr>
      <w:r w:rsidRPr="006008A0">
        <w:t>Para cada una de las ocho situaciones se indicó a los participantes que debían elegir “la opción que mejor corresponda con lo que usted considere que X quiso decir”. A continuación</w:t>
      </w:r>
      <w:r w:rsidR="00472B3F">
        <w:t>,</w:t>
      </w:r>
      <w:r w:rsidRPr="006008A0">
        <w:t xml:space="preserve"> se presentaban cuatro opciones de respuesta en las que se ampliaba lo que el segundo hablante quiso decir. Adicionalmente, se realizó una clasificación alternativa de cada tipo de ítem presentado, de modo que si bien la mayoría de</w:t>
      </w:r>
      <w:r w:rsidR="00AE79D6">
        <w:t xml:space="preserve"> los</w:t>
      </w:r>
      <w:r w:rsidRPr="006008A0">
        <w:t xml:space="preserve"> enunciados incluyen verbos de intención/acción, se consideraron tres tipos de ítem. Esta clasificación se puede ver en la </w:t>
      </w:r>
      <w:r w:rsidR="00295D12">
        <w:t>T</w:t>
      </w:r>
      <w:r w:rsidRPr="006008A0">
        <w:t xml:space="preserve">abla 4. </w:t>
      </w:r>
    </w:p>
    <w:p w14:paraId="0205584A" w14:textId="0E4A9662" w:rsidR="00C92620" w:rsidRPr="005442FB" w:rsidRDefault="00C92620" w:rsidP="00E62416">
      <w:pPr>
        <w:pStyle w:val="Ttulo4"/>
        <w:numPr>
          <w:ilvl w:val="1"/>
          <w:numId w:val="9"/>
        </w:numPr>
        <w:spacing w:after="0" w:line="360" w:lineRule="auto"/>
        <w:rPr>
          <w:b/>
          <w:bCs/>
          <w:iCs/>
          <w:color w:val="auto"/>
        </w:rPr>
      </w:pPr>
      <w:bookmarkStart w:id="9" w:name="_Toc525207644"/>
      <w:r w:rsidRPr="005442FB">
        <w:rPr>
          <w:b/>
          <w:bCs/>
          <w:iCs/>
          <w:color w:val="auto"/>
        </w:rPr>
        <w:t>Resultados</w:t>
      </w:r>
      <w:bookmarkEnd w:id="9"/>
      <w:r w:rsidRPr="005442FB">
        <w:rPr>
          <w:b/>
          <w:bCs/>
          <w:iCs/>
          <w:color w:val="auto"/>
        </w:rPr>
        <w:t xml:space="preserve"> </w:t>
      </w:r>
      <w:r w:rsidR="0065448A">
        <w:rPr>
          <w:b/>
          <w:bCs/>
          <w:iCs/>
          <w:color w:val="auto"/>
        </w:rPr>
        <w:t>Estudio</w:t>
      </w:r>
      <w:r w:rsidR="0065448A" w:rsidRPr="005442FB">
        <w:rPr>
          <w:b/>
          <w:bCs/>
          <w:iCs/>
          <w:color w:val="auto"/>
        </w:rPr>
        <w:t xml:space="preserve"> </w:t>
      </w:r>
      <w:r w:rsidRPr="005442FB">
        <w:rPr>
          <w:b/>
          <w:bCs/>
          <w:iCs/>
          <w:color w:val="auto"/>
        </w:rPr>
        <w:t>2</w:t>
      </w:r>
    </w:p>
    <w:p w14:paraId="2C55048B" w14:textId="1B0E2E63" w:rsidR="00C92620" w:rsidRPr="006008A0" w:rsidRDefault="00C92620" w:rsidP="00681E3D">
      <w:pPr>
        <w:spacing w:line="360" w:lineRule="auto"/>
        <w:ind w:firstLine="720"/>
        <w:jc w:val="both"/>
      </w:pPr>
      <w:r w:rsidRPr="006008A0">
        <w:t xml:space="preserve">La </w:t>
      </w:r>
      <w:r w:rsidR="00295D12">
        <w:t>T</w:t>
      </w:r>
      <w:r w:rsidRPr="006008A0">
        <w:t>abla 4 presenta un patrón de respuestas variado. Para los ítems de elipsis, las personas prefirieron de manera marcada los enunciados perspectiv</w:t>
      </w:r>
      <w:r w:rsidR="006279E4">
        <w:t>o</w:t>
      </w:r>
      <w:r w:rsidRPr="006008A0">
        <w:t>s como los más adecuados en los tres ítems. Para los casos de negación esto ocurre para dos de los tres enunciados. Sorprendentemente, la mayoría de las respuestas estuvo dividida entre los enunciados perspectiv</w:t>
      </w:r>
      <w:r w:rsidR="006279E4">
        <w:t>o</w:t>
      </w:r>
      <w:r w:rsidRPr="006008A0">
        <w:t>s y referenciales, sin un patrón marcado claro. Es posible que este ítem haya sido especialmente ambiguo dado que la opción referencial puede considerarse como equivalente con la perspectiva.</w:t>
      </w:r>
    </w:p>
    <w:p w14:paraId="0411C27E" w14:textId="77777777" w:rsidR="00472B3F" w:rsidRDefault="00472B3F" w:rsidP="00472B3F">
      <w:pPr>
        <w:spacing w:line="360" w:lineRule="auto"/>
        <w:jc w:val="center"/>
        <w:rPr>
          <w:b/>
          <w:bCs/>
        </w:rPr>
      </w:pPr>
    </w:p>
    <w:p w14:paraId="549C1C1D" w14:textId="46E9C1D6" w:rsidR="00C92620" w:rsidRPr="006008A0" w:rsidRDefault="00C92620" w:rsidP="00472B3F">
      <w:pPr>
        <w:spacing w:line="360" w:lineRule="auto"/>
        <w:jc w:val="center"/>
      </w:pPr>
      <w:r w:rsidRPr="00641334">
        <w:rPr>
          <w:b/>
          <w:bCs/>
        </w:rPr>
        <w:t>Tabla 4</w:t>
      </w:r>
      <w:r w:rsidRPr="006008A0">
        <w:t>. Porcentajes y frecuencias (entre paréntesis) de elección por ítem</w:t>
      </w:r>
      <w:r w:rsidR="00472B3F">
        <w:t>.</w:t>
      </w:r>
      <w:r w:rsidRPr="006008A0">
        <w:t xml:space="preserve"> </w:t>
      </w:r>
    </w:p>
    <w:tbl>
      <w:tblPr>
        <w:tblW w:w="9360" w:type="dxa"/>
        <w:tblInd w:w="-180" w:type="dxa"/>
        <w:tblLook w:val="04A0" w:firstRow="1" w:lastRow="0" w:firstColumn="1" w:lastColumn="0" w:noHBand="0" w:noVBand="1"/>
      </w:tblPr>
      <w:tblGrid>
        <w:gridCol w:w="1247"/>
        <w:gridCol w:w="1533"/>
        <w:gridCol w:w="1504"/>
        <w:gridCol w:w="1409"/>
        <w:gridCol w:w="1518"/>
        <w:gridCol w:w="1483"/>
        <w:gridCol w:w="666"/>
      </w:tblGrid>
      <w:tr w:rsidR="00C92620" w:rsidRPr="00AD1FD3" w14:paraId="75673C15" w14:textId="77777777" w:rsidTr="00681E3D">
        <w:trPr>
          <w:trHeight w:val="320"/>
        </w:trPr>
        <w:tc>
          <w:tcPr>
            <w:tcW w:w="1247" w:type="dxa"/>
            <w:tcBorders>
              <w:top w:val="single" w:sz="4" w:space="0" w:color="auto"/>
              <w:left w:val="nil"/>
              <w:bottom w:val="single" w:sz="8" w:space="0" w:color="000000"/>
              <w:right w:val="nil"/>
            </w:tcBorders>
            <w:shd w:val="clear" w:color="auto" w:fill="auto"/>
            <w:vAlign w:val="center"/>
            <w:hideMark/>
          </w:tcPr>
          <w:p w14:paraId="1A764AA0" w14:textId="77777777" w:rsidR="00C92620" w:rsidRPr="00AD1FD3" w:rsidRDefault="00C92620" w:rsidP="00AD1FD3">
            <w:pPr>
              <w:spacing w:line="360" w:lineRule="auto"/>
              <w:rPr>
                <w:b/>
                <w:bCs/>
                <w:color w:val="000000"/>
                <w:sz w:val="20"/>
                <w:szCs w:val="20"/>
                <w:lang w:val="en-US" w:eastAsia="en-US"/>
              </w:rPr>
            </w:pPr>
            <w:r w:rsidRPr="00AD1FD3">
              <w:rPr>
                <w:b/>
                <w:bCs/>
                <w:color w:val="000000"/>
                <w:sz w:val="20"/>
                <w:szCs w:val="20"/>
                <w:lang w:eastAsia="en-US"/>
              </w:rPr>
              <w:t xml:space="preserve">    Tipo</w:t>
            </w:r>
          </w:p>
        </w:tc>
        <w:tc>
          <w:tcPr>
            <w:tcW w:w="1533" w:type="dxa"/>
            <w:tcBorders>
              <w:top w:val="single" w:sz="4" w:space="0" w:color="auto"/>
              <w:left w:val="nil"/>
              <w:bottom w:val="single" w:sz="8" w:space="0" w:color="000000"/>
              <w:right w:val="nil"/>
            </w:tcBorders>
            <w:shd w:val="clear" w:color="auto" w:fill="auto"/>
            <w:vAlign w:val="center"/>
            <w:hideMark/>
          </w:tcPr>
          <w:p w14:paraId="4719966B" w14:textId="77777777" w:rsidR="00C92620" w:rsidRPr="00AD1FD3" w:rsidRDefault="00C92620" w:rsidP="00AD1FD3">
            <w:pPr>
              <w:spacing w:line="360" w:lineRule="auto"/>
              <w:rPr>
                <w:b/>
                <w:bCs/>
                <w:color w:val="000000"/>
                <w:sz w:val="20"/>
                <w:szCs w:val="20"/>
                <w:lang w:val="en-US" w:eastAsia="en-US"/>
              </w:rPr>
            </w:pPr>
            <w:r w:rsidRPr="00AD1FD3">
              <w:rPr>
                <w:b/>
                <w:bCs/>
                <w:color w:val="000000"/>
                <w:sz w:val="20"/>
                <w:szCs w:val="20"/>
                <w:lang w:eastAsia="en-US"/>
              </w:rPr>
              <w:t>Verbo</w:t>
            </w:r>
          </w:p>
        </w:tc>
        <w:tc>
          <w:tcPr>
            <w:tcW w:w="1504" w:type="dxa"/>
            <w:tcBorders>
              <w:top w:val="single" w:sz="4" w:space="0" w:color="auto"/>
              <w:left w:val="nil"/>
              <w:bottom w:val="single" w:sz="8" w:space="0" w:color="000000"/>
              <w:right w:val="nil"/>
            </w:tcBorders>
            <w:shd w:val="clear" w:color="auto" w:fill="auto"/>
            <w:vAlign w:val="center"/>
            <w:hideMark/>
          </w:tcPr>
          <w:p w14:paraId="3BAC6CD9" w14:textId="10BE1420" w:rsidR="00C92620" w:rsidRPr="00AD1FD3" w:rsidRDefault="00C92620" w:rsidP="00AD1FD3">
            <w:pPr>
              <w:spacing w:line="360" w:lineRule="auto"/>
              <w:rPr>
                <w:b/>
                <w:bCs/>
                <w:color w:val="000000"/>
                <w:sz w:val="20"/>
                <w:szCs w:val="20"/>
                <w:lang w:val="en-US" w:eastAsia="en-US"/>
              </w:rPr>
            </w:pPr>
            <w:r w:rsidRPr="00AD1FD3">
              <w:rPr>
                <w:b/>
                <w:bCs/>
                <w:color w:val="000000"/>
                <w:sz w:val="20"/>
                <w:szCs w:val="20"/>
                <w:lang w:val="en-US" w:eastAsia="en-US"/>
              </w:rPr>
              <w:t xml:space="preserve">Perspectiva  </w:t>
            </w:r>
          </w:p>
        </w:tc>
        <w:tc>
          <w:tcPr>
            <w:tcW w:w="1409" w:type="dxa"/>
            <w:tcBorders>
              <w:top w:val="single" w:sz="4" w:space="0" w:color="auto"/>
              <w:left w:val="nil"/>
              <w:bottom w:val="single" w:sz="8" w:space="0" w:color="000000"/>
              <w:right w:val="nil"/>
            </w:tcBorders>
            <w:shd w:val="clear" w:color="auto" w:fill="auto"/>
            <w:vAlign w:val="center"/>
            <w:hideMark/>
          </w:tcPr>
          <w:p w14:paraId="60D8A2D6" w14:textId="77777777" w:rsidR="00C92620" w:rsidRPr="00AD1FD3" w:rsidRDefault="00C92620" w:rsidP="00AD1FD3">
            <w:pPr>
              <w:spacing w:line="360" w:lineRule="auto"/>
              <w:rPr>
                <w:b/>
                <w:bCs/>
                <w:color w:val="000000"/>
                <w:sz w:val="20"/>
                <w:szCs w:val="20"/>
                <w:lang w:val="en-US" w:eastAsia="en-US"/>
              </w:rPr>
            </w:pPr>
            <w:r w:rsidRPr="00AD1FD3">
              <w:rPr>
                <w:b/>
                <w:bCs/>
                <w:color w:val="000000"/>
                <w:sz w:val="20"/>
                <w:szCs w:val="20"/>
                <w:lang w:eastAsia="en-US"/>
              </w:rPr>
              <w:t>Referencial</w:t>
            </w:r>
          </w:p>
        </w:tc>
        <w:tc>
          <w:tcPr>
            <w:tcW w:w="1518" w:type="dxa"/>
            <w:tcBorders>
              <w:top w:val="single" w:sz="4" w:space="0" w:color="auto"/>
              <w:left w:val="nil"/>
              <w:bottom w:val="single" w:sz="8" w:space="0" w:color="000000"/>
              <w:right w:val="nil"/>
            </w:tcBorders>
            <w:shd w:val="clear" w:color="auto" w:fill="auto"/>
            <w:vAlign w:val="center"/>
            <w:hideMark/>
          </w:tcPr>
          <w:p w14:paraId="71EBDC0F" w14:textId="77777777" w:rsidR="00C92620" w:rsidRPr="00AD1FD3" w:rsidRDefault="00C92620" w:rsidP="00AD1FD3">
            <w:pPr>
              <w:spacing w:line="360" w:lineRule="auto"/>
              <w:rPr>
                <w:b/>
                <w:bCs/>
                <w:color w:val="000000"/>
                <w:sz w:val="20"/>
                <w:szCs w:val="20"/>
                <w:lang w:val="en-US" w:eastAsia="en-US"/>
              </w:rPr>
            </w:pPr>
            <w:r w:rsidRPr="00AD1FD3">
              <w:rPr>
                <w:b/>
                <w:bCs/>
                <w:color w:val="000000"/>
                <w:sz w:val="20"/>
                <w:szCs w:val="20"/>
                <w:lang w:val="en-US" w:eastAsia="en-US"/>
              </w:rPr>
              <w:t>Distractor 1</w:t>
            </w:r>
          </w:p>
        </w:tc>
        <w:tc>
          <w:tcPr>
            <w:tcW w:w="1483" w:type="dxa"/>
            <w:tcBorders>
              <w:top w:val="single" w:sz="4" w:space="0" w:color="auto"/>
              <w:left w:val="nil"/>
              <w:bottom w:val="single" w:sz="8" w:space="0" w:color="000000"/>
              <w:right w:val="nil"/>
            </w:tcBorders>
            <w:shd w:val="clear" w:color="auto" w:fill="auto"/>
            <w:vAlign w:val="center"/>
            <w:hideMark/>
          </w:tcPr>
          <w:p w14:paraId="00661002" w14:textId="77777777" w:rsidR="00C92620" w:rsidRPr="00AD1FD3" w:rsidRDefault="00C92620" w:rsidP="00AD1FD3">
            <w:pPr>
              <w:spacing w:line="360" w:lineRule="auto"/>
              <w:rPr>
                <w:b/>
                <w:bCs/>
                <w:color w:val="000000"/>
                <w:sz w:val="20"/>
                <w:szCs w:val="20"/>
                <w:lang w:val="en-US" w:eastAsia="en-US"/>
              </w:rPr>
            </w:pPr>
            <w:r w:rsidRPr="00AD1FD3">
              <w:rPr>
                <w:b/>
                <w:bCs/>
                <w:color w:val="000000"/>
                <w:sz w:val="20"/>
                <w:szCs w:val="20"/>
                <w:lang w:val="en-US" w:eastAsia="en-US"/>
              </w:rPr>
              <w:t>Distractor 2</w:t>
            </w:r>
          </w:p>
        </w:tc>
        <w:tc>
          <w:tcPr>
            <w:tcW w:w="666" w:type="dxa"/>
            <w:tcBorders>
              <w:top w:val="single" w:sz="4" w:space="0" w:color="auto"/>
              <w:left w:val="nil"/>
              <w:bottom w:val="single" w:sz="8" w:space="0" w:color="000000"/>
              <w:right w:val="nil"/>
            </w:tcBorders>
            <w:shd w:val="clear" w:color="auto" w:fill="auto"/>
            <w:vAlign w:val="center"/>
            <w:hideMark/>
          </w:tcPr>
          <w:p w14:paraId="6680C735" w14:textId="77777777" w:rsidR="00C92620" w:rsidRPr="00AD1FD3" w:rsidRDefault="00C92620" w:rsidP="00AD1FD3">
            <w:pPr>
              <w:spacing w:line="360" w:lineRule="auto"/>
              <w:rPr>
                <w:b/>
                <w:bCs/>
                <w:color w:val="000000"/>
                <w:sz w:val="20"/>
                <w:szCs w:val="20"/>
                <w:lang w:val="en-US" w:eastAsia="en-US"/>
              </w:rPr>
            </w:pPr>
            <w:r w:rsidRPr="00AD1FD3">
              <w:rPr>
                <w:b/>
                <w:bCs/>
                <w:color w:val="000000"/>
                <w:sz w:val="20"/>
                <w:szCs w:val="20"/>
                <w:lang w:val="en-US" w:eastAsia="en-US"/>
              </w:rPr>
              <w:t xml:space="preserve"> χ² </w:t>
            </w:r>
          </w:p>
        </w:tc>
      </w:tr>
      <w:tr w:rsidR="00C92620" w:rsidRPr="00AD1FD3" w14:paraId="5BAD7668" w14:textId="77777777" w:rsidTr="00681E3D">
        <w:trPr>
          <w:trHeight w:val="310"/>
        </w:trPr>
        <w:tc>
          <w:tcPr>
            <w:tcW w:w="1247" w:type="dxa"/>
            <w:tcBorders>
              <w:top w:val="nil"/>
              <w:left w:val="nil"/>
              <w:bottom w:val="nil"/>
              <w:right w:val="nil"/>
            </w:tcBorders>
            <w:shd w:val="clear" w:color="auto" w:fill="auto"/>
            <w:vAlign w:val="center"/>
            <w:hideMark/>
          </w:tcPr>
          <w:p w14:paraId="1478D536" w14:textId="77777777" w:rsidR="00C92620" w:rsidRPr="00AD1FD3" w:rsidRDefault="00C92620" w:rsidP="00AD1FD3">
            <w:pPr>
              <w:spacing w:line="360" w:lineRule="auto"/>
              <w:rPr>
                <w:color w:val="000000"/>
                <w:sz w:val="20"/>
                <w:szCs w:val="20"/>
                <w:lang w:val="en-US" w:eastAsia="en-US"/>
              </w:rPr>
            </w:pPr>
            <w:r w:rsidRPr="00AD1FD3">
              <w:rPr>
                <w:color w:val="000000"/>
                <w:sz w:val="20"/>
                <w:szCs w:val="20"/>
                <w:lang w:eastAsia="en-US"/>
              </w:rPr>
              <w:t>Repetición</w:t>
            </w:r>
          </w:p>
        </w:tc>
        <w:tc>
          <w:tcPr>
            <w:tcW w:w="1533" w:type="dxa"/>
            <w:tcBorders>
              <w:top w:val="nil"/>
              <w:left w:val="nil"/>
              <w:bottom w:val="nil"/>
              <w:right w:val="nil"/>
            </w:tcBorders>
            <w:shd w:val="clear" w:color="auto" w:fill="auto"/>
            <w:vAlign w:val="center"/>
            <w:hideMark/>
          </w:tcPr>
          <w:p w14:paraId="7A983B86" w14:textId="4A094211" w:rsidR="00C92620" w:rsidRPr="00AD1FD3" w:rsidRDefault="00C92620" w:rsidP="00AD1FD3">
            <w:pPr>
              <w:spacing w:line="360" w:lineRule="auto"/>
              <w:rPr>
                <w:color w:val="000000"/>
                <w:sz w:val="20"/>
                <w:szCs w:val="20"/>
                <w:lang w:val="en-US" w:eastAsia="en-US"/>
              </w:rPr>
            </w:pPr>
            <w:r w:rsidRPr="00AD1FD3">
              <w:rPr>
                <w:color w:val="000000"/>
                <w:sz w:val="20"/>
                <w:szCs w:val="20"/>
                <w:lang w:eastAsia="en-US"/>
              </w:rPr>
              <w:t>Darse cuenta</w:t>
            </w:r>
          </w:p>
        </w:tc>
        <w:tc>
          <w:tcPr>
            <w:tcW w:w="1504" w:type="dxa"/>
            <w:tcBorders>
              <w:top w:val="nil"/>
              <w:left w:val="nil"/>
              <w:bottom w:val="nil"/>
              <w:right w:val="nil"/>
            </w:tcBorders>
            <w:shd w:val="clear" w:color="auto" w:fill="auto"/>
            <w:vAlign w:val="center"/>
            <w:hideMark/>
          </w:tcPr>
          <w:p w14:paraId="3D308BC0" w14:textId="0F9DFE43" w:rsidR="00C92620" w:rsidRPr="00AD1FD3" w:rsidRDefault="00C92620" w:rsidP="00AD1FD3">
            <w:pPr>
              <w:spacing w:line="360" w:lineRule="auto"/>
              <w:rPr>
                <w:color w:val="000000"/>
                <w:sz w:val="20"/>
                <w:szCs w:val="20"/>
                <w:lang w:val="en-US" w:eastAsia="en-US"/>
              </w:rPr>
            </w:pPr>
            <w:r w:rsidRPr="00AD1FD3">
              <w:rPr>
                <w:color w:val="000000"/>
                <w:sz w:val="20"/>
                <w:szCs w:val="20"/>
                <w:lang w:val="en-US" w:eastAsia="en-US"/>
              </w:rPr>
              <w:t>2</w:t>
            </w:r>
            <w:r w:rsidR="00DF7AF1">
              <w:rPr>
                <w:color w:val="000000"/>
                <w:sz w:val="20"/>
                <w:szCs w:val="20"/>
                <w:lang w:val="en-US" w:eastAsia="en-US"/>
              </w:rPr>
              <w:t>7</w:t>
            </w:r>
            <w:r w:rsidRPr="00AD1FD3">
              <w:rPr>
                <w:color w:val="000000"/>
                <w:sz w:val="20"/>
                <w:szCs w:val="20"/>
                <w:lang w:val="en-US" w:eastAsia="en-US"/>
              </w:rPr>
              <w:t>% (</w:t>
            </w:r>
            <w:r w:rsidR="00DF7AF1">
              <w:rPr>
                <w:color w:val="000000"/>
                <w:sz w:val="20"/>
                <w:szCs w:val="20"/>
                <w:lang w:eastAsia="en-US"/>
              </w:rPr>
              <w:t>12</w:t>
            </w:r>
            <w:r w:rsidRPr="00AD1FD3">
              <w:rPr>
                <w:color w:val="000000"/>
                <w:sz w:val="20"/>
                <w:szCs w:val="20"/>
                <w:lang w:eastAsia="en-US"/>
              </w:rPr>
              <w:t>)</w:t>
            </w:r>
          </w:p>
        </w:tc>
        <w:tc>
          <w:tcPr>
            <w:tcW w:w="1409" w:type="dxa"/>
            <w:tcBorders>
              <w:top w:val="nil"/>
              <w:left w:val="nil"/>
              <w:bottom w:val="nil"/>
              <w:right w:val="nil"/>
            </w:tcBorders>
            <w:shd w:val="clear" w:color="auto" w:fill="auto"/>
            <w:vAlign w:val="center"/>
            <w:hideMark/>
          </w:tcPr>
          <w:p w14:paraId="0A6E1933" w14:textId="72CC603C" w:rsidR="00C92620" w:rsidRPr="00AD1FD3" w:rsidRDefault="006544F2" w:rsidP="00AD1FD3">
            <w:pPr>
              <w:spacing w:line="360" w:lineRule="auto"/>
              <w:rPr>
                <w:color w:val="000000"/>
                <w:sz w:val="20"/>
                <w:szCs w:val="20"/>
                <w:lang w:val="en-US" w:eastAsia="en-US"/>
              </w:rPr>
            </w:pPr>
            <w:r>
              <w:rPr>
                <w:color w:val="000000"/>
                <w:sz w:val="20"/>
                <w:szCs w:val="20"/>
                <w:lang w:eastAsia="en-US"/>
              </w:rPr>
              <w:t>54</w:t>
            </w:r>
            <w:r w:rsidR="00C92620" w:rsidRPr="00AD1FD3">
              <w:rPr>
                <w:color w:val="000000"/>
                <w:sz w:val="20"/>
                <w:szCs w:val="20"/>
                <w:lang w:eastAsia="en-US"/>
              </w:rPr>
              <w:t>% (</w:t>
            </w:r>
            <w:r w:rsidR="00DF7AF1">
              <w:rPr>
                <w:color w:val="000000"/>
                <w:sz w:val="20"/>
                <w:szCs w:val="20"/>
                <w:lang w:eastAsia="en-US"/>
              </w:rPr>
              <w:t>24</w:t>
            </w:r>
            <w:r w:rsidR="00C92620" w:rsidRPr="00AD1FD3">
              <w:rPr>
                <w:color w:val="000000"/>
                <w:sz w:val="20"/>
                <w:szCs w:val="20"/>
                <w:lang w:eastAsia="en-US"/>
              </w:rPr>
              <w:t>)</w:t>
            </w:r>
          </w:p>
        </w:tc>
        <w:tc>
          <w:tcPr>
            <w:tcW w:w="1518" w:type="dxa"/>
            <w:tcBorders>
              <w:top w:val="nil"/>
              <w:left w:val="nil"/>
              <w:bottom w:val="nil"/>
              <w:right w:val="nil"/>
            </w:tcBorders>
            <w:shd w:val="clear" w:color="auto" w:fill="auto"/>
            <w:vAlign w:val="center"/>
            <w:hideMark/>
          </w:tcPr>
          <w:p w14:paraId="3CC961D7" w14:textId="0B05CD5F" w:rsidR="00C92620" w:rsidRPr="00AD1FD3" w:rsidRDefault="006544F2" w:rsidP="00AD1FD3">
            <w:pPr>
              <w:spacing w:line="360" w:lineRule="auto"/>
              <w:rPr>
                <w:color w:val="000000"/>
                <w:sz w:val="20"/>
                <w:szCs w:val="20"/>
                <w:lang w:val="en-US" w:eastAsia="en-US"/>
              </w:rPr>
            </w:pPr>
            <w:r>
              <w:rPr>
                <w:color w:val="000000"/>
                <w:sz w:val="20"/>
                <w:szCs w:val="20"/>
                <w:lang w:eastAsia="en-US"/>
              </w:rPr>
              <w:t>9</w:t>
            </w:r>
            <w:r w:rsidR="00C92620" w:rsidRPr="00AD1FD3">
              <w:rPr>
                <w:color w:val="000000"/>
                <w:sz w:val="20"/>
                <w:szCs w:val="20"/>
                <w:lang w:eastAsia="en-US"/>
              </w:rPr>
              <w:t>% (</w:t>
            </w:r>
            <w:r w:rsidR="00DF7AF1">
              <w:rPr>
                <w:color w:val="000000"/>
                <w:sz w:val="20"/>
                <w:szCs w:val="20"/>
                <w:lang w:eastAsia="en-US"/>
              </w:rPr>
              <w:t>4</w:t>
            </w:r>
            <w:r w:rsidR="00C92620" w:rsidRPr="00AD1FD3">
              <w:rPr>
                <w:color w:val="000000"/>
                <w:sz w:val="20"/>
                <w:szCs w:val="20"/>
                <w:lang w:eastAsia="en-US"/>
              </w:rPr>
              <w:t>)</w:t>
            </w:r>
          </w:p>
        </w:tc>
        <w:tc>
          <w:tcPr>
            <w:tcW w:w="1483" w:type="dxa"/>
            <w:tcBorders>
              <w:top w:val="nil"/>
              <w:left w:val="nil"/>
              <w:bottom w:val="nil"/>
              <w:right w:val="nil"/>
            </w:tcBorders>
            <w:shd w:val="clear" w:color="auto" w:fill="auto"/>
            <w:vAlign w:val="center"/>
            <w:hideMark/>
          </w:tcPr>
          <w:p w14:paraId="14BB444F" w14:textId="08CF78D6" w:rsidR="00C92620" w:rsidRPr="00AD1FD3" w:rsidRDefault="006544F2" w:rsidP="00AD1FD3">
            <w:pPr>
              <w:spacing w:line="360" w:lineRule="auto"/>
              <w:rPr>
                <w:color w:val="000000"/>
                <w:sz w:val="20"/>
                <w:szCs w:val="20"/>
                <w:lang w:val="en-US" w:eastAsia="en-US"/>
              </w:rPr>
            </w:pPr>
            <w:r>
              <w:rPr>
                <w:color w:val="000000"/>
                <w:sz w:val="20"/>
                <w:szCs w:val="20"/>
                <w:lang w:eastAsia="en-US"/>
              </w:rPr>
              <w:t>9</w:t>
            </w:r>
            <w:r w:rsidR="00C92620" w:rsidRPr="00AD1FD3">
              <w:rPr>
                <w:color w:val="000000"/>
                <w:sz w:val="20"/>
                <w:szCs w:val="20"/>
                <w:lang w:eastAsia="en-US"/>
              </w:rPr>
              <w:t>% (</w:t>
            </w:r>
            <w:r w:rsidR="00DF7AF1">
              <w:rPr>
                <w:color w:val="000000"/>
                <w:sz w:val="20"/>
                <w:szCs w:val="20"/>
                <w:lang w:eastAsia="en-US"/>
              </w:rPr>
              <w:t>4</w:t>
            </w:r>
            <w:r w:rsidR="00C92620" w:rsidRPr="00AD1FD3">
              <w:rPr>
                <w:color w:val="000000"/>
                <w:sz w:val="20"/>
                <w:szCs w:val="20"/>
                <w:lang w:eastAsia="en-US"/>
              </w:rPr>
              <w:t>)</w:t>
            </w:r>
          </w:p>
        </w:tc>
        <w:tc>
          <w:tcPr>
            <w:tcW w:w="666" w:type="dxa"/>
            <w:tcBorders>
              <w:top w:val="nil"/>
              <w:left w:val="nil"/>
              <w:bottom w:val="nil"/>
              <w:right w:val="nil"/>
            </w:tcBorders>
            <w:shd w:val="clear" w:color="auto" w:fill="auto"/>
            <w:vAlign w:val="center"/>
            <w:hideMark/>
          </w:tcPr>
          <w:p w14:paraId="6F383DF3" w14:textId="6030F572" w:rsidR="00C92620" w:rsidRPr="00AD1FD3" w:rsidRDefault="00C92620" w:rsidP="00AD1FD3">
            <w:pPr>
              <w:spacing w:line="360" w:lineRule="auto"/>
              <w:rPr>
                <w:color w:val="000000"/>
                <w:sz w:val="20"/>
                <w:szCs w:val="20"/>
                <w:lang w:val="en-US" w:eastAsia="en-US"/>
              </w:rPr>
            </w:pPr>
            <w:r w:rsidRPr="00AD1FD3">
              <w:rPr>
                <w:color w:val="000000"/>
                <w:sz w:val="20"/>
                <w:szCs w:val="20"/>
                <w:lang w:val="en-US" w:eastAsia="en-US"/>
              </w:rPr>
              <w:t>1</w:t>
            </w:r>
            <w:r w:rsidR="006544F2">
              <w:rPr>
                <w:color w:val="000000"/>
                <w:sz w:val="20"/>
                <w:szCs w:val="20"/>
                <w:lang w:val="en-US" w:eastAsia="en-US"/>
              </w:rPr>
              <w:t>2</w:t>
            </w:r>
            <w:r w:rsidRPr="00AD1FD3">
              <w:rPr>
                <w:color w:val="000000"/>
                <w:sz w:val="20"/>
                <w:szCs w:val="20"/>
                <w:lang w:val="en-US" w:eastAsia="en-US"/>
              </w:rPr>
              <w:t>.</w:t>
            </w:r>
            <w:r w:rsidR="006544F2">
              <w:rPr>
                <w:color w:val="000000"/>
                <w:sz w:val="20"/>
                <w:szCs w:val="20"/>
                <w:lang w:val="en-US" w:eastAsia="en-US"/>
              </w:rPr>
              <w:t>9</w:t>
            </w:r>
            <w:r w:rsidRPr="00AD1FD3">
              <w:rPr>
                <w:color w:val="000000"/>
                <w:sz w:val="20"/>
                <w:szCs w:val="20"/>
                <w:lang w:val="en-US" w:eastAsia="en-US"/>
              </w:rPr>
              <w:t>1</w:t>
            </w:r>
          </w:p>
        </w:tc>
      </w:tr>
      <w:tr w:rsidR="00C92620" w:rsidRPr="00AD1FD3" w14:paraId="01F3F9E9" w14:textId="77777777" w:rsidTr="00681E3D">
        <w:trPr>
          <w:trHeight w:val="310"/>
        </w:trPr>
        <w:tc>
          <w:tcPr>
            <w:tcW w:w="1247" w:type="dxa"/>
            <w:tcBorders>
              <w:top w:val="nil"/>
              <w:left w:val="nil"/>
              <w:bottom w:val="nil"/>
              <w:right w:val="nil"/>
            </w:tcBorders>
            <w:shd w:val="clear" w:color="auto" w:fill="auto"/>
            <w:vAlign w:val="center"/>
            <w:hideMark/>
          </w:tcPr>
          <w:p w14:paraId="28A4599C" w14:textId="77777777" w:rsidR="00C92620" w:rsidRPr="00AD1FD3" w:rsidRDefault="00C92620" w:rsidP="00AD1FD3">
            <w:pPr>
              <w:spacing w:line="360" w:lineRule="auto"/>
              <w:rPr>
                <w:color w:val="000000"/>
                <w:sz w:val="20"/>
                <w:szCs w:val="20"/>
                <w:lang w:val="en-US" w:eastAsia="en-US"/>
              </w:rPr>
            </w:pPr>
            <w:r w:rsidRPr="00AD1FD3">
              <w:rPr>
                <w:color w:val="000000"/>
                <w:sz w:val="20"/>
                <w:szCs w:val="20"/>
                <w:lang w:eastAsia="en-US"/>
              </w:rPr>
              <w:t>Repetición</w:t>
            </w:r>
          </w:p>
        </w:tc>
        <w:tc>
          <w:tcPr>
            <w:tcW w:w="1533" w:type="dxa"/>
            <w:tcBorders>
              <w:top w:val="nil"/>
              <w:left w:val="nil"/>
              <w:bottom w:val="nil"/>
              <w:right w:val="nil"/>
            </w:tcBorders>
            <w:shd w:val="clear" w:color="auto" w:fill="auto"/>
            <w:vAlign w:val="center"/>
            <w:hideMark/>
          </w:tcPr>
          <w:p w14:paraId="440E89BE" w14:textId="6E027951" w:rsidR="00C92620" w:rsidRPr="00AD1FD3" w:rsidRDefault="00C92620" w:rsidP="00AD1FD3">
            <w:pPr>
              <w:spacing w:line="360" w:lineRule="auto"/>
              <w:rPr>
                <w:color w:val="000000"/>
                <w:sz w:val="20"/>
                <w:szCs w:val="20"/>
                <w:lang w:val="en-US" w:eastAsia="en-US"/>
              </w:rPr>
            </w:pPr>
            <w:r w:rsidRPr="00AD1FD3">
              <w:rPr>
                <w:color w:val="000000"/>
                <w:sz w:val="20"/>
                <w:szCs w:val="20"/>
                <w:lang w:eastAsia="en-US"/>
              </w:rPr>
              <w:t>Darse cuenta</w:t>
            </w:r>
          </w:p>
        </w:tc>
        <w:tc>
          <w:tcPr>
            <w:tcW w:w="1504" w:type="dxa"/>
            <w:tcBorders>
              <w:top w:val="nil"/>
              <w:left w:val="nil"/>
              <w:bottom w:val="nil"/>
              <w:right w:val="nil"/>
            </w:tcBorders>
            <w:shd w:val="clear" w:color="auto" w:fill="auto"/>
            <w:vAlign w:val="center"/>
            <w:hideMark/>
          </w:tcPr>
          <w:p w14:paraId="7CC71037" w14:textId="01D2AA3D" w:rsidR="00C92620" w:rsidRPr="00AD1FD3" w:rsidRDefault="00C92620" w:rsidP="00AD1FD3">
            <w:pPr>
              <w:spacing w:line="360" w:lineRule="auto"/>
              <w:ind w:right="-89"/>
              <w:rPr>
                <w:color w:val="000000"/>
                <w:sz w:val="20"/>
                <w:szCs w:val="20"/>
                <w:lang w:val="en-US" w:eastAsia="en-US"/>
              </w:rPr>
            </w:pPr>
            <w:r w:rsidRPr="00AD1FD3">
              <w:rPr>
                <w:color w:val="000000"/>
                <w:sz w:val="20"/>
                <w:szCs w:val="20"/>
                <w:lang w:eastAsia="en-US"/>
              </w:rPr>
              <w:t>70% (</w:t>
            </w:r>
            <w:r w:rsidR="00DF7AF1">
              <w:rPr>
                <w:color w:val="000000"/>
                <w:sz w:val="20"/>
                <w:szCs w:val="20"/>
                <w:lang w:eastAsia="en-US"/>
              </w:rPr>
              <w:t>31</w:t>
            </w:r>
            <w:r w:rsidRPr="00AD1FD3">
              <w:rPr>
                <w:color w:val="000000"/>
                <w:sz w:val="20"/>
                <w:szCs w:val="20"/>
                <w:lang w:eastAsia="en-US"/>
              </w:rPr>
              <w:t>)</w:t>
            </w:r>
          </w:p>
        </w:tc>
        <w:tc>
          <w:tcPr>
            <w:tcW w:w="1409" w:type="dxa"/>
            <w:tcBorders>
              <w:top w:val="nil"/>
              <w:left w:val="nil"/>
              <w:bottom w:val="nil"/>
              <w:right w:val="nil"/>
            </w:tcBorders>
            <w:shd w:val="clear" w:color="auto" w:fill="auto"/>
            <w:vAlign w:val="center"/>
            <w:hideMark/>
          </w:tcPr>
          <w:p w14:paraId="7BC61825" w14:textId="335BB20C" w:rsidR="00C92620" w:rsidRPr="00AD1FD3" w:rsidRDefault="00C92620" w:rsidP="00AD1FD3">
            <w:pPr>
              <w:spacing w:line="360" w:lineRule="auto"/>
              <w:rPr>
                <w:color w:val="000000"/>
                <w:sz w:val="20"/>
                <w:szCs w:val="20"/>
                <w:lang w:val="en-US" w:eastAsia="en-US"/>
              </w:rPr>
            </w:pPr>
            <w:r w:rsidRPr="00AD1FD3">
              <w:rPr>
                <w:color w:val="000000"/>
                <w:sz w:val="20"/>
                <w:szCs w:val="20"/>
                <w:lang w:eastAsia="en-US"/>
              </w:rPr>
              <w:t>1</w:t>
            </w:r>
            <w:r w:rsidR="006544F2">
              <w:rPr>
                <w:color w:val="000000"/>
                <w:sz w:val="20"/>
                <w:szCs w:val="20"/>
                <w:lang w:eastAsia="en-US"/>
              </w:rPr>
              <w:t>6</w:t>
            </w:r>
            <w:r w:rsidRPr="00AD1FD3">
              <w:rPr>
                <w:color w:val="000000"/>
                <w:sz w:val="20"/>
                <w:szCs w:val="20"/>
                <w:lang w:eastAsia="en-US"/>
              </w:rPr>
              <w:t>% (</w:t>
            </w:r>
            <w:r w:rsidR="00DF7AF1">
              <w:rPr>
                <w:color w:val="000000"/>
                <w:sz w:val="20"/>
                <w:szCs w:val="20"/>
                <w:lang w:eastAsia="en-US"/>
              </w:rPr>
              <w:t>7</w:t>
            </w:r>
            <w:r w:rsidRPr="00AD1FD3">
              <w:rPr>
                <w:color w:val="000000"/>
                <w:sz w:val="20"/>
                <w:szCs w:val="20"/>
                <w:lang w:eastAsia="en-US"/>
              </w:rPr>
              <w:t>)</w:t>
            </w:r>
          </w:p>
        </w:tc>
        <w:tc>
          <w:tcPr>
            <w:tcW w:w="1518" w:type="dxa"/>
            <w:tcBorders>
              <w:top w:val="nil"/>
              <w:left w:val="nil"/>
              <w:bottom w:val="nil"/>
              <w:right w:val="nil"/>
            </w:tcBorders>
            <w:shd w:val="clear" w:color="auto" w:fill="auto"/>
            <w:vAlign w:val="center"/>
            <w:hideMark/>
          </w:tcPr>
          <w:p w14:paraId="7999418B" w14:textId="5351D700" w:rsidR="00C92620" w:rsidRPr="00AD1FD3" w:rsidRDefault="006544F2" w:rsidP="00AD1FD3">
            <w:pPr>
              <w:spacing w:line="360" w:lineRule="auto"/>
              <w:rPr>
                <w:color w:val="000000"/>
                <w:sz w:val="20"/>
                <w:szCs w:val="20"/>
                <w:lang w:val="en-US" w:eastAsia="en-US"/>
              </w:rPr>
            </w:pPr>
            <w:r>
              <w:rPr>
                <w:color w:val="000000"/>
                <w:sz w:val="20"/>
                <w:szCs w:val="20"/>
                <w:lang w:eastAsia="en-US"/>
              </w:rPr>
              <w:t>9</w:t>
            </w:r>
            <w:r w:rsidR="00C92620" w:rsidRPr="00AD1FD3">
              <w:rPr>
                <w:color w:val="000000"/>
                <w:sz w:val="20"/>
                <w:szCs w:val="20"/>
                <w:lang w:eastAsia="en-US"/>
              </w:rPr>
              <w:t>% (4)</w:t>
            </w:r>
          </w:p>
        </w:tc>
        <w:tc>
          <w:tcPr>
            <w:tcW w:w="1483" w:type="dxa"/>
            <w:tcBorders>
              <w:top w:val="nil"/>
              <w:left w:val="nil"/>
              <w:bottom w:val="nil"/>
              <w:right w:val="nil"/>
            </w:tcBorders>
            <w:shd w:val="clear" w:color="auto" w:fill="auto"/>
            <w:vAlign w:val="center"/>
            <w:hideMark/>
          </w:tcPr>
          <w:p w14:paraId="07746650" w14:textId="55AFB8AC" w:rsidR="00C92620" w:rsidRPr="00AD1FD3" w:rsidRDefault="00C92620" w:rsidP="00AD1FD3">
            <w:pPr>
              <w:spacing w:line="360" w:lineRule="auto"/>
              <w:rPr>
                <w:color w:val="000000"/>
                <w:sz w:val="20"/>
                <w:szCs w:val="20"/>
                <w:lang w:val="en-US" w:eastAsia="en-US"/>
              </w:rPr>
            </w:pPr>
            <w:r w:rsidRPr="00AD1FD3">
              <w:rPr>
                <w:color w:val="000000"/>
                <w:sz w:val="20"/>
                <w:szCs w:val="20"/>
                <w:lang w:eastAsia="en-US"/>
              </w:rPr>
              <w:t>4% (</w:t>
            </w:r>
            <w:r w:rsidR="00DF7AF1">
              <w:rPr>
                <w:color w:val="000000"/>
                <w:sz w:val="20"/>
                <w:szCs w:val="20"/>
                <w:lang w:eastAsia="en-US"/>
              </w:rPr>
              <w:t>2</w:t>
            </w:r>
            <w:r w:rsidRPr="00AD1FD3">
              <w:rPr>
                <w:color w:val="000000"/>
                <w:sz w:val="20"/>
                <w:szCs w:val="20"/>
                <w:lang w:eastAsia="en-US"/>
              </w:rPr>
              <w:t>)</w:t>
            </w:r>
          </w:p>
        </w:tc>
        <w:tc>
          <w:tcPr>
            <w:tcW w:w="666" w:type="dxa"/>
            <w:tcBorders>
              <w:top w:val="nil"/>
              <w:left w:val="nil"/>
              <w:bottom w:val="nil"/>
              <w:right w:val="nil"/>
            </w:tcBorders>
            <w:shd w:val="clear" w:color="auto" w:fill="auto"/>
            <w:vAlign w:val="center"/>
            <w:hideMark/>
          </w:tcPr>
          <w:p w14:paraId="1785C56F" w14:textId="489E2EBC" w:rsidR="00C92620" w:rsidRPr="00AD1FD3" w:rsidRDefault="00C92620" w:rsidP="00AD1FD3">
            <w:pPr>
              <w:spacing w:line="360" w:lineRule="auto"/>
              <w:rPr>
                <w:color w:val="000000"/>
                <w:sz w:val="20"/>
                <w:szCs w:val="20"/>
                <w:lang w:val="en-US" w:eastAsia="en-US"/>
              </w:rPr>
            </w:pPr>
            <w:r w:rsidRPr="00AD1FD3">
              <w:rPr>
                <w:color w:val="000000"/>
                <w:sz w:val="20"/>
                <w:szCs w:val="20"/>
                <w:lang w:val="en-US" w:eastAsia="en-US"/>
              </w:rPr>
              <w:t>3</w:t>
            </w:r>
            <w:r w:rsidR="006544F2">
              <w:rPr>
                <w:color w:val="000000"/>
                <w:sz w:val="20"/>
                <w:szCs w:val="20"/>
                <w:lang w:val="en-US" w:eastAsia="en-US"/>
              </w:rPr>
              <w:t>1</w:t>
            </w:r>
            <w:r w:rsidRPr="00AD1FD3">
              <w:rPr>
                <w:color w:val="000000"/>
                <w:sz w:val="20"/>
                <w:szCs w:val="20"/>
                <w:lang w:val="en-US" w:eastAsia="en-US"/>
              </w:rPr>
              <w:t>.</w:t>
            </w:r>
            <w:r w:rsidR="006544F2">
              <w:rPr>
                <w:color w:val="000000"/>
                <w:sz w:val="20"/>
                <w:szCs w:val="20"/>
                <w:lang w:val="en-US" w:eastAsia="en-US"/>
              </w:rPr>
              <w:t>00</w:t>
            </w:r>
          </w:p>
        </w:tc>
      </w:tr>
      <w:tr w:rsidR="00C92620" w:rsidRPr="00AD1FD3" w14:paraId="38E16F78" w14:textId="77777777" w:rsidTr="00681E3D">
        <w:trPr>
          <w:trHeight w:val="310"/>
        </w:trPr>
        <w:tc>
          <w:tcPr>
            <w:tcW w:w="1247" w:type="dxa"/>
            <w:tcBorders>
              <w:top w:val="nil"/>
              <w:left w:val="nil"/>
              <w:bottom w:val="nil"/>
              <w:right w:val="nil"/>
            </w:tcBorders>
            <w:shd w:val="clear" w:color="auto" w:fill="auto"/>
            <w:vAlign w:val="center"/>
            <w:hideMark/>
          </w:tcPr>
          <w:p w14:paraId="07C7172C" w14:textId="77777777" w:rsidR="00C92620" w:rsidRPr="00AD1FD3" w:rsidRDefault="00C92620" w:rsidP="00AD1FD3">
            <w:pPr>
              <w:spacing w:line="360" w:lineRule="auto"/>
              <w:rPr>
                <w:color w:val="000000"/>
                <w:sz w:val="20"/>
                <w:szCs w:val="20"/>
                <w:lang w:val="en-US" w:eastAsia="en-US"/>
              </w:rPr>
            </w:pPr>
            <w:r w:rsidRPr="00AD1FD3">
              <w:rPr>
                <w:color w:val="000000"/>
                <w:sz w:val="20"/>
                <w:szCs w:val="20"/>
                <w:lang w:eastAsia="en-US"/>
              </w:rPr>
              <w:t>Negación</w:t>
            </w:r>
          </w:p>
        </w:tc>
        <w:tc>
          <w:tcPr>
            <w:tcW w:w="1533" w:type="dxa"/>
            <w:tcBorders>
              <w:top w:val="nil"/>
              <w:left w:val="nil"/>
              <w:bottom w:val="nil"/>
              <w:right w:val="nil"/>
            </w:tcBorders>
            <w:shd w:val="clear" w:color="auto" w:fill="auto"/>
            <w:vAlign w:val="center"/>
            <w:hideMark/>
          </w:tcPr>
          <w:p w14:paraId="7BD096F3" w14:textId="77777777" w:rsidR="00C92620" w:rsidRPr="00AD1FD3" w:rsidRDefault="00C92620" w:rsidP="00AD1FD3">
            <w:pPr>
              <w:spacing w:line="360" w:lineRule="auto"/>
              <w:rPr>
                <w:color w:val="000000"/>
                <w:sz w:val="20"/>
                <w:szCs w:val="20"/>
                <w:lang w:val="en-US" w:eastAsia="en-US"/>
              </w:rPr>
            </w:pPr>
            <w:r w:rsidRPr="00AD1FD3">
              <w:rPr>
                <w:color w:val="000000"/>
                <w:sz w:val="20"/>
                <w:szCs w:val="20"/>
                <w:lang w:eastAsia="en-US"/>
              </w:rPr>
              <w:t>Comer</w:t>
            </w:r>
          </w:p>
        </w:tc>
        <w:tc>
          <w:tcPr>
            <w:tcW w:w="1504" w:type="dxa"/>
            <w:tcBorders>
              <w:top w:val="nil"/>
              <w:left w:val="nil"/>
              <w:bottom w:val="nil"/>
              <w:right w:val="nil"/>
            </w:tcBorders>
            <w:shd w:val="clear" w:color="auto" w:fill="auto"/>
            <w:vAlign w:val="center"/>
            <w:hideMark/>
          </w:tcPr>
          <w:p w14:paraId="0C3BE04E" w14:textId="48FA56A8" w:rsidR="00C92620" w:rsidRPr="00AD1FD3" w:rsidRDefault="00DF7AF1" w:rsidP="00AD1FD3">
            <w:pPr>
              <w:spacing w:line="360" w:lineRule="auto"/>
              <w:rPr>
                <w:color w:val="000000"/>
                <w:sz w:val="20"/>
                <w:szCs w:val="20"/>
                <w:lang w:val="en-US" w:eastAsia="en-US"/>
              </w:rPr>
            </w:pPr>
            <w:r>
              <w:rPr>
                <w:color w:val="000000"/>
                <w:sz w:val="20"/>
                <w:szCs w:val="20"/>
                <w:lang w:eastAsia="en-US"/>
              </w:rPr>
              <w:t>9</w:t>
            </w:r>
            <w:r w:rsidR="00C92620" w:rsidRPr="00AD1FD3">
              <w:rPr>
                <w:color w:val="000000"/>
                <w:sz w:val="20"/>
                <w:szCs w:val="20"/>
                <w:lang w:eastAsia="en-US"/>
              </w:rPr>
              <w:t>% (</w:t>
            </w:r>
            <w:r>
              <w:rPr>
                <w:color w:val="000000"/>
                <w:sz w:val="20"/>
                <w:szCs w:val="20"/>
                <w:lang w:eastAsia="en-US"/>
              </w:rPr>
              <w:t>4</w:t>
            </w:r>
            <w:r w:rsidR="00C92620" w:rsidRPr="00AD1FD3">
              <w:rPr>
                <w:color w:val="000000"/>
                <w:sz w:val="20"/>
                <w:szCs w:val="20"/>
                <w:lang w:eastAsia="en-US"/>
              </w:rPr>
              <w:t>)</w:t>
            </w:r>
          </w:p>
        </w:tc>
        <w:tc>
          <w:tcPr>
            <w:tcW w:w="1409" w:type="dxa"/>
            <w:tcBorders>
              <w:top w:val="nil"/>
              <w:left w:val="nil"/>
              <w:bottom w:val="nil"/>
              <w:right w:val="nil"/>
            </w:tcBorders>
            <w:shd w:val="clear" w:color="auto" w:fill="auto"/>
            <w:vAlign w:val="center"/>
            <w:hideMark/>
          </w:tcPr>
          <w:p w14:paraId="7018DA96" w14:textId="4D081E0B" w:rsidR="00C92620" w:rsidRPr="00AD1FD3" w:rsidRDefault="00C92620" w:rsidP="00AD1FD3">
            <w:pPr>
              <w:spacing w:line="360" w:lineRule="auto"/>
              <w:rPr>
                <w:color w:val="000000"/>
                <w:sz w:val="20"/>
                <w:szCs w:val="20"/>
                <w:lang w:val="en-US" w:eastAsia="en-US"/>
              </w:rPr>
            </w:pPr>
            <w:r w:rsidRPr="00AD1FD3">
              <w:rPr>
                <w:color w:val="000000"/>
                <w:sz w:val="20"/>
                <w:szCs w:val="20"/>
                <w:lang w:eastAsia="en-US"/>
              </w:rPr>
              <w:t>75% (</w:t>
            </w:r>
            <w:r w:rsidR="00DF7AF1">
              <w:rPr>
                <w:color w:val="000000"/>
                <w:sz w:val="20"/>
                <w:szCs w:val="20"/>
                <w:lang w:eastAsia="en-US"/>
              </w:rPr>
              <w:t>33</w:t>
            </w:r>
            <w:r w:rsidRPr="00AD1FD3">
              <w:rPr>
                <w:color w:val="000000"/>
                <w:sz w:val="20"/>
                <w:szCs w:val="20"/>
                <w:lang w:eastAsia="en-US"/>
              </w:rPr>
              <w:t>)</w:t>
            </w:r>
          </w:p>
        </w:tc>
        <w:tc>
          <w:tcPr>
            <w:tcW w:w="1518" w:type="dxa"/>
            <w:tcBorders>
              <w:top w:val="nil"/>
              <w:left w:val="nil"/>
              <w:bottom w:val="nil"/>
              <w:right w:val="nil"/>
            </w:tcBorders>
            <w:shd w:val="clear" w:color="auto" w:fill="auto"/>
            <w:vAlign w:val="center"/>
            <w:hideMark/>
          </w:tcPr>
          <w:p w14:paraId="0486ACEC" w14:textId="71943721" w:rsidR="00C92620" w:rsidRPr="00AD1FD3" w:rsidRDefault="00C92620" w:rsidP="00AD1FD3">
            <w:pPr>
              <w:spacing w:line="360" w:lineRule="auto"/>
              <w:rPr>
                <w:color w:val="000000"/>
                <w:sz w:val="20"/>
                <w:szCs w:val="20"/>
                <w:lang w:val="en-US" w:eastAsia="en-US"/>
              </w:rPr>
            </w:pPr>
            <w:r w:rsidRPr="00AD1FD3">
              <w:rPr>
                <w:color w:val="000000"/>
                <w:sz w:val="20"/>
                <w:szCs w:val="20"/>
                <w:lang w:eastAsia="en-US"/>
              </w:rPr>
              <w:t xml:space="preserve"> 14% (</w:t>
            </w:r>
            <w:r w:rsidR="00DF7AF1">
              <w:rPr>
                <w:color w:val="000000"/>
                <w:sz w:val="20"/>
                <w:szCs w:val="20"/>
                <w:lang w:eastAsia="en-US"/>
              </w:rPr>
              <w:t>6</w:t>
            </w:r>
            <w:r w:rsidRPr="00AD1FD3">
              <w:rPr>
                <w:color w:val="000000"/>
                <w:sz w:val="20"/>
                <w:szCs w:val="20"/>
                <w:lang w:eastAsia="en-US"/>
              </w:rPr>
              <w:t>)</w:t>
            </w:r>
          </w:p>
        </w:tc>
        <w:tc>
          <w:tcPr>
            <w:tcW w:w="1483" w:type="dxa"/>
            <w:tcBorders>
              <w:top w:val="nil"/>
              <w:left w:val="nil"/>
              <w:bottom w:val="nil"/>
              <w:right w:val="nil"/>
            </w:tcBorders>
            <w:shd w:val="clear" w:color="auto" w:fill="auto"/>
            <w:vAlign w:val="center"/>
            <w:hideMark/>
          </w:tcPr>
          <w:p w14:paraId="3DA49A19" w14:textId="6ED75504" w:rsidR="00C92620" w:rsidRPr="00AD1FD3" w:rsidRDefault="006544F2" w:rsidP="00AD1FD3">
            <w:pPr>
              <w:spacing w:line="360" w:lineRule="auto"/>
              <w:rPr>
                <w:color w:val="000000"/>
                <w:sz w:val="20"/>
                <w:szCs w:val="20"/>
                <w:lang w:val="en-US" w:eastAsia="en-US"/>
              </w:rPr>
            </w:pPr>
            <w:r>
              <w:rPr>
                <w:color w:val="000000"/>
                <w:sz w:val="20"/>
                <w:szCs w:val="20"/>
                <w:lang w:eastAsia="en-US"/>
              </w:rPr>
              <w:t>2</w:t>
            </w:r>
            <w:r w:rsidRPr="00AD1FD3">
              <w:rPr>
                <w:color w:val="000000"/>
                <w:sz w:val="20"/>
                <w:szCs w:val="20"/>
                <w:lang w:eastAsia="en-US"/>
              </w:rPr>
              <w:t xml:space="preserve">% </w:t>
            </w:r>
            <w:r w:rsidR="00C92620" w:rsidRPr="00AD1FD3">
              <w:rPr>
                <w:color w:val="000000"/>
                <w:sz w:val="20"/>
                <w:szCs w:val="20"/>
                <w:lang w:eastAsia="en-US"/>
              </w:rPr>
              <w:t>(</w:t>
            </w:r>
            <w:r w:rsidR="00DF7AF1">
              <w:rPr>
                <w:color w:val="000000"/>
                <w:sz w:val="20"/>
                <w:szCs w:val="20"/>
                <w:lang w:eastAsia="en-US"/>
              </w:rPr>
              <w:t>1</w:t>
            </w:r>
            <w:r w:rsidR="00C92620" w:rsidRPr="00AD1FD3">
              <w:rPr>
                <w:color w:val="000000"/>
                <w:sz w:val="20"/>
                <w:szCs w:val="20"/>
                <w:lang w:eastAsia="en-US"/>
              </w:rPr>
              <w:t>)</w:t>
            </w:r>
          </w:p>
        </w:tc>
        <w:tc>
          <w:tcPr>
            <w:tcW w:w="666" w:type="dxa"/>
            <w:tcBorders>
              <w:top w:val="nil"/>
              <w:left w:val="nil"/>
              <w:bottom w:val="nil"/>
              <w:right w:val="nil"/>
            </w:tcBorders>
            <w:shd w:val="clear" w:color="auto" w:fill="auto"/>
            <w:vAlign w:val="center"/>
            <w:hideMark/>
          </w:tcPr>
          <w:p w14:paraId="6EB88C0B" w14:textId="77777777" w:rsidR="00C92620" w:rsidRPr="00AD1FD3" w:rsidRDefault="00C92620" w:rsidP="00AD1FD3">
            <w:pPr>
              <w:spacing w:line="360" w:lineRule="auto"/>
              <w:rPr>
                <w:color w:val="000000"/>
                <w:sz w:val="20"/>
                <w:szCs w:val="20"/>
                <w:lang w:val="en-US" w:eastAsia="en-US"/>
              </w:rPr>
            </w:pPr>
            <w:r w:rsidRPr="00AD1FD3">
              <w:rPr>
                <w:color w:val="000000"/>
                <w:sz w:val="20"/>
                <w:szCs w:val="20"/>
                <w:lang w:val="en-US" w:eastAsia="en-US"/>
              </w:rPr>
              <w:t>38.57</w:t>
            </w:r>
          </w:p>
        </w:tc>
      </w:tr>
      <w:tr w:rsidR="00C92620" w:rsidRPr="00AD1FD3" w14:paraId="4DF89D1D" w14:textId="77777777" w:rsidTr="00681E3D">
        <w:trPr>
          <w:trHeight w:val="310"/>
        </w:trPr>
        <w:tc>
          <w:tcPr>
            <w:tcW w:w="1247" w:type="dxa"/>
            <w:tcBorders>
              <w:top w:val="nil"/>
              <w:left w:val="nil"/>
              <w:bottom w:val="nil"/>
              <w:right w:val="nil"/>
            </w:tcBorders>
            <w:shd w:val="clear" w:color="auto" w:fill="auto"/>
            <w:vAlign w:val="center"/>
            <w:hideMark/>
          </w:tcPr>
          <w:p w14:paraId="3B7E109B" w14:textId="77777777" w:rsidR="00C92620" w:rsidRPr="00AD1FD3" w:rsidRDefault="00C92620" w:rsidP="00AD1FD3">
            <w:pPr>
              <w:spacing w:line="360" w:lineRule="auto"/>
              <w:rPr>
                <w:color w:val="000000"/>
                <w:sz w:val="20"/>
                <w:szCs w:val="20"/>
                <w:lang w:val="en-US" w:eastAsia="en-US"/>
              </w:rPr>
            </w:pPr>
            <w:r w:rsidRPr="00AD1FD3">
              <w:rPr>
                <w:color w:val="000000"/>
                <w:sz w:val="20"/>
                <w:szCs w:val="20"/>
                <w:lang w:eastAsia="en-US"/>
              </w:rPr>
              <w:t>Negación</w:t>
            </w:r>
          </w:p>
        </w:tc>
        <w:tc>
          <w:tcPr>
            <w:tcW w:w="1533" w:type="dxa"/>
            <w:tcBorders>
              <w:top w:val="nil"/>
              <w:left w:val="nil"/>
              <w:bottom w:val="nil"/>
              <w:right w:val="nil"/>
            </w:tcBorders>
            <w:shd w:val="clear" w:color="auto" w:fill="auto"/>
            <w:vAlign w:val="center"/>
            <w:hideMark/>
          </w:tcPr>
          <w:p w14:paraId="6E4FE51F" w14:textId="77777777" w:rsidR="00C92620" w:rsidRPr="00AD1FD3" w:rsidRDefault="00C92620" w:rsidP="00AD1FD3">
            <w:pPr>
              <w:spacing w:line="360" w:lineRule="auto"/>
              <w:rPr>
                <w:color w:val="000000"/>
                <w:sz w:val="20"/>
                <w:szCs w:val="20"/>
                <w:lang w:val="en-US" w:eastAsia="en-US"/>
              </w:rPr>
            </w:pPr>
            <w:r w:rsidRPr="00AD1FD3">
              <w:rPr>
                <w:color w:val="000000"/>
                <w:sz w:val="20"/>
                <w:szCs w:val="20"/>
                <w:lang w:eastAsia="en-US"/>
              </w:rPr>
              <w:t>Bailar</w:t>
            </w:r>
          </w:p>
        </w:tc>
        <w:tc>
          <w:tcPr>
            <w:tcW w:w="1504" w:type="dxa"/>
            <w:tcBorders>
              <w:top w:val="nil"/>
              <w:left w:val="nil"/>
              <w:bottom w:val="nil"/>
              <w:right w:val="nil"/>
            </w:tcBorders>
            <w:shd w:val="clear" w:color="auto" w:fill="auto"/>
            <w:vAlign w:val="center"/>
            <w:hideMark/>
          </w:tcPr>
          <w:p w14:paraId="0A15B5CD" w14:textId="6604C423" w:rsidR="00C92620" w:rsidRPr="00AD1FD3" w:rsidRDefault="00C92620" w:rsidP="00AD1FD3">
            <w:pPr>
              <w:spacing w:line="360" w:lineRule="auto"/>
              <w:rPr>
                <w:color w:val="000000"/>
                <w:sz w:val="20"/>
                <w:szCs w:val="20"/>
                <w:lang w:val="en-US" w:eastAsia="en-US"/>
              </w:rPr>
            </w:pPr>
            <w:r w:rsidRPr="00AD1FD3">
              <w:rPr>
                <w:color w:val="000000"/>
                <w:sz w:val="20"/>
                <w:szCs w:val="20"/>
                <w:lang w:eastAsia="en-US"/>
              </w:rPr>
              <w:t>1</w:t>
            </w:r>
            <w:r w:rsidR="00DF7AF1">
              <w:rPr>
                <w:color w:val="000000"/>
                <w:sz w:val="20"/>
                <w:szCs w:val="20"/>
                <w:lang w:eastAsia="en-US"/>
              </w:rPr>
              <w:t>1</w:t>
            </w:r>
            <w:r w:rsidRPr="00AD1FD3">
              <w:rPr>
                <w:color w:val="000000"/>
                <w:sz w:val="20"/>
                <w:szCs w:val="20"/>
                <w:lang w:eastAsia="en-US"/>
              </w:rPr>
              <w:t>% (</w:t>
            </w:r>
            <w:r w:rsidR="00DF7AF1">
              <w:rPr>
                <w:color w:val="000000"/>
                <w:sz w:val="20"/>
                <w:szCs w:val="20"/>
                <w:lang w:eastAsia="en-US"/>
              </w:rPr>
              <w:t>5</w:t>
            </w:r>
            <w:r w:rsidRPr="00AD1FD3">
              <w:rPr>
                <w:color w:val="000000"/>
                <w:sz w:val="20"/>
                <w:szCs w:val="20"/>
                <w:lang w:eastAsia="en-US"/>
              </w:rPr>
              <w:t>)</w:t>
            </w:r>
          </w:p>
        </w:tc>
        <w:tc>
          <w:tcPr>
            <w:tcW w:w="1409" w:type="dxa"/>
            <w:tcBorders>
              <w:top w:val="nil"/>
              <w:left w:val="nil"/>
              <w:bottom w:val="nil"/>
              <w:right w:val="nil"/>
            </w:tcBorders>
            <w:shd w:val="clear" w:color="auto" w:fill="auto"/>
            <w:vAlign w:val="center"/>
            <w:hideMark/>
          </w:tcPr>
          <w:p w14:paraId="7DEC1D5C" w14:textId="2D92C449" w:rsidR="00C92620" w:rsidRPr="00AD1FD3" w:rsidRDefault="006544F2" w:rsidP="00AD1FD3">
            <w:pPr>
              <w:spacing w:line="360" w:lineRule="auto"/>
              <w:rPr>
                <w:color w:val="000000"/>
                <w:sz w:val="20"/>
                <w:szCs w:val="20"/>
                <w:lang w:val="en-US" w:eastAsia="en-US"/>
              </w:rPr>
            </w:pPr>
            <w:r>
              <w:rPr>
                <w:color w:val="000000"/>
                <w:sz w:val="20"/>
                <w:szCs w:val="20"/>
                <w:lang w:eastAsia="en-US"/>
              </w:rPr>
              <w:t>82</w:t>
            </w:r>
            <w:r w:rsidR="00C92620" w:rsidRPr="00AD1FD3">
              <w:rPr>
                <w:color w:val="000000"/>
                <w:sz w:val="20"/>
                <w:szCs w:val="20"/>
                <w:lang w:eastAsia="en-US"/>
              </w:rPr>
              <w:t>% (</w:t>
            </w:r>
            <w:r w:rsidR="00DF7AF1">
              <w:rPr>
                <w:color w:val="000000"/>
                <w:sz w:val="20"/>
                <w:szCs w:val="20"/>
                <w:lang w:eastAsia="en-US"/>
              </w:rPr>
              <w:t>36</w:t>
            </w:r>
            <w:r w:rsidR="00C92620" w:rsidRPr="00AD1FD3">
              <w:rPr>
                <w:color w:val="000000"/>
                <w:sz w:val="20"/>
                <w:szCs w:val="20"/>
                <w:lang w:eastAsia="en-US"/>
              </w:rPr>
              <w:t>)</w:t>
            </w:r>
          </w:p>
        </w:tc>
        <w:tc>
          <w:tcPr>
            <w:tcW w:w="1518" w:type="dxa"/>
            <w:tcBorders>
              <w:top w:val="nil"/>
              <w:left w:val="nil"/>
              <w:bottom w:val="nil"/>
              <w:right w:val="nil"/>
            </w:tcBorders>
            <w:shd w:val="clear" w:color="auto" w:fill="auto"/>
            <w:vAlign w:val="center"/>
            <w:hideMark/>
          </w:tcPr>
          <w:p w14:paraId="662F52D9" w14:textId="7C4DE90C" w:rsidR="00C92620" w:rsidRPr="00AD1FD3" w:rsidRDefault="00C92620" w:rsidP="00AD1FD3">
            <w:pPr>
              <w:spacing w:line="360" w:lineRule="auto"/>
              <w:rPr>
                <w:color w:val="000000"/>
                <w:sz w:val="20"/>
                <w:szCs w:val="20"/>
                <w:lang w:val="en-US" w:eastAsia="en-US"/>
              </w:rPr>
            </w:pPr>
            <w:r w:rsidRPr="00AD1FD3">
              <w:rPr>
                <w:color w:val="000000"/>
                <w:sz w:val="20"/>
                <w:szCs w:val="20"/>
                <w:lang w:eastAsia="en-US"/>
              </w:rPr>
              <w:t>- (</w:t>
            </w:r>
            <w:r w:rsidRPr="00AD1FD3">
              <w:rPr>
                <w:color w:val="000000"/>
                <w:sz w:val="20"/>
                <w:szCs w:val="20"/>
                <w:lang w:val="en-US" w:eastAsia="en-US"/>
              </w:rPr>
              <w:t>0</w:t>
            </w:r>
            <w:r w:rsidRPr="00AD1FD3">
              <w:rPr>
                <w:color w:val="000000"/>
                <w:sz w:val="20"/>
                <w:szCs w:val="20"/>
                <w:lang w:eastAsia="en-US"/>
              </w:rPr>
              <w:t>)</w:t>
            </w:r>
          </w:p>
        </w:tc>
        <w:tc>
          <w:tcPr>
            <w:tcW w:w="1483" w:type="dxa"/>
            <w:tcBorders>
              <w:top w:val="nil"/>
              <w:left w:val="nil"/>
              <w:bottom w:val="nil"/>
              <w:right w:val="nil"/>
            </w:tcBorders>
            <w:shd w:val="clear" w:color="auto" w:fill="auto"/>
            <w:vAlign w:val="center"/>
            <w:hideMark/>
          </w:tcPr>
          <w:p w14:paraId="408A358F" w14:textId="6E324B9A" w:rsidR="00C92620" w:rsidRPr="00AD1FD3" w:rsidRDefault="00C92620" w:rsidP="006544F2">
            <w:pPr>
              <w:spacing w:line="360" w:lineRule="auto"/>
              <w:rPr>
                <w:color w:val="000000"/>
                <w:sz w:val="20"/>
                <w:szCs w:val="20"/>
                <w:lang w:val="en-US" w:eastAsia="en-US"/>
              </w:rPr>
            </w:pPr>
            <w:r w:rsidRPr="00AD1FD3">
              <w:rPr>
                <w:color w:val="000000"/>
                <w:sz w:val="20"/>
                <w:szCs w:val="20"/>
                <w:lang w:eastAsia="en-US"/>
              </w:rPr>
              <w:t>7% (</w:t>
            </w:r>
            <w:r w:rsidR="006544F2">
              <w:rPr>
                <w:color w:val="000000"/>
                <w:sz w:val="20"/>
                <w:szCs w:val="20"/>
                <w:lang w:eastAsia="en-US"/>
              </w:rPr>
              <w:t>3</w:t>
            </w:r>
            <w:r w:rsidRPr="00AD1FD3">
              <w:rPr>
                <w:color w:val="000000"/>
                <w:sz w:val="20"/>
                <w:szCs w:val="20"/>
                <w:lang w:eastAsia="en-US"/>
              </w:rPr>
              <w:t>)</w:t>
            </w:r>
          </w:p>
        </w:tc>
        <w:tc>
          <w:tcPr>
            <w:tcW w:w="666" w:type="dxa"/>
            <w:tcBorders>
              <w:top w:val="nil"/>
              <w:left w:val="nil"/>
              <w:bottom w:val="nil"/>
              <w:right w:val="nil"/>
            </w:tcBorders>
            <w:shd w:val="clear" w:color="auto" w:fill="auto"/>
            <w:vAlign w:val="center"/>
            <w:hideMark/>
          </w:tcPr>
          <w:p w14:paraId="113589EA" w14:textId="77777777" w:rsidR="00C92620" w:rsidRPr="00AD1FD3" w:rsidRDefault="00C92620" w:rsidP="00AD1FD3">
            <w:pPr>
              <w:spacing w:line="360" w:lineRule="auto"/>
              <w:rPr>
                <w:color w:val="000000"/>
                <w:sz w:val="20"/>
                <w:szCs w:val="20"/>
                <w:lang w:val="en-US" w:eastAsia="en-US"/>
              </w:rPr>
            </w:pPr>
            <w:r w:rsidRPr="00AD1FD3">
              <w:rPr>
                <w:color w:val="000000"/>
                <w:sz w:val="20"/>
                <w:szCs w:val="20"/>
                <w:lang w:val="en-US" w:eastAsia="en-US"/>
              </w:rPr>
              <w:t>44.00</w:t>
            </w:r>
          </w:p>
        </w:tc>
      </w:tr>
      <w:tr w:rsidR="00C92620" w:rsidRPr="00AD1FD3" w14:paraId="6A890A96" w14:textId="77777777" w:rsidTr="00681E3D">
        <w:trPr>
          <w:trHeight w:val="310"/>
        </w:trPr>
        <w:tc>
          <w:tcPr>
            <w:tcW w:w="1247" w:type="dxa"/>
            <w:tcBorders>
              <w:top w:val="nil"/>
              <w:left w:val="nil"/>
              <w:bottom w:val="nil"/>
              <w:right w:val="nil"/>
            </w:tcBorders>
            <w:shd w:val="clear" w:color="auto" w:fill="auto"/>
            <w:vAlign w:val="center"/>
            <w:hideMark/>
          </w:tcPr>
          <w:p w14:paraId="55B049D6" w14:textId="77777777" w:rsidR="00C92620" w:rsidRPr="00AD1FD3" w:rsidRDefault="00C92620" w:rsidP="00AD1FD3">
            <w:pPr>
              <w:spacing w:line="360" w:lineRule="auto"/>
              <w:rPr>
                <w:color w:val="000000"/>
                <w:sz w:val="20"/>
                <w:szCs w:val="20"/>
                <w:lang w:val="en-US" w:eastAsia="en-US"/>
              </w:rPr>
            </w:pPr>
            <w:r w:rsidRPr="00AD1FD3">
              <w:rPr>
                <w:color w:val="000000"/>
                <w:sz w:val="20"/>
                <w:szCs w:val="20"/>
                <w:lang w:eastAsia="en-US"/>
              </w:rPr>
              <w:t>Negación</w:t>
            </w:r>
          </w:p>
        </w:tc>
        <w:tc>
          <w:tcPr>
            <w:tcW w:w="1533" w:type="dxa"/>
            <w:tcBorders>
              <w:top w:val="nil"/>
              <w:left w:val="nil"/>
              <w:bottom w:val="nil"/>
              <w:right w:val="nil"/>
            </w:tcBorders>
            <w:shd w:val="clear" w:color="auto" w:fill="auto"/>
            <w:vAlign w:val="center"/>
            <w:hideMark/>
          </w:tcPr>
          <w:p w14:paraId="670D6A96" w14:textId="77777777" w:rsidR="00C92620" w:rsidRPr="00AD1FD3" w:rsidRDefault="00C92620" w:rsidP="00AD1FD3">
            <w:pPr>
              <w:spacing w:line="360" w:lineRule="auto"/>
              <w:rPr>
                <w:color w:val="000000"/>
                <w:sz w:val="20"/>
                <w:szCs w:val="20"/>
                <w:lang w:val="en-US" w:eastAsia="en-US"/>
              </w:rPr>
            </w:pPr>
            <w:r w:rsidRPr="00AD1FD3">
              <w:rPr>
                <w:color w:val="000000"/>
                <w:sz w:val="20"/>
                <w:szCs w:val="20"/>
                <w:lang w:eastAsia="en-US"/>
              </w:rPr>
              <w:t>Quejarse</w:t>
            </w:r>
          </w:p>
        </w:tc>
        <w:tc>
          <w:tcPr>
            <w:tcW w:w="1504" w:type="dxa"/>
            <w:tcBorders>
              <w:top w:val="nil"/>
              <w:left w:val="nil"/>
              <w:bottom w:val="nil"/>
              <w:right w:val="nil"/>
            </w:tcBorders>
            <w:shd w:val="clear" w:color="auto" w:fill="auto"/>
            <w:vAlign w:val="center"/>
            <w:hideMark/>
          </w:tcPr>
          <w:p w14:paraId="08BEE027" w14:textId="5A3FD561" w:rsidR="00C92620" w:rsidRPr="00AD1FD3" w:rsidRDefault="00DF7AF1" w:rsidP="00AD1FD3">
            <w:pPr>
              <w:spacing w:line="360" w:lineRule="auto"/>
              <w:rPr>
                <w:color w:val="000000"/>
                <w:sz w:val="20"/>
                <w:szCs w:val="20"/>
                <w:lang w:val="en-US" w:eastAsia="en-US"/>
              </w:rPr>
            </w:pPr>
            <w:r>
              <w:rPr>
                <w:color w:val="000000"/>
                <w:sz w:val="20"/>
                <w:szCs w:val="20"/>
                <w:lang w:eastAsia="en-US"/>
              </w:rPr>
              <w:t>50</w:t>
            </w:r>
            <w:r w:rsidR="00C92620" w:rsidRPr="00AD1FD3">
              <w:rPr>
                <w:color w:val="000000"/>
                <w:sz w:val="20"/>
                <w:szCs w:val="20"/>
                <w:lang w:eastAsia="en-US"/>
              </w:rPr>
              <w:t>% (</w:t>
            </w:r>
            <w:r>
              <w:rPr>
                <w:color w:val="000000"/>
                <w:sz w:val="20"/>
                <w:szCs w:val="20"/>
                <w:lang w:eastAsia="en-US"/>
              </w:rPr>
              <w:t>22</w:t>
            </w:r>
            <w:r w:rsidR="00C92620" w:rsidRPr="00AD1FD3">
              <w:rPr>
                <w:color w:val="000000"/>
                <w:sz w:val="20"/>
                <w:szCs w:val="20"/>
                <w:lang w:eastAsia="en-US"/>
              </w:rPr>
              <w:t>)</w:t>
            </w:r>
          </w:p>
        </w:tc>
        <w:tc>
          <w:tcPr>
            <w:tcW w:w="1409" w:type="dxa"/>
            <w:tcBorders>
              <w:top w:val="nil"/>
              <w:left w:val="nil"/>
              <w:bottom w:val="nil"/>
              <w:right w:val="nil"/>
            </w:tcBorders>
            <w:shd w:val="clear" w:color="auto" w:fill="auto"/>
            <w:vAlign w:val="center"/>
            <w:hideMark/>
          </w:tcPr>
          <w:p w14:paraId="1DA9DB9D" w14:textId="5BB94B72" w:rsidR="00C92620" w:rsidRPr="00AD1FD3" w:rsidRDefault="00C92620" w:rsidP="00AD1FD3">
            <w:pPr>
              <w:spacing w:line="360" w:lineRule="auto"/>
              <w:rPr>
                <w:color w:val="000000"/>
                <w:sz w:val="20"/>
                <w:szCs w:val="20"/>
                <w:lang w:val="en-US" w:eastAsia="en-US"/>
              </w:rPr>
            </w:pPr>
            <w:r w:rsidRPr="00AD1FD3">
              <w:rPr>
                <w:color w:val="000000"/>
                <w:sz w:val="20"/>
                <w:szCs w:val="20"/>
                <w:lang w:eastAsia="en-US"/>
              </w:rPr>
              <w:t>39% (</w:t>
            </w:r>
            <w:r w:rsidRPr="00AD1FD3">
              <w:rPr>
                <w:color w:val="000000"/>
                <w:sz w:val="20"/>
                <w:szCs w:val="20"/>
                <w:lang w:val="en-US" w:eastAsia="en-US"/>
              </w:rPr>
              <w:t>1</w:t>
            </w:r>
            <w:r w:rsidR="00DF7AF1">
              <w:rPr>
                <w:color w:val="000000"/>
                <w:sz w:val="20"/>
                <w:szCs w:val="20"/>
                <w:lang w:val="en-US" w:eastAsia="en-US"/>
              </w:rPr>
              <w:t>7</w:t>
            </w:r>
            <w:r w:rsidRPr="00AD1FD3">
              <w:rPr>
                <w:color w:val="000000"/>
                <w:sz w:val="20"/>
                <w:szCs w:val="20"/>
                <w:lang w:eastAsia="en-US"/>
              </w:rPr>
              <w:t>)</w:t>
            </w:r>
          </w:p>
        </w:tc>
        <w:tc>
          <w:tcPr>
            <w:tcW w:w="1518" w:type="dxa"/>
            <w:tcBorders>
              <w:top w:val="nil"/>
              <w:left w:val="nil"/>
              <w:bottom w:val="nil"/>
              <w:right w:val="nil"/>
            </w:tcBorders>
            <w:shd w:val="clear" w:color="auto" w:fill="auto"/>
            <w:vAlign w:val="center"/>
            <w:hideMark/>
          </w:tcPr>
          <w:p w14:paraId="185AC64B" w14:textId="4AD92D6A" w:rsidR="00C92620" w:rsidRPr="00AD1FD3" w:rsidRDefault="00C92620" w:rsidP="00AD1FD3">
            <w:pPr>
              <w:spacing w:line="360" w:lineRule="auto"/>
              <w:rPr>
                <w:color w:val="000000"/>
                <w:sz w:val="20"/>
                <w:szCs w:val="20"/>
                <w:lang w:val="en-US" w:eastAsia="en-US"/>
              </w:rPr>
            </w:pPr>
            <w:r w:rsidRPr="00AD1FD3">
              <w:rPr>
                <w:color w:val="000000"/>
                <w:sz w:val="20"/>
                <w:szCs w:val="20"/>
                <w:lang w:eastAsia="en-US"/>
              </w:rPr>
              <w:t xml:space="preserve"> </w:t>
            </w:r>
            <w:r w:rsidR="006544F2">
              <w:rPr>
                <w:color w:val="000000"/>
                <w:sz w:val="20"/>
                <w:szCs w:val="20"/>
                <w:lang w:eastAsia="en-US"/>
              </w:rPr>
              <w:t>7</w:t>
            </w:r>
            <w:r w:rsidRPr="00AD1FD3">
              <w:rPr>
                <w:color w:val="000000"/>
                <w:sz w:val="20"/>
                <w:szCs w:val="20"/>
                <w:lang w:eastAsia="en-US"/>
              </w:rPr>
              <w:t>% (</w:t>
            </w:r>
            <w:r w:rsidRPr="00AD1FD3">
              <w:rPr>
                <w:color w:val="000000"/>
                <w:sz w:val="20"/>
                <w:szCs w:val="20"/>
                <w:lang w:val="en-US" w:eastAsia="en-US"/>
              </w:rPr>
              <w:t>3</w:t>
            </w:r>
            <w:r w:rsidRPr="00AD1FD3">
              <w:rPr>
                <w:color w:val="000000"/>
                <w:sz w:val="20"/>
                <w:szCs w:val="20"/>
                <w:lang w:eastAsia="en-US"/>
              </w:rPr>
              <w:t>)</w:t>
            </w:r>
          </w:p>
        </w:tc>
        <w:tc>
          <w:tcPr>
            <w:tcW w:w="1483" w:type="dxa"/>
            <w:tcBorders>
              <w:top w:val="nil"/>
              <w:left w:val="nil"/>
              <w:bottom w:val="nil"/>
              <w:right w:val="nil"/>
            </w:tcBorders>
            <w:shd w:val="clear" w:color="auto" w:fill="auto"/>
            <w:vAlign w:val="center"/>
            <w:hideMark/>
          </w:tcPr>
          <w:p w14:paraId="6D75DDD2" w14:textId="6B894700" w:rsidR="00C92620" w:rsidRPr="00AD1FD3" w:rsidRDefault="006544F2" w:rsidP="00AD1FD3">
            <w:pPr>
              <w:spacing w:line="360" w:lineRule="auto"/>
              <w:rPr>
                <w:color w:val="000000"/>
                <w:sz w:val="20"/>
                <w:szCs w:val="20"/>
                <w:lang w:val="en-US" w:eastAsia="en-US"/>
              </w:rPr>
            </w:pPr>
            <w:r>
              <w:rPr>
                <w:color w:val="000000"/>
                <w:sz w:val="20"/>
                <w:szCs w:val="20"/>
                <w:lang w:eastAsia="en-US"/>
              </w:rPr>
              <w:t>5</w:t>
            </w:r>
            <w:r w:rsidR="00C92620" w:rsidRPr="00AD1FD3">
              <w:rPr>
                <w:color w:val="000000"/>
                <w:sz w:val="20"/>
                <w:szCs w:val="20"/>
                <w:lang w:eastAsia="en-US"/>
              </w:rPr>
              <w:t>% (</w:t>
            </w:r>
            <w:r w:rsidR="00C92620" w:rsidRPr="00AD1FD3">
              <w:rPr>
                <w:color w:val="000000"/>
                <w:sz w:val="20"/>
                <w:szCs w:val="20"/>
                <w:lang w:val="en-US" w:eastAsia="en-US"/>
              </w:rPr>
              <w:t>2</w:t>
            </w:r>
            <w:r w:rsidR="00C92620" w:rsidRPr="00AD1FD3">
              <w:rPr>
                <w:color w:val="000000"/>
                <w:sz w:val="20"/>
                <w:szCs w:val="20"/>
                <w:lang w:eastAsia="en-US"/>
              </w:rPr>
              <w:t>)</w:t>
            </w:r>
          </w:p>
        </w:tc>
        <w:tc>
          <w:tcPr>
            <w:tcW w:w="666" w:type="dxa"/>
            <w:tcBorders>
              <w:top w:val="nil"/>
              <w:left w:val="nil"/>
              <w:bottom w:val="nil"/>
              <w:right w:val="nil"/>
            </w:tcBorders>
            <w:shd w:val="clear" w:color="auto" w:fill="auto"/>
            <w:vAlign w:val="center"/>
            <w:hideMark/>
          </w:tcPr>
          <w:p w14:paraId="5DCBB26E" w14:textId="32A62D14" w:rsidR="00C92620" w:rsidRPr="00AD1FD3" w:rsidRDefault="00C92620" w:rsidP="00AD1FD3">
            <w:pPr>
              <w:spacing w:line="360" w:lineRule="auto"/>
              <w:rPr>
                <w:color w:val="000000"/>
                <w:sz w:val="20"/>
                <w:szCs w:val="20"/>
                <w:lang w:val="en-US" w:eastAsia="en-US"/>
              </w:rPr>
            </w:pPr>
            <w:r w:rsidRPr="00AD1FD3">
              <w:rPr>
                <w:color w:val="000000"/>
                <w:sz w:val="20"/>
                <w:szCs w:val="20"/>
                <w:lang w:val="en-US" w:eastAsia="en-US"/>
              </w:rPr>
              <w:t>1</w:t>
            </w:r>
            <w:r w:rsidR="006544F2">
              <w:rPr>
                <w:color w:val="000000"/>
                <w:sz w:val="20"/>
                <w:szCs w:val="20"/>
                <w:lang w:val="en-US" w:eastAsia="en-US"/>
              </w:rPr>
              <w:t>2</w:t>
            </w:r>
            <w:r w:rsidRPr="00AD1FD3">
              <w:rPr>
                <w:color w:val="000000"/>
                <w:sz w:val="20"/>
                <w:szCs w:val="20"/>
                <w:lang w:val="en-US" w:eastAsia="en-US"/>
              </w:rPr>
              <w:t>.</w:t>
            </w:r>
            <w:r w:rsidR="006544F2">
              <w:rPr>
                <w:color w:val="000000"/>
                <w:sz w:val="20"/>
                <w:szCs w:val="20"/>
                <w:lang w:val="en-US" w:eastAsia="en-US"/>
              </w:rPr>
              <w:t>34</w:t>
            </w:r>
          </w:p>
        </w:tc>
      </w:tr>
      <w:tr w:rsidR="00C92620" w:rsidRPr="00AD1FD3" w14:paraId="70130D7C" w14:textId="77777777" w:rsidTr="00681E3D">
        <w:trPr>
          <w:trHeight w:val="310"/>
        </w:trPr>
        <w:tc>
          <w:tcPr>
            <w:tcW w:w="1247" w:type="dxa"/>
            <w:tcBorders>
              <w:top w:val="nil"/>
              <w:left w:val="nil"/>
              <w:bottom w:val="nil"/>
              <w:right w:val="nil"/>
            </w:tcBorders>
            <w:shd w:val="clear" w:color="auto" w:fill="auto"/>
            <w:vAlign w:val="center"/>
            <w:hideMark/>
          </w:tcPr>
          <w:p w14:paraId="26681A86" w14:textId="77777777" w:rsidR="00C92620" w:rsidRPr="00AD1FD3" w:rsidRDefault="00C92620" w:rsidP="00AD1FD3">
            <w:pPr>
              <w:spacing w:line="360" w:lineRule="auto"/>
              <w:rPr>
                <w:color w:val="000000"/>
                <w:sz w:val="20"/>
                <w:szCs w:val="20"/>
                <w:lang w:val="en-US" w:eastAsia="en-US"/>
              </w:rPr>
            </w:pPr>
            <w:r w:rsidRPr="00AD1FD3">
              <w:rPr>
                <w:color w:val="000000"/>
                <w:sz w:val="20"/>
                <w:szCs w:val="20"/>
                <w:lang w:eastAsia="en-US"/>
              </w:rPr>
              <w:t>Elipsis</w:t>
            </w:r>
          </w:p>
        </w:tc>
        <w:tc>
          <w:tcPr>
            <w:tcW w:w="1533" w:type="dxa"/>
            <w:tcBorders>
              <w:top w:val="nil"/>
              <w:left w:val="nil"/>
              <w:bottom w:val="nil"/>
              <w:right w:val="nil"/>
            </w:tcBorders>
            <w:shd w:val="clear" w:color="auto" w:fill="auto"/>
            <w:vAlign w:val="center"/>
            <w:hideMark/>
          </w:tcPr>
          <w:p w14:paraId="02CE4E17" w14:textId="77777777" w:rsidR="00C92620" w:rsidRPr="00AD1FD3" w:rsidRDefault="00C92620" w:rsidP="00AD1FD3">
            <w:pPr>
              <w:spacing w:line="360" w:lineRule="auto"/>
              <w:rPr>
                <w:color w:val="000000"/>
                <w:sz w:val="20"/>
                <w:szCs w:val="20"/>
                <w:lang w:val="en-US" w:eastAsia="en-US"/>
              </w:rPr>
            </w:pPr>
            <w:r w:rsidRPr="00AD1FD3">
              <w:rPr>
                <w:color w:val="000000"/>
                <w:sz w:val="20"/>
                <w:szCs w:val="20"/>
                <w:lang w:eastAsia="en-US"/>
              </w:rPr>
              <w:t>Comer</w:t>
            </w:r>
          </w:p>
        </w:tc>
        <w:tc>
          <w:tcPr>
            <w:tcW w:w="1504" w:type="dxa"/>
            <w:tcBorders>
              <w:top w:val="nil"/>
              <w:left w:val="nil"/>
              <w:bottom w:val="nil"/>
              <w:right w:val="nil"/>
            </w:tcBorders>
            <w:shd w:val="clear" w:color="auto" w:fill="auto"/>
            <w:vAlign w:val="center"/>
            <w:hideMark/>
          </w:tcPr>
          <w:p w14:paraId="3F967FCE" w14:textId="5230D7AD" w:rsidR="00C92620" w:rsidRPr="00AD1FD3" w:rsidRDefault="00DF7AF1" w:rsidP="00AD1FD3">
            <w:pPr>
              <w:spacing w:line="360" w:lineRule="auto"/>
              <w:rPr>
                <w:color w:val="000000"/>
                <w:sz w:val="20"/>
                <w:szCs w:val="20"/>
                <w:lang w:val="en-US" w:eastAsia="en-US"/>
              </w:rPr>
            </w:pPr>
            <w:r>
              <w:rPr>
                <w:color w:val="000000"/>
                <w:sz w:val="20"/>
                <w:szCs w:val="20"/>
                <w:lang w:eastAsia="en-US"/>
              </w:rPr>
              <w:t>77</w:t>
            </w:r>
            <w:r w:rsidR="00C92620" w:rsidRPr="00AD1FD3">
              <w:rPr>
                <w:color w:val="000000"/>
                <w:sz w:val="20"/>
                <w:szCs w:val="20"/>
                <w:lang w:eastAsia="en-US"/>
              </w:rPr>
              <w:t>% (</w:t>
            </w:r>
            <w:r>
              <w:rPr>
                <w:color w:val="000000"/>
                <w:sz w:val="20"/>
                <w:szCs w:val="20"/>
                <w:lang w:eastAsia="en-US"/>
              </w:rPr>
              <w:t>34</w:t>
            </w:r>
            <w:r w:rsidR="00C92620" w:rsidRPr="00AD1FD3">
              <w:rPr>
                <w:color w:val="000000"/>
                <w:sz w:val="20"/>
                <w:szCs w:val="20"/>
                <w:lang w:eastAsia="en-US"/>
              </w:rPr>
              <w:t>)</w:t>
            </w:r>
          </w:p>
        </w:tc>
        <w:tc>
          <w:tcPr>
            <w:tcW w:w="1409" w:type="dxa"/>
            <w:tcBorders>
              <w:top w:val="nil"/>
              <w:left w:val="nil"/>
              <w:bottom w:val="nil"/>
              <w:right w:val="nil"/>
            </w:tcBorders>
            <w:shd w:val="clear" w:color="auto" w:fill="auto"/>
            <w:vAlign w:val="center"/>
            <w:hideMark/>
          </w:tcPr>
          <w:p w14:paraId="0BB1C534" w14:textId="47D6B180" w:rsidR="00C92620" w:rsidRPr="00AD1FD3" w:rsidRDefault="006544F2" w:rsidP="00AD1FD3">
            <w:pPr>
              <w:spacing w:line="360" w:lineRule="auto"/>
              <w:rPr>
                <w:color w:val="000000"/>
                <w:sz w:val="20"/>
                <w:szCs w:val="20"/>
                <w:lang w:val="en-US" w:eastAsia="en-US"/>
              </w:rPr>
            </w:pPr>
            <w:r>
              <w:rPr>
                <w:color w:val="000000"/>
                <w:sz w:val="20"/>
                <w:szCs w:val="20"/>
                <w:lang w:eastAsia="en-US"/>
              </w:rPr>
              <w:t xml:space="preserve">5% </w:t>
            </w:r>
            <w:r w:rsidR="00C92620" w:rsidRPr="00AD1FD3">
              <w:rPr>
                <w:color w:val="000000"/>
                <w:sz w:val="20"/>
                <w:szCs w:val="20"/>
                <w:lang w:eastAsia="en-US"/>
              </w:rPr>
              <w:t>(</w:t>
            </w:r>
            <w:r w:rsidR="00DF7AF1">
              <w:rPr>
                <w:color w:val="000000"/>
                <w:sz w:val="20"/>
                <w:szCs w:val="20"/>
                <w:lang w:eastAsia="en-US"/>
              </w:rPr>
              <w:t>2</w:t>
            </w:r>
            <w:r w:rsidR="00C92620" w:rsidRPr="00AD1FD3">
              <w:rPr>
                <w:color w:val="000000"/>
                <w:sz w:val="20"/>
                <w:szCs w:val="20"/>
                <w:lang w:eastAsia="en-US"/>
              </w:rPr>
              <w:t>)</w:t>
            </w:r>
          </w:p>
        </w:tc>
        <w:tc>
          <w:tcPr>
            <w:tcW w:w="1518" w:type="dxa"/>
            <w:tcBorders>
              <w:top w:val="nil"/>
              <w:left w:val="nil"/>
              <w:bottom w:val="nil"/>
              <w:right w:val="nil"/>
            </w:tcBorders>
            <w:shd w:val="clear" w:color="auto" w:fill="auto"/>
            <w:vAlign w:val="center"/>
            <w:hideMark/>
          </w:tcPr>
          <w:p w14:paraId="3DE70B52" w14:textId="53CEDD61" w:rsidR="00C92620" w:rsidRPr="00AD1FD3" w:rsidRDefault="006544F2" w:rsidP="00AD1FD3">
            <w:pPr>
              <w:spacing w:line="360" w:lineRule="auto"/>
              <w:rPr>
                <w:color w:val="000000"/>
                <w:sz w:val="20"/>
                <w:szCs w:val="20"/>
                <w:lang w:val="en-US" w:eastAsia="en-US"/>
              </w:rPr>
            </w:pPr>
            <w:r>
              <w:rPr>
                <w:color w:val="000000"/>
                <w:sz w:val="20"/>
                <w:szCs w:val="20"/>
                <w:lang w:eastAsia="en-US"/>
              </w:rPr>
              <w:t>11</w:t>
            </w:r>
            <w:r w:rsidR="00C92620" w:rsidRPr="00AD1FD3">
              <w:rPr>
                <w:color w:val="000000"/>
                <w:sz w:val="20"/>
                <w:szCs w:val="20"/>
                <w:lang w:eastAsia="en-US"/>
              </w:rPr>
              <w:t>% (</w:t>
            </w:r>
            <w:r w:rsidR="00C92620" w:rsidRPr="00AD1FD3">
              <w:rPr>
                <w:color w:val="000000"/>
                <w:sz w:val="20"/>
                <w:szCs w:val="20"/>
                <w:lang w:val="en-US" w:eastAsia="en-US"/>
              </w:rPr>
              <w:t>5</w:t>
            </w:r>
            <w:r w:rsidR="00C92620" w:rsidRPr="00AD1FD3">
              <w:rPr>
                <w:color w:val="000000"/>
                <w:sz w:val="20"/>
                <w:szCs w:val="20"/>
                <w:lang w:eastAsia="en-US"/>
              </w:rPr>
              <w:t>)</w:t>
            </w:r>
          </w:p>
        </w:tc>
        <w:tc>
          <w:tcPr>
            <w:tcW w:w="1483" w:type="dxa"/>
            <w:tcBorders>
              <w:top w:val="nil"/>
              <w:left w:val="nil"/>
              <w:bottom w:val="nil"/>
              <w:right w:val="nil"/>
            </w:tcBorders>
            <w:shd w:val="clear" w:color="auto" w:fill="auto"/>
            <w:vAlign w:val="center"/>
            <w:hideMark/>
          </w:tcPr>
          <w:p w14:paraId="63AA21CD" w14:textId="3360757D" w:rsidR="00C92620" w:rsidRPr="00AD1FD3" w:rsidRDefault="006544F2" w:rsidP="00AD1FD3">
            <w:pPr>
              <w:spacing w:line="360" w:lineRule="auto"/>
              <w:rPr>
                <w:color w:val="000000"/>
                <w:sz w:val="20"/>
                <w:szCs w:val="20"/>
                <w:lang w:val="en-US" w:eastAsia="en-US"/>
              </w:rPr>
            </w:pPr>
            <w:r>
              <w:rPr>
                <w:color w:val="000000"/>
                <w:sz w:val="20"/>
                <w:szCs w:val="20"/>
                <w:lang w:eastAsia="en-US"/>
              </w:rPr>
              <w:t>7</w:t>
            </w:r>
            <w:r w:rsidR="00C92620" w:rsidRPr="00AD1FD3">
              <w:rPr>
                <w:color w:val="000000"/>
                <w:sz w:val="20"/>
                <w:szCs w:val="20"/>
                <w:lang w:eastAsia="en-US"/>
              </w:rPr>
              <w:t>% (</w:t>
            </w:r>
            <w:r w:rsidR="00C92620" w:rsidRPr="00AD1FD3">
              <w:rPr>
                <w:color w:val="000000"/>
                <w:sz w:val="20"/>
                <w:szCs w:val="20"/>
                <w:lang w:val="en-US" w:eastAsia="en-US"/>
              </w:rPr>
              <w:t>3</w:t>
            </w:r>
            <w:r w:rsidR="00C92620" w:rsidRPr="00AD1FD3">
              <w:rPr>
                <w:color w:val="000000"/>
                <w:sz w:val="20"/>
                <w:szCs w:val="20"/>
                <w:lang w:eastAsia="en-US"/>
              </w:rPr>
              <w:t>)</w:t>
            </w:r>
          </w:p>
        </w:tc>
        <w:tc>
          <w:tcPr>
            <w:tcW w:w="666" w:type="dxa"/>
            <w:tcBorders>
              <w:top w:val="nil"/>
              <w:left w:val="nil"/>
              <w:bottom w:val="nil"/>
              <w:right w:val="nil"/>
            </w:tcBorders>
            <w:shd w:val="clear" w:color="auto" w:fill="auto"/>
            <w:vAlign w:val="center"/>
            <w:hideMark/>
          </w:tcPr>
          <w:p w14:paraId="10DFAD96" w14:textId="77777777" w:rsidR="00C92620" w:rsidRPr="00AD1FD3" w:rsidRDefault="00C92620" w:rsidP="00AD1FD3">
            <w:pPr>
              <w:spacing w:line="360" w:lineRule="auto"/>
              <w:rPr>
                <w:color w:val="000000"/>
                <w:sz w:val="20"/>
                <w:szCs w:val="20"/>
                <w:lang w:val="en-US" w:eastAsia="en-US"/>
              </w:rPr>
            </w:pPr>
            <w:r w:rsidRPr="00AD1FD3">
              <w:rPr>
                <w:color w:val="000000"/>
                <w:sz w:val="20"/>
                <w:szCs w:val="20"/>
                <w:lang w:val="en-US" w:eastAsia="en-US"/>
              </w:rPr>
              <w:t>34.00</w:t>
            </w:r>
          </w:p>
        </w:tc>
      </w:tr>
      <w:tr w:rsidR="00C92620" w:rsidRPr="00AD1FD3" w14:paraId="2EC23EF6" w14:textId="77777777" w:rsidTr="00681E3D">
        <w:trPr>
          <w:trHeight w:val="310"/>
        </w:trPr>
        <w:tc>
          <w:tcPr>
            <w:tcW w:w="1247" w:type="dxa"/>
            <w:tcBorders>
              <w:top w:val="nil"/>
              <w:left w:val="nil"/>
              <w:bottom w:val="nil"/>
              <w:right w:val="nil"/>
            </w:tcBorders>
            <w:shd w:val="clear" w:color="auto" w:fill="auto"/>
            <w:vAlign w:val="center"/>
            <w:hideMark/>
          </w:tcPr>
          <w:p w14:paraId="25F93E84" w14:textId="77777777" w:rsidR="00C92620" w:rsidRPr="00AD1FD3" w:rsidRDefault="00C92620" w:rsidP="00AD1FD3">
            <w:pPr>
              <w:spacing w:line="360" w:lineRule="auto"/>
              <w:rPr>
                <w:color w:val="000000"/>
                <w:sz w:val="20"/>
                <w:szCs w:val="20"/>
                <w:lang w:val="en-US" w:eastAsia="en-US"/>
              </w:rPr>
            </w:pPr>
            <w:r w:rsidRPr="00AD1FD3">
              <w:rPr>
                <w:color w:val="000000"/>
                <w:sz w:val="20"/>
                <w:szCs w:val="20"/>
                <w:lang w:eastAsia="en-US"/>
              </w:rPr>
              <w:t>Elipsis</w:t>
            </w:r>
          </w:p>
        </w:tc>
        <w:tc>
          <w:tcPr>
            <w:tcW w:w="1533" w:type="dxa"/>
            <w:tcBorders>
              <w:top w:val="nil"/>
              <w:left w:val="nil"/>
              <w:bottom w:val="nil"/>
              <w:right w:val="nil"/>
            </w:tcBorders>
            <w:shd w:val="clear" w:color="auto" w:fill="auto"/>
            <w:vAlign w:val="center"/>
            <w:hideMark/>
          </w:tcPr>
          <w:p w14:paraId="65E01A27" w14:textId="77777777" w:rsidR="00C92620" w:rsidRPr="00AD1FD3" w:rsidRDefault="00C92620" w:rsidP="00AD1FD3">
            <w:pPr>
              <w:spacing w:line="360" w:lineRule="auto"/>
              <w:rPr>
                <w:color w:val="000000"/>
                <w:sz w:val="20"/>
                <w:szCs w:val="20"/>
                <w:lang w:val="en-US" w:eastAsia="en-US"/>
              </w:rPr>
            </w:pPr>
            <w:r w:rsidRPr="00AD1FD3">
              <w:rPr>
                <w:color w:val="000000"/>
                <w:sz w:val="20"/>
                <w:szCs w:val="20"/>
                <w:lang w:eastAsia="en-US"/>
              </w:rPr>
              <w:t>Leer</w:t>
            </w:r>
          </w:p>
        </w:tc>
        <w:tc>
          <w:tcPr>
            <w:tcW w:w="1504" w:type="dxa"/>
            <w:tcBorders>
              <w:top w:val="nil"/>
              <w:left w:val="nil"/>
              <w:bottom w:val="nil"/>
              <w:right w:val="nil"/>
            </w:tcBorders>
            <w:shd w:val="clear" w:color="auto" w:fill="auto"/>
            <w:vAlign w:val="center"/>
            <w:hideMark/>
          </w:tcPr>
          <w:p w14:paraId="61583FF4" w14:textId="3BFC745B" w:rsidR="00C92620" w:rsidRPr="00AD1FD3" w:rsidRDefault="00C92620" w:rsidP="00AD1FD3">
            <w:pPr>
              <w:spacing w:line="360" w:lineRule="auto"/>
              <w:rPr>
                <w:color w:val="000000"/>
                <w:sz w:val="20"/>
                <w:szCs w:val="20"/>
                <w:lang w:val="en-US" w:eastAsia="en-US"/>
              </w:rPr>
            </w:pPr>
            <w:r w:rsidRPr="00AD1FD3">
              <w:rPr>
                <w:color w:val="000000"/>
                <w:sz w:val="20"/>
                <w:szCs w:val="20"/>
                <w:lang w:eastAsia="en-US"/>
              </w:rPr>
              <w:t>9</w:t>
            </w:r>
            <w:r w:rsidR="00DF7AF1">
              <w:rPr>
                <w:color w:val="000000"/>
                <w:sz w:val="20"/>
                <w:szCs w:val="20"/>
                <w:lang w:eastAsia="en-US"/>
              </w:rPr>
              <w:t>8</w:t>
            </w:r>
            <w:r w:rsidRPr="00AD1FD3">
              <w:rPr>
                <w:color w:val="000000"/>
                <w:sz w:val="20"/>
                <w:szCs w:val="20"/>
                <w:lang w:eastAsia="en-US"/>
              </w:rPr>
              <w:t>% (</w:t>
            </w:r>
            <w:r w:rsidR="00DF7AF1">
              <w:rPr>
                <w:color w:val="000000"/>
                <w:sz w:val="20"/>
                <w:szCs w:val="20"/>
                <w:lang w:eastAsia="en-US"/>
              </w:rPr>
              <w:t>43</w:t>
            </w:r>
            <w:r w:rsidRPr="00AD1FD3">
              <w:rPr>
                <w:color w:val="000000"/>
                <w:sz w:val="20"/>
                <w:szCs w:val="20"/>
                <w:lang w:eastAsia="en-US"/>
              </w:rPr>
              <w:t>)</w:t>
            </w:r>
          </w:p>
        </w:tc>
        <w:tc>
          <w:tcPr>
            <w:tcW w:w="1409" w:type="dxa"/>
            <w:tcBorders>
              <w:top w:val="nil"/>
              <w:left w:val="nil"/>
              <w:bottom w:val="nil"/>
              <w:right w:val="nil"/>
            </w:tcBorders>
            <w:shd w:val="clear" w:color="auto" w:fill="auto"/>
            <w:vAlign w:val="center"/>
            <w:hideMark/>
          </w:tcPr>
          <w:p w14:paraId="119A622A" w14:textId="56A4A5C9" w:rsidR="00C92620" w:rsidRPr="00AD1FD3" w:rsidRDefault="00C92620" w:rsidP="00AD1FD3">
            <w:pPr>
              <w:spacing w:line="360" w:lineRule="auto"/>
              <w:rPr>
                <w:color w:val="000000"/>
                <w:sz w:val="20"/>
                <w:szCs w:val="20"/>
                <w:lang w:val="en-US" w:eastAsia="en-US"/>
              </w:rPr>
            </w:pPr>
            <w:r w:rsidRPr="00AD1FD3">
              <w:rPr>
                <w:color w:val="000000"/>
                <w:sz w:val="20"/>
                <w:szCs w:val="20"/>
                <w:lang w:eastAsia="en-US"/>
              </w:rPr>
              <w:t>- (</w:t>
            </w:r>
            <w:r w:rsidRPr="00AD1FD3">
              <w:rPr>
                <w:color w:val="000000"/>
                <w:sz w:val="20"/>
                <w:szCs w:val="20"/>
                <w:lang w:val="en-US" w:eastAsia="en-US"/>
              </w:rPr>
              <w:t>0</w:t>
            </w:r>
            <w:r w:rsidRPr="00AD1FD3">
              <w:rPr>
                <w:color w:val="000000"/>
                <w:sz w:val="20"/>
                <w:szCs w:val="20"/>
                <w:lang w:eastAsia="en-US"/>
              </w:rPr>
              <w:t>)</w:t>
            </w:r>
          </w:p>
        </w:tc>
        <w:tc>
          <w:tcPr>
            <w:tcW w:w="1518" w:type="dxa"/>
            <w:tcBorders>
              <w:top w:val="nil"/>
              <w:left w:val="nil"/>
              <w:bottom w:val="nil"/>
              <w:right w:val="nil"/>
            </w:tcBorders>
            <w:shd w:val="clear" w:color="auto" w:fill="auto"/>
            <w:vAlign w:val="center"/>
            <w:hideMark/>
          </w:tcPr>
          <w:p w14:paraId="6AB495A9" w14:textId="7037B6B1" w:rsidR="00C92620" w:rsidRPr="00AD1FD3" w:rsidRDefault="00C92620" w:rsidP="00AD1FD3">
            <w:pPr>
              <w:spacing w:line="360" w:lineRule="auto"/>
              <w:rPr>
                <w:color w:val="000000"/>
                <w:sz w:val="20"/>
                <w:szCs w:val="20"/>
                <w:lang w:val="en-US" w:eastAsia="en-US"/>
              </w:rPr>
            </w:pPr>
            <w:r w:rsidRPr="00AD1FD3">
              <w:rPr>
                <w:color w:val="000000"/>
                <w:sz w:val="20"/>
                <w:szCs w:val="20"/>
                <w:lang w:eastAsia="en-US"/>
              </w:rPr>
              <w:t xml:space="preserve"> </w:t>
            </w:r>
            <w:r w:rsidR="006544F2">
              <w:rPr>
                <w:color w:val="000000"/>
                <w:sz w:val="20"/>
                <w:szCs w:val="20"/>
                <w:lang w:eastAsia="en-US"/>
              </w:rPr>
              <w:t>2</w:t>
            </w:r>
            <w:r w:rsidRPr="00AD1FD3">
              <w:rPr>
                <w:color w:val="000000"/>
                <w:sz w:val="20"/>
                <w:szCs w:val="20"/>
                <w:lang w:eastAsia="en-US"/>
              </w:rPr>
              <w:t>% (</w:t>
            </w:r>
            <w:r w:rsidRPr="00AD1FD3">
              <w:rPr>
                <w:color w:val="000000"/>
                <w:sz w:val="20"/>
                <w:szCs w:val="20"/>
                <w:lang w:val="en-US" w:eastAsia="en-US"/>
              </w:rPr>
              <w:t>1</w:t>
            </w:r>
            <w:r w:rsidRPr="00AD1FD3">
              <w:rPr>
                <w:color w:val="000000"/>
                <w:sz w:val="20"/>
                <w:szCs w:val="20"/>
                <w:lang w:eastAsia="en-US"/>
              </w:rPr>
              <w:t>)</w:t>
            </w:r>
          </w:p>
        </w:tc>
        <w:tc>
          <w:tcPr>
            <w:tcW w:w="1483" w:type="dxa"/>
            <w:tcBorders>
              <w:top w:val="nil"/>
              <w:left w:val="nil"/>
              <w:bottom w:val="nil"/>
              <w:right w:val="nil"/>
            </w:tcBorders>
            <w:shd w:val="clear" w:color="auto" w:fill="auto"/>
            <w:vAlign w:val="center"/>
            <w:hideMark/>
          </w:tcPr>
          <w:p w14:paraId="2CDE5B46" w14:textId="5AB7A268" w:rsidR="00C92620" w:rsidRPr="00AD1FD3" w:rsidRDefault="00C92620" w:rsidP="00AD1FD3">
            <w:pPr>
              <w:spacing w:line="360" w:lineRule="auto"/>
              <w:rPr>
                <w:color w:val="000000"/>
                <w:sz w:val="20"/>
                <w:szCs w:val="20"/>
                <w:lang w:val="en-US" w:eastAsia="en-US"/>
              </w:rPr>
            </w:pPr>
            <w:r w:rsidRPr="00AD1FD3">
              <w:rPr>
                <w:color w:val="000000"/>
                <w:sz w:val="20"/>
                <w:szCs w:val="20"/>
                <w:lang w:eastAsia="en-US"/>
              </w:rPr>
              <w:t>- (</w:t>
            </w:r>
            <w:r w:rsidRPr="00AD1FD3">
              <w:rPr>
                <w:color w:val="000000"/>
                <w:sz w:val="20"/>
                <w:szCs w:val="20"/>
                <w:lang w:val="en-US" w:eastAsia="en-US"/>
              </w:rPr>
              <w:t>0</w:t>
            </w:r>
            <w:r w:rsidRPr="00AD1FD3">
              <w:rPr>
                <w:color w:val="000000"/>
                <w:sz w:val="20"/>
                <w:szCs w:val="20"/>
                <w:lang w:eastAsia="en-US"/>
              </w:rPr>
              <w:t>)</w:t>
            </w:r>
          </w:p>
        </w:tc>
        <w:tc>
          <w:tcPr>
            <w:tcW w:w="666" w:type="dxa"/>
            <w:tcBorders>
              <w:top w:val="nil"/>
              <w:left w:val="nil"/>
              <w:bottom w:val="nil"/>
              <w:right w:val="nil"/>
            </w:tcBorders>
            <w:shd w:val="clear" w:color="auto" w:fill="auto"/>
            <w:vAlign w:val="center"/>
            <w:hideMark/>
          </w:tcPr>
          <w:p w14:paraId="69604EF7" w14:textId="3E2F1DE9" w:rsidR="00C92620" w:rsidRPr="00AD1FD3" w:rsidRDefault="00C92620" w:rsidP="00AD1FD3">
            <w:pPr>
              <w:spacing w:line="360" w:lineRule="auto"/>
              <w:rPr>
                <w:color w:val="000000"/>
                <w:sz w:val="20"/>
                <w:szCs w:val="20"/>
                <w:lang w:val="en-US" w:eastAsia="en-US"/>
              </w:rPr>
            </w:pPr>
            <w:r w:rsidRPr="00AD1FD3">
              <w:rPr>
                <w:color w:val="000000"/>
                <w:sz w:val="20"/>
                <w:szCs w:val="20"/>
                <w:lang w:val="en-US" w:eastAsia="en-US"/>
              </w:rPr>
              <w:t>7</w:t>
            </w:r>
            <w:r w:rsidR="006544F2">
              <w:rPr>
                <w:color w:val="000000"/>
                <w:sz w:val="20"/>
                <w:szCs w:val="20"/>
                <w:lang w:val="en-US" w:eastAsia="en-US"/>
              </w:rPr>
              <w:t>4</w:t>
            </w:r>
            <w:r w:rsidRPr="00AD1FD3">
              <w:rPr>
                <w:color w:val="000000"/>
                <w:sz w:val="20"/>
                <w:szCs w:val="20"/>
                <w:lang w:val="en-US" w:eastAsia="en-US"/>
              </w:rPr>
              <w:t>.</w:t>
            </w:r>
            <w:r w:rsidR="006544F2">
              <w:rPr>
                <w:color w:val="000000"/>
                <w:sz w:val="20"/>
                <w:szCs w:val="20"/>
                <w:lang w:val="en-US" w:eastAsia="en-US"/>
              </w:rPr>
              <w:t>05</w:t>
            </w:r>
          </w:p>
        </w:tc>
      </w:tr>
      <w:tr w:rsidR="00C92620" w:rsidRPr="00AD1FD3" w14:paraId="0D01176D" w14:textId="77777777" w:rsidTr="00681E3D">
        <w:trPr>
          <w:trHeight w:val="320"/>
        </w:trPr>
        <w:tc>
          <w:tcPr>
            <w:tcW w:w="1247" w:type="dxa"/>
            <w:tcBorders>
              <w:top w:val="nil"/>
              <w:left w:val="nil"/>
              <w:bottom w:val="single" w:sz="12" w:space="0" w:color="000000"/>
              <w:right w:val="nil"/>
            </w:tcBorders>
            <w:shd w:val="clear" w:color="auto" w:fill="auto"/>
            <w:vAlign w:val="center"/>
            <w:hideMark/>
          </w:tcPr>
          <w:p w14:paraId="6CF6260D" w14:textId="77777777" w:rsidR="00C92620" w:rsidRPr="00AD1FD3" w:rsidRDefault="00C92620" w:rsidP="00AD1FD3">
            <w:pPr>
              <w:spacing w:line="360" w:lineRule="auto"/>
              <w:rPr>
                <w:color w:val="000000"/>
                <w:sz w:val="20"/>
                <w:szCs w:val="20"/>
                <w:lang w:val="en-US" w:eastAsia="en-US"/>
              </w:rPr>
            </w:pPr>
            <w:r w:rsidRPr="00AD1FD3">
              <w:rPr>
                <w:color w:val="000000"/>
                <w:sz w:val="20"/>
                <w:szCs w:val="20"/>
                <w:lang w:eastAsia="en-US"/>
              </w:rPr>
              <w:t>Elipsis</w:t>
            </w:r>
          </w:p>
        </w:tc>
        <w:tc>
          <w:tcPr>
            <w:tcW w:w="1533" w:type="dxa"/>
            <w:tcBorders>
              <w:top w:val="nil"/>
              <w:left w:val="nil"/>
              <w:bottom w:val="single" w:sz="12" w:space="0" w:color="000000"/>
              <w:right w:val="nil"/>
            </w:tcBorders>
            <w:shd w:val="clear" w:color="auto" w:fill="auto"/>
            <w:vAlign w:val="center"/>
            <w:hideMark/>
          </w:tcPr>
          <w:p w14:paraId="3A1EB3E3" w14:textId="77777777" w:rsidR="00C92620" w:rsidRPr="00AD1FD3" w:rsidRDefault="00C92620" w:rsidP="00AD1FD3">
            <w:pPr>
              <w:spacing w:line="360" w:lineRule="auto"/>
              <w:rPr>
                <w:color w:val="000000"/>
                <w:sz w:val="20"/>
                <w:szCs w:val="20"/>
                <w:lang w:val="en-US" w:eastAsia="en-US"/>
              </w:rPr>
            </w:pPr>
            <w:r w:rsidRPr="00AD1FD3">
              <w:rPr>
                <w:color w:val="000000"/>
                <w:sz w:val="20"/>
                <w:szCs w:val="20"/>
                <w:lang w:eastAsia="en-US"/>
              </w:rPr>
              <w:t>Comer</w:t>
            </w:r>
          </w:p>
        </w:tc>
        <w:tc>
          <w:tcPr>
            <w:tcW w:w="1504" w:type="dxa"/>
            <w:tcBorders>
              <w:top w:val="nil"/>
              <w:left w:val="nil"/>
              <w:bottom w:val="single" w:sz="12" w:space="0" w:color="000000"/>
              <w:right w:val="nil"/>
            </w:tcBorders>
            <w:shd w:val="clear" w:color="auto" w:fill="auto"/>
            <w:vAlign w:val="center"/>
            <w:hideMark/>
          </w:tcPr>
          <w:p w14:paraId="46E7EC59" w14:textId="6A1CBD32" w:rsidR="00C92620" w:rsidRPr="00AD1FD3" w:rsidRDefault="00C92620" w:rsidP="00AD1FD3">
            <w:pPr>
              <w:spacing w:line="360" w:lineRule="auto"/>
              <w:rPr>
                <w:color w:val="000000"/>
                <w:sz w:val="20"/>
                <w:szCs w:val="20"/>
                <w:lang w:val="en-US" w:eastAsia="en-US"/>
              </w:rPr>
            </w:pPr>
            <w:r w:rsidRPr="00AD1FD3">
              <w:rPr>
                <w:color w:val="000000"/>
                <w:sz w:val="20"/>
                <w:szCs w:val="20"/>
                <w:lang w:eastAsia="en-US"/>
              </w:rPr>
              <w:t>9</w:t>
            </w:r>
            <w:r w:rsidR="00DF7AF1">
              <w:rPr>
                <w:color w:val="000000"/>
                <w:sz w:val="20"/>
                <w:szCs w:val="20"/>
                <w:lang w:eastAsia="en-US"/>
              </w:rPr>
              <w:t>3</w:t>
            </w:r>
            <w:r w:rsidRPr="00AD1FD3">
              <w:rPr>
                <w:color w:val="000000"/>
                <w:sz w:val="20"/>
                <w:szCs w:val="20"/>
                <w:lang w:eastAsia="en-US"/>
              </w:rPr>
              <w:t>% (</w:t>
            </w:r>
            <w:r w:rsidR="00DF7AF1">
              <w:rPr>
                <w:color w:val="000000"/>
                <w:sz w:val="20"/>
                <w:szCs w:val="20"/>
                <w:lang w:eastAsia="en-US"/>
              </w:rPr>
              <w:t>42</w:t>
            </w:r>
            <w:r w:rsidRPr="00AD1FD3">
              <w:rPr>
                <w:color w:val="000000"/>
                <w:sz w:val="20"/>
                <w:szCs w:val="20"/>
                <w:lang w:eastAsia="en-US"/>
              </w:rPr>
              <w:t>)</w:t>
            </w:r>
          </w:p>
        </w:tc>
        <w:tc>
          <w:tcPr>
            <w:tcW w:w="1409" w:type="dxa"/>
            <w:tcBorders>
              <w:top w:val="nil"/>
              <w:left w:val="nil"/>
              <w:bottom w:val="single" w:sz="12" w:space="0" w:color="000000"/>
              <w:right w:val="nil"/>
            </w:tcBorders>
            <w:shd w:val="clear" w:color="auto" w:fill="auto"/>
            <w:vAlign w:val="center"/>
            <w:hideMark/>
          </w:tcPr>
          <w:p w14:paraId="4A62E6DA" w14:textId="0638B078" w:rsidR="00C92620" w:rsidRPr="00AD1FD3" w:rsidRDefault="006544F2" w:rsidP="00AD1FD3">
            <w:pPr>
              <w:spacing w:line="360" w:lineRule="auto"/>
              <w:rPr>
                <w:color w:val="000000"/>
                <w:sz w:val="20"/>
                <w:szCs w:val="20"/>
                <w:lang w:val="en-US" w:eastAsia="en-US"/>
              </w:rPr>
            </w:pPr>
            <w:r>
              <w:rPr>
                <w:color w:val="000000"/>
                <w:sz w:val="20"/>
                <w:szCs w:val="20"/>
                <w:lang w:eastAsia="en-US"/>
              </w:rPr>
              <w:t>5</w:t>
            </w:r>
            <w:r w:rsidR="00C92620" w:rsidRPr="00AD1FD3">
              <w:rPr>
                <w:color w:val="000000"/>
                <w:sz w:val="20"/>
                <w:szCs w:val="20"/>
                <w:lang w:eastAsia="en-US"/>
              </w:rPr>
              <w:t>% (</w:t>
            </w:r>
            <w:r w:rsidR="00C92620" w:rsidRPr="00AD1FD3">
              <w:rPr>
                <w:color w:val="000000"/>
                <w:sz w:val="20"/>
                <w:szCs w:val="20"/>
                <w:lang w:val="en-US" w:eastAsia="en-US"/>
              </w:rPr>
              <w:t>2</w:t>
            </w:r>
            <w:r w:rsidR="00C92620" w:rsidRPr="00AD1FD3">
              <w:rPr>
                <w:color w:val="000000"/>
                <w:sz w:val="20"/>
                <w:szCs w:val="20"/>
                <w:lang w:eastAsia="en-US"/>
              </w:rPr>
              <w:t>)</w:t>
            </w:r>
          </w:p>
        </w:tc>
        <w:tc>
          <w:tcPr>
            <w:tcW w:w="1518" w:type="dxa"/>
            <w:tcBorders>
              <w:top w:val="nil"/>
              <w:left w:val="nil"/>
              <w:bottom w:val="single" w:sz="12" w:space="0" w:color="000000"/>
              <w:right w:val="nil"/>
            </w:tcBorders>
            <w:shd w:val="clear" w:color="auto" w:fill="auto"/>
            <w:vAlign w:val="center"/>
            <w:hideMark/>
          </w:tcPr>
          <w:p w14:paraId="4F3F0ED6" w14:textId="66CC80F7" w:rsidR="00C92620" w:rsidRPr="00AD1FD3" w:rsidRDefault="006544F2" w:rsidP="00AD1FD3">
            <w:pPr>
              <w:spacing w:line="360" w:lineRule="auto"/>
              <w:rPr>
                <w:color w:val="000000"/>
                <w:sz w:val="20"/>
                <w:szCs w:val="20"/>
                <w:lang w:val="en-US" w:eastAsia="en-US"/>
              </w:rPr>
            </w:pPr>
            <w:r>
              <w:rPr>
                <w:color w:val="000000"/>
                <w:sz w:val="20"/>
                <w:szCs w:val="20"/>
                <w:lang w:eastAsia="en-US"/>
              </w:rPr>
              <w:t>2</w:t>
            </w:r>
            <w:r w:rsidRPr="00AD1FD3">
              <w:rPr>
                <w:color w:val="000000"/>
                <w:sz w:val="20"/>
                <w:szCs w:val="20"/>
                <w:lang w:eastAsia="en-US"/>
              </w:rPr>
              <w:t xml:space="preserve">% </w:t>
            </w:r>
            <w:r w:rsidR="00C92620" w:rsidRPr="00AD1FD3">
              <w:rPr>
                <w:color w:val="000000"/>
                <w:sz w:val="20"/>
                <w:szCs w:val="20"/>
                <w:lang w:eastAsia="en-US"/>
              </w:rPr>
              <w:t>(</w:t>
            </w:r>
            <w:r w:rsidR="00DF7AF1">
              <w:rPr>
                <w:color w:val="000000"/>
                <w:sz w:val="20"/>
                <w:szCs w:val="20"/>
                <w:lang w:eastAsia="en-US"/>
              </w:rPr>
              <w:t>1</w:t>
            </w:r>
            <w:r w:rsidR="00C92620" w:rsidRPr="00AD1FD3">
              <w:rPr>
                <w:color w:val="000000"/>
                <w:sz w:val="20"/>
                <w:szCs w:val="20"/>
                <w:lang w:eastAsia="en-US"/>
              </w:rPr>
              <w:t>)</w:t>
            </w:r>
          </w:p>
        </w:tc>
        <w:tc>
          <w:tcPr>
            <w:tcW w:w="1483" w:type="dxa"/>
            <w:tcBorders>
              <w:top w:val="nil"/>
              <w:left w:val="nil"/>
              <w:bottom w:val="single" w:sz="12" w:space="0" w:color="000000"/>
              <w:right w:val="nil"/>
            </w:tcBorders>
            <w:shd w:val="clear" w:color="auto" w:fill="auto"/>
            <w:vAlign w:val="center"/>
            <w:hideMark/>
          </w:tcPr>
          <w:p w14:paraId="4129192F" w14:textId="5B785F5E" w:rsidR="00C92620" w:rsidRPr="00AD1FD3" w:rsidRDefault="00C92620" w:rsidP="00AD1FD3">
            <w:pPr>
              <w:spacing w:line="360" w:lineRule="auto"/>
              <w:rPr>
                <w:color w:val="000000"/>
                <w:sz w:val="20"/>
                <w:szCs w:val="20"/>
                <w:lang w:val="en-US" w:eastAsia="en-US"/>
              </w:rPr>
            </w:pPr>
            <w:r w:rsidRPr="00AD1FD3">
              <w:rPr>
                <w:color w:val="000000"/>
                <w:sz w:val="20"/>
                <w:szCs w:val="20"/>
                <w:lang w:eastAsia="en-US"/>
              </w:rPr>
              <w:t>- (</w:t>
            </w:r>
            <w:r w:rsidRPr="00AD1FD3">
              <w:rPr>
                <w:color w:val="000000"/>
                <w:sz w:val="20"/>
                <w:szCs w:val="20"/>
                <w:lang w:val="en-US" w:eastAsia="en-US"/>
              </w:rPr>
              <w:t>0</w:t>
            </w:r>
            <w:r w:rsidRPr="00AD1FD3">
              <w:rPr>
                <w:color w:val="000000"/>
                <w:sz w:val="20"/>
                <w:szCs w:val="20"/>
                <w:lang w:eastAsia="en-US"/>
              </w:rPr>
              <w:t>)</w:t>
            </w:r>
          </w:p>
        </w:tc>
        <w:tc>
          <w:tcPr>
            <w:tcW w:w="666" w:type="dxa"/>
            <w:tcBorders>
              <w:top w:val="nil"/>
              <w:left w:val="nil"/>
              <w:bottom w:val="single" w:sz="12" w:space="0" w:color="000000"/>
              <w:right w:val="nil"/>
            </w:tcBorders>
            <w:shd w:val="clear" w:color="auto" w:fill="auto"/>
            <w:vAlign w:val="center"/>
            <w:hideMark/>
          </w:tcPr>
          <w:p w14:paraId="60B7FA10" w14:textId="2B127DAA" w:rsidR="00C92620" w:rsidRPr="00AD1FD3" w:rsidRDefault="00C92620" w:rsidP="00AD1FD3">
            <w:pPr>
              <w:spacing w:line="360" w:lineRule="auto"/>
              <w:rPr>
                <w:color w:val="000000"/>
                <w:sz w:val="20"/>
                <w:szCs w:val="20"/>
                <w:lang w:val="en-US" w:eastAsia="en-US"/>
              </w:rPr>
            </w:pPr>
            <w:r w:rsidRPr="00AD1FD3">
              <w:rPr>
                <w:color w:val="000000"/>
                <w:sz w:val="20"/>
                <w:szCs w:val="20"/>
                <w:lang w:val="en-US" w:eastAsia="en-US"/>
              </w:rPr>
              <w:t>6</w:t>
            </w:r>
            <w:r w:rsidR="006544F2">
              <w:rPr>
                <w:color w:val="000000"/>
                <w:sz w:val="20"/>
                <w:szCs w:val="20"/>
                <w:lang w:val="en-US" w:eastAsia="en-US"/>
              </w:rPr>
              <w:t>8</w:t>
            </w:r>
            <w:r w:rsidRPr="00AD1FD3">
              <w:rPr>
                <w:color w:val="000000"/>
                <w:sz w:val="20"/>
                <w:szCs w:val="20"/>
                <w:lang w:val="en-US" w:eastAsia="en-US"/>
              </w:rPr>
              <w:t>.</w:t>
            </w:r>
            <w:r w:rsidR="006544F2">
              <w:rPr>
                <w:color w:val="000000"/>
                <w:sz w:val="20"/>
                <w:szCs w:val="20"/>
                <w:lang w:val="en-US" w:eastAsia="en-US"/>
              </w:rPr>
              <w:t>50</w:t>
            </w:r>
          </w:p>
        </w:tc>
      </w:tr>
    </w:tbl>
    <w:p w14:paraId="680556D2" w14:textId="77777777" w:rsidR="00C92620" w:rsidRPr="00AD1FD3" w:rsidRDefault="00C92620" w:rsidP="00AD1FD3">
      <w:pPr>
        <w:spacing w:line="360" w:lineRule="auto"/>
        <w:rPr>
          <w:sz w:val="20"/>
          <w:szCs w:val="20"/>
        </w:rPr>
      </w:pPr>
      <w:r w:rsidRPr="00AD1FD3">
        <w:rPr>
          <w:sz w:val="20"/>
          <w:szCs w:val="20"/>
        </w:rPr>
        <w:t>Todos los valores de chi cuadrado son significativos con p&lt;0,01</w:t>
      </w:r>
    </w:p>
    <w:p w14:paraId="76DEDD1B" w14:textId="77777777" w:rsidR="00C92620" w:rsidRPr="006008A0" w:rsidRDefault="00C92620" w:rsidP="00AD1FD3">
      <w:pPr>
        <w:spacing w:line="360" w:lineRule="auto"/>
      </w:pPr>
    </w:p>
    <w:p w14:paraId="0E28017E" w14:textId="7A5CDFA6" w:rsidR="00C92620" w:rsidRDefault="00C92620" w:rsidP="00681E3D">
      <w:pPr>
        <w:spacing w:line="360" w:lineRule="auto"/>
        <w:ind w:firstLine="720"/>
        <w:jc w:val="both"/>
      </w:pPr>
      <w:r w:rsidRPr="006008A0">
        <w:t xml:space="preserve">Los participantes eligen de forma consistente la opción perspectiva para expresar lo que el segundo hablante quiso decir en los casos de elipsis, que son los casos que se han considerado en los </w:t>
      </w:r>
      <w:r w:rsidR="0065448A">
        <w:t>estudios</w:t>
      </w:r>
      <w:r w:rsidR="0065448A" w:rsidRPr="006008A0">
        <w:t xml:space="preserve"> </w:t>
      </w:r>
      <w:r w:rsidRPr="006008A0">
        <w:t>1 y 2. Nótese sin embargo que el patrón se invierte, tal como se esperaba, para los ítems que incluyen negación de la afirmación del primer hablante o la repetición del indéxico. Los ítems de repetición siguen el patrón esperado, dado que se diseñaron con el objetivo explícito de anular la interpretación perspectiva. Se presentaron los siguientes enunciados en cada caso</w:t>
      </w:r>
      <w:r w:rsidR="006700A3">
        <w:t>:</w:t>
      </w:r>
    </w:p>
    <w:p w14:paraId="19665E5C" w14:textId="77777777" w:rsidR="006700A3" w:rsidRPr="006008A0" w:rsidRDefault="006700A3" w:rsidP="00681E3D">
      <w:pPr>
        <w:spacing w:line="360" w:lineRule="auto"/>
        <w:ind w:firstLine="720"/>
        <w:jc w:val="both"/>
      </w:pPr>
    </w:p>
    <w:p w14:paraId="3CA2C00C" w14:textId="42A6A2D1" w:rsidR="00C92620" w:rsidRPr="006A5AA4" w:rsidRDefault="00C92620" w:rsidP="006A5AA4">
      <w:pPr>
        <w:pStyle w:val="Prrafodelista"/>
        <w:numPr>
          <w:ilvl w:val="0"/>
          <w:numId w:val="2"/>
        </w:numPr>
        <w:spacing w:line="360" w:lineRule="auto"/>
        <w:rPr>
          <w:i/>
        </w:rPr>
      </w:pPr>
      <w:r w:rsidRPr="005442FB">
        <w:rPr>
          <w:i/>
        </w:rPr>
        <w:t xml:space="preserve"> </w:t>
      </w:r>
      <w:r w:rsidRPr="006008A0">
        <w:t>A: Yo me di cuenta de que había cometido un error.</w:t>
      </w:r>
    </w:p>
    <w:p w14:paraId="00686310" w14:textId="1D32649E" w:rsidR="00C92620" w:rsidRDefault="006A5AA4" w:rsidP="005442FB">
      <w:pPr>
        <w:spacing w:line="360" w:lineRule="auto"/>
        <w:ind w:left="360" w:firstLine="360"/>
      </w:pPr>
      <w:r>
        <w:t xml:space="preserve">       </w:t>
      </w:r>
      <w:r w:rsidR="00C92620" w:rsidRPr="006008A0">
        <w:t>B: Yo también.</w:t>
      </w:r>
    </w:p>
    <w:p w14:paraId="79CD3794" w14:textId="77777777" w:rsidR="00227FE9" w:rsidRPr="006008A0" w:rsidRDefault="00227FE9" w:rsidP="005442FB">
      <w:pPr>
        <w:spacing w:line="360" w:lineRule="auto"/>
        <w:ind w:left="360" w:firstLine="360"/>
      </w:pPr>
    </w:p>
    <w:p w14:paraId="1EDEC257" w14:textId="77777777" w:rsidR="00C92620" w:rsidRPr="006A5AA4" w:rsidRDefault="00C92620" w:rsidP="006A5AA4">
      <w:pPr>
        <w:pStyle w:val="Prrafodelista"/>
        <w:numPr>
          <w:ilvl w:val="0"/>
          <w:numId w:val="2"/>
        </w:numPr>
        <w:spacing w:line="360" w:lineRule="auto"/>
        <w:rPr>
          <w:i/>
        </w:rPr>
      </w:pPr>
      <w:r w:rsidRPr="006008A0">
        <w:t xml:space="preserve">A: Yo me di cuenta de que </w:t>
      </w:r>
      <w:r w:rsidRPr="006A5AA4">
        <w:rPr>
          <w:i/>
        </w:rPr>
        <w:t>yo</w:t>
      </w:r>
      <w:r w:rsidRPr="006008A0">
        <w:t xml:space="preserve"> había cometido un error.</w:t>
      </w:r>
    </w:p>
    <w:p w14:paraId="62D24DDC" w14:textId="083653D6" w:rsidR="00C92620" w:rsidRPr="006008A0" w:rsidRDefault="006A5AA4" w:rsidP="005442FB">
      <w:pPr>
        <w:spacing w:line="360" w:lineRule="auto"/>
        <w:ind w:firstLine="720"/>
      </w:pPr>
      <w:r>
        <w:t xml:space="preserve">      </w:t>
      </w:r>
      <w:r w:rsidR="00C92620" w:rsidRPr="006008A0">
        <w:t>B: Yo también.</w:t>
      </w:r>
    </w:p>
    <w:p w14:paraId="015BC176" w14:textId="77777777" w:rsidR="007C03ED" w:rsidRDefault="007C03ED" w:rsidP="00681E3D">
      <w:pPr>
        <w:shd w:val="clear" w:color="auto" w:fill="FFFFFF"/>
        <w:spacing w:line="360" w:lineRule="auto"/>
        <w:jc w:val="both"/>
      </w:pPr>
    </w:p>
    <w:p w14:paraId="2FCE0848" w14:textId="5DEA5042" w:rsidR="00C92620" w:rsidRPr="006008A0" w:rsidRDefault="00C92620" w:rsidP="00681E3D">
      <w:pPr>
        <w:shd w:val="clear" w:color="auto" w:fill="FFFFFF"/>
        <w:spacing w:line="360" w:lineRule="auto"/>
        <w:jc w:val="both"/>
      </w:pPr>
      <w:r w:rsidRPr="006008A0">
        <w:t xml:space="preserve">Mientras que la situación </w:t>
      </w:r>
      <w:r w:rsidR="006700A3">
        <w:t>en el ejemplo (6)</w:t>
      </w:r>
      <w:r w:rsidRPr="006008A0">
        <w:t xml:space="preserve"> está diseñada para generar el cambio de perspectiva propio de </w:t>
      </w:r>
      <w:r w:rsidR="00933EAC">
        <w:t xml:space="preserve">la </w:t>
      </w:r>
      <w:r w:rsidRPr="006008A0">
        <w:t xml:space="preserve">elipsis, la situación </w:t>
      </w:r>
      <w:r w:rsidR="00227FE9">
        <w:t xml:space="preserve">en </w:t>
      </w:r>
      <w:r w:rsidR="00280E21">
        <w:t xml:space="preserve">el ejemplo </w:t>
      </w:r>
      <w:r w:rsidR="00227FE9">
        <w:t>(7)</w:t>
      </w:r>
      <w:r w:rsidRPr="006008A0">
        <w:t xml:space="preserve"> muestra cómo la inclusión de un sujeto normalmente elidido </w:t>
      </w:r>
      <w:r w:rsidR="000262B8">
        <w:t>bloquea</w:t>
      </w:r>
      <w:r w:rsidRPr="006008A0">
        <w:t xml:space="preserve"> est</w:t>
      </w:r>
      <w:r>
        <w:t>a</w:t>
      </w:r>
      <w:r w:rsidRPr="006008A0">
        <w:t xml:space="preserve"> posibilidad. </w:t>
      </w:r>
    </w:p>
    <w:p w14:paraId="23FB0D35" w14:textId="12CED252" w:rsidR="00C92620" w:rsidRPr="006008A0" w:rsidRDefault="00C92620" w:rsidP="00681E3D">
      <w:pPr>
        <w:shd w:val="clear" w:color="auto" w:fill="FFFFFF"/>
        <w:spacing w:line="360" w:lineRule="auto"/>
        <w:ind w:firstLine="720"/>
        <w:jc w:val="both"/>
      </w:pPr>
      <w:r w:rsidRPr="006008A0">
        <w:t>Los resultados muestran no sol</w:t>
      </w:r>
      <w:r w:rsidR="006279E4">
        <w:t>amente</w:t>
      </w:r>
      <w:r w:rsidRPr="006008A0">
        <w:t xml:space="preserve"> que las personas en general prefirieron los enunciados perspectiv</w:t>
      </w:r>
      <w:r w:rsidR="006279E4">
        <w:t>o</w:t>
      </w:r>
      <w:r w:rsidRPr="006008A0">
        <w:t xml:space="preserve">s, sino que esta preferencia está determinada por características morfosintácticas claramente identificables y manipulables, como el tipo de acción realizada o la inclusión de un sujeto elidido. </w:t>
      </w:r>
    </w:p>
    <w:p w14:paraId="59DCC250" w14:textId="12A349AE" w:rsidR="00C92620" w:rsidRPr="005442FB" w:rsidRDefault="00C92620" w:rsidP="000D1C89">
      <w:pPr>
        <w:pStyle w:val="Ttulo3"/>
        <w:numPr>
          <w:ilvl w:val="0"/>
          <w:numId w:val="7"/>
        </w:numPr>
        <w:spacing w:line="360" w:lineRule="auto"/>
        <w:rPr>
          <w:b/>
          <w:bCs/>
          <w:sz w:val="24"/>
          <w:szCs w:val="24"/>
        </w:rPr>
      </w:pPr>
      <w:r w:rsidRPr="005442FB">
        <w:rPr>
          <w:b/>
          <w:bCs/>
          <w:sz w:val="24"/>
          <w:szCs w:val="24"/>
        </w:rPr>
        <w:t xml:space="preserve">Discusión </w:t>
      </w:r>
    </w:p>
    <w:p w14:paraId="31A36D42" w14:textId="231EE554" w:rsidR="00C92620" w:rsidRPr="006008A0" w:rsidRDefault="00C92620" w:rsidP="00472B3F">
      <w:pPr>
        <w:spacing w:line="360" w:lineRule="auto"/>
        <w:ind w:firstLine="720"/>
        <w:jc w:val="both"/>
      </w:pPr>
      <w:r w:rsidRPr="006008A0">
        <w:t xml:space="preserve">En los </w:t>
      </w:r>
      <w:r w:rsidR="007C3A7D">
        <w:t>dos</w:t>
      </w:r>
      <w:r w:rsidRPr="006008A0">
        <w:t xml:space="preserve"> </w:t>
      </w:r>
      <w:r w:rsidR="0065448A">
        <w:t>estudios</w:t>
      </w:r>
      <w:r w:rsidR="0065448A" w:rsidRPr="006008A0">
        <w:t xml:space="preserve"> </w:t>
      </w:r>
      <w:r w:rsidRPr="006008A0">
        <w:t>presentados hemos mostrado las condiciones en las que hablantes nativos del español realizan la desambiguación de oraciones cuando</w:t>
      </w:r>
      <w:r w:rsidR="001653DA">
        <w:t xml:space="preserve"> </w:t>
      </w:r>
      <w:r w:rsidR="004A18E3">
        <w:t>‘</w:t>
      </w:r>
      <w:r w:rsidR="004A18E3" w:rsidRPr="006008A0">
        <w:t>también</w:t>
      </w:r>
      <w:r w:rsidR="004A18E3">
        <w:t>’</w:t>
      </w:r>
      <w:r w:rsidRPr="006008A0">
        <w:t xml:space="preserve"> provoca</w:t>
      </w:r>
      <w:r w:rsidR="004A18E3" w:rsidRPr="006008A0">
        <w:t xml:space="preserve"> ambigüedad </w:t>
      </w:r>
      <w:r w:rsidRPr="006008A0">
        <w:t>en el contexto de uso de ind</w:t>
      </w:r>
      <w:r w:rsidR="006279E4">
        <w:t>éxicos</w:t>
      </w:r>
      <w:r w:rsidRPr="006008A0">
        <w:t xml:space="preserve">. De manera general, los datos son coherentes con nuestras hipótesis e ilustran un patrón de inferencias sobre presuposición activadas por </w:t>
      </w:r>
      <w:r w:rsidR="00BE36C5">
        <w:t>‘</w:t>
      </w:r>
      <w:r w:rsidRPr="006008A0">
        <w:t>también</w:t>
      </w:r>
      <w:r w:rsidR="00BE36C5">
        <w:t>’</w:t>
      </w:r>
      <w:r w:rsidRPr="006008A0">
        <w:t xml:space="preserve"> consistente con la idea de predicación paramétrica. Los participantes prefirieron de forma consistente la desambiguación perspectiva, frente a la referencial, excepto en casos donde características del predicado, fácilmente manipulables como en nuestro </w:t>
      </w:r>
      <w:r w:rsidR="0065448A">
        <w:t>estudio</w:t>
      </w:r>
      <w:r w:rsidR="0065448A" w:rsidRPr="006008A0">
        <w:t xml:space="preserve"> </w:t>
      </w:r>
      <w:r w:rsidRPr="006008A0">
        <w:t>2, inducen la interpretación referencial.</w:t>
      </w:r>
    </w:p>
    <w:p w14:paraId="7942AF43" w14:textId="79CA3435" w:rsidR="00C92620" w:rsidRPr="006008A0" w:rsidRDefault="00C92620" w:rsidP="004A18E3">
      <w:pPr>
        <w:spacing w:line="360" w:lineRule="auto"/>
        <w:ind w:firstLine="720"/>
        <w:jc w:val="both"/>
      </w:pPr>
      <w:r w:rsidRPr="006008A0">
        <w:t xml:space="preserve">El </w:t>
      </w:r>
      <w:r w:rsidR="0065448A">
        <w:t>estudio 1</w:t>
      </w:r>
      <w:r w:rsidRPr="006008A0">
        <w:t xml:space="preserve">1 nos permitió establecer la preminencia de la interpretación perspectiva en las inferencias sobre presuposiciones activadas por </w:t>
      </w:r>
      <w:r w:rsidR="00BE36C5">
        <w:t>‘</w:t>
      </w:r>
      <w:r w:rsidRPr="006008A0">
        <w:t>también</w:t>
      </w:r>
      <w:r w:rsidR="00BE36C5">
        <w:t>’</w:t>
      </w:r>
      <w:r w:rsidRPr="006008A0">
        <w:t xml:space="preserve"> en el contexto de uso de </w:t>
      </w:r>
      <w:r w:rsidR="00BE36C5">
        <w:t>‘</w:t>
      </w:r>
      <w:r w:rsidRPr="006008A0">
        <w:t>yo</w:t>
      </w:r>
      <w:r w:rsidR="00BE36C5">
        <w:t>’</w:t>
      </w:r>
      <w:r w:rsidRPr="006008A0">
        <w:t xml:space="preserve">. Mostramos cómo esta presuposición perspectiva es sensible a verbos alocéntricos en la medida en que estos activan el uso de variables libres especiales como indicadores de perspectiva. El </w:t>
      </w:r>
      <w:r w:rsidR="0065448A">
        <w:t>estudio</w:t>
      </w:r>
      <w:r w:rsidR="0065448A" w:rsidRPr="006008A0">
        <w:t xml:space="preserve"> </w:t>
      </w:r>
      <w:r w:rsidRPr="006008A0">
        <w:t xml:space="preserve">2 confirma este resultado en la valoración de lo que los hablantes </w:t>
      </w:r>
      <w:r w:rsidR="00BE36C5">
        <w:t>‘</w:t>
      </w:r>
      <w:r w:rsidRPr="006008A0">
        <w:t>quieren decir</w:t>
      </w:r>
      <w:r w:rsidR="00BE36C5">
        <w:t>’</w:t>
      </w:r>
      <w:r w:rsidRPr="006008A0">
        <w:t xml:space="preserve"> al manipular el tipo de operación realizad</w:t>
      </w:r>
      <w:r w:rsidR="004A18E3">
        <w:t>a</w:t>
      </w:r>
      <w:r w:rsidRPr="006008A0">
        <w:t xml:space="preserve"> en el diálogo (negación, repetición, elipsis). El </w:t>
      </w:r>
      <w:r w:rsidR="0065448A">
        <w:t>estudio</w:t>
      </w:r>
      <w:r w:rsidR="0065448A" w:rsidRPr="006008A0" w:rsidDel="0065448A">
        <w:t xml:space="preserve"> </w:t>
      </w:r>
      <w:r w:rsidRPr="006008A0">
        <w:t xml:space="preserve">2 también muestra que se privilegia la interpretación perspectiva, excepto en casos bien identificados donde recursos tales como la negación o la repetición inducen una interpretación alocéntrica de actitudes del hablante hacia otros, no </w:t>
      </w:r>
      <w:r w:rsidR="00CD498C">
        <w:t>haci</w:t>
      </w:r>
      <w:r w:rsidR="00681E3D" w:rsidRPr="006008A0">
        <w:t>a</w:t>
      </w:r>
      <w:r w:rsidRPr="006008A0">
        <w:t xml:space="preserve"> sí mismo. Así, mientras el experimento 1 muestra que la interpretación perspectiva depende de la parametrización asociada con el verbo que expresa la acción del hablante, el </w:t>
      </w:r>
      <w:r w:rsidR="0065448A">
        <w:t>estudio</w:t>
      </w:r>
      <w:r w:rsidR="0065448A" w:rsidRPr="006008A0" w:rsidDel="0065448A">
        <w:t xml:space="preserve"> </w:t>
      </w:r>
      <w:r w:rsidRPr="006008A0">
        <w:t xml:space="preserve">2 muestra que esta parametrización depende también de otros aspectos morfosintácticos de la emisión lingüística. </w:t>
      </w:r>
    </w:p>
    <w:p w14:paraId="2868605C" w14:textId="78A3C84C" w:rsidR="004F4795" w:rsidRDefault="004F4795" w:rsidP="00681E3D">
      <w:pPr>
        <w:spacing w:line="360" w:lineRule="auto"/>
        <w:ind w:firstLine="720"/>
        <w:jc w:val="both"/>
      </w:pPr>
      <w:r>
        <w:t xml:space="preserve">En conjunto, </w:t>
      </w:r>
      <w:r w:rsidR="00472B3F">
        <w:t xml:space="preserve">el patrón de datos observados en estos </w:t>
      </w:r>
      <w:r w:rsidR="0065448A">
        <w:t xml:space="preserve">estudios </w:t>
      </w:r>
      <w:r w:rsidR="00472B3F">
        <w:t xml:space="preserve">es coherente con la interpretación perspectiva </w:t>
      </w:r>
      <w:r w:rsidR="00681E3D">
        <w:t xml:space="preserve">de la desambiguación de </w:t>
      </w:r>
      <w:r w:rsidR="00BE36C5">
        <w:t>‘</w:t>
      </w:r>
      <w:r w:rsidR="00681E3D">
        <w:t>también</w:t>
      </w:r>
      <w:r w:rsidR="00BE36C5">
        <w:t>’</w:t>
      </w:r>
      <w:r w:rsidR="00681E3D">
        <w:t xml:space="preserve"> en presencia de ind</w:t>
      </w:r>
      <w:r w:rsidR="00174A07">
        <w:t>éxicos</w:t>
      </w:r>
      <w:r w:rsidR="00681E3D">
        <w:t xml:space="preserve"> que desarrollamos en la introducción teórica, pero no con la interpretación referencial defendida por autores como </w:t>
      </w:r>
      <w:r w:rsidR="00681E3D" w:rsidRPr="006008A0">
        <w:t>Geurts y van der Sandt (2012</w:t>
      </w:r>
      <w:r w:rsidR="006B255B">
        <w:t>)</w:t>
      </w:r>
      <w:r w:rsidR="00472B3F">
        <w:t xml:space="preserve"> </w:t>
      </w:r>
    </w:p>
    <w:p w14:paraId="0D1F4892" w14:textId="77777777" w:rsidR="00BE5961" w:rsidRPr="006008A0" w:rsidRDefault="00BE5961" w:rsidP="00681E3D">
      <w:pPr>
        <w:spacing w:line="360" w:lineRule="auto"/>
        <w:ind w:firstLine="720"/>
        <w:jc w:val="both"/>
      </w:pPr>
    </w:p>
    <w:p w14:paraId="39B459B1" w14:textId="77777777" w:rsidR="004F4795" w:rsidRDefault="004F4795" w:rsidP="004F4795">
      <w:pPr>
        <w:spacing w:line="360" w:lineRule="auto"/>
      </w:pPr>
      <w:r w:rsidRPr="0053086D">
        <w:rPr>
          <w:b/>
          <w:bCs/>
        </w:rPr>
        <w:t>CONCLUSIONES</w:t>
      </w:r>
    </w:p>
    <w:p w14:paraId="2D778646" w14:textId="356F5FD7" w:rsidR="00C92620" w:rsidRPr="006008A0" w:rsidRDefault="004F4795" w:rsidP="00681E3D">
      <w:pPr>
        <w:spacing w:line="360" w:lineRule="auto"/>
        <w:ind w:firstLine="720"/>
        <w:jc w:val="both"/>
      </w:pPr>
      <w:r>
        <w:t xml:space="preserve">Este </w:t>
      </w:r>
      <w:r w:rsidR="00C92620" w:rsidRPr="006008A0">
        <w:t xml:space="preserve">trabajo muestra que </w:t>
      </w:r>
      <w:r w:rsidR="00BE36C5">
        <w:t>‘</w:t>
      </w:r>
      <w:r w:rsidR="00C92620" w:rsidRPr="006008A0">
        <w:t>también</w:t>
      </w:r>
      <w:r w:rsidR="00BE36C5">
        <w:t>’</w:t>
      </w:r>
      <w:r w:rsidR="00C92620" w:rsidRPr="006008A0">
        <w:t xml:space="preserve"> dispara una presuposición, pero además muestra que la forma de desambiguación de la presuposición está íntimamente ligada con la comprensión del indéxico </w:t>
      </w:r>
      <w:r w:rsidR="00BE36C5">
        <w:t>‘</w:t>
      </w:r>
      <w:r w:rsidR="00C92620" w:rsidRPr="006008A0">
        <w:t>yo</w:t>
      </w:r>
      <w:r w:rsidR="00BE36C5">
        <w:t>’</w:t>
      </w:r>
      <w:r>
        <w:t>, e</w:t>
      </w:r>
      <w:r w:rsidRPr="006008A0">
        <w:t>n concordancia con el trabajo de Cummins y Amaral (2014)</w:t>
      </w:r>
      <w:r w:rsidR="00C92620" w:rsidRPr="006008A0">
        <w:t>. Adicionalmente, a través de una interpretación paramétrica de los predicados, nuestra hipótesis acerca de la presuposición</w:t>
      </w:r>
      <w:r w:rsidR="000F35A3">
        <w:t xml:space="preserve"> deíctica y la anáfora</w:t>
      </w:r>
      <w:r w:rsidR="00C92620" w:rsidRPr="006008A0">
        <w:t xml:space="preserve"> perspectiva para </w:t>
      </w:r>
      <w:r w:rsidR="00BE36C5">
        <w:t>‘</w:t>
      </w:r>
      <w:r w:rsidR="00C92620" w:rsidRPr="006008A0">
        <w:t>también</w:t>
      </w:r>
      <w:r w:rsidR="00BE36C5">
        <w:t>’</w:t>
      </w:r>
      <w:r w:rsidR="00C92620" w:rsidRPr="006008A0">
        <w:t xml:space="preserve"> respeta el principio básico de que los indéxicos son expresiones directamente referenciales</w:t>
      </w:r>
      <w:r w:rsidR="000F35A3">
        <w:t>, cuya</w:t>
      </w:r>
      <w:r w:rsidR="00C92620" w:rsidRPr="006008A0">
        <w:t xml:space="preserve"> única contribución a la proposición expresada es el objeto que denotan, en este caso el agente</w:t>
      </w:r>
      <w:r w:rsidR="000F35A3">
        <w:t>,</w:t>
      </w:r>
      <w:r w:rsidR="00C92620" w:rsidRPr="006008A0">
        <w:t xml:space="preserve"> y no un complejo lógico de cuantificadores y funciones (Kaplan, 2014). Sugiere, además, que una buena parte del procesamiento de las anáforas depende de una categorización agen</w:t>
      </w:r>
      <w:r w:rsidR="00174A07">
        <w:t>tiva</w:t>
      </w:r>
      <w:r w:rsidR="00C92620" w:rsidRPr="006008A0">
        <w:t xml:space="preserve"> de los sujetos de predicación. El objeto denotado como agente genera una categorización específica que está implícita en la desambiguación</w:t>
      </w:r>
      <w:r w:rsidR="000F35A3">
        <w:t xml:space="preserve"> del indéxico</w:t>
      </w:r>
      <w:r w:rsidR="00C92620" w:rsidRPr="006008A0">
        <w:t>. Esa clasificación permite es</w:t>
      </w:r>
      <w:r w:rsidR="00174A07">
        <w:t>t</w:t>
      </w:r>
      <w:r w:rsidR="00C92620" w:rsidRPr="006008A0">
        <w:t>ablecer ciertas diferencias en inte</w:t>
      </w:r>
      <w:r w:rsidR="00174A07">
        <w:t>r</w:t>
      </w:r>
      <w:r w:rsidR="00C92620" w:rsidRPr="006008A0">
        <w:t>pretación como distinciones entre predicados naturalmente centrados en el agente (</w:t>
      </w:r>
      <w:r w:rsidR="00BE36C5">
        <w:t>‘</w:t>
      </w:r>
      <w:r w:rsidR="00C92620" w:rsidRPr="006008A0">
        <w:t>comer</w:t>
      </w:r>
      <w:r w:rsidR="00BE36C5">
        <w:t>’</w:t>
      </w:r>
      <w:r w:rsidR="00C92620" w:rsidRPr="006008A0">
        <w:t xml:space="preserve">, </w:t>
      </w:r>
      <w:r w:rsidR="00BE36C5">
        <w:t>‘</w:t>
      </w:r>
      <w:r w:rsidR="00C92620" w:rsidRPr="006008A0">
        <w:t>bailar</w:t>
      </w:r>
      <w:r w:rsidR="00BE36C5">
        <w:t>’</w:t>
      </w:r>
      <w:r w:rsidR="00C92620" w:rsidRPr="006008A0">
        <w:t xml:space="preserve">, </w:t>
      </w:r>
      <w:r w:rsidR="00BE36C5">
        <w:t>‘</w:t>
      </w:r>
      <w:r w:rsidR="00C92620" w:rsidRPr="006008A0">
        <w:t>tener la intención</w:t>
      </w:r>
      <w:r w:rsidR="00BE36C5">
        <w:t>’</w:t>
      </w:r>
      <w:r w:rsidR="00C92620" w:rsidRPr="006008A0">
        <w:t xml:space="preserve">, </w:t>
      </w:r>
      <w:r w:rsidR="00BE36C5">
        <w:t>‘</w:t>
      </w:r>
      <w:r w:rsidR="00C92620" w:rsidRPr="006008A0">
        <w:t>querer</w:t>
      </w:r>
      <w:r w:rsidR="00BE36C5">
        <w:t>’</w:t>
      </w:r>
      <w:r w:rsidR="00C92620" w:rsidRPr="006008A0">
        <w:t>) y predicados que parecen centrados en el interlocutor (</w:t>
      </w:r>
      <w:r w:rsidR="00BE36C5">
        <w:t>‘</w:t>
      </w:r>
      <w:r w:rsidR="00C92620" w:rsidRPr="006008A0">
        <w:t>reconocer</w:t>
      </w:r>
      <w:r w:rsidR="00BE36C5">
        <w:t>’</w:t>
      </w:r>
      <w:r w:rsidR="00C92620" w:rsidRPr="006008A0">
        <w:t xml:space="preserve"> </w:t>
      </w:r>
      <w:r w:rsidR="00BE36C5">
        <w:t>‘</w:t>
      </w:r>
      <w:r w:rsidR="00C92620" w:rsidRPr="006008A0">
        <w:t>darse cuenta</w:t>
      </w:r>
      <w:r w:rsidR="00BE36C5">
        <w:t>’</w:t>
      </w:r>
      <w:r w:rsidR="00C92620" w:rsidRPr="006008A0">
        <w:t>). En la medida en que la presuposición perspectiva admite esas diferencias de comprensión pero también respeta tanto la predicación paramétrica como la categorización agen</w:t>
      </w:r>
      <w:r w:rsidR="00174A07">
        <w:t>tiva</w:t>
      </w:r>
      <w:r w:rsidR="00C92620" w:rsidRPr="006008A0">
        <w:t xml:space="preserve"> resulta superior a otras propuestas de análisis como la presuposición existencial (Heim, 1992) y la presuposición referencial (Geurts </w:t>
      </w:r>
      <w:r w:rsidR="005906CB">
        <w:t>&amp;</w:t>
      </w:r>
      <w:r w:rsidR="00C92620" w:rsidRPr="006008A0">
        <w:t xml:space="preserve"> van der Sandt 2004). </w:t>
      </w:r>
    </w:p>
    <w:p w14:paraId="17B2503B" w14:textId="6B775AFA" w:rsidR="00C92620" w:rsidRPr="006008A0" w:rsidRDefault="00C92620" w:rsidP="00681E3D">
      <w:pPr>
        <w:spacing w:line="360" w:lineRule="auto"/>
        <w:ind w:firstLine="720"/>
        <w:jc w:val="both"/>
      </w:pPr>
      <w:r w:rsidRPr="006008A0">
        <w:t xml:space="preserve">Nuestra propuesta es coherente con la observación de Geurts (2017), quien sospecha que el tratamiento unificado de la presuposición no es el camino a seguir. Geurts (2017) reconoce que es necesaria una taxonomía más sistemática de los casos de presuposición y nuestro trabajo se alinea con esta recomendación. El caso de </w:t>
      </w:r>
      <w:r w:rsidR="00BE36C5">
        <w:t>‘</w:t>
      </w:r>
      <w:r w:rsidRPr="006008A0">
        <w:t>también</w:t>
      </w:r>
      <w:r w:rsidR="00BE36C5">
        <w:t>’</w:t>
      </w:r>
      <w:r w:rsidRPr="006008A0">
        <w:t xml:space="preserve"> en contexto del uso de ind</w:t>
      </w:r>
      <w:r w:rsidR="00174A07">
        <w:t>éxico</w:t>
      </w:r>
      <w:r w:rsidRPr="006008A0">
        <w:t xml:space="preserve">s es un escenario perfecto para poner a prueba la variedad de inferencias sobre presuposición que se activan y cómo estas inferencias responden a patrones sistemáticos diferenciables. </w:t>
      </w:r>
    </w:p>
    <w:p w14:paraId="049E85FA" w14:textId="01276838" w:rsidR="004F21EA" w:rsidRDefault="00C92620" w:rsidP="00681E3D">
      <w:pPr>
        <w:spacing w:line="360" w:lineRule="auto"/>
        <w:ind w:firstLine="720"/>
        <w:jc w:val="both"/>
      </w:pPr>
      <w:r w:rsidRPr="006008A0">
        <w:t xml:space="preserve">Para terminar, vale la pena aclarar qué nos dicen resultados empíricos como los presentados en este texto acerca de teorías lingüísticas. </w:t>
      </w:r>
      <w:r>
        <w:t xml:space="preserve">Von Fintel </w:t>
      </w:r>
      <w:r>
        <w:fldChar w:fldCharType="begin" w:fldLock="1"/>
      </w:r>
      <w:r>
        <w:instrText>ADDIN CSL_CITATION {"citationItems":[{"id":"ITEM-1","itemData":{"author":[{"dropping-particle":"","family":"Fintel","given":"Kai","non-dropping-particle":"Von","parse-names":false,"suffix":""}],"container-title":"Descriptions and beyond","editor":[{"dropping-particle":"","family":"Reimer","given":"M","non-dropping-particle":"","parse-names":false,"suffix":""},{"dropping-particle":"","family":"Bezuidenhout","given":"A","non-dropping-particle":"","parse-names":false,"suffix":""}],"id":"ITEM-1","issued":{"date-parts":[["2004"]]},"page":"315-341","publisher":"Oxford University Press","publisher-place":"Oxford","title":"Would you believe it? The King of France is back! (Presuppositions and truth-value intuitions)","type":"chapter"},"suppress-author":1,"uris":["http://www.mendeley.com/documents/?uuid=9ec700b3-8941-4a6d-8e88-8da590d5b6a3"]}],"mendeley":{"formattedCitation":"(2004)","plainTextFormattedCitation":"(2004)","previouslyFormattedCitation":"(2004)"},"properties":{"noteIndex":0},"schema":"https://github.com/citation-style-language/schema/raw/master/csl-citation.json"}</w:instrText>
      </w:r>
      <w:r>
        <w:fldChar w:fldCharType="separate"/>
      </w:r>
      <w:r w:rsidRPr="00E4195B">
        <w:rPr>
          <w:noProof/>
        </w:rPr>
        <w:t>(2004)</w:t>
      </w:r>
      <w:r>
        <w:fldChar w:fldCharType="end"/>
      </w:r>
      <w:r>
        <w:t xml:space="preserve"> </w:t>
      </w:r>
      <w:r w:rsidRPr="006008A0">
        <w:t>señala que no es necesario que los patrones de juicio de los hablantes nativos coincidan con lo que señalan las teorías lingüísticas de presuposición, en la medida en que estas son elucidaciones teóricas sobre las propiedades de este fenómeno</w:t>
      </w:r>
      <w:r w:rsidRPr="0042376B">
        <w:rPr>
          <w:rStyle w:val="Refdenotaalfinal"/>
        </w:rPr>
        <w:endnoteReference w:id="5"/>
      </w:r>
      <w:r w:rsidRPr="006008A0">
        <w:t>.</w:t>
      </w:r>
      <w:r w:rsidR="003752ED" w:rsidRPr="006008A0">
        <w:t xml:space="preserve"> Si bien es cierto que es imposible esperar una correspondencia uno a uno con afirmaciones teóricas elaboradas en el terreno del análisis conceptual de la presuposición no es menos cierto que </w:t>
      </w:r>
      <w:r w:rsidR="00D848B3" w:rsidRPr="006008A0">
        <w:t xml:space="preserve">ideas como la TRD </w:t>
      </w:r>
      <w:r w:rsidR="00EF42AA" w:rsidRPr="006008A0">
        <w:t xml:space="preserve">(Geurts </w:t>
      </w:r>
      <w:r w:rsidR="005906CB">
        <w:t>&amp;</w:t>
      </w:r>
      <w:r w:rsidR="00EF42AA" w:rsidRPr="006008A0">
        <w:t xml:space="preserve"> van der Sandt, 2004) </w:t>
      </w:r>
      <w:r w:rsidR="00D848B3" w:rsidRPr="006008A0">
        <w:t>presentan</w:t>
      </w:r>
      <w:r w:rsidR="003752ED" w:rsidRPr="006008A0">
        <w:t xml:space="preserve"> afirmaciones sobre los procesos mentales que de hecho están involucrados en la interpretación y comprensión de presuposiciones. En este sentido, tanto nuestro análisis como nuestros datos ilustran retos reales de la TRD</w:t>
      </w:r>
      <w:r w:rsidR="00D848B3" w:rsidRPr="006008A0">
        <w:t>, y de cualquier teoría sobre presuposición,</w:t>
      </w:r>
      <w:r w:rsidR="003752ED" w:rsidRPr="006008A0">
        <w:t xml:space="preserve"> para explicar el fenómeno analizado. </w:t>
      </w:r>
      <w:r w:rsidR="007E1FDD" w:rsidRPr="006008A0">
        <w:t xml:space="preserve">Nuestra </w:t>
      </w:r>
      <w:r w:rsidR="00CD498C">
        <w:t>propuesta es así un marco</w:t>
      </w:r>
      <w:r w:rsidR="007E1FDD" w:rsidRPr="006008A0">
        <w:t xml:space="preserve"> empíricamente plausible para hacer la evaluación de los procesos psicológicos involucrados en la desambiguación de la presuposición. </w:t>
      </w:r>
    </w:p>
    <w:p w14:paraId="7B852E46" w14:textId="77777777" w:rsidR="00AD1FD3" w:rsidRDefault="00AD1FD3" w:rsidP="00AD1FD3">
      <w:pPr>
        <w:spacing w:line="360" w:lineRule="auto"/>
        <w:rPr>
          <w:b/>
        </w:rPr>
      </w:pPr>
    </w:p>
    <w:p w14:paraId="14C5C54F" w14:textId="62D4C6FD" w:rsidR="00E4195B" w:rsidRPr="00AE79D6" w:rsidRDefault="0053086D" w:rsidP="00AD1FD3">
      <w:pPr>
        <w:spacing w:line="360" w:lineRule="auto"/>
        <w:rPr>
          <w:b/>
          <w:bCs/>
          <w:lang w:val="pt-BR"/>
        </w:rPr>
      </w:pPr>
      <w:r w:rsidRPr="00AE79D6">
        <w:rPr>
          <w:b/>
          <w:bCs/>
          <w:lang w:val="pt-BR"/>
        </w:rPr>
        <w:t>REFERENCIAS BIBLIOGRÁFICAS</w:t>
      </w:r>
    </w:p>
    <w:p w14:paraId="799A830E" w14:textId="09667A0F" w:rsidR="00FB4FFF" w:rsidRPr="00B60FD1" w:rsidRDefault="00E4195B" w:rsidP="00AD1FD3">
      <w:pPr>
        <w:widowControl w:val="0"/>
        <w:autoSpaceDE w:val="0"/>
        <w:autoSpaceDN w:val="0"/>
        <w:adjustRightInd w:val="0"/>
        <w:spacing w:line="360" w:lineRule="auto"/>
        <w:ind w:left="480" w:hanging="480"/>
        <w:rPr>
          <w:noProof/>
          <w:lang w:val="en-US"/>
        </w:rPr>
      </w:pPr>
      <w:r>
        <w:rPr>
          <w:lang w:val="en-US"/>
        </w:rPr>
        <w:fldChar w:fldCharType="begin" w:fldLock="1"/>
      </w:r>
      <w:r w:rsidRPr="00AE79D6">
        <w:rPr>
          <w:lang w:val="pt-BR"/>
        </w:rPr>
        <w:instrText xml:space="preserve">ADDIN Mendeley Bibliography CSL_BIBLIOGRAPHY </w:instrText>
      </w:r>
      <w:r>
        <w:rPr>
          <w:lang w:val="en-US"/>
        </w:rPr>
        <w:fldChar w:fldCharType="separate"/>
      </w:r>
      <w:r w:rsidR="00FB4FFF" w:rsidRPr="00AE79D6">
        <w:rPr>
          <w:noProof/>
          <w:lang w:val="pt-BR"/>
        </w:rPr>
        <w:t xml:space="preserve">Amaral, P., &amp; Cummins, C. (2014). </w:t>
      </w:r>
      <w:r w:rsidR="00FB4FFF" w:rsidRPr="00B60FD1">
        <w:rPr>
          <w:noProof/>
          <w:lang w:val="en-US"/>
        </w:rPr>
        <w:t>A cross-linguistic study on information backgrounding and presupposition projection.</w:t>
      </w:r>
      <w:r w:rsidR="00EA7534">
        <w:rPr>
          <w:noProof/>
          <w:lang w:val="en-US"/>
        </w:rPr>
        <w:t xml:space="preserve"> </w:t>
      </w:r>
      <w:r w:rsidR="00EF40A8">
        <w:rPr>
          <w:noProof/>
          <w:lang w:val="en-US"/>
        </w:rPr>
        <w:t xml:space="preserve">En F. </w:t>
      </w:r>
      <w:r w:rsidR="00EF40A8" w:rsidRPr="00EF40A8">
        <w:rPr>
          <w:noProof/>
          <w:lang w:val="en-US"/>
        </w:rPr>
        <w:t>Schwarz</w:t>
      </w:r>
      <w:r w:rsidR="00EF40A8">
        <w:rPr>
          <w:noProof/>
          <w:lang w:val="en-US"/>
        </w:rPr>
        <w:t xml:space="preserve"> (Ed.)</w:t>
      </w:r>
      <w:r w:rsidR="00FB4FFF" w:rsidRPr="00B60FD1">
        <w:rPr>
          <w:noProof/>
          <w:lang w:val="en-US"/>
        </w:rPr>
        <w:t xml:space="preserve"> </w:t>
      </w:r>
      <w:r w:rsidR="00FB4FFF" w:rsidRPr="00B60FD1">
        <w:rPr>
          <w:i/>
          <w:iCs/>
          <w:noProof/>
          <w:lang w:val="en-US"/>
        </w:rPr>
        <w:t>Experimental perspectives on presuppositions</w:t>
      </w:r>
      <w:r w:rsidR="00FB4FFF" w:rsidRPr="00B60FD1">
        <w:rPr>
          <w:noProof/>
          <w:lang w:val="en-US"/>
        </w:rPr>
        <w:t xml:space="preserve"> (pp. 157–172). </w:t>
      </w:r>
      <w:r w:rsidR="00EF40A8">
        <w:rPr>
          <w:noProof/>
          <w:lang w:val="en-US"/>
        </w:rPr>
        <w:t xml:space="preserve">Cham: </w:t>
      </w:r>
      <w:r w:rsidR="00FB4FFF" w:rsidRPr="00B60FD1">
        <w:rPr>
          <w:noProof/>
          <w:lang w:val="en-US"/>
        </w:rPr>
        <w:t>Springer.</w:t>
      </w:r>
    </w:p>
    <w:p w14:paraId="37A29E15" w14:textId="3714E9A4" w:rsidR="00FB4FFF" w:rsidRPr="00B60FD1" w:rsidRDefault="00FB4FFF" w:rsidP="00AD1FD3">
      <w:pPr>
        <w:widowControl w:val="0"/>
        <w:autoSpaceDE w:val="0"/>
        <w:autoSpaceDN w:val="0"/>
        <w:adjustRightInd w:val="0"/>
        <w:spacing w:line="360" w:lineRule="auto"/>
        <w:ind w:left="480" w:hanging="480"/>
        <w:rPr>
          <w:noProof/>
          <w:lang w:val="en-US"/>
        </w:rPr>
      </w:pPr>
      <w:r w:rsidRPr="00B60FD1">
        <w:rPr>
          <w:noProof/>
          <w:lang w:val="en-US"/>
        </w:rPr>
        <w:t xml:space="preserve">Bach, K. (2012). Saying, meaning, and implicating. </w:t>
      </w:r>
      <w:r w:rsidR="00AE79D6" w:rsidRPr="00E62416">
        <w:rPr>
          <w:noProof/>
          <w:lang w:val="es-ES"/>
        </w:rPr>
        <w:t xml:space="preserve">En K. Allan </w:t>
      </w:r>
      <w:r w:rsidR="00610F0E" w:rsidRPr="00E62416">
        <w:rPr>
          <w:noProof/>
          <w:lang w:val="es-ES"/>
        </w:rPr>
        <w:t>y</w:t>
      </w:r>
      <w:r w:rsidR="00AE79D6" w:rsidRPr="00E62416">
        <w:rPr>
          <w:noProof/>
          <w:lang w:val="es-ES"/>
        </w:rPr>
        <w:t xml:space="preserve"> K. Jaszczolt (Eds.) </w:t>
      </w:r>
      <w:r w:rsidRPr="00B60FD1">
        <w:rPr>
          <w:i/>
          <w:iCs/>
          <w:noProof/>
          <w:lang w:val="en-US"/>
        </w:rPr>
        <w:t>Cambridge Handbook of Pragmatics</w:t>
      </w:r>
      <w:r w:rsidRPr="00B60FD1">
        <w:rPr>
          <w:noProof/>
          <w:lang w:val="en-US"/>
        </w:rPr>
        <w:t xml:space="preserve"> </w:t>
      </w:r>
      <w:r w:rsidR="00AE79D6">
        <w:rPr>
          <w:noProof/>
          <w:lang w:val="en-US"/>
        </w:rPr>
        <w:t>(pp.</w:t>
      </w:r>
      <w:r w:rsidRPr="00B60FD1">
        <w:rPr>
          <w:noProof/>
          <w:lang w:val="en-US"/>
        </w:rPr>
        <w:t>47–68</w:t>
      </w:r>
      <w:r w:rsidR="00AE79D6">
        <w:rPr>
          <w:noProof/>
          <w:lang w:val="en-US"/>
        </w:rPr>
        <w:t xml:space="preserve">), </w:t>
      </w:r>
      <w:r w:rsidR="00AE79D6" w:rsidRPr="003F1831">
        <w:rPr>
          <w:noProof/>
          <w:lang w:val="en-US"/>
        </w:rPr>
        <w:t>Cambridge: Cambridge University Press</w:t>
      </w:r>
      <w:r w:rsidR="00AE79D6">
        <w:rPr>
          <w:noProof/>
          <w:lang w:val="en-US"/>
        </w:rPr>
        <w:t>.</w:t>
      </w:r>
    </w:p>
    <w:p w14:paraId="749757FA" w14:textId="77777777" w:rsidR="00FB4FFF" w:rsidRPr="00B60FD1" w:rsidRDefault="00FB4FFF" w:rsidP="00AD1FD3">
      <w:pPr>
        <w:widowControl w:val="0"/>
        <w:autoSpaceDE w:val="0"/>
        <w:autoSpaceDN w:val="0"/>
        <w:adjustRightInd w:val="0"/>
        <w:spacing w:line="360" w:lineRule="auto"/>
        <w:ind w:left="480" w:hanging="480"/>
        <w:rPr>
          <w:noProof/>
          <w:lang w:val="en-US"/>
        </w:rPr>
      </w:pPr>
      <w:r w:rsidRPr="00B60FD1">
        <w:rPr>
          <w:noProof/>
          <w:lang w:val="en-US"/>
        </w:rPr>
        <w:t xml:space="preserve">Beaver, D., &amp; Krahmer, E. (2001). A partial account of presupposition projection. </w:t>
      </w:r>
      <w:r w:rsidRPr="00B60FD1">
        <w:rPr>
          <w:i/>
          <w:iCs/>
          <w:noProof/>
          <w:lang w:val="en-US"/>
        </w:rPr>
        <w:t>Journal of Logic, Language and Information</w:t>
      </w:r>
      <w:r w:rsidRPr="00B60FD1">
        <w:rPr>
          <w:noProof/>
          <w:lang w:val="en-US"/>
        </w:rPr>
        <w:t xml:space="preserve">, </w:t>
      </w:r>
      <w:r w:rsidRPr="00B60FD1">
        <w:rPr>
          <w:i/>
          <w:iCs/>
          <w:noProof/>
          <w:lang w:val="en-US"/>
        </w:rPr>
        <w:t>10</w:t>
      </w:r>
      <w:r w:rsidRPr="00B60FD1">
        <w:rPr>
          <w:noProof/>
          <w:lang w:val="en-US"/>
        </w:rPr>
        <w:t>(2), 147.</w:t>
      </w:r>
    </w:p>
    <w:p w14:paraId="6D17158B" w14:textId="38540DD9" w:rsidR="00FB4FFF" w:rsidRPr="00FB4FFF" w:rsidRDefault="00FB4FFF" w:rsidP="00AD1FD3">
      <w:pPr>
        <w:widowControl w:val="0"/>
        <w:autoSpaceDE w:val="0"/>
        <w:autoSpaceDN w:val="0"/>
        <w:adjustRightInd w:val="0"/>
        <w:spacing w:line="360" w:lineRule="auto"/>
        <w:ind w:left="480" w:hanging="480"/>
        <w:rPr>
          <w:noProof/>
        </w:rPr>
      </w:pPr>
      <w:r w:rsidRPr="00B60FD1">
        <w:rPr>
          <w:noProof/>
          <w:lang w:val="en-US"/>
        </w:rPr>
        <w:t xml:space="preserve">Beaver, D., &amp; Zeevat, H. (2007). Accommodation. </w:t>
      </w:r>
      <w:r w:rsidR="00EF40A8">
        <w:rPr>
          <w:noProof/>
          <w:lang w:val="en-US"/>
        </w:rPr>
        <w:t>En</w:t>
      </w:r>
      <w:r w:rsidRPr="00B60FD1">
        <w:rPr>
          <w:noProof/>
          <w:lang w:val="en-US"/>
        </w:rPr>
        <w:t xml:space="preserve"> G. Ramchand &amp; C. Reiss (Eds.), </w:t>
      </w:r>
      <w:r w:rsidRPr="00B60FD1">
        <w:rPr>
          <w:i/>
          <w:iCs/>
          <w:noProof/>
          <w:lang w:val="en-US"/>
        </w:rPr>
        <w:t>The Oxford handbook of linguistic interfaces</w:t>
      </w:r>
      <w:r w:rsidRPr="00B60FD1">
        <w:rPr>
          <w:noProof/>
          <w:lang w:val="en-US"/>
        </w:rPr>
        <w:t>.</w:t>
      </w:r>
      <w:r w:rsidR="001A4809">
        <w:rPr>
          <w:noProof/>
          <w:lang w:val="en-US"/>
        </w:rPr>
        <w:t xml:space="preserve"> </w:t>
      </w:r>
      <w:r w:rsidR="001A4809" w:rsidRPr="00E62416">
        <w:rPr>
          <w:noProof/>
          <w:lang w:val="es-ES"/>
        </w:rPr>
        <w:t>(pp. 503-537) Oxford:</w:t>
      </w:r>
      <w:r w:rsidRPr="00E62416">
        <w:rPr>
          <w:noProof/>
          <w:lang w:val="es-ES"/>
        </w:rPr>
        <w:t xml:space="preserve"> </w:t>
      </w:r>
      <w:r w:rsidRPr="00FB4FFF">
        <w:rPr>
          <w:noProof/>
        </w:rPr>
        <w:t>Oxford University Press.</w:t>
      </w:r>
    </w:p>
    <w:p w14:paraId="29A25BED" w14:textId="0BA40C6F" w:rsidR="00FB4FFF" w:rsidRDefault="00FB4FFF" w:rsidP="00AD1FD3">
      <w:pPr>
        <w:widowControl w:val="0"/>
        <w:autoSpaceDE w:val="0"/>
        <w:autoSpaceDN w:val="0"/>
        <w:adjustRightInd w:val="0"/>
        <w:spacing w:line="360" w:lineRule="auto"/>
        <w:ind w:left="480" w:hanging="480"/>
        <w:rPr>
          <w:noProof/>
        </w:rPr>
      </w:pPr>
      <w:r w:rsidRPr="00FB4FFF">
        <w:rPr>
          <w:noProof/>
        </w:rPr>
        <w:t xml:space="preserve">Bosque, I. (2012). Sobre el adjetivo mismo en las construcciones de dependencia interna. </w:t>
      </w:r>
      <w:r w:rsidR="001A4809">
        <w:rPr>
          <w:noProof/>
        </w:rPr>
        <w:t>En</w:t>
      </w:r>
      <w:r w:rsidRPr="00FB4FFF">
        <w:rPr>
          <w:noProof/>
        </w:rPr>
        <w:t xml:space="preserve"> T. Jiménez-Juliá, B. López-Meirama, V. Vázquez Rozas, &amp; A. Veiga (Eds.), </w:t>
      </w:r>
      <w:r w:rsidRPr="00FB4FFF">
        <w:rPr>
          <w:i/>
          <w:iCs/>
          <w:noProof/>
        </w:rPr>
        <w:t>Cum corde et in nova grammatica: estudios ofrecidos a Guillermo Rojo</w:t>
      </w:r>
      <w:r w:rsidRPr="00FB4FFF">
        <w:rPr>
          <w:noProof/>
        </w:rPr>
        <w:t>.</w:t>
      </w:r>
      <w:r w:rsidR="001A4809">
        <w:rPr>
          <w:noProof/>
        </w:rPr>
        <w:t xml:space="preserve"> (pp. 93-108),</w:t>
      </w:r>
      <w:r w:rsidRPr="00FB4FFF">
        <w:rPr>
          <w:noProof/>
        </w:rPr>
        <w:t xml:space="preserve"> </w:t>
      </w:r>
      <w:r w:rsidR="001A4809">
        <w:rPr>
          <w:noProof/>
        </w:rPr>
        <w:t xml:space="preserve">España: </w:t>
      </w:r>
      <w:r w:rsidRPr="00FB4FFF">
        <w:rPr>
          <w:noProof/>
        </w:rPr>
        <w:t>Universidade de Santiago de Compostela. Servizo de Publicacións e intercambio Científico.</w:t>
      </w:r>
    </w:p>
    <w:p w14:paraId="0F17CE7E" w14:textId="1F596DE0" w:rsidR="005E601A" w:rsidRPr="008E49DE" w:rsidRDefault="005E601A" w:rsidP="00AD1FD3">
      <w:pPr>
        <w:widowControl w:val="0"/>
        <w:autoSpaceDE w:val="0"/>
        <w:autoSpaceDN w:val="0"/>
        <w:adjustRightInd w:val="0"/>
        <w:spacing w:line="360" w:lineRule="auto"/>
        <w:ind w:left="480" w:hanging="480"/>
        <w:rPr>
          <w:noProof/>
          <w:lang w:val="en-US"/>
        </w:rPr>
      </w:pPr>
      <w:r w:rsidRPr="007C3A7D">
        <w:t xml:space="preserve">Blakemore, D. (2002). </w:t>
      </w:r>
      <w:r w:rsidRPr="007C3A7D">
        <w:rPr>
          <w:i/>
        </w:rPr>
        <w:t>Relevance and Linguistic Meaning: The Semantics and Pragmatics of Discourse Markers.</w:t>
      </w:r>
      <w:r w:rsidRPr="007C3A7D">
        <w:t xml:space="preserve"> </w:t>
      </w:r>
      <w:r w:rsidRPr="008E49DE">
        <w:rPr>
          <w:lang w:val="en-US"/>
        </w:rPr>
        <w:t>Cambridge: Cambridge University Press.</w:t>
      </w:r>
    </w:p>
    <w:p w14:paraId="54AD5243" w14:textId="77777777" w:rsidR="00FB4FFF" w:rsidRPr="00B60FD1" w:rsidRDefault="00FB4FFF" w:rsidP="00AD1FD3">
      <w:pPr>
        <w:widowControl w:val="0"/>
        <w:autoSpaceDE w:val="0"/>
        <w:autoSpaceDN w:val="0"/>
        <w:adjustRightInd w:val="0"/>
        <w:spacing w:line="360" w:lineRule="auto"/>
        <w:ind w:left="480" w:hanging="480"/>
        <w:rPr>
          <w:noProof/>
          <w:lang w:val="en-US"/>
        </w:rPr>
      </w:pPr>
      <w:r w:rsidRPr="0014172A">
        <w:rPr>
          <w:noProof/>
          <w:lang w:val="en-US"/>
        </w:rPr>
        <w:t xml:space="preserve">Chemla, E., &amp; Bott, L. (2013). Processing presuppositions: Dynamic semantics vs pragmatic enrichment. </w:t>
      </w:r>
      <w:r w:rsidRPr="00B60FD1">
        <w:rPr>
          <w:i/>
          <w:iCs/>
          <w:noProof/>
          <w:lang w:val="en-US"/>
        </w:rPr>
        <w:t>Language and Cognitive Processes</w:t>
      </w:r>
      <w:r w:rsidRPr="00B60FD1">
        <w:rPr>
          <w:noProof/>
          <w:lang w:val="en-US"/>
        </w:rPr>
        <w:t xml:space="preserve">, </w:t>
      </w:r>
      <w:r w:rsidRPr="00B60FD1">
        <w:rPr>
          <w:i/>
          <w:iCs/>
          <w:noProof/>
          <w:lang w:val="en-US"/>
        </w:rPr>
        <w:t>28</w:t>
      </w:r>
      <w:r w:rsidRPr="00B60FD1">
        <w:rPr>
          <w:noProof/>
          <w:lang w:val="en-US"/>
        </w:rPr>
        <w:t>(3), 241–260.</w:t>
      </w:r>
    </w:p>
    <w:p w14:paraId="1839B2E7" w14:textId="2F7DC68E" w:rsidR="00FB4FFF" w:rsidRDefault="00FB4FFF" w:rsidP="00AD1FD3">
      <w:pPr>
        <w:widowControl w:val="0"/>
        <w:autoSpaceDE w:val="0"/>
        <w:autoSpaceDN w:val="0"/>
        <w:adjustRightInd w:val="0"/>
        <w:spacing w:line="360" w:lineRule="auto"/>
        <w:ind w:left="480" w:hanging="480"/>
        <w:rPr>
          <w:noProof/>
          <w:lang w:val="en-US"/>
        </w:rPr>
      </w:pPr>
      <w:r w:rsidRPr="00B60FD1">
        <w:rPr>
          <w:noProof/>
          <w:lang w:val="en-US"/>
        </w:rPr>
        <w:t xml:space="preserve">Franco, F. (2005). Infant pointing: Harlequin, Servant of two masters. In N. Eilan, C. Hoerl, T. McCormack, &amp; J. Roessler (Eds.), </w:t>
      </w:r>
      <w:r w:rsidRPr="00B60FD1">
        <w:rPr>
          <w:i/>
          <w:iCs/>
          <w:noProof/>
          <w:lang w:val="en-US"/>
        </w:rPr>
        <w:t>Joint attention: Communication and other minds</w:t>
      </w:r>
      <w:r w:rsidRPr="00B60FD1">
        <w:rPr>
          <w:noProof/>
          <w:lang w:val="en-US"/>
        </w:rPr>
        <w:t xml:space="preserve"> (pp. 129–164).</w:t>
      </w:r>
      <w:r w:rsidR="001A4809">
        <w:rPr>
          <w:noProof/>
          <w:lang w:val="en-US"/>
        </w:rPr>
        <w:t xml:space="preserve"> New York, NY:</w:t>
      </w:r>
      <w:r w:rsidRPr="00B60FD1">
        <w:rPr>
          <w:noProof/>
          <w:lang w:val="en-US"/>
        </w:rPr>
        <w:t xml:space="preserve"> Clarendon Press/Oxford University Press.</w:t>
      </w:r>
    </w:p>
    <w:p w14:paraId="3BFB698C" w14:textId="56860EE8" w:rsidR="00BF261A" w:rsidRPr="00B86D80" w:rsidRDefault="00BF261A" w:rsidP="00AD1FD3">
      <w:pPr>
        <w:widowControl w:val="0"/>
        <w:autoSpaceDE w:val="0"/>
        <w:autoSpaceDN w:val="0"/>
        <w:adjustRightInd w:val="0"/>
        <w:spacing w:line="360" w:lineRule="auto"/>
        <w:ind w:left="480" w:hanging="480"/>
        <w:rPr>
          <w:noProof/>
          <w:lang w:val="en-US"/>
        </w:rPr>
      </w:pPr>
      <w:r>
        <w:rPr>
          <w:noProof/>
          <w:lang w:val="en-US"/>
        </w:rPr>
        <w:t xml:space="preserve">Frege, G. (1892). </w:t>
      </w:r>
      <w:r w:rsidRPr="008E49DE">
        <w:rPr>
          <w:noProof/>
        </w:rPr>
        <w:t xml:space="preserve">Sobre sentido y referencia. En G. Frege. (1998). </w:t>
      </w:r>
      <w:r w:rsidR="00B86D80" w:rsidRPr="008E49DE">
        <w:rPr>
          <w:i/>
          <w:noProof/>
        </w:rPr>
        <w:t>Ensayos sobre semántica y filosofía de la lógica</w:t>
      </w:r>
      <w:r w:rsidR="00B86D80" w:rsidRPr="008E49DE">
        <w:rPr>
          <w:noProof/>
        </w:rPr>
        <w:t xml:space="preserve"> (pp. 84-111)</w:t>
      </w:r>
      <w:r w:rsidR="00B86D80" w:rsidRPr="008E49DE">
        <w:rPr>
          <w:i/>
          <w:noProof/>
        </w:rPr>
        <w:t>.</w:t>
      </w:r>
      <w:r w:rsidR="00B86D80" w:rsidRPr="008E49DE">
        <w:rPr>
          <w:noProof/>
        </w:rPr>
        <w:t xml:space="preserve"> </w:t>
      </w:r>
      <w:r w:rsidR="00B86D80">
        <w:rPr>
          <w:noProof/>
          <w:lang w:val="en-US"/>
        </w:rPr>
        <w:t>Madrid: Tecnos</w:t>
      </w:r>
    </w:p>
    <w:p w14:paraId="7891043B" w14:textId="07371353" w:rsidR="00FB4FFF" w:rsidRPr="00B60FD1" w:rsidRDefault="00FB4FFF" w:rsidP="00AD1FD3">
      <w:pPr>
        <w:widowControl w:val="0"/>
        <w:autoSpaceDE w:val="0"/>
        <w:autoSpaceDN w:val="0"/>
        <w:adjustRightInd w:val="0"/>
        <w:spacing w:line="360" w:lineRule="auto"/>
        <w:ind w:left="480" w:hanging="480"/>
        <w:rPr>
          <w:noProof/>
          <w:lang w:val="en-US"/>
        </w:rPr>
      </w:pPr>
      <w:r w:rsidRPr="00B60FD1">
        <w:rPr>
          <w:noProof/>
          <w:lang w:val="en-US"/>
        </w:rPr>
        <w:t xml:space="preserve">Geurts, B. (2017). Presupposition and givenness. </w:t>
      </w:r>
      <w:r w:rsidR="001A4809">
        <w:rPr>
          <w:noProof/>
          <w:lang w:val="en-US"/>
        </w:rPr>
        <w:t>En Y. Huang (Ed.)</w:t>
      </w:r>
      <w:r w:rsidRPr="00B60FD1">
        <w:rPr>
          <w:noProof/>
          <w:lang w:val="en-US"/>
        </w:rPr>
        <w:t xml:space="preserve"> </w:t>
      </w:r>
      <w:r w:rsidRPr="00B60FD1">
        <w:rPr>
          <w:i/>
          <w:iCs/>
          <w:noProof/>
          <w:lang w:val="en-US"/>
        </w:rPr>
        <w:t>The Oxford Handbook of Pragmatics</w:t>
      </w:r>
      <w:r w:rsidRPr="00B60FD1">
        <w:rPr>
          <w:noProof/>
          <w:lang w:val="en-US"/>
        </w:rPr>
        <w:t>.</w:t>
      </w:r>
      <w:r w:rsidR="001A4809">
        <w:rPr>
          <w:noProof/>
          <w:lang w:val="en-US"/>
        </w:rPr>
        <w:t>(pp. 180-198), Oxford: Oxford University Press.</w:t>
      </w:r>
    </w:p>
    <w:p w14:paraId="6E5C541A" w14:textId="77777777" w:rsidR="00FB4FFF" w:rsidRDefault="00FB4FFF" w:rsidP="00AD1FD3">
      <w:pPr>
        <w:widowControl w:val="0"/>
        <w:autoSpaceDE w:val="0"/>
        <w:autoSpaceDN w:val="0"/>
        <w:adjustRightInd w:val="0"/>
        <w:spacing w:line="360" w:lineRule="auto"/>
        <w:ind w:left="480" w:hanging="480"/>
        <w:rPr>
          <w:noProof/>
          <w:lang w:val="en-US"/>
        </w:rPr>
      </w:pPr>
      <w:r w:rsidRPr="00E62416">
        <w:rPr>
          <w:noProof/>
          <w:lang w:val="es-ES"/>
        </w:rPr>
        <w:t xml:space="preserve">Geurts, B., &amp; van der Sandt, R. (2004). </w:t>
      </w:r>
      <w:r w:rsidRPr="00B60FD1">
        <w:rPr>
          <w:noProof/>
          <w:lang w:val="en-US"/>
        </w:rPr>
        <w:t xml:space="preserve">Interpreting focus. </w:t>
      </w:r>
      <w:r w:rsidRPr="00B60FD1">
        <w:rPr>
          <w:i/>
          <w:iCs/>
          <w:noProof/>
          <w:lang w:val="en-US"/>
        </w:rPr>
        <w:t>Theoretical Linguistics</w:t>
      </w:r>
      <w:r w:rsidRPr="00B60FD1">
        <w:rPr>
          <w:noProof/>
          <w:lang w:val="en-US"/>
        </w:rPr>
        <w:t xml:space="preserve">, </w:t>
      </w:r>
      <w:r w:rsidRPr="00B60FD1">
        <w:rPr>
          <w:i/>
          <w:iCs/>
          <w:noProof/>
          <w:lang w:val="en-US"/>
        </w:rPr>
        <w:t>30</w:t>
      </w:r>
      <w:r w:rsidRPr="00B60FD1">
        <w:rPr>
          <w:noProof/>
          <w:lang w:val="en-US"/>
        </w:rPr>
        <w:t>.</w:t>
      </w:r>
    </w:p>
    <w:p w14:paraId="4A3729EA" w14:textId="11AB3228" w:rsidR="00F5664B" w:rsidRPr="0004303D" w:rsidRDefault="00F5664B" w:rsidP="00AD1FD3">
      <w:pPr>
        <w:widowControl w:val="0"/>
        <w:autoSpaceDE w:val="0"/>
        <w:autoSpaceDN w:val="0"/>
        <w:adjustRightInd w:val="0"/>
        <w:spacing w:line="360" w:lineRule="auto"/>
        <w:ind w:left="480" w:hanging="480"/>
        <w:rPr>
          <w:noProof/>
          <w:lang w:val="en-US"/>
        </w:rPr>
      </w:pPr>
      <w:r>
        <w:rPr>
          <w:noProof/>
          <w:lang w:val="en-US"/>
        </w:rPr>
        <w:t xml:space="preserve">Grice, H.P. (1961). The Causal Theory of Perception. </w:t>
      </w:r>
      <w:r>
        <w:rPr>
          <w:i/>
          <w:noProof/>
          <w:lang w:val="en-US"/>
        </w:rPr>
        <w:t>The Aristotelian S</w:t>
      </w:r>
      <w:r w:rsidR="0004303D">
        <w:rPr>
          <w:i/>
          <w:noProof/>
          <w:lang w:val="en-US"/>
        </w:rPr>
        <w:t>ociety: Proceedings,</w:t>
      </w:r>
      <w:r>
        <w:rPr>
          <w:i/>
          <w:noProof/>
          <w:lang w:val="en-US"/>
        </w:rPr>
        <w:t xml:space="preserve"> Supplem</w:t>
      </w:r>
      <w:r w:rsidR="0004303D">
        <w:rPr>
          <w:i/>
          <w:noProof/>
          <w:lang w:val="en-US"/>
        </w:rPr>
        <w:t>entary Volume,</w:t>
      </w:r>
      <w:r w:rsidR="0004303D">
        <w:rPr>
          <w:noProof/>
          <w:lang w:val="en-US"/>
        </w:rPr>
        <w:t xml:space="preserve"> </w:t>
      </w:r>
      <w:r w:rsidR="0004303D" w:rsidRPr="007C3A7D">
        <w:rPr>
          <w:i/>
          <w:noProof/>
          <w:lang w:val="en-US"/>
        </w:rPr>
        <w:t>35</w:t>
      </w:r>
      <w:r w:rsidR="0004303D">
        <w:rPr>
          <w:i/>
          <w:noProof/>
          <w:lang w:val="en-US"/>
        </w:rPr>
        <w:t>,</w:t>
      </w:r>
      <w:r w:rsidR="0004303D">
        <w:rPr>
          <w:noProof/>
          <w:lang w:val="en-US"/>
        </w:rPr>
        <w:t>121-152.</w:t>
      </w:r>
    </w:p>
    <w:p w14:paraId="343B4042" w14:textId="6FAFD0D7" w:rsidR="00F5664B" w:rsidRDefault="0004303D" w:rsidP="00AD1FD3">
      <w:pPr>
        <w:widowControl w:val="0"/>
        <w:autoSpaceDE w:val="0"/>
        <w:autoSpaceDN w:val="0"/>
        <w:adjustRightInd w:val="0"/>
        <w:spacing w:line="360" w:lineRule="auto"/>
        <w:ind w:left="480" w:hanging="480"/>
        <w:rPr>
          <w:noProof/>
          <w:lang w:val="en-US"/>
        </w:rPr>
      </w:pPr>
      <w:r>
        <w:rPr>
          <w:noProof/>
          <w:lang w:val="en-US"/>
        </w:rPr>
        <w:t>_________</w:t>
      </w:r>
      <w:r w:rsidR="00F5664B">
        <w:rPr>
          <w:noProof/>
          <w:lang w:val="en-US"/>
        </w:rPr>
        <w:t xml:space="preserve">(1967). Logic and Conversation. En H.P. Grice. (1989). </w:t>
      </w:r>
      <w:r w:rsidR="00F5664B">
        <w:rPr>
          <w:i/>
          <w:noProof/>
          <w:lang w:val="en-US"/>
        </w:rPr>
        <w:t>Studies in the Way of Words.</w:t>
      </w:r>
      <w:r w:rsidR="00F5664B">
        <w:rPr>
          <w:noProof/>
          <w:lang w:val="en-US"/>
        </w:rPr>
        <w:t xml:space="preserve"> (pp. 21-40). </w:t>
      </w:r>
    </w:p>
    <w:p w14:paraId="6EE63005" w14:textId="6FB117BC" w:rsidR="00F5664B" w:rsidRPr="00F5664B" w:rsidRDefault="00F5664B" w:rsidP="0004303D">
      <w:pPr>
        <w:widowControl w:val="0"/>
        <w:autoSpaceDE w:val="0"/>
        <w:autoSpaceDN w:val="0"/>
        <w:adjustRightInd w:val="0"/>
        <w:spacing w:line="360" w:lineRule="auto"/>
        <w:ind w:left="480" w:hanging="480"/>
        <w:rPr>
          <w:noProof/>
          <w:lang w:val="en-US"/>
        </w:rPr>
      </w:pPr>
      <w:r>
        <w:rPr>
          <w:noProof/>
          <w:lang w:val="en-US"/>
        </w:rPr>
        <w:t>_____</w:t>
      </w:r>
      <w:r w:rsidR="0004303D">
        <w:rPr>
          <w:noProof/>
          <w:lang w:val="en-US"/>
        </w:rPr>
        <w:t>___ (1981). Presupposition and Conversational Implicature.</w:t>
      </w:r>
      <w:r w:rsidR="0004303D" w:rsidRPr="0004303D">
        <w:rPr>
          <w:noProof/>
          <w:lang w:val="en-US"/>
        </w:rPr>
        <w:t xml:space="preserve"> </w:t>
      </w:r>
      <w:r w:rsidR="0004303D">
        <w:rPr>
          <w:noProof/>
          <w:lang w:val="en-US"/>
        </w:rPr>
        <w:t xml:space="preserve">En H.P. Grice. (1989). </w:t>
      </w:r>
      <w:r w:rsidR="0004303D">
        <w:rPr>
          <w:i/>
          <w:noProof/>
          <w:lang w:val="en-US"/>
        </w:rPr>
        <w:t>Studies in the Way of Words.</w:t>
      </w:r>
      <w:r w:rsidR="0004303D">
        <w:rPr>
          <w:noProof/>
          <w:lang w:val="en-US"/>
        </w:rPr>
        <w:t xml:space="preserve"> (pp. 269-282). </w:t>
      </w:r>
    </w:p>
    <w:p w14:paraId="67134F45" w14:textId="77777777" w:rsidR="00FB4FFF" w:rsidRPr="00B60FD1" w:rsidRDefault="00FB4FFF" w:rsidP="00AD1FD3">
      <w:pPr>
        <w:widowControl w:val="0"/>
        <w:autoSpaceDE w:val="0"/>
        <w:autoSpaceDN w:val="0"/>
        <w:adjustRightInd w:val="0"/>
        <w:spacing w:line="360" w:lineRule="auto"/>
        <w:ind w:left="480" w:hanging="480"/>
        <w:rPr>
          <w:noProof/>
          <w:lang w:val="en-US"/>
        </w:rPr>
      </w:pPr>
      <w:r w:rsidRPr="00B60FD1">
        <w:rPr>
          <w:noProof/>
          <w:lang w:val="en-US"/>
        </w:rPr>
        <w:t xml:space="preserve">Heim, I. (1992). Presupposition projection and the semantics of attitude verbs. </w:t>
      </w:r>
      <w:r w:rsidRPr="00B60FD1">
        <w:rPr>
          <w:i/>
          <w:iCs/>
          <w:noProof/>
          <w:lang w:val="en-US"/>
        </w:rPr>
        <w:t>Journal of Semantics</w:t>
      </w:r>
      <w:r w:rsidRPr="00B60FD1">
        <w:rPr>
          <w:noProof/>
          <w:lang w:val="en-US"/>
        </w:rPr>
        <w:t xml:space="preserve">, </w:t>
      </w:r>
      <w:r w:rsidRPr="00B60FD1">
        <w:rPr>
          <w:i/>
          <w:iCs/>
          <w:noProof/>
          <w:lang w:val="en-US"/>
        </w:rPr>
        <w:t>9</w:t>
      </w:r>
      <w:r w:rsidRPr="00B60FD1">
        <w:rPr>
          <w:noProof/>
          <w:lang w:val="en-US"/>
        </w:rPr>
        <w:t>(3), 183–221.</w:t>
      </w:r>
    </w:p>
    <w:p w14:paraId="6AD50492" w14:textId="3013A4C6" w:rsidR="00FB4FFF" w:rsidRPr="00B60FD1" w:rsidRDefault="00FB4FFF" w:rsidP="00AD1FD3">
      <w:pPr>
        <w:widowControl w:val="0"/>
        <w:autoSpaceDE w:val="0"/>
        <w:autoSpaceDN w:val="0"/>
        <w:adjustRightInd w:val="0"/>
        <w:spacing w:line="360" w:lineRule="auto"/>
        <w:ind w:left="480" w:hanging="480"/>
        <w:rPr>
          <w:noProof/>
          <w:lang w:val="en-US"/>
        </w:rPr>
      </w:pPr>
      <w:r w:rsidRPr="00B60FD1">
        <w:rPr>
          <w:noProof/>
          <w:lang w:val="en-US"/>
        </w:rPr>
        <w:t>Hietaranta, P. (2017). Cognitive economy and mental worlds: Accounting for translation mistakes and other communication errors.</w:t>
      </w:r>
      <w:r w:rsidR="00F01C29">
        <w:rPr>
          <w:noProof/>
          <w:lang w:val="en-US"/>
        </w:rPr>
        <w:t xml:space="preserve"> </w:t>
      </w:r>
      <w:r w:rsidR="00F01C29" w:rsidRPr="005442FB">
        <w:rPr>
          <w:noProof/>
        </w:rPr>
        <w:t>En S</w:t>
      </w:r>
      <w:r w:rsidR="00F01C29" w:rsidRPr="00610F0E">
        <w:rPr>
          <w:noProof/>
        </w:rPr>
        <w:t>.</w:t>
      </w:r>
      <w:r w:rsidR="00F01C29" w:rsidRPr="005442FB">
        <w:rPr>
          <w:noProof/>
        </w:rPr>
        <w:t xml:space="preserve"> Hansen-Schirra</w:t>
      </w:r>
      <w:r w:rsidR="00F01C29" w:rsidRPr="00610F0E">
        <w:rPr>
          <w:noProof/>
        </w:rPr>
        <w:t>,</w:t>
      </w:r>
      <w:r w:rsidR="00F01C29" w:rsidRPr="005442FB">
        <w:rPr>
          <w:noProof/>
        </w:rPr>
        <w:t xml:space="preserve"> O</w:t>
      </w:r>
      <w:r w:rsidR="00F01C29" w:rsidRPr="00610F0E">
        <w:rPr>
          <w:noProof/>
        </w:rPr>
        <w:t>.</w:t>
      </w:r>
      <w:r w:rsidR="00F01C29" w:rsidRPr="005442FB">
        <w:rPr>
          <w:noProof/>
        </w:rPr>
        <w:t xml:space="preserve"> </w:t>
      </w:r>
      <w:r w:rsidR="00F01C29" w:rsidRPr="00610F0E">
        <w:rPr>
          <w:noProof/>
        </w:rPr>
        <w:t>Cz</w:t>
      </w:r>
      <w:r w:rsidR="00F01C29" w:rsidRPr="005442FB">
        <w:rPr>
          <w:noProof/>
        </w:rPr>
        <w:t>ulo</w:t>
      </w:r>
      <w:r w:rsidR="00F01C29" w:rsidRPr="00610F0E">
        <w:rPr>
          <w:noProof/>
        </w:rPr>
        <w:t xml:space="preserve"> </w:t>
      </w:r>
      <w:r w:rsidR="00610F0E" w:rsidRPr="005442FB">
        <w:rPr>
          <w:noProof/>
        </w:rPr>
        <w:t>y</w:t>
      </w:r>
      <w:r w:rsidR="00F01C29" w:rsidRPr="00610F0E">
        <w:rPr>
          <w:noProof/>
        </w:rPr>
        <w:t xml:space="preserve"> </w:t>
      </w:r>
      <w:r w:rsidR="00F01C29" w:rsidRPr="005442FB">
        <w:rPr>
          <w:noProof/>
        </w:rPr>
        <w:t>S</w:t>
      </w:r>
      <w:r w:rsidR="00F01C29" w:rsidRPr="00610F0E">
        <w:rPr>
          <w:noProof/>
        </w:rPr>
        <w:t>.</w:t>
      </w:r>
      <w:r w:rsidR="00F01C29" w:rsidRPr="005442FB">
        <w:rPr>
          <w:noProof/>
        </w:rPr>
        <w:t xml:space="preserve"> Hofmann (eds.)</w:t>
      </w:r>
      <w:r w:rsidRPr="005442FB">
        <w:rPr>
          <w:noProof/>
        </w:rPr>
        <w:t xml:space="preserve"> </w:t>
      </w:r>
      <w:r w:rsidRPr="00B60FD1">
        <w:rPr>
          <w:i/>
          <w:iCs/>
          <w:noProof/>
          <w:lang w:val="en-US"/>
        </w:rPr>
        <w:t>Empirical Modelling of Translation and Interpreting</w:t>
      </w:r>
      <w:r w:rsidRPr="00B60FD1">
        <w:rPr>
          <w:noProof/>
          <w:lang w:val="en-US"/>
        </w:rPr>
        <w:t xml:space="preserve">, </w:t>
      </w:r>
      <w:r w:rsidR="00F01C29">
        <w:rPr>
          <w:noProof/>
          <w:lang w:val="en-US"/>
        </w:rPr>
        <w:t xml:space="preserve">(pp. </w:t>
      </w:r>
      <w:r w:rsidRPr="00B60FD1">
        <w:rPr>
          <w:noProof/>
          <w:lang w:val="en-US"/>
        </w:rPr>
        <w:t>441</w:t>
      </w:r>
      <w:r w:rsidR="00F01C29">
        <w:rPr>
          <w:noProof/>
          <w:lang w:val="en-US"/>
        </w:rPr>
        <w:t>-463) Berlin: Language Science Press</w:t>
      </w:r>
      <w:r w:rsidRPr="00B60FD1">
        <w:rPr>
          <w:noProof/>
          <w:lang w:val="en-US"/>
        </w:rPr>
        <w:t>.</w:t>
      </w:r>
    </w:p>
    <w:p w14:paraId="091D5492" w14:textId="24CDFF0E" w:rsidR="00FB4FFF" w:rsidRDefault="00FB4FFF" w:rsidP="00AD1FD3">
      <w:pPr>
        <w:widowControl w:val="0"/>
        <w:autoSpaceDE w:val="0"/>
        <w:autoSpaceDN w:val="0"/>
        <w:adjustRightInd w:val="0"/>
        <w:spacing w:line="360" w:lineRule="auto"/>
        <w:ind w:left="480" w:hanging="480"/>
        <w:rPr>
          <w:noProof/>
          <w:lang w:val="en-US"/>
        </w:rPr>
      </w:pPr>
      <w:r w:rsidRPr="00B60FD1">
        <w:rPr>
          <w:noProof/>
          <w:lang w:val="en-US"/>
        </w:rPr>
        <w:t xml:space="preserve">Hintikka, J. (1962). </w:t>
      </w:r>
      <w:r w:rsidRPr="005442FB">
        <w:rPr>
          <w:i/>
          <w:iCs/>
          <w:noProof/>
          <w:lang w:val="en-US"/>
        </w:rPr>
        <w:t>Knowledge and Belief</w:t>
      </w:r>
      <w:r w:rsidR="00F01C29">
        <w:rPr>
          <w:i/>
          <w:iCs/>
          <w:noProof/>
          <w:lang w:val="en-US"/>
        </w:rPr>
        <w:t>.</w:t>
      </w:r>
      <w:r w:rsidRPr="00B60FD1">
        <w:rPr>
          <w:noProof/>
          <w:lang w:val="en-US"/>
        </w:rPr>
        <w:t xml:space="preserve"> Ithaca, NY: Cornell U. Press.</w:t>
      </w:r>
    </w:p>
    <w:p w14:paraId="53C498EB" w14:textId="25D93C85" w:rsidR="00C22D3B" w:rsidRPr="00C22D3B" w:rsidRDefault="00C22D3B" w:rsidP="00AD1FD3">
      <w:pPr>
        <w:widowControl w:val="0"/>
        <w:autoSpaceDE w:val="0"/>
        <w:autoSpaceDN w:val="0"/>
        <w:adjustRightInd w:val="0"/>
        <w:spacing w:line="360" w:lineRule="auto"/>
        <w:ind w:left="480" w:hanging="480"/>
        <w:rPr>
          <w:noProof/>
          <w:lang w:val="en-US"/>
        </w:rPr>
      </w:pPr>
      <w:r>
        <w:rPr>
          <w:noProof/>
          <w:lang w:val="en-US"/>
        </w:rPr>
        <w:t xml:space="preserve">Iacona, A. (2018). </w:t>
      </w:r>
      <w:r>
        <w:rPr>
          <w:i/>
          <w:noProof/>
          <w:lang w:val="en-US"/>
        </w:rPr>
        <w:t xml:space="preserve">Logical Form. </w:t>
      </w:r>
      <w:r>
        <w:rPr>
          <w:noProof/>
          <w:lang w:val="en-US"/>
        </w:rPr>
        <w:t xml:space="preserve">Cham: </w:t>
      </w:r>
      <w:r w:rsidRPr="00B60FD1">
        <w:rPr>
          <w:noProof/>
          <w:lang w:val="en-US"/>
        </w:rPr>
        <w:t>Springer.</w:t>
      </w:r>
    </w:p>
    <w:p w14:paraId="45421E82" w14:textId="5548C2DF" w:rsidR="00FB4FFF" w:rsidRPr="00FB4FFF" w:rsidRDefault="00FB4FFF" w:rsidP="00AD1FD3">
      <w:pPr>
        <w:widowControl w:val="0"/>
        <w:autoSpaceDE w:val="0"/>
        <w:autoSpaceDN w:val="0"/>
        <w:adjustRightInd w:val="0"/>
        <w:spacing w:line="360" w:lineRule="auto"/>
        <w:ind w:left="480" w:hanging="480"/>
        <w:rPr>
          <w:noProof/>
        </w:rPr>
      </w:pPr>
      <w:r w:rsidRPr="00B60FD1">
        <w:rPr>
          <w:noProof/>
          <w:lang w:val="en-US"/>
        </w:rPr>
        <w:t xml:space="preserve">Jaszczolt, K. M. (2016). </w:t>
      </w:r>
      <w:r w:rsidRPr="00B60FD1">
        <w:rPr>
          <w:i/>
          <w:iCs/>
          <w:noProof/>
          <w:lang w:val="en-US"/>
        </w:rPr>
        <w:t>Meaning in linguistic interaction: Semantics, metasemantics, philosophy of language</w:t>
      </w:r>
      <w:r w:rsidRPr="00B60FD1">
        <w:rPr>
          <w:noProof/>
          <w:lang w:val="en-US"/>
        </w:rPr>
        <w:t xml:space="preserve">. </w:t>
      </w:r>
      <w:r w:rsidR="00F01C29" w:rsidRPr="00E62416">
        <w:rPr>
          <w:noProof/>
          <w:lang w:val="es-ES"/>
        </w:rPr>
        <w:t xml:space="preserve">Oxford: </w:t>
      </w:r>
      <w:r w:rsidRPr="00FB4FFF">
        <w:rPr>
          <w:noProof/>
        </w:rPr>
        <w:t>Oxford University Press.</w:t>
      </w:r>
    </w:p>
    <w:p w14:paraId="14994748" w14:textId="7CA4FB45" w:rsidR="00FB4FFF" w:rsidRPr="00FB4FFF" w:rsidRDefault="00FB4FFF" w:rsidP="00AD1FD3">
      <w:pPr>
        <w:widowControl w:val="0"/>
        <w:autoSpaceDE w:val="0"/>
        <w:autoSpaceDN w:val="0"/>
        <w:adjustRightInd w:val="0"/>
        <w:spacing w:line="360" w:lineRule="auto"/>
        <w:ind w:left="480" w:hanging="480"/>
        <w:rPr>
          <w:noProof/>
        </w:rPr>
      </w:pPr>
      <w:r w:rsidRPr="00FB4FFF">
        <w:rPr>
          <w:noProof/>
        </w:rPr>
        <w:t xml:space="preserve">Kaplan, D. (2014). Demostrativos. </w:t>
      </w:r>
      <w:r w:rsidR="00EA7534">
        <w:rPr>
          <w:noProof/>
        </w:rPr>
        <w:t>En</w:t>
      </w:r>
      <w:r w:rsidRPr="00FB4FFF">
        <w:rPr>
          <w:noProof/>
        </w:rPr>
        <w:t xml:space="preserve"> M. Ezcurdia (Ed.), </w:t>
      </w:r>
      <w:r w:rsidRPr="00FB4FFF">
        <w:rPr>
          <w:i/>
          <w:iCs/>
          <w:noProof/>
        </w:rPr>
        <w:t>Los indéxicos y la semántica de Kaplan</w:t>
      </w:r>
      <w:r w:rsidRPr="00FB4FFF">
        <w:rPr>
          <w:noProof/>
        </w:rPr>
        <w:t xml:space="preserve"> (pp. 51–139). México, DF, México: UNAM, Instituto de Investigaciones Filosóficas.</w:t>
      </w:r>
    </w:p>
    <w:p w14:paraId="575057C4" w14:textId="604880DF" w:rsidR="00FB4FFF" w:rsidRPr="00B60FD1" w:rsidRDefault="00FB4FFF" w:rsidP="00AD1FD3">
      <w:pPr>
        <w:widowControl w:val="0"/>
        <w:autoSpaceDE w:val="0"/>
        <w:autoSpaceDN w:val="0"/>
        <w:adjustRightInd w:val="0"/>
        <w:spacing w:line="360" w:lineRule="auto"/>
        <w:ind w:left="480" w:hanging="480"/>
        <w:rPr>
          <w:noProof/>
          <w:lang w:val="en-US"/>
        </w:rPr>
      </w:pPr>
      <w:r w:rsidRPr="00FB4FFF">
        <w:rPr>
          <w:noProof/>
        </w:rPr>
        <w:t xml:space="preserve">Kim, C. S. (2014). </w:t>
      </w:r>
      <w:r w:rsidRPr="008E49DE">
        <w:rPr>
          <w:noProof/>
        </w:rPr>
        <w:t xml:space="preserve">Presupposition satisfaction, locality and discourse constituency. </w:t>
      </w:r>
      <w:r w:rsidR="00EA7534" w:rsidRPr="008E49DE">
        <w:rPr>
          <w:noProof/>
        </w:rPr>
        <w:t>En F. Schwarz (Ed.)</w:t>
      </w:r>
      <w:r w:rsidRPr="008E49DE">
        <w:rPr>
          <w:noProof/>
        </w:rPr>
        <w:t xml:space="preserve"> </w:t>
      </w:r>
      <w:r w:rsidRPr="0014172A">
        <w:rPr>
          <w:i/>
          <w:iCs/>
          <w:noProof/>
          <w:lang w:val="en-US"/>
        </w:rPr>
        <w:t>Experimental perspectives on presuppositions</w:t>
      </w:r>
      <w:r w:rsidRPr="00AE79D6">
        <w:rPr>
          <w:noProof/>
          <w:lang w:val="en-US"/>
        </w:rPr>
        <w:t xml:space="preserve"> (pp. 109–134). </w:t>
      </w:r>
      <w:r w:rsidR="00EA7534">
        <w:rPr>
          <w:noProof/>
          <w:lang w:val="en-US"/>
        </w:rPr>
        <w:t xml:space="preserve">Cham: </w:t>
      </w:r>
      <w:r w:rsidRPr="00B60FD1">
        <w:rPr>
          <w:noProof/>
          <w:lang w:val="en-US"/>
        </w:rPr>
        <w:t>Springer.</w:t>
      </w:r>
    </w:p>
    <w:p w14:paraId="4043E666" w14:textId="77777777" w:rsidR="00FB4FFF" w:rsidRPr="00B60FD1" w:rsidRDefault="00FB4FFF" w:rsidP="00AD1FD3">
      <w:pPr>
        <w:widowControl w:val="0"/>
        <w:autoSpaceDE w:val="0"/>
        <w:autoSpaceDN w:val="0"/>
        <w:adjustRightInd w:val="0"/>
        <w:spacing w:line="360" w:lineRule="auto"/>
        <w:ind w:left="480" w:hanging="480"/>
        <w:rPr>
          <w:noProof/>
          <w:lang w:val="en-US"/>
        </w:rPr>
      </w:pPr>
      <w:r w:rsidRPr="00B60FD1">
        <w:rPr>
          <w:noProof/>
          <w:lang w:val="en-US"/>
        </w:rPr>
        <w:t xml:space="preserve">Kripke, S. A. (2009). Presupposition and anaphora: Remarks on the formulation of the projection problem. </w:t>
      </w:r>
      <w:r w:rsidRPr="00B60FD1">
        <w:rPr>
          <w:i/>
          <w:iCs/>
          <w:noProof/>
          <w:lang w:val="en-US"/>
        </w:rPr>
        <w:t>Linguistic Inquiry</w:t>
      </w:r>
      <w:r w:rsidRPr="00B60FD1">
        <w:rPr>
          <w:noProof/>
          <w:lang w:val="en-US"/>
        </w:rPr>
        <w:t xml:space="preserve">, </w:t>
      </w:r>
      <w:r w:rsidRPr="00B60FD1">
        <w:rPr>
          <w:i/>
          <w:iCs/>
          <w:noProof/>
          <w:lang w:val="en-US"/>
        </w:rPr>
        <w:t>40</w:t>
      </w:r>
      <w:r w:rsidRPr="00B60FD1">
        <w:rPr>
          <w:noProof/>
          <w:lang w:val="en-US"/>
        </w:rPr>
        <w:t>(3), 367–386.</w:t>
      </w:r>
    </w:p>
    <w:p w14:paraId="07EABBFD" w14:textId="77777777" w:rsidR="00FB4FFF" w:rsidRPr="00B60FD1" w:rsidRDefault="00FB4FFF" w:rsidP="00AD1FD3">
      <w:pPr>
        <w:widowControl w:val="0"/>
        <w:autoSpaceDE w:val="0"/>
        <w:autoSpaceDN w:val="0"/>
        <w:adjustRightInd w:val="0"/>
        <w:spacing w:line="360" w:lineRule="auto"/>
        <w:ind w:left="480" w:hanging="480"/>
        <w:rPr>
          <w:noProof/>
          <w:lang w:val="en-US"/>
        </w:rPr>
      </w:pPr>
      <w:r w:rsidRPr="00B60FD1">
        <w:rPr>
          <w:noProof/>
          <w:lang w:val="en-US"/>
        </w:rPr>
        <w:t xml:space="preserve">Maier, E. (2009). Proper names and indexicals trigger rigid presuppositions. </w:t>
      </w:r>
      <w:r w:rsidRPr="00B60FD1">
        <w:rPr>
          <w:i/>
          <w:iCs/>
          <w:noProof/>
          <w:lang w:val="en-US"/>
        </w:rPr>
        <w:t>Journal of Semantics</w:t>
      </w:r>
      <w:r w:rsidRPr="00B60FD1">
        <w:rPr>
          <w:noProof/>
          <w:lang w:val="en-US"/>
        </w:rPr>
        <w:t xml:space="preserve">, </w:t>
      </w:r>
      <w:r w:rsidRPr="00B60FD1">
        <w:rPr>
          <w:i/>
          <w:iCs/>
          <w:noProof/>
          <w:lang w:val="en-US"/>
        </w:rPr>
        <w:t>26</w:t>
      </w:r>
      <w:r w:rsidRPr="00B60FD1">
        <w:rPr>
          <w:noProof/>
          <w:lang w:val="en-US"/>
        </w:rPr>
        <w:t>(3), 253–315.</w:t>
      </w:r>
    </w:p>
    <w:p w14:paraId="533A7FB9" w14:textId="77777777" w:rsidR="00FB4FFF" w:rsidRPr="00B60FD1" w:rsidRDefault="00FB4FFF" w:rsidP="00AD1FD3">
      <w:pPr>
        <w:widowControl w:val="0"/>
        <w:autoSpaceDE w:val="0"/>
        <w:autoSpaceDN w:val="0"/>
        <w:adjustRightInd w:val="0"/>
        <w:spacing w:line="360" w:lineRule="auto"/>
        <w:ind w:left="480" w:hanging="480"/>
        <w:rPr>
          <w:noProof/>
          <w:lang w:val="en-US"/>
        </w:rPr>
      </w:pPr>
      <w:bookmarkStart w:id="10" w:name="_Hlk119319406"/>
      <w:r w:rsidRPr="00B60FD1">
        <w:rPr>
          <w:noProof/>
          <w:lang w:val="en-US"/>
        </w:rPr>
        <w:t xml:space="preserve">Plonsky, L., &amp; Oswald, F. L. (2014). How big is “big”? Interpreting effect sizes in L2 research. </w:t>
      </w:r>
      <w:r w:rsidRPr="00B60FD1">
        <w:rPr>
          <w:i/>
          <w:iCs/>
          <w:noProof/>
          <w:lang w:val="en-US"/>
        </w:rPr>
        <w:t>Language Learning</w:t>
      </w:r>
      <w:r w:rsidRPr="00B60FD1">
        <w:rPr>
          <w:noProof/>
          <w:lang w:val="en-US"/>
        </w:rPr>
        <w:t xml:space="preserve">, </w:t>
      </w:r>
      <w:r w:rsidRPr="00B60FD1">
        <w:rPr>
          <w:i/>
          <w:iCs/>
          <w:noProof/>
          <w:lang w:val="en-US"/>
        </w:rPr>
        <w:t>64</w:t>
      </w:r>
      <w:r w:rsidRPr="00B60FD1">
        <w:rPr>
          <w:noProof/>
          <w:lang w:val="en-US"/>
        </w:rPr>
        <w:t>(4), 878–912.</w:t>
      </w:r>
    </w:p>
    <w:bookmarkEnd w:id="10"/>
    <w:p w14:paraId="0642B97F" w14:textId="6BFD3D0E" w:rsidR="00FB4FFF" w:rsidRPr="00B60FD1" w:rsidRDefault="00FB4FFF" w:rsidP="00AD1FD3">
      <w:pPr>
        <w:widowControl w:val="0"/>
        <w:autoSpaceDE w:val="0"/>
        <w:autoSpaceDN w:val="0"/>
        <w:adjustRightInd w:val="0"/>
        <w:spacing w:line="360" w:lineRule="auto"/>
        <w:ind w:left="480" w:hanging="480"/>
        <w:rPr>
          <w:noProof/>
          <w:lang w:val="en-US"/>
        </w:rPr>
      </w:pPr>
      <w:r w:rsidRPr="00B60FD1">
        <w:rPr>
          <w:noProof/>
          <w:lang w:val="en-US"/>
        </w:rPr>
        <w:t xml:space="preserve">Rescher, N. (1989). </w:t>
      </w:r>
      <w:r w:rsidRPr="00B60FD1">
        <w:rPr>
          <w:i/>
          <w:iCs/>
          <w:noProof/>
          <w:lang w:val="en-US"/>
        </w:rPr>
        <w:t>Cognitive economy: The economic dimension of the theory of knowledge</w:t>
      </w:r>
      <w:r w:rsidRPr="00B60FD1">
        <w:rPr>
          <w:noProof/>
          <w:lang w:val="en-US"/>
        </w:rPr>
        <w:t xml:space="preserve">. </w:t>
      </w:r>
      <w:r w:rsidR="00EA7534">
        <w:rPr>
          <w:noProof/>
          <w:lang w:val="en-US"/>
        </w:rPr>
        <w:t xml:space="preserve">Pittsburgh: </w:t>
      </w:r>
      <w:r w:rsidRPr="00B60FD1">
        <w:rPr>
          <w:noProof/>
          <w:lang w:val="en-US"/>
        </w:rPr>
        <w:t>University of Pittsburgh Pre</w:t>
      </w:r>
      <w:r w:rsidR="00EA7534">
        <w:rPr>
          <w:noProof/>
          <w:lang w:val="en-US"/>
        </w:rPr>
        <w:t>ss</w:t>
      </w:r>
      <w:r w:rsidRPr="00B60FD1">
        <w:rPr>
          <w:noProof/>
          <w:lang w:val="en-US"/>
        </w:rPr>
        <w:t>.</w:t>
      </w:r>
    </w:p>
    <w:p w14:paraId="48D2F615" w14:textId="77777777" w:rsidR="00FB4FFF" w:rsidRPr="00B60FD1" w:rsidRDefault="00FB4FFF" w:rsidP="00AD1FD3">
      <w:pPr>
        <w:widowControl w:val="0"/>
        <w:autoSpaceDE w:val="0"/>
        <w:autoSpaceDN w:val="0"/>
        <w:adjustRightInd w:val="0"/>
        <w:spacing w:line="360" w:lineRule="auto"/>
        <w:ind w:left="480" w:hanging="480"/>
        <w:rPr>
          <w:noProof/>
          <w:lang w:val="en-US"/>
        </w:rPr>
      </w:pPr>
      <w:r w:rsidRPr="00B60FD1">
        <w:rPr>
          <w:noProof/>
          <w:lang w:val="en-US"/>
        </w:rPr>
        <w:t xml:space="preserve">Schwarz, F. (2007). Processing presupposed content. </w:t>
      </w:r>
      <w:r w:rsidRPr="00B60FD1">
        <w:rPr>
          <w:i/>
          <w:iCs/>
          <w:noProof/>
          <w:lang w:val="en-US"/>
        </w:rPr>
        <w:t>Journal of Semantics</w:t>
      </w:r>
      <w:r w:rsidRPr="00B60FD1">
        <w:rPr>
          <w:noProof/>
          <w:lang w:val="en-US"/>
        </w:rPr>
        <w:t xml:space="preserve">, </w:t>
      </w:r>
      <w:r w:rsidRPr="00B60FD1">
        <w:rPr>
          <w:i/>
          <w:iCs/>
          <w:noProof/>
          <w:lang w:val="en-US"/>
        </w:rPr>
        <w:t>24</w:t>
      </w:r>
      <w:r w:rsidRPr="00B60FD1">
        <w:rPr>
          <w:noProof/>
          <w:lang w:val="en-US"/>
        </w:rPr>
        <w:t>(4), 373–416. https://doi.org/10.1093/jos/ffm011</w:t>
      </w:r>
    </w:p>
    <w:p w14:paraId="60375F44" w14:textId="4E0D9E04" w:rsidR="00FB4FFF" w:rsidRPr="00B60FD1" w:rsidRDefault="00FB4FFF" w:rsidP="00AD1FD3">
      <w:pPr>
        <w:widowControl w:val="0"/>
        <w:autoSpaceDE w:val="0"/>
        <w:autoSpaceDN w:val="0"/>
        <w:adjustRightInd w:val="0"/>
        <w:spacing w:line="360" w:lineRule="auto"/>
        <w:ind w:left="480" w:hanging="480"/>
        <w:rPr>
          <w:noProof/>
          <w:lang w:val="en-US"/>
        </w:rPr>
      </w:pPr>
      <w:r w:rsidRPr="00B60FD1">
        <w:rPr>
          <w:noProof/>
          <w:lang w:val="en-US"/>
        </w:rPr>
        <w:t xml:space="preserve">Schwarz, F. (2014a). </w:t>
      </w:r>
      <w:r w:rsidRPr="00B60FD1">
        <w:rPr>
          <w:i/>
          <w:iCs/>
          <w:noProof/>
          <w:lang w:val="en-US"/>
        </w:rPr>
        <w:t>Experimental perspectives on presuppositions</w:t>
      </w:r>
      <w:r w:rsidRPr="00B60FD1">
        <w:rPr>
          <w:noProof/>
          <w:lang w:val="en-US"/>
        </w:rPr>
        <w:t xml:space="preserve"> (Vol. 45). </w:t>
      </w:r>
      <w:r w:rsidR="00EA7534">
        <w:rPr>
          <w:noProof/>
          <w:lang w:val="en-US"/>
        </w:rPr>
        <w:t xml:space="preserve">Cham: </w:t>
      </w:r>
      <w:r w:rsidRPr="00B60FD1">
        <w:rPr>
          <w:noProof/>
          <w:lang w:val="en-US"/>
        </w:rPr>
        <w:t>Springer.</w:t>
      </w:r>
    </w:p>
    <w:p w14:paraId="474E9329" w14:textId="73E68FE6" w:rsidR="00FB4FFF" w:rsidRPr="00B60FD1" w:rsidRDefault="00FB4FFF" w:rsidP="00AD1FD3">
      <w:pPr>
        <w:widowControl w:val="0"/>
        <w:autoSpaceDE w:val="0"/>
        <w:autoSpaceDN w:val="0"/>
        <w:adjustRightInd w:val="0"/>
        <w:spacing w:line="360" w:lineRule="auto"/>
        <w:ind w:left="480" w:hanging="480"/>
        <w:rPr>
          <w:noProof/>
          <w:lang w:val="en-US"/>
        </w:rPr>
      </w:pPr>
      <w:r w:rsidRPr="00B60FD1">
        <w:rPr>
          <w:noProof/>
          <w:lang w:val="en-US"/>
        </w:rPr>
        <w:t xml:space="preserve">Schwarz, F. (2014b). Presuppositions vs. asserted content in online processing. In F. Schwarz (Ed.), </w:t>
      </w:r>
      <w:r w:rsidRPr="00B60FD1">
        <w:rPr>
          <w:i/>
          <w:iCs/>
          <w:noProof/>
          <w:lang w:val="en-US"/>
        </w:rPr>
        <w:t>Experimental perspectives on presuppositions</w:t>
      </w:r>
      <w:r w:rsidRPr="00B60FD1">
        <w:rPr>
          <w:noProof/>
          <w:lang w:val="en-US"/>
        </w:rPr>
        <w:t xml:space="preserve"> (pp. 89–108). </w:t>
      </w:r>
      <w:r w:rsidR="00EA7534">
        <w:rPr>
          <w:noProof/>
          <w:lang w:val="en-US"/>
        </w:rPr>
        <w:t xml:space="preserve">Cham: </w:t>
      </w:r>
      <w:r w:rsidRPr="00B60FD1">
        <w:rPr>
          <w:noProof/>
          <w:lang w:val="en-US"/>
        </w:rPr>
        <w:t>Springer.</w:t>
      </w:r>
    </w:p>
    <w:p w14:paraId="2C707578" w14:textId="77777777" w:rsidR="00FB4FFF" w:rsidRPr="00FB4FFF" w:rsidRDefault="00FB4FFF" w:rsidP="00AD1FD3">
      <w:pPr>
        <w:widowControl w:val="0"/>
        <w:autoSpaceDE w:val="0"/>
        <w:autoSpaceDN w:val="0"/>
        <w:adjustRightInd w:val="0"/>
        <w:spacing w:line="360" w:lineRule="auto"/>
        <w:ind w:left="480" w:hanging="480"/>
        <w:rPr>
          <w:noProof/>
        </w:rPr>
      </w:pPr>
      <w:r w:rsidRPr="00B60FD1">
        <w:rPr>
          <w:noProof/>
          <w:lang w:val="en-US"/>
        </w:rPr>
        <w:t xml:space="preserve">Schwarz, F. (2016). Experimental work in presupposition and presupposition projection. </w:t>
      </w:r>
      <w:r w:rsidRPr="00FB4FFF">
        <w:rPr>
          <w:i/>
          <w:iCs/>
          <w:noProof/>
        </w:rPr>
        <w:t>Annual Review of Linguistics</w:t>
      </w:r>
      <w:r w:rsidRPr="00FB4FFF">
        <w:rPr>
          <w:noProof/>
        </w:rPr>
        <w:t xml:space="preserve">, </w:t>
      </w:r>
      <w:r w:rsidRPr="00FB4FFF">
        <w:rPr>
          <w:i/>
          <w:iCs/>
          <w:noProof/>
        </w:rPr>
        <w:t>2</w:t>
      </w:r>
      <w:r w:rsidRPr="00FB4FFF">
        <w:rPr>
          <w:noProof/>
        </w:rPr>
        <w:t>, 273–292.</w:t>
      </w:r>
    </w:p>
    <w:p w14:paraId="715753CF" w14:textId="3E48122E" w:rsidR="00FB4FFF" w:rsidRPr="00FB4FFF" w:rsidRDefault="00FB4FFF" w:rsidP="00AD1FD3">
      <w:pPr>
        <w:widowControl w:val="0"/>
        <w:autoSpaceDE w:val="0"/>
        <w:autoSpaceDN w:val="0"/>
        <w:adjustRightInd w:val="0"/>
        <w:spacing w:line="360" w:lineRule="auto"/>
        <w:ind w:left="480" w:hanging="480"/>
        <w:rPr>
          <w:noProof/>
        </w:rPr>
      </w:pPr>
      <w:r w:rsidRPr="00FB4FFF">
        <w:rPr>
          <w:noProof/>
        </w:rPr>
        <w:t xml:space="preserve">Sentis, F. (2001). La presuposición como categoría pragmática: un caso de confrontación epistemológica. </w:t>
      </w:r>
      <w:r w:rsidRPr="00FB4FFF">
        <w:rPr>
          <w:i/>
          <w:iCs/>
          <w:noProof/>
        </w:rPr>
        <w:t>Onomázein: Revista de Lingüística, Filología y Traducción de La Pontificia Universidad Católica de Chile</w:t>
      </w:r>
      <w:r w:rsidRPr="00FB4FFF">
        <w:rPr>
          <w:noProof/>
        </w:rPr>
        <w:t>, (6), 105–148.</w:t>
      </w:r>
    </w:p>
    <w:p w14:paraId="3E371686" w14:textId="77777777" w:rsidR="00FB4FFF" w:rsidRPr="00B60FD1" w:rsidRDefault="00FB4FFF" w:rsidP="00AD1FD3">
      <w:pPr>
        <w:widowControl w:val="0"/>
        <w:autoSpaceDE w:val="0"/>
        <w:autoSpaceDN w:val="0"/>
        <w:adjustRightInd w:val="0"/>
        <w:spacing w:line="360" w:lineRule="auto"/>
        <w:ind w:left="480" w:hanging="480"/>
        <w:rPr>
          <w:noProof/>
          <w:lang w:val="en-US"/>
        </w:rPr>
      </w:pPr>
      <w:r w:rsidRPr="00B60FD1">
        <w:rPr>
          <w:noProof/>
          <w:lang w:val="en-US"/>
        </w:rPr>
        <w:t xml:space="preserve">Sharvit, Y., &amp; Shai, C. (2012). The unexpected projection of some presupposition triggers. In S. Watanabe (Ed.), </w:t>
      </w:r>
      <w:r w:rsidRPr="00B60FD1">
        <w:rPr>
          <w:i/>
          <w:iCs/>
          <w:noProof/>
          <w:lang w:val="en-US"/>
        </w:rPr>
        <w:t>Logic and Sensibility</w:t>
      </w:r>
      <w:r w:rsidRPr="00B60FD1">
        <w:rPr>
          <w:noProof/>
          <w:lang w:val="en-US"/>
        </w:rPr>
        <w:t xml:space="preserve"> (pp. 255–274). Tokyo, Japan: Keio University Press.</w:t>
      </w:r>
    </w:p>
    <w:p w14:paraId="6267E2ED" w14:textId="5614ADE4" w:rsidR="00FB4FFF" w:rsidRDefault="00FB4FFF" w:rsidP="00AD1FD3">
      <w:pPr>
        <w:widowControl w:val="0"/>
        <w:autoSpaceDE w:val="0"/>
        <w:autoSpaceDN w:val="0"/>
        <w:adjustRightInd w:val="0"/>
        <w:spacing w:line="360" w:lineRule="auto"/>
        <w:ind w:left="480" w:hanging="480"/>
        <w:rPr>
          <w:noProof/>
          <w:lang w:val="en-US"/>
        </w:rPr>
      </w:pPr>
      <w:r w:rsidRPr="00B60FD1">
        <w:rPr>
          <w:noProof/>
          <w:lang w:val="en-US"/>
        </w:rPr>
        <w:t xml:space="preserve">Spenader, J. (2002). </w:t>
      </w:r>
      <w:r w:rsidRPr="00B60FD1">
        <w:rPr>
          <w:i/>
          <w:iCs/>
          <w:noProof/>
          <w:lang w:val="en-US"/>
        </w:rPr>
        <w:t>Presuppositions in Spoken Discourse.</w:t>
      </w:r>
      <w:r w:rsidRPr="00B60FD1">
        <w:rPr>
          <w:noProof/>
          <w:lang w:val="en-US"/>
        </w:rPr>
        <w:t xml:space="preserve"> </w:t>
      </w:r>
      <w:r w:rsidR="00FA21A4">
        <w:rPr>
          <w:noProof/>
          <w:lang w:val="en-US"/>
        </w:rPr>
        <w:t xml:space="preserve">Tesis doctoral, </w:t>
      </w:r>
      <w:r w:rsidRPr="00B60FD1">
        <w:rPr>
          <w:noProof/>
          <w:lang w:val="en-US"/>
        </w:rPr>
        <w:t>University of Stockholm.</w:t>
      </w:r>
    </w:p>
    <w:p w14:paraId="77E8779C" w14:textId="232CF74B" w:rsidR="0004303D" w:rsidRDefault="0004303D" w:rsidP="00AD1FD3">
      <w:pPr>
        <w:widowControl w:val="0"/>
        <w:autoSpaceDE w:val="0"/>
        <w:autoSpaceDN w:val="0"/>
        <w:adjustRightInd w:val="0"/>
        <w:spacing w:line="360" w:lineRule="auto"/>
        <w:ind w:left="480" w:hanging="480"/>
        <w:rPr>
          <w:noProof/>
          <w:lang w:val="en-US"/>
        </w:rPr>
      </w:pPr>
      <w:r>
        <w:rPr>
          <w:noProof/>
          <w:lang w:val="en-US"/>
        </w:rPr>
        <w:t xml:space="preserve">Sperber , D &amp; Wilson D. (1995). </w:t>
      </w:r>
      <w:r>
        <w:rPr>
          <w:i/>
          <w:noProof/>
          <w:lang w:val="en-US"/>
        </w:rPr>
        <w:t>Relevance.</w:t>
      </w:r>
      <w:r w:rsidR="005E601A">
        <w:rPr>
          <w:noProof/>
          <w:lang w:val="en-US"/>
        </w:rPr>
        <w:t xml:space="preserve"> Malden-Oxford: Blackwell.</w:t>
      </w:r>
    </w:p>
    <w:p w14:paraId="395532E2" w14:textId="5F3A1F03" w:rsidR="00C22D3B" w:rsidRPr="00C22D3B" w:rsidRDefault="00C22D3B" w:rsidP="00AD1FD3">
      <w:pPr>
        <w:widowControl w:val="0"/>
        <w:autoSpaceDE w:val="0"/>
        <w:autoSpaceDN w:val="0"/>
        <w:adjustRightInd w:val="0"/>
        <w:spacing w:line="360" w:lineRule="auto"/>
        <w:ind w:left="480" w:hanging="480"/>
        <w:rPr>
          <w:noProof/>
          <w:lang w:val="en-US"/>
        </w:rPr>
      </w:pPr>
      <w:r>
        <w:rPr>
          <w:noProof/>
          <w:lang w:val="en-US"/>
        </w:rPr>
        <w:t xml:space="preserve">Stainton, R. (2009). </w:t>
      </w:r>
      <w:r>
        <w:rPr>
          <w:i/>
          <w:noProof/>
          <w:lang w:val="en-US"/>
        </w:rPr>
        <w:t>Words and Thoughts</w:t>
      </w:r>
      <w:r>
        <w:rPr>
          <w:noProof/>
          <w:lang w:val="en-US"/>
        </w:rPr>
        <w:t xml:space="preserve">. </w:t>
      </w:r>
      <w:r w:rsidRPr="008E49DE">
        <w:rPr>
          <w:noProof/>
          <w:lang w:val="en-US"/>
        </w:rPr>
        <w:t>Oxford: Oxford University Press.</w:t>
      </w:r>
    </w:p>
    <w:p w14:paraId="46798C8B" w14:textId="77777777" w:rsidR="00FB4FFF" w:rsidRPr="00B60FD1" w:rsidRDefault="00FB4FFF" w:rsidP="00AD1FD3">
      <w:pPr>
        <w:widowControl w:val="0"/>
        <w:autoSpaceDE w:val="0"/>
        <w:autoSpaceDN w:val="0"/>
        <w:adjustRightInd w:val="0"/>
        <w:spacing w:line="360" w:lineRule="auto"/>
        <w:ind w:left="480" w:hanging="480"/>
        <w:rPr>
          <w:noProof/>
          <w:lang w:val="en-US"/>
        </w:rPr>
      </w:pPr>
      <w:r w:rsidRPr="00B60FD1">
        <w:rPr>
          <w:noProof/>
          <w:lang w:val="en-US"/>
        </w:rPr>
        <w:t xml:space="preserve">Stalnaker, R. (1973). Presuppositions. </w:t>
      </w:r>
      <w:r w:rsidRPr="00B60FD1">
        <w:rPr>
          <w:i/>
          <w:iCs/>
          <w:noProof/>
          <w:lang w:val="en-US"/>
        </w:rPr>
        <w:t>Journal of Philosophical Logic</w:t>
      </w:r>
      <w:r w:rsidRPr="00B60FD1">
        <w:rPr>
          <w:noProof/>
          <w:lang w:val="en-US"/>
        </w:rPr>
        <w:t xml:space="preserve">, </w:t>
      </w:r>
      <w:r w:rsidRPr="00B60FD1">
        <w:rPr>
          <w:i/>
          <w:iCs/>
          <w:noProof/>
          <w:lang w:val="en-US"/>
        </w:rPr>
        <w:t>2</w:t>
      </w:r>
      <w:r w:rsidRPr="00B60FD1">
        <w:rPr>
          <w:noProof/>
          <w:lang w:val="en-US"/>
        </w:rPr>
        <w:t>(4), 447–457.</w:t>
      </w:r>
    </w:p>
    <w:p w14:paraId="4011804C" w14:textId="77777777" w:rsidR="00FB4FFF" w:rsidRDefault="00FB4FFF" w:rsidP="00AD1FD3">
      <w:pPr>
        <w:widowControl w:val="0"/>
        <w:autoSpaceDE w:val="0"/>
        <w:autoSpaceDN w:val="0"/>
        <w:adjustRightInd w:val="0"/>
        <w:spacing w:line="360" w:lineRule="auto"/>
        <w:ind w:left="480" w:hanging="480"/>
        <w:rPr>
          <w:noProof/>
          <w:lang w:val="en-US"/>
        </w:rPr>
      </w:pPr>
      <w:r w:rsidRPr="00B60FD1">
        <w:rPr>
          <w:noProof/>
          <w:lang w:val="en-US"/>
        </w:rPr>
        <w:t xml:space="preserve">van der Sandt, R. (2012). Presupposition and accommodation in discourse. </w:t>
      </w:r>
      <w:r w:rsidRPr="00B60FD1">
        <w:rPr>
          <w:i/>
          <w:iCs/>
          <w:noProof/>
          <w:lang w:val="en-US"/>
        </w:rPr>
        <w:t>The Cambridge Handbook of Pragmatics</w:t>
      </w:r>
      <w:r w:rsidRPr="00B60FD1">
        <w:rPr>
          <w:noProof/>
          <w:lang w:val="en-US"/>
        </w:rPr>
        <w:t>, 329–350.</w:t>
      </w:r>
    </w:p>
    <w:p w14:paraId="10E3B94F" w14:textId="3B3D282E" w:rsidR="00F5664B" w:rsidRPr="007C3A7D" w:rsidRDefault="00F5664B" w:rsidP="00AD1FD3">
      <w:pPr>
        <w:widowControl w:val="0"/>
        <w:autoSpaceDE w:val="0"/>
        <w:autoSpaceDN w:val="0"/>
        <w:adjustRightInd w:val="0"/>
        <w:spacing w:line="360" w:lineRule="auto"/>
        <w:ind w:left="480" w:hanging="480"/>
        <w:rPr>
          <w:i/>
          <w:noProof/>
          <w:lang w:val="en-US"/>
        </w:rPr>
      </w:pPr>
      <w:r>
        <w:rPr>
          <w:noProof/>
          <w:lang w:val="en-US"/>
        </w:rPr>
        <w:t xml:space="preserve">Strawson, P.F. (1950). On Referring. En P.F. Strawson (2002). </w:t>
      </w:r>
      <w:r>
        <w:rPr>
          <w:i/>
          <w:noProof/>
          <w:lang w:val="en-US"/>
        </w:rPr>
        <w:t>Logico-Linguistic Papers</w:t>
      </w:r>
      <w:r>
        <w:rPr>
          <w:noProof/>
          <w:lang w:val="en-US"/>
        </w:rPr>
        <w:t xml:space="preserve"> (pp. 1-20)</w:t>
      </w:r>
      <w:r>
        <w:rPr>
          <w:i/>
          <w:noProof/>
          <w:lang w:val="en-US"/>
        </w:rPr>
        <w:t>.</w:t>
      </w:r>
      <w:r>
        <w:rPr>
          <w:noProof/>
          <w:lang w:val="en-US"/>
        </w:rPr>
        <w:t xml:space="preserve"> Aldershot: Ashgate.</w:t>
      </w:r>
      <w:r>
        <w:rPr>
          <w:i/>
          <w:noProof/>
          <w:lang w:val="en-US"/>
        </w:rPr>
        <w:t xml:space="preserve"> </w:t>
      </w:r>
    </w:p>
    <w:p w14:paraId="7A73A83E" w14:textId="77777777" w:rsidR="00FB4FFF" w:rsidRPr="00B60FD1" w:rsidRDefault="00FB4FFF" w:rsidP="00AD1FD3">
      <w:pPr>
        <w:widowControl w:val="0"/>
        <w:autoSpaceDE w:val="0"/>
        <w:autoSpaceDN w:val="0"/>
        <w:adjustRightInd w:val="0"/>
        <w:spacing w:line="360" w:lineRule="auto"/>
        <w:ind w:left="480" w:hanging="480"/>
        <w:rPr>
          <w:noProof/>
          <w:lang w:val="en-US"/>
        </w:rPr>
      </w:pPr>
      <w:r w:rsidRPr="00B60FD1">
        <w:rPr>
          <w:noProof/>
          <w:lang w:val="en-US"/>
        </w:rPr>
        <w:t xml:space="preserve">Von Fintel, K. (2004). Would you believe it? The King of France is back! (Presuppositions and truth-value intuitions). In M. Reimer &amp; A. Bezuidenhout (Eds.), </w:t>
      </w:r>
      <w:r w:rsidRPr="00B60FD1">
        <w:rPr>
          <w:i/>
          <w:iCs/>
          <w:noProof/>
          <w:lang w:val="en-US"/>
        </w:rPr>
        <w:t>Descriptions and beyond</w:t>
      </w:r>
      <w:r w:rsidRPr="00B60FD1">
        <w:rPr>
          <w:noProof/>
          <w:lang w:val="en-US"/>
        </w:rPr>
        <w:t xml:space="preserve"> (pp. 315–341). Oxford: Oxford University Press.</w:t>
      </w:r>
    </w:p>
    <w:p w14:paraId="7EE2C25D" w14:textId="4639A285" w:rsidR="00AD1FD3" w:rsidRDefault="00E4195B" w:rsidP="000D1C89">
      <w:pPr>
        <w:spacing w:line="360" w:lineRule="auto"/>
        <w:rPr>
          <w:lang w:val="en-US"/>
        </w:rPr>
      </w:pPr>
      <w:r>
        <w:rPr>
          <w:lang w:val="en-US"/>
        </w:rPr>
        <w:fldChar w:fldCharType="end"/>
      </w:r>
    </w:p>
    <w:p w14:paraId="2C1C9738" w14:textId="5A23CB04" w:rsidR="00C92620" w:rsidRPr="00C92620" w:rsidRDefault="00C92620" w:rsidP="000D1C89">
      <w:pPr>
        <w:spacing w:line="360" w:lineRule="auto"/>
        <w:rPr>
          <w:b/>
          <w:bCs/>
          <w:lang w:val="en-US"/>
        </w:rPr>
      </w:pPr>
      <w:r w:rsidRPr="00C92620">
        <w:rPr>
          <w:b/>
          <w:bCs/>
          <w:lang w:val="en-US"/>
        </w:rPr>
        <w:t>NOTAS</w:t>
      </w:r>
    </w:p>
    <w:sectPr w:rsidR="00C92620" w:rsidRPr="00C92620" w:rsidSect="005F421A">
      <w:type w:val="continuous"/>
      <w:pgSz w:w="11909" w:h="16834"/>
      <w:pgMar w:top="1685" w:right="1699" w:bottom="1699" w:left="1699"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5DFB1" w14:textId="77777777" w:rsidR="004D3F07" w:rsidRDefault="004D3F07" w:rsidP="003659A2">
      <w:r>
        <w:separator/>
      </w:r>
    </w:p>
  </w:endnote>
  <w:endnote w:type="continuationSeparator" w:id="0">
    <w:p w14:paraId="20B94280" w14:textId="77777777" w:rsidR="004D3F07" w:rsidRDefault="004D3F07" w:rsidP="003659A2">
      <w:r>
        <w:continuationSeparator/>
      </w:r>
    </w:p>
  </w:endnote>
  <w:endnote w:id="1">
    <w:p w14:paraId="4F784BA2" w14:textId="3543EE59" w:rsidR="007C3A7D" w:rsidRPr="008829A8" w:rsidRDefault="007C3A7D">
      <w:pPr>
        <w:pStyle w:val="Textonotaalfinal"/>
        <w:rPr>
          <w:lang w:val="es-ES_tradnl"/>
        </w:rPr>
      </w:pPr>
      <w:r w:rsidRPr="0042376B">
        <w:rPr>
          <w:rStyle w:val="Refdenotaalfinal"/>
        </w:rPr>
        <w:endnoteRef/>
      </w:r>
      <w:r w:rsidRPr="00F90948">
        <w:t xml:space="preserve"> Muchos de </w:t>
      </w:r>
      <w:r w:rsidRPr="00F90948">
        <w:rPr>
          <w:lang w:val="es-ES_tradnl"/>
        </w:rPr>
        <w:t xml:space="preserve">los argumentos de Kripke se basan en problemas de </w:t>
      </w:r>
      <w:r w:rsidRPr="00F90948">
        <w:rPr>
          <w:i/>
          <w:lang w:val="es-ES_tradnl"/>
        </w:rPr>
        <w:t>proyección</w:t>
      </w:r>
      <w:r w:rsidRPr="00F90948">
        <w:rPr>
          <w:lang w:val="es-ES_tradnl"/>
        </w:rPr>
        <w:t xml:space="preserve"> de las presuposiciones de oraciones lógicamente simples, sin conectivos lógicos, a oraciones complejas </w:t>
      </w:r>
      <w:r>
        <w:rPr>
          <w:lang w:val="es-ES_tradnl"/>
        </w:rPr>
        <w:t xml:space="preserve">construidas por métodos composicionales </w:t>
      </w:r>
      <w:r w:rsidRPr="00F90948">
        <w:rPr>
          <w:lang w:val="es-ES_tradnl"/>
        </w:rPr>
        <w:t>que incluyen condicionales, conjunciones y disyunciones. Para efectos de este trabajo solamente se tendrán en cuenta oraciones lógicamente simp</w:t>
      </w:r>
      <w:r>
        <w:rPr>
          <w:lang w:val="es-ES_tradnl"/>
        </w:rPr>
        <w:t xml:space="preserve">les. Para una breve discusión de problemas conectados con esta decisión véase la nota iv.   </w:t>
      </w:r>
    </w:p>
  </w:endnote>
  <w:endnote w:id="2">
    <w:p w14:paraId="40424935" w14:textId="1B1C30FD" w:rsidR="007C3A7D" w:rsidRPr="00EF690D" w:rsidRDefault="007C3A7D">
      <w:pPr>
        <w:pStyle w:val="Textonotaalfinal"/>
      </w:pPr>
      <w:r w:rsidRPr="0042376B">
        <w:rPr>
          <w:rStyle w:val="Refdenotaalfinal"/>
        </w:rPr>
        <w:endnoteRef/>
      </w:r>
      <w:r w:rsidRPr="00EF690D">
        <w:t xml:space="preserve"> Por supuesto, la aproximación de Geurts y van der Sandt no es la única, si bien sí la más popular. Para posiciones alternativas acerca de la desambiguación de presuposiciones, se puede</w:t>
      </w:r>
      <w:r>
        <w:t>n</w:t>
      </w:r>
      <w:r w:rsidRPr="00EF690D">
        <w:t xml:space="preserve"> ver </w:t>
      </w:r>
      <w:r>
        <w:t>los</w:t>
      </w:r>
      <w:r w:rsidRPr="00EF690D">
        <w:t xml:space="preserve"> trabajo</w:t>
      </w:r>
      <w:r>
        <w:t>s</w:t>
      </w:r>
      <w:r w:rsidRPr="00EF690D">
        <w:t xml:space="preserve"> de Beaver y Krahmer</w:t>
      </w:r>
      <w:r>
        <w:t xml:space="preserve"> </w:t>
      </w:r>
      <w:r>
        <w:fldChar w:fldCharType="begin" w:fldLock="1"/>
      </w:r>
      <w:r>
        <w:instrText>ADDIN CSL_CITATION {"citationItems":[{"id":"ITEM-1","itemData":{"author":[{"dropping-particle":"","family":"Beaver","given":"David","non-dropping-particle":"","parse-names":false,"suffix":""},{"dropping-particle":"","family":"Krahmer","given":"Emiel","non-dropping-particle":"","parse-names":false,"suffix":""}],"container-title":"Journal of Logic, Language and Information","id":"ITEM-1","issue":"2","issued":{"date-parts":[["2001"]]},"page":"147","publisher":"Springer","title":"A partial account of presupposition projection","type":"article-journal","volume":"10"},"suppress-author":1,"uris":["http://www.mendeley.com/documents/?uuid=a82bed7a-4fbc-4be1-baa8-5af380edf2de"]}],"mendeley":{"formattedCitation":"(2001)","plainTextFormattedCitation":"(2001)","previouslyFormattedCitation":"(2001)"},"properties":{"noteIndex":0},"schema":"https://github.com/citation-style-language/schema/raw/master/csl-citation.json"}</w:instrText>
      </w:r>
      <w:r>
        <w:fldChar w:fldCharType="separate"/>
      </w:r>
      <w:r w:rsidRPr="000A797B">
        <w:rPr>
          <w:noProof/>
        </w:rPr>
        <w:t>(2001)</w:t>
      </w:r>
      <w:r>
        <w:fldChar w:fldCharType="end"/>
      </w:r>
      <w:r w:rsidRPr="00EF690D">
        <w:t xml:space="preserve"> y  Heim (1992)</w:t>
      </w:r>
      <w:r>
        <w:t>. También cabría la posibilidad de dar una interpretación de este tipo de ejemplos que contraste el significado convencional dado por una regla semántica como en (Kaplan 2014) que le asigna a “yo” “el agente de este contexto” de un lado y, de otro, los significados adicionales que “yo” tiene en una conversación gracias a algún principio de cooperación u otro mecanismo pragmático general</w:t>
      </w:r>
      <w:r w:rsidR="00BE7264">
        <w:t xml:space="preserve"> griceano</w:t>
      </w:r>
      <w:r>
        <w:t>. Exploraremos este tipo de perspectiva pragmática en otra ocasión. En línea con nuestra decisión metodológica, por ahora nos interesa tan solo ver qu</w:t>
      </w:r>
      <w:r>
        <w:rPr>
          <w:vanish/>
        </w:rPr>
        <w:t xml:space="preserve"> es simplemescogidoisio en ind</w:t>
      </w:r>
      <w:r>
        <w:rPr>
          <w:vanish/>
        </w:rPr>
        <w:pgNum/>
      </w:r>
      <w:r>
        <w:rPr>
          <w:vanish/>
        </w:rPr>
        <w:pgNum/>
      </w:r>
      <w:r>
        <w:rPr>
          <w:vanish/>
        </w:rPr>
        <w:t xml:space="preserve"> prgamado convencional de "o, n dados ciertos hechos sobre la cooperacii</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t>é explicación de la anáfora sigue de nuestra hipótesis sem</w:t>
      </w:r>
      <w:r w:rsidR="00BE7264">
        <w:t>á</w:t>
      </w:r>
      <w:r>
        <w:t>ntica sobre presuposiciones con indéxicos y predicación paramétrica.</w:t>
      </w:r>
    </w:p>
  </w:endnote>
  <w:endnote w:id="3">
    <w:p w14:paraId="0FAFB193" w14:textId="6430F48B" w:rsidR="007C3A7D" w:rsidRPr="00126D08" w:rsidRDefault="007C3A7D" w:rsidP="00A54513">
      <w:pPr>
        <w:pStyle w:val="Textonotaalfinal"/>
        <w:rPr>
          <w:lang w:val="es-ES_tradnl"/>
        </w:rPr>
      </w:pPr>
      <w:r w:rsidRPr="0042376B">
        <w:rPr>
          <w:rStyle w:val="Refdenotaalfinal"/>
        </w:rPr>
        <w:endnoteRef/>
      </w:r>
      <w:r w:rsidRPr="00126D08">
        <w:t xml:space="preserve"> </w:t>
      </w:r>
      <w:r w:rsidRPr="00126D08">
        <w:rPr>
          <w:lang w:val="es-ES_tradnl"/>
        </w:rPr>
        <w:t xml:space="preserve">Maier </w:t>
      </w:r>
      <w:r>
        <w:rPr>
          <w:lang w:val="es-ES_tradnl"/>
        </w:rPr>
        <w:fldChar w:fldCharType="begin" w:fldLock="1"/>
      </w:r>
      <w:r>
        <w:rPr>
          <w:lang w:val="es-ES_tradnl"/>
        </w:rPr>
        <w:instrText>ADDIN CSL_CITATION {"citationItems":[{"id":"ITEM-1","itemData":{"author":[{"dropping-particle":"","family":"Maier","given":"Emar","non-dropping-particle":"","parse-names":false,"suffix":""}],"container-title":"Journal of semantics","id":"ITEM-1","issue":"3","issued":{"date-parts":[["2009"]]},"page":"253-315","publisher":"Oxford University Press","title":"Proper names and indexicals trigger rigid presuppositions","type":"article-journal","volume":"26"},"suppress-author":1,"uris":["http://www.mendeley.com/documents/?uuid=3504aafa-1eb1-47c0-afec-363c9c8b816e"]}],"mendeley":{"formattedCitation":"(2009)","plainTextFormattedCitation":"(2009)","previouslyFormattedCitation":"(2009)"},"properties":{"noteIndex":0},"schema":"https://github.com/citation-style-language/schema/raw/master/csl-citation.json"}</w:instrText>
      </w:r>
      <w:r>
        <w:rPr>
          <w:lang w:val="es-ES_tradnl"/>
        </w:rPr>
        <w:fldChar w:fldCharType="separate"/>
      </w:r>
      <w:r w:rsidRPr="00402783">
        <w:rPr>
          <w:noProof/>
          <w:lang w:val="es-ES_tradnl"/>
        </w:rPr>
        <w:t>(2009)</w:t>
      </w:r>
      <w:r>
        <w:rPr>
          <w:lang w:val="es-ES_tradnl"/>
        </w:rPr>
        <w:fldChar w:fldCharType="end"/>
      </w:r>
      <w:r w:rsidRPr="00126D08">
        <w:rPr>
          <w:lang w:val="es-ES_tradnl"/>
        </w:rPr>
        <w:t xml:space="preserve"> ha propuesto una interpretación muy similar de las presuposiciones con indéxicos como “yo” pero sus variables representan predicados, mientras los neutrales son variables nominales introducidas para representar </w:t>
      </w:r>
      <w:r w:rsidRPr="00126D08">
        <w:rPr>
          <w:i/>
          <w:lang w:val="es-ES_tradnl"/>
        </w:rPr>
        <w:t>agentes</w:t>
      </w:r>
      <w:r w:rsidRPr="00126D08">
        <w:rPr>
          <w:lang w:val="es-ES_tradnl"/>
        </w:rPr>
        <w:t xml:space="preserve"> o </w:t>
      </w:r>
      <w:r w:rsidRPr="00126D08">
        <w:rPr>
          <w:i/>
          <w:lang w:val="es-ES_tradnl"/>
        </w:rPr>
        <w:t>emisores</w:t>
      </w:r>
      <w:r w:rsidRPr="00126D08">
        <w:rPr>
          <w:lang w:val="es-ES_tradnl"/>
        </w:rPr>
        <w:t xml:space="preserve"> de un contexto. </w:t>
      </w:r>
      <w:r>
        <w:rPr>
          <w:lang w:val="es-ES_tradnl"/>
        </w:rPr>
        <w:t xml:space="preserve">En todo caso, el vínculo entre neutrales y predicación es estrecho </w:t>
      </w:r>
      <w:r w:rsidR="00BE5961">
        <w:rPr>
          <w:lang w:val="es-ES_tradnl"/>
        </w:rPr>
        <w:t>dada</w:t>
      </w:r>
      <w:r>
        <w:rPr>
          <w:lang w:val="es-ES_tradnl"/>
        </w:rPr>
        <w:t xml:space="preserve"> nuestra noción de predicación paramétrica.</w:t>
      </w:r>
    </w:p>
  </w:endnote>
  <w:endnote w:id="4">
    <w:p w14:paraId="6E43CCF6" w14:textId="1370C926" w:rsidR="007C3A7D" w:rsidRPr="007C3A7D" w:rsidRDefault="007C3A7D">
      <w:pPr>
        <w:pStyle w:val="Textonotaalfinal"/>
        <w:rPr>
          <w:lang w:val="es-ES_tradnl"/>
        </w:rPr>
      </w:pPr>
      <w:r>
        <w:rPr>
          <w:rStyle w:val="Refdenotaalfinal"/>
        </w:rPr>
        <w:endnoteRef/>
      </w:r>
      <w:r>
        <w:t xml:space="preserve"> </w:t>
      </w:r>
      <w:r>
        <w:rPr>
          <w:lang w:val="es-ES_tradnl"/>
        </w:rPr>
        <w:t>Por limitaciones de espacio dejamos de lado las</w:t>
      </w:r>
      <w:r>
        <w:rPr>
          <w:vanish/>
          <w:lang w:val="es-ES_tradnl"/>
        </w:rPr>
        <w:t>la plicaciones trae espacio dejamos de lado la discusioem</w:t>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vanish/>
          <w:lang w:val="es-ES_tradnl"/>
        </w:rPr>
        <w:pgNum/>
      </w:r>
      <w:r>
        <w:rPr>
          <w:lang w:val="es-ES_tradnl"/>
        </w:rPr>
        <w:t xml:space="preserve"> implicaciones trae la anáfora asociada con la predicación paramétrica para modelos que toman como base una visión composicional clásica de la presuposición en términos de proyección como el descrito en la sección 1.2, así como el impacto que pueda traer nuestro modelo de análisis para discusiones sobre la composicionalidad del significado. (Stainton 2009) ofrece una perspectiva compatible con la nuestra desde filosofía del lenguaje orientada por la lingüística y separa la explicación de propiedades lógicas de las propiedades intrínsecas de oraciones, mientras (Iacona 2018) presenta una discusión completa en la misma dirección desde la filosofía de la lógica. </w:t>
      </w:r>
    </w:p>
  </w:endnote>
  <w:endnote w:id="5">
    <w:p w14:paraId="0EABD9CE" w14:textId="2D63C036" w:rsidR="007C3A7D" w:rsidRDefault="007C3A7D">
      <w:pPr>
        <w:pStyle w:val="Textonotaalfinal"/>
      </w:pPr>
      <w:r w:rsidRPr="0042376B">
        <w:rPr>
          <w:rStyle w:val="Refdenotaalfinal"/>
        </w:rPr>
        <w:endnoteRef/>
      </w:r>
      <w:r>
        <w:t xml:space="preserve"> Ver </w:t>
      </w:r>
      <w:r w:rsidRPr="003752ED">
        <w:rPr>
          <w:noProof/>
          <w:lang w:val="es-ES"/>
        </w:rPr>
        <w:t>Jaszczolt</w:t>
      </w:r>
      <w:r>
        <w:t xml:space="preserve"> </w:t>
      </w:r>
      <w:r>
        <w:fldChar w:fldCharType="begin" w:fldLock="1"/>
      </w:r>
      <w:r>
        <w:instrText>ADDIN CSL_CITATION {"citationItems":[{"id":"ITEM-1","itemData":{"author":[{"dropping-particle":"","family":"Jaszczolt","given":"Kasia M","non-dropping-particle":"","parse-names":false,"suffix":""}],"id":"ITEM-1","issued":{"date-parts":[["2016"]]},"publisher":"Oxford University Press","title":"Meaning in linguistic interaction: Semantics, metasemantics, philosophy of language","type":"book"},"suppress-author":1,"uris":["http://www.mendeley.com/documents/?uuid=703dcfea-4340-421b-95a6-760058103251"]}],"mendeley":{"formattedCitation":"(2016)","plainTextFormattedCitation":"(2016)","previouslyFormattedCitation":"(2016)"},"properties":{"noteIndex":0},"schema":"https://github.com/citation-style-language/schema/raw/master/csl-citation.json"}</w:instrText>
      </w:r>
      <w:r>
        <w:fldChar w:fldCharType="separate"/>
      </w:r>
      <w:r w:rsidRPr="00132989">
        <w:rPr>
          <w:noProof/>
        </w:rPr>
        <w:t>(2016)</w:t>
      </w:r>
      <w:r>
        <w:fldChar w:fldCharType="end"/>
      </w:r>
      <w:r>
        <w:t xml:space="preserve"> para una observación similar sobre el uso de experimentos en lingüística en general.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 Pro">
    <w:altName w:val="Calibri"/>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590050"/>
      <w:docPartObj>
        <w:docPartGallery w:val="Page Numbers (Bottom of Page)"/>
        <w:docPartUnique/>
      </w:docPartObj>
    </w:sdtPr>
    <w:sdtEndPr>
      <w:rPr>
        <w:noProof/>
      </w:rPr>
    </w:sdtEndPr>
    <w:sdtContent>
      <w:p w14:paraId="3C70E251" w14:textId="13D80A7F" w:rsidR="007C3A7D" w:rsidRDefault="007C3A7D">
        <w:pPr>
          <w:pStyle w:val="Piedepgina"/>
          <w:jc w:val="right"/>
        </w:pPr>
        <w:r>
          <w:fldChar w:fldCharType="begin"/>
        </w:r>
        <w:r>
          <w:instrText xml:space="preserve"> PAGE   \* MERGEFORMAT </w:instrText>
        </w:r>
        <w:r>
          <w:fldChar w:fldCharType="separate"/>
        </w:r>
        <w:r>
          <w:rPr>
            <w:noProof/>
          </w:rPr>
          <w:t>29</w:t>
        </w:r>
        <w:r>
          <w:rPr>
            <w:noProof/>
          </w:rPr>
          <w:fldChar w:fldCharType="end"/>
        </w:r>
      </w:p>
    </w:sdtContent>
  </w:sdt>
  <w:p w14:paraId="176AC9C5" w14:textId="77777777" w:rsidR="007C3A7D" w:rsidRDefault="007C3A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0E1C0" w14:textId="77777777" w:rsidR="004D3F07" w:rsidRDefault="004D3F07" w:rsidP="003659A2">
      <w:r>
        <w:separator/>
      </w:r>
    </w:p>
  </w:footnote>
  <w:footnote w:type="continuationSeparator" w:id="0">
    <w:p w14:paraId="05DE8A8F" w14:textId="77777777" w:rsidR="004D3F07" w:rsidRDefault="004D3F07" w:rsidP="003659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B3872"/>
    <w:multiLevelType w:val="hybridMultilevel"/>
    <w:tmpl w:val="B5C6F200"/>
    <w:lvl w:ilvl="0" w:tplc="5B4268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D139FE"/>
    <w:multiLevelType w:val="hybridMultilevel"/>
    <w:tmpl w:val="B5C6F200"/>
    <w:lvl w:ilvl="0" w:tplc="5B42681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D46876"/>
    <w:multiLevelType w:val="multilevel"/>
    <w:tmpl w:val="69E4DF8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F892D8F"/>
    <w:multiLevelType w:val="hybridMultilevel"/>
    <w:tmpl w:val="BD32D58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47136E74"/>
    <w:multiLevelType w:val="hybridMultilevel"/>
    <w:tmpl w:val="6472DFFA"/>
    <w:lvl w:ilvl="0" w:tplc="35903EC0">
      <w:start w:val="1"/>
      <w:numFmt w:val="decimal"/>
      <w:lvlText w:val="(%1)"/>
      <w:lvlJc w:val="left"/>
      <w:pPr>
        <w:ind w:left="1080" w:hanging="360"/>
      </w:pPr>
      <w:rPr>
        <w:rFonts w:hint="default"/>
        <w:i w:val="0"/>
        <w:i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C41A27"/>
    <w:multiLevelType w:val="hybridMultilevel"/>
    <w:tmpl w:val="9FB67D68"/>
    <w:lvl w:ilvl="0" w:tplc="45B22E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18D7E65"/>
    <w:multiLevelType w:val="multilevel"/>
    <w:tmpl w:val="D0D0327C"/>
    <w:lvl w:ilvl="0">
      <w:start w:val="1"/>
      <w:numFmt w:val="decimal"/>
      <w:lvlText w:val="%1."/>
      <w:lvlJc w:val="left"/>
      <w:pPr>
        <w:ind w:left="720" w:hanging="360"/>
      </w:pPr>
      <w:rPr>
        <w:rFonts w:hint="default"/>
      </w:rPr>
    </w:lvl>
    <w:lvl w:ilvl="1">
      <w:start w:val="1"/>
      <w:numFmt w:val="decimal"/>
      <w:isLgl/>
      <w:lvlText w:val="%1.%2."/>
      <w:lvlJc w:val="left"/>
      <w:pPr>
        <w:ind w:left="54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2F26CFD"/>
    <w:multiLevelType w:val="hybridMultilevel"/>
    <w:tmpl w:val="C472DB20"/>
    <w:lvl w:ilvl="0" w:tplc="9884878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74E84A35"/>
    <w:multiLevelType w:val="hybridMultilevel"/>
    <w:tmpl w:val="EDD0E7D6"/>
    <w:lvl w:ilvl="0" w:tplc="599665E8">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22492784">
    <w:abstractNumId w:val="3"/>
  </w:num>
  <w:num w:numId="2" w16cid:durableId="1893298619">
    <w:abstractNumId w:val="4"/>
  </w:num>
  <w:num w:numId="3" w16cid:durableId="1840190697">
    <w:abstractNumId w:val="8"/>
  </w:num>
  <w:num w:numId="4" w16cid:durableId="1062488490">
    <w:abstractNumId w:val="7"/>
  </w:num>
  <w:num w:numId="5" w16cid:durableId="907106577">
    <w:abstractNumId w:val="0"/>
  </w:num>
  <w:num w:numId="6" w16cid:durableId="1707214205">
    <w:abstractNumId w:val="1"/>
  </w:num>
  <w:num w:numId="7" w16cid:durableId="624581895">
    <w:abstractNumId w:val="6"/>
  </w:num>
  <w:num w:numId="8" w16cid:durableId="1064061540">
    <w:abstractNumId w:val="5"/>
  </w:num>
  <w:num w:numId="9" w16cid:durableId="12128855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AB8"/>
    <w:rsid w:val="00005C00"/>
    <w:rsid w:val="00007110"/>
    <w:rsid w:val="00016EAA"/>
    <w:rsid w:val="00020F0D"/>
    <w:rsid w:val="00026236"/>
    <w:rsid w:val="000262B8"/>
    <w:rsid w:val="000351DE"/>
    <w:rsid w:val="0003685E"/>
    <w:rsid w:val="00040ACE"/>
    <w:rsid w:val="000424D2"/>
    <w:rsid w:val="0004303D"/>
    <w:rsid w:val="000434F4"/>
    <w:rsid w:val="00047802"/>
    <w:rsid w:val="000519F0"/>
    <w:rsid w:val="00052E64"/>
    <w:rsid w:val="0005413B"/>
    <w:rsid w:val="0005770D"/>
    <w:rsid w:val="00065454"/>
    <w:rsid w:val="000657DD"/>
    <w:rsid w:val="00072895"/>
    <w:rsid w:val="00073F80"/>
    <w:rsid w:val="000805FB"/>
    <w:rsid w:val="0009063B"/>
    <w:rsid w:val="00091A4F"/>
    <w:rsid w:val="00094AD5"/>
    <w:rsid w:val="00094DEC"/>
    <w:rsid w:val="000A3736"/>
    <w:rsid w:val="000A620B"/>
    <w:rsid w:val="000A71FB"/>
    <w:rsid w:val="000A797B"/>
    <w:rsid w:val="000B1126"/>
    <w:rsid w:val="000B4E24"/>
    <w:rsid w:val="000B5A7D"/>
    <w:rsid w:val="000B64B7"/>
    <w:rsid w:val="000B7D4F"/>
    <w:rsid w:val="000C7AF5"/>
    <w:rsid w:val="000D12E1"/>
    <w:rsid w:val="000D1C89"/>
    <w:rsid w:val="000D1EB4"/>
    <w:rsid w:val="000D5B90"/>
    <w:rsid w:val="000E5BB2"/>
    <w:rsid w:val="000E77A8"/>
    <w:rsid w:val="000F2443"/>
    <w:rsid w:val="000F35A3"/>
    <w:rsid w:val="000F51C0"/>
    <w:rsid w:val="000F686B"/>
    <w:rsid w:val="000F6E47"/>
    <w:rsid w:val="000F7707"/>
    <w:rsid w:val="000F782D"/>
    <w:rsid w:val="001035AA"/>
    <w:rsid w:val="00103F0E"/>
    <w:rsid w:val="00113427"/>
    <w:rsid w:val="00120D44"/>
    <w:rsid w:val="00120F4B"/>
    <w:rsid w:val="0012117F"/>
    <w:rsid w:val="001260BE"/>
    <w:rsid w:val="00126D08"/>
    <w:rsid w:val="00127B99"/>
    <w:rsid w:val="00130FED"/>
    <w:rsid w:val="00131DCB"/>
    <w:rsid w:val="00132989"/>
    <w:rsid w:val="0013301F"/>
    <w:rsid w:val="00133A99"/>
    <w:rsid w:val="00134E8A"/>
    <w:rsid w:val="00140693"/>
    <w:rsid w:val="0014172A"/>
    <w:rsid w:val="00142B22"/>
    <w:rsid w:val="0014354A"/>
    <w:rsid w:val="00145EC7"/>
    <w:rsid w:val="00147B4F"/>
    <w:rsid w:val="00154178"/>
    <w:rsid w:val="00160AB0"/>
    <w:rsid w:val="001615CF"/>
    <w:rsid w:val="0016375C"/>
    <w:rsid w:val="001653DA"/>
    <w:rsid w:val="00167513"/>
    <w:rsid w:val="00167A19"/>
    <w:rsid w:val="001716B0"/>
    <w:rsid w:val="00174A07"/>
    <w:rsid w:val="001766E0"/>
    <w:rsid w:val="00177ABE"/>
    <w:rsid w:val="00181BD5"/>
    <w:rsid w:val="00181F5F"/>
    <w:rsid w:val="001843ED"/>
    <w:rsid w:val="00197DF6"/>
    <w:rsid w:val="001A09F4"/>
    <w:rsid w:val="001A285C"/>
    <w:rsid w:val="001A311B"/>
    <w:rsid w:val="001A3E2F"/>
    <w:rsid w:val="001A4809"/>
    <w:rsid w:val="001B0CB6"/>
    <w:rsid w:val="001B53C7"/>
    <w:rsid w:val="001B7BBA"/>
    <w:rsid w:val="001B7BC9"/>
    <w:rsid w:val="001C130D"/>
    <w:rsid w:val="001C2701"/>
    <w:rsid w:val="001D1146"/>
    <w:rsid w:val="001D1E58"/>
    <w:rsid w:val="001D666E"/>
    <w:rsid w:val="001E3C15"/>
    <w:rsid w:val="001F274B"/>
    <w:rsid w:val="001F7C7E"/>
    <w:rsid w:val="0020118E"/>
    <w:rsid w:val="00207CA8"/>
    <w:rsid w:val="00207F20"/>
    <w:rsid w:val="00211283"/>
    <w:rsid w:val="0021385B"/>
    <w:rsid w:val="00213CD0"/>
    <w:rsid w:val="00227FE9"/>
    <w:rsid w:val="00230604"/>
    <w:rsid w:val="00234D83"/>
    <w:rsid w:val="00236B68"/>
    <w:rsid w:val="00236DBD"/>
    <w:rsid w:val="002425C2"/>
    <w:rsid w:val="00245BC9"/>
    <w:rsid w:val="00257899"/>
    <w:rsid w:val="002605C6"/>
    <w:rsid w:val="002657C7"/>
    <w:rsid w:val="002668E2"/>
    <w:rsid w:val="00267DCE"/>
    <w:rsid w:val="002741A8"/>
    <w:rsid w:val="002743D9"/>
    <w:rsid w:val="0028071D"/>
    <w:rsid w:val="00280E21"/>
    <w:rsid w:val="002848D2"/>
    <w:rsid w:val="002879E7"/>
    <w:rsid w:val="00293A3B"/>
    <w:rsid w:val="00293E64"/>
    <w:rsid w:val="00295D12"/>
    <w:rsid w:val="00297090"/>
    <w:rsid w:val="002A0667"/>
    <w:rsid w:val="002A3577"/>
    <w:rsid w:val="002A47BA"/>
    <w:rsid w:val="002B2ECF"/>
    <w:rsid w:val="002B6D1E"/>
    <w:rsid w:val="002C01E0"/>
    <w:rsid w:val="002C4E23"/>
    <w:rsid w:val="002C7333"/>
    <w:rsid w:val="002D0D08"/>
    <w:rsid w:val="002D1601"/>
    <w:rsid w:val="002D3391"/>
    <w:rsid w:val="002D5B9D"/>
    <w:rsid w:val="002E16DA"/>
    <w:rsid w:val="002F246F"/>
    <w:rsid w:val="002F64B5"/>
    <w:rsid w:val="003016FF"/>
    <w:rsid w:val="003046C0"/>
    <w:rsid w:val="00307EBB"/>
    <w:rsid w:val="00311650"/>
    <w:rsid w:val="00314BBE"/>
    <w:rsid w:val="003209A3"/>
    <w:rsid w:val="0032105B"/>
    <w:rsid w:val="003217CC"/>
    <w:rsid w:val="00321CA9"/>
    <w:rsid w:val="00332879"/>
    <w:rsid w:val="00343858"/>
    <w:rsid w:val="0034467A"/>
    <w:rsid w:val="00347F7C"/>
    <w:rsid w:val="003502AB"/>
    <w:rsid w:val="003502F4"/>
    <w:rsid w:val="0035149D"/>
    <w:rsid w:val="00351A1A"/>
    <w:rsid w:val="00354FAA"/>
    <w:rsid w:val="00355363"/>
    <w:rsid w:val="003606C3"/>
    <w:rsid w:val="0036100A"/>
    <w:rsid w:val="003625DB"/>
    <w:rsid w:val="003659A2"/>
    <w:rsid w:val="00373D4D"/>
    <w:rsid w:val="00374D08"/>
    <w:rsid w:val="003752ED"/>
    <w:rsid w:val="00376103"/>
    <w:rsid w:val="003865D1"/>
    <w:rsid w:val="0038724A"/>
    <w:rsid w:val="003924B3"/>
    <w:rsid w:val="00395667"/>
    <w:rsid w:val="00395C91"/>
    <w:rsid w:val="003968FB"/>
    <w:rsid w:val="00396E30"/>
    <w:rsid w:val="003A4DDE"/>
    <w:rsid w:val="003A6C40"/>
    <w:rsid w:val="003B0C5B"/>
    <w:rsid w:val="003B3C37"/>
    <w:rsid w:val="003B437D"/>
    <w:rsid w:val="003B4DFC"/>
    <w:rsid w:val="003B4FB5"/>
    <w:rsid w:val="003B5075"/>
    <w:rsid w:val="003C13A2"/>
    <w:rsid w:val="003C1E5D"/>
    <w:rsid w:val="003C2B8C"/>
    <w:rsid w:val="003C5511"/>
    <w:rsid w:val="003D1381"/>
    <w:rsid w:val="003D2031"/>
    <w:rsid w:val="003D2EE7"/>
    <w:rsid w:val="003D4025"/>
    <w:rsid w:val="003D40AE"/>
    <w:rsid w:val="003E5D40"/>
    <w:rsid w:val="0040080B"/>
    <w:rsid w:val="00402783"/>
    <w:rsid w:val="004032F1"/>
    <w:rsid w:val="004041FA"/>
    <w:rsid w:val="00407EF8"/>
    <w:rsid w:val="004113E3"/>
    <w:rsid w:val="00413846"/>
    <w:rsid w:val="00422D10"/>
    <w:rsid w:val="0042376B"/>
    <w:rsid w:val="00426A01"/>
    <w:rsid w:val="00440182"/>
    <w:rsid w:val="00441A21"/>
    <w:rsid w:val="00444008"/>
    <w:rsid w:val="00446646"/>
    <w:rsid w:val="00447CB9"/>
    <w:rsid w:val="00451A1F"/>
    <w:rsid w:val="004534BA"/>
    <w:rsid w:val="0045781D"/>
    <w:rsid w:val="0045781E"/>
    <w:rsid w:val="0045789B"/>
    <w:rsid w:val="0046309E"/>
    <w:rsid w:val="0046362B"/>
    <w:rsid w:val="0046569E"/>
    <w:rsid w:val="00466A11"/>
    <w:rsid w:val="004703C3"/>
    <w:rsid w:val="00472B3F"/>
    <w:rsid w:val="00473760"/>
    <w:rsid w:val="00474F52"/>
    <w:rsid w:val="00487CDD"/>
    <w:rsid w:val="004947B1"/>
    <w:rsid w:val="0049585F"/>
    <w:rsid w:val="00496F6C"/>
    <w:rsid w:val="004A18E3"/>
    <w:rsid w:val="004A371E"/>
    <w:rsid w:val="004B4AE1"/>
    <w:rsid w:val="004B6D99"/>
    <w:rsid w:val="004B7086"/>
    <w:rsid w:val="004C207A"/>
    <w:rsid w:val="004C3747"/>
    <w:rsid w:val="004C3C23"/>
    <w:rsid w:val="004C4E61"/>
    <w:rsid w:val="004C518F"/>
    <w:rsid w:val="004D0D12"/>
    <w:rsid w:val="004D349C"/>
    <w:rsid w:val="004D3F07"/>
    <w:rsid w:val="004D61B2"/>
    <w:rsid w:val="004D7E34"/>
    <w:rsid w:val="004E11F8"/>
    <w:rsid w:val="004E6843"/>
    <w:rsid w:val="004E6DF2"/>
    <w:rsid w:val="004E7FB6"/>
    <w:rsid w:val="004F21EA"/>
    <w:rsid w:val="004F4795"/>
    <w:rsid w:val="005017B6"/>
    <w:rsid w:val="00503331"/>
    <w:rsid w:val="00505AAE"/>
    <w:rsid w:val="00507133"/>
    <w:rsid w:val="005074EA"/>
    <w:rsid w:val="0051171E"/>
    <w:rsid w:val="0051733D"/>
    <w:rsid w:val="005225C6"/>
    <w:rsid w:val="00525AF0"/>
    <w:rsid w:val="0053086D"/>
    <w:rsid w:val="00531FAF"/>
    <w:rsid w:val="005341C7"/>
    <w:rsid w:val="00534545"/>
    <w:rsid w:val="005442FB"/>
    <w:rsid w:val="005569E5"/>
    <w:rsid w:val="00566D1F"/>
    <w:rsid w:val="00567BF8"/>
    <w:rsid w:val="00567CC3"/>
    <w:rsid w:val="005758C9"/>
    <w:rsid w:val="00577DF2"/>
    <w:rsid w:val="005832AF"/>
    <w:rsid w:val="005906CB"/>
    <w:rsid w:val="00594453"/>
    <w:rsid w:val="00597B29"/>
    <w:rsid w:val="005A1F79"/>
    <w:rsid w:val="005A6013"/>
    <w:rsid w:val="005A76CB"/>
    <w:rsid w:val="005B0478"/>
    <w:rsid w:val="005B62A6"/>
    <w:rsid w:val="005B6F79"/>
    <w:rsid w:val="005B70C0"/>
    <w:rsid w:val="005B7DCF"/>
    <w:rsid w:val="005C5934"/>
    <w:rsid w:val="005C5959"/>
    <w:rsid w:val="005C5DA8"/>
    <w:rsid w:val="005C6EB2"/>
    <w:rsid w:val="005C72A4"/>
    <w:rsid w:val="005D0242"/>
    <w:rsid w:val="005D61A4"/>
    <w:rsid w:val="005D6970"/>
    <w:rsid w:val="005D6F53"/>
    <w:rsid w:val="005E1AC3"/>
    <w:rsid w:val="005E34A6"/>
    <w:rsid w:val="005E601A"/>
    <w:rsid w:val="005F421A"/>
    <w:rsid w:val="005F49EC"/>
    <w:rsid w:val="006008A0"/>
    <w:rsid w:val="00610F0E"/>
    <w:rsid w:val="00620772"/>
    <w:rsid w:val="00625720"/>
    <w:rsid w:val="00625E5B"/>
    <w:rsid w:val="006279E4"/>
    <w:rsid w:val="0063201C"/>
    <w:rsid w:val="00641334"/>
    <w:rsid w:val="006419AD"/>
    <w:rsid w:val="0064429F"/>
    <w:rsid w:val="00645521"/>
    <w:rsid w:val="006512C1"/>
    <w:rsid w:val="0065211A"/>
    <w:rsid w:val="0065448A"/>
    <w:rsid w:val="006544F2"/>
    <w:rsid w:val="00656FD9"/>
    <w:rsid w:val="00657FB3"/>
    <w:rsid w:val="0066475B"/>
    <w:rsid w:val="00665743"/>
    <w:rsid w:val="00667C97"/>
    <w:rsid w:val="006700A3"/>
    <w:rsid w:val="00670300"/>
    <w:rsid w:val="00672207"/>
    <w:rsid w:val="00672BE4"/>
    <w:rsid w:val="00673FFA"/>
    <w:rsid w:val="00674864"/>
    <w:rsid w:val="00675EA4"/>
    <w:rsid w:val="00680C7F"/>
    <w:rsid w:val="00681E3D"/>
    <w:rsid w:val="00683912"/>
    <w:rsid w:val="00683976"/>
    <w:rsid w:val="00684850"/>
    <w:rsid w:val="00686B80"/>
    <w:rsid w:val="00686D16"/>
    <w:rsid w:val="00687C89"/>
    <w:rsid w:val="00692460"/>
    <w:rsid w:val="006957E7"/>
    <w:rsid w:val="006A0A17"/>
    <w:rsid w:val="006A0AA8"/>
    <w:rsid w:val="006A5305"/>
    <w:rsid w:val="006A5AA4"/>
    <w:rsid w:val="006A61CD"/>
    <w:rsid w:val="006B1099"/>
    <w:rsid w:val="006B255B"/>
    <w:rsid w:val="006B4B58"/>
    <w:rsid w:val="006B78AF"/>
    <w:rsid w:val="006C2A88"/>
    <w:rsid w:val="006C45C6"/>
    <w:rsid w:val="006C7821"/>
    <w:rsid w:val="006D2071"/>
    <w:rsid w:val="006D467A"/>
    <w:rsid w:val="006E0F25"/>
    <w:rsid w:val="006E32C0"/>
    <w:rsid w:val="006F3212"/>
    <w:rsid w:val="006F38CE"/>
    <w:rsid w:val="006F7842"/>
    <w:rsid w:val="00700B76"/>
    <w:rsid w:val="00700BB7"/>
    <w:rsid w:val="00707206"/>
    <w:rsid w:val="00711725"/>
    <w:rsid w:val="00715246"/>
    <w:rsid w:val="00715ADE"/>
    <w:rsid w:val="00720B1F"/>
    <w:rsid w:val="007212BA"/>
    <w:rsid w:val="00727713"/>
    <w:rsid w:val="00731BFD"/>
    <w:rsid w:val="00732D31"/>
    <w:rsid w:val="0073367F"/>
    <w:rsid w:val="00733B51"/>
    <w:rsid w:val="007404FB"/>
    <w:rsid w:val="00744C72"/>
    <w:rsid w:val="007463ED"/>
    <w:rsid w:val="0075130B"/>
    <w:rsid w:val="00754AB8"/>
    <w:rsid w:val="0075637B"/>
    <w:rsid w:val="007652F5"/>
    <w:rsid w:val="00777E21"/>
    <w:rsid w:val="00784F8C"/>
    <w:rsid w:val="00786F1D"/>
    <w:rsid w:val="00787E55"/>
    <w:rsid w:val="00790886"/>
    <w:rsid w:val="00790E5E"/>
    <w:rsid w:val="00795AC1"/>
    <w:rsid w:val="0079780E"/>
    <w:rsid w:val="007A5225"/>
    <w:rsid w:val="007A72F9"/>
    <w:rsid w:val="007B4E23"/>
    <w:rsid w:val="007C03ED"/>
    <w:rsid w:val="007C159A"/>
    <w:rsid w:val="007C3A7D"/>
    <w:rsid w:val="007C428B"/>
    <w:rsid w:val="007C5D6D"/>
    <w:rsid w:val="007D00EC"/>
    <w:rsid w:val="007E1FDD"/>
    <w:rsid w:val="007E45B5"/>
    <w:rsid w:val="007E706B"/>
    <w:rsid w:val="007F02D5"/>
    <w:rsid w:val="007F05B8"/>
    <w:rsid w:val="007F1453"/>
    <w:rsid w:val="007F40F6"/>
    <w:rsid w:val="00801F76"/>
    <w:rsid w:val="00803D5A"/>
    <w:rsid w:val="00816B99"/>
    <w:rsid w:val="00817A36"/>
    <w:rsid w:val="00820573"/>
    <w:rsid w:val="00820836"/>
    <w:rsid w:val="0082097E"/>
    <w:rsid w:val="00822065"/>
    <w:rsid w:val="0082390A"/>
    <w:rsid w:val="00824EB8"/>
    <w:rsid w:val="008254E6"/>
    <w:rsid w:val="00826EB5"/>
    <w:rsid w:val="00832998"/>
    <w:rsid w:val="00834EC3"/>
    <w:rsid w:val="008359FC"/>
    <w:rsid w:val="00836D74"/>
    <w:rsid w:val="00847704"/>
    <w:rsid w:val="0084773C"/>
    <w:rsid w:val="00850F55"/>
    <w:rsid w:val="00851858"/>
    <w:rsid w:val="00854FFC"/>
    <w:rsid w:val="00857631"/>
    <w:rsid w:val="00862758"/>
    <w:rsid w:val="008631AA"/>
    <w:rsid w:val="008634BA"/>
    <w:rsid w:val="00863D7F"/>
    <w:rsid w:val="00863FE2"/>
    <w:rsid w:val="008829A8"/>
    <w:rsid w:val="00891D80"/>
    <w:rsid w:val="00891EC9"/>
    <w:rsid w:val="008A1D30"/>
    <w:rsid w:val="008A67EE"/>
    <w:rsid w:val="008A7385"/>
    <w:rsid w:val="008B2B74"/>
    <w:rsid w:val="008B6217"/>
    <w:rsid w:val="008B6705"/>
    <w:rsid w:val="008B7D2F"/>
    <w:rsid w:val="008C173B"/>
    <w:rsid w:val="008C29D2"/>
    <w:rsid w:val="008C5C74"/>
    <w:rsid w:val="008C7AA4"/>
    <w:rsid w:val="008D1C76"/>
    <w:rsid w:val="008D3F71"/>
    <w:rsid w:val="008D5FE2"/>
    <w:rsid w:val="008D7579"/>
    <w:rsid w:val="008E392E"/>
    <w:rsid w:val="008E44CD"/>
    <w:rsid w:val="008E49DE"/>
    <w:rsid w:val="008E6273"/>
    <w:rsid w:val="008E7802"/>
    <w:rsid w:val="008F01EF"/>
    <w:rsid w:val="009003DC"/>
    <w:rsid w:val="00904B78"/>
    <w:rsid w:val="00905F6C"/>
    <w:rsid w:val="00916197"/>
    <w:rsid w:val="0091683B"/>
    <w:rsid w:val="00921BC0"/>
    <w:rsid w:val="00924479"/>
    <w:rsid w:val="00930709"/>
    <w:rsid w:val="00932EE9"/>
    <w:rsid w:val="00933EAC"/>
    <w:rsid w:val="00936769"/>
    <w:rsid w:val="00936B85"/>
    <w:rsid w:val="00940966"/>
    <w:rsid w:val="009411D2"/>
    <w:rsid w:val="00943532"/>
    <w:rsid w:val="0094439D"/>
    <w:rsid w:val="009472FB"/>
    <w:rsid w:val="00954822"/>
    <w:rsid w:val="0096168A"/>
    <w:rsid w:val="009620E8"/>
    <w:rsid w:val="00962DCE"/>
    <w:rsid w:val="0096464B"/>
    <w:rsid w:val="00965FD1"/>
    <w:rsid w:val="0097155D"/>
    <w:rsid w:val="00974A13"/>
    <w:rsid w:val="00974D42"/>
    <w:rsid w:val="00975B72"/>
    <w:rsid w:val="00975C65"/>
    <w:rsid w:val="00977883"/>
    <w:rsid w:val="009805B6"/>
    <w:rsid w:val="0098376F"/>
    <w:rsid w:val="00983B51"/>
    <w:rsid w:val="0098445A"/>
    <w:rsid w:val="00991EE2"/>
    <w:rsid w:val="009955C4"/>
    <w:rsid w:val="009A15FF"/>
    <w:rsid w:val="009A2C5B"/>
    <w:rsid w:val="009A3691"/>
    <w:rsid w:val="009A632B"/>
    <w:rsid w:val="009A7469"/>
    <w:rsid w:val="009D2344"/>
    <w:rsid w:val="009D7605"/>
    <w:rsid w:val="009E10D7"/>
    <w:rsid w:val="009E20A0"/>
    <w:rsid w:val="009E54F8"/>
    <w:rsid w:val="009E64F9"/>
    <w:rsid w:val="00A31E51"/>
    <w:rsid w:val="00A32171"/>
    <w:rsid w:val="00A32E2C"/>
    <w:rsid w:val="00A3776B"/>
    <w:rsid w:val="00A37CA0"/>
    <w:rsid w:val="00A40A62"/>
    <w:rsid w:val="00A44ADE"/>
    <w:rsid w:val="00A46CCE"/>
    <w:rsid w:val="00A54513"/>
    <w:rsid w:val="00A65156"/>
    <w:rsid w:val="00A66034"/>
    <w:rsid w:val="00A720BA"/>
    <w:rsid w:val="00A8439D"/>
    <w:rsid w:val="00A8506B"/>
    <w:rsid w:val="00A90185"/>
    <w:rsid w:val="00A96A95"/>
    <w:rsid w:val="00A97323"/>
    <w:rsid w:val="00AA1301"/>
    <w:rsid w:val="00AB2C9D"/>
    <w:rsid w:val="00AC7F49"/>
    <w:rsid w:val="00AD1FD3"/>
    <w:rsid w:val="00AD2DA1"/>
    <w:rsid w:val="00AD57A0"/>
    <w:rsid w:val="00AE4314"/>
    <w:rsid w:val="00AE79D6"/>
    <w:rsid w:val="00AF59A3"/>
    <w:rsid w:val="00B01A34"/>
    <w:rsid w:val="00B032E8"/>
    <w:rsid w:val="00B03DEF"/>
    <w:rsid w:val="00B205DE"/>
    <w:rsid w:val="00B21108"/>
    <w:rsid w:val="00B302E6"/>
    <w:rsid w:val="00B41D83"/>
    <w:rsid w:val="00B44DE7"/>
    <w:rsid w:val="00B54097"/>
    <w:rsid w:val="00B57ACC"/>
    <w:rsid w:val="00B57C51"/>
    <w:rsid w:val="00B60FD1"/>
    <w:rsid w:val="00B642B6"/>
    <w:rsid w:val="00B67B09"/>
    <w:rsid w:val="00B726EC"/>
    <w:rsid w:val="00B726F7"/>
    <w:rsid w:val="00B735CF"/>
    <w:rsid w:val="00B74974"/>
    <w:rsid w:val="00B76B0C"/>
    <w:rsid w:val="00B76B86"/>
    <w:rsid w:val="00B832C8"/>
    <w:rsid w:val="00B84C86"/>
    <w:rsid w:val="00B85F83"/>
    <w:rsid w:val="00B86D80"/>
    <w:rsid w:val="00B86FD4"/>
    <w:rsid w:val="00B92AF5"/>
    <w:rsid w:val="00BA34A5"/>
    <w:rsid w:val="00BB1592"/>
    <w:rsid w:val="00BC30C8"/>
    <w:rsid w:val="00BC439B"/>
    <w:rsid w:val="00BC46CC"/>
    <w:rsid w:val="00BD12C5"/>
    <w:rsid w:val="00BD1651"/>
    <w:rsid w:val="00BD21FE"/>
    <w:rsid w:val="00BD58F0"/>
    <w:rsid w:val="00BD7B73"/>
    <w:rsid w:val="00BE0B3B"/>
    <w:rsid w:val="00BE1EDF"/>
    <w:rsid w:val="00BE36C5"/>
    <w:rsid w:val="00BE5961"/>
    <w:rsid w:val="00BE7264"/>
    <w:rsid w:val="00BF261A"/>
    <w:rsid w:val="00BF6614"/>
    <w:rsid w:val="00C01771"/>
    <w:rsid w:val="00C10FCB"/>
    <w:rsid w:val="00C111AB"/>
    <w:rsid w:val="00C14115"/>
    <w:rsid w:val="00C17263"/>
    <w:rsid w:val="00C20A0B"/>
    <w:rsid w:val="00C22D3B"/>
    <w:rsid w:val="00C23D36"/>
    <w:rsid w:val="00C353C0"/>
    <w:rsid w:val="00C3560E"/>
    <w:rsid w:val="00C43958"/>
    <w:rsid w:val="00C54BA4"/>
    <w:rsid w:val="00C611A2"/>
    <w:rsid w:val="00C61AC8"/>
    <w:rsid w:val="00C64816"/>
    <w:rsid w:val="00C656CE"/>
    <w:rsid w:val="00C75556"/>
    <w:rsid w:val="00C76937"/>
    <w:rsid w:val="00C81645"/>
    <w:rsid w:val="00C83128"/>
    <w:rsid w:val="00C92620"/>
    <w:rsid w:val="00C94718"/>
    <w:rsid w:val="00C95C27"/>
    <w:rsid w:val="00CA1B9A"/>
    <w:rsid w:val="00CA5142"/>
    <w:rsid w:val="00CA6E81"/>
    <w:rsid w:val="00CB1AAF"/>
    <w:rsid w:val="00CC020C"/>
    <w:rsid w:val="00CC06A4"/>
    <w:rsid w:val="00CC0B69"/>
    <w:rsid w:val="00CC434A"/>
    <w:rsid w:val="00CC5A74"/>
    <w:rsid w:val="00CC630D"/>
    <w:rsid w:val="00CD498C"/>
    <w:rsid w:val="00CD7A81"/>
    <w:rsid w:val="00CE44F2"/>
    <w:rsid w:val="00CE6AF6"/>
    <w:rsid w:val="00CE75F1"/>
    <w:rsid w:val="00CF0ADE"/>
    <w:rsid w:val="00CF4C3A"/>
    <w:rsid w:val="00D0347C"/>
    <w:rsid w:val="00D0400E"/>
    <w:rsid w:val="00D04206"/>
    <w:rsid w:val="00D12F8F"/>
    <w:rsid w:val="00D13ABC"/>
    <w:rsid w:val="00D1777A"/>
    <w:rsid w:val="00D216EA"/>
    <w:rsid w:val="00D22625"/>
    <w:rsid w:val="00D240F5"/>
    <w:rsid w:val="00D24697"/>
    <w:rsid w:val="00D25E93"/>
    <w:rsid w:val="00D3178A"/>
    <w:rsid w:val="00D35E65"/>
    <w:rsid w:val="00D3790D"/>
    <w:rsid w:val="00D40DFF"/>
    <w:rsid w:val="00D41172"/>
    <w:rsid w:val="00D45978"/>
    <w:rsid w:val="00D52149"/>
    <w:rsid w:val="00D535D1"/>
    <w:rsid w:val="00D54072"/>
    <w:rsid w:val="00D55435"/>
    <w:rsid w:val="00D5659E"/>
    <w:rsid w:val="00D56A26"/>
    <w:rsid w:val="00D605E6"/>
    <w:rsid w:val="00D60CC3"/>
    <w:rsid w:val="00D615CB"/>
    <w:rsid w:val="00D61E7D"/>
    <w:rsid w:val="00D62D5B"/>
    <w:rsid w:val="00D64CE4"/>
    <w:rsid w:val="00D70687"/>
    <w:rsid w:val="00D71052"/>
    <w:rsid w:val="00D75EC9"/>
    <w:rsid w:val="00D76F28"/>
    <w:rsid w:val="00D77416"/>
    <w:rsid w:val="00D778CC"/>
    <w:rsid w:val="00D8479E"/>
    <w:rsid w:val="00D848B3"/>
    <w:rsid w:val="00D86FD0"/>
    <w:rsid w:val="00D910AE"/>
    <w:rsid w:val="00D92070"/>
    <w:rsid w:val="00D924DD"/>
    <w:rsid w:val="00D9264C"/>
    <w:rsid w:val="00D93E9A"/>
    <w:rsid w:val="00D95F78"/>
    <w:rsid w:val="00DA1A9F"/>
    <w:rsid w:val="00DA35D7"/>
    <w:rsid w:val="00DB5339"/>
    <w:rsid w:val="00DC2025"/>
    <w:rsid w:val="00DC23B1"/>
    <w:rsid w:val="00DC2916"/>
    <w:rsid w:val="00DC7C65"/>
    <w:rsid w:val="00DD008F"/>
    <w:rsid w:val="00DD7919"/>
    <w:rsid w:val="00DD7ACE"/>
    <w:rsid w:val="00DE7438"/>
    <w:rsid w:val="00DF468A"/>
    <w:rsid w:val="00DF648B"/>
    <w:rsid w:val="00DF7AF1"/>
    <w:rsid w:val="00E01BAA"/>
    <w:rsid w:val="00E06DA3"/>
    <w:rsid w:val="00E070FF"/>
    <w:rsid w:val="00E21C6B"/>
    <w:rsid w:val="00E24419"/>
    <w:rsid w:val="00E258F3"/>
    <w:rsid w:val="00E316EC"/>
    <w:rsid w:val="00E407CD"/>
    <w:rsid w:val="00E411BF"/>
    <w:rsid w:val="00E4195B"/>
    <w:rsid w:val="00E436E4"/>
    <w:rsid w:val="00E47CE4"/>
    <w:rsid w:val="00E47D98"/>
    <w:rsid w:val="00E53F31"/>
    <w:rsid w:val="00E606F0"/>
    <w:rsid w:val="00E62416"/>
    <w:rsid w:val="00E6671B"/>
    <w:rsid w:val="00E70AED"/>
    <w:rsid w:val="00E741AD"/>
    <w:rsid w:val="00E767EF"/>
    <w:rsid w:val="00E85AD5"/>
    <w:rsid w:val="00E9274A"/>
    <w:rsid w:val="00EA13A0"/>
    <w:rsid w:val="00EA7534"/>
    <w:rsid w:val="00EC0768"/>
    <w:rsid w:val="00EC4DF6"/>
    <w:rsid w:val="00EC5247"/>
    <w:rsid w:val="00EC6F6B"/>
    <w:rsid w:val="00ED1CFA"/>
    <w:rsid w:val="00ED44AA"/>
    <w:rsid w:val="00EE00FB"/>
    <w:rsid w:val="00EE32DC"/>
    <w:rsid w:val="00EE3EC5"/>
    <w:rsid w:val="00EE5D84"/>
    <w:rsid w:val="00EE7DCE"/>
    <w:rsid w:val="00EF40A8"/>
    <w:rsid w:val="00EF42AA"/>
    <w:rsid w:val="00EF4D3D"/>
    <w:rsid w:val="00EF690D"/>
    <w:rsid w:val="00EF792F"/>
    <w:rsid w:val="00F005F2"/>
    <w:rsid w:val="00F01C29"/>
    <w:rsid w:val="00F02BC7"/>
    <w:rsid w:val="00F02DED"/>
    <w:rsid w:val="00F04FC4"/>
    <w:rsid w:val="00F07F49"/>
    <w:rsid w:val="00F10061"/>
    <w:rsid w:val="00F14E9D"/>
    <w:rsid w:val="00F203CC"/>
    <w:rsid w:val="00F21832"/>
    <w:rsid w:val="00F221DD"/>
    <w:rsid w:val="00F32560"/>
    <w:rsid w:val="00F35262"/>
    <w:rsid w:val="00F457BB"/>
    <w:rsid w:val="00F5664B"/>
    <w:rsid w:val="00F63157"/>
    <w:rsid w:val="00F65093"/>
    <w:rsid w:val="00F65CE2"/>
    <w:rsid w:val="00F73262"/>
    <w:rsid w:val="00F773B6"/>
    <w:rsid w:val="00F816D2"/>
    <w:rsid w:val="00F82CF7"/>
    <w:rsid w:val="00F871A6"/>
    <w:rsid w:val="00F90948"/>
    <w:rsid w:val="00F93A6A"/>
    <w:rsid w:val="00F94E93"/>
    <w:rsid w:val="00F97B89"/>
    <w:rsid w:val="00FA21A4"/>
    <w:rsid w:val="00FA2771"/>
    <w:rsid w:val="00FA3401"/>
    <w:rsid w:val="00FA34B9"/>
    <w:rsid w:val="00FA5B4D"/>
    <w:rsid w:val="00FA656E"/>
    <w:rsid w:val="00FB2EC1"/>
    <w:rsid w:val="00FB4FFF"/>
    <w:rsid w:val="00FB7D9C"/>
    <w:rsid w:val="00FC0A7C"/>
    <w:rsid w:val="00FC3A34"/>
    <w:rsid w:val="00FD0242"/>
    <w:rsid w:val="00FD6E8F"/>
    <w:rsid w:val="00FE4BF3"/>
    <w:rsid w:val="00FF0A5A"/>
    <w:rsid w:val="00FF4247"/>
    <w:rsid w:val="00FF5125"/>
    <w:rsid w:val="00FF78A8"/>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39A06E"/>
  <w15:docId w15:val="{80263654-3D51-4169-A5AB-7E09DFE65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s" w:eastAsia="es-ES_tradnl"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879"/>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lang w:val="es-CO"/>
    </w:rPr>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rPr>
  </w:style>
  <w:style w:type="paragraph" w:styleId="Ttulo5">
    <w:name w:val="heading 5"/>
    <w:basedOn w:val="Normal"/>
    <w:next w:val="Normal"/>
    <w:pPr>
      <w:keepNext/>
      <w:keepLines/>
      <w:spacing w:before="240" w:after="80"/>
      <w:outlineLvl w:val="4"/>
    </w:pPr>
    <w:rPr>
      <w:color w:val="666666"/>
      <w:sz w:val="22"/>
      <w:szCs w:val="22"/>
    </w:rPr>
  </w:style>
  <w:style w:type="paragraph" w:styleId="Ttulo6">
    <w:name w:val="heading 6"/>
    <w:basedOn w:val="Normal"/>
    <w:next w:val="Normal"/>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rFonts w:ascii="Arial" w:eastAsia="Arial" w:hAnsi="Arial" w:cs="Arial"/>
      <w:color w:val="666666"/>
      <w:sz w:val="30"/>
      <w:szCs w:val="30"/>
    </w:rPr>
  </w:style>
  <w:style w:type="table" w:customStyle="1" w:styleId="3">
    <w:name w:val="3"/>
    <w:basedOn w:val="TableNormal1"/>
    <w:tblPr>
      <w:tblStyleRowBandSize w:val="1"/>
      <w:tblStyleColBandSize w:val="1"/>
      <w:tblCellMar>
        <w:top w:w="100" w:type="dxa"/>
        <w:left w:w="100" w:type="dxa"/>
        <w:bottom w:w="100" w:type="dxa"/>
        <w:right w:w="100" w:type="dxa"/>
      </w:tblCellMar>
    </w:tblPr>
  </w:style>
  <w:style w:type="table" w:customStyle="1" w:styleId="2">
    <w:name w:val="2"/>
    <w:basedOn w:val="TableNormal1"/>
    <w:tblPr>
      <w:tblStyleRowBandSize w:val="1"/>
      <w:tblStyleColBandSize w:val="1"/>
      <w:tblCellMar>
        <w:top w:w="100" w:type="dxa"/>
        <w:left w:w="100" w:type="dxa"/>
        <w:bottom w:w="100" w:type="dxa"/>
        <w:right w:w="100" w:type="dxa"/>
      </w:tblCellMar>
    </w:tblPr>
  </w:style>
  <w:style w:type="table" w:customStyle="1" w:styleId="1">
    <w:name w:val="1"/>
    <w:basedOn w:val="TableNormal1"/>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332879"/>
    <w:pPr>
      <w:spacing w:before="100" w:beforeAutospacing="1" w:after="100" w:afterAutospacing="1"/>
    </w:pPr>
  </w:style>
  <w:style w:type="character" w:styleId="Textoennegrita">
    <w:name w:val="Strong"/>
    <w:basedOn w:val="Fuentedeprrafopredeter"/>
    <w:uiPriority w:val="22"/>
    <w:qFormat/>
    <w:rsid w:val="00332879"/>
    <w:rPr>
      <w:b/>
      <w:bCs/>
    </w:rPr>
  </w:style>
  <w:style w:type="paragraph" w:styleId="Prrafodelista">
    <w:name w:val="List Paragraph"/>
    <w:basedOn w:val="Normal"/>
    <w:uiPriority w:val="34"/>
    <w:qFormat/>
    <w:rsid w:val="00332879"/>
    <w:pPr>
      <w:ind w:left="720"/>
      <w:contextualSpacing/>
    </w:pPr>
  </w:style>
  <w:style w:type="paragraph" w:styleId="Encabezado">
    <w:name w:val="header"/>
    <w:basedOn w:val="Normal"/>
    <w:link w:val="EncabezadoCar"/>
    <w:uiPriority w:val="99"/>
    <w:unhideWhenUsed/>
    <w:rsid w:val="003659A2"/>
    <w:pPr>
      <w:tabs>
        <w:tab w:val="center" w:pos="4680"/>
        <w:tab w:val="right" w:pos="9360"/>
      </w:tabs>
    </w:pPr>
  </w:style>
  <w:style w:type="character" w:customStyle="1" w:styleId="EncabezadoCar">
    <w:name w:val="Encabezado Car"/>
    <w:basedOn w:val="Fuentedeprrafopredeter"/>
    <w:link w:val="Encabezado"/>
    <w:uiPriority w:val="99"/>
    <w:rsid w:val="003659A2"/>
    <w:rPr>
      <w:rFonts w:ascii="Times New Roman" w:eastAsia="Times New Roman" w:hAnsi="Times New Roman" w:cs="Times New Roman"/>
      <w:color w:val="auto"/>
      <w:sz w:val="24"/>
      <w:szCs w:val="24"/>
      <w:lang w:val="es-CO"/>
    </w:rPr>
  </w:style>
  <w:style w:type="paragraph" w:styleId="Piedepgina">
    <w:name w:val="footer"/>
    <w:basedOn w:val="Normal"/>
    <w:link w:val="PiedepginaCar"/>
    <w:uiPriority w:val="99"/>
    <w:unhideWhenUsed/>
    <w:rsid w:val="003659A2"/>
    <w:pPr>
      <w:tabs>
        <w:tab w:val="center" w:pos="4680"/>
        <w:tab w:val="right" w:pos="9360"/>
      </w:tabs>
    </w:pPr>
  </w:style>
  <w:style w:type="character" w:customStyle="1" w:styleId="PiedepginaCar">
    <w:name w:val="Pie de página Car"/>
    <w:basedOn w:val="Fuentedeprrafopredeter"/>
    <w:link w:val="Piedepgina"/>
    <w:uiPriority w:val="99"/>
    <w:rsid w:val="003659A2"/>
    <w:rPr>
      <w:rFonts w:ascii="Times New Roman" w:eastAsia="Times New Roman" w:hAnsi="Times New Roman" w:cs="Times New Roman"/>
      <w:color w:val="auto"/>
      <w:sz w:val="24"/>
      <w:szCs w:val="24"/>
      <w:lang w:val="es-CO"/>
    </w:rPr>
  </w:style>
  <w:style w:type="table" w:styleId="Tablaconcuadrcula">
    <w:name w:val="Table Grid"/>
    <w:basedOn w:val="Tablanormal"/>
    <w:uiPriority w:val="39"/>
    <w:rsid w:val="00EE7DC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E7438"/>
    <w:rPr>
      <w:sz w:val="16"/>
      <w:szCs w:val="16"/>
    </w:rPr>
  </w:style>
  <w:style w:type="paragraph" w:styleId="Textocomentario">
    <w:name w:val="annotation text"/>
    <w:basedOn w:val="Normal"/>
    <w:link w:val="TextocomentarioCar"/>
    <w:uiPriority w:val="99"/>
    <w:semiHidden/>
    <w:unhideWhenUsed/>
    <w:rsid w:val="00DE7438"/>
    <w:rPr>
      <w:sz w:val="20"/>
      <w:szCs w:val="20"/>
    </w:rPr>
  </w:style>
  <w:style w:type="character" w:customStyle="1" w:styleId="TextocomentarioCar">
    <w:name w:val="Texto comentario Car"/>
    <w:basedOn w:val="Fuentedeprrafopredeter"/>
    <w:link w:val="Textocomentario"/>
    <w:uiPriority w:val="99"/>
    <w:semiHidden/>
    <w:rsid w:val="00DE7438"/>
    <w:rPr>
      <w:rFonts w:ascii="Times New Roman" w:eastAsia="Times New Roman" w:hAnsi="Times New Roman" w:cs="Times New Roman"/>
      <w:color w:val="auto"/>
      <w:sz w:val="20"/>
      <w:szCs w:val="20"/>
      <w:lang w:val="es-CO"/>
    </w:rPr>
  </w:style>
  <w:style w:type="paragraph" w:styleId="Asuntodelcomentario">
    <w:name w:val="annotation subject"/>
    <w:basedOn w:val="Textocomentario"/>
    <w:next w:val="Textocomentario"/>
    <w:link w:val="AsuntodelcomentarioCar"/>
    <w:uiPriority w:val="99"/>
    <w:semiHidden/>
    <w:unhideWhenUsed/>
    <w:rsid w:val="00DE7438"/>
    <w:rPr>
      <w:b/>
      <w:bCs/>
    </w:rPr>
  </w:style>
  <w:style w:type="character" w:customStyle="1" w:styleId="AsuntodelcomentarioCar">
    <w:name w:val="Asunto del comentario Car"/>
    <w:basedOn w:val="TextocomentarioCar"/>
    <w:link w:val="Asuntodelcomentario"/>
    <w:uiPriority w:val="99"/>
    <w:semiHidden/>
    <w:rsid w:val="00DE7438"/>
    <w:rPr>
      <w:rFonts w:ascii="Times New Roman" w:eastAsia="Times New Roman" w:hAnsi="Times New Roman" w:cs="Times New Roman"/>
      <w:b/>
      <w:bCs/>
      <w:color w:val="auto"/>
      <w:sz w:val="20"/>
      <w:szCs w:val="20"/>
      <w:lang w:val="es-CO"/>
    </w:rPr>
  </w:style>
  <w:style w:type="paragraph" w:styleId="Textodeglobo">
    <w:name w:val="Balloon Text"/>
    <w:basedOn w:val="Normal"/>
    <w:link w:val="TextodegloboCar"/>
    <w:uiPriority w:val="99"/>
    <w:semiHidden/>
    <w:unhideWhenUsed/>
    <w:rsid w:val="00DE743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7438"/>
    <w:rPr>
      <w:rFonts w:ascii="Segoe UI" w:eastAsia="Times New Roman" w:hAnsi="Segoe UI" w:cs="Segoe UI"/>
      <w:color w:val="auto"/>
      <w:sz w:val="18"/>
      <w:szCs w:val="18"/>
      <w:lang w:val="es-CO"/>
    </w:rPr>
  </w:style>
  <w:style w:type="paragraph" w:styleId="Textonotapie">
    <w:name w:val="footnote text"/>
    <w:basedOn w:val="Normal"/>
    <w:link w:val="TextonotapieCar"/>
    <w:uiPriority w:val="99"/>
    <w:unhideWhenUsed/>
    <w:rsid w:val="00787E55"/>
  </w:style>
  <w:style w:type="character" w:customStyle="1" w:styleId="TextonotapieCar">
    <w:name w:val="Texto nota pie Car"/>
    <w:basedOn w:val="Fuentedeprrafopredeter"/>
    <w:link w:val="Textonotapie"/>
    <w:uiPriority w:val="99"/>
    <w:rsid w:val="00787E55"/>
    <w:rPr>
      <w:rFonts w:ascii="Times New Roman" w:eastAsia="Times New Roman" w:hAnsi="Times New Roman" w:cs="Times New Roman"/>
      <w:color w:val="auto"/>
      <w:sz w:val="24"/>
      <w:szCs w:val="24"/>
      <w:lang w:val="es-CO"/>
    </w:rPr>
  </w:style>
  <w:style w:type="character" w:styleId="Refdenotaalpie">
    <w:name w:val="footnote reference"/>
    <w:basedOn w:val="Fuentedeprrafopredeter"/>
    <w:uiPriority w:val="99"/>
    <w:unhideWhenUsed/>
    <w:rsid w:val="00787E55"/>
    <w:rPr>
      <w:vertAlign w:val="superscript"/>
    </w:rPr>
  </w:style>
  <w:style w:type="paragraph" w:styleId="Bibliografa">
    <w:name w:val="Bibliography"/>
    <w:basedOn w:val="Normal"/>
    <w:next w:val="Normal"/>
    <w:uiPriority w:val="37"/>
    <w:unhideWhenUsed/>
    <w:rsid w:val="0096464B"/>
    <w:rPr>
      <w:rFonts w:asciiTheme="minorHAnsi" w:eastAsiaTheme="minorEastAsia" w:hAnsiTheme="minorHAnsi" w:cstheme="minorBidi"/>
      <w:lang w:val="es-ES_tradnl" w:eastAsia="es-ES"/>
    </w:rPr>
  </w:style>
  <w:style w:type="character" w:styleId="Hipervnculo">
    <w:name w:val="Hyperlink"/>
    <w:basedOn w:val="Fuentedeprrafopredeter"/>
    <w:uiPriority w:val="99"/>
    <w:unhideWhenUsed/>
    <w:rsid w:val="00127B99"/>
    <w:rPr>
      <w:color w:val="0000FF"/>
      <w:u w:val="single"/>
    </w:rPr>
  </w:style>
  <w:style w:type="paragraph" w:customStyle="1" w:styleId="Default">
    <w:name w:val="Default"/>
    <w:rsid w:val="004D349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Minion Pro" w:hAnsi="Minion Pro" w:cs="Minion Pro"/>
      <w:sz w:val="24"/>
      <w:szCs w:val="24"/>
      <w:lang w:val="en-US"/>
    </w:rPr>
  </w:style>
  <w:style w:type="paragraph" w:styleId="TtuloTDC">
    <w:name w:val="TOC Heading"/>
    <w:basedOn w:val="Ttulo1"/>
    <w:next w:val="Normal"/>
    <w:uiPriority w:val="39"/>
    <w:unhideWhenUsed/>
    <w:qFormat/>
    <w:rsid w:val="002C4E23"/>
    <w:pPr>
      <w:spacing w:before="240" w:after="0" w:line="259" w:lineRule="auto"/>
      <w:outlineLvl w:val="9"/>
    </w:pPr>
    <w:rPr>
      <w:rFonts w:asciiTheme="majorHAnsi" w:eastAsiaTheme="majorEastAsia" w:hAnsiTheme="majorHAnsi" w:cstheme="majorBidi"/>
      <w:color w:val="365F91" w:themeColor="accent1" w:themeShade="BF"/>
      <w:sz w:val="32"/>
      <w:szCs w:val="32"/>
      <w:lang w:val="en-US" w:eastAsia="en-US"/>
    </w:rPr>
  </w:style>
  <w:style w:type="paragraph" w:styleId="TDC2">
    <w:name w:val="toc 2"/>
    <w:basedOn w:val="Normal"/>
    <w:next w:val="Normal"/>
    <w:autoRedefine/>
    <w:uiPriority w:val="39"/>
    <w:unhideWhenUsed/>
    <w:rsid w:val="002C4E23"/>
    <w:pPr>
      <w:spacing w:after="100"/>
      <w:ind w:left="240"/>
    </w:pPr>
  </w:style>
  <w:style w:type="paragraph" w:styleId="TDC3">
    <w:name w:val="toc 3"/>
    <w:basedOn w:val="Normal"/>
    <w:next w:val="Normal"/>
    <w:autoRedefine/>
    <w:uiPriority w:val="39"/>
    <w:unhideWhenUsed/>
    <w:rsid w:val="002C4E23"/>
    <w:pPr>
      <w:spacing w:after="100"/>
      <w:ind w:left="480"/>
    </w:pPr>
  </w:style>
  <w:style w:type="paragraph" w:styleId="TDC4">
    <w:name w:val="toc 4"/>
    <w:basedOn w:val="Normal"/>
    <w:next w:val="Normal"/>
    <w:autoRedefine/>
    <w:uiPriority w:val="39"/>
    <w:unhideWhenUsed/>
    <w:rsid w:val="002C4E23"/>
    <w:pPr>
      <w:spacing w:after="100"/>
      <w:ind w:left="720"/>
    </w:pPr>
  </w:style>
  <w:style w:type="character" w:customStyle="1" w:styleId="UnresolvedMention1">
    <w:name w:val="Unresolved Mention1"/>
    <w:basedOn w:val="Fuentedeprrafopredeter"/>
    <w:uiPriority w:val="99"/>
    <w:semiHidden/>
    <w:unhideWhenUsed/>
    <w:rsid w:val="00D71052"/>
    <w:rPr>
      <w:color w:val="605E5C"/>
      <w:shd w:val="clear" w:color="auto" w:fill="E1DFDD"/>
    </w:rPr>
  </w:style>
  <w:style w:type="character" w:styleId="Hipervnculovisitado">
    <w:name w:val="FollowedHyperlink"/>
    <w:basedOn w:val="Fuentedeprrafopredeter"/>
    <w:uiPriority w:val="99"/>
    <w:semiHidden/>
    <w:unhideWhenUsed/>
    <w:rsid w:val="00395667"/>
    <w:rPr>
      <w:color w:val="800080" w:themeColor="followedHyperlink"/>
      <w:u w:val="single"/>
    </w:rPr>
  </w:style>
  <w:style w:type="character" w:styleId="Refdenotaalfinal">
    <w:name w:val="endnote reference"/>
    <w:basedOn w:val="Fuentedeprrafopredeter"/>
    <w:uiPriority w:val="99"/>
    <w:unhideWhenUsed/>
    <w:rsid w:val="0042376B"/>
    <w:rPr>
      <w:vertAlign w:val="superscript"/>
    </w:rPr>
  </w:style>
  <w:style w:type="character" w:customStyle="1" w:styleId="UnresolvedMention2">
    <w:name w:val="Unresolved Mention2"/>
    <w:basedOn w:val="Fuentedeprrafopredeter"/>
    <w:uiPriority w:val="99"/>
    <w:semiHidden/>
    <w:unhideWhenUsed/>
    <w:rsid w:val="00321CA9"/>
    <w:rPr>
      <w:color w:val="605E5C"/>
      <w:shd w:val="clear" w:color="auto" w:fill="E1DFDD"/>
    </w:rPr>
  </w:style>
  <w:style w:type="paragraph" w:styleId="Textonotaalfinal">
    <w:name w:val="endnote text"/>
    <w:basedOn w:val="Normal"/>
    <w:link w:val="TextonotaalfinalCar"/>
    <w:uiPriority w:val="99"/>
    <w:unhideWhenUsed/>
    <w:rsid w:val="00C92620"/>
    <w:rPr>
      <w:sz w:val="20"/>
      <w:szCs w:val="20"/>
    </w:rPr>
  </w:style>
  <w:style w:type="character" w:customStyle="1" w:styleId="TextonotaalfinalCar">
    <w:name w:val="Texto nota al final Car"/>
    <w:basedOn w:val="Fuentedeprrafopredeter"/>
    <w:link w:val="Textonotaalfinal"/>
    <w:uiPriority w:val="99"/>
    <w:rsid w:val="00C92620"/>
    <w:rPr>
      <w:rFonts w:ascii="Times New Roman" w:eastAsia="Times New Roman" w:hAnsi="Times New Roman" w:cs="Times New Roman"/>
      <w:color w:val="auto"/>
      <w:sz w:val="20"/>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02033">
      <w:bodyDiv w:val="1"/>
      <w:marLeft w:val="0"/>
      <w:marRight w:val="0"/>
      <w:marTop w:val="0"/>
      <w:marBottom w:val="0"/>
      <w:divBdr>
        <w:top w:val="none" w:sz="0" w:space="0" w:color="auto"/>
        <w:left w:val="none" w:sz="0" w:space="0" w:color="auto"/>
        <w:bottom w:val="none" w:sz="0" w:space="0" w:color="auto"/>
        <w:right w:val="none" w:sz="0" w:space="0" w:color="auto"/>
      </w:divBdr>
    </w:div>
    <w:div w:id="221605685">
      <w:bodyDiv w:val="1"/>
      <w:marLeft w:val="0"/>
      <w:marRight w:val="0"/>
      <w:marTop w:val="0"/>
      <w:marBottom w:val="0"/>
      <w:divBdr>
        <w:top w:val="none" w:sz="0" w:space="0" w:color="auto"/>
        <w:left w:val="none" w:sz="0" w:space="0" w:color="auto"/>
        <w:bottom w:val="none" w:sz="0" w:space="0" w:color="auto"/>
        <w:right w:val="none" w:sz="0" w:space="0" w:color="auto"/>
      </w:divBdr>
    </w:div>
    <w:div w:id="246308100">
      <w:bodyDiv w:val="1"/>
      <w:marLeft w:val="0"/>
      <w:marRight w:val="0"/>
      <w:marTop w:val="0"/>
      <w:marBottom w:val="0"/>
      <w:divBdr>
        <w:top w:val="none" w:sz="0" w:space="0" w:color="auto"/>
        <w:left w:val="none" w:sz="0" w:space="0" w:color="auto"/>
        <w:bottom w:val="none" w:sz="0" w:space="0" w:color="auto"/>
        <w:right w:val="none" w:sz="0" w:space="0" w:color="auto"/>
      </w:divBdr>
    </w:div>
    <w:div w:id="355497069">
      <w:bodyDiv w:val="1"/>
      <w:marLeft w:val="0"/>
      <w:marRight w:val="0"/>
      <w:marTop w:val="0"/>
      <w:marBottom w:val="0"/>
      <w:divBdr>
        <w:top w:val="none" w:sz="0" w:space="0" w:color="auto"/>
        <w:left w:val="none" w:sz="0" w:space="0" w:color="auto"/>
        <w:bottom w:val="none" w:sz="0" w:space="0" w:color="auto"/>
        <w:right w:val="none" w:sz="0" w:space="0" w:color="auto"/>
      </w:divBdr>
    </w:div>
    <w:div w:id="365911814">
      <w:bodyDiv w:val="1"/>
      <w:marLeft w:val="0"/>
      <w:marRight w:val="0"/>
      <w:marTop w:val="0"/>
      <w:marBottom w:val="0"/>
      <w:divBdr>
        <w:top w:val="none" w:sz="0" w:space="0" w:color="auto"/>
        <w:left w:val="none" w:sz="0" w:space="0" w:color="auto"/>
        <w:bottom w:val="none" w:sz="0" w:space="0" w:color="auto"/>
        <w:right w:val="none" w:sz="0" w:space="0" w:color="auto"/>
      </w:divBdr>
    </w:div>
    <w:div w:id="475729719">
      <w:bodyDiv w:val="1"/>
      <w:marLeft w:val="0"/>
      <w:marRight w:val="0"/>
      <w:marTop w:val="0"/>
      <w:marBottom w:val="0"/>
      <w:divBdr>
        <w:top w:val="none" w:sz="0" w:space="0" w:color="auto"/>
        <w:left w:val="none" w:sz="0" w:space="0" w:color="auto"/>
        <w:bottom w:val="none" w:sz="0" w:space="0" w:color="auto"/>
        <w:right w:val="none" w:sz="0" w:space="0" w:color="auto"/>
      </w:divBdr>
    </w:div>
    <w:div w:id="530537263">
      <w:bodyDiv w:val="1"/>
      <w:marLeft w:val="0"/>
      <w:marRight w:val="0"/>
      <w:marTop w:val="0"/>
      <w:marBottom w:val="0"/>
      <w:divBdr>
        <w:top w:val="none" w:sz="0" w:space="0" w:color="auto"/>
        <w:left w:val="none" w:sz="0" w:space="0" w:color="auto"/>
        <w:bottom w:val="none" w:sz="0" w:space="0" w:color="auto"/>
        <w:right w:val="none" w:sz="0" w:space="0" w:color="auto"/>
      </w:divBdr>
    </w:div>
    <w:div w:id="607155675">
      <w:bodyDiv w:val="1"/>
      <w:marLeft w:val="0"/>
      <w:marRight w:val="0"/>
      <w:marTop w:val="0"/>
      <w:marBottom w:val="0"/>
      <w:divBdr>
        <w:top w:val="none" w:sz="0" w:space="0" w:color="auto"/>
        <w:left w:val="none" w:sz="0" w:space="0" w:color="auto"/>
        <w:bottom w:val="none" w:sz="0" w:space="0" w:color="auto"/>
        <w:right w:val="none" w:sz="0" w:space="0" w:color="auto"/>
      </w:divBdr>
    </w:div>
    <w:div w:id="835462026">
      <w:bodyDiv w:val="1"/>
      <w:marLeft w:val="0"/>
      <w:marRight w:val="0"/>
      <w:marTop w:val="0"/>
      <w:marBottom w:val="0"/>
      <w:divBdr>
        <w:top w:val="none" w:sz="0" w:space="0" w:color="auto"/>
        <w:left w:val="none" w:sz="0" w:space="0" w:color="auto"/>
        <w:bottom w:val="none" w:sz="0" w:space="0" w:color="auto"/>
        <w:right w:val="none" w:sz="0" w:space="0" w:color="auto"/>
      </w:divBdr>
    </w:div>
    <w:div w:id="871578800">
      <w:bodyDiv w:val="1"/>
      <w:marLeft w:val="0"/>
      <w:marRight w:val="0"/>
      <w:marTop w:val="0"/>
      <w:marBottom w:val="0"/>
      <w:divBdr>
        <w:top w:val="none" w:sz="0" w:space="0" w:color="auto"/>
        <w:left w:val="none" w:sz="0" w:space="0" w:color="auto"/>
        <w:bottom w:val="none" w:sz="0" w:space="0" w:color="auto"/>
        <w:right w:val="none" w:sz="0" w:space="0" w:color="auto"/>
      </w:divBdr>
    </w:div>
    <w:div w:id="935939413">
      <w:bodyDiv w:val="1"/>
      <w:marLeft w:val="0"/>
      <w:marRight w:val="0"/>
      <w:marTop w:val="0"/>
      <w:marBottom w:val="0"/>
      <w:divBdr>
        <w:top w:val="none" w:sz="0" w:space="0" w:color="auto"/>
        <w:left w:val="none" w:sz="0" w:space="0" w:color="auto"/>
        <w:bottom w:val="none" w:sz="0" w:space="0" w:color="auto"/>
        <w:right w:val="none" w:sz="0" w:space="0" w:color="auto"/>
      </w:divBdr>
    </w:div>
    <w:div w:id="1001469313">
      <w:bodyDiv w:val="1"/>
      <w:marLeft w:val="0"/>
      <w:marRight w:val="0"/>
      <w:marTop w:val="0"/>
      <w:marBottom w:val="0"/>
      <w:divBdr>
        <w:top w:val="none" w:sz="0" w:space="0" w:color="auto"/>
        <w:left w:val="none" w:sz="0" w:space="0" w:color="auto"/>
        <w:bottom w:val="none" w:sz="0" w:space="0" w:color="auto"/>
        <w:right w:val="none" w:sz="0" w:space="0" w:color="auto"/>
      </w:divBdr>
    </w:div>
    <w:div w:id="1072391797">
      <w:bodyDiv w:val="1"/>
      <w:marLeft w:val="0"/>
      <w:marRight w:val="0"/>
      <w:marTop w:val="0"/>
      <w:marBottom w:val="0"/>
      <w:divBdr>
        <w:top w:val="none" w:sz="0" w:space="0" w:color="auto"/>
        <w:left w:val="none" w:sz="0" w:space="0" w:color="auto"/>
        <w:bottom w:val="none" w:sz="0" w:space="0" w:color="auto"/>
        <w:right w:val="none" w:sz="0" w:space="0" w:color="auto"/>
      </w:divBdr>
    </w:div>
    <w:div w:id="1195845224">
      <w:bodyDiv w:val="1"/>
      <w:marLeft w:val="0"/>
      <w:marRight w:val="0"/>
      <w:marTop w:val="0"/>
      <w:marBottom w:val="0"/>
      <w:divBdr>
        <w:top w:val="none" w:sz="0" w:space="0" w:color="auto"/>
        <w:left w:val="none" w:sz="0" w:space="0" w:color="auto"/>
        <w:bottom w:val="none" w:sz="0" w:space="0" w:color="auto"/>
        <w:right w:val="none" w:sz="0" w:space="0" w:color="auto"/>
      </w:divBdr>
    </w:div>
    <w:div w:id="1357460323">
      <w:bodyDiv w:val="1"/>
      <w:marLeft w:val="0"/>
      <w:marRight w:val="0"/>
      <w:marTop w:val="0"/>
      <w:marBottom w:val="0"/>
      <w:divBdr>
        <w:top w:val="none" w:sz="0" w:space="0" w:color="auto"/>
        <w:left w:val="none" w:sz="0" w:space="0" w:color="auto"/>
        <w:bottom w:val="none" w:sz="0" w:space="0" w:color="auto"/>
        <w:right w:val="none" w:sz="0" w:space="0" w:color="auto"/>
      </w:divBdr>
    </w:div>
    <w:div w:id="1482237962">
      <w:bodyDiv w:val="1"/>
      <w:marLeft w:val="0"/>
      <w:marRight w:val="0"/>
      <w:marTop w:val="0"/>
      <w:marBottom w:val="0"/>
      <w:divBdr>
        <w:top w:val="none" w:sz="0" w:space="0" w:color="auto"/>
        <w:left w:val="none" w:sz="0" w:space="0" w:color="auto"/>
        <w:bottom w:val="none" w:sz="0" w:space="0" w:color="auto"/>
        <w:right w:val="none" w:sz="0" w:space="0" w:color="auto"/>
      </w:divBdr>
    </w:div>
    <w:div w:id="1697852452">
      <w:bodyDiv w:val="1"/>
      <w:marLeft w:val="0"/>
      <w:marRight w:val="0"/>
      <w:marTop w:val="0"/>
      <w:marBottom w:val="0"/>
      <w:divBdr>
        <w:top w:val="none" w:sz="0" w:space="0" w:color="auto"/>
        <w:left w:val="none" w:sz="0" w:space="0" w:color="auto"/>
        <w:bottom w:val="none" w:sz="0" w:space="0" w:color="auto"/>
        <w:right w:val="none" w:sz="0" w:space="0" w:color="auto"/>
      </w:divBdr>
    </w:div>
    <w:div w:id="1727338945">
      <w:bodyDiv w:val="1"/>
      <w:marLeft w:val="0"/>
      <w:marRight w:val="0"/>
      <w:marTop w:val="0"/>
      <w:marBottom w:val="0"/>
      <w:divBdr>
        <w:top w:val="none" w:sz="0" w:space="0" w:color="auto"/>
        <w:left w:val="none" w:sz="0" w:space="0" w:color="auto"/>
        <w:bottom w:val="none" w:sz="0" w:space="0" w:color="auto"/>
        <w:right w:val="none" w:sz="0" w:space="0" w:color="auto"/>
      </w:divBdr>
    </w:div>
    <w:div w:id="1926645811">
      <w:bodyDiv w:val="1"/>
      <w:marLeft w:val="0"/>
      <w:marRight w:val="0"/>
      <w:marTop w:val="0"/>
      <w:marBottom w:val="0"/>
      <w:divBdr>
        <w:top w:val="none" w:sz="0" w:space="0" w:color="auto"/>
        <w:left w:val="none" w:sz="0" w:space="0" w:color="auto"/>
        <w:bottom w:val="none" w:sz="0" w:space="0" w:color="auto"/>
        <w:right w:val="none" w:sz="0" w:space="0" w:color="auto"/>
      </w:divBdr>
    </w:div>
    <w:div w:id="2003311200">
      <w:bodyDiv w:val="1"/>
      <w:marLeft w:val="0"/>
      <w:marRight w:val="0"/>
      <w:marTop w:val="0"/>
      <w:marBottom w:val="0"/>
      <w:divBdr>
        <w:top w:val="none" w:sz="0" w:space="0" w:color="auto"/>
        <w:left w:val="none" w:sz="0" w:space="0" w:color="auto"/>
        <w:bottom w:val="none" w:sz="0" w:space="0" w:color="auto"/>
        <w:right w:val="none" w:sz="0" w:space="0" w:color="auto"/>
      </w:divBdr>
    </w:div>
    <w:div w:id="2023042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f.io/xzeyn/?view_only=6bf6b82b01e240cd941567ac7a6f7b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a.barrero32@uniandes.edu.co" TargetMode="External"/><Relationship Id="rId4" Type="http://schemas.openxmlformats.org/officeDocument/2006/relationships/settings" Target="settings.xml"/><Relationship Id="rId9" Type="http://schemas.openxmlformats.org/officeDocument/2006/relationships/hyperlink" Target="mailto:w.jimenezleal@uniandes.edu.co"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60A69-23EE-4FBD-920B-A40E0A7F4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27</Pages>
  <Words>13153</Words>
  <Characters>72347</Characters>
  <Application>Microsoft Office Word</Application>
  <DocSecurity>0</DocSecurity>
  <Lines>602</Lines>
  <Paragraphs>170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dc:creator>
  <cp:keywords/>
  <dc:description/>
  <cp:lastModifiedBy>Tomas Barrero</cp:lastModifiedBy>
  <cp:revision>48</cp:revision>
  <dcterms:created xsi:type="dcterms:W3CDTF">2023-05-07T17:35:00Z</dcterms:created>
  <dcterms:modified xsi:type="dcterms:W3CDTF">2023-05-16T00:11:00Z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e455a082-3305-3cf1-be91-16f788957134</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http://csl.mendeley.com/styles/4452061/chicago-fullnote-espannol</vt:lpwstr>
  </property>
  <property fmtid="{D5CDD505-2E9C-101B-9397-08002B2CF9AE}" pid="14" name="Mendeley Recent Style Name 4_1">
    <vt:lpwstr>Chicago Manual of Style 17th edition (full note) - William Jimenez Leal, PhD</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