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0943E1" w14:textId="72920F62" w:rsidR="00FE2864" w:rsidRPr="00C0314B" w:rsidRDefault="00CD04FE" w:rsidP="004526E7">
      <w:pPr>
        <w:pStyle w:val="p1"/>
        <w:rPr>
          <w:sz w:val="24"/>
          <w:szCs w:val="24"/>
        </w:rPr>
      </w:pPr>
      <w:r w:rsidRPr="00CD04FE">
        <w:rPr>
          <w:rStyle w:val="s1"/>
          <w:sz w:val="24"/>
          <w:szCs w:val="24"/>
        </w:rPr>
        <w:t>Kant</w:t>
      </w:r>
      <w:r w:rsidR="00E047EE">
        <w:rPr>
          <w:rStyle w:val="s1"/>
          <w:sz w:val="24"/>
          <w:szCs w:val="24"/>
        </w:rPr>
        <w:t>’</w:t>
      </w:r>
      <w:r w:rsidRPr="00CD04FE">
        <w:rPr>
          <w:rStyle w:val="s1"/>
          <w:sz w:val="24"/>
          <w:szCs w:val="24"/>
        </w:rPr>
        <w:t>s Position on the Wide Right to Abortion</w:t>
      </w:r>
    </w:p>
    <w:p w14:paraId="6A5DE587" w14:textId="77777777" w:rsidR="004526E7" w:rsidRDefault="004526E7" w:rsidP="000415DA">
      <w:pPr>
        <w:pStyle w:val="p1"/>
        <w:rPr>
          <w:rStyle w:val="s2"/>
          <w:sz w:val="24"/>
          <w:szCs w:val="24"/>
        </w:rPr>
      </w:pPr>
    </w:p>
    <w:p w14:paraId="4EB6C924" w14:textId="5B770430" w:rsidR="004526E7" w:rsidRDefault="004526E7" w:rsidP="000415DA">
      <w:pPr>
        <w:pStyle w:val="p1"/>
        <w:rPr>
          <w:rStyle w:val="s2"/>
          <w:sz w:val="24"/>
          <w:szCs w:val="24"/>
        </w:rPr>
      </w:pPr>
      <w:r>
        <w:rPr>
          <w:rStyle w:val="s2"/>
          <w:sz w:val="24"/>
          <w:szCs w:val="24"/>
        </w:rPr>
        <w:t>Abstract:</w:t>
      </w:r>
      <w:r w:rsidR="003D09AF">
        <w:rPr>
          <w:rStyle w:val="s2"/>
          <w:sz w:val="24"/>
          <w:szCs w:val="24"/>
        </w:rPr>
        <w:t xml:space="preserve"> In this </w:t>
      </w:r>
      <w:r w:rsidR="006B626C">
        <w:rPr>
          <w:rStyle w:val="s2"/>
          <w:sz w:val="24"/>
          <w:szCs w:val="24"/>
        </w:rPr>
        <w:t>article</w:t>
      </w:r>
      <w:r w:rsidR="003D09AF">
        <w:rPr>
          <w:rStyle w:val="s2"/>
          <w:sz w:val="24"/>
          <w:szCs w:val="24"/>
        </w:rPr>
        <w:t xml:space="preserve">, I </w:t>
      </w:r>
      <w:r w:rsidR="00DA17DA">
        <w:rPr>
          <w:rStyle w:val="s2"/>
          <w:sz w:val="24"/>
          <w:szCs w:val="24"/>
        </w:rPr>
        <w:t>explicate Kant’s position on the wide right to abortion. That is, I explore the extent to which</w:t>
      </w:r>
      <w:r w:rsidR="00650B57">
        <w:rPr>
          <w:rStyle w:val="s2"/>
          <w:sz w:val="24"/>
          <w:szCs w:val="24"/>
        </w:rPr>
        <w:t xml:space="preserve">, </w:t>
      </w:r>
      <w:r w:rsidR="00343532">
        <w:rPr>
          <w:rStyle w:val="s2"/>
          <w:sz w:val="24"/>
          <w:szCs w:val="24"/>
        </w:rPr>
        <w:t>according to</w:t>
      </w:r>
      <w:r w:rsidR="00650B57">
        <w:rPr>
          <w:rStyle w:val="s2"/>
          <w:sz w:val="24"/>
          <w:szCs w:val="24"/>
        </w:rPr>
        <w:t xml:space="preserve"> Kant’s </w:t>
      </w:r>
      <w:r w:rsidR="00343532">
        <w:rPr>
          <w:rStyle w:val="s2"/>
          <w:sz w:val="24"/>
          <w:szCs w:val="24"/>
        </w:rPr>
        <w:t>practical philosophy</w:t>
      </w:r>
      <w:r w:rsidR="00650B57">
        <w:rPr>
          <w:rStyle w:val="s2"/>
          <w:sz w:val="24"/>
          <w:szCs w:val="24"/>
        </w:rPr>
        <w:t xml:space="preserve">, abortion is punishable, </w:t>
      </w:r>
      <w:r w:rsidR="00C413B9">
        <w:rPr>
          <w:rStyle w:val="s2"/>
          <w:sz w:val="24"/>
          <w:szCs w:val="24"/>
        </w:rPr>
        <w:t xml:space="preserve">even </w:t>
      </w:r>
      <w:r w:rsidR="00497D05">
        <w:rPr>
          <w:rStyle w:val="s2"/>
          <w:sz w:val="24"/>
          <w:szCs w:val="24"/>
        </w:rPr>
        <w:t>if</w:t>
      </w:r>
      <w:r w:rsidR="00650B57">
        <w:rPr>
          <w:rStyle w:val="s2"/>
          <w:sz w:val="24"/>
          <w:szCs w:val="24"/>
        </w:rPr>
        <w:t xml:space="preserve"> </w:t>
      </w:r>
      <w:r w:rsidR="006521C9">
        <w:rPr>
          <w:rStyle w:val="s2"/>
          <w:sz w:val="24"/>
          <w:szCs w:val="24"/>
        </w:rPr>
        <w:t xml:space="preserve">it involves an unjust infringement of the right to life. </w:t>
      </w:r>
      <w:r w:rsidR="00FF7424">
        <w:rPr>
          <w:rStyle w:val="s2"/>
          <w:sz w:val="24"/>
          <w:szCs w:val="24"/>
        </w:rPr>
        <w:t>By focusing on</w:t>
      </w:r>
      <w:r w:rsidR="00ED36EA">
        <w:rPr>
          <w:rStyle w:val="s2"/>
          <w:sz w:val="24"/>
          <w:szCs w:val="24"/>
        </w:rPr>
        <w:t xml:space="preserve"> the state’s</w:t>
      </w:r>
      <w:r w:rsidR="00FF7424">
        <w:rPr>
          <w:rStyle w:val="s2"/>
          <w:sz w:val="24"/>
          <w:szCs w:val="24"/>
        </w:rPr>
        <w:t xml:space="preserve"> right to </w:t>
      </w:r>
      <w:r w:rsidR="004B73D4">
        <w:rPr>
          <w:rStyle w:val="s2"/>
          <w:sz w:val="24"/>
          <w:szCs w:val="24"/>
        </w:rPr>
        <w:t xml:space="preserve">punish, rather than the right to life or the onset of personhood, I </w:t>
      </w:r>
      <w:r w:rsidR="001267D3">
        <w:rPr>
          <w:rStyle w:val="s2"/>
          <w:sz w:val="24"/>
          <w:szCs w:val="24"/>
        </w:rPr>
        <w:t>use Kant</w:t>
      </w:r>
      <w:r w:rsidR="00D664D5">
        <w:rPr>
          <w:rStyle w:val="s2"/>
          <w:sz w:val="24"/>
          <w:szCs w:val="24"/>
        </w:rPr>
        <w:t xml:space="preserve"> to </w:t>
      </w:r>
      <w:r w:rsidR="004B73D4">
        <w:rPr>
          <w:rStyle w:val="s2"/>
          <w:sz w:val="24"/>
          <w:szCs w:val="24"/>
        </w:rPr>
        <w:t xml:space="preserve">expose a novel </w:t>
      </w:r>
      <w:r w:rsidR="007110D8">
        <w:rPr>
          <w:rStyle w:val="s2"/>
          <w:sz w:val="24"/>
          <w:szCs w:val="24"/>
        </w:rPr>
        <w:t xml:space="preserve">range of issues and questions about the legal status of abortion (and criminal punishment more generally). </w:t>
      </w:r>
      <w:r w:rsidR="00DA17DA" w:rsidRPr="00CD04FE">
        <w:rPr>
          <w:rStyle w:val="s2"/>
          <w:sz w:val="24"/>
          <w:szCs w:val="24"/>
        </w:rPr>
        <w:t xml:space="preserve">The </w:t>
      </w:r>
      <w:r w:rsidR="006B626C">
        <w:rPr>
          <w:rStyle w:val="s2"/>
          <w:sz w:val="24"/>
          <w:szCs w:val="24"/>
        </w:rPr>
        <w:t>article</w:t>
      </w:r>
      <w:r w:rsidR="00DA17DA" w:rsidRPr="00CD04FE">
        <w:rPr>
          <w:rStyle w:val="s2"/>
          <w:sz w:val="24"/>
          <w:szCs w:val="24"/>
        </w:rPr>
        <w:t xml:space="preserve"> is divided into four sections. In the first, I lay the groundwork for Kant</w:t>
      </w:r>
      <w:r w:rsidR="00DA17DA">
        <w:rPr>
          <w:rStyle w:val="s2"/>
          <w:sz w:val="24"/>
          <w:szCs w:val="24"/>
        </w:rPr>
        <w:t>’</w:t>
      </w:r>
      <w:r w:rsidR="00DA17DA" w:rsidRPr="00CD04FE">
        <w:rPr>
          <w:rStyle w:val="s2"/>
          <w:sz w:val="24"/>
          <w:szCs w:val="24"/>
        </w:rPr>
        <w:t>s theory of rights and briefly canvass some of the literature on Kantian approaches to abortion. In the second, I look at Kant</w:t>
      </w:r>
      <w:r w:rsidR="00DA17DA">
        <w:rPr>
          <w:rStyle w:val="s2"/>
          <w:sz w:val="24"/>
          <w:szCs w:val="24"/>
        </w:rPr>
        <w:t>’</w:t>
      </w:r>
      <w:r w:rsidR="00DA17DA" w:rsidRPr="00CD04FE">
        <w:rPr>
          <w:rStyle w:val="s2"/>
          <w:sz w:val="24"/>
          <w:szCs w:val="24"/>
        </w:rPr>
        <w:t>s discussion of equivocal rights. In the third, I turn to Kant</w:t>
      </w:r>
      <w:r w:rsidR="00DA17DA">
        <w:rPr>
          <w:rStyle w:val="s2"/>
          <w:sz w:val="24"/>
          <w:szCs w:val="24"/>
        </w:rPr>
        <w:t>’</w:t>
      </w:r>
      <w:r w:rsidR="00DA17DA" w:rsidRPr="00CD04FE">
        <w:rPr>
          <w:rStyle w:val="s2"/>
          <w:sz w:val="24"/>
          <w:szCs w:val="24"/>
        </w:rPr>
        <w:t>s discussions of capital punishment and suicide. In the fourth, I examine Kant on honor killings</w:t>
      </w:r>
      <w:r w:rsidR="00BD42FE">
        <w:rPr>
          <w:rStyle w:val="s2"/>
          <w:sz w:val="24"/>
          <w:szCs w:val="24"/>
        </w:rPr>
        <w:t>, and I use his position on infanticide in order to ex</w:t>
      </w:r>
      <w:r w:rsidR="007B191B">
        <w:rPr>
          <w:rStyle w:val="s2"/>
          <w:sz w:val="24"/>
          <w:szCs w:val="24"/>
        </w:rPr>
        <w:t>trapolate and exp</w:t>
      </w:r>
      <w:r w:rsidR="00296829">
        <w:rPr>
          <w:rStyle w:val="s2"/>
          <w:sz w:val="24"/>
          <w:szCs w:val="24"/>
        </w:rPr>
        <w:t>lain</w:t>
      </w:r>
      <w:r w:rsidR="007B191B">
        <w:rPr>
          <w:rStyle w:val="s2"/>
          <w:sz w:val="24"/>
          <w:szCs w:val="24"/>
        </w:rPr>
        <w:t xml:space="preserve"> </w:t>
      </w:r>
      <w:r w:rsidR="00296829">
        <w:rPr>
          <w:rStyle w:val="s2"/>
          <w:sz w:val="24"/>
          <w:szCs w:val="24"/>
        </w:rPr>
        <w:t>his</w:t>
      </w:r>
      <w:r w:rsidR="007B191B">
        <w:rPr>
          <w:rStyle w:val="s2"/>
          <w:sz w:val="24"/>
          <w:szCs w:val="24"/>
        </w:rPr>
        <w:t xml:space="preserve"> ideas about the right to punish in the context of abortion.</w:t>
      </w:r>
    </w:p>
    <w:p w14:paraId="5B0795E6" w14:textId="77777777" w:rsidR="004526E7" w:rsidRDefault="004526E7" w:rsidP="000415DA">
      <w:pPr>
        <w:pStyle w:val="p1"/>
        <w:rPr>
          <w:rStyle w:val="s2"/>
          <w:sz w:val="24"/>
          <w:szCs w:val="24"/>
        </w:rPr>
      </w:pPr>
    </w:p>
    <w:p w14:paraId="7D413A0A" w14:textId="511DB5BC" w:rsidR="00FE2864" w:rsidRPr="00C0314B" w:rsidRDefault="000415DA" w:rsidP="000415DA">
      <w:pPr>
        <w:pStyle w:val="p1"/>
        <w:rPr>
          <w:sz w:val="24"/>
          <w:szCs w:val="24"/>
        </w:rPr>
      </w:pPr>
      <w:r>
        <w:rPr>
          <w:rStyle w:val="s2"/>
          <w:sz w:val="24"/>
          <w:szCs w:val="24"/>
        </w:rPr>
        <w:t>Keywords: Kant’s ethics; Kantian ethics; abortion; right to punish; nonideal conditions; nonideal ethics; personhood; right to life; right to choice</w:t>
      </w:r>
      <w:r w:rsidR="0078462C">
        <w:rPr>
          <w:rStyle w:val="s2"/>
          <w:sz w:val="24"/>
          <w:szCs w:val="24"/>
        </w:rPr>
        <w:t xml:space="preserve">; </w:t>
      </w:r>
      <w:r w:rsidR="00FB48B3">
        <w:rPr>
          <w:rStyle w:val="s2"/>
          <w:sz w:val="24"/>
          <w:szCs w:val="24"/>
        </w:rPr>
        <w:t>criminal justice; punishment</w:t>
      </w:r>
    </w:p>
    <w:p w14:paraId="235114AA" w14:textId="77777777" w:rsidR="00FE2864" w:rsidRPr="00C0314B" w:rsidRDefault="00FE2864">
      <w:pPr>
        <w:pStyle w:val="p1"/>
        <w:rPr>
          <w:rStyle w:val="s2"/>
          <w:sz w:val="24"/>
          <w:szCs w:val="24"/>
        </w:rPr>
      </w:pPr>
    </w:p>
    <w:p w14:paraId="24FD9D3F" w14:textId="77777777" w:rsidR="00FE2864" w:rsidRPr="00C0314B" w:rsidRDefault="00FE2864">
      <w:pPr>
        <w:pStyle w:val="p1"/>
        <w:rPr>
          <w:rStyle w:val="s2"/>
          <w:sz w:val="24"/>
          <w:szCs w:val="24"/>
        </w:rPr>
      </w:pPr>
    </w:p>
    <w:p w14:paraId="6599F0BA" w14:textId="6C281ECE" w:rsidR="00CD04FE" w:rsidRPr="00CD04FE" w:rsidRDefault="00CD04FE">
      <w:pPr>
        <w:pStyle w:val="p1"/>
        <w:rPr>
          <w:sz w:val="24"/>
          <w:szCs w:val="24"/>
        </w:rPr>
      </w:pPr>
      <w:r w:rsidRPr="00C0314B">
        <w:rPr>
          <w:rStyle w:val="s2"/>
          <w:sz w:val="24"/>
          <w:szCs w:val="24"/>
        </w:rPr>
        <w:t xml:space="preserve">Elective abortion is a perennial hot-button issue, and various countries are currently in the </w:t>
      </w:r>
      <w:r w:rsidRPr="00CD04FE">
        <w:rPr>
          <w:rStyle w:val="s2"/>
          <w:sz w:val="24"/>
          <w:szCs w:val="24"/>
        </w:rPr>
        <w:t xml:space="preserve">process of controversial, large-scale changes to their abortion laws: after years of permissive legislation, Poland outlawed elective abortion; </w:t>
      </w:r>
      <w:r w:rsidR="00DC1C14" w:rsidRPr="00CD04FE">
        <w:rPr>
          <w:rStyle w:val="s2"/>
          <w:sz w:val="24"/>
          <w:szCs w:val="24"/>
        </w:rPr>
        <w:t>Mexico</w:t>
      </w:r>
      <w:r w:rsidR="00DC1C14">
        <w:rPr>
          <w:rStyle w:val="s2"/>
          <w:sz w:val="24"/>
          <w:szCs w:val="24"/>
        </w:rPr>
        <w:t>’</w:t>
      </w:r>
      <w:r w:rsidR="00DC1C14" w:rsidRPr="00CD04FE">
        <w:rPr>
          <w:rStyle w:val="s2"/>
          <w:sz w:val="24"/>
          <w:szCs w:val="24"/>
        </w:rPr>
        <w:t xml:space="preserve">s Supreme Court, in a historic decision for a largely Catholic country, decriminalized abortion; </w:t>
      </w:r>
      <w:r w:rsidRPr="00CD04FE">
        <w:rPr>
          <w:rStyle w:val="s2"/>
          <w:sz w:val="24"/>
          <w:szCs w:val="24"/>
        </w:rPr>
        <w:t xml:space="preserve">the US </w:t>
      </w:r>
      <w:r w:rsidR="00A2038B">
        <w:rPr>
          <w:rStyle w:val="s2"/>
          <w:sz w:val="24"/>
          <w:szCs w:val="24"/>
        </w:rPr>
        <w:t xml:space="preserve">Supreme Court </w:t>
      </w:r>
      <w:r w:rsidRPr="00CD04FE">
        <w:rPr>
          <w:rStyle w:val="s2"/>
          <w:sz w:val="24"/>
          <w:szCs w:val="24"/>
        </w:rPr>
        <w:t xml:space="preserve">overturned </w:t>
      </w:r>
      <w:r w:rsidRPr="00CD04FE">
        <w:rPr>
          <w:rStyle w:val="s3"/>
          <w:sz w:val="24"/>
          <w:szCs w:val="24"/>
        </w:rPr>
        <w:t>Roe v. Wade</w:t>
      </w:r>
      <w:r w:rsidRPr="00CD04FE">
        <w:rPr>
          <w:rStyle w:val="s2"/>
          <w:sz w:val="24"/>
          <w:szCs w:val="24"/>
        </w:rPr>
        <w:t>, the 1973 Supreme Court case that found a constitutionally protected penumbral right to elective abortion during the first two trimesters; Argentina, in part of the green wave sweeping Latin America, legalized abortion in the first trimester after years of restrictive legislation; Honduras, meanwhile, locked in a total ban on abortion, including in case of rape; and the list could go on.</w:t>
      </w:r>
      <w:r w:rsidRPr="00CD04FE">
        <w:rPr>
          <w:rStyle w:val="apple-converted-space"/>
          <w:rFonts w:ascii="BodoniSvtyTwoOSITCTT-Book" w:hAnsi="BodoniSvtyTwoOSITCTT-Book"/>
          <w:sz w:val="24"/>
          <w:szCs w:val="24"/>
        </w:rPr>
        <w:t> </w:t>
      </w:r>
    </w:p>
    <w:p w14:paraId="5DB5037C" w14:textId="194FEB76"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Kant, whose moral system is built around the twin concepts of autonomy and dignity, is frequently invoked on both sides of the aisle: ideas about autonomy ground the right to choice whereas ideas about dignity ground the right to life. It is therefore instructive to figure out Kant</w:t>
      </w:r>
      <w:r w:rsidR="00890200">
        <w:rPr>
          <w:rStyle w:val="s2"/>
          <w:sz w:val="24"/>
          <w:szCs w:val="24"/>
        </w:rPr>
        <w:t>’</w:t>
      </w:r>
      <w:r w:rsidRPr="00CD04FE">
        <w:rPr>
          <w:rStyle w:val="s2"/>
          <w:sz w:val="24"/>
          <w:szCs w:val="24"/>
        </w:rPr>
        <w:t xml:space="preserve">s position on abortion, and this </w:t>
      </w:r>
      <w:r w:rsidR="006B626C">
        <w:rPr>
          <w:rStyle w:val="s2"/>
          <w:sz w:val="24"/>
          <w:szCs w:val="24"/>
        </w:rPr>
        <w:t>article</w:t>
      </w:r>
      <w:r w:rsidRPr="00CD04FE">
        <w:rPr>
          <w:rStyle w:val="s2"/>
          <w:sz w:val="24"/>
          <w:szCs w:val="24"/>
        </w:rPr>
        <w:t xml:space="preserve"> aims to fill a lacuna in that project.</w:t>
      </w:r>
    </w:p>
    <w:p w14:paraId="52FC6C60" w14:textId="77777777" w:rsidR="008844B6" w:rsidRDefault="00CD04FE">
      <w:pPr>
        <w:pStyle w:val="p1"/>
        <w:rPr>
          <w:rStyle w:val="s2"/>
          <w:sz w:val="24"/>
          <w:szCs w:val="24"/>
        </w:rPr>
      </w:pPr>
      <w:r w:rsidRPr="00CD04FE">
        <w:rPr>
          <w:rStyle w:val="apple-tab-span"/>
          <w:rFonts w:ascii="BodoniSvtyTwoOSITCTT-Book" w:hAnsi="BodoniSvtyTwoOSITCTT-Book"/>
          <w:sz w:val="24"/>
          <w:szCs w:val="24"/>
        </w:rPr>
        <w:tab/>
      </w:r>
      <w:r w:rsidRPr="00CD04FE">
        <w:rPr>
          <w:rStyle w:val="s2"/>
          <w:sz w:val="24"/>
          <w:szCs w:val="24"/>
        </w:rPr>
        <w:t xml:space="preserve">There are two things that are notable about this. The first is that it is extrapolative. Kant does not explicitly address the issue of abortion in his writing, although, as will be seen below, he comes close to doing so in two separate places in his 1797 </w:t>
      </w:r>
      <w:r w:rsidRPr="00CD04FE">
        <w:rPr>
          <w:rStyle w:val="s3"/>
          <w:sz w:val="24"/>
          <w:szCs w:val="24"/>
        </w:rPr>
        <w:t>Metaphysics of Morals</w:t>
      </w:r>
      <w:r w:rsidRPr="00CD04FE">
        <w:rPr>
          <w:rStyle w:val="s2"/>
          <w:sz w:val="24"/>
          <w:szCs w:val="24"/>
        </w:rPr>
        <w:t>. The second is that the part of Kant</w:t>
      </w:r>
      <w:r w:rsidR="00ED532C">
        <w:rPr>
          <w:rStyle w:val="s2"/>
          <w:sz w:val="24"/>
          <w:szCs w:val="24"/>
        </w:rPr>
        <w:t>’</w:t>
      </w:r>
      <w:r w:rsidRPr="00CD04FE">
        <w:rPr>
          <w:rStyle w:val="s2"/>
          <w:sz w:val="24"/>
          <w:szCs w:val="24"/>
        </w:rPr>
        <w:t xml:space="preserve">s position on abortion which I intend to examine bypasses questions about choice and dignity. </w:t>
      </w:r>
    </w:p>
    <w:p w14:paraId="045385D1" w14:textId="31FD06D8" w:rsidR="00CD04FE" w:rsidRPr="00CD04FE" w:rsidRDefault="00CD04FE" w:rsidP="008844B6">
      <w:pPr>
        <w:pStyle w:val="p1"/>
        <w:ind w:firstLine="540"/>
        <w:rPr>
          <w:sz w:val="24"/>
          <w:szCs w:val="24"/>
        </w:rPr>
      </w:pPr>
      <w:r w:rsidRPr="00CD04FE">
        <w:rPr>
          <w:rStyle w:val="s2"/>
          <w:sz w:val="24"/>
          <w:szCs w:val="24"/>
        </w:rPr>
        <w:t>Recent discussions of abortion in Kant</w:t>
      </w:r>
      <w:r w:rsidR="00ED532C">
        <w:rPr>
          <w:rStyle w:val="s2"/>
          <w:sz w:val="24"/>
          <w:szCs w:val="24"/>
        </w:rPr>
        <w:t>’</w:t>
      </w:r>
      <w:r w:rsidRPr="00CD04FE">
        <w:rPr>
          <w:rStyle w:val="s2"/>
          <w:sz w:val="24"/>
          <w:szCs w:val="24"/>
        </w:rPr>
        <w:t>s and Kantian ethics</w:t>
      </w:r>
      <w:r w:rsidR="00ED532C">
        <w:rPr>
          <w:rStyle w:val="s2"/>
          <w:sz w:val="24"/>
          <w:szCs w:val="24"/>
        </w:rPr>
        <w:t xml:space="preserve"> </w:t>
      </w:r>
      <w:r w:rsidRPr="00CD04FE">
        <w:rPr>
          <w:rStyle w:val="s2"/>
          <w:sz w:val="24"/>
          <w:szCs w:val="24"/>
        </w:rPr>
        <w:t>focus on the vexed question of personhood and whether a fetus has a right to life. Underlying this approach is what I call the right to choice-right to life biconditional:</w:t>
      </w:r>
    </w:p>
    <w:p w14:paraId="13414745" w14:textId="77777777" w:rsidR="00CD04FE" w:rsidRPr="00CD04FE" w:rsidRDefault="00CD04FE">
      <w:pPr>
        <w:pStyle w:val="p2"/>
        <w:rPr>
          <w:sz w:val="24"/>
          <w:szCs w:val="24"/>
        </w:rPr>
      </w:pPr>
    </w:p>
    <w:p w14:paraId="4A57D937" w14:textId="101C310C" w:rsidR="00CD04FE" w:rsidRPr="00CD04FE" w:rsidRDefault="00CD04FE" w:rsidP="003E2A48">
      <w:pPr>
        <w:pStyle w:val="p3"/>
        <w:ind w:left="1440" w:hanging="900"/>
        <w:rPr>
          <w:sz w:val="24"/>
          <w:szCs w:val="24"/>
        </w:rPr>
      </w:pPr>
      <w:r w:rsidRPr="00CD04FE">
        <w:rPr>
          <w:rStyle w:val="s1"/>
          <w:sz w:val="24"/>
          <w:szCs w:val="24"/>
        </w:rPr>
        <w:t>RCRL</w:t>
      </w:r>
      <w:r w:rsidRPr="00CD04FE">
        <w:rPr>
          <w:rStyle w:val="s2"/>
          <w:sz w:val="24"/>
          <w:szCs w:val="24"/>
        </w:rPr>
        <w:t xml:space="preserve"> </w:t>
      </w:r>
      <w:r w:rsidRPr="00CD04FE">
        <w:rPr>
          <w:rStyle w:val="apple-tab-span"/>
          <w:rFonts w:ascii="BodoniSvtyTwoOSITCTT-Book" w:hAnsi="BodoniSvtyTwoOSITCTT-Book"/>
          <w:sz w:val="24"/>
          <w:szCs w:val="24"/>
        </w:rPr>
        <w:tab/>
      </w:r>
      <w:r w:rsidRPr="00CD04FE">
        <w:rPr>
          <w:rStyle w:val="s2"/>
          <w:sz w:val="24"/>
          <w:szCs w:val="24"/>
        </w:rPr>
        <w:t>A woman</w:t>
      </w:r>
      <w:r w:rsidR="003E2A48">
        <w:rPr>
          <w:rStyle w:val="s2"/>
          <w:sz w:val="24"/>
          <w:szCs w:val="24"/>
        </w:rPr>
        <w:t>’</w:t>
      </w:r>
      <w:r w:rsidRPr="00CD04FE">
        <w:rPr>
          <w:rStyle w:val="s2"/>
          <w:sz w:val="24"/>
          <w:szCs w:val="24"/>
        </w:rPr>
        <w:t>s right to choice includes the right to an abortion if but only if a fetus does not have a right to life.</w:t>
      </w:r>
      <w:r w:rsidRPr="00CD04FE">
        <w:rPr>
          <w:rStyle w:val="apple-converted-space"/>
          <w:rFonts w:ascii="BodoniSvtyTwoOSITCTT-Book" w:hAnsi="BodoniSvtyTwoOSITCTT-Book"/>
          <w:sz w:val="24"/>
          <w:szCs w:val="24"/>
        </w:rPr>
        <w:t> </w:t>
      </w:r>
    </w:p>
    <w:p w14:paraId="2734E0D5" w14:textId="77777777" w:rsidR="00CD04FE" w:rsidRPr="00CD04FE" w:rsidRDefault="00CD04FE">
      <w:pPr>
        <w:pStyle w:val="p2"/>
        <w:rPr>
          <w:sz w:val="24"/>
          <w:szCs w:val="24"/>
        </w:rPr>
      </w:pPr>
    </w:p>
    <w:p w14:paraId="32A21AA7" w14:textId="3069368D" w:rsidR="00CD04FE" w:rsidRPr="00CD04FE" w:rsidRDefault="00CD04FE">
      <w:pPr>
        <w:pStyle w:val="p1"/>
        <w:rPr>
          <w:sz w:val="24"/>
          <w:szCs w:val="24"/>
        </w:rPr>
      </w:pPr>
      <w:r w:rsidRPr="00CD04FE">
        <w:rPr>
          <w:rStyle w:val="s2"/>
          <w:sz w:val="24"/>
          <w:szCs w:val="24"/>
        </w:rPr>
        <w:lastRenderedPageBreak/>
        <w:t xml:space="preserve">My goal in this </w:t>
      </w:r>
      <w:r w:rsidR="006B626C">
        <w:rPr>
          <w:rStyle w:val="s2"/>
          <w:sz w:val="24"/>
          <w:szCs w:val="24"/>
        </w:rPr>
        <w:t>article</w:t>
      </w:r>
      <w:r w:rsidRPr="00CD04FE">
        <w:rPr>
          <w:rStyle w:val="s2"/>
          <w:sz w:val="24"/>
          <w:szCs w:val="24"/>
        </w:rPr>
        <w:t xml:space="preserve"> is to show that, on Kant</w:t>
      </w:r>
      <w:r w:rsidR="003E2A48">
        <w:rPr>
          <w:rStyle w:val="s2"/>
          <w:sz w:val="24"/>
          <w:szCs w:val="24"/>
        </w:rPr>
        <w:t>’</w:t>
      </w:r>
      <w:r w:rsidRPr="00CD04FE">
        <w:rPr>
          <w:rStyle w:val="s2"/>
          <w:sz w:val="24"/>
          <w:szCs w:val="24"/>
        </w:rPr>
        <w:t xml:space="preserve">s account, the RCRL is subject to </w:t>
      </w:r>
      <w:r w:rsidR="005F1B3D">
        <w:rPr>
          <w:rStyle w:val="s2"/>
          <w:sz w:val="24"/>
          <w:szCs w:val="24"/>
        </w:rPr>
        <w:t>equivocation</w:t>
      </w:r>
      <w:r w:rsidRPr="00CD04FE">
        <w:rPr>
          <w:rStyle w:val="s2"/>
          <w:sz w:val="24"/>
          <w:szCs w:val="24"/>
        </w:rPr>
        <w:t>. I do this by focusing on a different right, the right to punish, as embedded in the following conditional:</w:t>
      </w:r>
    </w:p>
    <w:p w14:paraId="0FE55941" w14:textId="77777777" w:rsidR="00CD04FE" w:rsidRPr="00CD04FE" w:rsidRDefault="00CD04FE">
      <w:pPr>
        <w:pStyle w:val="p2"/>
        <w:rPr>
          <w:sz w:val="24"/>
          <w:szCs w:val="24"/>
        </w:rPr>
      </w:pPr>
    </w:p>
    <w:p w14:paraId="6C9DCB42" w14:textId="77777777" w:rsidR="00CD04FE" w:rsidRPr="00CD04FE" w:rsidRDefault="00CD04FE" w:rsidP="003E2A48">
      <w:pPr>
        <w:pStyle w:val="p4"/>
        <w:ind w:left="1440" w:hanging="900"/>
        <w:rPr>
          <w:sz w:val="24"/>
          <w:szCs w:val="24"/>
        </w:rPr>
      </w:pPr>
      <w:r w:rsidRPr="00CD04FE">
        <w:rPr>
          <w:rStyle w:val="s1"/>
          <w:sz w:val="24"/>
          <w:szCs w:val="24"/>
        </w:rPr>
        <w:t>RPC</w:t>
      </w:r>
      <w:r w:rsidRPr="00CD04FE">
        <w:rPr>
          <w:rStyle w:val="apple-tab-span"/>
          <w:rFonts w:ascii="BodoniSvtyTwoOSITCTT-Book" w:hAnsi="BodoniSvtyTwoOSITCTT-Book"/>
          <w:sz w:val="24"/>
          <w:szCs w:val="24"/>
        </w:rPr>
        <w:tab/>
      </w:r>
      <w:r w:rsidRPr="00CD04FE">
        <w:rPr>
          <w:rStyle w:val="s2"/>
          <w:sz w:val="24"/>
          <w:szCs w:val="24"/>
        </w:rPr>
        <w:t>If P has a legally enforceable right to life, then intentionally killing P is legally punishable.</w:t>
      </w:r>
    </w:p>
    <w:p w14:paraId="7C8B891A" w14:textId="77777777" w:rsidR="00CD04FE" w:rsidRPr="00CD04FE" w:rsidRDefault="00CD04FE">
      <w:pPr>
        <w:pStyle w:val="p2"/>
        <w:rPr>
          <w:sz w:val="24"/>
          <w:szCs w:val="24"/>
        </w:rPr>
      </w:pPr>
      <w:r w:rsidRPr="00CD04FE">
        <w:rPr>
          <w:rStyle w:val="apple-converted-space"/>
          <w:rFonts w:ascii="BodoniSvtyTwoOSITCTT-Book" w:hAnsi="BodoniSvtyTwoOSITCTT-Book"/>
          <w:sz w:val="24"/>
          <w:szCs w:val="24"/>
        </w:rPr>
        <w:t> </w:t>
      </w:r>
    </w:p>
    <w:p w14:paraId="10179A77" w14:textId="78361D47" w:rsidR="00CD04FE" w:rsidRDefault="00CD04FE">
      <w:pPr>
        <w:pStyle w:val="p1"/>
        <w:rPr>
          <w:rStyle w:val="s2"/>
          <w:sz w:val="24"/>
          <w:szCs w:val="24"/>
        </w:rPr>
      </w:pPr>
      <w:r w:rsidRPr="00CD04FE">
        <w:rPr>
          <w:rStyle w:val="s2"/>
          <w:sz w:val="24"/>
          <w:szCs w:val="24"/>
        </w:rPr>
        <w:t xml:space="preserve">I argue that the same text that shows that Kant would reject the RPC (right to punish conditional) also shows Kant making an argument that, carried to its logical conclusion, entails that elective abortion is, with certain qualifications, not legally punishable. I then explain why, for Kant, the RCRL is subject to </w:t>
      </w:r>
      <w:r w:rsidR="001B5B3B">
        <w:rPr>
          <w:rStyle w:val="s2"/>
          <w:sz w:val="24"/>
          <w:szCs w:val="24"/>
        </w:rPr>
        <w:t>equivocation</w:t>
      </w:r>
      <w:r w:rsidRPr="00CD04FE">
        <w:rPr>
          <w:rStyle w:val="s2"/>
          <w:sz w:val="24"/>
          <w:szCs w:val="24"/>
        </w:rPr>
        <w:t>. This leads to the striking conclusion that, on Kant</w:t>
      </w:r>
      <w:r w:rsidR="00347303">
        <w:rPr>
          <w:rStyle w:val="s2"/>
          <w:sz w:val="24"/>
          <w:szCs w:val="24"/>
        </w:rPr>
        <w:t>’</w:t>
      </w:r>
      <w:r w:rsidRPr="00CD04FE">
        <w:rPr>
          <w:rStyle w:val="s2"/>
          <w:sz w:val="24"/>
          <w:szCs w:val="24"/>
        </w:rPr>
        <w:t xml:space="preserve">s account, there is a sense in which there is a right to abortion (a wide right to abortion) regardless of whether abortion falls within the strict ambit of the right to choice and regardless of whether </w:t>
      </w:r>
      <w:r w:rsidR="00C6715B">
        <w:rPr>
          <w:rStyle w:val="s2"/>
          <w:sz w:val="24"/>
          <w:szCs w:val="24"/>
        </w:rPr>
        <w:t>a</w:t>
      </w:r>
      <w:r w:rsidRPr="00CD04FE">
        <w:rPr>
          <w:rStyle w:val="s2"/>
          <w:sz w:val="24"/>
          <w:szCs w:val="24"/>
        </w:rPr>
        <w:t xml:space="preserve"> fetus has a right to life.</w:t>
      </w:r>
    </w:p>
    <w:p w14:paraId="050E45DF" w14:textId="49E934AB" w:rsidR="00072BE5" w:rsidRDefault="00C97821">
      <w:pPr>
        <w:pStyle w:val="p1"/>
        <w:rPr>
          <w:rStyle w:val="s2"/>
          <w:sz w:val="24"/>
          <w:szCs w:val="24"/>
        </w:rPr>
      </w:pPr>
      <w:r>
        <w:rPr>
          <w:rStyle w:val="s2"/>
          <w:sz w:val="24"/>
          <w:szCs w:val="24"/>
        </w:rPr>
        <w:tab/>
        <w:t xml:space="preserve">It bears emphasizing </w:t>
      </w:r>
      <w:r w:rsidR="00377B42">
        <w:rPr>
          <w:rStyle w:val="s2"/>
          <w:sz w:val="24"/>
          <w:szCs w:val="24"/>
        </w:rPr>
        <w:t>that</w:t>
      </w:r>
      <w:r w:rsidR="00A46728">
        <w:rPr>
          <w:rStyle w:val="s2"/>
          <w:sz w:val="24"/>
          <w:szCs w:val="24"/>
        </w:rPr>
        <w:t xml:space="preserve"> this (wide) right</w:t>
      </w:r>
      <w:r w:rsidR="006B4126">
        <w:rPr>
          <w:rStyle w:val="s2"/>
          <w:sz w:val="24"/>
          <w:szCs w:val="24"/>
        </w:rPr>
        <w:t xml:space="preserve"> to abortion is pertinent to non-ideal </w:t>
      </w:r>
      <w:r w:rsidR="00224C1A">
        <w:rPr>
          <w:rStyle w:val="s2"/>
          <w:sz w:val="24"/>
          <w:szCs w:val="24"/>
        </w:rPr>
        <w:t>theory</w:t>
      </w:r>
      <w:r w:rsidR="006B4126">
        <w:rPr>
          <w:rStyle w:val="s2"/>
          <w:sz w:val="24"/>
          <w:szCs w:val="24"/>
        </w:rPr>
        <w:t>, a point of interest in contemporary political philosophy, and so also a point of interest in thinking about Kant in conversation with contemporary political philosophy</w:t>
      </w:r>
      <w:r w:rsidR="00C04D11">
        <w:rPr>
          <w:rStyle w:val="s2"/>
          <w:sz w:val="24"/>
          <w:szCs w:val="24"/>
        </w:rPr>
        <w:t xml:space="preserve">. To make the position more perspicuous, we can distinguish between </w:t>
      </w:r>
      <w:r w:rsidR="003F1A65">
        <w:rPr>
          <w:rStyle w:val="s2"/>
          <w:sz w:val="24"/>
          <w:szCs w:val="24"/>
        </w:rPr>
        <w:t xml:space="preserve">three questions: </w:t>
      </w:r>
    </w:p>
    <w:p w14:paraId="4D4079B0" w14:textId="77777777" w:rsidR="00072BE5" w:rsidRDefault="00072BE5">
      <w:pPr>
        <w:pStyle w:val="p1"/>
        <w:rPr>
          <w:rStyle w:val="s2"/>
          <w:sz w:val="24"/>
          <w:szCs w:val="24"/>
        </w:rPr>
      </w:pPr>
    </w:p>
    <w:p w14:paraId="20ADFF1B" w14:textId="4469C46F" w:rsidR="00C97821" w:rsidRDefault="00072BE5" w:rsidP="00072BE5">
      <w:pPr>
        <w:pStyle w:val="p1"/>
        <w:numPr>
          <w:ilvl w:val="0"/>
          <w:numId w:val="1"/>
        </w:numPr>
        <w:rPr>
          <w:rStyle w:val="s2"/>
          <w:sz w:val="24"/>
          <w:szCs w:val="24"/>
        </w:rPr>
      </w:pPr>
      <w:r>
        <w:rPr>
          <w:rStyle w:val="s2"/>
          <w:sz w:val="24"/>
          <w:szCs w:val="24"/>
        </w:rPr>
        <w:t>W</w:t>
      </w:r>
      <w:r w:rsidR="003F1A65">
        <w:rPr>
          <w:rStyle w:val="s2"/>
          <w:sz w:val="24"/>
          <w:szCs w:val="24"/>
        </w:rPr>
        <w:t>hen does the right to life onset?</w:t>
      </w:r>
    </w:p>
    <w:p w14:paraId="7C2C23E3" w14:textId="648BFE40" w:rsidR="00072BE5" w:rsidRDefault="00072BE5" w:rsidP="00072BE5">
      <w:pPr>
        <w:pStyle w:val="p1"/>
        <w:numPr>
          <w:ilvl w:val="0"/>
          <w:numId w:val="1"/>
        </w:numPr>
        <w:rPr>
          <w:rStyle w:val="s2"/>
          <w:sz w:val="24"/>
          <w:szCs w:val="24"/>
        </w:rPr>
      </w:pPr>
      <w:r>
        <w:rPr>
          <w:rStyle w:val="s2"/>
          <w:sz w:val="24"/>
          <w:szCs w:val="24"/>
        </w:rPr>
        <w:t>When does killing someone with the right</w:t>
      </w:r>
      <w:r w:rsidR="00F1265C">
        <w:rPr>
          <w:rStyle w:val="s2"/>
          <w:sz w:val="24"/>
          <w:szCs w:val="24"/>
        </w:rPr>
        <w:t xml:space="preserve"> to life constitute an infringement of that right?</w:t>
      </w:r>
    </w:p>
    <w:p w14:paraId="177047E1" w14:textId="784ABB1F" w:rsidR="00F1265C" w:rsidRDefault="00F1265C" w:rsidP="00072BE5">
      <w:pPr>
        <w:pStyle w:val="p1"/>
        <w:numPr>
          <w:ilvl w:val="0"/>
          <w:numId w:val="1"/>
        </w:numPr>
        <w:rPr>
          <w:rStyle w:val="s2"/>
          <w:sz w:val="24"/>
          <w:szCs w:val="24"/>
        </w:rPr>
      </w:pPr>
      <w:r>
        <w:rPr>
          <w:rStyle w:val="s2"/>
          <w:sz w:val="24"/>
          <w:szCs w:val="24"/>
        </w:rPr>
        <w:t>When is there a right to punish someone who infringes on the right to life?</w:t>
      </w:r>
    </w:p>
    <w:p w14:paraId="328DAD4E" w14:textId="77777777" w:rsidR="00F1265C" w:rsidRDefault="00F1265C" w:rsidP="00F1265C">
      <w:pPr>
        <w:pStyle w:val="p1"/>
        <w:rPr>
          <w:rStyle w:val="s2"/>
          <w:sz w:val="24"/>
          <w:szCs w:val="24"/>
        </w:rPr>
      </w:pPr>
    </w:p>
    <w:p w14:paraId="0B06ED77" w14:textId="57CC7116" w:rsidR="00C97821" w:rsidRPr="001E1971" w:rsidRDefault="00A01309">
      <w:pPr>
        <w:pStyle w:val="p1"/>
        <w:rPr>
          <w:rFonts w:ascii="BodoniSvtyTwoOSITCTT-Book" w:hAnsi="BodoniSvtyTwoOSITCTT-Book"/>
          <w:sz w:val="24"/>
          <w:szCs w:val="24"/>
        </w:rPr>
      </w:pPr>
      <w:r>
        <w:rPr>
          <w:rStyle w:val="s2"/>
          <w:sz w:val="24"/>
          <w:szCs w:val="24"/>
        </w:rPr>
        <w:t xml:space="preserve">The first question can be called the personhood question; this is the question that tends to receive the lion’s share of attention in abortion debates. The second question can be called the Thomson </w:t>
      </w:r>
      <w:r w:rsidR="00052B35">
        <w:rPr>
          <w:rStyle w:val="s2"/>
          <w:sz w:val="24"/>
          <w:szCs w:val="24"/>
        </w:rPr>
        <w:t xml:space="preserve">question; it is the question that </w:t>
      </w:r>
      <w:r w:rsidR="00B65550">
        <w:rPr>
          <w:rStyle w:val="s2"/>
          <w:sz w:val="24"/>
          <w:szCs w:val="24"/>
        </w:rPr>
        <w:t xml:space="preserve">JJ </w:t>
      </w:r>
      <w:r w:rsidR="00052B35">
        <w:rPr>
          <w:rStyle w:val="s2"/>
          <w:sz w:val="24"/>
          <w:szCs w:val="24"/>
        </w:rPr>
        <w:t xml:space="preserve">Thomson </w:t>
      </w:r>
      <w:r w:rsidR="009C3571">
        <w:rPr>
          <w:rStyle w:val="s2"/>
          <w:sz w:val="24"/>
          <w:szCs w:val="24"/>
        </w:rPr>
        <w:t>asks</w:t>
      </w:r>
      <w:r w:rsidR="00052B35">
        <w:rPr>
          <w:rStyle w:val="s2"/>
          <w:sz w:val="24"/>
          <w:szCs w:val="24"/>
        </w:rPr>
        <w:t xml:space="preserve"> with her famous violinist thought experiment. The third question</w:t>
      </w:r>
      <w:r w:rsidR="002C70C4">
        <w:rPr>
          <w:rStyle w:val="s2"/>
          <w:sz w:val="24"/>
          <w:szCs w:val="24"/>
        </w:rPr>
        <w:t xml:space="preserve"> can be called the RPC question, and it is the question I</w:t>
      </w:r>
      <w:r w:rsidR="00FE03D1">
        <w:rPr>
          <w:rStyle w:val="s2"/>
          <w:sz w:val="24"/>
          <w:szCs w:val="24"/>
        </w:rPr>
        <w:t xml:space="preserve">  o</w:t>
      </w:r>
      <w:r w:rsidR="002C70C4">
        <w:rPr>
          <w:rStyle w:val="s2"/>
          <w:sz w:val="24"/>
          <w:szCs w:val="24"/>
        </w:rPr>
        <w:t>n</w:t>
      </w:r>
      <w:r w:rsidR="00FE03D1">
        <w:rPr>
          <w:rStyle w:val="s2"/>
          <w:sz w:val="24"/>
          <w:szCs w:val="24"/>
        </w:rPr>
        <w:t xml:space="preserve"> which I focus</w:t>
      </w:r>
      <w:r w:rsidR="002C70C4">
        <w:rPr>
          <w:rStyle w:val="s2"/>
          <w:sz w:val="24"/>
          <w:szCs w:val="24"/>
        </w:rPr>
        <w:t xml:space="preserve"> in this article. </w:t>
      </w:r>
      <w:r w:rsidR="000B403B">
        <w:rPr>
          <w:rStyle w:val="s2"/>
          <w:sz w:val="24"/>
          <w:szCs w:val="24"/>
        </w:rPr>
        <w:t xml:space="preserve">Unlike the personhood question and the Thomson question, the RPC question </w:t>
      </w:r>
      <w:r w:rsidR="00B637C7">
        <w:rPr>
          <w:rStyle w:val="s2"/>
          <w:sz w:val="24"/>
          <w:szCs w:val="24"/>
        </w:rPr>
        <w:t xml:space="preserve">has not, as far as I am aware, been broached, let alone discussed in any depth, in </w:t>
      </w:r>
      <w:r w:rsidR="001E1971">
        <w:rPr>
          <w:rStyle w:val="s2"/>
          <w:sz w:val="24"/>
          <w:szCs w:val="24"/>
        </w:rPr>
        <w:t>the abortion literature.</w:t>
      </w:r>
    </w:p>
    <w:p w14:paraId="748D8FFC" w14:textId="7B9C0877"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00EF3A95" w:rsidRPr="00CD04FE">
        <w:rPr>
          <w:rStyle w:val="s2"/>
          <w:sz w:val="24"/>
          <w:szCs w:val="24"/>
        </w:rPr>
        <w:t xml:space="preserve">To be clear, I am arguing for a historical-exegetical thesis. I shall not advocate a (moderate) prochoice position (or any other position in the abortion debate). </w:t>
      </w:r>
      <w:r w:rsidR="00D80576">
        <w:rPr>
          <w:rStyle w:val="s2"/>
          <w:sz w:val="24"/>
          <w:szCs w:val="24"/>
        </w:rPr>
        <w:t>The point I want to make is</w:t>
      </w:r>
      <w:r w:rsidRPr="00CD04FE">
        <w:rPr>
          <w:rStyle w:val="s2"/>
          <w:sz w:val="24"/>
          <w:szCs w:val="24"/>
        </w:rPr>
        <w:t xml:space="preserve"> that examining Kant</w:t>
      </w:r>
      <w:r w:rsidR="00A8753B">
        <w:rPr>
          <w:rStyle w:val="s2"/>
          <w:sz w:val="24"/>
          <w:szCs w:val="24"/>
        </w:rPr>
        <w:t>’</w:t>
      </w:r>
      <w:r w:rsidRPr="00CD04FE">
        <w:rPr>
          <w:rStyle w:val="s2"/>
          <w:sz w:val="24"/>
          <w:szCs w:val="24"/>
        </w:rPr>
        <w:t xml:space="preserve">s rejection of the RCRL exposes an important and under-explored issue in discussions of abortion (and other end-of-life topics, including euthanasia and physician assisted suicide) and leads to the surprising conclusion that one might hold a moderate prochoice position without engaging </w:t>
      </w:r>
      <w:r w:rsidR="00273DB3">
        <w:rPr>
          <w:rStyle w:val="s2"/>
          <w:sz w:val="24"/>
          <w:szCs w:val="24"/>
        </w:rPr>
        <w:t>with the personhood question or the Thomson question</w:t>
      </w:r>
      <w:r w:rsidRPr="00CD04FE">
        <w:rPr>
          <w:rStyle w:val="s2"/>
          <w:sz w:val="24"/>
          <w:szCs w:val="24"/>
        </w:rPr>
        <w:t>. But</w:t>
      </w:r>
      <w:r w:rsidR="00900525">
        <w:rPr>
          <w:rStyle w:val="s2"/>
          <w:sz w:val="24"/>
          <w:szCs w:val="24"/>
        </w:rPr>
        <w:t>,</w:t>
      </w:r>
      <w:r w:rsidRPr="00CD04FE">
        <w:rPr>
          <w:rStyle w:val="s2"/>
          <w:sz w:val="24"/>
          <w:szCs w:val="24"/>
        </w:rPr>
        <w:t xml:space="preserve"> I do not intend to argue that this position, when teased out of the brief remarks Kant makes, is one that we ought to hold</w:t>
      </w:r>
      <w:r w:rsidR="00900525">
        <w:rPr>
          <w:rStyle w:val="s2"/>
          <w:sz w:val="24"/>
          <w:szCs w:val="24"/>
        </w:rPr>
        <w:t xml:space="preserve">—I intend to argue only that the RPC question, once revealed to us </w:t>
      </w:r>
      <w:r w:rsidR="00E33F6D">
        <w:rPr>
          <w:rStyle w:val="s2"/>
          <w:sz w:val="24"/>
          <w:szCs w:val="24"/>
        </w:rPr>
        <w:t>by Kant, is one with which we need to engage</w:t>
      </w:r>
      <w:r w:rsidR="0003209E">
        <w:rPr>
          <w:rStyle w:val="s2"/>
          <w:sz w:val="24"/>
          <w:szCs w:val="24"/>
        </w:rPr>
        <w:t xml:space="preserve"> in order fully to understand the complexities</w:t>
      </w:r>
      <w:r w:rsidR="00F64E7F">
        <w:rPr>
          <w:rStyle w:val="s2"/>
          <w:sz w:val="24"/>
          <w:szCs w:val="24"/>
        </w:rPr>
        <w:t xml:space="preserve"> of</w:t>
      </w:r>
      <w:r w:rsidR="0003209E">
        <w:rPr>
          <w:rStyle w:val="s2"/>
          <w:sz w:val="24"/>
          <w:szCs w:val="24"/>
        </w:rPr>
        <w:t xml:space="preserve"> </w:t>
      </w:r>
      <w:r w:rsidR="00F16AFC">
        <w:rPr>
          <w:rStyle w:val="s2"/>
          <w:sz w:val="24"/>
          <w:szCs w:val="24"/>
        </w:rPr>
        <w:t xml:space="preserve">the legal status of abortion in particular and criminal punishment </w:t>
      </w:r>
      <w:r w:rsidR="00D10B8E">
        <w:rPr>
          <w:rStyle w:val="s2"/>
          <w:sz w:val="24"/>
          <w:szCs w:val="24"/>
        </w:rPr>
        <w:t>in general</w:t>
      </w:r>
      <w:r w:rsidRPr="00CD04FE">
        <w:rPr>
          <w:rStyle w:val="s2"/>
          <w:sz w:val="24"/>
          <w:szCs w:val="24"/>
        </w:rPr>
        <w:t>.</w:t>
      </w:r>
    </w:p>
    <w:p w14:paraId="75D99EB2" w14:textId="31B0F4C4"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 xml:space="preserve">The </w:t>
      </w:r>
      <w:r w:rsidR="00B356FE">
        <w:rPr>
          <w:rStyle w:val="s2"/>
          <w:sz w:val="24"/>
          <w:szCs w:val="24"/>
        </w:rPr>
        <w:t>article</w:t>
      </w:r>
      <w:r w:rsidRPr="00CD04FE">
        <w:rPr>
          <w:rStyle w:val="s2"/>
          <w:sz w:val="24"/>
          <w:szCs w:val="24"/>
        </w:rPr>
        <w:t xml:space="preserve"> is divided into four sections. In the first, I lay the groundwork for Kant</w:t>
      </w:r>
      <w:r w:rsidR="00BF43DF">
        <w:rPr>
          <w:rStyle w:val="s2"/>
          <w:sz w:val="24"/>
          <w:szCs w:val="24"/>
        </w:rPr>
        <w:t>’</w:t>
      </w:r>
      <w:r w:rsidRPr="00CD04FE">
        <w:rPr>
          <w:rStyle w:val="s2"/>
          <w:sz w:val="24"/>
          <w:szCs w:val="24"/>
        </w:rPr>
        <w:t>s theory of rights and briefly canvass some of the literature on Kantian approaches to abortion. In the second, I look at Kant</w:t>
      </w:r>
      <w:r w:rsidR="00BF43DF">
        <w:rPr>
          <w:rStyle w:val="s2"/>
          <w:sz w:val="24"/>
          <w:szCs w:val="24"/>
        </w:rPr>
        <w:t>’</w:t>
      </w:r>
      <w:r w:rsidRPr="00CD04FE">
        <w:rPr>
          <w:rStyle w:val="s2"/>
          <w:sz w:val="24"/>
          <w:szCs w:val="24"/>
        </w:rPr>
        <w:t xml:space="preserve">s discussion of equivocal rights. In the third, I turn to </w:t>
      </w:r>
      <w:r w:rsidRPr="00CD04FE">
        <w:rPr>
          <w:rStyle w:val="s2"/>
          <w:sz w:val="24"/>
          <w:szCs w:val="24"/>
        </w:rPr>
        <w:lastRenderedPageBreak/>
        <w:t>Kant</w:t>
      </w:r>
      <w:r w:rsidR="00BF43DF">
        <w:rPr>
          <w:rStyle w:val="s2"/>
          <w:sz w:val="24"/>
          <w:szCs w:val="24"/>
        </w:rPr>
        <w:t>’</w:t>
      </w:r>
      <w:r w:rsidRPr="00CD04FE">
        <w:rPr>
          <w:rStyle w:val="s2"/>
          <w:sz w:val="24"/>
          <w:szCs w:val="24"/>
        </w:rPr>
        <w:t>s discussions of capital punishment and suicide. In the fourth, I examine Kant on honor killings.</w:t>
      </w:r>
    </w:p>
    <w:p w14:paraId="38A9FEF0" w14:textId="77777777" w:rsidR="00CD04FE" w:rsidRPr="00CD04FE" w:rsidRDefault="00CD04FE">
      <w:pPr>
        <w:pStyle w:val="p2"/>
        <w:rPr>
          <w:sz w:val="24"/>
          <w:szCs w:val="24"/>
        </w:rPr>
      </w:pPr>
    </w:p>
    <w:p w14:paraId="6CA602CB" w14:textId="77777777" w:rsidR="00CD04FE" w:rsidRPr="00CD04FE" w:rsidRDefault="00CD04FE">
      <w:pPr>
        <w:pStyle w:val="p1"/>
        <w:rPr>
          <w:sz w:val="24"/>
          <w:szCs w:val="24"/>
        </w:rPr>
      </w:pPr>
      <w:r w:rsidRPr="00CD04FE">
        <w:rPr>
          <w:rStyle w:val="s1"/>
          <w:sz w:val="24"/>
          <w:szCs w:val="24"/>
        </w:rPr>
        <w:t>1.</w:t>
      </w:r>
      <w:r w:rsidRPr="00CD04FE">
        <w:rPr>
          <w:rStyle w:val="apple-converted-space"/>
          <w:b/>
          <w:bCs/>
          <w:sz w:val="24"/>
          <w:szCs w:val="24"/>
        </w:rPr>
        <w:t xml:space="preserve">  </w:t>
      </w:r>
      <w:r w:rsidRPr="00CD04FE">
        <w:rPr>
          <w:rStyle w:val="s1"/>
          <w:sz w:val="24"/>
          <w:szCs w:val="24"/>
        </w:rPr>
        <w:t>Introduction</w:t>
      </w:r>
    </w:p>
    <w:p w14:paraId="37C61C22" w14:textId="77777777" w:rsidR="00CD04FE" w:rsidRPr="00CD04FE" w:rsidRDefault="00CD04FE">
      <w:pPr>
        <w:pStyle w:val="p2"/>
        <w:rPr>
          <w:sz w:val="24"/>
          <w:szCs w:val="24"/>
        </w:rPr>
      </w:pPr>
    </w:p>
    <w:p w14:paraId="46321DE4" w14:textId="0E64379E" w:rsidR="00CD04FE" w:rsidRPr="00CD04FE" w:rsidRDefault="00CD04FE">
      <w:pPr>
        <w:pStyle w:val="p1"/>
        <w:rPr>
          <w:sz w:val="24"/>
          <w:szCs w:val="24"/>
        </w:rPr>
      </w:pPr>
      <w:r w:rsidRPr="00CD04FE">
        <w:rPr>
          <w:rStyle w:val="s2"/>
          <w:sz w:val="24"/>
          <w:szCs w:val="24"/>
        </w:rPr>
        <w:t>Kant</w:t>
      </w:r>
      <w:r w:rsidR="00730711">
        <w:rPr>
          <w:rStyle w:val="s2"/>
          <w:sz w:val="24"/>
          <w:szCs w:val="24"/>
        </w:rPr>
        <w:t>’</w:t>
      </w:r>
      <w:r w:rsidRPr="00CD04FE">
        <w:rPr>
          <w:rStyle w:val="s2"/>
          <w:sz w:val="24"/>
          <w:szCs w:val="24"/>
        </w:rPr>
        <w:t xml:space="preserve">s theory of justice is outlined in the Doctrine of Right, the first half of his </w:t>
      </w:r>
      <w:r w:rsidRPr="00CD04FE">
        <w:rPr>
          <w:rStyle w:val="s3"/>
          <w:sz w:val="24"/>
          <w:szCs w:val="24"/>
        </w:rPr>
        <w:t>Metaphysics of Morals</w:t>
      </w:r>
      <w:r w:rsidRPr="00CD04FE">
        <w:rPr>
          <w:rStyle w:val="s2"/>
          <w:sz w:val="24"/>
          <w:szCs w:val="24"/>
        </w:rPr>
        <w:t>. In the introduction to the Doctrine of Right, Kant contrasts acquired rights with innate rights. The rights I have to the computer on which I am typing are, on Kant</w:t>
      </w:r>
      <w:r w:rsidR="00EF4FCD">
        <w:rPr>
          <w:rStyle w:val="s2"/>
          <w:sz w:val="24"/>
          <w:szCs w:val="24"/>
        </w:rPr>
        <w:t>’</w:t>
      </w:r>
      <w:r w:rsidRPr="00CD04FE">
        <w:rPr>
          <w:rStyle w:val="s2"/>
          <w:sz w:val="24"/>
          <w:szCs w:val="24"/>
        </w:rPr>
        <w:t>s account, acquired. They were acquired through the transfer of property that occurred when I bought the computer. Innate rights, by way of contrast, are original, and they form the basis for all acquired rights. Kant thinks that there is only one innate right:</w:t>
      </w:r>
    </w:p>
    <w:p w14:paraId="0BB18FFE" w14:textId="77777777" w:rsidR="00CD04FE" w:rsidRPr="00CD04FE" w:rsidRDefault="00CD04FE">
      <w:pPr>
        <w:pStyle w:val="p2"/>
        <w:rPr>
          <w:sz w:val="24"/>
          <w:szCs w:val="24"/>
        </w:rPr>
      </w:pPr>
    </w:p>
    <w:p w14:paraId="35EDC6C9" w14:textId="278F267B" w:rsidR="00CD04FE" w:rsidRPr="00CD04FE" w:rsidRDefault="00CD04FE" w:rsidP="00616761">
      <w:pPr>
        <w:pStyle w:val="p1"/>
        <w:ind w:left="1440"/>
        <w:rPr>
          <w:sz w:val="24"/>
          <w:szCs w:val="24"/>
        </w:rPr>
      </w:pPr>
      <w:r w:rsidRPr="00CD04FE">
        <w:rPr>
          <w:rStyle w:val="s3"/>
          <w:sz w:val="24"/>
          <w:szCs w:val="24"/>
        </w:rPr>
        <w:t>Freedom</w:t>
      </w:r>
      <w:r w:rsidRPr="00CD04FE">
        <w:rPr>
          <w:rStyle w:val="s2"/>
          <w:sz w:val="24"/>
          <w:szCs w:val="24"/>
        </w:rPr>
        <w:t xml:space="preserve"> (independence from being constrained by another's choice), insofar as it can coexist with the freedom of every other in accordance with a universal law, is the only original right belonging to every man by virtue of his humanity.</w:t>
      </w:r>
      <w:r w:rsidR="00B60CD3">
        <w:rPr>
          <w:rStyle w:val="FootnoteReference"/>
          <w:rFonts w:ascii="BodoniSvtyTwoOSITCTT-Book" w:hAnsi="BodoniSvtyTwoOSITCTT-Book"/>
          <w:sz w:val="24"/>
          <w:szCs w:val="24"/>
        </w:rPr>
        <w:footnoteReference w:id="1"/>
      </w:r>
    </w:p>
    <w:p w14:paraId="7DEFD9BE" w14:textId="77777777" w:rsidR="00CD04FE" w:rsidRPr="00CD04FE" w:rsidRDefault="00CD04FE">
      <w:pPr>
        <w:pStyle w:val="p2"/>
        <w:rPr>
          <w:sz w:val="24"/>
          <w:szCs w:val="24"/>
        </w:rPr>
      </w:pPr>
    </w:p>
    <w:p w14:paraId="75814E39" w14:textId="77777777" w:rsidR="00CD04FE" w:rsidRPr="00CD04FE" w:rsidRDefault="00CD04FE">
      <w:pPr>
        <w:pStyle w:val="p1"/>
        <w:rPr>
          <w:sz w:val="24"/>
          <w:szCs w:val="24"/>
        </w:rPr>
      </w:pPr>
      <w:r w:rsidRPr="00CD04FE">
        <w:rPr>
          <w:rStyle w:val="s2"/>
          <w:sz w:val="24"/>
          <w:szCs w:val="24"/>
        </w:rPr>
        <w:t>There are five things about this innate right to which I would like to draw attention.</w:t>
      </w:r>
    </w:p>
    <w:p w14:paraId="7CA2D8D0" w14:textId="2100E3F2"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First, freedom is explained as independence from another</w:t>
      </w:r>
      <w:r w:rsidR="00EF4FCD">
        <w:rPr>
          <w:rStyle w:val="s2"/>
          <w:sz w:val="24"/>
          <w:szCs w:val="24"/>
        </w:rPr>
        <w:t>’</w:t>
      </w:r>
      <w:r w:rsidRPr="00CD04FE">
        <w:rPr>
          <w:rStyle w:val="s2"/>
          <w:sz w:val="24"/>
          <w:szCs w:val="24"/>
        </w:rPr>
        <w:t>s will. On Kant</w:t>
      </w:r>
      <w:r w:rsidR="00EF4FCD">
        <w:rPr>
          <w:rStyle w:val="s2"/>
          <w:sz w:val="24"/>
          <w:szCs w:val="24"/>
        </w:rPr>
        <w:t>’</w:t>
      </w:r>
      <w:r w:rsidRPr="00CD04FE">
        <w:rPr>
          <w:rStyle w:val="s2"/>
          <w:sz w:val="24"/>
          <w:szCs w:val="24"/>
        </w:rPr>
        <w:t>s account, the freedom to which we have an innate right is negative rather than positive. Kant is not saying that I have an innate right to the necessary means to engage in various actions, where this might mean a right to constrain others to provide me with those means. Rather, Kant is saying that I have an innate right not to have others force me to engage in (or refrain from) various actions. This negative right might generate positive rights in various circumstances. But those positive rights are not original. This can be made concrete in the context of the abortion debate. If the right to abortion falls within the purview of Kant</w:t>
      </w:r>
      <w:r w:rsidR="007A3A38">
        <w:rPr>
          <w:rStyle w:val="s2"/>
          <w:sz w:val="24"/>
          <w:szCs w:val="24"/>
        </w:rPr>
        <w:t>’</w:t>
      </w:r>
      <w:r w:rsidRPr="00CD04FE">
        <w:rPr>
          <w:rStyle w:val="s2"/>
          <w:sz w:val="24"/>
          <w:szCs w:val="24"/>
        </w:rPr>
        <w:t>s original right, then it is a right not to have others interfere with or stop abortion services, and abortion services are not punishable by a state body after the fact. It is not a right to force a non-consenting physician to provide abortion services, nor is it a right to force others to pay for abortion services (a divisive issue in American politics, especially since the passage of the Hyde amendment and, more recently, the anti-abortion gag rule).</w:t>
      </w:r>
      <w:r w:rsidR="00EF65CC">
        <w:rPr>
          <w:rStyle w:val="FootnoteReference"/>
          <w:rFonts w:ascii="BodoniSvtyTwoOSITCTT-Book" w:hAnsi="BodoniSvtyTwoOSITCTT-Book"/>
          <w:sz w:val="24"/>
          <w:szCs w:val="24"/>
        </w:rPr>
        <w:footnoteReference w:id="2"/>
      </w:r>
    </w:p>
    <w:p w14:paraId="0E64AA5D" w14:textId="11297003"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Second, the innate right to freedom described here is not a right to be free from any sort of constraint. Kant is not arguing that each of us has an innate right to do whatever we please. That would be incoherent insofar as X might be pleased to force Y to act contrary to the latter</w:t>
      </w:r>
      <w:r w:rsidR="00124823">
        <w:rPr>
          <w:rStyle w:val="s2"/>
          <w:sz w:val="24"/>
          <w:szCs w:val="24"/>
        </w:rPr>
        <w:t>’</w:t>
      </w:r>
      <w:r w:rsidRPr="00CD04FE">
        <w:rPr>
          <w:rStyle w:val="s2"/>
          <w:sz w:val="24"/>
          <w:szCs w:val="24"/>
        </w:rPr>
        <w:t>s will. Similarly, Kant is not saying that there is an innate right to freedom provided that the use of this freedom does not interfere with anyone else</w:t>
      </w:r>
      <w:r w:rsidR="00124823">
        <w:rPr>
          <w:rStyle w:val="s2"/>
          <w:sz w:val="24"/>
          <w:szCs w:val="24"/>
        </w:rPr>
        <w:t>’</w:t>
      </w:r>
      <w:r w:rsidRPr="00CD04FE">
        <w:rPr>
          <w:rStyle w:val="s2"/>
          <w:sz w:val="24"/>
          <w:szCs w:val="24"/>
        </w:rPr>
        <w:t xml:space="preserve">s </w:t>
      </w:r>
      <w:r w:rsidRPr="00CD04FE">
        <w:rPr>
          <w:rStyle w:val="s3"/>
          <w:sz w:val="24"/>
          <w:szCs w:val="24"/>
        </w:rPr>
        <w:t>legitimate</w:t>
      </w:r>
      <w:r w:rsidRPr="00CD04FE">
        <w:rPr>
          <w:rStyle w:val="s2"/>
          <w:sz w:val="24"/>
          <w:szCs w:val="24"/>
        </w:rPr>
        <w:t xml:space="preserve"> freedom. An appeal to legitimate freedom in the </w:t>
      </w:r>
      <w:r w:rsidRPr="00CD04FE">
        <w:rPr>
          <w:rStyle w:val="s3"/>
          <w:sz w:val="24"/>
          <w:szCs w:val="24"/>
        </w:rPr>
        <w:t>definiens</w:t>
      </w:r>
      <w:r w:rsidRPr="00CD04FE">
        <w:rPr>
          <w:rStyle w:val="s2"/>
          <w:sz w:val="24"/>
          <w:szCs w:val="24"/>
        </w:rPr>
        <w:t xml:space="preserve"> would make the account circular. </w:t>
      </w:r>
      <w:r w:rsidRPr="00CD04FE">
        <w:rPr>
          <w:rStyle w:val="s2"/>
          <w:sz w:val="24"/>
          <w:szCs w:val="24"/>
        </w:rPr>
        <w:lastRenderedPageBreak/>
        <w:t>Finally, Kant is not saying that there is an innate right to freedom provided that the use of this freedom does not interfere with anyone else. As will be seen momentarily, Kant thinks that some uses of constraint are legitimate. So, a right to freedom, provided that the use of this freedom does not interfere with anyone else, would not circumscribe the freedom guaranteed by this original right on Kant</w:t>
      </w:r>
      <w:r w:rsidR="009B42D5">
        <w:rPr>
          <w:rStyle w:val="s2"/>
          <w:sz w:val="24"/>
          <w:szCs w:val="24"/>
        </w:rPr>
        <w:t>’</w:t>
      </w:r>
      <w:r w:rsidRPr="00CD04FE">
        <w:rPr>
          <w:rStyle w:val="s2"/>
          <w:sz w:val="24"/>
          <w:szCs w:val="24"/>
        </w:rPr>
        <w:t>s account.</w:t>
      </w:r>
    </w:p>
    <w:p w14:paraId="46E85C92" w14:textId="251F87A6"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 xml:space="preserve">Third, Kant gives an account of rightful action, which includes actions that fall within the sphere of the innate right to freedom as well </w:t>
      </w:r>
      <w:r w:rsidR="00310AD5">
        <w:rPr>
          <w:rStyle w:val="s2"/>
          <w:sz w:val="24"/>
          <w:szCs w:val="24"/>
        </w:rPr>
        <w:t xml:space="preserve">as </w:t>
      </w:r>
      <w:r w:rsidRPr="00CD04FE">
        <w:rPr>
          <w:rStyle w:val="s2"/>
          <w:sz w:val="24"/>
          <w:szCs w:val="24"/>
        </w:rPr>
        <w:t xml:space="preserve">actions that are rightful for other reasons, a few pages earlier as the </w:t>
      </w:r>
      <w:r w:rsidR="00310AD5">
        <w:rPr>
          <w:rStyle w:val="s2"/>
          <w:sz w:val="24"/>
          <w:szCs w:val="24"/>
        </w:rPr>
        <w:t>“</w:t>
      </w:r>
      <w:r w:rsidRPr="00CD04FE">
        <w:rPr>
          <w:rStyle w:val="s2"/>
          <w:sz w:val="24"/>
          <w:szCs w:val="24"/>
        </w:rPr>
        <w:t>Universal Principle of Right</w:t>
      </w:r>
      <w:r w:rsidR="00AB0E63">
        <w:rPr>
          <w:rStyle w:val="s2"/>
          <w:sz w:val="24"/>
          <w:szCs w:val="24"/>
        </w:rPr>
        <w:t>”</w:t>
      </w:r>
      <w:r w:rsidRPr="00CD04FE">
        <w:rPr>
          <w:rStyle w:val="s2"/>
          <w:sz w:val="24"/>
          <w:szCs w:val="24"/>
        </w:rPr>
        <w:t xml:space="preserve"> (UPR):</w:t>
      </w:r>
    </w:p>
    <w:p w14:paraId="5B341C03" w14:textId="77777777" w:rsidR="00CD04FE" w:rsidRPr="00CD04FE" w:rsidRDefault="00CD04FE">
      <w:pPr>
        <w:pStyle w:val="p2"/>
        <w:rPr>
          <w:sz w:val="24"/>
          <w:szCs w:val="24"/>
        </w:rPr>
      </w:pPr>
    </w:p>
    <w:p w14:paraId="79238A29" w14:textId="4D1EF5EE" w:rsidR="00CD04FE" w:rsidRPr="00CD04FE" w:rsidRDefault="00CD04FE" w:rsidP="00AB0E63">
      <w:pPr>
        <w:pStyle w:val="p1"/>
        <w:ind w:left="1440"/>
        <w:rPr>
          <w:sz w:val="24"/>
          <w:szCs w:val="24"/>
        </w:rPr>
      </w:pPr>
      <w:r w:rsidRPr="00CD04FE">
        <w:rPr>
          <w:rStyle w:val="s2"/>
          <w:sz w:val="24"/>
          <w:szCs w:val="24"/>
        </w:rPr>
        <w:t xml:space="preserve">Any action is </w:t>
      </w:r>
      <w:r w:rsidRPr="00CD04FE">
        <w:rPr>
          <w:rStyle w:val="s3"/>
          <w:sz w:val="24"/>
          <w:szCs w:val="24"/>
        </w:rPr>
        <w:t>right</w:t>
      </w:r>
      <w:r w:rsidRPr="00CD04FE">
        <w:rPr>
          <w:rStyle w:val="s2"/>
          <w:sz w:val="24"/>
          <w:szCs w:val="24"/>
        </w:rPr>
        <w:t xml:space="preserve"> if it can coexist with everyone</w:t>
      </w:r>
      <w:r w:rsidR="00AB0E63">
        <w:rPr>
          <w:rStyle w:val="s2"/>
          <w:sz w:val="24"/>
          <w:szCs w:val="24"/>
        </w:rPr>
        <w:t>’</w:t>
      </w:r>
      <w:r w:rsidRPr="00CD04FE">
        <w:rPr>
          <w:rStyle w:val="s2"/>
          <w:sz w:val="24"/>
          <w:szCs w:val="24"/>
        </w:rPr>
        <w:t>s freedom in accordance with a universal law, or if on its maxim the freedom of choice of each can coexist with everyone</w:t>
      </w:r>
      <w:r w:rsidR="00AB0E63">
        <w:rPr>
          <w:rStyle w:val="s2"/>
          <w:sz w:val="24"/>
          <w:szCs w:val="24"/>
        </w:rPr>
        <w:t>’</w:t>
      </w:r>
      <w:r w:rsidRPr="00CD04FE">
        <w:rPr>
          <w:rStyle w:val="s2"/>
          <w:sz w:val="24"/>
          <w:szCs w:val="24"/>
        </w:rPr>
        <w:t>s freedom in accordance with a universal law.</w:t>
      </w:r>
      <w:r w:rsidR="00B740CD">
        <w:rPr>
          <w:rStyle w:val="FootnoteReference"/>
          <w:rFonts w:ascii="BodoniSvtyTwoOSITCTT-Book" w:hAnsi="BodoniSvtyTwoOSITCTT-Book"/>
          <w:sz w:val="24"/>
          <w:szCs w:val="24"/>
        </w:rPr>
        <w:footnoteReference w:id="3"/>
      </w:r>
    </w:p>
    <w:p w14:paraId="63783663" w14:textId="77777777" w:rsidR="00CD04FE" w:rsidRPr="00CD04FE" w:rsidRDefault="00CD04FE">
      <w:pPr>
        <w:pStyle w:val="p2"/>
        <w:rPr>
          <w:sz w:val="24"/>
          <w:szCs w:val="24"/>
        </w:rPr>
      </w:pPr>
    </w:p>
    <w:p w14:paraId="15CB5899" w14:textId="77777777" w:rsidR="00CD04FE" w:rsidRPr="00CD04FE" w:rsidRDefault="00CD04FE">
      <w:pPr>
        <w:pStyle w:val="p1"/>
        <w:rPr>
          <w:sz w:val="24"/>
          <w:szCs w:val="24"/>
        </w:rPr>
      </w:pPr>
      <w:r w:rsidRPr="00CD04FE">
        <w:rPr>
          <w:rStyle w:val="s2"/>
          <w:sz w:val="24"/>
          <w:szCs w:val="24"/>
        </w:rPr>
        <w:t>Kant puts this principle in imperatival form on the next page:</w:t>
      </w:r>
    </w:p>
    <w:p w14:paraId="351296E3" w14:textId="77777777" w:rsidR="00CD04FE" w:rsidRPr="00CD04FE" w:rsidRDefault="00CD04FE">
      <w:pPr>
        <w:pStyle w:val="p2"/>
        <w:rPr>
          <w:sz w:val="24"/>
          <w:szCs w:val="24"/>
        </w:rPr>
      </w:pPr>
    </w:p>
    <w:p w14:paraId="253349E0" w14:textId="60F0F340" w:rsidR="00CD04FE" w:rsidRPr="00CD04FE" w:rsidRDefault="00CD04FE" w:rsidP="00B740CD">
      <w:pPr>
        <w:pStyle w:val="p1"/>
        <w:ind w:left="1440"/>
        <w:rPr>
          <w:sz w:val="24"/>
          <w:szCs w:val="24"/>
        </w:rPr>
      </w:pPr>
      <w:r w:rsidRPr="00CD04FE">
        <w:rPr>
          <w:rStyle w:val="s2"/>
          <w:sz w:val="24"/>
          <w:szCs w:val="24"/>
        </w:rPr>
        <w:t>So act externally that the free use of your choice can coexist with the freedom of everyone in accordance with a universal law.</w:t>
      </w:r>
      <w:r w:rsidR="00D27619">
        <w:rPr>
          <w:rStyle w:val="FootnoteReference"/>
          <w:rFonts w:ascii="BodoniSvtyTwoOSITCTT-Book" w:hAnsi="BodoniSvtyTwoOSITCTT-Book"/>
          <w:sz w:val="24"/>
          <w:szCs w:val="24"/>
        </w:rPr>
        <w:footnoteReference w:id="4"/>
      </w:r>
    </w:p>
    <w:p w14:paraId="3BA5CDD3" w14:textId="77777777" w:rsidR="00CD04FE" w:rsidRPr="00CD04FE" w:rsidRDefault="00CD04FE">
      <w:pPr>
        <w:pStyle w:val="p2"/>
        <w:rPr>
          <w:sz w:val="24"/>
          <w:szCs w:val="24"/>
        </w:rPr>
      </w:pPr>
    </w:p>
    <w:p w14:paraId="62D5DB03" w14:textId="716DFDB8" w:rsidR="00CD04FE" w:rsidRPr="00CD04FE" w:rsidRDefault="00CD04FE">
      <w:pPr>
        <w:pStyle w:val="p1"/>
        <w:rPr>
          <w:sz w:val="24"/>
          <w:szCs w:val="24"/>
        </w:rPr>
      </w:pPr>
      <w:r w:rsidRPr="00CD04FE">
        <w:rPr>
          <w:rStyle w:val="s2"/>
          <w:sz w:val="24"/>
          <w:szCs w:val="24"/>
        </w:rPr>
        <w:t>The UPR is similar to Kant</w:t>
      </w:r>
      <w:r w:rsidR="00D27619">
        <w:rPr>
          <w:rStyle w:val="s2"/>
          <w:sz w:val="24"/>
          <w:szCs w:val="24"/>
        </w:rPr>
        <w:t>’</w:t>
      </w:r>
      <w:r w:rsidRPr="00CD04FE">
        <w:rPr>
          <w:rStyle w:val="s2"/>
          <w:sz w:val="24"/>
          <w:szCs w:val="24"/>
        </w:rPr>
        <w:t xml:space="preserve">s more famous universalization formulation of the Categorical Imperative (CI), </w:t>
      </w:r>
      <w:r w:rsidR="00D27619">
        <w:rPr>
          <w:rStyle w:val="s2"/>
          <w:sz w:val="24"/>
          <w:szCs w:val="24"/>
        </w:rPr>
        <w:t>“</w:t>
      </w:r>
      <w:r w:rsidRPr="00CD04FE">
        <w:rPr>
          <w:rStyle w:val="s2"/>
          <w:sz w:val="24"/>
          <w:szCs w:val="24"/>
        </w:rPr>
        <w:t>act only according to that maxim through which you can at the same time will that it become a universal law.</w:t>
      </w:r>
      <w:r w:rsidR="00D27619">
        <w:rPr>
          <w:rStyle w:val="s2"/>
          <w:sz w:val="24"/>
          <w:szCs w:val="24"/>
        </w:rPr>
        <w:t>”</w:t>
      </w:r>
      <w:r w:rsidR="0086674B">
        <w:rPr>
          <w:rStyle w:val="FootnoteReference"/>
          <w:rFonts w:ascii="BodoniSvtyTwoOSITCTT-Book" w:hAnsi="BodoniSvtyTwoOSITCTT-Book"/>
          <w:sz w:val="24"/>
          <w:szCs w:val="24"/>
        </w:rPr>
        <w:footnoteReference w:id="5"/>
      </w:r>
      <w:r w:rsidRPr="00CD04FE">
        <w:rPr>
          <w:rStyle w:val="s2"/>
          <w:sz w:val="24"/>
          <w:szCs w:val="24"/>
        </w:rPr>
        <w:t xml:space="preserve"> There is a key difference, however, between the two: the UPR, unlike the universalization formulation of the CI, is concerned solely with external action. Thus, whereas the universalization formulation of the CI can be used to assess maxims of ends, like maxims of self-improvement and beneficence, the UPR cannot: the UPR does not deal with duties of ends, whence it follows that, although adopting ends of self-neglect or other-neglect is immoral on Kant</w:t>
      </w:r>
      <w:r w:rsidR="004C1BB3">
        <w:rPr>
          <w:rStyle w:val="s2"/>
          <w:sz w:val="24"/>
          <w:szCs w:val="24"/>
        </w:rPr>
        <w:t>’</w:t>
      </w:r>
      <w:r w:rsidRPr="00CD04FE">
        <w:rPr>
          <w:rStyle w:val="s2"/>
          <w:sz w:val="24"/>
          <w:szCs w:val="24"/>
        </w:rPr>
        <w:t>s account, it is nonetheless rightful. Another key difference is that the UPR assesses external actions by asking whether an agent</w:t>
      </w:r>
      <w:r w:rsidR="004C1BB3">
        <w:rPr>
          <w:rStyle w:val="s2"/>
          <w:sz w:val="24"/>
          <w:szCs w:val="24"/>
        </w:rPr>
        <w:t>’</w:t>
      </w:r>
      <w:r w:rsidRPr="00CD04FE">
        <w:rPr>
          <w:rStyle w:val="s2"/>
          <w:sz w:val="24"/>
          <w:szCs w:val="24"/>
        </w:rPr>
        <w:t xml:space="preserve">s freedom to X is consistent with everyone else having that freedom according to a universal law. Thus, whereas the universalization formulation of the CI can be used to assess maxims of suicide, the UPR cannot: the UPR does not deal with duties to oneself, and so the violation of a duty to oneself, like the violation of a duty of ends, </w:t>
      </w:r>
      <w:r w:rsidR="00094A00">
        <w:rPr>
          <w:rStyle w:val="s2"/>
          <w:sz w:val="24"/>
          <w:szCs w:val="24"/>
        </w:rPr>
        <w:t xml:space="preserve">is </w:t>
      </w:r>
      <w:r w:rsidRPr="00CD04FE">
        <w:rPr>
          <w:rStyle w:val="s2"/>
          <w:sz w:val="24"/>
          <w:szCs w:val="24"/>
        </w:rPr>
        <w:t>immoral but nonetheless rightful.</w:t>
      </w:r>
      <w:r w:rsidR="00C211C9">
        <w:rPr>
          <w:rStyle w:val="FootnoteReference"/>
          <w:rFonts w:ascii="BodoniSvtyTwoOSITCTT-Book" w:hAnsi="BodoniSvtyTwoOSITCTT-Book"/>
          <w:sz w:val="24"/>
          <w:szCs w:val="24"/>
        </w:rPr>
        <w:footnoteReference w:id="6"/>
      </w:r>
      <w:r w:rsidRPr="00CD04FE">
        <w:rPr>
          <w:rStyle w:val="s2"/>
          <w:sz w:val="24"/>
          <w:szCs w:val="24"/>
        </w:rPr>
        <w:t xml:space="preserve"> I shall return to this in section 3 below.</w:t>
      </w:r>
      <w:r w:rsidRPr="00CD04FE">
        <w:rPr>
          <w:rStyle w:val="apple-converted-space"/>
          <w:rFonts w:ascii="BodoniSvtyTwoOSITCTT-Book" w:hAnsi="BodoniSvtyTwoOSITCTT-Book"/>
          <w:sz w:val="24"/>
          <w:szCs w:val="24"/>
        </w:rPr>
        <w:t> </w:t>
      </w:r>
    </w:p>
    <w:p w14:paraId="413FE73E" w14:textId="6D09FD46"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 xml:space="preserve">Fourth, Kant's account of right contains a right to coerce. According to Kant, </w:t>
      </w:r>
      <w:r w:rsidR="00495232">
        <w:rPr>
          <w:rStyle w:val="s2"/>
          <w:sz w:val="24"/>
          <w:szCs w:val="24"/>
        </w:rPr>
        <w:t>“</w:t>
      </w:r>
      <w:r w:rsidRPr="00CD04FE">
        <w:rPr>
          <w:rStyle w:val="s2"/>
          <w:sz w:val="24"/>
          <w:szCs w:val="24"/>
        </w:rPr>
        <w:t xml:space="preserve">if a certain use of freedom is itself a hindrance to freedom in accordance with universal laws (i.e., wrong), coercion that is opposed to this (as </w:t>
      </w:r>
      <w:r w:rsidRPr="00CD04FE">
        <w:rPr>
          <w:rStyle w:val="s3"/>
          <w:sz w:val="24"/>
          <w:szCs w:val="24"/>
        </w:rPr>
        <w:t>a hindering of a hindrance to freedom</w:t>
      </w:r>
      <w:r w:rsidRPr="00CD04FE">
        <w:rPr>
          <w:rStyle w:val="s2"/>
          <w:sz w:val="24"/>
          <w:szCs w:val="24"/>
        </w:rPr>
        <w:t>) is consistent with freedom in accordance with universal laws, that is, it is right.</w:t>
      </w:r>
      <w:r w:rsidR="00916CBE">
        <w:rPr>
          <w:rStyle w:val="s2"/>
          <w:sz w:val="24"/>
          <w:szCs w:val="24"/>
        </w:rPr>
        <w:t>”</w:t>
      </w:r>
      <w:r w:rsidR="00916CBE">
        <w:rPr>
          <w:rStyle w:val="FootnoteReference"/>
          <w:rFonts w:ascii="BodoniSvtyTwoOSITCTT-Book" w:hAnsi="BodoniSvtyTwoOSITCTT-Book"/>
          <w:sz w:val="24"/>
          <w:szCs w:val="24"/>
        </w:rPr>
        <w:footnoteReference w:id="7"/>
      </w:r>
      <w:r w:rsidRPr="00CD04FE">
        <w:rPr>
          <w:rStyle w:val="s2"/>
          <w:sz w:val="24"/>
          <w:szCs w:val="24"/>
        </w:rPr>
        <w:t xml:space="preserve"> The connection between right and coercion is, on Kant</w:t>
      </w:r>
      <w:r w:rsidR="0038782A">
        <w:rPr>
          <w:rStyle w:val="s2"/>
          <w:sz w:val="24"/>
          <w:szCs w:val="24"/>
        </w:rPr>
        <w:t>’</w:t>
      </w:r>
      <w:r w:rsidRPr="00CD04FE">
        <w:rPr>
          <w:rStyle w:val="s2"/>
          <w:sz w:val="24"/>
          <w:szCs w:val="24"/>
        </w:rPr>
        <w:t xml:space="preserve">s account, analytic. Thus, if a certain exercise of freedom is rightful (i.e., in accordance with the UPR), it follows immediately that there is a right of coercion that may be exercised against anyone who infringes on the </w:t>
      </w:r>
      <w:r w:rsidRPr="00CD04FE">
        <w:rPr>
          <w:rStyle w:val="s2"/>
          <w:sz w:val="24"/>
          <w:szCs w:val="24"/>
        </w:rPr>
        <w:lastRenderedPageBreak/>
        <w:t>original exercise of freedom. The converse of this is also true: if someone has a right of coercion, that right demarcates the sphere of their rightful exercise of freedom. This builds on the fact that the UPR does not deal with duties of ends or duties to oneself; neither duties of ends nor duties to oneself, on Kant</w:t>
      </w:r>
      <w:r w:rsidR="00051A5A">
        <w:rPr>
          <w:rStyle w:val="s2"/>
          <w:sz w:val="24"/>
          <w:szCs w:val="24"/>
        </w:rPr>
        <w:t>’</w:t>
      </w:r>
      <w:r w:rsidRPr="00CD04FE">
        <w:rPr>
          <w:rStyle w:val="s2"/>
          <w:sz w:val="24"/>
          <w:szCs w:val="24"/>
        </w:rPr>
        <w:t>s account, are connected to coercion.</w:t>
      </w:r>
    </w:p>
    <w:p w14:paraId="4B97179B" w14:textId="2A75D421"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What is most important for current purposes about Kant</w:t>
      </w:r>
      <w:r w:rsidR="00051A5A">
        <w:rPr>
          <w:rStyle w:val="s2"/>
          <w:sz w:val="24"/>
          <w:szCs w:val="24"/>
        </w:rPr>
        <w:t>’</w:t>
      </w:r>
      <w:r w:rsidRPr="00CD04FE">
        <w:rPr>
          <w:rStyle w:val="s2"/>
          <w:sz w:val="24"/>
          <w:szCs w:val="24"/>
        </w:rPr>
        <w:t>s connection between right and coercion is that it shows that, for Kant, the infringement of a</w:t>
      </w:r>
      <w:r w:rsidR="00407DA3">
        <w:rPr>
          <w:rStyle w:val="s2"/>
          <w:sz w:val="24"/>
          <w:szCs w:val="24"/>
        </w:rPr>
        <w:t>ny legally enforceable right and, perforce, a</w:t>
      </w:r>
      <w:r w:rsidRPr="00CD04FE">
        <w:rPr>
          <w:rStyle w:val="s2"/>
          <w:sz w:val="24"/>
          <w:szCs w:val="24"/>
        </w:rPr>
        <w:t xml:space="preserve"> legally enforceable right to life</w:t>
      </w:r>
      <w:r w:rsidR="00B426E2">
        <w:rPr>
          <w:rStyle w:val="s2"/>
          <w:sz w:val="24"/>
          <w:szCs w:val="24"/>
        </w:rPr>
        <w:t>,</w:t>
      </w:r>
      <w:r w:rsidR="008A5BEF">
        <w:rPr>
          <w:rStyle w:val="s2"/>
          <w:sz w:val="24"/>
          <w:szCs w:val="24"/>
        </w:rPr>
        <w:t xml:space="preserve"> which is </w:t>
      </w:r>
      <w:r w:rsidR="008C3CBA">
        <w:rPr>
          <w:rStyle w:val="s2"/>
          <w:sz w:val="24"/>
          <w:szCs w:val="24"/>
        </w:rPr>
        <w:t>often</w:t>
      </w:r>
      <w:r w:rsidR="008A5BEF">
        <w:rPr>
          <w:rStyle w:val="s2"/>
          <w:sz w:val="24"/>
          <w:szCs w:val="24"/>
        </w:rPr>
        <w:t xml:space="preserve"> taken to be presupposed by or a </w:t>
      </w:r>
      <w:r w:rsidR="008C3CBA">
        <w:rPr>
          <w:rStyle w:val="s2"/>
          <w:sz w:val="24"/>
          <w:szCs w:val="24"/>
        </w:rPr>
        <w:t xml:space="preserve">constitutive </w:t>
      </w:r>
      <w:r w:rsidR="008A5BEF">
        <w:rPr>
          <w:rStyle w:val="s2"/>
          <w:sz w:val="24"/>
          <w:szCs w:val="24"/>
        </w:rPr>
        <w:t xml:space="preserve">part of the right to </w:t>
      </w:r>
      <w:r w:rsidR="008C3CBA">
        <w:rPr>
          <w:rStyle w:val="s2"/>
          <w:sz w:val="24"/>
          <w:szCs w:val="24"/>
        </w:rPr>
        <w:t>freedom,</w:t>
      </w:r>
      <w:r w:rsidRPr="00CD04FE">
        <w:rPr>
          <w:rStyle w:val="s2"/>
          <w:sz w:val="24"/>
          <w:szCs w:val="24"/>
        </w:rPr>
        <w:t xml:space="preserve"> is connected with a legal warrant for some sort of coercion. I say </w:t>
      </w:r>
      <w:r w:rsidR="00972285">
        <w:rPr>
          <w:rStyle w:val="s2"/>
          <w:sz w:val="24"/>
          <w:szCs w:val="24"/>
        </w:rPr>
        <w:t>“</w:t>
      </w:r>
      <w:r w:rsidRPr="00CD04FE">
        <w:rPr>
          <w:rStyle w:val="s2"/>
          <w:sz w:val="24"/>
          <w:szCs w:val="24"/>
        </w:rPr>
        <w:t>some sort</w:t>
      </w:r>
      <w:r w:rsidR="00972285">
        <w:rPr>
          <w:rStyle w:val="s2"/>
          <w:sz w:val="24"/>
          <w:szCs w:val="24"/>
        </w:rPr>
        <w:t>”</w:t>
      </w:r>
      <w:r w:rsidRPr="00CD04FE">
        <w:rPr>
          <w:rStyle w:val="s2"/>
          <w:sz w:val="24"/>
          <w:szCs w:val="24"/>
        </w:rPr>
        <w:t xml:space="preserve"> of coercion because there is debate about how to understand this. For example, on some accounts, coercion is preventive, and the right to coerce can be understood as a right to implement a deterrence system of punishment, one which coercively prevents potential criminals precisely by punishing actual criminals.</w:t>
      </w:r>
      <w:r w:rsidR="00972285">
        <w:rPr>
          <w:rStyle w:val="FootnoteReference"/>
          <w:rFonts w:ascii="BodoniSvtyTwoOSITCTT-Book" w:hAnsi="BodoniSvtyTwoOSITCTT-Book"/>
          <w:sz w:val="24"/>
          <w:szCs w:val="24"/>
        </w:rPr>
        <w:footnoteReference w:id="8"/>
      </w:r>
      <w:r w:rsidRPr="00CD04FE">
        <w:rPr>
          <w:rStyle w:val="s2"/>
          <w:sz w:val="24"/>
          <w:szCs w:val="24"/>
        </w:rPr>
        <w:t xml:space="preserve"> By way of contrast, on other accounts, as we shall see below, Kant</w:t>
      </w:r>
      <w:r w:rsidR="004A5240">
        <w:rPr>
          <w:rStyle w:val="s2"/>
          <w:sz w:val="24"/>
          <w:szCs w:val="24"/>
        </w:rPr>
        <w:t>’</w:t>
      </w:r>
      <w:r w:rsidRPr="00CD04FE">
        <w:rPr>
          <w:rStyle w:val="s2"/>
          <w:sz w:val="24"/>
          <w:szCs w:val="24"/>
        </w:rPr>
        <w:t>s system of punishment is retributive through and through. I do not want to take a stand on this debate about Kant</w:t>
      </w:r>
      <w:r w:rsidR="004A5240">
        <w:rPr>
          <w:rStyle w:val="s2"/>
          <w:sz w:val="24"/>
          <w:szCs w:val="24"/>
        </w:rPr>
        <w:t>’</w:t>
      </w:r>
      <w:r w:rsidRPr="00CD04FE">
        <w:rPr>
          <w:rStyle w:val="s2"/>
          <w:sz w:val="24"/>
          <w:szCs w:val="24"/>
        </w:rPr>
        <w:t>s theory of punishment; what I want to point out is that the only way that Kant consistently can disavow the RPC (right to punish conditional) is if he thinks that there are conditions in which intentionally killing P is not an infringement of P</w:t>
      </w:r>
      <w:r w:rsidR="00555036">
        <w:rPr>
          <w:rStyle w:val="s2"/>
          <w:sz w:val="24"/>
          <w:szCs w:val="24"/>
        </w:rPr>
        <w:t>’</w:t>
      </w:r>
      <w:r w:rsidRPr="00CD04FE">
        <w:rPr>
          <w:rStyle w:val="s2"/>
          <w:sz w:val="24"/>
          <w:szCs w:val="24"/>
        </w:rPr>
        <w:t>s legally enforceable right to life. It is tempting to infer from this that, if Kant thinks that elective abortion is not punishable, then Kant would say that elective abortion does not count as violating the right to life even if a fetus is a person. However, such an inference, on Kant</w:t>
      </w:r>
      <w:r w:rsidR="00555036">
        <w:rPr>
          <w:rStyle w:val="s2"/>
          <w:sz w:val="24"/>
          <w:szCs w:val="24"/>
        </w:rPr>
        <w:t>’</w:t>
      </w:r>
      <w:r w:rsidRPr="00CD04FE">
        <w:rPr>
          <w:rStyle w:val="s2"/>
          <w:sz w:val="24"/>
          <w:szCs w:val="24"/>
        </w:rPr>
        <w:t>s account, is invalid. This might sound incoherent. But, I shall argue below that precisely this subtlety evinces one of the strengths of Kant</w:t>
      </w:r>
      <w:r w:rsidR="00555036">
        <w:rPr>
          <w:rStyle w:val="s2"/>
          <w:sz w:val="24"/>
          <w:szCs w:val="24"/>
        </w:rPr>
        <w:t>’</w:t>
      </w:r>
      <w:r w:rsidRPr="00CD04FE">
        <w:rPr>
          <w:rStyle w:val="s2"/>
          <w:sz w:val="24"/>
          <w:szCs w:val="24"/>
        </w:rPr>
        <w:t>s position.</w:t>
      </w:r>
    </w:p>
    <w:p w14:paraId="7E71663A" w14:textId="39132526"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 xml:space="preserve">The fourth and final thing to which I would like to draw attention about Kant's innate right is that it is owed to everyone </w:t>
      </w:r>
      <w:r w:rsidR="00DD58CD">
        <w:rPr>
          <w:rStyle w:val="s2"/>
          <w:sz w:val="24"/>
          <w:szCs w:val="24"/>
        </w:rPr>
        <w:t>“</w:t>
      </w:r>
      <w:r w:rsidRPr="00CD04FE">
        <w:rPr>
          <w:rStyle w:val="s2"/>
          <w:sz w:val="24"/>
          <w:szCs w:val="24"/>
        </w:rPr>
        <w:t>on the power of his humanity.</w:t>
      </w:r>
      <w:r w:rsidR="00DD58CD">
        <w:rPr>
          <w:rStyle w:val="s2"/>
          <w:sz w:val="24"/>
          <w:szCs w:val="24"/>
        </w:rPr>
        <w:t>”</w:t>
      </w:r>
      <w:r w:rsidRPr="00CD04FE">
        <w:rPr>
          <w:rStyle w:val="s2"/>
          <w:sz w:val="24"/>
          <w:szCs w:val="24"/>
        </w:rPr>
        <w:t xml:space="preserve"> This is what makes the right innate: it is not dependent on prior actions or circumstances. This is also what makes the personhood question so important. All but only those with humanity have the innate right to freedom and, </w:t>
      </w:r>
      <w:r w:rsidR="00146490">
        <w:rPr>
          <w:rStyle w:val="s2"/>
          <w:sz w:val="24"/>
          <w:szCs w:val="24"/>
        </w:rPr>
        <w:t>as noted above</w:t>
      </w:r>
      <w:r w:rsidRPr="00CD04FE">
        <w:rPr>
          <w:rStyle w:val="s2"/>
          <w:sz w:val="24"/>
          <w:szCs w:val="24"/>
        </w:rPr>
        <w:t xml:space="preserve">, the right to life is either a proper part of or presupposed by this right. Thus, it should be unsurprising that most recent work that takes a Kantian approach to reproductive rights focuses on exactly this issue. For example, Oduncu maintains that </w:t>
      </w:r>
      <w:r w:rsidR="009A25BC">
        <w:rPr>
          <w:rStyle w:val="s2"/>
          <w:sz w:val="24"/>
          <w:szCs w:val="24"/>
        </w:rPr>
        <w:t>“</w:t>
      </w:r>
      <w:r w:rsidRPr="00CD04FE">
        <w:rPr>
          <w:rStyle w:val="s2"/>
          <w:sz w:val="24"/>
          <w:szCs w:val="24"/>
        </w:rPr>
        <w:t>[t]he human embryo is looked upon as a human being from the moment of its conception and thus attributed the fundamental principle of human dignity that guarantees the right to life of the embryo.</w:t>
      </w:r>
      <w:r w:rsidR="00E47726">
        <w:rPr>
          <w:rStyle w:val="s2"/>
          <w:sz w:val="24"/>
          <w:szCs w:val="24"/>
        </w:rPr>
        <w:t>”</w:t>
      </w:r>
      <w:r w:rsidR="00E47726">
        <w:rPr>
          <w:rStyle w:val="FootnoteReference"/>
          <w:rFonts w:ascii="BodoniSvtyTwoOSITCTT-Book" w:hAnsi="BodoniSvtyTwoOSITCTT-Book"/>
          <w:sz w:val="24"/>
          <w:szCs w:val="24"/>
        </w:rPr>
        <w:footnoteReference w:id="9"/>
      </w:r>
      <w:r w:rsidRPr="00CD04FE">
        <w:rPr>
          <w:rStyle w:val="s2"/>
          <w:sz w:val="24"/>
          <w:szCs w:val="24"/>
        </w:rPr>
        <w:t xml:space="preserve"> Similarly, Papadaki asserts that </w:t>
      </w:r>
      <w:r w:rsidR="00E47726">
        <w:rPr>
          <w:rStyle w:val="s2"/>
          <w:sz w:val="24"/>
          <w:szCs w:val="24"/>
        </w:rPr>
        <w:t>“</w:t>
      </w:r>
      <w:r w:rsidRPr="00CD04FE">
        <w:rPr>
          <w:rStyle w:val="s2"/>
          <w:sz w:val="24"/>
          <w:szCs w:val="24"/>
        </w:rPr>
        <w:t>if the</w:t>
      </w:r>
      <w:r w:rsidRPr="00CD04FE">
        <w:rPr>
          <w:rStyle w:val="apple-converted-space"/>
          <w:rFonts w:ascii="BodoniSvtyTwoOSITCTT-Book" w:hAnsi="BodoniSvtyTwoOSITCTT-Book"/>
          <w:sz w:val="24"/>
          <w:szCs w:val="24"/>
        </w:rPr>
        <w:t> </w:t>
      </w:r>
      <w:r w:rsidRPr="00CD04FE">
        <w:rPr>
          <w:rStyle w:val="s2"/>
          <w:sz w:val="24"/>
          <w:szCs w:val="24"/>
        </w:rPr>
        <w:t>pregnant woman aborts the fetus, she treats it (and its potential for humanity) merely as a means for her ends.</w:t>
      </w:r>
      <w:r w:rsidR="006718AF">
        <w:rPr>
          <w:rStyle w:val="s2"/>
          <w:sz w:val="24"/>
          <w:szCs w:val="24"/>
        </w:rPr>
        <w:t>”</w:t>
      </w:r>
      <w:r w:rsidR="006718AF">
        <w:rPr>
          <w:rStyle w:val="FootnoteReference"/>
          <w:rFonts w:ascii="BodoniSvtyTwoOSITCTT-Book" w:hAnsi="BodoniSvtyTwoOSITCTT-Book"/>
          <w:sz w:val="24"/>
          <w:szCs w:val="24"/>
        </w:rPr>
        <w:footnoteReference w:id="10"/>
      </w:r>
      <w:r w:rsidRPr="00CD04FE">
        <w:rPr>
          <w:rStyle w:val="s2"/>
          <w:sz w:val="24"/>
          <w:szCs w:val="24"/>
        </w:rPr>
        <w:t xml:space="preserve"> Manninen, in responding to these authors, maintains that </w:t>
      </w:r>
      <w:r w:rsidR="0074660C">
        <w:rPr>
          <w:rStyle w:val="s2"/>
          <w:sz w:val="24"/>
          <w:szCs w:val="24"/>
        </w:rPr>
        <w:t>“</w:t>
      </w:r>
      <w:r w:rsidRPr="00CD04FE">
        <w:rPr>
          <w:rStyle w:val="s2"/>
          <w:sz w:val="24"/>
          <w:szCs w:val="24"/>
        </w:rPr>
        <w:t>the ascription of Kantian personhood to human embryos from the time of their conception is more problematic than is assumed.</w:t>
      </w:r>
      <w:r w:rsidR="0074660C">
        <w:rPr>
          <w:rStyle w:val="s2"/>
          <w:sz w:val="24"/>
          <w:szCs w:val="24"/>
        </w:rPr>
        <w:t>”</w:t>
      </w:r>
      <w:r w:rsidR="0074660C">
        <w:rPr>
          <w:rStyle w:val="FootnoteReference"/>
          <w:rFonts w:ascii="BodoniSvtyTwoOSITCTT-Book" w:hAnsi="BodoniSvtyTwoOSITCTT-Book"/>
          <w:sz w:val="24"/>
          <w:szCs w:val="24"/>
        </w:rPr>
        <w:footnoteReference w:id="11"/>
      </w:r>
      <w:r w:rsidRPr="00CD04FE">
        <w:rPr>
          <w:rStyle w:val="s2"/>
          <w:sz w:val="24"/>
          <w:szCs w:val="24"/>
        </w:rPr>
        <w:t xml:space="preserve"> And Varden argues that, in a Kantian framework, </w:t>
      </w:r>
      <w:r w:rsidR="005253AC">
        <w:rPr>
          <w:rStyle w:val="s2"/>
          <w:sz w:val="24"/>
          <w:szCs w:val="24"/>
        </w:rPr>
        <w:t>“</w:t>
      </w:r>
      <w:r w:rsidRPr="00CD04FE">
        <w:rPr>
          <w:rStyle w:val="s2"/>
          <w:sz w:val="24"/>
          <w:szCs w:val="24"/>
        </w:rPr>
        <w:t>the law cannot coercively restrict abortion</w:t>
      </w:r>
      <w:r w:rsidR="005253AC">
        <w:rPr>
          <w:rStyle w:val="s2"/>
          <w:sz w:val="24"/>
          <w:szCs w:val="24"/>
        </w:rPr>
        <w:t>”</w:t>
      </w:r>
      <w:r w:rsidRPr="00CD04FE">
        <w:rPr>
          <w:rStyle w:val="s2"/>
          <w:sz w:val="24"/>
          <w:szCs w:val="24"/>
        </w:rPr>
        <w:t xml:space="preserve"> from conception up until the embryo/fetus </w:t>
      </w:r>
      <w:r w:rsidRPr="00CD04FE">
        <w:rPr>
          <w:rStyle w:val="s2"/>
          <w:sz w:val="24"/>
          <w:szCs w:val="24"/>
        </w:rPr>
        <w:lastRenderedPageBreak/>
        <w:t xml:space="preserve">can act spontaneously in a minimally rational sense because, until this point in a pregnancy, </w:t>
      </w:r>
      <w:r w:rsidR="005253AC">
        <w:rPr>
          <w:rStyle w:val="s2"/>
          <w:sz w:val="24"/>
          <w:szCs w:val="24"/>
        </w:rPr>
        <w:t>“</w:t>
      </w:r>
      <w:r w:rsidRPr="00CD04FE">
        <w:rPr>
          <w:rStyle w:val="s2"/>
          <w:sz w:val="24"/>
          <w:szCs w:val="24"/>
        </w:rPr>
        <w:t>the embryo/fetus cannot be given legal personhood.</w:t>
      </w:r>
      <w:r w:rsidR="005253AC">
        <w:rPr>
          <w:rStyle w:val="s2"/>
          <w:sz w:val="24"/>
          <w:szCs w:val="24"/>
        </w:rPr>
        <w:t>”</w:t>
      </w:r>
      <w:r w:rsidR="005253AC">
        <w:rPr>
          <w:rStyle w:val="FootnoteReference"/>
          <w:rFonts w:ascii="BodoniSvtyTwoOSITCTT-Book" w:hAnsi="BodoniSvtyTwoOSITCTT-Book"/>
          <w:sz w:val="24"/>
          <w:szCs w:val="24"/>
        </w:rPr>
        <w:footnoteReference w:id="12"/>
      </w:r>
    </w:p>
    <w:p w14:paraId="5F6BC5DD" w14:textId="77777777"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However, figuring out whether Kant takes a fetus to have the innate right to freedom is neither necessary nor sufficient to triangulate Kant's stance on the legality of abortion. To see why, suppose, first, that Kant thinks that a fetus does have humanity and, thus, that a fetus has the innate right to freedom discussed above. If, as I shall argue below, Kant rejects the RPC, then this would not show that Kant would have taken elective abortion to be punishable.</w:t>
      </w:r>
      <w:r w:rsidRPr="00CD04FE">
        <w:rPr>
          <w:rStyle w:val="apple-converted-space"/>
          <w:rFonts w:ascii="BodoniSvtyTwoOSITCTT-Book" w:hAnsi="BodoniSvtyTwoOSITCTT-Book"/>
          <w:sz w:val="24"/>
          <w:szCs w:val="24"/>
        </w:rPr>
        <w:t> </w:t>
      </w:r>
    </w:p>
    <w:p w14:paraId="4492A6CC" w14:textId="5095D9A2"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Conversely, suppose now that, on Kant</w:t>
      </w:r>
      <w:r w:rsidR="00ED3CB1">
        <w:rPr>
          <w:rStyle w:val="s2"/>
          <w:sz w:val="24"/>
          <w:szCs w:val="24"/>
        </w:rPr>
        <w:t>’</w:t>
      </w:r>
      <w:r w:rsidRPr="00CD04FE">
        <w:rPr>
          <w:rStyle w:val="s2"/>
          <w:sz w:val="24"/>
          <w:szCs w:val="24"/>
        </w:rPr>
        <w:t>s account, a fetus does not have humanity and, thus, that a fetus does not have the innate right to freedom discussed above. It might be thought that this would suffice to show that there is, on Kant</w:t>
      </w:r>
      <w:r w:rsidR="00BE6BAD">
        <w:rPr>
          <w:rStyle w:val="s2"/>
          <w:sz w:val="24"/>
          <w:szCs w:val="24"/>
        </w:rPr>
        <w:t>’</w:t>
      </w:r>
      <w:r w:rsidRPr="00CD04FE">
        <w:rPr>
          <w:rStyle w:val="s2"/>
          <w:sz w:val="24"/>
          <w:szCs w:val="24"/>
        </w:rPr>
        <w:t>s account, an innate right to abortion included in a pregnant woman</w:t>
      </w:r>
      <w:r w:rsidR="00BE6BAD">
        <w:rPr>
          <w:rStyle w:val="s2"/>
          <w:sz w:val="24"/>
          <w:szCs w:val="24"/>
        </w:rPr>
        <w:t>’</w:t>
      </w:r>
      <w:r w:rsidRPr="00CD04FE">
        <w:rPr>
          <w:rStyle w:val="s2"/>
          <w:sz w:val="24"/>
          <w:szCs w:val="24"/>
        </w:rPr>
        <w:t>s innate right to freedom. But, there are many actions outlawed under most current penal codes that do not involve immediate harm to anyone, and there is every reason to think that Kant would have endorsed this practice. So, the mere fact that a fetus does not have the innate right to freedom, if it is a fact, would not suffice to show that elective abortion falls within the penumbra of Kant</w:t>
      </w:r>
      <w:r w:rsidR="004B4406">
        <w:rPr>
          <w:rStyle w:val="s2"/>
          <w:sz w:val="24"/>
          <w:szCs w:val="24"/>
        </w:rPr>
        <w:t>’</w:t>
      </w:r>
      <w:r w:rsidRPr="00CD04FE">
        <w:rPr>
          <w:rStyle w:val="s2"/>
          <w:sz w:val="24"/>
          <w:szCs w:val="24"/>
        </w:rPr>
        <w:t>s innate right or Kant</w:t>
      </w:r>
      <w:r w:rsidR="004B4406">
        <w:rPr>
          <w:rStyle w:val="s2"/>
          <w:sz w:val="24"/>
          <w:szCs w:val="24"/>
        </w:rPr>
        <w:t>’</w:t>
      </w:r>
      <w:r w:rsidRPr="00CD04FE">
        <w:rPr>
          <w:rStyle w:val="s2"/>
          <w:sz w:val="24"/>
          <w:szCs w:val="24"/>
        </w:rPr>
        <w:t>s UPR: some positive argument is needed to this effect.</w:t>
      </w:r>
    </w:p>
    <w:p w14:paraId="4915AF15" w14:textId="5DC0A59A"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A second problem with recent work on Kantian approaches to reproductive rights is that most of it focuses on Kant</w:t>
      </w:r>
      <w:r w:rsidR="004B4406">
        <w:rPr>
          <w:rStyle w:val="s2"/>
          <w:sz w:val="24"/>
          <w:szCs w:val="24"/>
        </w:rPr>
        <w:t>’</w:t>
      </w:r>
      <w:r w:rsidRPr="00CD04FE">
        <w:rPr>
          <w:rStyle w:val="s2"/>
          <w:sz w:val="24"/>
          <w:szCs w:val="24"/>
        </w:rPr>
        <w:t>s ethics rather than his Doctrine of Right. This may be seen in the first three quotations above, all of which approach the issue using Kant</w:t>
      </w:r>
      <w:r w:rsidR="0093025F">
        <w:rPr>
          <w:rStyle w:val="s2"/>
          <w:sz w:val="24"/>
          <w:szCs w:val="24"/>
        </w:rPr>
        <w:t>’</w:t>
      </w:r>
      <w:r w:rsidRPr="00CD04FE">
        <w:rPr>
          <w:rStyle w:val="s2"/>
          <w:sz w:val="24"/>
          <w:szCs w:val="24"/>
        </w:rPr>
        <w:t xml:space="preserve">s humanity formulation of the Categorical Imperative, </w:t>
      </w:r>
      <w:r w:rsidR="0093025F">
        <w:rPr>
          <w:rStyle w:val="s2"/>
          <w:sz w:val="24"/>
          <w:szCs w:val="24"/>
        </w:rPr>
        <w:t>“</w:t>
      </w:r>
      <w:r w:rsidRPr="00CD04FE">
        <w:rPr>
          <w:rStyle w:val="s2"/>
          <w:sz w:val="24"/>
          <w:szCs w:val="24"/>
        </w:rPr>
        <w:t>so act that you use humanity, in your own person as well as in the person of any other, always at the same time as an end, never merely as a means.</w:t>
      </w:r>
      <w:r w:rsidR="0093025F">
        <w:rPr>
          <w:rStyle w:val="s2"/>
          <w:sz w:val="24"/>
          <w:szCs w:val="24"/>
        </w:rPr>
        <w:t>”</w:t>
      </w:r>
      <w:r w:rsidR="0093025F">
        <w:rPr>
          <w:rStyle w:val="FootnoteReference"/>
          <w:rFonts w:ascii="BodoniSvtyTwoOSITCTT-Book" w:hAnsi="BodoniSvtyTwoOSITCTT-Book"/>
          <w:sz w:val="24"/>
          <w:szCs w:val="24"/>
        </w:rPr>
        <w:footnoteReference w:id="13"/>
      </w:r>
      <w:r w:rsidRPr="00CD04FE">
        <w:rPr>
          <w:rStyle w:val="s2"/>
          <w:sz w:val="24"/>
          <w:szCs w:val="24"/>
        </w:rPr>
        <w:t xml:space="preserve"> But consider also recent work by Denis, who asks, </w:t>
      </w:r>
      <w:r w:rsidR="00D37D22">
        <w:rPr>
          <w:rStyle w:val="s2"/>
          <w:sz w:val="24"/>
          <w:szCs w:val="24"/>
        </w:rPr>
        <w:t>“</w:t>
      </w:r>
      <w:r w:rsidRPr="00CD04FE">
        <w:rPr>
          <w:rStyle w:val="s2"/>
          <w:sz w:val="24"/>
          <w:szCs w:val="24"/>
        </w:rPr>
        <w:t>Where in Kant</w:t>
      </w:r>
      <w:r w:rsidR="00D37D22">
        <w:rPr>
          <w:rStyle w:val="s2"/>
          <w:sz w:val="24"/>
          <w:szCs w:val="24"/>
        </w:rPr>
        <w:t>’</w:t>
      </w:r>
      <w:r w:rsidRPr="00CD04FE">
        <w:rPr>
          <w:rStyle w:val="s2"/>
          <w:sz w:val="24"/>
          <w:szCs w:val="24"/>
        </w:rPr>
        <w:t>s ethical theory may we find principles, guidance, or at least insights, about the morality of abortion?</w:t>
      </w:r>
      <w:r w:rsidR="00D37D22">
        <w:rPr>
          <w:rStyle w:val="s2"/>
          <w:sz w:val="24"/>
          <w:szCs w:val="24"/>
        </w:rPr>
        <w:t>”</w:t>
      </w:r>
      <w:r w:rsidRPr="00CD04FE">
        <w:rPr>
          <w:rStyle w:val="s2"/>
          <w:sz w:val="24"/>
          <w:szCs w:val="24"/>
        </w:rPr>
        <w:t xml:space="preserve"> And goes on to answer: </w:t>
      </w:r>
      <w:r w:rsidR="00EE1BE5">
        <w:rPr>
          <w:rStyle w:val="s2"/>
          <w:sz w:val="24"/>
          <w:szCs w:val="24"/>
        </w:rPr>
        <w:t>“</w:t>
      </w:r>
      <w:r w:rsidRPr="00CD04FE">
        <w:rPr>
          <w:rStyle w:val="s2"/>
          <w:sz w:val="24"/>
          <w:szCs w:val="24"/>
        </w:rPr>
        <w:t>The formula of universal law is a natural place to begin looking,</w:t>
      </w:r>
      <w:r w:rsidR="00F92613">
        <w:rPr>
          <w:rStyle w:val="s2"/>
          <w:sz w:val="24"/>
          <w:szCs w:val="24"/>
        </w:rPr>
        <w:t>”</w:t>
      </w:r>
      <w:r w:rsidRPr="00CD04FE">
        <w:rPr>
          <w:rStyle w:val="s2"/>
          <w:sz w:val="24"/>
          <w:szCs w:val="24"/>
        </w:rPr>
        <w:t xml:space="preserve"> here referring to the universalization formulation of the CI, not the UPR.</w:t>
      </w:r>
      <w:r w:rsidR="00F92613">
        <w:rPr>
          <w:rStyle w:val="FootnoteReference"/>
          <w:rFonts w:ascii="BodoniSvtyTwoOSITCTT-Book" w:hAnsi="BodoniSvtyTwoOSITCTT-Book"/>
          <w:sz w:val="24"/>
          <w:szCs w:val="24"/>
        </w:rPr>
        <w:footnoteReference w:id="14"/>
      </w:r>
      <w:r w:rsidRPr="00CD04FE">
        <w:rPr>
          <w:rStyle w:val="s2"/>
          <w:sz w:val="24"/>
          <w:szCs w:val="24"/>
        </w:rPr>
        <w:t xml:space="preserve"> Similar approaches are championed by Gensler and Hare, and in a subsequent publication Denis advances another Kantian argument, this one based on </w:t>
      </w:r>
      <w:r w:rsidR="000668A5">
        <w:rPr>
          <w:rStyle w:val="s2"/>
          <w:sz w:val="24"/>
          <w:szCs w:val="24"/>
        </w:rPr>
        <w:t>“</w:t>
      </w:r>
      <w:r w:rsidRPr="00CD04FE">
        <w:rPr>
          <w:rStyle w:val="s2"/>
          <w:sz w:val="24"/>
          <w:szCs w:val="24"/>
        </w:rPr>
        <w:t>Kant</w:t>
      </w:r>
      <w:r w:rsidR="000668A5">
        <w:rPr>
          <w:rStyle w:val="s2"/>
          <w:sz w:val="24"/>
          <w:szCs w:val="24"/>
        </w:rPr>
        <w:t>’</w:t>
      </w:r>
      <w:r w:rsidRPr="00CD04FE">
        <w:rPr>
          <w:rStyle w:val="s2"/>
          <w:sz w:val="24"/>
          <w:szCs w:val="24"/>
        </w:rPr>
        <w:t>s fundamental moral requirement that one respect oneself,</w:t>
      </w:r>
      <w:r w:rsidR="000668A5">
        <w:rPr>
          <w:rStyle w:val="s2"/>
          <w:sz w:val="24"/>
          <w:szCs w:val="24"/>
        </w:rPr>
        <w:t>”</w:t>
      </w:r>
      <w:r w:rsidRPr="00CD04FE">
        <w:rPr>
          <w:rStyle w:val="s2"/>
          <w:sz w:val="24"/>
          <w:szCs w:val="24"/>
        </w:rPr>
        <w:t xml:space="preserve"> notwithstanding the fact that, as noted above, for Kant, duties to oneself fall within the purview of ethics and outside that of the Doctrine of Right.</w:t>
      </w:r>
      <w:r w:rsidR="00457DCC">
        <w:rPr>
          <w:rStyle w:val="FootnoteReference"/>
          <w:rFonts w:ascii="BodoniSvtyTwoOSITCTT-Book" w:hAnsi="BodoniSvtyTwoOSITCTT-Book"/>
          <w:sz w:val="24"/>
          <w:szCs w:val="24"/>
        </w:rPr>
        <w:footnoteReference w:id="15"/>
      </w:r>
    </w:p>
    <w:p w14:paraId="5FEAA3B3" w14:textId="70D57659"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 xml:space="preserve">As with figuring out what Kant means by </w:t>
      </w:r>
      <w:r w:rsidR="000719EA">
        <w:rPr>
          <w:rStyle w:val="s2"/>
          <w:sz w:val="24"/>
          <w:szCs w:val="24"/>
        </w:rPr>
        <w:t>“</w:t>
      </w:r>
      <w:r w:rsidRPr="00CD04FE">
        <w:rPr>
          <w:rStyle w:val="s2"/>
          <w:sz w:val="24"/>
          <w:szCs w:val="24"/>
        </w:rPr>
        <w:t>humanity</w:t>
      </w:r>
      <w:r w:rsidR="000719EA">
        <w:rPr>
          <w:rStyle w:val="s2"/>
          <w:sz w:val="24"/>
          <w:szCs w:val="24"/>
        </w:rPr>
        <w:t>”</w:t>
      </w:r>
      <w:r w:rsidRPr="00CD04FE">
        <w:rPr>
          <w:rStyle w:val="s2"/>
          <w:sz w:val="24"/>
          <w:szCs w:val="24"/>
        </w:rPr>
        <w:t xml:space="preserve"> and whether a fetus has this property, determining the ethical status of abortion is neither necessary nor sufficient to </w:t>
      </w:r>
      <w:r w:rsidRPr="00CD04FE">
        <w:rPr>
          <w:rStyle w:val="s2"/>
          <w:sz w:val="24"/>
          <w:szCs w:val="24"/>
        </w:rPr>
        <w:lastRenderedPageBreak/>
        <w:t>triangulate Kant</w:t>
      </w:r>
      <w:r w:rsidR="000719EA">
        <w:rPr>
          <w:rStyle w:val="s2"/>
          <w:sz w:val="24"/>
          <w:szCs w:val="24"/>
        </w:rPr>
        <w:t>’</w:t>
      </w:r>
      <w:r w:rsidRPr="00CD04FE">
        <w:rPr>
          <w:rStyle w:val="s2"/>
          <w:sz w:val="24"/>
          <w:szCs w:val="24"/>
        </w:rPr>
        <w:t>s stance on the legality of abortion. On the one hand, many immoral actions, like hate speech and mean-spirited pranks, are well within Kant</w:t>
      </w:r>
      <w:r w:rsidR="000719EA">
        <w:rPr>
          <w:rStyle w:val="s2"/>
          <w:sz w:val="24"/>
          <w:szCs w:val="24"/>
        </w:rPr>
        <w:t>’</w:t>
      </w:r>
      <w:r w:rsidRPr="00CD04FE">
        <w:rPr>
          <w:rStyle w:val="s2"/>
          <w:sz w:val="24"/>
          <w:szCs w:val="24"/>
        </w:rPr>
        <w:t>s and any plausibly Kantian (or, for that matter, non-Kantian) account of rights. On the other hand, many actions that are against the law, like carrying an open bottle of alcohol in New York City or driving on the right side of the road in London (excepting Savoy Court), would be morally indifferent in the absence of any legal injunction to the contrary.</w:t>
      </w:r>
      <w:r w:rsidRPr="00CD04FE">
        <w:rPr>
          <w:rStyle w:val="apple-converted-space"/>
          <w:rFonts w:ascii="BodoniSvtyTwoOSITCTT-Book" w:hAnsi="BodoniSvtyTwoOSITCTT-Book"/>
          <w:sz w:val="24"/>
          <w:szCs w:val="24"/>
        </w:rPr>
        <w:t> </w:t>
      </w:r>
    </w:p>
    <w:p w14:paraId="4796F985" w14:textId="385CB60A"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This is not to say that questions about whether a fetus is a person on Kant</w:t>
      </w:r>
      <w:r w:rsidR="00800485">
        <w:rPr>
          <w:rStyle w:val="s2"/>
          <w:sz w:val="24"/>
          <w:szCs w:val="24"/>
        </w:rPr>
        <w:t>’</w:t>
      </w:r>
      <w:r w:rsidRPr="00CD04FE">
        <w:rPr>
          <w:rStyle w:val="s2"/>
          <w:sz w:val="24"/>
          <w:szCs w:val="24"/>
        </w:rPr>
        <w:t>s account are unimportant, nor is it to say that Kantian approaches to the morality of abortion need not be discussed. Quite the contrary: a full account of the legal status of abortion within a Kantian system would require a comprehensive account of personhood and, as Hursthouse famously argues, even if questions about the legal status of abortion are settled, important ethical questions about abortion remain.</w:t>
      </w:r>
      <w:r w:rsidR="00A96536">
        <w:rPr>
          <w:rStyle w:val="FootnoteReference"/>
          <w:rFonts w:ascii="BodoniSvtyTwoOSITCTT-Book" w:hAnsi="BodoniSvtyTwoOSITCTT-Book"/>
          <w:sz w:val="24"/>
          <w:szCs w:val="24"/>
        </w:rPr>
        <w:footnoteReference w:id="16"/>
      </w:r>
      <w:r w:rsidRPr="00CD04FE">
        <w:rPr>
          <w:rStyle w:val="s2"/>
          <w:sz w:val="24"/>
          <w:szCs w:val="24"/>
        </w:rPr>
        <w:t xml:space="preserve"> Rather, the point I want to make is that settling the ethical questions does not settle the legal ones and, perhaps more striking, settling personhood questions also does not do so. I aim to chart out a part of the legal debate that is generally overlooked in modern discussions of abortion, and I shall do so by going back to Kant. I focus on Kant</w:t>
      </w:r>
      <w:r w:rsidR="008C7160">
        <w:rPr>
          <w:rStyle w:val="s2"/>
          <w:sz w:val="24"/>
          <w:szCs w:val="24"/>
        </w:rPr>
        <w:t>’</w:t>
      </w:r>
      <w:r w:rsidRPr="00CD04FE">
        <w:rPr>
          <w:rStyle w:val="s2"/>
          <w:sz w:val="24"/>
          <w:szCs w:val="24"/>
        </w:rPr>
        <w:t>s account of rights rather than his account of ethics, and I focus on Kant</w:t>
      </w:r>
      <w:r w:rsidR="008C7160">
        <w:rPr>
          <w:rStyle w:val="s2"/>
          <w:sz w:val="24"/>
          <w:szCs w:val="24"/>
        </w:rPr>
        <w:t>’</w:t>
      </w:r>
      <w:r w:rsidRPr="00CD04FE">
        <w:rPr>
          <w:rStyle w:val="s2"/>
          <w:sz w:val="24"/>
          <w:szCs w:val="24"/>
        </w:rPr>
        <w:t xml:space="preserve">s remarks about punishment rather than his remarks about personhood. I argue that (1) Kant rejects the RPC (right to punish conditional); (2) the RCRL biconditional (right to choice-right to life biconditional) is subject to </w:t>
      </w:r>
      <w:r w:rsidR="003F02A4">
        <w:rPr>
          <w:rStyle w:val="s2"/>
          <w:sz w:val="24"/>
          <w:szCs w:val="24"/>
        </w:rPr>
        <w:t>equivocation</w:t>
      </w:r>
      <w:r w:rsidRPr="00CD04FE">
        <w:rPr>
          <w:rStyle w:val="s2"/>
          <w:sz w:val="24"/>
          <w:szCs w:val="24"/>
        </w:rPr>
        <w:t xml:space="preserve"> on Kant</w:t>
      </w:r>
      <w:r w:rsidR="006F4DFE">
        <w:rPr>
          <w:rStyle w:val="s2"/>
          <w:sz w:val="24"/>
          <w:szCs w:val="24"/>
        </w:rPr>
        <w:t>’</w:t>
      </w:r>
      <w:r w:rsidRPr="00CD04FE">
        <w:rPr>
          <w:rStyle w:val="s2"/>
          <w:sz w:val="24"/>
          <w:szCs w:val="24"/>
        </w:rPr>
        <w:t>s account; and (3) Kant provides a positive argument that extrapolates to the conclusion that, regardless of the moral status of a fetus, elective abortion, with certain qualifications, is not punishable.</w:t>
      </w:r>
      <w:r w:rsidRPr="00CD04FE">
        <w:rPr>
          <w:rStyle w:val="apple-converted-space"/>
          <w:rFonts w:ascii="BodoniSvtyTwoOSITCTT-Book" w:hAnsi="BodoniSvtyTwoOSITCTT-Book"/>
          <w:sz w:val="24"/>
          <w:szCs w:val="24"/>
        </w:rPr>
        <w:t> </w:t>
      </w:r>
    </w:p>
    <w:p w14:paraId="05EF47F3" w14:textId="4F24EF5B"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Showing that Kant rejects the RPC (part (1) of my project) will give presumptive grounds for thinking that,</w:t>
      </w:r>
      <w:r w:rsidRPr="00CD04FE">
        <w:rPr>
          <w:rStyle w:val="apple-converted-space"/>
          <w:rFonts w:ascii="BodoniSvtyTwoOSITCTT-Book" w:hAnsi="BodoniSvtyTwoOSITCTT-Book"/>
          <w:sz w:val="24"/>
          <w:szCs w:val="24"/>
        </w:rPr>
        <w:t> </w:t>
      </w:r>
      <w:r w:rsidRPr="00CD04FE">
        <w:rPr>
          <w:rStyle w:val="s2"/>
          <w:sz w:val="24"/>
          <w:szCs w:val="24"/>
        </w:rPr>
        <w:t>on Kant</w:t>
      </w:r>
      <w:r w:rsidR="0083439D">
        <w:rPr>
          <w:rStyle w:val="s2"/>
          <w:sz w:val="24"/>
          <w:szCs w:val="24"/>
        </w:rPr>
        <w:t>’</w:t>
      </w:r>
      <w:r w:rsidRPr="00CD04FE">
        <w:rPr>
          <w:rStyle w:val="s2"/>
          <w:sz w:val="24"/>
          <w:szCs w:val="24"/>
        </w:rPr>
        <w:t xml:space="preserve">s account, even if a fetus has a right to life, abortion might not be punishable. Explaining why the RCRL biconditional is subject to </w:t>
      </w:r>
      <w:r w:rsidR="00F16043">
        <w:rPr>
          <w:rStyle w:val="s2"/>
          <w:sz w:val="24"/>
          <w:szCs w:val="24"/>
        </w:rPr>
        <w:t>equivocation</w:t>
      </w:r>
      <w:r w:rsidRPr="00CD04FE">
        <w:rPr>
          <w:rStyle w:val="s2"/>
          <w:sz w:val="24"/>
          <w:szCs w:val="24"/>
        </w:rPr>
        <w:t xml:space="preserve"> (part (2) of my project) will explain how these presumptive grounds fit into Kant</w:t>
      </w:r>
      <w:r w:rsidR="0083439D">
        <w:rPr>
          <w:rStyle w:val="s2"/>
          <w:sz w:val="24"/>
          <w:szCs w:val="24"/>
        </w:rPr>
        <w:t>’</w:t>
      </w:r>
      <w:r w:rsidRPr="00CD04FE">
        <w:rPr>
          <w:rStyle w:val="s2"/>
          <w:sz w:val="24"/>
          <w:szCs w:val="24"/>
        </w:rPr>
        <w:t>s account and also open up space for saying that prolifers and prochoicers both might be right in a way. And reconstructing Kant</w:t>
      </w:r>
      <w:r w:rsidR="00B85B88">
        <w:rPr>
          <w:rStyle w:val="s2"/>
          <w:sz w:val="24"/>
          <w:szCs w:val="24"/>
        </w:rPr>
        <w:t>’</w:t>
      </w:r>
      <w:r w:rsidRPr="00CD04FE">
        <w:rPr>
          <w:rStyle w:val="s2"/>
          <w:sz w:val="24"/>
          <w:szCs w:val="24"/>
        </w:rPr>
        <w:t>s argument and then following it to its logical conclusions (part (3) of my project) will show one way of arguing that abortion should not be a punishable offense, making good on the presumptive grounds from part (1). This will advance beyond the problems just discussed for current approaches to abortion from within a Kantian framework because I shall start and end entirely within Kant</w:t>
      </w:r>
      <w:r w:rsidR="00B85B88">
        <w:rPr>
          <w:rStyle w:val="s2"/>
          <w:sz w:val="24"/>
          <w:szCs w:val="24"/>
        </w:rPr>
        <w:t>’</w:t>
      </w:r>
      <w:r w:rsidRPr="00CD04FE">
        <w:rPr>
          <w:rStyle w:val="s2"/>
          <w:sz w:val="24"/>
          <w:szCs w:val="24"/>
        </w:rPr>
        <w:t>s Doctrine of Right and because I shall provide a positive argument for a (wide) right to elective abortion on Kant</w:t>
      </w:r>
      <w:r w:rsidR="00B85B88">
        <w:rPr>
          <w:rStyle w:val="s2"/>
          <w:sz w:val="24"/>
          <w:szCs w:val="24"/>
        </w:rPr>
        <w:t>’</w:t>
      </w:r>
      <w:r w:rsidRPr="00CD04FE">
        <w:rPr>
          <w:rStyle w:val="s2"/>
          <w:sz w:val="24"/>
          <w:szCs w:val="24"/>
        </w:rPr>
        <w:t>s account that does not (and does not need to) engage with questions about personhood--although, as I have tried to emphasize, I shall remain silent on the question of whether this positive argument is one we should bring into a modern Kantian ethics.</w:t>
      </w:r>
    </w:p>
    <w:p w14:paraId="47A7E694" w14:textId="77777777" w:rsidR="00CD04FE" w:rsidRPr="00CD04FE" w:rsidRDefault="00CD04FE">
      <w:pPr>
        <w:pStyle w:val="p2"/>
        <w:rPr>
          <w:sz w:val="24"/>
          <w:szCs w:val="24"/>
        </w:rPr>
      </w:pPr>
    </w:p>
    <w:p w14:paraId="0F45A98A" w14:textId="77777777" w:rsidR="00CD04FE" w:rsidRPr="00CD04FE" w:rsidRDefault="00CD04FE">
      <w:pPr>
        <w:pStyle w:val="p1"/>
        <w:rPr>
          <w:sz w:val="24"/>
          <w:szCs w:val="24"/>
        </w:rPr>
      </w:pPr>
      <w:r w:rsidRPr="00CD04FE">
        <w:rPr>
          <w:rStyle w:val="s1"/>
          <w:sz w:val="24"/>
          <w:szCs w:val="24"/>
        </w:rPr>
        <w:t>2. Ambiguous Rights</w:t>
      </w:r>
    </w:p>
    <w:p w14:paraId="7E85CA94" w14:textId="77777777" w:rsidR="00CD04FE" w:rsidRPr="00CD04FE" w:rsidRDefault="00CD04FE">
      <w:pPr>
        <w:pStyle w:val="p2"/>
        <w:rPr>
          <w:sz w:val="24"/>
          <w:szCs w:val="24"/>
        </w:rPr>
      </w:pPr>
    </w:p>
    <w:p w14:paraId="6DB9797D" w14:textId="11765387" w:rsidR="00CD04FE" w:rsidRPr="00CD04FE" w:rsidRDefault="00CD04FE">
      <w:pPr>
        <w:pStyle w:val="p1"/>
        <w:rPr>
          <w:sz w:val="24"/>
          <w:szCs w:val="24"/>
        </w:rPr>
      </w:pPr>
      <w:r w:rsidRPr="00CD04FE">
        <w:rPr>
          <w:rStyle w:val="s2"/>
          <w:sz w:val="24"/>
          <w:szCs w:val="24"/>
        </w:rPr>
        <w:t xml:space="preserve">Kant distinguishes between a narrow and a wide sense of </w:t>
      </w:r>
      <w:r w:rsidR="00A35E16">
        <w:rPr>
          <w:rStyle w:val="s2"/>
          <w:sz w:val="24"/>
          <w:szCs w:val="24"/>
        </w:rPr>
        <w:t>“</w:t>
      </w:r>
      <w:r w:rsidRPr="00CD04FE">
        <w:rPr>
          <w:rStyle w:val="s2"/>
          <w:sz w:val="24"/>
          <w:szCs w:val="24"/>
        </w:rPr>
        <w:t>right.</w:t>
      </w:r>
      <w:r w:rsidR="00A35E16">
        <w:rPr>
          <w:rStyle w:val="s2"/>
          <w:sz w:val="24"/>
          <w:szCs w:val="24"/>
        </w:rPr>
        <w:t>”</w:t>
      </w:r>
      <w:r w:rsidRPr="00CD04FE">
        <w:rPr>
          <w:rStyle w:val="s2"/>
          <w:sz w:val="24"/>
          <w:szCs w:val="24"/>
        </w:rPr>
        <w:t xml:space="preserve"> The narrow sense, as seen above, is analytically connected to a right to coercion. But the wide sense of </w:t>
      </w:r>
      <w:r w:rsidR="00A35E16">
        <w:rPr>
          <w:rStyle w:val="s2"/>
          <w:sz w:val="24"/>
          <w:szCs w:val="24"/>
        </w:rPr>
        <w:t>“</w:t>
      </w:r>
      <w:r w:rsidRPr="00CD04FE">
        <w:rPr>
          <w:rStyle w:val="s2"/>
          <w:sz w:val="24"/>
          <w:szCs w:val="24"/>
        </w:rPr>
        <w:t>right</w:t>
      </w:r>
      <w:r w:rsidR="00A35E16">
        <w:rPr>
          <w:rStyle w:val="s2"/>
          <w:sz w:val="24"/>
          <w:szCs w:val="24"/>
        </w:rPr>
        <w:t>”</w:t>
      </w:r>
      <w:r w:rsidRPr="00CD04FE">
        <w:rPr>
          <w:rStyle w:val="s2"/>
          <w:sz w:val="24"/>
          <w:szCs w:val="24"/>
        </w:rPr>
        <w:t xml:space="preserve"> is not connected to coercion, and Kant argues that there are two rights that fall under this heading: equity and the right of necessity.</w:t>
      </w:r>
    </w:p>
    <w:p w14:paraId="7F7695A2" w14:textId="66F78D9A"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Equity, on Kant</w:t>
      </w:r>
      <w:r w:rsidR="00D34B73">
        <w:rPr>
          <w:rStyle w:val="s2"/>
          <w:sz w:val="24"/>
          <w:szCs w:val="24"/>
        </w:rPr>
        <w:t>’</w:t>
      </w:r>
      <w:r w:rsidRPr="00CD04FE">
        <w:rPr>
          <w:rStyle w:val="s2"/>
          <w:sz w:val="24"/>
          <w:szCs w:val="24"/>
        </w:rPr>
        <w:t xml:space="preserve">s account, involves a moral right that is unenforceable. For example, suppose that Bo and Do form a company and agree, in a contract, to share equally in the </w:t>
      </w:r>
      <w:r w:rsidRPr="00CD04FE">
        <w:rPr>
          <w:rStyle w:val="s2"/>
          <w:sz w:val="24"/>
          <w:szCs w:val="24"/>
        </w:rPr>
        <w:lastRenderedPageBreak/>
        <w:t xml:space="preserve">profits even though they do not specify in the contract that they will put in equal amounts of labor. Suppose, further, that, as time goes on, Bo ends up putting more and more work into the company whereas Do slacks off more and more. Kant argues that, in this kind of scenario, Bo can, according to equity, </w:t>
      </w:r>
      <w:r w:rsidR="00FF1619">
        <w:rPr>
          <w:rStyle w:val="s2"/>
          <w:sz w:val="24"/>
          <w:szCs w:val="24"/>
        </w:rPr>
        <w:t>“</w:t>
      </w:r>
      <w:r w:rsidRPr="00CD04FE">
        <w:rPr>
          <w:rStyle w:val="s2"/>
          <w:sz w:val="24"/>
          <w:szCs w:val="24"/>
        </w:rPr>
        <w:t>demand more from the company.</w:t>
      </w:r>
      <w:r w:rsidR="00FF1619">
        <w:rPr>
          <w:rStyle w:val="s2"/>
          <w:sz w:val="24"/>
          <w:szCs w:val="24"/>
        </w:rPr>
        <w:t>”</w:t>
      </w:r>
      <w:r w:rsidR="00FF1619">
        <w:rPr>
          <w:rStyle w:val="FootnoteReference"/>
          <w:rFonts w:ascii="BodoniSvtyTwoOSITCTT-Book" w:hAnsi="BodoniSvtyTwoOSITCTT-Book"/>
          <w:sz w:val="24"/>
          <w:szCs w:val="24"/>
        </w:rPr>
        <w:footnoteReference w:id="17"/>
      </w:r>
      <w:r w:rsidRPr="00CD04FE">
        <w:rPr>
          <w:rStyle w:val="s2"/>
          <w:sz w:val="24"/>
          <w:szCs w:val="24"/>
        </w:rPr>
        <w:t xml:space="preserve"> However, Kant also argues that agents in such cases do not have standing in a court of justice, only in the </w:t>
      </w:r>
      <w:r w:rsidR="00AD3C99">
        <w:rPr>
          <w:rStyle w:val="s2"/>
          <w:sz w:val="24"/>
          <w:szCs w:val="24"/>
        </w:rPr>
        <w:t>“</w:t>
      </w:r>
      <w:r w:rsidRPr="00CD04FE">
        <w:rPr>
          <w:rStyle w:val="s2"/>
          <w:sz w:val="24"/>
          <w:szCs w:val="24"/>
        </w:rPr>
        <w:t>court of conscience.</w:t>
      </w:r>
      <w:r w:rsidR="00AD3C99">
        <w:rPr>
          <w:rStyle w:val="s2"/>
          <w:sz w:val="24"/>
          <w:szCs w:val="24"/>
        </w:rPr>
        <w:t>”</w:t>
      </w:r>
      <w:r w:rsidR="00AD3C99">
        <w:rPr>
          <w:rStyle w:val="FootnoteReference"/>
          <w:rFonts w:ascii="BodoniSvtyTwoOSITCTT-Book" w:hAnsi="BodoniSvtyTwoOSITCTT-Book"/>
          <w:sz w:val="24"/>
          <w:szCs w:val="24"/>
        </w:rPr>
        <w:footnoteReference w:id="18"/>
      </w:r>
    </w:p>
    <w:p w14:paraId="03577758" w14:textId="5329C93E"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The right of necessity, according to Kant, is a right to kill someone when that person is an innocent threat to one</w:t>
      </w:r>
      <w:r w:rsidR="00AD3C99">
        <w:rPr>
          <w:rStyle w:val="s2"/>
          <w:sz w:val="24"/>
          <w:szCs w:val="24"/>
        </w:rPr>
        <w:t>’</w:t>
      </w:r>
      <w:r w:rsidRPr="00CD04FE">
        <w:rPr>
          <w:rStyle w:val="s2"/>
          <w:sz w:val="24"/>
          <w:szCs w:val="24"/>
        </w:rPr>
        <w:t>s life. Kant uses the plank of Carneades to illustrate. If there are two shipwrecked sailors clinging to a plank and the plank only can support one of them, then there can be no legal sanction should one of the sailors shove the other off the plank to a watery death. More modern discussions of this issue appeal to malefactors who use innocents as human shields; to being trapped in a well with a ray gun when someone falls in from above; and to other grim scenarios.</w:t>
      </w:r>
      <w:r w:rsidR="00FA5ACE">
        <w:rPr>
          <w:rStyle w:val="FootnoteReference"/>
          <w:rFonts w:ascii="BodoniSvtyTwoOSITCTT-Book" w:hAnsi="BodoniSvtyTwoOSITCTT-Book"/>
          <w:sz w:val="24"/>
          <w:szCs w:val="24"/>
        </w:rPr>
        <w:footnoteReference w:id="19"/>
      </w:r>
      <w:r w:rsidRPr="00CD04FE">
        <w:rPr>
          <w:rStyle w:val="s2"/>
          <w:sz w:val="24"/>
          <w:szCs w:val="24"/>
        </w:rPr>
        <w:t xml:space="preserve"> The basic point is generally the same. As Kant puts it, </w:t>
      </w:r>
      <w:r w:rsidR="00673127">
        <w:rPr>
          <w:rStyle w:val="s2"/>
          <w:sz w:val="24"/>
          <w:szCs w:val="24"/>
        </w:rPr>
        <w:t>“</w:t>
      </w:r>
      <w:r w:rsidRPr="00CD04FE">
        <w:rPr>
          <w:rStyle w:val="s2"/>
          <w:sz w:val="24"/>
          <w:szCs w:val="24"/>
        </w:rPr>
        <w:t>the deed of saving one</w:t>
      </w:r>
      <w:r w:rsidR="00673127">
        <w:rPr>
          <w:rStyle w:val="s2"/>
          <w:sz w:val="24"/>
          <w:szCs w:val="24"/>
        </w:rPr>
        <w:t>’</w:t>
      </w:r>
      <w:r w:rsidRPr="00CD04FE">
        <w:rPr>
          <w:rStyle w:val="s2"/>
          <w:sz w:val="24"/>
          <w:szCs w:val="24"/>
        </w:rPr>
        <w:t xml:space="preserve">s life by violence is not to be judged </w:t>
      </w:r>
      <w:r w:rsidRPr="00CD04FE">
        <w:rPr>
          <w:rStyle w:val="s3"/>
          <w:sz w:val="24"/>
          <w:szCs w:val="24"/>
        </w:rPr>
        <w:t>inculpable</w:t>
      </w:r>
      <w:r w:rsidRPr="00CD04FE">
        <w:rPr>
          <w:rStyle w:val="s2"/>
          <w:sz w:val="24"/>
          <w:szCs w:val="24"/>
        </w:rPr>
        <w:t xml:space="preserve"> (</w:t>
      </w:r>
      <w:r w:rsidRPr="00CD04FE">
        <w:rPr>
          <w:rStyle w:val="s3"/>
          <w:sz w:val="24"/>
          <w:szCs w:val="24"/>
        </w:rPr>
        <w:t>inculpabile</w:t>
      </w:r>
      <w:r w:rsidRPr="00CD04FE">
        <w:rPr>
          <w:rStyle w:val="s2"/>
          <w:sz w:val="24"/>
          <w:szCs w:val="24"/>
        </w:rPr>
        <w:t xml:space="preserve">) but only </w:t>
      </w:r>
      <w:r w:rsidRPr="00CD04FE">
        <w:rPr>
          <w:rStyle w:val="s3"/>
          <w:sz w:val="24"/>
          <w:szCs w:val="24"/>
        </w:rPr>
        <w:t>unpunishable</w:t>
      </w:r>
      <w:r w:rsidRPr="00CD04FE">
        <w:rPr>
          <w:rStyle w:val="s2"/>
          <w:sz w:val="24"/>
          <w:szCs w:val="24"/>
        </w:rPr>
        <w:t xml:space="preserve"> (</w:t>
      </w:r>
      <w:r w:rsidRPr="00CD04FE">
        <w:rPr>
          <w:rStyle w:val="s3"/>
          <w:sz w:val="24"/>
          <w:szCs w:val="24"/>
        </w:rPr>
        <w:t>impunibile</w:t>
      </w:r>
      <w:r w:rsidRPr="00CD04FE">
        <w:rPr>
          <w:rStyle w:val="s2"/>
          <w:sz w:val="24"/>
          <w:szCs w:val="24"/>
        </w:rPr>
        <w:t>).</w:t>
      </w:r>
      <w:r w:rsidR="00673127">
        <w:rPr>
          <w:rStyle w:val="s2"/>
          <w:sz w:val="24"/>
          <w:szCs w:val="24"/>
        </w:rPr>
        <w:t>”</w:t>
      </w:r>
      <w:r w:rsidR="00215BA1">
        <w:rPr>
          <w:rStyle w:val="FootnoteReference"/>
          <w:rFonts w:ascii="BodoniSvtyTwoOSITCTT-Book" w:hAnsi="BodoniSvtyTwoOSITCTT-Book"/>
          <w:sz w:val="24"/>
          <w:szCs w:val="24"/>
        </w:rPr>
        <w:footnoteReference w:id="20"/>
      </w:r>
    </w:p>
    <w:p w14:paraId="4D8A1873" w14:textId="7051D3DD" w:rsidR="00CD04FE" w:rsidRPr="00CD04FE" w:rsidRDefault="00CD04FE">
      <w:pPr>
        <w:pStyle w:val="p1"/>
        <w:rPr>
          <w:sz w:val="24"/>
          <w:szCs w:val="24"/>
        </w:rPr>
      </w:pPr>
      <w:r w:rsidRPr="00CD04FE">
        <w:rPr>
          <w:rStyle w:val="apple-converted-space"/>
          <w:rFonts w:ascii="BodoniSvtyTwoOSITCTT-Book" w:hAnsi="BodoniSvtyTwoOSITCTT-Book"/>
          <w:sz w:val="24"/>
          <w:szCs w:val="24"/>
        </w:rPr>
        <w:t> </w:t>
      </w:r>
      <w:r w:rsidRPr="00CD04FE">
        <w:rPr>
          <w:rStyle w:val="apple-tab-span"/>
          <w:rFonts w:ascii="BodoniSvtyTwoOSITCTT-Book" w:hAnsi="BodoniSvtyTwoOSITCTT-Book"/>
          <w:sz w:val="24"/>
          <w:szCs w:val="24"/>
        </w:rPr>
        <w:tab/>
      </w:r>
      <w:r w:rsidRPr="00CD04FE">
        <w:rPr>
          <w:rStyle w:val="s2"/>
          <w:sz w:val="24"/>
          <w:szCs w:val="24"/>
        </w:rPr>
        <w:t>On Kant</w:t>
      </w:r>
      <w:r w:rsidR="00FA5ACE">
        <w:rPr>
          <w:rStyle w:val="s2"/>
          <w:sz w:val="24"/>
          <w:szCs w:val="24"/>
        </w:rPr>
        <w:t>’</w:t>
      </w:r>
      <w:r w:rsidRPr="00CD04FE">
        <w:rPr>
          <w:rStyle w:val="s2"/>
          <w:sz w:val="24"/>
          <w:szCs w:val="24"/>
        </w:rPr>
        <w:t>s account, it is the fact that killing an innocent threat to one</w:t>
      </w:r>
      <w:r w:rsidR="00FA5ACE">
        <w:rPr>
          <w:rStyle w:val="s2"/>
          <w:sz w:val="24"/>
          <w:szCs w:val="24"/>
        </w:rPr>
        <w:t>’</w:t>
      </w:r>
      <w:r w:rsidRPr="00CD04FE">
        <w:rPr>
          <w:rStyle w:val="s2"/>
          <w:sz w:val="24"/>
          <w:szCs w:val="24"/>
        </w:rPr>
        <w:t>s life is not rightful (in the narrow sense) that distinguishes it from killing a malefactor in self-defense. Killing a culpable threat, on Kan</w:t>
      </w:r>
      <w:r w:rsidR="00FA5ACE">
        <w:rPr>
          <w:rStyle w:val="s2"/>
          <w:sz w:val="24"/>
          <w:szCs w:val="24"/>
        </w:rPr>
        <w:t>t’</w:t>
      </w:r>
      <w:r w:rsidRPr="00CD04FE">
        <w:rPr>
          <w:rStyle w:val="s2"/>
          <w:sz w:val="24"/>
          <w:szCs w:val="24"/>
        </w:rPr>
        <w:t>s account, is not merely unpunishable but also rightful (in the narrow sense).</w:t>
      </w:r>
      <w:r w:rsidR="00F37ABD">
        <w:rPr>
          <w:rStyle w:val="FootnoteReference"/>
          <w:rFonts w:ascii="BodoniSvtyTwoOSITCTT-Book" w:hAnsi="BodoniSvtyTwoOSITCTT-Book"/>
          <w:sz w:val="24"/>
          <w:szCs w:val="24"/>
        </w:rPr>
        <w:footnoteReference w:id="21"/>
      </w:r>
      <w:r w:rsidRPr="00CD04FE">
        <w:rPr>
          <w:rStyle w:val="s2"/>
          <w:sz w:val="24"/>
          <w:szCs w:val="24"/>
        </w:rPr>
        <w:t xml:space="preserve"> Indeed, there is some evidence that Kant takes self-defense to be obligatory. In an unpublished note, Kant asserts that </w:t>
      </w:r>
      <w:r w:rsidR="00856889">
        <w:rPr>
          <w:rStyle w:val="s2"/>
          <w:sz w:val="24"/>
          <w:szCs w:val="24"/>
        </w:rPr>
        <w:t>“</w:t>
      </w:r>
      <w:r w:rsidRPr="00CD04FE">
        <w:rPr>
          <w:rStyle w:val="s2"/>
          <w:sz w:val="24"/>
          <w:szCs w:val="24"/>
        </w:rPr>
        <w:t>I may not omit my own self-defense.</w:t>
      </w:r>
      <w:r w:rsidR="002B26CD">
        <w:rPr>
          <w:rStyle w:val="s2"/>
          <w:sz w:val="24"/>
          <w:szCs w:val="24"/>
        </w:rPr>
        <w:t>”</w:t>
      </w:r>
      <w:r w:rsidR="002B26CD">
        <w:rPr>
          <w:rStyle w:val="FootnoteReference"/>
          <w:rFonts w:ascii="BodoniSvtyTwoOSITCTT-Book" w:hAnsi="BodoniSvtyTwoOSITCTT-Book"/>
          <w:sz w:val="24"/>
          <w:szCs w:val="24"/>
        </w:rPr>
        <w:footnoteReference w:id="22"/>
      </w:r>
      <w:r w:rsidRPr="00CD04FE">
        <w:rPr>
          <w:rStyle w:val="s2"/>
          <w:sz w:val="24"/>
          <w:szCs w:val="24"/>
        </w:rPr>
        <w:t xml:space="preserve"> The right to kill an innocent threat, by way of contrast, is a right only in the wide sense. There should be no legal sanction for killing an innocent threat, but there also should be no legal punishment for it.</w:t>
      </w:r>
    </w:p>
    <w:p w14:paraId="45D8D76F" w14:textId="62530C4E" w:rsidR="00CD04FE" w:rsidRPr="00FD7D8A" w:rsidRDefault="00CD04FE">
      <w:pPr>
        <w:pStyle w:val="p1"/>
        <w:rPr>
          <w:rFonts w:ascii="BodoniSvtyTwoOSITCTT-Book" w:hAnsi="BodoniSvtyTwoOSITCTT-Book"/>
          <w:sz w:val="24"/>
          <w:szCs w:val="24"/>
        </w:rPr>
      </w:pPr>
      <w:r w:rsidRPr="00CD04FE">
        <w:rPr>
          <w:rStyle w:val="apple-tab-span"/>
          <w:rFonts w:ascii="BodoniSvtyTwoOSITCTT-Book" w:hAnsi="BodoniSvtyTwoOSITCTT-Book"/>
          <w:sz w:val="24"/>
          <w:szCs w:val="24"/>
        </w:rPr>
        <w:tab/>
      </w:r>
      <w:r w:rsidRPr="00CD04FE">
        <w:rPr>
          <w:rStyle w:val="s2"/>
          <w:sz w:val="24"/>
          <w:szCs w:val="24"/>
        </w:rPr>
        <w:t>It is tempting at this point to apply Kant</w:t>
      </w:r>
      <w:r w:rsidR="00FD7D8A">
        <w:rPr>
          <w:rStyle w:val="s2"/>
          <w:sz w:val="24"/>
          <w:szCs w:val="24"/>
        </w:rPr>
        <w:t>’</w:t>
      </w:r>
      <w:r w:rsidRPr="00CD04FE">
        <w:rPr>
          <w:rStyle w:val="s2"/>
          <w:sz w:val="24"/>
          <w:szCs w:val="24"/>
        </w:rPr>
        <w:t>s remarks about the right of necessity directly to the issue of abortion. The argument would be as follows: (1) Kant grants that there is a right to kill an innocent threat to one</w:t>
      </w:r>
      <w:r w:rsidR="00FD7D8A">
        <w:rPr>
          <w:rStyle w:val="s2"/>
          <w:sz w:val="24"/>
          <w:szCs w:val="24"/>
        </w:rPr>
        <w:t>’</w:t>
      </w:r>
      <w:r w:rsidRPr="00CD04FE">
        <w:rPr>
          <w:rStyle w:val="s2"/>
          <w:sz w:val="24"/>
          <w:szCs w:val="24"/>
        </w:rPr>
        <w:t>s life; (2) if Kant grants that there is a right to kill an innocent threat to one</w:t>
      </w:r>
      <w:r w:rsidR="00FD7D8A">
        <w:rPr>
          <w:rStyle w:val="s2"/>
          <w:sz w:val="24"/>
          <w:szCs w:val="24"/>
        </w:rPr>
        <w:t>’</w:t>
      </w:r>
      <w:r w:rsidRPr="00CD04FE">
        <w:rPr>
          <w:rStyle w:val="s2"/>
          <w:sz w:val="24"/>
          <w:szCs w:val="24"/>
        </w:rPr>
        <w:t>s life, then he should grant that there is a right to certain kinds of therapeutic abortion; therefore, (3) Kant should grant that there is a right to certain kinds of therapeutic abortion. For example, if a woman has an ectopic pregnancy, then the fetus might pose an innocent threat to her life. Thus, based on this argument, Kant should say that, although an abortion in such a case might not be rightful, it nevertheless would not be punishable.</w:t>
      </w:r>
    </w:p>
    <w:p w14:paraId="2ACD8721" w14:textId="38D91C44" w:rsidR="00CD04FE" w:rsidRPr="007E598A" w:rsidRDefault="00CD04FE">
      <w:pPr>
        <w:pStyle w:val="p1"/>
        <w:rPr>
          <w:rFonts w:ascii="BodoniSvtyTwoOSITCTT-Book" w:hAnsi="BodoniSvtyTwoOSITCTT-Book"/>
          <w:sz w:val="24"/>
          <w:szCs w:val="24"/>
        </w:rPr>
      </w:pPr>
      <w:r w:rsidRPr="00CD04FE">
        <w:rPr>
          <w:rStyle w:val="apple-tab-span"/>
          <w:rFonts w:ascii="BodoniSvtyTwoOSITCTT-Book" w:hAnsi="BodoniSvtyTwoOSITCTT-Book"/>
          <w:sz w:val="24"/>
          <w:szCs w:val="24"/>
        </w:rPr>
        <w:tab/>
      </w:r>
      <w:r w:rsidRPr="00CD04FE">
        <w:rPr>
          <w:rStyle w:val="s2"/>
          <w:sz w:val="24"/>
          <w:szCs w:val="24"/>
        </w:rPr>
        <w:t>However, I do not intend to make this argument. For one thing, I am more interested in reconstructing Kant</w:t>
      </w:r>
      <w:r w:rsidR="007E598A">
        <w:rPr>
          <w:rStyle w:val="s2"/>
          <w:sz w:val="24"/>
          <w:szCs w:val="24"/>
        </w:rPr>
        <w:t>’</w:t>
      </w:r>
      <w:r w:rsidRPr="00CD04FE">
        <w:rPr>
          <w:rStyle w:val="s2"/>
          <w:sz w:val="24"/>
          <w:szCs w:val="24"/>
        </w:rPr>
        <w:t>s position on elective abortion than I am in reconstructing his position on therapeutic abortion. For another, many prolifers concede that certain kinds of therapeutic abortion fall within the purview of narrow right, which is already a stronger claim than the one being attributed to Kant on this argument.</w:t>
      </w:r>
    </w:p>
    <w:p w14:paraId="29C5D39B" w14:textId="68F3300D"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Nonetheless, Kant</w:t>
      </w:r>
      <w:r w:rsidR="001004E5">
        <w:rPr>
          <w:rStyle w:val="s2"/>
          <w:sz w:val="24"/>
          <w:szCs w:val="24"/>
        </w:rPr>
        <w:t>’</w:t>
      </w:r>
      <w:r w:rsidRPr="00CD04FE">
        <w:rPr>
          <w:rStyle w:val="s2"/>
          <w:sz w:val="24"/>
          <w:szCs w:val="24"/>
        </w:rPr>
        <w:t xml:space="preserve">s ambiguous rights of equity and necessity do establish something important, namely: Kant thinks that there is nonempty conceptual space between the category of actions that are punishable and the category of actions that are </w:t>
      </w:r>
      <w:r w:rsidRPr="00CD04FE">
        <w:rPr>
          <w:rStyle w:val="s2"/>
          <w:sz w:val="24"/>
          <w:szCs w:val="24"/>
        </w:rPr>
        <w:lastRenderedPageBreak/>
        <w:t>rightful, and this conceptual space might include killing, at least in the case of an innocent threat to one</w:t>
      </w:r>
      <w:r w:rsidR="002D5610">
        <w:rPr>
          <w:rStyle w:val="s2"/>
          <w:sz w:val="24"/>
          <w:szCs w:val="24"/>
        </w:rPr>
        <w:t>’</w:t>
      </w:r>
      <w:r w:rsidRPr="00CD04FE">
        <w:rPr>
          <w:rStyle w:val="s2"/>
          <w:sz w:val="24"/>
          <w:szCs w:val="24"/>
        </w:rPr>
        <w:t>s life.</w:t>
      </w:r>
      <w:r w:rsidR="00F72755">
        <w:rPr>
          <w:rStyle w:val="FootnoteReference"/>
          <w:rFonts w:ascii="BodoniSvtyTwoOSITCTT-Book" w:hAnsi="BodoniSvtyTwoOSITCTT-Book"/>
          <w:sz w:val="24"/>
          <w:szCs w:val="24"/>
        </w:rPr>
        <w:footnoteReference w:id="23"/>
      </w:r>
      <w:r w:rsidRPr="00CD04FE">
        <w:rPr>
          <w:rStyle w:val="s2"/>
          <w:sz w:val="24"/>
          <w:szCs w:val="24"/>
        </w:rPr>
        <w:t xml:space="preserve"> This shows that Kant would reject the RPC on precisely the grounds suggested above: there are cases in which killing someone with the right to life is not an infringement of that person</w:t>
      </w:r>
      <w:r w:rsidR="002D5610">
        <w:rPr>
          <w:rStyle w:val="s2"/>
          <w:sz w:val="24"/>
          <w:szCs w:val="24"/>
        </w:rPr>
        <w:t>’</w:t>
      </w:r>
      <w:r w:rsidRPr="00CD04FE">
        <w:rPr>
          <w:rStyle w:val="s2"/>
          <w:sz w:val="24"/>
          <w:szCs w:val="24"/>
        </w:rPr>
        <w:t xml:space="preserve">s legally enforceable right to life. And now we can see why Kant would deny the move to the claim that such a killing is not a violation of the person's right to life: the point is that, </w:t>
      </w:r>
      <w:r w:rsidRPr="00CD04FE">
        <w:rPr>
          <w:rStyle w:val="s3"/>
          <w:sz w:val="24"/>
          <w:szCs w:val="24"/>
        </w:rPr>
        <w:t>even if</w:t>
      </w:r>
      <w:r w:rsidRPr="00CD04FE">
        <w:rPr>
          <w:rStyle w:val="s2"/>
          <w:sz w:val="24"/>
          <w:szCs w:val="24"/>
        </w:rPr>
        <w:t xml:space="preserve"> it is a violation of the person</w:t>
      </w:r>
      <w:r w:rsidR="002D5610">
        <w:rPr>
          <w:rStyle w:val="s2"/>
          <w:sz w:val="24"/>
          <w:szCs w:val="24"/>
        </w:rPr>
        <w:t>’</w:t>
      </w:r>
      <w:r w:rsidRPr="00CD04FE">
        <w:rPr>
          <w:rStyle w:val="s2"/>
          <w:sz w:val="24"/>
          <w:szCs w:val="24"/>
        </w:rPr>
        <w:t>s right to life, there are conditions in which such a violation is not punishable. In other words, on Kant's account, killing someone with the right to life is sometimes unpunishable because this right is not always legally enforceable. This subtlety will become important in section 4 when I compare Kant's stance on the wide right to abortion to JJ Thomson's more recent (and more famous) violinist argument.</w:t>
      </w:r>
    </w:p>
    <w:p w14:paraId="2553BA40" w14:textId="77777777" w:rsidR="00CD04FE" w:rsidRPr="00CD04FE" w:rsidRDefault="00CD04FE">
      <w:pPr>
        <w:pStyle w:val="p2"/>
        <w:rPr>
          <w:sz w:val="24"/>
          <w:szCs w:val="24"/>
        </w:rPr>
      </w:pPr>
    </w:p>
    <w:p w14:paraId="181CF408" w14:textId="77777777" w:rsidR="00CD04FE" w:rsidRPr="00CD04FE" w:rsidRDefault="00CD04FE">
      <w:pPr>
        <w:pStyle w:val="p1"/>
        <w:rPr>
          <w:sz w:val="24"/>
          <w:szCs w:val="24"/>
        </w:rPr>
      </w:pPr>
      <w:r w:rsidRPr="00CD04FE">
        <w:rPr>
          <w:rStyle w:val="s1"/>
          <w:sz w:val="24"/>
          <w:szCs w:val="24"/>
        </w:rPr>
        <w:t>3. Capital Punishment and Suicide</w:t>
      </w:r>
    </w:p>
    <w:p w14:paraId="29CA9506" w14:textId="77777777" w:rsidR="00CD04FE" w:rsidRPr="00CD04FE" w:rsidRDefault="00CD04FE">
      <w:pPr>
        <w:pStyle w:val="p2"/>
        <w:rPr>
          <w:sz w:val="24"/>
          <w:szCs w:val="24"/>
        </w:rPr>
      </w:pPr>
    </w:p>
    <w:p w14:paraId="5BC3D0E8" w14:textId="76C14AD0" w:rsidR="00CD04FE" w:rsidRPr="00CD04FE" w:rsidRDefault="00CD04FE">
      <w:pPr>
        <w:pStyle w:val="p1"/>
        <w:rPr>
          <w:sz w:val="24"/>
          <w:szCs w:val="24"/>
        </w:rPr>
      </w:pPr>
      <w:r w:rsidRPr="00CD04FE">
        <w:rPr>
          <w:rStyle w:val="s2"/>
          <w:sz w:val="24"/>
          <w:szCs w:val="24"/>
        </w:rPr>
        <w:t xml:space="preserve">Kant's position on capital punishment is unambiguous: </w:t>
      </w:r>
      <w:r w:rsidR="00C93D29">
        <w:rPr>
          <w:rStyle w:val="s2"/>
          <w:sz w:val="24"/>
          <w:szCs w:val="24"/>
        </w:rPr>
        <w:t>“</w:t>
      </w:r>
      <w:r w:rsidRPr="00CD04FE">
        <w:rPr>
          <w:rStyle w:val="s2"/>
          <w:sz w:val="24"/>
          <w:szCs w:val="24"/>
        </w:rPr>
        <w:t xml:space="preserve">If, however, he has committed murder he must </w:t>
      </w:r>
      <w:r w:rsidRPr="00CD04FE">
        <w:rPr>
          <w:rStyle w:val="s3"/>
          <w:sz w:val="24"/>
          <w:szCs w:val="24"/>
        </w:rPr>
        <w:t>die</w:t>
      </w:r>
      <w:r w:rsidRPr="00CD04FE">
        <w:rPr>
          <w:rStyle w:val="s2"/>
          <w:sz w:val="24"/>
          <w:szCs w:val="24"/>
        </w:rPr>
        <w:t>...Even if a civil society were to be dissolved by the consent of all its members...the last murderer remaining in prison would first have to be executed.</w:t>
      </w:r>
      <w:r w:rsidR="00C93D29">
        <w:rPr>
          <w:rStyle w:val="s2"/>
          <w:sz w:val="24"/>
          <w:szCs w:val="24"/>
        </w:rPr>
        <w:t>”</w:t>
      </w:r>
      <w:r w:rsidR="00C93D29">
        <w:rPr>
          <w:rStyle w:val="FootnoteReference"/>
          <w:rFonts w:ascii="BodoniSvtyTwoOSITCTT-Book" w:hAnsi="BodoniSvtyTwoOSITCTT-Book"/>
          <w:sz w:val="24"/>
          <w:szCs w:val="24"/>
        </w:rPr>
        <w:footnoteReference w:id="24"/>
      </w:r>
      <w:r w:rsidRPr="00CD04FE">
        <w:rPr>
          <w:rStyle w:val="s2"/>
          <w:sz w:val="24"/>
          <w:szCs w:val="24"/>
        </w:rPr>
        <w:t xml:space="preserve"> Many take this passage to show not only that Kant advocates capital punishment, but also that he is a retributivist.</w:t>
      </w:r>
      <w:r w:rsidR="00AD2AAF">
        <w:rPr>
          <w:rStyle w:val="FootnoteReference"/>
          <w:rFonts w:ascii="BodoniSvtyTwoOSITCTT-Book" w:hAnsi="BodoniSvtyTwoOSITCTT-Book"/>
          <w:sz w:val="24"/>
          <w:szCs w:val="24"/>
        </w:rPr>
        <w:footnoteReference w:id="25"/>
      </w:r>
      <w:r w:rsidRPr="00CD04FE">
        <w:rPr>
          <w:rStyle w:val="s2"/>
          <w:sz w:val="24"/>
          <w:szCs w:val="24"/>
        </w:rPr>
        <w:t xml:space="preserve"> However, the rationale behind Kant</w:t>
      </w:r>
      <w:r w:rsidR="00D85FF5">
        <w:rPr>
          <w:rStyle w:val="s2"/>
          <w:sz w:val="24"/>
          <w:szCs w:val="24"/>
        </w:rPr>
        <w:t>’</w:t>
      </w:r>
      <w:r w:rsidRPr="00CD04FE">
        <w:rPr>
          <w:rStyle w:val="s2"/>
          <w:sz w:val="24"/>
          <w:szCs w:val="24"/>
        </w:rPr>
        <w:t>s larger theory of punishment is not important for current purposes. What is important, for now, is Kant</w:t>
      </w:r>
      <w:r w:rsidR="00D85FF5">
        <w:rPr>
          <w:rStyle w:val="s2"/>
          <w:sz w:val="24"/>
          <w:szCs w:val="24"/>
        </w:rPr>
        <w:t>’</w:t>
      </w:r>
      <w:r w:rsidRPr="00CD04FE">
        <w:rPr>
          <w:rStyle w:val="s2"/>
          <w:sz w:val="24"/>
          <w:szCs w:val="24"/>
        </w:rPr>
        <w:t>s advocacy of capital punishment.</w:t>
      </w:r>
    </w:p>
    <w:p w14:paraId="02324A4C" w14:textId="2918A8CD"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Kant</w:t>
      </w:r>
      <w:r w:rsidR="00D85FF5">
        <w:rPr>
          <w:rStyle w:val="s2"/>
          <w:sz w:val="24"/>
          <w:szCs w:val="24"/>
        </w:rPr>
        <w:t>’</w:t>
      </w:r>
      <w:r w:rsidRPr="00CD04FE">
        <w:rPr>
          <w:rStyle w:val="s2"/>
          <w:sz w:val="24"/>
          <w:szCs w:val="24"/>
        </w:rPr>
        <w:t xml:space="preserve">s position on suicide is also unambiguous: </w:t>
      </w:r>
      <w:r w:rsidR="003A5972">
        <w:rPr>
          <w:rStyle w:val="s2"/>
          <w:sz w:val="24"/>
          <w:szCs w:val="24"/>
        </w:rPr>
        <w:t>“</w:t>
      </w:r>
      <w:r w:rsidRPr="00CD04FE">
        <w:rPr>
          <w:rStyle w:val="s2"/>
          <w:sz w:val="24"/>
          <w:szCs w:val="24"/>
        </w:rPr>
        <w:t>disposing of oneself as a mere means to some discretionary end is debasing humanity in one's person.</w:t>
      </w:r>
      <w:r w:rsidR="003A5972">
        <w:rPr>
          <w:rStyle w:val="s2"/>
          <w:sz w:val="24"/>
          <w:szCs w:val="24"/>
        </w:rPr>
        <w:t>”</w:t>
      </w:r>
      <w:r w:rsidR="003A5972">
        <w:rPr>
          <w:rStyle w:val="FootnoteReference"/>
          <w:rFonts w:ascii="BodoniSvtyTwoOSITCTT-Book" w:hAnsi="BodoniSvtyTwoOSITCTT-Book"/>
          <w:sz w:val="24"/>
          <w:szCs w:val="24"/>
        </w:rPr>
        <w:footnoteReference w:id="26"/>
      </w:r>
      <w:r w:rsidRPr="00CD04FE">
        <w:rPr>
          <w:rStyle w:val="s2"/>
          <w:sz w:val="24"/>
          <w:szCs w:val="24"/>
        </w:rPr>
        <w:t xml:space="preserve"> Many emphasize that, shortly after making this pronouncement in the </w:t>
      </w:r>
      <w:r w:rsidRPr="00CD04FE">
        <w:rPr>
          <w:rStyle w:val="s3"/>
          <w:sz w:val="24"/>
          <w:szCs w:val="24"/>
        </w:rPr>
        <w:t>Metaphysics of Morals</w:t>
      </w:r>
      <w:r w:rsidRPr="00CD04FE">
        <w:rPr>
          <w:rStyle w:val="s2"/>
          <w:sz w:val="24"/>
          <w:szCs w:val="24"/>
        </w:rPr>
        <w:t xml:space="preserve"> (and in many other texts), Kant seems to suggest that there might be suicide maxims that are permissible, or even obligatory (namely: suicide maxims that do not involve disposing of oneself as a mere means).</w:t>
      </w:r>
      <w:r w:rsidR="00CB5605">
        <w:rPr>
          <w:rStyle w:val="FootnoteReference"/>
          <w:rFonts w:ascii="BodoniSvtyTwoOSITCTT-Book" w:hAnsi="BodoniSvtyTwoOSITCTT-Book"/>
          <w:sz w:val="24"/>
          <w:szCs w:val="24"/>
        </w:rPr>
        <w:footnoteReference w:id="27"/>
      </w:r>
      <w:r w:rsidRPr="00CD04FE">
        <w:rPr>
          <w:rStyle w:val="s2"/>
          <w:sz w:val="24"/>
          <w:szCs w:val="24"/>
        </w:rPr>
        <w:t xml:space="preserve"> However, that is not important for current purposes. What is important, for now, is that Kant</w:t>
      </w:r>
      <w:r w:rsidR="00CB5605">
        <w:rPr>
          <w:rStyle w:val="s2"/>
          <w:sz w:val="24"/>
          <w:szCs w:val="24"/>
        </w:rPr>
        <w:t>’</w:t>
      </w:r>
      <w:r w:rsidRPr="00CD04FE">
        <w:rPr>
          <w:rStyle w:val="s2"/>
          <w:sz w:val="24"/>
          <w:szCs w:val="24"/>
        </w:rPr>
        <w:t xml:space="preserve">s treatment of suicide is located in the Doctrine of Virtue, not the Doctrine of Right. Thus, Kant points out that </w:t>
      </w:r>
      <w:r w:rsidR="00CB5605">
        <w:rPr>
          <w:rStyle w:val="s2"/>
          <w:sz w:val="24"/>
          <w:szCs w:val="24"/>
        </w:rPr>
        <w:t>“</w:t>
      </w:r>
      <w:r w:rsidRPr="00CD04FE">
        <w:rPr>
          <w:rStyle w:val="s2"/>
          <w:sz w:val="24"/>
          <w:szCs w:val="24"/>
        </w:rPr>
        <w:t>what is in question here is only a violation of duty to oneself,</w:t>
      </w:r>
      <w:r w:rsidR="00BF27CC">
        <w:rPr>
          <w:rStyle w:val="s2"/>
          <w:sz w:val="24"/>
          <w:szCs w:val="24"/>
        </w:rPr>
        <w:t>”</w:t>
      </w:r>
      <w:r w:rsidRPr="00CD04FE">
        <w:rPr>
          <w:rStyle w:val="s2"/>
          <w:sz w:val="24"/>
          <w:szCs w:val="24"/>
        </w:rPr>
        <w:t xml:space="preserve"> and he goes on to argue in the next paragraph that </w:t>
      </w:r>
      <w:r w:rsidR="00BF27CC">
        <w:rPr>
          <w:rStyle w:val="s2"/>
          <w:sz w:val="24"/>
          <w:szCs w:val="24"/>
        </w:rPr>
        <w:t>“</w:t>
      </w:r>
      <w:r w:rsidRPr="00CD04FE">
        <w:rPr>
          <w:rStyle w:val="s2"/>
          <w:sz w:val="24"/>
          <w:szCs w:val="24"/>
        </w:rPr>
        <w:t>it seems absurd to say that a human being could wrong himself (</w:t>
      </w:r>
      <w:r w:rsidRPr="00CD04FE">
        <w:rPr>
          <w:rStyle w:val="s3"/>
          <w:sz w:val="24"/>
          <w:szCs w:val="24"/>
        </w:rPr>
        <w:t>volenti nonfit iniurid</w:t>
      </w:r>
      <w:r w:rsidRPr="00CD04FE">
        <w:rPr>
          <w:rStyle w:val="s2"/>
          <w:sz w:val="24"/>
          <w:szCs w:val="24"/>
        </w:rPr>
        <w:t>).</w:t>
      </w:r>
      <w:r w:rsidR="00BF27CC">
        <w:rPr>
          <w:rStyle w:val="s2"/>
          <w:sz w:val="24"/>
          <w:szCs w:val="24"/>
        </w:rPr>
        <w:t>”</w:t>
      </w:r>
      <w:r w:rsidR="00BF27CC">
        <w:rPr>
          <w:rStyle w:val="FootnoteReference"/>
          <w:rFonts w:ascii="BodoniSvtyTwoOSITCTT-Book" w:hAnsi="BodoniSvtyTwoOSITCTT-Book"/>
          <w:sz w:val="24"/>
          <w:szCs w:val="24"/>
        </w:rPr>
        <w:footnoteReference w:id="28"/>
      </w:r>
      <w:r w:rsidRPr="00CD04FE">
        <w:rPr>
          <w:rStyle w:val="apple-converted-space"/>
          <w:rFonts w:ascii="BodoniSvtyTwoOSITCTT-Book" w:hAnsi="BodoniSvtyTwoOSITCTT-Book"/>
          <w:sz w:val="24"/>
          <w:szCs w:val="24"/>
        </w:rPr>
        <w:t> </w:t>
      </w:r>
    </w:p>
    <w:p w14:paraId="5E58FC4E" w14:textId="77777777"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There are four things that are notable about this.</w:t>
      </w:r>
      <w:r w:rsidRPr="00CD04FE">
        <w:rPr>
          <w:rStyle w:val="apple-converted-space"/>
          <w:rFonts w:ascii="BodoniSvtyTwoOSITCTT-Book" w:hAnsi="BodoniSvtyTwoOSITCTT-Book"/>
          <w:sz w:val="24"/>
          <w:szCs w:val="24"/>
        </w:rPr>
        <w:t> </w:t>
      </w:r>
    </w:p>
    <w:p w14:paraId="16D42D1C" w14:textId="05DAD08C" w:rsidR="00CD04FE" w:rsidRPr="00CD04FE" w:rsidRDefault="00CD04FE">
      <w:pPr>
        <w:pStyle w:val="p1"/>
        <w:rPr>
          <w:sz w:val="24"/>
          <w:szCs w:val="24"/>
        </w:rPr>
      </w:pPr>
      <w:r w:rsidRPr="00CD04FE">
        <w:rPr>
          <w:rStyle w:val="apple-tab-span"/>
          <w:rFonts w:ascii="BodoniSvtyTwoOSITCTT-Book" w:hAnsi="BodoniSvtyTwoOSITCTT-Book"/>
          <w:sz w:val="24"/>
          <w:szCs w:val="24"/>
        </w:rPr>
        <w:lastRenderedPageBreak/>
        <w:tab/>
      </w:r>
      <w:r w:rsidRPr="00CD04FE">
        <w:rPr>
          <w:rStyle w:val="s2"/>
          <w:sz w:val="24"/>
          <w:szCs w:val="24"/>
        </w:rPr>
        <w:t>First, there are morally relevant differences between the four kinds of killing discussed thus far. Capital punishment and suicide, like killing a culpable threat but unlike killing an innocent threat, are, on Kant</w:t>
      </w:r>
      <w:r w:rsidR="00CF04AE">
        <w:rPr>
          <w:rStyle w:val="s2"/>
          <w:sz w:val="24"/>
          <w:szCs w:val="24"/>
        </w:rPr>
        <w:t>’</w:t>
      </w:r>
      <w:r w:rsidRPr="00CD04FE">
        <w:rPr>
          <w:rStyle w:val="s2"/>
          <w:sz w:val="24"/>
          <w:szCs w:val="24"/>
        </w:rPr>
        <w:t>s account, rightful in a narrow sense.</w:t>
      </w:r>
      <w:r w:rsidR="00CA2A93">
        <w:rPr>
          <w:rStyle w:val="FootnoteReference"/>
          <w:rFonts w:ascii="BodoniSvtyTwoOSITCTT-Book" w:hAnsi="BodoniSvtyTwoOSITCTT-Book"/>
          <w:sz w:val="24"/>
          <w:szCs w:val="24"/>
        </w:rPr>
        <w:footnoteReference w:id="29"/>
      </w:r>
      <w:r w:rsidRPr="00CD04FE">
        <w:rPr>
          <w:rStyle w:val="s2"/>
          <w:sz w:val="24"/>
          <w:szCs w:val="24"/>
        </w:rPr>
        <w:t xml:space="preserve"> Either kind of killing in self-defense, unlike capital punishment and suicide, involves an immanent threat. Capital punishment, unlike both kinds of killing in self-defense and suicide, is, for Kant, retrospective. Kant thinks that capital punishment, like killing a culpable threat but unlike suicide, is morally obligatory.</w:t>
      </w:r>
      <w:r w:rsidR="00012C14">
        <w:rPr>
          <w:rStyle w:val="FootnoteReference"/>
          <w:rFonts w:ascii="BodoniSvtyTwoOSITCTT-Book" w:hAnsi="BodoniSvtyTwoOSITCTT-Book"/>
          <w:sz w:val="24"/>
          <w:szCs w:val="24"/>
        </w:rPr>
        <w:footnoteReference w:id="30"/>
      </w:r>
      <w:r w:rsidRPr="00CD04FE">
        <w:rPr>
          <w:rStyle w:val="s2"/>
          <w:sz w:val="24"/>
          <w:szCs w:val="24"/>
        </w:rPr>
        <w:t xml:space="preserve"> Suicide, like killing in self-defense but unlike capital punishment, involves a Kantian duty (of respect) to oneself. And suicide, unlike either kind of killing in self-defense and capital punishment, is, according to Kant, morally impermissible.</w:t>
      </w:r>
    </w:p>
    <w:p w14:paraId="64D33D72" w14:textId="43F31545"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Second, Kant's account of the legal status of capital punishment is importantly different from the legal status of capital punishment in many societies today. For example, in the US, the prison warden has to get a death warrant before carrying out an execution. A death warrant specifies that the cause of death is homicide, and it also specifies that the executioner cannot be prosecuted for carrying out this homicide. This suggests that, if a comprehensive philosophical account were to be developed concerning the modern practice of capital punishment in many societies today, executions would inhabit the same legal grey zone as Kan</w:t>
      </w:r>
      <w:r w:rsidR="00084136">
        <w:rPr>
          <w:rStyle w:val="s2"/>
          <w:sz w:val="24"/>
          <w:szCs w:val="24"/>
        </w:rPr>
        <w:t>t’</w:t>
      </w:r>
      <w:r w:rsidRPr="00CD04FE">
        <w:rPr>
          <w:rStyle w:val="s2"/>
          <w:sz w:val="24"/>
          <w:szCs w:val="24"/>
        </w:rPr>
        <w:t>s ambiguous rights: not rightful, but also not punishable.</w:t>
      </w:r>
    </w:p>
    <w:p w14:paraId="16E93A0C" w14:textId="71A51BF6"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Third, Kant</w:t>
      </w:r>
      <w:r w:rsidR="00B31B97">
        <w:rPr>
          <w:rStyle w:val="s2"/>
          <w:sz w:val="24"/>
          <w:szCs w:val="24"/>
        </w:rPr>
        <w:t>’</w:t>
      </w:r>
      <w:r w:rsidRPr="00CD04FE">
        <w:rPr>
          <w:rStyle w:val="s2"/>
          <w:sz w:val="24"/>
          <w:szCs w:val="24"/>
        </w:rPr>
        <w:t>s exclusion of suicide from the Doctrine of Right is revelatory. In Kant</w:t>
      </w:r>
      <w:r w:rsidR="00B31B97">
        <w:rPr>
          <w:rStyle w:val="s2"/>
          <w:sz w:val="24"/>
          <w:szCs w:val="24"/>
        </w:rPr>
        <w:t>’</w:t>
      </w:r>
      <w:r w:rsidRPr="00CD04FE">
        <w:rPr>
          <w:rStyle w:val="s2"/>
          <w:sz w:val="24"/>
          <w:szCs w:val="24"/>
        </w:rPr>
        <w:t>s time, suicide was a harshly punished crime. Successful suicides would be buried at crossroads so that their souls would not be able to figure out which way to go in order to participate in the rapture.</w:t>
      </w:r>
      <w:r w:rsidR="00076262">
        <w:rPr>
          <w:rStyle w:val="FootnoteReference"/>
          <w:rFonts w:ascii="BodoniSvtyTwoOSITCTT-Book" w:hAnsi="BodoniSvtyTwoOSITCTT-Book"/>
          <w:sz w:val="24"/>
          <w:szCs w:val="24"/>
        </w:rPr>
        <w:footnoteReference w:id="31"/>
      </w:r>
      <w:r w:rsidRPr="00CD04FE">
        <w:rPr>
          <w:rStyle w:val="s2"/>
          <w:sz w:val="24"/>
          <w:szCs w:val="24"/>
        </w:rPr>
        <w:t xml:space="preserve"> Their property might be confiscated rather than go to their next of kin, or their next of kin might be fined. The punishments for unsuccessful suicides were also quite harsh. Kant does seem to think that, in some conditions, suicide can be a crime. But he gives only one example: </w:t>
      </w:r>
      <w:r w:rsidR="00A81C08">
        <w:rPr>
          <w:rStyle w:val="s2"/>
          <w:sz w:val="24"/>
          <w:szCs w:val="24"/>
        </w:rPr>
        <w:t>“</w:t>
      </w:r>
      <w:r w:rsidRPr="00CD04FE">
        <w:rPr>
          <w:rStyle w:val="s2"/>
          <w:sz w:val="24"/>
          <w:szCs w:val="24"/>
        </w:rPr>
        <w:t>when a pregnant person takes her life.</w:t>
      </w:r>
      <w:r w:rsidR="00A81C08">
        <w:rPr>
          <w:rStyle w:val="s2"/>
          <w:sz w:val="24"/>
          <w:szCs w:val="24"/>
        </w:rPr>
        <w:t>”</w:t>
      </w:r>
      <w:r w:rsidR="00A81C08">
        <w:rPr>
          <w:rStyle w:val="FootnoteReference"/>
          <w:rFonts w:ascii="BodoniSvtyTwoOSITCTT-Book" w:hAnsi="BodoniSvtyTwoOSITCTT-Book"/>
          <w:sz w:val="24"/>
          <w:szCs w:val="24"/>
        </w:rPr>
        <w:footnoteReference w:id="32"/>
      </w:r>
      <w:r w:rsidRPr="00CD04FE">
        <w:rPr>
          <w:rStyle w:val="s2"/>
          <w:sz w:val="24"/>
          <w:szCs w:val="24"/>
        </w:rPr>
        <w:t xml:space="preserve"> This suggests that Kant</w:t>
      </w:r>
      <w:r w:rsidR="00A81C08">
        <w:rPr>
          <w:rStyle w:val="s2"/>
          <w:sz w:val="24"/>
          <w:szCs w:val="24"/>
        </w:rPr>
        <w:t>’</w:t>
      </w:r>
      <w:r w:rsidRPr="00CD04FE">
        <w:rPr>
          <w:rStyle w:val="s2"/>
          <w:sz w:val="24"/>
          <w:szCs w:val="24"/>
        </w:rPr>
        <w:t>s position on suicide was progressive, something easy to miss (and frequently missed) given the subsequent decriminalization of suicide in many parts of the Western world in the 20th century.</w:t>
      </w:r>
      <w:r w:rsidR="00D85E38">
        <w:rPr>
          <w:rStyle w:val="FootnoteReference"/>
          <w:rFonts w:ascii="BodoniSvtyTwoOSITCTT-Book" w:hAnsi="BodoniSvtyTwoOSITCTT-Book"/>
          <w:sz w:val="24"/>
          <w:szCs w:val="24"/>
        </w:rPr>
        <w:footnoteReference w:id="33"/>
      </w:r>
      <w:r w:rsidRPr="00CD04FE">
        <w:rPr>
          <w:rStyle w:val="s2"/>
          <w:sz w:val="24"/>
          <w:szCs w:val="24"/>
        </w:rPr>
        <w:t xml:space="preserve"> It also suggests that modern Kantian approaches to euthanasia and physician assisted suicide have a lacuna similar to one of the lacunas diagnosed above for modern Kantian approaches to abortion. Modern Kantian approaches reason about end of life issues using the Categorical Imperative and Kant</w:t>
      </w:r>
      <w:r w:rsidR="004C3F1C">
        <w:rPr>
          <w:rStyle w:val="s2"/>
          <w:sz w:val="24"/>
          <w:szCs w:val="24"/>
        </w:rPr>
        <w:t>’</w:t>
      </w:r>
      <w:r w:rsidRPr="00CD04FE">
        <w:rPr>
          <w:rStyle w:val="s2"/>
          <w:sz w:val="24"/>
          <w:szCs w:val="24"/>
        </w:rPr>
        <w:t>s doctrine of ethics rather than the UPR and Kant</w:t>
      </w:r>
      <w:r w:rsidR="004C3F1C">
        <w:rPr>
          <w:rStyle w:val="s2"/>
          <w:sz w:val="24"/>
          <w:szCs w:val="24"/>
        </w:rPr>
        <w:t>’</w:t>
      </w:r>
      <w:r w:rsidRPr="00CD04FE">
        <w:rPr>
          <w:rStyle w:val="s2"/>
          <w:sz w:val="24"/>
          <w:szCs w:val="24"/>
        </w:rPr>
        <w:t>s doctrine of right.</w:t>
      </w:r>
      <w:r w:rsidR="00E353CD">
        <w:rPr>
          <w:rStyle w:val="FootnoteReference"/>
          <w:rFonts w:ascii="BodoniSvtyTwoOSITCTT-Book" w:hAnsi="BodoniSvtyTwoOSITCTT-Book"/>
          <w:sz w:val="24"/>
          <w:szCs w:val="24"/>
        </w:rPr>
        <w:footnoteReference w:id="34"/>
      </w:r>
      <w:r w:rsidRPr="00CD04FE">
        <w:rPr>
          <w:rStyle w:val="s2"/>
          <w:sz w:val="24"/>
          <w:szCs w:val="24"/>
        </w:rPr>
        <w:t xml:space="preserve"> But, as already pointed out, </w:t>
      </w:r>
      <w:r w:rsidRPr="00CD04FE">
        <w:rPr>
          <w:rStyle w:val="s2"/>
          <w:sz w:val="24"/>
          <w:szCs w:val="24"/>
        </w:rPr>
        <w:lastRenderedPageBreak/>
        <w:t>although answering ethical questions in this domain is important, it does not establish legal status or punishability.</w:t>
      </w:r>
      <w:r w:rsidR="00FD66E0">
        <w:rPr>
          <w:rStyle w:val="FootnoteReference"/>
          <w:rFonts w:ascii="BodoniSvtyTwoOSITCTT-Book" w:hAnsi="BodoniSvtyTwoOSITCTT-Book"/>
          <w:sz w:val="24"/>
          <w:szCs w:val="24"/>
        </w:rPr>
        <w:footnoteReference w:id="35"/>
      </w:r>
    </w:p>
    <w:p w14:paraId="0C64ACF6" w14:textId="236BDB4D"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Fourth and perhaps most importantly</w:t>
      </w:r>
      <w:r w:rsidR="0082683C">
        <w:rPr>
          <w:rStyle w:val="s2"/>
          <w:sz w:val="24"/>
          <w:szCs w:val="24"/>
        </w:rPr>
        <w:t xml:space="preserve"> (for present purposes)</w:t>
      </w:r>
      <w:r w:rsidRPr="00CD04FE">
        <w:rPr>
          <w:rStyle w:val="s2"/>
          <w:sz w:val="24"/>
          <w:szCs w:val="24"/>
        </w:rPr>
        <w:t>, both suicide and capital punishment (like killing a culpable threat and killing an innocent threat) involve unpunishable killing of a person, a being with the innate right to freedom. As noted in the previous section, it is tempting to extrapolate a position on abortion from this directly. However, I do not intend to do so, more especially because, as seen above, the example that Kant gives of a suicide that is a crime involves a pregnant woman.</w:t>
      </w:r>
      <w:r w:rsidR="00F544AF">
        <w:rPr>
          <w:rStyle w:val="FootnoteReference"/>
          <w:rFonts w:ascii="BodoniSvtyTwoOSITCTT-Book" w:hAnsi="BodoniSvtyTwoOSITCTT-Book"/>
          <w:sz w:val="24"/>
          <w:szCs w:val="24"/>
        </w:rPr>
        <w:footnoteReference w:id="36"/>
      </w:r>
      <w:r w:rsidRPr="00CD04FE">
        <w:rPr>
          <w:rStyle w:val="s2"/>
          <w:sz w:val="24"/>
          <w:szCs w:val="24"/>
        </w:rPr>
        <w:t xml:space="preserve"> I want to show merely that, on Kant</w:t>
      </w:r>
      <w:r w:rsidR="00427E02">
        <w:rPr>
          <w:rStyle w:val="s2"/>
          <w:sz w:val="24"/>
          <w:szCs w:val="24"/>
        </w:rPr>
        <w:t>’</w:t>
      </w:r>
      <w:r w:rsidRPr="00CD04FE">
        <w:rPr>
          <w:rStyle w:val="s2"/>
          <w:sz w:val="24"/>
          <w:szCs w:val="24"/>
        </w:rPr>
        <w:t>s account, having the right to life does not entail that intentional killing is always punishable, precisely because, as noted above, Kant rejects the RPC--and I take that now to have been established beyond a reasonable doubt.</w:t>
      </w:r>
      <w:r w:rsidR="0037287E">
        <w:rPr>
          <w:rStyle w:val="FootnoteReference"/>
          <w:rFonts w:ascii="BodoniSvtyTwoOSITCTT-Book" w:hAnsi="BodoniSvtyTwoOSITCTT-Book"/>
          <w:sz w:val="24"/>
          <w:szCs w:val="24"/>
        </w:rPr>
        <w:footnoteReference w:id="37"/>
      </w:r>
      <w:r w:rsidRPr="00CD04FE">
        <w:rPr>
          <w:rStyle w:val="s2"/>
          <w:sz w:val="24"/>
          <w:szCs w:val="24"/>
        </w:rPr>
        <w:t xml:space="preserve"> In the next section, I shall expand on this to explain why I think Kant would accept a right to elective abortion.</w:t>
      </w:r>
    </w:p>
    <w:p w14:paraId="0D4C219A" w14:textId="77777777" w:rsidR="00CD04FE" w:rsidRPr="00CD04FE" w:rsidRDefault="00CD04FE">
      <w:pPr>
        <w:pStyle w:val="p2"/>
        <w:rPr>
          <w:sz w:val="24"/>
          <w:szCs w:val="24"/>
        </w:rPr>
      </w:pPr>
    </w:p>
    <w:p w14:paraId="3CB1C851" w14:textId="77777777" w:rsidR="00CD04FE" w:rsidRPr="00CD04FE" w:rsidRDefault="00CD04FE">
      <w:pPr>
        <w:pStyle w:val="p1"/>
        <w:rPr>
          <w:sz w:val="24"/>
          <w:szCs w:val="24"/>
        </w:rPr>
      </w:pPr>
      <w:r w:rsidRPr="00CD04FE">
        <w:rPr>
          <w:rStyle w:val="s1"/>
          <w:sz w:val="24"/>
          <w:szCs w:val="24"/>
        </w:rPr>
        <w:t>4. Dueling and Infanticide</w:t>
      </w:r>
    </w:p>
    <w:p w14:paraId="0B5EAE2F" w14:textId="77777777" w:rsidR="00CD04FE" w:rsidRPr="00CD04FE" w:rsidRDefault="00CD04FE">
      <w:pPr>
        <w:pStyle w:val="p5"/>
        <w:rPr>
          <w:sz w:val="24"/>
          <w:szCs w:val="24"/>
        </w:rPr>
      </w:pPr>
    </w:p>
    <w:p w14:paraId="4A4D03FC" w14:textId="34DD2B01" w:rsidR="00CD04FE" w:rsidRPr="00CD04FE" w:rsidRDefault="00CD04FE">
      <w:pPr>
        <w:pStyle w:val="p1"/>
        <w:rPr>
          <w:sz w:val="24"/>
          <w:szCs w:val="24"/>
        </w:rPr>
      </w:pPr>
      <w:r w:rsidRPr="00CD04FE">
        <w:rPr>
          <w:rStyle w:val="s2"/>
          <w:sz w:val="24"/>
          <w:szCs w:val="24"/>
        </w:rPr>
        <w:t xml:space="preserve">Kant discusses two different kinds of honor killing. One is dueling between soldiers. According to Kant, if a soldier has been insulted and thereupon challenges his assailant to a duel, </w:t>
      </w:r>
      <w:r w:rsidR="00A967E5">
        <w:rPr>
          <w:rStyle w:val="s2"/>
          <w:sz w:val="24"/>
          <w:szCs w:val="24"/>
        </w:rPr>
        <w:t>“</w:t>
      </w:r>
      <w:r w:rsidRPr="00CD04FE">
        <w:rPr>
          <w:rStyle w:val="s2"/>
          <w:sz w:val="24"/>
          <w:szCs w:val="24"/>
        </w:rPr>
        <w:t xml:space="preserve">even if the duel should involve killing his opponent, the killing that occurs in this fight...cannot strictly be called </w:t>
      </w:r>
      <w:r w:rsidRPr="00CD04FE">
        <w:rPr>
          <w:rStyle w:val="s3"/>
          <w:sz w:val="24"/>
          <w:szCs w:val="24"/>
        </w:rPr>
        <w:t>murder</w:t>
      </w:r>
      <w:r w:rsidRPr="00CD04FE">
        <w:rPr>
          <w:rStyle w:val="s2"/>
          <w:sz w:val="24"/>
          <w:szCs w:val="24"/>
        </w:rPr>
        <w:t xml:space="preserve"> (homicidium dolosum).</w:t>
      </w:r>
      <w:r w:rsidR="00E30E97">
        <w:rPr>
          <w:rStyle w:val="s2"/>
          <w:sz w:val="24"/>
          <w:szCs w:val="24"/>
        </w:rPr>
        <w:t>”</w:t>
      </w:r>
      <w:r w:rsidR="00E30E97">
        <w:rPr>
          <w:rStyle w:val="FootnoteReference"/>
          <w:rFonts w:ascii="BodoniSvtyTwoOSITCTT-Book" w:hAnsi="BodoniSvtyTwoOSITCTT-Book"/>
          <w:sz w:val="24"/>
          <w:szCs w:val="24"/>
        </w:rPr>
        <w:footnoteReference w:id="38"/>
      </w:r>
      <w:r w:rsidRPr="00CD04FE">
        <w:rPr>
          <w:rStyle w:val="s2"/>
          <w:sz w:val="24"/>
          <w:szCs w:val="24"/>
        </w:rPr>
        <w:t xml:space="preserve"> The other is infanticide of a child born out of wedlock:</w:t>
      </w:r>
    </w:p>
    <w:p w14:paraId="079EBC42" w14:textId="77777777" w:rsidR="00CD04FE" w:rsidRPr="00CD04FE" w:rsidRDefault="00CD04FE">
      <w:pPr>
        <w:pStyle w:val="p2"/>
        <w:rPr>
          <w:sz w:val="24"/>
          <w:szCs w:val="24"/>
        </w:rPr>
      </w:pPr>
    </w:p>
    <w:p w14:paraId="6FA8DE0E" w14:textId="52C5873A" w:rsidR="00CD04FE" w:rsidRPr="00CD04FE" w:rsidRDefault="00CD04FE" w:rsidP="00E30E97">
      <w:pPr>
        <w:pStyle w:val="p1"/>
        <w:ind w:left="1440"/>
        <w:rPr>
          <w:sz w:val="24"/>
          <w:szCs w:val="24"/>
        </w:rPr>
      </w:pPr>
      <w:r w:rsidRPr="00CD04FE">
        <w:rPr>
          <w:rStyle w:val="s2"/>
          <w:sz w:val="24"/>
          <w:szCs w:val="24"/>
        </w:rPr>
        <w:t>A child that comes into the world apart from marriage is born outside the law (for the law is marriage) and therefore outside the protection of the law. It has, as it were, stolen into the commonwealth (like contraband merchandise), so that the commonwealth can ignore its existence (since it was not right that it should have come to exist in this way), and can therefore also ignore its annihilation...</w:t>
      </w:r>
      <w:r w:rsidR="00F17F27">
        <w:rPr>
          <w:rStyle w:val="FootnoteReference"/>
          <w:rFonts w:ascii="BodoniSvtyTwoOSITCTT-Book" w:hAnsi="BodoniSvtyTwoOSITCTT-Book"/>
          <w:sz w:val="24"/>
          <w:szCs w:val="24"/>
        </w:rPr>
        <w:footnoteReference w:id="39"/>
      </w:r>
    </w:p>
    <w:p w14:paraId="3C5BB420" w14:textId="77777777" w:rsidR="00CD04FE" w:rsidRPr="00CD04FE" w:rsidRDefault="00CD04FE">
      <w:pPr>
        <w:pStyle w:val="p2"/>
        <w:rPr>
          <w:sz w:val="24"/>
          <w:szCs w:val="24"/>
        </w:rPr>
      </w:pPr>
    </w:p>
    <w:p w14:paraId="2519FED4" w14:textId="709183F1"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In Kant</w:t>
      </w:r>
      <w:r w:rsidR="00F17F27">
        <w:rPr>
          <w:rStyle w:val="s2"/>
          <w:sz w:val="24"/>
          <w:szCs w:val="24"/>
        </w:rPr>
        <w:t>’</w:t>
      </w:r>
      <w:r w:rsidRPr="00CD04FE">
        <w:rPr>
          <w:rStyle w:val="s2"/>
          <w:sz w:val="24"/>
          <w:szCs w:val="24"/>
        </w:rPr>
        <w:t>s time, a marriage contract was as much a permission from the commonwealth to have children as anything else.</w:t>
      </w:r>
      <w:r w:rsidR="009267DE">
        <w:rPr>
          <w:rStyle w:val="FootnoteReference"/>
          <w:rFonts w:ascii="BodoniSvtyTwoOSITCTT-Book" w:hAnsi="BodoniSvtyTwoOSITCTT-Book"/>
          <w:sz w:val="24"/>
          <w:szCs w:val="24"/>
        </w:rPr>
        <w:footnoteReference w:id="40"/>
      </w:r>
      <w:r w:rsidRPr="00CD04FE">
        <w:rPr>
          <w:rStyle w:val="s2"/>
          <w:sz w:val="24"/>
          <w:szCs w:val="24"/>
        </w:rPr>
        <w:t xml:space="preserve"> Hence, a child born outside of wedlock was a child born outside of the commonwealth. This seems to be what underlies Kant</w:t>
      </w:r>
      <w:r w:rsidR="00A4506C">
        <w:rPr>
          <w:rStyle w:val="s2"/>
          <w:sz w:val="24"/>
          <w:szCs w:val="24"/>
        </w:rPr>
        <w:t>’</w:t>
      </w:r>
      <w:r w:rsidRPr="00CD04FE">
        <w:rPr>
          <w:rStyle w:val="s2"/>
          <w:sz w:val="24"/>
          <w:szCs w:val="24"/>
        </w:rPr>
        <w:t>s argument: if a child is not party to the social contract, then it does not have a civilly protected right to life. However, in summarizing his position on both kinds of honor killing, Kant makes a different argument:</w:t>
      </w:r>
      <w:r w:rsidRPr="00CD04FE">
        <w:rPr>
          <w:rStyle w:val="apple-converted-space"/>
          <w:rFonts w:ascii="BodoniSvtyTwoOSITCTT-Book" w:hAnsi="BodoniSvtyTwoOSITCTT-Book"/>
          <w:sz w:val="24"/>
          <w:szCs w:val="24"/>
        </w:rPr>
        <w:t> </w:t>
      </w:r>
    </w:p>
    <w:p w14:paraId="7151BE44" w14:textId="77777777" w:rsidR="00CD04FE" w:rsidRPr="00CD04FE" w:rsidRDefault="00CD04FE">
      <w:pPr>
        <w:pStyle w:val="p2"/>
        <w:rPr>
          <w:sz w:val="24"/>
          <w:szCs w:val="24"/>
        </w:rPr>
      </w:pPr>
    </w:p>
    <w:p w14:paraId="67FD19D5" w14:textId="6CE1349D" w:rsidR="00CD04FE" w:rsidRPr="00CD04FE" w:rsidRDefault="00CD04FE" w:rsidP="00A4506C">
      <w:pPr>
        <w:pStyle w:val="p1"/>
        <w:ind w:left="1440"/>
        <w:rPr>
          <w:sz w:val="24"/>
          <w:szCs w:val="24"/>
        </w:rPr>
      </w:pPr>
      <w:r w:rsidRPr="00CD04FE">
        <w:rPr>
          <w:rStyle w:val="s2"/>
          <w:sz w:val="24"/>
          <w:szCs w:val="24"/>
        </w:rPr>
        <w:lastRenderedPageBreak/>
        <w:t xml:space="preserve">Legislation cannot remove the disgrace of an illegitimate birth any more than it can wipe away the stain of suspicion of cowardice from a subordinate officer who fails to respond to a humiliating affront with a force of his own rising above fear of death. So it seems that in these two cases people find themselves in the state of nature, and that these acts of </w:t>
      </w:r>
      <w:r w:rsidRPr="00CD04FE">
        <w:rPr>
          <w:rStyle w:val="s3"/>
          <w:sz w:val="24"/>
          <w:szCs w:val="24"/>
        </w:rPr>
        <w:t>killing</w:t>
      </w:r>
      <w:r w:rsidRPr="00CD04FE">
        <w:rPr>
          <w:rStyle w:val="s2"/>
          <w:sz w:val="24"/>
          <w:szCs w:val="24"/>
        </w:rPr>
        <w:t xml:space="preserve"> (</w:t>
      </w:r>
      <w:r w:rsidRPr="00CD04FE">
        <w:rPr>
          <w:rStyle w:val="s3"/>
          <w:sz w:val="24"/>
          <w:szCs w:val="24"/>
        </w:rPr>
        <w:t>homocidium</w:t>
      </w:r>
      <w:r w:rsidRPr="00CD04FE">
        <w:rPr>
          <w:rStyle w:val="s2"/>
          <w:sz w:val="24"/>
          <w:szCs w:val="24"/>
        </w:rPr>
        <w:t>), which would then not have to be called murder (</w:t>
      </w:r>
      <w:r w:rsidRPr="00CD04FE">
        <w:rPr>
          <w:rStyle w:val="s3"/>
          <w:sz w:val="24"/>
          <w:szCs w:val="24"/>
        </w:rPr>
        <w:t>homocidium dolosum</w:t>
      </w:r>
      <w:r w:rsidRPr="00CD04FE">
        <w:rPr>
          <w:rStyle w:val="s2"/>
          <w:sz w:val="24"/>
          <w:szCs w:val="24"/>
        </w:rPr>
        <w:t>), are certainly punishable but cannot be punished with death by the supreme power.</w:t>
      </w:r>
      <w:r w:rsidR="005C66EA">
        <w:rPr>
          <w:rStyle w:val="FootnoteReference"/>
          <w:rFonts w:ascii="BodoniSvtyTwoOSITCTT-Book" w:hAnsi="BodoniSvtyTwoOSITCTT-Book"/>
          <w:sz w:val="24"/>
          <w:szCs w:val="24"/>
        </w:rPr>
        <w:footnoteReference w:id="41"/>
      </w:r>
    </w:p>
    <w:p w14:paraId="73D4E634" w14:textId="77777777" w:rsidR="00CD04FE" w:rsidRPr="00CD04FE" w:rsidRDefault="00CD04FE">
      <w:pPr>
        <w:pStyle w:val="p2"/>
        <w:rPr>
          <w:sz w:val="24"/>
          <w:szCs w:val="24"/>
        </w:rPr>
      </w:pPr>
    </w:p>
    <w:p w14:paraId="49905353" w14:textId="77777777" w:rsidR="00CD04FE" w:rsidRPr="00CD04FE" w:rsidRDefault="00CD04FE">
      <w:pPr>
        <w:pStyle w:val="p1"/>
        <w:rPr>
          <w:sz w:val="24"/>
          <w:szCs w:val="24"/>
        </w:rPr>
      </w:pPr>
      <w:r w:rsidRPr="00CD04FE">
        <w:rPr>
          <w:rStyle w:val="s2"/>
          <w:sz w:val="24"/>
          <w:szCs w:val="24"/>
        </w:rPr>
        <w:t>On this line of argument, a woman who gives birth outside of wedlock is in a state of disgrace; this disgrace cannot be expunged by lawful punishment, but it can be avoided by killing the infant (in secret); therefore, such killing should not be considered murder.</w:t>
      </w:r>
    </w:p>
    <w:p w14:paraId="40D96959" w14:textId="119F66B0"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There are two important differences between these arguments.</w:t>
      </w:r>
      <w:r w:rsidR="004562BA">
        <w:rPr>
          <w:rStyle w:val="FootnoteReference"/>
          <w:rFonts w:ascii="BodoniSvtyTwoOSITCTT-Book" w:hAnsi="BodoniSvtyTwoOSITCTT-Book"/>
          <w:sz w:val="24"/>
          <w:szCs w:val="24"/>
        </w:rPr>
        <w:footnoteReference w:id="42"/>
      </w:r>
      <w:r w:rsidRPr="00CD04FE">
        <w:rPr>
          <w:rStyle w:val="s2"/>
          <w:sz w:val="24"/>
          <w:szCs w:val="24"/>
        </w:rPr>
        <w:t xml:space="preserve"> One is in their starting points. The first argument starts from the condition of the child (it is outside the commonwealth) whereas the second starts from the condition of the mother (she is in a state of disgrace). The other is in their ending points. The first argument concludes that the infanticide can be ignored whereas the second concludes that the infanticide is not a capital crime but is nonetheless punishable. Because both conclusions are modals, they are consistent. The first argument concludes that the commonwealth </w:t>
      </w:r>
      <w:r w:rsidRPr="00CD04FE">
        <w:rPr>
          <w:rStyle w:val="s3"/>
          <w:sz w:val="24"/>
          <w:szCs w:val="24"/>
        </w:rPr>
        <w:t>can</w:t>
      </w:r>
      <w:r w:rsidRPr="00CD04FE">
        <w:rPr>
          <w:rStyle w:val="s2"/>
          <w:sz w:val="24"/>
          <w:szCs w:val="24"/>
        </w:rPr>
        <w:t xml:space="preserve"> ignore the infanticide; the second concludes that the crime is punish</w:t>
      </w:r>
      <w:r w:rsidRPr="00CD04FE">
        <w:rPr>
          <w:rStyle w:val="s3"/>
          <w:sz w:val="24"/>
          <w:szCs w:val="24"/>
        </w:rPr>
        <w:t>able</w:t>
      </w:r>
      <w:r w:rsidRPr="00CD04FE">
        <w:rPr>
          <w:rStyle w:val="s2"/>
          <w:sz w:val="24"/>
          <w:szCs w:val="24"/>
        </w:rPr>
        <w:t>. This suggests that, on Kan</w:t>
      </w:r>
      <w:r w:rsidR="00075049">
        <w:rPr>
          <w:rStyle w:val="s2"/>
          <w:sz w:val="24"/>
          <w:szCs w:val="24"/>
        </w:rPr>
        <w:t>t’</w:t>
      </w:r>
      <w:r w:rsidRPr="00CD04FE">
        <w:rPr>
          <w:rStyle w:val="s2"/>
          <w:sz w:val="24"/>
          <w:szCs w:val="24"/>
        </w:rPr>
        <w:t>s account, there are conditions in which it is appropriate for a state to punish this kind of infanticide, and there are conditions in which it is not.</w:t>
      </w:r>
      <w:r w:rsidR="00E53EFF">
        <w:rPr>
          <w:rStyle w:val="FootnoteReference"/>
          <w:rFonts w:ascii="BodoniSvtyTwoOSITCTT-Book" w:hAnsi="BodoniSvtyTwoOSITCTT-Book"/>
          <w:sz w:val="24"/>
          <w:szCs w:val="24"/>
        </w:rPr>
        <w:footnoteReference w:id="43"/>
      </w:r>
      <w:r w:rsidRPr="00CD04FE">
        <w:rPr>
          <w:rStyle w:val="s2"/>
          <w:sz w:val="24"/>
          <w:szCs w:val="24"/>
        </w:rPr>
        <w:t xml:space="preserve"> Unfortunately, Kant does not articulate a principle that can be used to navigate this. But the bare fact that, according to Kant, there are conditions in which a state can ignore this kind of infanticide is sufficient for my purposes. In particular, it indicates that, on Kant</w:t>
      </w:r>
      <w:r w:rsidR="00016A27">
        <w:rPr>
          <w:rStyle w:val="s2"/>
          <w:sz w:val="24"/>
          <w:szCs w:val="24"/>
        </w:rPr>
        <w:t>’</w:t>
      </w:r>
      <w:r w:rsidRPr="00CD04FE">
        <w:rPr>
          <w:rStyle w:val="s2"/>
          <w:sz w:val="24"/>
          <w:szCs w:val="24"/>
        </w:rPr>
        <w:t>s account, the infanticide is, in some conditions, rightful in the wide sense.</w:t>
      </w:r>
    </w:p>
    <w:p w14:paraId="6FAB5F22" w14:textId="15044547" w:rsidR="00CD04FE" w:rsidRPr="003D4A24" w:rsidRDefault="00CD04FE">
      <w:pPr>
        <w:pStyle w:val="p1"/>
        <w:rPr>
          <w:rFonts w:ascii="BodoniSvtyTwoOSITCTT-Book" w:hAnsi="BodoniSvtyTwoOSITCTT-Book"/>
          <w:sz w:val="24"/>
          <w:szCs w:val="24"/>
        </w:rPr>
      </w:pPr>
      <w:r w:rsidRPr="00CD04FE">
        <w:rPr>
          <w:rStyle w:val="apple-tab-span"/>
          <w:rFonts w:ascii="BodoniSvtyTwoOSITCTT-Book" w:hAnsi="BodoniSvtyTwoOSITCTT-Book"/>
          <w:sz w:val="24"/>
          <w:szCs w:val="24"/>
        </w:rPr>
        <w:tab/>
      </w:r>
      <w:r w:rsidRPr="00CD04FE">
        <w:rPr>
          <w:rStyle w:val="s2"/>
          <w:sz w:val="24"/>
          <w:szCs w:val="24"/>
        </w:rPr>
        <w:t>It is tempting at this point to assimilate Kant</w:t>
      </w:r>
      <w:r w:rsidR="0059607E">
        <w:rPr>
          <w:rStyle w:val="s2"/>
          <w:sz w:val="24"/>
          <w:szCs w:val="24"/>
        </w:rPr>
        <w:t>’</w:t>
      </w:r>
      <w:r w:rsidRPr="00CD04FE">
        <w:rPr>
          <w:rStyle w:val="s2"/>
          <w:sz w:val="24"/>
          <w:szCs w:val="24"/>
        </w:rPr>
        <w:t>s argument about honor killings to Thomson</w:t>
      </w:r>
      <w:r w:rsidR="0059607E">
        <w:rPr>
          <w:rStyle w:val="s2"/>
          <w:sz w:val="24"/>
          <w:szCs w:val="24"/>
        </w:rPr>
        <w:t>’</w:t>
      </w:r>
      <w:r w:rsidRPr="00CD04FE">
        <w:rPr>
          <w:rStyle w:val="s2"/>
          <w:sz w:val="24"/>
          <w:szCs w:val="24"/>
        </w:rPr>
        <w:t>s more recent and better known argument for the legality of abortion.</w:t>
      </w:r>
      <w:r w:rsidR="0059607E">
        <w:rPr>
          <w:rStyle w:val="FootnoteReference"/>
          <w:rFonts w:ascii="BodoniSvtyTwoOSITCTT-Book" w:hAnsi="BodoniSvtyTwoOSITCTT-Book"/>
          <w:sz w:val="24"/>
          <w:szCs w:val="24"/>
        </w:rPr>
        <w:footnoteReference w:id="44"/>
      </w:r>
      <w:r w:rsidRPr="00CD04FE">
        <w:rPr>
          <w:rStyle w:val="s2"/>
          <w:sz w:val="24"/>
          <w:szCs w:val="24"/>
        </w:rPr>
        <w:t xml:space="preserve"> Thomson, recall, begins with a thought experiment involving a violinist hooked up to someone</w:t>
      </w:r>
      <w:r w:rsidR="00B33383">
        <w:rPr>
          <w:rStyle w:val="s2"/>
          <w:sz w:val="24"/>
          <w:szCs w:val="24"/>
        </w:rPr>
        <w:t>’</w:t>
      </w:r>
      <w:r w:rsidRPr="00CD04FE">
        <w:rPr>
          <w:rStyle w:val="s2"/>
          <w:sz w:val="24"/>
          <w:szCs w:val="24"/>
        </w:rPr>
        <w:t>s (the reader</w:t>
      </w:r>
      <w:r w:rsidR="00B33383">
        <w:rPr>
          <w:rStyle w:val="s2"/>
          <w:sz w:val="24"/>
          <w:szCs w:val="24"/>
        </w:rPr>
        <w:t>’</w:t>
      </w:r>
      <w:r w:rsidRPr="00CD04FE">
        <w:rPr>
          <w:rStyle w:val="s2"/>
          <w:sz w:val="24"/>
          <w:szCs w:val="24"/>
        </w:rPr>
        <w:t xml:space="preserve">s) circulatory system without her consent, and Thomson then proceeds, through various other moves, to argue that abortion should be legal because </w:t>
      </w:r>
      <w:r w:rsidR="00B33383">
        <w:rPr>
          <w:rStyle w:val="s2"/>
          <w:sz w:val="24"/>
          <w:szCs w:val="24"/>
        </w:rPr>
        <w:t>“</w:t>
      </w:r>
      <w:r w:rsidRPr="00CD04FE">
        <w:rPr>
          <w:rStyle w:val="s2"/>
          <w:sz w:val="24"/>
          <w:szCs w:val="24"/>
        </w:rPr>
        <w:t xml:space="preserve">the right to life consists not in the right not to be killed, but rather in the right not to be killed </w:t>
      </w:r>
      <w:r w:rsidRPr="00CD04FE">
        <w:rPr>
          <w:rStyle w:val="s3"/>
          <w:sz w:val="24"/>
          <w:szCs w:val="24"/>
        </w:rPr>
        <w:t>unjustly</w:t>
      </w:r>
      <w:r w:rsidRPr="00CD04FE">
        <w:rPr>
          <w:rStyle w:val="s2"/>
          <w:sz w:val="24"/>
          <w:szCs w:val="24"/>
        </w:rPr>
        <w:t>.</w:t>
      </w:r>
      <w:r w:rsidR="00B33383">
        <w:rPr>
          <w:rStyle w:val="s2"/>
          <w:sz w:val="24"/>
          <w:szCs w:val="24"/>
        </w:rPr>
        <w:t>”</w:t>
      </w:r>
      <w:r w:rsidR="00B33383">
        <w:rPr>
          <w:rStyle w:val="FootnoteReference"/>
          <w:rFonts w:ascii="BodoniSvtyTwoOSITCTT-Book" w:hAnsi="BodoniSvtyTwoOSITCTT-Book"/>
          <w:sz w:val="24"/>
          <w:szCs w:val="24"/>
        </w:rPr>
        <w:footnoteReference w:id="45"/>
      </w:r>
      <w:r w:rsidRPr="00CD04FE">
        <w:rPr>
          <w:rStyle w:val="s2"/>
          <w:sz w:val="24"/>
          <w:szCs w:val="24"/>
        </w:rPr>
        <w:t xml:space="preserve"> However, that is precisely not what Kant</w:t>
      </w:r>
      <w:r w:rsidR="00A61144">
        <w:rPr>
          <w:rStyle w:val="s2"/>
          <w:sz w:val="24"/>
          <w:szCs w:val="24"/>
        </w:rPr>
        <w:t>’</w:t>
      </w:r>
      <w:r w:rsidRPr="00CD04FE">
        <w:rPr>
          <w:rStyle w:val="s2"/>
          <w:sz w:val="24"/>
          <w:szCs w:val="24"/>
        </w:rPr>
        <w:t>s argument about honor killings is intended to show, and any such assimilation would, for that reason, be mistaken. Thomson</w:t>
      </w:r>
      <w:r w:rsidR="003D4A24">
        <w:rPr>
          <w:rStyle w:val="s2"/>
          <w:sz w:val="24"/>
          <w:szCs w:val="24"/>
        </w:rPr>
        <w:t>’</w:t>
      </w:r>
      <w:r w:rsidRPr="00CD04FE">
        <w:rPr>
          <w:rStyle w:val="s2"/>
          <w:sz w:val="24"/>
          <w:szCs w:val="24"/>
        </w:rPr>
        <w:t xml:space="preserve">s argument is about the right to life in the narrow sense (whether there is a legal </w:t>
      </w:r>
      <w:r w:rsidRPr="003D4A24">
        <w:rPr>
          <w:rStyle w:val="s3"/>
          <w:i w:val="0"/>
          <w:iCs w:val="0"/>
          <w:sz w:val="24"/>
          <w:szCs w:val="24"/>
        </w:rPr>
        <w:t>sanctio</w:t>
      </w:r>
      <w:r w:rsidR="004C16DD">
        <w:rPr>
          <w:rStyle w:val="s3"/>
          <w:i w:val="0"/>
          <w:iCs w:val="0"/>
          <w:sz w:val="24"/>
          <w:szCs w:val="24"/>
        </w:rPr>
        <w:t>n</w:t>
      </w:r>
      <w:r w:rsidRPr="00CD04FE">
        <w:rPr>
          <w:rStyle w:val="s2"/>
          <w:sz w:val="24"/>
          <w:szCs w:val="24"/>
        </w:rPr>
        <w:t xml:space="preserve"> for some kinds of killing) whereas Kant</w:t>
      </w:r>
      <w:r w:rsidR="003D4A24">
        <w:rPr>
          <w:rStyle w:val="s2"/>
          <w:sz w:val="24"/>
          <w:szCs w:val="24"/>
        </w:rPr>
        <w:t>’</w:t>
      </w:r>
      <w:r w:rsidRPr="00CD04FE">
        <w:rPr>
          <w:rStyle w:val="s2"/>
          <w:sz w:val="24"/>
          <w:szCs w:val="24"/>
        </w:rPr>
        <w:t xml:space="preserve">s is about the right to life in the wide sense (whether there is a legal </w:t>
      </w:r>
      <w:r w:rsidRPr="00CD04FE">
        <w:rPr>
          <w:rStyle w:val="s3"/>
          <w:sz w:val="24"/>
          <w:szCs w:val="24"/>
        </w:rPr>
        <w:t>punishment</w:t>
      </w:r>
      <w:r w:rsidRPr="00CD04FE">
        <w:rPr>
          <w:rStyle w:val="s2"/>
          <w:sz w:val="24"/>
          <w:szCs w:val="24"/>
        </w:rPr>
        <w:t xml:space="preserve"> for some kinds of killing). Thus, Kant is </w:t>
      </w:r>
      <w:r w:rsidRPr="00CD04FE">
        <w:rPr>
          <w:rStyle w:val="s3"/>
          <w:sz w:val="24"/>
          <w:szCs w:val="24"/>
        </w:rPr>
        <w:t>not</w:t>
      </w:r>
      <w:r w:rsidRPr="00CD04FE">
        <w:rPr>
          <w:rStyle w:val="s2"/>
          <w:sz w:val="24"/>
          <w:szCs w:val="24"/>
        </w:rPr>
        <w:t xml:space="preserve"> arguing that someone engaged in honor killing is not infringing on another</w:t>
      </w:r>
      <w:r w:rsidR="00F9534C">
        <w:rPr>
          <w:rStyle w:val="s2"/>
          <w:sz w:val="24"/>
          <w:szCs w:val="24"/>
        </w:rPr>
        <w:t>’</w:t>
      </w:r>
      <w:r w:rsidRPr="00CD04FE">
        <w:rPr>
          <w:rStyle w:val="s2"/>
          <w:sz w:val="24"/>
          <w:szCs w:val="24"/>
        </w:rPr>
        <w:t xml:space="preserve">s right to life; rather, </w:t>
      </w:r>
      <w:r w:rsidRPr="00CD04FE">
        <w:rPr>
          <w:rStyle w:val="s2"/>
          <w:sz w:val="24"/>
          <w:szCs w:val="24"/>
        </w:rPr>
        <w:lastRenderedPageBreak/>
        <w:t>Kant is arguing that, even if there is an infringement of another</w:t>
      </w:r>
      <w:r w:rsidR="00F9534C">
        <w:rPr>
          <w:rStyle w:val="s2"/>
          <w:sz w:val="24"/>
          <w:szCs w:val="24"/>
        </w:rPr>
        <w:t>’</w:t>
      </w:r>
      <w:r w:rsidRPr="00CD04FE">
        <w:rPr>
          <w:rStyle w:val="s2"/>
          <w:sz w:val="24"/>
          <w:szCs w:val="24"/>
        </w:rPr>
        <w:t xml:space="preserve">s right to life, that infringement might not be punishable--it might not be an infringement of a </w:t>
      </w:r>
      <w:r w:rsidRPr="00CD04FE">
        <w:rPr>
          <w:rStyle w:val="s3"/>
          <w:sz w:val="24"/>
          <w:szCs w:val="24"/>
        </w:rPr>
        <w:t>legally enforceable</w:t>
      </w:r>
      <w:r w:rsidRPr="00CD04FE">
        <w:rPr>
          <w:rStyle w:val="s2"/>
          <w:sz w:val="24"/>
          <w:szCs w:val="24"/>
        </w:rPr>
        <w:t xml:space="preserve"> right to life. Or, to put the point using Thomson</w:t>
      </w:r>
      <w:r w:rsidR="00F13431">
        <w:rPr>
          <w:rStyle w:val="s2"/>
          <w:sz w:val="24"/>
          <w:szCs w:val="24"/>
        </w:rPr>
        <w:t>’</w:t>
      </w:r>
      <w:r w:rsidRPr="00CD04FE">
        <w:rPr>
          <w:rStyle w:val="s2"/>
          <w:sz w:val="24"/>
          <w:szCs w:val="24"/>
        </w:rPr>
        <w:t>s terminology: on Kant</w:t>
      </w:r>
      <w:r w:rsidR="00F13431">
        <w:rPr>
          <w:rStyle w:val="s2"/>
          <w:sz w:val="24"/>
          <w:szCs w:val="24"/>
        </w:rPr>
        <w:t>’</w:t>
      </w:r>
      <w:r w:rsidRPr="00CD04FE">
        <w:rPr>
          <w:rStyle w:val="s2"/>
          <w:sz w:val="24"/>
          <w:szCs w:val="24"/>
        </w:rPr>
        <w:t>s account, there can be instances in which someone is killed unjustly but nonetheless unpunishably. This is not intended as a criticism of Thomson</w:t>
      </w:r>
      <w:r w:rsidR="00F13431">
        <w:rPr>
          <w:rStyle w:val="s2"/>
          <w:sz w:val="24"/>
          <w:szCs w:val="24"/>
        </w:rPr>
        <w:t>’</w:t>
      </w:r>
      <w:r w:rsidRPr="00CD04FE">
        <w:rPr>
          <w:rStyle w:val="s2"/>
          <w:sz w:val="24"/>
          <w:szCs w:val="24"/>
        </w:rPr>
        <w:t>s argument. Rather, the point is simply that Thomson</w:t>
      </w:r>
      <w:r w:rsidR="00F13431">
        <w:rPr>
          <w:rStyle w:val="s2"/>
          <w:sz w:val="24"/>
          <w:szCs w:val="24"/>
        </w:rPr>
        <w:t>’</w:t>
      </w:r>
      <w:r w:rsidRPr="00CD04FE">
        <w:rPr>
          <w:rStyle w:val="s2"/>
          <w:sz w:val="24"/>
          <w:szCs w:val="24"/>
        </w:rPr>
        <w:t>s argument is orthogonal to Kant</w:t>
      </w:r>
      <w:r w:rsidR="00F13431">
        <w:rPr>
          <w:rStyle w:val="s2"/>
          <w:sz w:val="24"/>
          <w:szCs w:val="24"/>
        </w:rPr>
        <w:t>’</w:t>
      </w:r>
      <w:r w:rsidRPr="00CD04FE">
        <w:rPr>
          <w:rStyle w:val="s2"/>
          <w:sz w:val="24"/>
          <w:szCs w:val="24"/>
        </w:rPr>
        <w:t>s at this juncture.</w:t>
      </w:r>
    </w:p>
    <w:p w14:paraId="1C6D9975" w14:textId="045972B4"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My reading of Kant</w:t>
      </w:r>
      <w:r w:rsidR="00CE3844">
        <w:rPr>
          <w:rStyle w:val="s2"/>
          <w:sz w:val="24"/>
          <w:szCs w:val="24"/>
        </w:rPr>
        <w:t>’</w:t>
      </w:r>
      <w:r w:rsidRPr="00CD04FE">
        <w:rPr>
          <w:rStyle w:val="s2"/>
          <w:sz w:val="24"/>
          <w:szCs w:val="24"/>
        </w:rPr>
        <w:t>s remarks on honor killings and, in particular, infanticide derives support from Kant</w:t>
      </w:r>
      <w:r w:rsidR="00CE3844">
        <w:rPr>
          <w:rStyle w:val="s2"/>
          <w:sz w:val="24"/>
          <w:szCs w:val="24"/>
        </w:rPr>
        <w:t>’</w:t>
      </w:r>
      <w:r w:rsidRPr="00CD04FE">
        <w:rPr>
          <w:rStyle w:val="s2"/>
          <w:sz w:val="24"/>
          <w:szCs w:val="24"/>
        </w:rPr>
        <w:t xml:space="preserve">s discussion of procreation earlier in the </w:t>
      </w:r>
      <w:r w:rsidRPr="00CD04FE">
        <w:rPr>
          <w:rStyle w:val="s3"/>
          <w:sz w:val="24"/>
          <w:szCs w:val="24"/>
        </w:rPr>
        <w:t>Metaphysics of Morals</w:t>
      </w:r>
      <w:r w:rsidRPr="00CD04FE">
        <w:rPr>
          <w:rStyle w:val="s2"/>
          <w:sz w:val="24"/>
          <w:szCs w:val="24"/>
        </w:rPr>
        <w:t>:</w:t>
      </w:r>
      <w:r w:rsidRPr="00CD04FE">
        <w:rPr>
          <w:rStyle w:val="apple-converted-space"/>
          <w:rFonts w:ascii="BodoniSvtyTwoOSITCTT-Book" w:hAnsi="BodoniSvtyTwoOSITCTT-Book"/>
          <w:sz w:val="24"/>
          <w:szCs w:val="24"/>
        </w:rPr>
        <w:t> </w:t>
      </w:r>
    </w:p>
    <w:p w14:paraId="33A4EBF4" w14:textId="77777777" w:rsidR="00CD04FE" w:rsidRPr="00CD04FE" w:rsidRDefault="00CD04FE">
      <w:pPr>
        <w:pStyle w:val="p2"/>
        <w:rPr>
          <w:sz w:val="24"/>
          <w:szCs w:val="24"/>
        </w:rPr>
      </w:pPr>
    </w:p>
    <w:p w14:paraId="58FCD04C" w14:textId="53E0FE75" w:rsidR="00CD04FE" w:rsidRPr="00CD04FE" w:rsidRDefault="00CD04FE" w:rsidP="00CE3844">
      <w:pPr>
        <w:pStyle w:val="p1"/>
        <w:ind w:left="1440"/>
        <w:rPr>
          <w:sz w:val="24"/>
          <w:szCs w:val="24"/>
        </w:rPr>
      </w:pPr>
      <w:r w:rsidRPr="00CD04FE">
        <w:rPr>
          <w:rStyle w:val="s2"/>
          <w:sz w:val="24"/>
          <w:szCs w:val="24"/>
        </w:rPr>
        <w:t xml:space="preserve">...there follows from </w:t>
      </w:r>
      <w:r w:rsidRPr="00CD04FE">
        <w:rPr>
          <w:rStyle w:val="s3"/>
          <w:sz w:val="24"/>
          <w:szCs w:val="24"/>
        </w:rPr>
        <w:t>procreation</w:t>
      </w:r>
      <w:r w:rsidRPr="00CD04FE">
        <w:rPr>
          <w:rStyle w:val="s2"/>
          <w:sz w:val="24"/>
          <w:szCs w:val="24"/>
        </w:rPr>
        <w:t xml:space="preserve"> in this community a duty to preserve and care for its </w:t>
      </w:r>
      <w:r w:rsidRPr="00CD04FE">
        <w:rPr>
          <w:rStyle w:val="s3"/>
          <w:sz w:val="24"/>
          <w:szCs w:val="24"/>
        </w:rPr>
        <w:t>offspring</w:t>
      </w:r>
      <w:r w:rsidRPr="00CD04FE">
        <w:rPr>
          <w:rStyle w:val="s2"/>
          <w:sz w:val="24"/>
          <w:szCs w:val="24"/>
        </w:rPr>
        <w:t>; that is, children, as persons, have by their procreation an original innate (not acquired) right to the care of their parents until they are able to look after themselves...</w:t>
      </w:r>
      <w:r w:rsidR="00F074EC">
        <w:rPr>
          <w:rStyle w:val="FootnoteReference"/>
          <w:rFonts w:ascii="BodoniSvtyTwoOSITCTT-Book" w:hAnsi="BodoniSvtyTwoOSITCTT-Book"/>
          <w:sz w:val="24"/>
          <w:szCs w:val="24"/>
        </w:rPr>
        <w:footnoteReference w:id="46"/>
      </w:r>
    </w:p>
    <w:p w14:paraId="75CFD995" w14:textId="77777777" w:rsidR="00CD04FE" w:rsidRPr="00CD04FE" w:rsidRDefault="00CD04FE">
      <w:pPr>
        <w:pStyle w:val="p6"/>
        <w:rPr>
          <w:sz w:val="24"/>
          <w:szCs w:val="24"/>
        </w:rPr>
      </w:pPr>
    </w:p>
    <w:p w14:paraId="41DB3180" w14:textId="45E428F0" w:rsidR="00CD04FE" w:rsidRPr="00CD04FE" w:rsidRDefault="00CD04FE">
      <w:pPr>
        <w:pStyle w:val="p1"/>
        <w:rPr>
          <w:sz w:val="24"/>
          <w:szCs w:val="24"/>
        </w:rPr>
      </w:pPr>
      <w:r w:rsidRPr="00CD04FE">
        <w:rPr>
          <w:rStyle w:val="s2"/>
          <w:sz w:val="24"/>
          <w:szCs w:val="24"/>
        </w:rPr>
        <w:t xml:space="preserve">In this passage, Kant says that children have an innate right to parental care. This right presumably follows from the innate right to freedom discussed in section 1 of this </w:t>
      </w:r>
      <w:r w:rsidR="006B626C">
        <w:rPr>
          <w:rStyle w:val="s2"/>
          <w:sz w:val="24"/>
          <w:szCs w:val="24"/>
        </w:rPr>
        <w:t>article</w:t>
      </w:r>
      <w:r w:rsidRPr="00CD04FE">
        <w:rPr>
          <w:rStyle w:val="s2"/>
          <w:sz w:val="24"/>
          <w:szCs w:val="24"/>
        </w:rPr>
        <w:t>.</w:t>
      </w:r>
      <w:r w:rsidR="008F469C">
        <w:rPr>
          <w:rStyle w:val="FootnoteReference"/>
          <w:rFonts w:ascii="BodoniSvtyTwoOSITCTT-Book" w:hAnsi="BodoniSvtyTwoOSITCTT-Book"/>
          <w:sz w:val="24"/>
          <w:szCs w:val="24"/>
        </w:rPr>
        <w:footnoteReference w:id="47"/>
      </w:r>
      <w:r w:rsidRPr="00CD04FE">
        <w:rPr>
          <w:rStyle w:val="s2"/>
          <w:sz w:val="24"/>
          <w:szCs w:val="24"/>
        </w:rPr>
        <w:t xml:space="preserve"> But there is a crucial provision that must be satisfied: the parents must be married. That is the </w:t>
      </w:r>
      <w:r w:rsidR="00B36FC9">
        <w:rPr>
          <w:rStyle w:val="s2"/>
          <w:sz w:val="24"/>
          <w:szCs w:val="24"/>
        </w:rPr>
        <w:t>“</w:t>
      </w:r>
      <w:r w:rsidRPr="00CD04FE">
        <w:rPr>
          <w:rStyle w:val="s2"/>
          <w:sz w:val="24"/>
          <w:szCs w:val="24"/>
        </w:rPr>
        <w:t>communit</w:t>
      </w:r>
      <w:r w:rsidR="00B36FC9">
        <w:rPr>
          <w:rStyle w:val="s2"/>
          <w:sz w:val="24"/>
          <w:szCs w:val="24"/>
        </w:rPr>
        <w:t>y”</w:t>
      </w:r>
      <w:r w:rsidRPr="00CD04FE">
        <w:rPr>
          <w:rStyle w:val="s2"/>
          <w:sz w:val="24"/>
          <w:szCs w:val="24"/>
        </w:rPr>
        <w:t xml:space="preserve"> Kant is referring to in the first line of this block quotation. Kant is silent in this passage regarding whether a child born out of wedlock has this right, and Kant</w:t>
      </w:r>
      <w:r w:rsidR="00B36FC9">
        <w:rPr>
          <w:rStyle w:val="s2"/>
          <w:sz w:val="24"/>
          <w:szCs w:val="24"/>
        </w:rPr>
        <w:t>’</w:t>
      </w:r>
      <w:r w:rsidRPr="00CD04FE">
        <w:rPr>
          <w:rStyle w:val="s2"/>
          <w:sz w:val="24"/>
          <w:szCs w:val="24"/>
        </w:rPr>
        <w:t>s invocation of the state of nature to describe the relation that holds between parties in an honor killing is, for precisely this reason, particularly significant: the state of nature is in direct contrast with the civil condition embodied in a marriage contract.</w:t>
      </w:r>
      <w:r w:rsidR="00341034">
        <w:rPr>
          <w:rStyle w:val="FootnoteReference"/>
          <w:rFonts w:ascii="BodoniSvtyTwoOSITCTT-Book" w:hAnsi="BodoniSvtyTwoOSITCTT-Book"/>
          <w:sz w:val="24"/>
          <w:szCs w:val="24"/>
        </w:rPr>
        <w:footnoteReference w:id="48"/>
      </w:r>
      <w:r w:rsidRPr="00CD04FE">
        <w:rPr>
          <w:rStyle w:val="apple-converted-space"/>
          <w:rFonts w:ascii="BodoniSvtyTwoOSITCTT-Book" w:hAnsi="BodoniSvtyTwoOSITCTT-Book"/>
          <w:sz w:val="24"/>
          <w:szCs w:val="24"/>
        </w:rPr>
        <w:t> </w:t>
      </w:r>
    </w:p>
    <w:p w14:paraId="1106C575" w14:textId="5DD088AA"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 xml:space="preserve">If this is correct, it evinces another kind of killing (in addition to killing a culpable threat, killing an innocent threat, killing in capital punishment, and killing oneself) that can fall outside the RPC: honor killing. It also illustrates the </w:t>
      </w:r>
      <w:r w:rsidR="00DA2412">
        <w:rPr>
          <w:rStyle w:val="s2"/>
          <w:sz w:val="24"/>
          <w:szCs w:val="24"/>
        </w:rPr>
        <w:t>equivocation</w:t>
      </w:r>
      <w:r w:rsidRPr="00CD04FE">
        <w:rPr>
          <w:rStyle w:val="s2"/>
          <w:sz w:val="24"/>
          <w:szCs w:val="24"/>
        </w:rPr>
        <w:t xml:space="preserve"> to which the RCRL biconditional is subject. Recall that the word </w:t>
      </w:r>
      <w:r w:rsidR="0049791D">
        <w:rPr>
          <w:rStyle w:val="s2"/>
          <w:sz w:val="24"/>
          <w:szCs w:val="24"/>
        </w:rPr>
        <w:t>“</w:t>
      </w:r>
      <w:r w:rsidRPr="00CD04FE">
        <w:rPr>
          <w:rStyle w:val="s2"/>
          <w:sz w:val="24"/>
          <w:szCs w:val="24"/>
        </w:rPr>
        <w:t>right</w:t>
      </w:r>
      <w:r w:rsidR="0049791D">
        <w:rPr>
          <w:rStyle w:val="s2"/>
          <w:sz w:val="24"/>
          <w:szCs w:val="24"/>
        </w:rPr>
        <w:t>”</w:t>
      </w:r>
      <w:r w:rsidRPr="00CD04FE">
        <w:rPr>
          <w:rStyle w:val="s2"/>
          <w:sz w:val="24"/>
          <w:szCs w:val="24"/>
        </w:rPr>
        <w:t xml:space="preserve"> appears three times in the RCRL biconditional: A woman</w:t>
      </w:r>
      <w:r w:rsidR="0049791D">
        <w:rPr>
          <w:rStyle w:val="s2"/>
          <w:sz w:val="24"/>
          <w:szCs w:val="24"/>
        </w:rPr>
        <w:t>’</w:t>
      </w:r>
      <w:r w:rsidRPr="00CD04FE">
        <w:rPr>
          <w:rStyle w:val="s2"/>
          <w:sz w:val="24"/>
          <w:szCs w:val="24"/>
        </w:rPr>
        <w:t xml:space="preserve">s right to choice includes the right to an abortion if but only if a fetus does not have a right to life. Recall also that there are two sense of </w:t>
      </w:r>
      <w:r w:rsidR="0049791D">
        <w:rPr>
          <w:rStyle w:val="s2"/>
          <w:sz w:val="24"/>
          <w:szCs w:val="24"/>
        </w:rPr>
        <w:t>“</w:t>
      </w:r>
      <w:r w:rsidRPr="00CD04FE">
        <w:rPr>
          <w:rStyle w:val="s2"/>
          <w:sz w:val="24"/>
          <w:szCs w:val="24"/>
        </w:rPr>
        <w:t>right</w:t>
      </w:r>
      <w:r w:rsidR="0049791D">
        <w:rPr>
          <w:rStyle w:val="s2"/>
          <w:sz w:val="24"/>
          <w:szCs w:val="24"/>
        </w:rPr>
        <w:t>”</w:t>
      </w:r>
      <w:r w:rsidRPr="00CD04FE">
        <w:rPr>
          <w:rStyle w:val="s2"/>
          <w:sz w:val="24"/>
          <w:szCs w:val="24"/>
        </w:rPr>
        <w:t xml:space="preserve"> on Kant</w:t>
      </w:r>
      <w:r w:rsidR="0049791D">
        <w:rPr>
          <w:rStyle w:val="s2"/>
          <w:sz w:val="24"/>
          <w:szCs w:val="24"/>
        </w:rPr>
        <w:t>’</w:t>
      </w:r>
      <w:r w:rsidRPr="00CD04FE">
        <w:rPr>
          <w:rStyle w:val="s2"/>
          <w:sz w:val="24"/>
          <w:szCs w:val="24"/>
        </w:rPr>
        <w:t xml:space="preserve">s account, a narrow sense and a wide sense. If the word </w:t>
      </w:r>
      <w:r w:rsidR="002F202B">
        <w:rPr>
          <w:rStyle w:val="s2"/>
          <w:sz w:val="24"/>
          <w:szCs w:val="24"/>
        </w:rPr>
        <w:t>“</w:t>
      </w:r>
      <w:r w:rsidRPr="00CD04FE">
        <w:rPr>
          <w:rStyle w:val="s2"/>
          <w:sz w:val="24"/>
          <w:szCs w:val="24"/>
        </w:rPr>
        <w:t>right</w:t>
      </w:r>
      <w:r w:rsidR="002F202B">
        <w:rPr>
          <w:rStyle w:val="s2"/>
          <w:sz w:val="24"/>
          <w:szCs w:val="24"/>
        </w:rPr>
        <w:t>”</w:t>
      </w:r>
      <w:r w:rsidRPr="00CD04FE">
        <w:rPr>
          <w:rStyle w:val="s2"/>
          <w:sz w:val="24"/>
          <w:szCs w:val="24"/>
        </w:rPr>
        <w:t xml:space="preserve"> is used in the narrow sense, then, according to Kant, the RCRL is true. But if the word </w:t>
      </w:r>
      <w:r w:rsidR="002F202B">
        <w:rPr>
          <w:rStyle w:val="s2"/>
          <w:sz w:val="24"/>
          <w:szCs w:val="24"/>
        </w:rPr>
        <w:t>“</w:t>
      </w:r>
      <w:r w:rsidRPr="00CD04FE">
        <w:rPr>
          <w:rStyle w:val="s2"/>
          <w:sz w:val="24"/>
          <w:szCs w:val="24"/>
        </w:rPr>
        <w:t>right</w:t>
      </w:r>
      <w:r w:rsidR="002F202B">
        <w:rPr>
          <w:rStyle w:val="s2"/>
          <w:sz w:val="24"/>
          <w:szCs w:val="24"/>
        </w:rPr>
        <w:t>”</w:t>
      </w:r>
      <w:r w:rsidRPr="00CD04FE">
        <w:rPr>
          <w:rStyle w:val="s2"/>
          <w:sz w:val="24"/>
          <w:szCs w:val="24"/>
        </w:rPr>
        <w:t xml:space="preserve"> is used in the wide sense on the lefthand side of the biconditional and if we begin to push on Kant</w:t>
      </w:r>
      <w:r w:rsidR="002F202B">
        <w:rPr>
          <w:rStyle w:val="s2"/>
          <w:sz w:val="24"/>
          <w:szCs w:val="24"/>
        </w:rPr>
        <w:t>’</w:t>
      </w:r>
      <w:r w:rsidRPr="00CD04FE">
        <w:rPr>
          <w:rStyle w:val="s2"/>
          <w:sz w:val="24"/>
          <w:szCs w:val="24"/>
        </w:rPr>
        <w:t xml:space="preserve">s arguments about honor killings to move from infanticide to abortion, the RCRL biconditional is false. As indicated in the introduction, this opens up space for a way in which both prolifers and prochoicers can be right. If the fetus has a right to life at some point during pregnancy, </w:t>
      </w:r>
      <w:r w:rsidRPr="00CD04FE">
        <w:rPr>
          <w:rStyle w:val="s2"/>
          <w:sz w:val="24"/>
          <w:szCs w:val="24"/>
        </w:rPr>
        <w:lastRenderedPageBreak/>
        <w:t>then, from that point on, abortion might not fall within a woman</w:t>
      </w:r>
      <w:r w:rsidR="004D6A58">
        <w:rPr>
          <w:rStyle w:val="s2"/>
          <w:sz w:val="24"/>
          <w:szCs w:val="24"/>
        </w:rPr>
        <w:t>’</w:t>
      </w:r>
      <w:r w:rsidRPr="00CD04FE">
        <w:rPr>
          <w:rStyle w:val="s2"/>
          <w:sz w:val="24"/>
          <w:szCs w:val="24"/>
        </w:rPr>
        <w:t>s narrow right to choice. So, prolifers might be right about that. But, even if the fetus has a right to life at some point during pregnancy, abortion after that point might fall within a woman</w:t>
      </w:r>
      <w:r w:rsidR="004D6A58">
        <w:rPr>
          <w:rStyle w:val="s2"/>
          <w:sz w:val="24"/>
          <w:szCs w:val="24"/>
        </w:rPr>
        <w:t>’</w:t>
      </w:r>
      <w:r w:rsidRPr="00CD04FE">
        <w:rPr>
          <w:rStyle w:val="s2"/>
          <w:sz w:val="24"/>
          <w:szCs w:val="24"/>
        </w:rPr>
        <w:t>s wide right to choice and, thus, be unpunishable. So, prochoicers might be right about that.</w:t>
      </w:r>
    </w:p>
    <w:p w14:paraId="4BD1D7B2" w14:textId="63981D6E"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 xml:space="preserve">However, as also noted at the outset of this </w:t>
      </w:r>
      <w:r w:rsidR="006B626C">
        <w:rPr>
          <w:rStyle w:val="s2"/>
          <w:sz w:val="24"/>
          <w:szCs w:val="24"/>
        </w:rPr>
        <w:t>article</w:t>
      </w:r>
      <w:r w:rsidRPr="00CD04FE">
        <w:rPr>
          <w:rStyle w:val="s2"/>
          <w:sz w:val="24"/>
          <w:szCs w:val="24"/>
        </w:rPr>
        <w:t>, it seems unlikely that Kant</w:t>
      </w:r>
      <w:r w:rsidR="004D6A58">
        <w:rPr>
          <w:rStyle w:val="s2"/>
          <w:sz w:val="24"/>
          <w:szCs w:val="24"/>
        </w:rPr>
        <w:t>’</w:t>
      </w:r>
      <w:r w:rsidRPr="00CD04FE">
        <w:rPr>
          <w:rStyle w:val="s2"/>
          <w:sz w:val="24"/>
          <w:szCs w:val="24"/>
        </w:rPr>
        <w:t>s claims about infanticide would garner a wide following today. Indeed, Kant himself might not have endorsed them today. His argument is built on the premise that marriage is seen as a child license and that bastardy is an indelible stain on the mother</w:t>
      </w:r>
      <w:r w:rsidR="00451487">
        <w:rPr>
          <w:rStyle w:val="s2"/>
          <w:sz w:val="24"/>
          <w:szCs w:val="24"/>
        </w:rPr>
        <w:t>’</w:t>
      </w:r>
      <w:r w:rsidRPr="00CD04FE">
        <w:rPr>
          <w:rStyle w:val="s2"/>
          <w:sz w:val="24"/>
          <w:szCs w:val="24"/>
        </w:rPr>
        <w:t>s honor. This might have been plausible at a time when a child born out of wedlock would not have had rights of inheritance and when a single, unwed mother would have been cast out.</w:t>
      </w:r>
      <w:r w:rsidR="0087584A">
        <w:rPr>
          <w:rStyle w:val="FootnoteReference"/>
          <w:rFonts w:ascii="BodoniSvtyTwoOSITCTT-Book" w:hAnsi="BodoniSvtyTwoOSITCTT-Book"/>
          <w:sz w:val="24"/>
          <w:szCs w:val="24"/>
        </w:rPr>
        <w:footnoteReference w:id="49"/>
      </w:r>
      <w:r w:rsidRPr="00CD04FE">
        <w:rPr>
          <w:rStyle w:val="s2"/>
          <w:sz w:val="24"/>
          <w:szCs w:val="24"/>
        </w:rPr>
        <w:t xml:space="preserve"> But in many parts of the world today, these conditions no longer obtain. So even those who might accept Kant</w:t>
      </w:r>
      <w:r w:rsidR="0087584A">
        <w:rPr>
          <w:rStyle w:val="s2"/>
          <w:sz w:val="24"/>
          <w:szCs w:val="24"/>
        </w:rPr>
        <w:t>’</w:t>
      </w:r>
      <w:r w:rsidRPr="00CD04FE">
        <w:rPr>
          <w:rStyle w:val="s2"/>
          <w:sz w:val="24"/>
          <w:szCs w:val="24"/>
        </w:rPr>
        <w:t>s reasoning about honor killings are unlikely to accept his conclusions about infanticide.</w:t>
      </w:r>
    </w:p>
    <w:p w14:paraId="4C4C985D" w14:textId="1739A66F"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Nonetheless, I think that Kant</w:t>
      </w:r>
      <w:r w:rsidR="0087584A">
        <w:rPr>
          <w:rStyle w:val="s2"/>
          <w:sz w:val="24"/>
          <w:szCs w:val="24"/>
        </w:rPr>
        <w:t>’</w:t>
      </w:r>
      <w:r w:rsidRPr="00CD04FE">
        <w:rPr>
          <w:rStyle w:val="s2"/>
          <w:sz w:val="24"/>
          <w:szCs w:val="24"/>
        </w:rPr>
        <w:t>s arguments about infanticide point toward deeper considerations that are viewed as important on both sides of the abortion debate: the social conditions the fetus and mother reasonably can expect if the former is brought to term, and the background conditions of conception. Those on the prolife side frequently argue for adoption rather than abortion, and at least sometimes they countenance therapeutic abortion in the case of rape. The first suggests recognition of the relevance of social conditions; the second suggests recognition of the relevance of how a pregnancy came about. These map directly onto Kant</w:t>
      </w:r>
      <w:r w:rsidR="00BA44A2">
        <w:rPr>
          <w:rStyle w:val="s2"/>
          <w:sz w:val="24"/>
          <w:szCs w:val="24"/>
        </w:rPr>
        <w:t>’</w:t>
      </w:r>
      <w:r w:rsidRPr="00CD04FE">
        <w:rPr>
          <w:rStyle w:val="s2"/>
          <w:sz w:val="24"/>
          <w:szCs w:val="24"/>
        </w:rPr>
        <w:t>s arguments about the condition of the mother and the condition of the infant, respectively, and they suggest corresponding extrapolations of his arguments.</w:t>
      </w:r>
      <w:r w:rsidRPr="00CD04FE">
        <w:rPr>
          <w:rStyle w:val="apple-converted-space"/>
          <w:rFonts w:ascii="BodoniSvtyTwoOSITCTT-Book" w:hAnsi="BodoniSvtyTwoOSITCTT-Book"/>
          <w:sz w:val="24"/>
          <w:szCs w:val="24"/>
        </w:rPr>
        <w:t> </w:t>
      </w:r>
    </w:p>
    <w:p w14:paraId="317DF350" w14:textId="414BCC84"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Kant's argument about the condition of the mother (she is in a state of disgrace) extrapolates to abortion in cases in which bearing a child will impact the mother</w:t>
      </w:r>
      <w:r w:rsidR="008C3396">
        <w:rPr>
          <w:rStyle w:val="s2"/>
          <w:sz w:val="24"/>
          <w:szCs w:val="24"/>
        </w:rPr>
        <w:t>’</w:t>
      </w:r>
      <w:r w:rsidRPr="00CD04FE">
        <w:rPr>
          <w:rStyle w:val="s2"/>
          <w:sz w:val="24"/>
          <w:szCs w:val="24"/>
        </w:rPr>
        <w:t>s social standing. Kant</w:t>
      </w:r>
      <w:r w:rsidR="008C3396">
        <w:rPr>
          <w:rStyle w:val="s2"/>
          <w:sz w:val="24"/>
          <w:szCs w:val="24"/>
        </w:rPr>
        <w:t>’</w:t>
      </w:r>
      <w:r w:rsidRPr="00CD04FE">
        <w:rPr>
          <w:rStyle w:val="s2"/>
          <w:sz w:val="24"/>
          <w:szCs w:val="24"/>
        </w:rPr>
        <w:t>s argument about the condition of the child (it is outside the commonwealth) then extrapolates to abortion in cases in which the conception was unintentional or nonconsensual. In the following, I shall focus on un-intentionality because, as indicated in the previous paragraph, in the modern discussion, nonconsensual cases are generally subsumed under therapeutic abortion. But, if these extrapolations are accepted, it follows that, in a Kantian state, there is a wide right to abortion in cases in which the mother</w:t>
      </w:r>
      <w:r w:rsidR="00827229">
        <w:rPr>
          <w:rStyle w:val="s2"/>
          <w:sz w:val="24"/>
          <w:szCs w:val="24"/>
        </w:rPr>
        <w:t>’</w:t>
      </w:r>
      <w:r w:rsidRPr="00CD04FE">
        <w:rPr>
          <w:rStyle w:val="s2"/>
          <w:sz w:val="24"/>
          <w:szCs w:val="24"/>
        </w:rPr>
        <w:t>s social standing will be impacted by bearing the child or in which the conception was unintentional.</w:t>
      </w:r>
      <w:r w:rsidR="00BD34F4">
        <w:rPr>
          <w:rStyle w:val="FootnoteReference"/>
          <w:rFonts w:ascii="BodoniSvtyTwoOSITCTT-Book" w:hAnsi="BodoniSvtyTwoOSITCTT-Book"/>
          <w:sz w:val="24"/>
          <w:szCs w:val="24"/>
        </w:rPr>
        <w:footnoteReference w:id="50"/>
      </w:r>
      <w:r w:rsidRPr="00CD04FE">
        <w:rPr>
          <w:rStyle w:val="apple-converted-space"/>
          <w:rFonts w:ascii="BodoniSvtyTwoOSITCTT-Book" w:hAnsi="BodoniSvtyTwoOSITCTT-Book"/>
          <w:sz w:val="24"/>
          <w:szCs w:val="24"/>
        </w:rPr>
        <w:t> </w:t>
      </w:r>
    </w:p>
    <w:p w14:paraId="47EC217F" w14:textId="77168BC1"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There are four things that are notable about these extrapolations. First, I am not suggesting, and should not be taken to suggest, that these are the only ways in which Kant</w:t>
      </w:r>
      <w:r w:rsidR="001E02B9">
        <w:rPr>
          <w:rStyle w:val="s2"/>
          <w:sz w:val="24"/>
          <w:szCs w:val="24"/>
        </w:rPr>
        <w:t>’</w:t>
      </w:r>
      <w:r w:rsidRPr="00CD04FE">
        <w:rPr>
          <w:rStyle w:val="s2"/>
          <w:sz w:val="24"/>
          <w:szCs w:val="24"/>
        </w:rPr>
        <w:t xml:space="preserve">s arguments can be extrapolated. Rather, I am trying to suggest one way in which the arguments can be extrapolated in order to explore what follows from his arguments if they are taken in this direction. Second, these extrapolations do not generate a right to abortion for any reason. For example, abortion for cosmetic reasons would not fall under the aegis of these arguments. But abortion for socioeconomic reasons would, provided we distinguish between socioeconomic reasons that relate to social standing and socioeconomic reasons </w:t>
      </w:r>
      <w:r w:rsidRPr="00CD04FE">
        <w:rPr>
          <w:rStyle w:val="s2"/>
          <w:sz w:val="24"/>
          <w:szCs w:val="24"/>
        </w:rPr>
        <w:lastRenderedPageBreak/>
        <w:t>that relate to wellbeing, something I shall say more about below.</w:t>
      </w:r>
      <w:r w:rsidR="00D52FCD">
        <w:rPr>
          <w:rStyle w:val="FootnoteReference"/>
          <w:rFonts w:ascii="BodoniSvtyTwoOSITCTT-Book" w:hAnsi="BodoniSvtyTwoOSITCTT-Book"/>
          <w:sz w:val="24"/>
          <w:szCs w:val="24"/>
        </w:rPr>
        <w:footnoteReference w:id="51"/>
      </w:r>
      <w:r w:rsidRPr="00CD04FE">
        <w:rPr>
          <w:rStyle w:val="s2"/>
          <w:sz w:val="24"/>
          <w:szCs w:val="24"/>
        </w:rPr>
        <w:t xml:space="preserve"> Third, these extrapolations do not generate a bare right to an abortion even for socioeconomic reasons or because a pregnancy was unintentional. Rather, the extrapolations generate a disjunctive conclusion: abortion for socioeconomic reasons and abortion in cases of unintentional pregnancy must be removed from the penal code, or society must be changed (a) to eliminate the socioeconomic reasons that compel some women to seek abortion and (b) to ensure adequate education and means for the prevention of unintentional pregnancy. Importantly, however, the disjunction in the previous sentence is exclusive, not inclusive, meaning that, if society is changed accordingly, then, unless there is a narrow right to abortion, abortion is to be put back into the penal code.</w:t>
      </w:r>
      <w:r w:rsidRPr="00CD04FE">
        <w:rPr>
          <w:rStyle w:val="apple-converted-space"/>
          <w:rFonts w:ascii="BodoniSvtyTwoOSITCTT-Book" w:hAnsi="BodoniSvtyTwoOSITCTT-Book"/>
          <w:sz w:val="24"/>
          <w:szCs w:val="24"/>
        </w:rPr>
        <w:t> </w:t>
      </w:r>
    </w:p>
    <w:p w14:paraId="48CDF262" w14:textId="7503B0B7"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 xml:space="preserve">But what is perhaps most notable about these extrapolations is that, as I have tried to emphasize throughout this </w:t>
      </w:r>
      <w:r w:rsidR="006B626C">
        <w:rPr>
          <w:rStyle w:val="s2"/>
          <w:sz w:val="24"/>
          <w:szCs w:val="24"/>
        </w:rPr>
        <w:t>article</w:t>
      </w:r>
      <w:r w:rsidRPr="00CD04FE">
        <w:rPr>
          <w:rStyle w:val="s2"/>
          <w:sz w:val="24"/>
          <w:szCs w:val="24"/>
        </w:rPr>
        <w:t>, they are independent of questions about personhood. It might be the case, once Kant</w:t>
      </w:r>
      <w:r w:rsidR="00BC5235">
        <w:rPr>
          <w:rStyle w:val="s2"/>
          <w:sz w:val="24"/>
          <w:szCs w:val="24"/>
        </w:rPr>
        <w:t>’</w:t>
      </w:r>
      <w:r w:rsidRPr="00CD04FE">
        <w:rPr>
          <w:rStyle w:val="s2"/>
          <w:sz w:val="24"/>
          <w:szCs w:val="24"/>
        </w:rPr>
        <w:t xml:space="preserve">s views about personhood and the innate right to freedom are hammered out, that elective abortion for any reason is rightful in an ideal Kantian state at any time during a pregnancy--on a narrow understanding of </w:t>
      </w:r>
      <w:r w:rsidR="00BC5235">
        <w:rPr>
          <w:rStyle w:val="s2"/>
          <w:sz w:val="24"/>
          <w:szCs w:val="24"/>
        </w:rPr>
        <w:t>“</w:t>
      </w:r>
      <w:r w:rsidRPr="00CD04FE">
        <w:rPr>
          <w:rStyle w:val="s2"/>
          <w:sz w:val="24"/>
          <w:szCs w:val="24"/>
        </w:rPr>
        <w:t>right</w:t>
      </w:r>
      <w:r w:rsidR="00BC5235">
        <w:rPr>
          <w:rStyle w:val="s2"/>
          <w:sz w:val="24"/>
          <w:szCs w:val="24"/>
        </w:rPr>
        <w:t>"</w:t>
      </w:r>
      <w:r w:rsidRPr="00CD04FE">
        <w:rPr>
          <w:rStyle w:val="s2"/>
          <w:sz w:val="24"/>
          <w:szCs w:val="24"/>
        </w:rPr>
        <w:t xml:space="preserve">--or it might be the case that things come </w:t>
      </w:r>
      <w:r w:rsidR="00A47148">
        <w:rPr>
          <w:rStyle w:val="s2"/>
          <w:sz w:val="24"/>
          <w:szCs w:val="24"/>
        </w:rPr>
        <w:t>down</w:t>
      </w:r>
      <w:r w:rsidRPr="00CD04FE">
        <w:rPr>
          <w:rStyle w:val="s2"/>
          <w:sz w:val="24"/>
          <w:szCs w:val="24"/>
        </w:rPr>
        <w:t xml:space="preserve"> at the opposite end of the spectrum. But, either way, what I am arguing is that, by Kan</w:t>
      </w:r>
      <w:r w:rsidR="00BC5235">
        <w:rPr>
          <w:rStyle w:val="s2"/>
          <w:sz w:val="24"/>
          <w:szCs w:val="24"/>
        </w:rPr>
        <w:t>t’</w:t>
      </w:r>
      <w:r w:rsidRPr="00CD04FE">
        <w:rPr>
          <w:rStyle w:val="s2"/>
          <w:sz w:val="24"/>
          <w:szCs w:val="24"/>
        </w:rPr>
        <w:t>s lights, in a nonideal state, elective abortions for some reasons, like socioeconomic reasons and reasons associated with planning, would be rightful in a wide sense and, thus, unpunishable, and this is so regardless of whether they are rightful in a narrow sense and, thus, legally sanctioned.</w:t>
      </w:r>
      <w:r w:rsidR="00FA3E67">
        <w:rPr>
          <w:rStyle w:val="FootnoteReference"/>
          <w:rFonts w:ascii="BodoniSvtyTwoOSITCTT-Book" w:hAnsi="BodoniSvtyTwoOSITCTT-Book"/>
          <w:sz w:val="24"/>
          <w:szCs w:val="24"/>
        </w:rPr>
        <w:footnoteReference w:id="52"/>
      </w:r>
    </w:p>
    <w:p w14:paraId="1FD86D00" w14:textId="0550DF98"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 xml:space="preserve">With this in mind, there are practical questions that need to be settled. One such question has to do with how far along during a pregnancy abortion is rightful on these arguments. Given that Kant was talking about infanticide, it is tempting to conclude that, on these arguments, abortion would be rightful at any time during a pregnancy. However, I think that such a conclusion would be overhasty precisely because Kant was talking about infanticide. Kant does not say that mothers in such cases have a wide right to kill their children at any time in their lives. Kant seems to have in mind mothers who kill their infants shortly after birth (rather than, say, shortly after reaching majority). This is </w:t>
      </w:r>
      <w:r w:rsidRPr="00CD04FE">
        <w:rPr>
          <w:rStyle w:val="s3"/>
          <w:sz w:val="24"/>
          <w:szCs w:val="24"/>
        </w:rPr>
        <w:t>not</w:t>
      </w:r>
      <w:r w:rsidRPr="00CD04FE">
        <w:rPr>
          <w:rStyle w:val="s2"/>
          <w:sz w:val="24"/>
          <w:szCs w:val="24"/>
        </w:rPr>
        <w:t xml:space="preserve"> because, on Kant</w:t>
      </w:r>
      <w:r w:rsidR="0093006F">
        <w:rPr>
          <w:rStyle w:val="s2"/>
          <w:sz w:val="24"/>
          <w:szCs w:val="24"/>
        </w:rPr>
        <w:t>’</w:t>
      </w:r>
      <w:r w:rsidRPr="00CD04FE">
        <w:rPr>
          <w:rStyle w:val="s2"/>
          <w:sz w:val="24"/>
          <w:szCs w:val="24"/>
        </w:rPr>
        <w:t>s account, if the mother waits too long, the infant will become a person. We can see that this is not so from Kant</w:t>
      </w:r>
      <w:r w:rsidR="005F1D22">
        <w:rPr>
          <w:rStyle w:val="s2"/>
          <w:sz w:val="24"/>
          <w:szCs w:val="24"/>
        </w:rPr>
        <w:t>’</w:t>
      </w:r>
      <w:r w:rsidRPr="00CD04FE">
        <w:rPr>
          <w:rStyle w:val="s2"/>
          <w:sz w:val="24"/>
          <w:szCs w:val="24"/>
        </w:rPr>
        <w:t>s discussion of duelers: duelers are persons all the way through, and their homicides nonetheless can be rightful (in the wide sense). Once again, the position is independent of questions about personhood. A dueler</w:t>
      </w:r>
      <w:r w:rsidR="005F1D22">
        <w:rPr>
          <w:rStyle w:val="s2"/>
          <w:sz w:val="24"/>
          <w:szCs w:val="24"/>
        </w:rPr>
        <w:t>’</w:t>
      </w:r>
      <w:r w:rsidRPr="00CD04FE">
        <w:rPr>
          <w:rStyle w:val="s2"/>
          <w:sz w:val="24"/>
          <w:szCs w:val="24"/>
        </w:rPr>
        <w:t>s homicide presumably would not be rightful even in a wide sense on Kant</w:t>
      </w:r>
      <w:r w:rsidR="005F1D22">
        <w:rPr>
          <w:rStyle w:val="s2"/>
          <w:sz w:val="24"/>
          <w:szCs w:val="24"/>
        </w:rPr>
        <w:t>’</w:t>
      </w:r>
      <w:r w:rsidRPr="00CD04FE">
        <w:rPr>
          <w:rStyle w:val="s2"/>
          <w:sz w:val="24"/>
          <w:szCs w:val="24"/>
        </w:rPr>
        <w:t>s account if that homicide were committed outside of the context of the duel, and the same is presumably true of the mother who kills her child long after birth. How does this, in turn, inform the extrapolation to abortion?</w:t>
      </w:r>
    </w:p>
    <w:p w14:paraId="4CDA52D8" w14:textId="21D63A48"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 xml:space="preserve">I suggest that what follows from these arguments is that abortion, for the reasons specified above, would be rightful in a wide sense only until shortly after the beginning of pregnancy awareness. We can make this more concrete. According to a recent study that analyzed more than 17,000 pregnancies over a 23 year period, average gestational age at time of pregnancy awareness among American women is 5.5 weeks, and, in almost 25% of </w:t>
      </w:r>
      <w:r w:rsidRPr="00CD04FE">
        <w:rPr>
          <w:rStyle w:val="s2"/>
          <w:sz w:val="24"/>
          <w:szCs w:val="24"/>
        </w:rPr>
        <w:lastRenderedPageBreak/>
        <w:t>cases, pregnancy awareness is not until after 7 weeks.</w:t>
      </w:r>
      <w:r w:rsidR="00D03526">
        <w:rPr>
          <w:rStyle w:val="FootnoteReference"/>
          <w:rFonts w:ascii="BodoniSvtyTwoOSITCTT-Book" w:hAnsi="BodoniSvtyTwoOSITCTT-Book"/>
          <w:sz w:val="24"/>
          <w:szCs w:val="24"/>
        </w:rPr>
        <w:footnoteReference w:id="53"/>
      </w:r>
      <w:r w:rsidRPr="00CD04FE">
        <w:rPr>
          <w:rStyle w:val="s2"/>
          <w:sz w:val="24"/>
          <w:szCs w:val="24"/>
        </w:rPr>
        <w:t xml:space="preserve"> Thus, Kant's arguments suggest that so-called fetal heartbeat laws, which criminalize abortion after 3-6 weeks, the point at which a fetal heartbeat can be detected, are wrongful, at least in a nonideal state.</w:t>
      </w:r>
      <w:r w:rsidR="0081451F">
        <w:rPr>
          <w:rStyle w:val="FootnoteReference"/>
          <w:rFonts w:ascii="BodoniSvtyTwoOSITCTT-Book" w:hAnsi="BodoniSvtyTwoOSITCTT-Book"/>
          <w:sz w:val="24"/>
          <w:szCs w:val="24"/>
        </w:rPr>
        <w:footnoteReference w:id="54"/>
      </w:r>
      <w:r w:rsidRPr="00CD04FE">
        <w:rPr>
          <w:rStyle w:val="s2"/>
          <w:sz w:val="24"/>
          <w:szCs w:val="24"/>
        </w:rPr>
        <w:t xml:space="preserve"> However, Kant's arguments are unlikely to be extrapolable to viability, the time-point enshrined in </w:t>
      </w:r>
      <w:r w:rsidRPr="00CD04FE">
        <w:rPr>
          <w:rStyle w:val="s3"/>
          <w:sz w:val="24"/>
          <w:szCs w:val="24"/>
        </w:rPr>
        <w:t>Roe v. Wade</w:t>
      </w:r>
      <w:r w:rsidRPr="00CD04FE">
        <w:rPr>
          <w:rStyle w:val="s2"/>
          <w:sz w:val="24"/>
          <w:szCs w:val="24"/>
        </w:rPr>
        <w:t>, approximately 22-26 weeks with current medical technology.</w:t>
      </w:r>
      <w:r w:rsidR="00E026E0">
        <w:rPr>
          <w:rStyle w:val="FootnoteReference"/>
          <w:rFonts w:ascii="BodoniSvtyTwoOSITCTT-Book" w:hAnsi="BodoniSvtyTwoOSITCTT-Book"/>
          <w:sz w:val="24"/>
          <w:szCs w:val="24"/>
        </w:rPr>
        <w:footnoteReference w:id="55"/>
      </w:r>
    </w:p>
    <w:p w14:paraId="6EA90AFF" w14:textId="1DEA4072"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A second practical question has to do with how the limits regarding the reasons for which abortion is unpunishable on these arguments will play out. As noted above, it is important to distinguish between social standing and wellbeing. The motive of honor, which is crucial to Kant</w:t>
      </w:r>
      <w:r w:rsidR="004A39E2">
        <w:rPr>
          <w:rStyle w:val="s2"/>
          <w:sz w:val="24"/>
          <w:szCs w:val="24"/>
        </w:rPr>
        <w:t>’</w:t>
      </w:r>
      <w:r w:rsidRPr="00CD04FE">
        <w:rPr>
          <w:rStyle w:val="s2"/>
          <w:sz w:val="24"/>
          <w:szCs w:val="24"/>
        </w:rPr>
        <w:t>s discussion of the wide right to infanticide, is strictly about the former rather than the latter. Thus, abortion because having a baby would interfere with education or with the ability to hold down a job arguably would be unpunishable on these arguments. Similarly, Kant</w:t>
      </w:r>
      <w:r w:rsidR="00EF2AE8">
        <w:rPr>
          <w:rStyle w:val="s2"/>
          <w:sz w:val="24"/>
          <w:szCs w:val="24"/>
        </w:rPr>
        <w:t>’</w:t>
      </w:r>
      <w:r w:rsidRPr="00CD04FE">
        <w:rPr>
          <w:rStyle w:val="s2"/>
          <w:sz w:val="24"/>
          <w:szCs w:val="24"/>
        </w:rPr>
        <w:t>s arguments suggest that abortions for minors would be mostly unpunishable because such pregnancies are likely to be unintentional and to bear immediately and mediately on social standing. By way of contrast, abortion because having a baby would interfere with travel or sleep would not be unpunishable on these arguments. Similarly, most people who use assisted reproductive technologies could not get abortions that would be rightful, at least on the arguments canvassed here, because such pregnancies are highly planned and because it seems implausible that, for such people, having a child would bear on social standing in the way that Kant requires.</w:t>
      </w:r>
      <w:r w:rsidR="00203F53">
        <w:rPr>
          <w:rStyle w:val="FootnoteReference"/>
          <w:rFonts w:ascii="BodoniSvtyTwoOSITCTT-Book" w:hAnsi="BodoniSvtyTwoOSITCTT-Book"/>
          <w:sz w:val="24"/>
          <w:szCs w:val="24"/>
        </w:rPr>
        <w:footnoteReference w:id="56"/>
      </w:r>
    </w:p>
    <w:p w14:paraId="6617D35E" w14:textId="0B7EDC10"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Some might object that this second practical question exposes a problem for Kant</w:t>
      </w:r>
      <w:r w:rsidR="000B7937">
        <w:rPr>
          <w:rStyle w:val="s2"/>
          <w:sz w:val="24"/>
          <w:szCs w:val="24"/>
        </w:rPr>
        <w:t>’</w:t>
      </w:r>
      <w:r w:rsidRPr="00CD04FE">
        <w:rPr>
          <w:rStyle w:val="s2"/>
          <w:sz w:val="24"/>
          <w:szCs w:val="24"/>
        </w:rPr>
        <w:t>s arguments, for it suggests that, on Kant</w:t>
      </w:r>
      <w:r w:rsidR="000B7937">
        <w:rPr>
          <w:rStyle w:val="s2"/>
          <w:sz w:val="24"/>
          <w:szCs w:val="24"/>
        </w:rPr>
        <w:t>’</w:t>
      </w:r>
      <w:r w:rsidRPr="00CD04FE">
        <w:rPr>
          <w:rStyle w:val="s2"/>
          <w:sz w:val="24"/>
          <w:szCs w:val="24"/>
        </w:rPr>
        <w:t xml:space="preserve">s account, the lives of the socioeconomically disadvantaged are worth less than the lives of the socioeconomically advantaged because, all else being equal, the former can be aborted whereas the latter cannot, which means that the former have a more tenuous right to life than the latter. However, this objection does not withstand critical scrutiny. For one thing, it too easily can be turned on its head to argue that the socioeconomically disadvantaged enjoy greater dignity than the socioeconomically advantaged, for, all else being equal, the former can choose an abortion whereas the latter cannot, which means that the former have greater autonomy than the latter. For another thing, and more importantly, the arguments being explored here are not about the right to abortion </w:t>
      </w:r>
      <w:r w:rsidRPr="00CD04FE">
        <w:rPr>
          <w:rStyle w:val="s3"/>
          <w:sz w:val="24"/>
          <w:szCs w:val="24"/>
        </w:rPr>
        <w:t>per se</w:t>
      </w:r>
      <w:r w:rsidRPr="00CD04FE">
        <w:rPr>
          <w:rStyle w:val="s2"/>
          <w:sz w:val="24"/>
          <w:szCs w:val="24"/>
        </w:rPr>
        <w:t xml:space="preserve"> (considered narrowly) but rather about whether abortion is punishable (the wide right to abortion). The right to life, and autonomy, are connected to the former (the </w:t>
      </w:r>
      <w:r w:rsidRPr="00CD04FE">
        <w:rPr>
          <w:rStyle w:val="s3"/>
          <w:sz w:val="24"/>
          <w:szCs w:val="24"/>
        </w:rPr>
        <w:t>narrow</w:t>
      </w:r>
      <w:r w:rsidRPr="00CD04FE">
        <w:rPr>
          <w:rStyle w:val="s2"/>
          <w:sz w:val="24"/>
          <w:szCs w:val="24"/>
        </w:rPr>
        <w:t xml:space="preserve"> right to abortion), not the latter (the </w:t>
      </w:r>
      <w:r w:rsidRPr="00CD04FE">
        <w:rPr>
          <w:rStyle w:val="s3"/>
          <w:sz w:val="24"/>
          <w:szCs w:val="24"/>
        </w:rPr>
        <w:t>wide</w:t>
      </w:r>
      <w:r w:rsidRPr="00CD04FE">
        <w:rPr>
          <w:rStyle w:val="s2"/>
          <w:sz w:val="24"/>
          <w:szCs w:val="24"/>
        </w:rPr>
        <w:t xml:space="preserve"> right to abortion). So, Kant</w:t>
      </w:r>
      <w:r w:rsidR="004B0CE3">
        <w:rPr>
          <w:rStyle w:val="s2"/>
          <w:sz w:val="24"/>
          <w:szCs w:val="24"/>
        </w:rPr>
        <w:t>’</w:t>
      </w:r>
      <w:r w:rsidRPr="00CD04FE">
        <w:rPr>
          <w:rStyle w:val="s2"/>
          <w:sz w:val="24"/>
          <w:szCs w:val="24"/>
        </w:rPr>
        <w:t>s arguments do not suggest that the lives of the socioeconomically disadvantaged are worth less than the lives of the socioeconomically advantaged, nor do they suggest that the socioeconomically disadvantaged enjoy greater autonomy than the socioeconomically advantaged: all have equal dignity and autonomy on Kant</w:t>
      </w:r>
      <w:r w:rsidR="009128E2">
        <w:rPr>
          <w:rStyle w:val="s2"/>
          <w:sz w:val="24"/>
          <w:szCs w:val="24"/>
        </w:rPr>
        <w:t>’</w:t>
      </w:r>
      <w:r w:rsidRPr="00CD04FE">
        <w:rPr>
          <w:rStyle w:val="s2"/>
          <w:sz w:val="24"/>
          <w:szCs w:val="24"/>
        </w:rPr>
        <w:t>s account.</w:t>
      </w:r>
      <w:r w:rsidRPr="00CD04FE">
        <w:rPr>
          <w:rStyle w:val="apple-converted-space"/>
          <w:rFonts w:ascii="BodoniSvtyTwoOSITCTT-Book" w:hAnsi="BodoniSvtyTwoOSITCTT-Book"/>
          <w:sz w:val="24"/>
          <w:szCs w:val="24"/>
        </w:rPr>
        <w:t> </w:t>
      </w:r>
    </w:p>
    <w:p w14:paraId="3B14AB38" w14:textId="693C6531"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 xml:space="preserve">Indeed, this objection about the comparative worth of lives based on socioeconomic status is based on a false presupposition. From the arguments presented here, it does not follow that the socioeconomically disadvantaged legally can be aborted whereas the </w:t>
      </w:r>
      <w:r w:rsidRPr="00CD04FE">
        <w:rPr>
          <w:rStyle w:val="s2"/>
          <w:sz w:val="24"/>
          <w:szCs w:val="24"/>
        </w:rPr>
        <w:lastRenderedPageBreak/>
        <w:t>socioeconomically advantaged cannot. Rather, what follows is that, all else being equal, a woman who obtains an abortion for reasons related to social standing is unpunishable in a nonideal state regardless of whether there is a narrow right to an abortion, whereas a woman who does not have such grounds available to her would be unpunishable only if there is a narrow right to an abortion. Precisely because the arguments here are about nonideal conditions, it seems to me that, insofar as this objection has traction, it is more properly framed as tracking an objectionable fact about nonideal conditions (as tracking one of the reasons why these conditions are nonideal) rather than as tracking an objectionable fact about Kant</w:t>
      </w:r>
      <w:r w:rsidR="00C3086D">
        <w:rPr>
          <w:rStyle w:val="s2"/>
          <w:sz w:val="24"/>
          <w:szCs w:val="24"/>
        </w:rPr>
        <w:t>’</w:t>
      </w:r>
      <w:r w:rsidRPr="00CD04FE">
        <w:rPr>
          <w:rStyle w:val="s2"/>
          <w:sz w:val="24"/>
          <w:szCs w:val="24"/>
        </w:rPr>
        <w:t>s account.</w:t>
      </w:r>
    </w:p>
    <w:p w14:paraId="22F956AB" w14:textId="6109DEE0" w:rsidR="00CD04FE" w:rsidRPr="00CD04FE" w:rsidRDefault="00CD04FE">
      <w:pPr>
        <w:pStyle w:val="p1"/>
        <w:rPr>
          <w:sz w:val="24"/>
          <w:szCs w:val="24"/>
        </w:rPr>
      </w:pPr>
      <w:r w:rsidRPr="00CD04FE">
        <w:rPr>
          <w:rStyle w:val="apple-tab-span"/>
          <w:rFonts w:ascii="BodoniSvtyTwoOSITCTT-Book" w:hAnsi="BodoniSvtyTwoOSITCTT-Book"/>
          <w:sz w:val="24"/>
          <w:szCs w:val="24"/>
        </w:rPr>
        <w:tab/>
      </w:r>
      <w:r w:rsidRPr="00CD04FE">
        <w:rPr>
          <w:rStyle w:val="s2"/>
          <w:sz w:val="24"/>
          <w:szCs w:val="24"/>
        </w:rPr>
        <w:t xml:space="preserve">A third practical question, one gestured to in the introduction to this </w:t>
      </w:r>
      <w:r w:rsidR="006B626C">
        <w:rPr>
          <w:rStyle w:val="s2"/>
          <w:sz w:val="24"/>
          <w:szCs w:val="24"/>
        </w:rPr>
        <w:t>article</w:t>
      </w:r>
      <w:r w:rsidRPr="00CD04FE">
        <w:rPr>
          <w:rStyle w:val="s2"/>
          <w:sz w:val="24"/>
          <w:szCs w:val="24"/>
        </w:rPr>
        <w:t>, has to do with money and, in particular, the use of taxpayer money for abortion services. On the one side, I do not think that the arguments explored here forbid the use of taxpayer money to support or pay for abortion services. On the other side, I do not think that the arguments explored here mandate the use of taxpayer money to support or pay for abortion services. In fact, I think that the arguments explored here are entirely silent on this issue. Settling whether taxpayer money may or may not be used for abortion services in a Kantian state might require figuring out whether there is a narrow right to abortion. But as is hopefully clear by now, I have been engaged in a very different project.</w:t>
      </w:r>
    </w:p>
    <w:p w14:paraId="527E90FF" w14:textId="77777777" w:rsidR="00CD04FE" w:rsidRPr="00CD04FE" w:rsidRDefault="00CD04FE">
      <w:pPr>
        <w:pStyle w:val="p2"/>
        <w:rPr>
          <w:sz w:val="24"/>
          <w:szCs w:val="24"/>
        </w:rPr>
      </w:pPr>
      <w:r w:rsidRPr="00CD04FE">
        <w:rPr>
          <w:rStyle w:val="apple-tab-span"/>
          <w:rFonts w:ascii="BodoniSvtyTwoOSITCTT-Book" w:hAnsi="BodoniSvtyTwoOSITCTT-Book"/>
          <w:sz w:val="24"/>
          <w:szCs w:val="24"/>
        </w:rPr>
        <w:tab/>
      </w:r>
    </w:p>
    <w:p w14:paraId="5C8D6D49" w14:textId="77777777" w:rsidR="00CD04FE" w:rsidRPr="00CD04FE" w:rsidRDefault="00CD04FE">
      <w:pPr>
        <w:pStyle w:val="p2"/>
        <w:rPr>
          <w:sz w:val="24"/>
          <w:szCs w:val="24"/>
        </w:rPr>
      </w:pPr>
    </w:p>
    <w:p w14:paraId="38A683E1" w14:textId="77777777" w:rsidR="00CD04FE" w:rsidRPr="00CD04FE" w:rsidRDefault="00CD04FE">
      <w:pPr>
        <w:pStyle w:val="p1"/>
        <w:rPr>
          <w:sz w:val="24"/>
          <w:szCs w:val="24"/>
        </w:rPr>
      </w:pPr>
      <w:r w:rsidRPr="00CD04FE">
        <w:rPr>
          <w:rStyle w:val="s1"/>
          <w:sz w:val="24"/>
          <w:szCs w:val="24"/>
        </w:rPr>
        <w:t>Conclusion</w:t>
      </w:r>
    </w:p>
    <w:p w14:paraId="671E19F7" w14:textId="77777777" w:rsidR="00CD04FE" w:rsidRPr="00CD04FE" w:rsidRDefault="00CD04FE">
      <w:pPr>
        <w:pStyle w:val="p2"/>
        <w:rPr>
          <w:sz w:val="24"/>
          <w:szCs w:val="24"/>
        </w:rPr>
      </w:pPr>
    </w:p>
    <w:p w14:paraId="08D700A9" w14:textId="7C59470D" w:rsidR="00CD04FE" w:rsidRPr="00CD04FE" w:rsidRDefault="00CD04FE">
      <w:pPr>
        <w:pStyle w:val="p1"/>
        <w:rPr>
          <w:sz w:val="24"/>
          <w:szCs w:val="24"/>
        </w:rPr>
      </w:pPr>
      <w:r w:rsidRPr="00CD04FE">
        <w:rPr>
          <w:rStyle w:val="s2"/>
          <w:sz w:val="24"/>
          <w:szCs w:val="24"/>
        </w:rPr>
        <w:t xml:space="preserve">In this </w:t>
      </w:r>
      <w:r w:rsidR="006B626C">
        <w:rPr>
          <w:rStyle w:val="s2"/>
          <w:sz w:val="24"/>
          <w:szCs w:val="24"/>
        </w:rPr>
        <w:t>article</w:t>
      </w:r>
      <w:r w:rsidRPr="00CD04FE">
        <w:rPr>
          <w:rStyle w:val="s2"/>
          <w:sz w:val="24"/>
          <w:szCs w:val="24"/>
        </w:rPr>
        <w:t>, I have charted out part of Kant</w:t>
      </w:r>
      <w:r w:rsidR="005D45EE">
        <w:rPr>
          <w:rStyle w:val="s2"/>
          <w:sz w:val="24"/>
          <w:szCs w:val="24"/>
        </w:rPr>
        <w:t>’</w:t>
      </w:r>
      <w:r w:rsidRPr="00CD04FE">
        <w:rPr>
          <w:rStyle w:val="s2"/>
          <w:sz w:val="24"/>
          <w:szCs w:val="24"/>
        </w:rPr>
        <w:t xml:space="preserve">s position on abortion, extrapolated from his remarks about honor killings in the </w:t>
      </w:r>
      <w:r w:rsidRPr="00CD04FE">
        <w:rPr>
          <w:rStyle w:val="s3"/>
          <w:sz w:val="24"/>
          <w:szCs w:val="24"/>
        </w:rPr>
        <w:t>Metaphysics of Morals</w:t>
      </w:r>
      <w:r w:rsidRPr="00CD04FE">
        <w:rPr>
          <w:rStyle w:val="s2"/>
          <w:sz w:val="24"/>
          <w:szCs w:val="24"/>
        </w:rPr>
        <w:t xml:space="preserve">. I showed that Kant rejects the RPC and that the RCRL biconditional is subject to </w:t>
      </w:r>
      <w:r w:rsidR="00DA2412">
        <w:rPr>
          <w:rStyle w:val="s2"/>
          <w:sz w:val="24"/>
          <w:szCs w:val="24"/>
        </w:rPr>
        <w:t>equivocation</w:t>
      </w:r>
      <w:r w:rsidRPr="00CD04FE">
        <w:rPr>
          <w:rStyle w:val="s2"/>
          <w:sz w:val="24"/>
          <w:szCs w:val="24"/>
        </w:rPr>
        <w:t xml:space="preserve"> on his account, and I used this to argue that Kant would recognize a wide right to abortion independently of issues associated with personhood and whether there is a narrow right to abortion. As I reconstruct Kant</w:t>
      </w:r>
      <w:r w:rsidR="00FF6960">
        <w:rPr>
          <w:rStyle w:val="s2"/>
          <w:sz w:val="24"/>
          <w:szCs w:val="24"/>
        </w:rPr>
        <w:t>’</w:t>
      </w:r>
      <w:r w:rsidRPr="00CD04FE">
        <w:rPr>
          <w:rStyle w:val="s2"/>
          <w:sz w:val="24"/>
          <w:szCs w:val="24"/>
        </w:rPr>
        <w:t>s position, in a nonideal society, abortion is unpunishable when the pregnancy is unintentional and in conditions in which bearing a child would impugn the mother</w:t>
      </w:r>
      <w:r w:rsidR="00347424">
        <w:rPr>
          <w:rStyle w:val="s2"/>
          <w:sz w:val="24"/>
          <w:szCs w:val="24"/>
        </w:rPr>
        <w:t>’</w:t>
      </w:r>
      <w:r w:rsidRPr="00CD04FE">
        <w:rPr>
          <w:rStyle w:val="s2"/>
          <w:sz w:val="24"/>
          <w:szCs w:val="24"/>
        </w:rPr>
        <w:t>s social standing. Although I have tried to clarify where these arguments lead in various ways, I have not tried to defend their probity, and whether they lead to a place where we should stay is a question on which I remain silent. However, as in so many other cases, I think that we can use Kant</w:t>
      </w:r>
      <w:r w:rsidR="00276B7F">
        <w:rPr>
          <w:rStyle w:val="s2"/>
          <w:sz w:val="24"/>
          <w:szCs w:val="24"/>
        </w:rPr>
        <w:t>’</w:t>
      </w:r>
      <w:r w:rsidRPr="00CD04FE">
        <w:rPr>
          <w:rStyle w:val="s2"/>
          <w:sz w:val="24"/>
          <w:szCs w:val="24"/>
        </w:rPr>
        <w:t>s arguments here to expose a deep issue, one that is often overlooked in modern debates about abortion and one that needs to be addressed, perhaps using Kant</w:t>
      </w:r>
      <w:r w:rsidR="00641BC1">
        <w:rPr>
          <w:rStyle w:val="s2"/>
          <w:sz w:val="24"/>
          <w:szCs w:val="24"/>
        </w:rPr>
        <w:t>’</w:t>
      </w:r>
      <w:r w:rsidRPr="00CD04FE">
        <w:rPr>
          <w:rStyle w:val="s2"/>
          <w:sz w:val="24"/>
          <w:szCs w:val="24"/>
        </w:rPr>
        <w:t xml:space="preserve">s position as a starting point if not an ending point: the extent to which abortion can be </w:t>
      </w:r>
      <w:r w:rsidR="00641BC1">
        <w:rPr>
          <w:rStyle w:val="s2"/>
          <w:sz w:val="24"/>
          <w:szCs w:val="24"/>
        </w:rPr>
        <w:t>punished</w:t>
      </w:r>
      <w:r w:rsidRPr="00CD04FE">
        <w:rPr>
          <w:rStyle w:val="s2"/>
          <w:sz w:val="24"/>
          <w:szCs w:val="24"/>
        </w:rPr>
        <w:t xml:space="preserve"> in a nonideal society, regardless of whether it can be sanctioned.</w:t>
      </w:r>
      <w:r w:rsidR="0040657B">
        <w:rPr>
          <w:rStyle w:val="FootnoteReference"/>
          <w:rFonts w:ascii="BodoniSvtyTwoOSITCTT-Book" w:hAnsi="BodoniSvtyTwoOSITCTT-Book"/>
          <w:sz w:val="24"/>
          <w:szCs w:val="24"/>
        </w:rPr>
        <w:footnoteReference w:id="57"/>
      </w:r>
    </w:p>
    <w:p w14:paraId="3B410466" w14:textId="77777777" w:rsidR="00CD04FE" w:rsidRPr="00CD04FE" w:rsidRDefault="00CD04FE">
      <w:pPr>
        <w:pStyle w:val="p2"/>
        <w:rPr>
          <w:sz w:val="24"/>
          <w:szCs w:val="24"/>
        </w:rPr>
      </w:pPr>
    </w:p>
    <w:p w14:paraId="48528EF3" w14:textId="77777777" w:rsidR="00CD04FE" w:rsidRPr="00CD04FE" w:rsidRDefault="00CD04FE">
      <w:pPr>
        <w:pStyle w:val="p2"/>
        <w:rPr>
          <w:sz w:val="24"/>
          <w:szCs w:val="24"/>
        </w:rPr>
      </w:pPr>
    </w:p>
    <w:p w14:paraId="2242EE93" w14:textId="77777777" w:rsidR="00CD04FE" w:rsidRPr="00CD04FE" w:rsidRDefault="00CD04FE">
      <w:pPr>
        <w:pStyle w:val="p2"/>
        <w:rPr>
          <w:sz w:val="24"/>
          <w:szCs w:val="24"/>
        </w:rPr>
      </w:pPr>
    </w:p>
    <w:p w14:paraId="7CC73F43" w14:textId="77777777" w:rsidR="00CD04FE" w:rsidRPr="00CD04FE" w:rsidRDefault="00CD04FE">
      <w:pPr>
        <w:pStyle w:val="p1"/>
        <w:rPr>
          <w:sz w:val="24"/>
          <w:szCs w:val="24"/>
        </w:rPr>
      </w:pPr>
      <w:r w:rsidRPr="00CD04FE">
        <w:rPr>
          <w:rStyle w:val="s1"/>
          <w:sz w:val="24"/>
          <w:szCs w:val="24"/>
        </w:rPr>
        <w:t>Bibliography</w:t>
      </w:r>
    </w:p>
    <w:p w14:paraId="02D2E095" w14:textId="77777777" w:rsidR="00CD04FE" w:rsidRPr="00CD04FE" w:rsidRDefault="00CD04FE">
      <w:pPr>
        <w:pStyle w:val="p5"/>
        <w:rPr>
          <w:sz w:val="24"/>
          <w:szCs w:val="24"/>
        </w:rPr>
      </w:pPr>
    </w:p>
    <w:p w14:paraId="6EFE758A" w14:textId="79C501FF" w:rsidR="00CD04FE" w:rsidRPr="00CD04FE" w:rsidRDefault="00CD04FE">
      <w:pPr>
        <w:pStyle w:val="p1"/>
        <w:rPr>
          <w:sz w:val="24"/>
          <w:szCs w:val="24"/>
        </w:rPr>
      </w:pPr>
      <w:r w:rsidRPr="00CD04FE">
        <w:rPr>
          <w:rStyle w:val="s2"/>
          <w:sz w:val="24"/>
          <w:szCs w:val="24"/>
        </w:rPr>
        <w:lastRenderedPageBreak/>
        <w:t xml:space="preserve">Baier, Annette. 1993. </w:t>
      </w:r>
      <w:r w:rsidR="001C055F">
        <w:rPr>
          <w:rStyle w:val="s2"/>
          <w:sz w:val="24"/>
          <w:szCs w:val="24"/>
        </w:rPr>
        <w:t>“</w:t>
      </w:r>
      <w:r w:rsidRPr="00CD04FE">
        <w:rPr>
          <w:rStyle w:val="s2"/>
          <w:sz w:val="24"/>
          <w:szCs w:val="24"/>
        </w:rPr>
        <w:t>Moralism and Cruelty,</w:t>
      </w:r>
      <w:r w:rsidR="001C055F">
        <w:rPr>
          <w:rStyle w:val="s2"/>
          <w:sz w:val="24"/>
          <w:szCs w:val="24"/>
        </w:rPr>
        <w:t>”</w:t>
      </w:r>
      <w:r w:rsidRPr="00CD04FE">
        <w:rPr>
          <w:rStyle w:val="s2"/>
          <w:sz w:val="24"/>
          <w:szCs w:val="24"/>
        </w:rPr>
        <w:t xml:space="preserve"> </w:t>
      </w:r>
      <w:r w:rsidRPr="00CD04FE">
        <w:rPr>
          <w:rStyle w:val="s3"/>
          <w:sz w:val="24"/>
          <w:szCs w:val="24"/>
        </w:rPr>
        <w:t xml:space="preserve">Ethics </w:t>
      </w:r>
      <w:r w:rsidRPr="00CD04FE">
        <w:rPr>
          <w:rStyle w:val="s2"/>
          <w:sz w:val="24"/>
          <w:szCs w:val="24"/>
        </w:rPr>
        <w:t>Vol. 103: 436-457.</w:t>
      </w:r>
    </w:p>
    <w:p w14:paraId="32F01EEE" w14:textId="77777777" w:rsidR="00CD04FE" w:rsidRPr="00CD04FE" w:rsidRDefault="00CD04FE">
      <w:pPr>
        <w:pStyle w:val="p2"/>
        <w:rPr>
          <w:sz w:val="24"/>
          <w:szCs w:val="24"/>
        </w:rPr>
      </w:pPr>
    </w:p>
    <w:p w14:paraId="40DF5B2A" w14:textId="523863F6" w:rsidR="00CD04FE" w:rsidRPr="00CD04FE" w:rsidRDefault="00CD04FE">
      <w:pPr>
        <w:pStyle w:val="p1"/>
        <w:rPr>
          <w:sz w:val="24"/>
          <w:szCs w:val="24"/>
        </w:rPr>
      </w:pPr>
      <w:r w:rsidRPr="00CD04FE">
        <w:rPr>
          <w:rStyle w:val="s2"/>
          <w:sz w:val="24"/>
          <w:szCs w:val="24"/>
        </w:rPr>
        <w:t xml:space="preserve">Brassington, Iain. 2006. </w:t>
      </w:r>
      <w:r w:rsidR="001C055F">
        <w:rPr>
          <w:rStyle w:val="s2"/>
          <w:sz w:val="24"/>
          <w:szCs w:val="24"/>
        </w:rPr>
        <w:t>“</w:t>
      </w:r>
      <w:r w:rsidRPr="00CD04FE">
        <w:rPr>
          <w:rStyle w:val="s2"/>
          <w:sz w:val="24"/>
          <w:szCs w:val="24"/>
        </w:rPr>
        <w:t>Killing people,</w:t>
      </w:r>
      <w:r w:rsidR="001C055F">
        <w:rPr>
          <w:rStyle w:val="s2"/>
          <w:sz w:val="24"/>
          <w:szCs w:val="24"/>
        </w:rPr>
        <w:t>”</w:t>
      </w:r>
      <w:r w:rsidRPr="00CD04FE">
        <w:rPr>
          <w:rStyle w:val="s3"/>
          <w:sz w:val="24"/>
          <w:szCs w:val="24"/>
        </w:rPr>
        <w:t xml:space="preserve"> Journal of Medical Ethics</w:t>
      </w:r>
      <w:r w:rsidRPr="00CD04FE">
        <w:rPr>
          <w:rStyle w:val="s2"/>
          <w:sz w:val="24"/>
          <w:szCs w:val="24"/>
        </w:rPr>
        <w:t xml:space="preserve"> Volume 32, Issue 10: 571–574. </w:t>
      </w:r>
      <w:hyperlink r:id="rId7" w:history="1">
        <w:r w:rsidRPr="00CD04FE">
          <w:rPr>
            <w:rStyle w:val="s4"/>
            <w:color w:val="0000FF"/>
            <w:sz w:val="24"/>
            <w:szCs w:val="24"/>
          </w:rPr>
          <w:t>https://doi.org/10.1136/jme.2005.015420</w:t>
        </w:r>
      </w:hyperlink>
      <w:r w:rsidRPr="00CD04FE">
        <w:rPr>
          <w:rStyle w:val="s2"/>
          <w:sz w:val="24"/>
          <w:szCs w:val="24"/>
        </w:rPr>
        <w:t>.</w:t>
      </w:r>
    </w:p>
    <w:p w14:paraId="53B937C4" w14:textId="77777777" w:rsidR="00CD04FE" w:rsidRPr="00CD04FE" w:rsidRDefault="00CD04FE">
      <w:pPr>
        <w:pStyle w:val="p2"/>
        <w:rPr>
          <w:sz w:val="24"/>
          <w:szCs w:val="24"/>
        </w:rPr>
      </w:pPr>
    </w:p>
    <w:p w14:paraId="039D4E6C" w14:textId="68400AC0" w:rsidR="00CD04FE" w:rsidRPr="00CD04FE" w:rsidRDefault="00CD04FE">
      <w:pPr>
        <w:pStyle w:val="p1"/>
        <w:rPr>
          <w:sz w:val="24"/>
          <w:szCs w:val="24"/>
        </w:rPr>
      </w:pPr>
      <w:r w:rsidRPr="00CD04FE">
        <w:rPr>
          <w:rStyle w:val="s2"/>
          <w:sz w:val="24"/>
          <w:szCs w:val="24"/>
        </w:rPr>
        <w:t xml:space="preserve">Branum, Amy, Ahrens, Katherine. 2017. </w:t>
      </w:r>
      <w:r w:rsidR="001C055F">
        <w:rPr>
          <w:rStyle w:val="s2"/>
          <w:sz w:val="24"/>
          <w:szCs w:val="24"/>
        </w:rPr>
        <w:t>“</w:t>
      </w:r>
      <w:r w:rsidRPr="00CD04FE">
        <w:rPr>
          <w:rStyle w:val="s2"/>
          <w:sz w:val="24"/>
          <w:szCs w:val="24"/>
        </w:rPr>
        <w:t>Trends in Timing of Pregnancy Awareness Among US Women.</w:t>
      </w:r>
      <w:r w:rsidR="001C055F">
        <w:rPr>
          <w:rStyle w:val="s2"/>
          <w:sz w:val="24"/>
          <w:szCs w:val="24"/>
        </w:rPr>
        <w:t>”</w:t>
      </w:r>
      <w:r w:rsidRPr="00CD04FE">
        <w:rPr>
          <w:rStyle w:val="s2"/>
          <w:sz w:val="24"/>
          <w:szCs w:val="24"/>
        </w:rPr>
        <w:t xml:space="preserve"> </w:t>
      </w:r>
      <w:r w:rsidRPr="00CD04FE">
        <w:rPr>
          <w:rStyle w:val="s3"/>
          <w:sz w:val="24"/>
          <w:szCs w:val="24"/>
        </w:rPr>
        <w:t>Maternal Child Health Journal</w:t>
      </w:r>
      <w:r w:rsidRPr="00CD04FE">
        <w:rPr>
          <w:rStyle w:val="s2"/>
          <w:sz w:val="24"/>
          <w:szCs w:val="24"/>
        </w:rPr>
        <w:t>, Vol. 21:</w:t>
      </w:r>
      <w:r w:rsidRPr="00CD04FE">
        <w:rPr>
          <w:rStyle w:val="s1"/>
          <w:sz w:val="24"/>
          <w:szCs w:val="24"/>
        </w:rPr>
        <w:t xml:space="preserve"> </w:t>
      </w:r>
      <w:r w:rsidRPr="00CD04FE">
        <w:rPr>
          <w:rStyle w:val="s2"/>
          <w:sz w:val="24"/>
          <w:szCs w:val="24"/>
        </w:rPr>
        <w:t xml:space="preserve">715–726. </w:t>
      </w:r>
      <w:hyperlink r:id="rId8" w:history="1">
        <w:r w:rsidRPr="00CD04FE">
          <w:rPr>
            <w:rStyle w:val="s4"/>
            <w:color w:val="0000FF"/>
            <w:sz w:val="24"/>
            <w:szCs w:val="24"/>
          </w:rPr>
          <w:t>https://doi.org/10.1007/s10995-016-2155-1</w:t>
        </w:r>
      </w:hyperlink>
    </w:p>
    <w:p w14:paraId="44D62E25" w14:textId="77777777" w:rsidR="00CD04FE" w:rsidRPr="00CD04FE" w:rsidRDefault="00CD04FE">
      <w:pPr>
        <w:pStyle w:val="p2"/>
        <w:rPr>
          <w:sz w:val="24"/>
          <w:szCs w:val="24"/>
        </w:rPr>
      </w:pPr>
    </w:p>
    <w:p w14:paraId="67B52206" w14:textId="60191F18" w:rsidR="00CD04FE" w:rsidRPr="00CD04FE" w:rsidRDefault="00CD04FE">
      <w:pPr>
        <w:pStyle w:val="p1"/>
        <w:rPr>
          <w:sz w:val="24"/>
          <w:szCs w:val="24"/>
        </w:rPr>
      </w:pPr>
      <w:r w:rsidRPr="00CD04FE">
        <w:rPr>
          <w:rStyle w:val="s2"/>
          <w:sz w:val="24"/>
          <w:szCs w:val="24"/>
        </w:rPr>
        <w:t xml:space="preserve">Brandt, Reinhard. 1999. </w:t>
      </w:r>
      <w:r w:rsidR="001C055F">
        <w:rPr>
          <w:rStyle w:val="s2"/>
          <w:sz w:val="24"/>
          <w:szCs w:val="24"/>
        </w:rPr>
        <w:t>“</w:t>
      </w:r>
      <w:r w:rsidRPr="00CD04FE">
        <w:rPr>
          <w:rStyle w:val="s2"/>
          <w:sz w:val="24"/>
          <w:szCs w:val="24"/>
        </w:rPr>
        <w:t>Kants Forderung der Todesstrafe bei Duell- und Kindesmord.</w:t>
      </w:r>
      <w:r w:rsidR="00D54272">
        <w:rPr>
          <w:rStyle w:val="s2"/>
          <w:sz w:val="24"/>
          <w:szCs w:val="24"/>
        </w:rPr>
        <w:t>”</w:t>
      </w:r>
      <w:r w:rsidRPr="00CD04FE">
        <w:rPr>
          <w:rStyle w:val="s2"/>
          <w:sz w:val="24"/>
          <w:szCs w:val="24"/>
        </w:rPr>
        <w:t xml:space="preserve"> In </w:t>
      </w:r>
      <w:r w:rsidRPr="00CD04FE">
        <w:rPr>
          <w:rStyle w:val="s3"/>
          <w:sz w:val="24"/>
          <w:szCs w:val="24"/>
        </w:rPr>
        <w:t xml:space="preserve">Das Recht der Republik </w:t>
      </w:r>
      <w:r w:rsidRPr="00CD04FE">
        <w:rPr>
          <w:rStyle w:val="s2"/>
          <w:sz w:val="24"/>
          <w:szCs w:val="24"/>
        </w:rPr>
        <w:t>(Hauke Brunkhorst, Peter Niesen (eds)), Suhrkamp: 268-287.</w:t>
      </w:r>
    </w:p>
    <w:p w14:paraId="2AE71F31" w14:textId="77777777" w:rsidR="00CD04FE" w:rsidRPr="00CD04FE" w:rsidRDefault="00CD04FE">
      <w:pPr>
        <w:pStyle w:val="p2"/>
        <w:rPr>
          <w:sz w:val="24"/>
          <w:szCs w:val="24"/>
        </w:rPr>
      </w:pPr>
    </w:p>
    <w:p w14:paraId="7FA45A90" w14:textId="73DCCE44" w:rsidR="00CD04FE" w:rsidRPr="00CD04FE" w:rsidRDefault="00CD04FE">
      <w:pPr>
        <w:pStyle w:val="p1"/>
        <w:rPr>
          <w:sz w:val="24"/>
          <w:szCs w:val="24"/>
        </w:rPr>
      </w:pPr>
      <w:r w:rsidRPr="00CD04FE">
        <w:rPr>
          <w:rStyle w:val="s2"/>
          <w:sz w:val="24"/>
          <w:szCs w:val="24"/>
        </w:rPr>
        <w:t xml:space="preserve">Brandt, Reinhard. 2004. </w:t>
      </w:r>
      <w:r w:rsidR="00D54272">
        <w:rPr>
          <w:rStyle w:val="s2"/>
          <w:sz w:val="24"/>
          <w:szCs w:val="24"/>
        </w:rPr>
        <w:t>“</w:t>
      </w:r>
      <w:r w:rsidRPr="00CD04FE">
        <w:rPr>
          <w:rStyle w:val="s2"/>
          <w:sz w:val="24"/>
          <w:szCs w:val="24"/>
        </w:rPr>
        <w:t>Kants Ehe- und Kindesrecht,</w:t>
      </w:r>
      <w:r w:rsidR="00D54272">
        <w:rPr>
          <w:rStyle w:val="s2"/>
          <w:sz w:val="24"/>
          <w:szCs w:val="24"/>
        </w:rPr>
        <w:t>”</w:t>
      </w:r>
      <w:r w:rsidRPr="00CD04FE">
        <w:rPr>
          <w:rStyle w:val="s2"/>
          <w:sz w:val="24"/>
          <w:szCs w:val="24"/>
        </w:rPr>
        <w:t xml:space="preserve"> </w:t>
      </w:r>
      <w:r w:rsidRPr="00CD04FE">
        <w:rPr>
          <w:rStyle w:val="s3"/>
          <w:sz w:val="24"/>
          <w:szCs w:val="24"/>
        </w:rPr>
        <w:t>Deutsche Zeitschrift für Philosophie</w:t>
      </w:r>
      <w:r w:rsidRPr="00CD04FE">
        <w:rPr>
          <w:rStyle w:val="s2"/>
          <w:sz w:val="24"/>
          <w:szCs w:val="24"/>
        </w:rPr>
        <w:t xml:space="preserve"> Vol. 52, Issue 2: 199-220.</w:t>
      </w:r>
    </w:p>
    <w:p w14:paraId="5F333641" w14:textId="77777777" w:rsidR="00CD04FE" w:rsidRPr="00CD04FE" w:rsidRDefault="00CD04FE">
      <w:pPr>
        <w:pStyle w:val="p2"/>
        <w:rPr>
          <w:sz w:val="24"/>
          <w:szCs w:val="24"/>
        </w:rPr>
      </w:pPr>
    </w:p>
    <w:p w14:paraId="4AB543B0" w14:textId="5E52D0A4" w:rsidR="00CD04FE" w:rsidRPr="00CD04FE" w:rsidRDefault="00CD04FE">
      <w:pPr>
        <w:pStyle w:val="p1"/>
        <w:rPr>
          <w:sz w:val="24"/>
          <w:szCs w:val="24"/>
        </w:rPr>
      </w:pPr>
      <w:r w:rsidRPr="00CD04FE">
        <w:rPr>
          <w:rStyle w:val="s2"/>
          <w:sz w:val="24"/>
          <w:szCs w:val="24"/>
        </w:rPr>
        <w:t xml:space="preserve">Byrd, B. Sharon. 1989. </w:t>
      </w:r>
      <w:r w:rsidR="00D54272">
        <w:rPr>
          <w:rStyle w:val="s2"/>
          <w:sz w:val="24"/>
          <w:szCs w:val="24"/>
        </w:rPr>
        <w:t>“</w:t>
      </w:r>
      <w:r w:rsidRPr="00CD04FE">
        <w:rPr>
          <w:rStyle w:val="s2"/>
          <w:sz w:val="24"/>
          <w:szCs w:val="24"/>
        </w:rPr>
        <w:t>Kant</w:t>
      </w:r>
      <w:r w:rsidR="00D54272">
        <w:rPr>
          <w:rStyle w:val="s2"/>
          <w:sz w:val="24"/>
          <w:szCs w:val="24"/>
        </w:rPr>
        <w:t>’</w:t>
      </w:r>
      <w:r w:rsidRPr="00CD04FE">
        <w:rPr>
          <w:rStyle w:val="s2"/>
          <w:sz w:val="24"/>
          <w:szCs w:val="24"/>
        </w:rPr>
        <w:t>s Theory of Punishment,</w:t>
      </w:r>
      <w:r w:rsidR="00D54272">
        <w:rPr>
          <w:rStyle w:val="s2"/>
          <w:sz w:val="24"/>
          <w:szCs w:val="24"/>
        </w:rPr>
        <w:t>”</w:t>
      </w:r>
      <w:r w:rsidRPr="00CD04FE">
        <w:rPr>
          <w:rStyle w:val="s2"/>
          <w:sz w:val="24"/>
          <w:szCs w:val="24"/>
        </w:rPr>
        <w:t xml:space="preserve"> </w:t>
      </w:r>
      <w:r w:rsidRPr="00CD04FE">
        <w:rPr>
          <w:rStyle w:val="s3"/>
          <w:sz w:val="24"/>
          <w:szCs w:val="24"/>
        </w:rPr>
        <w:t>Law and Philosophy</w:t>
      </w:r>
      <w:r w:rsidRPr="00CD04FE">
        <w:rPr>
          <w:rStyle w:val="s2"/>
          <w:sz w:val="24"/>
          <w:szCs w:val="24"/>
        </w:rPr>
        <w:t xml:space="preserve"> Vol. 8: 151-200.</w:t>
      </w:r>
    </w:p>
    <w:p w14:paraId="26F29C3E" w14:textId="77777777" w:rsidR="00CD04FE" w:rsidRPr="00CD04FE" w:rsidRDefault="00CD04FE">
      <w:pPr>
        <w:pStyle w:val="p2"/>
        <w:rPr>
          <w:sz w:val="24"/>
          <w:szCs w:val="24"/>
        </w:rPr>
      </w:pPr>
    </w:p>
    <w:p w14:paraId="4460C02E" w14:textId="662EE726" w:rsidR="00CD04FE" w:rsidRPr="00CD04FE" w:rsidRDefault="00CD04FE">
      <w:pPr>
        <w:pStyle w:val="p1"/>
        <w:rPr>
          <w:sz w:val="24"/>
          <w:szCs w:val="24"/>
        </w:rPr>
      </w:pPr>
      <w:r w:rsidRPr="00CD04FE">
        <w:rPr>
          <w:rStyle w:val="s2"/>
          <w:sz w:val="24"/>
          <w:szCs w:val="24"/>
        </w:rPr>
        <w:t xml:space="preserve">Byrd, B. Sharon and Hruschka, Joachim. 2012. </w:t>
      </w:r>
      <w:r w:rsidRPr="00CD04FE">
        <w:rPr>
          <w:rStyle w:val="s3"/>
          <w:sz w:val="24"/>
          <w:szCs w:val="24"/>
        </w:rPr>
        <w:t>Kant</w:t>
      </w:r>
      <w:r w:rsidR="00D54272">
        <w:rPr>
          <w:rStyle w:val="s3"/>
          <w:sz w:val="24"/>
          <w:szCs w:val="24"/>
        </w:rPr>
        <w:t>’</w:t>
      </w:r>
      <w:r w:rsidRPr="00CD04FE">
        <w:rPr>
          <w:rStyle w:val="s3"/>
          <w:sz w:val="24"/>
          <w:szCs w:val="24"/>
        </w:rPr>
        <w:t>s Doctrine of Right</w:t>
      </w:r>
      <w:r w:rsidRPr="00CD04FE">
        <w:rPr>
          <w:rStyle w:val="s2"/>
          <w:sz w:val="24"/>
          <w:szCs w:val="24"/>
        </w:rPr>
        <w:t>. Cambridge University Press.</w:t>
      </w:r>
    </w:p>
    <w:p w14:paraId="4EB96D64" w14:textId="77777777" w:rsidR="00CD04FE" w:rsidRPr="00CD04FE" w:rsidRDefault="00CD04FE">
      <w:pPr>
        <w:pStyle w:val="p2"/>
        <w:rPr>
          <w:sz w:val="24"/>
          <w:szCs w:val="24"/>
        </w:rPr>
      </w:pPr>
    </w:p>
    <w:p w14:paraId="3AA67683" w14:textId="66E34B0D" w:rsidR="00CD04FE" w:rsidRPr="00CD04FE" w:rsidRDefault="00CD04FE">
      <w:pPr>
        <w:pStyle w:val="p1"/>
        <w:rPr>
          <w:sz w:val="24"/>
          <w:szCs w:val="24"/>
        </w:rPr>
      </w:pPr>
      <w:r w:rsidRPr="00CD04FE">
        <w:rPr>
          <w:rStyle w:val="s2"/>
          <w:sz w:val="24"/>
          <w:szCs w:val="24"/>
        </w:rPr>
        <w:t xml:space="preserve">Chang, Helen. 2018. </w:t>
      </w:r>
      <w:r w:rsidR="00D54272">
        <w:rPr>
          <w:rStyle w:val="s2"/>
          <w:sz w:val="24"/>
          <w:szCs w:val="24"/>
        </w:rPr>
        <w:t>“</w:t>
      </w:r>
      <w:r w:rsidRPr="00CD04FE">
        <w:rPr>
          <w:rStyle w:val="s2"/>
          <w:sz w:val="24"/>
          <w:szCs w:val="24"/>
        </w:rPr>
        <w:t>A Brief History of Anglo-Western Suicide.</w:t>
      </w:r>
      <w:r w:rsidR="00A8136C">
        <w:rPr>
          <w:rStyle w:val="s2"/>
          <w:sz w:val="24"/>
          <w:szCs w:val="24"/>
        </w:rPr>
        <w:t>”</w:t>
      </w:r>
      <w:r w:rsidRPr="00CD04FE">
        <w:rPr>
          <w:rStyle w:val="s2"/>
          <w:sz w:val="24"/>
          <w:szCs w:val="24"/>
        </w:rPr>
        <w:t xml:space="preserve"> </w:t>
      </w:r>
      <w:r w:rsidRPr="00CD04FE">
        <w:rPr>
          <w:rStyle w:val="s3"/>
          <w:sz w:val="24"/>
          <w:szCs w:val="24"/>
        </w:rPr>
        <w:t>Southern University Law Review</w:t>
      </w:r>
      <w:r w:rsidRPr="00CD04FE">
        <w:rPr>
          <w:rStyle w:val="s2"/>
          <w:sz w:val="24"/>
          <w:szCs w:val="24"/>
        </w:rPr>
        <w:t xml:space="preserve"> Vol. 46, Issue 1: 150-194.</w:t>
      </w:r>
    </w:p>
    <w:p w14:paraId="1F1D499F" w14:textId="77777777" w:rsidR="00CD04FE" w:rsidRPr="00CD04FE" w:rsidRDefault="00CD04FE">
      <w:pPr>
        <w:pStyle w:val="p2"/>
        <w:rPr>
          <w:sz w:val="24"/>
          <w:szCs w:val="24"/>
        </w:rPr>
      </w:pPr>
    </w:p>
    <w:p w14:paraId="419E1DEC" w14:textId="52FFC175" w:rsidR="00CD04FE" w:rsidRPr="00CD04FE" w:rsidRDefault="00CD04FE">
      <w:pPr>
        <w:pStyle w:val="p1"/>
        <w:rPr>
          <w:sz w:val="24"/>
          <w:szCs w:val="24"/>
        </w:rPr>
      </w:pPr>
      <w:r w:rsidRPr="00CD04FE">
        <w:rPr>
          <w:rStyle w:val="s2"/>
          <w:sz w:val="24"/>
          <w:szCs w:val="24"/>
        </w:rPr>
        <w:t xml:space="preserve">Cholbi, Michael. 2017. </w:t>
      </w:r>
      <w:r w:rsidR="00A8136C">
        <w:rPr>
          <w:rStyle w:val="s2"/>
          <w:sz w:val="24"/>
          <w:szCs w:val="24"/>
        </w:rPr>
        <w:t>“</w:t>
      </w:r>
      <w:r w:rsidRPr="00CD04FE">
        <w:rPr>
          <w:rStyle w:val="s2"/>
          <w:sz w:val="24"/>
          <w:szCs w:val="24"/>
        </w:rPr>
        <w:t>Suicide,</w:t>
      </w:r>
      <w:r w:rsidR="00A8136C">
        <w:rPr>
          <w:rStyle w:val="s2"/>
          <w:sz w:val="24"/>
          <w:szCs w:val="24"/>
        </w:rPr>
        <w:t>”</w:t>
      </w:r>
      <w:r w:rsidRPr="00CD04FE">
        <w:rPr>
          <w:rStyle w:val="s2"/>
          <w:sz w:val="24"/>
          <w:szCs w:val="24"/>
        </w:rPr>
        <w:t xml:space="preserve"> </w:t>
      </w:r>
      <w:r w:rsidRPr="00CD04FE">
        <w:rPr>
          <w:rStyle w:val="s3"/>
          <w:sz w:val="24"/>
          <w:szCs w:val="24"/>
        </w:rPr>
        <w:t>The Stanford Encyclopedia of Philosophy</w:t>
      </w:r>
      <w:r w:rsidRPr="00CD04FE">
        <w:rPr>
          <w:rStyle w:val="s2"/>
          <w:sz w:val="24"/>
          <w:szCs w:val="24"/>
        </w:rPr>
        <w:t xml:space="preserve"> (Fall 2017 Edition), Edward N. Zalta (ed.), URL = </w:t>
      </w:r>
      <w:hyperlink r:id="rId9" w:history="1">
        <w:r w:rsidRPr="00CD04FE">
          <w:rPr>
            <w:rStyle w:val="s4"/>
            <w:color w:val="0000FF"/>
            <w:sz w:val="24"/>
            <w:szCs w:val="24"/>
          </w:rPr>
          <w:t>https://plato.stanford.edu/archives/fall2017/entries/suicide/</w:t>
        </w:r>
      </w:hyperlink>
      <w:r w:rsidRPr="00CD04FE">
        <w:rPr>
          <w:rStyle w:val="s2"/>
          <w:sz w:val="24"/>
          <w:szCs w:val="24"/>
        </w:rPr>
        <w:t>.</w:t>
      </w:r>
    </w:p>
    <w:p w14:paraId="69EEB34F" w14:textId="77777777" w:rsidR="00CD04FE" w:rsidRPr="00CD04FE" w:rsidRDefault="00CD04FE">
      <w:pPr>
        <w:pStyle w:val="p2"/>
        <w:rPr>
          <w:sz w:val="24"/>
          <w:szCs w:val="24"/>
        </w:rPr>
      </w:pPr>
    </w:p>
    <w:p w14:paraId="0561CFF8" w14:textId="7B726AB1" w:rsidR="00CD04FE" w:rsidRPr="00CD04FE" w:rsidRDefault="00CD04FE">
      <w:pPr>
        <w:pStyle w:val="p1"/>
        <w:rPr>
          <w:sz w:val="24"/>
          <w:szCs w:val="24"/>
        </w:rPr>
      </w:pPr>
      <w:r w:rsidRPr="00CD04FE">
        <w:rPr>
          <w:rStyle w:val="s2"/>
          <w:sz w:val="24"/>
          <w:szCs w:val="24"/>
        </w:rPr>
        <w:t xml:space="preserve">Denis, Lara. (2007). </w:t>
      </w:r>
      <w:r w:rsidR="00A8136C">
        <w:rPr>
          <w:rStyle w:val="s2"/>
          <w:sz w:val="24"/>
          <w:szCs w:val="24"/>
        </w:rPr>
        <w:t>“</w:t>
      </w:r>
      <w:r w:rsidRPr="00CD04FE">
        <w:rPr>
          <w:rStyle w:val="s2"/>
          <w:sz w:val="24"/>
          <w:szCs w:val="24"/>
        </w:rPr>
        <w:t>Abortion and Kant</w:t>
      </w:r>
      <w:r w:rsidR="00A8136C">
        <w:rPr>
          <w:rStyle w:val="s2"/>
          <w:sz w:val="24"/>
          <w:szCs w:val="24"/>
        </w:rPr>
        <w:t>’</w:t>
      </w:r>
      <w:r w:rsidRPr="00CD04FE">
        <w:rPr>
          <w:rStyle w:val="s2"/>
          <w:sz w:val="24"/>
          <w:szCs w:val="24"/>
        </w:rPr>
        <w:t>s Formula of Universal Law.</w:t>
      </w:r>
      <w:r w:rsidR="00A8136C">
        <w:rPr>
          <w:rStyle w:val="s2"/>
          <w:sz w:val="24"/>
          <w:szCs w:val="24"/>
        </w:rPr>
        <w:t>”</w:t>
      </w:r>
      <w:r w:rsidRPr="00CD04FE">
        <w:rPr>
          <w:rStyle w:val="s2"/>
          <w:sz w:val="24"/>
          <w:szCs w:val="24"/>
        </w:rPr>
        <w:t xml:space="preserve"> </w:t>
      </w:r>
      <w:r w:rsidRPr="00CD04FE">
        <w:rPr>
          <w:rStyle w:val="s3"/>
          <w:sz w:val="24"/>
          <w:szCs w:val="24"/>
        </w:rPr>
        <w:t xml:space="preserve">Canadian Journal of Philosophy </w:t>
      </w:r>
      <w:r w:rsidRPr="00CD04FE">
        <w:rPr>
          <w:rStyle w:val="s2"/>
          <w:sz w:val="24"/>
          <w:szCs w:val="24"/>
        </w:rPr>
        <w:t xml:space="preserve">Vol. 37, Issue 4: 547-579. </w:t>
      </w:r>
      <w:r w:rsidRPr="00CD04FE">
        <w:rPr>
          <w:rStyle w:val="s4"/>
          <w:sz w:val="24"/>
          <w:szCs w:val="24"/>
        </w:rPr>
        <w:t>doi:10.1353/cjp.2008.0001</w:t>
      </w:r>
    </w:p>
    <w:p w14:paraId="147410A6" w14:textId="77777777" w:rsidR="00CD04FE" w:rsidRPr="00CD04FE" w:rsidRDefault="00CD04FE">
      <w:pPr>
        <w:pStyle w:val="p2"/>
        <w:rPr>
          <w:sz w:val="24"/>
          <w:szCs w:val="24"/>
        </w:rPr>
      </w:pPr>
    </w:p>
    <w:p w14:paraId="43AF6295" w14:textId="6D91B358" w:rsidR="00CD04FE" w:rsidRPr="00CD04FE" w:rsidRDefault="00CD04FE">
      <w:pPr>
        <w:pStyle w:val="p1"/>
        <w:rPr>
          <w:sz w:val="24"/>
          <w:szCs w:val="24"/>
        </w:rPr>
      </w:pPr>
      <w:r w:rsidRPr="00CD04FE">
        <w:rPr>
          <w:rStyle w:val="s2"/>
          <w:sz w:val="24"/>
          <w:szCs w:val="24"/>
        </w:rPr>
        <w:t xml:space="preserve">Denis, Lara. (2008). </w:t>
      </w:r>
      <w:r w:rsidR="00A8136C">
        <w:rPr>
          <w:rStyle w:val="s2"/>
          <w:sz w:val="24"/>
          <w:szCs w:val="24"/>
        </w:rPr>
        <w:t>“</w:t>
      </w:r>
      <w:r w:rsidRPr="00CD04FE">
        <w:rPr>
          <w:rStyle w:val="s2"/>
          <w:sz w:val="24"/>
          <w:szCs w:val="24"/>
        </w:rPr>
        <w:t>Animality and Agency.</w:t>
      </w:r>
      <w:r w:rsidR="00A8136C">
        <w:rPr>
          <w:rStyle w:val="s2"/>
          <w:sz w:val="24"/>
          <w:szCs w:val="24"/>
        </w:rPr>
        <w:t>”</w:t>
      </w:r>
      <w:r w:rsidRPr="00CD04FE">
        <w:rPr>
          <w:rStyle w:val="s2"/>
          <w:sz w:val="24"/>
          <w:szCs w:val="24"/>
        </w:rPr>
        <w:t xml:space="preserve"> </w:t>
      </w:r>
      <w:r w:rsidRPr="00CD04FE">
        <w:rPr>
          <w:rStyle w:val="s3"/>
          <w:sz w:val="24"/>
          <w:szCs w:val="24"/>
        </w:rPr>
        <w:t xml:space="preserve">Philosophy and Phenomenological Research </w:t>
      </w:r>
      <w:r w:rsidRPr="00CD04FE">
        <w:rPr>
          <w:rStyle w:val="s2"/>
          <w:sz w:val="24"/>
          <w:szCs w:val="24"/>
        </w:rPr>
        <w:t xml:space="preserve">Vol. 76: 117-137. </w:t>
      </w:r>
      <w:hyperlink r:id="rId10" w:history="1">
        <w:r w:rsidRPr="00CD04FE">
          <w:rPr>
            <w:rStyle w:val="s4"/>
            <w:color w:val="0000FF"/>
            <w:sz w:val="24"/>
            <w:szCs w:val="24"/>
          </w:rPr>
          <w:t>https://doi.org/10.1111/j.1933-1592.2007.00117.x</w:t>
        </w:r>
      </w:hyperlink>
    </w:p>
    <w:p w14:paraId="3A65C366" w14:textId="77777777" w:rsidR="00CD04FE" w:rsidRPr="00CD04FE" w:rsidRDefault="00CD04FE">
      <w:pPr>
        <w:pStyle w:val="p2"/>
        <w:rPr>
          <w:sz w:val="24"/>
          <w:szCs w:val="24"/>
        </w:rPr>
      </w:pPr>
    </w:p>
    <w:p w14:paraId="6D05EEA7" w14:textId="6D6BE522" w:rsidR="00CD04FE" w:rsidRPr="00CD04FE" w:rsidRDefault="00CD04FE">
      <w:pPr>
        <w:pStyle w:val="p1"/>
        <w:rPr>
          <w:sz w:val="24"/>
          <w:szCs w:val="24"/>
        </w:rPr>
      </w:pPr>
      <w:r w:rsidRPr="00CD04FE">
        <w:rPr>
          <w:rStyle w:val="s2"/>
          <w:sz w:val="24"/>
          <w:szCs w:val="24"/>
        </w:rPr>
        <w:t xml:space="preserve">Ellis, Anthony. (2003). </w:t>
      </w:r>
      <w:r w:rsidR="00A8136C">
        <w:rPr>
          <w:rStyle w:val="s2"/>
          <w:sz w:val="24"/>
          <w:szCs w:val="24"/>
        </w:rPr>
        <w:t>“</w:t>
      </w:r>
      <w:r w:rsidRPr="00CD04FE">
        <w:rPr>
          <w:rStyle w:val="s2"/>
          <w:sz w:val="24"/>
          <w:szCs w:val="24"/>
        </w:rPr>
        <w:t>A Deterrence Theory of Punishment.</w:t>
      </w:r>
      <w:r w:rsidR="00A8136C">
        <w:rPr>
          <w:rStyle w:val="s2"/>
          <w:sz w:val="24"/>
          <w:szCs w:val="24"/>
        </w:rPr>
        <w:t>”</w:t>
      </w:r>
      <w:r w:rsidRPr="00CD04FE">
        <w:rPr>
          <w:rStyle w:val="s2"/>
          <w:sz w:val="24"/>
          <w:szCs w:val="24"/>
        </w:rPr>
        <w:t xml:space="preserve"> </w:t>
      </w:r>
      <w:r w:rsidRPr="00CD04FE">
        <w:rPr>
          <w:rStyle w:val="s3"/>
          <w:sz w:val="24"/>
          <w:szCs w:val="24"/>
        </w:rPr>
        <w:t>The Philosophical Quarterly</w:t>
      </w:r>
      <w:r w:rsidRPr="00CD04FE">
        <w:rPr>
          <w:rStyle w:val="s2"/>
          <w:sz w:val="24"/>
          <w:szCs w:val="24"/>
        </w:rPr>
        <w:t xml:space="preserve"> Vol. 53, No. 212: 337-351.</w:t>
      </w:r>
    </w:p>
    <w:p w14:paraId="17A16B44" w14:textId="77777777" w:rsidR="00CD04FE" w:rsidRPr="00CD04FE" w:rsidRDefault="00CD04FE">
      <w:pPr>
        <w:pStyle w:val="p2"/>
        <w:rPr>
          <w:sz w:val="24"/>
          <w:szCs w:val="24"/>
        </w:rPr>
      </w:pPr>
    </w:p>
    <w:p w14:paraId="269CC714" w14:textId="77777777" w:rsidR="00CD04FE" w:rsidRPr="00CD04FE" w:rsidRDefault="00CD04FE">
      <w:pPr>
        <w:pStyle w:val="p1"/>
        <w:rPr>
          <w:sz w:val="24"/>
          <w:szCs w:val="24"/>
        </w:rPr>
      </w:pPr>
      <w:r w:rsidRPr="00CD04FE">
        <w:rPr>
          <w:rStyle w:val="s2"/>
          <w:sz w:val="24"/>
          <w:szCs w:val="24"/>
        </w:rPr>
        <w:t xml:space="preserve">Frowe, Helen. (2014). </w:t>
      </w:r>
      <w:r w:rsidRPr="00CD04FE">
        <w:rPr>
          <w:rStyle w:val="s3"/>
          <w:sz w:val="24"/>
          <w:szCs w:val="24"/>
        </w:rPr>
        <w:t>Defensive Killing</w:t>
      </w:r>
      <w:r w:rsidRPr="00CD04FE">
        <w:rPr>
          <w:rStyle w:val="s2"/>
          <w:sz w:val="24"/>
          <w:szCs w:val="24"/>
        </w:rPr>
        <w:t>. Oxford University Press.</w:t>
      </w:r>
    </w:p>
    <w:p w14:paraId="678E06A8" w14:textId="77777777" w:rsidR="00CD04FE" w:rsidRPr="00CD04FE" w:rsidRDefault="00CD04FE">
      <w:pPr>
        <w:pStyle w:val="p2"/>
        <w:rPr>
          <w:sz w:val="24"/>
          <w:szCs w:val="24"/>
        </w:rPr>
      </w:pPr>
    </w:p>
    <w:p w14:paraId="4EA2444E" w14:textId="476CA2DA" w:rsidR="00CD04FE" w:rsidRPr="00CD04FE" w:rsidRDefault="00CD04FE">
      <w:pPr>
        <w:pStyle w:val="p1"/>
        <w:rPr>
          <w:sz w:val="24"/>
          <w:szCs w:val="24"/>
        </w:rPr>
      </w:pPr>
      <w:r w:rsidRPr="00CD04FE">
        <w:rPr>
          <w:rStyle w:val="s2"/>
          <w:sz w:val="24"/>
          <w:szCs w:val="24"/>
        </w:rPr>
        <w:t xml:space="preserve">Gensler, Harry. (1986). </w:t>
      </w:r>
      <w:r w:rsidR="0031689C">
        <w:rPr>
          <w:rStyle w:val="s2"/>
          <w:sz w:val="24"/>
          <w:szCs w:val="24"/>
        </w:rPr>
        <w:t>“</w:t>
      </w:r>
      <w:r w:rsidRPr="00CD04FE">
        <w:rPr>
          <w:rStyle w:val="s2"/>
          <w:sz w:val="24"/>
          <w:szCs w:val="24"/>
        </w:rPr>
        <w:t>A Kantian Argument against Abortion.</w:t>
      </w:r>
      <w:r w:rsidR="0031689C">
        <w:rPr>
          <w:rStyle w:val="s2"/>
          <w:sz w:val="24"/>
          <w:szCs w:val="24"/>
        </w:rPr>
        <w:t>”</w:t>
      </w:r>
      <w:r w:rsidRPr="00CD04FE">
        <w:rPr>
          <w:rStyle w:val="s2"/>
          <w:sz w:val="24"/>
          <w:szCs w:val="24"/>
        </w:rPr>
        <w:t xml:space="preserve"> </w:t>
      </w:r>
      <w:r w:rsidRPr="00CD04FE">
        <w:rPr>
          <w:rStyle w:val="s3"/>
          <w:sz w:val="24"/>
          <w:szCs w:val="24"/>
        </w:rPr>
        <w:t xml:space="preserve">Philosophical Studies </w:t>
      </w:r>
      <w:r w:rsidRPr="00CD04FE">
        <w:rPr>
          <w:rStyle w:val="s2"/>
          <w:sz w:val="24"/>
          <w:szCs w:val="24"/>
        </w:rPr>
        <w:t xml:space="preserve">Vol. 49, No. 1: 83–98. </w:t>
      </w:r>
      <w:hyperlink r:id="rId11" w:history="1">
        <w:r w:rsidRPr="00CD04FE">
          <w:rPr>
            <w:rStyle w:val="s4"/>
            <w:color w:val="0000FF"/>
            <w:sz w:val="24"/>
            <w:szCs w:val="24"/>
          </w:rPr>
          <w:t>www.jstor.org/stable/4319811</w:t>
        </w:r>
      </w:hyperlink>
    </w:p>
    <w:p w14:paraId="4223460B" w14:textId="77777777" w:rsidR="00CD04FE" w:rsidRPr="00CD04FE" w:rsidRDefault="00CD04FE">
      <w:pPr>
        <w:pStyle w:val="p2"/>
        <w:rPr>
          <w:sz w:val="24"/>
          <w:szCs w:val="24"/>
        </w:rPr>
      </w:pPr>
    </w:p>
    <w:p w14:paraId="5E42E870" w14:textId="01BE71FF" w:rsidR="00CD04FE" w:rsidRPr="00CD04FE" w:rsidRDefault="00CD04FE">
      <w:pPr>
        <w:pStyle w:val="p1"/>
        <w:rPr>
          <w:sz w:val="24"/>
          <w:szCs w:val="24"/>
        </w:rPr>
      </w:pPr>
      <w:r w:rsidRPr="00CD04FE">
        <w:rPr>
          <w:rStyle w:val="s2"/>
          <w:sz w:val="24"/>
          <w:szCs w:val="24"/>
        </w:rPr>
        <w:t xml:space="preserve">Geismann, Georg. (2004). </w:t>
      </w:r>
      <w:r w:rsidR="0031689C">
        <w:rPr>
          <w:rStyle w:val="s2"/>
          <w:sz w:val="24"/>
          <w:szCs w:val="24"/>
        </w:rPr>
        <w:t>“</w:t>
      </w:r>
      <w:r w:rsidRPr="00CD04FE">
        <w:rPr>
          <w:rStyle w:val="s2"/>
          <w:sz w:val="24"/>
          <w:szCs w:val="24"/>
        </w:rPr>
        <w:t>Kant und ein vermeintes Recht des Embryos.</w:t>
      </w:r>
      <w:r w:rsidR="0031689C">
        <w:rPr>
          <w:rStyle w:val="s2"/>
          <w:sz w:val="24"/>
          <w:szCs w:val="24"/>
        </w:rPr>
        <w:t>”</w:t>
      </w:r>
      <w:r w:rsidRPr="00CD04FE">
        <w:rPr>
          <w:rStyle w:val="s2"/>
          <w:sz w:val="24"/>
          <w:szCs w:val="24"/>
        </w:rPr>
        <w:t xml:space="preserve"> </w:t>
      </w:r>
      <w:r w:rsidRPr="00CD04FE">
        <w:rPr>
          <w:rStyle w:val="s3"/>
          <w:sz w:val="24"/>
          <w:szCs w:val="24"/>
        </w:rPr>
        <w:t>Kant Studien</w:t>
      </w:r>
      <w:r w:rsidRPr="00CD04FE">
        <w:rPr>
          <w:rStyle w:val="s2"/>
          <w:sz w:val="24"/>
          <w:szCs w:val="24"/>
        </w:rPr>
        <w:t xml:space="preserve"> Vol 95: 443-469.</w:t>
      </w:r>
    </w:p>
    <w:p w14:paraId="47DC05BA" w14:textId="77777777" w:rsidR="00CD04FE" w:rsidRPr="00CD04FE" w:rsidRDefault="00CD04FE">
      <w:pPr>
        <w:pStyle w:val="p2"/>
        <w:rPr>
          <w:sz w:val="24"/>
          <w:szCs w:val="24"/>
        </w:rPr>
      </w:pPr>
    </w:p>
    <w:p w14:paraId="5ED47FC5" w14:textId="7B8559EA" w:rsidR="00CD04FE" w:rsidRPr="00CD04FE" w:rsidRDefault="00CD04FE">
      <w:pPr>
        <w:pStyle w:val="p1"/>
        <w:rPr>
          <w:sz w:val="24"/>
          <w:szCs w:val="24"/>
        </w:rPr>
      </w:pPr>
      <w:r w:rsidRPr="00CD04FE">
        <w:rPr>
          <w:rStyle w:val="s2"/>
          <w:sz w:val="24"/>
          <w:szCs w:val="24"/>
        </w:rPr>
        <w:lastRenderedPageBreak/>
        <w:t xml:space="preserve">Hare, R.M. 1989. </w:t>
      </w:r>
      <w:r w:rsidR="0031689C">
        <w:rPr>
          <w:rStyle w:val="s2"/>
          <w:sz w:val="24"/>
          <w:szCs w:val="24"/>
        </w:rPr>
        <w:t>“</w:t>
      </w:r>
      <w:r w:rsidRPr="00CD04FE">
        <w:rPr>
          <w:rStyle w:val="s2"/>
          <w:sz w:val="24"/>
          <w:szCs w:val="24"/>
        </w:rPr>
        <w:t>A Kantian Approach to Abortion.</w:t>
      </w:r>
      <w:r w:rsidR="0031689C">
        <w:rPr>
          <w:rStyle w:val="s2"/>
          <w:sz w:val="24"/>
          <w:szCs w:val="24"/>
        </w:rPr>
        <w:t>”</w:t>
      </w:r>
      <w:r w:rsidRPr="00CD04FE">
        <w:rPr>
          <w:rStyle w:val="s2"/>
          <w:sz w:val="24"/>
          <w:szCs w:val="24"/>
        </w:rPr>
        <w:t xml:space="preserve"> </w:t>
      </w:r>
      <w:hyperlink r:id="rId12" w:history="1">
        <w:r w:rsidRPr="00CD04FE">
          <w:rPr>
            <w:rStyle w:val="s3"/>
            <w:color w:val="0000FF"/>
            <w:sz w:val="24"/>
            <w:szCs w:val="24"/>
          </w:rPr>
          <w:t>Social Theory and Practice</w:t>
        </w:r>
      </w:hyperlink>
      <w:r w:rsidRPr="00CD04FE">
        <w:rPr>
          <w:rStyle w:val="s3"/>
          <w:sz w:val="24"/>
          <w:szCs w:val="24"/>
        </w:rPr>
        <w:t xml:space="preserve"> </w:t>
      </w:r>
      <w:r w:rsidRPr="00CD04FE">
        <w:rPr>
          <w:rStyle w:val="s2"/>
          <w:sz w:val="24"/>
          <w:szCs w:val="24"/>
        </w:rPr>
        <w:t xml:space="preserve">Vol. 15, Issue 1: 1-14. </w:t>
      </w:r>
      <w:hyperlink r:id="rId13" w:history="1">
        <w:r w:rsidRPr="00CD04FE">
          <w:rPr>
            <w:rStyle w:val="s4"/>
            <w:color w:val="0000FF"/>
            <w:sz w:val="24"/>
            <w:szCs w:val="24"/>
          </w:rPr>
          <w:t>https://doi.org/10.5840/soctheorpract19891516</w:t>
        </w:r>
      </w:hyperlink>
    </w:p>
    <w:p w14:paraId="1936822F" w14:textId="77777777" w:rsidR="00CD04FE" w:rsidRPr="00CD04FE" w:rsidRDefault="00CD04FE">
      <w:pPr>
        <w:pStyle w:val="p2"/>
        <w:rPr>
          <w:sz w:val="24"/>
          <w:szCs w:val="24"/>
        </w:rPr>
      </w:pPr>
    </w:p>
    <w:p w14:paraId="5B2D01D7" w14:textId="45D76C94" w:rsidR="00CD04FE" w:rsidRPr="00CD04FE" w:rsidRDefault="00CD04FE">
      <w:pPr>
        <w:pStyle w:val="p1"/>
        <w:rPr>
          <w:sz w:val="24"/>
          <w:szCs w:val="24"/>
        </w:rPr>
      </w:pPr>
      <w:r w:rsidRPr="00CD04FE">
        <w:rPr>
          <w:rStyle w:val="s2"/>
          <w:sz w:val="24"/>
          <w:szCs w:val="24"/>
        </w:rPr>
        <w:t>Horn, Christoph.</w:t>
      </w:r>
      <w:r w:rsidR="0031689C">
        <w:rPr>
          <w:rStyle w:val="s2"/>
          <w:sz w:val="24"/>
          <w:szCs w:val="24"/>
        </w:rPr>
        <w:t xml:space="preserve"> </w:t>
      </w:r>
      <w:r w:rsidRPr="00CD04FE">
        <w:rPr>
          <w:rStyle w:val="s2"/>
          <w:sz w:val="24"/>
          <w:szCs w:val="24"/>
        </w:rPr>
        <w:t xml:space="preserve">2014. </w:t>
      </w:r>
      <w:r w:rsidRPr="00CD04FE">
        <w:rPr>
          <w:rStyle w:val="s3"/>
          <w:sz w:val="24"/>
          <w:szCs w:val="24"/>
        </w:rPr>
        <w:t>Nichtideale Normativität</w:t>
      </w:r>
      <w:r w:rsidRPr="00CD04FE">
        <w:rPr>
          <w:rStyle w:val="s2"/>
          <w:sz w:val="24"/>
          <w:szCs w:val="24"/>
        </w:rPr>
        <w:t>. Suhrkamp.</w:t>
      </w:r>
    </w:p>
    <w:p w14:paraId="68AC7ADB" w14:textId="77777777" w:rsidR="00CD04FE" w:rsidRPr="00CD04FE" w:rsidRDefault="00CD04FE">
      <w:pPr>
        <w:pStyle w:val="p2"/>
        <w:rPr>
          <w:sz w:val="24"/>
          <w:szCs w:val="24"/>
        </w:rPr>
      </w:pPr>
    </w:p>
    <w:p w14:paraId="3BF21706" w14:textId="5F1F2CD5" w:rsidR="00CD04FE" w:rsidRPr="00CD04FE" w:rsidRDefault="00CD04FE">
      <w:pPr>
        <w:pStyle w:val="p1"/>
        <w:rPr>
          <w:sz w:val="24"/>
          <w:szCs w:val="24"/>
        </w:rPr>
      </w:pPr>
      <w:r w:rsidRPr="00CD04FE">
        <w:rPr>
          <w:rStyle w:val="s2"/>
          <w:sz w:val="24"/>
          <w:szCs w:val="24"/>
        </w:rPr>
        <w:t xml:space="preserve">Hursthouse, Rosalind. 1991. </w:t>
      </w:r>
      <w:r w:rsidR="00CD6434">
        <w:rPr>
          <w:rStyle w:val="s2"/>
          <w:sz w:val="24"/>
          <w:szCs w:val="24"/>
        </w:rPr>
        <w:t>“</w:t>
      </w:r>
      <w:r w:rsidRPr="00CD04FE">
        <w:rPr>
          <w:rStyle w:val="s2"/>
          <w:sz w:val="24"/>
          <w:szCs w:val="24"/>
        </w:rPr>
        <w:t>Virtue Theory and Abortion.</w:t>
      </w:r>
      <w:r w:rsidR="00CD6434">
        <w:rPr>
          <w:rStyle w:val="s2"/>
          <w:sz w:val="24"/>
          <w:szCs w:val="24"/>
        </w:rPr>
        <w:t>”</w:t>
      </w:r>
      <w:r w:rsidRPr="00CD04FE">
        <w:rPr>
          <w:rStyle w:val="s2"/>
          <w:sz w:val="24"/>
          <w:szCs w:val="24"/>
        </w:rPr>
        <w:t xml:space="preserve"> </w:t>
      </w:r>
      <w:r w:rsidRPr="00CD04FE">
        <w:rPr>
          <w:rStyle w:val="s3"/>
          <w:sz w:val="24"/>
          <w:szCs w:val="24"/>
        </w:rPr>
        <w:t>Philosophy and Public Affairs</w:t>
      </w:r>
      <w:r w:rsidRPr="00CD04FE">
        <w:rPr>
          <w:rStyle w:val="s2"/>
          <w:sz w:val="24"/>
          <w:szCs w:val="24"/>
        </w:rPr>
        <w:t xml:space="preserve">, Vol. 20, No. 3: 223-246. </w:t>
      </w:r>
      <w:hyperlink r:id="rId14" w:history="1">
        <w:r w:rsidRPr="00CD04FE">
          <w:rPr>
            <w:rStyle w:val="s4"/>
            <w:color w:val="0000FF"/>
            <w:sz w:val="24"/>
            <w:szCs w:val="24"/>
          </w:rPr>
          <w:t>https://www.jstor.org/stable/i313772</w:t>
        </w:r>
      </w:hyperlink>
    </w:p>
    <w:p w14:paraId="516A177F" w14:textId="77777777" w:rsidR="00CD04FE" w:rsidRPr="00CD04FE" w:rsidRDefault="00CD04FE">
      <w:pPr>
        <w:pStyle w:val="p2"/>
        <w:rPr>
          <w:sz w:val="24"/>
          <w:szCs w:val="24"/>
        </w:rPr>
      </w:pPr>
    </w:p>
    <w:p w14:paraId="6E144690" w14:textId="3371E976" w:rsidR="00CD04FE" w:rsidRPr="00CD04FE" w:rsidRDefault="00CD04FE">
      <w:pPr>
        <w:pStyle w:val="p1"/>
        <w:rPr>
          <w:sz w:val="24"/>
          <w:szCs w:val="24"/>
        </w:rPr>
      </w:pPr>
      <w:r w:rsidRPr="00CD04FE">
        <w:rPr>
          <w:rStyle w:val="s2"/>
          <w:sz w:val="24"/>
          <w:szCs w:val="24"/>
        </w:rPr>
        <w:t xml:space="preserve">Kühl, Kristian. 2006. </w:t>
      </w:r>
      <w:r w:rsidR="00CD6434">
        <w:rPr>
          <w:rStyle w:val="s2"/>
          <w:sz w:val="24"/>
          <w:szCs w:val="24"/>
        </w:rPr>
        <w:t>“</w:t>
      </w:r>
      <w:r w:rsidRPr="00CD04FE">
        <w:rPr>
          <w:rStyle w:val="s2"/>
          <w:sz w:val="24"/>
          <w:szCs w:val="24"/>
        </w:rPr>
        <w:t>Zur Abgrenzung des Rechts von Sittlichkeit, guten Sitten und Tugend.</w:t>
      </w:r>
      <w:r w:rsidR="00CD6434">
        <w:rPr>
          <w:rStyle w:val="s2"/>
          <w:sz w:val="24"/>
          <w:szCs w:val="24"/>
        </w:rPr>
        <w:t>”</w:t>
      </w:r>
      <w:r w:rsidRPr="00CD04FE">
        <w:rPr>
          <w:rStyle w:val="s2"/>
          <w:sz w:val="24"/>
          <w:szCs w:val="24"/>
        </w:rPr>
        <w:t xml:space="preserve"> </w:t>
      </w:r>
      <w:r w:rsidRPr="00CD04FE">
        <w:rPr>
          <w:rStyle w:val="s3"/>
          <w:sz w:val="24"/>
          <w:szCs w:val="24"/>
        </w:rPr>
        <w:t>Jahrbuch für Recht und Ethik</w:t>
      </w:r>
      <w:r w:rsidRPr="00CD04FE">
        <w:rPr>
          <w:rStyle w:val="s2"/>
          <w:sz w:val="24"/>
          <w:szCs w:val="24"/>
        </w:rPr>
        <w:t xml:space="preserve"> Vol. 14: 243-258.</w:t>
      </w:r>
    </w:p>
    <w:p w14:paraId="1AE403F1" w14:textId="77777777" w:rsidR="00CD04FE" w:rsidRPr="00CD04FE" w:rsidRDefault="00CD04FE">
      <w:pPr>
        <w:pStyle w:val="p2"/>
        <w:rPr>
          <w:sz w:val="24"/>
          <w:szCs w:val="24"/>
        </w:rPr>
      </w:pPr>
    </w:p>
    <w:p w14:paraId="3877F12B" w14:textId="538441AF" w:rsidR="00CD04FE" w:rsidRPr="00CD04FE" w:rsidRDefault="00CD04FE">
      <w:pPr>
        <w:pStyle w:val="p1"/>
        <w:rPr>
          <w:sz w:val="24"/>
          <w:szCs w:val="24"/>
        </w:rPr>
      </w:pPr>
      <w:r w:rsidRPr="00CD04FE">
        <w:rPr>
          <w:rStyle w:val="s2"/>
          <w:sz w:val="24"/>
          <w:szCs w:val="24"/>
        </w:rPr>
        <w:t xml:space="preserve">Lafont, Cristina. 2012. </w:t>
      </w:r>
      <w:r w:rsidR="00CD6434">
        <w:rPr>
          <w:rStyle w:val="s2"/>
          <w:sz w:val="24"/>
          <w:szCs w:val="24"/>
        </w:rPr>
        <w:t>“</w:t>
      </w:r>
      <w:r w:rsidRPr="00CD04FE">
        <w:rPr>
          <w:rStyle w:val="s2"/>
          <w:sz w:val="24"/>
          <w:szCs w:val="24"/>
        </w:rPr>
        <w:t>Agreement and Consent in Kant and Habermas.</w:t>
      </w:r>
      <w:r w:rsidR="00CD6434">
        <w:rPr>
          <w:rStyle w:val="s2"/>
          <w:sz w:val="24"/>
          <w:szCs w:val="24"/>
        </w:rPr>
        <w:t>”</w:t>
      </w:r>
      <w:r w:rsidRPr="00CD04FE">
        <w:rPr>
          <w:rStyle w:val="s2"/>
          <w:sz w:val="24"/>
          <w:szCs w:val="24"/>
        </w:rPr>
        <w:t xml:space="preserve"> </w:t>
      </w:r>
      <w:r w:rsidRPr="00CD04FE">
        <w:rPr>
          <w:rStyle w:val="s3"/>
          <w:sz w:val="24"/>
          <w:szCs w:val="24"/>
        </w:rPr>
        <w:t xml:space="preserve">The Philosophical </w:t>
      </w:r>
      <w:r w:rsidRPr="00CD04FE">
        <w:rPr>
          <w:rStyle w:val="s2"/>
          <w:sz w:val="24"/>
          <w:szCs w:val="24"/>
        </w:rPr>
        <w:t xml:space="preserve">Forum, Volume e3 Issue 3: 277-295. </w:t>
      </w:r>
      <w:hyperlink r:id="rId15" w:history="1">
        <w:r w:rsidRPr="00CD04FE">
          <w:rPr>
            <w:rStyle w:val="s4"/>
            <w:color w:val="0000FF"/>
            <w:sz w:val="24"/>
            <w:szCs w:val="24"/>
          </w:rPr>
          <w:t>https://doi.org/10.1111/j.1467-9191.2012.00425.x</w:t>
        </w:r>
      </w:hyperlink>
    </w:p>
    <w:p w14:paraId="6C6BD66F" w14:textId="77777777" w:rsidR="00CD04FE" w:rsidRPr="00CD04FE" w:rsidRDefault="00CD04FE">
      <w:pPr>
        <w:pStyle w:val="p2"/>
        <w:rPr>
          <w:sz w:val="24"/>
          <w:szCs w:val="24"/>
        </w:rPr>
      </w:pPr>
    </w:p>
    <w:p w14:paraId="000E5C09" w14:textId="77777777" w:rsidR="00CD04FE" w:rsidRPr="00CD04FE" w:rsidRDefault="00CD04FE">
      <w:pPr>
        <w:pStyle w:val="p1"/>
        <w:rPr>
          <w:sz w:val="24"/>
          <w:szCs w:val="24"/>
        </w:rPr>
      </w:pPr>
      <w:r w:rsidRPr="00CD04FE">
        <w:rPr>
          <w:rStyle w:val="s2"/>
          <w:sz w:val="24"/>
          <w:szCs w:val="24"/>
        </w:rPr>
        <w:t xml:space="preserve">Locke, John. 1980. </w:t>
      </w:r>
      <w:r w:rsidRPr="00CD04FE">
        <w:rPr>
          <w:rStyle w:val="s3"/>
          <w:sz w:val="24"/>
          <w:szCs w:val="24"/>
        </w:rPr>
        <w:t>Second Treatise of Government</w:t>
      </w:r>
      <w:r w:rsidRPr="00CD04FE">
        <w:rPr>
          <w:rStyle w:val="s2"/>
          <w:sz w:val="24"/>
          <w:szCs w:val="24"/>
        </w:rPr>
        <w:t>. Hackett Publishing Company.</w:t>
      </w:r>
    </w:p>
    <w:p w14:paraId="41ED748D" w14:textId="77777777" w:rsidR="00CD04FE" w:rsidRPr="00CD04FE" w:rsidRDefault="00CD04FE">
      <w:pPr>
        <w:pStyle w:val="p2"/>
        <w:rPr>
          <w:sz w:val="24"/>
          <w:szCs w:val="24"/>
        </w:rPr>
      </w:pPr>
    </w:p>
    <w:p w14:paraId="4D9D104D" w14:textId="77777777" w:rsidR="00CD04FE" w:rsidRPr="00CD04FE" w:rsidRDefault="00CD04FE">
      <w:pPr>
        <w:pStyle w:val="p1"/>
        <w:rPr>
          <w:sz w:val="24"/>
          <w:szCs w:val="24"/>
        </w:rPr>
      </w:pPr>
      <w:r w:rsidRPr="00CD04FE">
        <w:rPr>
          <w:rStyle w:val="s2"/>
          <w:sz w:val="24"/>
          <w:szCs w:val="24"/>
        </w:rPr>
        <w:t xml:space="preserve">Lechner, Christina. 2014. </w:t>
      </w:r>
      <w:r w:rsidRPr="00CD04FE">
        <w:rPr>
          <w:rStyle w:val="s3"/>
          <w:sz w:val="24"/>
          <w:szCs w:val="24"/>
        </w:rPr>
        <w:t>Der Schwangerschaftsabbruch aus ethischer Sicht</w:t>
      </w:r>
      <w:r w:rsidRPr="00CD04FE">
        <w:rPr>
          <w:rStyle w:val="s2"/>
          <w:sz w:val="24"/>
          <w:szCs w:val="24"/>
        </w:rPr>
        <w:t>. Diplomarbeit zur Erlangung des akademischen Grades einer Magistra der Philosophie an der Geisteswissenschaftlichen Fakultät der Karl-Franzens-Universität Graz.</w:t>
      </w:r>
    </w:p>
    <w:p w14:paraId="1D87419A" w14:textId="77777777" w:rsidR="00CD04FE" w:rsidRPr="00CD04FE" w:rsidRDefault="00CD04FE">
      <w:pPr>
        <w:pStyle w:val="p2"/>
        <w:rPr>
          <w:sz w:val="24"/>
          <w:szCs w:val="24"/>
        </w:rPr>
      </w:pPr>
    </w:p>
    <w:p w14:paraId="68EC6C70" w14:textId="77777777" w:rsidR="00CD04FE" w:rsidRPr="00CD04FE" w:rsidRDefault="00CD04FE">
      <w:pPr>
        <w:pStyle w:val="p1"/>
        <w:rPr>
          <w:sz w:val="24"/>
          <w:szCs w:val="24"/>
        </w:rPr>
      </w:pPr>
      <w:r w:rsidRPr="00CD04FE">
        <w:rPr>
          <w:rStyle w:val="s2"/>
          <w:sz w:val="24"/>
          <w:szCs w:val="24"/>
        </w:rPr>
        <w:t xml:space="preserve">Lohner, Alexander. 2000. </w:t>
      </w:r>
      <w:r w:rsidRPr="00CD04FE">
        <w:rPr>
          <w:rStyle w:val="s3"/>
          <w:sz w:val="24"/>
          <w:szCs w:val="24"/>
        </w:rPr>
        <w:t>Personalität und Menschenwürde.</w:t>
      </w:r>
      <w:r w:rsidRPr="00CD04FE">
        <w:rPr>
          <w:rStyle w:val="s2"/>
          <w:sz w:val="24"/>
          <w:szCs w:val="24"/>
        </w:rPr>
        <w:t xml:space="preserve"> Friedrich Pustet.</w:t>
      </w:r>
    </w:p>
    <w:p w14:paraId="5108E711" w14:textId="77777777" w:rsidR="00CD04FE" w:rsidRPr="00CD04FE" w:rsidRDefault="00CD04FE">
      <w:pPr>
        <w:pStyle w:val="p2"/>
        <w:rPr>
          <w:sz w:val="24"/>
          <w:szCs w:val="24"/>
        </w:rPr>
      </w:pPr>
    </w:p>
    <w:p w14:paraId="5D9563F8" w14:textId="04619BAD" w:rsidR="00CD04FE" w:rsidRPr="00CD04FE" w:rsidRDefault="00CD04FE">
      <w:pPr>
        <w:pStyle w:val="p1"/>
        <w:rPr>
          <w:sz w:val="24"/>
          <w:szCs w:val="24"/>
        </w:rPr>
      </w:pPr>
      <w:r w:rsidRPr="00CD04FE">
        <w:rPr>
          <w:rStyle w:val="s2"/>
          <w:sz w:val="24"/>
          <w:szCs w:val="24"/>
        </w:rPr>
        <w:t xml:space="preserve">Manninen, Bertha. 2008 </w:t>
      </w:r>
      <w:r w:rsidR="009072B7">
        <w:rPr>
          <w:rStyle w:val="s2"/>
          <w:sz w:val="24"/>
          <w:szCs w:val="24"/>
        </w:rPr>
        <w:t>“</w:t>
      </w:r>
      <w:r w:rsidRPr="00CD04FE">
        <w:rPr>
          <w:rStyle w:val="s2"/>
          <w:sz w:val="24"/>
          <w:szCs w:val="24"/>
        </w:rPr>
        <w:t>Are human embryos Kantian persons?</w:t>
      </w:r>
      <w:r w:rsidR="009072B7">
        <w:rPr>
          <w:rStyle w:val="s2"/>
          <w:sz w:val="24"/>
          <w:szCs w:val="24"/>
        </w:rPr>
        <w:t xml:space="preserve">” </w:t>
      </w:r>
      <w:r w:rsidRPr="00CD04FE">
        <w:rPr>
          <w:rStyle w:val="s3"/>
          <w:sz w:val="24"/>
          <w:szCs w:val="24"/>
        </w:rPr>
        <w:t>Philosophy, Ethics, and Humanities in Medicine</w:t>
      </w:r>
      <w:r w:rsidRPr="00CD04FE">
        <w:rPr>
          <w:rStyle w:val="s2"/>
          <w:sz w:val="24"/>
          <w:szCs w:val="24"/>
        </w:rPr>
        <w:t xml:space="preserve">, Volume 3: 1-16. </w:t>
      </w:r>
      <w:hyperlink r:id="rId16" w:history="1">
        <w:r w:rsidRPr="00CD04FE">
          <w:rPr>
            <w:rStyle w:val="s4"/>
            <w:color w:val="0000FF"/>
            <w:sz w:val="24"/>
            <w:szCs w:val="24"/>
          </w:rPr>
          <w:t>https://doi.org/10.1186/1747-5341-3-4</w:t>
        </w:r>
      </w:hyperlink>
    </w:p>
    <w:p w14:paraId="47291768" w14:textId="77777777" w:rsidR="00CD04FE" w:rsidRPr="00CD04FE" w:rsidRDefault="00CD04FE">
      <w:pPr>
        <w:pStyle w:val="p2"/>
        <w:rPr>
          <w:sz w:val="24"/>
          <w:szCs w:val="24"/>
        </w:rPr>
      </w:pPr>
    </w:p>
    <w:p w14:paraId="0E73C35B" w14:textId="22AD0D72" w:rsidR="00CD04FE" w:rsidRPr="00CD04FE" w:rsidRDefault="00CD04FE">
      <w:pPr>
        <w:pStyle w:val="p1"/>
        <w:rPr>
          <w:sz w:val="24"/>
          <w:szCs w:val="24"/>
        </w:rPr>
      </w:pPr>
      <w:r w:rsidRPr="00CD04FE">
        <w:rPr>
          <w:rStyle w:val="s2"/>
          <w:sz w:val="24"/>
          <w:szCs w:val="24"/>
        </w:rPr>
        <w:t xml:space="preserve">Manninen, Bertha. 2014. </w:t>
      </w:r>
      <w:r w:rsidR="009072B7">
        <w:rPr>
          <w:rStyle w:val="s2"/>
          <w:sz w:val="24"/>
          <w:szCs w:val="24"/>
        </w:rPr>
        <w:t>“</w:t>
      </w:r>
      <w:r w:rsidRPr="00CD04FE">
        <w:rPr>
          <w:rStyle w:val="s2"/>
          <w:sz w:val="24"/>
          <w:szCs w:val="24"/>
        </w:rPr>
        <w:t>A Kantian defense of abortion rights with respect for intrauterine life.</w:t>
      </w:r>
      <w:r w:rsidR="009072B7">
        <w:rPr>
          <w:rStyle w:val="s2"/>
          <w:sz w:val="24"/>
          <w:szCs w:val="24"/>
        </w:rPr>
        <w:t>”</w:t>
      </w:r>
      <w:r w:rsidRPr="00CD04FE">
        <w:rPr>
          <w:rStyle w:val="s2"/>
          <w:sz w:val="24"/>
          <w:szCs w:val="24"/>
        </w:rPr>
        <w:t xml:space="preserve"> </w:t>
      </w:r>
      <w:r w:rsidRPr="00CD04FE">
        <w:rPr>
          <w:rStyle w:val="s3"/>
          <w:sz w:val="24"/>
          <w:szCs w:val="24"/>
        </w:rPr>
        <w:t>Diametros</w:t>
      </w:r>
      <w:r w:rsidRPr="00CD04FE">
        <w:rPr>
          <w:rStyle w:val="s2"/>
          <w:sz w:val="24"/>
          <w:szCs w:val="24"/>
        </w:rPr>
        <w:t>,</w:t>
      </w:r>
      <w:r w:rsidRPr="00CD04FE">
        <w:rPr>
          <w:rStyle w:val="apple-converted-space"/>
          <w:rFonts w:ascii="BodoniSvtyTwoOSITCTT-Book" w:hAnsi="BodoniSvtyTwoOSITCTT-Book"/>
          <w:sz w:val="24"/>
          <w:szCs w:val="24"/>
        </w:rPr>
        <w:t> </w:t>
      </w:r>
      <w:r w:rsidRPr="00CD04FE">
        <w:rPr>
          <w:rStyle w:val="s3"/>
          <w:sz w:val="24"/>
          <w:szCs w:val="24"/>
        </w:rPr>
        <w:t xml:space="preserve"> </w:t>
      </w:r>
      <w:r w:rsidRPr="00CD04FE">
        <w:rPr>
          <w:rStyle w:val="s2"/>
          <w:sz w:val="24"/>
          <w:szCs w:val="24"/>
        </w:rPr>
        <w:t xml:space="preserve">Volume 39: 70-92. </w:t>
      </w:r>
      <w:hyperlink r:id="rId17" w:history="1">
        <w:r w:rsidRPr="00CD04FE">
          <w:rPr>
            <w:rStyle w:val="s4"/>
            <w:color w:val="0000FF"/>
            <w:sz w:val="24"/>
            <w:szCs w:val="24"/>
          </w:rPr>
          <w:t>https://doi.org/10.13153/diam.39.2014.565</w:t>
        </w:r>
      </w:hyperlink>
    </w:p>
    <w:p w14:paraId="0A1A33FB" w14:textId="77777777" w:rsidR="00CD04FE" w:rsidRPr="00CD04FE" w:rsidRDefault="00CD04FE">
      <w:pPr>
        <w:pStyle w:val="p2"/>
        <w:rPr>
          <w:sz w:val="24"/>
          <w:szCs w:val="24"/>
        </w:rPr>
      </w:pPr>
    </w:p>
    <w:p w14:paraId="2A48E752" w14:textId="018D3991" w:rsidR="00CD04FE" w:rsidRPr="00CD04FE" w:rsidRDefault="00CD04FE">
      <w:pPr>
        <w:pStyle w:val="p1"/>
        <w:rPr>
          <w:sz w:val="24"/>
          <w:szCs w:val="24"/>
        </w:rPr>
      </w:pPr>
      <w:r w:rsidRPr="00CD04FE">
        <w:rPr>
          <w:rStyle w:val="s2"/>
          <w:sz w:val="24"/>
          <w:szCs w:val="24"/>
        </w:rPr>
        <w:t xml:space="preserve">Mertens, Thomas. 2017. </w:t>
      </w:r>
      <w:r w:rsidR="009072B7">
        <w:rPr>
          <w:rStyle w:val="s2"/>
          <w:sz w:val="24"/>
          <w:szCs w:val="24"/>
        </w:rPr>
        <w:t>“</w:t>
      </w:r>
      <w:r w:rsidRPr="00CD04FE">
        <w:rPr>
          <w:rStyle w:val="s2"/>
          <w:sz w:val="24"/>
          <w:szCs w:val="24"/>
        </w:rPr>
        <w:t>Emergencies and Criminal Law in Kant</w:t>
      </w:r>
      <w:r w:rsidR="009072B7">
        <w:rPr>
          <w:rStyle w:val="s2"/>
          <w:sz w:val="24"/>
          <w:szCs w:val="24"/>
        </w:rPr>
        <w:t>’</w:t>
      </w:r>
      <w:r w:rsidRPr="00CD04FE">
        <w:rPr>
          <w:rStyle w:val="s2"/>
          <w:sz w:val="24"/>
          <w:szCs w:val="24"/>
        </w:rPr>
        <w:t>s Legal Philosophy,</w:t>
      </w:r>
      <w:r w:rsidR="009072B7">
        <w:rPr>
          <w:rStyle w:val="s2"/>
          <w:sz w:val="24"/>
          <w:szCs w:val="24"/>
        </w:rPr>
        <w:t>”</w:t>
      </w:r>
      <w:r w:rsidRPr="00CD04FE">
        <w:rPr>
          <w:rStyle w:val="s2"/>
          <w:sz w:val="24"/>
          <w:szCs w:val="24"/>
        </w:rPr>
        <w:t xml:space="preserve"> </w:t>
      </w:r>
      <w:r w:rsidRPr="00CD04FE">
        <w:rPr>
          <w:rStyle w:val="s3"/>
          <w:sz w:val="24"/>
          <w:szCs w:val="24"/>
        </w:rPr>
        <w:t>Ethic@</w:t>
      </w:r>
      <w:r w:rsidRPr="00CD04FE">
        <w:rPr>
          <w:rStyle w:val="s2"/>
          <w:sz w:val="24"/>
          <w:szCs w:val="24"/>
        </w:rPr>
        <w:t xml:space="preserve"> Vol. 16, No. 3: 459-474.</w:t>
      </w:r>
    </w:p>
    <w:p w14:paraId="49DF0509" w14:textId="77777777" w:rsidR="00CD04FE" w:rsidRPr="00CD04FE" w:rsidRDefault="00CD04FE">
      <w:pPr>
        <w:pStyle w:val="p2"/>
        <w:rPr>
          <w:sz w:val="24"/>
          <w:szCs w:val="24"/>
        </w:rPr>
      </w:pPr>
    </w:p>
    <w:p w14:paraId="0BD118B8" w14:textId="77777777" w:rsidR="00CD04FE" w:rsidRPr="00CD04FE" w:rsidRDefault="00CD04FE">
      <w:pPr>
        <w:pStyle w:val="p1"/>
        <w:rPr>
          <w:sz w:val="24"/>
          <w:szCs w:val="24"/>
        </w:rPr>
      </w:pPr>
      <w:r w:rsidRPr="00CD04FE">
        <w:rPr>
          <w:rStyle w:val="s2"/>
          <w:sz w:val="24"/>
          <w:szCs w:val="24"/>
        </w:rPr>
        <w:t xml:space="preserve">Minois, Georges. 2001. </w:t>
      </w:r>
      <w:r w:rsidRPr="00CD04FE">
        <w:rPr>
          <w:rStyle w:val="s3"/>
          <w:sz w:val="24"/>
          <w:szCs w:val="24"/>
        </w:rPr>
        <w:t>History of Suicide</w:t>
      </w:r>
      <w:r w:rsidRPr="00CD04FE">
        <w:rPr>
          <w:rStyle w:val="s2"/>
          <w:sz w:val="24"/>
          <w:szCs w:val="24"/>
        </w:rPr>
        <w:t>. Trans. by Lydia Cochrane. Johns Hopkins University Press.</w:t>
      </w:r>
    </w:p>
    <w:p w14:paraId="6FADF447" w14:textId="77777777" w:rsidR="00CD04FE" w:rsidRPr="00CD04FE" w:rsidRDefault="00CD04FE">
      <w:pPr>
        <w:pStyle w:val="p2"/>
        <w:rPr>
          <w:sz w:val="24"/>
          <w:szCs w:val="24"/>
        </w:rPr>
      </w:pPr>
    </w:p>
    <w:p w14:paraId="7F8132C9" w14:textId="77777777" w:rsidR="00CD04FE" w:rsidRPr="00CD04FE" w:rsidRDefault="00CD04FE">
      <w:pPr>
        <w:pStyle w:val="p1"/>
        <w:rPr>
          <w:sz w:val="24"/>
          <w:szCs w:val="24"/>
        </w:rPr>
      </w:pPr>
      <w:r w:rsidRPr="00CD04FE">
        <w:rPr>
          <w:rStyle w:val="s2"/>
          <w:sz w:val="24"/>
          <w:szCs w:val="24"/>
        </w:rPr>
        <w:t xml:space="preserve">Murphy, Jeffrie. 1970. </w:t>
      </w:r>
      <w:r w:rsidRPr="00CD04FE">
        <w:rPr>
          <w:rStyle w:val="s3"/>
          <w:sz w:val="24"/>
          <w:szCs w:val="24"/>
        </w:rPr>
        <w:t>Kant</w:t>
      </w:r>
      <w:r w:rsidRPr="00CD04FE">
        <w:rPr>
          <w:rStyle w:val="s2"/>
          <w:sz w:val="24"/>
          <w:szCs w:val="24"/>
        </w:rPr>
        <w:t>. Macmillan.</w:t>
      </w:r>
    </w:p>
    <w:p w14:paraId="1A8657E9" w14:textId="77777777" w:rsidR="00CD04FE" w:rsidRPr="00CD04FE" w:rsidRDefault="00CD04FE">
      <w:pPr>
        <w:pStyle w:val="p2"/>
        <w:rPr>
          <w:sz w:val="24"/>
          <w:szCs w:val="24"/>
        </w:rPr>
      </w:pPr>
    </w:p>
    <w:p w14:paraId="2EE7481B" w14:textId="77777777" w:rsidR="00CD04FE" w:rsidRPr="00CD04FE" w:rsidRDefault="00CD04FE">
      <w:pPr>
        <w:pStyle w:val="p1"/>
        <w:rPr>
          <w:sz w:val="24"/>
          <w:szCs w:val="24"/>
        </w:rPr>
      </w:pPr>
      <w:r w:rsidRPr="00CD04FE">
        <w:rPr>
          <w:rStyle w:val="s2"/>
          <w:sz w:val="24"/>
          <w:szCs w:val="24"/>
        </w:rPr>
        <w:t xml:space="preserve">Murray, Alexander. 2009. </w:t>
      </w:r>
      <w:r w:rsidRPr="00CD04FE">
        <w:rPr>
          <w:rStyle w:val="s3"/>
          <w:sz w:val="24"/>
          <w:szCs w:val="24"/>
        </w:rPr>
        <w:t>Suicide in the Middle Ages Volume I.</w:t>
      </w:r>
      <w:r w:rsidRPr="00CD04FE">
        <w:rPr>
          <w:rStyle w:val="s2"/>
          <w:sz w:val="24"/>
          <w:szCs w:val="24"/>
        </w:rPr>
        <w:t xml:space="preserve"> Oxford University Press.</w:t>
      </w:r>
    </w:p>
    <w:p w14:paraId="79C61211" w14:textId="77777777" w:rsidR="00CD04FE" w:rsidRPr="00CD04FE" w:rsidRDefault="00CD04FE">
      <w:pPr>
        <w:pStyle w:val="p2"/>
        <w:rPr>
          <w:sz w:val="24"/>
          <w:szCs w:val="24"/>
        </w:rPr>
      </w:pPr>
    </w:p>
    <w:p w14:paraId="3EB00359" w14:textId="77777777" w:rsidR="00CD04FE" w:rsidRPr="00CD04FE" w:rsidRDefault="00CD04FE">
      <w:pPr>
        <w:pStyle w:val="p1"/>
        <w:rPr>
          <w:sz w:val="24"/>
          <w:szCs w:val="24"/>
        </w:rPr>
      </w:pPr>
      <w:r w:rsidRPr="00CD04FE">
        <w:rPr>
          <w:rStyle w:val="s2"/>
          <w:sz w:val="24"/>
          <w:szCs w:val="24"/>
        </w:rPr>
        <w:t xml:space="preserve">Murray, Alexander. 2011. </w:t>
      </w:r>
      <w:r w:rsidRPr="00CD04FE">
        <w:rPr>
          <w:rStyle w:val="s3"/>
          <w:sz w:val="24"/>
          <w:szCs w:val="24"/>
        </w:rPr>
        <w:t>Suicide in the Middle Ages Volume II.</w:t>
      </w:r>
      <w:r w:rsidRPr="00CD04FE">
        <w:rPr>
          <w:rStyle w:val="s2"/>
          <w:sz w:val="24"/>
          <w:szCs w:val="24"/>
        </w:rPr>
        <w:t xml:space="preserve"> Oxford University Press.</w:t>
      </w:r>
    </w:p>
    <w:p w14:paraId="017D39D7" w14:textId="77777777" w:rsidR="00CD04FE" w:rsidRPr="00CD04FE" w:rsidRDefault="00CD04FE">
      <w:pPr>
        <w:pStyle w:val="p2"/>
        <w:rPr>
          <w:sz w:val="24"/>
          <w:szCs w:val="24"/>
        </w:rPr>
      </w:pPr>
    </w:p>
    <w:p w14:paraId="3C208BAD" w14:textId="77777777" w:rsidR="00CD04FE" w:rsidRPr="00CD04FE" w:rsidRDefault="00CD04FE">
      <w:pPr>
        <w:pStyle w:val="p1"/>
        <w:rPr>
          <w:sz w:val="24"/>
          <w:szCs w:val="24"/>
        </w:rPr>
      </w:pPr>
      <w:r w:rsidRPr="00CD04FE">
        <w:rPr>
          <w:rStyle w:val="s2"/>
          <w:sz w:val="24"/>
          <w:szCs w:val="24"/>
        </w:rPr>
        <w:t xml:space="preserve">Nozick, Robert. 1974. </w:t>
      </w:r>
      <w:r w:rsidRPr="00CD04FE">
        <w:rPr>
          <w:rStyle w:val="s3"/>
          <w:sz w:val="24"/>
          <w:szCs w:val="24"/>
        </w:rPr>
        <w:t>Anarchy, State, and Utopia</w:t>
      </w:r>
      <w:r w:rsidRPr="00CD04FE">
        <w:rPr>
          <w:rStyle w:val="s2"/>
          <w:sz w:val="24"/>
          <w:szCs w:val="24"/>
        </w:rPr>
        <w:t>. Basic Books.</w:t>
      </w:r>
    </w:p>
    <w:p w14:paraId="479B49E2" w14:textId="77777777" w:rsidR="00CD04FE" w:rsidRPr="00CD04FE" w:rsidRDefault="00CD04FE">
      <w:pPr>
        <w:pStyle w:val="p2"/>
        <w:rPr>
          <w:sz w:val="24"/>
          <w:szCs w:val="24"/>
        </w:rPr>
      </w:pPr>
    </w:p>
    <w:p w14:paraId="2B6E46D5" w14:textId="3FEC344F" w:rsidR="00CD04FE" w:rsidRPr="00CD04FE" w:rsidRDefault="00CD04FE">
      <w:pPr>
        <w:pStyle w:val="p1"/>
        <w:rPr>
          <w:sz w:val="24"/>
          <w:szCs w:val="24"/>
        </w:rPr>
      </w:pPr>
      <w:r w:rsidRPr="00CD04FE">
        <w:rPr>
          <w:rStyle w:val="s2"/>
          <w:sz w:val="24"/>
          <w:szCs w:val="24"/>
        </w:rPr>
        <w:t xml:space="preserve">Oduncu, Fuat. 2003. </w:t>
      </w:r>
      <w:r w:rsidR="00D606D0">
        <w:rPr>
          <w:rStyle w:val="s2"/>
          <w:sz w:val="24"/>
          <w:szCs w:val="24"/>
        </w:rPr>
        <w:t>“</w:t>
      </w:r>
      <w:r w:rsidRPr="00CD04FE">
        <w:rPr>
          <w:rStyle w:val="s2"/>
          <w:sz w:val="24"/>
          <w:szCs w:val="24"/>
        </w:rPr>
        <w:t>Stem cell research in Germany.</w:t>
      </w:r>
      <w:r w:rsidR="00D606D0">
        <w:rPr>
          <w:rStyle w:val="s2"/>
          <w:sz w:val="24"/>
          <w:szCs w:val="24"/>
        </w:rPr>
        <w:t>”</w:t>
      </w:r>
      <w:r w:rsidRPr="00CD04FE">
        <w:rPr>
          <w:rStyle w:val="s2"/>
          <w:sz w:val="24"/>
          <w:szCs w:val="24"/>
        </w:rPr>
        <w:t xml:space="preserve"> </w:t>
      </w:r>
      <w:r w:rsidRPr="00CD04FE">
        <w:rPr>
          <w:rStyle w:val="s3"/>
          <w:sz w:val="24"/>
          <w:szCs w:val="24"/>
        </w:rPr>
        <w:t xml:space="preserve">Medicine, Health Care and Philosophy </w:t>
      </w:r>
      <w:r w:rsidRPr="00CD04FE">
        <w:rPr>
          <w:rStyle w:val="s2"/>
          <w:sz w:val="24"/>
          <w:szCs w:val="24"/>
        </w:rPr>
        <w:t xml:space="preserve">Volume 6: 5-16. </w:t>
      </w:r>
      <w:hyperlink r:id="rId18" w:history="1">
        <w:r w:rsidRPr="00CD04FE">
          <w:rPr>
            <w:rStyle w:val="s4"/>
            <w:color w:val="0000FF"/>
            <w:sz w:val="24"/>
            <w:szCs w:val="24"/>
          </w:rPr>
          <w:t>https://doi.org/10.1023/A:1022585217710</w:t>
        </w:r>
      </w:hyperlink>
    </w:p>
    <w:p w14:paraId="40A02A27" w14:textId="77777777" w:rsidR="00CD04FE" w:rsidRPr="00CD04FE" w:rsidRDefault="00CD04FE">
      <w:pPr>
        <w:pStyle w:val="p2"/>
        <w:rPr>
          <w:sz w:val="24"/>
          <w:szCs w:val="24"/>
        </w:rPr>
      </w:pPr>
    </w:p>
    <w:p w14:paraId="5B7DECAA" w14:textId="5448D860" w:rsidR="00CD04FE" w:rsidRPr="00CD04FE" w:rsidRDefault="00CD04FE">
      <w:pPr>
        <w:pStyle w:val="p1"/>
        <w:rPr>
          <w:sz w:val="24"/>
          <w:szCs w:val="24"/>
        </w:rPr>
      </w:pPr>
      <w:r w:rsidRPr="00CD04FE">
        <w:rPr>
          <w:rStyle w:val="s2"/>
          <w:sz w:val="24"/>
          <w:szCs w:val="24"/>
        </w:rPr>
        <w:lastRenderedPageBreak/>
        <w:t xml:space="preserve">Papadaki, Lina. 2012. </w:t>
      </w:r>
      <w:r w:rsidR="00D606D0">
        <w:rPr>
          <w:rStyle w:val="s2"/>
          <w:sz w:val="24"/>
          <w:szCs w:val="24"/>
        </w:rPr>
        <w:t>“</w:t>
      </w:r>
      <w:r w:rsidRPr="00CD04FE">
        <w:rPr>
          <w:rStyle w:val="s2"/>
          <w:sz w:val="24"/>
          <w:szCs w:val="24"/>
        </w:rPr>
        <w:t>Abortion and Kant</w:t>
      </w:r>
      <w:r w:rsidR="00D606D0">
        <w:rPr>
          <w:rStyle w:val="s2"/>
          <w:sz w:val="24"/>
          <w:szCs w:val="24"/>
        </w:rPr>
        <w:t>’</w:t>
      </w:r>
      <w:r w:rsidRPr="00CD04FE">
        <w:rPr>
          <w:rStyle w:val="s2"/>
          <w:sz w:val="24"/>
          <w:szCs w:val="24"/>
        </w:rPr>
        <w:t>s Formula of Humanity.</w:t>
      </w:r>
      <w:r w:rsidR="00D606D0">
        <w:rPr>
          <w:rStyle w:val="s2"/>
          <w:sz w:val="24"/>
          <w:szCs w:val="24"/>
        </w:rPr>
        <w:t>”</w:t>
      </w:r>
      <w:r w:rsidRPr="00CD04FE">
        <w:rPr>
          <w:rStyle w:val="s2"/>
          <w:sz w:val="24"/>
          <w:szCs w:val="24"/>
        </w:rPr>
        <w:t xml:space="preserve"> </w:t>
      </w:r>
      <w:r w:rsidRPr="00CD04FE">
        <w:rPr>
          <w:rStyle w:val="s3"/>
          <w:sz w:val="24"/>
          <w:szCs w:val="24"/>
        </w:rPr>
        <w:t>Humana Menta Journal of Philosophical Studies</w:t>
      </w:r>
      <w:r w:rsidRPr="00CD04FE">
        <w:rPr>
          <w:rStyle w:val="s2"/>
          <w:sz w:val="24"/>
          <w:szCs w:val="24"/>
        </w:rPr>
        <w:t>,</w:t>
      </w:r>
      <w:r w:rsidRPr="00CD04FE">
        <w:rPr>
          <w:rStyle w:val="s3"/>
          <w:sz w:val="24"/>
          <w:szCs w:val="24"/>
        </w:rPr>
        <w:t xml:space="preserve"> </w:t>
      </w:r>
      <w:r w:rsidRPr="00CD04FE">
        <w:rPr>
          <w:rStyle w:val="s2"/>
          <w:sz w:val="24"/>
          <w:szCs w:val="24"/>
        </w:rPr>
        <w:t xml:space="preserve">Vol. 5, Issue 22: 145-166. </w:t>
      </w:r>
      <w:hyperlink r:id="rId19" w:history="1">
        <w:r w:rsidRPr="00CD04FE">
          <w:rPr>
            <w:rStyle w:val="s4"/>
            <w:color w:val="0000FF"/>
            <w:sz w:val="24"/>
            <w:szCs w:val="24"/>
          </w:rPr>
          <w:t>http://www.humanamente.eu/index.php/HM/article/view/176</w:t>
        </w:r>
      </w:hyperlink>
    </w:p>
    <w:p w14:paraId="08ED0F13" w14:textId="77777777" w:rsidR="00CD04FE" w:rsidRPr="00CD04FE" w:rsidRDefault="00CD04FE">
      <w:pPr>
        <w:pStyle w:val="p2"/>
        <w:rPr>
          <w:sz w:val="24"/>
          <w:szCs w:val="24"/>
        </w:rPr>
      </w:pPr>
    </w:p>
    <w:p w14:paraId="0968132A" w14:textId="0F97A0CE" w:rsidR="00CD04FE" w:rsidRPr="00CD04FE" w:rsidRDefault="00CD04FE">
      <w:pPr>
        <w:pStyle w:val="p1"/>
        <w:rPr>
          <w:sz w:val="24"/>
          <w:szCs w:val="24"/>
        </w:rPr>
      </w:pPr>
      <w:r w:rsidRPr="00CD04FE">
        <w:rPr>
          <w:rStyle w:val="s2"/>
          <w:sz w:val="24"/>
          <w:szCs w:val="24"/>
        </w:rPr>
        <w:t xml:space="preserve">Seabourne, A., and Seabourne, G. 2001. </w:t>
      </w:r>
      <w:r w:rsidR="00D606D0">
        <w:rPr>
          <w:rStyle w:val="s2"/>
          <w:sz w:val="24"/>
          <w:szCs w:val="24"/>
        </w:rPr>
        <w:t>“</w:t>
      </w:r>
      <w:r w:rsidRPr="00CD04FE">
        <w:rPr>
          <w:rStyle w:val="s2"/>
          <w:sz w:val="24"/>
          <w:szCs w:val="24"/>
        </w:rPr>
        <w:t>Suicide or accident–self-killing in medieval England.</w:t>
      </w:r>
      <w:r w:rsidR="00D606D0">
        <w:rPr>
          <w:rStyle w:val="s2"/>
          <w:sz w:val="24"/>
          <w:szCs w:val="24"/>
        </w:rPr>
        <w:t>”</w:t>
      </w:r>
      <w:r w:rsidRPr="00CD04FE">
        <w:rPr>
          <w:rStyle w:val="s2"/>
          <w:sz w:val="24"/>
          <w:szCs w:val="24"/>
        </w:rPr>
        <w:t xml:space="preserve"> </w:t>
      </w:r>
      <w:r w:rsidRPr="00CD04FE">
        <w:rPr>
          <w:rStyle w:val="s3"/>
          <w:sz w:val="24"/>
          <w:szCs w:val="24"/>
        </w:rPr>
        <w:t>The British Journal of Psychiatry</w:t>
      </w:r>
      <w:r w:rsidRPr="00CD04FE">
        <w:rPr>
          <w:rStyle w:val="s2"/>
          <w:sz w:val="24"/>
          <w:szCs w:val="24"/>
        </w:rPr>
        <w:t>, Vol. 178, No. 1: 42-47.</w:t>
      </w:r>
      <w:r w:rsidRPr="00CD04FE">
        <w:rPr>
          <w:rStyle w:val="apple-converted-space"/>
          <w:rFonts w:ascii="BodoniSvtyTwoOSITCTT-Book" w:hAnsi="BodoniSvtyTwoOSITCTT-Book"/>
          <w:sz w:val="24"/>
          <w:szCs w:val="24"/>
        </w:rPr>
        <w:t> </w:t>
      </w:r>
    </w:p>
    <w:p w14:paraId="78B3DBC4" w14:textId="77777777" w:rsidR="00CD04FE" w:rsidRPr="00CD04FE" w:rsidRDefault="00CD04FE">
      <w:pPr>
        <w:pStyle w:val="p2"/>
        <w:rPr>
          <w:sz w:val="24"/>
          <w:szCs w:val="24"/>
        </w:rPr>
      </w:pPr>
    </w:p>
    <w:p w14:paraId="2702E02C" w14:textId="7FFFB7A9" w:rsidR="00CD04FE" w:rsidRPr="00CD04FE" w:rsidRDefault="00CD04FE">
      <w:pPr>
        <w:pStyle w:val="p1"/>
        <w:rPr>
          <w:sz w:val="24"/>
          <w:szCs w:val="24"/>
        </w:rPr>
      </w:pPr>
      <w:r w:rsidRPr="00CD04FE">
        <w:rPr>
          <w:rStyle w:val="s2"/>
          <w:sz w:val="24"/>
          <w:szCs w:val="24"/>
        </w:rPr>
        <w:t xml:space="preserve">Seymour Fahmy, Melissa. 2021. </w:t>
      </w:r>
      <w:r w:rsidR="00D606D0">
        <w:rPr>
          <w:rStyle w:val="s2"/>
          <w:sz w:val="24"/>
          <w:szCs w:val="24"/>
        </w:rPr>
        <w:t>“</w:t>
      </w:r>
      <w:r w:rsidRPr="00CD04FE">
        <w:rPr>
          <w:rStyle w:val="s2"/>
          <w:sz w:val="24"/>
          <w:szCs w:val="24"/>
        </w:rPr>
        <w:t>Shadow Students in Georgia.</w:t>
      </w:r>
      <w:r w:rsidR="0087255D">
        <w:rPr>
          <w:rStyle w:val="s2"/>
          <w:sz w:val="24"/>
          <w:szCs w:val="24"/>
        </w:rPr>
        <w:t>”</w:t>
      </w:r>
      <w:r w:rsidRPr="00CD04FE">
        <w:rPr>
          <w:rStyle w:val="s2"/>
          <w:sz w:val="24"/>
          <w:szCs w:val="24"/>
        </w:rPr>
        <w:t xml:space="preserve"> </w:t>
      </w:r>
      <w:r w:rsidRPr="00CD04FE">
        <w:rPr>
          <w:rStyle w:val="s3"/>
          <w:sz w:val="24"/>
          <w:szCs w:val="24"/>
        </w:rPr>
        <w:t>Journal of Philosophy of Education</w:t>
      </w:r>
      <w:r w:rsidRPr="00CD04FE">
        <w:rPr>
          <w:rStyle w:val="s2"/>
          <w:sz w:val="24"/>
          <w:szCs w:val="24"/>
        </w:rPr>
        <w:t xml:space="preserve">: 1-15. </w:t>
      </w:r>
      <w:hyperlink r:id="rId20" w:history="1">
        <w:r w:rsidRPr="00CD04FE">
          <w:rPr>
            <w:rStyle w:val="s4"/>
            <w:color w:val="0000FF"/>
            <w:sz w:val="24"/>
            <w:szCs w:val="24"/>
          </w:rPr>
          <w:t>https://doi.org/10.1111/1467-9752.12609</w:t>
        </w:r>
      </w:hyperlink>
      <w:r w:rsidRPr="00CD04FE">
        <w:rPr>
          <w:rStyle w:val="apple-converted-space"/>
          <w:rFonts w:ascii="BodoniSvtyTwoOSITCTT-Book" w:hAnsi="BodoniSvtyTwoOSITCTT-Book"/>
          <w:sz w:val="24"/>
          <w:szCs w:val="24"/>
        </w:rPr>
        <w:t> </w:t>
      </w:r>
    </w:p>
    <w:p w14:paraId="345EB61A" w14:textId="77777777" w:rsidR="00CD04FE" w:rsidRPr="00CD04FE" w:rsidRDefault="00CD04FE">
      <w:pPr>
        <w:pStyle w:val="p2"/>
        <w:rPr>
          <w:sz w:val="24"/>
          <w:szCs w:val="24"/>
        </w:rPr>
      </w:pPr>
    </w:p>
    <w:p w14:paraId="307CCD2D" w14:textId="02208D77" w:rsidR="00CD04FE" w:rsidRPr="00CD04FE" w:rsidRDefault="00CD04FE">
      <w:pPr>
        <w:pStyle w:val="p1"/>
        <w:rPr>
          <w:sz w:val="24"/>
          <w:szCs w:val="24"/>
        </w:rPr>
      </w:pPr>
      <w:r w:rsidRPr="00CD04FE">
        <w:rPr>
          <w:rStyle w:val="s2"/>
          <w:sz w:val="24"/>
          <w:szCs w:val="24"/>
        </w:rPr>
        <w:t xml:space="preserve">Thomson, Judith Jarvis. 1971. </w:t>
      </w:r>
      <w:r w:rsidR="0087255D">
        <w:rPr>
          <w:rStyle w:val="s2"/>
          <w:sz w:val="24"/>
          <w:szCs w:val="24"/>
        </w:rPr>
        <w:t>“</w:t>
      </w:r>
      <w:r w:rsidRPr="00CD04FE">
        <w:rPr>
          <w:rStyle w:val="s2"/>
          <w:sz w:val="24"/>
          <w:szCs w:val="24"/>
        </w:rPr>
        <w:t>A Defense of Abortion.</w:t>
      </w:r>
      <w:r w:rsidR="0087255D">
        <w:rPr>
          <w:rStyle w:val="s2"/>
          <w:sz w:val="24"/>
          <w:szCs w:val="24"/>
        </w:rPr>
        <w:t>”</w:t>
      </w:r>
      <w:r w:rsidRPr="00CD04FE">
        <w:rPr>
          <w:rStyle w:val="s2"/>
          <w:sz w:val="24"/>
          <w:szCs w:val="24"/>
        </w:rPr>
        <w:t xml:space="preserve"> </w:t>
      </w:r>
      <w:r w:rsidRPr="00CD04FE">
        <w:rPr>
          <w:rStyle w:val="s3"/>
          <w:sz w:val="24"/>
          <w:szCs w:val="24"/>
        </w:rPr>
        <w:t>Philosophy and Public Affairs</w:t>
      </w:r>
      <w:r w:rsidRPr="00CD04FE">
        <w:rPr>
          <w:rStyle w:val="s2"/>
          <w:sz w:val="24"/>
          <w:szCs w:val="24"/>
        </w:rPr>
        <w:t>, Vol. 1, No. 1: 47-</w:t>
      </w:r>
    </w:p>
    <w:p w14:paraId="3ED806FF" w14:textId="77777777" w:rsidR="00CD04FE" w:rsidRPr="00CD04FE" w:rsidRDefault="00CD04FE">
      <w:pPr>
        <w:pStyle w:val="p1"/>
        <w:rPr>
          <w:sz w:val="24"/>
          <w:szCs w:val="24"/>
        </w:rPr>
      </w:pPr>
      <w:r w:rsidRPr="00CD04FE">
        <w:rPr>
          <w:rStyle w:val="s2"/>
          <w:sz w:val="24"/>
          <w:szCs w:val="24"/>
        </w:rPr>
        <w:t>66.</w:t>
      </w:r>
    </w:p>
    <w:p w14:paraId="009141B4" w14:textId="77777777" w:rsidR="00CD04FE" w:rsidRPr="00CD04FE" w:rsidRDefault="00CD04FE">
      <w:pPr>
        <w:pStyle w:val="p2"/>
        <w:rPr>
          <w:sz w:val="24"/>
          <w:szCs w:val="24"/>
        </w:rPr>
      </w:pPr>
    </w:p>
    <w:p w14:paraId="5F923A6E" w14:textId="6A6F7DA6" w:rsidR="00CD04FE" w:rsidRPr="00CD04FE" w:rsidRDefault="00CD04FE">
      <w:pPr>
        <w:pStyle w:val="p1"/>
        <w:rPr>
          <w:sz w:val="24"/>
          <w:szCs w:val="24"/>
        </w:rPr>
      </w:pPr>
      <w:r w:rsidRPr="00CD04FE">
        <w:rPr>
          <w:rStyle w:val="s2"/>
          <w:sz w:val="24"/>
          <w:szCs w:val="24"/>
        </w:rPr>
        <w:t xml:space="preserve">Timmermann, Jens. 2022. </w:t>
      </w:r>
      <w:r w:rsidR="0087255D">
        <w:rPr>
          <w:rStyle w:val="s2"/>
          <w:sz w:val="24"/>
          <w:szCs w:val="24"/>
        </w:rPr>
        <w:t>“</w:t>
      </w:r>
      <w:r w:rsidRPr="00CD04FE">
        <w:rPr>
          <w:rStyle w:val="s2"/>
          <w:sz w:val="24"/>
          <w:szCs w:val="24"/>
        </w:rPr>
        <w:t>The Quandary of Infanticide in Kant</w:t>
      </w:r>
      <w:r w:rsidR="0087255D">
        <w:rPr>
          <w:rStyle w:val="s2"/>
          <w:sz w:val="24"/>
          <w:szCs w:val="24"/>
        </w:rPr>
        <w:t>’</w:t>
      </w:r>
      <w:r w:rsidRPr="00CD04FE">
        <w:rPr>
          <w:rStyle w:val="s2"/>
          <w:sz w:val="24"/>
          <w:szCs w:val="24"/>
        </w:rPr>
        <w:t xml:space="preserve">s </w:t>
      </w:r>
      <w:r w:rsidR="0087255D">
        <w:rPr>
          <w:rStyle w:val="s2"/>
          <w:sz w:val="24"/>
          <w:szCs w:val="24"/>
        </w:rPr>
        <w:t>‘</w:t>
      </w:r>
      <w:r w:rsidRPr="00CD04FE">
        <w:rPr>
          <w:rStyle w:val="s2"/>
          <w:sz w:val="24"/>
          <w:szCs w:val="24"/>
        </w:rPr>
        <w:t>Doctrine of Right</w:t>
      </w:r>
      <w:r w:rsidR="0087255D">
        <w:rPr>
          <w:rStyle w:val="s2"/>
          <w:sz w:val="24"/>
          <w:szCs w:val="24"/>
        </w:rPr>
        <w:t>’</w:t>
      </w:r>
      <w:r w:rsidRPr="00CD04FE">
        <w:rPr>
          <w:rStyle w:val="s2"/>
          <w:sz w:val="24"/>
          <w:szCs w:val="24"/>
        </w:rPr>
        <w:t>,</w:t>
      </w:r>
      <w:r w:rsidR="0087255D">
        <w:rPr>
          <w:rStyle w:val="s2"/>
          <w:sz w:val="24"/>
          <w:szCs w:val="24"/>
        </w:rPr>
        <w:t>"</w:t>
      </w:r>
      <w:r w:rsidRPr="00CD04FE">
        <w:rPr>
          <w:rStyle w:val="s2"/>
          <w:sz w:val="24"/>
          <w:szCs w:val="24"/>
        </w:rPr>
        <w:t xml:space="preserve"> </w:t>
      </w:r>
      <w:r w:rsidRPr="00CD04FE">
        <w:rPr>
          <w:rStyle w:val="s3"/>
          <w:sz w:val="24"/>
          <w:szCs w:val="24"/>
        </w:rPr>
        <w:t>Archiv für Geschichte der Philosophie</w:t>
      </w:r>
      <w:r w:rsidRPr="00CD04FE">
        <w:rPr>
          <w:rStyle w:val="s2"/>
          <w:sz w:val="24"/>
          <w:szCs w:val="24"/>
        </w:rPr>
        <w:t xml:space="preserve">. </w:t>
      </w:r>
      <w:hyperlink r:id="rId21" w:history="1">
        <w:r w:rsidRPr="00CD04FE">
          <w:rPr>
            <w:rStyle w:val="s4"/>
            <w:color w:val="0000FF"/>
            <w:sz w:val="24"/>
            <w:szCs w:val="24"/>
          </w:rPr>
          <w:t>https://doi.org/10.1515/agph-2021-0034</w:t>
        </w:r>
      </w:hyperlink>
    </w:p>
    <w:p w14:paraId="07D875F7" w14:textId="77777777" w:rsidR="00CD04FE" w:rsidRPr="00CD04FE" w:rsidRDefault="00CD04FE">
      <w:pPr>
        <w:pStyle w:val="p2"/>
        <w:rPr>
          <w:sz w:val="24"/>
          <w:szCs w:val="24"/>
        </w:rPr>
      </w:pPr>
    </w:p>
    <w:p w14:paraId="1632482B" w14:textId="52BA009B" w:rsidR="00CD04FE" w:rsidRPr="00CD04FE" w:rsidRDefault="00CD04FE">
      <w:pPr>
        <w:pStyle w:val="p1"/>
        <w:rPr>
          <w:sz w:val="24"/>
          <w:szCs w:val="24"/>
        </w:rPr>
      </w:pPr>
      <w:r w:rsidRPr="00CD04FE">
        <w:rPr>
          <w:rStyle w:val="s2"/>
          <w:sz w:val="24"/>
          <w:szCs w:val="24"/>
        </w:rPr>
        <w:t xml:space="preserve">Tunick, Mark. 1996. </w:t>
      </w:r>
      <w:r w:rsidR="0087255D">
        <w:rPr>
          <w:rStyle w:val="s2"/>
          <w:sz w:val="24"/>
          <w:szCs w:val="24"/>
        </w:rPr>
        <w:t>“</w:t>
      </w:r>
      <w:r w:rsidRPr="00CD04FE">
        <w:rPr>
          <w:rStyle w:val="s2"/>
          <w:sz w:val="24"/>
          <w:szCs w:val="24"/>
        </w:rPr>
        <w:t>Is Kant a Retributivist?</w:t>
      </w:r>
      <w:r w:rsidR="0087255D">
        <w:rPr>
          <w:rStyle w:val="s2"/>
          <w:sz w:val="24"/>
          <w:szCs w:val="24"/>
        </w:rPr>
        <w:t>”</w:t>
      </w:r>
      <w:r w:rsidRPr="00CD04FE">
        <w:rPr>
          <w:rStyle w:val="s2"/>
          <w:sz w:val="24"/>
          <w:szCs w:val="24"/>
        </w:rPr>
        <w:t xml:space="preserve"> </w:t>
      </w:r>
      <w:r w:rsidRPr="00CD04FE">
        <w:rPr>
          <w:rStyle w:val="s3"/>
          <w:sz w:val="24"/>
          <w:szCs w:val="24"/>
        </w:rPr>
        <w:t>History of Political Thought</w:t>
      </w:r>
      <w:r w:rsidRPr="00CD04FE">
        <w:rPr>
          <w:rStyle w:val="s2"/>
          <w:sz w:val="24"/>
          <w:szCs w:val="24"/>
        </w:rPr>
        <w:t xml:space="preserve">, Volume 17, No. 1: 60-78. </w:t>
      </w:r>
      <w:hyperlink r:id="rId22" w:history="1">
        <w:r w:rsidRPr="00CD04FE">
          <w:rPr>
            <w:rStyle w:val="s4"/>
            <w:color w:val="0000FF"/>
            <w:sz w:val="24"/>
            <w:szCs w:val="24"/>
          </w:rPr>
          <w:t>https://www.jstor.org/stable/26217122</w:t>
        </w:r>
      </w:hyperlink>
    </w:p>
    <w:p w14:paraId="22075F62" w14:textId="77777777" w:rsidR="00CD04FE" w:rsidRPr="00CD04FE" w:rsidRDefault="00CD04FE">
      <w:pPr>
        <w:pStyle w:val="p2"/>
        <w:rPr>
          <w:sz w:val="24"/>
          <w:szCs w:val="24"/>
        </w:rPr>
      </w:pPr>
    </w:p>
    <w:p w14:paraId="0FE2EA34" w14:textId="6C090759" w:rsidR="00CD04FE" w:rsidRPr="00CD04FE" w:rsidRDefault="00CD04FE">
      <w:pPr>
        <w:pStyle w:val="p1"/>
        <w:rPr>
          <w:sz w:val="24"/>
          <w:szCs w:val="24"/>
        </w:rPr>
      </w:pPr>
      <w:r w:rsidRPr="00CD04FE">
        <w:rPr>
          <w:rStyle w:val="s2"/>
          <w:sz w:val="24"/>
          <w:szCs w:val="24"/>
        </w:rPr>
        <w:t xml:space="preserve">Uleman, Jennifer. 2000. </w:t>
      </w:r>
      <w:r w:rsidR="0087255D">
        <w:rPr>
          <w:rStyle w:val="s2"/>
          <w:sz w:val="24"/>
          <w:szCs w:val="24"/>
        </w:rPr>
        <w:t>“</w:t>
      </w:r>
      <w:r w:rsidRPr="00CD04FE">
        <w:rPr>
          <w:rStyle w:val="s2"/>
          <w:sz w:val="24"/>
          <w:szCs w:val="24"/>
        </w:rPr>
        <w:t>On Kant, Infanticide, and Finding Oneself in a State of Nature,</w:t>
      </w:r>
      <w:r w:rsidR="00107448">
        <w:rPr>
          <w:rStyle w:val="s2"/>
          <w:sz w:val="24"/>
          <w:szCs w:val="24"/>
        </w:rPr>
        <w:t>”</w:t>
      </w:r>
      <w:r w:rsidRPr="00CD04FE">
        <w:rPr>
          <w:rStyle w:val="s2"/>
          <w:sz w:val="24"/>
          <w:szCs w:val="24"/>
        </w:rPr>
        <w:t xml:space="preserve"> </w:t>
      </w:r>
      <w:r w:rsidRPr="00CD04FE">
        <w:rPr>
          <w:rStyle w:val="s3"/>
          <w:sz w:val="24"/>
          <w:szCs w:val="24"/>
        </w:rPr>
        <w:t>Zeitschrift für philosophische Forschung</w:t>
      </w:r>
      <w:r w:rsidRPr="00CD04FE">
        <w:rPr>
          <w:rStyle w:val="s2"/>
          <w:sz w:val="24"/>
          <w:szCs w:val="24"/>
        </w:rPr>
        <w:t>, Vol. 54, Issue 2: 173-195.</w:t>
      </w:r>
    </w:p>
    <w:p w14:paraId="0F3F77D4" w14:textId="77777777" w:rsidR="00CD04FE" w:rsidRPr="00CD04FE" w:rsidRDefault="00CD04FE">
      <w:pPr>
        <w:pStyle w:val="p2"/>
        <w:rPr>
          <w:sz w:val="24"/>
          <w:szCs w:val="24"/>
        </w:rPr>
      </w:pPr>
    </w:p>
    <w:p w14:paraId="10E4B691" w14:textId="77777777" w:rsidR="00CD04FE" w:rsidRPr="00CD04FE" w:rsidRDefault="00CD04FE">
      <w:pPr>
        <w:pStyle w:val="p1"/>
        <w:rPr>
          <w:sz w:val="24"/>
          <w:szCs w:val="24"/>
        </w:rPr>
      </w:pPr>
      <w:r w:rsidRPr="00CD04FE">
        <w:rPr>
          <w:rStyle w:val="s2"/>
          <w:sz w:val="24"/>
          <w:szCs w:val="24"/>
        </w:rPr>
        <w:t xml:space="preserve">Ulbricht, Otto. 1990. </w:t>
      </w:r>
      <w:r w:rsidRPr="00CD04FE">
        <w:rPr>
          <w:rStyle w:val="s3"/>
          <w:sz w:val="24"/>
          <w:szCs w:val="24"/>
        </w:rPr>
        <w:t>Kindsmord und Aufklärung in Deutschland</w:t>
      </w:r>
      <w:r w:rsidRPr="00CD04FE">
        <w:rPr>
          <w:rStyle w:val="s2"/>
          <w:sz w:val="24"/>
          <w:szCs w:val="24"/>
        </w:rPr>
        <w:t>. Walter de Gruyter.</w:t>
      </w:r>
    </w:p>
    <w:p w14:paraId="313C9525" w14:textId="77777777" w:rsidR="00CD04FE" w:rsidRPr="00CD04FE" w:rsidRDefault="00CD04FE">
      <w:pPr>
        <w:pStyle w:val="p2"/>
        <w:rPr>
          <w:sz w:val="24"/>
          <w:szCs w:val="24"/>
        </w:rPr>
      </w:pPr>
    </w:p>
    <w:p w14:paraId="7C327651" w14:textId="77777777" w:rsidR="00CD04FE" w:rsidRPr="00CD04FE" w:rsidRDefault="00CD04FE">
      <w:pPr>
        <w:pStyle w:val="p1"/>
        <w:rPr>
          <w:sz w:val="24"/>
          <w:szCs w:val="24"/>
        </w:rPr>
      </w:pPr>
      <w:r w:rsidRPr="00CD04FE">
        <w:rPr>
          <w:rStyle w:val="s2"/>
          <w:sz w:val="24"/>
          <w:szCs w:val="24"/>
        </w:rPr>
        <w:t xml:space="preserve">van Dülmen, Richard. 1991. </w:t>
      </w:r>
      <w:r w:rsidRPr="00CD04FE">
        <w:rPr>
          <w:rStyle w:val="s3"/>
          <w:sz w:val="24"/>
          <w:szCs w:val="24"/>
        </w:rPr>
        <w:t>Frauen vor Gericht</w:t>
      </w:r>
      <w:r w:rsidRPr="00CD04FE">
        <w:rPr>
          <w:rStyle w:val="s2"/>
          <w:sz w:val="24"/>
          <w:szCs w:val="24"/>
        </w:rPr>
        <w:t>. Fischer.</w:t>
      </w:r>
    </w:p>
    <w:p w14:paraId="0AEE3FB1" w14:textId="77777777" w:rsidR="00CD04FE" w:rsidRPr="00CD04FE" w:rsidRDefault="00CD04FE">
      <w:pPr>
        <w:pStyle w:val="p2"/>
        <w:rPr>
          <w:sz w:val="24"/>
          <w:szCs w:val="24"/>
        </w:rPr>
      </w:pPr>
    </w:p>
    <w:p w14:paraId="710E1FC5" w14:textId="77777777" w:rsidR="00CD04FE" w:rsidRPr="00CD04FE" w:rsidRDefault="00CD04FE">
      <w:pPr>
        <w:pStyle w:val="p1"/>
        <w:rPr>
          <w:sz w:val="24"/>
          <w:szCs w:val="24"/>
        </w:rPr>
      </w:pPr>
      <w:r w:rsidRPr="00CD04FE">
        <w:rPr>
          <w:rStyle w:val="s2"/>
          <w:sz w:val="24"/>
          <w:szCs w:val="24"/>
        </w:rPr>
        <w:t xml:space="preserve">Varden, Helga. 2020. </w:t>
      </w:r>
      <w:r w:rsidRPr="00CD04FE">
        <w:rPr>
          <w:rStyle w:val="s3"/>
          <w:sz w:val="24"/>
          <w:szCs w:val="24"/>
        </w:rPr>
        <w:t>Sex, Love, and Gender</w:t>
      </w:r>
      <w:r w:rsidRPr="00CD04FE">
        <w:rPr>
          <w:rStyle w:val="s2"/>
          <w:sz w:val="24"/>
          <w:szCs w:val="24"/>
        </w:rPr>
        <w:t>. Oxford University Press.</w:t>
      </w:r>
    </w:p>
    <w:p w14:paraId="4B7A7A99" w14:textId="77777777" w:rsidR="00CD04FE" w:rsidRPr="00CD04FE" w:rsidRDefault="00CD04FE">
      <w:pPr>
        <w:rPr>
          <w:rFonts w:ascii="Times New Roman" w:hAnsi="Times New Roman" w:cs="Times New Roman"/>
          <w:sz w:val="24"/>
          <w:szCs w:val="24"/>
        </w:rPr>
      </w:pPr>
    </w:p>
    <w:sectPr w:rsidR="00CD04FE" w:rsidRPr="00CD04FE">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D3FABE" w14:textId="77777777" w:rsidR="00596407" w:rsidRDefault="00596407" w:rsidP="00B1486C">
      <w:r>
        <w:separator/>
      </w:r>
    </w:p>
  </w:endnote>
  <w:endnote w:type="continuationSeparator" w:id="0">
    <w:p w14:paraId="1BE9F038" w14:textId="77777777" w:rsidR="00596407" w:rsidRDefault="00596407" w:rsidP="00B148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02FF" w:usb1="4000ACFF" w:usb2="00000001" w:usb3="00000000" w:csb0="0000019F" w:csb1="00000000"/>
  </w:font>
  <w:font w:name="Bodoni 72 Oldstyle">
    <w:panose1 w:val="00000700000000000000"/>
    <w:charset w:val="00"/>
    <w:family w:val="auto"/>
    <w:pitch w:val="variable"/>
    <w:sig w:usb0="00000003" w:usb1="00000000" w:usb2="00000000" w:usb3="00000000" w:csb0="00000001" w:csb1="00000000"/>
  </w:font>
  <w:font w:name="BodoniSvtyTwoOSITCTT-Book">
    <w:altName w:val="Cambria"/>
    <w:panose1 w:val="020B0604020202020204"/>
    <w:charset w:val="00"/>
    <w:family w:val="roman"/>
    <w:pitch w:val="default"/>
  </w:font>
  <w:font w:name="BodoniSvtyTwoOSITCTT-BookIt">
    <w:altName w:val="Cambria"/>
    <w:panose1 w:val="020B0604020202020204"/>
    <w:charset w:val="00"/>
    <w:family w:val="roman"/>
    <w:pitch w:val="default"/>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21B2F4" w14:textId="77777777" w:rsidR="00596407" w:rsidRDefault="00596407" w:rsidP="00B1486C">
      <w:r>
        <w:separator/>
      </w:r>
    </w:p>
  </w:footnote>
  <w:footnote w:type="continuationSeparator" w:id="0">
    <w:p w14:paraId="012CACB6" w14:textId="77777777" w:rsidR="00596407" w:rsidRDefault="00596407" w:rsidP="00B1486C">
      <w:r>
        <w:continuationSeparator/>
      </w:r>
    </w:p>
  </w:footnote>
  <w:footnote w:id="1">
    <w:p w14:paraId="39C3F435" w14:textId="3F4BA925" w:rsidR="00B60CD3" w:rsidRPr="00B60CD3" w:rsidRDefault="00B60CD3" w:rsidP="00B60CD3">
      <w:pPr>
        <w:pStyle w:val="p1"/>
        <w:divId w:val="444888697"/>
        <w:rPr>
          <w:sz w:val="14"/>
          <w:szCs w:val="14"/>
        </w:rPr>
      </w:pPr>
      <w:r>
        <w:rPr>
          <w:rStyle w:val="FootnoteReference"/>
        </w:rPr>
        <w:footnoteRef/>
      </w:r>
      <w:r>
        <w:t xml:space="preserve"> </w:t>
      </w:r>
      <w:r w:rsidRPr="00B60CD3">
        <w:rPr>
          <w:rFonts w:ascii="BodoniSvtyTwoOSITCTT-Book" w:hAnsi="BodoniSvtyTwoOSITCTT-Book"/>
          <w:sz w:val="14"/>
          <w:szCs w:val="14"/>
        </w:rPr>
        <w:t>MS, AA 06: 237.29-32. All citations to Kant are in accordance with the standard Prussian academy pagination and, unless otherwise noted, taken from the Guyer/Wood Cambridge Blue series. </w:t>
      </w:r>
    </w:p>
  </w:footnote>
  <w:footnote w:id="2">
    <w:p w14:paraId="61EA3342" w14:textId="7F757FE3" w:rsidR="00667D2C" w:rsidRPr="00667D2C" w:rsidRDefault="00EF65CC">
      <w:pPr>
        <w:pStyle w:val="p1"/>
        <w:divId w:val="1480883338"/>
        <w:rPr>
          <w:sz w:val="14"/>
          <w:szCs w:val="14"/>
        </w:rPr>
      </w:pPr>
      <w:r>
        <w:rPr>
          <w:rStyle w:val="FootnoteReference"/>
        </w:rPr>
        <w:footnoteRef/>
      </w:r>
      <w:r>
        <w:t xml:space="preserve"> </w:t>
      </w:r>
      <w:r w:rsidR="00667D2C" w:rsidRPr="00667D2C">
        <w:rPr>
          <w:rFonts w:ascii="BodoniSvtyTwoOSITCTT-Book" w:hAnsi="BodoniSvtyTwoOSITCTT-Book"/>
          <w:sz w:val="14"/>
          <w:szCs w:val="14"/>
        </w:rPr>
        <w:t>But, as noted above, circumstances are important. Suppose, for the sake of argument, that the negative right to an abortion does fall within the purview of Kant</w:t>
      </w:r>
      <w:r w:rsidR="00667D2C">
        <w:rPr>
          <w:rFonts w:ascii="BodoniSvtyTwoOSITCTT-Book" w:hAnsi="BodoniSvtyTwoOSITCTT-Book"/>
          <w:sz w:val="14"/>
          <w:szCs w:val="14"/>
        </w:rPr>
        <w:t>’</w:t>
      </w:r>
      <w:r w:rsidR="00667D2C" w:rsidRPr="00667D2C">
        <w:rPr>
          <w:rFonts w:ascii="BodoniSvtyTwoOSITCTT-Book" w:hAnsi="BodoniSvtyTwoOSITCTT-Book"/>
          <w:sz w:val="14"/>
          <w:szCs w:val="14"/>
        </w:rPr>
        <w:t xml:space="preserve">s innate right to freedom. Suppose, further, that a woman enters into a contract with a physician: the physician agrees to provide her with an abortion in exchange for a fee. If the woman pays the fee, then she has acquired a positive right to an abortion. Thus, if there is a negative (innate) right to an abortion, </w:t>
      </w:r>
      <w:r w:rsidR="00667D2C">
        <w:rPr>
          <w:rFonts w:ascii="BodoniSvtyTwoOSITCTT-Book" w:hAnsi="BodoniSvtyTwoOSITCTT-Book"/>
          <w:sz w:val="14"/>
          <w:szCs w:val="14"/>
        </w:rPr>
        <w:t xml:space="preserve">then, </w:t>
      </w:r>
      <w:r w:rsidR="00667D2C" w:rsidRPr="00667D2C">
        <w:rPr>
          <w:rFonts w:ascii="BodoniSvtyTwoOSITCTT-Book" w:hAnsi="BodoniSvtyTwoOSITCTT-Book"/>
          <w:sz w:val="14"/>
          <w:szCs w:val="14"/>
        </w:rPr>
        <w:t>in certain circumstances</w:t>
      </w:r>
      <w:r w:rsidR="00667D2C">
        <w:rPr>
          <w:rFonts w:ascii="BodoniSvtyTwoOSITCTT-Book" w:hAnsi="BodoniSvtyTwoOSITCTT-Book"/>
          <w:sz w:val="14"/>
          <w:szCs w:val="14"/>
        </w:rPr>
        <w:t>,</w:t>
      </w:r>
      <w:r w:rsidR="00667D2C" w:rsidRPr="00667D2C">
        <w:rPr>
          <w:rFonts w:ascii="BodoniSvtyTwoOSITCTT-Book" w:hAnsi="BodoniSvtyTwoOSITCTT-Book"/>
          <w:sz w:val="14"/>
          <w:szCs w:val="14"/>
        </w:rPr>
        <w:t xml:space="preserve"> there can be a positive (but acquired) right to an abortion. </w:t>
      </w:r>
    </w:p>
    <w:p w14:paraId="3A3591FB" w14:textId="2C55DB8A" w:rsidR="00EF65CC" w:rsidRPr="00667D2C" w:rsidRDefault="00667D2C" w:rsidP="00667D2C">
      <w:pPr>
        <w:divId w:val="1480883338"/>
        <w:rPr>
          <w:rFonts w:ascii="Bodoni 72 Oldstyle" w:hAnsi="Bodoni 72 Oldstyle" w:cs="Times New Roman"/>
          <w:color w:val="000000"/>
          <w:kern w:val="0"/>
          <w:sz w:val="14"/>
          <w:szCs w:val="14"/>
          <w14:ligatures w14:val="none"/>
        </w:rPr>
      </w:pPr>
      <w:r w:rsidRPr="00667D2C">
        <w:rPr>
          <w:rFonts w:ascii="BodoniSvtyTwoOSITCTT-Book" w:hAnsi="BodoniSvtyTwoOSITCTT-Book" w:cs="Times New Roman"/>
          <w:color w:val="000000"/>
          <w:kern w:val="0"/>
          <w:sz w:val="14"/>
          <w:szCs w:val="14"/>
          <w14:ligatures w14:val="none"/>
        </w:rPr>
        <w:tab/>
        <w:t xml:space="preserve">Indeed, if contracts can generate positive rights even to the performance of illicit actions, then there can be a positive (but acquired) right to abortion even if there is no negative right to abortion. However, whether contracts can generate positive rights even to the performance of illicit actions is controversial. The issue usually arises in discussions of whether there can be a binding contract in which someone sells herself into slavery. Locke famously denies the legitimacy of such a contract: </w:t>
      </w:r>
      <w:r w:rsidR="003053E2">
        <w:rPr>
          <w:rFonts w:ascii="BodoniSvtyTwoOSITCTT-Book" w:hAnsi="BodoniSvtyTwoOSITCTT-Book" w:cs="Times New Roman"/>
          <w:color w:val="000000"/>
          <w:kern w:val="0"/>
          <w:sz w:val="14"/>
          <w:szCs w:val="14"/>
          <w14:ligatures w14:val="none"/>
        </w:rPr>
        <w:t>“</w:t>
      </w:r>
      <w:r w:rsidRPr="00667D2C">
        <w:rPr>
          <w:rFonts w:ascii="BodoniSvtyTwoOSITCTT-Book" w:hAnsi="BodoniSvtyTwoOSITCTT-Book" w:cs="Times New Roman"/>
          <w:color w:val="000000"/>
          <w:kern w:val="0"/>
          <w:sz w:val="14"/>
          <w:szCs w:val="14"/>
          <w14:ligatures w14:val="none"/>
        </w:rPr>
        <w:t>a man, not having the power of his own life, cannot by compact or his own consent enslave himself to any one, nor put himself under the absolute, arbitrary power of another to take away his life when he pleases</w:t>
      </w:r>
      <w:r w:rsidR="00CE7D07">
        <w:rPr>
          <w:rFonts w:ascii="BodoniSvtyTwoOSITCTT-Book" w:hAnsi="BodoniSvtyTwoOSITCTT-Book" w:cs="Times New Roman"/>
          <w:color w:val="000000"/>
          <w:kern w:val="0"/>
          <w:sz w:val="14"/>
          <w:szCs w:val="14"/>
          <w14:ligatures w14:val="none"/>
        </w:rPr>
        <w:t>”</w:t>
      </w:r>
      <w:r w:rsidRPr="00667D2C">
        <w:rPr>
          <w:rFonts w:ascii="BodoniSvtyTwoOSITCTT-Book" w:hAnsi="BodoniSvtyTwoOSITCTT-Book" w:cs="Times New Roman"/>
          <w:color w:val="000000"/>
          <w:kern w:val="0"/>
          <w:sz w:val="14"/>
          <w:szCs w:val="14"/>
          <w14:ligatures w14:val="none"/>
        </w:rPr>
        <w:t xml:space="preserve"> (Locke, 1980, 2.4.23). Nozick, also famously, disagrees: </w:t>
      </w:r>
      <w:r w:rsidR="00CE7D07">
        <w:rPr>
          <w:rFonts w:ascii="BodoniSvtyTwoOSITCTT-Book" w:hAnsi="BodoniSvtyTwoOSITCTT-Book" w:cs="Times New Roman"/>
          <w:color w:val="000000"/>
          <w:kern w:val="0"/>
          <w:sz w:val="14"/>
          <w:szCs w:val="14"/>
          <w14:ligatures w14:val="none"/>
        </w:rPr>
        <w:t>"</w:t>
      </w:r>
      <w:r w:rsidRPr="00667D2C">
        <w:rPr>
          <w:rFonts w:ascii="BodoniSvtyTwoOSITCTT-Book" w:hAnsi="BodoniSvtyTwoOSITCTT-Book" w:cs="Times New Roman"/>
          <w:color w:val="000000"/>
          <w:kern w:val="0"/>
          <w:sz w:val="14"/>
          <w:szCs w:val="14"/>
          <w14:ligatures w14:val="none"/>
        </w:rPr>
        <w:t>The comparable question about an individual is whether a free system will allow him to sell himself into slavery. I believe that it would</w:t>
      </w:r>
      <w:r w:rsidR="00CE7D07">
        <w:rPr>
          <w:rFonts w:ascii="BodoniSvtyTwoOSITCTT-Book" w:hAnsi="BodoniSvtyTwoOSITCTT-Book" w:cs="Times New Roman"/>
          <w:color w:val="000000"/>
          <w:kern w:val="0"/>
          <w:sz w:val="14"/>
          <w:szCs w:val="14"/>
          <w14:ligatures w14:val="none"/>
        </w:rPr>
        <w:t>"</w:t>
      </w:r>
      <w:r w:rsidRPr="00667D2C">
        <w:rPr>
          <w:rFonts w:ascii="BodoniSvtyTwoOSITCTT-Book" w:hAnsi="BodoniSvtyTwoOSITCTT-Book" w:cs="Times New Roman"/>
          <w:color w:val="000000"/>
          <w:kern w:val="0"/>
          <w:sz w:val="14"/>
          <w:szCs w:val="14"/>
          <w14:ligatures w14:val="none"/>
        </w:rPr>
        <w:t xml:space="preserve"> (Nozick, 1974, 331). As will emerge in section 3 of this </w:t>
      </w:r>
      <w:r w:rsidR="006B626C">
        <w:rPr>
          <w:rFonts w:ascii="BodoniSvtyTwoOSITCTT-Book" w:hAnsi="BodoniSvtyTwoOSITCTT-Book" w:cs="Times New Roman"/>
          <w:color w:val="000000"/>
          <w:kern w:val="0"/>
          <w:sz w:val="14"/>
          <w:szCs w:val="14"/>
          <w14:ligatures w14:val="none"/>
        </w:rPr>
        <w:t>article</w:t>
      </w:r>
      <w:r w:rsidRPr="00667D2C">
        <w:rPr>
          <w:rFonts w:ascii="BodoniSvtyTwoOSITCTT-Book" w:hAnsi="BodoniSvtyTwoOSITCTT-Book" w:cs="Times New Roman"/>
          <w:color w:val="000000"/>
          <w:kern w:val="0"/>
          <w:sz w:val="14"/>
          <w:szCs w:val="14"/>
          <w14:ligatures w14:val="none"/>
        </w:rPr>
        <w:t>, if Kant were to reject the legitimacy of slavery contracts, it could not be on the basis of Locke</w:t>
      </w:r>
      <w:r w:rsidR="00CE7D07">
        <w:rPr>
          <w:rFonts w:ascii="BodoniSvtyTwoOSITCTT-Book" w:hAnsi="BodoniSvtyTwoOSITCTT-Book" w:cs="Times New Roman"/>
          <w:color w:val="000000"/>
          <w:kern w:val="0"/>
          <w:sz w:val="14"/>
          <w:szCs w:val="14"/>
          <w14:ligatures w14:val="none"/>
        </w:rPr>
        <w:t>'</w:t>
      </w:r>
      <w:r w:rsidRPr="00667D2C">
        <w:rPr>
          <w:rFonts w:ascii="BodoniSvtyTwoOSITCTT-Book" w:hAnsi="BodoniSvtyTwoOSITCTT-Book" w:cs="Times New Roman"/>
          <w:color w:val="000000"/>
          <w:kern w:val="0"/>
          <w:sz w:val="14"/>
          <w:szCs w:val="14"/>
          <w14:ligatures w14:val="none"/>
        </w:rPr>
        <w:t>s argument.</w:t>
      </w:r>
    </w:p>
  </w:footnote>
  <w:footnote w:id="3">
    <w:p w14:paraId="37CD8141" w14:textId="1F2DE2E5" w:rsidR="00B740CD" w:rsidRPr="00B740CD" w:rsidRDefault="00B740CD" w:rsidP="00B740CD">
      <w:pPr>
        <w:pStyle w:val="p1"/>
        <w:divId w:val="1169293811"/>
        <w:rPr>
          <w:sz w:val="14"/>
          <w:szCs w:val="14"/>
        </w:rPr>
      </w:pPr>
      <w:r>
        <w:rPr>
          <w:rStyle w:val="FootnoteReference"/>
        </w:rPr>
        <w:footnoteRef/>
      </w:r>
      <w:r>
        <w:t xml:space="preserve"> </w:t>
      </w:r>
      <w:r w:rsidRPr="00B740CD">
        <w:rPr>
          <w:rFonts w:ascii="BodoniSvtyTwoOSITCTT-Book" w:hAnsi="BodoniSvtyTwoOSITCTT-Book"/>
          <w:sz w:val="14"/>
          <w:szCs w:val="14"/>
        </w:rPr>
        <w:t>MS, AA 06: 230.29-31.</w:t>
      </w:r>
    </w:p>
  </w:footnote>
  <w:footnote w:id="4">
    <w:p w14:paraId="16B0D9CF" w14:textId="53CA1D83" w:rsidR="00D27619" w:rsidRPr="00D27619" w:rsidRDefault="00D27619" w:rsidP="00D27619">
      <w:pPr>
        <w:pStyle w:val="p1"/>
        <w:divId w:val="1921719751"/>
        <w:rPr>
          <w:sz w:val="14"/>
          <w:szCs w:val="14"/>
        </w:rPr>
      </w:pPr>
      <w:r>
        <w:rPr>
          <w:rStyle w:val="FootnoteReference"/>
        </w:rPr>
        <w:footnoteRef/>
      </w:r>
      <w:r>
        <w:t xml:space="preserve"> </w:t>
      </w:r>
      <w:r w:rsidRPr="00D27619">
        <w:rPr>
          <w:rFonts w:ascii="BodoniSvtyTwoOSITCTT-Book" w:hAnsi="BodoniSvtyTwoOSITCTT-Book"/>
          <w:sz w:val="14"/>
          <w:szCs w:val="14"/>
        </w:rPr>
        <w:t>MS, AA 06: 231.10-12.</w:t>
      </w:r>
    </w:p>
  </w:footnote>
  <w:footnote w:id="5">
    <w:p w14:paraId="290A905C" w14:textId="3E341A78" w:rsidR="0086674B" w:rsidRPr="0086674B" w:rsidRDefault="0086674B" w:rsidP="0086674B">
      <w:pPr>
        <w:pStyle w:val="p1"/>
        <w:divId w:val="1803183604"/>
        <w:rPr>
          <w:sz w:val="14"/>
          <w:szCs w:val="14"/>
        </w:rPr>
      </w:pPr>
      <w:r>
        <w:rPr>
          <w:rStyle w:val="FootnoteReference"/>
        </w:rPr>
        <w:footnoteRef/>
      </w:r>
      <w:r>
        <w:t xml:space="preserve"> </w:t>
      </w:r>
      <w:r w:rsidRPr="0086674B">
        <w:rPr>
          <w:rFonts w:ascii="BodoniSvtyTwoOSITCTT-Book" w:hAnsi="BodoniSvtyTwoOSITCTT-Book"/>
          <w:sz w:val="14"/>
          <w:szCs w:val="14"/>
        </w:rPr>
        <w:t>GMS, AA 04: 421.07-08, emphasis omitted.</w:t>
      </w:r>
    </w:p>
  </w:footnote>
  <w:footnote w:id="6">
    <w:p w14:paraId="23AB69EA" w14:textId="3987FBAC" w:rsidR="00C211C9" w:rsidRPr="00980394" w:rsidRDefault="00C211C9" w:rsidP="00980394">
      <w:pPr>
        <w:pStyle w:val="p1"/>
        <w:divId w:val="1327590974"/>
        <w:rPr>
          <w:sz w:val="14"/>
          <w:szCs w:val="14"/>
        </w:rPr>
      </w:pPr>
      <w:r>
        <w:rPr>
          <w:rStyle w:val="FootnoteReference"/>
        </w:rPr>
        <w:footnoteRef/>
      </w:r>
      <w:r>
        <w:t xml:space="preserve"> </w:t>
      </w:r>
      <w:r w:rsidR="00980394" w:rsidRPr="00980394">
        <w:rPr>
          <w:rFonts w:ascii="BodoniSvtyTwoOSITCTT-Book" w:hAnsi="BodoniSvtyTwoOSITCTT-Book"/>
          <w:sz w:val="14"/>
          <w:szCs w:val="14"/>
        </w:rPr>
        <w:t xml:space="preserve">Kant makes this explicit later in the Doctrine of Right: </w:t>
      </w:r>
      <w:r w:rsidR="00980394">
        <w:rPr>
          <w:rFonts w:ascii="BodoniSvtyTwoOSITCTT-Book" w:hAnsi="BodoniSvtyTwoOSITCTT-Book"/>
          <w:sz w:val="14"/>
          <w:szCs w:val="14"/>
        </w:rPr>
        <w:t>“</w:t>
      </w:r>
      <w:r w:rsidR="00980394" w:rsidRPr="00980394">
        <w:rPr>
          <w:rFonts w:ascii="BodoniSvtyTwoOSITCTT-Book" w:hAnsi="BodoniSvtyTwoOSITCTT-Book"/>
          <w:sz w:val="14"/>
          <w:szCs w:val="14"/>
        </w:rPr>
        <w:t xml:space="preserve">Now when someone makes arrangements about </w:t>
      </w:r>
      <w:r w:rsidR="00980394" w:rsidRPr="00980394">
        <w:rPr>
          <w:rFonts w:ascii="BodoniSvtyTwoOSITCTT-BookIt" w:hAnsi="BodoniSvtyTwoOSITCTT-BookIt"/>
          <w:i/>
          <w:iCs/>
          <w:sz w:val="14"/>
          <w:szCs w:val="14"/>
        </w:rPr>
        <w:t>another</w:t>
      </w:r>
      <w:r w:rsidR="00980394" w:rsidRPr="00980394">
        <w:rPr>
          <w:rFonts w:ascii="BodoniSvtyTwoOSITCTT-Book" w:hAnsi="BodoniSvtyTwoOSITCTT-Book"/>
          <w:sz w:val="14"/>
          <w:szCs w:val="14"/>
        </w:rPr>
        <w:t xml:space="preserve">, it is always possible for him to do the other wrong; but he can never do wrong in what he decides upon with regard to himself (for </w:t>
      </w:r>
      <w:r w:rsidR="00980394" w:rsidRPr="00980394">
        <w:rPr>
          <w:rFonts w:ascii="BodoniSvtyTwoOSITCTT-BookIt" w:hAnsi="BodoniSvtyTwoOSITCTT-BookIt"/>
          <w:i/>
          <w:iCs/>
          <w:sz w:val="14"/>
          <w:szCs w:val="14"/>
        </w:rPr>
        <w:t>volenti nonfit iniurid</w:t>
      </w:r>
      <w:r w:rsidR="00980394" w:rsidRPr="00980394">
        <w:rPr>
          <w:rFonts w:ascii="BodoniSvtyTwoOSITCTT-Book" w:hAnsi="BodoniSvtyTwoOSITCTT-Book"/>
          <w:sz w:val="14"/>
          <w:szCs w:val="14"/>
        </w:rPr>
        <w:t>)</w:t>
      </w:r>
      <w:r w:rsidR="00980394">
        <w:rPr>
          <w:rFonts w:ascii="BodoniSvtyTwoOSITCTT-Book" w:hAnsi="BodoniSvtyTwoOSITCTT-Book"/>
          <w:sz w:val="14"/>
          <w:szCs w:val="14"/>
        </w:rPr>
        <w:t>"</w:t>
      </w:r>
      <w:r w:rsidR="00980394" w:rsidRPr="00980394">
        <w:rPr>
          <w:rFonts w:ascii="BodoniSvtyTwoOSITCTT-Book" w:hAnsi="BodoniSvtyTwoOSITCTT-Book"/>
          <w:sz w:val="14"/>
          <w:szCs w:val="14"/>
        </w:rPr>
        <w:t xml:space="preserve"> (MS, AA 06: 313.32-34). Similarly, in </w:t>
      </w:r>
      <w:r w:rsidR="00980394" w:rsidRPr="00980394">
        <w:rPr>
          <w:rFonts w:ascii="BodoniSvtyTwoOSITCTT-BookIt" w:hAnsi="BodoniSvtyTwoOSITCTT-BookIt"/>
          <w:i/>
          <w:iCs/>
          <w:sz w:val="14"/>
          <w:szCs w:val="14"/>
        </w:rPr>
        <w:t>On the Common Saying</w:t>
      </w:r>
      <w:r w:rsidR="00980394" w:rsidRPr="00980394">
        <w:rPr>
          <w:rFonts w:ascii="BodoniSvtyTwoOSITCTT-Book" w:hAnsi="BodoniSvtyTwoOSITCTT-Book"/>
          <w:sz w:val="14"/>
          <w:szCs w:val="14"/>
        </w:rPr>
        <w:t xml:space="preserve">, Kant writes that </w:t>
      </w:r>
      <w:r w:rsidR="00980394">
        <w:rPr>
          <w:rFonts w:ascii="BodoniSvtyTwoOSITCTT-Book" w:hAnsi="BodoniSvtyTwoOSITCTT-Book"/>
          <w:sz w:val="14"/>
          <w:szCs w:val="14"/>
        </w:rPr>
        <w:t>“</w:t>
      </w:r>
      <w:r w:rsidR="00980394" w:rsidRPr="00980394">
        <w:rPr>
          <w:rFonts w:ascii="BodoniSvtyTwoOSITCTT-Book" w:hAnsi="BodoniSvtyTwoOSITCTT-Book"/>
          <w:sz w:val="14"/>
          <w:szCs w:val="14"/>
        </w:rPr>
        <w:t>it is only to oneself that one can never do wrong</w:t>
      </w:r>
      <w:r w:rsidR="00980394">
        <w:rPr>
          <w:rFonts w:ascii="BodoniSvtyTwoOSITCTT-Book" w:hAnsi="BodoniSvtyTwoOSITCTT-Book"/>
          <w:sz w:val="14"/>
          <w:szCs w:val="14"/>
        </w:rPr>
        <w:t>"</w:t>
      </w:r>
      <w:r w:rsidR="00980394" w:rsidRPr="00980394">
        <w:rPr>
          <w:rFonts w:ascii="BodoniSvtyTwoOSITCTT-Book" w:hAnsi="BodoniSvtyTwoOSITCTT-Book"/>
          <w:sz w:val="14"/>
          <w:szCs w:val="14"/>
        </w:rPr>
        <w:t xml:space="preserve"> (TP, AA 08: 294.18-295.01). I owe these references to (Lafont, 2012, 282 and 283, respectively).</w:t>
      </w:r>
    </w:p>
  </w:footnote>
  <w:footnote w:id="7">
    <w:p w14:paraId="4B25EB5F" w14:textId="4F13BB9D" w:rsidR="00916CBE" w:rsidRPr="00916CBE" w:rsidRDefault="00916CBE" w:rsidP="00916CBE">
      <w:pPr>
        <w:pStyle w:val="p1"/>
        <w:divId w:val="1070272496"/>
        <w:rPr>
          <w:sz w:val="14"/>
          <w:szCs w:val="14"/>
        </w:rPr>
      </w:pPr>
      <w:r>
        <w:rPr>
          <w:rStyle w:val="FootnoteReference"/>
        </w:rPr>
        <w:footnoteRef/>
      </w:r>
      <w:r>
        <w:t xml:space="preserve"> </w:t>
      </w:r>
      <w:r w:rsidRPr="00916CBE">
        <w:rPr>
          <w:rFonts w:ascii="BodoniSvtyTwoOSITCTT-Book" w:hAnsi="BodoniSvtyTwoOSITCTT-Book"/>
          <w:sz w:val="14"/>
          <w:szCs w:val="14"/>
        </w:rPr>
        <w:t>MS, AA 06: 231.28-32.</w:t>
      </w:r>
    </w:p>
  </w:footnote>
  <w:footnote w:id="8">
    <w:p w14:paraId="72764931" w14:textId="6BFE6760" w:rsidR="00972285" w:rsidRPr="00972285" w:rsidRDefault="00972285" w:rsidP="00972285">
      <w:pPr>
        <w:pStyle w:val="p1"/>
        <w:divId w:val="1070468932"/>
        <w:rPr>
          <w:sz w:val="14"/>
          <w:szCs w:val="14"/>
        </w:rPr>
      </w:pPr>
      <w:r>
        <w:rPr>
          <w:rStyle w:val="FootnoteReference"/>
        </w:rPr>
        <w:footnoteRef/>
      </w:r>
      <w:r>
        <w:t xml:space="preserve"> </w:t>
      </w:r>
      <w:r w:rsidRPr="00972285">
        <w:rPr>
          <w:rFonts w:ascii="BodoniSvtyTwoOSITCTT-Book" w:hAnsi="BodoniSvtyTwoOSITCTT-Book"/>
          <w:sz w:val="14"/>
          <w:szCs w:val="14"/>
        </w:rPr>
        <w:t>(Ellis, 2003).</w:t>
      </w:r>
    </w:p>
  </w:footnote>
  <w:footnote w:id="9">
    <w:p w14:paraId="33748775" w14:textId="28903268" w:rsidR="00E47726" w:rsidRPr="00E47726" w:rsidRDefault="00E47726" w:rsidP="00E47726">
      <w:pPr>
        <w:pStyle w:val="p1"/>
        <w:divId w:val="831678434"/>
        <w:rPr>
          <w:sz w:val="14"/>
          <w:szCs w:val="14"/>
        </w:rPr>
      </w:pPr>
      <w:r>
        <w:rPr>
          <w:rStyle w:val="FootnoteReference"/>
        </w:rPr>
        <w:footnoteRef/>
      </w:r>
      <w:r>
        <w:t xml:space="preserve"> </w:t>
      </w:r>
      <w:r w:rsidRPr="00E47726">
        <w:rPr>
          <w:rFonts w:ascii="BodoniSvtyTwoOSITCTT-Book" w:hAnsi="BodoniSvtyTwoOSITCTT-Book"/>
          <w:sz w:val="14"/>
          <w:szCs w:val="14"/>
        </w:rPr>
        <w:t>(Oduncu, 2003, quoted in Manninen, 2008, 2).</w:t>
      </w:r>
    </w:p>
  </w:footnote>
  <w:footnote w:id="10">
    <w:p w14:paraId="61BBBD8A" w14:textId="1C85D257" w:rsidR="006718AF" w:rsidRPr="006718AF" w:rsidRDefault="006718AF" w:rsidP="006718AF">
      <w:pPr>
        <w:pStyle w:val="p1"/>
        <w:divId w:val="262422939"/>
        <w:rPr>
          <w:sz w:val="14"/>
          <w:szCs w:val="14"/>
        </w:rPr>
      </w:pPr>
      <w:r>
        <w:rPr>
          <w:rStyle w:val="FootnoteReference"/>
        </w:rPr>
        <w:footnoteRef/>
      </w:r>
      <w:r>
        <w:t xml:space="preserve"> </w:t>
      </w:r>
      <w:r w:rsidRPr="006718AF">
        <w:rPr>
          <w:rFonts w:ascii="BodoniSvtyTwoOSITCTT-Book" w:hAnsi="BodoniSvtyTwoOSITCTT-Book"/>
          <w:sz w:val="14"/>
          <w:szCs w:val="14"/>
        </w:rPr>
        <w:t>(Papadaki, 2012, 164, quoted in Manninen, 2014, 73).</w:t>
      </w:r>
    </w:p>
  </w:footnote>
  <w:footnote w:id="11">
    <w:p w14:paraId="7E58DCD4" w14:textId="603496C0" w:rsidR="0074660C" w:rsidRPr="0074660C" w:rsidRDefault="0074660C" w:rsidP="0074660C">
      <w:pPr>
        <w:pStyle w:val="p1"/>
        <w:divId w:val="577862229"/>
        <w:rPr>
          <w:sz w:val="14"/>
          <w:szCs w:val="14"/>
        </w:rPr>
      </w:pPr>
      <w:r>
        <w:rPr>
          <w:rStyle w:val="FootnoteReference"/>
        </w:rPr>
        <w:footnoteRef/>
      </w:r>
      <w:r>
        <w:t xml:space="preserve"> </w:t>
      </w:r>
      <w:r w:rsidRPr="0074660C">
        <w:rPr>
          <w:rFonts w:ascii="BodoniSvtyTwoOSITCTT-Book" w:hAnsi="BodoniSvtyTwoOSITCTT-Book"/>
          <w:sz w:val="14"/>
          <w:szCs w:val="14"/>
        </w:rPr>
        <w:t>(Manninen, 2008, 2). Manninen</w:t>
      </w:r>
      <w:r>
        <w:rPr>
          <w:rFonts w:ascii="BodoniSvtyTwoOSITCTT-Book" w:hAnsi="BodoniSvtyTwoOSITCTT-Book"/>
          <w:sz w:val="14"/>
          <w:szCs w:val="14"/>
        </w:rPr>
        <w:t>’</w:t>
      </w:r>
      <w:r w:rsidRPr="0074660C">
        <w:rPr>
          <w:rFonts w:ascii="BodoniSvtyTwoOSITCTT-Book" w:hAnsi="BodoniSvtyTwoOSITCTT-Book"/>
          <w:sz w:val="14"/>
          <w:szCs w:val="14"/>
        </w:rPr>
        <w:t xml:space="preserve">s argument for the claim to which this footnote is appended, which she repeats in her 2014, is that, given the metaphysics of Kant's transcendental idealism, </w:t>
      </w:r>
      <w:r w:rsidR="00705420">
        <w:rPr>
          <w:rFonts w:ascii="BodoniSvtyTwoOSITCTT-Book" w:hAnsi="BodoniSvtyTwoOSITCTT-Book"/>
          <w:sz w:val="14"/>
          <w:szCs w:val="14"/>
        </w:rPr>
        <w:t>“</w:t>
      </w:r>
      <w:r w:rsidRPr="0074660C">
        <w:rPr>
          <w:rFonts w:ascii="BodoniSvtyTwoOSITCTT-Book" w:hAnsi="BodoniSvtyTwoOSITCTT-Book"/>
          <w:sz w:val="14"/>
          <w:szCs w:val="14"/>
        </w:rPr>
        <w:t>conception cannot be causally responsible for the creation of a being endowed with the transcendental, supersensible, capacity for reason</w:t>
      </w:r>
      <w:r w:rsidR="00705420">
        <w:rPr>
          <w:rFonts w:ascii="BodoniSvtyTwoOSITCTT-Book" w:hAnsi="BodoniSvtyTwoOSITCTT-Book"/>
          <w:sz w:val="14"/>
          <w:szCs w:val="14"/>
        </w:rPr>
        <w:t>”</w:t>
      </w:r>
      <w:r w:rsidRPr="0074660C">
        <w:rPr>
          <w:rFonts w:ascii="BodoniSvtyTwoOSITCTT-Book" w:hAnsi="BodoniSvtyTwoOSITCTT-Book"/>
          <w:sz w:val="14"/>
          <w:szCs w:val="14"/>
        </w:rPr>
        <w:t xml:space="preserve"> (Manninen, 2008, 8). I do not wish to defend the idea that the right to life begins at conception. However, I also do not think that Manninen</w:t>
      </w:r>
      <w:r w:rsidR="00705420">
        <w:rPr>
          <w:rFonts w:ascii="BodoniSvtyTwoOSITCTT-Book" w:hAnsi="BodoniSvtyTwoOSITCTT-Book"/>
          <w:sz w:val="14"/>
          <w:szCs w:val="14"/>
        </w:rPr>
        <w:t>’</w:t>
      </w:r>
      <w:r w:rsidRPr="0074660C">
        <w:rPr>
          <w:rFonts w:ascii="BodoniSvtyTwoOSITCTT-Book" w:hAnsi="BodoniSvtyTwoOSITCTT-Book"/>
          <w:sz w:val="14"/>
          <w:szCs w:val="14"/>
        </w:rPr>
        <w:t>s argument against this idea withstands critical scrutiny: the people with whom she is in dialogue do not seem to subscribe, nor do they need to subscribe, to the metaphysics of transcendental idealism.</w:t>
      </w:r>
    </w:p>
  </w:footnote>
  <w:footnote w:id="12">
    <w:p w14:paraId="7D7249A0" w14:textId="24CD86CA" w:rsidR="005253AC" w:rsidRPr="002D0271" w:rsidRDefault="005253AC" w:rsidP="002D0271">
      <w:pPr>
        <w:pStyle w:val="p1"/>
        <w:divId w:val="384450811"/>
        <w:rPr>
          <w:sz w:val="14"/>
          <w:szCs w:val="14"/>
        </w:rPr>
      </w:pPr>
      <w:r>
        <w:rPr>
          <w:rStyle w:val="FootnoteReference"/>
        </w:rPr>
        <w:footnoteRef/>
      </w:r>
      <w:r>
        <w:t xml:space="preserve"> </w:t>
      </w:r>
      <w:r w:rsidR="002D0271" w:rsidRPr="002D0271">
        <w:rPr>
          <w:rFonts w:ascii="BodoniSvtyTwoOSITCTT-Book" w:hAnsi="BodoniSvtyTwoOSITCTT-Book"/>
          <w:sz w:val="14"/>
          <w:szCs w:val="14"/>
        </w:rPr>
        <w:t>There is an important distinction between Varden and the other authors in the paragraph to which this note is appended. As the quotation above indicates, Varden is talking about a legal conception of personhood, and she explicitly distinguishes legal personhood from ethical, metaphysical, or theological personhood (Varden, 2020, chapter 5, esp. section 1.1). Varden</w:t>
      </w:r>
      <w:r w:rsidR="002D0271">
        <w:rPr>
          <w:rFonts w:ascii="BodoniSvtyTwoOSITCTT-Book" w:hAnsi="BodoniSvtyTwoOSITCTT-Book"/>
          <w:sz w:val="14"/>
          <w:szCs w:val="14"/>
        </w:rPr>
        <w:t>’</w:t>
      </w:r>
      <w:r w:rsidR="002D0271" w:rsidRPr="002D0271">
        <w:rPr>
          <w:rFonts w:ascii="BodoniSvtyTwoOSITCTT-Book" w:hAnsi="BodoniSvtyTwoOSITCTT-Book"/>
          <w:sz w:val="14"/>
          <w:szCs w:val="14"/>
        </w:rPr>
        <w:t>s idea seems to be that, although someone might subscribe to a particular notion of personhood as part of her comprehensive worldview, legal personhood is distinct from this, and legal personhood is what is relevant as far as the innate right to freedom is concerned. There are two things that are of note here. First, even if there were an overlapping consensus regarding the legal conception of personhood, this still, for the reasons I go on to detail in the next two paragraphs, would not suffice to determine Kant</w:t>
      </w:r>
      <w:r w:rsidR="006248CC">
        <w:rPr>
          <w:rFonts w:ascii="BodoniSvtyTwoOSITCTT-Book" w:hAnsi="BodoniSvtyTwoOSITCTT-Book"/>
          <w:sz w:val="14"/>
          <w:szCs w:val="14"/>
        </w:rPr>
        <w:t>’</w:t>
      </w:r>
      <w:r w:rsidR="002D0271" w:rsidRPr="002D0271">
        <w:rPr>
          <w:rFonts w:ascii="BodoniSvtyTwoOSITCTT-Book" w:hAnsi="BodoniSvtyTwoOSITCTT-Book"/>
          <w:sz w:val="14"/>
          <w:szCs w:val="14"/>
        </w:rPr>
        <w:t>s stance on abortion. Second, although I agree with Varden</w:t>
      </w:r>
      <w:r w:rsidR="006248CC">
        <w:rPr>
          <w:rFonts w:ascii="BodoniSvtyTwoOSITCTT-Book" w:hAnsi="BodoniSvtyTwoOSITCTT-Book"/>
          <w:sz w:val="14"/>
          <w:szCs w:val="14"/>
        </w:rPr>
        <w:t>’</w:t>
      </w:r>
      <w:r w:rsidR="002D0271" w:rsidRPr="002D0271">
        <w:rPr>
          <w:rFonts w:ascii="BodoniSvtyTwoOSITCTT-Book" w:hAnsi="BodoniSvtyTwoOSITCTT-Book"/>
          <w:sz w:val="14"/>
          <w:szCs w:val="14"/>
        </w:rPr>
        <w:t>s introduction of the legal conception of personhood, I suspect she is too optimistic in thinking that the introduction of this concept will bypass, rather than relocate or reframe, personhood debates (i.e., I do not think that any such overlapping consensus will be forthcoming). Indeed, some might take issue with the idea that spontaneous movement is the appropriate time-point for the ascription of legal personhood even from within a Kantian framework--at least on some accounts, what is necessary for legal personhood, from a Kantian framework, is not the possibility of external action but, rather, the possibility of legal imputation of external action (Geismann, 2004, 458-459).</w:t>
      </w:r>
    </w:p>
  </w:footnote>
  <w:footnote w:id="13">
    <w:p w14:paraId="0E257CE8" w14:textId="2EB2C58A" w:rsidR="0093025F" w:rsidRPr="0093025F" w:rsidRDefault="0093025F" w:rsidP="0093025F">
      <w:pPr>
        <w:pStyle w:val="p1"/>
        <w:divId w:val="345601613"/>
        <w:rPr>
          <w:sz w:val="14"/>
          <w:szCs w:val="14"/>
        </w:rPr>
      </w:pPr>
      <w:r>
        <w:rPr>
          <w:rStyle w:val="FootnoteReference"/>
        </w:rPr>
        <w:footnoteRef/>
      </w:r>
      <w:r>
        <w:t xml:space="preserve"> </w:t>
      </w:r>
      <w:r w:rsidRPr="0093025F">
        <w:rPr>
          <w:rFonts w:ascii="BodoniSvtyTwoOSITCTT-Book" w:hAnsi="BodoniSvtyTwoOSITCTT-Book"/>
          <w:sz w:val="14"/>
          <w:szCs w:val="14"/>
        </w:rPr>
        <w:t>GMS, AA 04: 429.1</w:t>
      </w:r>
      <w:r w:rsidR="00F460EC">
        <w:rPr>
          <w:rFonts w:ascii="BodoniSvtyTwoOSITCTT-Book" w:hAnsi="BodoniSvtyTwoOSITCTT-Book"/>
          <w:sz w:val="14"/>
          <w:szCs w:val="14"/>
        </w:rPr>
        <w:t>0</w:t>
      </w:r>
      <w:r w:rsidRPr="0093025F">
        <w:rPr>
          <w:rFonts w:ascii="BodoniSvtyTwoOSITCTT-Book" w:hAnsi="BodoniSvtyTwoOSITCTT-Book"/>
          <w:sz w:val="14"/>
          <w:szCs w:val="14"/>
        </w:rPr>
        <w:t>-1</w:t>
      </w:r>
      <w:r w:rsidR="00F460EC">
        <w:rPr>
          <w:rFonts w:ascii="BodoniSvtyTwoOSITCTT-Book" w:hAnsi="BodoniSvtyTwoOSITCTT-Book"/>
          <w:sz w:val="14"/>
          <w:szCs w:val="14"/>
        </w:rPr>
        <w:t>2</w:t>
      </w:r>
      <w:r w:rsidRPr="0093025F">
        <w:rPr>
          <w:rFonts w:ascii="BodoniSvtyTwoOSITCTT-Book" w:hAnsi="BodoniSvtyTwoOSITCTT-Book"/>
          <w:sz w:val="14"/>
          <w:szCs w:val="14"/>
        </w:rPr>
        <w:t>, emphasis omitted.</w:t>
      </w:r>
    </w:p>
  </w:footnote>
  <w:footnote w:id="14">
    <w:p w14:paraId="60A00608" w14:textId="3040DFAD" w:rsidR="00F92613" w:rsidRPr="00F92613" w:rsidRDefault="00F92613" w:rsidP="00F92613">
      <w:pPr>
        <w:pStyle w:val="p1"/>
        <w:divId w:val="574752269"/>
        <w:rPr>
          <w:sz w:val="14"/>
          <w:szCs w:val="14"/>
        </w:rPr>
      </w:pPr>
      <w:r>
        <w:rPr>
          <w:rStyle w:val="FootnoteReference"/>
        </w:rPr>
        <w:footnoteRef/>
      </w:r>
      <w:r>
        <w:t xml:space="preserve"> </w:t>
      </w:r>
      <w:r w:rsidRPr="00F92613">
        <w:rPr>
          <w:rFonts w:ascii="BodoniSvtyTwoOSITCTT-Book" w:hAnsi="BodoniSvtyTwoOSITCTT-Book"/>
          <w:sz w:val="14"/>
          <w:szCs w:val="14"/>
        </w:rPr>
        <w:t xml:space="preserve">(Denis, 2007, 547). One rationale Denis offers in favor of this approach is that </w:t>
      </w:r>
      <w:r>
        <w:rPr>
          <w:rFonts w:ascii="BodoniSvtyTwoOSITCTT-Book" w:hAnsi="BodoniSvtyTwoOSITCTT-Book"/>
          <w:sz w:val="14"/>
          <w:szCs w:val="14"/>
        </w:rPr>
        <w:t>“</w:t>
      </w:r>
      <w:r w:rsidRPr="00F92613">
        <w:rPr>
          <w:rFonts w:ascii="BodoniSvtyTwoOSITCTT-Book" w:hAnsi="BodoniSvtyTwoOSITCTT-Book"/>
          <w:sz w:val="14"/>
          <w:szCs w:val="14"/>
        </w:rPr>
        <w:t>it seems to offer a method for evaluating maxims of abortion that eschews the contentious question of whether the fetus is a person</w:t>
      </w:r>
      <w:r>
        <w:rPr>
          <w:rFonts w:ascii="BodoniSvtyTwoOSITCTT-Book" w:hAnsi="BodoniSvtyTwoOSITCTT-Book"/>
          <w:sz w:val="14"/>
          <w:szCs w:val="14"/>
        </w:rPr>
        <w:t>”</w:t>
      </w:r>
      <w:r w:rsidRPr="00F92613">
        <w:rPr>
          <w:rFonts w:ascii="BodoniSvtyTwoOSITCTT-Book" w:hAnsi="BodoniSvtyTwoOSITCTT-Book"/>
          <w:sz w:val="14"/>
          <w:szCs w:val="14"/>
        </w:rPr>
        <w:t xml:space="preserve"> (Denis, 2007, 547). However, by the end of her article, Denis argues that this seeming is illusory: </w:t>
      </w:r>
      <w:r>
        <w:rPr>
          <w:rFonts w:ascii="BodoniSvtyTwoOSITCTT-Book" w:hAnsi="BodoniSvtyTwoOSITCTT-Book"/>
          <w:sz w:val="14"/>
          <w:szCs w:val="14"/>
        </w:rPr>
        <w:t>“</w:t>
      </w:r>
      <w:r w:rsidRPr="00F92613">
        <w:rPr>
          <w:rFonts w:ascii="BodoniSvtyTwoOSITCTT-Book" w:hAnsi="BodoniSvtyTwoOSITCTT-Book"/>
          <w:sz w:val="14"/>
          <w:szCs w:val="14"/>
        </w:rPr>
        <w:t>Regardless of interpretation, however, FUL/N is unable to deliver much in the way of verdicts on maxims of abortion independent of decisions about whether to consider the fetus a rational agent (or member of a community of mutual aid)</w:t>
      </w:r>
      <w:r w:rsidR="000668A5">
        <w:rPr>
          <w:rFonts w:ascii="BodoniSvtyTwoOSITCTT-Book" w:hAnsi="BodoniSvtyTwoOSITCTT-Book"/>
          <w:sz w:val="14"/>
          <w:szCs w:val="14"/>
        </w:rPr>
        <w:t>”</w:t>
      </w:r>
      <w:r w:rsidRPr="00F92613">
        <w:rPr>
          <w:rFonts w:ascii="BodoniSvtyTwoOSITCTT-Book" w:hAnsi="BodoniSvtyTwoOSITCTT-Book"/>
          <w:sz w:val="14"/>
          <w:szCs w:val="14"/>
        </w:rPr>
        <w:t xml:space="preserve"> (Denis, 2007, 578). By way of contrast, as will emerge below, my approach, focusing on the RPC, really does enable us to move away from the contentious question of whether a fetus is a person.</w:t>
      </w:r>
    </w:p>
  </w:footnote>
  <w:footnote w:id="15">
    <w:p w14:paraId="429DEE38" w14:textId="29B50F00" w:rsidR="00457DCC" w:rsidRPr="00457DCC" w:rsidRDefault="00457DCC" w:rsidP="00457DCC">
      <w:pPr>
        <w:pStyle w:val="p1"/>
        <w:divId w:val="744649447"/>
        <w:rPr>
          <w:sz w:val="14"/>
          <w:szCs w:val="14"/>
        </w:rPr>
      </w:pPr>
      <w:r>
        <w:rPr>
          <w:rStyle w:val="FootnoteReference"/>
        </w:rPr>
        <w:footnoteRef/>
      </w:r>
      <w:r>
        <w:t xml:space="preserve"> </w:t>
      </w:r>
      <w:r w:rsidRPr="00457DCC">
        <w:rPr>
          <w:rFonts w:ascii="BodoniSvtyTwoOSITCTT-Book" w:hAnsi="BodoniSvtyTwoOSITCTT-Book"/>
          <w:sz w:val="14"/>
          <w:szCs w:val="14"/>
        </w:rPr>
        <w:t>(Gensler, 1986, quoted in Denis, 2007); (Hare, 1989, quoted in Denis, 2007); (Denis, 2008, 118). As noted in (Denis, 2007), the Kantian pedigrees of both Gensler</w:t>
      </w:r>
      <w:r>
        <w:rPr>
          <w:rFonts w:ascii="BodoniSvtyTwoOSITCTT-Book" w:hAnsi="BodoniSvtyTwoOSITCTT-Book"/>
          <w:sz w:val="14"/>
          <w:szCs w:val="14"/>
        </w:rPr>
        <w:t>'</w:t>
      </w:r>
      <w:r w:rsidRPr="00457DCC">
        <w:rPr>
          <w:rFonts w:ascii="BodoniSvtyTwoOSITCTT-Book" w:hAnsi="BodoniSvtyTwoOSITCTT-Book"/>
          <w:sz w:val="14"/>
          <w:szCs w:val="14"/>
        </w:rPr>
        <w:t>s and Hare</w:t>
      </w:r>
      <w:r>
        <w:rPr>
          <w:rFonts w:ascii="BodoniSvtyTwoOSITCTT-Book" w:hAnsi="BodoniSvtyTwoOSITCTT-Book"/>
          <w:sz w:val="14"/>
          <w:szCs w:val="14"/>
        </w:rPr>
        <w:t>’</w:t>
      </w:r>
      <w:r w:rsidRPr="00457DCC">
        <w:rPr>
          <w:rFonts w:ascii="BodoniSvtyTwoOSITCTT-Book" w:hAnsi="BodoniSvtyTwoOSITCTT-Book"/>
          <w:sz w:val="14"/>
          <w:szCs w:val="14"/>
        </w:rPr>
        <w:t>s arguments are questionable.</w:t>
      </w:r>
    </w:p>
  </w:footnote>
  <w:footnote w:id="16">
    <w:p w14:paraId="0CE0E3F1" w14:textId="22C5E15D" w:rsidR="00A96536" w:rsidRPr="00A96536" w:rsidRDefault="00A96536" w:rsidP="00A96536">
      <w:pPr>
        <w:pStyle w:val="p1"/>
        <w:divId w:val="1102915747"/>
        <w:rPr>
          <w:sz w:val="14"/>
          <w:szCs w:val="14"/>
        </w:rPr>
      </w:pPr>
      <w:r>
        <w:rPr>
          <w:rStyle w:val="FootnoteReference"/>
        </w:rPr>
        <w:footnoteRef/>
      </w:r>
      <w:r>
        <w:t xml:space="preserve"> </w:t>
      </w:r>
      <w:r w:rsidRPr="00A96536">
        <w:rPr>
          <w:rFonts w:ascii="BodoniSvtyTwoOSITCTT-Book" w:hAnsi="BodoniSvtyTwoOSITCTT-Book"/>
          <w:sz w:val="14"/>
          <w:szCs w:val="14"/>
        </w:rPr>
        <w:t>(Hursthouse, 1991).</w:t>
      </w:r>
    </w:p>
  </w:footnote>
  <w:footnote w:id="17">
    <w:p w14:paraId="13CF0740" w14:textId="10223A48" w:rsidR="00FF1619" w:rsidRPr="00FF1619" w:rsidRDefault="00FF1619" w:rsidP="00FF1619">
      <w:pPr>
        <w:pStyle w:val="p1"/>
        <w:divId w:val="1502624829"/>
        <w:rPr>
          <w:sz w:val="14"/>
          <w:szCs w:val="14"/>
        </w:rPr>
      </w:pPr>
      <w:r>
        <w:rPr>
          <w:rStyle w:val="FootnoteReference"/>
        </w:rPr>
        <w:footnoteRef/>
      </w:r>
      <w:r>
        <w:t xml:space="preserve"> </w:t>
      </w:r>
      <w:r w:rsidRPr="00FF1619">
        <w:rPr>
          <w:rFonts w:ascii="BodoniSvtyTwoOSITCTT-Book" w:hAnsi="BodoniSvtyTwoOSITCTT-Book"/>
          <w:sz w:val="14"/>
          <w:szCs w:val="14"/>
        </w:rPr>
        <w:t>MS, AA 06: 234.19-20.</w:t>
      </w:r>
    </w:p>
  </w:footnote>
  <w:footnote w:id="18">
    <w:p w14:paraId="42003984" w14:textId="29D314BC" w:rsidR="00AD3C99" w:rsidRPr="00AD3C99" w:rsidRDefault="00AD3C99" w:rsidP="00AD3C99">
      <w:pPr>
        <w:pStyle w:val="p1"/>
        <w:divId w:val="1521164481"/>
        <w:rPr>
          <w:sz w:val="14"/>
          <w:szCs w:val="14"/>
        </w:rPr>
      </w:pPr>
      <w:r>
        <w:rPr>
          <w:rStyle w:val="FootnoteReference"/>
        </w:rPr>
        <w:footnoteRef/>
      </w:r>
      <w:r>
        <w:t xml:space="preserve"> </w:t>
      </w:r>
      <w:r w:rsidRPr="00AD3C99">
        <w:rPr>
          <w:rFonts w:ascii="BodoniSvtyTwoOSITCTT-Book" w:hAnsi="BodoniSvtyTwoOSITCTT-Book"/>
          <w:sz w:val="14"/>
          <w:szCs w:val="14"/>
        </w:rPr>
        <w:t>MS, AA 06: 235.09-10 (emphasis omitted).</w:t>
      </w:r>
    </w:p>
  </w:footnote>
  <w:footnote w:id="19">
    <w:p w14:paraId="051A3967" w14:textId="2F5D5FED" w:rsidR="00FA5ACE" w:rsidRPr="00FA5ACE" w:rsidRDefault="00FA5ACE" w:rsidP="00FA5ACE">
      <w:pPr>
        <w:pStyle w:val="p1"/>
        <w:divId w:val="359820776"/>
        <w:rPr>
          <w:sz w:val="14"/>
          <w:szCs w:val="14"/>
        </w:rPr>
      </w:pPr>
      <w:r>
        <w:rPr>
          <w:rStyle w:val="FootnoteReference"/>
        </w:rPr>
        <w:footnoteRef/>
      </w:r>
      <w:r>
        <w:t xml:space="preserve"> </w:t>
      </w:r>
      <w:r w:rsidRPr="00FA5ACE">
        <w:rPr>
          <w:rFonts w:ascii="BodoniSvtyTwoOSITCTT-Book" w:hAnsi="BodoniSvtyTwoOSITCTT-Book"/>
          <w:sz w:val="14"/>
          <w:szCs w:val="14"/>
        </w:rPr>
        <w:t>See (Frowe, 2014, esp. chapter 2).</w:t>
      </w:r>
    </w:p>
  </w:footnote>
  <w:footnote w:id="20">
    <w:p w14:paraId="1656F14A" w14:textId="616A87F7" w:rsidR="00215BA1" w:rsidRPr="00215BA1" w:rsidRDefault="00215BA1" w:rsidP="00215BA1">
      <w:pPr>
        <w:pStyle w:val="p1"/>
        <w:divId w:val="1561205903"/>
        <w:rPr>
          <w:sz w:val="14"/>
          <w:szCs w:val="14"/>
        </w:rPr>
      </w:pPr>
      <w:r>
        <w:rPr>
          <w:rStyle w:val="FootnoteReference"/>
        </w:rPr>
        <w:footnoteRef/>
      </w:r>
      <w:r>
        <w:t xml:space="preserve"> </w:t>
      </w:r>
      <w:r w:rsidRPr="00215BA1">
        <w:rPr>
          <w:rFonts w:ascii="BodoniSvtyTwoOSITCTT-Book" w:hAnsi="BodoniSvtyTwoOSITCTT-Book"/>
          <w:sz w:val="14"/>
          <w:szCs w:val="14"/>
        </w:rPr>
        <w:t>MS, AA 06: 235.35-236.02.</w:t>
      </w:r>
    </w:p>
  </w:footnote>
  <w:footnote w:id="21">
    <w:p w14:paraId="0E39BFF2" w14:textId="78BBB027" w:rsidR="00F37ABD" w:rsidRPr="00F37ABD" w:rsidRDefault="00F37ABD" w:rsidP="00F37ABD">
      <w:pPr>
        <w:pStyle w:val="p1"/>
        <w:divId w:val="1540700898"/>
        <w:rPr>
          <w:sz w:val="14"/>
          <w:szCs w:val="14"/>
        </w:rPr>
      </w:pPr>
      <w:r>
        <w:rPr>
          <w:rStyle w:val="FootnoteReference"/>
        </w:rPr>
        <w:footnoteRef/>
      </w:r>
      <w:r>
        <w:t xml:space="preserve"> </w:t>
      </w:r>
      <w:r w:rsidRPr="00F37ABD">
        <w:rPr>
          <w:rFonts w:ascii="BodoniSvtyTwoOSITCTT-Book" w:hAnsi="BodoniSvtyTwoOSITCTT-Book"/>
          <w:sz w:val="14"/>
          <w:szCs w:val="14"/>
        </w:rPr>
        <w:t xml:space="preserve">Must the culpable threat be a threat to my life? What if it is a threat to cut off my arm? My hand? My finger? </w:t>
      </w:r>
      <w:r w:rsidR="002F138A">
        <w:rPr>
          <w:rFonts w:ascii="BodoniSvtyTwoOSITCTT-Book" w:hAnsi="BodoniSvtyTwoOSITCTT-Book"/>
          <w:sz w:val="14"/>
          <w:szCs w:val="14"/>
        </w:rPr>
        <w:t>If I am not j</w:t>
      </w:r>
      <w:r w:rsidR="00FB59DA">
        <w:rPr>
          <w:rFonts w:ascii="BodoniSvtyTwoOSITCTT-Book" w:hAnsi="BodoniSvtyTwoOSITCTT-Book"/>
          <w:sz w:val="14"/>
          <w:szCs w:val="14"/>
        </w:rPr>
        <w:t xml:space="preserve">ustified in taking a life in this last case, am I justified in taking a finger? </w:t>
      </w:r>
      <w:r w:rsidRPr="00F37ABD">
        <w:rPr>
          <w:rFonts w:ascii="BodoniSvtyTwoOSITCTT-Book" w:hAnsi="BodoniSvtyTwoOSITCTT-Book"/>
          <w:sz w:val="14"/>
          <w:szCs w:val="14"/>
        </w:rPr>
        <w:t>Unfortunately, Kant does not settle these difficult questions.</w:t>
      </w:r>
    </w:p>
  </w:footnote>
  <w:footnote w:id="22">
    <w:p w14:paraId="7085F04C" w14:textId="4050425E" w:rsidR="002B26CD" w:rsidRPr="002B26CD" w:rsidRDefault="002B26CD" w:rsidP="002B26CD">
      <w:pPr>
        <w:pStyle w:val="p1"/>
        <w:divId w:val="1474367012"/>
        <w:rPr>
          <w:sz w:val="14"/>
          <w:szCs w:val="14"/>
        </w:rPr>
      </w:pPr>
      <w:r>
        <w:rPr>
          <w:rStyle w:val="FootnoteReference"/>
        </w:rPr>
        <w:footnoteRef/>
      </w:r>
      <w:r>
        <w:t xml:space="preserve"> </w:t>
      </w:r>
      <w:r w:rsidRPr="002B26CD">
        <w:rPr>
          <w:rFonts w:ascii="BodoniSvtyTwoOSITCTT-Book" w:hAnsi="BodoniSvtyTwoOSITCTT-Book"/>
          <w:sz w:val="14"/>
          <w:szCs w:val="14"/>
        </w:rPr>
        <w:t>Refl, AA 19: 305.18-19, my translation.</w:t>
      </w:r>
    </w:p>
  </w:footnote>
  <w:footnote w:id="23">
    <w:p w14:paraId="614D29EE" w14:textId="4DC6BB9E" w:rsidR="00F72755" w:rsidRPr="00F72755" w:rsidRDefault="00F72755">
      <w:pPr>
        <w:pStyle w:val="p1"/>
        <w:divId w:val="46879626"/>
        <w:rPr>
          <w:sz w:val="14"/>
          <w:szCs w:val="14"/>
        </w:rPr>
      </w:pPr>
      <w:r>
        <w:rPr>
          <w:rStyle w:val="FootnoteReference"/>
        </w:rPr>
        <w:footnoteRef/>
      </w:r>
      <w:r>
        <w:t xml:space="preserve"> </w:t>
      </w:r>
      <w:r w:rsidRPr="00F72755">
        <w:rPr>
          <w:rFonts w:ascii="BodoniSvtyTwoOSITCTT-Book" w:hAnsi="BodoniSvtyTwoOSITCTT-Book"/>
          <w:sz w:val="14"/>
          <w:szCs w:val="14"/>
        </w:rPr>
        <w:t xml:space="preserve">One might object that Kant shows some uncertainty at this point in the text. That is, Kant says that, although strict rights are connected to an authorization to coerce, </w:t>
      </w:r>
      <w:r>
        <w:rPr>
          <w:rFonts w:ascii="BodoniSvtyTwoOSITCTT-Book" w:hAnsi="BodoniSvtyTwoOSITCTT-Book"/>
          <w:sz w:val="14"/>
          <w:szCs w:val="14"/>
        </w:rPr>
        <w:t>“</w:t>
      </w:r>
      <w:r w:rsidRPr="00F72755">
        <w:rPr>
          <w:rFonts w:ascii="BodoniSvtyTwoOSITCTT-Book" w:hAnsi="BodoniSvtyTwoOSITCTT-Book"/>
          <w:sz w:val="14"/>
          <w:szCs w:val="14"/>
        </w:rPr>
        <w:t>people also think</w:t>
      </w:r>
      <w:r>
        <w:rPr>
          <w:rFonts w:ascii="BodoniSvtyTwoOSITCTT-Book" w:hAnsi="BodoniSvtyTwoOSITCTT-Book"/>
          <w:sz w:val="14"/>
          <w:szCs w:val="14"/>
        </w:rPr>
        <w:t>”</w:t>
      </w:r>
      <w:r w:rsidRPr="00F72755">
        <w:rPr>
          <w:rFonts w:ascii="BodoniSvtyTwoOSITCTT-Book" w:hAnsi="BodoniSvtyTwoOSITCTT-Book"/>
          <w:sz w:val="14"/>
          <w:szCs w:val="14"/>
        </w:rPr>
        <w:t xml:space="preserve"> of a right in a wider sense that is not connected to an authorization to coerce (MS, AA 06: 233.35), and he asserts that the two rights that fall under this concept, equity and necessity, are </w:t>
      </w:r>
      <w:r w:rsidR="00E95EA7">
        <w:rPr>
          <w:rFonts w:ascii="BodoniSvtyTwoOSITCTT-Book" w:hAnsi="BodoniSvtyTwoOSITCTT-Book"/>
          <w:sz w:val="14"/>
          <w:szCs w:val="14"/>
        </w:rPr>
        <w:t>"</w:t>
      </w:r>
      <w:r w:rsidRPr="00F72755">
        <w:rPr>
          <w:rFonts w:ascii="BodoniSvtyTwoOSITCTT-Book" w:hAnsi="BodoniSvtyTwoOSITCTT-Book"/>
          <w:sz w:val="14"/>
          <w:szCs w:val="14"/>
        </w:rPr>
        <w:t xml:space="preserve">true </w:t>
      </w:r>
      <w:r w:rsidRPr="00F72755">
        <w:rPr>
          <w:rFonts w:ascii="BodoniSvtyTwoOSITCTT-BookIt" w:hAnsi="BodoniSvtyTwoOSITCTT-BookIt"/>
          <w:i/>
          <w:iCs/>
          <w:sz w:val="14"/>
          <w:szCs w:val="14"/>
        </w:rPr>
        <w:t>or alleged</w:t>
      </w:r>
      <w:r w:rsidRPr="00F72755">
        <w:rPr>
          <w:rFonts w:ascii="BodoniSvtyTwoOSITCTT-Book" w:hAnsi="BodoniSvtyTwoOSITCTT-Book"/>
          <w:sz w:val="14"/>
          <w:szCs w:val="14"/>
        </w:rPr>
        <w:t xml:space="preserve"> rights</w:t>
      </w:r>
      <w:r w:rsidR="00E95EA7">
        <w:rPr>
          <w:rFonts w:ascii="BodoniSvtyTwoOSITCTT-Book" w:hAnsi="BodoniSvtyTwoOSITCTT-Book"/>
          <w:sz w:val="14"/>
          <w:szCs w:val="14"/>
        </w:rPr>
        <w:t>”</w:t>
      </w:r>
      <w:r w:rsidRPr="00F72755">
        <w:rPr>
          <w:rFonts w:ascii="BodoniSvtyTwoOSITCTT-Book" w:hAnsi="BodoniSvtyTwoOSITCTT-Book"/>
          <w:sz w:val="14"/>
          <w:szCs w:val="14"/>
        </w:rPr>
        <w:t xml:space="preserve"> (MS, AA 06: 234.02, my emphasis). Thus, on the basis of this uncertainty, one might object that Kant does not take there to be any wide rights. </w:t>
      </w:r>
    </w:p>
    <w:p w14:paraId="684E719D" w14:textId="77777777" w:rsidR="00F72755" w:rsidRPr="00F72755" w:rsidRDefault="00F72755" w:rsidP="00F72755">
      <w:pPr>
        <w:divId w:val="46879626"/>
        <w:rPr>
          <w:rFonts w:ascii="Bodoni 72 Oldstyle" w:hAnsi="Bodoni 72 Oldstyle" w:cs="Times New Roman"/>
          <w:color w:val="000000"/>
          <w:kern w:val="0"/>
          <w:sz w:val="14"/>
          <w:szCs w:val="14"/>
          <w14:ligatures w14:val="none"/>
        </w:rPr>
      </w:pPr>
      <w:r w:rsidRPr="00F72755">
        <w:rPr>
          <w:rFonts w:ascii="BodoniSvtyTwoOSITCTT-Book" w:hAnsi="BodoniSvtyTwoOSITCTT-Book" w:cs="Times New Roman"/>
          <w:color w:val="000000"/>
          <w:kern w:val="0"/>
          <w:sz w:val="14"/>
          <w:szCs w:val="14"/>
          <w14:ligatures w14:val="none"/>
        </w:rPr>
        <w:tab/>
        <w:t>I would like to say two things in response to this objection.</w:t>
      </w:r>
    </w:p>
    <w:p w14:paraId="2469924B" w14:textId="2D7F2A8F" w:rsidR="00F72755" w:rsidRPr="00F72755" w:rsidRDefault="00F72755" w:rsidP="00F72755">
      <w:pPr>
        <w:divId w:val="46879626"/>
        <w:rPr>
          <w:rFonts w:ascii="Bodoni 72 Oldstyle" w:hAnsi="Bodoni 72 Oldstyle" w:cs="Times New Roman"/>
          <w:color w:val="000000"/>
          <w:kern w:val="0"/>
          <w:sz w:val="14"/>
          <w:szCs w:val="14"/>
          <w14:ligatures w14:val="none"/>
        </w:rPr>
      </w:pPr>
      <w:r w:rsidRPr="00F72755">
        <w:rPr>
          <w:rFonts w:ascii="BodoniSvtyTwoOSITCTT-Book" w:hAnsi="BodoniSvtyTwoOSITCTT-Book" w:cs="Times New Roman"/>
          <w:color w:val="000000"/>
          <w:kern w:val="0"/>
          <w:sz w:val="14"/>
          <w:szCs w:val="14"/>
          <w14:ligatures w14:val="none"/>
        </w:rPr>
        <w:tab/>
        <w:t xml:space="preserve">First, this objection is based on a misreading of the text. Kant does not express uncertainty about (i) whether equity or necessity involves a right to coerce or punish (they do not); (ii) whether equity or necessity involves strict rights (they do not); or (iii) whether equity or necessity involves a legal sanction (they do not). What Kant expresses uncertainty about is whether to call equity or necessity </w:t>
      </w:r>
      <w:r w:rsidR="002A5226">
        <w:rPr>
          <w:rFonts w:ascii="BodoniSvtyTwoOSITCTT-Book" w:hAnsi="BodoniSvtyTwoOSITCTT-Book" w:cs="Times New Roman"/>
          <w:color w:val="000000"/>
          <w:kern w:val="0"/>
          <w:sz w:val="14"/>
          <w:szCs w:val="14"/>
          <w14:ligatures w14:val="none"/>
        </w:rPr>
        <w:t>“</w:t>
      </w:r>
      <w:r w:rsidRPr="00F72755">
        <w:rPr>
          <w:rFonts w:ascii="BodoniSvtyTwoOSITCTT-Book" w:hAnsi="BodoniSvtyTwoOSITCTT-Book" w:cs="Times New Roman"/>
          <w:color w:val="000000"/>
          <w:kern w:val="0"/>
          <w:sz w:val="14"/>
          <w:szCs w:val="14"/>
          <w14:ligatures w14:val="none"/>
        </w:rPr>
        <w:t>rights</w:t>
      </w:r>
      <w:r w:rsidR="002A5226">
        <w:rPr>
          <w:rFonts w:ascii="BodoniSvtyTwoOSITCTT-Book" w:hAnsi="BodoniSvtyTwoOSITCTT-Book" w:cs="Times New Roman"/>
          <w:color w:val="000000"/>
          <w:kern w:val="0"/>
          <w:sz w:val="14"/>
          <w:szCs w:val="14"/>
          <w14:ligatures w14:val="none"/>
        </w:rPr>
        <w:t>”</w:t>
      </w:r>
      <w:r w:rsidRPr="00F72755">
        <w:rPr>
          <w:rFonts w:ascii="BodoniSvtyTwoOSITCTT-Book" w:hAnsi="BodoniSvtyTwoOSITCTT-Book" w:cs="Times New Roman"/>
          <w:color w:val="000000"/>
          <w:kern w:val="0"/>
          <w:sz w:val="14"/>
          <w:szCs w:val="14"/>
          <w14:ligatures w14:val="none"/>
        </w:rPr>
        <w:t xml:space="preserve"> (because they are not strict rights). That is, Kant's uncertainty is terminological, not substantive.</w:t>
      </w:r>
    </w:p>
    <w:p w14:paraId="54874960" w14:textId="6F7BAD81" w:rsidR="00F72755" w:rsidRPr="00F72755" w:rsidRDefault="00F72755" w:rsidP="00F72755">
      <w:pPr>
        <w:divId w:val="46879626"/>
        <w:rPr>
          <w:rFonts w:ascii="Bodoni 72 Oldstyle" w:hAnsi="Bodoni 72 Oldstyle" w:cs="Times New Roman"/>
          <w:color w:val="000000"/>
          <w:kern w:val="0"/>
          <w:sz w:val="14"/>
          <w:szCs w:val="14"/>
          <w14:ligatures w14:val="none"/>
        </w:rPr>
      </w:pPr>
      <w:r w:rsidRPr="00F72755">
        <w:rPr>
          <w:rFonts w:ascii="BodoniSvtyTwoOSITCTT-Book" w:hAnsi="BodoniSvtyTwoOSITCTT-Book" w:cs="Times New Roman"/>
          <w:color w:val="000000"/>
          <w:kern w:val="0"/>
          <w:sz w:val="14"/>
          <w:szCs w:val="14"/>
          <w14:ligatures w14:val="none"/>
        </w:rPr>
        <w:tab/>
        <w:t>Second, even</w:t>
      </w:r>
      <w:r w:rsidR="002A4176">
        <w:rPr>
          <w:rFonts w:ascii="BodoniSvtyTwoOSITCTT-Book" w:hAnsi="BodoniSvtyTwoOSITCTT-Book" w:cs="Times New Roman"/>
          <w:color w:val="000000"/>
          <w:kern w:val="0"/>
          <w:sz w:val="14"/>
          <w:szCs w:val="14"/>
          <w14:ligatures w14:val="none"/>
        </w:rPr>
        <w:t xml:space="preserve"> if</w:t>
      </w:r>
      <w:r w:rsidRPr="00F72755">
        <w:rPr>
          <w:rFonts w:ascii="BodoniSvtyTwoOSITCTT-Book" w:hAnsi="BodoniSvtyTwoOSITCTT-Book" w:cs="Times New Roman"/>
          <w:color w:val="000000"/>
          <w:kern w:val="0"/>
          <w:sz w:val="14"/>
          <w:szCs w:val="14"/>
          <w14:ligatures w14:val="none"/>
        </w:rPr>
        <w:t xml:space="preserve"> I am mistaken in my reading of Kant</w:t>
      </w:r>
      <w:r w:rsidR="002A5226">
        <w:rPr>
          <w:rFonts w:ascii="BodoniSvtyTwoOSITCTT-Book" w:hAnsi="BodoniSvtyTwoOSITCTT-Book" w:cs="Times New Roman"/>
          <w:color w:val="000000"/>
          <w:kern w:val="0"/>
          <w:sz w:val="14"/>
          <w:szCs w:val="14"/>
          <w14:ligatures w14:val="none"/>
        </w:rPr>
        <w:t>’</w:t>
      </w:r>
      <w:r w:rsidRPr="00F72755">
        <w:rPr>
          <w:rFonts w:ascii="BodoniSvtyTwoOSITCTT-Book" w:hAnsi="BodoniSvtyTwoOSITCTT-Book" w:cs="Times New Roman"/>
          <w:color w:val="000000"/>
          <w:kern w:val="0"/>
          <w:sz w:val="14"/>
          <w:szCs w:val="14"/>
          <w14:ligatures w14:val="none"/>
        </w:rPr>
        <w:t xml:space="preserve">s text here, this objection does not impugn my larger argument. That is, my larger argument does not build on any entailments of the claim that equity and necessity are wide rights. Rather, the idea is that equity and necessity provide a </w:t>
      </w:r>
      <w:r w:rsidR="001D1A80">
        <w:rPr>
          <w:rFonts w:ascii="BodoniSvtyTwoOSITCTT-Book" w:hAnsi="BodoniSvtyTwoOSITCTT-Book" w:cs="Times New Roman"/>
          <w:color w:val="000000"/>
          <w:kern w:val="0"/>
          <w:sz w:val="14"/>
          <w:szCs w:val="14"/>
          <w14:ligatures w14:val="none"/>
        </w:rPr>
        <w:t>“</w:t>
      </w:r>
      <w:r w:rsidRPr="00F72755">
        <w:rPr>
          <w:rFonts w:ascii="BodoniSvtyTwoOSITCTT-Book" w:hAnsi="BodoniSvtyTwoOSITCTT-Book" w:cs="Times New Roman"/>
          <w:color w:val="000000"/>
          <w:kern w:val="0"/>
          <w:sz w:val="14"/>
          <w:szCs w:val="14"/>
          <w14:ligatures w14:val="none"/>
        </w:rPr>
        <w:t>proof of concept</w:t>
      </w:r>
      <w:r w:rsidR="001D1A80">
        <w:rPr>
          <w:rFonts w:ascii="BodoniSvtyTwoOSITCTT-Book" w:hAnsi="BodoniSvtyTwoOSITCTT-Book" w:cs="Times New Roman"/>
          <w:color w:val="000000"/>
          <w:kern w:val="0"/>
          <w:sz w:val="14"/>
          <w:szCs w:val="14"/>
          <w14:ligatures w14:val="none"/>
        </w:rPr>
        <w:t>,”</w:t>
      </w:r>
      <w:r w:rsidRPr="00F72755">
        <w:rPr>
          <w:rFonts w:ascii="BodoniSvtyTwoOSITCTT-Book" w:hAnsi="BodoniSvtyTwoOSITCTT-Book" w:cs="Times New Roman"/>
          <w:color w:val="000000"/>
          <w:kern w:val="0"/>
          <w:sz w:val="14"/>
          <w:szCs w:val="14"/>
          <w14:ligatures w14:val="none"/>
        </w:rPr>
        <w:t xml:space="preserve"> and that this proof of concept can be expanded with other examples from Kant's texts (in section 3). Moreover, although my account of Kant</w:t>
      </w:r>
      <w:r w:rsidR="00D42FA2">
        <w:rPr>
          <w:rFonts w:ascii="BodoniSvtyTwoOSITCTT-Book" w:hAnsi="BodoniSvtyTwoOSITCTT-Book" w:cs="Times New Roman"/>
          <w:color w:val="000000"/>
          <w:kern w:val="0"/>
          <w:sz w:val="14"/>
          <w:szCs w:val="14"/>
          <w14:ligatures w14:val="none"/>
        </w:rPr>
        <w:t>’</w:t>
      </w:r>
      <w:r w:rsidRPr="00F72755">
        <w:rPr>
          <w:rFonts w:ascii="BodoniSvtyTwoOSITCTT-Book" w:hAnsi="BodoniSvtyTwoOSITCTT-Book" w:cs="Times New Roman"/>
          <w:color w:val="000000"/>
          <w:kern w:val="0"/>
          <w:sz w:val="14"/>
          <w:szCs w:val="14"/>
          <w14:ligatures w14:val="none"/>
        </w:rPr>
        <w:t>s position on the wide right to abortion (in section 4) uses the terminology taken from this section and is supposed to be made more plausible by consideration of equity and necessity, its philosophical base is constructed from Kant</w:t>
      </w:r>
      <w:r w:rsidR="00D42FA2">
        <w:rPr>
          <w:rFonts w:ascii="BodoniSvtyTwoOSITCTT-Book" w:hAnsi="BodoniSvtyTwoOSITCTT-Book" w:cs="Times New Roman"/>
          <w:color w:val="000000"/>
          <w:kern w:val="0"/>
          <w:sz w:val="14"/>
          <w:szCs w:val="14"/>
          <w14:ligatures w14:val="none"/>
        </w:rPr>
        <w:t>’</w:t>
      </w:r>
      <w:r w:rsidRPr="00F72755">
        <w:rPr>
          <w:rFonts w:ascii="BodoniSvtyTwoOSITCTT-Book" w:hAnsi="BodoniSvtyTwoOSITCTT-Book" w:cs="Times New Roman"/>
          <w:color w:val="000000"/>
          <w:kern w:val="0"/>
          <w:sz w:val="14"/>
          <w:szCs w:val="14"/>
          <w14:ligatures w14:val="none"/>
        </w:rPr>
        <w:t>s remarks about honor killings (and, in particular, infanticide).</w:t>
      </w:r>
    </w:p>
  </w:footnote>
  <w:footnote w:id="24">
    <w:p w14:paraId="4CF984EF" w14:textId="46BFAD96" w:rsidR="00C93D29" w:rsidRPr="00AD2AAF" w:rsidRDefault="00C93D29" w:rsidP="00AD2AAF">
      <w:pPr>
        <w:pStyle w:val="p1"/>
        <w:divId w:val="846411134"/>
        <w:rPr>
          <w:sz w:val="14"/>
          <w:szCs w:val="14"/>
        </w:rPr>
      </w:pPr>
      <w:r>
        <w:rPr>
          <w:rStyle w:val="FootnoteReference"/>
        </w:rPr>
        <w:footnoteRef/>
      </w:r>
      <w:r>
        <w:t xml:space="preserve"> </w:t>
      </w:r>
      <w:r w:rsidR="00AD2AAF" w:rsidRPr="00AD2AAF">
        <w:rPr>
          <w:rFonts w:ascii="BodoniSvtyTwoOSITCTT-Book" w:hAnsi="BodoniSvtyTwoOSITCTT-Book"/>
          <w:sz w:val="14"/>
          <w:szCs w:val="14"/>
        </w:rPr>
        <w:t>MS, AA 06: 333.11-25.</w:t>
      </w:r>
    </w:p>
  </w:footnote>
  <w:footnote w:id="25">
    <w:p w14:paraId="54F5A633" w14:textId="12464172" w:rsidR="00AD2AAF" w:rsidRPr="00AD2AAF" w:rsidRDefault="00AD2AAF" w:rsidP="00AD2AAF">
      <w:pPr>
        <w:pStyle w:val="p1"/>
        <w:divId w:val="1641108836"/>
        <w:rPr>
          <w:sz w:val="14"/>
          <w:szCs w:val="14"/>
        </w:rPr>
      </w:pPr>
      <w:r>
        <w:rPr>
          <w:rStyle w:val="FootnoteReference"/>
        </w:rPr>
        <w:footnoteRef/>
      </w:r>
      <w:r>
        <w:t xml:space="preserve"> </w:t>
      </w:r>
      <w:r w:rsidRPr="00AD2AAF">
        <w:rPr>
          <w:rFonts w:ascii="BodoniSvtyTwoOSITCTT-Book" w:hAnsi="BodoniSvtyTwoOSITCTT-Book"/>
          <w:sz w:val="14"/>
          <w:szCs w:val="14"/>
        </w:rPr>
        <w:t>For example, (Murphy, 1970). By way of contrast, (Byrd, 1989), (Tunick, 1996), and (Byrd and Hruschka, 2012) argue otherwise. According to Wood, however, this latter reading, when considered on strictly exegetical grounds, is strained (Wood, 2008, chapter 12).</w:t>
      </w:r>
    </w:p>
  </w:footnote>
  <w:footnote w:id="26">
    <w:p w14:paraId="7811E6A7" w14:textId="2F7B3A7D" w:rsidR="003A5972" w:rsidRPr="005D2E6A" w:rsidRDefault="003A5972" w:rsidP="005D2E6A">
      <w:pPr>
        <w:pStyle w:val="p1"/>
        <w:divId w:val="740257748"/>
        <w:rPr>
          <w:sz w:val="14"/>
          <w:szCs w:val="14"/>
        </w:rPr>
      </w:pPr>
      <w:r>
        <w:rPr>
          <w:rStyle w:val="FootnoteReference"/>
        </w:rPr>
        <w:footnoteRef/>
      </w:r>
      <w:r>
        <w:t xml:space="preserve"> </w:t>
      </w:r>
      <w:r w:rsidR="005D2E6A" w:rsidRPr="005D2E6A">
        <w:rPr>
          <w:rFonts w:ascii="BodoniSvtyTwoOSITCTT-Book" w:hAnsi="BodoniSvtyTwoOSITCTT-Book"/>
          <w:sz w:val="14"/>
          <w:szCs w:val="14"/>
        </w:rPr>
        <w:t>MS, AA 06: 423.03-05.</w:t>
      </w:r>
    </w:p>
  </w:footnote>
  <w:footnote w:id="27">
    <w:p w14:paraId="22F344AA" w14:textId="600F5A73" w:rsidR="00CB5605" w:rsidRPr="00CB5605" w:rsidRDefault="00CB5605" w:rsidP="00CB5605">
      <w:pPr>
        <w:pStyle w:val="p1"/>
        <w:divId w:val="1148860859"/>
        <w:rPr>
          <w:sz w:val="14"/>
          <w:szCs w:val="14"/>
        </w:rPr>
      </w:pPr>
      <w:r>
        <w:rPr>
          <w:rStyle w:val="FootnoteReference"/>
        </w:rPr>
        <w:footnoteRef/>
      </w:r>
      <w:r>
        <w:t xml:space="preserve"> </w:t>
      </w:r>
      <w:r w:rsidRPr="00CB5605">
        <w:rPr>
          <w:rFonts w:ascii="BodoniSvtyTwoOSITCTT-Book" w:hAnsi="BodoniSvtyTwoOSITCTT-Book"/>
          <w:sz w:val="14"/>
          <w:szCs w:val="14"/>
        </w:rPr>
        <w:t>But see (Wood, 2008, 172-173).</w:t>
      </w:r>
    </w:p>
  </w:footnote>
  <w:footnote w:id="28">
    <w:p w14:paraId="32108123" w14:textId="1AD90638" w:rsidR="00BF27CC" w:rsidRPr="00BF27CC" w:rsidRDefault="00BF27CC" w:rsidP="00BF27CC">
      <w:pPr>
        <w:pStyle w:val="p1"/>
        <w:divId w:val="1691643101"/>
        <w:rPr>
          <w:sz w:val="14"/>
          <w:szCs w:val="14"/>
        </w:rPr>
      </w:pPr>
      <w:r>
        <w:rPr>
          <w:rStyle w:val="FootnoteReference"/>
        </w:rPr>
        <w:footnoteRef/>
      </w:r>
      <w:r>
        <w:t xml:space="preserve"> </w:t>
      </w:r>
      <w:r w:rsidRPr="00BF27CC">
        <w:rPr>
          <w:rFonts w:ascii="BodoniSvtyTwoOSITCTT-Book" w:hAnsi="BodoniSvtyTwoOSITCTT-Book"/>
          <w:sz w:val="14"/>
          <w:szCs w:val="14"/>
        </w:rPr>
        <w:t>MS, AA 06: 422.15-16 and 20-21.</w:t>
      </w:r>
    </w:p>
  </w:footnote>
  <w:footnote w:id="29">
    <w:p w14:paraId="0B610C67" w14:textId="037FEE4D" w:rsidR="00CA2A93" w:rsidRPr="00CA2A93" w:rsidRDefault="00CA2A93" w:rsidP="00CA2A93">
      <w:pPr>
        <w:pStyle w:val="p1"/>
        <w:divId w:val="101649616"/>
        <w:rPr>
          <w:sz w:val="14"/>
          <w:szCs w:val="14"/>
        </w:rPr>
      </w:pPr>
      <w:r>
        <w:rPr>
          <w:rStyle w:val="FootnoteReference"/>
        </w:rPr>
        <w:footnoteRef/>
      </w:r>
      <w:r>
        <w:t xml:space="preserve"> </w:t>
      </w:r>
      <w:r w:rsidRPr="00CA2A93">
        <w:rPr>
          <w:rFonts w:ascii="BodoniSvtyTwoOSITCTT-Book" w:hAnsi="BodoniSvtyTwoOSITCTT-Book"/>
          <w:sz w:val="14"/>
          <w:szCs w:val="14"/>
        </w:rPr>
        <w:t>A textual difficulty arises here. On the one side, Kant</w:t>
      </w:r>
      <w:r w:rsidR="00310586">
        <w:rPr>
          <w:rFonts w:ascii="BodoniSvtyTwoOSITCTT-Book" w:hAnsi="BodoniSvtyTwoOSITCTT-Book"/>
          <w:sz w:val="14"/>
          <w:szCs w:val="14"/>
        </w:rPr>
        <w:t>’</w:t>
      </w:r>
      <w:r w:rsidRPr="00CA2A93">
        <w:rPr>
          <w:rFonts w:ascii="BodoniSvtyTwoOSITCTT-Book" w:hAnsi="BodoniSvtyTwoOSITCTT-Book"/>
          <w:sz w:val="14"/>
          <w:szCs w:val="14"/>
        </w:rPr>
        <w:t xml:space="preserve">s exclusion of suicide from the Doctrine of Right seems deliberate, suggesting that suicide should be regarded as rightful on his account, more especially given his claim (noted above) that it involves merely a duty to oneself. On the other side, Kant introduces suicide in the Doctrine of Virtue as a crime. One resolution of this would be to appeal to the different senses of </w:t>
      </w:r>
      <w:r w:rsidR="00F544AF">
        <w:rPr>
          <w:rFonts w:ascii="BodoniSvtyTwoOSITCTT-Book" w:hAnsi="BodoniSvtyTwoOSITCTT-Book"/>
          <w:sz w:val="14"/>
          <w:szCs w:val="14"/>
        </w:rPr>
        <w:t>“</w:t>
      </w:r>
      <w:r w:rsidRPr="00CA2A93">
        <w:rPr>
          <w:rFonts w:ascii="BodoniSvtyTwoOSITCTT-Book" w:hAnsi="BodoniSvtyTwoOSITCTT-Book"/>
          <w:sz w:val="14"/>
          <w:szCs w:val="14"/>
        </w:rPr>
        <w:t>right</w:t>
      </w:r>
      <w:r w:rsidR="00F544AF">
        <w:rPr>
          <w:rFonts w:ascii="BodoniSvtyTwoOSITCTT-Book" w:hAnsi="BodoniSvtyTwoOSITCTT-Book"/>
          <w:sz w:val="14"/>
          <w:szCs w:val="14"/>
        </w:rPr>
        <w:t>”</w:t>
      </w:r>
      <w:r w:rsidRPr="00CA2A93">
        <w:rPr>
          <w:rFonts w:ascii="BodoniSvtyTwoOSITCTT-Book" w:hAnsi="BodoniSvtyTwoOSITCTT-Book"/>
          <w:sz w:val="14"/>
          <w:szCs w:val="14"/>
        </w:rPr>
        <w:t xml:space="preserve"> discussed in the previous section of this </w:t>
      </w:r>
      <w:r w:rsidR="006B626C">
        <w:rPr>
          <w:rFonts w:ascii="BodoniSvtyTwoOSITCTT-Book" w:hAnsi="BodoniSvtyTwoOSITCTT-Book"/>
          <w:sz w:val="14"/>
          <w:szCs w:val="14"/>
        </w:rPr>
        <w:t>article</w:t>
      </w:r>
      <w:r w:rsidRPr="00CA2A93">
        <w:rPr>
          <w:rFonts w:ascii="BodoniSvtyTwoOSITCTT-Book" w:hAnsi="BodoniSvtyTwoOSITCTT-Book"/>
          <w:sz w:val="14"/>
          <w:szCs w:val="14"/>
        </w:rPr>
        <w:t xml:space="preserve">. That is, Kant might think that suicide, like killing an innocent threat but unlike killing a culpable threat, is rightful </w:t>
      </w:r>
      <w:r w:rsidRPr="00CA2A93">
        <w:rPr>
          <w:rFonts w:ascii="BodoniSvtyTwoOSITCTT-BookIt" w:hAnsi="BodoniSvtyTwoOSITCTT-BookIt"/>
          <w:i/>
          <w:iCs/>
          <w:sz w:val="14"/>
          <w:szCs w:val="14"/>
        </w:rPr>
        <w:t>only</w:t>
      </w:r>
      <w:r w:rsidRPr="00CA2A93">
        <w:rPr>
          <w:rFonts w:ascii="BodoniSvtyTwoOSITCTT-Book" w:hAnsi="BodoniSvtyTwoOSITCTT-Book"/>
          <w:sz w:val="14"/>
          <w:szCs w:val="14"/>
        </w:rPr>
        <w:t xml:space="preserve"> in the wider sense.</w:t>
      </w:r>
    </w:p>
  </w:footnote>
  <w:footnote w:id="30">
    <w:p w14:paraId="7EEC0498" w14:textId="5A0486AF" w:rsidR="00012C14" w:rsidRPr="00274A66" w:rsidRDefault="00012C14" w:rsidP="00274A66">
      <w:pPr>
        <w:pStyle w:val="p1"/>
        <w:divId w:val="1442846809"/>
        <w:rPr>
          <w:sz w:val="15"/>
          <w:szCs w:val="15"/>
        </w:rPr>
      </w:pPr>
      <w:r>
        <w:rPr>
          <w:rStyle w:val="FootnoteReference"/>
        </w:rPr>
        <w:footnoteRef/>
      </w:r>
      <w:r>
        <w:t xml:space="preserve"> </w:t>
      </w:r>
      <w:r w:rsidRPr="00012C14">
        <w:rPr>
          <w:rFonts w:ascii="BodoniSvtyTwoOSITCTT-Book" w:hAnsi="BodoniSvtyTwoOSITCTT-Book"/>
          <w:sz w:val="14"/>
          <w:szCs w:val="14"/>
        </w:rPr>
        <w:t xml:space="preserve">Kant suggests that killing an innocent threat is </w:t>
      </w:r>
      <w:r w:rsidR="00674AA5">
        <w:rPr>
          <w:rFonts w:ascii="BodoniSvtyTwoOSITCTT-Book" w:hAnsi="BodoniSvtyTwoOSITCTT-Book"/>
          <w:sz w:val="14"/>
          <w:szCs w:val="14"/>
        </w:rPr>
        <w:t>“</w:t>
      </w:r>
      <w:r w:rsidRPr="00012C14">
        <w:rPr>
          <w:rFonts w:ascii="BodoniSvtyTwoOSITCTT-Book" w:hAnsi="BodoniSvtyTwoOSITCTT-Book"/>
          <w:sz w:val="14"/>
          <w:szCs w:val="14"/>
        </w:rPr>
        <w:t>permitted</w:t>
      </w:r>
      <w:r w:rsidR="00674AA5">
        <w:rPr>
          <w:rFonts w:ascii="BodoniSvtyTwoOSITCTT-Book" w:hAnsi="BodoniSvtyTwoOSITCTT-Book"/>
          <w:sz w:val="14"/>
          <w:szCs w:val="14"/>
        </w:rPr>
        <w:t>”</w:t>
      </w:r>
      <w:r w:rsidRPr="00012C14">
        <w:rPr>
          <w:rFonts w:ascii="BodoniSvtyTwoOSITCTT-Book" w:hAnsi="BodoniSvtyTwoOSITCTT-Book"/>
          <w:sz w:val="14"/>
          <w:szCs w:val="14"/>
        </w:rPr>
        <w:t xml:space="preserve"> (MS, AA 06: 235.22). But it is unclear whether he is speaking here juridically or ethically. Moreover, Kant seems to accept that obligatory actions are permissible. So it is unclear what Kant would say about the deontic status of killing an innocent threat. Also of note: qualification might be needed regarding the obligatoriness of capital punishment. In the quotation with which I opened this section, Kant says that capital punishment is obligatory for murder. However, this leaves room for saying that capital punishment is not obligatory for other capital crimes. For example, perhaps Kant would not have objected if someone sentenced to death for robbery, a capital crime in many US states in the premodern era, had her sentence commuted by an outgoing governor.</w:t>
      </w:r>
      <w:r w:rsidR="002B6297">
        <w:rPr>
          <w:rFonts w:ascii="BodoniSvtyTwoOSITCTT-Book" w:hAnsi="BodoniSvtyTwoOSITCTT-Book"/>
          <w:sz w:val="14"/>
          <w:szCs w:val="14"/>
        </w:rPr>
        <w:t xml:space="preserve"> (</w:t>
      </w:r>
      <w:r w:rsidR="000D24C3">
        <w:rPr>
          <w:rFonts w:ascii="BodoniSvtyTwoOSITCTT-Book" w:hAnsi="BodoniSvtyTwoOSITCTT-Book"/>
          <w:sz w:val="14"/>
          <w:szCs w:val="14"/>
        </w:rPr>
        <w:t xml:space="preserve">Kant discusses </w:t>
      </w:r>
      <w:r w:rsidR="002B6297">
        <w:rPr>
          <w:rFonts w:ascii="BodoniSvtyTwoOSITCTT-Book" w:hAnsi="BodoniSvtyTwoOSITCTT-Book"/>
          <w:sz w:val="14"/>
          <w:szCs w:val="14"/>
        </w:rPr>
        <w:t>executive clemency</w:t>
      </w:r>
      <w:r w:rsidR="000D24C3">
        <w:rPr>
          <w:rFonts w:ascii="BodoniSvtyTwoOSITCTT-Book" w:hAnsi="BodoniSvtyTwoOSITCTT-Book"/>
          <w:sz w:val="14"/>
          <w:szCs w:val="14"/>
        </w:rPr>
        <w:t xml:space="preserve"> at </w:t>
      </w:r>
      <w:r w:rsidR="00274A66" w:rsidRPr="00274A66">
        <w:rPr>
          <w:rFonts w:ascii="BodoniSvtyTwoOSITCTT-Book" w:hAnsi="BodoniSvtyTwoOSITCTT-Book"/>
          <w:sz w:val="15"/>
          <w:szCs w:val="15"/>
        </w:rPr>
        <w:t>MS, AA 06: 337.09-1</w:t>
      </w:r>
      <w:r w:rsidR="00274A66">
        <w:rPr>
          <w:rFonts w:ascii="BodoniSvtyTwoOSITCTT-Book" w:hAnsi="BodoniSvtyTwoOSITCTT-Book"/>
          <w:sz w:val="15"/>
          <w:szCs w:val="15"/>
        </w:rPr>
        <w:t>2.</w:t>
      </w:r>
      <w:r w:rsidR="000D24C3">
        <w:rPr>
          <w:rFonts w:ascii="BodoniSvtyTwoOSITCTT-Book" w:hAnsi="BodoniSvtyTwoOSITCTT-Book"/>
          <w:sz w:val="15"/>
          <w:szCs w:val="15"/>
        </w:rPr>
        <w:t>)</w:t>
      </w:r>
    </w:p>
  </w:footnote>
  <w:footnote w:id="31">
    <w:p w14:paraId="285CCF46" w14:textId="40326E22" w:rsidR="00076262" w:rsidRPr="00076262" w:rsidRDefault="00076262" w:rsidP="00076262">
      <w:pPr>
        <w:pStyle w:val="p1"/>
        <w:divId w:val="1608848977"/>
        <w:rPr>
          <w:sz w:val="14"/>
          <w:szCs w:val="14"/>
        </w:rPr>
      </w:pPr>
      <w:r>
        <w:rPr>
          <w:rStyle w:val="FootnoteReference"/>
        </w:rPr>
        <w:footnoteRef/>
      </w:r>
      <w:r>
        <w:t xml:space="preserve"> </w:t>
      </w:r>
      <w:r w:rsidRPr="00076262">
        <w:rPr>
          <w:rFonts w:ascii="BodoniSvtyTwoOSITCTT-Book" w:hAnsi="BodoniSvtyTwoOSITCTT-Book"/>
          <w:sz w:val="14"/>
          <w:szCs w:val="14"/>
        </w:rPr>
        <w:t>Or, at any rate, they would not be buried on hallowed ground, if they were buried at all. Also of note: the rationale was not always to prevent suicides from taking part in the rapture. Sometimes it was to prevent them from rising up to haunt people (it was thought that the souls of suicides are not at peace. Staking was also sometimes practiced on these grounds). For helpful discussions, see (Chang, 2018), (Minois, 2001), (Murray, 2009 and 2011), and (Seabourne and Seabourne, 2011).</w:t>
      </w:r>
    </w:p>
  </w:footnote>
  <w:footnote w:id="32">
    <w:p w14:paraId="3F4EA911" w14:textId="407D18EF" w:rsidR="00A81C08" w:rsidRPr="00A81C08" w:rsidRDefault="00A81C08" w:rsidP="00A81C08">
      <w:pPr>
        <w:pStyle w:val="p1"/>
        <w:divId w:val="1858540523"/>
        <w:rPr>
          <w:sz w:val="14"/>
          <w:szCs w:val="14"/>
        </w:rPr>
      </w:pPr>
      <w:r>
        <w:rPr>
          <w:rStyle w:val="FootnoteReference"/>
        </w:rPr>
        <w:footnoteRef/>
      </w:r>
      <w:r>
        <w:t xml:space="preserve"> </w:t>
      </w:r>
      <w:r w:rsidRPr="00A81C08">
        <w:rPr>
          <w:rFonts w:ascii="BodoniSvtyTwoOSITCTT-Book" w:hAnsi="BodoniSvtyTwoOSITCTT-Book"/>
          <w:sz w:val="14"/>
          <w:szCs w:val="14"/>
        </w:rPr>
        <w:t>MS, AA 06: 422.09.</w:t>
      </w:r>
    </w:p>
  </w:footnote>
  <w:footnote w:id="33">
    <w:p w14:paraId="1A872D03" w14:textId="391FDE26" w:rsidR="00D85E38" w:rsidRPr="00D85E38" w:rsidRDefault="00D85E38" w:rsidP="00D85E38">
      <w:pPr>
        <w:pStyle w:val="p1"/>
        <w:divId w:val="1795369217"/>
        <w:rPr>
          <w:sz w:val="14"/>
          <w:szCs w:val="14"/>
        </w:rPr>
      </w:pPr>
      <w:r>
        <w:rPr>
          <w:rStyle w:val="FootnoteReference"/>
        </w:rPr>
        <w:footnoteRef/>
      </w:r>
      <w:r>
        <w:t xml:space="preserve"> </w:t>
      </w:r>
      <w:r w:rsidRPr="00D85E38">
        <w:rPr>
          <w:rFonts w:ascii="BodoniSvtyTwoOSITCTT-Book" w:hAnsi="BodoniSvtyTwoOSITCTT-Book"/>
          <w:sz w:val="14"/>
          <w:szCs w:val="14"/>
        </w:rPr>
        <w:t>One exception to this: (Kühl, 2006, section III).</w:t>
      </w:r>
    </w:p>
  </w:footnote>
  <w:footnote w:id="34">
    <w:p w14:paraId="74F099CB" w14:textId="01A6D15D" w:rsidR="00E353CD" w:rsidRPr="00E353CD" w:rsidRDefault="00E353CD" w:rsidP="00E353CD">
      <w:pPr>
        <w:pStyle w:val="p1"/>
        <w:divId w:val="32965608"/>
        <w:rPr>
          <w:sz w:val="14"/>
          <w:szCs w:val="14"/>
        </w:rPr>
      </w:pPr>
      <w:r>
        <w:rPr>
          <w:rStyle w:val="FootnoteReference"/>
        </w:rPr>
        <w:footnoteRef/>
      </w:r>
      <w:r>
        <w:t xml:space="preserve"> </w:t>
      </w:r>
      <w:r w:rsidRPr="00E353CD">
        <w:rPr>
          <w:rFonts w:ascii="BodoniSvtyTwoOSITCTT-Book" w:hAnsi="BodoniSvtyTwoOSITCTT-Book"/>
          <w:sz w:val="14"/>
          <w:szCs w:val="14"/>
        </w:rPr>
        <w:t xml:space="preserve">Thus, for example, Brassington, along the way toward arguing in favor of suicide and euthanasia under some conditions, claims that </w:t>
      </w:r>
      <w:r>
        <w:rPr>
          <w:rFonts w:ascii="BodoniSvtyTwoOSITCTT-Book" w:hAnsi="BodoniSvtyTwoOSITCTT-Book"/>
          <w:sz w:val="14"/>
          <w:szCs w:val="14"/>
        </w:rPr>
        <w:t>“</w:t>
      </w:r>
      <w:r w:rsidRPr="00E353CD">
        <w:rPr>
          <w:rFonts w:ascii="BodoniSvtyTwoOSITCTT-Book" w:hAnsi="BodoniSvtyTwoOSITCTT-Book"/>
          <w:sz w:val="14"/>
          <w:szCs w:val="14"/>
        </w:rPr>
        <w:t>Kant, in forbidding suicide and euthanasia, is conflating respect for persons and respect for people, and assuming that, in killing a person (either oneself or another), we are thereby undermining personhood</w:t>
      </w:r>
      <w:r w:rsidR="006204B7">
        <w:rPr>
          <w:rFonts w:ascii="BodoniSvtyTwoOSITCTT-Book" w:hAnsi="BodoniSvtyTwoOSITCTT-Book"/>
          <w:sz w:val="14"/>
          <w:szCs w:val="14"/>
        </w:rPr>
        <w:t>”</w:t>
      </w:r>
      <w:r w:rsidRPr="00E353CD">
        <w:rPr>
          <w:rFonts w:ascii="BodoniSvtyTwoOSITCTT-Book" w:hAnsi="BodoniSvtyTwoOSITCTT-Book"/>
          <w:sz w:val="14"/>
          <w:szCs w:val="14"/>
        </w:rPr>
        <w:t xml:space="preserve"> (Brassington, 2006, 1). Indeed, this kind of approach is found even in the </w:t>
      </w:r>
      <w:r w:rsidRPr="00E353CD">
        <w:rPr>
          <w:rFonts w:ascii="BodoniSvtyTwoOSITCTT-BookIt" w:hAnsi="BodoniSvtyTwoOSITCTT-BookIt"/>
          <w:i/>
          <w:iCs/>
          <w:sz w:val="14"/>
          <w:szCs w:val="14"/>
        </w:rPr>
        <w:t>Stanford Encyclopedia of Philosophy</w:t>
      </w:r>
      <w:r w:rsidRPr="00E353CD">
        <w:rPr>
          <w:rFonts w:ascii="BodoniSvtyTwoOSITCTT-Book" w:hAnsi="BodoniSvtyTwoOSITCTT-Book"/>
          <w:sz w:val="14"/>
          <w:szCs w:val="14"/>
        </w:rPr>
        <w:t xml:space="preserve"> entry on suicide: </w:t>
      </w:r>
      <w:r w:rsidR="006204B7">
        <w:rPr>
          <w:rFonts w:ascii="BodoniSvtyTwoOSITCTT-Book" w:hAnsi="BodoniSvtyTwoOSITCTT-Book"/>
          <w:sz w:val="14"/>
          <w:szCs w:val="14"/>
        </w:rPr>
        <w:t>“</w:t>
      </w:r>
      <w:r w:rsidRPr="00E353CD">
        <w:rPr>
          <w:rFonts w:ascii="BodoniSvtyTwoOSITCTT-Book" w:hAnsi="BodoniSvtyTwoOSITCTT-Book"/>
          <w:sz w:val="14"/>
          <w:szCs w:val="14"/>
        </w:rPr>
        <w:t xml:space="preserve">Kantians might claim that suicidal choices must be respected if those choices are </w:t>
      </w:r>
      <w:r w:rsidRPr="00E353CD">
        <w:rPr>
          <w:rFonts w:ascii="BodoniSvtyTwoOSITCTT-BookIt" w:hAnsi="BodoniSvtyTwoOSITCTT-BookIt"/>
          <w:i/>
          <w:iCs/>
          <w:sz w:val="14"/>
          <w:szCs w:val="14"/>
        </w:rPr>
        <w:t>autonomous</w:t>
      </w:r>
      <w:r w:rsidRPr="00E353CD">
        <w:rPr>
          <w:rFonts w:ascii="BodoniSvtyTwoOSITCTT-Book" w:hAnsi="BodoniSvtyTwoOSITCTT-Book"/>
          <w:sz w:val="14"/>
          <w:szCs w:val="14"/>
        </w:rPr>
        <w:t>, that is, if an individual chooses to end her life on the basis of reasons that she acknowledges as relevant to her situation</w:t>
      </w:r>
      <w:r w:rsidR="006204B7">
        <w:rPr>
          <w:rFonts w:ascii="BodoniSvtyTwoOSITCTT-Book" w:hAnsi="BodoniSvtyTwoOSITCTT-Book"/>
          <w:sz w:val="14"/>
          <w:szCs w:val="14"/>
        </w:rPr>
        <w:t>”</w:t>
      </w:r>
      <w:r w:rsidRPr="00E353CD">
        <w:rPr>
          <w:rFonts w:ascii="BodoniSvtyTwoOSITCTT-Book" w:hAnsi="BodoniSvtyTwoOSITCTT-Book"/>
          <w:sz w:val="14"/>
          <w:szCs w:val="14"/>
        </w:rPr>
        <w:t xml:space="preserve"> (Cholbi, 2017, section 3.7). </w:t>
      </w:r>
    </w:p>
  </w:footnote>
  <w:footnote w:id="35">
    <w:p w14:paraId="662EA12E" w14:textId="165BEAC2" w:rsidR="00FD66E0" w:rsidRPr="00FD66E0" w:rsidRDefault="00FD66E0" w:rsidP="00FD66E0">
      <w:pPr>
        <w:pStyle w:val="p1"/>
        <w:divId w:val="1496609514"/>
        <w:rPr>
          <w:sz w:val="14"/>
          <w:szCs w:val="14"/>
        </w:rPr>
      </w:pPr>
      <w:r>
        <w:rPr>
          <w:rStyle w:val="FootnoteReference"/>
        </w:rPr>
        <w:footnoteRef/>
      </w:r>
      <w:r>
        <w:t xml:space="preserve"> </w:t>
      </w:r>
      <w:r w:rsidRPr="00FD66E0">
        <w:rPr>
          <w:rFonts w:ascii="BodoniSvtyTwoOSITCTT-Book" w:hAnsi="BodoniSvtyTwoOSITCTT-Book"/>
          <w:sz w:val="14"/>
          <w:szCs w:val="14"/>
        </w:rPr>
        <w:t>This problem is not limited to end-of-life issues. For example, Seymour Fahmy uses Kant's formula of humanity to argue that Georgia</w:t>
      </w:r>
      <w:r w:rsidR="00556F58">
        <w:rPr>
          <w:rFonts w:ascii="BodoniSvtyTwoOSITCTT-Book" w:hAnsi="BodoniSvtyTwoOSITCTT-Book"/>
          <w:sz w:val="14"/>
          <w:szCs w:val="14"/>
        </w:rPr>
        <w:t>’</w:t>
      </w:r>
      <w:r w:rsidRPr="00FD66E0">
        <w:rPr>
          <w:rFonts w:ascii="BodoniSvtyTwoOSITCTT-Book" w:hAnsi="BodoniSvtyTwoOSITCTT-Book"/>
          <w:sz w:val="14"/>
          <w:szCs w:val="14"/>
        </w:rPr>
        <w:t xml:space="preserve">s post-secondary education policies </w:t>
      </w:r>
      <w:r w:rsidR="00556F58">
        <w:rPr>
          <w:rFonts w:ascii="BodoniSvtyTwoOSITCTT-Book" w:hAnsi="BodoniSvtyTwoOSITCTT-Book"/>
          <w:sz w:val="14"/>
          <w:szCs w:val="14"/>
        </w:rPr>
        <w:t>“</w:t>
      </w:r>
      <w:r w:rsidRPr="00FD66E0">
        <w:rPr>
          <w:rFonts w:ascii="BodoniSvtyTwoOSITCTT-Book" w:hAnsi="BodoniSvtyTwoOSITCTT-Book"/>
          <w:sz w:val="14"/>
          <w:szCs w:val="14"/>
        </w:rPr>
        <w:t>fail to treat undocumented students as ends in themselves and are thus morally unacceptable</w:t>
      </w:r>
      <w:r w:rsidR="00556F58">
        <w:rPr>
          <w:rFonts w:ascii="BodoniSvtyTwoOSITCTT-Book" w:hAnsi="BodoniSvtyTwoOSITCTT-Book"/>
          <w:sz w:val="14"/>
          <w:szCs w:val="14"/>
        </w:rPr>
        <w:t>”</w:t>
      </w:r>
      <w:r w:rsidRPr="00FD66E0">
        <w:rPr>
          <w:rFonts w:ascii="BodoniSvtyTwoOSITCTT-Book" w:hAnsi="BodoniSvtyTwoOSITCTT-Book"/>
          <w:sz w:val="14"/>
          <w:szCs w:val="14"/>
        </w:rPr>
        <w:t xml:space="preserve"> (Seymour Fahmy, 2021, 1). This is an important result. But it is incomplete, for it does not show what Seymour Fahmy seems to want to show: that the policies are not rightful.</w:t>
      </w:r>
    </w:p>
  </w:footnote>
  <w:footnote w:id="36">
    <w:p w14:paraId="5DB2F4A8" w14:textId="2361F305" w:rsidR="00F544AF" w:rsidRPr="003F492E" w:rsidRDefault="00F544AF" w:rsidP="003F492E">
      <w:pPr>
        <w:pStyle w:val="p1"/>
        <w:divId w:val="362049846"/>
        <w:rPr>
          <w:sz w:val="14"/>
          <w:szCs w:val="14"/>
        </w:rPr>
      </w:pPr>
      <w:r>
        <w:rPr>
          <w:rStyle w:val="FootnoteReference"/>
        </w:rPr>
        <w:footnoteRef/>
      </w:r>
      <w:r>
        <w:t xml:space="preserve"> </w:t>
      </w:r>
      <w:r w:rsidR="003F492E" w:rsidRPr="003F492E">
        <w:rPr>
          <w:rFonts w:ascii="BodoniSvtyTwoOSITCTT-Book" w:hAnsi="BodoniSvtyTwoOSITCTT-Book"/>
          <w:sz w:val="14"/>
          <w:szCs w:val="14"/>
        </w:rPr>
        <w:t>Indeed, some Kant scholars, like Brandt, appeal to this example to support ascribing conceptionism, the thesis that personhood begins at conception, to Kant (Brandt, 2004, 214). </w:t>
      </w:r>
    </w:p>
  </w:footnote>
  <w:footnote w:id="37">
    <w:p w14:paraId="7BC8E399" w14:textId="7C874682" w:rsidR="0037287E" w:rsidRPr="00E642F1" w:rsidRDefault="0037287E" w:rsidP="00E642F1">
      <w:pPr>
        <w:pStyle w:val="p1"/>
        <w:divId w:val="1389112397"/>
        <w:rPr>
          <w:sz w:val="14"/>
          <w:szCs w:val="14"/>
        </w:rPr>
      </w:pPr>
      <w:r>
        <w:rPr>
          <w:rStyle w:val="FootnoteReference"/>
        </w:rPr>
        <w:footnoteRef/>
      </w:r>
      <w:r>
        <w:t xml:space="preserve"> </w:t>
      </w:r>
      <w:r w:rsidR="00E642F1" w:rsidRPr="00E642F1">
        <w:rPr>
          <w:rFonts w:ascii="BodoniSvtyTwoOSITCTT-Book" w:hAnsi="BodoniSvtyTwoOSITCTT-Book"/>
          <w:sz w:val="14"/>
          <w:szCs w:val="14"/>
        </w:rPr>
        <w:t>One reason it is important to show this by appeal both to Kant</w:t>
      </w:r>
      <w:r w:rsidR="00E642F1">
        <w:rPr>
          <w:rFonts w:ascii="BodoniSvtyTwoOSITCTT-Book" w:hAnsi="BodoniSvtyTwoOSITCTT-Book"/>
          <w:sz w:val="14"/>
          <w:szCs w:val="14"/>
        </w:rPr>
        <w:t>’</w:t>
      </w:r>
      <w:r w:rsidR="00E642F1" w:rsidRPr="00E642F1">
        <w:rPr>
          <w:rFonts w:ascii="BodoniSvtyTwoOSITCTT-Book" w:hAnsi="BodoniSvtyTwoOSITCTT-Book"/>
          <w:sz w:val="14"/>
          <w:szCs w:val="14"/>
        </w:rPr>
        <w:t xml:space="preserve">s claims about necessity and equity and to his claims about capital punishment and suicide is that it makes it clear that I am using these different claims as a </w:t>
      </w:r>
      <w:r w:rsidR="00E642F1">
        <w:rPr>
          <w:rFonts w:ascii="BodoniSvtyTwoOSITCTT-Book" w:hAnsi="BodoniSvtyTwoOSITCTT-Book"/>
          <w:sz w:val="14"/>
          <w:szCs w:val="14"/>
        </w:rPr>
        <w:t>“</w:t>
      </w:r>
      <w:r w:rsidR="00E642F1" w:rsidRPr="00E642F1">
        <w:rPr>
          <w:rFonts w:ascii="BodoniSvtyTwoOSITCTT-Book" w:hAnsi="BodoniSvtyTwoOSITCTT-Book"/>
          <w:sz w:val="14"/>
          <w:szCs w:val="14"/>
        </w:rPr>
        <w:t>proof of concept,</w:t>
      </w:r>
      <w:r w:rsidR="00E642F1">
        <w:rPr>
          <w:rFonts w:ascii="BodoniSvtyTwoOSITCTT-Book" w:hAnsi="BodoniSvtyTwoOSITCTT-Book"/>
          <w:sz w:val="14"/>
          <w:szCs w:val="14"/>
        </w:rPr>
        <w:t>”</w:t>
      </w:r>
      <w:r w:rsidR="00E642F1" w:rsidRPr="00E642F1">
        <w:rPr>
          <w:rFonts w:ascii="BodoniSvtyTwoOSITCTT-Book" w:hAnsi="BodoniSvtyTwoOSITCTT-Book"/>
          <w:sz w:val="14"/>
          <w:szCs w:val="14"/>
        </w:rPr>
        <w:t xml:space="preserve"> not arguing (e.g.) that, on Kant</w:t>
      </w:r>
      <w:r w:rsidR="00E642F1">
        <w:rPr>
          <w:rFonts w:ascii="BodoniSvtyTwoOSITCTT-Book" w:hAnsi="BodoniSvtyTwoOSITCTT-Book"/>
          <w:sz w:val="14"/>
          <w:szCs w:val="14"/>
        </w:rPr>
        <w:t>’</w:t>
      </w:r>
      <w:r w:rsidR="00E642F1" w:rsidRPr="00E642F1">
        <w:rPr>
          <w:rFonts w:ascii="BodoniSvtyTwoOSITCTT-Book" w:hAnsi="BodoniSvtyTwoOSITCTT-Book"/>
          <w:sz w:val="14"/>
          <w:szCs w:val="14"/>
        </w:rPr>
        <w:t>s account, infanticide is an instance of necessity or equity (</w:t>
      </w:r>
      <w:r w:rsidR="00E642F1" w:rsidRPr="00E642F1">
        <w:rPr>
          <w:rFonts w:ascii="BodoniSvtyTwoOSITCTT-BookIt" w:hAnsi="BodoniSvtyTwoOSITCTT-BookIt"/>
          <w:i/>
          <w:iCs/>
          <w:sz w:val="14"/>
          <w:szCs w:val="14"/>
        </w:rPr>
        <w:t>pace</w:t>
      </w:r>
      <w:r w:rsidR="00E642F1" w:rsidRPr="00E642F1">
        <w:rPr>
          <w:rFonts w:ascii="BodoniSvtyTwoOSITCTT-Book" w:hAnsi="BodoniSvtyTwoOSITCTT-Book"/>
          <w:sz w:val="14"/>
          <w:szCs w:val="14"/>
        </w:rPr>
        <w:t xml:space="preserve"> Timmermann, 2022, section 8).</w:t>
      </w:r>
    </w:p>
  </w:footnote>
  <w:footnote w:id="38">
    <w:p w14:paraId="23C79FA7" w14:textId="252E3827" w:rsidR="00E30E97" w:rsidRPr="00E30E97" w:rsidRDefault="00E30E97" w:rsidP="00E30E97">
      <w:pPr>
        <w:pStyle w:val="p1"/>
        <w:divId w:val="957951904"/>
        <w:rPr>
          <w:sz w:val="14"/>
          <w:szCs w:val="14"/>
        </w:rPr>
      </w:pPr>
      <w:r>
        <w:rPr>
          <w:rStyle w:val="FootnoteReference"/>
        </w:rPr>
        <w:footnoteRef/>
      </w:r>
      <w:r>
        <w:t xml:space="preserve"> </w:t>
      </w:r>
      <w:r w:rsidRPr="00E30E97">
        <w:rPr>
          <w:rFonts w:ascii="BodoniSvtyTwoOSITCTT-Book" w:hAnsi="BodoniSvtyTwoOSITCTT-Book"/>
          <w:sz w:val="14"/>
          <w:szCs w:val="14"/>
        </w:rPr>
        <w:t>MS, AA 06: 336.27-31.</w:t>
      </w:r>
    </w:p>
  </w:footnote>
  <w:footnote w:id="39">
    <w:p w14:paraId="7EE18C51" w14:textId="7C81206D" w:rsidR="00F17F27" w:rsidRPr="00F17F27" w:rsidRDefault="00F17F27" w:rsidP="00F17F27">
      <w:pPr>
        <w:pStyle w:val="p1"/>
        <w:divId w:val="1653945093"/>
        <w:rPr>
          <w:sz w:val="14"/>
          <w:szCs w:val="14"/>
        </w:rPr>
      </w:pPr>
      <w:r>
        <w:rPr>
          <w:rStyle w:val="FootnoteReference"/>
        </w:rPr>
        <w:footnoteRef/>
      </w:r>
      <w:r>
        <w:t xml:space="preserve"> </w:t>
      </w:r>
      <w:r w:rsidRPr="00F17F27">
        <w:rPr>
          <w:rFonts w:ascii="BodoniSvtyTwoOSITCTT-Book" w:hAnsi="BodoniSvtyTwoOSITCTT-Book"/>
          <w:sz w:val="14"/>
          <w:szCs w:val="14"/>
        </w:rPr>
        <w:t>MS, AA 06: 336.15-19.</w:t>
      </w:r>
    </w:p>
  </w:footnote>
  <w:footnote w:id="40">
    <w:p w14:paraId="197FACBD" w14:textId="4DCE3898" w:rsidR="009267DE" w:rsidRPr="009267DE" w:rsidRDefault="009267DE" w:rsidP="009267DE">
      <w:pPr>
        <w:pStyle w:val="p1"/>
        <w:divId w:val="1091509943"/>
        <w:rPr>
          <w:sz w:val="14"/>
          <w:szCs w:val="14"/>
        </w:rPr>
      </w:pPr>
      <w:r>
        <w:rPr>
          <w:rStyle w:val="FootnoteReference"/>
        </w:rPr>
        <w:footnoteRef/>
      </w:r>
      <w:r>
        <w:t xml:space="preserve"> </w:t>
      </w:r>
      <w:r w:rsidRPr="009267DE">
        <w:rPr>
          <w:rFonts w:ascii="BodoniSvtyTwoOSITCTT-Book" w:hAnsi="BodoniSvtyTwoOSITCTT-Book"/>
          <w:sz w:val="14"/>
          <w:szCs w:val="14"/>
        </w:rPr>
        <w:t>For historical accounts, see (Ulbricht, 1990) and (van Dülmen, 1991). I owe these references to (Timmermann, 2022, 2n1).</w:t>
      </w:r>
    </w:p>
  </w:footnote>
  <w:footnote w:id="41">
    <w:p w14:paraId="16AC4F24" w14:textId="12821D0A" w:rsidR="005C66EA" w:rsidRPr="005C66EA" w:rsidRDefault="005C66EA" w:rsidP="005C66EA">
      <w:pPr>
        <w:pStyle w:val="p1"/>
        <w:divId w:val="1708067522"/>
        <w:rPr>
          <w:sz w:val="14"/>
          <w:szCs w:val="14"/>
        </w:rPr>
      </w:pPr>
      <w:r>
        <w:rPr>
          <w:rStyle w:val="FootnoteReference"/>
        </w:rPr>
        <w:footnoteRef/>
      </w:r>
      <w:r>
        <w:t xml:space="preserve"> </w:t>
      </w:r>
      <w:r w:rsidRPr="005C66EA">
        <w:rPr>
          <w:rFonts w:ascii="BodoniSvtyTwoOSITCTT-Book" w:hAnsi="BodoniSvtyTwoOSITCTT-Book"/>
          <w:sz w:val="14"/>
          <w:szCs w:val="14"/>
        </w:rPr>
        <w:t>MS, AA 06: 336.06-14.</w:t>
      </w:r>
    </w:p>
  </w:footnote>
  <w:footnote w:id="42">
    <w:p w14:paraId="3C1AE63F" w14:textId="0C638184" w:rsidR="004562BA" w:rsidRPr="004562BA" w:rsidRDefault="004562BA" w:rsidP="004562BA">
      <w:pPr>
        <w:pStyle w:val="p1"/>
        <w:divId w:val="1078133010"/>
        <w:rPr>
          <w:sz w:val="14"/>
          <w:szCs w:val="14"/>
        </w:rPr>
      </w:pPr>
      <w:r>
        <w:rPr>
          <w:rStyle w:val="FootnoteReference"/>
        </w:rPr>
        <w:footnoteRef/>
      </w:r>
      <w:r>
        <w:t xml:space="preserve"> </w:t>
      </w:r>
      <w:r w:rsidRPr="004562BA">
        <w:rPr>
          <w:rFonts w:ascii="BodoniSvtyTwoOSITCTT-Book" w:hAnsi="BodoniSvtyTwoOSITCTT-Book"/>
          <w:sz w:val="14"/>
          <w:szCs w:val="14"/>
        </w:rPr>
        <w:t>In attributing two arguments to Kant, I am disagreeing both with Baier and with Mertens, each of whom attribute to Kant only one argument, even if different ones. That is, Baier focuses exclusively on Kant</w:t>
      </w:r>
      <w:r w:rsidR="00D92AEE">
        <w:rPr>
          <w:rFonts w:ascii="BodoniSvtyTwoOSITCTT-Book" w:hAnsi="BodoniSvtyTwoOSITCTT-Book"/>
          <w:sz w:val="14"/>
          <w:szCs w:val="14"/>
        </w:rPr>
        <w:t>’</w:t>
      </w:r>
      <w:r w:rsidRPr="004562BA">
        <w:rPr>
          <w:rFonts w:ascii="BodoniSvtyTwoOSITCTT-Book" w:hAnsi="BodoniSvtyTwoOSITCTT-Book"/>
          <w:sz w:val="14"/>
          <w:szCs w:val="14"/>
        </w:rPr>
        <w:t>s remarks about the condition of the infant, whereas Mertens focuses exclusively on Kant's remarks about the condition of the woman (Baier, 1993, 445; Mertens, 2017, 461; I owe these references to Timmermann, 2022, 9-10). By way of contrast, I acknowledge both arguments as important and importantly different from one another.</w:t>
      </w:r>
    </w:p>
  </w:footnote>
  <w:footnote w:id="43">
    <w:p w14:paraId="2B3318DF" w14:textId="22493DF0" w:rsidR="00E53EFF" w:rsidRPr="00E53EFF" w:rsidRDefault="00E53EFF" w:rsidP="00E53EFF">
      <w:pPr>
        <w:pStyle w:val="p1"/>
        <w:divId w:val="715740708"/>
        <w:rPr>
          <w:sz w:val="14"/>
          <w:szCs w:val="14"/>
        </w:rPr>
      </w:pPr>
      <w:r>
        <w:rPr>
          <w:rStyle w:val="FootnoteReference"/>
        </w:rPr>
        <w:footnoteRef/>
      </w:r>
      <w:r>
        <w:t xml:space="preserve"> </w:t>
      </w:r>
      <w:r w:rsidRPr="00E53EFF">
        <w:rPr>
          <w:rFonts w:ascii="BodoniSvtyTwoOSITCTT-Book" w:hAnsi="BodoniSvtyTwoOSITCTT-Book"/>
          <w:sz w:val="14"/>
          <w:szCs w:val="14"/>
        </w:rPr>
        <w:t xml:space="preserve">In saying this, I am disagreeing with Uleman, who argues that </w:t>
      </w:r>
      <w:r w:rsidR="005004AB">
        <w:rPr>
          <w:rFonts w:ascii="BodoniSvtyTwoOSITCTT-Book" w:hAnsi="BodoniSvtyTwoOSITCTT-Book"/>
          <w:sz w:val="14"/>
          <w:szCs w:val="14"/>
        </w:rPr>
        <w:t>“</w:t>
      </w:r>
      <w:r w:rsidRPr="00E53EFF">
        <w:rPr>
          <w:rFonts w:ascii="BodoniSvtyTwoOSITCTT-Book" w:hAnsi="BodoniSvtyTwoOSITCTT-Book"/>
          <w:sz w:val="14"/>
          <w:szCs w:val="14"/>
        </w:rPr>
        <w:t>Kant in the end rejects arguments for leniency or dismissal in infanticide and dueling cases: the mother and officer must be put to death</w:t>
      </w:r>
      <w:r w:rsidR="005004AB">
        <w:rPr>
          <w:rFonts w:ascii="BodoniSvtyTwoOSITCTT-Book" w:hAnsi="BodoniSvtyTwoOSITCTT-Book"/>
          <w:sz w:val="14"/>
          <w:szCs w:val="14"/>
        </w:rPr>
        <w:t>”</w:t>
      </w:r>
      <w:r w:rsidRPr="00E53EFF">
        <w:rPr>
          <w:rFonts w:ascii="BodoniSvtyTwoOSITCTT-Book" w:hAnsi="BodoniSvtyTwoOSITCTT-Book"/>
          <w:sz w:val="14"/>
          <w:szCs w:val="14"/>
        </w:rPr>
        <w:t xml:space="preserve"> (Uleman, 2000, 194); with Timmermann, who asserts that </w:t>
      </w:r>
      <w:r w:rsidR="005004AB">
        <w:rPr>
          <w:rFonts w:ascii="BodoniSvtyTwoOSITCTT-Book" w:hAnsi="BodoniSvtyTwoOSITCTT-Book"/>
          <w:sz w:val="14"/>
          <w:szCs w:val="14"/>
        </w:rPr>
        <w:t>“</w:t>
      </w:r>
      <w:r w:rsidRPr="00E53EFF">
        <w:rPr>
          <w:rFonts w:ascii="BodoniSvtyTwoOSITCTT-Book" w:hAnsi="BodoniSvtyTwoOSITCTT-Book"/>
          <w:sz w:val="14"/>
          <w:szCs w:val="14"/>
        </w:rPr>
        <w:t>Kant never indicates that these honour killings might be unpunishable</w:t>
      </w:r>
      <w:r w:rsidR="005004AB">
        <w:rPr>
          <w:rFonts w:ascii="BodoniSvtyTwoOSITCTT-Book" w:hAnsi="BodoniSvtyTwoOSITCTT-Book"/>
          <w:sz w:val="14"/>
          <w:szCs w:val="14"/>
        </w:rPr>
        <w:t>”</w:t>
      </w:r>
      <w:r w:rsidRPr="00E53EFF">
        <w:rPr>
          <w:rFonts w:ascii="BodoniSvtyTwoOSITCTT-Book" w:hAnsi="BodoniSvtyTwoOSITCTT-Book"/>
          <w:sz w:val="14"/>
          <w:szCs w:val="14"/>
        </w:rPr>
        <w:t xml:space="preserve"> (Timmermann, 2022, 18); and with others, like Brandt (Brandt, 1999).</w:t>
      </w:r>
    </w:p>
  </w:footnote>
  <w:footnote w:id="44">
    <w:p w14:paraId="1D1CD2B3" w14:textId="07D20277" w:rsidR="0059607E" w:rsidRPr="0059607E" w:rsidRDefault="0059607E" w:rsidP="0059607E">
      <w:pPr>
        <w:pStyle w:val="p1"/>
        <w:divId w:val="1625889476"/>
        <w:rPr>
          <w:sz w:val="14"/>
          <w:szCs w:val="14"/>
        </w:rPr>
      </w:pPr>
      <w:r>
        <w:rPr>
          <w:rStyle w:val="FootnoteReference"/>
        </w:rPr>
        <w:footnoteRef/>
      </w:r>
      <w:r>
        <w:t xml:space="preserve"> </w:t>
      </w:r>
      <w:r w:rsidRPr="0059607E">
        <w:rPr>
          <w:rFonts w:ascii="BodoniSvtyTwoOSITCTT-Book" w:hAnsi="BodoniSvtyTwoOSITCTT-Book"/>
          <w:sz w:val="14"/>
          <w:szCs w:val="14"/>
        </w:rPr>
        <w:t>(Thomson, 1971).</w:t>
      </w:r>
    </w:p>
  </w:footnote>
  <w:footnote w:id="45">
    <w:p w14:paraId="37C6A095" w14:textId="7CB39D1D" w:rsidR="00B33383" w:rsidRPr="00E53EFF" w:rsidRDefault="00B33383" w:rsidP="00E53EFF">
      <w:pPr>
        <w:pStyle w:val="p1"/>
        <w:divId w:val="1449079213"/>
        <w:rPr>
          <w:sz w:val="14"/>
          <w:szCs w:val="14"/>
        </w:rPr>
      </w:pPr>
      <w:r>
        <w:rPr>
          <w:rStyle w:val="FootnoteReference"/>
        </w:rPr>
        <w:footnoteRef/>
      </w:r>
      <w:r>
        <w:t xml:space="preserve"> </w:t>
      </w:r>
      <w:r w:rsidR="00E53EFF" w:rsidRPr="00E53EFF">
        <w:rPr>
          <w:rFonts w:ascii="BodoniSvtyTwoOSITCTT-Book" w:hAnsi="BodoniSvtyTwoOSITCTT-Book"/>
          <w:sz w:val="14"/>
          <w:szCs w:val="14"/>
        </w:rPr>
        <w:t>(Thomson, 1971, 57, my emphasis).</w:t>
      </w:r>
    </w:p>
  </w:footnote>
  <w:footnote w:id="46">
    <w:p w14:paraId="798EAF88" w14:textId="52163DF2" w:rsidR="00F074EC" w:rsidRPr="00F074EC" w:rsidRDefault="00F074EC" w:rsidP="00F074EC">
      <w:pPr>
        <w:pStyle w:val="p1"/>
        <w:divId w:val="1184904923"/>
        <w:rPr>
          <w:sz w:val="14"/>
          <w:szCs w:val="14"/>
        </w:rPr>
      </w:pPr>
      <w:r>
        <w:rPr>
          <w:rStyle w:val="FootnoteReference"/>
        </w:rPr>
        <w:footnoteRef/>
      </w:r>
      <w:r>
        <w:t xml:space="preserve"> </w:t>
      </w:r>
      <w:r w:rsidRPr="00F074EC">
        <w:rPr>
          <w:rFonts w:ascii="BodoniSvtyTwoOSITCTT-Book" w:hAnsi="BodoniSvtyTwoOSITCTT-Book"/>
          <w:sz w:val="14"/>
          <w:szCs w:val="14"/>
        </w:rPr>
        <w:t>MS, AA 06: 280.16-20. Some philosophers appeal to this passage to show that, on Kant</w:t>
      </w:r>
      <w:r w:rsidR="00392FBA">
        <w:rPr>
          <w:rFonts w:ascii="BodoniSvtyTwoOSITCTT-Book" w:hAnsi="BodoniSvtyTwoOSITCTT-Book"/>
          <w:sz w:val="14"/>
          <w:szCs w:val="14"/>
        </w:rPr>
        <w:t>’</w:t>
      </w:r>
      <w:r w:rsidRPr="00F074EC">
        <w:rPr>
          <w:rFonts w:ascii="BodoniSvtyTwoOSITCTT-Book" w:hAnsi="BodoniSvtyTwoOSITCTT-Book"/>
          <w:sz w:val="14"/>
          <w:szCs w:val="14"/>
        </w:rPr>
        <w:t xml:space="preserve">s account, personhood begins at conception (see Lechner, 2014, 39-40, who also cites Lohner, 2000, 130; see also Brandt, 2004, 215). In my view this reading is mistaken. One way to see this is to note, as I do in the main text above, that the duty to preserve and care for offspring follows only from procreation </w:t>
      </w:r>
      <w:r w:rsidRPr="00F074EC">
        <w:rPr>
          <w:rFonts w:ascii="BodoniSvtyTwoOSITCTT-BookIt" w:hAnsi="BodoniSvtyTwoOSITCTT-BookIt"/>
          <w:i/>
          <w:iCs/>
          <w:sz w:val="14"/>
          <w:szCs w:val="14"/>
        </w:rPr>
        <w:t>in this community</w:t>
      </w:r>
      <w:r w:rsidRPr="00F074EC">
        <w:rPr>
          <w:rFonts w:ascii="BodoniSvtyTwoOSITCTT-Book" w:hAnsi="BodoniSvtyTwoOSITCTT-Book"/>
          <w:sz w:val="14"/>
          <w:szCs w:val="14"/>
        </w:rPr>
        <w:t xml:space="preserve">. Another way to see it is to note that such a duty does not presuppose personhood at all, much less personhood from conception (Geismann, 2004, 461-462). However, even if this passage does not support reading Kant as a conceptionist, there might be others that do--and, as I have tried to make clear throughout this </w:t>
      </w:r>
      <w:r w:rsidR="006B626C">
        <w:rPr>
          <w:rFonts w:ascii="BodoniSvtyTwoOSITCTT-Book" w:hAnsi="BodoniSvtyTwoOSITCTT-Book"/>
          <w:sz w:val="14"/>
          <w:szCs w:val="14"/>
        </w:rPr>
        <w:t>article</w:t>
      </w:r>
      <w:r w:rsidRPr="00F074EC">
        <w:rPr>
          <w:rFonts w:ascii="BodoniSvtyTwoOSITCTT-Book" w:hAnsi="BodoniSvtyTwoOSITCTT-Book"/>
          <w:sz w:val="14"/>
          <w:szCs w:val="14"/>
        </w:rPr>
        <w:t>, I do not want or need to take a stand here on when Kant thinks personhood onsets.</w:t>
      </w:r>
    </w:p>
  </w:footnote>
  <w:footnote w:id="47">
    <w:p w14:paraId="28FC5B8C" w14:textId="77777777" w:rsidR="00F80380" w:rsidRDefault="008F469C" w:rsidP="00F80380">
      <w:pPr>
        <w:pStyle w:val="p1"/>
        <w:divId w:val="1255940288"/>
        <w:rPr>
          <w:rFonts w:ascii="BodoniSvtyTwoOSITCTT-Book" w:hAnsi="BodoniSvtyTwoOSITCTT-Book"/>
          <w:sz w:val="14"/>
          <w:szCs w:val="14"/>
        </w:rPr>
      </w:pPr>
      <w:r>
        <w:rPr>
          <w:rStyle w:val="FootnoteReference"/>
        </w:rPr>
        <w:footnoteRef/>
      </w:r>
      <w:r>
        <w:t xml:space="preserve"> </w:t>
      </w:r>
      <w:r w:rsidR="00A76353" w:rsidRPr="00A76353">
        <w:rPr>
          <w:rFonts w:ascii="BodoniSvtyTwoOSITCTT-Book" w:hAnsi="BodoniSvtyTwoOSITCTT-Book"/>
          <w:sz w:val="14"/>
          <w:szCs w:val="14"/>
        </w:rPr>
        <w:t>There is some tension here. On the one hand, Kant asserts that there is only one innate right, so this right of children must fall under the right to freedom. On the other hand, the innate right to freedom, as discussed above, is a negative right, whereas the right of children introduced here is a positive one. </w:t>
      </w:r>
    </w:p>
    <w:p w14:paraId="0702D860" w14:textId="03E3B9D0" w:rsidR="008F469C" w:rsidRPr="00A76353" w:rsidRDefault="00F80380" w:rsidP="00F80380">
      <w:pPr>
        <w:pStyle w:val="p1"/>
        <w:ind w:firstLine="720"/>
        <w:divId w:val="1255940288"/>
        <w:rPr>
          <w:sz w:val="14"/>
          <w:szCs w:val="14"/>
        </w:rPr>
      </w:pPr>
      <w:r>
        <w:rPr>
          <w:rFonts w:ascii="BodoniSvtyTwoOSITCTT-Book" w:hAnsi="BodoniSvtyTwoOSITCTT-Book"/>
          <w:sz w:val="14"/>
          <w:szCs w:val="14"/>
        </w:rPr>
        <w:t>My</w:t>
      </w:r>
      <w:r w:rsidR="00A76353" w:rsidRPr="00A76353">
        <w:rPr>
          <w:rFonts w:ascii="BodoniSvtyTwoOSITCTT-Book" w:hAnsi="BodoniSvtyTwoOSITCTT-Book"/>
          <w:sz w:val="14"/>
          <w:szCs w:val="14"/>
        </w:rPr>
        <w:t xml:space="preserve"> remarks about the way that negative rights can give rise to positive ones </w:t>
      </w:r>
      <w:r w:rsidR="00491877">
        <w:rPr>
          <w:rFonts w:ascii="BodoniSvtyTwoOSITCTT-Book" w:hAnsi="BodoniSvtyTwoOSITCTT-Book"/>
          <w:sz w:val="14"/>
          <w:szCs w:val="14"/>
        </w:rPr>
        <w:t>(</w:t>
      </w:r>
      <w:r w:rsidR="00A76353" w:rsidRPr="00A76353">
        <w:rPr>
          <w:rFonts w:ascii="BodoniSvtyTwoOSITCTT-Book" w:hAnsi="BodoniSvtyTwoOSITCTT-Book"/>
          <w:sz w:val="14"/>
          <w:szCs w:val="14"/>
        </w:rPr>
        <w:t xml:space="preserve">in note </w:t>
      </w:r>
      <w:r w:rsidR="003F0309">
        <w:rPr>
          <w:rFonts w:ascii="BodoniSvtyTwoOSITCTT-Book" w:hAnsi="BodoniSvtyTwoOSITCTT-Book"/>
          <w:sz w:val="14"/>
          <w:szCs w:val="14"/>
        </w:rPr>
        <w:t>2</w:t>
      </w:r>
      <w:r w:rsidR="00491877">
        <w:rPr>
          <w:rFonts w:ascii="BodoniSvtyTwoOSITCTT-Book" w:hAnsi="BodoniSvtyTwoOSITCTT-Book"/>
          <w:sz w:val="14"/>
          <w:szCs w:val="14"/>
        </w:rPr>
        <w:t xml:space="preserve"> above)</w:t>
      </w:r>
      <w:r w:rsidR="00A76353" w:rsidRPr="00A76353">
        <w:rPr>
          <w:rFonts w:ascii="BodoniSvtyTwoOSITCTT-Book" w:hAnsi="BodoniSvtyTwoOSITCTT-Book"/>
          <w:sz w:val="14"/>
          <w:szCs w:val="14"/>
        </w:rPr>
        <w:t xml:space="preserve"> might go some way toward relieving this tension. Given that Kant does not think that this </w:t>
      </w:r>
      <w:r w:rsidR="00F47A4D">
        <w:rPr>
          <w:rFonts w:ascii="BodoniSvtyTwoOSITCTT-Book" w:hAnsi="BodoniSvtyTwoOSITCTT-Book"/>
          <w:sz w:val="14"/>
          <w:szCs w:val="14"/>
        </w:rPr>
        <w:t>“</w:t>
      </w:r>
      <w:r w:rsidR="00A76353" w:rsidRPr="00A76353">
        <w:rPr>
          <w:rFonts w:ascii="BodoniSvtyTwoOSITCTT-Book" w:hAnsi="BodoniSvtyTwoOSITCTT-Book"/>
          <w:sz w:val="14"/>
          <w:szCs w:val="14"/>
        </w:rPr>
        <w:t>original innate</w:t>
      </w:r>
      <w:r w:rsidR="00F47A4D">
        <w:rPr>
          <w:rFonts w:ascii="BodoniSvtyTwoOSITCTT-Book" w:hAnsi="BodoniSvtyTwoOSITCTT-Book"/>
          <w:sz w:val="14"/>
          <w:szCs w:val="14"/>
        </w:rPr>
        <w:t>”</w:t>
      </w:r>
      <w:r w:rsidR="00A76353" w:rsidRPr="00A76353">
        <w:rPr>
          <w:rFonts w:ascii="BodoniSvtyTwoOSITCTT-Book" w:hAnsi="BodoniSvtyTwoOSITCTT-Book"/>
          <w:sz w:val="14"/>
          <w:szCs w:val="14"/>
        </w:rPr>
        <w:t xml:space="preserve"> right is enjoyed by all children (only those born into the community), one might think that the right is due to the children on the basis of the marriage contract. If this is correct, then the right is innate in the sense that the child does not do anything to acquire it. But I think this resolution might have counterintuitive implications. For example, it suggests that whenever X enters into a contract with Y to provide a service for Z, then, provided Z was not involved in the contract in any way, Z has an innate right to this service. </w:t>
      </w:r>
    </w:p>
  </w:footnote>
  <w:footnote w:id="48">
    <w:p w14:paraId="31D2283D" w14:textId="340FAE49" w:rsidR="00341034" w:rsidRPr="00341034" w:rsidRDefault="00341034" w:rsidP="00341034">
      <w:pPr>
        <w:pStyle w:val="p1"/>
        <w:divId w:val="610628073"/>
        <w:rPr>
          <w:sz w:val="14"/>
          <w:szCs w:val="14"/>
        </w:rPr>
      </w:pPr>
      <w:r>
        <w:rPr>
          <w:rStyle w:val="FootnoteReference"/>
        </w:rPr>
        <w:footnoteRef/>
      </w:r>
      <w:r>
        <w:t xml:space="preserve"> </w:t>
      </w:r>
      <w:r w:rsidRPr="00341034">
        <w:rPr>
          <w:rFonts w:ascii="BodoniSvtyTwoOSITCTT-Book" w:hAnsi="BodoniSvtyTwoOSITCTT-Book"/>
          <w:sz w:val="14"/>
          <w:szCs w:val="14"/>
        </w:rPr>
        <w:t>Brandt also remarks on the connection between a marriage contract and the social contract, with the latter</w:t>
      </w:r>
      <w:r w:rsidR="00F22E22">
        <w:rPr>
          <w:rFonts w:ascii="BodoniSvtyTwoOSITCTT-Book" w:hAnsi="BodoniSvtyTwoOSITCTT-Book"/>
          <w:sz w:val="14"/>
          <w:szCs w:val="14"/>
        </w:rPr>
        <w:t>’</w:t>
      </w:r>
      <w:r w:rsidRPr="00341034">
        <w:rPr>
          <w:rFonts w:ascii="BodoniSvtyTwoOSITCTT-Book" w:hAnsi="BodoniSvtyTwoOSITCTT-Book"/>
          <w:sz w:val="14"/>
          <w:szCs w:val="14"/>
        </w:rPr>
        <w:t>s corresponding contrast to a state of nature (Brandt, 2004, 208). One might wonder whether there is room for ambiguity if the conception occurs before marriage but birth occurs after, or whether a child born out of wedlock acquires this right if and when a marriage takes place. Further questions arise if both or one of the parents are married but not to each other.</w:t>
      </w:r>
    </w:p>
  </w:footnote>
  <w:footnote w:id="49">
    <w:p w14:paraId="66F9752E" w14:textId="76F7B060" w:rsidR="0087584A" w:rsidRPr="0087584A" w:rsidRDefault="0087584A" w:rsidP="0087584A">
      <w:pPr>
        <w:pStyle w:val="p1"/>
        <w:divId w:val="1595166373"/>
        <w:rPr>
          <w:sz w:val="14"/>
          <w:szCs w:val="14"/>
        </w:rPr>
      </w:pPr>
      <w:r>
        <w:rPr>
          <w:rStyle w:val="FootnoteReference"/>
        </w:rPr>
        <w:footnoteRef/>
      </w:r>
      <w:r>
        <w:t xml:space="preserve"> </w:t>
      </w:r>
      <w:r w:rsidRPr="0087584A">
        <w:rPr>
          <w:rFonts w:ascii="BodoniSvtyTwoOSITCTT-Book" w:hAnsi="BodoniSvtyTwoOSITCTT-Book"/>
          <w:sz w:val="14"/>
          <w:szCs w:val="14"/>
        </w:rPr>
        <w:t>Or worse--for helpful discussion, see (Uleman, 2000, 177-182).</w:t>
      </w:r>
    </w:p>
  </w:footnote>
  <w:footnote w:id="50">
    <w:p w14:paraId="13F1CBA8" w14:textId="7A418C53" w:rsidR="00BD34F4" w:rsidRPr="00BD34F4" w:rsidRDefault="00BD34F4" w:rsidP="00BD34F4">
      <w:pPr>
        <w:pStyle w:val="p1"/>
        <w:divId w:val="1789009193"/>
        <w:rPr>
          <w:sz w:val="14"/>
          <w:szCs w:val="14"/>
        </w:rPr>
      </w:pPr>
      <w:r>
        <w:rPr>
          <w:rStyle w:val="FootnoteReference"/>
        </w:rPr>
        <w:footnoteRef/>
      </w:r>
      <w:r>
        <w:t xml:space="preserve"> </w:t>
      </w:r>
      <w:r w:rsidRPr="00BD34F4">
        <w:rPr>
          <w:rFonts w:ascii="BodoniSvtyTwoOSITCTT-Book" w:hAnsi="BodoniSvtyTwoOSITCTT-Book"/>
          <w:sz w:val="14"/>
          <w:szCs w:val="14"/>
        </w:rPr>
        <w:t>One might wonder why Kant himself did not extend his arguments about infanticide to abortion, especially given his claim about suicide on the part of a pregnant woman being a crime. One reason might have been that abortion in Kant</w:t>
      </w:r>
      <w:r>
        <w:rPr>
          <w:rFonts w:ascii="BodoniSvtyTwoOSITCTT-Book" w:hAnsi="BodoniSvtyTwoOSITCTT-Book"/>
          <w:sz w:val="14"/>
          <w:szCs w:val="14"/>
        </w:rPr>
        <w:t>’</w:t>
      </w:r>
      <w:r w:rsidRPr="00BD34F4">
        <w:rPr>
          <w:rFonts w:ascii="BodoniSvtyTwoOSITCTT-Book" w:hAnsi="BodoniSvtyTwoOSITCTT-Book"/>
          <w:sz w:val="14"/>
          <w:szCs w:val="14"/>
        </w:rPr>
        <w:t xml:space="preserve">s time was much riskier for the woman and much less effective in terminating the pregnancy, to say nothing of the difficulty associated with procurement; infanticide would have been a more common </w:t>
      </w:r>
      <w:r w:rsidR="00BE6E72">
        <w:rPr>
          <w:rFonts w:ascii="BodoniSvtyTwoOSITCTT-Book" w:hAnsi="BodoniSvtyTwoOSITCTT-Book"/>
          <w:sz w:val="14"/>
          <w:szCs w:val="14"/>
        </w:rPr>
        <w:t>“</w:t>
      </w:r>
      <w:r w:rsidRPr="00BD34F4">
        <w:rPr>
          <w:rFonts w:ascii="BodoniSvtyTwoOSITCTT-Book" w:hAnsi="BodoniSvtyTwoOSITCTT-Book"/>
          <w:sz w:val="14"/>
          <w:szCs w:val="14"/>
        </w:rPr>
        <w:t>solution.</w:t>
      </w:r>
      <w:r w:rsidR="00BE6E72">
        <w:rPr>
          <w:rFonts w:ascii="BodoniSvtyTwoOSITCTT-Book" w:hAnsi="BodoniSvtyTwoOSITCTT-Book"/>
          <w:sz w:val="14"/>
          <w:szCs w:val="14"/>
        </w:rPr>
        <w:t>”</w:t>
      </w:r>
      <w:r w:rsidRPr="00BD34F4">
        <w:rPr>
          <w:rFonts w:ascii="BodoniSvtyTwoOSITCTT-Book" w:hAnsi="BodoniSvtyTwoOSITCTT-Book"/>
          <w:sz w:val="14"/>
          <w:szCs w:val="14"/>
        </w:rPr>
        <w:t> </w:t>
      </w:r>
    </w:p>
  </w:footnote>
  <w:footnote w:id="51">
    <w:p w14:paraId="79C13D1C" w14:textId="4EBC9FC6" w:rsidR="00D52FCD" w:rsidRPr="00D52FCD" w:rsidRDefault="00D52FCD">
      <w:pPr>
        <w:pStyle w:val="p1"/>
        <w:divId w:val="1033503600"/>
        <w:rPr>
          <w:sz w:val="14"/>
          <w:szCs w:val="14"/>
        </w:rPr>
      </w:pPr>
      <w:r>
        <w:rPr>
          <w:rStyle w:val="FootnoteReference"/>
        </w:rPr>
        <w:footnoteRef/>
      </w:r>
      <w:r>
        <w:t xml:space="preserve"> </w:t>
      </w:r>
      <w:r w:rsidRPr="00D52FCD">
        <w:rPr>
          <w:rFonts w:ascii="BodoniSvtyTwoOSITCTT-Book" w:hAnsi="BodoniSvtyTwoOSITCTT-Book"/>
          <w:sz w:val="14"/>
          <w:szCs w:val="14"/>
        </w:rPr>
        <w:t>Timmermann also remarks on the connection between Kan</w:t>
      </w:r>
      <w:r w:rsidR="00BE7735">
        <w:rPr>
          <w:rFonts w:ascii="BodoniSvtyTwoOSITCTT-Book" w:hAnsi="BodoniSvtyTwoOSITCTT-Book"/>
          <w:sz w:val="14"/>
          <w:szCs w:val="14"/>
        </w:rPr>
        <w:t>t’</w:t>
      </w:r>
      <w:r w:rsidRPr="00D52FCD">
        <w:rPr>
          <w:rFonts w:ascii="BodoniSvtyTwoOSITCTT-Book" w:hAnsi="BodoniSvtyTwoOSITCTT-Book"/>
          <w:sz w:val="14"/>
          <w:szCs w:val="14"/>
        </w:rPr>
        <w:t>s argument and the socioeconomic condition of the mother: </w:t>
      </w:r>
    </w:p>
    <w:p w14:paraId="055258D5" w14:textId="77777777" w:rsidR="00D52FCD" w:rsidRPr="00D52FCD" w:rsidRDefault="00D52FCD" w:rsidP="00D52FCD">
      <w:pPr>
        <w:divId w:val="1033503600"/>
        <w:rPr>
          <w:rFonts w:ascii="Bodoni 72 Oldstyle" w:hAnsi="Bodoni 72 Oldstyle" w:cs="Times New Roman"/>
          <w:color w:val="000000"/>
          <w:kern w:val="0"/>
          <w:sz w:val="14"/>
          <w:szCs w:val="14"/>
          <w14:ligatures w14:val="none"/>
        </w:rPr>
      </w:pPr>
    </w:p>
    <w:p w14:paraId="36FC7355" w14:textId="3E672559" w:rsidR="00D52FCD" w:rsidRPr="00D52FCD" w:rsidRDefault="00D52FCD" w:rsidP="00D52FCD">
      <w:pPr>
        <w:ind w:left="1080"/>
        <w:divId w:val="1033503600"/>
        <w:rPr>
          <w:rFonts w:ascii="Bodoni 72 Oldstyle" w:hAnsi="Bodoni 72 Oldstyle" w:cs="Times New Roman"/>
          <w:color w:val="000000"/>
          <w:kern w:val="0"/>
          <w:sz w:val="14"/>
          <w:szCs w:val="14"/>
          <w14:ligatures w14:val="none"/>
        </w:rPr>
      </w:pPr>
      <w:r w:rsidRPr="00D52FCD">
        <w:rPr>
          <w:rFonts w:ascii="BodoniSvtyTwoOSITCTT-Book" w:hAnsi="BodoniSvtyTwoOSITCTT-Book" w:cs="Times New Roman"/>
          <w:color w:val="000000"/>
          <w:kern w:val="0"/>
          <w:sz w:val="14"/>
          <w:szCs w:val="14"/>
          <w14:ligatures w14:val="none"/>
        </w:rPr>
        <w:t>The state, one might hope, would also provide financial aid for mothers or young couples, since in the late eighteenth century poverty was at least as pressing a problem for many unwed mothers as social disgrace. (Of course, the two points cannot be separated entirely.) So, there is a Kantian case to be made for</w:t>
      </w:r>
      <w:r w:rsidR="00BE7735">
        <w:rPr>
          <w:rFonts w:ascii="BodoniSvtyTwoOSITCTT-Book" w:hAnsi="BodoniSvtyTwoOSITCTT-Book" w:cs="Times New Roman"/>
          <w:color w:val="000000"/>
          <w:kern w:val="0"/>
          <w:sz w:val="14"/>
          <w:szCs w:val="14"/>
          <w14:ligatures w14:val="none"/>
        </w:rPr>
        <w:t>--</w:t>
      </w:r>
      <w:r w:rsidRPr="00D52FCD">
        <w:rPr>
          <w:rFonts w:ascii="BodoniSvtyTwoOSITCTT-Book" w:hAnsi="BodoniSvtyTwoOSITCTT-Book" w:cs="Times New Roman"/>
          <w:color w:val="000000"/>
          <w:kern w:val="0"/>
          <w:sz w:val="14"/>
          <w:szCs w:val="14"/>
          <w14:ligatures w14:val="none"/>
        </w:rPr>
        <w:t>means-tested</w:t>
      </w:r>
      <w:r w:rsidR="00BE7735">
        <w:rPr>
          <w:rFonts w:ascii="BodoniSvtyTwoOSITCTT-Book" w:hAnsi="BodoniSvtyTwoOSITCTT-Book" w:cs="Times New Roman"/>
          <w:color w:val="000000"/>
          <w:kern w:val="0"/>
          <w:sz w:val="14"/>
          <w:szCs w:val="14"/>
          <w14:ligatures w14:val="none"/>
        </w:rPr>
        <w:t>?--</w:t>
      </w:r>
      <w:r w:rsidRPr="00D52FCD">
        <w:rPr>
          <w:rFonts w:ascii="BodoniSvtyTwoOSITCTT-Book" w:hAnsi="BodoniSvtyTwoOSITCTT-Book" w:cs="Times New Roman"/>
          <w:color w:val="000000"/>
          <w:kern w:val="0"/>
          <w:sz w:val="14"/>
          <w:szCs w:val="14"/>
          <w14:ligatures w14:val="none"/>
        </w:rPr>
        <w:t>child benefit. (Timmermann, 2022, 21n47)</w:t>
      </w:r>
    </w:p>
  </w:footnote>
  <w:footnote w:id="52">
    <w:p w14:paraId="130C94FE" w14:textId="473E1892" w:rsidR="00FA3E67" w:rsidRPr="00FA3E67" w:rsidRDefault="00FA3E67" w:rsidP="00FA3E67">
      <w:pPr>
        <w:pStyle w:val="p1"/>
        <w:divId w:val="1141968992"/>
        <w:rPr>
          <w:sz w:val="14"/>
          <w:szCs w:val="14"/>
        </w:rPr>
      </w:pPr>
      <w:r>
        <w:rPr>
          <w:rStyle w:val="FootnoteReference"/>
        </w:rPr>
        <w:footnoteRef/>
      </w:r>
      <w:r>
        <w:t xml:space="preserve"> </w:t>
      </w:r>
      <w:r w:rsidRPr="00FA3E67">
        <w:rPr>
          <w:rFonts w:ascii="BodoniSvtyTwoOSITCTT-Book" w:hAnsi="BodoniSvtyTwoOSITCTT-Book"/>
          <w:sz w:val="14"/>
          <w:szCs w:val="14"/>
        </w:rPr>
        <w:t>See (Horn, 2014, 91). I owe this reference to (Timmermann, 2022, 9).</w:t>
      </w:r>
    </w:p>
  </w:footnote>
  <w:footnote w:id="53">
    <w:p w14:paraId="37BE4BFF" w14:textId="5E0BDEBB" w:rsidR="00D03526" w:rsidRPr="00D03526" w:rsidRDefault="00D03526" w:rsidP="00D03526">
      <w:pPr>
        <w:pStyle w:val="p1"/>
        <w:divId w:val="1055204286"/>
        <w:rPr>
          <w:sz w:val="14"/>
          <w:szCs w:val="14"/>
        </w:rPr>
      </w:pPr>
      <w:r>
        <w:rPr>
          <w:rStyle w:val="FootnoteReference"/>
        </w:rPr>
        <w:footnoteRef/>
      </w:r>
      <w:r>
        <w:t xml:space="preserve"> </w:t>
      </w:r>
      <w:r w:rsidRPr="00D03526">
        <w:rPr>
          <w:rFonts w:ascii="BodoniSvtyTwoOSITCTT-Book" w:hAnsi="BodoniSvtyTwoOSITCTT-Book"/>
          <w:sz w:val="14"/>
          <w:szCs w:val="14"/>
        </w:rPr>
        <w:t>(Branum and Ahrens, 2017).</w:t>
      </w:r>
    </w:p>
  </w:footnote>
  <w:footnote w:id="54">
    <w:p w14:paraId="4EA999FC" w14:textId="655FBEA1" w:rsidR="0081451F" w:rsidRPr="0081451F" w:rsidRDefault="0081451F" w:rsidP="0081451F">
      <w:pPr>
        <w:pStyle w:val="p1"/>
        <w:divId w:val="1028988041"/>
        <w:rPr>
          <w:sz w:val="14"/>
          <w:szCs w:val="14"/>
        </w:rPr>
      </w:pPr>
      <w:r>
        <w:rPr>
          <w:rStyle w:val="FootnoteReference"/>
        </w:rPr>
        <w:footnoteRef/>
      </w:r>
      <w:r>
        <w:t xml:space="preserve"> </w:t>
      </w:r>
      <w:r w:rsidRPr="0081451F">
        <w:rPr>
          <w:rFonts w:ascii="BodoniSvtyTwoOSITCTT-Book" w:hAnsi="BodoniSvtyTwoOSITCTT-Book"/>
          <w:sz w:val="14"/>
          <w:szCs w:val="14"/>
        </w:rPr>
        <w:t>A caveat: there are two distinct kinds of heartbeat laws, at least in the US. In some states, abortion is criminalized at the point at which a fetal heartbeat can be detected by any means, including transvaginal ultrasound; in others, abortion is criminalized at the point at which a fetal heartbeat can be detected only by noninvasive means. Only the former translate into a 3-6-week cutoff; the latter translate into a 9-12-week cutoff. The wide right being discussed here might be consistent with the latter.</w:t>
      </w:r>
    </w:p>
  </w:footnote>
  <w:footnote w:id="55">
    <w:p w14:paraId="3286A73C" w14:textId="7758C08A" w:rsidR="00E026E0" w:rsidRPr="00E026E0" w:rsidRDefault="00E026E0" w:rsidP="00E026E0">
      <w:pPr>
        <w:pStyle w:val="p1"/>
        <w:divId w:val="2087723299"/>
        <w:rPr>
          <w:sz w:val="14"/>
          <w:szCs w:val="14"/>
        </w:rPr>
      </w:pPr>
      <w:r>
        <w:rPr>
          <w:rStyle w:val="FootnoteReference"/>
        </w:rPr>
        <w:footnoteRef/>
      </w:r>
      <w:r>
        <w:t xml:space="preserve"> </w:t>
      </w:r>
      <w:r w:rsidRPr="00E026E0">
        <w:rPr>
          <w:rFonts w:ascii="BodoniSvtyTwoOSITCTT-Book" w:hAnsi="BodoniSvtyTwoOSITCTT-Book"/>
          <w:sz w:val="14"/>
          <w:szCs w:val="14"/>
        </w:rPr>
        <w:t>How would these extrapolations deal with pregnancies in which the woman is brain dead and other complicated cases? It is unclear.</w:t>
      </w:r>
    </w:p>
  </w:footnote>
  <w:footnote w:id="56">
    <w:p w14:paraId="3EB71F25" w14:textId="1520CA9D" w:rsidR="00203F53" w:rsidRPr="00203F53" w:rsidRDefault="00203F53" w:rsidP="00203F53">
      <w:pPr>
        <w:pStyle w:val="p1"/>
        <w:divId w:val="1713772400"/>
        <w:rPr>
          <w:sz w:val="14"/>
          <w:szCs w:val="14"/>
        </w:rPr>
      </w:pPr>
      <w:r>
        <w:rPr>
          <w:rStyle w:val="FootnoteReference"/>
        </w:rPr>
        <w:footnoteRef/>
      </w:r>
      <w:r>
        <w:t xml:space="preserve"> </w:t>
      </w:r>
      <w:r w:rsidRPr="00203F53">
        <w:rPr>
          <w:rFonts w:ascii="BodoniSvtyTwoOSITCTT-Book" w:hAnsi="BodoniSvtyTwoOSITCTT-Book"/>
          <w:sz w:val="14"/>
          <w:szCs w:val="14"/>
        </w:rPr>
        <w:t>One exception to this might be surrogates when the parents-to-be pull out. But even such cases might be tenuous, at least on the arguments developed here, depending on the circumstances. However, it is perhaps worth pointing out that, if such cases are accepted as covered by the wide right discussed here, then they might prove to be exceptions to the time limits suggested in the previous paragraph.</w:t>
      </w:r>
    </w:p>
  </w:footnote>
  <w:footnote w:id="57">
    <w:p w14:paraId="41FCEDB5" w14:textId="36E1372E" w:rsidR="0040657B" w:rsidRPr="006B1FD3" w:rsidRDefault="0040657B">
      <w:pPr>
        <w:pStyle w:val="FootnoteText"/>
      </w:pPr>
      <w:r>
        <w:rPr>
          <w:rStyle w:val="FootnoteReference"/>
        </w:rPr>
        <w:footnoteRef/>
      </w:r>
      <w:r>
        <w:t xml:space="preserve"> I would like to thank</w:t>
      </w:r>
      <w:r w:rsidR="00E67757">
        <w:t xml:space="preserve"> the participants</w:t>
      </w:r>
      <w:r w:rsidR="006A7A1B">
        <w:t xml:space="preserve"> in my </w:t>
      </w:r>
      <w:r w:rsidR="00A441DE">
        <w:t>July 28, 2021 V</w:t>
      </w:r>
      <w:r w:rsidR="00DE576A">
        <w:t>-</w:t>
      </w:r>
      <w:r w:rsidR="00A441DE">
        <w:t xml:space="preserve">NAKS </w:t>
      </w:r>
      <w:r w:rsidR="00DE576A">
        <w:t>session, and especially Helga Varden</w:t>
      </w:r>
      <w:r w:rsidR="00FC5F23">
        <w:t xml:space="preserve"> and Matthew Alt</w:t>
      </w:r>
      <w:r w:rsidR="000F1EB6">
        <w:t xml:space="preserve">man, my </w:t>
      </w:r>
      <w:r w:rsidR="007B69E4">
        <w:t>ideal commentators, for their constructive questions, feedback, and guidance. I also would like to thank</w:t>
      </w:r>
      <w:r w:rsidR="006B1FD3">
        <w:t xml:space="preserve"> the anonymous referees from </w:t>
      </w:r>
      <w:r w:rsidR="006B1FD3">
        <w:rPr>
          <w:i/>
          <w:iCs/>
        </w:rPr>
        <w:t>Kant Studien</w:t>
      </w:r>
      <w:r w:rsidR="006B1FD3">
        <w:t xml:space="preserve"> for their </w:t>
      </w:r>
      <w:r w:rsidR="007F7B54">
        <w:t>instructive comments.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AAC5F8A"/>
    <w:multiLevelType w:val="hybridMultilevel"/>
    <w:tmpl w:val="3C608192"/>
    <w:lvl w:ilvl="0" w:tplc="FFFFFFFF">
      <w:start w:val="1"/>
      <w:numFmt w:val="decimal"/>
      <w:lvlText w:val="(%1)"/>
      <w:lvlJc w:val="left"/>
      <w:pPr>
        <w:ind w:left="1100" w:hanging="38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7620190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3"/>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04FE"/>
    <w:rsid w:val="00012C14"/>
    <w:rsid w:val="00016A27"/>
    <w:rsid w:val="0003209E"/>
    <w:rsid w:val="000415DA"/>
    <w:rsid w:val="00051A5A"/>
    <w:rsid w:val="00052B35"/>
    <w:rsid w:val="000668A5"/>
    <w:rsid w:val="000719EA"/>
    <w:rsid w:val="00072BE5"/>
    <w:rsid w:val="00075049"/>
    <w:rsid w:val="00076262"/>
    <w:rsid w:val="00084136"/>
    <w:rsid w:val="00094A00"/>
    <w:rsid w:val="000B403B"/>
    <w:rsid w:val="000B7937"/>
    <w:rsid w:val="000D24C3"/>
    <w:rsid w:val="000F1EB6"/>
    <w:rsid w:val="001004E5"/>
    <w:rsid w:val="00107448"/>
    <w:rsid w:val="00124823"/>
    <w:rsid w:val="001267D3"/>
    <w:rsid w:val="00146490"/>
    <w:rsid w:val="00167458"/>
    <w:rsid w:val="001B5B3B"/>
    <w:rsid w:val="001C055F"/>
    <w:rsid w:val="001D1A80"/>
    <w:rsid w:val="001E02B9"/>
    <w:rsid w:val="001E1971"/>
    <w:rsid w:val="00203F53"/>
    <w:rsid w:val="00215BA1"/>
    <w:rsid w:val="00224C1A"/>
    <w:rsid w:val="00273DB3"/>
    <w:rsid w:val="00273E13"/>
    <w:rsid w:val="00274A66"/>
    <w:rsid w:val="00276B7F"/>
    <w:rsid w:val="00296829"/>
    <w:rsid w:val="002A4176"/>
    <w:rsid w:val="002A5226"/>
    <w:rsid w:val="002B0633"/>
    <w:rsid w:val="002B26CD"/>
    <w:rsid w:val="002B6297"/>
    <w:rsid w:val="002C70C4"/>
    <w:rsid w:val="002D0271"/>
    <w:rsid w:val="002D5610"/>
    <w:rsid w:val="002F138A"/>
    <w:rsid w:val="002F202B"/>
    <w:rsid w:val="003053E2"/>
    <w:rsid w:val="00310586"/>
    <w:rsid w:val="00310AD5"/>
    <w:rsid w:val="0031689C"/>
    <w:rsid w:val="00341034"/>
    <w:rsid w:val="00343532"/>
    <w:rsid w:val="00347303"/>
    <w:rsid w:val="00347424"/>
    <w:rsid w:val="0037287E"/>
    <w:rsid w:val="00377B42"/>
    <w:rsid w:val="0038782A"/>
    <w:rsid w:val="00392FBA"/>
    <w:rsid w:val="003A5972"/>
    <w:rsid w:val="003D06DF"/>
    <w:rsid w:val="003D09AF"/>
    <w:rsid w:val="003D4A24"/>
    <w:rsid w:val="003E2A48"/>
    <w:rsid w:val="003F02A4"/>
    <w:rsid w:val="003F0309"/>
    <w:rsid w:val="003F1A65"/>
    <w:rsid w:val="003F492E"/>
    <w:rsid w:val="0040657B"/>
    <w:rsid w:val="00407DA3"/>
    <w:rsid w:val="00427E02"/>
    <w:rsid w:val="00444CAB"/>
    <w:rsid w:val="00451487"/>
    <w:rsid w:val="004526E7"/>
    <w:rsid w:val="004562BA"/>
    <w:rsid w:val="00457DCC"/>
    <w:rsid w:val="00486ACD"/>
    <w:rsid w:val="00491877"/>
    <w:rsid w:val="00495232"/>
    <w:rsid w:val="0049791D"/>
    <w:rsid w:val="00497D05"/>
    <w:rsid w:val="004A39E2"/>
    <w:rsid w:val="004A5240"/>
    <w:rsid w:val="004B0CE3"/>
    <w:rsid w:val="004B4406"/>
    <w:rsid w:val="004B73D4"/>
    <w:rsid w:val="004C16DD"/>
    <w:rsid w:val="004C1BB3"/>
    <w:rsid w:val="004C3F1C"/>
    <w:rsid w:val="004D6A58"/>
    <w:rsid w:val="004E0C6B"/>
    <w:rsid w:val="004E781F"/>
    <w:rsid w:val="005004AB"/>
    <w:rsid w:val="005253AC"/>
    <w:rsid w:val="0054074C"/>
    <w:rsid w:val="00555036"/>
    <w:rsid w:val="00556F58"/>
    <w:rsid w:val="00574D56"/>
    <w:rsid w:val="0059607E"/>
    <w:rsid w:val="00596407"/>
    <w:rsid w:val="005C66EA"/>
    <w:rsid w:val="005D2E6A"/>
    <w:rsid w:val="005D45EE"/>
    <w:rsid w:val="005E1EA4"/>
    <w:rsid w:val="005E1FE7"/>
    <w:rsid w:val="005F1B3D"/>
    <w:rsid w:val="005F1D22"/>
    <w:rsid w:val="0061326E"/>
    <w:rsid w:val="00616761"/>
    <w:rsid w:val="006204B7"/>
    <w:rsid w:val="006248CC"/>
    <w:rsid w:val="00641BC1"/>
    <w:rsid w:val="00650B57"/>
    <w:rsid w:val="006521C9"/>
    <w:rsid w:val="00652FFB"/>
    <w:rsid w:val="00667D2C"/>
    <w:rsid w:val="006718AF"/>
    <w:rsid w:val="00673127"/>
    <w:rsid w:val="00674AA5"/>
    <w:rsid w:val="006A58B4"/>
    <w:rsid w:val="006A7A1B"/>
    <w:rsid w:val="006B1331"/>
    <w:rsid w:val="006B1FD3"/>
    <w:rsid w:val="006B4126"/>
    <w:rsid w:val="006B487A"/>
    <w:rsid w:val="006B626C"/>
    <w:rsid w:val="006F4DFE"/>
    <w:rsid w:val="00705420"/>
    <w:rsid w:val="007110D8"/>
    <w:rsid w:val="00730711"/>
    <w:rsid w:val="0074660C"/>
    <w:rsid w:val="0078462C"/>
    <w:rsid w:val="007A3A38"/>
    <w:rsid w:val="007A660F"/>
    <w:rsid w:val="007B191B"/>
    <w:rsid w:val="007B69E4"/>
    <w:rsid w:val="007E598A"/>
    <w:rsid w:val="007F7B54"/>
    <w:rsid w:val="00800485"/>
    <w:rsid w:val="0081451F"/>
    <w:rsid w:val="0082683C"/>
    <w:rsid w:val="00827229"/>
    <w:rsid w:val="0083439D"/>
    <w:rsid w:val="008349F4"/>
    <w:rsid w:val="00856889"/>
    <w:rsid w:val="00862C77"/>
    <w:rsid w:val="0086674B"/>
    <w:rsid w:val="0087255D"/>
    <w:rsid w:val="0087584A"/>
    <w:rsid w:val="00875A37"/>
    <w:rsid w:val="008844B6"/>
    <w:rsid w:val="00890200"/>
    <w:rsid w:val="008A5BEF"/>
    <w:rsid w:val="008C3396"/>
    <w:rsid w:val="008C3CBA"/>
    <w:rsid w:val="008C7160"/>
    <w:rsid w:val="008F469C"/>
    <w:rsid w:val="00900525"/>
    <w:rsid w:val="009072B7"/>
    <w:rsid w:val="009128E2"/>
    <w:rsid w:val="00916CBE"/>
    <w:rsid w:val="009267DE"/>
    <w:rsid w:val="0093006F"/>
    <w:rsid w:val="0093025F"/>
    <w:rsid w:val="00951678"/>
    <w:rsid w:val="0096646A"/>
    <w:rsid w:val="00972285"/>
    <w:rsid w:val="00980394"/>
    <w:rsid w:val="009A25BC"/>
    <w:rsid w:val="009B42D5"/>
    <w:rsid w:val="009C3571"/>
    <w:rsid w:val="009D69C8"/>
    <w:rsid w:val="009D715E"/>
    <w:rsid w:val="009F7987"/>
    <w:rsid w:val="00A01309"/>
    <w:rsid w:val="00A2038B"/>
    <w:rsid w:val="00A35E16"/>
    <w:rsid w:val="00A441DE"/>
    <w:rsid w:val="00A4506C"/>
    <w:rsid w:val="00A46728"/>
    <w:rsid w:val="00A47148"/>
    <w:rsid w:val="00A61144"/>
    <w:rsid w:val="00A639B6"/>
    <w:rsid w:val="00A76353"/>
    <w:rsid w:val="00A8136C"/>
    <w:rsid w:val="00A81C08"/>
    <w:rsid w:val="00A8753B"/>
    <w:rsid w:val="00A96536"/>
    <w:rsid w:val="00A967E5"/>
    <w:rsid w:val="00AB0E63"/>
    <w:rsid w:val="00AC3201"/>
    <w:rsid w:val="00AD2AAF"/>
    <w:rsid w:val="00AD3C99"/>
    <w:rsid w:val="00B1486C"/>
    <w:rsid w:val="00B24037"/>
    <w:rsid w:val="00B31B97"/>
    <w:rsid w:val="00B33383"/>
    <w:rsid w:val="00B356FE"/>
    <w:rsid w:val="00B36FC9"/>
    <w:rsid w:val="00B426E2"/>
    <w:rsid w:val="00B60CD3"/>
    <w:rsid w:val="00B637C7"/>
    <w:rsid w:val="00B65550"/>
    <w:rsid w:val="00B740CD"/>
    <w:rsid w:val="00B85B88"/>
    <w:rsid w:val="00BA44A2"/>
    <w:rsid w:val="00BC5235"/>
    <w:rsid w:val="00BD34F4"/>
    <w:rsid w:val="00BD42FE"/>
    <w:rsid w:val="00BE6BAD"/>
    <w:rsid w:val="00BE6E72"/>
    <w:rsid w:val="00BE7735"/>
    <w:rsid w:val="00BF27CC"/>
    <w:rsid w:val="00BF43DF"/>
    <w:rsid w:val="00C0314B"/>
    <w:rsid w:val="00C04D11"/>
    <w:rsid w:val="00C118C8"/>
    <w:rsid w:val="00C211C9"/>
    <w:rsid w:val="00C3086D"/>
    <w:rsid w:val="00C413B9"/>
    <w:rsid w:val="00C6715B"/>
    <w:rsid w:val="00C70C88"/>
    <w:rsid w:val="00C93D29"/>
    <w:rsid w:val="00C97821"/>
    <w:rsid w:val="00CA2A93"/>
    <w:rsid w:val="00CB5605"/>
    <w:rsid w:val="00CD04FE"/>
    <w:rsid w:val="00CD6434"/>
    <w:rsid w:val="00CE3844"/>
    <w:rsid w:val="00CE7D07"/>
    <w:rsid w:val="00CF04AE"/>
    <w:rsid w:val="00D03526"/>
    <w:rsid w:val="00D05267"/>
    <w:rsid w:val="00D10B8E"/>
    <w:rsid w:val="00D27619"/>
    <w:rsid w:val="00D34B73"/>
    <w:rsid w:val="00D37D22"/>
    <w:rsid w:val="00D42FA2"/>
    <w:rsid w:val="00D52FCD"/>
    <w:rsid w:val="00D536E4"/>
    <w:rsid w:val="00D54272"/>
    <w:rsid w:val="00D606D0"/>
    <w:rsid w:val="00D664D5"/>
    <w:rsid w:val="00D80576"/>
    <w:rsid w:val="00D85E38"/>
    <w:rsid w:val="00D85FF5"/>
    <w:rsid w:val="00D87D42"/>
    <w:rsid w:val="00D92AEE"/>
    <w:rsid w:val="00DA17DA"/>
    <w:rsid w:val="00DA2412"/>
    <w:rsid w:val="00DC1B26"/>
    <w:rsid w:val="00DC1C14"/>
    <w:rsid w:val="00DD58CD"/>
    <w:rsid w:val="00DE576A"/>
    <w:rsid w:val="00E026E0"/>
    <w:rsid w:val="00E047EE"/>
    <w:rsid w:val="00E14AA6"/>
    <w:rsid w:val="00E16A2B"/>
    <w:rsid w:val="00E30E97"/>
    <w:rsid w:val="00E33F6D"/>
    <w:rsid w:val="00E353CD"/>
    <w:rsid w:val="00E47726"/>
    <w:rsid w:val="00E53EFF"/>
    <w:rsid w:val="00E642F1"/>
    <w:rsid w:val="00E67757"/>
    <w:rsid w:val="00E95EA7"/>
    <w:rsid w:val="00ED36EA"/>
    <w:rsid w:val="00ED3CB1"/>
    <w:rsid w:val="00ED532C"/>
    <w:rsid w:val="00EE1BE5"/>
    <w:rsid w:val="00EF2AE8"/>
    <w:rsid w:val="00EF3A95"/>
    <w:rsid w:val="00EF4FCD"/>
    <w:rsid w:val="00EF65CC"/>
    <w:rsid w:val="00F074EC"/>
    <w:rsid w:val="00F1265C"/>
    <w:rsid w:val="00F13431"/>
    <w:rsid w:val="00F16043"/>
    <w:rsid w:val="00F16AFC"/>
    <w:rsid w:val="00F17F27"/>
    <w:rsid w:val="00F22E22"/>
    <w:rsid w:val="00F37ABD"/>
    <w:rsid w:val="00F41381"/>
    <w:rsid w:val="00F460EC"/>
    <w:rsid w:val="00F47A4D"/>
    <w:rsid w:val="00F50183"/>
    <w:rsid w:val="00F544AF"/>
    <w:rsid w:val="00F64E7F"/>
    <w:rsid w:val="00F72755"/>
    <w:rsid w:val="00F80380"/>
    <w:rsid w:val="00F85316"/>
    <w:rsid w:val="00F923FD"/>
    <w:rsid w:val="00F92613"/>
    <w:rsid w:val="00F9534C"/>
    <w:rsid w:val="00FA3E67"/>
    <w:rsid w:val="00FA5ACE"/>
    <w:rsid w:val="00FB48B3"/>
    <w:rsid w:val="00FB59DA"/>
    <w:rsid w:val="00FC5F23"/>
    <w:rsid w:val="00FC76E7"/>
    <w:rsid w:val="00FD0D75"/>
    <w:rsid w:val="00FD66E0"/>
    <w:rsid w:val="00FD7055"/>
    <w:rsid w:val="00FD7D8A"/>
    <w:rsid w:val="00FE03D1"/>
    <w:rsid w:val="00FE2864"/>
    <w:rsid w:val="00FF1619"/>
    <w:rsid w:val="00FF6960"/>
    <w:rsid w:val="00FF74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D3B0662"/>
  <w15:chartTrackingRefBased/>
  <w15:docId w15:val="{113463A5-C42D-5045-AB40-04C1A1F9F7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1">
    <w:name w:val="p1"/>
    <w:basedOn w:val="Normal"/>
    <w:rsid w:val="00CD04FE"/>
    <w:rPr>
      <w:rFonts w:ascii="Bodoni 72 Oldstyle" w:hAnsi="Bodoni 72 Oldstyle" w:cs="Times New Roman"/>
      <w:color w:val="000000"/>
      <w:kern w:val="0"/>
      <w:sz w:val="17"/>
      <w:szCs w:val="17"/>
      <w14:ligatures w14:val="none"/>
    </w:rPr>
  </w:style>
  <w:style w:type="paragraph" w:customStyle="1" w:styleId="p2">
    <w:name w:val="p2"/>
    <w:basedOn w:val="Normal"/>
    <w:rsid w:val="00CD04FE"/>
    <w:rPr>
      <w:rFonts w:ascii="Bodoni 72 Oldstyle" w:hAnsi="Bodoni 72 Oldstyle" w:cs="Times New Roman"/>
      <w:color w:val="000000"/>
      <w:kern w:val="0"/>
      <w:sz w:val="17"/>
      <w:szCs w:val="17"/>
      <w14:ligatures w14:val="none"/>
    </w:rPr>
  </w:style>
  <w:style w:type="paragraph" w:customStyle="1" w:styleId="p3">
    <w:name w:val="p3"/>
    <w:basedOn w:val="Normal"/>
    <w:rsid w:val="00CD04FE"/>
    <w:pPr>
      <w:ind w:left="1080" w:hanging="540"/>
    </w:pPr>
    <w:rPr>
      <w:rFonts w:ascii="Bodoni 72 Oldstyle" w:hAnsi="Bodoni 72 Oldstyle" w:cs="Times New Roman"/>
      <w:color w:val="000000"/>
      <w:kern w:val="0"/>
      <w:sz w:val="17"/>
      <w:szCs w:val="17"/>
      <w14:ligatures w14:val="none"/>
    </w:rPr>
  </w:style>
  <w:style w:type="paragraph" w:customStyle="1" w:styleId="p4">
    <w:name w:val="p4"/>
    <w:basedOn w:val="Normal"/>
    <w:rsid w:val="00CD04FE"/>
    <w:pPr>
      <w:ind w:firstLine="540"/>
    </w:pPr>
    <w:rPr>
      <w:rFonts w:ascii="Bodoni 72 Oldstyle" w:hAnsi="Bodoni 72 Oldstyle" w:cs="Times New Roman"/>
      <w:color w:val="000000"/>
      <w:kern w:val="0"/>
      <w:sz w:val="17"/>
      <w:szCs w:val="17"/>
      <w14:ligatures w14:val="none"/>
    </w:rPr>
  </w:style>
  <w:style w:type="paragraph" w:customStyle="1" w:styleId="p5">
    <w:name w:val="p5"/>
    <w:basedOn w:val="Normal"/>
    <w:rsid w:val="00CD04FE"/>
    <w:rPr>
      <w:rFonts w:ascii="Bodoni 72 Oldstyle" w:hAnsi="Bodoni 72 Oldstyle" w:cs="Times New Roman"/>
      <w:color w:val="000000"/>
      <w:kern w:val="0"/>
      <w:sz w:val="17"/>
      <w:szCs w:val="17"/>
      <w14:ligatures w14:val="none"/>
    </w:rPr>
  </w:style>
  <w:style w:type="paragraph" w:customStyle="1" w:styleId="p6">
    <w:name w:val="p6"/>
    <w:basedOn w:val="Normal"/>
    <w:rsid w:val="00CD04FE"/>
    <w:rPr>
      <w:rFonts w:ascii="Bodoni 72 Oldstyle" w:hAnsi="Bodoni 72 Oldstyle" w:cs="Times New Roman"/>
      <w:color w:val="000000"/>
      <w:kern w:val="0"/>
      <w:sz w:val="17"/>
      <w:szCs w:val="17"/>
      <w14:ligatures w14:val="none"/>
    </w:rPr>
  </w:style>
  <w:style w:type="character" w:customStyle="1" w:styleId="s1">
    <w:name w:val="s1"/>
    <w:basedOn w:val="DefaultParagraphFont"/>
    <w:rsid w:val="00CD04FE"/>
    <w:rPr>
      <w:rFonts w:ascii="Bodoni 72 Oldstyle" w:hAnsi="Bodoni 72 Oldstyle" w:hint="default"/>
      <w:b/>
      <w:bCs/>
      <w:i w:val="0"/>
      <w:iCs w:val="0"/>
      <w:sz w:val="17"/>
      <w:szCs w:val="17"/>
    </w:rPr>
  </w:style>
  <w:style w:type="character" w:customStyle="1" w:styleId="s2">
    <w:name w:val="s2"/>
    <w:basedOn w:val="DefaultParagraphFont"/>
    <w:rsid w:val="00CD04FE"/>
    <w:rPr>
      <w:rFonts w:ascii="BodoniSvtyTwoOSITCTT-Book" w:hAnsi="BodoniSvtyTwoOSITCTT-Book" w:hint="default"/>
      <w:b w:val="0"/>
      <w:bCs w:val="0"/>
      <w:i w:val="0"/>
      <w:iCs w:val="0"/>
      <w:sz w:val="17"/>
      <w:szCs w:val="17"/>
    </w:rPr>
  </w:style>
  <w:style w:type="character" w:customStyle="1" w:styleId="s3">
    <w:name w:val="s3"/>
    <w:basedOn w:val="DefaultParagraphFont"/>
    <w:rsid w:val="00CD04FE"/>
    <w:rPr>
      <w:rFonts w:ascii="BodoniSvtyTwoOSITCTT-BookIt" w:hAnsi="BodoniSvtyTwoOSITCTT-BookIt" w:hint="default"/>
      <w:b w:val="0"/>
      <w:bCs w:val="0"/>
      <w:i/>
      <w:iCs/>
      <w:sz w:val="17"/>
      <w:szCs w:val="17"/>
    </w:rPr>
  </w:style>
  <w:style w:type="character" w:customStyle="1" w:styleId="s4">
    <w:name w:val="s4"/>
    <w:basedOn w:val="DefaultParagraphFont"/>
    <w:rsid w:val="00CD04FE"/>
    <w:rPr>
      <w:rFonts w:ascii="BodoniSvtyTwoOSITCTT-Book" w:hAnsi="BodoniSvtyTwoOSITCTT-Book" w:hint="default"/>
      <w:b w:val="0"/>
      <w:bCs w:val="0"/>
      <w:i w:val="0"/>
      <w:iCs w:val="0"/>
      <w:sz w:val="17"/>
      <w:szCs w:val="17"/>
      <w:u w:val="single"/>
    </w:rPr>
  </w:style>
  <w:style w:type="character" w:customStyle="1" w:styleId="apple-tab-span">
    <w:name w:val="apple-tab-span"/>
    <w:basedOn w:val="DefaultParagraphFont"/>
    <w:rsid w:val="00CD04FE"/>
  </w:style>
  <w:style w:type="character" w:customStyle="1" w:styleId="apple-converted-space">
    <w:name w:val="apple-converted-space"/>
    <w:basedOn w:val="DefaultParagraphFont"/>
    <w:rsid w:val="00CD04FE"/>
  </w:style>
  <w:style w:type="paragraph" w:styleId="FootnoteText">
    <w:name w:val="footnote text"/>
    <w:basedOn w:val="Normal"/>
    <w:link w:val="FootnoteTextChar"/>
    <w:uiPriority w:val="99"/>
    <w:semiHidden/>
    <w:unhideWhenUsed/>
    <w:rsid w:val="00B1486C"/>
    <w:rPr>
      <w:sz w:val="20"/>
      <w:szCs w:val="20"/>
    </w:rPr>
  </w:style>
  <w:style w:type="character" w:customStyle="1" w:styleId="FootnoteTextChar">
    <w:name w:val="Footnote Text Char"/>
    <w:basedOn w:val="DefaultParagraphFont"/>
    <w:link w:val="FootnoteText"/>
    <w:uiPriority w:val="99"/>
    <w:semiHidden/>
    <w:rsid w:val="00B1486C"/>
    <w:rPr>
      <w:sz w:val="20"/>
      <w:szCs w:val="20"/>
    </w:rPr>
  </w:style>
  <w:style w:type="character" w:styleId="FootnoteReference">
    <w:name w:val="footnote reference"/>
    <w:basedOn w:val="DefaultParagraphFont"/>
    <w:uiPriority w:val="99"/>
    <w:semiHidden/>
    <w:unhideWhenUsed/>
    <w:rsid w:val="00B1486C"/>
    <w:rPr>
      <w:vertAlign w:val="superscript"/>
    </w:rPr>
  </w:style>
  <w:style w:type="paragraph" w:styleId="EndnoteText">
    <w:name w:val="endnote text"/>
    <w:basedOn w:val="Normal"/>
    <w:link w:val="EndnoteTextChar"/>
    <w:uiPriority w:val="99"/>
    <w:semiHidden/>
    <w:unhideWhenUsed/>
    <w:rsid w:val="0086674B"/>
    <w:rPr>
      <w:sz w:val="20"/>
      <w:szCs w:val="20"/>
    </w:rPr>
  </w:style>
  <w:style w:type="character" w:customStyle="1" w:styleId="EndnoteTextChar">
    <w:name w:val="Endnote Text Char"/>
    <w:basedOn w:val="DefaultParagraphFont"/>
    <w:link w:val="EndnoteText"/>
    <w:uiPriority w:val="99"/>
    <w:semiHidden/>
    <w:rsid w:val="0086674B"/>
    <w:rPr>
      <w:sz w:val="20"/>
      <w:szCs w:val="20"/>
    </w:rPr>
  </w:style>
  <w:style w:type="character" w:styleId="EndnoteReference">
    <w:name w:val="endnote reference"/>
    <w:basedOn w:val="DefaultParagraphFont"/>
    <w:uiPriority w:val="99"/>
    <w:semiHidden/>
    <w:unhideWhenUsed/>
    <w:rsid w:val="0086674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965608">
      <w:bodyDiv w:val="1"/>
      <w:marLeft w:val="0"/>
      <w:marRight w:val="0"/>
      <w:marTop w:val="0"/>
      <w:marBottom w:val="0"/>
      <w:divBdr>
        <w:top w:val="none" w:sz="0" w:space="0" w:color="auto"/>
        <w:left w:val="none" w:sz="0" w:space="0" w:color="auto"/>
        <w:bottom w:val="none" w:sz="0" w:space="0" w:color="auto"/>
        <w:right w:val="none" w:sz="0" w:space="0" w:color="auto"/>
      </w:divBdr>
    </w:div>
    <w:div w:id="46879626">
      <w:bodyDiv w:val="1"/>
      <w:marLeft w:val="0"/>
      <w:marRight w:val="0"/>
      <w:marTop w:val="0"/>
      <w:marBottom w:val="0"/>
      <w:divBdr>
        <w:top w:val="none" w:sz="0" w:space="0" w:color="auto"/>
        <w:left w:val="none" w:sz="0" w:space="0" w:color="auto"/>
        <w:bottom w:val="none" w:sz="0" w:space="0" w:color="auto"/>
        <w:right w:val="none" w:sz="0" w:space="0" w:color="auto"/>
      </w:divBdr>
    </w:div>
    <w:div w:id="101649616">
      <w:bodyDiv w:val="1"/>
      <w:marLeft w:val="0"/>
      <w:marRight w:val="0"/>
      <w:marTop w:val="0"/>
      <w:marBottom w:val="0"/>
      <w:divBdr>
        <w:top w:val="none" w:sz="0" w:space="0" w:color="auto"/>
        <w:left w:val="none" w:sz="0" w:space="0" w:color="auto"/>
        <w:bottom w:val="none" w:sz="0" w:space="0" w:color="auto"/>
        <w:right w:val="none" w:sz="0" w:space="0" w:color="auto"/>
      </w:divBdr>
    </w:div>
    <w:div w:id="262422939">
      <w:bodyDiv w:val="1"/>
      <w:marLeft w:val="0"/>
      <w:marRight w:val="0"/>
      <w:marTop w:val="0"/>
      <w:marBottom w:val="0"/>
      <w:divBdr>
        <w:top w:val="none" w:sz="0" w:space="0" w:color="auto"/>
        <w:left w:val="none" w:sz="0" w:space="0" w:color="auto"/>
        <w:bottom w:val="none" w:sz="0" w:space="0" w:color="auto"/>
        <w:right w:val="none" w:sz="0" w:space="0" w:color="auto"/>
      </w:divBdr>
    </w:div>
    <w:div w:id="345601613">
      <w:bodyDiv w:val="1"/>
      <w:marLeft w:val="0"/>
      <w:marRight w:val="0"/>
      <w:marTop w:val="0"/>
      <w:marBottom w:val="0"/>
      <w:divBdr>
        <w:top w:val="none" w:sz="0" w:space="0" w:color="auto"/>
        <w:left w:val="none" w:sz="0" w:space="0" w:color="auto"/>
        <w:bottom w:val="none" w:sz="0" w:space="0" w:color="auto"/>
        <w:right w:val="none" w:sz="0" w:space="0" w:color="auto"/>
      </w:divBdr>
    </w:div>
    <w:div w:id="359820776">
      <w:bodyDiv w:val="1"/>
      <w:marLeft w:val="0"/>
      <w:marRight w:val="0"/>
      <w:marTop w:val="0"/>
      <w:marBottom w:val="0"/>
      <w:divBdr>
        <w:top w:val="none" w:sz="0" w:space="0" w:color="auto"/>
        <w:left w:val="none" w:sz="0" w:space="0" w:color="auto"/>
        <w:bottom w:val="none" w:sz="0" w:space="0" w:color="auto"/>
        <w:right w:val="none" w:sz="0" w:space="0" w:color="auto"/>
      </w:divBdr>
    </w:div>
    <w:div w:id="362049846">
      <w:bodyDiv w:val="1"/>
      <w:marLeft w:val="0"/>
      <w:marRight w:val="0"/>
      <w:marTop w:val="0"/>
      <w:marBottom w:val="0"/>
      <w:divBdr>
        <w:top w:val="none" w:sz="0" w:space="0" w:color="auto"/>
        <w:left w:val="none" w:sz="0" w:space="0" w:color="auto"/>
        <w:bottom w:val="none" w:sz="0" w:space="0" w:color="auto"/>
        <w:right w:val="none" w:sz="0" w:space="0" w:color="auto"/>
      </w:divBdr>
    </w:div>
    <w:div w:id="382412758">
      <w:bodyDiv w:val="1"/>
      <w:marLeft w:val="0"/>
      <w:marRight w:val="0"/>
      <w:marTop w:val="0"/>
      <w:marBottom w:val="0"/>
      <w:divBdr>
        <w:top w:val="none" w:sz="0" w:space="0" w:color="auto"/>
        <w:left w:val="none" w:sz="0" w:space="0" w:color="auto"/>
        <w:bottom w:val="none" w:sz="0" w:space="0" w:color="auto"/>
        <w:right w:val="none" w:sz="0" w:space="0" w:color="auto"/>
      </w:divBdr>
    </w:div>
    <w:div w:id="384450811">
      <w:bodyDiv w:val="1"/>
      <w:marLeft w:val="0"/>
      <w:marRight w:val="0"/>
      <w:marTop w:val="0"/>
      <w:marBottom w:val="0"/>
      <w:divBdr>
        <w:top w:val="none" w:sz="0" w:space="0" w:color="auto"/>
        <w:left w:val="none" w:sz="0" w:space="0" w:color="auto"/>
        <w:bottom w:val="none" w:sz="0" w:space="0" w:color="auto"/>
        <w:right w:val="none" w:sz="0" w:space="0" w:color="auto"/>
      </w:divBdr>
    </w:div>
    <w:div w:id="444888697">
      <w:bodyDiv w:val="1"/>
      <w:marLeft w:val="0"/>
      <w:marRight w:val="0"/>
      <w:marTop w:val="0"/>
      <w:marBottom w:val="0"/>
      <w:divBdr>
        <w:top w:val="none" w:sz="0" w:space="0" w:color="auto"/>
        <w:left w:val="none" w:sz="0" w:space="0" w:color="auto"/>
        <w:bottom w:val="none" w:sz="0" w:space="0" w:color="auto"/>
        <w:right w:val="none" w:sz="0" w:space="0" w:color="auto"/>
      </w:divBdr>
    </w:div>
    <w:div w:id="574752269">
      <w:bodyDiv w:val="1"/>
      <w:marLeft w:val="0"/>
      <w:marRight w:val="0"/>
      <w:marTop w:val="0"/>
      <w:marBottom w:val="0"/>
      <w:divBdr>
        <w:top w:val="none" w:sz="0" w:space="0" w:color="auto"/>
        <w:left w:val="none" w:sz="0" w:space="0" w:color="auto"/>
        <w:bottom w:val="none" w:sz="0" w:space="0" w:color="auto"/>
        <w:right w:val="none" w:sz="0" w:space="0" w:color="auto"/>
      </w:divBdr>
    </w:div>
    <w:div w:id="577862229">
      <w:bodyDiv w:val="1"/>
      <w:marLeft w:val="0"/>
      <w:marRight w:val="0"/>
      <w:marTop w:val="0"/>
      <w:marBottom w:val="0"/>
      <w:divBdr>
        <w:top w:val="none" w:sz="0" w:space="0" w:color="auto"/>
        <w:left w:val="none" w:sz="0" w:space="0" w:color="auto"/>
        <w:bottom w:val="none" w:sz="0" w:space="0" w:color="auto"/>
        <w:right w:val="none" w:sz="0" w:space="0" w:color="auto"/>
      </w:divBdr>
    </w:div>
    <w:div w:id="610628073">
      <w:bodyDiv w:val="1"/>
      <w:marLeft w:val="0"/>
      <w:marRight w:val="0"/>
      <w:marTop w:val="0"/>
      <w:marBottom w:val="0"/>
      <w:divBdr>
        <w:top w:val="none" w:sz="0" w:space="0" w:color="auto"/>
        <w:left w:val="none" w:sz="0" w:space="0" w:color="auto"/>
        <w:bottom w:val="none" w:sz="0" w:space="0" w:color="auto"/>
        <w:right w:val="none" w:sz="0" w:space="0" w:color="auto"/>
      </w:divBdr>
    </w:div>
    <w:div w:id="715740708">
      <w:bodyDiv w:val="1"/>
      <w:marLeft w:val="0"/>
      <w:marRight w:val="0"/>
      <w:marTop w:val="0"/>
      <w:marBottom w:val="0"/>
      <w:divBdr>
        <w:top w:val="none" w:sz="0" w:space="0" w:color="auto"/>
        <w:left w:val="none" w:sz="0" w:space="0" w:color="auto"/>
        <w:bottom w:val="none" w:sz="0" w:space="0" w:color="auto"/>
        <w:right w:val="none" w:sz="0" w:space="0" w:color="auto"/>
      </w:divBdr>
    </w:div>
    <w:div w:id="740257748">
      <w:bodyDiv w:val="1"/>
      <w:marLeft w:val="0"/>
      <w:marRight w:val="0"/>
      <w:marTop w:val="0"/>
      <w:marBottom w:val="0"/>
      <w:divBdr>
        <w:top w:val="none" w:sz="0" w:space="0" w:color="auto"/>
        <w:left w:val="none" w:sz="0" w:space="0" w:color="auto"/>
        <w:bottom w:val="none" w:sz="0" w:space="0" w:color="auto"/>
        <w:right w:val="none" w:sz="0" w:space="0" w:color="auto"/>
      </w:divBdr>
    </w:div>
    <w:div w:id="744649447">
      <w:bodyDiv w:val="1"/>
      <w:marLeft w:val="0"/>
      <w:marRight w:val="0"/>
      <w:marTop w:val="0"/>
      <w:marBottom w:val="0"/>
      <w:divBdr>
        <w:top w:val="none" w:sz="0" w:space="0" w:color="auto"/>
        <w:left w:val="none" w:sz="0" w:space="0" w:color="auto"/>
        <w:bottom w:val="none" w:sz="0" w:space="0" w:color="auto"/>
        <w:right w:val="none" w:sz="0" w:space="0" w:color="auto"/>
      </w:divBdr>
    </w:div>
    <w:div w:id="831678434">
      <w:bodyDiv w:val="1"/>
      <w:marLeft w:val="0"/>
      <w:marRight w:val="0"/>
      <w:marTop w:val="0"/>
      <w:marBottom w:val="0"/>
      <w:divBdr>
        <w:top w:val="none" w:sz="0" w:space="0" w:color="auto"/>
        <w:left w:val="none" w:sz="0" w:space="0" w:color="auto"/>
        <w:bottom w:val="none" w:sz="0" w:space="0" w:color="auto"/>
        <w:right w:val="none" w:sz="0" w:space="0" w:color="auto"/>
      </w:divBdr>
    </w:div>
    <w:div w:id="846411134">
      <w:bodyDiv w:val="1"/>
      <w:marLeft w:val="0"/>
      <w:marRight w:val="0"/>
      <w:marTop w:val="0"/>
      <w:marBottom w:val="0"/>
      <w:divBdr>
        <w:top w:val="none" w:sz="0" w:space="0" w:color="auto"/>
        <w:left w:val="none" w:sz="0" w:space="0" w:color="auto"/>
        <w:bottom w:val="none" w:sz="0" w:space="0" w:color="auto"/>
        <w:right w:val="none" w:sz="0" w:space="0" w:color="auto"/>
      </w:divBdr>
    </w:div>
    <w:div w:id="957951904">
      <w:bodyDiv w:val="1"/>
      <w:marLeft w:val="0"/>
      <w:marRight w:val="0"/>
      <w:marTop w:val="0"/>
      <w:marBottom w:val="0"/>
      <w:divBdr>
        <w:top w:val="none" w:sz="0" w:space="0" w:color="auto"/>
        <w:left w:val="none" w:sz="0" w:space="0" w:color="auto"/>
        <w:bottom w:val="none" w:sz="0" w:space="0" w:color="auto"/>
        <w:right w:val="none" w:sz="0" w:space="0" w:color="auto"/>
      </w:divBdr>
    </w:div>
    <w:div w:id="1028988041">
      <w:bodyDiv w:val="1"/>
      <w:marLeft w:val="0"/>
      <w:marRight w:val="0"/>
      <w:marTop w:val="0"/>
      <w:marBottom w:val="0"/>
      <w:divBdr>
        <w:top w:val="none" w:sz="0" w:space="0" w:color="auto"/>
        <w:left w:val="none" w:sz="0" w:space="0" w:color="auto"/>
        <w:bottom w:val="none" w:sz="0" w:space="0" w:color="auto"/>
        <w:right w:val="none" w:sz="0" w:space="0" w:color="auto"/>
      </w:divBdr>
    </w:div>
    <w:div w:id="1033503600">
      <w:bodyDiv w:val="1"/>
      <w:marLeft w:val="0"/>
      <w:marRight w:val="0"/>
      <w:marTop w:val="0"/>
      <w:marBottom w:val="0"/>
      <w:divBdr>
        <w:top w:val="none" w:sz="0" w:space="0" w:color="auto"/>
        <w:left w:val="none" w:sz="0" w:space="0" w:color="auto"/>
        <w:bottom w:val="none" w:sz="0" w:space="0" w:color="auto"/>
        <w:right w:val="none" w:sz="0" w:space="0" w:color="auto"/>
      </w:divBdr>
    </w:div>
    <w:div w:id="1055204286">
      <w:bodyDiv w:val="1"/>
      <w:marLeft w:val="0"/>
      <w:marRight w:val="0"/>
      <w:marTop w:val="0"/>
      <w:marBottom w:val="0"/>
      <w:divBdr>
        <w:top w:val="none" w:sz="0" w:space="0" w:color="auto"/>
        <w:left w:val="none" w:sz="0" w:space="0" w:color="auto"/>
        <w:bottom w:val="none" w:sz="0" w:space="0" w:color="auto"/>
        <w:right w:val="none" w:sz="0" w:space="0" w:color="auto"/>
      </w:divBdr>
    </w:div>
    <w:div w:id="1070272496">
      <w:bodyDiv w:val="1"/>
      <w:marLeft w:val="0"/>
      <w:marRight w:val="0"/>
      <w:marTop w:val="0"/>
      <w:marBottom w:val="0"/>
      <w:divBdr>
        <w:top w:val="none" w:sz="0" w:space="0" w:color="auto"/>
        <w:left w:val="none" w:sz="0" w:space="0" w:color="auto"/>
        <w:bottom w:val="none" w:sz="0" w:space="0" w:color="auto"/>
        <w:right w:val="none" w:sz="0" w:space="0" w:color="auto"/>
      </w:divBdr>
    </w:div>
    <w:div w:id="1070468932">
      <w:bodyDiv w:val="1"/>
      <w:marLeft w:val="0"/>
      <w:marRight w:val="0"/>
      <w:marTop w:val="0"/>
      <w:marBottom w:val="0"/>
      <w:divBdr>
        <w:top w:val="none" w:sz="0" w:space="0" w:color="auto"/>
        <w:left w:val="none" w:sz="0" w:space="0" w:color="auto"/>
        <w:bottom w:val="none" w:sz="0" w:space="0" w:color="auto"/>
        <w:right w:val="none" w:sz="0" w:space="0" w:color="auto"/>
      </w:divBdr>
    </w:div>
    <w:div w:id="1078133010">
      <w:bodyDiv w:val="1"/>
      <w:marLeft w:val="0"/>
      <w:marRight w:val="0"/>
      <w:marTop w:val="0"/>
      <w:marBottom w:val="0"/>
      <w:divBdr>
        <w:top w:val="none" w:sz="0" w:space="0" w:color="auto"/>
        <w:left w:val="none" w:sz="0" w:space="0" w:color="auto"/>
        <w:bottom w:val="none" w:sz="0" w:space="0" w:color="auto"/>
        <w:right w:val="none" w:sz="0" w:space="0" w:color="auto"/>
      </w:divBdr>
    </w:div>
    <w:div w:id="1091509943">
      <w:bodyDiv w:val="1"/>
      <w:marLeft w:val="0"/>
      <w:marRight w:val="0"/>
      <w:marTop w:val="0"/>
      <w:marBottom w:val="0"/>
      <w:divBdr>
        <w:top w:val="none" w:sz="0" w:space="0" w:color="auto"/>
        <w:left w:val="none" w:sz="0" w:space="0" w:color="auto"/>
        <w:bottom w:val="none" w:sz="0" w:space="0" w:color="auto"/>
        <w:right w:val="none" w:sz="0" w:space="0" w:color="auto"/>
      </w:divBdr>
    </w:div>
    <w:div w:id="1102915747">
      <w:bodyDiv w:val="1"/>
      <w:marLeft w:val="0"/>
      <w:marRight w:val="0"/>
      <w:marTop w:val="0"/>
      <w:marBottom w:val="0"/>
      <w:divBdr>
        <w:top w:val="none" w:sz="0" w:space="0" w:color="auto"/>
        <w:left w:val="none" w:sz="0" w:space="0" w:color="auto"/>
        <w:bottom w:val="none" w:sz="0" w:space="0" w:color="auto"/>
        <w:right w:val="none" w:sz="0" w:space="0" w:color="auto"/>
      </w:divBdr>
    </w:div>
    <w:div w:id="1141968992">
      <w:bodyDiv w:val="1"/>
      <w:marLeft w:val="0"/>
      <w:marRight w:val="0"/>
      <w:marTop w:val="0"/>
      <w:marBottom w:val="0"/>
      <w:divBdr>
        <w:top w:val="none" w:sz="0" w:space="0" w:color="auto"/>
        <w:left w:val="none" w:sz="0" w:space="0" w:color="auto"/>
        <w:bottom w:val="none" w:sz="0" w:space="0" w:color="auto"/>
        <w:right w:val="none" w:sz="0" w:space="0" w:color="auto"/>
      </w:divBdr>
    </w:div>
    <w:div w:id="1148860859">
      <w:bodyDiv w:val="1"/>
      <w:marLeft w:val="0"/>
      <w:marRight w:val="0"/>
      <w:marTop w:val="0"/>
      <w:marBottom w:val="0"/>
      <w:divBdr>
        <w:top w:val="none" w:sz="0" w:space="0" w:color="auto"/>
        <w:left w:val="none" w:sz="0" w:space="0" w:color="auto"/>
        <w:bottom w:val="none" w:sz="0" w:space="0" w:color="auto"/>
        <w:right w:val="none" w:sz="0" w:space="0" w:color="auto"/>
      </w:divBdr>
    </w:div>
    <w:div w:id="1169293811">
      <w:bodyDiv w:val="1"/>
      <w:marLeft w:val="0"/>
      <w:marRight w:val="0"/>
      <w:marTop w:val="0"/>
      <w:marBottom w:val="0"/>
      <w:divBdr>
        <w:top w:val="none" w:sz="0" w:space="0" w:color="auto"/>
        <w:left w:val="none" w:sz="0" w:space="0" w:color="auto"/>
        <w:bottom w:val="none" w:sz="0" w:space="0" w:color="auto"/>
        <w:right w:val="none" w:sz="0" w:space="0" w:color="auto"/>
      </w:divBdr>
    </w:div>
    <w:div w:id="1184904923">
      <w:bodyDiv w:val="1"/>
      <w:marLeft w:val="0"/>
      <w:marRight w:val="0"/>
      <w:marTop w:val="0"/>
      <w:marBottom w:val="0"/>
      <w:divBdr>
        <w:top w:val="none" w:sz="0" w:space="0" w:color="auto"/>
        <w:left w:val="none" w:sz="0" w:space="0" w:color="auto"/>
        <w:bottom w:val="none" w:sz="0" w:space="0" w:color="auto"/>
        <w:right w:val="none" w:sz="0" w:space="0" w:color="auto"/>
      </w:divBdr>
    </w:div>
    <w:div w:id="1200971473">
      <w:bodyDiv w:val="1"/>
      <w:marLeft w:val="0"/>
      <w:marRight w:val="0"/>
      <w:marTop w:val="0"/>
      <w:marBottom w:val="0"/>
      <w:divBdr>
        <w:top w:val="none" w:sz="0" w:space="0" w:color="auto"/>
        <w:left w:val="none" w:sz="0" w:space="0" w:color="auto"/>
        <w:bottom w:val="none" w:sz="0" w:space="0" w:color="auto"/>
        <w:right w:val="none" w:sz="0" w:space="0" w:color="auto"/>
      </w:divBdr>
    </w:div>
    <w:div w:id="1255940288">
      <w:bodyDiv w:val="1"/>
      <w:marLeft w:val="0"/>
      <w:marRight w:val="0"/>
      <w:marTop w:val="0"/>
      <w:marBottom w:val="0"/>
      <w:divBdr>
        <w:top w:val="none" w:sz="0" w:space="0" w:color="auto"/>
        <w:left w:val="none" w:sz="0" w:space="0" w:color="auto"/>
        <w:bottom w:val="none" w:sz="0" w:space="0" w:color="auto"/>
        <w:right w:val="none" w:sz="0" w:space="0" w:color="auto"/>
      </w:divBdr>
    </w:div>
    <w:div w:id="1327590974">
      <w:bodyDiv w:val="1"/>
      <w:marLeft w:val="0"/>
      <w:marRight w:val="0"/>
      <w:marTop w:val="0"/>
      <w:marBottom w:val="0"/>
      <w:divBdr>
        <w:top w:val="none" w:sz="0" w:space="0" w:color="auto"/>
        <w:left w:val="none" w:sz="0" w:space="0" w:color="auto"/>
        <w:bottom w:val="none" w:sz="0" w:space="0" w:color="auto"/>
        <w:right w:val="none" w:sz="0" w:space="0" w:color="auto"/>
      </w:divBdr>
    </w:div>
    <w:div w:id="1389112397">
      <w:bodyDiv w:val="1"/>
      <w:marLeft w:val="0"/>
      <w:marRight w:val="0"/>
      <w:marTop w:val="0"/>
      <w:marBottom w:val="0"/>
      <w:divBdr>
        <w:top w:val="none" w:sz="0" w:space="0" w:color="auto"/>
        <w:left w:val="none" w:sz="0" w:space="0" w:color="auto"/>
        <w:bottom w:val="none" w:sz="0" w:space="0" w:color="auto"/>
        <w:right w:val="none" w:sz="0" w:space="0" w:color="auto"/>
      </w:divBdr>
    </w:div>
    <w:div w:id="1449079213">
      <w:bodyDiv w:val="1"/>
      <w:marLeft w:val="0"/>
      <w:marRight w:val="0"/>
      <w:marTop w:val="0"/>
      <w:marBottom w:val="0"/>
      <w:divBdr>
        <w:top w:val="none" w:sz="0" w:space="0" w:color="auto"/>
        <w:left w:val="none" w:sz="0" w:space="0" w:color="auto"/>
        <w:bottom w:val="none" w:sz="0" w:space="0" w:color="auto"/>
        <w:right w:val="none" w:sz="0" w:space="0" w:color="auto"/>
      </w:divBdr>
    </w:div>
    <w:div w:id="1469206387">
      <w:bodyDiv w:val="1"/>
      <w:marLeft w:val="0"/>
      <w:marRight w:val="0"/>
      <w:marTop w:val="0"/>
      <w:marBottom w:val="0"/>
      <w:divBdr>
        <w:top w:val="none" w:sz="0" w:space="0" w:color="auto"/>
        <w:left w:val="none" w:sz="0" w:space="0" w:color="auto"/>
        <w:bottom w:val="none" w:sz="0" w:space="0" w:color="auto"/>
        <w:right w:val="none" w:sz="0" w:space="0" w:color="auto"/>
      </w:divBdr>
      <w:divsChild>
        <w:div w:id="1442846809">
          <w:marLeft w:val="0"/>
          <w:marRight w:val="0"/>
          <w:marTop w:val="0"/>
          <w:marBottom w:val="0"/>
          <w:divBdr>
            <w:top w:val="none" w:sz="0" w:space="0" w:color="auto"/>
            <w:left w:val="none" w:sz="0" w:space="0" w:color="auto"/>
            <w:bottom w:val="none" w:sz="0" w:space="0" w:color="auto"/>
            <w:right w:val="none" w:sz="0" w:space="0" w:color="auto"/>
          </w:divBdr>
        </w:div>
      </w:divsChild>
    </w:div>
    <w:div w:id="1474367012">
      <w:bodyDiv w:val="1"/>
      <w:marLeft w:val="0"/>
      <w:marRight w:val="0"/>
      <w:marTop w:val="0"/>
      <w:marBottom w:val="0"/>
      <w:divBdr>
        <w:top w:val="none" w:sz="0" w:space="0" w:color="auto"/>
        <w:left w:val="none" w:sz="0" w:space="0" w:color="auto"/>
        <w:bottom w:val="none" w:sz="0" w:space="0" w:color="auto"/>
        <w:right w:val="none" w:sz="0" w:space="0" w:color="auto"/>
      </w:divBdr>
    </w:div>
    <w:div w:id="1480883338">
      <w:bodyDiv w:val="1"/>
      <w:marLeft w:val="0"/>
      <w:marRight w:val="0"/>
      <w:marTop w:val="0"/>
      <w:marBottom w:val="0"/>
      <w:divBdr>
        <w:top w:val="none" w:sz="0" w:space="0" w:color="auto"/>
        <w:left w:val="none" w:sz="0" w:space="0" w:color="auto"/>
        <w:bottom w:val="none" w:sz="0" w:space="0" w:color="auto"/>
        <w:right w:val="none" w:sz="0" w:space="0" w:color="auto"/>
      </w:divBdr>
    </w:div>
    <w:div w:id="1496609514">
      <w:bodyDiv w:val="1"/>
      <w:marLeft w:val="0"/>
      <w:marRight w:val="0"/>
      <w:marTop w:val="0"/>
      <w:marBottom w:val="0"/>
      <w:divBdr>
        <w:top w:val="none" w:sz="0" w:space="0" w:color="auto"/>
        <w:left w:val="none" w:sz="0" w:space="0" w:color="auto"/>
        <w:bottom w:val="none" w:sz="0" w:space="0" w:color="auto"/>
        <w:right w:val="none" w:sz="0" w:space="0" w:color="auto"/>
      </w:divBdr>
    </w:div>
    <w:div w:id="1502624829">
      <w:bodyDiv w:val="1"/>
      <w:marLeft w:val="0"/>
      <w:marRight w:val="0"/>
      <w:marTop w:val="0"/>
      <w:marBottom w:val="0"/>
      <w:divBdr>
        <w:top w:val="none" w:sz="0" w:space="0" w:color="auto"/>
        <w:left w:val="none" w:sz="0" w:space="0" w:color="auto"/>
        <w:bottom w:val="none" w:sz="0" w:space="0" w:color="auto"/>
        <w:right w:val="none" w:sz="0" w:space="0" w:color="auto"/>
      </w:divBdr>
    </w:div>
    <w:div w:id="1521164481">
      <w:bodyDiv w:val="1"/>
      <w:marLeft w:val="0"/>
      <w:marRight w:val="0"/>
      <w:marTop w:val="0"/>
      <w:marBottom w:val="0"/>
      <w:divBdr>
        <w:top w:val="none" w:sz="0" w:space="0" w:color="auto"/>
        <w:left w:val="none" w:sz="0" w:space="0" w:color="auto"/>
        <w:bottom w:val="none" w:sz="0" w:space="0" w:color="auto"/>
        <w:right w:val="none" w:sz="0" w:space="0" w:color="auto"/>
      </w:divBdr>
    </w:div>
    <w:div w:id="1540700898">
      <w:bodyDiv w:val="1"/>
      <w:marLeft w:val="0"/>
      <w:marRight w:val="0"/>
      <w:marTop w:val="0"/>
      <w:marBottom w:val="0"/>
      <w:divBdr>
        <w:top w:val="none" w:sz="0" w:space="0" w:color="auto"/>
        <w:left w:val="none" w:sz="0" w:space="0" w:color="auto"/>
        <w:bottom w:val="none" w:sz="0" w:space="0" w:color="auto"/>
        <w:right w:val="none" w:sz="0" w:space="0" w:color="auto"/>
      </w:divBdr>
    </w:div>
    <w:div w:id="1561205903">
      <w:bodyDiv w:val="1"/>
      <w:marLeft w:val="0"/>
      <w:marRight w:val="0"/>
      <w:marTop w:val="0"/>
      <w:marBottom w:val="0"/>
      <w:divBdr>
        <w:top w:val="none" w:sz="0" w:space="0" w:color="auto"/>
        <w:left w:val="none" w:sz="0" w:space="0" w:color="auto"/>
        <w:bottom w:val="none" w:sz="0" w:space="0" w:color="auto"/>
        <w:right w:val="none" w:sz="0" w:space="0" w:color="auto"/>
      </w:divBdr>
    </w:div>
    <w:div w:id="1595166373">
      <w:bodyDiv w:val="1"/>
      <w:marLeft w:val="0"/>
      <w:marRight w:val="0"/>
      <w:marTop w:val="0"/>
      <w:marBottom w:val="0"/>
      <w:divBdr>
        <w:top w:val="none" w:sz="0" w:space="0" w:color="auto"/>
        <w:left w:val="none" w:sz="0" w:space="0" w:color="auto"/>
        <w:bottom w:val="none" w:sz="0" w:space="0" w:color="auto"/>
        <w:right w:val="none" w:sz="0" w:space="0" w:color="auto"/>
      </w:divBdr>
    </w:div>
    <w:div w:id="1608848977">
      <w:bodyDiv w:val="1"/>
      <w:marLeft w:val="0"/>
      <w:marRight w:val="0"/>
      <w:marTop w:val="0"/>
      <w:marBottom w:val="0"/>
      <w:divBdr>
        <w:top w:val="none" w:sz="0" w:space="0" w:color="auto"/>
        <w:left w:val="none" w:sz="0" w:space="0" w:color="auto"/>
        <w:bottom w:val="none" w:sz="0" w:space="0" w:color="auto"/>
        <w:right w:val="none" w:sz="0" w:space="0" w:color="auto"/>
      </w:divBdr>
    </w:div>
    <w:div w:id="1625889476">
      <w:bodyDiv w:val="1"/>
      <w:marLeft w:val="0"/>
      <w:marRight w:val="0"/>
      <w:marTop w:val="0"/>
      <w:marBottom w:val="0"/>
      <w:divBdr>
        <w:top w:val="none" w:sz="0" w:space="0" w:color="auto"/>
        <w:left w:val="none" w:sz="0" w:space="0" w:color="auto"/>
        <w:bottom w:val="none" w:sz="0" w:space="0" w:color="auto"/>
        <w:right w:val="none" w:sz="0" w:space="0" w:color="auto"/>
      </w:divBdr>
    </w:div>
    <w:div w:id="1641108836">
      <w:bodyDiv w:val="1"/>
      <w:marLeft w:val="0"/>
      <w:marRight w:val="0"/>
      <w:marTop w:val="0"/>
      <w:marBottom w:val="0"/>
      <w:divBdr>
        <w:top w:val="none" w:sz="0" w:space="0" w:color="auto"/>
        <w:left w:val="none" w:sz="0" w:space="0" w:color="auto"/>
        <w:bottom w:val="none" w:sz="0" w:space="0" w:color="auto"/>
        <w:right w:val="none" w:sz="0" w:space="0" w:color="auto"/>
      </w:divBdr>
    </w:div>
    <w:div w:id="1653945093">
      <w:bodyDiv w:val="1"/>
      <w:marLeft w:val="0"/>
      <w:marRight w:val="0"/>
      <w:marTop w:val="0"/>
      <w:marBottom w:val="0"/>
      <w:divBdr>
        <w:top w:val="none" w:sz="0" w:space="0" w:color="auto"/>
        <w:left w:val="none" w:sz="0" w:space="0" w:color="auto"/>
        <w:bottom w:val="none" w:sz="0" w:space="0" w:color="auto"/>
        <w:right w:val="none" w:sz="0" w:space="0" w:color="auto"/>
      </w:divBdr>
    </w:div>
    <w:div w:id="1691643101">
      <w:bodyDiv w:val="1"/>
      <w:marLeft w:val="0"/>
      <w:marRight w:val="0"/>
      <w:marTop w:val="0"/>
      <w:marBottom w:val="0"/>
      <w:divBdr>
        <w:top w:val="none" w:sz="0" w:space="0" w:color="auto"/>
        <w:left w:val="none" w:sz="0" w:space="0" w:color="auto"/>
        <w:bottom w:val="none" w:sz="0" w:space="0" w:color="auto"/>
        <w:right w:val="none" w:sz="0" w:space="0" w:color="auto"/>
      </w:divBdr>
    </w:div>
    <w:div w:id="1708067522">
      <w:bodyDiv w:val="1"/>
      <w:marLeft w:val="0"/>
      <w:marRight w:val="0"/>
      <w:marTop w:val="0"/>
      <w:marBottom w:val="0"/>
      <w:divBdr>
        <w:top w:val="none" w:sz="0" w:space="0" w:color="auto"/>
        <w:left w:val="none" w:sz="0" w:space="0" w:color="auto"/>
        <w:bottom w:val="none" w:sz="0" w:space="0" w:color="auto"/>
        <w:right w:val="none" w:sz="0" w:space="0" w:color="auto"/>
      </w:divBdr>
    </w:div>
    <w:div w:id="1713772400">
      <w:bodyDiv w:val="1"/>
      <w:marLeft w:val="0"/>
      <w:marRight w:val="0"/>
      <w:marTop w:val="0"/>
      <w:marBottom w:val="0"/>
      <w:divBdr>
        <w:top w:val="none" w:sz="0" w:space="0" w:color="auto"/>
        <w:left w:val="none" w:sz="0" w:space="0" w:color="auto"/>
        <w:bottom w:val="none" w:sz="0" w:space="0" w:color="auto"/>
        <w:right w:val="none" w:sz="0" w:space="0" w:color="auto"/>
      </w:divBdr>
    </w:div>
    <w:div w:id="1789009193">
      <w:bodyDiv w:val="1"/>
      <w:marLeft w:val="0"/>
      <w:marRight w:val="0"/>
      <w:marTop w:val="0"/>
      <w:marBottom w:val="0"/>
      <w:divBdr>
        <w:top w:val="none" w:sz="0" w:space="0" w:color="auto"/>
        <w:left w:val="none" w:sz="0" w:space="0" w:color="auto"/>
        <w:bottom w:val="none" w:sz="0" w:space="0" w:color="auto"/>
        <w:right w:val="none" w:sz="0" w:space="0" w:color="auto"/>
      </w:divBdr>
    </w:div>
    <w:div w:id="1795369217">
      <w:bodyDiv w:val="1"/>
      <w:marLeft w:val="0"/>
      <w:marRight w:val="0"/>
      <w:marTop w:val="0"/>
      <w:marBottom w:val="0"/>
      <w:divBdr>
        <w:top w:val="none" w:sz="0" w:space="0" w:color="auto"/>
        <w:left w:val="none" w:sz="0" w:space="0" w:color="auto"/>
        <w:bottom w:val="none" w:sz="0" w:space="0" w:color="auto"/>
        <w:right w:val="none" w:sz="0" w:space="0" w:color="auto"/>
      </w:divBdr>
    </w:div>
    <w:div w:id="1803183604">
      <w:bodyDiv w:val="1"/>
      <w:marLeft w:val="0"/>
      <w:marRight w:val="0"/>
      <w:marTop w:val="0"/>
      <w:marBottom w:val="0"/>
      <w:divBdr>
        <w:top w:val="none" w:sz="0" w:space="0" w:color="auto"/>
        <w:left w:val="none" w:sz="0" w:space="0" w:color="auto"/>
        <w:bottom w:val="none" w:sz="0" w:space="0" w:color="auto"/>
        <w:right w:val="none" w:sz="0" w:space="0" w:color="auto"/>
      </w:divBdr>
    </w:div>
    <w:div w:id="1858540523">
      <w:bodyDiv w:val="1"/>
      <w:marLeft w:val="0"/>
      <w:marRight w:val="0"/>
      <w:marTop w:val="0"/>
      <w:marBottom w:val="0"/>
      <w:divBdr>
        <w:top w:val="none" w:sz="0" w:space="0" w:color="auto"/>
        <w:left w:val="none" w:sz="0" w:space="0" w:color="auto"/>
        <w:bottom w:val="none" w:sz="0" w:space="0" w:color="auto"/>
        <w:right w:val="none" w:sz="0" w:space="0" w:color="auto"/>
      </w:divBdr>
    </w:div>
    <w:div w:id="1921719751">
      <w:bodyDiv w:val="1"/>
      <w:marLeft w:val="0"/>
      <w:marRight w:val="0"/>
      <w:marTop w:val="0"/>
      <w:marBottom w:val="0"/>
      <w:divBdr>
        <w:top w:val="none" w:sz="0" w:space="0" w:color="auto"/>
        <w:left w:val="none" w:sz="0" w:space="0" w:color="auto"/>
        <w:bottom w:val="none" w:sz="0" w:space="0" w:color="auto"/>
        <w:right w:val="none" w:sz="0" w:space="0" w:color="auto"/>
      </w:divBdr>
    </w:div>
    <w:div w:id="20877232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1007/s10995-016-2155-1" TargetMode="External"/><Relationship Id="rId13" Type="http://schemas.openxmlformats.org/officeDocument/2006/relationships/hyperlink" Target="https://doi.org/10.5840/soctheorpract19891516" TargetMode="External"/><Relationship Id="rId18" Type="http://schemas.openxmlformats.org/officeDocument/2006/relationships/hyperlink" Target="https://doi.org/10.1023/A:1022585217710" TargetMode="External"/><Relationship Id="rId3" Type="http://schemas.openxmlformats.org/officeDocument/2006/relationships/settings" Target="settings.xml"/><Relationship Id="rId21" Type="http://schemas.openxmlformats.org/officeDocument/2006/relationships/hyperlink" Target="https://doi.org/10.1515/agph-2021-0034" TargetMode="External"/><Relationship Id="rId7" Type="http://schemas.openxmlformats.org/officeDocument/2006/relationships/hyperlink" Target="https://doi.org/10.1136/jme.2005.015420" TargetMode="External"/><Relationship Id="rId12" Type="http://schemas.openxmlformats.org/officeDocument/2006/relationships/hyperlink" Target="https://www.pdcnet.org/collection-anonymous/browse?fp=soctheorpract" TargetMode="External"/><Relationship Id="rId17" Type="http://schemas.openxmlformats.org/officeDocument/2006/relationships/hyperlink" Target="https://doi.org/10.13153/diam.39.2014.565" TargetMode="External"/><Relationship Id="rId2" Type="http://schemas.openxmlformats.org/officeDocument/2006/relationships/styles" Target="styles.xml"/><Relationship Id="rId16" Type="http://schemas.openxmlformats.org/officeDocument/2006/relationships/hyperlink" Target="https://doi.org/10.1186/1747-5341-3-4" TargetMode="External"/><Relationship Id="rId20" Type="http://schemas.openxmlformats.org/officeDocument/2006/relationships/hyperlink" Target="https://doi.org/10.1111/1467-9752.12609"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jstor.org/stable/4319811"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doi.org/10.1111/j.1467-9191.2012.00425.x" TargetMode="External"/><Relationship Id="rId23" Type="http://schemas.openxmlformats.org/officeDocument/2006/relationships/fontTable" Target="fontTable.xml"/><Relationship Id="rId10" Type="http://schemas.openxmlformats.org/officeDocument/2006/relationships/hyperlink" Target="https://doi.org/10.1111/j.1933-1592.2007.00117.x" TargetMode="External"/><Relationship Id="rId19" Type="http://schemas.openxmlformats.org/officeDocument/2006/relationships/hyperlink" Target="http://www.humanamente.eu/index.php/HM/article/view/176" TargetMode="External"/><Relationship Id="rId4" Type="http://schemas.openxmlformats.org/officeDocument/2006/relationships/webSettings" Target="webSettings.xml"/><Relationship Id="rId9" Type="http://schemas.openxmlformats.org/officeDocument/2006/relationships/hyperlink" Target="https://plato.stanford.edu/archives/fall2017/entries/suicide/" TargetMode="External"/><Relationship Id="rId14" Type="http://schemas.openxmlformats.org/officeDocument/2006/relationships/hyperlink" Target="https://www.jstor.org/stable/i313772" TargetMode="External"/><Relationship Id="rId22" Type="http://schemas.openxmlformats.org/officeDocument/2006/relationships/hyperlink" Target="https://www.jstor.org/stable/262171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TotalTime>
  <Pages>20</Pages>
  <Words>8610</Words>
  <Characters>49077</Characters>
  <Application>Microsoft Office Word</Application>
  <DocSecurity>0</DocSecurity>
  <Lines>408</Lines>
  <Paragraphs>115</Paragraphs>
  <ScaleCrop>false</ScaleCrop>
  <Company/>
  <LinksUpToDate>false</LinksUpToDate>
  <CharactersWithSpaces>57572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sjmkahn sjmkahn</dc:creator>
  <cp:keywords/>
  <dc:description/>
  <cp:lastModifiedBy>sjmkahn sjmkahn</cp:lastModifiedBy>
  <cp:revision>2</cp:revision>
  <dcterms:created xsi:type="dcterms:W3CDTF">2023-09-17T15:59:00Z</dcterms:created>
  <dcterms:modified xsi:type="dcterms:W3CDTF">2023-09-17T15:59:00Z</dcterms:modified>
</cp:coreProperties>
</file>