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4EE1" w14:textId="77777777" w:rsidR="001B40E4" w:rsidRPr="00B83222" w:rsidRDefault="004456DE">
      <w:pPr>
        <w:pStyle w:val="Titel"/>
        <w:rPr>
          <w:b w:val="0"/>
          <w:bCs w:val="0"/>
        </w:rPr>
      </w:pPr>
      <w:r w:rsidRPr="00B83222">
        <w:rPr>
          <w:b w:val="0"/>
          <w:bCs w:val="0"/>
        </w:rPr>
        <w:t>Self-Explanation and Empty-Base Explanation</w:t>
      </w:r>
    </w:p>
    <w:p w14:paraId="71709833" w14:textId="77777777" w:rsidR="008B536E" w:rsidRDefault="008B536E" w:rsidP="00D70CC3">
      <w:pPr>
        <w:pStyle w:val="Author"/>
      </w:pPr>
    </w:p>
    <w:p w14:paraId="174D158C" w14:textId="4A0A0721" w:rsidR="008B536E" w:rsidRDefault="008B536E" w:rsidP="00D70CC3">
      <w:pPr>
        <w:pStyle w:val="Author"/>
      </w:pPr>
      <w:r>
        <w:t xml:space="preserve">Forthcoming at </w:t>
      </w:r>
      <w:r w:rsidRPr="008B536E">
        <w:rPr>
          <w:i/>
          <w:iCs/>
        </w:rPr>
        <w:t>Journal of the American Philosophical Association</w:t>
      </w:r>
    </w:p>
    <w:p w14:paraId="7DC05DCB" w14:textId="4E0CFD4A" w:rsidR="008B536E" w:rsidRPr="008B536E" w:rsidRDefault="008B536E" w:rsidP="008B536E">
      <w:pPr>
        <w:pStyle w:val="Textkrper"/>
        <w:jc w:val="center"/>
        <w:rPr>
          <w:sz w:val="24"/>
        </w:rPr>
      </w:pPr>
      <w:r w:rsidRPr="008B536E">
        <w:rPr>
          <w:sz w:val="24"/>
        </w:rPr>
        <w:t>Penultimate draft, please cite published version</w:t>
      </w:r>
    </w:p>
    <w:p w14:paraId="42839C39" w14:textId="77777777" w:rsidR="008B536E" w:rsidRPr="008B536E" w:rsidRDefault="008B536E" w:rsidP="008B536E">
      <w:pPr>
        <w:pStyle w:val="Textkrper"/>
      </w:pPr>
    </w:p>
    <w:p w14:paraId="791459C4" w14:textId="078BBFE3" w:rsidR="00D70CC3" w:rsidRPr="00D70CC3" w:rsidRDefault="004456DE" w:rsidP="00D70CC3">
      <w:pPr>
        <w:pStyle w:val="Author"/>
      </w:pPr>
      <w:r>
        <w:t>Yannic Kappes</w:t>
      </w:r>
    </w:p>
    <w:p w14:paraId="07B0D0A2" w14:textId="033ED752" w:rsidR="001B40E4" w:rsidRDefault="004456DE" w:rsidP="009D7FB0">
      <w:pPr>
        <w:pStyle w:val="berschrift1"/>
        <w:numPr>
          <w:ilvl w:val="0"/>
          <w:numId w:val="10"/>
        </w:numPr>
      </w:pPr>
      <w:bookmarkStart w:id="0" w:name="introduction"/>
      <w:r w:rsidRPr="009D7FB0">
        <w:t>Introduction</w:t>
      </w:r>
      <w:bookmarkEnd w:id="0"/>
    </w:p>
    <w:p w14:paraId="25408935" w14:textId="77777777" w:rsidR="001B40E4" w:rsidRDefault="004456DE">
      <w:pPr>
        <w:pStyle w:val="FirstParagraph"/>
      </w:pPr>
      <w:r>
        <w:t>The purpose of this paper is to explore a novel notion of self-explanation. The idea of self-explanation is as controversial as it is philosophically interesting: On the one hand, certain alleged fundamental facts or first principles, e.g. God’s existence, have sometimes been taken to be self-explanatory.</w:t>
      </w:r>
      <w:r>
        <w:rPr>
          <w:rStyle w:val="Funotenzeichen"/>
        </w:rPr>
        <w:footnoteReference w:id="1"/>
      </w:r>
      <w:r>
        <w:t xml:space="preserve"> On the other hand, self-explanation is frequently considered to be incoherent and unintelligible.</w:t>
      </w:r>
      <w:r>
        <w:rPr>
          <w:rStyle w:val="Funotenzeichen"/>
        </w:rPr>
        <w:footnoteReference w:id="2"/>
      </w:r>
    </w:p>
    <w:p w14:paraId="37DC6C21" w14:textId="77777777" w:rsidR="001B40E4" w:rsidRDefault="004456DE" w:rsidP="00B83222">
      <w:pPr>
        <w:pStyle w:val="Textkrper"/>
      </w:pPr>
      <w:r>
        <w:t xml:space="preserve">This is the plan: After having introduced some general assumptions about explanation in section </w:t>
      </w:r>
      <w:hyperlink w:anchor="Preliminaries">
        <w:r>
          <w:rPr>
            <w:rStyle w:val="Hyperlink"/>
          </w:rPr>
          <w:t>2</w:t>
        </w:r>
      </w:hyperlink>
      <w:r>
        <w:t xml:space="preserve">, section </w:t>
      </w:r>
      <w:hyperlink w:anchor="Approaching Self-Explanation">
        <w:r>
          <w:rPr>
            <w:rStyle w:val="Hyperlink"/>
          </w:rPr>
          <w:t>3</w:t>
        </w:r>
      </w:hyperlink>
      <w:r>
        <w:t xml:space="preserve"> approaches the notion of self-explanation and presents a family of arguments against its possibility. Section </w:t>
      </w:r>
      <w:hyperlink w:anchor="Two Notions of Self-Explanation">
        <w:r>
          <w:rPr>
            <w:rStyle w:val="Hyperlink"/>
          </w:rPr>
          <w:t>4</w:t>
        </w:r>
      </w:hyperlink>
      <w:r>
        <w:t xml:space="preserve"> disambiguates two notions of (self-)explanation, one of which is then argued to avoid the arguments from the previous section. Section </w:t>
      </w:r>
      <w:hyperlink w:anchor="Law-Humeanism">
        <w:r>
          <w:rPr>
            <w:rStyle w:val="Hyperlink"/>
          </w:rPr>
          <w:t>5</w:t>
        </w:r>
      </w:hyperlink>
      <w:r>
        <w:t xml:space="preserve"> uses these findings to offer a solution to a circularity problem for Humeanism about laws of nature.</w:t>
      </w:r>
    </w:p>
    <w:p w14:paraId="1E2CF878" w14:textId="77777777" w:rsidR="001B40E4" w:rsidRDefault="004456DE">
      <w:pPr>
        <w:pStyle w:val="Textkrper"/>
      </w:pPr>
      <w:r>
        <w:t xml:space="preserve">Section </w:t>
      </w:r>
      <w:hyperlink w:anchor="Empty-Base Explanation">
        <w:r>
          <w:rPr>
            <w:rStyle w:val="Hyperlink"/>
          </w:rPr>
          <w:t>6</w:t>
        </w:r>
      </w:hyperlink>
      <w:r>
        <w:t xml:space="preserve"> introduces the notion of an empty-base explanation which in section </w:t>
      </w:r>
      <w:hyperlink w:anchor="Empty-Base Self-Explanation">
        <w:r>
          <w:rPr>
            <w:rStyle w:val="Hyperlink"/>
          </w:rPr>
          <w:t>7</w:t>
        </w:r>
      </w:hyperlink>
      <w:r>
        <w:t xml:space="preserve"> is combined with the previous results to introduce the notion of an </w:t>
      </w:r>
      <w:r>
        <w:rPr>
          <w:i/>
        </w:rPr>
        <w:t>empty-base link-self-explanation</w:t>
      </w:r>
      <w:r>
        <w:t xml:space="preserve">; its application to the idea that first principles or God’s existence are self-explanatory is investigated. Section </w:t>
      </w:r>
      <w:hyperlink w:anchor="Two Interpretations">
        <w:r>
          <w:rPr>
            <w:rStyle w:val="Hyperlink"/>
          </w:rPr>
          <w:t>8</w:t>
        </w:r>
      </w:hyperlink>
      <w:r>
        <w:t xml:space="preserve"> concludes with showing that certain historical ideas about the explanation of God’s existence give rise to a proposal for a self-explanation in the developed sense.</w:t>
      </w:r>
    </w:p>
    <w:p w14:paraId="3E44DC33" w14:textId="150B0848" w:rsidR="001B40E4" w:rsidRDefault="004456DE" w:rsidP="009D7FB0">
      <w:pPr>
        <w:pStyle w:val="berschrift1"/>
        <w:numPr>
          <w:ilvl w:val="0"/>
          <w:numId w:val="10"/>
        </w:numPr>
      </w:pPr>
      <w:bookmarkStart w:id="1" w:name="Preliminaries"/>
      <w:r>
        <w:t>Preliminaries</w:t>
      </w:r>
      <w:bookmarkEnd w:id="1"/>
    </w:p>
    <w:p w14:paraId="72C06ABD" w14:textId="7EAE9B43" w:rsidR="001B40E4" w:rsidRDefault="004456DE">
      <w:pPr>
        <w:pStyle w:val="FirstParagraph"/>
      </w:pPr>
      <w:r>
        <w:t xml:space="preserve">The following exclusively concerns explanation </w:t>
      </w:r>
      <w:r>
        <w:rPr>
          <w:i/>
        </w:rPr>
        <w:t>why</w:t>
      </w:r>
      <w:r>
        <w:t xml:space="preserve">, as opposed to, e.g., explanation </w:t>
      </w:r>
      <w:r>
        <w:rPr>
          <w:i/>
        </w:rPr>
        <w:t>how</w:t>
      </w:r>
      <w:r>
        <w:t xml:space="preserve"> or </w:t>
      </w:r>
      <w:r>
        <w:rPr>
          <w:i/>
        </w:rPr>
        <w:t>what</w:t>
      </w:r>
      <w:r>
        <w:t>.</w:t>
      </w:r>
      <w:r>
        <w:rPr>
          <w:rStyle w:val="Funotenzeichen"/>
        </w:rPr>
        <w:footnoteReference w:id="3"/>
      </w:r>
      <w:r>
        <w:t xml:space="preserve"> In particular, much concerns explanations involving grounding, a notion of metaphysical priority that has </w:t>
      </w:r>
      <w:r>
        <w:lastRenderedPageBreak/>
        <w:t>received much attention in recent years.</w:t>
      </w:r>
      <w:r>
        <w:rPr>
          <w:rStyle w:val="Funotenzeichen"/>
        </w:rPr>
        <w:footnoteReference w:id="4"/>
      </w:r>
      <w:r>
        <w:t xml:space="preserve"> Following (Schaffer 2017b) I assume that explanations consist of three components: First, that which is to be explained – the explanandum or explanatory </w:t>
      </w:r>
      <w:r>
        <w:rPr>
          <w:i/>
        </w:rPr>
        <w:t>result</w:t>
      </w:r>
      <w:r>
        <w:t xml:space="preserve"> that </w:t>
      </w:r>
      <m:oMath>
        <m:r>
          <w:rPr>
            <w:rFonts w:ascii="Cambria Math" w:hAnsi="Cambria Math"/>
          </w:rPr>
          <m:t>P</m:t>
        </m:r>
      </m:oMath>
      <w:r>
        <w:t xml:space="preserve">, </w:t>
      </w:r>
      <w:proofErr w:type="gramStart"/>
      <w:r>
        <w:t>e.g.</w:t>
      </w:r>
      <w:proofErr w:type="gramEnd"/>
      <w:r>
        <w:t xml:space="preserve"> that a rose </w:t>
      </w:r>
      <m:oMath>
        <m:r>
          <w:rPr>
            <w:rFonts w:ascii="Cambria Math" w:hAnsi="Cambria Math"/>
          </w:rPr>
          <m:t>r</m:t>
        </m:r>
      </m:oMath>
      <w:r>
        <w:t xml:space="preserve"> is red. Second, the explanatory </w:t>
      </w:r>
      <w:r>
        <w:rPr>
          <w:i/>
        </w:rPr>
        <w:t>base</w:t>
      </w:r>
      <w:r>
        <w:t xml:space="preserve"> – a set of reasons why </w:t>
      </w:r>
      <m:oMath>
        <m:r>
          <w:rPr>
            <w:rFonts w:ascii="Cambria Math" w:hAnsi="Cambria Math"/>
          </w:rPr>
          <m:t>P</m:t>
        </m:r>
      </m:oMath>
      <w:r>
        <w:t xml:space="preserve">, such as the proposition that </w:t>
      </w:r>
      <m:oMath>
        <m:r>
          <w:rPr>
            <w:rFonts w:ascii="Cambria Math" w:hAnsi="Cambria Math"/>
          </w:rPr>
          <m:t>r</m:t>
        </m:r>
      </m:oMath>
      <w:r>
        <w:t xml:space="preserve"> is crimson. Third, an explanatory </w:t>
      </w:r>
      <w:r>
        <w:rPr>
          <w:i/>
        </w:rPr>
        <w:t>link</w:t>
      </w:r>
      <w:r>
        <w:t xml:space="preserve"> that connects the base with the explanandum, such as a law of nature or a fact that involves an explanatory notion like causation or grounding, in our example the fact that </w:t>
      </w:r>
      <m:oMath>
        <m:r>
          <w:rPr>
            <w:rFonts w:ascii="Cambria Math" w:hAnsi="Cambria Math"/>
          </w:rPr>
          <m:t>r</m:t>
        </m:r>
      </m:oMath>
      <w:r>
        <w:t xml:space="preserve">’s being crimson grounds </w:t>
      </w:r>
      <m:oMath>
        <m:r>
          <w:rPr>
            <w:rFonts w:ascii="Cambria Math" w:hAnsi="Cambria Math"/>
          </w:rPr>
          <m:t>r</m:t>
        </m:r>
      </m:oMath>
      <w:r>
        <w:t>’s being red. The explanatory base and the explanatory link together constitute what is often called ‘explanans’</w:t>
      </w:r>
      <w:r w:rsidR="00D70CC3">
        <w:t>.</w:t>
      </w:r>
      <w:r>
        <w:rPr>
          <w:rStyle w:val="Funotenzeichen"/>
        </w:rPr>
        <w:footnoteReference w:id="5"/>
      </w:r>
      <w:r>
        <w:t xml:space="preserve"> Here, note for later that there is an inclusive sense of ‘explains’, in which we can say that the base (or its elements) and the link of an explanation why </w:t>
      </w:r>
      <m:oMath>
        <m:r>
          <w:rPr>
            <w:rFonts w:ascii="Cambria Math" w:hAnsi="Cambria Math"/>
          </w:rPr>
          <m:t>P</m:t>
        </m:r>
      </m:oMath>
      <w:r>
        <w:t xml:space="preserve"> together explain why </w:t>
      </w:r>
      <m:oMath>
        <m:r>
          <w:rPr>
            <w:rFonts w:ascii="Cambria Math" w:hAnsi="Cambria Math"/>
          </w:rPr>
          <m:t>P</m:t>
        </m:r>
      </m:oMath>
      <w:r>
        <w:t>.</w:t>
      </w:r>
    </w:p>
    <w:p w14:paraId="1A10B386" w14:textId="63495DB0" w:rsidR="001621B7" w:rsidRDefault="004456DE" w:rsidP="001621B7">
      <w:pPr>
        <w:pStyle w:val="Textkrper"/>
      </w:pPr>
      <w:r>
        <w:t>In the case of causal explanation, the distinction between links and base is particularly clear: Laws are not causes and vice versa; yet they are – in different roles – both involved in causal explanations.</w:t>
      </w:r>
      <w:r>
        <w:rPr>
          <w:rStyle w:val="Funotenzeichen"/>
        </w:rPr>
        <w:footnoteReference w:id="6"/>
      </w:r>
      <w:r>
        <w:t xml:space="preserve"> If not in this terminology, something like the distinction between base and links is widely recognized in the literature on explanation.</w:t>
      </w:r>
      <w:r>
        <w:rPr>
          <w:rStyle w:val="Funotenzeichen"/>
        </w:rPr>
        <w:footnoteReference w:id="7"/>
      </w:r>
      <w:r>
        <w:t xml:space="preserve"> In line with this view, I assume that grounding explanations involving a single ground have this structure:</w:t>
      </w:r>
    </w:p>
    <w:p w14:paraId="109C173C" w14:textId="77777777" w:rsidR="00B83222" w:rsidRDefault="00B83222" w:rsidP="001621B7">
      <w:pPr>
        <w:pStyle w:val="Textkrper"/>
      </w:pPr>
    </w:p>
    <w:p w14:paraId="75819C45" w14:textId="5178FA44" w:rsidR="001621B7" w:rsidRPr="001621B7" w:rsidRDefault="004456DE" w:rsidP="005504C2">
      <w:pPr>
        <w:pStyle w:val="Textkrper"/>
        <w:ind w:firstLine="0"/>
        <w:rPr>
          <w:rFonts w:asciiTheme="minorHAnsi" w:eastAsiaTheme="minorEastAsia" w:hAnsiTheme="minorHAnsi"/>
          <w:b/>
          <w:bCs/>
        </w:rPr>
      </w:pPr>
      <w:r w:rsidRPr="001621B7">
        <w:rPr>
          <w:b/>
          <w:bCs/>
        </w:rPr>
        <w:t>Base:</w:t>
      </w:r>
      <w:r w:rsidR="009F1732" w:rsidRPr="001621B7">
        <w:rPr>
          <w:b/>
          <w:bCs/>
        </w:rPr>
        <w:tab/>
      </w:r>
      <m:oMath>
        <m:r>
          <w:rPr>
            <w:rFonts w:ascii="Cambria Math" w:hAnsi="Cambria Math"/>
          </w:rPr>
          <m:t>P</m:t>
        </m:r>
      </m:oMath>
    </w:p>
    <w:p w14:paraId="52BCF9AA" w14:textId="08FE1C29" w:rsidR="001621B7" w:rsidRPr="001621B7" w:rsidRDefault="004456DE" w:rsidP="005504C2">
      <w:pPr>
        <w:pStyle w:val="Textkrper"/>
        <w:ind w:firstLine="0"/>
        <w:rPr>
          <w:rFonts w:asciiTheme="minorHAnsi" w:eastAsiaTheme="minorEastAsia" w:hAnsiTheme="minorHAnsi"/>
          <w:b/>
          <w:bCs/>
        </w:rPr>
      </w:pPr>
      <w:r w:rsidRPr="001621B7">
        <w:rPr>
          <w:b/>
          <w:bCs/>
        </w:rPr>
        <w:t>Link:</w:t>
      </w:r>
      <w:r w:rsidR="009F1732" w:rsidRPr="001621B7">
        <w:rPr>
          <w:b/>
          <w:bCs/>
        </w:rPr>
        <w:tab/>
      </w:r>
      <m:oMath>
        <m:r>
          <w:rPr>
            <w:rFonts w:ascii="Cambria Math" w:hAnsi="Cambria Math"/>
          </w:rPr>
          <m:t>P&lt;Q</m:t>
        </m:r>
      </m:oMath>
      <w:r w:rsidRPr="0064011A">
        <w:rPr>
          <w:rStyle w:val="Funotenzeichen"/>
          <w:bCs/>
        </w:rPr>
        <w:footnoteReference w:id="8"/>
      </w:r>
    </w:p>
    <w:p w14:paraId="21408CB7" w14:textId="49D1F217" w:rsidR="001B40E4" w:rsidRDefault="004456DE" w:rsidP="005504C2">
      <w:pPr>
        <w:pStyle w:val="Textkrper"/>
        <w:ind w:firstLine="0"/>
        <w:rPr>
          <w:rFonts w:eastAsiaTheme="minorEastAsia"/>
          <w:b/>
          <w:bCs/>
        </w:rPr>
      </w:pPr>
      <w:r w:rsidRPr="001621B7">
        <w:rPr>
          <w:b/>
          <w:bCs/>
        </w:rPr>
        <w:t>Result:</w:t>
      </w:r>
      <w:r w:rsidR="001621B7" w:rsidRPr="0064011A">
        <w:rPr>
          <w:bCs/>
        </w:rPr>
        <w:tab/>
      </w:r>
      <m:oMath>
        <m:r>
          <w:rPr>
            <w:rFonts w:ascii="Cambria Math" w:hAnsi="Cambria Math"/>
          </w:rPr>
          <m:t>Q</m:t>
        </m:r>
      </m:oMath>
    </w:p>
    <w:p w14:paraId="1CEF9246" w14:textId="77777777" w:rsidR="00B83222" w:rsidRPr="001621B7" w:rsidRDefault="00B83222" w:rsidP="001621B7">
      <w:pPr>
        <w:pStyle w:val="Textkrper"/>
        <w:rPr>
          <w:rFonts w:eastAsiaTheme="minorEastAsia"/>
        </w:rPr>
      </w:pPr>
    </w:p>
    <w:p w14:paraId="4463168E" w14:textId="77777777" w:rsidR="001B40E4" w:rsidRDefault="004456DE">
      <w:pPr>
        <w:pStyle w:val="FirstParagraph"/>
      </w:pPr>
      <w:r>
        <w:t>This structure corresponds to ‘because’ claims: The left-hand clause expresses the explanandum, the right-hand clause expresses an explanatory base (or the reasons why the explanatory result obtains), and the ‘because’ claims themselves are underwritten by the corresponding explanatory link.</w:t>
      </w:r>
      <w:r>
        <w:rPr>
          <w:rStyle w:val="Funotenzeichen"/>
        </w:rPr>
        <w:footnoteReference w:id="9"/>
      </w:r>
    </w:p>
    <w:p w14:paraId="286529C4" w14:textId="53D4E7D8" w:rsidR="001B40E4" w:rsidRDefault="004456DE" w:rsidP="009D7FB0">
      <w:pPr>
        <w:pStyle w:val="berschrift1"/>
        <w:numPr>
          <w:ilvl w:val="0"/>
          <w:numId w:val="10"/>
        </w:numPr>
      </w:pPr>
      <w:bookmarkStart w:id="2" w:name="Approaching_Self-Explanation"/>
      <w:r>
        <w:t>Approaching self-explanation</w:t>
      </w:r>
      <w:bookmarkEnd w:id="2"/>
    </w:p>
    <w:p w14:paraId="4C00186C" w14:textId="02E98AA1" w:rsidR="001B40E4" w:rsidRDefault="004456DE">
      <w:pPr>
        <w:pStyle w:val="FirstParagraph"/>
      </w:pPr>
      <w:r>
        <w:t xml:space="preserve">Here is a conceptual platitude: For a proposition </w:t>
      </w:r>
      <m:oMath>
        <m:r>
          <w:rPr>
            <w:rFonts w:ascii="Cambria Math" w:hAnsi="Cambria Math"/>
          </w:rPr>
          <m:t>x</m:t>
        </m:r>
      </m:oMath>
      <w:r>
        <w:t xml:space="preserve"> to be self-explanatory is for </w:t>
      </w:r>
      <m:oMath>
        <m:r>
          <w:rPr>
            <w:rFonts w:ascii="Cambria Math" w:hAnsi="Cambria Math"/>
          </w:rPr>
          <m:t>x</m:t>
        </m:r>
      </m:oMath>
      <w:r>
        <w:t xml:space="preserve"> to explain </w:t>
      </w:r>
      <m:oMath>
        <m:r>
          <w:rPr>
            <w:rFonts w:ascii="Cambria Math" w:hAnsi="Cambria Math"/>
          </w:rPr>
          <m:t>x</m:t>
        </m:r>
      </m:oMath>
      <w:r>
        <w:t>.</w:t>
      </w:r>
      <w:r>
        <w:rPr>
          <w:rStyle w:val="Funotenzeichen"/>
        </w:rPr>
        <w:footnoteReference w:id="10"/>
      </w:r>
      <w:r>
        <w:t xml:space="preserve"> Note that the platitude already helps to distinguish self-explanation from Dasgupta’s (2014b, 2016) related notion of </w:t>
      </w:r>
      <w:r>
        <w:lastRenderedPageBreak/>
        <w:t xml:space="preserve">explanatory autonomy, which might play a similar theoretical role. An explanatorily autonomous proposition is not explained, rather </w:t>
      </w:r>
      <w:r>
        <w:rPr>
          <w:i/>
        </w:rPr>
        <w:t>qua</w:t>
      </w:r>
      <w:r>
        <w:t xml:space="preserve"> being autonomous it is such that it does not require an explanation.</w:t>
      </w:r>
      <w:r>
        <w:rPr>
          <w:rStyle w:val="Funotenzeichen"/>
        </w:rPr>
        <w:footnoteReference w:id="11"/>
      </w:r>
      <w:r>
        <w:t xml:space="preserve"> Therefore, it is not self-explanatory in the platitudinous sense.</w:t>
      </w:r>
      <w:r>
        <w:rPr>
          <w:rStyle w:val="Funotenzeichen"/>
        </w:rPr>
        <w:footnoteReference w:id="12"/>
      </w:r>
      <w:r>
        <w:t xml:space="preserve"> Here, I investigate the self-explanation as captured by the platitude. Indeed, the possibility of self-explanation in this sense is heavily contested. While this often happens on the basis of raw intuition, I focus here on the following arguments:</w:t>
      </w:r>
    </w:p>
    <w:p w14:paraId="65808956" w14:textId="15B8B816" w:rsidR="005504C2" w:rsidRDefault="004456DE" w:rsidP="005504C2">
      <w:pPr>
        <w:pStyle w:val="berschrift4"/>
      </w:pPr>
      <w:bookmarkStart w:id="3" w:name="from-because"/>
      <w:r>
        <w:t>“From ‘because’”:</w:t>
      </w:r>
      <w:bookmarkEnd w:id="3"/>
    </w:p>
    <w:p w14:paraId="6A7AD90A" w14:textId="77777777" w:rsidR="005504C2" w:rsidRPr="005504C2" w:rsidRDefault="005504C2" w:rsidP="005504C2">
      <w:pPr>
        <w:pStyle w:val="Textkrper"/>
        <w:ind w:firstLine="0"/>
      </w:pPr>
    </w:p>
    <w:p w14:paraId="395BEA9C" w14:textId="5A75C043" w:rsidR="001B40E4" w:rsidRDefault="004456DE" w:rsidP="00E22E39">
      <w:pPr>
        <w:pStyle w:val="Textkrper"/>
        <w:ind w:left="709" w:hanging="709"/>
      </w:pPr>
      <w:r w:rsidRPr="00E22E39">
        <w:rPr>
          <w:b/>
          <w:bCs/>
        </w:rPr>
        <w:t>(P1)</w:t>
      </w:r>
      <w:r w:rsidR="008457D4">
        <w:tab/>
      </w:r>
      <w:r w:rsidRPr="008457D4">
        <w:t xml:space="preserve">For any </w:t>
      </w:r>
      <m:oMath>
        <m:r>
          <w:rPr>
            <w:rFonts w:ascii="Cambria Math" w:hAnsi="Cambria Math"/>
          </w:rPr>
          <m:t>P</m:t>
        </m:r>
      </m:oMath>
      <w:r w:rsidRPr="008457D4">
        <w:t xml:space="preserve">, </w:t>
      </w:r>
      <m:oMath>
        <m:r>
          <w:rPr>
            <w:rFonts w:ascii="Cambria Math" w:hAnsi="Cambria Math"/>
          </w:rPr>
          <m:t>Q</m:t>
        </m:r>
      </m:oMath>
      <w:r w:rsidRPr="008457D4">
        <w:t xml:space="preserve">: If the proposition that </w:t>
      </w:r>
      <m:oMath>
        <m:r>
          <w:rPr>
            <w:rFonts w:ascii="Cambria Math" w:hAnsi="Cambria Math"/>
          </w:rPr>
          <m:t>P</m:t>
        </m:r>
      </m:oMath>
      <w:r w:rsidRPr="008457D4">
        <w:t xml:space="preserve"> explains the proposition that </w:t>
      </w:r>
      <m:oMath>
        <m:r>
          <w:rPr>
            <w:rFonts w:ascii="Cambria Math" w:hAnsi="Cambria Math"/>
          </w:rPr>
          <m:t>Q</m:t>
        </m:r>
      </m:oMath>
      <w:r w:rsidRPr="008457D4">
        <w:t xml:space="preserve">, then </w:t>
      </w:r>
      <m:oMath>
        <m:r>
          <w:rPr>
            <w:rFonts w:ascii="Cambria Math" w:hAnsi="Cambria Math"/>
          </w:rPr>
          <m:t>Q</m:t>
        </m:r>
      </m:oMath>
      <w:r w:rsidRPr="008457D4">
        <w:t xml:space="preserve"> because </w:t>
      </w:r>
      <m:oMath>
        <m:r>
          <w:rPr>
            <w:rFonts w:ascii="Cambria Math" w:hAnsi="Cambria Math"/>
          </w:rPr>
          <m:t>P</m:t>
        </m:r>
      </m:oMath>
      <w:r w:rsidRPr="008457D4">
        <w:t>.</w:t>
      </w:r>
    </w:p>
    <w:p w14:paraId="500C3F34" w14:textId="55247BE0" w:rsidR="001B40E4" w:rsidRPr="008457D4" w:rsidRDefault="004456DE" w:rsidP="005504C2">
      <w:pPr>
        <w:pStyle w:val="Textkrper"/>
        <w:ind w:firstLine="0"/>
      </w:pPr>
      <w:r w:rsidRPr="00E22E39">
        <w:rPr>
          <w:b/>
          <w:bCs/>
        </w:rPr>
        <w:t>(P2)</w:t>
      </w:r>
      <w:r w:rsidR="008457D4">
        <w:tab/>
      </w:r>
      <w:r w:rsidRPr="008457D4">
        <w:t xml:space="preserve">For no </w:t>
      </w:r>
      <m:oMath>
        <m:r>
          <w:rPr>
            <w:rFonts w:ascii="Cambria Math" w:hAnsi="Cambria Math"/>
          </w:rPr>
          <m:t>P</m:t>
        </m:r>
      </m:oMath>
      <w:r w:rsidRPr="008457D4">
        <w:t xml:space="preserve">: </w:t>
      </w:r>
      <m:oMath>
        <m:r>
          <w:rPr>
            <w:rFonts w:ascii="Cambria Math" w:hAnsi="Cambria Math"/>
          </w:rPr>
          <m:t>P</m:t>
        </m:r>
      </m:oMath>
      <w:r w:rsidRPr="008457D4">
        <w:t xml:space="preserve"> because </w:t>
      </w:r>
      <m:oMath>
        <m:r>
          <w:rPr>
            <w:rFonts w:ascii="Cambria Math" w:hAnsi="Cambria Math"/>
          </w:rPr>
          <m:t>P</m:t>
        </m:r>
      </m:oMath>
      <w:r w:rsidRPr="008457D4">
        <w:t>.</w:t>
      </w:r>
    </w:p>
    <w:p w14:paraId="6A206013" w14:textId="4E6C5B7B" w:rsidR="001B40E4" w:rsidRPr="008457D4" w:rsidRDefault="004456DE" w:rsidP="00E22E39">
      <w:pPr>
        <w:pStyle w:val="Textkrper"/>
        <w:ind w:left="709" w:hanging="709"/>
      </w:pPr>
      <w:r w:rsidRPr="00E22E39">
        <w:rPr>
          <w:b/>
          <w:bCs/>
        </w:rPr>
        <w:t>(P3)</w:t>
      </w:r>
      <w:r w:rsidR="008457D4">
        <w:tab/>
      </w:r>
      <w:r w:rsidRPr="008457D4">
        <w:t xml:space="preserve">For any </w:t>
      </w:r>
      <m:oMath>
        <m:r>
          <w:rPr>
            <w:rFonts w:ascii="Cambria Math" w:hAnsi="Cambria Math"/>
          </w:rPr>
          <m:t>x</m:t>
        </m:r>
      </m:oMath>
      <w:r w:rsidRPr="008457D4">
        <w:t xml:space="preserve">: If </w:t>
      </w:r>
      <m:oMath>
        <m:r>
          <w:rPr>
            <w:rFonts w:ascii="Cambria Math" w:hAnsi="Cambria Math"/>
          </w:rPr>
          <m:t>x</m:t>
        </m:r>
      </m:oMath>
      <w:r w:rsidRPr="008457D4">
        <w:t xml:space="preserve"> explains </w:t>
      </w:r>
      <m:oMath>
        <m:r>
          <w:rPr>
            <w:rFonts w:ascii="Cambria Math" w:hAnsi="Cambria Math"/>
          </w:rPr>
          <m:t>x</m:t>
        </m:r>
      </m:oMath>
      <w:r w:rsidRPr="008457D4">
        <w:t xml:space="preserve">, then there is a proposition that </w:t>
      </w:r>
      <m:oMath>
        <m:r>
          <w:rPr>
            <w:rFonts w:ascii="Cambria Math" w:hAnsi="Cambria Math"/>
          </w:rPr>
          <m:t>P</m:t>
        </m:r>
      </m:oMath>
      <w:r w:rsidRPr="008457D4">
        <w:t xml:space="preserve"> such that the proposition that </w:t>
      </w:r>
      <m:oMath>
        <m:r>
          <w:rPr>
            <w:rFonts w:ascii="Cambria Math" w:hAnsi="Cambria Math"/>
          </w:rPr>
          <m:t>P</m:t>
        </m:r>
      </m:oMath>
      <w:r w:rsidRPr="008457D4">
        <w:t xml:space="preserve"> explains the proposition that </w:t>
      </w:r>
      <m:oMath>
        <m:r>
          <w:rPr>
            <w:rFonts w:ascii="Cambria Math" w:hAnsi="Cambria Math"/>
          </w:rPr>
          <m:t>P</m:t>
        </m:r>
      </m:oMath>
      <w:r w:rsidRPr="008457D4">
        <w:t>.</w:t>
      </w:r>
    </w:p>
    <w:p w14:paraId="68326825" w14:textId="3723C96F" w:rsidR="008457D4" w:rsidRPr="008457D4" w:rsidRDefault="004456DE" w:rsidP="000E2A66">
      <w:pPr>
        <w:pStyle w:val="Textkrper"/>
        <w:ind w:firstLine="0"/>
      </w:pPr>
      <w:r w:rsidRPr="00E22E39">
        <w:rPr>
          <w:b/>
          <w:bCs/>
        </w:rPr>
        <w:t>(C1)</w:t>
      </w:r>
      <w:r w:rsidR="008457D4">
        <w:tab/>
      </w:r>
      <w:r w:rsidRPr="008457D4">
        <w:t xml:space="preserve">For no </w:t>
      </w:r>
      <m:oMath>
        <m:r>
          <w:rPr>
            <w:rFonts w:ascii="Cambria Math" w:hAnsi="Cambria Math"/>
          </w:rPr>
          <m:t>x</m:t>
        </m:r>
      </m:oMath>
      <w:r w:rsidRPr="008457D4">
        <w:t xml:space="preserve">: </w:t>
      </w:r>
      <m:oMath>
        <m:r>
          <w:rPr>
            <w:rFonts w:ascii="Cambria Math" w:hAnsi="Cambria Math"/>
          </w:rPr>
          <m:t>x</m:t>
        </m:r>
      </m:oMath>
      <w:r w:rsidRPr="008457D4">
        <w:t xml:space="preserve"> e</w:t>
      </w:r>
      <w:r w:rsidRPr="00E22E39">
        <w:t xml:space="preserve">xplains </w:t>
      </w:r>
      <m:oMath>
        <m:r>
          <w:rPr>
            <w:rFonts w:ascii="Cambria Math" w:hAnsi="Cambria Math"/>
          </w:rPr>
          <m:t>x</m:t>
        </m:r>
      </m:oMath>
      <w:r w:rsidRPr="00E22E39">
        <w:t>.</w:t>
      </w:r>
      <w:r w:rsidRPr="00E22E39">
        <w:rPr>
          <w:rStyle w:val="Funotenzeichen"/>
        </w:rPr>
        <w:footnoteReference w:id="13"/>
      </w:r>
      <w:bookmarkStart w:id="4" w:name="from-explanatory-dependence"/>
    </w:p>
    <w:p w14:paraId="5E68C719" w14:textId="05E5458E" w:rsidR="001B40E4" w:rsidRDefault="004456DE">
      <w:pPr>
        <w:pStyle w:val="berschrift4"/>
      </w:pPr>
      <w:r>
        <w:t>“From explanatory dependence”:</w:t>
      </w:r>
      <w:bookmarkEnd w:id="4"/>
    </w:p>
    <w:p w14:paraId="47AA01CC" w14:textId="77777777" w:rsidR="005504C2" w:rsidRPr="005504C2" w:rsidRDefault="005504C2" w:rsidP="005504C2">
      <w:pPr>
        <w:pStyle w:val="Textkrper"/>
      </w:pPr>
    </w:p>
    <w:p w14:paraId="5F8891C5" w14:textId="7833E611" w:rsidR="001B40E4" w:rsidRDefault="004456DE" w:rsidP="00E22E39">
      <w:pPr>
        <w:pStyle w:val="Textkrper"/>
        <w:ind w:left="709" w:hanging="709"/>
      </w:pPr>
      <w:r w:rsidRPr="00E22E39">
        <w:rPr>
          <w:b/>
          <w:bCs/>
        </w:rPr>
        <w:t>(P4)</w:t>
      </w:r>
      <w:r w:rsidR="008457D4" w:rsidRPr="00E22E39">
        <w:rPr>
          <w:b/>
          <w:bCs/>
        </w:rPr>
        <w:tab/>
      </w:r>
      <w:r w:rsidRPr="008457D4">
        <w:t xml:space="preserve">For any </w:t>
      </w:r>
      <m:oMath>
        <m:r>
          <w:rPr>
            <w:rFonts w:ascii="Cambria Math" w:hAnsi="Cambria Math"/>
          </w:rPr>
          <m:t>x</m:t>
        </m:r>
      </m:oMath>
      <w:r w:rsidRPr="008457D4">
        <w:t xml:space="preserve">, </w:t>
      </w:r>
      <m:oMath>
        <m:r>
          <w:rPr>
            <w:rFonts w:ascii="Cambria Math" w:hAnsi="Cambria Math"/>
          </w:rPr>
          <m:t>y</m:t>
        </m:r>
      </m:oMath>
      <w:r w:rsidRPr="008457D4">
        <w:t xml:space="preserve">: If </w:t>
      </w:r>
      <m:oMath>
        <m:r>
          <w:rPr>
            <w:rFonts w:ascii="Cambria Math" w:hAnsi="Cambria Math"/>
          </w:rPr>
          <m:t>x</m:t>
        </m:r>
      </m:oMath>
      <w:r w:rsidRPr="008457D4">
        <w:t xml:space="preserve"> explains </w:t>
      </w:r>
      <m:oMath>
        <m:r>
          <w:rPr>
            <w:rFonts w:ascii="Cambria Math" w:hAnsi="Cambria Math"/>
          </w:rPr>
          <m:t>y</m:t>
        </m:r>
      </m:oMath>
      <w:r w:rsidRPr="008457D4">
        <w:t xml:space="preserve">, then </w:t>
      </w:r>
      <m:oMath>
        <m:r>
          <w:rPr>
            <w:rFonts w:ascii="Cambria Math" w:hAnsi="Cambria Math"/>
          </w:rPr>
          <m:t>y</m:t>
        </m:r>
      </m:oMath>
      <w:r w:rsidRPr="008457D4">
        <w:t xml:space="preserve"> stands in an explanatory dependence relation to </w:t>
      </w:r>
      <m:oMath>
        <m:r>
          <w:rPr>
            <w:rFonts w:ascii="Cambria Math" w:hAnsi="Cambria Math"/>
          </w:rPr>
          <m:t>x</m:t>
        </m:r>
      </m:oMath>
      <w:r w:rsidRPr="008457D4">
        <w:t>.</w:t>
      </w:r>
    </w:p>
    <w:p w14:paraId="496E719B" w14:textId="1F5B5933" w:rsidR="001B40E4" w:rsidRPr="008457D4" w:rsidRDefault="004456DE" w:rsidP="005504C2">
      <w:pPr>
        <w:pStyle w:val="Textkrper"/>
        <w:ind w:firstLine="0"/>
      </w:pPr>
      <w:r w:rsidRPr="00E22E39">
        <w:rPr>
          <w:b/>
          <w:bCs/>
        </w:rPr>
        <w:t>(P5)</w:t>
      </w:r>
      <w:r w:rsidR="008457D4">
        <w:tab/>
      </w:r>
      <w:r w:rsidRPr="008457D4">
        <w:t xml:space="preserve">For no </w:t>
      </w:r>
      <m:oMath>
        <m:r>
          <w:rPr>
            <w:rFonts w:ascii="Cambria Math" w:hAnsi="Cambria Math"/>
          </w:rPr>
          <m:t>x</m:t>
        </m:r>
      </m:oMath>
      <w:r w:rsidRPr="008457D4">
        <w:t xml:space="preserve">: </w:t>
      </w:r>
      <m:oMath>
        <m:r>
          <w:rPr>
            <w:rFonts w:ascii="Cambria Math" w:hAnsi="Cambria Math"/>
          </w:rPr>
          <m:t>x</m:t>
        </m:r>
      </m:oMath>
      <w:r w:rsidRPr="008457D4">
        <w:t xml:space="preserve"> stands in an explanatory dependence relation to </w:t>
      </w:r>
      <m:oMath>
        <m:r>
          <w:rPr>
            <w:rFonts w:ascii="Cambria Math" w:hAnsi="Cambria Math"/>
          </w:rPr>
          <m:t>x</m:t>
        </m:r>
      </m:oMath>
      <w:r w:rsidRPr="008457D4">
        <w:t>.</w:t>
      </w:r>
    </w:p>
    <w:p w14:paraId="6CE3518D" w14:textId="72F388F4" w:rsidR="008457D4" w:rsidRPr="008457D4" w:rsidRDefault="004456DE" w:rsidP="000E2A66">
      <w:pPr>
        <w:pStyle w:val="Textkrper"/>
        <w:ind w:firstLine="0"/>
      </w:pPr>
      <w:r w:rsidRPr="00E22E39">
        <w:rPr>
          <w:b/>
          <w:bCs/>
        </w:rPr>
        <w:t>(C1)</w:t>
      </w:r>
      <w:r w:rsidR="008457D4">
        <w:tab/>
      </w:r>
      <w:r w:rsidRPr="008457D4">
        <w:t xml:space="preserve">For no </w:t>
      </w:r>
      <m:oMath>
        <m:r>
          <w:rPr>
            <w:rFonts w:ascii="Cambria Math" w:hAnsi="Cambria Math"/>
          </w:rPr>
          <m:t>x</m:t>
        </m:r>
      </m:oMath>
      <w:r w:rsidRPr="008457D4">
        <w:t xml:space="preserve">: </w:t>
      </w:r>
      <m:oMath>
        <m:r>
          <w:rPr>
            <w:rFonts w:ascii="Cambria Math" w:hAnsi="Cambria Math"/>
          </w:rPr>
          <m:t>x</m:t>
        </m:r>
      </m:oMath>
      <w:r w:rsidRPr="008457D4">
        <w:t xml:space="preserve"> explains </w:t>
      </w:r>
      <m:oMath>
        <m:r>
          <w:rPr>
            <w:rFonts w:ascii="Cambria Math" w:hAnsi="Cambria Math"/>
          </w:rPr>
          <m:t>x</m:t>
        </m:r>
      </m:oMath>
      <w:r w:rsidRPr="008457D4">
        <w:t>.</w:t>
      </w:r>
      <w:r w:rsidRPr="008457D4">
        <w:rPr>
          <w:rStyle w:val="Funotenzeichen"/>
          <w:b/>
        </w:rPr>
        <w:footnoteReference w:id="14"/>
      </w:r>
    </w:p>
    <w:p w14:paraId="17ED6087" w14:textId="0AEF5649" w:rsidR="001B40E4" w:rsidRDefault="004456DE">
      <w:pPr>
        <w:pStyle w:val="berschrift4"/>
      </w:pPr>
      <w:bookmarkStart w:id="5" w:name="from-reasonhood"/>
      <w:r>
        <w:t xml:space="preserve">“From </w:t>
      </w:r>
      <w:proofErr w:type="spellStart"/>
      <w:r>
        <w:t>reasonhood</w:t>
      </w:r>
      <w:proofErr w:type="spellEnd"/>
      <w:r>
        <w:t>”:</w:t>
      </w:r>
      <w:bookmarkEnd w:id="5"/>
    </w:p>
    <w:p w14:paraId="1ACDF183" w14:textId="77777777" w:rsidR="005504C2" w:rsidRPr="005504C2" w:rsidRDefault="005504C2" w:rsidP="005504C2">
      <w:pPr>
        <w:pStyle w:val="Textkrper"/>
      </w:pPr>
    </w:p>
    <w:p w14:paraId="05A553B9" w14:textId="46A8FA4E" w:rsidR="001B40E4" w:rsidRPr="008457D4" w:rsidRDefault="004456DE" w:rsidP="005504C2">
      <w:pPr>
        <w:pStyle w:val="Textkrper"/>
        <w:ind w:firstLine="0"/>
      </w:pPr>
      <w:r w:rsidRPr="00E22E39">
        <w:rPr>
          <w:b/>
          <w:bCs/>
        </w:rPr>
        <w:t>(P6)</w:t>
      </w:r>
      <w:r w:rsidR="008457D4">
        <w:tab/>
      </w:r>
      <w:r w:rsidRPr="008457D4">
        <w:t xml:space="preserve">For any </w:t>
      </w:r>
      <m:oMath>
        <m:r>
          <w:rPr>
            <w:rFonts w:ascii="Cambria Math" w:hAnsi="Cambria Math"/>
          </w:rPr>
          <m:t>x</m:t>
        </m:r>
      </m:oMath>
      <w:r w:rsidRPr="008457D4">
        <w:t xml:space="preserve">, </w:t>
      </w:r>
      <m:oMath>
        <m:r>
          <w:rPr>
            <w:rFonts w:ascii="Cambria Math" w:hAnsi="Cambria Math"/>
          </w:rPr>
          <m:t>y</m:t>
        </m:r>
      </m:oMath>
      <w:r w:rsidRPr="008457D4">
        <w:t xml:space="preserve">: If </w:t>
      </w:r>
      <m:oMath>
        <m:r>
          <w:rPr>
            <w:rFonts w:ascii="Cambria Math" w:hAnsi="Cambria Math"/>
          </w:rPr>
          <m:t>x</m:t>
        </m:r>
      </m:oMath>
      <w:r w:rsidRPr="008457D4">
        <w:t xml:space="preserve"> explains </w:t>
      </w:r>
      <m:oMath>
        <m:r>
          <w:rPr>
            <w:rFonts w:ascii="Cambria Math" w:hAnsi="Cambria Math"/>
          </w:rPr>
          <m:t>y</m:t>
        </m:r>
      </m:oMath>
      <w:r w:rsidRPr="008457D4">
        <w:t xml:space="preserve">, then </w:t>
      </w:r>
      <m:oMath>
        <m:r>
          <w:rPr>
            <w:rFonts w:ascii="Cambria Math" w:hAnsi="Cambria Math"/>
          </w:rPr>
          <m:t>x</m:t>
        </m:r>
      </m:oMath>
      <w:r w:rsidRPr="008457D4">
        <w:t xml:space="preserve"> is a reason for </w:t>
      </w:r>
      <m:oMath>
        <m:r>
          <w:rPr>
            <w:rFonts w:ascii="Cambria Math" w:hAnsi="Cambria Math"/>
          </w:rPr>
          <m:t>y</m:t>
        </m:r>
      </m:oMath>
      <w:r w:rsidRPr="008457D4">
        <w:t>.</w:t>
      </w:r>
    </w:p>
    <w:p w14:paraId="603331EE" w14:textId="60478C82" w:rsidR="001B40E4" w:rsidRDefault="004456DE" w:rsidP="005504C2">
      <w:pPr>
        <w:pStyle w:val="Textkrper"/>
        <w:ind w:firstLine="0"/>
      </w:pPr>
      <w:r w:rsidRPr="00E22E39">
        <w:rPr>
          <w:b/>
          <w:bCs/>
        </w:rPr>
        <w:t>(P7)</w:t>
      </w:r>
      <w:r w:rsidR="008457D4">
        <w:tab/>
      </w:r>
      <w:r w:rsidRPr="008457D4">
        <w:t xml:space="preserve">For no </w:t>
      </w:r>
      <m:oMath>
        <m:r>
          <w:rPr>
            <w:rFonts w:ascii="Cambria Math" w:hAnsi="Cambria Math"/>
          </w:rPr>
          <m:t>x</m:t>
        </m:r>
      </m:oMath>
      <w:r w:rsidRPr="008457D4">
        <w:t xml:space="preserve">: </w:t>
      </w:r>
      <m:oMath>
        <m:r>
          <w:rPr>
            <w:rFonts w:ascii="Cambria Math" w:hAnsi="Cambria Math"/>
          </w:rPr>
          <m:t>x</m:t>
        </m:r>
      </m:oMath>
      <w:r w:rsidRPr="008457D4">
        <w:t xml:space="preserve"> is a reason for </w:t>
      </w:r>
      <m:oMath>
        <m:r>
          <w:rPr>
            <w:rFonts w:ascii="Cambria Math" w:hAnsi="Cambria Math"/>
          </w:rPr>
          <m:t>x</m:t>
        </m:r>
      </m:oMath>
      <w:r w:rsidRPr="008457D4">
        <w:t>.</w:t>
      </w:r>
    </w:p>
    <w:p w14:paraId="13721458" w14:textId="1FA91470" w:rsidR="001B40E4" w:rsidRDefault="004456DE" w:rsidP="005504C2">
      <w:pPr>
        <w:pStyle w:val="Textkrper"/>
        <w:ind w:firstLine="0"/>
      </w:pPr>
      <w:r w:rsidRPr="00E22E39">
        <w:rPr>
          <w:b/>
          <w:bCs/>
        </w:rPr>
        <w:t>(C1)</w:t>
      </w:r>
      <w:r w:rsidR="008457D4">
        <w:tab/>
      </w:r>
      <w:r w:rsidRPr="008457D4">
        <w:t xml:space="preserve">For no </w:t>
      </w:r>
      <m:oMath>
        <m:r>
          <w:rPr>
            <w:rFonts w:ascii="Cambria Math" w:hAnsi="Cambria Math"/>
          </w:rPr>
          <m:t>x</m:t>
        </m:r>
      </m:oMath>
      <w:r w:rsidRPr="008457D4">
        <w:t xml:space="preserve">: </w:t>
      </w:r>
      <m:oMath>
        <m:r>
          <w:rPr>
            <w:rFonts w:ascii="Cambria Math" w:hAnsi="Cambria Math"/>
          </w:rPr>
          <m:t>x</m:t>
        </m:r>
      </m:oMath>
      <w:r w:rsidRPr="008457D4">
        <w:t xml:space="preserve"> explains </w:t>
      </w:r>
      <m:oMath>
        <m:r>
          <w:rPr>
            <w:rFonts w:ascii="Cambria Math" w:hAnsi="Cambria Math"/>
          </w:rPr>
          <m:t>x</m:t>
        </m:r>
      </m:oMath>
      <w:r w:rsidRPr="008457D4">
        <w:t>.</w:t>
      </w:r>
    </w:p>
    <w:p w14:paraId="3481E208" w14:textId="77777777" w:rsidR="008457D4" w:rsidRPr="008457D4" w:rsidRDefault="008457D4" w:rsidP="008457D4">
      <w:pPr>
        <w:pStyle w:val="Definition"/>
      </w:pPr>
    </w:p>
    <w:p w14:paraId="1A832C2B" w14:textId="77777777" w:rsidR="001B40E4" w:rsidRDefault="004456DE">
      <w:pPr>
        <w:pStyle w:val="FirstParagraph"/>
      </w:pPr>
      <w:r>
        <w:t>These arguments are similar in form: The first premise establishes a link between explanation and a further notion, the second premise establishes the asymmetry of that notion, and from this the asymmetry of explanation follows. The arguments are valid, so the proponent of self-explanation has to address the premises.</w:t>
      </w:r>
    </w:p>
    <w:p w14:paraId="354229F0" w14:textId="77777777" w:rsidR="001B40E4" w:rsidRDefault="004456DE">
      <w:pPr>
        <w:pStyle w:val="Textkrper"/>
      </w:pPr>
      <w:r>
        <w:lastRenderedPageBreak/>
        <w:t>The arguments may perhaps be of somewhat limited dialectical value: A staunch defender of self-explanation might rather take them as reductios of one of their premises than be convinced by them. In particular, the premises (P2), (P5) and (P7) that establish the asymmetry of the respective notion related to explanation seem to come quite close to the conclusion that nothing explains itself. Nevertheless, these premises enjoy considerable intuitive appeal and are widely endorsed.</w:t>
      </w:r>
      <w:r>
        <w:rPr>
          <w:rStyle w:val="Funotenzeichen"/>
        </w:rPr>
        <w:footnoteReference w:id="15"/>
      </w:r>
    </w:p>
    <w:p w14:paraId="464FBE7E" w14:textId="77777777" w:rsidR="001B40E4" w:rsidRDefault="004456DE">
      <w:pPr>
        <w:pStyle w:val="Textkrper"/>
      </w:pPr>
      <w:r>
        <w:t>Therefore, I consider denial of either (P2), (P5) and (P7) to be a significant cost that would require serious argument.</w:t>
      </w:r>
      <w:r>
        <w:rPr>
          <w:rStyle w:val="Funotenzeichen"/>
        </w:rPr>
        <w:footnoteReference w:id="16"/>
      </w:r>
      <w:r>
        <w:t xml:space="preserve"> So instead of going this route, I now distinguish a restrictive from an inclusive sense of ‘explains’: While we can maintain premises (P1), (P4) and (P6) given the restrictive sene, these premises are doubtful given the inclusive sense.</w:t>
      </w:r>
    </w:p>
    <w:p w14:paraId="7C4BCD99" w14:textId="0DC63A21" w:rsidR="001B40E4" w:rsidRDefault="004456DE" w:rsidP="009D7FB0">
      <w:pPr>
        <w:pStyle w:val="berschrift1"/>
        <w:numPr>
          <w:ilvl w:val="0"/>
          <w:numId w:val="10"/>
        </w:numPr>
      </w:pPr>
      <w:bookmarkStart w:id="6" w:name="Two_Notions_of_Self-Explanation"/>
      <w:r>
        <w:t>Two notions of (self-)explanation</w:t>
      </w:r>
      <w:bookmarkEnd w:id="6"/>
    </w:p>
    <w:p w14:paraId="031B6105" w14:textId="77777777" w:rsidR="001B40E4" w:rsidRDefault="004456DE">
      <w:pPr>
        <w:pStyle w:val="FirstParagraph"/>
      </w:pPr>
      <w:r>
        <w:t xml:space="preserve">Recall from section </w:t>
      </w:r>
      <w:hyperlink w:anchor="Preliminaries">
        <w:r>
          <w:rPr>
            <w:rStyle w:val="Hyperlink"/>
          </w:rPr>
          <w:t>2</w:t>
        </w:r>
      </w:hyperlink>
      <w:r>
        <w:t xml:space="preserve"> the </w:t>
      </w:r>
      <w:r>
        <w:rPr>
          <w:i/>
        </w:rPr>
        <w:t>inclusive sense</w:t>
      </w:r>
      <w:r>
        <w:t xml:space="preserve"> of ‘explains’ in which not only the reasons (</w:t>
      </w:r>
      <w:proofErr w:type="gramStart"/>
      <w:r>
        <w:t>i.e.</w:t>
      </w:r>
      <w:proofErr w:type="gramEnd"/>
      <w:r>
        <w:t xml:space="preserve"> elements of the base) involved in an explanation (partially) explain</w:t>
      </w:r>
      <w:r>
        <w:rPr>
          <w:vertAlign w:val="subscript"/>
        </w:rPr>
        <w:t>inclusive</w:t>
      </w:r>
      <w:r>
        <w:t xml:space="preserve"> the explanandum, but also the link of an explanation (partially) explains</w:t>
      </w:r>
      <w:r>
        <w:rPr>
          <w:vertAlign w:val="subscript"/>
        </w:rPr>
        <w:t>inclusive</w:t>
      </w:r>
      <w:r>
        <w:t xml:space="preserve"> its explanandum. This sense of ‘explains’ stands in contrast to a more </w:t>
      </w:r>
      <w:r>
        <w:rPr>
          <w:i/>
        </w:rPr>
        <w:t>restrictive sense</w:t>
      </w:r>
      <w:r>
        <w:t xml:space="preserve"> of ‘explains’, which corresponds more closely to because-statements and in which only the elements of the explanatory base (i.e. the reasons why), but not the link of an explanation (partially) explain</w:t>
      </w:r>
      <w:r>
        <w:rPr>
          <w:vertAlign w:val="subscript"/>
        </w:rPr>
        <w:t>restrictive</w:t>
      </w:r>
      <w:r>
        <w:t xml:space="preserve"> its result.</w:t>
      </w:r>
    </w:p>
    <w:p w14:paraId="4C65A8CD" w14:textId="77777777" w:rsidR="001B40E4" w:rsidRDefault="004456DE">
      <w:pPr>
        <w:pStyle w:val="Textkrper"/>
      </w:pPr>
      <w:r>
        <w:t xml:space="preserve">Correspondingly, we can distinguish self-explanation in the inclusive sense from self-explanation in the restrictive sense and then defend one type of self-explanation by arguing that the arguments against self-explanation only apply to the other type of self-explanation. Indeed, it can be argued that the first premise of each argument is false given the </w:t>
      </w:r>
      <w:r>
        <w:rPr>
          <w:i/>
        </w:rPr>
        <w:t>inclusive</w:t>
      </w:r>
      <w:r>
        <w:t xml:space="preserve"> sense of ‘explains’. For example, so understood, (P1) is false because if a proposition that </w:t>
      </w:r>
      <m:oMath>
        <m:r>
          <w:rPr>
            <w:rFonts w:ascii="Cambria Math" w:hAnsi="Cambria Math"/>
          </w:rPr>
          <m:t>P</m:t>
        </m:r>
      </m:oMath>
      <w:r>
        <w:t xml:space="preserve"> explains</w:t>
      </w:r>
      <w:r>
        <w:rPr>
          <w:vertAlign w:val="subscript"/>
        </w:rPr>
        <w:t>inclusive</w:t>
      </w:r>
      <w:r>
        <w:t xml:space="preserve"> a proposition that </w:t>
      </w:r>
      <m:oMath>
        <m:r>
          <w:rPr>
            <w:rFonts w:ascii="Cambria Math" w:hAnsi="Cambria Math"/>
          </w:rPr>
          <m:t>Q</m:t>
        </m:r>
      </m:oMath>
      <w:r>
        <w:t xml:space="preserve">, then it is not in general the case that </w:t>
      </w:r>
      <m:oMath>
        <m:r>
          <w:rPr>
            <w:rFonts w:ascii="Cambria Math" w:hAnsi="Cambria Math"/>
          </w:rPr>
          <m:t>Q</m:t>
        </m:r>
      </m:oMath>
      <w:r>
        <w:t xml:space="preserve"> because </w:t>
      </w:r>
      <m:oMath>
        <m:r>
          <w:rPr>
            <w:rFonts w:ascii="Cambria Math" w:hAnsi="Cambria Math"/>
          </w:rPr>
          <m:t>P</m:t>
        </m:r>
      </m:oMath>
      <w:r>
        <w:t>. The two sentential arguments of a ‘because’-statement correspond to the base and result of an explanation and it is normally not the case that the explanatory link of an explanation is also in the base of the relevant explanation and thereby occurs in the corresponding ‘because’-statement in this capacity. Rather, explanatory links correspond in a different way to ‘because’-statements, for example by being tracked by the latter.</w:t>
      </w:r>
      <w:r>
        <w:rPr>
          <w:rStyle w:val="Funotenzeichen"/>
        </w:rPr>
        <w:footnoteReference w:id="17"/>
      </w:r>
    </w:p>
    <w:p w14:paraId="73098BDA" w14:textId="77777777" w:rsidR="001B40E4" w:rsidRDefault="004456DE">
      <w:pPr>
        <w:pStyle w:val="Textkrper"/>
      </w:pPr>
      <w:r>
        <w:t xml:space="preserve">Analogous considerations arise for (P4) and (P6) of the other arguments: If </w:t>
      </w:r>
      <m:oMath>
        <m:r>
          <w:rPr>
            <w:rFonts w:ascii="Cambria Math" w:hAnsi="Cambria Math"/>
          </w:rPr>
          <m:t>x</m:t>
        </m:r>
      </m:oMath>
      <w:r>
        <w:t xml:space="preserve"> explains</w:t>
      </w:r>
      <w:r>
        <w:rPr>
          <w:vertAlign w:val="subscript"/>
        </w:rPr>
        <w:t>ínclusive</w:t>
      </w:r>
      <w:r>
        <w:t xml:space="preserve"> </w:t>
      </w:r>
      <m:oMath>
        <m:r>
          <w:rPr>
            <w:rFonts w:ascii="Cambria Math" w:hAnsi="Cambria Math"/>
          </w:rPr>
          <m:t>y</m:t>
        </m:r>
      </m:oMath>
      <w:r>
        <w:t xml:space="preserve">, then it is not in general the case that </w:t>
      </w:r>
      <m:oMath>
        <m:r>
          <w:rPr>
            <w:rFonts w:ascii="Cambria Math" w:hAnsi="Cambria Math"/>
          </w:rPr>
          <m:t>y</m:t>
        </m:r>
      </m:oMath>
      <w:r>
        <w:t xml:space="preserve"> suitably depends on </w:t>
      </w:r>
      <m:oMath>
        <m:r>
          <w:rPr>
            <w:rFonts w:ascii="Cambria Math" w:hAnsi="Cambria Math"/>
          </w:rPr>
          <m:t>x</m:t>
        </m:r>
      </m:oMath>
      <w:r>
        <w:t xml:space="preserve">: For example, the explanandum of a causal </w:t>
      </w:r>
      <w:r>
        <w:lastRenderedPageBreak/>
        <w:t>explanation does not causally depend on the causal connection or law of nature connecting it and its cause. Likewise, the grounding connection between a ground and a groundee does not ordinarily also ground the groundee.</w:t>
      </w:r>
      <w:r>
        <w:rPr>
          <w:rStyle w:val="Funotenzeichen"/>
        </w:rPr>
        <w:footnoteReference w:id="18"/>
      </w:r>
      <w:r>
        <w:t xml:space="preserve"> Explanatory links involve the explanatory priority relation between an explanation’s sources and its result, but in general do not themselves stand in such a relation to the result. Similarly, (P6) is false because if </w:t>
      </w:r>
      <m:oMath>
        <m:r>
          <w:rPr>
            <w:rFonts w:ascii="Cambria Math" w:hAnsi="Cambria Math"/>
          </w:rPr>
          <m:t>x</m:t>
        </m:r>
      </m:oMath>
      <w:r>
        <w:t xml:space="preserve"> explains</w:t>
      </w:r>
      <w:r>
        <w:rPr>
          <w:vertAlign w:val="subscript"/>
        </w:rPr>
        <w:t>ínclusive</w:t>
      </w:r>
      <w:r>
        <w:t xml:space="preserve"> </w:t>
      </w:r>
      <m:oMath>
        <m:r>
          <w:rPr>
            <w:rFonts w:ascii="Cambria Math" w:hAnsi="Cambria Math"/>
          </w:rPr>
          <m:t>y</m:t>
        </m:r>
      </m:oMath>
      <w:r>
        <w:t xml:space="preserve"> (viz. by being the link of an explanation of </w:t>
      </w:r>
      <m:oMath>
        <m:r>
          <w:rPr>
            <w:rFonts w:ascii="Cambria Math" w:hAnsi="Cambria Math"/>
          </w:rPr>
          <m:t>y</m:t>
        </m:r>
      </m:oMath>
      <w:r>
        <w:t xml:space="preserve">), then it is not in general the case that </w:t>
      </w:r>
      <m:oMath>
        <m:r>
          <w:rPr>
            <w:rFonts w:ascii="Cambria Math" w:hAnsi="Cambria Math"/>
          </w:rPr>
          <m:t>x</m:t>
        </m:r>
      </m:oMath>
      <w:r>
        <w:t xml:space="preserve"> is a reason for </w:t>
      </w:r>
      <m:oMath>
        <m:r>
          <w:rPr>
            <w:rFonts w:ascii="Cambria Math" w:hAnsi="Cambria Math"/>
          </w:rPr>
          <m:t>y</m:t>
        </m:r>
      </m:oMath>
      <w:r>
        <w:t>. The base of an explanation consists of reasons for the explanation’s result, but links normally do not play this role; instead links connect the reasons that constitute the explanation’s base with its result.</w:t>
      </w:r>
      <w:r>
        <w:rPr>
          <w:rStyle w:val="Funotenzeichen"/>
        </w:rPr>
        <w:footnoteReference w:id="19"/>
      </w:r>
    </w:p>
    <w:p w14:paraId="504710B2" w14:textId="77777777" w:rsidR="001B40E4" w:rsidRDefault="004456DE">
      <w:pPr>
        <w:pStyle w:val="Textkrper"/>
      </w:pPr>
      <w:r>
        <w:t>There is a more general lesson here: ‘explains</w:t>
      </w:r>
      <w:r>
        <w:rPr>
          <w:vertAlign w:val="subscript"/>
        </w:rPr>
        <w:t>inclusive</w:t>
      </w:r>
      <w:r>
        <w:t>’ does not necessarily share the structural features of ‘explains</w:t>
      </w:r>
      <w:r>
        <w:rPr>
          <w:vertAlign w:val="subscript"/>
        </w:rPr>
        <w:t>restrictive</w:t>
      </w:r>
      <w:r>
        <w:t xml:space="preserve">’. On the tripartite view of explanation and ‘because’ from section </w:t>
      </w:r>
      <w:hyperlink w:anchor="Preliminaries">
        <w:r>
          <w:rPr>
            <w:rStyle w:val="Hyperlink"/>
          </w:rPr>
          <w:t>2</w:t>
        </w:r>
      </w:hyperlink>
      <w:r>
        <w:t>, structural features often ascribed to explanation (e.g. asymmetry and transitivity) are captured by ascribing corresponding structural features to the link-component. Additional analogous constraints on, e.g., the relation between explanatory links and results are unmotivated on this view: According to it, what the relevant structural features of explanation come down to are the structural features of explanatory links. But normally, no additional explanatory links hold between the link and result of an explanation, so there appears to be no reason to assume corresponding structural features to govern the relation between link and result. In fact, stipulating corresponding constraints in addition to the structural features of the links would result in disjoint account.</w:t>
      </w:r>
      <w:r>
        <w:rPr>
          <w:rStyle w:val="Funotenzeichen"/>
        </w:rPr>
        <w:footnoteReference w:id="20"/>
      </w:r>
    </w:p>
    <w:p w14:paraId="51586916" w14:textId="77777777" w:rsidR="001B40E4" w:rsidRDefault="004456DE">
      <w:pPr>
        <w:pStyle w:val="Textkrper"/>
      </w:pPr>
      <w:r>
        <w:t>These considerations allow us to maintain that self-explanation</w:t>
      </w:r>
      <w:r>
        <w:rPr>
          <w:vertAlign w:val="subscript"/>
        </w:rPr>
        <w:t>restrictive</w:t>
      </w:r>
      <w:r>
        <w:t xml:space="preserve"> falls prey to versions of the three arguments in which each occurrence of ‘explains’ is understood in the restrictive sense while maintaining the intelligibility of self-explanation</w:t>
      </w:r>
      <w:r>
        <w:rPr>
          <w:vertAlign w:val="subscript"/>
        </w:rPr>
        <w:t>inclusive</w:t>
      </w:r>
      <w:r>
        <w:t>. In what follows, we will accordingly look at candidates for self-explanation</w:t>
      </w:r>
      <w:r>
        <w:rPr>
          <w:vertAlign w:val="subscript"/>
        </w:rPr>
        <w:t>inclusive</w:t>
      </w:r>
      <w:r>
        <w:t xml:space="preserve"> that are not candidates for self-explanation</w:t>
      </w:r>
      <w:r>
        <w:rPr>
          <w:vertAlign w:val="subscript"/>
        </w:rPr>
        <w:t>restrictive</w:t>
      </w:r>
      <w:r>
        <w:t>.</w:t>
      </w:r>
    </w:p>
    <w:p w14:paraId="0DC9E261" w14:textId="6568FEEB" w:rsidR="00B83222" w:rsidRPr="00B83222" w:rsidRDefault="004456DE" w:rsidP="009D7FB0">
      <w:pPr>
        <w:pStyle w:val="berschrift1"/>
        <w:numPr>
          <w:ilvl w:val="0"/>
          <w:numId w:val="10"/>
        </w:numPr>
      </w:pPr>
      <w:bookmarkStart w:id="7" w:name="Law-Humeanism"/>
      <w:r>
        <w:t>On a circularity problem for Humeanism about laws of nature</w:t>
      </w:r>
      <w:bookmarkEnd w:id="7"/>
    </w:p>
    <w:p w14:paraId="4F834A0B" w14:textId="77777777" w:rsidR="001B40E4" w:rsidRDefault="004456DE">
      <w:pPr>
        <w:pStyle w:val="FirstParagraph"/>
      </w:pPr>
      <w:r>
        <w:t>According Humeanism about laws of nature (as I will understand the here), laws of nature are universal generalizations (or at least partially grounded in such). This idea is confronted with the following circularity problem that the distinction from the previous section can help solve:</w:t>
      </w:r>
    </w:p>
    <w:p w14:paraId="36FF7F67" w14:textId="1F2909B3" w:rsidR="00B83222" w:rsidRDefault="004456DE" w:rsidP="00B83222">
      <w:pPr>
        <w:pStyle w:val="Textkrper"/>
      </w:pPr>
      <w:r>
        <w:lastRenderedPageBreak/>
        <w:t>Consider an explanation of [</w:t>
      </w:r>
      <m:oMath>
        <m:r>
          <w:rPr>
            <w:rFonts w:ascii="Cambria Math" w:hAnsi="Cambria Math"/>
          </w:rPr>
          <m:t>Ga</m:t>
        </m:r>
      </m:oMath>
      <w:r>
        <w:t>] whose explanatory link is identical to or grounded in the universal generalization [</w:t>
      </w:r>
      <m:oMath>
        <m:r>
          <w:rPr>
            <w:rFonts w:ascii="Cambria Math" w:hAnsi="Cambria Math"/>
          </w:rPr>
          <m:t>∀x(Fx→Gx)</m:t>
        </m:r>
      </m:oMath>
      <w:r>
        <w:t>], and whose explanatory base contains [</w:t>
      </w:r>
      <m:oMath>
        <m:r>
          <w:rPr>
            <w:rFonts w:ascii="Cambria Math" w:hAnsi="Cambria Math"/>
          </w:rPr>
          <m:t>Fa</m:t>
        </m:r>
      </m:oMath>
      <w:r>
        <w:t>].</w:t>
      </w:r>
      <w:r>
        <w:rPr>
          <w:rStyle w:val="Funotenzeichen"/>
        </w:rPr>
        <w:footnoteReference w:id="21"/>
      </w:r>
      <w:r>
        <w:t xml:space="preserve"> Together, the link and the base explain the result, so in particular:</w:t>
      </w:r>
    </w:p>
    <w:p w14:paraId="0465E37C" w14:textId="77777777" w:rsidR="005504C2" w:rsidRDefault="005504C2" w:rsidP="00B83222">
      <w:pPr>
        <w:pStyle w:val="Textkrper"/>
      </w:pPr>
    </w:p>
    <w:p w14:paraId="2CB16C69" w14:textId="2ED925BD" w:rsidR="00B83222" w:rsidRPr="005504C2" w:rsidRDefault="005504C2" w:rsidP="005504C2">
      <w:pPr>
        <w:pStyle w:val="Textkrper"/>
        <w:ind w:firstLine="0"/>
      </w:pPr>
      <w:r w:rsidRPr="005504C2">
        <w:rPr>
          <w:b/>
          <w:bCs/>
        </w:rPr>
        <w:t>(1)</w:t>
      </w:r>
      <w:r>
        <w:tab/>
      </w:r>
      <w:r w:rsidR="004456DE" w:rsidRPr="005504C2">
        <w:t>[</w:t>
      </w:r>
      <m:oMath>
        <m:r>
          <w:rPr>
            <w:rFonts w:ascii="Cambria Math" w:hAnsi="Cambria Math"/>
          </w:rPr>
          <m:t>∀x(Fx→Gx)</m:t>
        </m:r>
      </m:oMath>
      <w:r w:rsidR="004456DE" w:rsidRPr="005504C2">
        <w:t>] partially explains [</w:t>
      </w:r>
      <m:oMath>
        <m:r>
          <w:rPr>
            <w:rFonts w:ascii="Cambria Math" w:hAnsi="Cambria Math"/>
          </w:rPr>
          <m:t>Ga</m:t>
        </m:r>
      </m:oMath>
      <w:r w:rsidR="004456DE" w:rsidRPr="005504C2">
        <w:t>].</w:t>
      </w:r>
    </w:p>
    <w:p w14:paraId="420D9C11" w14:textId="77777777" w:rsidR="005504C2" w:rsidRPr="00B83222" w:rsidRDefault="005504C2" w:rsidP="005504C2">
      <w:pPr>
        <w:pStyle w:val="Textkrper"/>
        <w:ind w:left="644" w:firstLine="0"/>
      </w:pPr>
    </w:p>
    <w:p w14:paraId="2EBC0D6A" w14:textId="77777777" w:rsidR="005504C2" w:rsidRDefault="004456DE" w:rsidP="005504C2">
      <w:pPr>
        <w:pStyle w:val="FirstParagraph"/>
      </w:pPr>
      <w:r>
        <w:t>But it is a widely accepted grounding principle about (true) universal generalizations that they are (partially) grounded in their instances, so [</w:t>
      </w:r>
      <m:oMath>
        <m:r>
          <w:rPr>
            <w:rFonts w:ascii="Cambria Math" w:hAnsi="Cambria Math"/>
          </w:rPr>
          <m:t>Fa→Ga</m:t>
        </m:r>
      </m:oMath>
      <w:r>
        <w:t>] partially explains [</w:t>
      </w:r>
      <m:oMath>
        <m:r>
          <w:rPr>
            <w:rFonts w:ascii="Cambria Math" w:hAnsi="Cambria Math"/>
          </w:rPr>
          <m:t>∀x(Fx→Gx)</m:t>
        </m:r>
      </m:oMath>
      <w:r>
        <w:t>]. Equally, it is widely accepted that if a material conditional has a true consequent, the former is grounded in the latter. So [</w:t>
      </w:r>
      <m:oMath>
        <m:r>
          <w:rPr>
            <w:rFonts w:ascii="Cambria Math" w:hAnsi="Cambria Math"/>
          </w:rPr>
          <m:t>Ga</m:t>
        </m:r>
      </m:oMath>
      <w:r>
        <w:t>] explains [</w:t>
      </w:r>
      <m:oMath>
        <m:r>
          <w:rPr>
            <w:rFonts w:ascii="Cambria Math" w:hAnsi="Cambria Math"/>
          </w:rPr>
          <m:t>Fa→Ga</m:t>
        </m:r>
      </m:oMath>
      <w:r>
        <w:t>], and an application of transitivity for grounding yields:</w:t>
      </w:r>
    </w:p>
    <w:p w14:paraId="6F7B8DFD" w14:textId="77777777" w:rsidR="005504C2" w:rsidRDefault="005504C2" w:rsidP="005504C2">
      <w:pPr>
        <w:pStyle w:val="FirstParagraph"/>
      </w:pPr>
    </w:p>
    <w:p w14:paraId="6EB9F19D" w14:textId="7F5B5FEA" w:rsidR="001B40E4" w:rsidRPr="005504C2" w:rsidRDefault="004456DE" w:rsidP="005504C2">
      <w:pPr>
        <w:pStyle w:val="FirstParagraph"/>
      </w:pPr>
      <w:r w:rsidRPr="005504C2">
        <w:rPr>
          <w:b/>
          <w:bCs/>
        </w:rPr>
        <w:t>(2)</w:t>
      </w:r>
      <w:r w:rsidR="008457D4">
        <w:tab/>
      </w:r>
      <w:r w:rsidRPr="005504C2">
        <w:t>[</w:t>
      </w:r>
      <m:oMath>
        <m:r>
          <w:rPr>
            <w:rFonts w:ascii="Cambria Math" w:hAnsi="Cambria Math"/>
          </w:rPr>
          <m:t>Ga</m:t>
        </m:r>
      </m:oMath>
      <w:r w:rsidRPr="005504C2">
        <w:t>] partially explains [</w:t>
      </w:r>
      <m:oMath>
        <m:r>
          <w:rPr>
            <w:rFonts w:ascii="Cambria Math" w:hAnsi="Cambria Math"/>
          </w:rPr>
          <m:t>∀x(Fx→Gx)</m:t>
        </m:r>
      </m:oMath>
      <w:r w:rsidRPr="005504C2">
        <w:t>].</w:t>
      </w:r>
      <w:r w:rsidRPr="005504C2">
        <w:rPr>
          <w:rStyle w:val="Funotenzeichen"/>
        </w:rPr>
        <w:footnoteReference w:id="22"/>
      </w:r>
    </w:p>
    <w:p w14:paraId="65C565D7" w14:textId="77777777" w:rsidR="00B83222" w:rsidRPr="00B83222" w:rsidRDefault="00B83222" w:rsidP="00B83222">
      <w:pPr>
        <w:pStyle w:val="Definition"/>
      </w:pPr>
    </w:p>
    <w:p w14:paraId="6E7716EF" w14:textId="77777777" w:rsidR="001B40E4" w:rsidRDefault="004456DE">
      <w:pPr>
        <w:pStyle w:val="FirstParagraph"/>
      </w:pPr>
      <w:r>
        <w:t>But (1) and (2) constitute an instance of symmetric (partial) explanation and an application of transitivity would even yield an instance of (partial) self-explanation.</w:t>
      </w:r>
      <w:r>
        <w:rPr>
          <w:rStyle w:val="Funotenzeichen"/>
        </w:rPr>
        <w:footnoteReference w:id="23"/>
      </w:r>
    </w:p>
    <w:p w14:paraId="69B7B540" w14:textId="77777777" w:rsidR="001B40E4" w:rsidRDefault="004456DE">
      <w:pPr>
        <w:pStyle w:val="Textkrper"/>
      </w:pPr>
      <w:r>
        <w:t>Several solutions to this problem have been discussed in the literature, the observations from the previous section afford a particularly straightforward solution: The derivation of a symmetric instance of ‘explains’ can only succeed given the inclusive sense of ‘explains’: (1) is true only in this sense. But as we have seen, there is reason to believe that structural features of explanation such as asymmetry only apply to the restrictive (‘because’-corresponding) sense of ‘explains’, so the problem is avoided.</w:t>
      </w:r>
      <w:r>
        <w:rPr>
          <w:rStyle w:val="Funotenzeichen"/>
        </w:rPr>
        <w:footnoteReference w:id="24"/>
      </w:r>
    </w:p>
    <w:p w14:paraId="47B13DC7" w14:textId="09C55A8A" w:rsidR="001B40E4" w:rsidRDefault="004456DE" w:rsidP="009D7FB0">
      <w:pPr>
        <w:pStyle w:val="berschrift1"/>
        <w:numPr>
          <w:ilvl w:val="0"/>
          <w:numId w:val="10"/>
        </w:numPr>
      </w:pPr>
      <w:bookmarkStart w:id="8" w:name="Empty-Base_Explanation"/>
      <w:r>
        <w:t>Empty-Base Explanation</w:t>
      </w:r>
      <w:bookmarkEnd w:id="8"/>
    </w:p>
    <w:p w14:paraId="759BD9D9" w14:textId="77777777" w:rsidR="001B40E4" w:rsidRDefault="004456DE">
      <w:pPr>
        <w:pStyle w:val="FirstParagraph"/>
      </w:pPr>
      <w:r>
        <w:t>While the distinction between ‘explains</w:t>
      </w:r>
      <w:r>
        <w:rPr>
          <w:vertAlign w:val="subscript"/>
        </w:rPr>
        <w:t>inclusive</w:t>
      </w:r>
      <w:r>
        <w:t>’ and ‘explains</w:t>
      </w:r>
      <w:r>
        <w:rPr>
          <w:vertAlign w:val="subscript"/>
        </w:rPr>
        <w:t>restrictive</w:t>
      </w:r>
      <w:r>
        <w:t>’ has proven to be useful and given Humeanism about laws of nature, the latter could, in a sense, be taken to be (partially) self-explanatory, let us now investigate whether there could be propositions that are fully self-explanatory</w:t>
      </w:r>
      <w:r>
        <w:rPr>
          <w:vertAlign w:val="subscript"/>
        </w:rPr>
        <w:t>inclusive</w:t>
      </w:r>
      <w:r>
        <w:t xml:space="preserve"> but not self-explanatory</w:t>
      </w:r>
      <w:r>
        <w:rPr>
          <w:vertAlign w:val="subscript"/>
        </w:rPr>
        <w:t>restrictive</w:t>
      </w:r>
      <w:r>
        <w:t>.</w:t>
      </w:r>
    </w:p>
    <w:p w14:paraId="770162DF" w14:textId="77777777" w:rsidR="001B40E4" w:rsidRDefault="004456DE">
      <w:pPr>
        <w:pStyle w:val="Textkrper"/>
      </w:pPr>
      <w:r>
        <w:t xml:space="preserve">For this, we need the notion of an </w:t>
      </w:r>
      <w:r>
        <w:rPr>
          <w:i/>
        </w:rPr>
        <w:t>empty-base explanation</w:t>
      </w:r>
      <w:r>
        <w:t xml:space="preserve">: In ordinary explanations, the reasons contained in the explanatory base and the link work together to explain the result, but there are possible </w:t>
      </w:r>
      <w:r>
        <w:lastRenderedPageBreak/>
        <w:t>explanations with an empty base, in which the link does the explaining on its own. I call explanations of this kind ‘empty-base explanations’. As for because-statements that correspond to empty-base explanations, I use ‘</w:t>
      </w:r>
      <m:oMath>
        <m:r>
          <w:rPr>
            <w:rFonts w:ascii="Cambria Math" w:hAnsi="Cambria Math"/>
          </w:rPr>
          <m:t>∅</m:t>
        </m:r>
      </m:oMath>
      <w:r>
        <w:t xml:space="preserve">’ to stand for the empty set of reasons (i.e. the empty base of the corresponding explanation), which gives us ‘... because </w:t>
      </w:r>
      <m:oMath>
        <m:r>
          <w:rPr>
            <w:rFonts w:ascii="Cambria Math" w:hAnsi="Cambria Math"/>
          </w:rPr>
          <m:t>∅</m:t>
        </m:r>
      </m:oMath>
      <w:r>
        <w:t>’. Somewhat tongue-in-cheek, we could alternatively adapt the natural language expression ‘just because’, giving us ‘... just because’.</w:t>
      </w:r>
    </w:p>
    <w:p w14:paraId="0B3B0DC2" w14:textId="77777777" w:rsidR="001B40E4" w:rsidRDefault="004456DE">
      <w:pPr>
        <w:pStyle w:val="Textkrper"/>
      </w:pPr>
      <w:r>
        <w:t xml:space="preserve">This idea of an an explanation why without reasons why (e.g. without causes or grounds) to do the explanatory work may appear a little strange – clearly, some work has to be done to argue that empty-base explanation is possible. I have done this in Kappes (2020b) and Kappes (2020a), here I provide a brief version of that argument. The possibility of empty-base can be supported by considerations concerning explanation by </w:t>
      </w:r>
      <w:r>
        <w:rPr>
          <w:i/>
        </w:rPr>
        <w:t>zero-grounding</w:t>
      </w:r>
      <w:r>
        <w:t xml:space="preserve">, a limiting case of the notion of grounding, and explanations by </w:t>
      </w:r>
      <w:r>
        <w:rPr>
          <w:i/>
        </w:rPr>
        <w:t>status</w:t>
      </w:r>
      <w:r>
        <w:t>, i.e. explanations that explain by pointing out a certain special status of their explanandum, like its being a law of metaphysics or an essential truth.</w:t>
      </w:r>
    </w:p>
    <w:p w14:paraId="4AB48F66" w14:textId="732F27E9" w:rsidR="000F085B" w:rsidRDefault="004456DE" w:rsidP="000F085B">
      <w:pPr>
        <w:pStyle w:val="Textkrper"/>
      </w:pPr>
      <w:r>
        <w:t xml:space="preserve">First, </w:t>
      </w:r>
      <w:r>
        <w:rPr>
          <w:i/>
        </w:rPr>
        <w:t>zero-grounding</w:t>
      </w:r>
      <w:r>
        <w:t xml:space="preserve">: Normally, metaphysical grounding is taken to be a relation (or at least something approximately like a relation) between a plurality of propositions or facts, the </w:t>
      </w:r>
      <w:r>
        <w:rPr>
          <w:i/>
        </w:rPr>
        <w:t>grounds</w:t>
      </w:r>
      <w:r>
        <w:t xml:space="preserve">, and a single proposition or fact, the </w:t>
      </w:r>
      <w:r>
        <w:rPr>
          <w:i/>
        </w:rPr>
        <w:t>grounded</w:t>
      </w:r>
      <w:r>
        <w:t xml:space="preserve"> proposition/fact or </w:t>
      </w:r>
      <w:r>
        <w:rPr>
          <w:i/>
        </w:rPr>
        <w:t>groundee</w:t>
      </w:r>
      <w:r>
        <w:t>. Zero-grounding is a limiting case of grounding in which the set of grounds is empty. A zero-grounded proposition or fact is grounded and not ungrounded, but it does not require any propositions or facts to ground it – it is grounded in zero propositions/facts. More precisely, if we assume grounding statements to have the form ‘</w:t>
      </w:r>
      <m:oMath>
        <m:r>
          <w:rPr>
            <w:rFonts w:ascii="Cambria Math" w:hAnsi="Cambria Math"/>
          </w:rPr>
          <m:t>Γ&lt;P</m:t>
        </m:r>
      </m:oMath>
      <w:r>
        <w:t>’, then since in the case of zero-grounding statements, the ‘</w:t>
      </w:r>
      <m:oMath>
        <m:r>
          <w:rPr>
            <w:rFonts w:ascii="Cambria Math" w:hAnsi="Cambria Math"/>
          </w:rPr>
          <m:t>Γ</m:t>
        </m:r>
      </m:oMath>
      <w:r>
        <w:t>’ stands for an empty plurality of grounds, statements of zero-grounding have the form ‘</w:t>
      </w:r>
      <m:oMath>
        <m:r>
          <w:rPr>
            <w:rFonts w:ascii="Cambria Math" w:hAnsi="Cambria Math"/>
          </w:rPr>
          <m:t>&lt;P</m:t>
        </m:r>
      </m:oMath>
      <w:r w:rsidR="000F085B">
        <w:t>’</w:t>
      </w:r>
      <w:r>
        <w:t>.</w:t>
      </w:r>
      <w:r>
        <w:rPr>
          <w:rStyle w:val="Funotenzeichen"/>
        </w:rPr>
        <w:footnoteReference w:id="25"/>
      </w:r>
      <w:r>
        <w:t xml:space="preserve"> Assuming that instances of grounding give rise to corresponding grounding explanations, we should assume that instances of zero-grounding correspond to empty-base explanations of this form:</w:t>
      </w:r>
    </w:p>
    <w:p w14:paraId="731B164B" w14:textId="77777777" w:rsidR="00B83222" w:rsidRDefault="00B83222" w:rsidP="000F085B">
      <w:pPr>
        <w:pStyle w:val="Textkrper"/>
      </w:pPr>
    </w:p>
    <w:p w14:paraId="5ECCA156" w14:textId="18361A0A" w:rsidR="000F085B" w:rsidRDefault="004456DE" w:rsidP="005504C2">
      <w:pPr>
        <w:pStyle w:val="Textkrper"/>
        <w:ind w:firstLine="0"/>
        <w:rPr>
          <w:b/>
          <w:bCs/>
        </w:rPr>
      </w:pPr>
      <w:r w:rsidRPr="000F085B">
        <w:rPr>
          <w:b/>
          <w:bCs/>
        </w:rPr>
        <w:t>Base:</w:t>
      </w:r>
      <w:r w:rsidR="000F085B" w:rsidRPr="000F085B">
        <w:rPr>
          <w:b/>
          <w:bCs/>
        </w:rPr>
        <w:tab/>
      </w:r>
      <w:r w:rsidRPr="001F5866">
        <w:t>/</w:t>
      </w:r>
    </w:p>
    <w:p w14:paraId="7AD81BA5" w14:textId="6EB45BE4" w:rsidR="000F085B" w:rsidRPr="000F085B" w:rsidRDefault="004456DE" w:rsidP="005504C2">
      <w:pPr>
        <w:pStyle w:val="Textkrper"/>
        <w:ind w:firstLine="0"/>
        <w:rPr>
          <w:rFonts w:asciiTheme="minorHAnsi" w:eastAsiaTheme="minorEastAsia" w:hAnsiTheme="minorHAnsi"/>
          <w:b/>
          <w:bCs/>
        </w:rPr>
      </w:pPr>
      <w:r w:rsidRPr="000F085B">
        <w:rPr>
          <w:b/>
          <w:bCs/>
        </w:rPr>
        <w:t>Link:</w:t>
      </w:r>
      <w:r w:rsidR="000F085B">
        <w:tab/>
      </w:r>
      <m:oMath>
        <m:r>
          <w:rPr>
            <w:rFonts w:ascii="Cambria Math" w:hAnsi="Cambria Math"/>
          </w:rPr>
          <m:t>&lt;Q</m:t>
        </m:r>
      </m:oMath>
    </w:p>
    <w:p w14:paraId="2B8308F6" w14:textId="220AB87C" w:rsidR="001B40E4" w:rsidRDefault="004456DE" w:rsidP="005504C2">
      <w:pPr>
        <w:pStyle w:val="Textkrper"/>
        <w:ind w:firstLine="0"/>
        <w:rPr>
          <w:rFonts w:eastAsiaTheme="minorEastAsia"/>
        </w:rPr>
      </w:pPr>
      <w:r w:rsidRPr="000F085B">
        <w:rPr>
          <w:b/>
          <w:bCs/>
        </w:rPr>
        <w:t>Result:</w:t>
      </w:r>
      <w:r w:rsidR="000F085B">
        <w:t xml:space="preserve"> </w:t>
      </w:r>
      <m:oMath>
        <m:r>
          <w:rPr>
            <w:rFonts w:ascii="Cambria Math" w:hAnsi="Cambria Math"/>
          </w:rPr>
          <m:t>Q</m:t>
        </m:r>
      </m:oMath>
    </w:p>
    <w:p w14:paraId="54CA448B" w14:textId="77777777" w:rsidR="00B83222" w:rsidRPr="000F085B" w:rsidRDefault="00B83222" w:rsidP="000F085B">
      <w:pPr>
        <w:pStyle w:val="Textkrper"/>
        <w:rPr>
          <w:rFonts w:asciiTheme="minorHAnsi" w:eastAsiaTheme="minorEastAsia" w:hAnsiTheme="minorHAnsi"/>
        </w:rPr>
      </w:pPr>
    </w:p>
    <w:p w14:paraId="5CFB802F" w14:textId="76039192" w:rsidR="001B40E4" w:rsidRDefault="004456DE">
      <w:pPr>
        <w:pStyle w:val="FirstParagraph"/>
      </w:pPr>
      <w:r>
        <w:t>The notion of zero-ground has been introduced by Fine (2012</w:t>
      </w:r>
      <w:r w:rsidR="000F085B">
        <w:t>:</w:t>
      </w:r>
      <w:r>
        <w:t xml:space="preserve"> 47f.), who argues for instances of zero-grounding by applying principles of the logic of ground to certain edge cases.</w:t>
      </w:r>
      <w:r>
        <w:rPr>
          <w:rStyle w:val="Funotenzeichen"/>
        </w:rPr>
        <w:footnoteReference w:id="26"/>
      </w:r>
      <w:r>
        <w:t xml:space="preserve"> A prominent application of the notion is </w:t>
      </w:r>
      <w:proofErr w:type="spellStart"/>
      <w:r>
        <w:t>Litland’s</w:t>
      </w:r>
      <w:proofErr w:type="spellEnd"/>
      <w:r>
        <w:t xml:space="preserve"> (2017) account of the grounds of ground, according to which certain grounding claims are zero-grounded. Notably, Litland motivates the idea of empty-base explanations via the notion </w:t>
      </w:r>
      <w:r>
        <w:lastRenderedPageBreak/>
        <w:t>of explanatory arguments, by first arguing for certain conditions under which arguments are explanatory, and then arguing that certain arguments with zero premises satisfy these conditions.</w:t>
      </w:r>
      <w:r>
        <w:rPr>
          <w:rStyle w:val="Funotenzeichen"/>
        </w:rPr>
        <w:footnoteReference w:id="27"/>
      </w:r>
    </w:p>
    <w:p w14:paraId="3E7A7630" w14:textId="10CC6306" w:rsidR="000F085B" w:rsidRDefault="004456DE" w:rsidP="000F085B">
      <w:pPr>
        <w:pStyle w:val="Textkrper"/>
      </w:pPr>
      <w:r>
        <w:t xml:space="preserve">Now, </w:t>
      </w:r>
      <w:r>
        <w:rPr>
          <w:i/>
        </w:rPr>
        <w:t>explanation by status</w:t>
      </w:r>
      <w:r>
        <w:t>: In Kappes (2020a) I argue that explanations by status should be understood as empty-base explanation in which the status expressing proposition plays the role of an explanatory link (rather than ground) that can explain the corresponding explanandum on its own, without requiring help from anything in the explanatory base.</w:t>
      </w:r>
      <w:r>
        <w:rPr>
          <w:rStyle w:val="Funotenzeichen"/>
        </w:rPr>
        <w:footnoteReference w:id="28"/>
      </w:r>
      <w:r>
        <w:t xml:space="preserve"> To get a grasp of the idea, consider the proposal that metaphysical laws or certain essential truths can play the role of explanatory link.</w:t>
      </w:r>
      <w:r>
        <w:rPr>
          <w:rStyle w:val="Funotenzeichen"/>
        </w:rPr>
        <w:footnoteReference w:id="29"/>
      </w:r>
      <w:r>
        <w:t xml:space="preserve"> Given this thought, there are explanations that have the following form (let ‘</w:t>
      </w:r>
      <m:oMath>
        <m:r>
          <w:rPr>
            <w:rFonts w:ascii="Cambria Math" w:hAnsi="Cambria Math"/>
          </w:rPr>
          <m:t>◼</m:t>
        </m:r>
      </m:oMath>
      <w:r>
        <w:t>’ stand for the metaphysical law or essence operator (we supress the index of the latter) and let ‘</w:t>
      </w:r>
      <m:oMath>
        <m:r>
          <w:rPr>
            <w:rFonts w:ascii="Cambria Math" w:hAnsi="Cambria Math"/>
          </w:rPr>
          <m:t>→</m:t>
        </m:r>
      </m:oMath>
      <w:r>
        <w:t>’ express a suitable conditional):</w:t>
      </w:r>
    </w:p>
    <w:p w14:paraId="0BFF9874" w14:textId="77777777" w:rsidR="00B83222" w:rsidRDefault="00B83222" w:rsidP="000F085B">
      <w:pPr>
        <w:pStyle w:val="Textkrper"/>
      </w:pPr>
    </w:p>
    <w:p w14:paraId="3A3B5D51" w14:textId="470E75DC" w:rsidR="000F085B" w:rsidRPr="000F085B" w:rsidRDefault="004456DE" w:rsidP="005504C2">
      <w:pPr>
        <w:pStyle w:val="Textkrper"/>
        <w:ind w:firstLine="0"/>
        <w:rPr>
          <w:rFonts w:asciiTheme="minorHAnsi" w:eastAsiaTheme="minorEastAsia" w:hAnsiTheme="minorHAnsi"/>
          <w:b/>
          <w:bCs/>
        </w:rPr>
      </w:pPr>
      <w:r w:rsidRPr="000F085B">
        <w:rPr>
          <w:b/>
          <w:bCs/>
        </w:rPr>
        <w:t>Base:</w:t>
      </w:r>
      <w:r w:rsidR="000F085B">
        <w:tab/>
      </w:r>
      <m:oMath>
        <m:r>
          <w:rPr>
            <w:rFonts w:ascii="Cambria Math" w:hAnsi="Cambria Math"/>
          </w:rPr>
          <m:t>P</m:t>
        </m:r>
      </m:oMath>
    </w:p>
    <w:p w14:paraId="570E205A" w14:textId="0808721D" w:rsidR="000F085B" w:rsidRPr="000F085B" w:rsidRDefault="004456DE" w:rsidP="005504C2">
      <w:pPr>
        <w:pStyle w:val="Textkrper"/>
        <w:ind w:firstLine="0"/>
        <w:rPr>
          <w:rFonts w:asciiTheme="minorHAnsi" w:eastAsiaTheme="minorEastAsia" w:hAnsiTheme="minorHAnsi"/>
          <w:b/>
          <w:bCs/>
        </w:rPr>
      </w:pPr>
      <w:r w:rsidRPr="000F085B">
        <w:rPr>
          <w:b/>
          <w:bCs/>
        </w:rPr>
        <w:t>Link:</w:t>
      </w:r>
      <w:r w:rsidR="000F085B" w:rsidRPr="000F085B">
        <w:rPr>
          <w:b/>
          <w:bCs/>
        </w:rPr>
        <w:tab/>
      </w:r>
      <m:oMath>
        <m:r>
          <w:rPr>
            <w:rFonts w:ascii="Cambria Math" w:hAnsi="Cambria Math"/>
          </w:rPr>
          <m:t>◼</m:t>
        </m:r>
        <m:d>
          <m:dPr>
            <m:ctrlPr>
              <w:rPr>
                <w:rFonts w:ascii="Cambria Math" w:hAnsi="Cambria Math"/>
                <w:i/>
              </w:rPr>
            </m:ctrlPr>
          </m:dPr>
          <m:e>
            <m:r>
              <w:rPr>
                <w:rFonts w:ascii="Cambria Math" w:hAnsi="Cambria Math"/>
              </w:rPr>
              <m:t>P→Q</m:t>
            </m:r>
          </m:e>
        </m:d>
      </m:oMath>
      <w:r w:rsidRPr="001F5866">
        <w:rPr>
          <w:rStyle w:val="Funotenzeichen"/>
        </w:rPr>
        <w:footnoteReference w:id="30"/>
      </w:r>
    </w:p>
    <w:p w14:paraId="54DBF196" w14:textId="67884140" w:rsidR="001B40E4" w:rsidRDefault="004456DE" w:rsidP="005504C2">
      <w:pPr>
        <w:pStyle w:val="Textkrper"/>
        <w:ind w:firstLine="0"/>
        <w:rPr>
          <w:rFonts w:eastAsiaTheme="minorEastAsia"/>
        </w:rPr>
      </w:pPr>
      <w:r w:rsidRPr="000F085B">
        <w:rPr>
          <w:b/>
          <w:bCs/>
        </w:rPr>
        <w:t>Result:</w:t>
      </w:r>
      <w:r w:rsidR="000F085B" w:rsidRPr="000F085B">
        <w:rPr>
          <w:b/>
          <w:bCs/>
        </w:rPr>
        <w:tab/>
      </w:r>
      <m:oMath>
        <m:r>
          <w:rPr>
            <w:rFonts w:ascii="Cambria Math" w:hAnsi="Cambria Math"/>
          </w:rPr>
          <m:t>Q</m:t>
        </m:r>
      </m:oMath>
    </w:p>
    <w:p w14:paraId="713C2D68" w14:textId="77777777" w:rsidR="00B83222" w:rsidRPr="000F085B" w:rsidRDefault="00B83222" w:rsidP="000F085B">
      <w:pPr>
        <w:pStyle w:val="Textkrper"/>
        <w:rPr>
          <w:rFonts w:eastAsiaTheme="minorEastAsia"/>
        </w:rPr>
      </w:pPr>
    </w:p>
    <w:p w14:paraId="14CFFC75" w14:textId="77777777" w:rsidR="001B40E4" w:rsidRDefault="004456DE">
      <w:pPr>
        <w:pStyle w:val="FirstParagraph"/>
      </w:pPr>
      <w:r>
        <w:t xml:space="preserve">For example, given certain physicalistic ideas, there are explanations that have a proposition of the form “It is a metaphysical law that if something is in physical state </w:t>
      </w:r>
      <m:oMath>
        <m:r>
          <w:rPr>
            <w:rFonts w:ascii="Cambria Math" w:hAnsi="Cambria Math"/>
          </w:rPr>
          <m:t>s</m:t>
        </m:r>
      </m:oMath>
      <w:r>
        <w:t xml:space="preserve">, then it is in mental state </w:t>
      </w:r>
      <m:oMath>
        <m:r>
          <w:rPr>
            <w:rFonts w:ascii="Cambria Math" w:hAnsi="Cambria Math"/>
          </w:rPr>
          <m:t>m</m:t>
        </m:r>
      </m:oMath>
      <w:r>
        <w:t>” as explanatory link. Similarly, one might think that the proposition “It is true in virtue of the essence of {Socrates} that if Socrates exists, {Socrates} exists” is the link of an explanation of why {Socrates} exists.</w:t>
      </w:r>
    </w:p>
    <w:p w14:paraId="69AF72E8" w14:textId="2CA6E3F8" w:rsidR="001A5F6B" w:rsidRDefault="004456DE" w:rsidP="001A5F6B">
      <w:pPr>
        <w:pStyle w:val="Textkrper"/>
      </w:pPr>
      <w:r>
        <w:t xml:space="preserve">But metaphysical laws and essence claims also come in </w:t>
      </w:r>
      <w:r>
        <w:rPr>
          <w:i/>
        </w:rPr>
        <w:t>non-conditional</w:t>
      </w:r>
      <w:r>
        <w:t xml:space="preserve"> form: It is for example plausible that it is part of the essence of negation and disjunction (or a metaphysical law) that the sun is shining or it is not the case that the sun is shining. Note that I am not committed to the truth of any particular explanatory candidate, they are merely intended as plausible examples. An example that is particularly salient to theists may be the idea that it is a metaphysical law that God exists, or the perhaps more familiar idea that it is true in virtue of the essence of God that they exist. Moreover, a number of philosophers have suggested that a proposition that expressses the essential status (or status as a metaphysical law) of a proposition [</w:t>
      </w:r>
      <m:oMath>
        <m:r>
          <w:rPr>
            <w:rFonts w:ascii="Cambria Math" w:hAnsi="Cambria Math"/>
          </w:rPr>
          <m:t>P</m:t>
        </m:r>
      </m:oMath>
      <w:r>
        <w:t xml:space="preserve">] can explain why </w:t>
      </w:r>
      <m:oMath>
        <m:r>
          <w:rPr>
            <w:rFonts w:ascii="Cambria Math" w:hAnsi="Cambria Math"/>
          </w:rPr>
          <m:t>P</m:t>
        </m:r>
      </m:oMath>
      <w:r>
        <w:t>.</w:t>
      </w:r>
      <w:r>
        <w:rPr>
          <w:rStyle w:val="Funotenzeichen"/>
        </w:rPr>
        <w:footnoteReference w:id="31"/>
      </w:r>
      <w:r>
        <w:t xml:space="preserve"> Using [</w:t>
      </w:r>
      <m:oMath>
        <m:r>
          <w:rPr>
            <w:rFonts w:ascii="Cambria Math" w:hAnsi="Cambria Math"/>
          </w:rPr>
          <m:t>P∨¬P</m:t>
        </m:r>
      </m:oMath>
      <w:r>
        <w:t>] as an example and [</w:t>
      </w:r>
      <m:oMath>
        <m:r>
          <w:rPr>
            <w:rFonts w:ascii="Cambria Math" w:hAnsi="Cambria Math"/>
          </w:rPr>
          <m:t>◼(P∨</m:t>
        </m:r>
        <m:r>
          <w:rPr>
            <w:rFonts w:ascii="Cambria Math" w:hAnsi="Cambria Math"/>
          </w:rPr>
          <w:lastRenderedPageBreak/>
          <m:t>¬P)</m:t>
        </m:r>
      </m:oMath>
      <w:r>
        <w:t>] as a placeholder for a proposition expressing its essential or metaphysical-law status, I argue in Kappes (2020a) that [</w:t>
      </w:r>
      <m:oMath>
        <m:r>
          <w:rPr>
            <w:rFonts w:ascii="Cambria Math" w:hAnsi="Cambria Math"/>
          </w:rPr>
          <m:t>◼(P∨¬P)</m:t>
        </m:r>
      </m:oMath>
      <w:r>
        <w:t>] does not figure in the base of an explanation of [</w:t>
      </w:r>
      <m:oMath>
        <m:r>
          <w:rPr>
            <w:rFonts w:ascii="Cambria Math" w:hAnsi="Cambria Math"/>
          </w:rPr>
          <m:t>P∨¬P</m:t>
        </m:r>
      </m:oMath>
      <w:r>
        <w:t>] (whose link would connect [</w:t>
      </w:r>
      <m:oMath>
        <m:r>
          <w:rPr>
            <w:rFonts w:ascii="Cambria Math" w:hAnsi="Cambria Math"/>
          </w:rPr>
          <m:t>◼(P∨¬P)</m:t>
        </m:r>
      </m:oMath>
      <w:r>
        <w:t>] with [</w:t>
      </w:r>
      <m:oMath>
        <m:r>
          <w:rPr>
            <w:rFonts w:ascii="Cambria Math" w:hAnsi="Cambria Math"/>
          </w:rPr>
          <m:t>P∨¬P</m:t>
        </m:r>
      </m:oMath>
      <w:r>
        <w:t xml:space="preserve">]) but is instead the link of an empty-base explanation why </w:t>
      </w:r>
      <m:oMath>
        <m:r>
          <w:rPr>
            <w:rFonts w:ascii="Cambria Math" w:hAnsi="Cambria Math"/>
          </w:rPr>
          <m:t>P∨¬P</m:t>
        </m:r>
      </m:oMath>
      <w:r>
        <w:t xml:space="preserve"> (note the structural similarity to the case of zero-grounding):</w:t>
      </w:r>
    </w:p>
    <w:p w14:paraId="19847E3B" w14:textId="77777777" w:rsidR="00B83222" w:rsidRDefault="00B83222" w:rsidP="001A5F6B">
      <w:pPr>
        <w:pStyle w:val="Textkrper"/>
      </w:pPr>
    </w:p>
    <w:p w14:paraId="7F105A9D" w14:textId="23F7D90F" w:rsidR="001A5F6B" w:rsidRDefault="004456DE" w:rsidP="005504C2">
      <w:pPr>
        <w:pStyle w:val="Textkrper"/>
        <w:ind w:firstLine="0"/>
      </w:pPr>
      <w:r w:rsidRPr="001F5866">
        <w:rPr>
          <w:b/>
          <w:bCs/>
        </w:rPr>
        <w:t>Base:</w:t>
      </w:r>
      <w:r w:rsidR="001A5F6B">
        <w:tab/>
      </w:r>
      <w:r>
        <w:t>/</w:t>
      </w:r>
    </w:p>
    <w:p w14:paraId="46309774" w14:textId="6DE92330" w:rsidR="001A5F6B" w:rsidRPr="001A5F6B" w:rsidRDefault="004456DE" w:rsidP="005504C2">
      <w:pPr>
        <w:pStyle w:val="Textkrper"/>
        <w:ind w:firstLine="0"/>
        <w:rPr>
          <w:rFonts w:asciiTheme="minorHAnsi" w:eastAsiaTheme="minorEastAsia" w:hAnsiTheme="minorHAnsi"/>
        </w:rPr>
      </w:pPr>
      <w:r w:rsidRPr="001F5866">
        <w:rPr>
          <w:b/>
          <w:bCs/>
        </w:rPr>
        <w:t>Link:</w:t>
      </w:r>
      <w:r w:rsidR="001A5F6B" w:rsidRPr="001F5866">
        <w:rPr>
          <w:b/>
          <w:bCs/>
        </w:rPr>
        <w:tab/>
      </w:r>
      <m:oMath>
        <m:r>
          <w:rPr>
            <w:rFonts w:ascii="Cambria Math" w:hAnsi="Cambria Math"/>
          </w:rPr>
          <m:t>◼</m:t>
        </m:r>
        <m:d>
          <m:dPr>
            <m:ctrlPr>
              <w:rPr>
                <w:rFonts w:ascii="Cambria Math" w:hAnsi="Cambria Math"/>
                <w:i/>
              </w:rPr>
            </m:ctrlPr>
          </m:dPr>
          <m:e>
            <m:r>
              <w:rPr>
                <w:rFonts w:ascii="Cambria Math" w:hAnsi="Cambria Math"/>
              </w:rPr>
              <m:t>P∨¬P</m:t>
            </m:r>
          </m:e>
        </m:d>
      </m:oMath>
    </w:p>
    <w:p w14:paraId="21316A8B" w14:textId="0AEB6ECF" w:rsidR="001B40E4" w:rsidRDefault="004456DE" w:rsidP="005504C2">
      <w:pPr>
        <w:pStyle w:val="Textkrper"/>
        <w:ind w:firstLine="0"/>
        <w:rPr>
          <w:rFonts w:eastAsiaTheme="minorEastAsia"/>
        </w:rPr>
      </w:pPr>
      <w:r w:rsidRPr="001F5866">
        <w:rPr>
          <w:b/>
          <w:bCs/>
        </w:rPr>
        <w:t>Result:</w:t>
      </w:r>
      <w:r w:rsidR="001A5F6B" w:rsidRPr="001F5866">
        <w:tab/>
      </w:r>
      <m:oMath>
        <m:r>
          <w:rPr>
            <w:rFonts w:ascii="Cambria Math" w:hAnsi="Cambria Math"/>
          </w:rPr>
          <m:t>P∨¬P</m:t>
        </m:r>
      </m:oMath>
    </w:p>
    <w:p w14:paraId="0506B8B8" w14:textId="77777777" w:rsidR="00B83222" w:rsidRPr="001A5F6B" w:rsidRDefault="00B83222" w:rsidP="001A5F6B">
      <w:pPr>
        <w:pStyle w:val="Textkrper"/>
        <w:rPr>
          <w:rFonts w:asciiTheme="minorHAnsi" w:eastAsiaTheme="minorEastAsia" w:hAnsiTheme="minorHAnsi"/>
        </w:rPr>
      </w:pPr>
    </w:p>
    <w:p w14:paraId="7FD125D7" w14:textId="77777777" w:rsidR="001B40E4" w:rsidRDefault="004456DE">
      <w:pPr>
        <w:pStyle w:val="FirstParagraph"/>
      </w:pPr>
      <w:r>
        <w:t>Zero-grounding claims, as well as unconditional metaphysical laws and essence claims are limiting instances of explanatory notions whose ordinary (conditional) instances figure as links in metaphysical explanations. Accordingly, we should conclude that there is an corresponding limiting case of explanation as well, namely empty-base explanation.</w:t>
      </w:r>
      <w:r>
        <w:rPr>
          <w:rStyle w:val="Funotenzeichen"/>
        </w:rPr>
        <w:footnoteReference w:id="32"/>
      </w:r>
    </w:p>
    <w:p w14:paraId="15A5B706" w14:textId="47642041" w:rsidR="001B40E4" w:rsidRDefault="004456DE" w:rsidP="009D7FB0">
      <w:pPr>
        <w:pStyle w:val="berschrift1"/>
        <w:numPr>
          <w:ilvl w:val="0"/>
          <w:numId w:val="10"/>
        </w:numPr>
      </w:pPr>
      <w:bookmarkStart w:id="9" w:name="Empty-Base_Self-Explanation"/>
      <w:r>
        <w:t xml:space="preserve">Empty-Base </w:t>
      </w:r>
      <w:r>
        <w:rPr>
          <w:i/>
        </w:rPr>
        <w:t>Self-</w:t>
      </w:r>
      <w:r>
        <w:t>Explanation</w:t>
      </w:r>
      <w:bookmarkEnd w:id="9"/>
    </w:p>
    <w:p w14:paraId="116B15DC" w14:textId="673626AB" w:rsidR="001B40E4" w:rsidRDefault="004456DE">
      <w:pPr>
        <w:pStyle w:val="FirstParagraph"/>
      </w:pPr>
      <w:r>
        <w:t xml:space="preserve">Self-explanations promise to be </w:t>
      </w:r>
      <w:r>
        <w:rPr>
          <w:i/>
        </w:rPr>
        <w:t>ultimate</w:t>
      </w:r>
      <w:r>
        <w:t xml:space="preserve"> explanations, </w:t>
      </w:r>
      <w:proofErr w:type="gramStart"/>
      <w:r>
        <w:t>i.e.</w:t>
      </w:r>
      <w:proofErr w:type="gramEnd"/>
      <w:r>
        <w:t xml:space="preserve"> explanations that end explanatory regresses and do not give rise to further ‘why’-questions. Explanations by status (and thus empty-base explanations) may play a similar role: They explain without involving reasons why that could give rise to further</w:t>
      </w:r>
      <w:r w:rsidR="00F17FA8">
        <w:t xml:space="preserve"> </w:t>
      </w:r>
      <w:r>
        <w:t>‘why’-questions. Nevertheless, empty-base explanations are (generally) not self-explanations in the platitudinous sense. Still, the notion of an empty-base explanation can be used to characterize a particular kind of full self-explanation</w:t>
      </w:r>
      <w:r>
        <w:rPr>
          <w:vertAlign w:val="subscript"/>
        </w:rPr>
        <w:t>inclusive</w:t>
      </w:r>
      <w:r>
        <w:t xml:space="preserve"> that is not a self-explanation</w:t>
      </w:r>
      <w:r>
        <w:rPr>
          <w:vertAlign w:val="subscript"/>
        </w:rPr>
        <w:t>restrictive</w:t>
      </w:r>
      <w:r>
        <w:t>, namely that of an empty-base explanation whose explanatory link is identical to its explanatory result.</w:t>
      </w:r>
      <w:r>
        <w:rPr>
          <w:rStyle w:val="Funotenzeichen"/>
        </w:rPr>
        <w:footnoteReference w:id="33"/>
      </w:r>
      <w:r>
        <w:t xml:space="preserve"> Schematically, such an “empty-base self-explanation” has this form:</w:t>
      </w:r>
    </w:p>
    <w:p w14:paraId="23764BC9" w14:textId="77777777" w:rsidR="00B83222" w:rsidRPr="00B83222" w:rsidRDefault="00B83222" w:rsidP="00B83222">
      <w:pPr>
        <w:pStyle w:val="Textkrper"/>
      </w:pPr>
    </w:p>
    <w:tbl>
      <w:tblPr>
        <w:tblStyle w:val="Table"/>
        <w:tblW w:w="1654" w:type="pct"/>
        <w:tblLook w:val="07C0" w:firstRow="0" w:lastRow="1" w:firstColumn="1" w:lastColumn="1" w:noHBand="1" w:noVBand="1"/>
      </w:tblPr>
      <w:tblGrid>
        <w:gridCol w:w="996"/>
        <w:gridCol w:w="984"/>
        <w:gridCol w:w="1132"/>
      </w:tblGrid>
      <w:tr w:rsidR="001B40E4" w14:paraId="011D39C3" w14:textId="77777777" w:rsidTr="00B83222">
        <w:trPr>
          <w:trHeight w:val="439"/>
        </w:trPr>
        <w:tc>
          <w:tcPr>
            <w:tcW w:w="0" w:type="auto"/>
          </w:tcPr>
          <w:p w14:paraId="543240A2" w14:textId="77777777" w:rsidR="001B40E4" w:rsidRDefault="004456DE">
            <w:pPr>
              <w:pStyle w:val="Compact"/>
              <w:jc w:val="center"/>
            </w:pPr>
            <w:r>
              <w:t>Base:</w:t>
            </w:r>
          </w:p>
        </w:tc>
        <w:tc>
          <w:tcPr>
            <w:tcW w:w="0" w:type="auto"/>
          </w:tcPr>
          <w:p w14:paraId="26E66B08" w14:textId="77777777" w:rsidR="001B40E4" w:rsidRDefault="004456DE">
            <w:pPr>
              <w:pStyle w:val="Compact"/>
              <w:jc w:val="center"/>
            </w:pPr>
            <w:r>
              <w:t>Link:</w:t>
            </w:r>
          </w:p>
        </w:tc>
        <w:tc>
          <w:tcPr>
            <w:tcW w:w="0" w:type="auto"/>
          </w:tcPr>
          <w:p w14:paraId="70A4E61F" w14:textId="77777777" w:rsidR="001B40E4" w:rsidRDefault="004456DE">
            <w:pPr>
              <w:pStyle w:val="Compact"/>
              <w:jc w:val="center"/>
            </w:pPr>
            <w:r>
              <w:t>Result:</w:t>
            </w:r>
          </w:p>
        </w:tc>
      </w:tr>
      <w:tr w:rsidR="001B40E4" w14:paraId="4D0AFB43" w14:textId="77777777" w:rsidTr="00B83222">
        <w:trPr>
          <w:trHeight w:val="243"/>
        </w:trPr>
        <w:tc>
          <w:tcPr>
            <w:tcW w:w="0" w:type="auto"/>
          </w:tcPr>
          <w:p w14:paraId="593DA31D" w14:textId="77777777" w:rsidR="001B40E4" w:rsidRDefault="004456DE">
            <w:pPr>
              <w:pStyle w:val="Compact"/>
              <w:jc w:val="center"/>
            </w:pPr>
            <m:oMathPara>
              <m:oMath>
                <m:r>
                  <w:rPr>
                    <w:rFonts w:ascii="Cambria Math" w:hAnsi="Cambria Math"/>
                  </w:rPr>
                  <m:t>∅</m:t>
                </m:r>
              </m:oMath>
            </m:oMathPara>
          </w:p>
        </w:tc>
        <w:tc>
          <w:tcPr>
            <w:tcW w:w="0" w:type="auto"/>
          </w:tcPr>
          <w:p w14:paraId="2CA76EFF" w14:textId="77777777" w:rsidR="001B40E4" w:rsidRDefault="004456DE">
            <w:pPr>
              <w:pStyle w:val="Compact"/>
              <w:jc w:val="center"/>
            </w:pPr>
            <m:oMathPara>
              <m:oMath>
                <m:r>
                  <w:rPr>
                    <w:rFonts w:ascii="Cambria Math" w:hAnsi="Cambria Math"/>
                  </w:rPr>
                  <m:t>P</m:t>
                </m:r>
              </m:oMath>
            </m:oMathPara>
          </w:p>
        </w:tc>
        <w:tc>
          <w:tcPr>
            <w:tcW w:w="0" w:type="auto"/>
          </w:tcPr>
          <w:p w14:paraId="2E59FB50" w14:textId="77777777" w:rsidR="001B40E4" w:rsidRDefault="004456DE">
            <w:pPr>
              <w:pStyle w:val="Compact"/>
              <w:jc w:val="center"/>
            </w:pPr>
            <m:oMathPara>
              <m:oMath>
                <m:r>
                  <w:rPr>
                    <w:rFonts w:ascii="Cambria Math" w:hAnsi="Cambria Math"/>
                  </w:rPr>
                  <m:t>P</m:t>
                </m:r>
              </m:oMath>
            </m:oMathPara>
          </w:p>
        </w:tc>
      </w:tr>
      <w:tr w:rsidR="00B83222" w14:paraId="098B2BC3" w14:textId="77777777" w:rsidTr="00B83222">
        <w:trPr>
          <w:trHeight w:val="243"/>
        </w:trPr>
        <w:tc>
          <w:tcPr>
            <w:tcW w:w="0" w:type="auto"/>
          </w:tcPr>
          <w:p w14:paraId="06A3F06E" w14:textId="77777777" w:rsidR="00B83222" w:rsidRDefault="00B83222">
            <w:pPr>
              <w:pStyle w:val="Compact"/>
              <w:jc w:val="center"/>
              <w:rPr>
                <w:rFonts w:ascii="Cambria" w:eastAsia="Cambria" w:hAnsi="Cambria" w:cs="Times New Roman"/>
              </w:rPr>
            </w:pPr>
          </w:p>
        </w:tc>
        <w:tc>
          <w:tcPr>
            <w:tcW w:w="0" w:type="auto"/>
          </w:tcPr>
          <w:p w14:paraId="5A4B6FEB" w14:textId="77777777" w:rsidR="00B83222" w:rsidRDefault="00B83222">
            <w:pPr>
              <w:pStyle w:val="Compact"/>
              <w:jc w:val="center"/>
              <w:rPr>
                <w:rFonts w:eastAsia="Cambria" w:cs="Times New Roman"/>
              </w:rPr>
            </w:pPr>
          </w:p>
        </w:tc>
        <w:tc>
          <w:tcPr>
            <w:tcW w:w="0" w:type="auto"/>
          </w:tcPr>
          <w:p w14:paraId="1B1180E9" w14:textId="77777777" w:rsidR="00B83222" w:rsidRDefault="00B83222" w:rsidP="00B83222">
            <w:pPr>
              <w:pStyle w:val="Compact"/>
              <w:ind w:firstLine="0"/>
              <w:rPr>
                <w:rFonts w:eastAsia="Cambria" w:cs="Times New Roman"/>
              </w:rPr>
            </w:pPr>
          </w:p>
        </w:tc>
      </w:tr>
    </w:tbl>
    <w:p w14:paraId="395612F4" w14:textId="00CD41D5" w:rsidR="001B40E4" w:rsidRDefault="004456DE">
      <w:pPr>
        <w:pStyle w:val="Textkrper"/>
      </w:pPr>
      <w:r>
        <w:t>In such an explanation, the result explains</w:t>
      </w:r>
      <w:r>
        <w:rPr>
          <w:vertAlign w:val="subscript"/>
        </w:rPr>
        <w:t>inclusive</w:t>
      </w:r>
      <w:r>
        <w:t xml:space="preserve"> itself by being the link of its own empty-base explanation. Note that since there are no explanations without a link, self-explanations in the </w:t>
      </w:r>
      <w:r>
        <w:rPr>
          <w:i/>
        </w:rPr>
        <w:t>restrictive</w:t>
      </w:r>
      <w:r>
        <w:t xml:space="preserve"> </w:t>
      </w:r>
      <w:r>
        <w:lastRenderedPageBreak/>
        <w:t>sense will likely involve a proposition that is distinct from its result, i.e. the explanatory link.</w:t>
      </w:r>
      <w:r>
        <w:rPr>
          <w:rStyle w:val="Funotenzeichen"/>
        </w:rPr>
        <w:footnoteReference w:id="34"/>
      </w:r>
      <w:r>
        <w:t xml:space="preserve"> In contrast, an empty-base self-explanation would only involve one proposition, namely its explanatory result and link. Thus, in a sense, only an empty-base self-explanatory proposition would be </w:t>
      </w:r>
      <w:r>
        <w:rPr>
          <w:i/>
        </w:rPr>
        <w:t>fully</w:t>
      </w:r>
      <w:r>
        <w:t xml:space="preserve"> self-explanatory in the sense of having an explanation with just it as a constituent, and only such explanations could be truly ultimate in that they do not involve any propositions that are unexplained or only explained by further explanations.</w:t>
      </w:r>
    </w:p>
    <w:p w14:paraId="3621FDC6" w14:textId="1494C071" w:rsidR="001B40E4" w:rsidRDefault="004456DE">
      <w:pPr>
        <w:pStyle w:val="Textkrper"/>
      </w:pPr>
      <w:r>
        <w:t xml:space="preserve">Before we consider candidates for empty-base self-explanations let me address an argument against the possibility of self-explanation that does not follow the pattern from section </w:t>
      </w:r>
      <w:hyperlink w:anchor="Approaching Self-Explanation">
        <w:r>
          <w:rPr>
            <w:rStyle w:val="Hyperlink"/>
          </w:rPr>
          <w:t>3</w:t>
        </w:r>
      </w:hyperlink>
      <w:r>
        <w:t>: Kovacs (2018</w:t>
      </w:r>
      <w:r w:rsidR="00F17FA8">
        <w:t>:</w:t>
      </w:r>
      <w:r>
        <w:t xml:space="preserve"> 1169) argues that just like circular ordinary arguments, circular explanatory arguments are objectionable, because just like ordinary arguments, explanatory arguments are supposed to provide reasons for their conclusions, but circular (ordinary as well as explanatory) arguments do not provide such reasons. Since Kovacs further assumes that every case of self-explanation corresponds to a circular explanatory argument, he concludes that self-explanation is objectionable.</w:t>
      </w:r>
      <w:r>
        <w:rPr>
          <w:rStyle w:val="Funotenzeichen"/>
        </w:rPr>
        <w:footnoteReference w:id="35"/>
      </w:r>
    </w:p>
    <w:p w14:paraId="51115451" w14:textId="77777777" w:rsidR="001B40E4" w:rsidRDefault="004456DE">
      <w:pPr>
        <w:pStyle w:val="Textkrper"/>
      </w:pPr>
      <w:r>
        <w:t>In response note first that an explanation whose result and link are identical is structurally related to the notion of rule-circular justification: In such an explanation, an explanatory link (partially) explains itself. Therefore, the corresponding explanatory argument has a conclusion that corresponds to the explanatory rule that governs the argument.</w:t>
      </w:r>
      <w:r>
        <w:rPr>
          <w:rStyle w:val="Funotenzeichen"/>
        </w:rPr>
        <w:footnoteReference w:id="36"/>
      </w:r>
      <w:r>
        <w:t xml:space="preserve"> Similarly, a rule-circular justification of an inference principle is provided by an argument to the conclusion that the principle in question holds (or perhaps to a conditional that corresponds to the inference principle), but which uses the inference principle in question to establish this.</w:t>
      </w:r>
      <w:r>
        <w:rPr>
          <w:rStyle w:val="Funotenzeichen"/>
        </w:rPr>
        <w:footnoteReference w:id="37"/>
      </w:r>
    </w:p>
    <w:p w14:paraId="20DC9AE4" w14:textId="77777777" w:rsidR="001B40E4" w:rsidRDefault="004456DE">
      <w:pPr>
        <w:pStyle w:val="Textkrper"/>
      </w:pPr>
      <w:r>
        <w:t xml:space="preserve">While some (e.g. Boghossian (2001)) have endorsed the idea that rule-circular arguments may provide justification for their conclusions, their epistemic value is doubtful (for a recent criticism see Carter and Pritchard (2017)). But note that even if the possibility of rule-circular </w:t>
      </w:r>
      <w:r>
        <w:rPr>
          <w:i/>
        </w:rPr>
        <w:t>justification</w:t>
      </w:r>
      <w:r>
        <w:t xml:space="preserve"> is denied, the impossibility of empty-base self-explanation does not obviously follow: From the impossibility of rule circular justification it would prima facie merely follow that if empty-base self-explanation is possible, then there are possible explanatory arguments that do not </w:t>
      </w:r>
      <w:r>
        <w:rPr>
          <w:i/>
        </w:rPr>
        <w:t>justify</w:t>
      </w:r>
      <w:r>
        <w:t xml:space="preserve"> their conclusion, but they might still </w:t>
      </w:r>
      <w:r>
        <w:rPr>
          <w:i/>
        </w:rPr>
        <w:t>explain</w:t>
      </w:r>
      <w:r>
        <w:t xml:space="preserve"> it.</w:t>
      </w:r>
    </w:p>
    <w:p w14:paraId="4A2EF325" w14:textId="77777777" w:rsidR="001B40E4" w:rsidRDefault="004456DE">
      <w:pPr>
        <w:pStyle w:val="Textkrper"/>
      </w:pPr>
      <w:r>
        <w:t xml:space="preserve">Moreover, </w:t>
      </w:r>
      <w:r>
        <w:rPr>
          <w:i/>
        </w:rPr>
        <w:t>pace</w:t>
      </w:r>
      <w:r>
        <w:t xml:space="preserve"> Kovacs, the premises of a good ordinary (or </w:t>
      </w:r>
      <w:r>
        <w:rPr>
          <w:i/>
        </w:rPr>
        <w:t>epistemic</w:t>
      </w:r>
      <w:r>
        <w:t xml:space="preserve">) argument </w:t>
      </w:r>
      <w:r>
        <w:rPr>
          <w:i/>
        </w:rPr>
        <w:t>justify</w:t>
      </w:r>
      <w:r>
        <w:t xml:space="preserve"> its conclusion, viz. they are </w:t>
      </w:r>
      <w:r>
        <w:rPr>
          <w:i/>
        </w:rPr>
        <w:t>epistemic</w:t>
      </w:r>
      <w:r>
        <w:t xml:space="preserve"> reasons for its conclusion, but the premises of a good explanatory argument </w:t>
      </w:r>
      <w:r>
        <w:rPr>
          <w:i/>
        </w:rPr>
        <w:t>explain</w:t>
      </w:r>
      <w:r>
        <w:t xml:space="preserve"> its conclusion, they are reasons </w:t>
      </w:r>
      <w:r>
        <w:rPr>
          <w:i/>
        </w:rPr>
        <w:t>why</w:t>
      </w:r>
      <w:r>
        <w:t xml:space="preserve"> the conclusion obtains. Kovacs appears to conflate these two notions </w:t>
      </w:r>
      <w:r>
        <w:lastRenderedPageBreak/>
        <w:t xml:space="preserve">of reasons and assumes that good explanatory arguments must justify (i.e. provide </w:t>
      </w:r>
      <w:r>
        <w:rPr>
          <w:i/>
        </w:rPr>
        <w:t>epistemic</w:t>
      </w:r>
      <w:r>
        <w:t xml:space="preserve"> reasons for) their conclusions, but in many cases (e.g. many instances of inference to the best explanation), it is rather the case that a conclusion of an explanatory argument justifies a premise of said argument.</w:t>
      </w:r>
    </w:p>
    <w:p w14:paraId="0632B5E0" w14:textId="4EDE864D" w:rsidR="001B40E4" w:rsidRDefault="009D7FB0" w:rsidP="009D7FB0">
      <w:pPr>
        <w:pStyle w:val="berschrift2"/>
        <w:numPr>
          <w:ilvl w:val="1"/>
          <w:numId w:val="10"/>
        </w:numPr>
        <w:ind w:left="431" w:hanging="431"/>
      </w:pPr>
      <w:bookmarkStart w:id="10" w:name="X935d6207d7a4c0ce0eec87ac8d4c681e9f5bcb5"/>
      <w:r>
        <w:t xml:space="preserve"> </w:t>
      </w:r>
      <w:r w:rsidR="004456DE">
        <w:t>Candidates for empty-base self-explanations</w:t>
      </w:r>
      <w:bookmarkEnd w:id="10"/>
    </w:p>
    <w:p w14:paraId="62780746" w14:textId="77777777" w:rsidR="001B40E4" w:rsidRDefault="004456DE">
      <w:pPr>
        <w:pStyle w:val="FirstParagraph"/>
      </w:pPr>
      <w:r>
        <w:t>Now, how would empty-base self-explanations look like? Recall the suggestion that explanatory links of empty-base explanations have the form ‘</w:t>
      </w:r>
      <m:oMath>
        <m:r>
          <w:rPr>
            <w:rFonts w:ascii="Cambria Math" w:hAnsi="Cambria Math"/>
          </w:rPr>
          <m:t>◼P</m:t>
        </m:r>
      </m:oMath>
      <w:r>
        <w:t>’, where ‘</w:t>
      </w:r>
      <m:oMath>
        <m:r>
          <w:rPr>
            <w:rFonts w:ascii="Cambria Math" w:hAnsi="Cambria Math"/>
          </w:rPr>
          <m:t>P</m:t>
        </m:r>
      </m:oMath>
      <w:r>
        <w:t>’ stands for the result of the corresponding empty-base explanation. Since explanatory links of empty-base self-explanations are identical to the result of their explanation, it follows from this that their links have the form ‘</w:t>
      </w:r>
      <m:oMath>
        <m:r>
          <w:rPr>
            <w:rFonts w:ascii="Cambria Math" w:hAnsi="Cambria Math"/>
          </w:rPr>
          <m:t>◼P</m:t>
        </m:r>
      </m:oMath>
      <w:r>
        <w:t>’ and that the proposition [</w:t>
      </w:r>
      <m:oMath>
        <m:r>
          <w:rPr>
            <w:rFonts w:ascii="Cambria Math" w:hAnsi="Cambria Math"/>
          </w:rPr>
          <m:t>P</m:t>
        </m:r>
      </m:oMath>
      <w:r>
        <w:t>] is identical to the proposition [</w:t>
      </w:r>
      <m:oMath>
        <m:r>
          <w:rPr>
            <w:rFonts w:ascii="Cambria Math" w:hAnsi="Cambria Math"/>
          </w:rPr>
          <m:t>◼P</m:t>
        </m:r>
      </m:oMath>
      <w:r>
        <w:t xml:space="preserve">]. Call this the </w:t>
      </w:r>
      <w:r>
        <w:rPr>
          <w:i/>
        </w:rPr>
        <w:t>formal criterion</w:t>
      </w:r>
      <w:r>
        <w:t>.</w:t>
      </w:r>
    </w:p>
    <w:p w14:paraId="2CEFB4CA" w14:textId="36EECDFA" w:rsidR="00F17FA8" w:rsidRDefault="004456DE" w:rsidP="00F17FA8">
      <w:pPr>
        <w:pStyle w:val="Textkrper"/>
      </w:pPr>
      <w:r>
        <w:t xml:space="preserve">Now the question is whether there can be propositions of this form. Using ‘is </w:t>
      </w:r>
      <m:oMath>
        <m:r>
          <w:rPr>
            <w:rFonts w:ascii="Cambria Math" w:hAnsi="Cambria Math"/>
          </w:rPr>
          <m:t>R</m:t>
        </m:r>
      </m:oMath>
      <w:r>
        <w:t>-related to’ as a placeholder for relational predicates used to express explanatory links and ‘is zero-</w:t>
      </w:r>
      <m:oMath>
        <m:r>
          <w:rPr>
            <w:rFonts w:ascii="Cambria Math" w:hAnsi="Cambria Math"/>
          </w:rPr>
          <m:t>R</m:t>
        </m:r>
      </m:oMath>
      <w:r>
        <w:t xml:space="preserve">’ as a placeholder for predicates used to express corresponding empty-base links. We can state the form of self-explanatory links as ‘The proposition that </w:t>
      </w:r>
      <m:oMath>
        <m:r>
          <w:rPr>
            <w:rFonts w:ascii="Cambria Math" w:hAnsi="Cambria Math"/>
          </w:rPr>
          <m:t>P</m:t>
        </m:r>
      </m:oMath>
      <w:r>
        <w:t xml:space="preserve"> is zero-</w:t>
      </w:r>
      <m:oMath>
        <m:r>
          <w:rPr>
            <w:rFonts w:ascii="Cambria Math" w:hAnsi="Cambria Math"/>
          </w:rPr>
          <m:t>R</m:t>
        </m:r>
      </m:oMath>
      <w:r>
        <w:t xml:space="preserve">’, where the proposition expressed is identical with the proposition that </w:t>
      </w:r>
      <m:oMath>
        <m:r>
          <w:rPr>
            <w:rFonts w:ascii="Cambria Math" w:hAnsi="Cambria Math"/>
          </w:rPr>
          <m:t>P</m:t>
        </m:r>
      </m:oMath>
      <w:r>
        <w:t xml:space="preserve">. Consider grounding as an example. Predicational zero-grounding statements have the form ‘The proposition that </w:t>
      </w:r>
      <m:oMath>
        <m:r>
          <w:rPr>
            <w:rFonts w:ascii="Cambria Math" w:hAnsi="Cambria Math"/>
          </w:rPr>
          <m:t>P</m:t>
        </m:r>
      </m:oMath>
      <w:r>
        <w:t xml:space="preserve"> is zero-grounded’. Thus, if there are empty-base self-explanations of the grounding variety, the corresponding self-explanatory propositions have the form ‘the proposition that </w:t>
      </w:r>
      <m:oMath>
        <m:r>
          <w:rPr>
            <w:rFonts w:ascii="Cambria Math" w:hAnsi="Cambria Math"/>
          </w:rPr>
          <m:t>P</m:t>
        </m:r>
      </m:oMath>
      <w:r>
        <w:t xml:space="preserve"> is zero-grounded’, where the proposition that </w:t>
      </w:r>
      <m:oMath>
        <m:r>
          <w:rPr>
            <w:rFonts w:ascii="Cambria Math" w:hAnsi="Cambria Math"/>
          </w:rPr>
          <m:t>P</m:t>
        </m:r>
      </m:oMath>
      <w:r>
        <w:t xml:space="preserve"> is identical with the proposition that the proposition that </w:t>
      </w:r>
      <m:oMath>
        <m:r>
          <w:rPr>
            <w:rFonts w:ascii="Cambria Math" w:hAnsi="Cambria Math"/>
          </w:rPr>
          <m:t>P</m:t>
        </m:r>
      </m:oMath>
      <w:r>
        <w:t xml:space="preserve"> is zero-grounded. Indeed, here is a candidate that has this form:</w:t>
      </w:r>
    </w:p>
    <w:p w14:paraId="0260CCBC" w14:textId="77777777" w:rsidR="00B83222" w:rsidRDefault="00B83222" w:rsidP="00F17FA8">
      <w:pPr>
        <w:pStyle w:val="Textkrper"/>
      </w:pPr>
    </w:p>
    <w:p w14:paraId="506F9CB6" w14:textId="09AC611C" w:rsidR="001B40E4" w:rsidRDefault="004456DE" w:rsidP="005504C2">
      <w:pPr>
        <w:pStyle w:val="Textkrper"/>
        <w:ind w:firstLine="0"/>
      </w:pPr>
      <w:r w:rsidRPr="00F17FA8">
        <w:rPr>
          <w:b/>
          <w:bCs/>
        </w:rPr>
        <w:t>(3)</w:t>
      </w:r>
      <w:r w:rsidR="005504C2">
        <w:rPr>
          <w:b/>
          <w:bCs/>
        </w:rPr>
        <w:tab/>
      </w:r>
      <w:r w:rsidRPr="00F17FA8">
        <w:t>This proposition is zero-grounded.</w:t>
      </w:r>
    </w:p>
    <w:p w14:paraId="14129D16" w14:textId="77777777" w:rsidR="00B83222" w:rsidRPr="00F17FA8" w:rsidRDefault="00B83222" w:rsidP="00F17FA8">
      <w:pPr>
        <w:pStyle w:val="Textkrper"/>
      </w:pPr>
    </w:p>
    <w:p w14:paraId="64DBC7AF" w14:textId="77777777" w:rsidR="001B40E4" w:rsidRDefault="004456DE">
      <w:pPr>
        <w:pStyle w:val="FirstParagraph"/>
      </w:pPr>
      <w:r>
        <w:t>Here, the expression ‘This proposition’ in (3) is intended to refer to the proposition expressed by (3). Note that while some propose that certain self-referential (e.g. paradoxical, liar-type) sentences do not express propositions, the self-referential nature of (3) alone is presumably not sufficient to assume that (3) expresses no proposition; after all, many (apparently) unproblematic self-referential sentences exist.</w:t>
      </w:r>
      <w:r>
        <w:rPr>
          <w:rStyle w:val="Funotenzeichen"/>
        </w:rPr>
        <w:footnoteReference w:id="38"/>
      </w:r>
      <w:r>
        <w:t xml:space="preserve">. But now note how (3) resembles the truth-teller ‘This sentence is true’: If we had to speculate about the truth-value of (3), it would not seem unreasonable to assign it the same truth-value as the truth-teller, which, </w:t>
      </w:r>
      <w:r>
        <w:lastRenderedPageBreak/>
        <w:t>many are inclined to believe, is defective and neither true nor false.</w:t>
      </w:r>
      <w:r>
        <w:rPr>
          <w:rStyle w:val="Funotenzeichen"/>
        </w:rPr>
        <w:footnoteReference w:id="39"/>
      </w:r>
      <w:r>
        <w:t xml:space="preserve"> And even if (3) were true, it presumably could not fulfill the high hopes some philosophers have put into self-explanatory propositions: Intuitively, (3) is somewhat thin in content, which is, perhaps, exactly what is to be expected of a zero-grounded proposition. Consequently, it is hard to see how it could serve the idea that a substantial class of truths are eventually explained by self-explanatory propositions.</w:t>
      </w:r>
    </w:p>
    <w:p w14:paraId="671393EF" w14:textId="1164D20F" w:rsidR="00B83222" w:rsidRDefault="004456DE" w:rsidP="00B83222">
      <w:pPr>
        <w:pStyle w:val="Textkrper"/>
      </w:pPr>
      <w:r>
        <w:t>One might perhaps think that instances of the following schema could do better in this regard (let ‘</w:t>
      </w:r>
      <m:oMath>
        <m:r>
          <w:rPr>
            <w:rFonts w:ascii="Cambria Math" w:hAnsi="Cambria Math"/>
          </w:rPr>
          <m:t>P</m:t>
        </m:r>
      </m:oMath>
      <w:r>
        <w:t>’ stand for an arbitrary proposition and ‘</w:t>
      </w:r>
      <w:r>
        <w:rPr>
          <w:i/>
        </w:rPr>
        <w:t>4</w:t>
      </w:r>
      <w:r>
        <w:t>’ express the proposition labeled by ‘(4)’):</w:t>
      </w:r>
    </w:p>
    <w:p w14:paraId="63DB34FB" w14:textId="77777777" w:rsidR="00B83222" w:rsidRDefault="00B83222" w:rsidP="00B83222">
      <w:pPr>
        <w:pStyle w:val="Textkrper"/>
      </w:pPr>
    </w:p>
    <w:p w14:paraId="60C0C3D3" w14:textId="6B8C6F7A" w:rsidR="001B40E4" w:rsidRDefault="004456DE" w:rsidP="005504C2">
      <w:pPr>
        <w:pStyle w:val="Textkrper"/>
        <w:ind w:firstLine="0"/>
      </w:pPr>
      <w:r w:rsidRPr="00B83222">
        <w:rPr>
          <w:b/>
          <w:bCs/>
        </w:rPr>
        <w:t>(4)</w:t>
      </w:r>
      <w:r w:rsidR="00F17FA8" w:rsidRPr="00B83222">
        <w:rPr>
          <w:b/>
          <w:bCs/>
        </w:rPr>
        <w:tab/>
      </w:r>
      <w:r w:rsidRPr="00B83222">
        <w:t>The proposition that (</w:t>
      </w:r>
      <m:oMath>
        <m:r>
          <w:rPr>
            <w:rFonts w:ascii="Cambria Math" w:hAnsi="Cambria Math"/>
          </w:rPr>
          <m:t>P</m:t>
        </m:r>
      </m:oMath>
      <w:r w:rsidRPr="00B83222">
        <w:t xml:space="preserve"> and </w:t>
      </w:r>
      <w:r w:rsidRPr="00B83222">
        <w:rPr>
          <w:i/>
        </w:rPr>
        <w:t>4</w:t>
      </w:r>
      <w:r w:rsidRPr="00B83222">
        <w:t>) is zero-grounded.</w:t>
      </w:r>
    </w:p>
    <w:p w14:paraId="059D838D" w14:textId="77777777" w:rsidR="00B83222" w:rsidRDefault="00B83222" w:rsidP="00B83222">
      <w:pPr>
        <w:pStyle w:val="Textkrper"/>
      </w:pPr>
    </w:p>
    <w:p w14:paraId="5E2570AF" w14:textId="77777777" w:rsidR="001B40E4" w:rsidRDefault="004456DE">
      <w:pPr>
        <w:pStyle w:val="FirstParagraph"/>
      </w:pPr>
      <w:r>
        <w:t>But this is problematic because (4) seems to fail the formal criterion: If we eliminate the zero-grounding operator from (4), we obtain ‘</w:t>
      </w:r>
      <m:oMath>
        <m:r>
          <w:rPr>
            <w:rFonts w:ascii="Cambria Math" w:hAnsi="Cambria Math"/>
          </w:rPr>
          <m:t>P</m:t>
        </m:r>
      </m:oMath>
      <w:r>
        <w:t xml:space="preserve"> and </w:t>
      </w:r>
      <w:r>
        <w:rPr>
          <w:i/>
        </w:rPr>
        <w:t>4</w:t>
      </w:r>
      <w:r>
        <w:t>’, which does not seem to be identical with (4), in part because (4) expresses a proposition with a zero-grounding operator having largest scope, whereas in ‘</w:t>
      </w:r>
      <m:oMath>
        <m:r>
          <w:rPr>
            <w:rFonts w:ascii="Cambria Math" w:hAnsi="Cambria Math"/>
          </w:rPr>
          <m:t>P</m:t>
        </m:r>
      </m:oMath>
      <w:r>
        <w:t xml:space="preserve"> and </w:t>
      </w:r>
      <w:r>
        <w:rPr>
          <w:i/>
        </w:rPr>
        <w:t>4</w:t>
      </w:r>
      <w:r>
        <w:t xml:space="preserve">’, the conjunction operator has largest scope. We could perhaps allow that </w:t>
      </w:r>
      <w:r>
        <w:rPr>
          <w:i/>
        </w:rPr>
        <w:t>some</w:t>
      </w:r>
      <w:r>
        <w:t xml:space="preserve"> conjunctions are identical (or at least suitably equivalent) to one of their conjuncts, this is for example possible according to certain worldly modes of identifying propositions or facts (e.g. Correia (2016)). Then to vindicate the possibility of self-explanations of the above form, one would have to find a mode of individuation suited to deliver instances of (4) satisfying the formal criterion, but such an investigation goes beyond the scope of this paper.</w:t>
      </w:r>
    </w:p>
    <w:p w14:paraId="5D60CD27" w14:textId="4EA16A06" w:rsidR="001B40E4" w:rsidRDefault="004456DE">
      <w:pPr>
        <w:pStyle w:val="Textkrper"/>
      </w:pPr>
      <w:r>
        <w:t xml:space="preserve">Instead, here are three further options to find (perhaps more substantial) candidates for empty-base self-explanations: First, one could attempt to find an explanatory relation </w:t>
      </w:r>
      <m:oMath>
        <m:r>
          <w:rPr>
            <w:rFonts w:ascii="Cambria Math" w:hAnsi="Cambria Math"/>
          </w:rPr>
          <m:t>R</m:t>
        </m:r>
      </m:oMath>
      <w:r>
        <w:t xml:space="preserve"> such that ‘This fact is zero-</w:t>
      </w:r>
      <m:oMath>
        <m:r>
          <w:rPr>
            <w:rFonts w:ascii="Cambria Math" w:hAnsi="Cambria Math"/>
          </w:rPr>
          <m:t>R</m:t>
        </m:r>
      </m:oMath>
      <w:r>
        <w:t>’ is more substantial and less like the truth-teller than (3). The second option invokes Dasgupta’s (2014a) proposal that grounding is irreducibly plural, and the third considers laws as explanatory links.</w:t>
      </w:r>
      <w:r>
        <w:rPr>
          <w:rStyle w:val="Funotenzeichen"/>
        </w:rPr>
        <w:footnoteReference w:id="40"/>
      </w:r>
      <w:r>
        <w:t xml:space="preserve"> Setting aside the first option we now look at the second and third in turn.</w:t>
      </w:r>
    </w:p>
    <w:p w14:paraId="65AB3A5E" w14:textId="4AFC8833" w:rsidR="001B40E4" w:rsidRDefault="009D7FB0" w:rsidP="009D7FB0">
      <w:pPr>
        <w:pStyle w:val="berschrift2"/>
        <w:numPr>
          <w:ilvl w:val="1"/>
          <w:numId w:val="10"/>
        </w:numPr>
        <w:ind w:left="567" w:hanging="567"/>
      </w:pPr>
      <w:bookmarkStart w:id="11" w:name="irreducibly-plural-grounding"/>
      <w:r>
        <w:t xml:space="preserve"> </w:t>
      </w:r>
      <w:r w:rsidR="004456DE">
        <w:t>Irreducibly plural grounding</w:t>
      </w:r>
      <w:bookmarkEnd w:id="11"/>
    </w:p>
    <w:p w14:paraId="74EB02E2" w14:textId="77777777" w:rsidR="001B40E4" w:rsidRDefault="004456DE">
      <w:pPr>
        <w:pStyle w:val="FirstParagraph"/>
      </w:pPr>
      <w:r>
        <w:t xml:space="preserve">According to Dasgupta (2014a), grounding is irreducibly plural in this sense: (predicational) grounding statements have the form ‘The </w:t>
      </w:r>
      <m:oMath>
        <m:r>
          <w:rPr>
            <w:rFonts w:ascii="Cambria Math" w:hAnsi="Cambria Math"/>
          </w:rPr>
          <m:t>Y</m:t>
        </m:r>
      </m:oMath>
      <w:r>
        <w:t xml:space="preserve">s are grounded in the </w:t>
      </w:r>
      <m:oMath>
        <m:r>
          <w:rPr>
            <w:rFonts w:ascii="Cambria Math" w:hAnsi="Cambria Math"/>
          </w:rPr>
          <m:t>X</m:t>
        </m:r>
      </m:oMath>
      <w:r>
        <w:t>s’, where ‘</w:t>
      </w:r>
      <m:oMath>
        <m:r>
          <w:rPr>
            <w:rFonts w:ascii="Cambria Math" w:hAnsi="Cambria Math"/>
          </w:rPr>
          <m:t>Y</m:t>
        </m:r>
      </m:oMath>
      <w:r>
        <w:t>’ and ‘</w:t>
      </w:r>
      <m:oMath>
        <m:r>
          <w:rPr>
            <w:rFonts w:ascii="Cambria Math" w:hAnsi="Cambria Math"/>
          </w:rPr>
          <m:t>X</m:t>
        </m:r>
      </m:oMath>
      <w:r>
        <w:t xml:space="preserve">’ are schema-letters for expressions denoting pluralities of facts, and it is possible that the </w:t>
      </w:r>
      <m:oMath>
        <m:r>
          <w:rPr>
            <w:rFonts w:ascii="Cambria Math" w:hAnsi="Cambria Math"/>
          </w:rPr>
          <m:t>Y</m:t>
        </m:r>
      </m:oMath>
      <w:r>
        <w:t xml:space="preserve">s are grounded in the </w:t>
      </w:r>
      <m:oMath>
        <m:r>
          <w:rPr>
            <w:rFonts w:ascii="Cambria Math" w:hAnsi="Cambria Math"/>
          </w:rPr>
          <m:t>X</m:t>
        </m:r>
      </m:oMath>
      <w:r>
        <w:t xml:space="preserve">s, without any of the </w:t>
      </w:r>
      <m:oMath>
        <m:r>
          <w:rPr>
            <w:rFonts w:ascii="Cambria Math" w:hAnsi="Cambria Math"/>
          </w:rPr>
          <m:t>Y</m:t>
        </m:r>
      </m:oMath>
      <w:r>
        <w:t xml:space="preserve">s on its own being grounded in the </w:t>
      </w:r>
      <m:oMath>
        <m:r>
          <w:rPr>
            <w:rFonts w:ascii="Cambria Math" w:hAnsi="Cambria Math"/>
          </w:rPr>
          <m:t>X</m:t>
        </m:r>
      </m:oMath>
      <w:r>
        <w:t xml:space="preserve">s. For example, Dasgupta argues that the individualistic facts </w:t>
      </w:r>
      <w:r>
        <w:lastRenderedPageBreak/>
        <w:t>(i.e. facts concerning particular individuals, like [Socrates is a Philosopher]) are together irreducibly plurally grounded in purely qualitative facts.</w:t>
      </w:r>
    </w:p>
    <w:p w14:paraId="18028998" w14:textId="77777777" w:rsidR="005504C2" w:rsidRDefault="004456DE" w:rsidP="005504C2">
      <w:pPr>
        <w:pStyle w:val="Textkrper"/>
      </w:pPr>
      <w:r>
        <w:t>Correspondingly, plural zero-grounding statements can be expressed by having ‘</w:t>
      </w:r>
      <m:oMath>
        <m:r>
          <w:rPr>
            <w:rFonts w:ascii="Cambria Math" w:hAnsi="Cambria Math"/>
          </w:rPr>
          <m:t>X</m:t>
        </m:r>
      </m:oMath>
      <w:r>
        <w:t xml:space="preserve">’ denote an empty plurality; alternatively, ‘The </w:t>
      </w:r>
      <m:oMath>
        <m:r>
          <w:rPr>
            <w:rFonts w:ascii="Cambria Math" w:hAnsi="Cambria Math"/>
          </w:rPr>
          <m:t>Y</m:t>
        </m:r>
      </m:oMath>
      <w:r>
        <w:t>s are zero-grounded’ can be used. Dasgupta’s proposal then allows for more contentful candidates for empty-base self-explanation by allowing for a plurality of propositions to occur as (joint) groundees in a grounding statement like this</w:t>
      </w:r>
      <w:r w:rsidR="005504C2">
        <w:t>:</w:t>
      </w:r>
    </w:p>
    <w:p w14:paraId="2E3A7F74" w14:textId="77777777" w:rsidR="005504C2" w:rsidRDefault="005504C2" w:rsidP="005504C2">
      <w:pPr>
        <w:pStyle w:val="Textkrper"/>
      </w:pPr>
    </w:p>
    <w:p w14:paraId="5F726FCA" w14:textId="2DBA9F34" w:rsidR="001B40E4" w:rsidRPr="005504C2" w:rsidRDefault="004456DE" w:rsidP="005504C2">
      <w:pPr>
        <w:pStyle w:val="Textkrper"/>
        <w:ind w:firstLine="0"/>
      </w:pPr>
      <w:r>
        <w:t>(5)</w:t>
      </w:r>
      <w:r w:rsidR="00F17FA8">
        <w:tab/>
      </w:r>
      <w:r w:rsidRPr="005504C2">
        <w:t>This fact, [</w:t>
      </w:r>
      <m:oMath>
        <m:r>
          <w:rPr>
            <w:rFonts w:ascii="Cambria Math" w:hAnsi="Cambria Math"/>
          </w:rPr>
          <m:t>P</m:t>
        </m:r>
      </m:oMath>
      <w:r w:rsidRPr="005504C2">
        <w:t>] are zero-grounded.</w:t>
      </w:r>
    </w:p>
    <w:p w14:paraId="1F7CCE7A" w14:textId="77777777" w:rsidR="005504C2" w:rsidRPr="005504C2" w:rsidRDefault="005504C2" w:rsidP="005504C2">
      <w:pPr>
        <w:pStyle w:val="Textkrper"/>
      </w:pPr>
    </w:p>
    <w:p w14:paraId="44378554" w14:textId="77777777" w:rsidR="001B40E4" w:rsidRDefault="004456DE">
      <w:pPr>
        <w:pStyle w:val="FirstParagraph"/>
      </w:pPr>
      <w:r>
        <w:t>Here, ‘This fact’ refers to the fact expressed by (5). Assuming with Dasgupta that there are irreducibly plural instances of grounding, an instance of (5) might in principle obtain without it being singularily zero-grounded, while at the same time being plurally zero-grounded together with [</w:t>
      </w:r>
      <m:oMath>
        <m:r>
          <w:rPr>
            <w:rFonts w:ascii="Cambria Math" w:hAnsi="Cambria Math"/>
          </w:rPr>
          <m:t>P</m:t>
        </m:r>
      </m:oMath>
      <w:r>
        <w:t>].</w:t>
      </w:r>
    </w:p>
    <w:p w14:paraId="2102C567" w14:textId="77777777" w:rsidR="001B40E4" w:rsidRDefault="004456DE">
      <w:pPr>
        <w:pStyle w:val="Textkrper"/>
      </w:pPr>
      <w:r>
        <w:t>Now, is there any reason to assume there being self-explanatory facts of the form of (5)? What kind of facts would be suitable to be collectively zero-grounded, where one of the collectively zero-grounded facts is the corresponding collective zero-grounding fact itself? Dasgupta’s examples for collectively grounded facts all involve facts that are similar in some respect (like the individualistic facts). So a natural candidate for our collectively zero-grounded facts are other (non-factive) grounding facts. According to this idea, all non-factive grounding facts would be irreducibly collectively zero-grounded, including this collective non-factive grounding fact itself. One tentative advantage this proposal has over Litland’s ((2017)) original proposal (according to which non-factive grounding facts are zero-grounded) is that it avoids the following somewhat awkward regress: According to Litland’s proposal, [</w:t>
      </w:r>
      <m:oMath>
        <m:r>
          <w:rPr>
            <w:rFonts w:ascii="Cambria Math" w:hAnsi="Cambria Math"/>
          </w:rPr>
          <m:t>P⇒Q</m:t>
        </m:r>
      </m:oMath>
      <w:r>
        <w:t>] is zero-grounded, [[</w:t>
      </w:r>
      <m:oMath>
        <m:r>
          <w:rPr>
            <w:rFonts w:ascii="Cambria Math" w:hAnsi="Cambria Math"/>
          </w:rPr>
          <m:t>P⇒Q</m:t>
        </m:r>
      </m:oMath>
      <w:r>
        <w:t>] is zero-grounded] is zero-grounded, [[[</w:t>
      </w:r>
      <m:oMath>
        <m:r>
          <w:rPr>
            <w:rFonts w:ascii="Cambria Math" w:hAnsi="Cambria Math"/>
          </w:rPr>
          <m:t>P⇒Q</m:t>
        </m:r>
      </m:oMath>
      <w:r>
        <w:t>] is zero-grounded] is zero-grounded], etc.; according to the present proposal there is just one collective zero-grounding fact here.</w:t>
      </w:r>
    </w:p>
    <w:p w14:paraId="025BCAC0" w14:textId="255EF37E" w:rsidR="001B40E4" w:rsidRDefault="009D7FB0" w:rsidP="009D7FB0">
      <w:pPr>
        <w:pStyle w:val="berschrift2"/>
        <w:numPr>
          <w:ilvl w:val="1"/>
          <w:numId w:val="10"/>
        </w:numPr>
        <w:ind w:left="567" w:hanging="567"/>
      </w:pPr>
      <w:bookmarkStart w:id="12" w:name="Generalized_explanatory_links"/>
      <w:r>
        <w:t xml:space="preserve"> </w:t>
      </w:r>
      <w:r w:rsidR="004456DE">
        <w:t>Generalized explanatory links</w:t>
      </w:r>
      <w:bookmarkEnd w:id="12"/>
    </w:p>
    <w:p w14:paraId="742D8918" w14:textId="77777777" w:rsidR="005504C2" w:rsidRDefault="004456DE" w:rsidP="005504C2">
      <w:pPr>
        <w:pStyle w:val="FirstParagraph"/>
      </w:pPr>
      <w:r>
        <w:t>Let us finally consider how generalized links, such as laws of the following form might help (let ‘</w:t>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oMath>
      <w:r>
        <w:t>’ stand for a law operator like the metaphysical law operator):</w:t>
      </w:r>
    </w:p>
    <w:p w14:paraId="716B328C" w14:textId="77777777" w:rsidR="005504C2" w:rsidRDefault="005504C2" w:rsidP="005504C2">
      <w:pPr>
        <w:pStyle w:val="FirstParagraph"/>
      </w:pPr>
    </w:p>
    <w:p w14:paraId="762D4BEB" w14:textId="725F261C" w:rsidR="001B40E4" w:rsidRDefault="004456DE" w:rsidP="005504C2">
      <w:pPr>
        <w:pStyle w:val="FirstParagraph"/>
        <w:rPr>
          <w:rFonts w:eastAsiaTheme="minorEastAsia"/>
          <w:b/>
          <w:bCs/>
        </w:rPr>
      </w:pPr>
      <w:r w:rsidRPr="005504C2">
        <w:rPr>
          <w:b/>
          <w:bCs/>
        </w:rPr>
        <w:t>(LAW)</w:t>
      </w:r>
      <w:r w:rsidR="00A43F76">
        <w:tab/>
      </w:r>
      <w:r w:rsidR="00A43F76" w:rsidRPr="00A43F76">
        <w:rPr>
          <w:b/>
          <w:bCs/>
        </w:rPr>
        <w:tab/>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r>
          <w:rPr>
            <w:rFonts w:ascii="Cambria Math" w:hAnsi="Cambria Math"/>
          </w:rPr>
          <m:t>x(Fx→Gx)</m:t>
        </m:r>
      </m:oMath>
    </w:p>
    <w:p w14:paraId="006A4C64" w14:textId="77777777" w:rsidR="005504C2" w:rsidRPr="005504C2" w:rsidRDefault="005504C2" w:rsidP="005504C2">
      <w:pPr>
        <w:pStyle w:val="Textkrper"/>
      </w:pPr>
    </w:p>
    <w:p w14:paraId="42C65F7F" w14:textId="77777777" w:rsidR="001B40E4" w:rsidRDefault="004456DE">
      <w:pPr>
        <w:pStyle w:val="FirstParagraph"/>
      </w:pPr>
      <w:r>
        <w:t xml:space="preserve">The idea is this: An ordinary generalized explanatory link can serve as an explanatory link of many explanations by linking different bases with different results. A generalized link of an empty-base explanation could in turn figure in explanations with several different results. Thus, in principle, there might be such a link which is the result of an empty-base explanation and which thus explains itself, but </w:t>
      </w:r>
      <w:r>
        <w:lastRenderedPageBreak/>
        <w:t>which in addition is the link of a further (possibly empty-base) explanation with a different result. Incidentally, the idea is reminiscent of Nozick’s idea of “explanatory self-subsumption”:</w:t>
      </w:r>
    </w:p>
    <w:p w14:paraId="4F4A5EFB" w14:textId="77777777" w:rsidR="001B40E4" w:rsidRDefault="004456DE" w:rsidP="005504C2">
      <w:pPr>
        <w:pStyle w:val="Blocktext"/>
        <w:ind w:firstLine="0"/>
      </w:pPr>
      <w:r>
        <w:t>“The objectionable examples of explanatory self-deduction (total or partial) involve deductions that proceed via the propositional calculus. Would the explanation of a law be illegitimate automatically if instead the law was deduced from itself via quantification theory, as an instance of itself? If explanation is subsumption under a law, why may not a law be subsumed under itself?” (Nozick (1981, 119ff.))</w:t>
      </w:r>
    </w:p>
    <w:p w14:paraId="732AA6D6" w14:textId="77777777" w:rsidR="001B40E4" w:rsidRDefault="004456DE">
      <w:pPr>
        <w:pStyle w:val="FirstParagraph"/>
      </w:pPr>
      <w:r>
        <w:t xml:space="preserve">Here, Nozick appears to suggest that the permissibility of self-explanation somehow depends on whether the involved explanatory steps correspond to rules of the predicational calculus as opposed to the propositional calculus, but this does not seem very convincing: Just consider the question of whether universal generalizations are grounded in their instances or whether they ground their instances: While both options </w:t>
      </w:r>
      <w:r>
        <w:rPr>
          <w:i/>
        </w:rPr>
        <w:t>may</w:t>
      </w:r>
      <w:r>
        <w:t xml:space="preserve"> have some initial plausibility, we should not accept both on pain of violating the asymmetry of grounding.</w:t>
      </w:r>
    </w:p>
    <w:p w14:paraId="464F4FE9" w14:textId="7D6753FE" w:rsidR="001B40E4" w:rsidRDefault="004456DE">
      <w:pPr>
        <w:pStyle w:val="Textkrper"/>
      </w:pPr>
      <w:r>
        <w:t>But we can ignore this part of Nozick’s suggestion, and then the above considerations about empty-base self-explanation can help capture his idea of a self-subsuming explanatory law. Nozick (1981</w:t>
      </w:r>
      <w:r w:rsidR="00A43F76">
        <w:t>:</w:t>
      </w:r>
      <w:r>
        <w:t xml:space="preserve"> 119) does not properly distinguish between the roles of explanatory link and base; for example, he takes a self-subsuming principle to be an (explanatory) reason of itself. But if we make the distinction and understand explanatory self-subsumption as a kind of empty-base self-explanation, we can explain why explanatory self-subsumption may seem possible, namely because the simple arguments against self-explanation then do not apply to it.</w:t>
      </w:r>
    </w:p>
    <w:p w14:paraId="7B3C4DCB" w14:textId="1596231E" w:rsidR="005504C2" w:rsidRDefault="004456DE" w:rsidP="005504C2">
      <w:pPr>
        <w:pStyle w:val="Textkrper"/>
      </w:pPr>
      <w:r>
        <w:t>Let us think a little about the form self-explaining links à la Nozick would have to take. Let us consider unconditional links involving both quantification over entities and into sentence position. We can furthermore consider ordinary quantification or quantification into sentence position. Empty-base law-like links could then for example have one of the following forms (let ‘</w:t>
      </w:r>
      <m:oMath>
        <m:r>
          <w:rPr>
            <w:rFonts w:ascii="Cambria Math" w:hAnsi="Cambria Math"/>
          </w:rPr>
          <m:t>O</m:t>
        </m:r>
      </m:oMath>
      <w:r>
        <w:t>’ schematically stand for a sentential operator):</w:t>
      </w:r>
    </w:p>
    <w:p w14:paraId="3BCDE64D" w14:textId="77777777" w:rsidR="005504C2" w:rsidRDefault="005504C2" w:rsidP="005504C2">
      <w:pPr>
        <w:pStyle w:val="Textkrper"/>
      </w:pPr>
    </w:p>
    <w:p w14:paraId="2691AA06" w14:textId="02D7BCE1" w:rsidR="005504C2" w:rsidRDefault="004456DE" w:rsidP="005504C2">
      <w:pPr>
        <w:pStyle w:val="Textkrper"/>
        <w:ind w:firstLine="0"/>
        <w:rPr>
          <w:rFonts w:eastAsiaTheme="minorEastAsia"/>
          <w:b/>
          <w:bCs/>
        </w:rPr>
      </w:pPr>
      <w:r w:rsidRPr="00A43F76">
        <w:rPr>
          <w:b/>
          <w:bCs/>
        </w:rPr>
        <w:t>(L1)</w:t>
      </w:r>
      <w:r w:rsidR="00A43F76" w:rsidRPr="00A339FF">
        <w:tab/>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r>
          <w:rPr>
            <w:rFonts w:ascii="Cambria Math" w:hAnsi="Cambria Math"/>
          </w:rPr>
          <m:t>x</m:t>
        </m:r>
        <m:d>
          <m:dPr>
            <m:ctrlPr>
              <w:rPr>
                <w:rFonts w:ascii="Cambria Math" w:hAnsi="Cambria Math"/>
                <w:i/>
              </w:rPr>
            </m:ctrlPr>
          </m:dPr>
          <m:e>
            <m:r>
              <w:rPr>
                <w:rFonts w:ascii="Cambria Math" w:hAnsi="Cambria Math"/>
              </w:rPr>
              <m:t>Gx</m:t>
            </m:r>
          </m:e>
        </m:d>
      </m:oMath>
    </w:p>
    <w:p w14:paraId="2525B3BC" w14:textId="77777777" w:rsidR="005504C2" w:rsidRPr="005504C2" w:rsidRDefault="005504C2" w:rsidP="005504C2">
      <w:pPr>
        <w:pStyle w:val="Textkrper"/>
        <w:ind w:firstLine="0"/>
        <w:rPr>
          <w:rFonts w:eastAsiaTheme="minorEastAsia"/>
          <w:b/>
          <w:bCs/>
        </w:rPr>
      </w:pPr>
    </w:p>
    <w:p w14:paraId="1E6A99A9" w14:textId="72CFF6BF" w:rsidR="005504C2" w:rsidRDefault="004456DE" w:rsidP="005504C2">
      <w:pPr>
        <w:pStyle w:val="Textkrper"/>
        <w:ind w:firstLine="0"/>
        <w:rPr>
          <w:rFonts w:eastAsiaTheme="minorEastAsia"/>
          <w:b/>
          <w:bCs/>
        </w:rPr>
      </w:pPr>
      <w:r w:rsidRPr="00A43F76">
        <w:rPr>
          <w:b/>
          <w:bCs/>
        </w:rPr>
        <w:t>(L2)</w:t>
      </w:r>
      <w:r w:rsidR="00A43F76" w:rsidRPr="00A339FF">
        <w:rPr>
          <w:bCs/>
        </w:rPr>
        <w:tab/>
      </w:r>
      <m:oMath>
        <m:nary>
          <m:naryPr>
            <m:chr m:val="□"/>
            <m:limLoc m:val="subSup"/>
            <m:supHide m:val="1"/>
            <m:ctrlPr>
              <w:rPr>
                <w:rFonts w:ascii="Cambria Math" w:hAnsi="Cambria Math"/>
                <w:bCs/>
              </w:rPr>
            </m:ctrlPr>
          </m:naryPr>
          <m:sub>
            <m:r>
              <w:rPr>
                <w:rFonts w:ascii="Cambria Math" w:hAnsi="Cambria Math"/>
              </w:rPr>
              <m:t>L</m:t>
            </m:r>
          </m:sub>
          <m:sup>
            <m:r>
              <w:rPr>
                <w:rFonts w:ascii="Cambria Math" w:hAnsi="Cambria Math"/>
              </w:rPr>
              <m:t>​</m:t>
            </m:r>
          </m:sup>
          <m:e>
            <m:r>
              <w:rPr>
                <w:rFonts w:ascii="Cambria Math" w:hAnsi="Cambria Math"/>
              </w:rPr>
              <m:t>∀</m:t>
            </m:r>
          </m:e>
        </m:nary>
        <m:r>
          <w:rPr>
            <w:rFonts w:ascii="Cambria Math" w:hAnsi="Cambria Math"/>
          </w:rPr>
          <m:t>p(Op)</m:t>
        </m:r>
      </m:oMath>
    </w:p>
    <w:p w14:paraId="1892F7F2" w14:textId="77777777" w:rsidR="005504C2" w:rsidRPr="005504C2" w:rsidRDefault="005504C2" w:rsidP="005504C2">
      <w:pPr>
        <w:pStyle w:val="Textkrper"/>
        <w:ind w:firstLine="0"/>
        <w:rPr>
          <w:rFonts w:eastAsiaTheme="minorEastAsia"/>
          <w:b/>
          <w:bCs/>
        </w:rPr>
      </w:pPr>
    </w:p>
    <w:p w14:paraId="394E8D79" w14:textId="77777777" w:rsidR="005504C2" w:rsidRDefault="004456DE" w:rsidP="005504C2">
      <w:pPr>
        <w:pStyle w:val="FirstParagraph"/>
      </w:pPr>
      <w:r>
        <w:t xml:space="preserve">It is unclear to me whether there could be an instance of (L1) that satisfies the formal criterion, i.e. an instance such that one of the instances of the involved quantification is identical to the proposition that is </w:t>
      </w:r>
      <w:r>
        <w:lastRenderedPageBreak/>
        <w:t>the whole link.</w:t>
      </w:r>
      <w:r>
        <w:rPr>
          <w:rStyle w:val="Funotenzeichen"/>
        </w:rPr>
        <w:footnoteReference w:id="41"/>
      </w:r>
      <w:r>
        <w:t xml:space="preserve"> But consider (L2): Could there be an instance for ‘</w:t>
      </w:r>
      <m:oMath>
        <m:r>
          <w:rPr>
            <w:rFonts w:ascii="Cambria Math" w:hAnsi="Cambria Math"/>
          </w:rPr>
          <m:t>O</m:t>
        </m:r>
      </m:oMath>
      <w:r>
        <w:t>’ and a proposition [</w:t>
      </w:r>
      <m:oMath>
        <m:r>
          <w:rPr>
            <w:rFonts w:ascii="Cambria Math" w:hAnsi="Cambria Math"/>
          </w:rPr>
          <m:t>P</m:t>
        </m:r>
      </m:oMath>
      <w:r>
        <w:t>] such that the proposition [</w:t>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r>
          <w:rPr>
            <w:rFonts w:ascii="Cambria Math" w:hAnsi="Cambria Math"/>
          </w:rPr>
          <m:t>p(Op)</m:t>
        </m:r>
      </m:oMath>
      <w:r>
        <w:t>] is identical to the proposition [</w:t>
      </w:r>
      <m:oMath>
        <m:r>
          <w:rPr>
            <w:rFonts w:ascii="Cambria Math" w:hAnsi="Cambria Math"/>
          </w:rPr>
          <m:t>OP</m:t>
        </m:r>
      </m:oMath>
      <w:r>
        <w:t xml:space="preserve">]? Well, such instances are provided by the </w:t>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oMath>
      <w:r>
        <w:t>-operator and the proposition [</w:t>
      </w:r>
      <m:oMath>
        <m:r>
          <w:rPr>
            <w:rFonts w:ascii="Cambria Math" w:hAnsi="Cambria Math"/>
          </w:rPr>
          <m:t>∀p(</m:t>
        </m:r>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p</m:t>
            </m:r>
          </m:e>
        </m:nary>
        <m:r>
          <w:rPr>
            <w:rFonts w:ascii="Cambria Math" w:hAnsi="Cambria Math"/>
          </w:rPr>
          <m:t>)</m:t>
        </m:r>
      </m:oMath>
      <w:r>
        <w:t>]:</w:t>
      </w:r>
    </w:p>
    <w:p w14:paraId="00186B41" w14:textId="77777777" w:rsidR="005504C2" w:rsidRDefault="005504C2" w:rsidP="005504C2">
      <w:pPr>
        <w:pStyle w:val="FirstParagraph"/>
      </w:pPr>
    </w:p>
    <w:p w14:paraId="3573DFCF" w14:textId="1F322FDC" w:rsidR="001B40E4" w:rsidRPr="00537C10" w:rsidRDefault="004456DE" w:rsidP="005504C2">
      <w:pPr>
        <w:pStyle w:val="FirstParagraph"/>
        <w:rPr>
          <w:rFonts w:eastAsiaTheme="minorEastAsia"/>
        </w:rPr>
      </w:pPr>
      <w:r w:rsidRPr="005504C2">
        <w:rPr>
          <w:b/>
          <w:bCs/>
        </w:rPr>
        <w:t>(L3)</w:t>
      </w:r>
      <w:r w:rsidR="00A43F76" w:rsidRPr="00537C10">
        <w:tab/>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r>
          <w:rPr>
            <w:rFonts w:ascii="Cambria Math" w:hAnsi="Cambria Math"/>
          </w:rPr>
          <m:t>p(</m:t>
        </m:r>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p</m:t>
            </m:r>
          </m:e>
        </m:nary>
        <m:r>
          <w:rPr>
            <w:rFonts w:ascii="Cambria Math" w:hAnsi="Cambria Math"/>
          </w:rPr>
          <m:t>)</m:t>
        </m:r>
      </m:oMath>
    </w:p>
    <w:p w14:paraId="330EF7B9" w14:textId="77777777" w:rsidR="005504C2" w:rsidRPr="005504C2" w:rsidRDefault="005504C2" w:rsidP="005504C2">
      <w:pPr>
        <w:pStyle w:val="Textkrper"/>
      </w:pPr>
    </w:p>
    <w:p w14:paraId="395DD5E7" w14:textId="77777777" w:rsidR="001B40E4" w:rsidRDefault="004456DE">
      <w:pPr>
        <w:pStyle w:val="FirstParagraph"/>
      </w:pPr>
      <w:r>
        <w:t>If the quantifier is understood as ranging over all propositions, the result is absurd because for no false proposition [</w:t>
      </w:r>
      <m:oMath>
        <m:r>
          <w:rPr>
            <w:rFonts w:ascii="Cambria Math" w:hAnsi="Cambria Math"/>
          </w:rPr>
          <m:t>P</m:t>
        </m:r>
      </m:oMath>
      <w:r>
        <w:t xml:space="preserve">] is it the case that </w:t>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P</m:t>
            </m:r>
          </m:e>
        </m:nary>
      </m:oMath>
      <w:r>
        <w:t xml:space="preserve">. This problem can be avoided if we instead understand the quantifier as ranging over all </w:t>
      </w:r>
      <w:r>
        <w:rPr>
          <w:i/>
        </w:rPr>
        <w:t>facts</w:t>
      </w:r>
      <w:r>
        <w:t>. The result is a candidate explanatory link according to which every fact is a law. While this will strike many as only marginally more plausible, the result is still interesting: Some philosophers have been moved to admit self-explanatory facts by their acceptance of the PSR. The PSR has also moved some to endorse necessitarianism, the idea that every fact is necessarily the case.</w:t>
      </w:r>
      <w:r>
        <w:rPr>
          <w:rStyle w:val="Funotenzeichen"/>
        </w:rPr>
        <w:footnoteReference w:id="42"/>
      </w:r>
      <w:r>
        <w:t xml:space="preserve"> (L3), properly understood, embodies these two rationalist ideas: It is self-explanatory and it states a variant of necessitarianism according to which every fact is a law.</w:t>
      </w:r>
      <w:r>
        <w:rPr>
          <w:rStyle w:val="Funotenzeichen"/>
        </w:rPr>
        <w:footnoteReference w:id="43"/>
      </w:r>
    </w:p>
    <w:p w14:paraId="5FE3C041" w14:textId="01783DF8" w:rsidR="001B40E4" w:rsidRDefault="004456DE">
      <w:pPr>
        <w:pStyle w:val="Textkrper"/>
      </w:pPr>
      <w:r>
        <w:t>Let us take stock: While it is unclear whether there are more plausible candidates for empty-base self-explanation, we have made progress towards answering whether empty-base self-explanation is possible by clarifying what it would take for them to exist. If we are pessimistic about the prospects of empty-base self-explanation, we have at least gained a better understanding of why this kind of self-explanation does not exist: Not because ‘</w:t>
      </w:r>
      <w:proofErr w:type="spellStart"/>
      <w:r>
        <w:t>explains</w:t>
      </w:r>
      <w:r>
        <w:rPr>
          <w:vertAlign w:val="subscript"/>
        </w:rPr>
        <w:t>inclusive</w:t>
      </w:r>
      <w:proofErr w:type="spellEnd"/>
      <w:r>
        <w:t xml:space="preserve">’ is irreflexive, as the arguments of section </w:t>
      </w:r>
      <w:hyperlink w:anchor="Two Notions of Self-Explanation">
        <w:r>
          <w:rPr>
            <w:rStyle w:val="Hyperlink"/>
          </w:rPr>
          <w:t>4</w:t>
        </w:r>
      </w:hyperlink>
      <w:r>
        <w:t xml:space="preserve"> would have it, but because it is hard to find substantial and plausible propositions of the required form.</w:t>
      </w:r>
    </w:p>
    <w:p w14:paraId="3F536670" w14:textId="4DF13B42" w:rsidR="001B40E4" w:rsidRDefault="004456DE" w:rsidP="009D7FB0">
      <w:pPr>
        <w:pStyle w:val="berschrift1"/>
        <w:numPr>
          <w:ilvl w:val="0"/>
          <w:numId w:val="10"/>
        </w:numPr>
      </w:pPr>
      <w:bookmarkStart w:id="13" w:name="Two_Interpretations"/>
      <w:r>
        <w:t>Empty-base self-explanation meets philosophical theology</w:t>
      </w:r>
      <w:bookmarkEnd w:id="13"/>
    </w:p>
    <w:p w14:paraId="7D8DB4F2" w14:textId="77777777" w:rsidR="001B40E4" w:rsidRDefault="004456DE">
      <w:pPr>
        <w:pStyle w:val="FirstParagraph"/>
      </w:pPr>
      <w:r>
        <w:t>Let me end the paper by showing how the notions of empty-base explanation and empty-base self-explanations might inform our understanding of certain ideas about the explanation of the existence of God. According to many scholastics like Aquinas, but also according to some later philosophers like Spinoza, God’s essence involves God’s existence.</w:t>
      </w:r>
      <w:r>
        <w:rPr>
          <w:rStyle w:val="Funotenzeichen"/>
        </w:rPr>
        <w:footnoteReference w:id="44"/>
      </w:r>
      <w:r>
        <w:t xml:space="preserve"> This alone suggests a way in which God’s existence might be explained, namely by its status as being part of the essence of God. Using the conceptual </w:t>
      </w:r>
      <w:r>
        <w:lastRenderedPageBreak/>
        <w:t>apparatus developed above, the idea can be put like this: God’s existence is empty-base explained, and the explanatory link of this explanation is the fact that it is part of God’s essence that God exists.</w:t>
      </w:r>
    </w:p>
    <w:p w14:paraId="40639516" w14:textId="77777777" w:rsidR="001B40E4" w:rsidRDefault="004456DE">
      <w:pPr>
        <w:pStyle w:val="Textkrper"/>
      </w:pPr>
      <w:r>
        <w:t xml:space="preserve">Now, both Aquinas and Spinoza go further in that they also believe that God’s existence is </w:t>
      </w:r>
      <w:r>
        <w:rPr>
          <w:i/>
        </w:rPr>
        <w:t>identical</w:t>
      </w:r>
      <w:r>
        <w:t xml:space="preserve"> to God’s essence.</w:t>
      </w:r>
      <w:r>
        <w:rPr>
          <w:rStyle w:val="Funotenzeichen"/>
        </w:rPr>
        <w:footnoteReference w:id="45"/>
      </w:r>
      <w:r>
        <w:t xml:space="preserve"> But this provides the material for a proposal for an empty-base self-explanation of God’s existence: God’s essence, i.e. the fact that it is part of God’s essence that God exists would be the empty-base link of this explanation and God’s existence would be the explanatory result of this explanation. But according to both Aquinas and Spinoza, God’s essence </w:t>
      </w:r>
      <w:r>
        <w:rPr>
          <w:i/>
        </w:rPr>
        <w:t>just is</w:t>
      </w:r>
      <w:r>
        <w:t xml:space="preserve"> God’s existence. If we understand this identity as the identity between the fact that God exists and the fact that it is part of God’s essence that God exists, then the result is a proposal for an empty-base self-explanation.</w:t>
      </w:r>
    </w:p>
    <w:p w14:paraId="475B397E" w14:textId="77777777" w:rsidR="001B40E4" w:rsidRDefault="004456DE">
      <w:pPr>
        <w:pStyle w:val="Textkrper"/>
      </w:pPr>
      <w:r>
        <w:t xml:space="preserve">Some remarks: First, by understanding their proposal as concerning empty-base self-explanations, both Aquinas and Spinoza might avoid the arguments against the intelligibility of self-explanation, as I have argued above. Second, the proposal is confronted with an issue we have encountered already: It is unclear that the required claim concerning the identity between the explanandum and the explanatory link can be made sense of. Third, while Aquinas’ and Spinoza’s shared assumptions allow for a proposal for a self-explanation of God’s existence without the need to claim that God’s existence is its own reason why (e.g. its own ground or cause), Spinoza appears to explicitly want to claim that God is her own cause, i.e. a </w:t>
      </w:r>
      <w:r>
        <w:rPr>
          <w:i/>
        </w:rPr>
        <w:t>causa sui</w:t>
      </w:r>
      <w:r>
        <w:t xml:space="preserve"> and thus reason why.</w:t>
      </w:r>
      <w:r>
        <w:rPr>
          <w:rStyle w:val="Funotenzeichen"/>
        </w:rPr>
        <w:footnoteReference w:id="46"/>
      </w:r>
    </w:p>
    <w:p w14:paraId="11B98213" w14:textId="228A1E91" w:rsidR="001B40E4" w:rsidRDefault="004456DE" w:rsidP="009D7FB0">
      <w:pPr>
        <w:pStyle w:val="berschrift1"/>
        <w:numPr>
          <w:ilvl w:val="0"/>
          <w:numId w:val="10"/>
        </w:numPr>
      </w:pPr>
      <w:bookmarkStart w:id="14" w:name="conclusion"/>
      <w:bookmarkStart w:id="15" w:name="_Hlk83036322"/>
      <w:r>
        <w:t>Conclusion</w:t>
      </w:r>
      <w:bookmarkEnd w:id="14"/>
    </w:p>
    <w:bookmarkEnd w:id="15"/>
    <w:p w14:paraId="14BFCA94" w14:textId="7CEDF76E" w:rsidR="001B40E4" w:rsidRDefault="004456DE">
      <w:pPr>
        <w:pStyle w:val="FirstParagraph"/>
      </w:pPr>
      <w:r>
        <w:t>Let us recapitulate: Using the tripartite account of the structure of explanations, I have distinguished two notions of self-explanation, defended one against certain arguments against the possibility of self-explanation, and applied it in a solution of the circularity problem for Humeanism about laws of nature. In the remainder of the paper, I have developed and suggested some applications of the notion of an empty-base self-explanation.</w:t>
      </w:r>
      <w:r w:rsidR="008B536E">
        <w:rPr>
          <w:rStyle w:val="Funotenzeichen"/>
        </w:rPr>
        <w:footnoteReference w:id="47"/>
      </w:r>
    </w:p>
    <w:p w14:paraId="1DE8C8DE" w14:textId="54D7ACCA" w:rsidR="00A43F76" w:rsidRDefault="00A43F76" w:rsidP="005504C2">
      <w:pPr>
        <w:pStyle w:val="berschrift1"/>
      </w:pPr>
      <w:bookmarkStart w:id="16" w:name="ref-sep-grounding"/>
      <w:bookmarkStart w:id="17" w:name="refs"/>
      <w:r>
        <w:t>Bibliography</w:t>
      </w:r>
    </w:p>
    <w:p w14:paraId="1CCB41AC" w14:textId="7747D88C" w:rsidR="001B40E4" w:rsidRDefault="004456DE" w:rsidP="00A43F76">
      <w:pPr>
        <w:pStyle w:val="Literaturverzeichnis"/>
        <w:spacing w:before="180"/>
      </w:pPr>
      <w:r>
        <w:t xml:space="preserve">Bliss, Ricki, and Kelly Trogdon. 2016. “Metaphysical Grounding.” In </w:t>
      </w:r>
      <w:r>
        <w:rPr>
          <w:i/>
        </w:rPr>
        <w:t>The Stanford Encyclopedia of Philosophy</w:t>
      </w:r>
      <w:r>
        <w:t xml:space="preserve">, edited by Edward N. Zalta, Winter 2016. </w:t>
      </w:r>
      <w:hyperlink r:id="rId8">
        <w:r>
          <w:rPr>
            <w:rStyle w:val="Hyperlink"/>
          </w:rPr>
          <w:t>https://plato.stanford.edu/archives/win2016/entries/grounding/</w:t>
        </w:r>
      </w:hyperlink>
      <w:r>
        <w:t>; Stanford University.</w:t>
      </w:r>
    </w:p>
    <w:p w14:paraId="3CA315E9" w14:textId="77777777" w:rsidR="001B40E4" w:rsidRPr="00D70CC3" w:rsidRDefault="004456DE">
      <w:pPr>
        <w:pStyle w:val="Literaturverzeichnis"/>
        <w:rPr>
          <w:lang w:val="de-DE"/>
        </w:rPr>
      </w:pPr>
      <w:bookmarkStart w:id="18" w:name="ref-Boghossian2001-BOGHAO-2"/>
      <w:bookmarkEnd w:id="16"/>
      <w:r>
        <w:lastRenderedPageBreak/>
        <w:t xml:space="preserve">Boghossian, Paul. 2001. “How Are Objective Epistemic Reasons Possible?” </w:t>
      </w:r>
      <w:proofErr w:type="spellStart"/>
      <w:r w:rsidRPr="00D70CC3">
        <w:rPr>
          <w:i/>
          <w:lang w:val="de-DE"/>
        </w:rPr>
        <w:t>Philosophical</w:t>
      </w:r>
      <w:proofErr w:type="spellEnd"/>
      <w:r w:rsidRPr="00D70CC3">
        <w:rPr>
          <w:i/>
          <w:lang w:val="de-DE"/>
        </w:rPr>
        <w:t xml:space="preserve"> Studies</w:t>
      </w:r>
      <w:r w:rsidRPr="00D70CC3">
        <w:rPr>
          <w:lang w:val="de-DE"/>
        </w:rPr>
        <w:t xml:space="preserve"> 106 (1): 1–40. </w:t>
      </w:r>
      <w:hyperlink r:id="rId9">
        <w:r w:rsidRPr="00D70CC3">
          <w:rPr>
            <w:rStyle w:val="Hyperlink"/>
            <w:lang w:val="de-DE"/>
          </w:rPr>
          <w:t>https://doi.org/10.1023/A:1013141719930</w:t>
        </w:r>
      </w:hyperlink>
      <w:r w:rsidRPr="00D70CC3">
        <w:rPr>
          <w:lang w:val="de-DE"/>
        </w:rPr>
        <w:t>.</w:t>
      </w:r>
    </w:p>
    <w:p w14:paraId="578C6ED9" w14:textId="77777777" w:rsidR="001B40E4" w:rsidRPr="00D70CC3" w:rsidRDefault="004456DE">
      <w:pPr>
        <w:pStyle w:val="Literaturverzeichnis"/>
        <w:rPr>
          <w:lang w:val="de-DE"/>
        </w:rPr>
      </w:pPr>
      <w:bookmarkStart w:id="19" w:name="ref-Bolzano1837"/>
      <w:bookmarkEnd w:id="18"/>
      <w:proofErr w:type="spellStart"/>
      <w:r w:rsidRPr="00D70CC3">
        <w:rPr>
          <w:lang w:val="de-DE"/>
        </w:rPr>
        <w:t>Bolzano</w:t>
      </w:r>
      <w:proofErr w:type="spellEnd"/>
      <w:r w:rsidRPr="00D70CC3">
        <w:rPr>
          <w:lang w:val="de-DE"/>
        </w:rPr>
        <w:t xml:space="preserve">, Bernard. 1837. </w:t>
      </w:r>
      <w:r w:rsidRPr="00D70CC3">
        <w:rPr>
          <w:i/>
          <w:lang w:val="de-DE"/>
        </w:rPr>
        <w:t>Wissenschaftslehre</w:t>
      </w:r>
      <w:r w:rsidRPr="00D70CC3">
        <w:rPr>
          <w:lang w:val="de-DE"/>
        </w:rPr>
        <w:t>. Sulzbach.</w:t>
      </w:r>
    </w:p>
    <w:p w14:paraId="4185678E" w14:textId="77777777" w:rsidR="001B40E4" w:rsidRDefault="004456DE">
      <w:pPr>
        <w:pStyle w:val="Literaturverzeichnis"/>
      </w:pPr>
      <w:bookmarkStart w:id="20" w:name="ref-Carter2017-CARITT-2"/>
      <w:bookmarkEnd w:id="19"/>
      <w:r>
        <w:t xml:space="preserve">Carter, J. Adam, and Duncan Pritchard. 2017. “Inference to the Best Explanation and Epistemic Circularity.” In </w:t>
      </w:r>
      <w:r>
        <w:rPr>
          <w:i/>
        </w:rPr>
        <w:t>Best Explanations: New Essays on Inference to the Best Explanation</w:t>
      </w:r>
      <w:r>
        <w:t>, edited by K. McCain and T. Poston. Oxford University Press.</w:t>
      </w:r>
    </w:p>
    <w:p w14:paraId="35E27B91" w14:textId="77777777" w:rsidR="001B40E4" w:rsidRDefault="004456DE">
      <w:pPr>
        <w:pStyle w:val="Literaturverzeichnis"/>
      </w:pPr>
      <w:bookmarkStart w:id="21" w:name="ref-Correia2013-CORLG"/>
      <w:bookmarkEnd w:id="20"/>
      <w:r>
        <w:t xml:space="preserve">Correia, Fabrice. 2013. “Logical Grounds.” </w:t>
      </w:r>
      <w:r>
        <w:rPr>
          <w:i/>
        </w:rPr>
        <w:t>Review of Symbolic Logic</w:t>
      </w:r>
      <w:r>
        <w:t xml:space="preserve">, no. 1: 1–29. </w:t>
      </w:r>
      <w:hyperlink r:id="rId10">
        <w:r>
          <w:rPr>
            <w:rStyle w:val="Hyperlink"/>
          </w:rPr>
          <w:t>https://doi.org/10.1017/s1755020313000300</w:t>
        </w:r>
      </w:hyperlink>
      <w:r>
        <w:t>.</w:t>
      </w:r>
    </w:p>
    <w:p w14:paraId="4CAB405E" w14:textId="77777777" w:rsidR="001B40E4" w:rsidRDefault="004456DE">
      <w:pPr>
        <w:pStyle w:val="Literaturverzeichnis"/>
      </w:pPr>
      <w:bookmarkStart w:id="22" w:name="ref-Correia2016-COROTL"/>
      <w:bookmarkEnd w:id="21"/>
      <w:r>
        <w:t xml:space="preserve">———. 2016. “On the Logic of Factual Equivalence.” </w:t>
      </w:r>
      <w:r>
        <w:rPr>
          <w:i/>
        </w:rPr>
        <w:t>Review of Symbolic Logic</w:t>
      </w:r>
      <w:r>
        <w:t xml:space="preserve"> 9 (1): 103–22. </w:t>
      </w:r>
      <w:hyperlink r:id="rId11">
        <w:r>
          <w:rPr>
            <w:rStyle w:val="Hyperlink"/>
          </w:rPr>
          <w:t>https://doi.org/10.1017/s1755020315000258</w:t>
        </w:r>
      </w:hyperlink>
      <w:r>
        <w:t>.</w:t>
      </w:r>
    </w:p>
    <w:p w14:paraId="60D1360E" w14:textId="77777777" w:rsidR="001B40E4" w:rsidRDefault="004456DE">
      <w:pPr>
        <w:pStyle w:val="Literaturverzeichnis"/>
      </w:pPr>
      <w:bookmarkStart w:id="23" w:name="ref-CorreiaSchnieder2012"/>
      <w:bookmarkEnd w:id="22"/>
      <w:r>
        <w:t xml:space="preserve">Correia, Fabrice, and Benjamin Schnieder. 2012. “Grounding: An Opinionated Introduction.” In </w:t>
      </w:r>
      <w:r>
        <w:rPr>
          <w:i/>
        </w:rPr>
        <w:t>Metaphysical Grounding: Understanding the Structure of Reality</w:t>
      </w:r>
      <w:r>
        <w:t>, edited by F. Correia and B. Schnieder. Cambridge University Press.</w:t>
      </w:r>
    </w:p>
    <w:p w14:paraId="5513A41B" w14:textId="77777777" w:rsidR="001B40E4" w:rsidRDefault="004456DE">
      <w:pPr>
        <w:pStyle w:val="Literaturverzeichnis"/>
      </w:pPr>
      <w:bookmarkStart w:id="24" w:name="ref-Cotnoir2012-COTNM"/>
      <w:bookmarkEnd w:id="23"/>
      <w:r>
        <w:t xml:space="preserve">Cotnoir, Aaron J., and Andrew Bacon. 2012. “Non-Wellfounded Mereology.” </w:t>
      </w:r>
      <w:r>
        <w:rPr>
          <w:i/>
        </w:rPr>
        <w:t>Review of Symbolic Logic</w:t>
      </w:r>
      <w:r>
        <w:t xml:space="preserve"> 5 (2): 187–204. </w:t>
      </w:r>
      <w:hyperlink r:id="rId12">
        <w:r>
          <w:rPr>
            <w:rStyle w:val="Hyperlink"/>
          </w:rPr>
          <w:t>https://doi.org/10.1017/s1755020311000293</w:t>
        </w:r>
      </w:hyperlink>
      <w:r>
        <w:t>.</w:t>
      </w:r>
    </w:p>
    <w:p w14:paraId="6D8B84A9" w14:textId="77777777" w:rsidR="001B40E4" w:rsidRDefault="004456DE">
      <w:pPr>
        <w:pStyle w:val="Literaturverzeichnis"/>
      </w:pPr>
      <w:bookmarkStart w:id="25" w:name="ref-Dasgupta2014-DASOTP"/>
      <w:bookmarkEnd w:id="24"/>
      <w:r>
        <w:t xml:space="preserve">Dasgupta, Shamik. 2014a. “On the Plurality of Grounds.” </w:t>
      </w:r>
      <w:r>
        <w:rPr>
          <w:i/>
        </w:rPr>
        <w:t>Philosophers’ Imprint</w:t>
      </w:r>
      <w:r>
        <w:t xml:space="preserve"> 14 (20).</w:t>
      </w:r>
    </w:p>
    <w:p w14:paraId="1C6D33F8" w14:textId="77777777" w:rsidR="001B40E4" w:rsidRDefault="004456DE">
      <w:pPr>
        <w:pStyle w:val="Literaturverzeichnis"/>
      </w:pPr>
      <w:bookmarkStart w:id="26" w:name="ref-Dasgupta2014-SHATPO-48"/>
      <w:bookmarkEnd w:id="25"/>
      <w:r>
        <w:t xml:space="preserve">———. 2014b. “The Possibility of Physicalism.” </w:t>
      </w:r>
      <w:r>
        <w:rPr>
          <w:i/>
        </w:rPr>
        <w:t>Journal of Philosophy</w:t>
      </w:r>
      <w:r>
        <w:t xml:space="preserve"> 111 (9/10): 557–92.</w:t>
      </w:r>
    </w:p>
    <w:p w14:paraId="246F6C37" w14:textId="77777777" w:rsidR="001B40E4" w:rsidRDefault="004456DE">
      <w:pPr>
        <w:pStyle w:val="Literaturverzeichnis"/>
      </w:pPr>
      <w:bookmarkStart w:id="27" w:name="ref-Dasgupta2016-DASMR-2"/>
      <w:bookmarkEnd w:id="26"/>
      <w:r>
        <w:t xml:space="preserve">———. 2016. “Metaphysical Rationalism.” </w:t>
      </w:r>
      <w:r>
        <w:rPr>
          <w:i/>
        </w:rPr>
        <w:t>Noûs</w:t>
      </w:r>
      <w:r>
        <w:t xml:space="preserve"> 50 (2): 379–418.</w:t>
      </w:r>
    </w:p>
    <w:p w14:paraId="61973985" w14:textId="77777777" w:rsidR="001B40E4" w:rsidRDefault="004456DE">
      <w:pPr>
        <w:pStyle w:val="Literaturverzeichnis"/>
      </w:pPr>
      <w:bookmarkStart w:id="28" w:name="ref-Rocca2010-DELP"/>
      <w:bookmarkEnd w:id="27"/>
      <w:r>
        <w:t xml:space="preserve">Della Rocca, Michael. 2010. “PSR.” </w:t>
      </w:r>
      <w:r>
        <w:rPr>
          <w:i/>
        </w:rPr>
        <w:t>Philosophers’ Imprint</w:t>
      </w:r>
      <w:r>
        <w:t xml:space="preserve"> 10.</w:t>
      </w:r>
    </w:p>
    <w:p w14:paraId="01867E5C" w14:textId="77777777" w:rsidR="001B40E4" w:rsidRDefault="004456DE">
      <w:pPr>
        <w:pStyle w:val="Literaturverzeichnis"/>
      </w:pPr>
      <w:bookmarkStart w:id="29" w:name="ref-10.1093/analys/anz083"/>
      <w:bookmarkEnd w:id="28"/>
      <w:r>
        <w:t xml:space="preserve">De Rizzo, Julio. 2020. “Grounding grounds necessity.” </w:t>
      </w:r>
      <w:r>
        <w:rPr>
          <w:i/>
        </w:rPr>
        <w:t>Analysis</w:t>
      </w:r>
      <w:r>
        <w:t xml:space="preserve">, February. </w:t>
      </w:r>
      <w:hyperlink r:id="rId13">
        <w:r>
          <w:rPr>
            <w:rStyle w:val="Hyperlink"/>
          </w:rPr>
          <w:t>https://doi.org/10.1093/analys/anz083</w:t>
        </w:r>
      </w:hyperlink>
      <w:r>
        <w:t>.</w:t>
      </w:r>
    </w:p>
    <w:p w14:paraId="1FAA3723" w14:textId="77777777" w:rsidR="001B40E4" w:rsidRDefault="004456DE">
      <w:pPr>
        <w:pStyle w:val="Literaturverzeichnis"/>
      </w:pPr>
      <w:bookmarkStart w:id="30" w:name="ref-Field2008"/>
      <w:bookmarkEnd w:id="29"/>
      <w:r>
        <w:t xml:space="preserve">Field, Hartry. 2008. </w:t>
      </w:r>
      <w:r>
        <w:rPr>
          <w:i/>
        </w:rPr>
        <w:t>Saving Truth from Paradox</w:t>
      </w:r>
      <w:r>
        <w:t>. Oxford University Press.</w:t>
      </w:r>
    </w:p>
    <w:p w14:paraId="6011F788" w14:textId="77777777" w:rsidR="001B40E4" w:rsidRDefault="004456DE">
      <w:pPr>
        <w:pStyle w:val="Literaturverzeichnis"/>
      </w:pPr>
      <w:bookmarkStart w:id="31" w:name="ref-Fine2010-FINSPO-2"/>
      <w:bookmarkEnd w:id="30"/>
      <w:r>
        <w:t xml:space="preserve">Fine, Kit. 2010. “Some Puzzles of Ground.” </w:t>
      </w:r>
      <w:r>
        <w:rPr>
          <w:i/>
        </w:rPr>
        <w:t>Notre Dame Journal of Formal Logic</w:t>
      </w:r>
      <w:r>
        <w:t xml:space="preserve"> 51 (1): 97–118.</w:t>
      </w:r>
    </w:p>
    <w:p w14:paraId="2C51FC21" w14:textId="77777777" w:rsidR="001B40E4" w:rsidRDefault="004456DE">
      <w:pPr>
        <w:pStyle w:val="Literaturverzeichnis"/>
      </w:pPr>
      <w:bookmarkStart w:id="32" w:name="ref-Fine2012-FINGTG"/>
      <w:bookmarkEnd w:id="31"/>
      <w:r>
        <w:t xml:space="preserve">———. 2012. “Guide to Ground.” In </w:t>
      </w:r>
      <w:r>
        <w:rPr>
          <w:i/>
        </w:rPr>
        <w:t>Metaphysical Grounding</w:t>
      </w:r>
      <w:r>
        <w:t>, edited by Fabrice Correia and Benjamin Schnieder, 37–80. Cambridge University Press.</w:t>
      </w:r>
    </w:p>
    <w:p w14:paraId="6042465E" w14:textId="77777777" w:rsidR="001B40E4" w:rsidRDefault="004456DE">
      <w:pPr>
        <w:pStyle w:val="Literaturverzeichnis"/>
      </w:pPr>
      <w:bookmarkStart w:id="33" w:name="ref-Glazier2017-GLAEE-2"/>
      <w:bookmarkEnd w:id="32"/>
      <w:r>
        <w:t xml:space="preserve">Glazier, Martin. 2017. “Essentialist Explanation.” </w:t>
      </w:r>
      <w:r>
        <w:rPr>
          <w:i/>
        </w:rPr>
        <w:t>Philosophical Studies</w:t>
      </w:r>
      <w:r>
        <w:t xml:space="preserve"> 174 (11): 2871–89.</w:t>
      </w:r>
    </w:p>
    <w:p w14:paraId="69926FD1" w14:textId="77777777" w:rsidR="001B40E4" w:rsidRDefault="004456DE">
      <w:pPr>
        <w:pStyle w:val="Literaturverzeichnis"/>
      </w:pPr>
      <w:bookmarkStart w:id="34" w:name="ref-Guigon2015-GUIAUO"/>
      <w:bookmarkEnd w:id="33"/>
      <w:r>
        <w:t xml:space="preserve">Guigon, Ghislain. 2015. “A Universe of Explanations.” In </w:t>
      </w:r>
      <w:r>
        <w:rPr>
          <w:i/>
        </w:rPr>
        <w:t>Oxford Studies in Metaphysics</w:t>
      </w:r>
      <w:r>
        <w:t>, edited by Karen Bennett and Dean W. Zimmerman, 345–75. Oxford University Press.</w:t>
      </w:r>
    </w:p>
    <w:p w14:paraId="31D8A5CE" w14:textId="77777777" w:rsidR="001B40E4" w:rsidRDefault="004456DE">
      <w:pPr>
        <w:pStyle w:val="Literaturverzeichnis"/>
      </w:pPr>
      <w:bookmarkStart w:id="35" w:name="ref-hempel1948studies"/>
      <w:bookmarkEnd w:id="34"/>
      <w:r>
        <w:t xml:space="preserve">Hempel, Carl G., and Paul Oppenheim. 1948. “Studies in the Logic of Explanation.” </w:t>
      </w:r>
      <w:r>
        <w:rPr>
          <w:i/>
        </w:rPr>
        <w:t>Philosophy of Science</w:t>
      </w:r>
      <w:r>
        <w:t xml:space="preserve"> 15 (2): 135–75.</w:t>
      </w:r>
    </w:p>
    <w:p w14:paraId="5F5D937F" w14:textId="77777777" w:rsidR="001B40E4" w:rsidRDefault="004456DE">
      <w:pPr>
        <w:pStyle w:val="Literaturverzeichnis"/>
      </w:pPr>
      <w:bookmarkStart w:id="36" w:name="ref-Peter1996-VANWIT-15"/>
      <w:bookmarkEnd w:id="35"/>
      <w:r>
        <w:t xml:space="preserve">Inwagen, Peter van. 1996. “Why Is There Anything at All?” </w:t>
      </w:r>
      <w:r>
        <w:rPr>
          <w:i/>
        </w:rPr>
        <w:t>Aristotelian Society Supplementary Volume</w:t>
      </w:r>
      <w:r>
        <w:t xml:space="preserve"> 70 (1): 95–120.</w:t>
      </w:r>
    </w:p>
    <w:p w14:paraId="23F049CD" w14:textId="77777777" w:rsidR="001B40E4" w:rsidRDefault="004456DE">
      <w:pPr>
        <w:pStyle w:val="Literaturverzeichnis"/>
      </w:pPr>
      <w:bookmarkStart w:id="37" w:name="ref-Jenkins2011-JENIMD"/>
      <w:bookmarkEnd w:id="36"/>
      <w:r>
        <w:t xml:space="preserve">Jenkins, C. S. 2011. “Is Metaphysical Dependence Irreflexive?” </w:t>
      </w:r>
      <w:r>
        <w:rPr>
          <w:i/>
        </w:rPr>
        <w:t>The Monist</w:t>
      </w:r>
      <w:r>
        <w:t xml:space="preserve"> 94 (2): 267–76.</w:t>
      </w:r>
    </w:p>
    <w:p w14:paraId="544C0F12" w14:textId="77777777" w:rsidR="001B40E4" w:rsidRDefault="004456DE">
      <w:pPr>
        <w:pStyle w:val="Literaturverzeichnis"/>
      </w:pPr>
      <w:bookmarkStart w:id="38" w:name="ref-KappesForthcoming-KAPEBS"/>
      <w:bookmarkEnd w:id="37"/>
      <w:r>
        <w:t xml:space="preserve">Kappes, Yannic. 2020a. “Explanation by Status as Empty-Base Explanation.” </w:t>
      </w:r>
      <w:r>
        <w:rPr>
          <w:i/>
        </w:rPr>
        <w:t>Synthese</w:t>
      </w:r>
      <w:r>
        <w:t xml:space="preserve">, 1–21. </w:t>
      </w:r>
      <w:hyperlink r:id="rId14">
        <w:r>
          <w:rPr>
            <w:rStyle w:val="Hyperlink"/>
          </w:rPr>
          <w:t>https://doi.org/10.1007/s11229-020-02901-y</w:t>
        </w:r>
      </w:hyperlink>
      <w:r>
        <w:t>.</w:t>
      </w:r>
    </w:p>
    <w:p w14:paraId="04EAF7F7" w14:textId="77777777" w:rsidR="001B40E4" w:rsidRDefault="004456DE">
      <w:pPr>
        <w:pStyle w:val="Literaturverzeichnis"/>
      </w:pPr>
      <w:bookmarkStart w:id="39" w:name="ref-KappesForthcoming-KAPTEO-15"/>
      <w:bookmarkEnd w:id="38"/>
      <w:r>
        <w:lastRenderedPageBreak/>
        <w:t xml:space="preserve">———. 2020b. “The Explanation of Logical Theorems and Reductive Truthmakers.” </w:t>
      </w:r>
      <w:r>
        <w:rPr>
          <w:i/>
        </w:rPr>
        <w:t>Philosophical Studies</w:t>
      </w:r>
      <w:r>
        <w:t xml:space="preserve">, 1–18. </w:t>
      </w:r>
      <w:hyperlink r:id="rId15">
        <w:r>
          <w:rPr>
            <w:rStyle w:val="Hyperlink"/>
          </w:rPr>
          <w:t>https://doi.org/10.1007/s11098-020-01474-3</w:t>
        </w:r>
      </w:hyperlink>
      <w:r>
        <w:t>.</w:t>
      </w:r>
    </w:p>
    <w:p w14:paraId="45376AB7" w14:textId="77777777" w:rsidR="001B40E4" w:rsidRDefault="004456DE">
      <w:pPr>
        <w:pStyle w:val="Literaturverzeichnis"/>
      </w:pPr>
      <w:bookmarkStart w:id="40" w:name="ref-Kearns2011-KEACAT"/>
      <w:bookmarkEnd w:id="39"/>
      <w:r>
        <w:t xml:space="preserve">Kearns, Stephen. 2011. “Can a Thing Be Part of Itself?” </w:t>
      </w:r>
      <w:r>
        <w:rPr>
          <w:i/>
        </w:rPr>
        <w:t>American Philosophical Quarterly</w:t>
      </w:r>
      <w:r>
        <w:t>, no. 1: 87.</w:t>
      </w:r>
    </w:p>
    <w:p w14:paraId="7A05B9DB" w14:textId="77777777" w:rsidR="001B40E4" w:rsidRDefault="004456DE">
      <w:pPr>
        <w:pStyle w:val="Literaturverzeichnis"/>
      </w:pPr>
      <w:bookmarkStart w:id="41" w:name="ref-Kim1994-KIMEKA"/>
      <w:bookmarkEnd w:id="40"/>
      <w:r>
        <w:t xml:space="preserve">Kim, Jaegwon. 1994. “Explanatory Knowledge and Metaphysical Dependence.” </w:t>
      </w:r>
      <w:r>
        <w:rPr>
          <w:i/>
        </w:rPr>
        <w:t>Philosophical Issues</w:t>
      </w:r>
      <w:r>
        <w:t xml:space="preserve"> 5: 51–69.</w:t>
      </w:r>
    </w:p>
    <w:p w14:paraId="48B7FC6C" w14:textId="77777777" w:rsidR="001B40E4" w:rsidRDefault="004456DE">
      <w:pPr>
        <w:pStyle w:val="Literaturverzeichnis"/>
      </w:pPr>
      <w:bookmarkStart w:id="42" w:name="ref-Kment2014-KMEMAE"/>
      <w:bookmarkEnd w:id="41"/>
      <w:r>
        <w:t xml:space="preserve">Kment, Boris. 2014. </w:t>
      </w:r>
      <w:r>
        <w:rPr>
          <w:i/>
        </w:rPr>
        <w:t>Modality and Explanatory Reasoning</w:t>
      </w:r>
      <w:r>
        <w:t>. Oxford University Press.</w:t>
      </w:r>
    </w:p>
    <w:p w14:paraId="555B8A6F" w14:textId="77777777" w:rsidR="001B40E4" w:rsidRDefault="004456DE">
      <w:pPr>
        <w:pStyle w:val="Literaturverzeichnis"/>
      </w:pPr>
      <w:bookmarkStart w:id="43" w:name="ref-Kovacs2018-KOVWIW"/>
      <w:bookmarkEnd w:id="42"/>
      <w:r>
        <w:t xml:space="preserve">Kovacs, David Mark. 2018. “What Is Wrong with Self-Grounding?” </w:t>
      </w:r>
      <w:r>
        <w:rPr>
          <w:i/>
        </w:rPr>
        <w:t>Erkenntnis</w:t>
      </w:r>
      <w:r>
        <w:t xml:space="preserve"> 83 (6): 1157–80.</w:t>
      </w:r>
    </w:p>
    <w:p w14:paraId="33DA9DF1" w14:textId="77777777" w:rsidR="001B40E4" w:rsidRDefault="004456DE">
      <w:pPr>
        <w:pStyle w:val="Literaturverzeichnis"/>
      </w:pPr>
      <w:bookmarkStart w:id="44" w:name="ref-Kramer2013-KRMASP"/>
      <w:bookmarkEnd w:id="43"/>
      <w:r>
        <w:t xml:space="preserve">Krämer, Stephan. 2013. “A Simpler Puzzle of Ground.” </w:t>
      </w:r>
      <w:r>
        <w:rPr>
          <w:i/>
        </w:rPr>
        <w:t>Thought: A Journal of Philosophy</w:t>
      </w:r>
      <w:r>
        <w:t xml:space="preserve"> 2 (2): 85–89.</w:t>
      </w:r>
    </w:p>
    <w:p w14:paraId="64E9E351" w14:textId="77777777" w:rsidR="001B40E4" w:rsidRDefault="004456DE">
      <w:pPr>
        <w:pStyle w:val="Literaturverzeichnis"/>
      </w:pPr>
      <w:bookmarkStart w:id="45" w:name="ref-Laerke2011-LAESCA"/>
      <w:bookmarkEnd w:id="44"/>
      <w:r>
        <w:t xml:space="preserve">Lærke, Mogens. 2011. “Spinoza’s Cosmological Argument in the Ethics.” </w:t>
      </w:r>
      <w:r>
        <w:rPr>
          <w:i/>
        </w:rPr>
        <w:t>Journal of the History of Philosophy</w:t>
      </w:r>
      <w:r>
        <w:t xml:space="preserve"> 49 (4): 439–62.</w:t>
      </w:r>
    </w:p>
    <w:p w14:paraId="7BC2802D" w14:textId="77777777" w:rsidR="001B40E4" w:rsidRDefault="004456DE">
      <w:pPr>
        <w:pStyle w:val="Literaturverzeichnis"/>
      </w:pPr>
      <w:bookmarkStart w:id="46" w:name="ref-Lange2013-LANGSE"/>
      <w:bookmarkEnd w:id="45"/>
      <w:r>
        <w:t xml:space="preserve">Lange, Marc. 2013. “Grounding, Scientific Explanation, and Humean Laws.” </w:t>
      </w:r>
      <w:r>
        <w:rPr>
          <w:i/>
        </w:rPr>
        <w:t>Philosophical Studies</w:t>
      </w:r>
      <w:r>
        <w:t xml:space="preserve"> 164 (1): 255–61. </w:t>
      </w:r>
      <w:hyperlink r:id="rId16">
        <w:r>
          <w:rPr>
            <w:rStyle w:val="Hyperlink"/>
          </w:rPr>
          <w:t>https://doi.org/10.1007/s11098-012-0001-x</w:t>
        </w:r>
      </w:hyperlink>
      <w:r>
        <w:t>.</w:t>
      </w:r>
    </w:p>
    <w:p w14:paraId="6FBC31CF" w14:textId="77777777" w:rsidR="001B40E4" w:rsidRDefault="004456DE">
      <w:pPr>
        <w:pStyle w:val="Literaturverzeichnis"/>
      </w:pPr>
      <w:bookmarkStart w:id="47" w:name="ref-LeibnizManuscript-LEIPON"/>
      <w:bookmarkEnd w:id="46"/>
      <w:r>
        <w:t xml:space="preserve">Leibniz, G. W. 1714. </w:t>
      </w:r>
      <w:r>
        <w:rPr>
          <w:i/>
        </w:rPr>
        <w:t>Principles of Nature and Grace</w:t>
      </w:r>
      <w:r>
        <w:t>.</w:t>
      </w:r>
    </w:p>
    <w:p w14:paraId="21CFCEF5" w14:textId="77777777" w:rsidR="001B40E4" w:rsidRDefault="004456DE">
      <w:pPr>
        <w:pStyle w:val="Literaturverzeichnis"/>
      </w:pPr>
      <w:bookmarkStart w:id="48" w:name="ref-Lewis1986"/>
      <w:bookmarkEnd w:id="47"/>
      <w:r>
        <w:t xml:space="preserve">Lewis, David. 1986. “Causal Explanation.” In </w:t>
      </w:r>
      <w:r>
        <w:rPr>
          <w:i/>
        </w:rPr>
        <w:t>Philosophical Papers Vol. II</w:t>
      </w:r>
      <w:r>
        <w:t>, edited by David Lewis, 214–40. Oxford University Press.</w:t>
      </w:r>
    </w:p>
    <w:p w14:paraId="3C43511D" w14:textId="77777777" w:rsidR="001B40E4" w:rsidRDefault="004456DE">
      <w:pPr>
        <w:pStyle w:val="Literaturverzeichnis"/>
      </w:pPr>
      <w:bookmarkStart w:id="49" w:name="ref-Litland2016"/>
      <w:bookmarkEnd w:id="48"/>
      <w:r>
        <w:t xml:space="preserve">Litland, Jon Erling. 2017. “Grounding Grounding.” </w:t>
      </w:r>
      <w:r>
        <w:rPr>
          <w:i/>
        </w:rPr>
        <w:t>Oxford Studies in Metaphysics</w:t>
      </w:r>
      <w:r>
        <w:t xml:space="preserve"> 10.</w:t>
      </w:r>
    </w:p>
    <w:p w14:paraId="7D8BA3A4" w14:textId="77777777" w:rsidR="001B40E4" w:rsidRDefault="004456DE">
      <w:pPr>
        <w:pStyle w:val="Literaturverzeichnis"/>
      </w:pPr>
      <w:bookmarkStart w:id="50" w:name="ref-Litland2018"/>
      <w:bookmarkEnd w:id="49"/>
      <w:r>
        <w:t xml:space="preserve">———. 2018a. “Could the Ground’s Grounding the Grounded Ground the Grounded?” </w:t>
      </w:r>
      <w:r>
        <w:rPr>
          <w:i/>
        </w:rPr>
        <w:t>Analysis</w:t>
      </w:r>
      <w:r>
        <w:t xml:space="preserve"> 78 (1): 56–65.</w:t>
      </w:r>
    </w:p>
    <w:p w14:paraId="7111D02C" w14:textId="77777777" w:rsidR="001B40E4" w:rsidRDefault="004456DE">
      <w:pPr>
        <w:pStyle w:val="Literaturverzeichnis"/>
      </w:pPr>
      <w:bookmarkStart w:id="51" w:name="ref-Litland2018-LITIDO-3"/>
      <w:bookmarkEnd w:id="50"/>
      <w:r>
        <w:t xml:space="preserve">———. 2018b. “In Defense of the (Moderate) Disunity of Grounding.” </w:t>
      </w:r>
      <w:r>
        <w:rPr>
          <w:i/>
        </w:rPr>
        <w:t>Thought: A Journal of Philosophy</w:t>
      </w:r>
      <w:r>
        <w:t xml:space="preserve"> 7 (2): 97–108. </w:t>
      </w:r>
      <w:hyperlink r:id="rId17">
        <w:r>
          <w:rPr>
            <w:rStyle w:val="Hyperlink"/>
          </w:rPr>
          <w:t>https://doi.org/10.1002/tht3.273</w:t>
        </w:r>
      </w:hyperlink>
      <w:r>
        <w:t>.</w:t>
      </w:r>
    </w:p>
    <w:p w14:paraId="536C2317" w14:textId="77777777" w:rsidR="001B40E4" w:rsidRDefault="004456DE">
      <w:pPr>
        <w:pStyle w:val="Literaturverzeichnis"/>
      </w:pPr>
      <w:bookmarkStart w:id="52" w:name="ref-Loewer2012-LOETAO-2"/>
      <w:bookmarkEnd w:id="51"/>
      <w:r>
        <w:t xml:space="preserve">Loewer, Barry. 2012. “Two Accounts of Laws and Time.” </w:t>
      </w:r>
      <w:r>
        <w:rPr>
          <w:i/>
        </w:rPr>
        <w:t>Philosophical Studies</w:t>
      </w:r>
      <w:r>
        <w:t xml:space="preserve"> 160 (1): 115–37. </w:t>
      </w:r>
      <w:hyperlink r:id="rId18">
        <w:r>
          <w:rPr>
            <w:rStyle w:val="Hyperlink"/>
          </w:rPr>
          <w:t>https://doi.org/10.1007/s11098-012-9911-x</w:t>
        </w:r>
      </w:hyperlink>
      <w:r>
        <w:t>.</w:t>
      </w:r>
    </w:p>
    <w:p w14:paraId="768B13FA" w14:textId="77777777" w:rsidR="001B40E4" w:rsidRDefault="004456DE">
      <w:pPr>
        <w:pStyle w:val="Literaturverzeichnis"/>
      </w:pPr>
      <w:bookmarkStart w:id="53" w:name="ref-Lovett2020-LOVTPO-22"/>
      <w:bookmarkEnd w:id="52"/>
      <w:r>
        <w:t xml:space="preserve">Lovett, Adam. 2020. “The Puzzles of Ground.” </w:t>
      </w:r>
      <w:r>
        <w:rPr>
          <w:i/>
        </w:rPr>
        <w:t>Philosophical Studies</w:t>
      </w:r>
      <w:r>
        <w:t xml:space="preserve"> 177 (9): 2541–64. </w:t>
      </w:r>
      <w:hyperlink r:id="rId19">
        <w:r>
          <w:rPr>
            <w:rStyle w:val="Hyperlink"/>
          </w:rPr>
          <w:t>https://doi.org/10.1007/s11098-019-01325-w</w:t>
        </w:r>
      </w:hyperlink>
      <w:r>
        <w:t>.</w:t>
      </w:r>
    </w:p>
    <w:p w14:paraId="508A49DE" w14:textId="77777777" w:rsidR="001B40E4" w:rsidRDefault="004456DE">
      <w:pPr>
        <w:pStyle w:val="Literaturverzeichnis"/>
      </w:pPr>
      <w:bookmarkStart w:id="54" w:name="ref-sep-aquinas"/>
      <w:bookmarkEnd w:id="53"/>
      <w:r>
        <w:t xml:space="preserve">McInerny, Ralph, and John O’Callaghan. 2018. “Saint Thomas Aquinas.” In </w:t>
      </w:r>
      <w:r>
        <w:rPr>
          <w:i/>
        </w:rPr>
        <w:t>The Stanford Encyclopedia of Philosophy</w:t>
      </w:r>
      <w:r>
        <w:t xml:space="preserve">, edited by Edward N. Zalta, Summer 2018. </w:t>
      </w:r>
      <w:hyperlink r:id="rId20">
        <w:r>
          <w:rPr>
            <w:rStyle w:val="Hyperlink"/>
          </w:rPr>
          <w:t>https://plato.stanford.edu/archives/sum2018/entries/aquinas/</w:t>
        </w:r>
      </w:hyperlink>
      <w:r>
        <w:t>; Stanford University.</w:t>
      </w:r>
    </w:p>
    <w:p w14:paraId="6440A0CA" w14:textId="77777777" w:rsidR="001B40E4" w:rsidRDefault="004456DE">
      <w:pPr>
        <w:pStyle w:val="Literaturverzeichnis"/>
      </w:pPr>
      <w:bookmarkStart w:id="55" w:name="ref-Munoz2020-MUOGN"/>
      <w:bookmarkEnd w:id="54"/>
      <w:r>
        <w:t xml:space="preserve">Muñoz, Daniel. 2020. “Grounding Nonexistence.” </w:t>
      </w:r>
      <w:r>
        <w:rPr>
          <w:i/>
        </w:rPr>
        <w:t>Inquiry: An Interdisciplinary Journal of Philosophy</w:t>
      </w:r>
      <w:r>
        <w:t xml:space="preserve"> 63 (2): 209–29. </w:t>
      </w:r>
      <w:hyperlink r:id="rId21">
        <w:r>
          <w:rPr>
            <w:rStyle w:val="Hyperlink"/>
          </w:rPr>
          <w:t>https://doi.org/10.1080/0020174x.2019.1658634</w:t>
        </w:r>
      </w:hyperlink>
      <w:r>
        <w:t>.</w:t>
      </w:r>
    </w:p>
    <w:p w14:paraId="1E6548BD" w14:textId="77777777" w:rsidR="001B40E4" w:rsidRDefault="004456DE">
      <w:pPr>
        <w:pStyle w:val="Literaturverzeichnis"/>
      </w:pPr>
      <w:bookmarkStart w:id="56" w:name="ref-nozick1981philosophical"/>
      <w:bookmarkEnd w:id="55"/>
      <w:r>
        <w:t xml:space="preserve">Nozick, Robert. 1981. </w:t>
      </w:r>
      <w:r>
        <w:rPr>
          <w:i/>
        </w:rPr>
        <w:t>Philosophical Explanations</w:t>
      </w:r>
      <w:r>
        <w:t>. Harvard University Press.</w:t>
      </w:r>
    </w:p>
    <w:p w14:paraId="2EA44EF5" w14:textId="77777777" w:rsidR="001B40E4" w:rsidRDefault="004456DE">
      <w:pPr>
        <w:pStyle w:val="Literaturverzeichnis"/>
      </w:pPr>
      <w:bookmarkStart w:id="57" w:name="ref-Oppy2006-OPPPPO-2"/>
      <w:bookmarkEnd w:id="56"/>
      <w:r>
        <w:t xml:space="preserve">Oppy, Graham. 2006. </w:t>
      </w:r>
      <w:r>
        <w:rPr>
          <w:i/>
        </w:rPr>
        <w:t>Philosophical Perspectives on Infinity</w:t>
      </w:r>
      <w:r>
        <w:t>. Cambridge University Press.</w:t>
      </w:r>
    </w:p>
    <w:p w14:paraId="7075CDBD" w14:textId="77777777" w:rsidR="001B40E4" w:rsidRDefault="004456DE">
      <w:pPr>
        <w:pStyle w:val="Literaturverzeichnis"/>
      </w:pPr>
      <w:bookmarkStart w:id="58" w:name="ref-Rosen2009"/>
      <w:bookmarkEnd w:id="57"/>
      <w:r>
        <w:t xml:space="preserve">Rosen, Gideon. 2010. “Metaphysical Dependence: Grounding and Reduction.” In </w:t>
      </w:r>
      <w:r>
        <w:rPr>
          <w:i/>
        </w:rPr>
        <w:t>Modality: Metaphysics, Logic, and Epistemology</w:t>
      </w:r>
      <w:r>
        <w:t>, edited by Bob Hale and Aviv Hoffmann, 109–36. Oxford University Press.</w:t>
      </w:r>
    </w:p>
    <w:p w14:paraId="7262C976" w14:textId="77777777" w:rsidR="001B40E4" w:rsidRDefault="004456DE">
      <w:pPr>
        <w:pStyle w:val="Literaturverzeichnis"/>
      </w:pPr>
      <w:bookmarkStart w:id="59" w:name="ref-Rosenkranz2006-ROSPAP"/>
      <w:bookmarkEnd w:id="58"/>
      <w:r>
        <w:t xml:space="preserve">Rosenkranz, Sven, and Arash Sarkohi. 2006. “Platitudes Against Paradox.” </w:t>
      </w:r>
      <w:r>
        <w:rPr>
          <w:i/>
        </w:rPr>
        <w:t>Erkenntnis</w:t>
      </w:r>
      <w:r>
        <w:t xml:space="preserve"> 65 (3): 319–41.</w:t>
      </w:r>
    </w:p>
    <w:p w14:paraId="52D7B32B" w14:textId="77777777" w:rsidR="001B40E4" w:rsidRDefault="004456DE">
      <w:pPr>
        <w:pStyle w:val="Literaturverzeichnis"/>
      </w:pPr>
      <w:bookmarkStart w:id="60" w:name="ref-Roski2018-ROSGAT-3"/>
      <w:bookmarkEnd w:id="59"/>
      <w:r>
        <w:lastRenderedPageBreak/>
        <w:t xml:space="preserve">Roski, Stefan. 2018. “Grounding and the Explanatory Role of Generalizations.” </w:t>
      </w:r>
      <w:r>
        <w:rPr>
          <w:i/>
        </w:rPr>
        <w:t>Philosophical Studies</w:t>
      </w:r>
      <w:r>
        <w:t xml:space="preserve"> 175 (8): 1985–2003.</w:t>
      </w:r>
    </w:p>
    <w:p w14:paraId="380169D7" w14:textId="77777777" w:rsidR="001B40E4" w:rsidRDefault="004456DE">
      <w:pPr>
        <w:pStyle w:val="Literaturverzeichnis"/>
      </w:pPr>
      <w:bookmarkStart w:id="61" w:name="ref-Schaffer2017"/>
      <w:bookmarkEnd w:id="60"/>
      <w:r>
        <w:t xml:space="preserve">Schaffer, Jonathan. 2017a. “Laws for Metaphysical Explanation.” </w:t>
      </w:r>
      <w:r>
        <w:rPr>
          <w:i/>
        </w:rPr>
        <w:t>Philosophical Issues</w:t>
      </w:r>
      <w:r>
        <w:t xml:space="preserve"> 27: 302–21.</w:t>
      </w:r>
    </w:p>
    <w:p w14:paraId="29462231" w14:textId="77777777" w:rsidR="001B40E4" w:rsidRDefault="004456DE">
      <w:pPr>
        <w:pStyle w:val="Literaturverzeichnis"/>
      </w:pPr>
      <w:bookmarkStart w:id="62" w:name="ref-Schafferforthcoming"/>
      <w:bookmarkEnd w:id="61"/>
      <w:r>
        <w:t xml:space="preserve">———. 2017b. “The Ground Between the Gaps.” </w:t>
      </w:r>
      <w:r>
        <w:rPr>
          <w:i/>
        </w:rPr>
        <w:t>Philosophers’ Imprint</w:t>
      </w:r>
      <w:r>
        <w:t xml:space="preserve"> 17.</w:t>
      </w:r>
    </w:p>
    <w:p w14:paraId="029A776A" w14:textId="77777777" w:rsidR="001B40E4" w:rsidRDefault="004456DE">
      <w:pPr>
        <w:pStyle w:val="Literaturverzeichnis"/>
      </w:pPr>
      <w:bookmarkStart w:id="63" w:name="ref-Schnieder2010-SCHAPA-4"/>
      <w:bookmarkEnd w:id="62"/>
      <w:r>
        <w:t xml:space="preserve">Schnieder, Benjamin. 2010. “A Puzzle About ‘Because’.” </w:t>
      </w:r>
      <w:r>
        <w:rPr>
          <w:i/>
        </w:rPr>
        <w:t>Logique et Analyse</w:t>
      </w:r>
      <w:r>
        <w:t xml:space="preserve"> 53.</w:t>
      </w:r>
    </w:p>
    <w:p w14:paraId="7AE3C72A" w14:textId="77777777" w:rsidR="001B40E4" w:rsidRDefault="004456DE">
      <w:pPr>
        <w:pStyle w:val="Literaturverzeichnis"/>
      </w:pPr>
      <w:bookmarkStart w:id="64" w:name="ref-Schnieder2011-SCHALF-2"/>
      <w:bookmarkEnd w:id="63"/>
      <w:r>
        <w:t xml:space="preserve">———. 2011. “A Logic for ‘Because’.” </w:t>
      </w:r>
      <w:r>
        <w:rPr>
          <w:i/>
        </w:rPr>
        <w:t>Review of Symbolic Logic</w:t>
      </w:r>
      <w:r>
        <w:t xml:space="preserve"> 4 (3): 445–65.</w:t>
      </w:r>
    </w:p>
    <w:p w14:paraId="0F5C962B" w14:textId="77777777" w:rsidR="001B40E4" w:rsidRPr="00D70CC3" w:rsidRDefault="004456DE">
      <w:pPr>
        <w:pStyle w:val="Literaturverzeichnis"/>
        <w:rPr>
          <w:lang w:val="de-DE"/>
        </w:rPr>
      </w:pPr>
      <w:bookmarkStart w:id="65" w:name="ref-schnieder2015asymmetry"/>
      <w:bookmarkEnd w:id="64"/>
      <w:r>
        <w:t xml:space="preserve">———. 2015. “The Asymmetry of ‘Because’.” </w:t>
      </w:r>
      <w:r w:rsidRPr="00D70CC3">
        <w:rPr>
          <w:i/>
          <w:lang w:val="de-DE"/>
        </w:rPr>
        <w:t>Grazer Philosophische Studien</w:t>
      </w:r>
      <w:r w:rsidRPr="00D70CC3">
        <w:rPr>
          <w:lang w:val="de-DE"/>
        </w:rPr>
        <w:t xml:space="preserve"> 91 (1).</w:t>
      </w:r>
    </w:p>
    <w:p w14:paraId="6DF9960F" w14:textId="77777777" w:rsidR="001B40E4" w:rsidRDefault="004456DE">
      <w:pPr>
        <w:pStyle w:val="Literaturverzeichnis"/>
      </w:pPr>
      <w:bookmarkStart w:id="66" w:name="ref-Schnieder2015-SCHWR"/>
      <w:bookmarkEnd w:id="65"/>
      <w:r w:rsidRPr="00D70CC3">
        <w:rPr>
          <w:lang w:val="de-DE"/>
        </w:rPr>
        <w:t xml:space="preserve">Schnieder, Benjamin, and Alex Steinberg. </w:t>
      </w:r>
      <w:r>
        <w:t xml:space="preserve">2015. “Without Reason?” </w:t>
      </w:r>
      <w:r>
        <w:rPr>
          <w:i/>
        </w:rPr>
        <w:t>Pacific Philosophical Quarterly</w:t>
      </w:r>
      <w:r>
        <w:t xml:space="preserve"> 96 (3). </w:t>
      </w:r>
      <w:hyperlink r:id="rId22">
        <w:r>
          <w:rPr>
            <w:rStyle w:val="Hyperlink"/>
          </w:rPr>
          <w:t>https://doi.org/10.1111/papq.12065</w:t>
        </w:r>
      </w:hyperlink>
      <w:r>
        <w:t>.</w:t>
      </w:r>
    </w:p>
    <w:p w14:paraId="1AFE9E42" w14:textId="77777777" w:rsidR="001B40E4" w:rsidRDefault="004456DE">
      <w:pPr>
        <w:pStyle w:val="Literaturverzeichnis"/>
      </w:pPr>
      <w:bookmarkStart w:id="67" w:name="ref-Skow2016"/>
      <w:bookmarkEnd w:id="66"/>
      <w:r>
        <w:t xml:space="preserve">Skow, Bradford. 2016. </w:t>
      </w:r>
      <w:r>
        <w:rPr>
          <w:i/>
        </w:rPr>
        <w:t>Reasons Why</w:t>
      </w:r>
      <w:r>
        <w:t>. Oxford University Press.</w:t>
      </w:r>
    </w:p>
    <w:p w14:paraId="350A1787" w14:textId="77777777" w:rsidR="001B40E4" w:rsidRDefault="004456DE">
      <w:pPr>
        <w:pStyle w:val="Literaturverzeichnis"/>
      </w:pPr>
      <w:bookmarkStart w:id="68" w:name="ref-sep-time-travel"/>
      <w:bookmarkEnd w:id="67"/>
      <w:r>
        <w:t xml:space="preserve">Smith, Nicholas J.J. 2019. “Time Travel.” In </w:t>
      </w:r>
      <w:r>
        <w:rPr>
          <w:i/>
        </w:rPr>
        <w:t>The Stanford Encyclopedia of Philosophy</w:t>
      </w:r>
      <w:r>
        <w:t xml:space="preserve">, edited by Edward N. Zalta, Summer 2019. </w:t>
      </w:r>
      <w:hyperlink r:id="rId23">
        <w:r>
          <w:rPr>
            <w:rStyle w:val="Hyperlink"/>
          </w:rPr>
          <w:t>https://plato.stanford.edu/archives/sum2019/entries/time-travel/</w:t>
        </w:r>
      </w:hyperlink>
      <w:r>
        <w:t>; Stanford University.</w:t>
      </w:r>
    </w:p>
    <w:p w14:paraId="5F356FCE" w14:textId="77777777" w:rsidR="001B40E4" w:rsidRDefault="004456DE">
      <w:pPr>
        <w:pStyle w:val="Literaturverzeichnis"/>
      </w:pPr>
      <w:bookmarkStart w:id="69" w:name="ref-sep-david-lewis"/>
      <w:bookmarkEnd w:id="68"/>
      <w:r>
        <w:t xml:space="preserve">Weatherson, Brian. 2016. “David Lewis.” In </w:t>
      </w:r>
      <w:r>
        <w:rPr>
          <w:i/>
        </w:rPr>
        <w:t>The Stanford Encyclopedia of Philosophy</w:t>
      </w:r>
      <w:r>
        <w:t xml:space="preserve">, edited by Edward N. Zalta, Winter 2016. </w:t>
      </w:r>
      <w:hyperlink r:id="rId24">
        <w:r>
          <w:rPr>
            <w:rStyle w:val="Hyperlink"/>
          </w:rPr>
          <w:t>https://plato.stanford.edu/archives/win2016/entries/david-lewis/</w:t>
        </w:r>
      </w:hyperlink>
      <w:r>
        <w:t>; Stanford University.</w:t>
      </w:r>
    </w:p>
    <w:p w14:paraId="200F22E8" w14:textId="77777777" w:rsidR="001B40E4" w:rsidRDefault="004456DE">
      <w:pPr>
        <w:pStyle w:val="Literaturverzeichnis"/>
      </w:pPr>
      <w:bookmarkStart w:id="70" w:name="ref-Woodward2003"/>
      <w:bookmarkEnd w:id="69"/>
      <w:r>
        <w:t xml:space="preserve">Woodward, James. 2003. </w:t>
      </w:r>
      <w:r>
        <w:rPr>
          <w:i/>
        </w:rPr>
        <w:t>Making Things Happen: A Theory of Causal Explanation</w:t>
      </w:r>
      <w:r>
        <w:t>. Oxford University Press.</w:t>
      </w:r>
      <w:bookmarkEnd w:id="17"/>
      <w:bookmarkEnd w:id="70"/>
    </w:p>
    <w:sectPr w:rsidR="001B40E4" w:rsidSect="005504C2">
      <w:pgSz w:w="12240" w:h="15840"/>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359C" w14:textId="77777777" w:rsidR="0007335F" w:rsidRDefault="0007335F">
      <w:pPr>
        <w:spacing w:after="0"/>
      </w:pPr>
      <w:r>
        <w:separator/>
      </w:r>
    </w:p>
  </w:endnote>
  <w:endnote w:type="continuationSeparator" w:id="0">
    <w:p w14:paraId="503BA720" w14:textId="77777777" w:rsidR="0007335F" w:rsidRDefault="00073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8B75" w14:textId="77777777" w:rsidR="0007335F" w:rsidRDefault="0007335F">
      <w:r>
        <w:separator/>
      </w:r>
    </w:p>
  </w:footnote>
  <w:footnote w:type="continuationSeparator" w:id="0">
    <w:p w14:paraId="04B94FE7" w14:textId="77777777" w:rsidR="0007335F" w:rsidRDefault="0007335F">
      <w:r>
        <w:continuationSeparator/>
      </w:r>
    </w:p>
  </w:footnote>
  <w:footnote w:id="1">
    <w:p w14:paraId="3C1B9E9A" w14:textId="36E76F23" w:rsidR="001B40E4" w:rsidRDefault="004456DE" w:rsidP="001F5866">
      <w:pPr>
        <w:pStyle w:val="Funotentext"/>
      </w:pPr>
      <w:r>
        <w:rPr>
          <w:rStyle w:val="Funotenzeichen"/>
        </w:rPr>
        <w:footnoteRef/>
      </w:r>
      <w:r>
        <w:t xml:space="preserve"> Proponents of the principle of sufficient reason (PSR) are sometimes drawn to ideas like this (cf. Guigon (2015)). Spinoza for example considers God to be a </w:t>
      </w:r>
      <w:r>
        <w:rPr>
          <w:i/>
        </w:rPr>
        <w:t>causa sui</w:t>
      </w:r>
      <w:r>
        <w:t xml:space="preserve"> (cf. Lærke (2011)). The idea can also be found in the literature on the question why there is anything at all, </w:t>
      </w:r>
      <w:proofErr w:type="gramStart"/>
      <w:r>
        <w:t>e.g.</w:t>
      </w:r>
      <w:proofErr w:type="gramEnd"/>
      <w:r>
        <w:t xml:space="preserve"> Nozick (1981</w:t>
      </w:r>
      <w:r w:rsidR="00D70CC3">
        <w:t>:</w:t>
      </w:r>
      <w:r>
        <w:t xml:space="preserve"> 115ff.).</w:t>
      </w:r>
    </w:p>
  </w:footnote>
  <w:footnote w:id="2">
    <w:p w14:paraId="0AA04F25" w14:textId="69DFD8CD" w:rsidR="001B40E4" w:rsidRDefault="004456DE">
      <w:pPr>
        <w:pStyle w:val="Funotentext"/>
      </w:pPr>
      <w:r>
        <w:rPr>
          <w:rStyle w:val="Funotenzeichen"/>
        </w:rPr>
        <w:footnoteRef/>
      </w:r>
      <w:r>
        <w:t xml:space="preserve"> </w:t>
      </w:r>
      <w:proofErr w:type="gramStart"/>
      <w:r>
        <w:t>E.g.</w:t>
      </w:r>
      <w:proofErr w:type="gramEnd"/>
      <w:r>
        <w:t xml:space="preserve"> Oppy (2006</w:t>
      </w:r>
      <w:r w:rsidR="00D70CC3">
        <w:t>:</w:t>
      </w:r>
      <w:r>
        <w:t xml:space="preserve"> 277ff.), Kovacs (2018), and relatedly Schnieder (2015) on the asymmetry of ‘because’.</w:t>
      </w:r>
    </w:p>
  </w:footnote>
  <w:footnote w:id="3">
    <w:p w14:paraId="4308ED59" w14:textId="77777777" w:rsidR="001B40E4" w:rsidRDefault="004456DE">
      <w:pPr>
        <w:pStyle w:val="Funotentext"/>
      </w:pPr>
      <w:r>
        <w:rPr>
          <w:rStyle w:val="Funotenzeichen"/>
        </w:rPr>
        <w:footnoteRef/>
      </w:r>
      <w:r>
        <w:t xml:space="preserve"> This section draws from my discussion of empty-base explanation in Kappes (2020b) and Kappes (2020a).</w:t>
      </w:r>
    </w:p>
  </w:footnote>
  <w:footnote w:id="4">
    <w:p w14:paraId="48863DEE" w14:textId="7D50DAFC" w:rsidR="001B40E4" w:rsidRDefault="004456DE">
      <w:pPr>
        <w:pStyle w:val="Funotentext"/>
      </w:pPr>
      <w:r>
        <w:rPr>
          <w:rStyle w:val="Funotenzeichen"/>
        </w:rPr>
        <w:footnoteRef/>
      </w:r>
      <w:r>
        <w:t xml:space="preserve"> For accounts of this notion see for example Rosen </w:t>
      </w:r>
      <w:r w:rsidR="00D70CC3">
        <w:t>(</w:t>
      </w:r>
      <w:r>
        <w:t>2010),</w:t>
      </w:r>
      <w:r w:rsidR="008457D4">
        <w:t xml:space="preserve"> </w:t>
      </w:r>
      <w:r>
        <w:t xml:space="preserve">Fine </w:t>
      </w:r>
      <w:r w:rsidR="008457D4">
        <w:t>(</w:t>
      </w:r>
      <w:r>
        <w:t>2012), and the introduction</w:t>
      </w:r>
      <w:r w:rsidR="008457D4">
        <w:t xml:space="preserve"> by </w:t>
      </w:r>
      <w:r>
        <w:t xml:space="preserve">Correia and </w:t>
      </w:r>
      <w:proofErr w:type="spellStart"/>
      <w:r>
        <w:t>Schnieder</w:t>
      </w:r>
      <w:proofErr w:type="spellEnd"/>
      <w:r>
        <w:t xml:space="preserve"> </w:t>
      </w:r>
      <w:r w:rsidR="008457D4">
        <w:t>(</w:t>
      </w:r>
      <w:r>
        <w:t>2012).</w:t>
      </w:r>
    </w:p>
  </w:footnote>
  <w:footnote w:id="5">
    <w:p w14:paraId="6102C20E" w14:textId="77777777" w:rsidR="001B40E4" w:rsidRDefault="004456DE">
      <w:pPr>
        <w:pStyle w:val="Funotentext"/>
      </w:pPr>
      <w:r>
        <w:rPr>
          <w:rStyle w:val="Funotenzeichen"/>
        </w:rPr>
        <w:footnoteRef/>
      </w:r>
      <w:r>
        <w:t xml:space="preserve"> I assume that the constituents of explanations (i.e. the result, the link, and the reasons why) are true propositions or facts and I use the terms interchangeably in this context, unless noted otherwise.</w:t>
      </w:r>
    </w:p>
  </w:footnote>
  <w:footnote w:id="6">
    <w:p w14:paraId="41DB70D2" w14:textId="77777777" w:rsidR="001B40E4" w:rsidRDefault="004456DE">
      <w:pPr>
        <w:pStyle w:val="Funotentext"/>
      </w:pPr>
      <w:r>
        <w:rPr>
          <w:rStyle w:val="Funotenzeichen"/>
        </w:rPr>
        <w:footnoteRef/>
      </w:r>
      <w:r>
        <w:t xml:space="preserve"> Here I follow Schaffer in assuming that it is laws (rather than individual instances of e.g. causation) that play the role of link.</w:t>
      </w:r>
    </w:p>
  </w:footnote>
  <w:footnote w:id="7">
    <w:p w14:paraId="1A840B0C" w14:textId="77777777" w:rsidR="001B40E4" w:rsidRDefault="004456DE">
      <w:pPr>
        <w:pStyle w:val="Funotentext"/>
      </w:pPr>
      <w:r>
        <w:rPr>
          <w:rStyle w:val="Funotenzeichen"/>
        </w:rPr>
        <w:footnoteRef/>
      </w:r>
      <w:r>
        <w:t xml:space="preserve"> See for example Hempel and Oppenheim (1948), Lewis (1986), Kim (1994), Woodward (2003), and Schnieder (2010).</w:t>
      </w:r>
    </w:p>
  </w:footnote>
  <w:footnote w:id="8">
    <w:p w14:paraId="56A88E45" w14:textId="5FC265E8" w:rsidR="001B40E4" w:rsidRDefault="004456DE">
      <w:pPr>
        <w:pStyle w:val="Funotentext"/>
      </w:pPr>
      <w:r>
        <w:rPr>
          <w:rStyle w:val="Funotenzeichen"/>
        </w:rPr>
        <w:footnoteRef/>
      </w:r>
      <w:r>
        <w:t xml:space="preserve"> That the link of a grounding explanation has this form is not uncontroversial. For example, </w:t>
      </w:r>
      <w:proofErr w:type="spellStart"/>
      <w:r>
        <w:t>Litland</w:t>
      </w:r>
      <w:proofErr w:type="spellEnd"/>
      <w:r>
        <w:t xml:space="preserve"> </w:t>
      </w:r>
      <w:r w:rsidR="008457D4">
        <w:t>(</w:t>
      </w:r>
      <w:r>
        <w:t xml:space="preserve">2018b) can be understood as claiming that links are arguments or inferences, and Schaffer </w:t>
      </w:r>
      <w:r w:rsidR="008457D4">
        <w:t>(</w:t>
      </w:r>
      <w:r>
        <w:t xml:space="preserve">2017a) as metaphysical laws, modelled as a structural equation. In what follows, I will assume </w:t>
      </w:r>
      <w:r>
        <w:rPr>
          <w:i/>
        </w:rPr>
        <w:t>pace</w:t>
      </w:r>
      <w:r>
        <w:t xml:space="preserve"> Litland that links are propositions or facts (rather than arguments or inferences), but I allow that links can have the form of laws, cf. section </w:t>
      </w:r>
      <w:hyperlink w:anchor="Generalized explanatory links">
        <w:r>
          <w:rPr>
            <w:rStyle w:val="Hyperlink"/>
          </w:rPr>
          <w:t>7.3</w:t>
        </w:r>
      </w:hyperlink>
      <w:r>
        <w:t>. Thanks to a anonymous referee for this journal here!</w:t>
      </w:r>
    </w:p>
  </w:footnote>
  <w:footnote w:id="9">
    <w:p w14:paraId="1B66CEC7" w14:textId="0A1D80E8" w:rsidR="001B40E4" w:rsidRDefault="004456DE">
      <w:pPr>
        <w:pStyle w:val="Funotentext"/>
      </w:pPr>
      <w:r>
        <w:rPr>
          <w:rStyle w:val="Funotenzeichen"/>
        </w:rPr>
        <w:footnoteRef/>
      </w:r>
      <w:r>
        <w:t xml:space="preserve"> Obviously, the explanatory use of ‘because’ is salient here. For treatments of ‘because’ and the notion of a reason why that support these assumptions, see </w:t>
      </w:r>
      <w:proofErr w:type="spellStart"/>
      <w:r>
        <w:t>Schnieder</w:t>
      </w:r>
      <w:proofErr w:type="spellEnd"/>
      <w:r>
        <w:t xml:space="preserve"> (2010</w:t>
      </w:r>
      <w:r w:rsidR="008457D4">
        <w:t>:</w:t>
      </w:r>
      <w:r>
        <w:t xml:space="preserve"> 10), </w:t>
      </w:r>
      <w:proofErr w:type="spellStart"/>
      <w:r>
        <w:t>Schnieder</w:t>
      </w:r>
      <w:proofErr w:type="spellEnd"/>
      <w:r>
        <w:t xml:space="preserve"> (2015</w:t>
      </w:r>
      <w:r w:rsidR="008457D4">
        <w:t>:</w:t>
      </w:r>
      <w:r>
        <w:t xml:space="preserve"> 142ff.), and Skow (2016).</w:t>
      </w:r>
    </w:p>
  </w:footnote>
  <w:footnote w:id="10">
    <w:p w14:paraId="52175660" w14:textId="244107D5" w:rsidR="001B40E4" w:rsidRDefault="004456DE">
      <w:pPr>
        <w:pStyle w:val="Funotentext"/>
      </w:pPr>
      <w:r>
        <w:rPr>
          <w:rStyle w:val="Funotenzeichen"/>
        </w:rPr>
        <w:footnoteRef/>
      </w:r>
      <w:r>
        <w:t xml:space="preserve"> Here, the relational sense of</w:t>
      </w:r>
      <w:r w:rsidR="00E22E39">
        <w:t xml:space="preserve"> </w:t>
      </w:r>
      <w:r>
        <w:t>‘explains’ is salient in which it expresses a relation that relates propositions or facts, viz. the entities constituting explananda and explanantia.</w:t>
      </w:r>
    </w:p>
  </w:footnote>
  <w:footnote w:id="11">
    <w:p w14:paraId="64596F8C" w14:textId="77777777" w:rsidR="001B40E4" w:rsidRDefault="004456DE">
      <w:pPr>
        <w:pStyle w:val="Funotentext"/>
      </w:pPr>
      <w:r>
        <w:rPr>
          <w:rStyle w:val="Funotenzeichen"/>
        </w:rPr>
        <w:footnoteRef/>
      </w:r>
      <w:r>
        <w:t xml:space="preserve"> Perhaps it is possible that a proposition does not </w:t>
      </w:r>
      <w:r>
        <w:rPr>
          <w:i/>
        </w:rPr>
        <w:t>require</w:t>
      </w:r>
      <w:r>
        <w:t xml:space="preserve"> an explanation and nevertheless </w:t>
      </w:r>
      <w:r>
        <w:rPr>
          <w:i/>
        </w:rPr>
        <w:t>has</w:t>
      </w:r>
      <w:r>
        <w:t xml:space="preserve"> an explanation, but even this case does not capture the idea of a proposition </w:t>
      </w:r>
      <w:r>
        <w:rPr>
          <w:i/>
        </w:rPr>
        <w:t>explaining itself</w:t>
      </w:r>
      <w:r>
        <w:t>.</w:t>
      </w:r>
    </w:p>
  </w:footnote>
  <w:footnote w:id="12">
    <w:p w14:paraId="5619436C" w14:textId="77777777" w:rsidR="001B40E4" w:rsidRDefault="004456DE">
      <w:pPr>
        <w:pStyle w:val="Funotentext"/>
      </w:pPr>
      <w:r>
        <w:rPr>
          <w:rStyle w:val="Funotenzeichen"/>
        </w:rPr>
        <w:footnoteRef/>
      </w:r>
      <w:r>
        <w:t xml:space="preserve"> Something analogous holds for the notion of an empty-base explanation introduced in section </w:t>
      </w:r>
      <w:hyperlink w:anchor="Empty-Base Self-Explanation">
        <w:r>
          <w:rPr>
            <w:rStyle w:val="Hyperlink"/>
          </w:rPr>
          <w:t>7</w:t>
        </w:r>
      </w:hyperlink>
      <w:r>
        <w:t>.</w:t>
      </w:r>
    </w:p>
  </w:footnote>
  <w:footnote w:id="13">
    <w:p w14:paraId="223C5FDA" w14:textId="2A9F28D9" w:rsidR="001B40E4" w:rsidRDefault="004456DE">
      <w:pPr>
        <w:pStyle w:val="Funotentext"/>
      </w:pPr>
      <w:r>
        <w:rPr>
          <w:rStyle w:val="Funotenzeichen"/>
        </w:rPr>
        <w:footnoteRef/>
      </w:r>
      <w:r>
        <w:t xml:space="preserve"> For an argument like this see Oppy (2006</w:t>
      </w:r>
      <w:r w:rsidR="008457D4">
        <w:t>:</w:t>
      </w:r>
      <w:r>
        <w:t xml:space="preserve"> 277f.). Let us ignore complications that might arise from quantifying into the contexts of ‘explains’ and ‘because’: My purpose here is to present a notion of self-explanation that can avoid these arguments independently of such concerns.</w:t>
      </w:r>
    </w:p>
  </w:footnote>
  <w:footnote w:id="14">
    <w:p w14:paraId="0135EAF7" w14:textId="77777777" w:rsidR="001B40E4" w:rsidRDefault="004456DE">
      <w:pPr>
        <w:pStyle w:val="Funotentext"/>
      </w:pPr>
      <w:r>
        <w:rPr>
          <w:rStyle w:val="Funotenzeichen"/>
        </w:rPr>
        <w:footnoteRef/>
      </w:r>
      <w:r>
        <w:t xml:space="preserve"> An argument like this is suggested in Schnieder (2015).</w:t>
      </w:r>
    </w:p>
  </w:footnote>
  <w:footnote w:id="15">
    <w:p w14:paraId="0C83C520" w14:textId="77777777" w:rsidR="001B40E4" w:rsidRDefault="004456DE">
      <w:pPr>
        <w:pStyle w:val="Funotentext"/>
      </w:pPr>
      <w:r>
        <w:rPr>
          <w:rStyle w:val="Funotenzeichen"/>
        </w:rPr>
        <w:footnoteRef/>
      </w:r>
      <w:r>
        <w:t xml:space="preserve"> But of course not universally: For example, one reason to deny causal irreflexivity may stem from the possibility of timetravel and corresponding causal loops, cf. Smith (2019). For a critical discussion of the irreflexivity of metaphysical dependence see Jenkins (2011), and for the irreflexivity of grounding see Kovacs (2018) and the references therein.</w:t>
      </w:r>
    </w:p>
  </w:footnote>
  <w:footnote w:id="16">
    <w:p w14:paraId="362E035D" w14:textId="58245619" w:rsidR="001B40E4" w:rsidRDefault="004456DE">
      <w:pPr>
        <w:pStyle w:val="Funotentext"/>
      </w:pPr>
      <w:r>
        <w:rPr>
          <w:rStyle w:val="Funotenzeichen"/>
        </w:rPr>
        <w:footnoteRef/>
      </w:r>
      <w:r>
        <w:t xml:space="preserve"> For the case of grounding explanations, the start of such an argument might be provided by the puzzles of ground given in Fine (2010) and Krämer (2013). For some further discussion concerning the irreflexivity of grounding explanation see Bliss and </w:t>
      </w:r>
      <w:proofErr w:type="spellStart"/>
      <w:r>
        <w:t>Trogdon</w:t>
      </w:r>
      <w:proofErr w:type="spellEnd"/>
      <w:r>
        <w:t xml:space="preserve"> (2016</w:t>
      </w:r>
      <w:r w:rsidR="008457D4">
        <w:t>:</w:t>
      </w:r>
      <w:r>
        <w:t xml:space="preserve"> sec</w:t>
      </w:r>
      <w:r w:rsidR="008457D4">
        <w:t>tion</w:t>
      </w:r>
      <w:r>
        <w:t xml:space="preserve"> 6.2).</w:t>
      </w:r>
    </w:p>
  </w:footnote>
  <w:footnote w:id="17">
    <w:p w14:paraId="1E43E89B" w14:textId="77777777" w:rsidR="001B40E4" w:rsidRDefault="004456DE">
      <w:pPr>
        <w:pStyle w:val="Funotentext"/>
      </w:pPr>
      <w:r>
        <w:rPr>
          <w:rStyle w:val="Funotenzeichen"/>
        </w:rPr>
        <w:footnoteRef/>
      </w:r>
      <w:r>
        <w:t xml:space="preserve"> Cf. Schnieder (2010).</w:t>
      </w:r>
    </w:p>
  </w:footnote>
  <w:footnote w:id="18">
    <w:p w14:paraId="2E3F4DFD" w14:textId="4DDE963D" w:rsidR="001B40E4" w:rsidRDefault="004456DE">
      <w:pPr>
        <w:pStyle w:val="Funotentext"/>
      </w:pPr>
      <w:r>
        <w:rPr>
          <w:rStyle w:val="Funotenzeichen"/>
        </w:rPr>
        <w:footnoteRef/>
      </w:r>
      <w:r>
        <w:t xml:space="preserve"> Cf. Bolzano (1837</w:t>
      </w:r>
      <w:r w:rsidR="008457D4">
        <w:t>: §</w:t>
      </w:r>
      <w:r>
        <w:t>199, 344f.) and Litland (2018a).</w:t>
      </w:r>
    </w:p>
  </w:footnote>
  <w:footnote w:id="19">
    <w:p w14:paraId="4D9FA7EB" w14:textId="77777777" w:rsidR="001B40E4" w:rsidRDefault="004456DE">
      <w:pPr>
        <w:pStyle w:val="Funotentext"/>
      </w:pPr>
      <w:r>
        <w:rPr>
          <w:rStyle w:val="Funotenzeichen"/>
        </w:rPr>
        <w:footnoteRef/>
      </w:r>
      <w:r>
        <w:t xml:space="preserve"> See section </w:t>
      </w:r>
      <w:hyperlink w:anchor="Preliminaries">
        <w:r>
          <w:rPr>
            <w:rStyle w:val="Hyperlink"/>
          </w:rPr>
          <w:t>2</w:t>
        </w:r>
      </w:hyperlink>
      <w:r>
        <w:t xml:space="preserve"> and the discussion in Skow (2016).</w:t>
      </w:r>
    </w:p>
  </w:footnote>
  <w:footnote w:id="20">
    <w:p w14:paraId="00F9C761" w14:textId="77777777" w:rsidR="001B40E4" w:rsidRDefault="004456DE">
      <w:pPr>
        <w:pStyle w:val="Funotentext"/>
      </w:pPr>
      <w:r>
        <w:rPr>
          <w:rStyle w:val="Funotenzeichen"/>
        </w:rPr>
        <w:footnoteRef/>
      </w:r>
      <w:r>
        <w:t xml:space="preserve"> Some may consider the tripartite view to be unsatisfactory for this very reason. Thanks to an anonymous referee for this journal for discussion!</w:t>
      </w:r>
    </w:p>
  </w:footnote>
  <w:footnote w:id="21">
    <w:p w14:paraId="09628206" w14:textId="77777777" w:rsidR="001B40E4" w:rsidRDefault="004456DE">
      <w:pPr>
        <w:pStyle w:val="Funotentext"/>
      </w:pPr>
      <w:r>
        <w:rPr>
          <w:rStyle w:val="Funotenzeichen"/>
        </w:rPr>
        <w:footnoteRef/>
      </w:r>
      <w:r>
        <w:t xml:space="preserve"> I use ‘[...]’ to refer to the proposition expressed by the sentence within the brackets.</w:t>
      </w:r>
    </w:p>
  </w:footnote>
  <w:footnote w:id="22">
    <w:p w14:paraId="2322D2FC" w14:textId="3A78E72C" w:rsidR="001B40E4" w:rsidRDefault="004456DE">
      <w:pPr>
        <w:pStyle w:val="Funotentext"/>
      </w:pPr>
      <w:r>
        <w:rPr>
          <w:rStyle w:val="Funotenzeichen"/>
        </w:rPr>
        <w:footnoteRef/>
      </w:r>
      <w:r>
        <w:t xml:space="preserve"> For proponents of the relevant grounding principles see for example Fine (2012</w:t>
      </w:r>
      <w:r w:rsidR="008457D4">
        <w:t>:</w:t>
      </w:r>
      <w:r>
        <w:t xml:space="preserve"> 59ff.), </w:t>
      </w:r>
      <w:proofErr w:type="spellStart"/>
      <w:r>
        <w:t>Schnieder</w:t>
      </w:r>
      <w:proofErr w:type="spellEnd"/>
      <w:r>
        <w:t xml:space="preserve"> (2011</w:t>
      </w:r>
      <w:r w:rsidR="008457D4">
        <w:t>:</w:t>
      </w:r>
      <w:r>
        <w:t xml:space="preserve"> 406f.), Correia (2013</w:t>
      </w:r>
      <w:r w:rsidR="008457D4">
        <w:t>:</w:t>
      </w:r>
      <w:r>
        <w:t xml:space="preserve"> 44f.), and for discussion in the present context Roski (2018). Note that for the problem to arise, all the Humean has to postulate is that laws are sometimes partially grounded in what they explain. This arguably already follows from the idea of </w:t>
      </w:r>
      <w:r>
        <w:rPr>
          <w:i/>
        </w:rPr>
        <w:t>Humean supervenience</w:t>
      </w:r>
      <w:r>
        <w:t xml:space="preserve">, championed by David Lewis, according to which nomic facts arise from a “mosaic” </w:t>
      </w:r>
      <w:proofErr w:type="gramStart"/>
      <w:r>
        <w:t>of particular, non-</w:t>
      </w:r>
      <w:proofErr w:type="gramEnd"/>
      <w:r>
        <w:t xml:space="preserve">nomic facts (cf. </w:t>
      </w:r>
      <w:proofErr w:type="spellStart"/>
      <w:r>
        <w:t>Weatherson</w:t>
      </w:r>
      <w:proofErr w:type="spellEnd"/>
      <w:r>
        <w:t xml:space="preserve"> (2016</w:t>
      </w:r>
      <w:r w:rsidR="008457D4">
        <w:t>: section</w:t>
      </w:r>
      <w:r>
        <w:t xml:space="preserve"> 5)).</w:t>
      </w:r>
    </w:p>
  </w:footnote>
  <w:footnote w:id="23">
    <w:p w14:paraId="0A04D25F" w14:textId="77777777" w:rsidR="001B40E4" w:rsidRDefault="004456DE">
      <w:pPr>
        <w:pStyle w:val="Funotentext"/>
      </w:pPr>
      <w:r>
        <w:rPr>
          <w:rStyle w:val="Funotenzeichen"/>
        </w:rPr>
        <w:footnoteRef/>
      </w:r>
      <w:r>
        <w:t xml:space="preserve"> For discussion of this problem see, e.g., Loewer (2012), Lange (2013), and Roski (2018), as well as the latter’s bibliography.</w:t>
      </w:r>
    </w:p>
  </w:footnote>
  <w:footnote w:id="24">
    <w:p w14:paraId="760746E9" w14:textId="77777777" w:rsidR="001B40E4" w:rsidRDefault="004456DE">
      <w:pPr>
        <w:pStyle w:val="Funotentext"/>
      </w:pPr>
      <w:r>
        <w:rPr>
          <w:rStyle w:val="Funotenzeichen"/>
        </w:rPr>
        <w:footnoteRef/>
      </w:r>
      <w:r>
        <w:t xml:space="preserve"> Note that the application of transitivity in deriving a (partial) self-explanation from (1) and (2) could also be blocked like this.</w:t>
      </w:r>
    </w:p>
  </w:footnote>
  <w:footnote w:id="25">
    <w:p w14:paraId="10384A47" w14:textId="77777777" w:rsidR="001B40E4" w:rsidRDefault="004456DE">
      <w:pPr>
        <w:pStyle w:val="Funotentext"/>
      </w:pPr>
      <w:r>
        <w:rPr>
          <w:rStyle w:val="Funotenzeichen"/>
        </w:rPr>
        <w:footnoteRef/>
      </w:r>
      <w:r>
        <w:t xml:space="preserve"> Following Fine (2012) I opt here for an operator view of grounding, but nothing substantial depends on this here.</w:t>
      </w:r>
    </w:p>
  </w:footnote>
  <w:footnote w:id="26">
    <w:p w14:paraId="5A8637C5" w14:textId="77777777" w:rsidR="001B40E4" w:rsidRDefault="004456DE">
      <w:pPr>
        <w:pStyle w:val="Funotentext"/>
      </w:pPr>
      <w:r>
        <w:rPr>
          <w:rStyle w:val="Funotenzeichen"/>
        </w:rPr>
        <w:footnoteRef/>
      </w:r>
      <w:r>
        <w:t xml:space="preserve"> In particular, he argues that the conjunction of the empty set of propositions is (like any true conjunction) grounded in its conjuncts taken together, hence zero-grounded.</w:t>
      </w:r>
    </w:p>
  </w:footnote>
  <w:footnote w:id="27">
    <w:p w14:paraId="6A166053" w14:textId="5B145859" w:rsidR="001B40E4" w:rsidRDefault="004456DE">
      <w:pPr>
        <w:pStyle w:val="Funotentext"/>
      </w:pPr>
      <w:r>
        <w:rPr>
          <w:rStyle w:val="Funotenzeichen"/>
        </w:rPr>
        <w:footnoteRef/>
      </w:r>
      <w:r>
        <w:t xml:space="preserve"> For further applications of the notion see Muñoz </w:t>
      </w:r>
      <w:r w:rsidR="001A5F6B">
        <w:t>(</w:t>
      </w:r>
      <w:r>
        <w:t xml:space="preserve">2020) on non-existence, De Rizzo </w:t>
      </w:r>
      <w:r w:rsidR="001A5F6B">
        <w:t>(</w:t>
      </w:r>
      <w:r>
        <w:t>2020) on necessity, as well as Kappes (2020b) on logical theorems.</w:t>
      </w:r>
    </w:p>
  </w:footnote>
  <w:footnote w:id="28">
    <w:p w14:paraId="777A2F3C" w14:textId="31640849" w:rsidR="001B40E4" w:rsidRDefault="004456DE">
      <w:pPr>
        <w:pStyle w:val="Funotentext"/>
      </w:pPr>
      <w:r>
        <w:rPr>
          <w:rStyle w:val="Funotenzeichen"/>
        </w:rPr>
        <w:footnoteRef/>
      </w:r>
      <w:r>
        <w:t xml:space="preserve"> There I also critically assess Glazier’s (2017) rival account of explanation by status, as well as the prospects of explanation by </w:t>
      </w:r>
      <w:r>
        <w:rPr>
          <w:i/>
        </w:rPr>
        <w:t>necessary</w:t>
      </w:r>
      <w:r>
        <w:t xml:space="preserve"> status (</w:t>
      </w:r>
      <w:proofErr w:type="gramStart"/>
      <w:r>
        <w:t>i.e.</w:t>
      </w:r>
      <w:proofErr w:type="gramEnd"/>
      <w:r>
        <w:t xml:space="preserve"> explaining why </w:t>
      </w:r>
      <m:oMath>
        <m:r>
          <w:rPr>
            <w:rFonts w:ascii="Cambria Math" w:hAnsi="Cambria Math"/>
          </w:rPr>
          <m:t>P</m:t>
        </m:r>
      </m:oMath>
      <w:r>
        <w:t xml:space="preserve"> in terms of it being necessarily the case that </w:t>
      </w:r>
      <m:oMath>
        <m:r>
          <w:rPr>
            <w:rFonts w:ascii="Cambria Math" w:hAnsi="Cambria Math"/>
          </w:rPr>
          <m:t>P</m:t>
        </m:r>
      </m:oMath>
      <w:r>
        <w:t>) that for example Leibniz (1714) and more recently Inwagen (1996) have endorsed.</w:t>
      </w:r>
    </w:p>
  </w:footnote>
  <w:footnote w:id="29">
    <w:p w14:paraId="2572FDE5" w14:textId="57F3C1C4" w:rsidR="001B40E4" w:rsidRDefault="004456DE">
      <w:pPr>
        <w:pStyle w:val="Funotentext"/>
      </w:pPr>
      <w:r>
        <w:rPr>
          <w:rStyle w:val="Funotenzeichen"/>
        </w:rPr>
        <w:footnoteRef/>
      </w:r>
      <w:r>
        <w:t xml:space="preserve"> For a defense of this idea see, e.g.,</w:t>
      </w:r>
      <w:r w:rsidR="000F085B">
        <w:t xml:space="preserve"> </w:t>
      </w:r>
      <w:proofErr w:type="spellStart"/>
      <w:r>
        <w:t>Kment</w:t>
      </w:r>
      <w:proofErr w:type="spellEnd"/>
      <w:r>
        <w:t xml:space="preserve"> </w:t>
      </w:r>
      <w:r w:rsidR="000F085B">
        <w:t>(</w:t>
      </w:r>
      <w:r>
        <w:t>2014).</w:t>
      </w:r>
    </w:p>
  </w:footnote>
  <w:footnote w:id="30">
    <w:p w14:paraId="4782FFA6" w14:textId="77777777" w:rsidR="001B40E4" w:rsidRDefault="004456DE">
      <w:pPr>
        <w:pStyle w:val="Funotentext"/>
      </w:pPr>
      <w:r>
        <w:rPr>
          <w:rStyle w:val="Funotenzeichen"/>
        </w:rPr>
        <w:footnoteRef/>
      </w:r>
      <w:r>
        <w:t xml:space="preserve"> An anonymous referee for this journal has suggested that the conditional cannot be material, for then we should equally admit [</w:t>
      </w:r>
      <m:oMath>
        <m:r>
          <w:rPr>
            <w:rFonts w:ascii="Cambria Math" w:hAnsi="Cambria Math"/>
          </w:rPr>
          <m:t>◼(¬P∨Q)</m:t>
        </m:r>
      </m:oMath>
      <w:r>
        <w:t>] as an explanatory link here, which seems implausible. Let me note that proponents of links like these (e.g. Kment) do not appear to share this intuition, and that the nature of the metaphysical law or essence operator may not allow for the inference from [</w:t>
      </w:r>
      <m:oMath>
        <m:r>
          <w:rPr>
            <w:rFonts w:ascii="Cambria Math" w:hAnsi="Cambria Math"/>
          </w:rPr>
          <m:t>◼(P→Q)</m:t>
        </m:r>
      </m:oMath>
      <w:r>
        <w:t>] to [</w:t>
      </w:r>
      <m:oMath>
        <m:r>
          <w:rPr>
            <w:rFonts w:ascii="Cambria Math" w:hAnsi="Cambria Math"/>
          </w:rPr>
          <m:t>◼(¬P∨Q)</m:t>
        </m:r>
      </m:oMath>
      <w:r>
        <w:t>]; but I am open to consider other conditionals here.</w:t>
      </w:r>
    </w:p>
  </w:footnote>
  <w:footnote w:id="31">
    <w:p w14:paraId="07966BC2" w14:textId="77777777" w:rsidR="001B40E4" w:rsidRDefault="004456DE">
      <w:pPr>
        <w:pStyle w:val="Funotentext"/>
      </w:pPr>
      <w:r>
        <w:rPr>
          <w:rStyle w:val="Funotenzeichen"/>
        </w:rPr>
        <w:footnoteRef/>
      </w:r>
      <w:r>
        <w:t xml:space="preserve"> For an overview, see Kappes (2020a).</w:t>
      </w:r>
    </w:p>
  </w:footnote>
  <w:footnote w:id="32">
    <w:p w14:paraId="30B0ACE5" w14:textId="77777777" w:rsidR="001B40E4" w:rsidRDefault="004456DE">
      <w:pPr>
        <w:pStyle w:val="Funotentext"/>
      </w:pPr>
      <w:r>
        <w:rPr>
          <w:rStyle w:val="Funotenzeichen"/>
        </w:rPr>
        <w:footnoteRef/>
      </w:r>
      <w:r>
        <w:t xml:space="preserve"> Cf. Kappes (2020a).</w:t>
      </w:r>
    </w:p>
  </w:footnote>
  <w:footnote w:id="33">
    <w:p w14:paraId="04E5A89C" w14:textId="77777777" w:rsidR="001B40E4" w:rsidRDefault="004456DE">
      <w:pPr>
        <w:pStyle w:val="Funotentext"/>
      </w:pPr>
      <w:r>
        <w:rPr>
          <w:rStyle w:val="Funotenzeichen"/>
        </w:rPr>
        <w:footnoteRef/>
      </w:r>
      <w:r>
        <w:t xml:space="preserve"> We could in principle also consider explanations whose link and result are identical, but whose base contains different propositions, but these would not be </w:t>
      </w:r>
      <w:r>
        <w:rPr>
          <w:i/>
        </w:rPr>
        <w:t>full</w:t>
      </w:r>
      <w:r>
        <w:t xml:space="preserve"> self-explanations.</w:t>
      </w:r>
    </w:p>
  </w:footnote>
  <w:footnote w:id="34">
    <w:p w14:paraId="79820CDC" w14:textId="77777777" w:rsidR="001B40E4" w:rsidRDefault="004456DE">
      <w:pPr>
        <w:pStyle w:val="Funotentext"/>
      </w:pPr>
      <w:r>
        <w:rPr>
          <w:rStyle w:val="Funotenzeichen"/>
        </w:rPr>
        <w:footnoteRef/>
      </w:r>
      <w:r>
        <w:t xml:space="preserve"> ‘Likely’ since we could in principle consider explanations whose reason, link, and result are identical.</w:t>
      </w:r>
    </w:p>
  </w:footnote>
  <w:footnote w:id="35">
    <w:p w14:paraId="0D3449DD" w14:textId="77777777" w:rsidR="001B40E4" w:rsidRDefault="004456DE">
      <w:pPr>
        <w:pStyle w:val="Funotentext"/>
      </w:pPr>
      <w:r>
        <w:rPr>
          <w:rStyle w:val="Funotenzeichen"/>
        </w:rPr>
        <w:footnoteRef/>
      </w:r>
      <w:r>
        <w:t xml:space="preserve"> Kovacs (2018) provides another argument involving considerations about the relation between explanation and understanding, that for reasons of space I cannot address here.</w:t>
      </w:r>
    </w:p>
  </w:footnote>
  <w:footnote w:id="36">
    <w:p w14:paraId="2A02532A" w14:textId="162DDEB3" w:rsidR="001B40E4" w:rsidRDefault="004456DE">
      <w:pPr>
        <w:pStyle w:val="Funotentext"/>
      </w:pPr>
      <w:r>
        <w:rPr>
          <w:rStyle w:val="Funotenzeichen"/>
        </w:rPr>
        <w:footnoteRef/>
      </w:r>
      <w:r>
        <w:t xml:space="preserve"> Cf. </w:t>
      </w:r>
      <w:proofErr w:type="spellStart"/>
      <w:r>
        <w:t>Litland’s</w:t>
      </w:r>
      <w:proofErr w:type="spellEnd"/>
      <w:r>
        <w:t xml:space="preserve"> (2017) calculus for explanatory arguments.</w:t>
      </w:r>
    </w:p>
  </w:footnote>
  <w:footnote w:id="37">
    <w:p w14:paraId="363D4EB8" w14:textId="77777777" w:rsidR="001B40E4" w:rsidRDefault="004456DE">
      <w:pPr>
        <w:pStyle w:val="Funotentext"/>
      </w:pPr>
      <w:r>
        <w:rPr>
          <w:rStyle w:val="Funotenzeichen"/>
        </w:rPr>
        <w:footnoteRef/>
      </w:r>
      <w:r>
        <w:t xml:space="preserve"> The analogy is not perfect: The result of an empty-base self-explanation is a proposition that is identical to its link. In contrast, the conclusion of a rule-circular argument is a proposition stating that a certain inference principle (that moreover arguably is not a proposition) holds. Thanks to an anonymous referee for this journal here!</w:t>
      </w:r>
    </w:p>
  </w:footnote>
  <w:footnote w:id="38">
    <w:p w14:paraId="6901C83A" w14:textId="5DECA9AD" w:rsidR="001B40E4" w:rsidRDefault="004456DE">
      <w:pPr>
        <w:pStyle w:val="Funotentext"/>
      </w:pPr>
      <w:r>
        <w:rPr>
          <w:rStyle w:val="Funotenzeichen"/>
        </w:rPr>
        <w:footnoteRef/>
      </w:r>
      <w:r>
        <w:t xml:space="preserve"> </w:t>
      </w:r>
      <w:proofErr w:type="gramStart"/>
      <w:r>
        <w:t>E.g.</w:t>
      </w:r>
      <w:proofErr w:type="gramEnd"/>
      <w:r w:rsidR="00F17FA8">
        <w:t xml:space="preserve"> </w:t>
      </w:r>
      <w:r>
        <w:t xml:space="preserve">‘This proposition is a proposition’, ‘Every proposition is a proposition’ and ‘This proposition is such that 1+1=2’. Cf. Rosenkranz and Sarkohi (2006). As an anonymous referee for this journal has stressed, it could be thought that the candidates considered here and in the next subsection would amount to </w:t>
      </w:r>
      <w:r>
        <w:rPr>
          <w:i/>
        </w:rPr>
        <w:t>objectionably</w:t>
      </w:r>
      <w:r>
        <w:t xml:space="preserve"> ill-founded propositions. I cannot provide here a theory of propositions that would vindicate the existence of the candidates, but let me note that the candidates are not obviously defective in this way and that at least with respect to (3), I am not alone in this assessment, cf. Lovett (2020). One reservation here might stem from an understanding of propositions as mereological wholes, but first this understanding is not mandatory and second see Kearns (2011) for an argument that on such a view we should simply accept that at least certain (otherwise unproblematic) self-referential propositions are parts of themselves. For an investigation into the non-wellfounded mereology required for this, see Cotnoir and Bacon (2012).</w:t>
      </w:r>
    </w:p>
  </w:footnote>
  <w:footnote w:id="39">
    <w:p w14:paraId="046B3BAE" w14:textId="48D4E97F" w:rsidR="001B40E4" w:rsidRDefault="004456DE">
      <w:pPr>
        <w:pStyle w:val="Funotentext"/>
      </w:pPr>
      <w:r>
        <w:rPr>
          <w:rStyle w:val="Funotenzeichen"/>
        </w:rPr>
        <w:footnoteRef/>
      </w:r>
      <w:r>
        <w:t xml:space="preserve"> Cf. Field (2008</w:t>
      </w:r>
      <w:proofErr w:type="gramStart"/>
      <w:r>
        <w:t>), but</w:t>
      </w:r>
      <w:proofErr w:type="gramEnd"/>
      <w:r>
        <w:t xml:space="preserve"> note also Field (2008</w:t>
      </w:r>
      <w:r w:rsidR="00F17FA8">
        <w:t>:</w:t>
      </w:r>
      <w:r>
        <w:t xml:space="preserve"> 277).</w:t>
      </w:r>
    </w:p>
  </w:footnote>
  <w:footnote w:id="40">
    <w:p w14:paraId="20DD3730" w14:textId="77777777" w:rsidR="001B40E4" w:rsidRDefault="004456DE">
      <w:pPr>
        <w:pStyle w:val="Funotentext"/>
      </w:pPr>
      <w:r>
        <w:rPr>
          <w:rStyle w:val="Funotenzeichen"/>
        </w:rPr>
        <w:footnoteRef/>
      </w:r>
      <w:r>
        <w:t xml:space="preserve"> A fourth option could perhaps be this: Returning to the assumption that links of empty-base explanations have form ‘</w:t>
      </w:r>
      <m:oMath>
        <m:r>
          <w:rPr>
            <w:rFonts w:ascii="Cambria Math" w:hAnsi="Cambria Math"/>
          </w:rPr>
          <m:t>◼P</m:t>
        </m:r>
      </m:oMath>
      <w:r>
        <w:t>’, one might consider the possibility of prefixing a right-side infinite sequence of ‘</w:t>
      </w:r>
      <m:oMath>
        <m:r>
          <w:rPr>
            <w:rFonts w:ascii="Cambria Math" w:hAnsi="Cambria Math"/>
          </w:rPr>
          <m:t>◼P</m:t>
        </m:r>
      </m:oMath>
      <w:r>
        <w:t>’s to a sentence ‘</w:t>
      </w:r>
      <m:oMath>
        <m:r>
          <w:rPr>
            <w:rFonts w:ascii="Cambria Math" w:hAnsi="Cambria Math"/>
          </w:rPr>
          <m:t>P</m:t>
        </m:r>
      </m:oMath>
      <w:r>
        <w:t>’ like this: ‘</w:t>
      </w:r>
      <m:oMath>
        <m:r>
          <w:rPr>
            <w:rFonts w:ascii="Cambria Math" w:hAnsi="Cambria Math"/>
          </w:rPr>
          <m:t>◼◼◼...P</m:t>
        </m:r>
      </m:oMath>
      <w:r>
        <w:t>’. Here, when the outermost ‘</w:t>
      </w:r>
      <m:oMath>
        <m:r>
          <w:rPr>
            <w:rFonts w:ascii="Cambria Math" w:hAnsi="Cambria Math"/>
          </w:rPr>
          <m:t>◼</m:t>
        </m:r>
      </m:oMath>
      <w:r>
        <w:t>’ is eliminated, arguably, a sentence of the same form ‘</w:t>
      </w:r>
      <m:oMath>
        <m:r>
          <w:rPr>
            <w:rFonts w:ascii="Cambria Math" w:hAnsi="Cambria Math"/>
          </w:rPr>
          <m:t>◼◼◼...P</m:t>
        </m:r>
      </m:oMath>
      <w:r>
        <w:t>’ remains; but to my knowledge, a theory of non-wellfounded propositions like this would yet have to be motivated and developed.</w:t>
      </w:r>
    </w:p>
  </w:footnote>
  <w:footnote w:id="41">
    <w:p w14:paraId="619AF005" w14:textId="41804829" w:rsidR="001B40E4" w:rsidRDefault="004456DE">
      <w:pPr>
        <w:pStyle w:val="Funotentext"/>
      </w:pPr>
      <w:r>
        <w:rPr>
          <w:rStyle w:val="Funotenzeichen"/>
        </w:rPr>
        <w:footnoteRef/>
      </w:r>
      <w:r>
        <w:t xml:space="preserve"> If we assume, e.g., that [</w:t>
      </w:r>
      <m:oMath>
        <m:r>
          <w:rPr>
            <w:rFonts w:ascii="Cambria Math" w:hAnsi="Cambria Math"/>
          </w:rPr>
          <m:t>P</m:t>
        </m:r>
      </m:oMath>
      <w:r>
        <w:t>] and [[</w:t>
      </w:r>
      <m:oMath>
        <m:r>
          <w:rPr>
            <w:rFonts w:ascii="Cambria Math" w:hAnsi="Cambria Math"/>
          </w:rPr>
          <m:t>P</m:t>
        </m:r>
      </m:oMath>
      <w:r>
        <w:t>] is the case] to be identical, then ‘</w:t>
      </w:r>
      <m:oMath>
        <m:nary>
          <m:naryPr>
            <m:chr m:val="□"/>
            <m:limLoc m:val="subSup"/>
            <m:supHide m:val="1"/>
            <m:ctrlPr>
              <w:rPr>
                <w:rFonts w:ascii="Cambria Math" w:hAnsi="Cambria Math"/>
              </w:rPr>
            </m:ctrlPr>
          </m:naryPr>
          <m:sub>
            <m:r>
              <w:rPr>
                <w:rFonts w:ascii="Cambria Math" w:hAnsi="Cambria Math"/>
              </w:rPr>
              <m:t>L</m:t>
            </m:r>
          </m:sub>
          <m:sup>
            <m:r>
              <w:rPr>
                <w:rFonts w:ascii="Cambria Math" w:hAnsi="Cambria Math"/>
              </w:rPr>
              <m:t>​</m:t>
            </m:r>
          </m:sup>
          <m:e>
            <m:r>
              <w:rPr>
                <w:rFonts w:ascii="Cambria Math" w:hAnsi="Cambria Math"/>
              </w:rPr>
              <m:t>∀</m:t>
            </m:r>
          </m:e>
        </m:nary>
        <m:r>
          <w:rPr>
            <w:rFonts w:ascii="Cambria Math" w:hAnsi="Cambria Math"/>
          </w:rPr>
          <m:t>x(x</m:t>
        </m:r>
      </m:oMath>
      <w:r>
        <w:t xml:space="preserve"> is the case</w:t>
      </w:r>
      <m:oMath>
        <m:r>
          <w:rPr>
            <w:rFonts w:ascii="Cambria Math" w:hAnsi="Cambria Math"/>
          </w:rPr>
          <m:t>)</m:t>
        </m:r>
      </m:oMath>
      <w:r>
        <w:t>’ is an instance of (L1) that satisfies the criterion, but this example is confronted</w:t>
      </w:r>
      <w:r w:rsidR="00A43F76">
        <w:t xml:space="preserve"> with</w:t>
      </w:r>
      <w:r>
        <w:t xml:space="preserve"> issues </w:t>
      </w:r>
      <w:proofErr w:type="gramStart"/>
      <w:r>
        <w:t>similar to</w:t>
      </w:r>
      <w:proofErr w:type="gramEnd"/>
      <w:r>
        <w:t xml:space="preserve"> those discussed below. The issue here is to find an instance that satisfies the formal criterion without being too implausible.</w:t>
      </w:r>
    </w:p>
  </w:footnote>
  <w:footnote w:id="42">
    <w:p w14:paraId="0FF6E9E1" w14:textId="77777777" w:rsidR="001B40E4" w:rsidRDefault="004456DE">
      <w:pPr>
        <w:pStyle w:val="Funotentext"/>
      </w:pPr>
      <w:r>
        <w:rPr>
          <w:rStyle w:val="Funotenzeichen"/>
        </w:rPr>
        <w:footnoteRef/>
      </w:r>
      <w:r>
        <w:t xml:space="preserve"> Spinoza is an example for both moves, cf. Della Rocca (2010) and Lærke (2011), but see Schnieder and Steinberg (2015) on how proponents of the PSR can avoid either consequence.</w:t>
      </w:r>
    </w:p>
  </w:footnote>
  <w:footnote w:id="43">
    <w:p w14:paraId="0E770C19" w14:textId="77777777" w:rsidR="001B40E4" w:rsidRDefault="004456DE">
      <w:pPr>
        <w:pStyle w:val="Funotentext"/>
      </w:pPr>
      <w:r>
        <w:rPr>
          <w:rStyle w:val="Funotenzeichen"/>
        </w:rPr>
        <w:footnoteRef/>
      </w:r>
      <w:r>
        <w:t xml:space="preserve"> One idea worth considering might be to restrict the quantifier in (L3) such that it still ranges over (L3) itself, but does not range over all facts, thereby avoiding the consequence that every fact is a law.</w:t>
      </w:r>
    </w:p>
  </w:footnote>
  <w:footnote w:id="44">
    <w:p w14:paraId="0817C6C5" w14:textId="77777777" w:rsidR="001B40E4" w:rsidRDefault="004456DE" w:rsidP="001F5866">
      <w:pPr>
        <w:pStyle w:val="Funotentext"/>
      </w:pPr>
      <w:r>
        <w:rPr>
          <w:rStyle w:val="Funotenzeichen"/>
        </w:rPr>
        <w:footnoteRef/>
      </w:r>
      <w:r>
        <w:t xml:space="preserve"> Lærke (2011, 447f.).</w:t>
      </w:r>
    </w:p>
  </w:footnote>
  <w:footnote w:id="45">
    <w:p w14:paraId="13312313" w14:textId="77777777" w:rsidR="001B40E4" w:rsidRDefault="004456DE">
      <w:pPr>
        <w:pStyle w:val="Funotentext"/>
      </w:pPr>
      <w:r>
        <w:rPr>
          <w:rStyle w:val="Funotenzeichen"/>
        </w:rPr>
        <w:footnoteRef/>
      </w:r>
      <w:r>
        <w:t xml:space="preserve"> Cf. McInerny and O’Callaghan (2018, sec. 11.3) for Aquinas and Lærke (2011, 456) for Spinoza.</w:t>
      </w:r>
    </w:p>
  </w:footnote>
  <w:footnote w:id="46">
    <w:p w14:paraId="5F1B4985" w14:textId="77777777" w:rsidR="001B40E4" w:rsidRDefault="004456DE">
      <w:pPr>
        <w:pStyle w:val="Funotentext"/>
      </w:pPr>
      <w:r>
        <w:rPr>
          <w:rStyle w:val="Funotenzeichen"/>
        </w:rPr>
        <w:footnoteRef/>
      </w:r>
      <w:r>
        <w:t xml:space="preserve"> Cf. Lærke (2011).</w:t>
      </w:r>
    </w:p>
  </w:footnote>
  <w:footnote w:id="47">
    <w:p w14:paraId="503A3AD6" w14:textId="27742106" w:rsidR="008B536E" w:rsidRPr="008B536E" w:rsidRDefault="008B536E">
      <w:pPr>
        <w:pStyle w:val="Funotentext"/>
        <w:rPr>
          <w:lang w:val="de-DE"/>
        </w:rPr>
      </w:pPr>
      <w:r>
        <w:rPr>
          <w:rStyle w:val="Funotenzeichen"/>
        </w:rPr>
        <w:footnoteRef/>
      </w:r>
      <w:r>
        <w:t xml:space="preserve"> </w:t>
      </w:r>
      <w:r w:rsidRPr="008B536E">
        <w:t xml:space="preserve">Special thanks to Stephan </w:t>
      </w:r>
      <w:proofErr w:type="spellStart"/>
      <w:r w:rsidRPr="008B536E">
        <w:t>Krämer</w:t>
      </w:r>
      <w:proofErr w:type="spellEnd"/>
      <w:r w:rsidRPr="008B536E">
        <w:t xml:space="preserve">, Stephan </w:t>
      </w:r>
      <w:proofErr w:type="spellStart"/>
      <w:r w:rsidRPr="008B536E">
        <w:t>Leuenberger</w:t>
      </w:r>
      <w:proofErr w:type="spellEnd"/>
      <w:r w:rsidRPr="008B536E">
        <w:t xml:space="preserve">, Gideon Rosen, Stefan </w:t>
      </w:r>
      <w:proofErr w:type="spellStart"/>
      <w:r w:rsidRPr="008B536E">
        <w:t>Roski</w:t>
      </w:r>
      <w:proofErr w:type="spellEnd"/>
      <w:r w:rsidRPr="008B536E">
        <w:t xml:space="preserve">, and Benjamin </w:t>
      </w:r>
      <w:proofErr w:type="spellStart"/>
      <w:r w:rsidRPr="008B536E">
        <w:t>Schnieder</w:t>
      </w:r>
      <w:proofErr w:type="spellEnd"/>
      <w:r w:rsidRPr="008B536E">
        <w:t xml:space="preserve">, as well as the anonymous referees for very valuable discussion and helpful comments! I also thank the Deutsche </w:t>
      </w:r>
      <w:proofErr w:type="spellStart"/>
      <w:r w:rsidRPr="008B536E">
        <w:t>Forschungsgemeinschaft</w:t>
      </w:r>
      <w:proofErr w:type="spellEnd"/>
      <w:r w:rsidRPr="008B536E">
        <w:t xml:space="preserve"> for funding work on this paper through the project </w:t>
      </w:r>
      <w:r w:rsidRPr="008B536E">
        <w:rPr>
          <w:i/>
          <w:iCs/>
        </w:rPr>
        <w:t>The Structure of Fundamentality</w:t>
      </w:r>
      <w:r w:rsidRPr="008B536E">
        <w:t xml:space="preserve"> (Grant No. SCHN 1137/5-1).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CC6A75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9A876C8"/>
    <w:multiLevelType w:val="hybridMultilevel"/>
    <w:tmpl w:val="8C8C8240"/>
    <w:lvl w:ilvl="0" w:tplc="C200FB3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20186741"/>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1AE401"/>
    <w:multiLevelType w:val="multilevel"/>
    <w:tmpl w:val="6762B5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DA84C9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554E3A"/>
    <w:multiLevelType w:val="hybridMultilevel"/>
    <w:tmpl w:val="91EC7F04"/>
    <w:lvl w:ilvl="0" w:tplc="02B8B030">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59683867"/>
    <w:multiLevelType w:val="hybridMultilevel"/>
    <w:tmpl w:val="DEA4B2D2"/>
    <w:lvl w:ilvl="0" w:tplc="4860ED72">
      <w:start w:val="1"/>
      <w:numFmt w:val="decimal"/>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7B1570"/>
    <w:multiLevelType w:val="hybridMultilevel"/>
    <w:tmpl w:val="DB304D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DB4AA1"/>
    <w:multiLevelType w:val="hybridMultilevel"/>
    <w:tmpl w:val="A60A67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C97B8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2"/>
  </w:num>
  <w:num w:numId="4">
    <w:abstractNumId w:val="6"/>
  </w:num>
  <w:num w:numId="5">
    <w:abstractNumId w:val="9"/>
  </w:num>
  <w:num w:numId="6">
    <w:abstractNumId w:val="8"/>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335F"/>
    <w:rsid w:val="000B35FF"/>
    <w:rsid w:val="000E2A66"/>
    <w:rsid w:val="000F085B"/>
    <w:rsid w:val="001621B7"/>
    <w:rsid w:val="001A5F6B"/>
    <w:rsid w:val="001B40E4"/>
    <w:rsid w:val="001F5866"/>
    <w:rsid w:val="004456DE"/>
    <w:rsid w:val="004E29B3"/>
    <w:rsid w:val="00537C10"/>
    <w:rsid w:val="005504C2"/>
    <w:rsid w:val="00555F0D"/>
    <w:rsid w:val="00590D07"/>
    <w:rsid w:val="005932C0"/>
    <w:rsid w:val="005964A3"/>
    <w:rsid w:val="0064011A"/>
    <w:rsid w:val="00784D58"/>
    <w:rsid w:val="007D7906"/>
    <w:rsid w:val="008457D4"/>
    <w:rsid w:val="008B536E"/>
    <w:rsid w:val="008D6863"/>
    <w:rsid w:val="009D7FB0"/>
    <w:rsid w:val="009F1732"/>
    <w:rsid w:val="00A339FF"/>
    <w:rsid w:val="00A43F76"/>
    <w:rsid w:val="00B83222"/>
    <w:rsid w:val="00B86B75"/>
    <w:rsid w:val="00BC48D5"/>
    <w:rsid w:val="00C36279"/>
    <w:rsid w:val="00D70CC3"/>
    <w:rsid w:val="00E22E39"/>
    <w:rsid w:val="00E315A3"/>
    <w:rsid w:val="00F17F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0520"/>
  <w15:docId w15:val="{10BA52DE-7802-42A2-9281-4F355650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rsid w:val="005504C2"/>
    <w:pPr>
      <w:keepNext/>
      <w:keepLines/>
      <w:tabs>
        <w:tab w:val="left" w:pos="567"/>
      </w:tabs>
      <w:spacing w:before="480" w:after="320"/>
      <w:outlineLvl w:val="0"/>
    </w:pPr>
    <w:rPr>
      <w:rFonts w:ascii="Times New Roman" w:eastAsiaTheme="majorEastAsia" w:hAnsi="Times New Roman" w:cstheme="majorBidi"/>
      <w:b/>
      <w:bCs/>
      <w:sz w:val="32"/>
      <w:szCs w:val="32"/>
    </w:rPr>
  </w:style>
  <w:style w:type="paragraph" w:styleId="berschrift2">
    <w:name w:val="heading 2"/>
    <w:basedOn w:val="Standard"/>
    <w:next w:val="Textkrper"/>
    <w:uiPriority w:val="9"/>
    <w:unhideWhenUsed/>
    <w:qFormat/>
    <w:rsid w:val="005504C2"/>
    <w:pPr>
      <w:keepNext/>
      <w:keepLines/>
      <w:spacing w:before="200" w:after="320"/>
      <w:outlineLvl w:val="1"/>
    </w:pPr>
    <w:rPr>
      <w:rFonts w:ascii="Times New Roman" w:eastAsiaTheme="majorEastAsia" w:hAnsi="Times New Roman" w:cstheme="majorBidi"/>
      <w:b/>
      <w:bCs/>
      <w:sz w:val="28"/>
      <w:szCs w:val="32"/>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Textkrper"/>
    <w:uiPriority w:val="9"/>
    <w:unhideWhenUsed/>
    <w:qFormat/>
    <w:rsid w:val="005504C2"/>
    <w:pPr>
      <w:keepNext/>
      <w:keepLines/>
      <w:spacing w:before="200" w:after="0"/>
      <w:outlineLvl w:val="3"/>
    </w:pPr>
    <w:rPr>
      <w:rFonts w:ascii="Times New Roman" w:eastAsiaTheme="majorEastAsia" w:hAnsi="Times New Roman" w:cstheme="majorBidi"/>
      <w:b/>
      <w:bCs/>
      <w:sz w:val="22"/>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rsid w:val="00B83222"/>
    <w:pPr>
      <w:spacing w:after="0" w:line="360" w:lineRule="auto"/>
      <w:ind w:firstLine="284"/>
      <w:jc w:val="both"/>
    </w:pPr>
    <w:rPr>
      <w:rFonts w:ascii="Times New Roman" w:hAnsi="Times New Roman"/>
      <w:sz w:val="22"/>
    </w:rPr>
  </w:style>
  <w:style w:type="paragraph" w:customStyle="1" w:styleId="FirstParagraph">
    <w:name w:val="First Paragraph"/>
    <w:basedOn w:val="Textkrper"/>
    <w:next w:val="Textkrper"/>
    <w:qFormat/>
    <w:rsid w:val="00B83222"/>
    <w:pPr>
      <w:ind w:firstLine="0"/>
    </w:pPr>
  </w:style>
  <w:style w:type="paragraph" w:customStyle="1" w:styleId="Compact">
    <w:name w:val="Compact"/>
    <w:basedOn w:val="Textkrper"/>
    <w:qFormat/>
    <w:pPr>
      <w:spacing w:before="36" w:after="36"/>
    </w:pPr>
  </w:style>
  <w:style w:type="paragraph" w:styleId="Titel">
    <w:name w:val="Title"/>
    <w:basedOn w:val="Standard"/>
    <w:next w:val="Textkrper"/>
    <w:qFormat/>
    <w:rsid w:val="00B83222"/>
    <w:pPr>
      <w:keepNext/>
      <w:keepLines/>
      <w:spacing w:before="480" w:after="240"/>
      <w:jc w:val="center"/>
    </w:pPr>
    <w:rPr>
      <w:rFonts w:ascii="Times New Roman" w:eastAsiaTheme="majorEastAsia" w:hAnsi="Times New Roman"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rsid w:val="005504C2"/>
    <w:rPr>
      <w:rFonts w:ascii="Times New Roman" w:hAnsi="Times New Roman"/>
      <w:sz w:val="22"/>
    </w:rPr>
  </w:style>
  <w:style w:type="paragraph" w:styleId="Blocktext">
    <w:name w:val="Block Text"/>
    <w:basedOn w:val="Textkrper"/>
    <w:next w:val="Textkrper"/>
    <w:uiPriority w:val="9"/>
    <w:unhideWhenUsed/>
    <w:qFormat/>
    <w:rsid w:val="001F5866"/>
    <w:pPr>
      <w:spacing w:before="100" w:after="100"/>
      <w:ind w:left="720" w:right="720"/>
    </w:pPr>
    <w:rPr>
      <w:rFonts w:eastAsiaTheme="majorEastAsia" w:cstheme="majorBidi"/>
      <w:bCs/>
      <w:sz w:val="20"/>
      <w:szCs w:val="20"/>
    </w:rPr>
  </w:style>
  <w:style w:type="paragraph" w:styleId="Funotentext">
    <w:name w:val="footnote text"/>
    <w:basedOn w:val="Standard"/>
    <w:uiPriority w:val="9"/>
    <w:unhideWhenUsed/>
    <w:qFormat/>
    <w:rsid w:val="005504C2"/>
    <w:pPr>
      <w:spacing w:after="0"/>
    </w:pPr>
    <w:rPr>
      <w:rFonts w:ascii="Times New Roman" w:hAnsi="Times New Roman"/>
      <w:sz w:val="18"/>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Platzhaltertext">
    <w:name w:val="Placeholder Text"/>
    <w:basedOn w:val="Absatz-Standardschriftart"/>
    <w:semiHidden/>
    <w:rsid w:val="000F085B"/>
    <w:rPr>
      <w:color w:val="808080"/>
    </w:rPr>
  </w:style>
  <w:style w:type="character" w:styleId="BesuchterLink">
    <w:name w:val="FollowedHyperlink"/>
    <w:basedOn w:val="Absatz-Standardschriftart"/>
    <w:semiHidden/>
    <w:unhideWhenUsed/>
    <w:rsid w:val="00A43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win2016/entries/grounding/" TargetMode="External"/><Relationship Id="rId13" Type="http://schemas.openxmlformats.org/officeDocument/2006/relationships/hyperlink" Target="https://doi.org/10.1093/analys/anz083" TargetMode="External"/><Relationship Id="rId18" Type="http://schemas.openxmlformats.org/officeDocument/2006/relationships/hyperlink" Target="https://doi.org/10.1007/s11098-012-9911-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80/0020174x.2019.1658634" TargetMode="External"/><Relationship Id="rId7" Type="http://schemas.openxmlformats.org/officeDocument/2006/relationships/endnotes" Target="endnotes.xml"/><Relationship Id="rId12" Type="http://schemas.openxmlformats.org/officeDocument/2006/relationships/hyperlink" Target="https://doi.org/10.1017/s1755020311000293" TargetMode="External"/><Relationship Id="rId17" Type="http://schemas.openxmlformats.org/officeDocument/2006/relationships/hyperlink" Target="https://doi.org/10.1002/tht3.2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1098-012-0001-x" TargetMode="External"/><Relationship Id="rId20" Type="http://schemas.openxmlformats.org/officeDocument/2006/relationships/hyperlink" Target="https://plato.stanford.edu/archives/sum2018/entries/aquin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1755020315000258" TargetMode="External"/><Relationship Id="rId24" Type="http://schemas.openxmlformats.org/officeDocument/2006/relationships/hyperlink" Target="https://plato.stanford.edu/archives/win2016/entries/david-lewis/" TargetMode="External"/><Relationship Id="rId5" Type="http://schemas.openxmlformats.org/officeDocument/2006/relationships/webSettings" Target="webSettings.xml"/><Relationship Id="rId15" Type="http://schemas.openxmlformats.org/officeDocument/2006/relationships/hyperlink" Target="https://doi.org/10.1007/s11098-020-01474-3" TargetMode="External"/><Relationship Id="rId23" Type="http://schemas.openxmlformats.org/officeDocument/2006/relationships/hyperlink" Target="https://plato.stanford.edu/archives/sum2019/entries/time-travel/" TargetMode="External"/><Relationship Id="rId10" Type="http://schemas.openxmlformats.org/officeDocument/2006/relationships/hyperlink" Target="https://doi.org/10.1017/s1755020313000300" TargetMode="External"/><Relationship Id="rId19" Type="http://schemas.openxmlformats.org/officeDocument/2006/relationships/hyperlink" Target="https://doi.org/10.1007/s11098-019-01325-w" TargetMode="External"/><Relationship Id="rId4" Type="http://schemas.openxmlformats.org/officeDocument/2006/relationships/settings" Target="settings.xml"/><Relationship Id="rId9" Type="http://schemas.openxmlformats.org/officeDocument/2006/relationships/hyperlink" Target="https://doi.org/10.1023/A:1013141719930" TargetMode="External"/><Relationship Id="rId14" Type="http://schemas.openxmlformats.org/officeDocument/2006/relationships/hyperlink" Target="https://doi.org/10.1007/s11229-020-02901-y" TargetMode="External"/><Relationship Id="rId22" Type="http://schemas.openxmlformats.org/officeDocument/2006/relationships/hyperlink" Target="https://doi.org/10.1111/papq.12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8CE86-A7F4-4159-8D63-94D74249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6087</Words>
  <Characters>38349</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Self-Explanation and Empty-Base Explanation</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Self-Explanation and Empty-Base Explanation</dc:title>
  <dc:creator>Yannic Kappes</dc:creator>
  <cp:keywords/>
  <cp:lastModifiedBy>Yannic Kappes</cp:lastModifiedBy>
  <cp:revision>2</cp:revision>
  <dcterms:created xsi:type="dcterms:W3CDTF">2021-10-29T08:53:00Z</dcterms:created>
  <dcterms:modified xsi:type="dcterms:W3CDTF">2021-10-29T08:53:00Z</dcterms:modified>
</cp:coreProperties>
</file>