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4355" w14:textId="2C187655" w:rsidR="006C63E0" w:rsidRDefault="00794114" w:rsidP="00993301">
      <w:pPr>
        <w:spacing w:after="0" w:line="480" w:lineRule="auto"/>
        <w:jc w:val="center"/>
        <w:rPr>
          <w:b/>
          <w:bCs/>
          <w:sz w:val="28"/>
          <w:szCs w:val="28"/>
        </w:rPr>
      </w:pPr>
      <w:r>
        <w:rPr>
          <w:b/>
          <w:bCs/>
          <w:sz w:val="28"/>
          <w:szCs w:val="28"/>
        </w:rPr>
        <w:t>Debating</w:t>
      </w:r>
      <w:r w:rsidR="001E603F">
        <w:rPr>
          <w:b/>
          <w:bCs/>
          <w:sz w:val="28"/>
          <w:szCs w:val="28"/>
        </w:rPr>
        <w:t xml:space="preserve"> Powers: Where the Real </w:t>
      </w:r>
      <w:r w:rsidR="001E603F" w:rsidRPr="00825FAB">
        <w:rPr>
          <w:b/>
          <w:bCs/>
          <w:sz w:val="28"/>
          <w:szCs w:val="28"/>
        </w:rPr>
        <w:t>Puzzle</w:t>
      </w:r>
      <w:r w:rsidR="001E603F">
        <w:rPr>
          <w:b/>
          <w:bCs/>
          <w:i/>
          <w:iCs/>
          <w:sz w:val="28"/>
          <w:szCs w:val="28"/>
        </w:rPr>
        <w:t xml:space="preserve"> </w:t>
      </w:r>
      <w:r w:rsidR="001E603F">
        <w:rPr>
          <w:b/>
          <w:bCs/>
          <w:sz w:val="28"/>
          <w:szCs w:val="28"/>
        </w:rPr>
        <w:t>Lies</w:t>
      </w:r>
    </w:p>
    <w:p w14:paraId="1147951F" w14:textId="7E69DE98" w:rsidR="00872EFD" w:rsidRPr="00872EFD" w:rsidRDefault="00872EFD" w:rsidP="00872EFD">
      <w:pPr>
        <w:pStyle w:val="NoSpacing"/>
        <w:jc w:val="center"/>
      </w:pPr>
      <w:r>
        <w:t xml:space="preserve">Author details: Samuel Kimpton-Nye, King’s College London, </w:t>
      </w:r>
      <w:hyperlink r:id="rId7" w:history="1">
        <w:r w:rsidRPr="00872EFD">
          <w:t>Samuel.1.Kimpton-Nye@kcl.ac.uk</w:t>
        </w:r>
      </w:hyperlink>
    </w:p>
    <w:p w14:paraId="6105DF9F" w14:textId="77777777" w:rsidR="00B03626" w:rsidRDefault="00B03626" w:rsidP="00993301">
      <w:pPr>
        <w:spacing w:after="0" w:line="480" w:lineRule="auto"/>
        <w:jc w:val="both"/>
      </w:pPr>
    </w:p>
    <w:p w14:paraId="7F37E26A" w14:textId="39949F0F" w:rsidR="008D5D04" w:rsidRDefault="00506953" w:rsidP="00993301">
      <w:pPr>
        <w:spacing w:after="0" w:line="480" w:lineRule="auto"/>
        <w:ind w:left="1440" w:firstLine="0"/>
        <w:jc w:val="both"/>
      </w:pPr>
      <w:r>
        <w:t xml:space="preserve">Abstract: </w:t>
      </w:r>
      <w:r w:rsidR="00525B4B">
        <w:t>Stephen Mumford and Alexander Bird disagree about which properties are powers and, correspondingly, about the extent of the philosophical work to which powers may be put. Unfortunately, there is an important respect in which these authors are talking past each other</w:t>
      </w:r>
      <w:r w:rsidR="00D15638">
        <w:t xml:space="preserve"> and so the reason for their disagreement remains </w:t>
      </w:r>
      <w:r w:rsidR="00DD664A">
        <w:t>obscured</w:t>
      </w:r>
      <w:r w:rsidR="00D15638">
        <w:t xml:space="preserve">. </w:t>
      </w:r>
      <w:r w:rsidR="00525B4B">
        <w:t>I highlight what has gone wrong in th</w:t>
      </w:r>
      <w:r w:rsidR="009727A6">
        <w:t>eir</w:t>
      </w:r>
      <w:r w:rsidR="00525B4B">
        <w:t xml:space="preserve"> recent exchange, </w:t>
      </w:r>
      <w:r w:rsidR="00D15638">
        <w:t xml:space="preserve">attempt to </w:t>
      </w:r>
      <w:r w:rsidR="00525B4B">
        <w:t xml:space="preserve">clear up the confusion and </w:t>
      </w:r>
      <w:r w:rsidR="002F0BAA">
        <w:t>pinpoint the true source of</w:t>
      </w:r>
      <w:r w:rsidR="00D15638">
        <w:t xml:space="preserve"> their disagreement. </w:t>
      </w:r>
      <w:r w:rsidR="00C925C2">
        <w:t xml:space="preserve">My hope is to redirect </w:t>
      </w:r>
      <w:r w:rsidR="00DD664A">
        <w:t xml:space="preserve">the efforts of </w:t>
      </w:r>
      <w:r w:rsidR="00C925C2">
        <w:t xml:space="preserve">these authors and their followers </w:t>
      </w:r>
      <w:r w:rsidR="00DD664A">
        <w:t xml:space="preserve">onto </w:t>
      </w:r>
      <w:r w:rsidR="00C925C2">
        <w:t xml:space="preserve">more pressing foundational issues in the metaphysics of powers. </w:t>
      </w:r>
    </w:p>
    <w:p w14:paraId="15A6C883" w14:textId="21EE12DA" w:rsidR="002864ED" w:rsidRDefault="002864ED" w:rsidP="00993301">
      <w:pPr>
        <w:spacing w:after="0" w:line="480" w:lineRule="auto"/>
        <w:ind w:left="1440" w:firstLine="0"/>
        <w:jc w:val="both"/>
      </w:pPr>
      <w:r>
        <w:t>Keywords: Powers, Properties, Explanation, Essence, Necessity</w:t>
      </w:r>
    </w:p>
    <w:p w14:paraId="0982F37B" w14:textId="69960166" w:rsidR="001646A6" w:rsidRDefault="001646A6" w:rsidP="00993301">
      <w:pPr>
        <w:pStyle w:val="ListParagraph"/>
        <w:numPr>
          <w:ilvl w:val="0"/>
          <w:numId w:val="4"/>
        </w:numPr>
        <w:spacing w:after="0" w:line="480" w:lineRule="auto"/>
        <w:jc w:val="both"/>
      </w:pPr>
    </w:p>
    <w:p w14:paraId="131618F1" w14:textId="79C0D7AA" w:rsidR="00902859" w:rsidRDefault="00902859" w:rsidP="00993301">
      <w:pPr>
        <w:spacing w:after="0" w:line="480" w:lineRule="auto"/>
        <w:ind w:firstLine="0"/>
        <w:jc w:val="both"/>
      </w:pPr>
      <w:r>
        <w:t xml:space="preserve">Powers theorists believe that at least some properties are </w:t>
      </w:r>
      <w:r>
        <w:rPr>
          <w:i/>
          <w:iCs/>
        </w:rPr>
        <w:t xml:space="preserve">powers </w:t>
      </w:r>
      <w:r>
        <w:t>and that powers can be put to work in explaining a range of philosophical phenomena.</w:t>
      </w:r>
      <w:r w:rsidR="008D7791" w:rsidRPr="00275927">
        <w:rPr>
          <w:rStyle w:val="FootnoteReference"/>
        </w:rPr>
        <w:footnoteReference w:id="1"/>
      </w:r>
      <w:r>
        <w:t xml:space="preserve"> There is disagreement among the powers theorists about which properties get to count as powers and, correspondingly, about the extent of the philosophical work to which powers may </w:t>
      </w:r>
      <w:r w:rsidR="00783CE2">
        <w:t xml:space="preserve">reasonably </w:t>
      </w:r>
      <w:r>
        <w:t>be</w:t>
      </w:r>
      <w:r w:rsidR="000A335B">
        <w:t xml:space="preserve"> </w:t>
      </w:r>
      <w:r>
        <w:t xml:space="preserve">put. Bird </w:t>
      </w:r>
      <w:r w:rsidRPr="00902859">
        <w:rPr>
          <w:rFonts w:cs="Calibri"/>
        </w:rPr>
        <w:t>(2016)</w:t>
      </w:r>
      <w:r>
        <w:t xml:space="preserve"> has argued that</w:t>
      </w:r>
      <w:r w:rsidR="00E11A8A">
        <w:t xml:space="preserve"> while</w:t>
      </w:r>
      <w:r>
        <w:t xml:space="preserve"> there are good reasons to believe that fundamental properties are powers </w:t>
      </w:r>
      <w:r w:rsidR="00E11A8A">
        <w:t>there are no reasons to believe that</w:t>
      </w:r>
      <w:r>
        <w:t xml:space="preserve"> macro </w:t>
      </w:r>
      <w:r w:rsidR="004C6D73">
        <w:t xml:space="preserve">(i.e., non-fundamental) </w:t>
      </w:r>
      <w:r>
        <w:t>properties</w:t>
      </w:r>
      <w:r w:rsidR="008B31D4">
        <w:t xml:space="preserve"> </w:t>
      </w:r>
      <w:r>
        <w:t>are powers</w:t>
      </w:r>
      <w:r w:rsidR="00BD2E3C">
        <w:t>.</w:t>
      </w:r>
      <w:r w:rsidR="00E11A8A" w:rsidRPr="00275927">
        <w:rPr>
          <w:rStyle w:val="FootnoteReference"/>
        </w:rPr>
        <w:footnoteReference w:id="2"/>
      </w:r>
      <w:r>
        <w:t xml:space="preserve"> </w:t>
      </w:r>
      <w:r w:rsidR="009F2757">
        <w:t xml:space="preserve">It follows that </w:t>
      </w:r>
      <w:r>
        <w:t xml:space="preserve">there is no work for macro powers in accounting for macro phenomena such as causation, intentionality, free will, etc. </w:t>
      </w:r>
      <w:r w:rsidR="000F0816">
        <w:t xml:space="preserve"> </w:t>
      </w:r>
    </w:p>
    <w:p w14:paraId="57FD8C4D" w14:textId="6865EDEA" w:rsidR="008D5D04" w:rsidRDefault="00902859" w:rsidP="00993301">
      <w:pPr>
        <w:autoSpaceDE w:val="0"/>
        <w:autoSpaceDN w:val="0"/>
        <w:adjustRightInd w:val="0"/>
        <w:spacing w:after="0" w:line="480" w:lineRule="auto"/>
        <w:jc w:val="both"/>
        <w:rPr>
          <w:rFonts w:cs="Calibri"/>
        </w:rPr>
      </w:pPr>
      <w:r>
        <w:t xml:space="preserve">Mumford </w:t>
      </w:r>
      <w:r w:rsidR="003D1823" w:rsidRPr="003D1823">
        <w:rPr>
          <w:rFonts w:cs="Calibri"/>
        </w:rPr>
        <w:t>(2021)</w:t>
      </w:r>
      <w:r>
        <w:t xml:space="preserve"> has responded to Bird</w:t>
      </w:r>
      <w:r w:rsidR="00E2069A">
        <w:t xml:space="preserve"> </w:t>
      </w:r>
      <w:r w:rsidR="009F3F2D">
        <w:t xml:space="preserve">and defended the claims </w:t>
      </w:r>
      <w:proofErr w:type="spellStart"/>
      <w:r w:rsidR="002A6CEF">
        <w:t>i</w:t>
      </w:r>
      <w:proofErr w:type="spellEnd"/>
      <w:r w:rsidR="002A6CEF">
        <w:t xml:space="preserve">) </w:t>
      </w:r>
      <w:r w:rsidR="009F3F2D">
        <w:t xml:space="preserve">that there exist macro powers and </w:t>
      </w:r>
      <w:r w:rsidR="002A6CEF">
        <w:t xml:space="preserve">ii) </w:t>
      </w:r>
      <w:r w:rsidR="009F3F2D">
        <w:t xml:space="preserve">that these macro powers </w:t>
      </w:r>
      <w:r w:rsidR="009F3F2D" w:rsidRPr="00D9362E">
        <w:t>can be put to work in accounting for macro phenomena</w:t>
      </w:r>
      <w:r w:rsidR="009F3F2D">
        <w:t xml:space="preserve">. </w:t>
      </w:r>
      <w:r w:rsidR="00933A28">
        <w:t xml:space="preserve">Crucially, </w:t>
      </w:r>
      <w:r w:rsidR="00D9362E">
        <w:t xml:space="preserve">Mumford says that </w:t>
      </w:r>
      <w:r w:rsidR="00D9362E" w:rsidRPr="00D9362E">
        <w:t>“</w:t>
      </w:r>
      <w:r w:rsidR="00D9362E" w:rsidRPr="00D9362E">
        <w:rPr>
          <w:rFonts w:cs="Calibri"/>
        </w:rPr>
        <w:t xml:space="preserve">The </w:t>
      </w:r>
      <w:r w:rsidR="00D9362E" w:rsidRPr="008B5959">
        <w:rPr>
          <w:rFonts w:cs="Calibri"/>
          <w:i/>
          <w:iCs/>
        </w:rPr>
        <w:t>primary</w:t>
      </w:r>
      <w:r w:rsidR="00D9362E" w:rsidRPr="00D9362E">
        <w:rPr>
          <w:rFonts w:cs="Calibri"/>
        </w:rPr>
        <w:t xml:space="preserve"> reason I find why Bird thinks there are no useful powers-</w:t>
      </w:r>
      <w:r w:rsidR="00D9362E" w:rsidRPr="00D9362E">
        <w:rPr>
          <w:rFonts w:cs="Calibri"/>
        </w:rPr>
        <w:lastRenderedPageBreak/>
        <w:t>based accounts of macrophenomena such as causation and agency is that he believes there are no macro</w:t>
      </w:r>
      <w:r w:rsidR="00BE2DC6">
        <w:rPr>
          <w:rFonts w:cs="Calibri"/>
        </w:rPr>
        <w:t>-</w:t>
      </w:r>
      <w:r w:rsidR="00D9362E" w:rsidRPr="00D9362E">
        <w:rPr>
          <w:rFonts w:cs="Calibri"/>
        </w:rPr>
        <w:t>powers that could be at work in these phenomena”</w:t>
      </w:r>
      <w:r w:rsidR="00D9362E">
        <w:rPr>
          <w:rFonts w:cs="Calibri"/>
        </w:rPr>
        <w:t xml:space="preserve"> </w:t>
      </w:r>
      <w:r w:rsidR="003D1823" w:rsidRPr="003D1823">
        <w:rPr>
          <w:rFonts w:cs="Calibri"/>
        </w:rPr>
        <w:t>(Mumford 2021, 1299, my emphasis)</w:t>
      </w:r>
      <w:r w:rsidR="00D9362E">
        <w:rPr>
          <w:rFonts w:cs="Calibri"/>
        </w:rPr>
        <w:t>.</w:t>
      </w:r>
      <w:r w:rsidR="00E2069A">
        <w:rPr>
          <w:rFonts w:cs="Calibri"/>
        </w:rPr>
        <w:t xml:space="preserve"> </w:t>
      </w:r>
    </w:p>
    <w:p w14:paraId="0C7B16A0" w14:textId="6D33AA69" w:rsidR="008D5D04" w:rsidRDefault="00E2069A" w:rsidP="00993301">
      <w:pPr>
        <w:autoSpaceDE w:val="0"/>
        <w:autoSpaceDN w:val="0"/>
        <w:adjustRightInd w:val="0"/>
        <w:spacing w:after="0" w:line="480" w:lineRule="auto"/>
        <w:jc w:val="both"/>
        <w:rPr>
          <w:rFonts w:cs="Calibri"/>
        </w:rPr>
      </w:pPr>
      <w:r>
        <w:rPr>
          <w:rFonts w:cs="Calibri"/>
        </w:rPr>
        <w:t xml:space="preserve">My concern is that Mumford’s argument for the existence of macro powers fails to make the necessary contact with the details of Bird’s argument </w:t>
      </w:r>
      <w:r w:rsidRPr="00A67CAB">
        <w:rPr>
          <w:rFonts w:cs="Calibri"/>
          <w:i/>
          <w:iCs/>
        </w:rPr>
        <w:t>against</w:t>
      </w:r>
      <w:r>
        <w:rPr>
          <w:rFonts w:cs="Calibri"/>
        </w:rPr>
        <w:t xml:space="preserve"> macro powers</w:t>
      </w:r>
      <w:r w:rsidR="00C03291">
        <w:rPr>
          <w:rFonts w:cs="Calibri"/>
        </w:rPr>
        <w:t xml:space="preserve"> (though the situation is perhaps not helped by some unclarity on Bird’s part)</w:t>
      </w:r>
      <w:r w:rsidR="00D9362E">
        <w:rPr>
          <w:rFonts w:cs="Calibri"/>
        </w:rPr>
        <w:t xml:space="preserve">. </w:t>
      </w:r>
      <w:r w:rsidR="002A6CEF">
        <w:t>In short, Mumford argues that many macro properties are modally fixed</w:t>
      </w:r>
      <w:r w:rsidR="00F91B4C">
        <w:t>—they have their dispositional character necessarily—</w:t>
      </w:r>
      <w:r w:rsidR="002A6CEF">
        <w:t>from</w:t>
      </w:r>
      <w:r w:rsidR="00F91B4C">
        <w:t xml:space="preserve"> </w:t>
      </w:r>
      <w:r w:rsidR="002A6CEF">
        <w:t>which he infers</w:t>
      </w:r>
      <w:r w:rsidR="00D840A7">
        <w:t>, contrary to Bird,</w:t>
      </w:r>
      <w:r w:rsidR="002A6CEF">
        <w:t xml:space="preserve"> that these properties are powers. </w:t>
      </w:r>
      <w:r w:rsidR="00D9362E">
        <w:t>But w</w:t>
      </w:r>
      <w:r w:rsidR="002A6CEF">
        <w:t xml:space="preserve">hile Bird does think that modal fixity is necessary for being a power, he does not think that modal fixity suffices for being a power. Thus, Mumford’s arguments to the effect that </w:t>
      </w:r>
      <w:r w:rsidR="00513D16">
        <w:t>many</w:t>
      </w:r>
      <w:r w:rsidR="002A6CEF">
        <w:t xml:space="preserve"> macro properties are modally fixed will do nothing to convince Bird that these properties are powers, hence Mumford’s reply will not convince Bird that </w:t>
      </w:r>
      <w:r w:rsidR="00DC4492">
        <w:t xml:space="preserve">there exist </w:t>
      </w:r>
      <w:r w:rsidR="002A6CEF">
        <w:t>macro powers</w:t>
      </w:r>
      <w:r w:rsidR="00DC4492">
        <w:t xml:space="preserve"> that may do the work of</w:t>
      </w:r>
      <w:r w:rsidR="002A6CEF">
        <w:t xml:space="preserve"> explain</w:t>
      </w:r>
      <w:r w:rsidR="00DC4492">
        <w:t>ing</w:t>
      </w:r>
      <w:r w:rsidR="002A6CEF">
        <w:t xml:space="preserve"> macro phenomena. </w:t>
      </w:r>
      <w:r w:rsidR="001104A6">
        <w:t xml:space="preserve">I’ll elaborate on the details of this situation in what follows. </w:t>
      </w:r>
    </w:p>
    <w:p w14:paraId="052C6F9F" w14:textId="5E9B6135" w:rsidR="001104A6" w:rsidRDefault="001104A6" w:rsidP="00993301">
      <w:pPr>
        <w:autoSpaceDE w:val="0"/>
        <w:autoSpaceDN w:val="0"/>
        <w:adjustRightInd w:val="0"/>
        <w:spacing w:after="0" w:line="480" w:lineRule="auto"/>
        <w:jc w:val="both"/>
      </w:pPr>
      <w:r>
        <w:t xml:space="preserve">The confused (as I see it) state of this debate risks obstructing future work on the </w:t>
      </w:r>
      <w:r w:rsidR="008809FA">
        <w:t>philosophy</w:t>
      </w:r>
      <w:r>
        <w:t xml:space="preserve"> of powers, a topic in which there is a lot of current interest. The point of this </w:t>
      </w:r>
      <w:r w:rsidR="000549F9">
        <w:t>paper</w:t>
      </w:r>
      <w:r>
        <w:t xml:space="preserve"> is thus to try and clear up any confusion with the hope of facilitating future debates. </w:t>
      </w:r>
    </w:p>
    <w:p w14:paraId="09ED1249" w14:textId="77777777" w:rsidR="00834D04" w:rsidRPr="008D5D04" w:rsidRDefault="00834D04" w:rsidP="00993301">
      <w:pPr>
        <w:autoSpaceDE w:val="0"/>
        <w:autoSpaceDN w:val="0"/>
        <w:adjustRightInd w:val="0"/>
        <w:spacing w:after="0" w:line="480" w:lineRule="auto"/>
        <w:jc w:val="both"/>
        <w:rPr>
          <w:rFonts w:cs="Calibri"/>
        </w:rPr>
      </w:pPr>
    </w:p>
    <w:p w14:paraId="5EB15CFA" w14:textId="6D8BFC79" w:rsidR="002D353B" w:rsidRPr="00834D04" w:rsidRDefault="002D353B" w:rsidP="00993301">
      <w:pPr>
        <w:pStyle w:val="ListParagraph"/>
        <w:numPr>
          <w:ilvl w:val="0"/>
          <w:numId w:val="4"/>
        </w:numPr>
        <w:autoSpaceDE w:val="0"/>
        <w:autoSpaceDN w:val="0"/>
        <w:adjustRightInd w:val="0"/>
        <w:spacing w:after="0" w:line="480" w:lineRule="auto"/>
        <w:jc w:val="both"/>
        <w:rPr>
          <w:rFonts w:cs="Calibri"/>
        </w:rPr>
      </w:pPr>
    </w:p>
    <w:p w14:paraId="522E6A70" w14:textId="0BFE7C25" w:rsidR="008D5D04" w:rsidRDefault="00DC4492" w:rsidP="00993301">
      <w:pPr>
        <w:spacing w:after="0" w:line="480" w:lineRule="auto"/>
        <w:ind w:firstLine="0"/>
        <w:jc w:val="both"/>
      </w:pPr>
      <w:r>
        <w:t xml:space="preserve">To see why Mumford’s response to Bird misses </w:t>
      </w:r>
      <w:r w:rsidR="009F6BE4">
        <w:t>its target</w:t>
      </w:r>
      <w:r>
        <w:t xml:space="preserve"> it is important to keep in mind</w:t>
      </w:r>
      <w:r w:rsidR="000346DD">
        <w:t xml:space="preserve"> the details of</w:t>
      </w:r>
      <w:r>
        <w:t xml:space="preserve"> Bird’s </w:t>
      </w:r>
      <w:r w:rsidR="009A3700">
        <w:t>account of the metaphysics of powers</w:t>
      </w:r>
      <w:r>
        <w:t xml:space="preserve"> because </w:t>
      </w:r>
      <w:r w:rsidR="00832791">
        <w:t>Bird’s</w:t>
      </w:r>
      <w:r>
        <w:t xml:space="preserve"> argument</w:t>
      </w:r>
      <w:r w:rsidR="00465253">
        <w:t xml:space="preserve"> against macro powers</w:t>
      </w:r>
      <w:r>
        <w:t xml:space="preserve"> crucially turns on</w:t>
      </w:r>
      <w:r w:rsidR="000346DD">
        <w:t xml:space="preserve"> these details</w:t>
      </w:r>
      <w:r>
        <w:t xml:space="preserve">. </w:t>
      </w:r>
      <w:r w:rsidR="00B3443C">
        <w:t xml:space="preserve">Bird maintains that </w:t>
      </w:r>
      <w:r w:rsidR="00251D43">
        <w:t xml:space="preserve">a power is </w:t>
      </w:r>
      <w:r w:rsidR="00251D43" w:rsidRPr="00D331D4">
        <w:rPr>
          <w:i/>
          <w:iCs/>
        </w:rPr>
        <w:t xml:space="preserve">a property that is </w:t>
      </w:r>
      <w:r w:rsidR="00D331D4" w:rsidRPr="00D331D4">
        <w:rPr>
          <w:i/>
          <w:iCs/>
        </w:rPr>
        <w:t>dispositional</w:t>
      </w:r>
      <w:r w:rsidR="00251D43" w:rsidRPr="00D331D4">
        <w:rPr>
          <w:i/>
          <w:iCs/>
        </w:rPr>
        <w:t xml:space="preserve"> in nature</w:t>
      </w:r>
      <w:r w:rsidR="00D331D4">
        <w:t xml:space="preserve"> </w:t>
      </w:r>
      <w:r w:rsidR="00D331D4" w:rsidRPr="00D331D4">
        <w:rPr>
          <w:rFonts w:cs="Calibri"/>
        </w:rPr>
        <w:t>(Bird 2016, 341, 345)</w:t>
      </w:r>
      <w:r w:rsidR="00B3443C">
        <w:t xml:space="preserve">, </w:t>
      </w:r>
      <w:r w:rsidR="00B3443C">
        <w:rPr>
          <w:i/>
          <w:iCs/>
        </w:rPr>
        <w:t>viz.</w:t>
      </w:r>
      <w:r w:rsidR="005068E9">
        <w:t xml:space="preserve"> the “essence or identity of a power is determined by its dispositional character” </w:t>
      </w:r>
      <w:r w:rsidR="005068E9" w:rsidRPr="005068E9">
        <w:rPr>
          <w:rFonts w:cs="Calibri"/>
        </w:rPr>
        <w:t>(Bird 2016, 356)</w:t>
      </w:r>
      <w:r w:rsidR="005068E9">
        <w:t>, this is Bird’s understanding of</w:t>
      </w:r>
      <w:r w:rsidR="009A3700">
        <w:t xml:space="preserve"> the metaphysics of</w:t>
      </w:r>
      <w:r w:rsidR="005068E9">
        <w:t xml:space="preserve"> powers</w:t>
      </w:r>
      <w:r w:rsidR="00D331D4">
        <w:t xml:space="preserve">. </w:t>
      </w:r>
    </w:p>
    <w:p w14:paraId="12AC50BC" w14:textId="5EC9B6DB" w:rsidR="00251D43" w:rsidRPr="00B3443C" w:rsidRDefault="00D331D4" w:rsidP="00993301">
      <w:pPr>
        <w:spacing w:after="0" w:line="480" w:lineRule="auto"/>
        <w:jc w:val="both"/>
      </w:pPr>
      <w:r>
        <w:t xml:space="preserve">It follows </w:t>
      </w:r>
      <w:r w:rsidR="00174DDD">
        <w:t xml:space="preserve">from the fact that the essence of a power is determined by its dispositional character </w:t>
      </w:r>
      <w:r>
        <w:t xml:space="preserve">that powers are </w:t>
      </w:r>
      <w:r w:rsidRPr="003620D8">
        <w:rPr>
          <w:i/>
          <w:iCs/>
        </w:rPr>
        <w:t>modally fixed</w:t>
      </w:r>
      <w:r w:rsidR="00FD6367">
        <w:t xml:space="preserve">: </w:t>
      </w:r>
      <w:r w:rsidRPr="00B3443C">
        <w:t xml:space="preserve">they </w:t>
      </w:r>
      <w:r w:rsidR="00465253" w:rsidRPr="00B3443C">
        <w:t>have their dispositional character necessarily</w:t>
      </w:r>
      <w:r w:rsidR="00796D0F">
        <w:t>.</w:t>
      </w:r>
      <w:r w:rsidR="00BC2C38">
        <w:t xml:space="preserve"> E</w:t>
      </w:r>
      <w:r>
        <w:t>ssence implies necessity</w:t>
      </w:r>
      <w:r w:rsidR="00BC2C38">
        <w:t xml:space="preserve"> </w:t>
      </w:r>
      <w:r w:rsidR="00900959" w:rsidRPr="008D5D04">
        <w:t>(</w:t>
      </w:r>
      <w:r w:rsidRPr="008D5D04">
        <w:t xml:space="preserve">but </w:t>
      </w:r>
      <w:r w:rsidR="008B04FD" w:rsidRPr="008D5D04">
        <w:t xml:space="preserve">plausibly </w:t>
      </w:r>
      <w:r w:rsidRPr="008D5D04">
        <w:rPr>
          <w:i/>
          <w:iCs/>
        </w:rPr>
        <w:t>not</w:t>
      </w:r>
      <w:r w:rsidRPr="008D5D04">
        <w:t xml:space="preserve"> vice versa</w:t>
      </w:r>
      <w:r w:rsidR="00900959" w:rsidRPr="008D5D04">
        <w:t xml:space="preserve">, </w:t>
      </w:r>
      <w:r w:rsidRPr="008D5D04">
        <w:t xml:space="preserve">cf. Fine </w:t>
      </w:r>
      <w:r w:rsidRPr="008D5D04">
        <w:rPr>
          <w:rFonts w:cs="Calibri"/>
        </w:rPr>
        <w:t>(1994)</w:t>
      </w:r>
      <w:r w:rsidRPr="008D5D04">
        <w:t>)</w:t>
      </w:r>
      <w:r w:rsidR="00900959">
        <w:t xml:space="preserve">. </w:t>
      </w:r>
      <w:r w:rsidR="00900959">
        <w:rPr>
          <w:i/>
          <w:iCs/>
        </w:rPr>
        <w:t>M</w:t>
      </w:r>
      <w:r w:rsidR="00B3443C">
        <w:rPr>
          <w:i/>
          <w:iCs/>
        </w:rPr>
        <w:t xml:space="preserve">odal fixity </w:t>
      </w:r>
      <w:r w:rsidR="00B3443C">
        <w:t xml:space="preserve">is </w:t>
      </w:r>
      <w:r w:rsidR="00900959">
        <w:t xml:space="preserve">thus </w:t>
      </w:r>
      <w:r w:rsidR="00B3443C">
        <w:t>a necessary</w:t>
      </w:r>
      <w:r w:rsidR="00900959">
        <w:t xml:space="preserve"> </w:t>
      </w:r>
      <w:r w:rsidR="00B3443C">
        <w:t>condition on being a power</w:t>
      </w:r>
      <w:r w:rsidR="00140750">
        <w:t>, according to Bird</w:t>
      </w:r>
      <w:r w:rsidR="00B3443C">
        <w:t>.</w:t>
      </w:r>
      <w:r>
        <w:t xml:space="preserve"> </w:t>
      </w:r>
      <w:r w:rsidR="00B3443C">
        <w:rPr>
          <w:i/>
          <w:iCs/>
        </w:rPr>
        <w:t>M</w:t>
      </w:r>
      <w:r w:rsidR="00465253">
        <w:rPr>
          <w:i/>
          <w:iCs/>
        </w:rPr>
        <w:t>ass</w:t>
      </w:r>
      <w:r w:rsidR="00B3443C">
        <w:t>, for example,</w:t>
      </w:r>
      <w:r w:rsidR="00465253">
        <w:rPr>
          <w:i/>
          <w:iCs/>
        </w:rPr>
        <w:t xml:space="preserve"> </w:t>
      </w:r>
      <w:r w:rsidR="00465253">
        <w:t xml:space="preserve">confers on its bearers a disposition to warp </w:t>
      </w:r>
      <w:r w:rsidR="00465253">
        <w:lastRenderedPageBreak/>
        <w:t xml:space="preserve">spacetime. This is the dispositional character of </w:t>
      </w:r>
      <w:r w:rsidR="00465253" w:rsidRPr="00DC24B6">
        <w:t>mass</w:t>
      </w:r>
      <w:r w:rsidR="00465253">
        <w:t>. If mass is a power, then</w:t>
      </w:r>
      <w:r w:rsidR="00B72EF5">
        <w:t xml:space="preserve">, according to Bird, </w:t>
      </w:r>
      <w:r w:rsidR="00465253">
        <w:t xml:space="preserve">this dispositional character is of the essence of </w:t>
      </w:r>
      <w:r w:rsidR="00465253" w:rsidRPr="00DC24B6">
        <w:t>mass</w:t>
      </w:r>
      <w:r w:rsidR="00465253">
        <w:t xml:space="preserve">, </w:t>
      </w:r>
      <w:r w:rsidR="00B3443C">
        <w:t>from which it follows that</w:t>
      </w:r>
      <w:r w:rsidR="00465253">
        <w:t xml:space="preserve"> it is necessary that if something instantiates mass </w:t>
      </w:r>
      <w:r w:rsidR="00796D0F">
        <w:t xml:space="preserve">then </w:t>
      </w:r>
      <w:r w:rsidR="00465253">
        <w:t>it is disposed to warp spacetime</w:t>
      </w:r>
      <w:r w:rsidR="00B3443C">
        <w:t xml:space="preserve">, i.e., </w:t>
      </w:r>
      <w:r w:rsidR="00B3443C" w:rsidRPr="00DC24B6">
        <w:t>mass</w:t>
      </w:r>
      <w:r w:rsidR="00B3443C">
        <w:rPr>
          <w:i/>
          <w:iCs/>
        </w:rPr>
        <w:t xml:space="preserve"> </w:t>
      </w:r>
      <w:r w:rsidR="00B3443C">
        <w:t xml:space="preserve">is modally fixed. </w:t>
      </w:r>
    </w:p>
    <w:p w14:paraId="3B3029BB" w14:textId="3A9F4461" w:rsidR="00BE2DC6" w:rsidRDefault="00BE2DC6" w:rsidP="00993301">
      <w:pPr>
        <w:autoSpaceDE w:val="0"/>
        <w:autoSpaceDN w:val="0"/>
        <w:adjustRightInd w:val="0"/>
        <w:spacing w:after="0" w:line="480" w:lineRule="auto"/>
        <w:jc w:val="both"/>
      </w:pPr>
      <w:r>
        <w:t>Now according to Mumford</w:t>
      </w:r>
      <w:r w:rsidR="00126C94">
        <w:t>:</w:t>
      </w:r>
      <w:r w:rsidRPr="00BE2DC6">
        <w:t xml:space="preserve"> “Bird insists that ontic macro-properties are not powers in the required sense of having modal fixity.</w:t>
      </w:r>
      <w:r>
        <w:t>”</w:t>
      </w:r>
      <w:r w:rsidR="003620D8">
        <w:t xml:space="preserve"> </w:t>
      </w:r>
      <w:r w:rsidR="003D1823" w:rsidRPr="003D1823">
        <w:rPr>
          <w:rFonts w:cs="Calibri"/>
        </w:rPr>
        <w:t>(2021, 1299)</w:t>
      </w:r>
      <w:r w:rsidR="003620D8">
        <w:t xml:space="preserve">. </w:t>
      </w:r>
      <w:proofErr w:type="gramStart"/>
      <w:r w:rsidR="003620D8">
        <w:t>In an effort to</w:t>
      </w:r>
      <w:proofErr w:type="gramEnd"/>
      <w:r w:rsidR="003620D8">
        <w:t xml:space="preserve"> counter Bird,</w:t>
      </w:r>
      <w:r>
        <w:t xml:space="preserve"> Mumford thus takes up the task of arguing that there are</w:t>
      </w:r>
      <w:r w:rsidR="00657912">
        <w:t xml:space="preserve"> (many)</w:t>
      </w:r>
      <w:r>
        <w:t xml:space="preserve"> ontic</w:t>
      </w:r>
      <w:r w:rsidR="008D5D04">
        <w:t xml:space="preserve"> (aka </w:t>
      </w:r>
      <w:r w:rsidR="008D5D04">
        <w:rPr>
          <w:i/>
          <w:iCs/>
        </w:rPr>
        <w:t xml:space="preserve">sparse </w:t>
      </w:r>
      <w:r w:rsidR="008D5D04">
        <w:t xml:space="preserve">or </w:t>
      </w:r>
      <w:r w:rsidR="008D5D04">
        <w:rPr>
          <w:i/>
          <w:iCs/>
        </w:rPr>
        <w:t>natural</w:t>
      </w:r>
      <w:r w:rsidR="008D5D04">
        <w:t xml:space="preserve"> as opposed to merely </w:t>
      </w:r>
      <w:proofErr w:type="spellStart"/>
      <w:r w:rsidR="008D5D04">
        <w:t>predicatory</w:t>
      </w:r>
      <w:proofErr w:type="spellEnd"/>
      <w:r w:rsidR="008D5D04">
        <w:t>)</w:t>
      </w:r>
      <w:r>
        <w:t xml:space="preserve"> macro properties that are modally fixed. In particular, he focuses on </w:t>
      </w:r>
      <w:r w:rsidR="00B72EF5">
        <w:t>some</w:t>
      </w:r>
      <w:r w:rsidR="001B39E6">
        <w:t xml:space="preserve"> </w:t>
      </w:r>
      <w:r w:rsidR="00465253">
        <w:t>purported counter</w:t>
      </w:r>
      <w:r>
        <w:t xml:space="preserve">examples </w:t>
      </w:r>
      <w:r w:rsidR="00465253">
        <w:t>to the thesis that all (or many) properties are powers</w:t>
      </w:r>
      <w:r>
        <w:t xml:space="preserve">: </w:t>
      </w:r>
      <w:r>
        <w:rPr>
          <w:i/>
          <w:iCs/>
        </w:rPr>
        <w:t>sphericity</w:t>
      </w:r>
      <w:r>
        <w:t xml:space="preserve">, </w:t>
      </w:r>
      <w:r>
        <w:rPr>
          <w:i/>
          <w:iCs/>
        </w:rPr>
        <w:t xml:space="preserve">being </w:t>
      </w:r>
      <w:proofErr w:type="spellStart"/>
      <w:r>
        <w:rPr>
          <w:i/>
          <w:iCs/>
        </w:rPr>
        <w:t>leukopenic</w:t>
      </w:r>
      <w:proofErr w:type="spellEnd"/>
      <w:r>
        <w:rPr>
          <w:i/>
          <w:iCs/>
        </w:rPr>
        <w:t xml:space="preserve"> </w:t>
      </w:r>
      <w:r>
        <w:t xml:space="preserve">and </w:t>
      </w:r>
      <w:r>
        <w:rPr>
          <w:i/>
          <w:iCs/>
        </w:rPr>
        <w:t>being covalent</w:t>
      </w:r>
      <w:r>
        <w:t xml:space="preserve">; each of these, Mumford argues, plausibly </w:t>
      </w:r>
      <w:r w:rsidRPr="00FC76AD">
        <w:rPr>
          <w:i/>
          <w:iCs/>
        </w:rPr>
        <w:t>is</w:t>
      </w:r>
      <w:r>
        <w:t xml:space="preserve"> modally fixed. </w:t>
      </w:r>
    </w:p>
    <w:p w14:paraId="17A57D77" w14:textId="67EB9679" w:rsidR="00FA3E43" w:rsidRDefault="00D00311" w:rsidP="00993301">
      <w:pPr>
        <w:spacing w:after="0" w:line="480" w:lineRule="auto"/>
        <w:jc w:val="both"/>
      </w:pPr>
      <w:r>
        <w:t xml:space="preserve">But this would only stand a chance of convincing Bird that the properties in question </w:t>
      </w:r>
      <w:r w:rsidR="00A908A4">
        <w:t>are</w:t>
      </w:r>
      <w:r>
        <w:t xml:space="preserve"> powers if Bird thought that the modal fixity of a property sufficed for it to be a power, which he does not. </w:t>
      </w:r>
      <w:r w:rsidR="00275927">
        <w:t>Explicit e</w:t>
      </w:r>
      <w:r>
        <w:t xml:space="preserve">vidence for this comes in Bird’s discussion of the property </w:t>
      </w:r>
      <w:r>
        <w:rPr>
          <w:i/>
          <w:iCs/>
        </w:rPr>
        <w:t>aromaticity</w:t>
      </w:r>
      <w:r>
        <w:t xml:space="preserve">. </w:t>
      </w:r>
    </w:p>
    <w:p w14:paraId="047F75A7" w14:textId="77777777" w:rsidR="008D5D04" w:rsidRDefault="008D5D04" w:rsidP="00993301">
      <w:pPr>
        <w:spacing w:after="0" w:line="480" w:lineRule="auto"/>
        <w:jc w:val="both"/>
      </w:pPr>
    </w:p>
    <w:p w14:paraId="39A7B28F" w14:textId="3ABF60D8" w:rsidR="00D00311" w:rsidRDefault="00FA3E43" w:rsidP="00993301">
      <w:pPr>
        <w:spacing w:after="0" w:line="480" w:lineRule="auto"/>
        <w:ind w:left="720" w:firstLine="0"/>
        <w:jc w:val="both"/>
        <w:rPr>
          <w:rFonts w:cs="Calibri"/>
        </w:rPr>
      </w:pPr>
      <w:r w:rsidRPr="00FA3E43">
        <w:rPr>
          <w:rFonts w:cs="Calibri"/>
        </w:rPr>
        <w:t xml:space="preserve">Even if we can light on a set of dispositions shared (necessarily) by all aromatic compounds, that complex of dispositions would neither </w:t>
      </w:r>
      <w:proofErr w:type="spellStart"/>
      <w:r w:rsidRPr="00FA3E43">
        <w:rPr>
          <w:rFonts w:cs="Calibri"/>
        </w:rPr>
        <w:t>be</w:t>
      </w:r>
      <w:proofErr w:type="spellEnd"/>
      <w:r w:rsidRPr="00FA3E43">
        <w:rPr>
          <w:rFonts w:cs="Calibri"/>
        </w:rPr>
        <w:t xml:space="preserve"> nor </w:t>
      </w:r>
      <w:proofErr w:type="gramStart"/>
      <w:r w:rsidRPr="00FA3E43">
        <w:rPr>
          <w:rFonts w:cs="Calibri"/>
        </w:rPr>
        <w:t>determine</w:t>
      </w:r>
      <w:proofErr w:type="gramEnd"/>
      <w:r w:rsidRPr="00FA3E43">
        <w:rPr>
          <w:rFonts w:cs="Calibri"/>
        </w:rPr>
        <w:t xml:space="preserve"> the nature, essence or identity of aromaticity. Rather, what aromaticity is </w:t>
      </w:r>
      <w:proofErr w:type="spellStart"/>
      <w:r w:rsidRPr="00FA3E43">
        <w:rPr>
          <w:rFonts w:cs="Calibri"/>
        </w:rPr>
        <w:t>is</w:t>
      </w:r>
      <w:proofErr w:type="spellEnd"/>
      <w:r w:rsidRPr="00FA3E43">
        <w:rPr>
          <w:rFonts w:cs="Calibri"/>
        </w:rPr>
        <w:t xml:space="preserve"> a matter of the structure of the molecules and their bonds and electrons. That in turn explains any shared dispositions. </w:t>
      </w:r>
      <w:r w:rsidRPr="008D5D04">
        <w:rPr>
          <w:rFonts w:cs="Calibri"/>
          <w:i/>
          <w:iCs/>
        </w:rPr>
        <w:t>The necessity of any relationship between aromaticity and a disposition does not amount to a relationship of essence</w:t>
      </w:r>
      <w:r w:rsidRPr="00FA3E43">
        <w:rPr>
          <w:rFonts w:cs="Calibri"/>
        </w:rPr>
        <w:t xml:space="preserve"> (or nature or identity).</w:t>
      </w:r>
      <w:r>
        <w:rPr>
          <w:rFonts w:cs="Calibri"/>
        </w:rPr>
        <w:t xml:space="preserve"> </w:t>
      </w:r>
      <w:r w:rsidRPr="00FA3E43">
        <w:rPr>
          <w:rFonts w:cs="Calibri"/>
        </w:rPr>
        <w:t>(Bird 2016, 356</w:t>
      </w:r>
      <w:r w:rsidR="008D5D04">
        <w:rPr>
          <w:rFonts w:cs="Calibri"/>
        </w:rPr>
        <w:t>, my emphasis</w:t>
      </w:r>
      <w:r w:rsidRPr="00FA3E43">
        <w:rPr>
          <w:rFonts w:cs="Calibri"/>
        </w:rPr>
        <w:t>)</w:t>
      </w:r>
      <w:r w:rsidR="004F528C">
        <w:rPr>
          <w:rFonts w:cs="Calibri"/>
        </w:rPr>
        <w:t>.</w:t>
      </w:r>
    </w:p>
    <w:p w14:paraId="004F2FAA" w14:textId="77777777" w:rsidR="008D5D04" w:rsidRDefault="008D5D04" w:rsidP="00993301">
      <w:pPr>
        <w:spacing w:after="0" w:line="480" w:lineRule="auto"/>
        <w:ind w:left="720" w:firstLine="0"/>
        <w:jc w:val="both"/>
        <w:rPr>
          <w:rFonts w:cs="Calibri"/>
        </w:rPr>
      </w:pPr>
    </w:p>
    <w:p w14:paraId="6666F103" w14:textId="4DCF557D" w:rsidR="00FA3E43" w:rsidRDefault="00401832" w:rsidP="00993301">
      <w:pPr>
        <w:spacing w:after="0" w:line="480" w:lineRule="auto"/>
        <w:ind w:firstLine="0"/>
        <w:jc w:val="both"/>
        <w:rPr>
          <w:rFonts w:cs="Calibri"/>
        </w:rPr>
      </w:pPr>
      <w:r>
        <w:rPr>
          <w:rFonts w:cs="Calibri"/>
        </w:rPr>
        <w:t xml:space="preserve">The above passage in conjunction with Bird’s account of powers according to which </w:t>
      </w:r>
      <w:r>
        <w:t xml:space="preserve">the “essence or identity of a power is determined by its dispositional character” </w:t>
      </w:r>
      <w:r w:rsidRPr="005068E9">
        <w:rPr>
          <w:rFonts w:cs="Calibri"/>
        </w:rPr>
        <w:t>(Bird 2016, 356)</w:t>
      </w:r>
      <w:r>
        <w:t xml:space="preserve">, implies that Bird thinks that </w:t>
      </w:r>
      <w:r>
        <w:rPr>
          <w:i/>
          <w:iCs/>
        </w:rPr>
        <w:t xml:space="preserve">aromaticity </w:t>
      </w:r>
      <w:r>
        <w:t xml:space="preserve">is not a power, </w:t>
      </w:r>
      <w:r w:rsidRPr="00380590">
        <w:rPr>
          <w:i/>
          <w:iCs/>
        </w:rPr>
        <w:t>notwithstanding</w:t>
      </w:r>
      <w:r>
        <w:t xml:space="preserve"> its being modally fixed.</w:t>
      </w:r>
      <w:r>
        <w:rPr>
          <w:rFonts w:cs="Calibri"/>
        </w:rPr>
        <w:t xml:space="preserve"> </w:t>
      </w:r>
      <w:r w:rsidR="00FA3E43">
        <w:rPr>
          <w:rFonts w:cs="Calibri"/>
        </w:rPr>
        <w:t xml:space="preserve">This is the crucial passage for understanding the problem with Mumford’s response to Bird. </w:t>
      </w:r>
      <w:r w:rsidR="001C62B8">
        <w:rPr>
          <w:rFonts w:cs="Calibri"/>
        </w:rPr>
        <w:t>T</w:t>
      </w:r>
      <w:r w:rsidR="00FA3E43">
        <w:rPr>
          <w:rFonts w:cs="Calibri"/>
        </w:rPr>
        <w:t xml:space="preserve">he time spent arguing that Bird’s purported counterexamples are modally fixed is </w:t>
      </w:r>
      <w:r w:rsidR="001C62B8">
        <w:rPr>
          <w:rFonts w:cs="Calibri"/>
        </w:rPr>
        <w:t xml:space="preserve">in vain </w:t>
      </w:r>
      <w:r w:rsidR="00FA3E43">
        <w:rPr>
          <w:rFonts w:cs="Calibri"/>
        </w:rPr>
        <w:t xml:space="preserve">because, in Bird’s eyes, a property can be modally fixed without being a power if its essence is given non-dispositionally but, rather, </w:t>
      </w:r>
      <w:proofErr w:type="gramStart"/>
      <w:r w:rsidR="00FA3E43">
        <w:rPr>
          <w:rFonts w:cs="Calibri"/>
        </w:rPr>
        <w:lastRenderedPageBreak/>
        <w:t>structurally</w:t>
      </w:r>
      <w:proofErr w:type="gramEnd"/>
      <w:r w:rsidR="00FA3E43">
        <w:rPr>
          <w:rFonts w:cs="Calibri"/>
        </w:rPr>
        <w:t xml:space="preserve"> or compositionally, for example</w:t>
      </w:r>
      <w:r w:rsidR="00EC40E4">
        <w:rPr>
          <w:rFonts w:cs="Calibri"/>
        </w:rPr>
        <w:t xml:space="preserve">, as is the case with </w:t>
      </w:r>
      <w:r w:rsidR="00EC40E4">
        <w:rPr>
          <w:rFonts w:cs="Calibri"/>
          <w:i/>
          <w:iCs/>
        </w:rPr>
        <w:t>aromaticity</w:t>
      </w:r>
      <w:r w:rsidR="00FA3E43">
        <w:rPr>
          <w:rFonts w:cs="Calibri"/>
        </w:rPr>
        <w:t>.</w:t>
      </w:r>
      <w:r w:rsidR="00EC40E4">
        <w:rPr>
          <w:rStyle w:val="FootnoteReference"/>
          <w:rFonts w:cs="Calibri"/>
        </w:rPr>
        <w:footnoteReference w:id="3"/>
      </w:r>
      <w:r w:rsidR="00F63E95">
        <w:rPr>
          <w:rFonts w:cs="Calibri"/>
        </w:rPr>
        <w:t xml:space="preserve"> This is what the above passage makes clear.</w:t>
      </w:r>
      <w:r w:rsidR="0059259B">
        <w:rPr>
          <w:rFonts w:cs="Calibri"/>
        </w:rPr>
        <w:t xml:space="preserve"> </w:t>
      </w:r>
      <w:proofErr w:type="gramStart"/>
      <w:r w:rsidR="0059259B">
        <w:rPr>
          <w:rFonts w:cs="Calibri"/>
        </w:rPr>
        <w:t>Having said this, there</w:t>
      </w:r>
      <w:proofErr w:type="gramEnd"/>
      <w:r w:rsidR="0059259B">
        <w:rPr>
          <w:rFonts w:cs="Calibri"/>
        </w:rPr>
        <w:t xml:space="preserve"> is at least one point at which what Bird says could be seen to encourage Mumford’s interpretation, namely, on p. 366 he says: “</w:t>
      </w:r>
      <w:r w:rsidR="0059259B" w:rsidRPr="00A67CAB">
        <w:rPr>
          <w:rFonts w:cs="Calibri"/>
          <w:color w:val="242424"/>
          <w:shd w:val="clear" w:color="auto" w:fill="FFFFFF"/>
        </w:rPr>
        <w:t>The difference between the powers view of properties and its alternatives concerns the modal nature of properties, whether they are modally fixed or modally variable. Do they have any dispositional character necessarily or contingently? Are they essentially dispositional or categorical?</w:t>
      </w:r>
      <w:r w:rsidR="0059259B">
        <w:rPr>
          <w:rFonts w:cs="Calibri"/>
          <w:color w:val="242424"/>
          <w:shd w:val="clear" w:color="auto" w:fill="FFFFFF"/>
        </w:rPr>
        <w:t xml:space="preserve">”. </w:t>
      </w:r>
      <w:r w:rsidR="008143E9" w:rsidRPr="00A67CAB">
        <w:rPr>
          <w:rFonts w:cs="Calibri"/>
          <w:i/>
          <w:iCs/>
          <w:color w:val="242424"/>
          <w:shd w:val="clear" w:color="auto" w:fill="FFFFFF"/>
        </w:rPr>
        <w:t>This</w:t>
      </w:r>
      <w:r w:rsidR="008143E9">
        <w:rPr>
          <w:rFonts w:cs="Calibri"/>
          <w:color w:val="242424"/>
          <w:shd w:val="clear" w:color="auto" w:fill="FFFFFF"/>
        </w:rPr>
        <w:t xml:space="preserve"> makes modal fixity seem like the defining feature of powers</w:t>
      </w:r>
      <w:r w:rsidR="005D0FFE">
        <w:rPr>
          <w:rFonts w:cs="Calibri"/>
          <w:color w:val="242424"/>
          <w:shd w:val="clear" w:color="auto" w:fill="FFFFFF"/>
        </w:rPr>
        <w:t xml:space="preserve"> and tantamount to being essentially dispositional. Nevertheless,</w:t>
      </w:r>
      <w:r w:rsidR="00C03291">
        <w:rPr>
          <w:rFonts w:cs="Calibri"/>
          <w:color w:val="242424"/>
          <w:shd w:val="clear" w:color="auto" w:fill="FFFFFF"/>
        </w:rPr>
        <w:t xml:space="preserve"> </w:t>
      </w:r>
      <w:r w:rsidR="00C03291">
        <w:rPr>
          <w:rFonts w:cs="Calibri"/>
          <w:color w:val="242424"/>
          <w:shd w:val="clear" w:color="auto" w:fill="FFFFFF"/>
        </w:rPr>
        <w:t>I think</w:t>
      </w:r>
      <w:r w:rsidR="0047607E">
        <w:rPr>
          <w:rFonts w:cs="Calibri"/>
          <w:color w:val="242424"/>
          <w:shd w:val="clear" w:color="auto" w:fill="FFFFFF"/>
        </w:rPr>
        <w:t xml:space="preserve"> </w:t>
      </w:r>
      <w:r w:rsidR="0047607E">
        <w:rPr>
          <w:rFonts w:cs="Calibri"/>
          <w:color w:val="242424"/>
          <w:shd w:val="clear" w:color="auto" w:fill="FFFFFF"/>
        </w:rPr>
        <w:t>the</w:t>
      </w:r>
      <w:r w:rsidR="00C03291">
        <w:rPr>
          <w:rFonts w:cs="Calibri"/>
          <w:color w:val="242424"/>
          <w:shd w:val="clear" w:color="auto" w:fill="FFFFFF"/>
        </w:rPr>
        <w:t xml:space="preserve"> previous Bird (2016, 356) quote is conclusive in establishing that for Bird modal fixity does not suffice for being a power and either </w:t>
      </w:r>
      <w:r w:rsidR="001D74A6">
        <w:rPr>
          <w:rFonts w:cs="Calibri"/>
          <w:color w:val="242424"/>
          <w:shd w:val="clear" w:color="auto" w:fill="FFFFFF"/>
        </w:rPr>
        <w:t>way, the</w:t>
      </w:r>
      <w:r w:rsidR="005D0FFE">
        <w:rPr>
          <w:rFonts w:cs="Calibri"/>
          <w:color w:val="242424"/>
          <w:shd w:val="clear" w:color="auto" w:fill="FFFFFF"/>
        </w:rPr>
        <w:t xml:space="preserve"> point stands that clarity on the metaphysics of powers is missing in this Bird-Mumford exchange. </w:t>
      </w:r>
    </w:p>
    <w:p w14:paraId="6CB6716E" w14:textId="02853C0F" w:rsidR="00FA3E43" w:rsidRDefault="00A16404" w:rsidP="00993301">
      <w:pPr>
        <w:spacing w:after="0" w:line="480" w:lineRule="auto"/>
        <w:jc w:val="both"/>
        <w:rPr>
          <w:rFonts w:cs="Calibri"/>
        </w:rPr>
      </w:pPr>
      <w:r>
        <w:rPr>
          <w:rFonts w:cs="Calibri"/>
        </w:rPr>
        <w:t>I</w:t>
      </w:r>
      <w:r w:rsidR="00C74192">
        <w:rPr>
          <w:rFonts w:cs="Calibri"/>
        </w:rPr>
        <w:t xml:space="preserve">t is fair of </w:t>
      </w:r>
      <w:r w:rsidR="00582074">
        <w:rPr>
          <w:rFonts w:cs="Calibri"/>
        </w:rPr>
        <w:t xml:space="preserve">Mumford </w:t>
      </w:r>
      <w:r w:rsidR="00C74192">
        <w:rPr>
          <w:rFonts w:cs="Calibri"/>
        </w:rPr>
        <w:t>to point out</w:t>
      </w:r>
      <w:r w:rsidR="00582074">
        <w:rPr>
          <w:rFonts w:cs="Calibri"/>
        </w:rPr>
        <w:t xml:space="preserve"> that providing some counterexamples</w:t>
      </w:r>
      <w:r w:rsidR="0072279C">
        <w:rPr>
          <w:rFonts w:cs="Calibri"/>
        </w:rPr>
        <w:t xml:space="preserve"> (</w:t>
      </w:r>
      <w:r w:rsidR="0072279C" w:rsidRPr="009F57D6">
        <w:rPr>
          <w:rFonts w:cs="Calibri"/>
          <w:i/>
          <w:iCs/>
        </w:rPr>
        <w:t>aromaticity</w:t>
      </w:r>
      <w:r w:rsidR="0072279C">
        <w:rPr>
          <w:rFonts w:cs="Calibri"/>
        </w:rPr>
        <w:t xml:space="preserve">, </w:t>
      </w:r>
      <w:r w:rsidR="0072279C" w:rsidRPr="009F57D6">
        <w:rPr>
          <w:rFonts w:cs="Calibri"/>
          <w:i/>
          <w:iCs/>
        </w:rPr>
        <w:t>being covalent</w:t>
      </w:r>
      <w:r w:rsidR="0072279C">
        <w:rPr>
          <w:rFonts w:cs="Calibri"/>
        </w:rPr>
        <w:t>, etc.)</w:t>
      </w:r>
      <w:r w:rsidR="00582074">
        <w:rPr>
          <w:rFonts w:cs="Calibri"/>
        </w:rPr>
        <w:t xml:space="preserve"> to </w:t>
      </w:r>
      <w:proofErr w:type="spellStart"/>
      <w:r w:rsidR="00582074">
        <w:rPr>
          <w:rFonts w:cs="Calibri"/>
        </w:rPr>
        <w:t>pandispositionalism</w:t>
      </w:r>
      <w:proofErr w:type="spellEnd"/>
      <w:r w:rsidR="00582074">
        <w:rPr>
          <w:rFonts w:cs="Calibri"/>
        </w:rPr>
        <w:t xml:space="preserve"> (the thesis that all ontic properties are powers) does not</w:t>
      </w:r>
      <w:r w:rsidR="00EC63A6">
        <w:rPr>
          <w:rFonts w:cs="Calibri"/>
        </w:rPr>
        <w:t xml:space="preserve"> by itself</w:t>
      </w:r>
      <w:r w:rsidR="00582074">
        <w:rPr>
          <w:rFonts w:cs="Calibri"/>
        </w:rPr>
        <w:t xml:space="preserve"> constitute an argument against the claim that there are </w:t>
      </w:r>
      <w:r w:rsidR="00582074" w:rsidRPr="003272CC">
        <w:rPr>
          <w:rFonts w:cs="Calibri"/>
          <w:i/>
          <w:iCs/>
        </w:rPr>
        <w:t>some</w:t>
      </w:r>
      <w:r w:rsidR="00582074">
        <w:rPr>
          <w:rFonts w:cs="Calibri"/>
        </w:rPr>
        <w:t xml:space="preserve"> </w:t>
      </w:r>
      <w:r w:rsidR="00EC63A6">
        <w:rPr>
          <w:rFonts w:cs="Calibri"/>
        </w:rPr>
        <w:t xml:space="preserve">(or even many) </w:t>
      </w:r>
      <w:r w:rsidR="00582074">
        <w:rPr>
          <w:rFonts w:cs="Calibri"/>
        </w:rPr>
        <w:t>ontic macro powers and that these play an important role in explaining macro phenomena of philosophical interest, such as causation</w:t>
      </w:r>
      <w:r w:rsidR="00DA65BD">
        <w:rPr>
          <w:rFonts w:cs="Calibri"/>
        </w:rPr>
        <w:t>, and Bird isn’t as clear as he perhaps could’ve been on the dialectic here</w:t>
      </w:r>
      <w:r w:rsidR="00582074">
        <w:rPr>
          <w:rFonts w:cs="Calibri"/>
        </w:rPr>
        <w:t xml:space="preserve">. But </w:t>
      </w:r>
      <w:r w:rsidR="00FA3E43">
        <w:rPr>
          <w:rFonts w:cs="Calibri"/>
        </w:rPr>
        <w:t xml:space="preserve">Bird </w:t>
      </w:r>
      <w:r w:rsidR="00DA65BD">
        <w:rPr>
          <w:rFonts w:cs="Calibri"/>
        </w:rPr>
        <w:t>does think</w:t>
      </w:r>
      <w:r w:rsidR="00FA3E43">
        <w:rPr>
          <w:rFonts w:cs="Calibri"/>
        </w:rPr>
        <w:t xml:space="preserve"> that his argument applies to a great many properties in (higher-level) science</w:t>
      </w:r>
      <w:r w:rsidR="00946C4C">
        <w:rPr>
          <w:rFonts w:cs="Calibri"/>
        </w:rPr>
        <w:t>;</w:t>
      </w:r>
      <w:r w:rsidR="00582074">
        <w:rPr>
          <w:rFonts w:cs="Calibri"/>
        </w:rPr>
        <w:t xml:space="preserve"> he gives many more examples than </w:t>
      </w:r>
      <w:r w:rsidR="00AA1CCC">
        <w:rPr>
          <w:rFonts w:cs="Calibri"/>
        </w:rPr>
        <w:t>those</w:t>
      </w:r>
      <w:r w:rsidR="00582074">
        <w:rPr>
          <w:rFonts w:cs="Calibri"/>
        </w:rPr>
        <w:t xml:space="preserve"> </w:t>
      </w:r>
      <w:r w:rsidR="00AA1CCC">
        <w:rPr>
          <w:rFonts w:cs="Calibri"/>
        </w:rPr>
        <w:t>mentioned here</w:t>
      </w:r>
      <w:r w:rsidR="003E2E57">
        <w:rPr>
          <w:rFonts w:cs="Calibri"/>
        </w:rPr>
        <w:t>,</w:t>
      </w:r>
      <w:r w:rsidR="00582074">
        <w:rPr>
          <w:rFonts w:cs="Calibri"/>
        </w:rPr>
        <w:t xml:space="preserve"> and</w:t>
      </w:r>
      <w:r w:rsidR="003E2E57">
        <w:rPr>
          <w:rFonts w:cs="Calibri"/>
        </w:rPr>
        <w:t xml:space="preserve">, more importantly, he </w:t>
      </w:r>
      <w:r w:rsidR="00582074">
        <w:rPr>
          <w:rFonts w:cs="Calibri"/>
        </w:rPr>
        <w:t>provides a recipe for identifying more</w:t>
      </w:r>
      <w:r w:rsidR="004A5A1B">
        <w:rPr>
          <w:rFonts w:cs="Calibri"/>
        </w:rPr>
        <w:t xml:space="preserve"> still</w:t>
      </w:r>
      <w:r w:rsidR="00582074">
        <w:rPr>
          <w:rFonts w:cs="Calibri"/>
        </w:rPr>
        <w:t>: find a property that is ontic because it plays an explanatory role in science</w:t>
      </w:r>
      <w:r w:rsidR="00336899">
        <w:rPr>
          <w:rFonts w:cs="Calibri"/>
        </w:rPr>
        <w:t xml:space="preserve"> </w:t>
      </w:r>
      <w:r w:rsidR="00336899" w:rsidRPr="00336899">
        <w:rPr>
          <w:rFonts w:cs="Calibri"/>
        </w:rPr>
        <w:t>(</w:t>
      </w:r>
      <w:r w:rsidR="00336899">
        <w:rPr>
          <w:rFonts w:cs="Calibri"/>
        </w:rPr>
        <w:t xml:space="preserve">cf. </w:t>
      </w:r>
      <w:r w:rsidR="00336899" w:rsidRPr="00336899">
        <w:rPr>
          <w:rFonts w:cs="Calibri"/>
        </w:rPr>
        <w:t>Schaffer 2004)</w:t>
      </w:r>
      <w:r w:rsidR="00582074">
        <w:rPr>
          <w:rFonts w:cs="Calibri"/>
        </w:rPr>
        <w:t>, discover that its essence/identity is given compositionally, structurally or otherwise non-dispositionally and it will be a non-power. H</w:t>
      </w:r>
      <w:r w:rsidR="00FA3E43">
        <w:rPr>
          <w:rFonts w:cs="Calibri"/>
        </w:rPr>
        <w:t>ence</w:t>
      </w:r>
      <w:r w:rsidR="00582074">
        <w:rPr>
          <w:rFonts w:cs="Calibri"/>
        </w:rPr>
        <w:t xml:space="preserve"> it seems plausible that</w:t>
      </w:r>
      <w:r w:rsidR="00FA3E43">
        <w:rPr>
          <w:rFonts w:cs="Calibri"/>
        </w:rPr>
        <w:t xml:space="preserve"> a great many scientific </w:t>
      </w:r>
      <w:r w:rsidR="008A1296">
        <w:rPr>
          <w:rFonts w:cs="Calibri"/>
        </w:rPr>
        <w:t>properties</w:t>
      </w:r>
      <w:r w:rsidR="00FA3E43">
        <w:rPr>
          <w:rFonts w:cs="Calibri"/>
        </w:rPr>
        <w:t xml:space="preserve"> are not powers </w:t>
      </w:r>
      <w:r w:rsidR="00582074">
        <w:rPr>
          <w:rFonts w:cs="Calibri"/>
        </w:rPr>
        <w:t>on</w:t>
      </w:r>
      <w:r w:rsidR="00FA3E43">
        <w:rPr>
          <w:rFonts w:cs="Calibri"/>
        </w:rPr>
        <w:t xml:space="preserve"> Bird</w:t>
      </w:r>
      <w:r w:rsidR="00582074">
        <w:rPr>
          <w:rFonts w:cs="Calibri"/>
        </w:rPr>
        <w:t>’s way of thinking about things and this is not affected by showing that the properties in question are modally fixed</w:t>
      </w:r>
      <w:r w:rsidR="00FA3E43">
        <w:rPr>
          <w:rFonts w:cs="Calibri"/>
        </w:rPr>
        <w:t xml:space="preserve">. </w:t>
      </w:r>
      <w:r w:rsidR="008A1296">
        <w:rPr>
          <w:rFonts w:cs="Calibri"/>
        </w:rPr>
        <w:t xml:space="preserve">Those who would put powers to work in accounts of macro phenomena such as causation are thus burdened to show that macro powers really are </w:t>
      </w:r>
      <w:r w:rsidR="008A1296">
        <w:rPr>
          <w:rFonts w:cs="Calibri"/>
        </w:rPr>
        <w:lastRenderedPageBreak/>
        <w:t xml:space="preserve">needed in addition to our ontology of macro properties, and Bird </w:t>
      </w:r>
      <w:r w:rsidR="008A1296" w:rsidRPr="003E2E57">
        <w:rPr>
          <w:rFonts w:cs="Calibri"/>
        </w:rPr>
        <w:t xml:space="preserve">does not think this an easy burden to carry (2016, 357). In many cases, causally relevant properties will not be powers (in Bird’s sense), the presence of oxygen, for example, is a causal factor in explaining a fire, but this concerns constitution, not disposition (ibid), so why posit powers </w:t>
      </w:r>
      <w:r w:rsidR="008A1296" w:rsidRPr="003E2E57">
        <w:rPr>
          <w:rFonts w:cs="Calibri"/>
          <w:i/>
          <w:iCs/>
        </w:rPr>
        <w:t xml:space="preserve">in addition </w:t>
      </w:r>
      <w:r w:rsidR="008A1296" w:rsidRPr="003E2E57">
        <w:rPr>
          <w:rFonts w:cs="Calibri"/>
        </w:rPr>
        <w:t>to the non-powerful causally relevant properties</w:t>
      </w:r>
      <w:r w:rsidR="003E2E57" w:rsidRPr="003E2E57">
        <w:rPr>
          <w:rFonts w:cs="Calibri"/>
        </w:rPr>
        <w:t>?</w:t>
      </w:r>
      <w:r w:rsidR="003E2E57">
        <w:rPr>
          <w:rFonts w:cs="Calibri"/>
        </w:rPr>
        <w:t xml:space="preserve"> </w:t>
      </w:r>
      <w:r w:rsidR="00170C16">
        <w:rPr>
          <w:rFonts w:cs="Calibri"/>
        </w:rPr>
        <w:t xml:space="preserve"> </w:t>
      </w:r>
    </w:p>
    <w:p w14:paraId="717BF95F" w14:textId="5AEE1D7E" w:rsidR="00946C4C" w:rsidRDefault="00946C4C" w:rsidP="00993301">
      <w:pPr>
        <w:spacing w:after="0" w:line="480" w:lineRule="auto"/>
        <w:ind w:firstLine="0"/>
        <w:jc w:val="both"/>
        <w:rPr>
          <w:rFonts w:cs="Calibri"/>
        </w:rPr>
      </w:pPr>
    </w:p>
    <w:p w14:paraId="7BEE3FF7" w14:textId="2AA434DE" w:rsidR="00193D2B" w:rsidRPr="00193D2B" w:rsidRDefault="00193D2B" w:rsidP="00993301">
      <w:pPr>
        <w:pStyle w:val="ListParagraph"/>
        <w:numPr>
          <w:ilvl w:val="0"/>
          <w:numId w:val="4"/>
        </w:numPr>
        <w:spacing w:after="0" w:line="480" w:lineRule="auto"/>
        <w:jc w:val="both"/>
        <w:rPr>
          <w:rFonts w:cs="Calibri"/>
        </w:rPr>
      </w:pPr>
    </w:p>
    <w:p w14:paraId="5867ADAB" w14:textId="7778ACBA" w:rsidR="00454D27" w:rsidRDefault="002625AA" w:rsidP="00993301">
      <w:pPr>
        <w:spacing w:after="0" w:line="480" w:lineRule="auto"/>
        <w:ind w:firstLine="0"/>
        <w:jc w:val="both"/>
        <w:rPr>
          <w:rFonts w:cs="Calibri"/>
        </w:rPr>
      </w:pPr>
      <w:r>
        <w:rPr>
          <w:rFonts w:cs="Calibri"/>
        </w:rPr>
        <w:t xml:space="preserve">My point, then, is that contrary to what is suggested by Mumford’s reply to Bird, the crux of the Mumford-Bird disagreement is not whether there are (m)any macro properties that are </w:t>
      </w:r>
      <w:r w:rsidRPr="002625AA">
        <w:rPr>
          <w:rFonts w:cs="Calibri"/>
          <w:i/>
          <w:iCs/>
        </w:rPr>
        <w:t>modally fixed</w:t>
      </w:r>
      <w:r>
        <w:rPr>
          <w:rFonts w:cs="Calibri"/>
        </w:rPr>
        <w:t xml:space="preserve"> because</w:t>
      </w:r>
      <w:r w:rsidR="002B1D0F">
        <w:rPr>
          <w:rFonts w:cs="Calibri"/>
        </w:rPr>
        <w:t>,</w:t>
      </w:r>
      <w:r>
        <w:rPr>
          <w:rFonts w:cs="Calibri"/>
        </w:rPr>
        <w:t xml:space="preserve"> for Bird,</w:t>
      </w:r>
      <w:r w:rsidR="007B2EDF">
        <w:rPr>
          <w:rFonts w:cs="Calibri"/>
        </w:rPr>
        <w:t xml:space="preserve"> a property being</w:t>
      </w:r>
      <w:r>
        <w:rPr>
          <w:rFonts w:cs="Calibri"/>
        </w:rPr>
        <w:t xml:space="preserve"> modal fix</w:t>
      </w:r>
      <w:r w:rsidR="002B1D0F">
        <w:rPr>
          <w:rFonts w:cs="Calibri"/>
        </w:rPr>
        <w:t>ed</w:t>
      </w:r>
      <w:r>
        <w:rPr>
          <w:rFonts w:cs="Calibri"/>
        </w:rPr>
        <w:t xml:space="preserve"> does not suffice for </w:t>
      </w:r>
      <w:r w:rsidR="007B2EDF">
        <w:rPr>
          <w:rFonts w:cs="Calibri"/>
        </w:rPr>
        <w:t xml:space="preserve">its </w:t>
      </w:r>
      <w:r>
        <w:rPr>
          <w:rFonts w:cs="Calibri"/>
        </w:rPr>
        <w:t xml:space="preserve">being a power and so does not establish what is needed to motivate macro-powers-based explanations of macro phenomena. As far as I can tell, there is no </w:t>
      </w:r>
      <w:r w:rsidR="00001399">
        <w:rPr>
          <w:rFonts w:cs="Calibri"/>
        </w:rPr>
        <w:t>substantive</w:t>
      </w:r>
      <w:r>
        <w:rPr>
          <w:rFonts w:cs="Calibri"/>
        </w:rPr>
        <w:t xml:space="preserve"> disagreement between Mumford and Bird about which properties are modally fixed. </w:t>
      </w:r>
    </w:p>
    <w:p w14:paraId="07CC67FB" w14:textId="2B99BBF1" w:rsidR="005C5174" w:rsidRPr="00691920" w:rsidRDefault="00355293" w:rsidP="00993301">
      <w:pPr>
        <w:spacing w:after="0" w:line="480" w:lineRule="auto"/>
        <w:jc w:val="both"/>
        <w:rPr>
          <w:rFonts w:cs="Calibri"/>
          <w:iCs/>
        </w:rPr>
      </w:pPr>
      <w:r>
        <w:rPr>
          <w:rFonts w:cs="Calibri"/>
        </w:rPr>
        <w:t>There is, however,</w:t>
      </w:r>
      <w:r w:rsidR="005C5174">
        <w:rPr>
          <w:rFonts w:cs="Calibri"/>
        </w:rPr>
        <w:t xml:space="preserve"> </w:t>
      </w:r>
      <w:r>
        <w:rPr>
          <w:rFonts w:cs="Calibri"/>
        </w:rPr>
        <w:t xml:space="preserve">disagreement about which properties </w:t>
      </w:r>
      <w:r w:rsidR="0025595D">
        <w:rPr>
          <w:rFonts w:cs="Calibri"/>
        </w:rPr>
        <w:t>count as</w:t>
      </w:r>
      <w:r>
        <w:rPr>
          <w:rFonts w:cs="Calibri"/>
        </w:rPr>
        <w:t xml:space="preserve"> powers, hence the substantive disagreement concerns the </w:t>
      </w:r>
      <w:r w:rsidRPr="00355293">
        <w:rPr>
          <w:rFonts w:cs="Calibri"/>
          <w:i/>
          <w:iCs/>
        </w:rPr>
        <w:t>metaphysics</w:t>
      </w:r>
      <w:r>
        <w:rPr>
          <w:rFonts w:cs="Calibri"/>
        </w:rPr>
        <w:t xml:space="preserve"> of powers. </w:t>
      </w:r>
      <w:r w:rsidR="007B2EDF">
        <w:rPr>
          <w:rFonts w:cs="Calibri"/>
        </w:rPr>
        <w:t xml:space="preserve">Mumford </w:t>
      </w:r>
      <w:r w:rsidR="00FA0DA5">
        <w:rPr>
          <w:rFonts w:cs="Calibri"/>
        </w:rPr>
        <w:t>think</w:t>
      </w:r>
      <w:r>
        <w:rPr>
          <w:rFonts w:cs="Calibri"/>
        </w:rPr>
        <w:t>s that</w:t>
      </w:r>
      <w:r w:rsidR="007B2EDF">
        <w:rPr>
          <w:rFonts w:cs="Calibri"/>
        </w:rPr>
        <w:t xml:space="preserve"> it does not disqualify a property from being a power if its essence can be specified non-dispositionally</w:t>
      </w:r>
      <w:r w:rsidR="005D0FFE">
        <w:rPr>
          <w:rFonts w:cs="Calibri"/>
        </w:rPr>
        <w:t>.</w:t>
      </w:r>
      <w:r w:rsidR="007B2EDF">
        <w:rPr>
          <w:rFonts w:cs="Calibri"/>
        </w:rPr>
        <w:t xml:space="preserve"> Mumford’s discussions of sphericity and being a covalent bond </w:t>
      </w:r>
      <w:r w:rsidR="003D1823" w:rsidRPr="00A67CAB">
        <w:rPr>
          <w:rFonts w:cs="Calibri"/>
          <w:szCs w:val="24"/>
        </w:rPr>
        <w:t>(Mumford 2021, 1300–1302)</w:t>
      </w:r>
      <w:r w:rsidR="007B2EDF">
        <w:rPr>
          <w:rFonts w:cs="Calibri"/>
        </w:rPr>
        <w:t xml:space="preserve"> </w:t>
      </w:r>
      <w:r w:rsidR="00452407">
        <w:rPr>
          <w:rFonts w:cs="Calibri"/>
        </w:rPr>
        <w:t>serve</w:t>
      </w:r>
      <w:r w:rsidR="00946C4C">
        <w:rPr>
          <w:rFonts w:cs="Calibri"/>
        </w:rPr>
        <w:t xml:space="preserve"> as</w:t>
      </w:r>
      <w:r w:rsidR="007B2EDF">
        <w:rPr>
          <w:rFonts w:cs="Calibri"/>
        </w:rPr>
        <w:t xml:space="preserve"> evidence for this</w:t>
      </w:r>
      <w:r w:rsidR="005D0FFE">
        <w:rPr>
          <w:rFonts w:cs="Calibri"/>
        </w:rPr>
        <w:t xml:space="preserve"> since these are properties whose essence can be given non-dispositionally (mathematically and structurally, respectively) and these are properties that Mumford wishes to hold up as examples of powers</w:t>
      </w:r>
      <w:r w:rsidR="007B2EDF">
        <w:rPr>
          <w:rFonts w:cs="Calibri"/>
        </w:rPr>
        <w:t xml:space="preserve">. </w:t>
      </w:r>
      <w:r w:rsidR="00B83C41">
        <w:rPr>
          <w:rFonts w:cs="Calibri"/>
        </w:rPr>
        <w:t xml:space="preserve">What’s more, Mumford thinks that being metaphysically </w:t>
      </w:r>
      <w:r w:rsidR="00B83C41">
        <w:rPr>
          <w:rFonts w:cs="Calibri"/>
          <w:i/>
          <w:iCs/>
        </w:rPr>
        <w:t xml:space="preserve">productive </w:t>
      </w:r>
      <w:r w:rsidR="00B83C41">
        <w:rPr>
          <w:rFonts w:cs="Calibri"/>
        </w:rPr>
        <w:t>of manifestations</w:t>
      </w:r>
      <w:r w:rsidR="00B83C41">
        <w:rPr>
          <w:rFonts w:cs="Calibri"/>
          <w:i/>
          <w:iCs/>
        </w:rPr>
        <w:t xml:space="preserve"> </w:t>
      </w:r>
      <w:r w:rsidR="00B83C41">
        <w:rPr>
          <w:rFonts w:cs="Calibri"/>
        </w:rPr>
        <w:t xml:space="preserve">is central to what it is to be a power </w:t>
      </w:r>
      <w:r w:rsidR="003D1823" w:rsidRPr="003D1823">
        <w:rPr>
          <w:rFonts w:cs="Calibri"/>
        </w:rPr>
        <w:t>(Mumford 2021, 1296)</w:t>
      </w:r>
      <w:r w:rsidR="00B83C41">
        <w:rPr>
          <w:rFonts w:cs="Calibri"/>
        </w:rPr>
        <w:t xml:space="preserve">. </w:t>
      </w:r>
      <w:r w:rsidR="004873CA">
        <w:rPr>
          <w:rFonts w:cs="Calibri"/>
        </w:rPr>
        <w:t>Bird, on the other hand, is clear that if a property’s essence can be given non-dispositionally then it is not a power</w:t>
      </w:r>
      <w:r w:rsidR="007B2EDF">
        <w:rPr>
          <w:rFonts w:cs="Calibri"/>
        </w:rPr>
        <w:t xml:space="preserve">, as evidenced by his discussion of, e.g., aromaticity </w:t>
      </w:r>
      <w:r w:rsidR="007B2EDF" w:rsidRPr="00FA3E43">
        <w:rPr>
          <w:rFonts w:cs="Calibri"/>
        </w:rPr>
        <w:t>(</w:t>
      </w:r>
      <w:r w:rsidR="00286847">
        <w:rPr>
          <w:rFonts w:cs="Calibri"/>
        </w:rPr>
        <w:t xml:space="preserve">see quote above and </w:t>
      </w:r>
      <w:r w:rsidR="007B2EDF" w:rsidRPr="00FA3E43">
        <w:rPr>
          <w:rFonts w:cs="Calibri"/>
        </w:rPr>
        <w:t>Bird 2016, 356)</w:t>
      </w:r>
      <w:r w:rsidR="00B83C41">
        <w:rPr>
          <w:rFonts w:cs="Calibri"/>
        </w:rPr>
        <w:t xml:space="preserve">; he thinks that powers are </w:t>
      </w:r>
      <w:proofErr w:type="gramStart"/>
      <w:r w:rsidR="00B83C41">
        <w:rPr>
          <w:rFonts w:cs="Calibri"/>
        </w:rPr>
        <w:t>properties  whose</w:t>
      </w:r>
      <w:proofErr w:type="gramEnd"/>
      <w:r w:rsidR="00B83C41">
        <w:rPr>
          <w:rFonts w:cs="Calibri"/>
        </w:rPr>
        <w:t xml:space="preserve"> essence or identity is given in </w:t>
      </w:r>
      <w:r w:rsidR="00B83C41">
        <w:rPr>
          <w:rFonts w:cs="Calibri"/>
          <w:i/>
          <w:iCs/>
        </w:rPr>
        <w:t xml:space="preserve">purely </w:t>
      </w:r>
      <w:r w:rsidR="00B83C41">
        <w:rPr>
          <w:rFonts w:cs="Calibri"/>
        </w:rPr>
        <w:t>dispositional terms.</w:t>
      </w:r>
      <w:r w:rsidR="00691920">
        <w:rPr>
          <w:rFonts w:cs="Calibri"/>
        </w:rPr>
        <w:t xml:space="preserve"> And Bird does not invoke the notion of </w:t>
      </w:r>
      <w:r w:rsidR="00691920">
        <w:rPr>
          <w:rFonts w:cs="Calibri"/>
          <w:i/>
        </w:rPr>
        <w:t xml:space="preserve">production </w:t>
      </w:r>
      <w:r w:rsidR="00691920">
        <w:rPr>
          <w:rFonts w:cs="Calibri"/>
          <w:iCs/>
        </w:rPr>
        <w:t xml:space="preserve">in his account of what it is to be a power. </w:t>
      </w:r>
    </w:p>
    <w:p w14:paraId="2AF206B3" w14:textId="6311EA9C" w:rsidR="00666FE7" w:rsidRPr="003D1823" w:rsidRDefault="00D60A75" w:rsidP="00993301">
      <w:pPr>
        <w:spacing w:after="0" w:line="480" w:lineRule="auto"/>
        <w:jc w:val="both"/>
        <w:rPr>
          <w:rFonts w:cs="Calibri"/>
        </w:rPr>
      </w:pPr>
      <w:r>
        <w:rPr>
          <w:rFonts w:cs="Calibri"/>
        </w:rPr>
        <w:lastRenderedPageBreak/>
        <w:t xml:space="preserve">It is unfortunate that Bird and Mumford’s </w:t>
      </w:r>
      <w:r w:rsidR="00882598">
        <w:rPr>
          <w:rFonts w:cs="Calibri"/>
        </w:rPr>
        <w:t xml:space="preserve">substantive </w:t>
      </w:r>
      <w:r>
        <w:rPr>
          <w:rFonts w:cs="Calibri"/>
        </w:rPr>
        <w:t>disagreement about the metaphysics of powers is obscured</w:t>
      </w:r>
      <w:r w:rsidR="005C5174">
        <w:rPr>
          <w:rFonts w:cs="Calibri"/>
        </w:rPr>
        <w:t xml:space="preserve"> by a</w:t>
      </w:r>
      <w:r w:rsidR="00882598">
        <w:rPr>
          <w:rFonts w:cs="Calibri"/>
        </w:rPr>
        <w:t xml:space="preserve"> relatively trivial</w:t>
      </w:r>
      <w:r w:rsidR="005C5174">
        <w:rPr>
          <w:rFonts w:cs="Calibri"/>
        </w:rPr>
        <w:t xml:space="preserve"> discussion of which properties are modally fixed.</w:t>
      </w:r>
      <w:r>
        <w:rPr>
          <w:rFonts w:cs="Calibri"/>
        </w:rPr>
        <w:t xml:space="preserve"> </w:t>
      </w:r>
      <w:r w:rsidR="005C5174">
        <w:rPr>
          <w:rFonts w:cs="Calibri"/>
        </w:rPr>
        <w:t>T</w:t>
      </w:r>
      <w:r>
        <w:rPr>
          <w:rFonts w:cs="Calibri"/>
        </w:rPr>
        <w:t xml:space="preserve">he issue of the metaphysics of powers is intimately tied up with the </w:t>
      </w:r>
      <w:r w:rsidR="00501D07">
        <w:rPr>
          <w:rFonts w:cs="Calibri"/>
        </w:rPr>
        <w:t xml:space="preserve">critical </w:t>
      </w:r>
      <w:r>
        <w:rPr>
          <w:rFonts w:cs="Calibri"/>
        </w:rPr>
        <w:t xml:space="preserve">issue of whether powers </w:t>
      </w:r>
      <w:proofErr w:type="gramStart"/>
      <w:r>
        <w:rPr>
          <w:rFonts w:cs="Calibri"/>
        </w:rPr>
        <w:t>are capable of doing</w:t>
      </w:r>
      <w:proofErr w:type="gramEnd"/>
      <w:r>
        <w:rPr>
          <w:rFonts w:cs="Calibri"/>
        </w:rPr>
        <w:t xml:space="preserve"> the explanatory work for which they were originally proposed.</w:t>
      </w:r>
      <w:r w:rsidR="00074CC1">
        <w:rPr>
          <w:rFonts w:cs="Calibri"/>
        </w:rPr>
        <w:t xml:space="preserve"> It is generally agreed that to be a power a property must stand in some appropriate</w:t>
      </w:r>
      <w:r w:rsidR="00F76DBA">
        <w:rPr>
          <w:rFonts w:cs="Calibri"/>
        </w:rPr>
        <w:t xml:space="preserve"> </w:t>
      </w:r>
      <w:r w:rsidR="00074CC1" w:rsidRPr="00F76DBA">
        <w:rPr>
          <w:rFonts w:cs="Calibri"/>
        </w:rPr>
        <w:t>explanatory</w:t>
      </w:r>
      <w:r w:rsidR="00074CC1">
        <w:rPr>
          <w:rFonts w:cs="Calibri"/>
        </w:rPr>
        <w:t xml:space="preserve"> relationship to modality and this then disqualifies properties as understood by, for example Lewis </w:t>
      </w:r>
      <w:r w:rsidR="00074CC1" w:rsidRPr="00074CC1">
        <w:rPr>
          <w:rFonts w:cs="Calibri"/>
        </w:rPr>
        <w:t>(e.g., 2009)</w:t>
      </w:r>
      <w:r w:rsidR="00074CC1">
        <w:rPr>
          <w:rFonts w:cs="Calibri"/>
        </w:rPr>
        <w:t xml:space="preserve"> and </w:t>
      </w:r>
      <w:proofErr w:type="gramStart"/>
      <w:r w:rsidR="00074CC1">
        <w:rPr>
          <w:rFonts w:cs="Calibri"/>
        </w:rPr>
        <w:t xml:space="preserve">Armstrong  </w:t>
      </w:r>
      <w:r w:rsidR="00074CC1" w:rsidRPr="00074CC1">
        <w:rPr>
          <w:rFonts w:cs="Calibri"/>
        </w:rPr>
        <w:t>(</w:t>
      </w:r>
      <w:proofErr w:type="gramEnd"/>
      <w:r w:rsidR="00074CC1" w:rsidRPr="00074CC1">
        <w:rPr>
          <w:rFonts w:cs="Calibri"/>
        </w:rPr>
        <w:t>e.g., 1999)</w:t>
      </w:r>
      <w:r w:rsidR="00074CC1">
        <w:rPr>
          <w:rFonts w:cs="Calibri"/>
        </w:rPr>
        <w:t xml:space="preserve"> from being powers, see, e.g., Azzano </w:t>
      </w:r>
      <w:r w:rsidR="00074CC1" w:rsidRPr="00074CC1">
        <w:rPr>
          <w:rFonts w:cs="Calibri"/>
        </w:rPr>
        <w:t>(2019)</w:t>
      </w:r>
      <w:r w:rsidR="00074CC1">
        <w:rPr>
          <w:rFonts w:cs="Calibri"/>
        </w:rPr>
        <w:t xml:space="preserve"> and Vetter </w:t>
      </w:r>
      <w:r w:rsidR="00074CC1" w:rsidRPr="00074CC1">
        <w:rPr>
          <w:rFonts w:cs="Calibri"/>
        </w:rPr>
        <w:t>(2021)</w:t>
      </w:r>
      <w:r w:rsidR="00074CC1">
        <w:rPr>
          <w:rFonts w:cs="Calibri"/>
        </w:rPr>
        <w:t xml:space="preserve"> for some illuminating discussion. </w:t>
      </w:r>
      <w:r w:rsidR="00666FE7">
        <w:rPr>
          <w:rFonts w:cs="Calibri"/>
        </w:rPr>
        <w:t xml:space="preserve">It would be beyond my present scope to enter this debate in any detail, but </w:t>
      </w:r>
      <w:r w:rsidR="00F76DBA">
        <w:rPr>
          <w:rFonts w:cs="Calibri"/>
        </w:rPr>
        <w:t>it is worth noting</w:t>
      </w:r>
      <w:r w:rsidR="00666FE7">
        <w:rPr>
          <w:rFonts w:cs="Calibri"/>
        </w:rPr>
        <w:t xml:space="preserve"> that it has been argued</w:t>
      </w:r>
      <w:r w:rsidR="00B03C29">
        <w:rPr>
          <w:rFonts w:cs="Calibri"/>
        </w:rPr>
        <w:t xml:space="preserve">, for example, </w:t>
      </w:r>
      <w:r w:rsidR="00666FE7">
        <w:rPr>
          <w:rFonts w:cs="Calibri"/>
        </w:rPr>
        <w:t xml:space="preserve">that </w:t>
      </w:r>
      <w:r w:rsidR="00501D07">
        <w:rPr>
          <w:rFonts w:cs="Calibri"/>
        </w:rPr>
        <w:t xml:space="preserve">an understanding of powers as properties whose essences are constituted by dispositions  will </w:t>
      </w:r>
      <w:r w:rsidR="00386939">
        <w:rPr>
          <w:rFonts w:cs="Calibri"/>
        </w:rPr>
        <w:t xml:space="preserve">not </w:t>
      </w:r>
      <w:r w:rsidR="00501D07">
        <w:rPr>
          <w:rFonts w:cs="Calibri"/>
        </w:rPr>
        <w:t>suffice to explain laws of nature and modality</w:t>
      </w:r>
      <w:r w:rsidR="00386939">
        <w:rPr>
          <w:rFonts w:cs="Calibri"/>
        </w:rPr>
        <w:t xml:space="preserve"> in terms of those powers</w:t>
      </w:r>
      <w:r w:rsidR="00501D07">
        <w:rPr>
          <w:rFonts w:cs="Calibri"/>
        </w:rPr>
        <w:t xml:space="preserve">  </w:t>
      </w:r>
      <w:r w:rsidR="003D1823" w:rsidRPr="003D1823">
        <w:rPr>
          <w:rFonts w:cs="Calibri"/>
        </w:rPr>
        <w:t>(Barker and Smart 2012; Tugby 2012; Barker 2013; Jaag 2014; Kimpton-Nye 2021; Friend and Kimpton-Nye 2023)</w:t>
      </w:r>
      <w:r w:rsidR="00A005BB">
        <w:rPr>
          <w:rFonts w:cs="Calibri"/>
        </w:rPr>
        <w:t xml:space="preserve">. </w:t>
      </w:r>
      <w:r w:rsidR="00CD09A4">
        <w:rPr>
          <w:rFonts w:cs="Calibri"/>
        </w:rPr>
        <w:t xml:space="preserve">This has motivated alternative accounts of the metaphysics of powers, notably in ground-theoretic terms </w:t>
      </w:r>
      <w:proofErr w:type="gramStart"/>
      <w:r w:rsidR="003D1823" w:rsidRPr="003D1823">
        <w:rPr>
          <w:rFonts w:cs="Calibri"/>
        </w:rPr>
        <w:t xml:space="preserve">( </w:t>
      </w:r>
      <w:proofErr w:type="spellStart"/>
      <w:r w:rsidR="003D1823" w:rsidRPr="003D1823">
        <w:rPr>
          <w:rFonts w:cs="Calibri"/>
        </w:rPr>
        <w:t>Tugby</w:t>
      </w:r>
      <w:proofErr w:type="spellEnd"/>
      <w:proofErr w:type="gramEnd"/>
      <w:r w:rsidR="003D1823" w:rsidRPr="003D1823">
        <w:rPr>
          <w:rFonts w:cs="Calibri"/>
        </w:rPr>
        <w:t xml:space="preserve"> 2012; 2020; Coates 2020; Kimpton-Nye 2021)</w:t>
      </w:r>
      <w:r w:rsidR="00CD09A4">
        <w:rPr>
          <w:rFonts w:cs="Calibri"/>
        </w:rPr>
        <w:t>.</w:t>
      </w:r>
      <w:r w:rsidR="003D1823">
        <w:rPr>
          <w:rFonts w:cs="Calibri"/>
        </w:rPr>
        <w:t xml:space="preserve"> One might also think that the details of the metaphysics of powers has implications for how far the powers ontology extends, for how many properties get to count as powers. As should be evident from the previous discussion of Bird’s view, there is reason to think that if powers are just those properties whose essences are purely dispositional, then not all ontic properties will count as powers. But it has been argued that if powers are categorical </w:t>
      </w:r>
      <w:r w:rsidR="003D1823">
        <w:rPr>
          <w:rFonts w:cs="Calibri"/>
          <w:i/>
          <w:iCs/>
        </w:rPr>
        <w:t xml:space="preserve">grounds </w:t>
      </w:r>
      <w:r w:rsidR="003D1823">
        <w:rPr>
          <w:rFonts w:cs="Calibri"/>
        </w:rPr>
        <w:t xml:space="preserve">of dispositions, then </w:t>
      </w:r>
      <w:r w:rsidR="003D1823">
        <w:rPr>
          <w:rFonts w:cs="Calibri"/>
          <w:i/>
          <w:iCs/>
        </w:rPr>
        <w:t xml:space="preserve">all </w:t>
      </w:r>
      <w:r w:rsidR="003D1823">
        <w:rPr>
          <w:rFonts w:cs="Calibri"/>
        </w:rPr>
        <w:t xml:space="preserve">ontic properties are powers, i.e., </w:t>
      </w:r>
      <w:proofErr w:type="spellStart"/>
      <w:r w:rsidR="003D1823">
        <w:rPr>
          <w:rFonts w:cs="Calibri"/>
          <w:i/>
          <w:iCs/>
        </w:rPr>
        <w:t>pandispositionalism</w:t>
      </w:r>
      <w:proofErr w:type="spellEnd"/>
      <w:r w:rsidR="003D1823">
        <w:rPr>
          <w:rFonts w:cs="Calibri"/>
          <w:i/>
          <w:iCs/>
        </w:rPr>
        <w:t xml:space="preserve"> </w:t>
      </w:r>
      <w:r w:rsidR="003D1823">
        <w:rPr>
          <w:rFonts w:cs="Calibri"/>
        </w:rPr>
        <w:t xml:space="preserve">is true </w:t>
      </w:r>
      <w:r w:rsidR="0000480F" w:rsidRPr="0000480F">
        <w:rPr>
          <w:rFonts w:cs="Calibri"/>
        </w:rPr>
        <w:t xml:space="preserve">(see, e.g., Kimpton-Nye 2022; </w:t>
      </w:r>
      <w:proofErr w:type="spellStart"/>
      <w:r w:rsidR="0000480F" w:rsidRPr="0000480F">
        <w:rPr>
          <w:rFonts w:cs="Calibri"/>
        </w:rPr>
        <w:t>Tugby</w:t>
      </w:r>
      <w:proofErr w:type="spellEnd"/>
      <w:r w:rsidR="0000480F" w:rsidRPr="0000480F">
        <w:rPr>
          <w:rFonts w:cs="Calibri"/>
        </w:rPr>
        <w:t xml:space="preserve"> 2010)</w:t>
      </w:r>
      <w:r w:rsidR="0000480F">
        <w:rPr>
          <w:rFonts w:cs="Calibri"/>
        </w:rPr>
        <w:t>.</w:t>
      </w:r>
    </w:p>
    <w:p w14:paraId="3995A8F8" w14:textId="010B5F6C" w:rsidR="00C21121" w:rsidRDefault="00A005BB" w:rsidP="00993301">
      <w:pPr>
        <w:spacing w:after="0" w:line="480" w:lineRule="auto"/>
        <w:ind w:firstLine="0"/>
        <w:jc w:val="both"/>
        <w:rPr>
          <w:rFonts w:cs="Calibri"/>
        </w:rPr>
      </w:pPr>
      <w:r>
        <w:rPr>
          <w:rFonts w:cs="Calibri"/>
        </w:rPr>
        <w:tab/>
        <w:t xml:space="preserve">My worry, then, is that the confusion embedded in the Bird-Mumford debate distracts from the </w:t>
      </w:r>
      <w:proofErr w:type="gramStart"/>
      <w:r>
        <w:rPr>
          <w:rFonts w:cs="Calibri"/>
        </w:rPr>
        <w:t>really important</w:t>
      </w:r>
      <w:proofErr w:type="gramEnd"/>
      <w:r>
        <w:rPr>
          <w:rFonts w:cs="Calibri"/>
        </w:rPr>
        <w:t xml:space="preserve"> task with which proponents of powers must engage</w:t>
      </w:r>
      <w:r w:rsidR="00D3202E">
        <w:rPr>
          <w:rFonts w:cs="Calibri"/>
        </w:rPr>
        <w:t>, namely,</w:t>
      </w:r>
      <w:r>
        <w:rPr>
          <w:rFonts w:cs="Calibri"/>
        </w:rPr>
        <w:t xml:space="preserve"> developing an account of the metaphysics of powers that renders powers capable of doing their</w:t>
      </w:r>
      <w:r w:rsidR="00BA070F">
        <w:rPr>
          <w:rFonts w:cs="Calibri"/>
        </w:rPr>
        <w:t xml:space="preserve"> most </w:t>
      </w:r>
      <w:r w:rsidR="00404598">
        <w:rPr>
          <w:rFonts w:cs="Calibri"/>
        </w:rPr>
        <w:t>important</w:t>
      </w:r>
      <w:r>
        <w:rPr>
          <w:rFonts w:cs="Calibri"/>
        </w:rPr>
        <w:t xml:space="preserve"> explanatory work in the first place</w:t>
      </w:r>
      <w:r w:rsidR="00D42CEB">
        <w:rPr>
          <w:rFonts w:cs="Calibri"/>
        </w:rPr>
        <w:t xml:space="preserve">. It </w:t>
      </w:r>
      <w:r w:rsidR="00B73B50">
        <w:rPr>
          <w:rFonts w:cs="Calibri"/>
        </w:rPr>
        <w:t xml:space="preserve">arguably </w:t>
      </w:r>
      <w:r w:rsidR="00D42CEB">
        <w:rPr>
          <w:rFonts w:cs="Calibri"/>
        </w:rPr>
        <w:t>won’t help to just stipulate explanatory roles for powers since the metaphysics of powers must render them up to the explanatory task</w:t>
      </w:r>
      <w:r w:rsidR="00600ABB">
        <w:rPr>
          <w:rFonts w:cs="Calibri"/>
        </w:rPr>
        <w:t xml:space="preserve"> (Lewis’s comments about mighty biceps </w:t>
      </w:r>
      <w:r w:rsidR="00600ABB" w:rsidRPr="00600ABB">
        <w:rPr>
          <w:rFonts w:cs="Calibri"/>
        </w:rPr>
        <w:t>(1983, 366)</w:t>
      </w:r>
      <w:r w:rsidR="00600ABB">
        <w:rPr>
          <w:rFonts w:cs="Calibri"/>
        </w:rPr>
        <w:t xml:space="preserve"> and fair naming of your whatnots </w:t>
      </w:r>
      <w:r w:rsidR="00600ABB" w:rsidRPr="00600ABB">
        <w:rPr>
          <w:rFonts w:cs="Calibri"/>
        </w:rPr>
        <w:t>(1994, 484)</w:t>
      </w:r>
      <w:r w:rsidR="00600ABB">
        <w:rPr>
          <w:rFonts w:cs="Calibri"/>
        </w:rPr>
        <w:t xml:space="preserve"> come to mind)</w:t>
      </w:r>
      <w:r>
        <w:rPr>
          <w:rFonts w:cs="Calibri"/>
        </w:rPr>
        <w:t xml:space="preserve">. The issue of which </w:t>
      </w:r>
      <w:r w:rsidR="00AD0E8D">
        <w:rPr>
          <w:rFonts w:cs="Calibri"/>
        </w:rPr>
        <w:t>properties</w:t>
      </w:r>
      <w:r>
        <w:rPr>
          <w:rFonts w:cs="Calibri"/>
        </w:rPr>
        <w:t xml:space="preserve"> </w:t>
      </w:r>
      <w:r w:rsidR="00672D2C">
        <w:rPr>
          <w:rFonts w:cs="Calibri"/>
        </w:rPr>
        <w:t>are modally fixed</w:t>
      </w:r>
      <w:r>
        <w:rPr>
          <w:rFonts w:cs="Calibri"/>
        </w:rPr>
        <w:t xml:space="preserve"> is </w:t>
      </w:r>
      <w:r w:rsidR="00AD0E8D">
        <w:rPr>
          <w:rFonts w:cs="Calibri"/>
        </w:rPr>
        <w:t>relatively unimportant</w:t>
      </w:r>
      <w:r>
        <w:rPr>
          <w:rFonts w:cs="Calibri"/>
        </w:rPr>
        <w:t xml:space="preserve"> and so the surface level </w:t>
      </w:r>
      <w:r>
        <w:rPr>
          <w:rFonts w:cs="Calibri"/>
        </w:rPr>
        <w:lastRenderedPageBreak/>
        <w:t xml:space="preserve">disagreement between Bird and Mumford </w:t>
      </w:r>
      <w:r w:rsidR="00AD0E8D">
        <w:rPr>
          <w:rFonts w:cs="Calibri"/>
        </w:rPr>
        <w:t xml:space="preserve">is relatively unimportant. But as I have shown, I think the real driving force behind the Bird-Mumford debate is a disagreement about the metaphysics of powers. The way to debate </w:t>
      </w:r>
      <w:r w:rsidR="00AD0E8D">
        <w:rPr>
          <w:rFonts w:cs="Calibri"/>
          <w:i/>
          <w:iCs/>
        </w:rPr>
        <w:t xml:space="preserve">this </w:t>
      </w:r>
      <w:r w:rsidR="00AD0E8D">
        <w:rPr>
          <w:rFonts w:cs="Calibri"/>
        </w:rPr>
        <w:t>point is by debating which metaphysical account of powers renders powers best able to do the explanatory work for which they were first proposed.</w:t>
      </w:r>
      <w:r w:rsidR="00D63963">
        <w:rPr>
          <w:rFonts w:cs="Calibri"/>
        </w:rPr>
        <w:t xml:space="preserve"> And this in turn plausibly has implications for which properties get to count as powers</w:t>
      </w:r>
      <w:r w:rsidR="00B73B50">
        <w:rPr>
          <w:rFonts w:cs="Calibri"/>
        </w:rPr>
        <w:t xml:space="preserve"> and so has an interesting bearing on the controversial thesis of </w:t>
      </w:r>
      <w:proofErr w:type="spellStart"/>
      <w:r w:rsidR="00B73B50">
        <w:rPr>
          <w:rFonts w:cs="Calibri"/>
        </w:rPr>
        <w:t>pandispositionalism</w:t>
      </w:r>
      <w:proofErr w:type="spellEnd"/>
      <w:r w:rsidR="00D63963">
        <w:rPr>
          <w:rFonts w:cs="Calibri"/>
        </w:rPr>
        <w:t>.</w:t>
      </w:r>
      <w:r w:rsidR="005D5898">
        <w:rPr>
          <w:rFonts w:cs="Calibri"/>
        </w:rPr>
        <w:t xml:space="preserve"> </w:t>
      </w:r>
      <w:r w:rsidR="006531BA">
        <w:rPr>
          <w:rFonts w:cs="Calibri"/>
        </w:rPr>
        <w:t xml:space="preserve">I hope that this paper will help Bird, </w:t>
      </w:r>
      <w:proofErr w:type="gramStart"/>
      <w:r w:rsidR="006531BA">
        <w:rPr>
          <w:rFonts w:cs="Calibri"/>
        </w:rPr>
        <w:t>Mumford</w:t>
      </w:r>
      <w:proofErr w:type="gramEnd"/>
      <w:r w:rsidR="006531BA">
        <w:rPr>
          <w:rFonts w:cs="Calibri"/>
        </w:rPr>
        <w:t xml:space="preserve"> and their followers to realise this and thus get on board with the important foundational work going on elsewhere</w:t>
      </w:r>
      <w:r w:rsidR="004D7D89">
        <w:rPr>
          <w:rFonts w:cs="Calibri"/>
        </w:rPr>
        <w:t xml:space="preserve"> in the literature on powers</w:t>
      </w:r>
      <w:r w:rsidR="006531BA">
        <w:rPr>
          <w:rFonts w:cs="Calibri"/>
        </w:rPr>
        <w:t xml:space="preserve">. </w:t>
      </w:r>
    </w:p>
    <w:p w14:paraId="72B89DFC" w14:textId="77777777" w:rsidR="00892A2B" w:rsidRPr="0034626C" w:rsidRDefault="00892A2B" w:rsidP="00993301">
      <w:pPr>
        <w:spacing w:after="0" w:line="480" w:lineRule="auto"/>
        <w:ind w:firstLine="0"/>
        <w:jc w:val="both"/>
        <w:rPr>
          <w:rFonts w:cs="Calibri"/>
        </w:rPr>
      </w:pPr>
    </w:p>
    <w:p w14:paraId="71048781" w14:textId="3BFAA520" w:rsidR="00EC63A6" w:rsidRPr="007B2EDF" w:rsidRDefault="003B256A" w:rsidP="00993301">
      <w:pPr>
        <w:spacing w:after="0" w:line="480" w:lineRule="auto"/>
        <w:ind w:firstLine="0"/>
        <w:jc w:val="both"/>
        <w:rPr>
          <w:rFonts w:cs="Calibri"/>
        </w:rPr>
      </w:pPr>
      <w:r>
        <w:rPr>
          <w:rFonts w:cs="Calibri"/>
        </w:rPr>
        <w:t xml:space="preserve">ACKNOWLEDGEMENTS: </w:t>
      </w:r>
      <w:r w:rsidR="00D3202E">
        <w:rPr>
          <w:rFonts w:cs="Calibri"/>
        </w:rPr>
        <w:t xml:space="preserve">Thank you to Francesca </w:t>
      </w:r>
      <w:proofErr w:type="spellStart"/>
      <w:r w:rsidR="00D3202E">
        <w:rPr>
          <w:rFonts w:cs="Calibri"/>
        </w:rPr>
        <w:t>Bellazzi</w:t>
      </w:r>
      <w:proofErr w:type="spellEnd"/>
      <w:r w:rsidR="00D3202E">
        <w:rPr>
          <w:rFonts w:cs="Calibri"/>
        </w:rPr>
        <w:t>, Toby Friend, Will Morgan, Vanessa Seifert</w:t>
      </w:r>
      <w:r w:rsidR="00083A8E">
        <w:rPr>
          <w:rFonts w:cs="Calibri"/>
        </w:rPr>
        <w:t xml:space="preserve"> and</w:t>
      </w:r>
      <w:r w:rsidR="00D3202E">
        <w:rPr>
          <w:rFonts w:cs="Calibri"/>
        </w:rPr>
        <w:t xml:space="preserve"> Tuomas </w:t>
      </w:r>
      <w:proofErr w:type="spellStart"/>
      <w:r w:rsidR="00D3202E">
        <w:rPr>
          <w:rFonts w:cs="Calibri"/>
        </w:rPr>
        <w:t>Tahko</w:t>
      </w:r>
      <w:proofErr w:type="spellEnd"/>
      <w:r w:rsidR="00D3202E">
        <w:rPr>
          <w:rFonts w:cs="Calibri"/>
        </w:rPr>
        <w:t xml:space="preserve"> for discussion of these ideas. And many thanks indeed to the ERC-funded </w:t>
      </w:r>
      <w:proofErr w:type="spellStart"/>
      <w:r w:rsidR="00D3202E">
        <w:rPr>
          <w:rFonts w:cs="Calibri"/>
        </w:rPr>
        <w:t>MetaScience</w:t>
      </w:r>
      <w:proofErr w:type="spellEnd"/>
      <w:r w:rsidR="00D3202E">
        <w:rPr>
          <w:rFonts w:cs="Calibri"/>
        </w:rPr>
        <w:t xml:space="preserve"> project of which I was a part when working on this paper and which made this research (and much more besides!) possible. </w:t>
      </w:r>
    </w:p>
    <w:p w14:paraId="414D1C39" w14:textId="7FE2B1F1" w:rsidR="002625AA" w:rsidRDefault="002625AA" w:rsidP="00993301">
      <w:pPr>
        <w:spacing w:after="0" w:line="480" w:lineRule="auto"/>
        <w:ind w:firstLine="0"/>
        <w:jc w:val="both"/>
        <w:rPr>
          <w:rFonts w:cs="Calibri"/>
        </w:rPr>
      </w:pPr>
    </w:p>
    <w:p w14:paraId="1FEDEEB4" w14:textId="4D5D2801" w:rsidR="00074CC1" w:rsidRPr="00074CC1" w:rsidRDefault="00074CC1" w:rsidP="00021E94">
      <w:pPr>
        <w:pStyle w:val="Bibliography"/>
        <w:rPr>
          <w:rFonts w:cs="Calibri"/>
        </w:rPr>
      </w:pPr>
      <w:r w:rsidRPr="00074CC1">
        <w:rPr>
          <w:rFonts w:cs="Calibri"/>
        </w:rPr>
        <w:t xml:space="preserve">Armstrong, David M. 1999. </w:t>
      </w:r>
      <w:r w:rsidRPr="00074CC1">
        <w:rPr>
          <w:rFonts w:cs="Calibri"/>
          <w:i/>
          <w:iCs/>
        </w:rPr>
        <w:t>What Is a Law of Nature?</w:t>
      </w:r>
      <w:r w:rsidRPr="00074CC1">
        <w:rPr>
          <w:rFonts w:cs="Calibri"/>
        </w:rPr>
        <w:t xml:space="preserve"> Repr. Cambridge Studies in Philosophy. Cambridge: Cambridge University Press.</w:t>
      </w:r>
    </w:p>
    <w:p w14:paraId="05EB2C76" w14:textId="77777777" w:rsidR="00074CC1" w:rsidRPr="00074CC1" w:rsidRDefault="00074CC1" w:rsidP="00021E94">
      <w:pPr>
        <w:pStyle w:val="Bibliography"/>
        <w:rPr>
          <w:rFonts w:cs="Calibri"/>
        </w:rPr>
      </w:pPr>
      <w:r w:rsidRPr="00074CC1">
        <w:rPr>
          <w:rFonts w:cs="Calibri"/>
        </w:rPr>
        <w:t xml:space="preserve">Azzano, Lorenzo. 2019. ‘The Question of Realism for Powers’. </w:t>
      </w:r>
      <w:r w:rsidRPr="00074CC1">
        <w:rPr>
          <w:rFonts w:cs="Calibri"/>
          <w:i/>
          <w:iCs/>
        </w:rPr>
        <w:t>Synthese</w:t>
      </w:r>
      <w:r w:rsidRPr="00074CC1">
        <w:rPr>
          <w:rFonts w:cs="Calibri"/>
        </w:rPr>
        <w:t xml:space="preserve"> 196 (1): 329–54. https://doi.org/10.1007/s11229-017-1478-9.</w:t>
      </w:r>
    </w:p>
    <w:p w14:paraId="2A155FC5" w14:textId="77777777" w:rsidR="00074CC1" w:rsidRPr="00074CC1" w:rsidRDefault="00074CC1" w:rsidP="00021E94">
      <w:pPr>
        <w:pStyle w:val="Bibliography"/>
        <w:rPr>
          <w:rFonts w:cs="Calibri"/>
        </w:rPr>
      </w:pPr>
      <w:r w:rsidRPr="00074CC1">
        <w:rPr>
          <w:rFonts w:cs="Calibri"/>
        </w:rPr>
        <w:t xml:space="preserve">Barker, Stephen. 2013. ‘The Emperor’s New Metaphysics of Powers’. </w:t>
      </w:r>
      <w:r w:rsidRPr="00074CC1">
        <w:rPr>
          <w:rFonts w:cs="Calibri"/>
          <w:i/>
          <w:iCs/>
        </w:rPr>
        <w:t>Mind</w:t>
      </w:r>
      <w:r w:rsidRPr="00074CC1">
        <w:rPr>
          <w:rFonts w:cs="Calibri"/>
        </w:rPr>
        <w:t xml:space="preserve"> 122 (487): 605–53. https://doi.org/10.1093/mind/fzt082.</w:t>
      </w:r>
    </w:p>
    <w:p w14:paraId="1107C530" w14:textId="77777777" w:rsidR="00074CC1" w:rsidRPr="00074CC1" w:rsidRDefault="00074CC1" w:rsidP="00021E94">
      <w:pPr>
        <w:pStyle w:val="Bibliography"/>
        <w:rPr>
          <w:rFonts w:cs="Calibri"/>
        </w:rPr>
      </w:pPr>
      <w:r w:rsidRPr="00074CC1">
        <w:rPr>
          <w:rFonts w:cs="Calibri"/>
        </w:rPr>
        <w:t xml:space="preserve">Barker, Stephen, and Ben Smart. 2012. ‘The Ultimate Argument against Dispositional Monist Accounts of Laws’. </w:t>
      </w:r>
      <w:r w:rsidRPr="00074CC1">
        <w:rPr>
          <w:rFonts w:cs="Calibri"/>
          <w:i/>
          <w:iCs/>
        </w:rPr>
        <w:t>Analysis</w:t>
      </w:r>
      <w:r w:rsidRPr="00074CC1">
        <w:rPr>
          <w:rFonts w:cs="Calibri"/>
        </w:rPr>
        <w:t xml:space="preserve"> 72 (4): 714–22. https://doi.org/10.1093/analys/ans114.</w:t>
      </w:r>
    </w:p>
    <w:p w14:paraId="722473E3" w14:textId="77777777" w:rsidR="00074CC1" w:rsidRPr="00074CC1" w:rsidRDefault="00074CC1" w:rsidP="00021E94">
      <w:pPr>
        <w:pStyle w:val="Bibliography"/>
        <w:rPr>
          <w:rFonts w:cs="Calibri"/>
        </w:rPr>
      </w:pPr>
      <w:r w:rsidRPr="00074CC1">
        <w:rPr>
          <w:rFonts w:cs="Calibri"/>
        </w:rPr>
        <w:t xml:space="preserve">Bird, Alexander. 2016. ‘Overpowering: How the Powers Ontology Has Overreached Itself’. </w:t>
      </w:r>
      <w:r w:rsidRPr="00074CC1">
        <w:rPr>
          <w:rFonts w:cs="Calibri"/>
          <w:i/>
          <w:iCs/>
        </w:rPr>
        <w:t>Mind</w:t>
      </w:r>
      <w:r w:rsidRPr="00074CC1">
        <w:rPr>
          <w:rFonts w:cs="Calibri"/>
        </w:rPr>
        <w:t xml:space="preserve"> 125 (498): 341–83.</w:t>
      </w:r>
    </w:p>
    <w:p w14:paraId="7B7EC72B" w14:textId="77777777" w:rsidR="00074CC1" w:rsidRPr="00074CC1" w:rsidRDefault="00074CC1" w:rsidP="00021E94">
      <w:pPr>
        <w:pStyle w:val="Bibliography"/>
        <w:rPr>
          <w:rFonts w:cs="Calibri"/>
        </w:rPr>
      </w:pPr>
      <w:r w:rsidRPr="00074CC1">
        <w:rPr>
          <w:rFonts w:cs="Calibri"/>
        </w:rPr>
        <w:t xml:space="preserve">———. 2018. ‘I—Fundamental Powers, Evolved Powers, and Mental Powers’. </w:t>
      </w:r>
      <w:r w:rsidRPr="00074CC1">
        <w:rPr>
          <w:rFonts w:cs="Calibri"/>
          <w:i/>
          <w:iCs/>
        </w:rPr>
        <w:t>Aristotelian Society Supplementary Volume</w:t>
      </w:r>
      <w:r w:rsidRPr="00074CC1">
        <w:rPr>
          <w:rFonts w:cs="Calibri"/>
        </w:rPr>
        <w:t xml:space="preserve"> 92 (1): 247–75. https://doi.org/10.1093/arisup/aky006.</w:t>
      </w:r>
    </w:p>
    <w:p w14:paraId="49ABB8A1" w14:textId="77777777" w:rsidR="00074CC1" w:rsidRPr="00074CC1" w:rsidRDefault="00074CC1" w:rsidP="00021E94">
      <w:pPr>
        <w:pStyle w:val="Bibliography"/>
        <w:rPr>
          <w:rFonts w:cs="Calibri"/>
        </w:rPr>
      </w:pPr>
      <w:r w:rsidRPr="00074CC1">
        <w:rPr>
          <w:rFonts w:cs="Calibri"/>
        </w:rPr>
        <w:t xml:space="preserve">Coates, Ashley. 2020. ‘Making Sense of Powerful Qualities’. </w:t>
      </w:r>
      <w:r w:rsidRPr="00074CC1">
        <w:rPr>
          <w:rFonts w:cs="Calibri"/>
          <w:i/>
          <w:iCs/>
        </w:rPr>
        <w:t>Synthese</w:t>
      </w:r>
      <w:r w:rsidRPr="00074CC1">
        <w:rPr>
          <w:rFonts w:cs="Calibri"/>
        </w:rPr>
        <w:t>, February. https://doi.org/10.1007/s11229-020-02576-5.</w:t>
      </w:r>
    </w:p>
    <w:p w14:paraId="5BD6C3A4" w14:textId="77777777" w:rsidR="00074CC1" w:rsidRPr="00074CC1" w:rsidRDefault="00074CC1" w:rsidP="00021E94">
      <w:pPr>
        <w:pStyle w:val="Bibliography"/>
        <w:rPr>
          <w:rFonts w:cs="Calibri"/>
        </w:rPr>
      </w:pPr>
      <w:r w:rsidRPr="00074CC1">
        <w:rPr>
          <w:rFonts w:cs="Calibri"/>
        </w:rPr>
        <w:t xml:space="preserve">Fine, Kit. 1994. ‘Essence and Modality: The Second Philosophical Perspectives Lecture’. </w:t>
      </w:r>
      <w:r w:rsidRPr="00074CC1">
        <w:rPr>
          <w:rFonts w:cs="Calibri"/>
          <w:i/>
          <w:iCs/>
        </w:rPr>
        <w:t>Philosophical Perspectives</w:t>
      </w:r>
      <w:r w:rsidRPr="00074CC1">
        <w:rPr>
          <w:rFonts w:cs="Calibri"/>
        </w:rPr>
        <w:t xml:space="preserve"> 8: 1–16. https://doi.org/10.2307/2214160.</w:t>
      </w:r>
    </w:p>
    <w:p w14:paraId="591C4B89" w14:textId="1CF67F77" w:rsidR="00074CC1" w:rsidRPr="00083A8E" w:rsidRDefault="00083A8E" w:rsidP="00021E94">
      <w:pPr>
        <w:pStyle w:val="Bibliography"/>
        <w:rPr>
          <w:rFonts w:cs="Calibri"/>
        </w:rPr>
      </w:pPr>
      <w:r w:rsidRPr="00083A8E">
        <w:rPr>
          <w:rFonts w:cs="Calibri"/>
          <w:color w:val="181817"/>
          <w:shd w:val="clear" w:color="auto" w:fill="FFFFFF"/>
        </w:rPr>
        <w:t>Friend T, Kimpton-Nye S. </w:t>
      </w:r>
      <w:r w:rsidRPr="00083A8E">
        <w:rPr>
          <w:rFonts w:cs="Calibri"/>
          <w:i/>
          <w:iCs/>
          <w:color w:val="181817"/>
          <w:bdr w:val="none" w:sz="0" w:space="0" w:color="auto" w:frame="1"/>
          <w:shd w:val="clear" w:color="auto" w:fill="FFFFFF"/>
        </w:rPr>
        <w:t>Dispositions and Powers</w:t>
      </w:r>
      <w:r w:rsidRPr="00083A8E">
        <w:rPr>
          <w:rFonts w:cs="Calibri"/>
          <w:color w:val="181817"/>
          <w:shd w:val="clear" w:color="auto" w:fill="FFFFFF"/>
        </w:rPr>
        <w:t>. Cambridge University Press; 2023.</w:t>
      </w:r>
    </w:p>
    <w:p w14:paraId="2D8AA242" w14:textId="77777777" w:rsidR="00074CC1" w:rsidRPr="00074CC1" w:rsidRDefault="00074CC1" w:rsidP="00021E94">
      <w:pPr>
        <w:pStyle w:val="Bibliography"/>
        <w:rPr>
          <w:rFonts w:cs="Calibri"/>
        </w:rPr>
      </w:pPr>
      <w:proofErr w:type="spellStart"/>
      <w:r w:rsidRPr="00074CC1">
        <w:rPr>
          <w:rFonts w:cs="Calibri"/>
        </w:rPr>
        <w:t>Jaag</w:t>
      </w:r>
      <w:proofErr w:type="spellEnd"/>
      <w:r w:rsidRPr="00074CC1">
        <w:rPr>
          <w:rFonts w:cs="Calibri"/>
        </w:rPr>
        <w:t xml:space="preserve">, Siegfried. 2014. ‘Dispositional Essentialism and the Grounding of Natural Modality’. </w:t>
      </w:r>
      <w:r w:rsidRPr="00074CC1">
        <w:rPr>
          <w:rFonts w:cs="Calibri"/>
          <w:i/>
          <w:iCs/>
        </w:rPr>
        <w:t>Philosophers’ Imprint</w:t>
      </w:r>
      <w:r w:rsidRPr="00074CC1">
        <w:rPr>
          <w:rFonts w:cs="Calibri"/>
        </w:rPr>
        <w:t xml:space="preserve"> 14 (34).</w:t>
      </w:r>
    </w:p>
    <w:p w14:paraId="3A7F8F80" w14:textId="77777777" w:rsidR="00074CC1" w:rsidRPr="00074CC1" w:rsidRDefault="00074CC1" w:rsidP="00021E94">
      <w:pPr>
        <w:pStyle w:val="Bibliography"/>
        <w:rPr>
          <w:rFonts w:cs="Calibri"/>
        </w:rPr>
      </w:pPr>
      <w:r w:rsidRPr="00074CC1">
        <w:rPr>
          <w:rFonts w:cs="Calibri"/>
        </w:rPr>
        <w:t xml:space="preserve">Kimpton-Nye, Samuel. 2021. ‘Reconsidering the Dispositional Essentialist Canon’. </w:t>
      </w:r>
      <w:r w:rsidRPr="00074CC1">
        <w:rPr>
          <w:rFonts w:cs="Calibri"/>
          <w:i/>
          <w:iCs/>
        </w:rPr>
        <w:t>Philosophical Studies</w:t>
      </w:r>
      <w:r w:rsidRPr="00074CC1">
        <w:rPr>
          <w:rFonts w:cs="Calibri"/>
        </w:rPr>
        <w:t>, February. https://doi.org/10.1007/s11098-021-01607-2.</w:t>
      </w:r>
    </w:p>
    <w:p w14:paraId="4AB0ECF4" w14:textId="77777777" w:rsidR="00074CC1" w:rsidRPr="00074CC1" w:rsidRDefault="00074CC1" w:rsidP="00021E94">
      <w:pPr>
        <w:pStyle w:val="Bibliography"/>
        <w:rPr>
          <w:rFonts w:cs="Calibri"/>
        </w:rPr>
      </w:pPr>
      <w:r w:rsidRPr="00074CC1">
        <w:rPr>
          <w:rFonts w:cs="Calibri"/>
        </w:rPr>
        <w:t xml:space="preserve">———. 2022. ‘Pandispositionalism and the Metaphysics of Powers’. </w:t>
      </w:r>
      <w:r w:rsidRPr="00074CC1">
        <w:rPr>
          <w:rFonts w:cs="Calibri"/>
          <w:i/>
          <w:iCs/>
        </w:rPr>
        <w:t>Synthese</w:t>
      </w:r>
      <w:r w:rsidRPr="00074CC1">
        <w:rPr>
          <w:rFonts w:cs="Calibri"/>
        </w:rPr>
        <w:t xml:space="preserve"> 200 (5): 371. https://doi.org/10.1007/s11229-022-03857-x.</w:t>
      </w:r>
    </w:p>
    <w:p w14:paraId="007F231D" w14:textId="77777777" w:rsidR="00074CC1" w:rsidRPr="00074CC1" w:rsidRDefault="00074CC1" w:rsidP="00021E94">
      <w:pPr>
        <w:pStyle w:val="Bibliography"/>
        <w:rPr>
          <w:rFonts w:cs="Calibri"/>
        </w:rPr>
      </w:pPr>
      <w:r w:rsidRPr="00074CC1">
        <w:rPr>
          <w:rFonts w:cs="Calibri"/>
        </w:rPr>
        <w:lastRenderedPageBreak/>
        <w:t xml:space="preserve">Lewis, David. 1983. ‘New Work for a Theory of Universals’. </w:t>
      </w:r>
      <w:r w:rsidRPr="00074CC1">
        <w:rPr>
          <w:rFonts w:cs="Calibri"/>
          <w:i/>
          <w:iCs/>
        </w:rPr>
        <w:t>Australasian Journal of Philosophy</w:t>
      </w:r>
      <w:r w:rsidRPr="00074CC1">
        <w:rPr>
          <w:rFonts w:cs="Calibri"/>
        </w:rPr>
        <w:t xml:space="preserve"> 61 (4): 343–77. https://doi.org/10.1080/00048408312341131.</w:t>
      </w:r>
    </w:p>
    <w:p w14:paraId="2872B42D" w14:textId="77777777" w:rsidR="00074CC1" w:rsidRPr="00074CC1" w:rsidRDefault="00074CC1" w:rsidP="00021E94">
      <w:pPr>
        <w:pStyle w:val="Bibliography"/>
        <w:rPr>
          <w:rFonts w:cs="Calibri"/>
        </w:rPr>
      </w:pPr>
      <w:r w:rsidRPr="00074CC1">
        <w:rPr>
          <w:rFonts w:cs="Calibri"/>
        </w:rPr>
        <w:t xml:space="preserve">———. 1994. ‘Humean Supervenience Debugged’. </w:t>
      </w:r>
      <w:r w:rsidRPr="00074CC1">
        <w:rPr>
          <w:rFonts w:cs="Calibri"/>
          <w:i/>
          <w:iCs/>
        </w:rPr>
        <w:t>Mind</w:t>
      </w:r>
      <w:r w:rsidRPr="00074CC1">
        <w:rPr>
          <w:rFonts w:cs="Calibri"/>
        </w:rPr>
        <w:t xml:space="preserve"> 103 (412): 473–90.</w:t>
      </w:r>
    </w:p>
    <w:p w14:paraId="5376F55E" w14:textId="77777777" w:rsidR="00074CC1" w:rsidRPr="00074CC1" w:rsidRDefault="00074CC1" w:rsidP="00021E94">
      <w:pPr>
        <w:pStyle w:val="Bibliography"/>
        <w:rPr>
          <w:rFonts w:cs="Calibri"/>
        </w:rPr>
      </w:pPr>
      <w:r w:rsidRPr="00074CC1">
        <w:rPr>
          <w:rFonts w:cs="Calibri"/>
        </w:rPr>
        <w:t xml:space="preserve">———. 2009. ‘Ramseyan Humility’. In </w:t>
      </w:r>
      <w:r w:rsidRPr="00074CC1">
        <w:rPr>
          <w:rFonts w:cs="Calibri"/>
          <w:i/>
          <w:iCs/>
        </w:rPr>
        <w:t>Conceptual Analysis and Philosophical Naturalism</w:t>
      </w:r>
      <w:r w:rsidRPr="00074CC1">
        <w:rPr>
          <w:rFonts w:cs="Calibri"/>
        </w:rPr>
        <w:t>, edited by David Braddon-Mitchell and Robert Nola, 203–22. MIT Press.</w:t>
      </w:r>
    </w:p>
    <w:p w14:paraId="15B00662" w14:textId="77777777" w:rsidR="00074CC1" w:rsidRPr="00074CC1" w:rsidRDefault="00074CC1" w:rsidP="00021E94">
      <w:pPr>
        <w:pStyle w:val="Bibliography"/>
        <w:rPr>
          <w:rFonts w:cs="Calibri"/>
        </w:rPr>
      </w:pPr>
      <w:r w:rsidRPr="00074CC1">
        <w:rPr>
          <w:rFonts w:cs="Calibri"/>
        </w:rPr>
        <w:t xml:space="preserve">Mumford, Stephen. 2021. ‘Where the Real Power Lies: A Reply to Bird’. </w:t>
      </w:r>
      <w:r w:rsidRPr="00074CC1">
        <w:rPr>
          <w:rFonts w:cs="Calibri"/>
          <w:i/>
          <w:iCs/>
        </w:rPr>
        <w:t>Mind</w:t>
      </w:r>
      <w:r w:rsidRPr="00074CC1">
        <w:rPr>
          <w:rFonts w:cs="Calibri"/>
        </w:rPr>
        <w:t xml:space="preserve"> 130 (520): 1295–1308. https://doi.org/10.1093/mind/fzab046.</w:t>
      </w:r>
    </w:p>
    <w:p w14:paraId="1CF196B3" w14:textId="77777777" w:rsidR="00074CC1" w:rsidRPr="00074CC1" w:rsidRDefault="00074CC1" w:rsidP="00021E94">
      <w:pPr>
        <w:pStyle w:val="Bibliography"/>
        <w:rPr>
          <w:rFonts w:cs="Calibri"/>
        </w:rPr>
      </w:pPr>
      <w:r w:rsidRPr="00074CC1">
        <w:rPr>
          <w:rFonts w:cs="Calibri"/>
        </w:rPr>
        <w:t xml:space="preserve">Schaffer, Jonathan. 2004. ‘Two Conceptions of Sparse Properties*’. </w:t>
      </w:r>
      <w:r w:rsidRPr="00074CC1">
        <w:rPr>
          <w:rFonts w:cs="Calibri"/>
          <w:i/>
          <w:iCs/>
        </w:rPr>
        <w:t>Pacific Philosophical Quarterly</w:t>
      </w:r>
      <w:r w:rsidRPr="00074CC1">
        <w:rPr>
          <w:rFonts w:cs="Calibri"/>
        </w:rPr>
        <w:t xml:space="preserve"> 85 (1): 92–102. https://doi.org/10.1111/j.1468-0114.2004.00189.x.</w:t>
      </w:r>
    </w:p>
    <w:p w14:paraId="7B2F143C" w14:textId="77777777" w:rsidR="00074CC1" w:rsidRPr="00074CC1" w:rsidRDefault="00074CC1" w:rsidP="00021E94">
      <w:pPr>
        <w:pStyle w:val="Bibliography"/>
        <w:rPr>
          <w:rFonts w:cs="Calibri"/>
        </w:rPr>
      </w:pPr>
      <w:r w:rsidRPr="00074CC1">
        <w:rPr>
          <w:rFonts w:cs="Calibri"/>
        </w:rPr>
        <w:t>Tugby, Matthew. 2010. ‘Pandispositionalism: A Study’.</w:t>
      </w:r>
    </w:p>
    <w:p w14:paraId="58283F60" w14:textId="77777777" w:rsidR="00074CC1" w:rsidRPr="00074CC1" w:rsidRDefault="00074CC1" w:rsidP="00021E94">
      <w:pPr>
        <w:pStyle w:val="Bibliography"/>
        <w:rPr>
          <w:rFonts w:cs="Calibri"/>
        </w:rPr>
      </w:pPr>
      <w:r w:rsidRPr="00074CC1">
        <w:rPr>
          <w:rFonts w:cs="Calibri"/>
        </w:rPr>
        <w:t xml:space="preserve">———. 2012. ‘Rescuing Dispositionalism From the Ultimate Problem: Reply to Barker and Smart’. </w:t>
      </w:r>
      <w:r w:rsidRPr="00074CC1">
        <w:rPr>
          <w:rFonts w:cs="Calibri"/>
          <w:i/>
          <w:iCs/>
        </w:rPr>
        <w:t>Analysis</w:t>
      </w:r>
      <w:r w:rsidRPr="00074CC1">
        <w:rPr>
          <w:rFonts w:cs="Calibri"/>
        </w:rPr>
        <w:t xml:space="preserve"> 72 (4): 723–31.</w:t>
      </w:r>
    </w:p>
    <w:p w14:paraId="1B143033" w14:textId="77777777" w:rsidR="00074CC1" w:rsidRPr="00074CC1" w:rsidRDefault="00074CC1" w:rsidP="00021E94">
      <w:pPr>
        <w:pStyle w:val="Bibliography"/>
        <w:rPr>
          <w:rFonts w:cs="Calibri"/>
        </w:rPr>
      </w:pPr>
      <w:r w:rsidRPr="00074CC1">
        <w:rPr>
          <w:rFonts w:cs="Calibri"/>
        </w:rPr>
        <w:t xml:space="preserve">———. 2020. ‘Grounding Theories of Powers’. </w:t>
      </w:r>
      <w:r w:rsidRPr="00074CC1">
        <w:rPr>
          <w:rFonts w:cs="Calibri"/>
          <w:i/>
          <w:iCs/>
        </w:rPr>
        <w:t>Synthese</w:t>
      </w:r>
      <w:r w:rsidRPr="00074CC1">
        <w:rPr>
          <w:rFonts w:cs="Calibri"/>
        </w:rPr>
        <w:t>, July. https://doi.org/10.1007/s11229-020-02781-2.</w:t>
      </w:r>
    </w:p>
    <w:p w14:paraId="7089E4B3" w14:textId="77777777" w:rsidR="00074CC1" w:rsidRPr="00074CC1" w:rsidRDefault="00074CC1" w:rsidP="00021E94">
      <w:pPr>
        <w:pStyle w:val="Bibliography"/>
        <w:rPr>
          <w:rFonts w:cs="Calibri"/>
        </w:rPr>
      </w:pPr>
      <w:r w:rsidRPr="00074CC1">
        <w:rPr>
          <w:rFonts w:cs="Calibri"/>
        </w:rPr>
        <w:t xml:space="preserve">Vetter, Barbara. 2021. ‘Explanatory Dispositionalism’. </w:t>
      </w:r>
      <w:r w:rsidRPr="00074CC1">
        <w:rPr>
          <w:rFonts w:cs="Calibri"/>
          <w:i/>
          <w:iCs/>
        </w:rPr>
        <w:t>Synthese</w:t>
      </w:r>
      <w:r w:rsidRPr="00074CC1">
        <w:rPr>
          <w:rFonts w:cs="Calibri"/>
        </w:rPr>
        <w:t xml:space="preserve"> 199 (1): 2051–75. https://doi.org/10.1007/s11229-020-02872-0.</w:t>
      </w:r>
    </w:p>
    <w:p w14:paraId="39A0BD37" w14:textId="199D94AB" w:rsidR="00CE5276" w:rsidRPr="00F35B2A" w:rsidRDefault="00CE5276" w:rsidP="00993301">
      <w:pPr>
        <w:spacing w:after="0" w:line="480" w:lineRule="auto"/>
        <w:ind w:firstLine="0"/>
        <w:jc w:val="both"/>
        <w:rPr>
          <w:rFonts w:cs="Calibri"/>
        </w:rPr>
      </w:pPr>
    </w:p>
    <w:sectPr w:rsidR="00CE5276" w:rsidRPr="00F35B2A" w:rsidSect="00CB756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A643" w14:textId="77777777" w:rsidR="00AA7563" w:rsidRDefault="00AA7563" w:rsidP="00E11A8A">
      <w:pPr>
        <w:spacing w:after="0" w:line="240" w:lineRule="auto"/>
      </w:pPr>
      <w:r>
        <w:separator/>
      </w:r>
    </w:p>
  </w:endnote>
  <w:endnote w:type="continuationSeparator" w:id="0">
    <w:p w14:paraId="3424C9B3" w14:textId="77777777" w:rsidR="00AA7563" w:rsidRDefault="00AA7563" w:rsidP="00E1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294F" w14:textId="77777777" w:rsidR="00AA7563" w:rsidRDefault="00AA7563" w:rsidP="00E11A8A">
      <w:pPr>
        <w:spacing w:after="0" w:line="240" w:lineRule="auto"/>
      </w:pPr>
      <w:r>
        <w:separator/>
      </w:r>
    </w:p>
  </w:footnote>
  <w:footnote w:type="continuationSeparator" w:id="0">
    <w:p w14:paraId="54832BAB" w14:textId="77777777" w:rsidR="00AA7563" w:rsidRDefault="00AA7563" w:rsidP="00E11A8A">
      <w:pPr>
        <w:spacing w:after="0" w:line="240" w:lineRule="auto"/>
      </w:pPr>
      <w:r>
        <w:continuationSeparator/>
      </w:r>
    </w:p>
  </w:footnote>
  <w:footnote w:id="1">
    <w:p w14:paraId="3F1194D4" w14:textId="50DB7B8E" w:rsidR="008D7791" w:rsidRPr="008D7791" w:rsidRDefault="008D7791" w:rsidP="008D7791">
      <w:pPr>
        <w:pStyle w:val="FootnoteText"/>
        <w:ind w:firstLine="0"/>
      </w:pPr>
      <w:r w:rsidRPr="00275927">
        <w:rPr>
          <w:rStyle w:val="FootnoteReference"/>
        </w:rPr>
        <w:footnoteRef/>
      </w:r>
      <w:r>
        <w:t xml:space="preserve"> Roughly speaking, </w:t>
      </w:r>
      <w:r>
        <w:rPr>
          <w:i/>
          <w:iCs/>
        </w:rPr>
        <w:t xml:space="preserve">powers </w:t>
      </w:r>
      <w:r>
        <w:t xml:space="preserve">are irreducibly modal properties. Unfortunately, I can’t say more at this stage because the precise </w:t>
      </w:r>
      <w:r w:rsidR="00BD3A7A">
        <w:t>account of what it is to be a power</w:t>
      </w:r>
      <w:r>
        <w:t xml:space="preserve"> is what is at stake in this paper. </w:t>
      </w:r>
    </w:p>
  </w:footnote>
  <w:footnote w:id="2">
    <w:p w14:paraId="1B236C95" w14:textId="244002C6" w:rsidR="00E11A8A" w:rsidRDefault="00E11A8A" w:rsidP="00E11A8A">
      <w:pPr>
        <w:pStyle w:val="FootnoteText"/>
        <w:ind w:firstLine="0"/>
      </w:pPr>
      <w:r w:rsidRPr="00275927">
        <w:rPr>
          <w:rStyle w:val="FootnoteReference"/>
        </w:rPr>
        <w:footnoteRef/>
      </w:r>
      <w:r>
        <w:t xml:space="preserve"> He revises this in his </w:t>
      </w:r>
      <w:r w:rsidRPr="00E11A8A">
        <w:rPr>
          <w:rFonts w:cs="Calibri"/>
        </w:rPr>
        <w:t>(2018)</w:t>
      </w:r>
      <w:r>
        <w:t xml:space="preserve"> where he argues that some evolved</w:t>
      </w:r>
      <w:r w:rsidR="001209E5">
        <w:t xml:space="preserve"> macro</w:t>
      </w:r>
      <w:r>
        <w:t xml:space="preserve"> properties are powers, but this won’t be relevant for my present discussion.</w:t>
      </w:r>
      <w:r w:rsidR="00840E1A">
        <w:t xml:space="preserve"> </w:t>
      </w:r>
    </w:p>
  </w:footnote>
  <w:footnote w:id="3">
    <w:p w14:paraId="67AE0442" w14:textId="21BEB281" w:rsidR="00EC40E4" w:rsidRPr="00EC40E4" w:rsidRDefault="00EC40E4" w:rsidP="00EC40E4">
      <w:pPr>
        <w:pStyle w:val="FootnoteText"/>
        <w:ind w:firstLine="0"/>
      </w:pPr>
      <w:r>
        <w:rPr>
          <w:rStyle w:val="FootnoteReference"/>
        </w:rPr>
        <w:footnoteRef/>
      </w:r>
      <w:r>
        <w:t xml:space="preserve"> The property </w:t>
      </w:r>
      <w:r>
        <w:rPr>
          <w:i/>
          <w:iCs/>
        </w:rPr>
        <w:t>sphericity</w:t>
      </w:r>
      <w:r>
        <w:t xml:space="preserve"> is another good example of this. Perhaps </w:t>
      </w:r>
      <w:r>
        <w:rPr>
          <w:i/>
          <w:iCs/>
        </w:rPr>
        <w:t xml:space="preserve">sphericity </w:t>
      </w:r>
      <w:r>
        <w:t>is necessarily connected with a disposition to roll down an incline (among others</w:t>
      </w:r>
      <w:proofErr w:type="gramStart"/>
      <w:r>
        <w:t>)</w:t>
      </w:r>
      <w:proofErr w:type="gramEnd"/>
      <w:r>
        <w:t xml:space="preserve"> but the essence of </w:t>
      </w:r>
      <w:r>
        <w:rPr>
          <w:i/>
          <w:iCs/>
        </w:rPr>
        <w:t xml:space="preserve">sphericity </w:t>
      </w:r>
      <w:r>
        <w:t xml:space="preserve">can be specified entirely non-dispositionally: to be a sphere is to have a surface all points on which are equidistant from a given point. </w:t>
      </w:r>
      <w:r w:rsidR="00401832">
        <w:t>So,</w:t>
      </w:r>
      <w:r>
        <w:t xml:space="preserve"> on the evidence of his comments regarding </w:t>
      </w:r>
      <w:r>
        <w:rPr>
          <w:i/>
          <w:iCs/>
        </w:rPr>
        <w:t>aromaticity</w:t>
      </w:r>
      <w:r>
        <w:t xml:space="preserve">, Bird </w:t>
      </w:r>
      <w:r w:rsidR="00401832">
        <w:t>should</w:t>
      </w:r>
      <w:r>
        <w:t xml:space="preserve"> deem </w:t>
      </w:r>
      <w:r>
        <w:rPr>
          <w:i/>
          <w:iCs/>
        </w:rPr>
        <w:t xml:space="preserve">sphericity </w:t>
      </w:r>
      <w:r>
        <w:t xml:space="preserve">a non-power.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957870"/>
      <w:docPartObj>
        <w:docPartGallery w:val="Page Numbers (Top of Page)"/>
        <w:docPartUnique/>
      </w:docPartObj>
    </w:sdtPr>
    <w:sdtEndPr>
      <w:rPr>
        <w:noProof/>
      </w:rPr>
    </w:sdtEndPr>
    <w:sdtContent>
      <w:p w14:paraId="7885BB57" w14:textId="32E904CE" w:rsidR="008511CC" w:rsidRDefault="008511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3DF26E" w14:textId="77777777" w:rsidR="008511CC" w:rsidRDefault="0085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2860"/>
    <w:multiLevelType w:val="hybridMultilevel"/>
    <w:tmpl w:val="3078EE7C"/>
    <w:lvl w:ilvl="0" w:tplc="CA9A2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C00952"/>
    <w:multiLevelType w:val="hybridMultilevel"/>
    <w:tmpl w:val="75FA82FE"/>
    <w:lvl w:ilvl="0" w:tplc="B13852E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486F73"/>
    <w:multiLevelType w:val="hybridMultilevel"/>
    <w:tmpl w:val="012A1A04"/>
    <w:lvl w:ilvl="0" w:tplc="1352912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A55C16"/>
    <w:multiLevelType w:val="hybridMultilevel"/>
    <w:tmpl w:val="AC10658C"/>
    <w:lvl w:ilvl="0" w:tplc="42A2BC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6161308">
    <w:abstractNumId w:val="3"/>
  </w:num>
  <w:num w:numId="2" w16cid:durableId="1897079653">
    <w:abstractNumId w:val="0"/>
  </w:num>
  <w:num w:numId="3" w16cid:durableId="1850169212">
    <w:abstractNumId w:val="2"/>
  </w:num>
  <w:num w:numId="4" w16cid:durableId="30947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B3"/>
    <w:rsid w:val="00001399"/>
    <w:rsid w:val="0000480F"/>
    <w:rsid w:val="0001284E"/>
    <w:rsid w:val="000219E6"/>
    <w:rsid w:val="00021E94"/>
    <w:rsid w:val="00026DE8"/>
    <w:rsid w:val="000346DD"/>
    <w:rsid w:val="00036AAB"/>
    <w:rsid w:val="000549F9"/>
    <w:rsid w:val="00074CC1"/>
    <w:rsid w:val="00083A8E"/>
    <w:rsid w:val="000A335B"/>
    <w:rsid w:val="000A39F0"/>
    <w:rsid w:val="000D2415"/>
    <w:rsid w:val="000D6D2C"/>
    <w:rsid w:val="000F0816"/>
    <w:rsid w:val="001104A6"/>
    <w:rsid w:val="00110CB3"/>
    <w:rsid w:val="001209E5"/>
    <w:rsid w:val="00126C94"/>
    <w:rsid w:val="00126FBE"/>
    <w:rsid w:val="0013474E"/>
    <w:rsid w:val="001375CF"/>
    <w:rsid w:val="00140750"/>
    <w:rsid w:val="001409BE"/>
    <w:rsid w:val="00145E58"/>
    <w:rsid w:val="0015119A"/>
    <w:rsid w:val="00153B97"/>
    <w:rsid w:val="001646A6"/>
    <w:rsid w:val="00170C16"/>
    <w:rsid w:val="00174DDD"/>
    <w:rsid w:val="00193D2B"/>
    <w:rsid w:val="001A0474"/>
    <w:rsid w:val="001A2979"/>
    <w:rsid w:val="001B26A2"/>
    <w:rsid w:val="001B39E6"/>
    <w:rsid w:val="001C62B8"/>
    <w:rsid w:val="001D74A6"/>
    <w:rsid w:val="001E603F"/>
    <w:rsid w:val="001F49AB"/>
    <w:rsid w:val="001F67A9"/>
    <w:rsid w:val="001F7EF5"/>
    <w:rsid w:val="002078F5"/>
    <w:rsid w:val="00207A02"/>
    <w:rsid w:val="002357F9"/>
    <w:rsid w:val="00247F53"/>
    <w:rsid w:val="00251D43"/>
    <w:rsid w:val="0025595D"/>
    <w:rsid w:val="002601C2"/>
    <w:rsid w:val="002625AA"/>
    <w:rsid w:val="00263AE1"/>
    <w:rsid w:val="00273F82"/>
    <w:rsid w:val="00275927"/>
    <w:rsid w:val="002864ED"/>
    <w:rsid w:val="00286847"/>
    <w:rsid w:val="00290AF8"/>
    <w:rsid w:val="002A1F8F"/>
    <w:rsid w:val="002A6CEF"/>
    <w:rsid w:val="002B1D0F"/>
    <w:rsid w:val="002D353B"/>
    <w:rsid w:val="002F0BAA"/>
    <w:rsid w:val="00321027"/>
    <w:rsid w:val="003272CC"/>
    <w:rsid w:val="00336899"/>
    <w:rsid w:val="0034626C"/>
    <w:rsid w:val="00355293"/>
    <w:rsid w:val="00360C0D"/>
    <w:rsid w:val="00361B60"/>
    <w:rsid w:val="003620D8"/>
    <w:rsid w:val="0036776B"/>
    <w:rsid w:val="00376C66"/>
    <w:rsid w:val="00380590"/>
    <w:rsid w:val="0038185E"/>
    <w:rsid w:val="00386939"/>
    <w:rsid w:val="003A6BF6"/>
    <w:rsid w:val="003A71AC"/>
    <w:rsid w:val="003B256A"/>
    <w:rsid w:val="003B34A8"/>
    <w:rsid w:val="003D1823"/>
    <w:rsid w:val="003D6024"/>
    <w:rsid w:val="003E2E57"/>
    <w:rsid w:val="003F47CA"/>
    <w:rsid w:val="003F551F"/>
    <w:rsid w:val="00401832"/>
    <w:rsid w:val="00404598"/>
    <w:rsid w:val="004136EB"/>
    <w:rsid w:val="00413C74"/>
    <w:rsid w:val="00432D30"/>
    <w:rsid w:val="00440C1E"/>
    <w:rsid w:val="00452407"/>
    <w:rsid w:val="00452E61"/>
    <w:rsid w:val="00454D27"/>
    <w:rsid w:val="00454E3A"/>
    <w:rsid w:val="00455745"/>
    <w:rsid w:val="00465253"/>
    <w:rsid w:val="0047607E"/>
    <w:rsid w:val="00476348"/>
    <w:rsid w:val="00485213"/>
    <w:rsid w:val="004873CA"/>
    <w:rsid w:val="004A5A1B"/>
    <w:rsid w:val="004C6D73"/>
    <w:rsid w:val="004D392B"/>
    <w:rsid w:val="004D7D89"/>
    <w:rsid w:val="004F528C"/>
    <w:rsid w:val="00501D07"/>
    <w:rsid w:val="005068E9"/>
    <w:rsid w:val="00506953"/>
    <w:rsid w:val="0051230A"/>
    <w:rsid w:val="00513D16"/>
    <w:rsid w:val="00525B4B"/>
    <w:rsid w:val="00540FF1"/>
    <w:rsid w:val="00577C76"/>
    <w:rsid w:val="00582074"/>
    <w:rsid w:val="0059259B"/>
    <w:rsid w:val="005A15F8"/>
    <w:rsid w:val="005A6C9B"/>
    <w:rsid w:val="005B4ABA"/>
    <w:rsid w:val="005C5174"/>
    <w:rsid w:val="005D0FFE"/>
    <w:rsid w:val="005D5898"/>
    <w:rsid w:val="005F1B4B"/>
    <w:rsid w:val="00600ABB"/>
    <w:rsid w:val="00611A04"/>
    <w:rsid w:val="006128A3"/>
    <w:rsid w:val="00614ABE"/>
    <w:rsid w:val="00627D12"/>
    <w:rsid w:val="00642390"/>
    <w:rsid w:val="006531BA"/>
    <w:rsid w:val="00657912"/>
    <w:rsid w:val="0066384A"/>
    <w:rsid w:val="00664F5C"/>
    <w:rsid w:val="00666FE7"/>
    <w:rsid w:val="00672D2C"/>
    <w:rsid w:val="00673FC6"/>
    <w:rsid w:val="00681E06"/>
    <w:rsid w:val="00691920"/>
    <w:rsid w:val="0069476E"/>
    <w:rsid w:val="006B156A"/>
    <w:rsid w:val="006B52AE"/>
    <w:rsid w:val="006C25B5"/>
    <w:rsid w:val="006C63E0"/>
    <w:rsid w:val="006D6749"/>
    <w:rsid w:val="006E6193"/>
    <w:rsid w:val="006F29F8"/>
    <w:rsid w:val="00700592"/>
    <w:rsid w:val="00703C28"/>
    <w:rsid w:val="00716EFE"/>
    <w:rsid w:val="0072279C"/>
    <w:rsid w:val="00740814"/>
    <w:rsid w:val="00740A7E"/>
    <w:rsid w:val="007516DB"/>
    <w:rsid w:val="00783CE2"/>
    <w:rsid w:val="00794114"/>
    <w:rsid w:val="00795119"/>
    <w:rsid w:val="00796D0F"/>
    <w:rsid w:val="007B2EDF"/>
    <w:rsid w:val="007C3830"/>
    <w:rsid w:val="007E3020"/>
    <w:rsid w:val="007E3D22"/>
    <w:rsid w:val="008143E9"/>
    <w:rsid w:val="00825FAB"/>
    <w:rsid w:val="00832791"/>
    <w:rsid w:val="00834D04"/>
    <w:rsid w:val="008374A4"/>
    <w:rsid w:val="0084039A"/>
    <w:rsid w:val="00840E1A"/>
    <w:rsid w:val="008446D7"/>
    <w:rsid w:val="008511CC"/>
    <w:rsid w:val="0085594D"/>
    <w:rsid w:val="00872EFD"/>
    <w:rsid w:val="00877579"/>
    <w:rsid w:val="008809FA"/>
    <w:rsid w:val="00882598"/>
    <w:rsid w:val="008842A3"/>
    <w:rsid w:val="00892A2B"/>
    <w:rsid w:val="00893046"/>
    <w:rsid w:val="008952FB"/>
    <w:rsid w:val="00896943"/>
    <w:rsid w:val="008A1296"/>
    <w:rsid w:val="008B04FD"/>
    <w:rsid w:val="008B31D4"/>
    <w:rsid w:val="008B5959"/>
    <w:rsid w:val="008D12CF"/>
    <w:rsid w:val="008D5D04"/>
    <w:rsid w:val="008D7791"/>
    <w:rsid w:val="008F19CE"/>
    <w:rsid w:val="008F6FE9"/>
    <w:rsid w:val="00900959"/>
    <w:rsid w:val="00902859"/>
    <w:rsid w:val="00911D36"/>
    <w:rsid w:val="00925D0D"/>
    <w:rsid w:val="009272E8"/>
    <w:rsid w:val="00930E31"/>
    <w:rsid w:val="00932EF4"/>
    <w:rsid w:val="00933A28"/>
    <w:rsid w:val="00946C4C"/>
    <w:rsid w:val="009727A6"/>
    <w:rsid w:val="009732EC"/>
    <w:rsid w:val="009735CB"/>
    <w:rsid w:val="009862C1"/>
    <w:rsid w:val="00993301"/>
    <w:rsid w:val="009A3700"/>
    <w:rsid w:val="009B7EAD"/>
    <w:rsid w:val="009C24AD"/>
    <w:rsid w:val="009D1463"/>
    <w:rsid w:val="009D6C9E"/>
    <w:rsid w:val="009F2757"/>
    <w:rsid w:val="009F3F2D"/>
    <w:rsid w:val="009F57D6"/>
    <w:rsid w:val="009F6BE4"/>
    <w:rsid w:val="00A005BB"/>
    <w:rsid w:val="00A04A60"/>
    <w:rsid w:val="00A16404"/>
    <w:rsid w:val="00A21CBF"/>
    <w:rsid w:val="00A67CAB"/>
    <w:rsid w:val="00A70127"/>
    <w:rsid w:val="00A7466C"/>
    <w:rsid w:val="00A908A4"/>
    <w:rsid w:val="00A96B86"/>
    <w:rsid w:val="00AA1CCC"/>
    <w:rsid w:val="00AA7563"/>
    <w:rsid w:val="00AB76C6"/>
    <w:rsid w:val="00AC1AA5"/>
    <w:rsid w:val="00AD0E8D"/>
    <w:rsid w:val="00AD169A"/>
    <w:rsid w:val="00B03626"/>
    <w:rsid w:val="00B03C29"/>
    <w:rsid w:val="00B1095F"/>
    <w:rsid w:val="00B3443C"/>
    <w:rsid w:val="00B36BB2"/>
    <w:rsid w:val="00B65C33"/>
    <w:rsid w:val="00B72EF5"/>
    <w:rsid w:val="00B73B50"/>
    <w:rsid w:val="00B73DAB"/>
    <w:rsid w:val="00B81CCE"/>
    <w:rsid w:val="00B83C41"/>
    <w:rsid w:val="00B90132"/>
    <w:rsid w:val="00BA070F"/>
    <w:rsid w:val="00BA6277"/>
    <w:rsid w:val="00BC1DB1"/>
    <w:rsid w:val="00BC2C38"/>
    <w:rsid w:val="00BC7667"/>
    <w:rsid w:val="00BD2E3C"/>
    <w:rsid w:val="00BD3A7A"/>
    <w:rsid w:val="00BE0E77"/>
    <w:rsid w:val="00BE2DC6"/>
    <w:rsid w:val="00BE4CCD"/>
    <w:rsid w:val="00C03291"/>
    <w:rsid w:val="00C100E6"/>
    <w:rsid w:val="00C10138"/>
    <w:rsid w:val="00C1180A"/>
    <w:rsid w:val="00C14ADC"/>
    <w:rsid w:val="00C15DC4"/>
    <w:rsid w:val="00C21121"/>
    <w:rsid w:val="00C71CFC"/>
    <w:rsid w:val="00C72A61"/>
    <w:rsid w:val="00C74192"/>
    <w:rsid w:val="00C925C2"/>
    <w:rsid w:val="00CA3DD7"/>
    <w:rsid w:val="00CB756B"/>
    <w:rsid w:val="00CD09A4"/>
    <w:rsid w:val="00CE32E1"/>
    <w:rsid w:val="00CE5276"/>
    <w:rsid w:val="00CF3CB4"/>
    <w:rsid w:val="00D00311"/>
    <w:rsid w:val="00D00E70"/>
    <w:rsid w:val="00D15638"/>
    <w:rsid w:val="00D22BC4"/>
    <w:rsid w:val="00D312ED"/>
    <w:rsid w:val="00D3202E"/>
    <w:rsid w:val="00D331D4"/>
    <w:rsid w:val="00D40CD5"/>
    <w:rsid w:val="00D42CEB"/>
    <w:rsid w:val="00D60A75"/>
    <w:rsid w:val="00D63963"/>
    <w:rsid w:val="00D840A7"/>
    <w:rsid w:val="00D9362E"/>
    <w:rsid w:val="00DA4397"/>
    <w:rsid w:val="00DA65BD"/>
    <w:rsid w:val="00DB7453"/>
    <w:rsid w:val="00DC176C"/>
    <w:rsid w:val="00DC24B6"/>
    <w:rsid w:val="00DC4492"/>
    <w:rsid w:val="00DC4785"/>
    <w:rsid w:val="00DD664A"/>
    <w:rsid w:val="00DF02CA"/>
    <w:rsid w:val="00DF155C"/>
    <w:rsid w:val="00E01846"/>
    <w:rsid w:val="00E11A8A"/>
    <w:rsid w:val="00E2069A"/>
    <w:rsid w:val="00E319AA"/>
    <w:rsid w:val="00E54D8D"/>
    <w:rsid w:val="00E61B67"/>
    <w:rsid w:val="00E87F29"/>
    <w:rsid w:val="00E938E9"/>
    <w:rsid w:val="00EA29B2"/>
    <w:rsid w:val="00EC40E4"/>
    <w:rsid w:val="00EC63A6"/>
    <w:rsid w:val="00ED49F1"/>
    <w:rsid w:val="00EE360D"/>
    <w:rsid w:val="00EE442A"/>
    <w:rsid w:val="00F03E80"/>
    <w:rsid w:val="00F10AE2"/>
    <w:rsid w:val="00F337E3"/>
    <w:rsid w:val="00F35B2A"/>
    <w:rsid w:val="00F46874"/>
    <w:rsid w:val="00F63E95"/>
    <w:rsid w:val="00F76DBA"/>
    <w:rsid w:val="00F82BFE"/>
    <w:rsid w:val="00F86E04"/>
    <w:rsid w:val="00F91B4C"/>
    <w:rsid w:val="00F91F52"/>
    <w:rsid w:val="00FA0DA5"/>
    <w:rsid w:val="00FA3E43"/>
    <w:rsid w:val="00FC6A83"/>
    <w:rsid w:val="00FC76AD"/>
    <w:rsid w:val="00FD146F"/>
    <w:rsid w:val="00FD6367"/>
    <w:rsid w:val="00FE0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5C68"/>
  <w14:defaultImageDpi w14:val="32767"/>
  <w15:chartTrackingRefBased/>
  <w15:docId w15:val="{26190B8D-C6EA-4AD0-8617-AC916F0B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6B"/>
    <w:rPr>
      <w:rFonts w:ascii="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492"/>
    <w:pPr>
      <w:ind w:left="720"/>
      <w:contextualSpacing/>
    </w:pPr>
  </w:style>
  <w:style w:type="paragraph" w:styleId="FootnoteText">
    <w:name w:val="footnote text"/>
    <w:basedOn w:val="Normal"/>
    <w:link w:val="FootnoteTextChar"/>
    <w:uiPriority w:val="99"/>
    <w:semiHidden/>
    <w:unhideWhenUsed/>
    <w:rsid w:val="00E11A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A8A"/>
    <w:rPr>
      <w:rFonts w:ascii="Calibri" w:hAnsi="Calibri"/>
      <w:sz w:val="20"/>
      <w:szCs w:val="20"/>
      <w:lang w:val="en-GB"/>
    </w:rPr>
  </w:style>
  <w:style w:type="character" w:styleId="FootnoteReference">
    <w:name w:val="footnote reference"/>
    <w:basedOn w:val="DefaultParagraphFont"/>
    <w:uiPriority w:val="99"/>
    <w:semiHidden/>
    <w:unhideWhenUsed/>
    <w:rsid w:val="00E11A8A"/>
    <w:rPr>
      <w:vertAlign w:val="superscript"/>
    </w:rPr>
  </w:style>
  <w:style w:type="paragraph" w:styleId="Bibliography">
    <w:name w:val="Bibliography"/>
    <w:basedOn w:val="Normal"/>
    <w:next w:val="Normal"/>
    <w:uiPriority w:val="37"/>
    <w:unhideWhenUsed/>
    <w:rsid w:val="007B2EDF"/>
    <w:pPr>
      <w:spacing w:after="0" w:line="240" w:lineRule="auto"/>
      <w:ind w:left="720" w:hanging="720"/>
    </w:pPr>
  </w:style>
  <w:style w:type="paragraph" w:styleId="Header">
    <w:name w:val="header"/>
    <w:basedOn w:val="Normal"/>
    <w:link w:val="HeaderChar"/>
    <w:uiPriority w:val="99"/>
    <w:unhideWhenUsed/>
    <w:rsid w:val="00851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CC"/>
    <w:rPr>
      <w:rFonts w:ascii="Calibri" w:hAnsi="Calibri"/>
      <w:lang w:val="en-GB"/>
    </w:rPr>
  </w:style>
  <w:style w:type="paragraph" w:styleId="Footer">
    <w:name w:val="footer"/>
    <w:basedOn w:val="Normal"/>
    <w:link w:val="FooterChar"/>
    <w:uiPriority w:val="99"/>
    <w:unhideWhenUsed/>
    <w:rsid w:val="00851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CC"/>
    <w:rPr>
      <w:rFonts w:ascii="Calibri" w:hAnsi="Calibri"/>
      <w:lang w:val="en-GB"/>
    </w:rPr>
  </w:style>
  <w:style w:type="character" w:styleId="EndnoteReference">
    <w:name w:val="endnote reference"/>
    <w:basedOn w:val="DefaultParagraphFont"/>
    <w:uiPriority w:val="99"/>
    <w:semiHidden/>
    <w:unhideWhenUsed/>
    <w:rsid w:val="00BC1DB1"/>
    <w:rPr>
      <w:vertAlign w:val="superscript"/>
    </w:rPr>
  </w:style>
  <w:style w:type="character" w:styleId="LineNumber">
    <w:name w:val="line number"/>
    <w:basedOn w:val="DefaultParagraphFont"/>
    <w:uiPriority w:val="99"/>
    <w:semiHidden/>
    <w:unhideWhenUsed/>
    <w:rsid w:val="00DC176C"/>
  </w:style>
  <w:style w:type="paragraph" w:styleId="Revision">
    <w:name w:val="Revision"/>
    <w:hidden/>
    <w:uiPriority w:val="99"/>
    <w:semiHidden/>
    <w:rsid w:val="00F10AE2"/>
    <w:pPr>
      <w:spacing w:after="0" w:line="240" w:lineRule="auto"/>
      <w:ind w:firstLine="0"/>
    </w:pPr>
    <w:rPr>
      <w:rFonts w:ascii="Calibri" w:hAnsi="Calibri"/>
      <w:lang w:val="en-GB"/>
    </w:rPr>
  </w:style>
  <w:style w:type="character" w:styleId="Hyperlink">
    <w:name w:val="Hyperlink"/>
    <w:basedOn w:val="DefaultParagraphFont"/>
    <w:uiPriority w:val="99"/>
    <w:unhideWhenUsed/>
    <w:rsid w:val="00872EFD"/>
    <w:rPr>
      <w:color w:val="0563C1" w:themeColor="hyperlink"/>
      <w:u w:val="single"/>
    </w:rPr>
  </w:style>
  <w:style w:type="character" w:styleId="UnresolvedMention">
    <w:name w:val="Unresolved Mention"/>
    <w:basedOn w:val="DefaultParagraphFont"/>
    <w:uiPriority w:val="99"/>
    <w:semiHidden/>
    <w:unhideWhenUsed/>
    <w:rsid w:val="00872EFD"/>
    <w:rPr>
      <w:color w:val="605E5C"/>
      <w:shd w:val="clear" w:color="auto" w:fill="E1DFDD"/>
    </w:rPr>
  </w:style>
  <w:style w:type="paragraph" w:styleId="NoSpacing">
    <w:name w:val="No Spacing"/>
    <w:uiPriority w:val="1"/>
    <w:qFormat/>
    <w:rsid w:val="00872EFD"/>
    <w:pPr>
      <w:spacing w:after="0" w:line="240" w:lineRule="auto"/>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94944">
      <w:bodyDiv w:val="1"/>
      <w:marLeft w:val="0"/>
      <w:marRight w:val="0"/>
      <w:marTop w:val="0"/>
      <w:marBottom w:val="0"/>
      <w:divBdr>
        <w:top w:val="none" w:sz="0" w:space="0" w:color="auto"/>
        <w:left w:val="none" w:sz="0" w:space="0" w:color="auto"/>
        <w:bottom w:val="none" w:sz="0" w:space="0" w:color="auto"/>
        <w:right w:val="none" w:sz="0" w:space="0" w:color="auto"/>
      </w:divBdr>
      <w:divsChild>
        <w:div w:id="561060056">
          <w:marLeft w:val="0"/>
          <w:marRight w:val="0"/>
          <w:marTop w:val="0"/>
          <w:marBottom w:val="0"/>
          <w:divBdr>
            <w:top w:val="none" w:sz="0" w:space="0" w:color="auto"/>
            <w:left w:val="none" w:sz="0" w:space="0" w:color="auto"/>
            <w:bottom w:val="none" w:sz="0" w:space="0" w:color="auto"/>
            <w:right w:val="none" w:sz="0" w:space="0" w:color="auto"/>
          </w:divBdr>
        </w:div>
        <w:div w:id="527066433">
          <w:marLeft w:val="0"/>
          <w:marRight w:val="0"/>
          <w:marTop w:val="0"/>
          <w:marBottom w:val="0"/>
          <w:divBdr>
            <w:top w:val="none" w:sz="0" w:space="0" w:color="auto"/>
            <w:left w:val="none" w:sz="0" w:space="0" w:color="auto"/>
            <w:bottom w:val="none" w:sz="0" w:space="0" w:color="auto"/>
            <w:right w:val="none" w:sz="0" w:space="0" w:color="auto"/>
          </w:divBdr>
        </w:div>
        <w:div w:id="532302803">
          <w:marLeft w:val="0"/>
          <w:marRight w:val="0"/>
          <w:marTop w:val="0"/>
          <w:marBottom w:val="0"/>
          <w:divBdr>
            <w:top w:val="none" w:sz="0" w:space="0" w:color="auto"/>
            <w:left w:val="none" w:sz="0" w:space="0" w:color="auto"/>
            <w:bottom w:val="none" w:sz="0" w:space="0" w:color="auto"/>
            <w:right w:val="none" w:sz="0" w:space="0" w:color="auto"/>
          </w:divBdr>
        </w:div>
        <w:div w:id="1978220795">
          <w:marLeft w:val="0"/>
          <w:marRight w:val="0"/>
          <w:marTop w:val="0"/>
          <w:marBottom w:val="0"/>
          <w:divBdr>
            <w:top w:val="none" w:sz="0" w:space="0" w:color="auto"/>
            <w:left w:val="none" w:sz="0" w:space="0" w:color="auto"/>
            <w:bottom w:val="none" w:sz="0" w:space="0" w:color="auto"/>
            <w:right w:val="none" w:sz="0" w:space="0" w:color="auto"/>
          </w:divBdr>
        </w:div>
        <w:div w:id="2147240947">
          <w:marLeft w:val="0"/>
          <w:marRight w:val="0"/>
          <w:marTop w:val="0"/>
          <w:marBottom w:val="0"/>
          <w:divBdr>
            <w:top w:val="none" w:sz="0" w:space="0" w:color="auto"/>
            <w:left w:val="none" w:sz="0" w:space="0" w:color="auto"/>
            <w:bottom w:val="none" w:sz="0" w:space="0" w:color="auto"/>
            <w:right w:val="none" w:sz="0" w:space="0" w:color="auto"/>
          </w:divBdr>
        </w:div>
        <w:div w:id="916596381">
          <w:marLeft w:val="0"/>
          <w:marRight w:val="0"/>
          <w:marTop w:val="0"/>
          <w:marBottom w:val="0"/>
          <w:divBdr>
            <w:top w:val="none" w:sz="0" w:space="0" w:color="auto"/>
            <w:left w:val="none" w:sz="0" w:space="0" w:color="auto"/>
            <w:bottom w:val="none" w:sz="0" w:space="0" w:color="auto"/>
            <w:right w:val="none" w:sz="0" w:space="0" w:color="auto"/>
          </w:divBdr>
        </w:div>
        <w:div w:id="1694308157">
          <w:marLeft w:val="0"/>
          <w:marRight w:val="0"/>
          <w:marTop w:val="0"/>
          <w:marBottom w:val="0"/>
          <w:divBdr>
            <w:top w:val="none" w:sz="0" w:space="0" w:color="auto"/>
            <w:left w:val="none" w:sz="0" w:space="0" w:color="auto"/>
            <w:bottom w:val="none" w:sz="0" w:space="0" w:color="auto"/>
            <w:right w:val="none" w:sz="0" w:space="0" w:color="auto"/>
          </w:divBdr>
        </w:div>
        <w:div w:id="191114708">
          <w:marLeft w:val="0"/>
          <w:marRight w:val="0"/>
          <w:marTop w:val="0"/>
          <w:marBottom w:val="0"/>
          <w:divBdr>
            <w:top w:val="none" w:sz="0" w:space="0" w:color="auto"/>
            <w:left w:val="none" w:sz="0" w:space="0" w:color="auto"/>
            <w:bottom w:val="none" w:sz="0" w:space="0" w:color="auto"/>
            <w:right w:val="none" w:sz="0" w:space="0" w:color="auto"/>
          </w:divBdr>
        </w:div>
        <w:div w:id="947159035">
          <w:marLeft w:val="0"/>
          <w:marRight w:val="0"/>
          <w:marTop w:val="0"/>
          <w:marBottom w:val="0"/>
          <w:divBdr>
            <w:top w:val="none" w:sz="0" w:space="0" w:color="auto"/>
            <w:left w:val="none" w:sz="0" w:space="0" w:color="auto"/>
            <w:bottom w:val="none" w:sz="0" w:space="0" w:color="auto"/>
            <w:right w:val="none" w:sz="0" w:space="0" w:color="auto"/>
          </w:divBdr>
        </w:div>
        <w:div w:id="180022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uel.1.Kimpton-Nye@k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Kimpton-Nye</dc:creator>
  <cp:keywords/>
  <dc:description/>
  <cp:lastModifiedBy>Samuel Kimpton-Nye</cp:lastModifiedBy>
  <cp:revision>6</cp:revision>
  <cp:lastPrinted>2023-11-13T11:38:00Z</cp:lastPrinted>
  <dcterms:created xsi:type="dcterms:W3CDTF">2024-02-15T14:24:00Z</dcterms:created>
  <dcterms:modified xsi:type="dcterms:W3CDTF">2024-02-15T14:42:00Z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id="obmIu8HH"/&gt;&lt;style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