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Kuzendorf for his unfailing support.  </w:t>
      </w:r>
      <w:r w:rsidR="006E4577">
        <w:rPr>
          <w:rFonts w:ascii="Times New Roman" w:hAnsi="Times New Roman" w:cs="Times New Roman"/>
          <w:sz w:val="24"/>
          <w:szCs w:val="24"/>
        </w:rPr>
        <w:t>I also want to acknowledge the invaluable discussions</w:t>
      </w:r>
      <w:bookmarkStart w:id="0" w:name="_GoBack"/>
      <w:bookmarkEnd w:id="0"/>
      <w:r w:rsidR="006E4577">
        <w:rPr>
          <w:rFonts w:ascii="Times New Roman" w:hAnsi="Times New Roman" w:cs="Times New Roman"/>
          <w:sz w:val="24"/>
          <w:szCs w:val="24"/>
        </w:rPr>
        <w:t xml:space="preserve"> I have had with Chris Nelson, Blossom Zhang, Bill Nguyen, Ella Davis, and Jess </w:t>
      </w:r>
      <w:r w:rsidR="006E4577" w:rsidRPr="006E4577">
        <w:rPr>
          <w:rFonts w:ascii="Times New Roman" w:hAnsi="Times New Roman" w:cs="Times New Roman"/>
          <w:sz w:val="24"/>
          <w:szCs w:val="24"/>
        </w:rPr>
        <w:t>Taghizadeh</w:t>
      </w:r>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 2001</w:t>
      </w:r>
      <w:r w:rsidR="00FC50B9">
        <w:rPr>
          <w:rFonts w:ascii="Times New Roman" w:hAnsi="Times New Roman" w:cs="Times New Roman"/>
          <w:sz w:val="24"/>
          <w:szCs w:val="24"/>
        </w:rPr>
        <w:t xml:space="preserve">;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Trogdon,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r w:rsidR="00B25474" w:rsidRPr="003667D2">
        <w:rPr>
          <w:rFonts w:ascii="Times New Roman" w:hAnsi="Times New Roman" w:cs="Times New Roman"/>
          <w:sz w:val="24"/>
          <w:szCs w:val="24"/>
        </w:rPr>
        <w:t>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w:t>
      </w:r>
      <w:r w:rsidRPr="003667D2">
        <w:rPr>
          <w:rFonts w:ascii="Times New Roman" w:hAnsi="Times New Roman" w:cs="Times New Roman"/>
          <w:sz w:val="24"/>
          <w:szCs w:val="24"/>
        </w:rPr>
        <w:lastRenderedPageBreak/>
        <w:t xml:space="preserve">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lastRenderedPageBreak/>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lastRenderedPageBreak/>
        <w:t>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lastRenderedPageBreak/>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nothing </w:t>
      </w:r>
      <w:r w:rsidRPr="00C21E4F">
        <w:rPr>
          <w:rFonts w:ascii="Times New Roman" w:hAnsi="Times New Roman" w:cs="Times New Roman"/>
          <w:iCs/>
          <w:sz w:val="24"/>
          <w:szCs w:val="24"/>
        </w:rPr>
        <w:lastRenderedPageBreak/>
        <w:t>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 xml:space="preserve">ty; e.g., Kim </w:t>
      </w:r>
      <w:r w:rsidRPr="00C21E4F">
        <w:rPr>
          <w:rFonts w:ascii="Times New Roman" w:hAnsi="Times New Roman" w:cs="Times New Roman"/>
          <w:iCs/>
          <w:sz w:val="24"/>
          <w:szCs w:val="24"/>
        </w:rPr>
        <w:lastRenderedPageBreak/>
        <w:t>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lastRenderedPageBreak/>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4B33D1"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Cicero.  (1923).  </w:t>
      </w:r>
      <w:r w:rsidRPr="008512D4">
        <w:rPr>
          <w:rFonts w:ascii="Times New Roman" w:hAnsi="Times New Roman" w:cs="Times New Roman"/>
          <w:sz w:val="24"/>
          <w:szCs w:val="24"/>
          <w:u w:val="single"/>
        </w:rPr>
        <w:t>On Divination</w:t>
      </w:r>
      <w:r w:rsidRPr="003667D2">
        <w:rPr>
          <w:rFonts w:ascii="Times New Roman" w:hAnsi="Times New Roman" w:cs="Times New Roman"/>
          <w:sz w:val="24"/>
          <w:szCs w:val="24"/>
        </w:rPr>
        <w:t xml:space="preserve">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Pr="003667D2"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r>
        <w:rPr>
          <w:rFonts w:ascii="Times New Roman" w:hAnsi="Times New Roman" w:cs="Times New Roman"/>
          <w:sz w:val="24"/>
          <w:szCs w:val="24"/>
        </w:rPr>
        <w:t xml:space="preserve">Utts,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Wegner, D.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3D1" w:rsidRDefault="004B33D1" w:rsidP="00F42CEA">
      <w:pPr>
        <w:spacing w:after="0" w:line="240" w:lineRule="auto"/>
      </w:pPr>
      <w:r>
        <w:separator/>
      </w:r>
    </w:p>
  </w:endnote>
  <w:endnote w:type="continuationSeparator" w:id="0">
    <w:p w:rsidR="004B33D1" w:rsidRDefault="004B33D1"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3D1" w:rsidRDefault="004B33D1" w:rsidP="00F42CEA">
      <w:pPr>
        <w:spacing w:after="0" w:line="240" w:lineRule="auto"/>
      </w:pPr>
      <w:r>
        <w:separator/>
      </w:r>
    </w:p>
  </w:footnote>
  <w:footnote w:type="continuationSeparator" w:id="0">
    <w:p w:rsidR="004B33D1" w:rsidRDefault="004B33D1"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6E4577">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4B33D1"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6560"/>
    <w:rsid w:val="000802C3"/>
    <w:rsid w:val="00081E9A"/>
    <w:rsid w:val="0009744A"/>
    <w:rsid w:val="000A01A9"/>
    <w:rsid w:val="000A22BE"/>
    <w:rsid w:val="000B361E"/>
    <w:rsid w:val="000B4E1A"/>
    <w:rsid w:val="000B5492"/>
    <w:rsid w:val="000C3AF0"/>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B73D3"/>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B5626"/>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33D1"/>
    <w:rsid w:val="004B5233"/>
    <w:rsid w:val="004C0C6A"/>
    <w:rsid w:val="004C7BFC"/>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545D"/>
    <w:rsid w:val="008167F8"/>
    <w:rsid w:val="008270C4"/>
    <w:rsid w:val="0083745E"/>
    <w:rsid w:val="008378A6"/>
    <w:rsid w:val="0084591B"/>
    <w:rsid w:val="008512D4"/>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6A11"/>
    <w:rsid w:val="00AF15A4"/>
    <w:rsid w:val="00AF76E7"/>
    <w:rsid w:val="00B146F3"/>
    <w:rsid w:val="00B2155F"/>
    <w:rsid w:val="00B2310B"/>
    <w:rsid w:val="00B25474"/>
    <w:rsid w:val="00B2786E"/>
    <w:rsid w:val="00B30869"/>
    <w:rsid w:val="00B36459"/>
    <w:rsid w:val="00B40101"/>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B0C2C"/>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4A65"/>
    <w:rsid w:val="00F978E5"/>
    <w:rsid w:val="00FA08B7"/>
    <w:rsid w:val="00FB774F"/>
    <w:rsid w:val="00FB79A5"/>
    <w:rsid w:val="00FC38BF"/>
    <w:rsid w:val="00FC50B9"/>
    <w:rsid w:val="00FC6197"/>
    <w:rsid w:val="00FC770A"/>
    <w:rsid w:val="00FE46D6"/>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43</TotalTime>
  <Pages>1</Pages>
  <Words>7186</Words>
  <Characters>40962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19</cp:revision>
  <dcterms:created xsi:type="dcterms:W3CDTF">2023-07-19T01:22:00Z</dcterms:created>
  <dcterms:modified xsi:type="dcterms:W3CDTF">2023-07-21T22:42:00Z</dcterms:modified>
</cp:coreProperties>
</file>