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(2105a)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Klee, 1997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(there are several)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C47463">
        <w:rPr>
          <w:rFonts w:ascii="Times New Roman" w:hAnsi="Times New Roman" w:cs="Times New Roman"/>
          <w:sz w:val="24"/>
          <w:szCs w:val="24"/>
        </w:rPr>
        <w:t>such</w:t>
      </w:r>
      <w:r w:rsidR="008C5A37">
        <w:rPr>
          <w:rFonts w:ascii="Times New Roman" w:hAnsi="Times New Roman" w:cs="Times New Roman"/>
          <w:sz w:val="24"/>
          <w:szCs w:val="24"/>
        </w:rPr>
        <w:t xml:space="preserve"> concerns</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 xml:space="preserve">and its cognates (e.g., remembering, retention),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A913D5" w:rsidRDefault="00A913D5" w:rsidP="00C845F1">
      <w:pPr>
        <w:spacing w:line="480" w:lineRule="auto"/>
        <w:ind w:firstLine="720"/>
        <w:rPr>
          <w:rFonts w:ascii="Times New Roman" w:hAnsi="Times New Roman" w:cs="Times New Roman"/>
          <w:sz w:val="24"/>
          <w:szCs w:val="24"/>
        </w:rPr>
      </w:pPr>
    </w:p>
    <w:p w:rsidR="00A913D5" w:rsidRDefault="00A913D5" w:rsidP="00C845F1">
      <w:pPr>
        <w:spacing w:line="480" w:lineRule="auto"/>
        <w:ind w:firstLine="720"/>
        <w:rPr>
          <w:rFonts w:ascii="Times New Roman" w:hAnsi="Times New Roman" w:cs="Times New Roman"/>
          <w:b/>
          <w:sz w:val="24"/>
          <w:szCs w:val="24"/>
          <w:u w:val="single"/>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744207" w:rsidRDefault="00FB429B" w:rsidP="00523185">
      <w:pPr>
        <w:spacing w:line="480" w:lineRule="auto"/>
        <w:ind w:firstLine="576"/>
        <w:rPr>
          <w:rFonts w:ascii="Times New Roman" w:hAnsi="Times New Roman" w:cs="Times New Roman"/>
          <w:sz w:val="24"/>
          <w:szCs w:val="24"/>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3"/>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744207" w:rsidRPr="00744207" w:rsidRDefault="00744207" w:rsidP="00744207">
      <w:pPr>
        <w:spacing w:line="480" w:lineRule="auto"/>
        <w:rPr>
          <w:rFonts w:ascii="Times New Roman" w:hAnsi="Times New Roman" w:cs="Times New Roman"/>
          <w:sz w:val="24"/>
          <w:szCs w:val="24"/>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w:t>
      </w:r>
      <w:r w:rsidRPr="009D4BDE">
        <w:rPr>
          <w:rFonts w:ascii="Times New Roman" w:hAnsi="Times New Roman" w:cs="Times New Roman"/>
          <w:sz w:val="24"/>
          <w:szCs w:val="24"/>
        </w:rPr>
        <w:lastRenderedPageBreak/>
        <w:t xml:space="preserve">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3467D6"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3467D6">
        <w:rPr>
          <w:rFonts w:ascii="Times New Roman" w:hAnsi="Times New Roman" w:cs="Times New Roman"/>
          <w:i/>
          <w:sz w:val="24"/>
          <w:szCs w:val="24"/>
        </w:rPr>
        <w:t>6</w:t>
      </w:r>
      <w:r w:rsidRPr="003467D6">
        <w:rPr>
          <w:rFonts w:ascii="Times New Roman" w:hAnsi="Times New Roman" w:cs="Times New Roman"/>
          <w:sz w:val="24"/>
          <w:szCs w:val="24"/>
        </w:rPr>
        <w:t xml:space="preserve">)  </w:t>
      </w:r>
    </w:p>
    <w:p w:rsidR="00EE68FE" w:rsidRPr="008D60E5" w:rsidRDefault="00EE68FE"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lastRenderedPageBreak/>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422E52" w:rsidRDefault="00B25411" w:rsidP="00C845F1">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A913D5" w:rsidRDefault="00A913D5" w:rsidP="00345893">
      <w:pPr>
        <w:spacing w:line="480" w:lineRule="auto"/>
        <w:rPr>
          <w:rFonts w:ascii="Times New Roman" w:hAnsi="Times New Roman" w:cs="Times New Roman"/>
          <w:b/>
          <w:sz w:val="24"/>
          <w:szCs w:val="24"/>
        </w:rPr>
      </w:pPr>
    </w:p>
    <w:p w:rsidR="00A913D5" w:rsidRDefault="00A913D5" w:rsidP="00345893">
      <w:pPr>
        <w:spacing w:line="480" w:lineRule="auto"/>
        <w:rPr>
          <w:rFonts w:ascii="Times New Roman" w:hAnsi="Times New Roman" w:cs="Times New Roman"/>
          <w:b/>
          <w:sz w:val="24"/>
          <w:szCs w:val="24"/>
        </w:rPr>
      </w:pP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Pr="008B29C1">
        <w:rPr>
          <w:rFonts w:ascii="Times New Roman" w:eastAsia="Calibri" w:hAnsi="Times New Roman" w:cs="Times New Roman"/>
          <w:sz w:val="24"/>
          <w:szCs w:val="24"/>
        </w:rPr>
        <w:lastRenderedPageBreak/>
        <w:t xml:space="preserve">that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4"/>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5"/>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lastRenderedPageBreak/>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422E52"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system-neutral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56692E">
        <w:rPr>
          <w:rFonts w:ascii="Times New Roman" w:eastAsia="Calibri" w:hAnsi="Times New Roman" w:cs="Times New Roman"/>
          <w:bCs/>
          <w:sz w:val="24"/>
          <w:szCs w:val="24"/>
          <w:vertAlign w:val="superscript"/>
        </w:rPr>
        <w:footnoteReference w:id="6"/>
      </w:r>
      <w:r w:rsidR="0056692E" w:rsidRPr="0056692E">
        <w:rPr>
          <w:rFonts w:ascii="Times New Roman" w:eastAsia="Calibri" w:hAnsi="Times New Roman" w:cs="Times New Roman"/>
          <w:bCs/>
          <w:sz w:val="24"/>
          <w:szCs w:val="24"/>
        </w:rPr>
        <w:t xml:space="preserve">  </w:t>
      </w:r>
    </w:p>
    <w:p w:rsidR="00A913D5" w:rsidRDefault="00A913D5" w:rsidP="002A19DC">
      <w:pPr>
        <w:spacing w:line="480" w:lineRule="auto"/>
        <w:rPr>
          <w:rFonts w:ascii="Times New Roman" w:eastAsia="Calibri" w:hAnsi="Times New Roman" w:cs="Times New Roman"/>
          <w:b/>
          <w:sz w:val="24"/>
          <w:szCs w:val="24"/>
        </w:rPr>
      </w:pPr>
    </w:p>
    <w:p w:rsidR="00A913D5" w:rsidRDefault="00A913D5" w:rsidP="002A19DC">
      <w:pPr>
        <w:spacing w:line="480" w:lineRule="auto"/>
        <w:rPr>
          <w:rFonts w:ascii="Times New Roman" w:eastAsia="Calibri" w:hAnsi="Times New Roman" w:cs="Times New Roman"/>
          <w:b/>
          <w:sz w:val="24"/>
          <w:szCs w:val="24"/>
        </w:rPr>
      </w:pP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lastRenderedPageBreak/>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6E52E6" w:rsidRDefault="00D77D3B"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7"/>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t>
      </w:r>
      <w:r w:rsidR="002A19DC" w:rsidRPr="002A19DC">
        <w:rPr>
          <w:rFonts w:ascii="Times New Roman" w:eastAsia="Calibri" w:hAnsi="Times New Roman" w:cs="Times New Roman"/>
          <w:sz w:val="24"/>
          <w:szCs w:val="24"/>
        </w:rPr>
        <w:lastRenderedPageBreak/>
        <w:t xml:space="preserve">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8"/>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9"/>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w:t>
      </w:r>
      <w:r w:rsidRPr="00EE5266">
        <w:rPr>
          <w:rFonts w:ascii="Times New Roman" w:eastAsia="Calibri" w:hAnsi="Times New Roman" w:cs="Times New Roman"/>
          <w:bCs/>
          <w:sz w:val="24"/>
          <w:szCs w:val="24"/>
        </w:rPr>
        <w:lastRenderedPageBreak/>
        <w:t xml:space="preserve">changes in the language used in their classification (for discussions see Hacking, 1992; Taylor, 1985). </w:t>
      </w:r>
    </w:p>
    <w:p w:rsid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In Klein (2105a)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w:t>
      </w:r>
      <w:r w:rsidR="00EE5266" w:rsidRPr="00EE5266">
        <w:rPr>
          <w:rFonts w:ascii="Times New Roman" w:eastAsia="Calibri" w:hAnsi="Times New Roman" w:cs="Times New Roman"/>
          <w:bCs/>
          <w:sz w:val="24"/>
          <w:szCs w:val="24"/>
        </w:rPr>
        <w:lastRenderedPageBreak/>
        <w:t>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w:t>
      </w:r>
      <w:r w:rsidRPr="00EE5266">
        <w:rPr>
          <w:rFonts w:ascii="Times New Roman" w:eastAsia="Calibri" w:hAnsi="Times New Roman" w:cs="Times New Roman"/>
          <w:bCs/>
          <w:iCs/>
          <w:sz w:val="24"/>
          <w:szCs w:val="24"/>
        </w:rPr>
        <w:lastRenderedPageBreak/>
        <w:t xml:space="preserve">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0"/>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lastRenderedPageBreak/>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630FAE" w:rsidRDefault="002015E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B44E17"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While a </w:t>
      </w:r>
      <w:r w:rsidRPr="00B44E17">
        <w:rPr>
          <w:rFonts w:ascii="Times New Roman" w:eastAsia="Calibri" w:hAnsi="Times New Roman" w:cs="Times New Roman"/>
          <w:sz w:val="24"/>
          <w:szCs w:val="24"/>
        </w:rPr>
        <w:t xml:space="preserve">comprehensive </w:t>
      </w:r>
      <w:r>
        <w:rPr>
          <w:rFonts w:ascii="Times New Roman" w:eastAsia="Calibri" w:hAnsi="Times New Roman" w:cs="Times New Roman"/>
          <w:sz w:val="24"/>
          <w:szCs w:val="24"/>
        </w:rPr>
        <w:t xml:space="preserve">review of the </w:t>
      </w:r>
      <w:r w:rsidRPr="00B44E17">
        <w:rPr>
          <w:rFonts w:ascii="Times New Roman" w:eastAsia="Calibri" w:hAnsi="Times New Roman" w:cs="Times New Roman"/>
          <w:sz w:val="24"/>
          <w:szCs w:val="24"/>
        </w:rPr>
        <w:t xml:space="preserve">ways in which my construal of “remember” </w:t>
      </w:r>
      <w:r>
        <w:rPr>
          <w:rFonts w:ascii="Times New Roman" w:eastAsia="Calibri" w:hAnsi="Times New Roman" w:cs="Times New Roman"/>
          <w:sz w:val="24"/>
          <w:szCs w:val="24"/>
        </w:rPr>
        <w:t xml:space="preserve">can provide </w:t>
      </w:r>
      <w:r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5132BA">
        <w:rPr>
          <w:rFonts w:ascii="Times New Roman" w:eastAsia="Calibri" w:hAnsi="Times New Roman" w:cs="Times New Roman"/>
          <w:sz w:val="24"/>
          <w:szCs w:val="24"/>
        </w:rPr>
        <w:t xml:space="preserve">the consequences of </w:t>
      </w:r>
      <w:r w:rsidR="007173F3">
        <w:rPr>
          <w:rFonts w:ascii="Times New Roman" w:eastAsia="Calibri" w:hAnsi="Times New Roman" w:cs="Times New Roman"/>
          <w:sz w:val="24"/>
          <w:szCs w:val="24"/>
        </w:rPr>
        <w:t xml:space="preserve">my reconceptualization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 xml:space="preserve">a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lastRenderedPageBreak/>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performance on different types of tasks (e.g., semantic memory explains how he learns new facts; procedural memory explains 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 xml:space="preserve">whose execution </w:t>
      </w:r>
      <w:r w:rsidR="00904FFF">
        <w:rPr>
          <w:rFonts w:ascii="Times New Roman" w:eastAsia="Calibri" w:hAnsi="Times New Roman" w:cs="Times New Roman"/>
          <w:sz w:val="24"/>
          <w:szCs w:val="24"/>
        </w:rPr>
        <w:lastRenderedPageBreak/>
        <w:t>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 xml:space="preserve">irreducible and stubborn facts'; all the world over and at all times there have been men of philosophic </w:t>
      </w:r>
      <w:r w:rsidRPr="007728DA">
        <w:rPr>
          <w:rFonts w:ascii="Times New Roman" w:hAnsi="Times New Roman" w:cs="Times New Roman"/>
          <w:bCs/>
          <w:sz w:val="24"/>
          <w:szCs w:val="24"/>
        </w:rPr>
        <w:lastRenderedPageBreak/>
        <w:t>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1"/>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lastRenderedPageBreak/>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lastRenderedPageBreak/>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6C1E9D" w:rsidRPr="006C1E9D" w:rsidRDefault="006C1E9D" w:rsidP="006C1E9D">
      <w:pPr>
        <w:keepNext/>
        <w:tabs>
          <w:tab w:val="left" w:pos="-720"/>
        </w:tabs>
        <w:suppressAutoHyphens/>
        <w:spacing w:line="480" w:lineRule="auto"/>
        <w:ind w:left="720" w:hanging="720"/>
        <w:rPr>
          <w:rFonts w:ascii="Times New Roman" w:eastAsia="Calibri" w:hAnsi="Times New Roman" w:cs="Times New Roman"/>
          <w:spacing w:val="-3"/>
          <w:sz w:val="24"/>
          <w:szCs w:val="24"/>
          <w:u w:val="single"/>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p>
    <w:p w:rsidR="006C1E9D" w:rsidRDefault="006C1E9D" w:rsidP="006C1E9D">
      <w:pPr>
        <w:keepNext/>
        <w:tabs>
          <w:tab w:val="left" w:pos="-720"/>
        </w:tabs>
        <w:suppressAutoHyphens/>
        <w:spacing w:line="480" w:lineRule="auto"/>
        <w:ind w:left="720" w:hanging="720"/>
        <w:rPr>
          <w:rFonts w:ascii="Times New Roman" w:hAnsi="Times New Roman" w:cs="Times New Roman"/>
          <w:sz w:val="24"/>
          <w:szCs w:val="24"/>
        </w:rPr>
      </w:pPr>
      <w:r w:rsidRPr="006C1E9D">
        <w:rPr>
          <w:rFonts w:ascii="Times New Roman" w:eastAsia="Calibri" w:hAnsi="Times New Roman" w:cs="Times New Roman"/>
          <w:spacing w:val="-3"/>
          <w:sz w:val="24"/>
          <w:szCs w:val="24"/>
        </w:rPr>
        <w:tab/>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26</w:t>
      </w:r>
      <w:r w:rsidRPr="006C1E9D">
        <w:rPr>
          <w:rFonts w:ascii="Times New Roman" w:eastAsia="Calibri" w:hAnsi="Times New Roman" w:cs="Times New Roman"/>
          <w:spacing w:val="-3"/>
          <w:sz w:val="24"/>
          <w:szCs w:val="24"/>
        </w:rPr>
        <w:t>, 1-12.</w:t>
      </w:r>
    </w:p>
    <w:p w:rsidR="006C1E9D" w:rsidRPr="006C1E9D" w:rsidRDefault="006C1E9D" w:rsidP="006C1E9D">
      <w:pPr>
        <w:keepNext/>
        <w:tabs>
          <w:tab w:val="left" w:pos="-720"/>
        </w:tabs>
        <w:suppressAutoHyphens/>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 xml:space="preserve">Current Directions in Psychological </w:t>
      </w:r>
      <w:r w:rsidRPr="006C1E9D">
        <w:rPr>
          <w:rFonts w:ascii="Times New Roman" w:eastAsia="Calibri" w:hAnsi="Times New Roman" w:cs="Times New Roman"/>
          <w:spacing w:val="-3"/>
          <w:sz w:val="24"/>
          <w:szCs w:val="24"/>
          <w:lang w:val="nl-NL"/>
        </w:rPr>
        <w:tab/>
        <w:t xml:space="preserve">  </w:t>
      </w:r>
    </w:p>
    <w:p w:rsidR="006C1E9D" w:rsidRDefault="006C1E9D" w:rsidP="006C1E9D">
      <w:pPr>
        <w:keepNext/>
        <w:tabs>
          <w:tab w:val="left" w:pos="-720"/>
        </w:tabs>
        <w:suppressAutoHyphens/>
        <w:spacing w:line="480" w:lineRule="auto"/>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ab/>
        <w:t xml:space="preserve">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 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lastRenderedPageBreak/>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76" w:rsidRDefault="00A55876" w:rsidP="00A07792">
      <w:pPr>
        <w:spacing w:after="0" w:line="240" w:lineRule="auto"/>
      </w:pPr>
      <w:r>
        <w:separator/>
      </w:r>
    </w:p>
  </w:endnote>
  <w:endnote w:type="continuationSeparator" w:id="0">
    <w:p w:rsidR="00A55876" w:rsidRDefault="00A55876"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76" w:rsidRDefault="00A55876" w:rsidP="00A07792">
      <w:pPr>
        <w:spacing w:after="0" w:line="240" w:lineRule="auto"/>
      </w:pPr>
      <w:r>
        <w:separator/>
      </w:r>
    </w:p>
  </w:footnote>
  <w:footnote w:type="continuationSeparator" w:id="0">
    <w:p w:rsidR="00A55876" w:rsidRDefault="00A55876"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Pr>
          <w:rFonts w:ascii="Times New Roman" w:hAnsi="Times New Roman" w:cs="Times New Roman"/>
          <w:sz w:val="24"/>
          <w:szCs w:val="24"/>
        </w:rPr>
        <w:t>Numerous theories of memory have been fashioned specifically to accommodate data collected from the definition’s bookends -- encoding and retrieval (e.g., Atkinson &amp; Shiffrin, 1968; Craik &amp; Lockhart, 1972;</w:t>
      </w:r>
      <w:r w:rsidRPr="00C9749E">
        <w:t xml:space="preserve"> </w:t>
      </w:r>
      <w:r w:rsidRPr="00C9749E">
        <w:rPr>
          <w:rFonts w:ascii="Times New Roman" w:hAnsi="Times New Roman" w:cs="Times New Roman"/>
          <w:iCs/>
          <w:sz w:val="24"/>
          <w:szCs w:val="24"/>
        </w:rPr>
        <w:t xml:space="preserve">Schacter, Chiu, </w:t>
      </w:r>
      <w:r>
        <w:rPr>
          <w:rFonts w:ascii="Times New Roman" w:hAnsi="Times New Roman" w:cs="Times New Roman"/>
          <w:iCs/>
          <w:sz w:val="24"/>
          <w:szCs w:val="24"/>
        </w:rPr>
        <w:t>&amp;</w:t>
      </w:r>
      <w:r w:rsidR="006E70D6">
        <w:rPr>
          <w:rFonts w:ascii="Times New Roman" w:hAnsi="Times New Roman" w:cs="Times New Roman"/>
          <w:iCs/>
          <w:sz w:val="24"/>
          <w:szCs w:val="24"/>
        </w:rPr>
        <w:t xml:space="preserve"> </w:t>
      </w:r>
      <w:r w:rsidRPr="00C9749E">
        <w:rPr>
          <w:rFonts w:ascii="Times New Roman" w:hAnsi="Times New Roman" w:cs="Times New Roman"/>
          <w:iCs/>
          <w:sz w:val="24"/>
          <w:szCs w:val="24"/>
        </w:rPr>
        <w:t>Ochsner 1993</w:t>
      </w:r>
      <w:r>
        <w:rPr>
          <w:rFonts w:ascii="Times New Roman" w:hAnsi="Times New Roman" w:cs="Times New Roman"/>
          <w:sz w:val="24"/>
          <w:szCs w:val="24"/>
        </w:rPr>
        <w:t xml:space="preserve">).  The “storage” criterion – for which few observable correlates were available prior to the advent of neuroimaging – initially was included in the definition in deference to </w:t>
      </w:r>
      <w:r w:rsidRPr="0033679C">
        <w:rPr>
          <w:rFonts w:ascii="Times New Roman" w:hAnsi="Times New Roman" w:cs="Times New Roman"/>
          <w:sz w:val="24"/>
          <w:szCs w:val="24"/>
        </w:rPr>
        <w:t xml:space="preserve">Aristotle’s postulate </w:t>
      </w:r>
      <w:r>
        <w:rPr>
          <w:rFonts w:ascii="Times New Roman" w:hAnsi="Times New Roman" w:cs="Times New Roman"/>
          <w:sz w:val="24"/>
          <w:szCs w:val="24"/>
        </w:rPr>
        <w:t xml:space="preserve">that </w:t>
      </w:r>
      <w:r w:rsidRPr="0033679C">
        <w:rPr>
          <w:rFonts w:ascii="Times New Roman" w:hAnsi="Times New Roman" w:cs="Times New Roman"/>
          <w:sz w:val="24"/>
          <w:szCs w:val="24"/>
        </w:rPr>
        <w:t>“nature abhors a vacuum</w:t>
      </w:r>
      <w:r>
        <w:rPr>
          <w:rFonts w:ascii="Times New Roman" w:hAnsi="Times New Roman" w:cs="Times New Roman"/>
          <w:sz w:val="24"/>
          <w:szCs w:val="24"/>
        </w:rPr>
        <w:t>”.</w:t>
      </w:r>
    </w:p>
  </w:footnote>
  <w:footnote w:id="3">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4">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5">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6">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 xml:space="preserve">Kriegel, 2015, recently </w:t>
      </w:r>
      <w:r>
        <w:rPr>
          <w:rFonts w:ascii="Times New Roman" w:hAnsi="Times New Roman" w:cs="Times New Roman"/>
          <w:bCs/>
          <w:sz w:val="24"/>
          <w:szCs w:val="24"/>
        </w:rPr>
        <w:t xml:space="preserve">has </w:t>
      </w:r>
      <w:r w:rsidRPr="0079631D">
        <w:rPr>
          <w:rFonts w:ascii="Times New Roman" w:hAnsi="Times New Roman" w:cs="Times New Roman"/>
          <w:bCs/>
          <w:sz w:val="24"/>
          <w:szCs w:val="24"/>
        </w:rPr>
        <w:t>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7">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8">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9">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0">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1">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75372C">
          <w:rPr>
            <w:noProof/>
          </w:rPr>
          <w:t>2</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713D9"/>
    <w:rsid w:val="000748E2"/>
    <w:rsid w:val="00081542"/>
    <w:rsid w:val="00085D43"/>
    <w:rsid w:val="00086693"/>
    <w:rsid w:val="00087C9C"/>
    <w:rsid w:val="00087E4F"/>
    <w:rsid w:val="00090A5A"/>
    <w:rsid w:val="00093558"/>
    <w:rsid w:val="0009393D"/>
    <w:rsid w:val="00093D0B"/>
    <w:rsid w:val="000956D5"/>
    <w:rsid w:val="000957A4"/>
    <w:rsid w:val="000A0109"/>
    <w:rsid w:val="000A0308"/>
    <w:rsid w:val="000A13B8"/>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2696"/>
    <w:rsid w:val="001362E3"/>
    <w:rsid w:val="00137786"/>
    <w:rsid w:val="00145958"/>
    <w:rsid w:val="00145F38"/>
    <w:rsid w:val="00146A8F"/>
    <w:rsid w:val="001521C8"/>
    <w:rsid w:val="0015225A"/>
    <w:rsid w:val="00153C97"/>
    <w:rsid w:val="0015590F"/>
    <w:rsid w:val="00156142"/>
    <w:rsid w:val="001573F9"/>
    <w:rsid w:val="00157A44"/>
    <w:rsid w:val="00161B6C"/>
    <w:rsid w:val="00161ED5"/>
    <w:rsid w:val="00163089"/>
    <w:rsid w:val="00164E4A"/>
    <w:rsid w:val="00165585"/>
    <w:rsid w:val="00165F34"/>
    <w:rsid w:val="00176460"/>
    <w:rsid w:val="00180A33"/>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57C1"/>
    <w:rsid w:val="001C6175"/>
    <w:rsid w:val="001D0CA2"/>
    <w:rsid w:val="001D1080"/>
    <w:rsid w:val="001D36EB"/>
    <w:rsid w:val="001D65C2"/>
    <w:rsid w:val="001E674F"/>
    <w:rsid w:val="001F025E"/>
    <w:rsid w:val="001F075D"/>
    <w:rsid w:val="002010DB"/>
    <w:rsid w:val="002015EC"/>
    <w:rsid w:val="00205714"/>
    <w:rsid w:val="002059AF"/>
    <w:rsid w:val="00205D4E"/>
    <w:rsid w:val="002117BA"/>
    <w:rsid w:val="0021196D"/>
    <w:rsid w:val="00213691"/>
    <w:rsid w:val="00223344"/>
    <w:rsid w:val="00223D7B"/>
    <w:rsid w:val="00225146"/>
    <w:rsid w:val="00230BAC"/>
    <w:rsid w:val="00234786"/>
    <w:rsid w:val="00235CB9"/>
    <w:rsid w:val="00236A9E"/>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5E38"/>
    <w:rsid w:val="002D1FB3"/>
    <w:rsid w:val="002E05B4"/>
    <w:rsid w:val="002E124F"/>
    <w:rsid w:val="002E1EFD"/>
    <w:rsid w:val="002E2B1C"/>
    <w:rsid w:val="002E51DC"/>
    <w:rsid w:val="002E6286"/>
    <w:rsid w:val="002F0298"/>
    <w:rsid w:val="002F31B3"/>
    <w:rsid w:val="002F77BF"/>
    <w:rsid w:val="002F7BA0"/>
    <w:rsid w:val="003034F3"/>
    <w:rsid w:val="00304A1C"/>
    <w:rsid w:val="0031307F"/>
    <w:rsid w:val="00313DEF"/>
    <w:rsid w:val="00321171"/>
    <w:rsid w:val="00325F69"/>
    <w:rsid w:val="00331DB7"/>
    <w:rsid w:val="0033679C"/>
    <w:rsid w:val="003374EE"/>
    <w:rsid w:val="00340655"/>
    <w:rsid w:val="003429D4"/>
    <w:rsid w:val="00342FA0"/>
    <w:rsid w:val="00345893"/>
    <w:rsid w:val="003467D6"/>
    <w:rsid w:val="003503B0"/>
    <w:rsid w:val="003508DD"/>
    <w:rsid w:val="00351766"/>
    <w:rsid w:val="00354ECC"/>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49D"/>
    <w:rsid w:val="003D086D"/>
    <w:rsid w:val="003D09E9"/>
    <w:rsid w:val="003D0FCC"/>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66C3"/>
    <w:rsid w:val="00427DF6"/>
    <w:rsid w:val="00427F51"/>
    <w:rsid w:val="00433C17"/>
    <w:rsid w:val="00434068"/>
    <w:rsid w:val="00435ADC"/>
    <w:rsid w:val="004420A1"/>
    <w:rsid w:val="00443A72"/>
    <w:rsid w:val="00444BA5"/>
    <w:rsid w:val="00450673"/>
    <w:rsid w:val="004519F7"/>
    <w:rsid w:val="00452E8A"/>
    <w:rsid w:val="0045689A"/>
    <w:rsid w:val="00457E72"/>
    <w:rsid w:val="00460836"/>
    <w:rsid w:val="0047087D"/>
    <w:rsid w:val="0047360A"/>
    <w:rsid w:val="0047634C"/>
    <w:rsid w:val="00476AF0"/>
    <w:rsid w:val="00477101"/>
    <w:rsid w:val="00477B0C"/>
    <w:rsid w:val="004807AE"/>
    <w:rsid w:val="004816D7"/>
    <w:rsid w:val="004831ED"/>
    <w:rsid w:val="004834F2"/>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131C"/>
    <w:rsid w:val="004E3426"/>
    <w:rsid w:val="004E46F7"/>
    <w:rsid w:val="004F0159"/>
    <w:rsid w:val="004F05EB"/>
    <w:rsid w:val="004F087D"/>
    <w:rsid w:val="004F36E9"/>
    <w:rsid w:val="004F431B"/>
    <w:rsid w:val="00500ED1"/>
    <w:rsid w:val="005015A4"/>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4DBF"/>
    <w:rsid w:val="005763E4"/>
    <w:rsid w:val="00581160"/>
    <w:rsid w:val="005858D7"/>
    <w:rsid w:val="00586F14"/>
    <w:rsid w:val="00587980"/>
    <w:rsid w:val="00587A20"/>
    <w:rsid w:val="00587A9A"/>
    <w:rsid w:val="005A025E"/>
    <w:rsid w:val="005A4B7B"/>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21C4F"/>
    <w:rsid w:val="00622151"/>
    <w:rsid w:val="00626E4E"/>
    <w:rsid w:val="00630FAE"/>
    <w:rsid w:val="006327C0"/>
    <w:rsid w:val="006330C1"/>
    <w:rsid w:val="006330C2"/>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41CA"/>
    <w:rsid w:val="007A4AB8"/>
    <w:rsid w:val="007A57C7"/>
    <w:rsid w:val="007A7C8A"/>
    <w:rsid w:val="007B190E"/>
    <w:rsid w:val="007B2B94"/>
    <w:rsid w:val="007B590A"/>
    <w:rsid w:val="007B5E79"/>
    <w:rsid w:val="007B5F9E"/>
    <w:rsid w:val="007B606B"/>
    <w:rsid w:val="007C766E"/>
    <w:rsid w:val="007C7DBF"/>
    <w:rsid w:val="007D14F0"/>
    <w:rsid w:val="007D1FD9"/>
    <w:rsid w:val="007D7193"/>
    <w:rsid w:val="007D77F6"/>
    <w:rsid w:val="007D7B99"/>
    <w:rsid w:val="007E4526"/>
    <w:rsid w:val="007E531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B151D"/>
    <w:rsid w:val="009B31A7"/>
    <w:rsid w:val="009B5253"/>
    <w:rsid w:val="009B69A7"/>
    <w:rsid w:val="009C4AD5"/>
    <w:rsid w:val="009C4FA9"/>
    <w:rsid w:val="009D2558"/>
    <w:rsid w:val="009D4BDE"/>
    <w:rsid w:val="009E021C"/>
    <w:rsid w:val="009E0484"/>
    <w:rsid w:val="009E1162"/>
    <w:rsid w:val="009E2773"/>
    <w:rsid w:val="009E4CC1"/>
    <w:rsid w:val="009E5F5E"/>
    <w:rsid w:val="009F248B"/>
    <w:rsid w:val="009F3D87"/>
    <w:rsid w:val="009F44E1"/>
    <w:rsid w:val="009F5A54"/>
    <w:rsid w:val="00A0364F"/>
    <w:rsid w:val="00A03F15"/>
    <w:rsid w:val="00A07792"/>
    <w:rsid w:val="00A10071"/>
    <w:rsid w:val="00A12398"/>
    <w:rsid w:val="00A136CF"/>
    <w:rsid w:val="00A20E60"/>
    <w:rsid w:val="00A22E07"/>
    <w:rsid w:val="00A25492"/>
    <w:rsid w:val="00A26633"/>
    <w:rsid w:val="00A26E90"/>
    <w:rsid w:val="00A26ED5"/>
    <w:rsid w:val="00A2764F"/>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FD8"/>
    <w:rsid w:val="00AC7359"/>
    <w:rsid w:val="00AD2632"/>
    <w:rsid w:val="00AD326A"/>
    <w:rsid w:val="00AD58FC"/>
    <w:rsid w:val="00AD7642"/>
    <w:rsid w:val="00AE15E2"/>
    <w:rsid w:val="00AE2405"/>
    <w:rsid w:val="00AE3943"/>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3BF1"/>
    <w:rsid w:val="00CC7DAD"/>
    <w:rsid w:val="00CD0B59"/>
    <w:rsid w:val="00CD20EF"/>
    <w:rsid w:val="00CD2A15"/>
    <w:rsid w:val="00CD3BFA"/>
    <w:rsid w:val="00CD5807"/>
    <w:rsid w:val="00CD61FB"/>
    <w:rsid w:val="00CD63BB"/>
    <w:rsid w:val="00CD7FFB"/>
    <w:rsid w:val="00CE1BCA"/>
    <w:rsid w:val="00CE5626"/>
    <w:rsid w:val="00CE7143"/>
    <w:rsid w:val="00CF11AE"/>
    <w:rsid w:val="00CF569B"/>
    <w:rsid w:val="00CF6E8A"/>
    <w:rsid w:val="00D0231D"/>
    <w:rsid w:val="00D03041"/>
    <w:rsid w:val="00D05638"/>
    <w:rsid w:val="00D05645"/>
    <w:rsid w:val="00D05B11"/>
    <w:rsid w:val="00D06CD6"/>
    <w:rsid w:val="00D06E29"/>
    <w:rsid w:val="00D1058D"/>
    <w:rsid w:val="00D114BF"/>
    <w:rsid w:val="00D12C9E"/>
    <w:rsid w:val="00D16CDF"/>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D50"/>
    <w:rsid w:val="00D87394"/>
    <w:rsid w:val="00D92636"/>
    <w:rsid w:val="00D9339C"/>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C67"/>
    <w:rsid w:val="00E60DD9"/>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C97"/>
    <w:rsid w:val="00F31F51"/>
    <w:rsid w:val="00F3322D"/>
    <w:rsid w:val="00F36DD3"/>
    <w:rsid w:val="00F42085"/>
    <w:rsid w:val="00F44064"/>
    <w:rsid w:val="00F448D8"/>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9E1"/>
    <w:rsid w:val="00F8688F"/>
    <w:rsid w:val="00F926D0"/>
    <w:rsid w:val="00F92E20"/>
    <w:rsid w:val="00F94C99"/>
    <w:rsid w:val="00F94D75"/>
    <w:rsid w:val="00F95C5D"/>
    <w:rsid w:val="00FA0C20"/>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C313A-A521-43A2-A9D5-411EA88F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58F0-F179-4D13-B4B0-727863F6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8894</Words>
  <Characters>50697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2</cp:revision>
  <cp:lastPrinted>2017-09-23T15:33:00Z</cp:lastPrinted>
  <dcterms:created xsi:type="dcterms:W3CDTF">2017-10-06T18:17:00Z</dcterms:created>
  <dcterms:modified xsi:type="dcterms:W3CDTF">2017-10-06T18:17:00Z</dcterms:modified>
</cp:coreProperties>
</file>