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30" w:rsidRPr="00FB392E" w:rsidRDefault="00AE5D86" w:rsidP="00594253">
      <w:pPr>
        <w:spacing w:line="480" w:lineRule="auto"/>
        <w:jc w:val="both"/>
        <w:rPr>
          <w:b/>
          <w:sz w:val="32"/>
          <w:szCs w:val="32"/>
        </w:rPr>
      </w:pPr>
      <w:r>
        <w:rPr>
          <w:b/>
          <w:sz w:val="32"/>
          <w:szCs w:val="32"/>
        </w:rPr>
        <w:t>Moderate Emissions Grandfathering</w:t>
      </w:r>
      <w:r w:rsidR="000869A9">
        <w:rPr>
          <w:rStyle w:val="FootnoteReference"/>
          <w:b/>
          <w:sz w:val="32"/>
          <w:szCs w:val="32"/>
        </w:rPr>
        <w:footnoteReference w:customMarkFollows="1" w:id="1"/>
        <w:t>*</w:t>
      </w:r>
    </w:p>
    <w:p w:rsidR="00E45463" w:rsidRDefault="00606D30" w:rsidP="00594253">
      <w:pPr>
        <w:spacing w:line="480" w:lineRule="auto"/>
        <w:jc w:val="both"/>
        <w:rPr>
          <w:i/>
        </w:rPr>
      </w:pPr>
      <w:r w:rsidRPr="00490A89">
        <w:rPr>
          <w:i/>
        </w:rPr>
        <w:t xml:space="preserve"> </w:t>
      </w:r>
    </w:p>
    <w:p w:rsidR="002F4515" w:rsidRDefault="002F4515" w:rsidP="00594253">
      <w:pPr>
        <w:spacing w:line="480" w:lineRule="auto"/>
        <w:jc w:val="both"/>
        <w:rPr>
          <w:i/>
        </w:rPr>
      </w:pPr>
      <w:r>
        <w:rPr>
          <w:i/>
        </w:rPr>
        <w:t>Carl Knight, University of Glasgow and University of Johannesburg</w:t>
      </w:r>
    </w:p>
    <w:p w:rsidR="002F4515" w:rsidRPr="002F4515" w:rsidRDefault="002F4515" w:rsidP="00594253">
      <w:pPr>
        <w:spacing w:line="480" w:lineRule="auto"/>
        <w:jc w:val="both"/>
      </w:pPr>
    </w:p>
    <w:p w:rsidR="002F4515" w:rsidRDefault="002F4515" w:rsidP="00594253">
      <w:pPr>
        <w:spacing w:line="480" w:lineRule="auto"/>
        <w:jc w:val="both"/>
      </w:pPr>
      <w:r w:rsidRPr="002F4515">
        <w:rPr>
          <w:b/>
        </w:rPr>
        <w:t>Abstract</w:t>
      </w:r>
      <w:r w:rsidR="003C33AE">
        <w:rPr>
          <w:b/>
        </w:rPr>
        <w:t>:</w:t>
      </w:r>
      <w:r>
        <w:t xml:space="preserve"> </w:t>
      </w:r>
      <w:r w:rsidRPr="002F4515">
        <w:t>Emissions grandfathering holds that a history of emissions strengthens an agent’s claim for future emission entitlements. Though grandfathering appears to have been influential in actual emission control frameworks, it is rarely taken seriously by philosophers. This article presents an argument for thinking this an oversight. The core of the argument is that members of countries with higher historical emissions are typically burdened with higher costs when transitioning to a given lower level of emissions. According to several appealing views in political philosophy (</w:t>
      </w:r>
      <w:proofErr w:type="gramStart"/>
      <w:r w:rsidRPr="002F4515">
        <w:t>utilitarianism</w:t>
      </w:r>
      <w:proofErr w:type="gramEnd"/>
      <w:r w:rsidRPr="002F4515">
        <w:t xml:space="preserve">, egalitarianism, </w:t>
      </w:r>
      <w:proofErr w:type="spellStart"/>
      <w:r w:rsidRPr="002F4515">
        <w:t>prioritarianism</w:t>
      </w:r>
      <w:proofErr w:type="spellEnd"/>
      <w:r w:rsidRPr="002F4515">
        <w:t xml:space="preserve">, and </w:t>
      </w:r>
      <w:proofErr w:type="spellStart"/>
      <w:r w:rsidRPr="002F4515">
        <w:t>sufficientarianism</w:t>
      </w:r>
      <w:proofErr w:type="spellEnd"/>
      <w:r w:rsidRPr="002F4515">
        <w:t>) they are therefore entitled to greater resources, including emission entitlements, than those in similar positions but with lower emissions. This grandfathering may play an especially important role in allocating emission entitlements among rich countries.</w:t>
      </w:r>
    </w:p>
    <w:p w:rsidR="003C33AE" w:rsidRDefault="003C33AE" w:rsidP="00594253">
      <w:pPr>
        <w:spacing w:line="480" w:lineRule="auto"/>
        <w:jc w:val="both"/>
      </w:pPr>
    </w:p>
    <w:p w:rsidR="003C33AE" w:rsidRPr="003C33AE" w:rsidRDefault="003C33AE" w:rsidP="00594253">
      <w:pPr>
        <w:spacing w:line="480" w:lineRule="auto"/>
        <w:jc w:val="both"/>
      </w:pPr>
      <w:r w:rsidRPr="003C33AE">
        <w:rPr>
          <w:b/>
        </w:rPr>
        <w:t xml:space="preserve">Keywords: </w:t>
      </w:r>
      <w:r w:rsidRPr="003C33AE">
        <w:t xml:space="preserve">climate justice; </w:t>
      </w:r>
      <w:r>
        <w:rPr>
          <w:color w:val="111111"/>
        </w:rPr>
        <w:t>emission rights;</w:t>
      </w:r>
      <w:r w:rsidRPr="003C33AE">
        <w:rPr>
          <w:color w:val="111111"/>
        </w:rPr>
        <w:t xml:space="preserve"> egalitarianism; grandfathering; </w:t>
      </w:r>
      <w:proofErr w:type="spellStart"/>
      <w:r w:rsidRPr="003C33AE">
        <w:rPr>
          <w:color w:val="111111"/>
        </w:rPr>
        <w:t>prioritarianism</w:t>
      </w:r>
      <w:proofErr w:type="spellEnd"/>
      <w:r w:rsidRPr="003C33AE">
        <w:rPr>
          <w:color w:val="111111"/>
        </w:rPr>
        <w:t xml:space="preserve">; </w:t>
      </w:r>
      <w:proofErr w:type="spellStart"/>
      <w:r w:rsidR="00A36365">
        <w:rPr>
          <w:color w:val="111111"/>
        </w:rPr>
        <w:t>sufficientarianism</w:t>
      </w:r>
      <w:proofErr w:type="spellEnd"/>
      <w:r w:rsidR="00A36365">
        <w:rPr>
          <w:color w:val="111111"/>
        </w:rPr>
        <w:t xml:space="preserve">; </w:t>
      </w:r>
      <w:r w:rsidRPr="003C33AE">
        <w:rPr>
          <w:color w:val="111111"/>
        </w:rPr>
        <w:t>utilitarianism</w:t>
      </w:r>
      <w:r>
        <w:rPr>
          <w:color w:val="111111"/>
        </w:rPr>
        <w:t>.</w:t>
      </w:r>
    </w:p>
    <w:p w:rsidR="002F4515" w:rsidRPr="00490A89" w:rsidRDefault="002F4515" w:rsidP="00594253">
      <w:pPr>
        <w:spacing w:line="480" w:lineRule="auto"/>
        <w:jc w:val="both"/>
      </w:pPr>
    </w:p>
    <w:p w:rsidR="0082199E" w:rsidRDefault="0082199E" w:rsidP="00594253">
      <w:pPr>
        <w:spacing w:line="480" w:lineRule="auto"/>
        <w:jc w:val="both"/>
        <w:rPr>
          <w:b/>
        </w:rPr>
      </w:pPr>
    </w:p>
    <w:p w:rsidR="00E07A79" w:rsidRPr="00E07A79" w:rsidRDefault="00E07A79" w:rsidP="00594253">
      <w:pPr>
        <w:spacing w:line="480" w:lineRule="auto"/>
        <w:jc w:val="both"/>
        <w:rPr>
          <w:b/>
        </w:rPr>
      </w:pPr>
      <w:r w:rsidRPr="00E07A79">
        <w:rPr>
          <w:b/>
        </w:rPr>
        <w:lastRenderedPageBreak/>
        <w:t>I. Introduction</w:t>
      </w:r>
    </w:p>
    <w:p w:rsidR="0092752C" w:rsidRPr="00490A89" w:rsidRDefault="000A79CA" w:rsidP="00594253">
      <w:pPr>
        <w:spacing w:line="480" w:lineRule="auto"/>
        <w:jc w:val="both"/>
      </w:pPr>
      <w:r>
        <w:t>A</w:t>
      </w:r>
      <w:r w:rsidR="00877A6B" w:rsidRPr="00490A89">
        <w:t xml:space="preserve"> key et</w:t>
      </w:r>
      <w:r>
        <w:t>hical</w:t>
      </w:r>
      <w:r w:rsidR="00FD189A">
        <w:t xml:space="preserve"> </w:t>
      </w:r>
      <w:r>
        <w:t>issue</w:t>
      </w:r>
      <w:r w:rsidR="00C675FE">
        <w:t xml:space="preserve"> raised by harmful</w:t>
      </w:r>
      <w:r w:rsidR="00877A6B" w:rsidRPr="00490A89">
        <w:t xml:space="preserve"> climate change is t</w:t>
      </w:r>
      <w:r w:rsidR="008E5FF4">
        <w:t>he allocation of greenhouse gas</w:t>
      </w:r>
      <w:r w:rsidR="007804C5">
        <w:t xml:space="preserve"> </w:t>
      </w:r>
      <w:r w:rsidR="00877A6B" w:rsidRPr="00490A89">
        <w:t xml:space="preserve">emission rights. One group of views is historical, in the sense that it takes into account past emissions. A </w:t>
      </w:r>
      <w:r w:rsidR="00FB392E">
        <w:t xml:space="preserve">well-known </w:t>
      </w:r>
      <w:r w:rsidR="00877A6B" w:rsidRPr="00490A89">
        <w:t>position of this general typ</w:t>
      </w:r>
      <w:r w:rsidR="001D7270">
        <w:t>e</w:t>
      </w:r>
      <w:r w:rsidR="00877A6B" w:rsidRPr="00490A89">
        <w:t xml:space="preserve"> focuses on </w:t>
      </w:r>
      <w:r w:rsidR="009A1B46">
        <w:t>‘</w:t>
      </w:r>
      <w:r w:rsidR="00877A6B" w:rsidRPr="00490A89">
        <w:t>historical responsibility</w:t>
      </w:r>
      <w:r w:rsidR="009A1B46">
        <w:t>’</w:t>
      </w:r>
      <w:r w:rsidR="00877A6B" w:rsidRPr="00490A89">
        <w:t xml:space="preserve">, holding that past emissions </w:t>
      </w:r>
      <w:r w:rsidR="00C259EA">
        <w:rPr>
          <w:rStyle w:val="Emphasis"/>
        </w:rPr>
        <w:t>weaken</w:t>
      </w:r>
      <w:r w:rsidR="00877A6B" w:rsidRPr="00490A89">
        <w:t xml:space="preserve"> </w:t>
      </w:r>
      <w:r w:rsidR="00C259EA">
        <w:t xml:space="preserve">the claim for </w:t>
      </w:r>
      <w:r w:rsidR="00877A6B" w:rsidRPr="00490A89">
        <w:t>en</w:t>
      </w:r>
      <w:r w:rsidR="001961A0">
        <w:t>titlements to future emissions.</w:t>
      </w:r>
    </w:p>
    <w:p w:rsidR="008B7EAE" w:rsidRDefault="00546F4A" w:rsidP="00CA1975">
      <w:pPr>
        <w:spacing w:line="480" w:lineRule="auto"/>
        <w:ind w:firstLine="720"/>
        <w:jc w:val="both"/>
      </w:pPr>
      <w:r>
        <w:t xml:space="preserve">An alternative historical view </w:t>
      </w:r>
      <w:r w:rsidR="00FB392E">
        <w:t>proposes ‘grandfathering’</w:t>
      </w:r>
      <w:r w:rsidR="00877A6B" w:rsidRPr="00490A89">
        <w:t xml:space="preserve"> of emissions, suggesting that past emissions </w:t>
      </w:r>
      <w:r w:rsidR="00C259EA">
        <w:rPr>
          <w:rStyle w:val="Emphasis"/>
        </w:rPr>
        <w:t xml:space="preserve">strengthen </w:t>
      </w:r>
      <w:r w:rsidR="00C259EA">
        <w:rPr>
          <w:rStyle w:val="Emphasis"/>
          <w:i w:val="0"/>
        </w:rPr>
        <w:t>the claim for</w:t>
      </w:r>
      <w:r w:rsidR="00877A6B" w:rsidRPr="00490A89">
        <w:t xml:space="preserve"> future entitlements. </w:t>
      </w:r>
      <w:r w:rsidR="0092752C" w:rsidRPr="00490A89">
        <w:t>Unlike the historical responsibility view, the</w:t>
      </w:r>
      <w:r w:rsidR="00877A6B" w:rsidRPr="00490A89">
        <w:t xml:space="preserve"> grandfathering view </w:t>
      </w:r>
      <w:r w:rsidR="001D7270">
        <w:t>appears to have</w:t>
      </w:r>
      <w:r w:rsidR="0092752C" w:rsidRPr="00490A89">
        <w:t xml:space="preserve"> been highly influential in actual </w:t>
      </w:r>
      <w:r w:rsidR="008B7EAE" w:rsidRPr="00490A89">
        <w:t>emission control frameworks</w:t>
      </w:r>
      <w:r w:rsidR="00153A46">
        <w:t>.</w:t>
      </w:r>
      <w:r w:rsidR="000D1780">
        <w:t xml:space="preserve"> Yet</w:t>
      </w:r>
      <w:r w:rsidR="008B7EAE" w:rsidRPr="00490A89">
        <w:t xml:space="preserve"> </w:t>
      </w:r>
      <w:r w:rsidR="000D1780">
        <w:t>grandfathering</w:t>
      </w:r>
      <w:r w:rsidR="00877A6B" w:rsidRPr="00490A89">
        <w:t xml:space="preserve"> </w:t>
      </w:r>
      <w:r w:rsidR="008B7EAE" w:rsidRPr="00490A89">
        <w:t xml:space="preserve">is </w:t>
      </w:r>
      <w:r w:rsidR="00453A11">
        <w:t>little</w:t>
      </w:r>
      <w:r w:rsidR="00877A6B" w:rsidRPr="00490A89">
        <w:t xml:space="preserve"> discussed by </w:t>
      </w:r>
      <w:r w:rsidR="00277ECB">
        <w:t>philosophers</w:t>
      </w:r>
      <w:r w:rsidR="00FA4318">
        <w:t xml:space="preserve">, and when it is, </w:t>
      </w:r>
      <w:r w:rsidR="00877A6B" w:rsidRPr="00490A89">
        <w:t>it is typically dismissed as being patently unjust.</w:t>
      </w:r>
      <w:r w:rsidR="005F01DF" w:rsidRPr="005F01DF">
        <w:t xml:space="preserve"> </w:t>
      </w:r>
      <w:r w:rsidR="005F01DF">
        <w:t>Simon Caney, for instance, writes that</w:t>
      </w:r>
      <w:r w:rsidR="00D07492">
        <w:t xml:space="preserve"> grandfathering ‘seems perverse’, and that </w:t>
      </w:r>
      <w:r w:rsidR="005F01DF">
        <w:t>‘as a matter of justice, it has very little, if anything, to recommend it’.</w:t>
      </w:r>
      <w:r w:rsidR="005F01DF">
        <w:rPr>
          <w:rStyle w:val="FootnoteReference"/>
        </w:rPr>
        <w:footnoteReference w:id="2"/>
      </w:r>
      <w:r w:rsidR="00277ECB">
        <w:t xml:space="preserve"> </w:t>
      </w:r>
      <w:r w:rsidR="00CA1975">
        <w:t>Dale Jamieson similarly writes that to ‘[d]</w:t>
      </w:r>
      <w:proofErr w:type="spellStart"/>
      <w:r w:rsidR="00CA1975">
        <w:t>istribute</w:t>
      </w:r>
      <w:proofErr w:type="spellEnd"/>
      <w:r w:rsidR="00CA1975">
        <w:t xml:space="preserve"> permissions [to emit] on the basis of existing emissions’</w:t>
      </w:r>
      <w:r w:rsidR="00877A6B" w:rsidRPr="00490A89">
        <w:t xml:space="preserve"> </w:t>
      </w:r>
      <w:r w:rsidR="00CA1975">
        <w:t>is ‘implausible’.</w:t>
      </w:r>
      <w:r w:rsidR="00CA1975">
        <w:rPr>
          <w:rStyle w:val="FootnoteReference"/>
        </w:rPr>
        <w:footnoteReference w:id="3"/>
      </w:r>
      <w:r w:rsidR="00CA1975">
        <w:t xml:space="preserve"> </w:t>
      </w:r>
      <w:r w:rsidR="001D7270">
        <w:t>This article</w:t>
      </w:r>
      <w:r w:rsidR="00E45463" w:rsidRPr="00490A89">
        <w:t xml:space="preserve"> presents </w:t>
      </w:r>
      <w:r w:rsidR="00CA1975">
        <w:t>reasons</w:t>
      </w:r>
      <w:r w:rsidR="00E45463" w:rsidRPr="00490A89">
        <w:t xml:space="preserve"> for t</w:t>
      </w:r>
      <w:r w:rsidR="00606D30" w:rsidRPr="00490A89">
        <w:t>hinking that assessment unfair.</w:t>
      </w:r>
    </w:p>
    <w:p w:rsidR="00E61D5B" w:rsidRDefault="00E45463" w:rsidP="00594253">
      <w:pPr>
        <w:spacing w:line="480" w:lineRule="auto"/>
        <w:ind w:firstLine="720"/>
        <w:jc w:val="both"/>
      </w:pPr>
      <w:r w:rsidRPr="00490A89">
        <w:t>The </w:t>
      </w:r>
      <w:r w:rsidR="00364F75">
        <w:t>starting point</w:t>
      </w:r>
      <w:r w:rsidRPr="00490A89">
        <w:t xml:space="preserve"> of the argument</w:t>
      </w:r>
      <w:r w:rsidR="00364F75">
        <w:t xml:space="preserve"> </w:t>
      </w:r>
      <w:r w:rsidRPr="00490A89">
        <w:t xml:space="preserve">is that members of countries with high historical emissions are typically burdened with </w:t>
      </w:r>
      <w:r w:rsidR="0055003B">
        <w:t>high</w:t>
      </w:r>
      <w:r w:rsidR="00C6560F">
        <w:t>er</w:t>
      </w:r>
      <w:r w:rsidR="0055003B">
        <w:t xml:space="preserve"> costs</w:t>
      </w:r>
      <w:r w:rsidRPr="00490A89">
        <w:t xml:space="preserve"> </w:t>
      </w:r>
      <w:r w:rsidR="00C6560F" w:rsidRPr="00EC0C83">
        <w:t>when transitioning to a given</w:t>
      </w:r>
      <w:r w:rsidR="004C4200" w:rsidRPr="00EC0C83">
        <w:t xml:space="preserve"> reduced</w:t>
      </w:r>
      <w:r w:rsidR="00C6560F" w:rsidRPr="00EC0C83">
        <w:t xml:space="preserve"> level of</w:t>
      </w:r>
      <w:r w:rsidR="0055003B" w:rsidRPr="00EC0C83">
        <w:t xml:space="preserve"> emissions</w:t>
      </w:r>
      <w:r w:rsidR="00C6560F" w:rsidRPr="00EC0C83">
        <w:t xml:space="preserve"> </w:t>
      </w:r>
      <w:r w:rsidR="00C6560F">
        <w:t xml:space="preserve">than are </w:t>
      </w:r>
      <w:r w:rsidR="00545492">
        <w:t xml:space="preserve">members of </w:t>
      </w:r>
      <w:r w:rsidR="00C6560F" w:rsidRPr="00EC0C83">
        <w:t xml:space="preserve">otherwise similar </w:t>
      </w:r>
      <w:r w:rsidR="00C6560F">
        <w:t>countries with lower historical emissions</w:t>
      </w:r>
      <w:r w:rsidR="00364F75">
        <w:t xml:space="preserve"> (section II)</w:t>
      </w:r>
      <w:r w:rsidR="00C6560F">
        <w:t xml:space="preserve">. </w:t>
      </w:r>
      <w:r w:rsidR="00C259EA">
        <w:t>This</w:t>
      </w:r>
      <w:r w:rsidR="0055003B">
        <w:t xml:space="preserve"> </w:t>
      </w:r>
      <w:r w:rsidR="00EC0C83">
        <w:t>will engage the concern of</w:t>
      </w:r>
      <w:r w:rsidR="0055003B">
        <w:t xml:space="preserve"> </w:t>
      </w:r>
      <w:proofErr w:type="spellStart"/>
      <w:r w:rsidR="0055003B">
        <w:t>utilitari</w:t>
      </w:r>
      <w:r w:rsidR="00FD6AA4">
        <w:t>ans</w:t>
      </w:r>
      <w:proofErr w:type="spellEnd"/>
      <w:r w:rsidR="00FD6AA4">
        <w:t>,</w:t>
      </w:r>
      <w:r w:rsidR="0055003B">
        <w:t xml:space="preserve"> as the </w:t>
      </w:r>
      <w:r w:rsidR="00417E5A">
        <w:t>transition</w:t>
      </w:r>
      <w:r w:rsidR="0055003B">
        <w:t xml:space="preserve"> costs </w:t>
      </w:r>
      <w:r w:rsidR="001D7270">
        <w:t>ensure that emission rights</w:t>
      </w:r>
      <w:r w:rsidR="00FB392E">
        <w:t xml:space="preserve"> tend to</w:t>
      </w:r>
      <w:r w:rsidR="001D7270">
        <w:t xml:space="preserve"> </w:t>
      </w:r>
      <w:r w:rsidR="0055003B">
        <w:t>promote welfare better when allocated to high emitters</w:t>
      </w:r>
      <w:r w:rsidR="00977E65">
        <w:t xml:space="preserve"> than when allocated to otherwise equivalently </w:t>
      </w:r>
      <w:proofErr w:type="gramStart"/>
      <w:r w:rsidR="00977E65">
        <w:t>situated</w:t>
      </w:r>
      <w:proofErr w:type="gramEnd"/>
      <w:r w:rsidR="00977E65">
        <w:t xml:space="preserve"> persons (for instance, lower emitting but equally rich persons)</w:t>
      </w:r>
      <w:r w:rsidR="00364F75">
        <w:t xml:space="preserve">. The argument </w:t>
      </w:r>
      <w:r w:rsidR="00364F75">
        <w:lastRenderedPageBreak/>
        <w:t>can be extended to</w:t>
      </w:r>
      <w:r w:rsidR="0055003B">
        <w:t xml:space="preserve"> </w:t>
      </w:r>
      <w:r w:rsidRPr="00490A89">
        <w:t xml:space="preserve">appeal to </w:t>
      </w:r>
      <w:r w:rsidR="00FB392E">
        <w:t xml:space="preserve">several views widely discussed in political philosophy – namely </w:t>
      </w:r>
      <w:r w:rsidR="00364F75">
        <w:t>egalitarianism (section III)</w:t>
      </w:r>
      <w:r w:rsidR="008043DA">
        <w:t xml:space="preserve">, </w:t>
      </w:r>
      <w:proofErr w:type="spellStart"/>
      <w:r w:rsidR="008043DA">
        <w:t>prioritarianism</w:t>
      </w:r>
      <w:proofErr w:type="spellEnd"/>
      <w:r w:rsidR="00962012">
        <w:t xml:space="preserve"> (section IV)</w:t>
      </w:r>
      <w:r w:rsidR="00464C40">
        <w:t xml:space="preserve">, and </w:t>
      </w:r>
      <w:proofErr w:type="spellStart"/>
      <w:r w:rsidR="00464C40">
        <w:t>sufficientarianism</w:t>
      </w:r>
      <w:proofErr w:type="spellEnd"/>
      <w:r w:rsidR="00364F75">
        <w:t xml:space="preserve"> (section V)</w:t>
      </w:r>
      <w:r w:rsidR="0055003B">
        <w:t>.</w:t>
      </w:r>
    </w:p>
    <w:p w:rsidR="00877A6B" w:rsidRDefault="002A6AD9" w:rsidP="00594253">
      <w:pPr>
        <w:spacing w:line="480" w:lineRule="auto"/>
        <w:ind w:firstLine="720"/>
        <w:jc w:val="both"/>
      </w:pPr>
      <w:r>
        <w:t>The position this argument supports can be referred to as</w:t>
      </w:r>
      <w:r w:rsidR="00E07A79">
        <w:t xml:space="preserve"> </w:t>
      </w:r>
      <w:r w:rsidR="00E07A79" w:rsidRPr="00E07A79">
        <w:rPr>
          <w:i/>
        </w:rPr>
        <w:t xml:space="preserve">moderate </w:t>
      </w:r>
      <w:r w:rsidR="00E07A79" w:rsidRPr="00025E63">
        <w:rPr>
          <w:i/>
        </w:rPr>
        <w:t>grandfathering</w:t>
      </w:r>
      <w:r w:rsidR="00545492" w:rsidRPr="00025E63">
        <w:rPr>
          <w:i/>
        </w:rPr>
        <w:t>.</w:t>
      </w:r>
      <w:r w:rsidR="00545492">
        <w:rPr>
          <w:i/>
        </w:rPr>
        <w:t xml:space="preserve"> </w:t>
      </w:r>
      <w:r>
        <w:t>Moderate grandfathering</w:t>
      </w:r>
      <w:r w:rsidR="00E07A79" w:rsidRPr="00545492">
        <w:t xml:space="preserve"> </w:t>
      </w:r>
      <w:r w:rsidR="00E07A79">
        <w:t xml:space="preserve">says that an agent’s past emissions </w:t>
      </w:r>
      <w:r w:rsidR="00737129">
        <w:t>offer</w:t>
      </w:r>
      <w:r w:rsidR="00E07A79">
        <w:t xml:space="preserve"> a pro </w:t>
      </w:r>
      <w:proofErr w:type="spellStart"/>
      <w:r w:rsidR="00E07A79">
        <w:t>tanto</w:t>
      </w:r>
      <w:proofErr w:type="spellEnd"/>
      <w:r w:rsidR="00E07A79">
        <w:t xml:space="preserve"> reason for future emis</w:t>
      </w:r>
      <w:r w:rsidR="00737129">
        <w:t>sions entitlements to be given</w:t>
      </w:r>
      <w:r w:rsidR="00E07A79">
        <w:t xml:space="preserve"> to that agent. A pro </w:t>
      </w:r>
      <w:proofErr w:type="spellStart"/>
      <w:r w:rsidR="00E07A79">
        <w:t>tanto</w:t>
      </w:r>
      <w:proofErr w:type="spellEnd"/>
      <w:r w:rsidR="00E07A79">
        <w:t xml:space="preserve"> reason for something is a </w:t>
      </w:r>
      <w:r w:rsidR="00737129">
        <w:t>reason that supports that thing,</w:t>
      </w:r>
      <w:r w:rsidR="00E07A79">
        <w:t xml:space="preserve"> whatever other reasons </w:t>
      </w:r>
      <w:r w:rsidR="00737129">
        <w:t xml:space="preserve">– which may be stronger and countervailing – </w:t>
      </w:r>
      <w:r w:rsidR="00E07A79">
        <w:t>apply</w:t>
      </w:r>
      <w:r w:rsidR="00545492">
        <w:t>. My argument is that an agent</w:t>
      </w:r>
      <w:r w:rsidR="00737129">
        <w:t>’</w:t>
      </w:r>
      <w:r w:rsidR="00545492">
        <w:t>s</w:t>
      </w:r>
      <w:r w:rsidR="00737129">
        <w:t xml:space="preserve"> high prior emissions provide a reason for that agent to have high entitlements, though other facts may provide reasons f</w:t>
      </w:r>
      <w:r w:rsidR="000038D9">
        <w:t>or that agent to have low</w:t>
      </w:r>
      <w:r w:rsidR="00737129">
        <w:t xml:space="preserve"> entitlements.</w:t>
      </w:r>
      <w:r w:rsidR="005D414E">
        <w:t xml:space="preserve"> Other principles, such as historical responsibility, are often defended as part of a </w:t>
      </w:r>
      <w:r w:rsidR="00CC1039">
        <w:t>pluralistic overall view.</w:t>
      </w:r>
      <w:r w:rsidR="00CC1039">
        <w:rPr>
          <w:rStyle w:val="FootnoteReference"/>
        </w:rPr>
        <w:footnoteReference w:id="4"/>
      </w:r>
      <w:r w:rsidR="00CC1039">
        <w:t xml:space="preserve"> T</w:t>
      </w:r>
      <w:r w:rsidR="005D414E">
        <w:t xml:space="preserve">here is no reason why grandfathering cannot </w:t>
      </w:r>
      <w:r w:rsidR="000E60CF">
        <w:t xml:space="preserve">also </w:t>
      </w:r>
      <w:r w:rsidR="005D414E">
        <w:t>be defended on that basis.</w:t>
      </w:r>
    </w:p>
    <w:p w:rsidR="00FD189A" w:rsidRPr="00FD189A" w:rsidRDefault="00FD189A" w:rsidP="00FA4318">
      <w:pPr>
        <w:spacing w:line="480" w:lineRule="auto"/>
        <w:ind w:firstLine="720"/>
        <w:jc w:val="both"/>
      </w:pPr>
      <w:r>
        <w:t xml:space="preserve">Another important feature of my argument is that it provides only a derivative or </w:t>
      </w:r>
      <w:r w:rsidRPr="00FD189A">
        <w:rPr>
          <w:i/>
        </w:rPr>
        <w:t>instrumental</w:t>
      </w:r>
      <w:r>
        <w:rPr>
          <w:i/>
        </w:rPr>
        <w:t xml:space="preserve"> </w:t>
      </w:r>
      <w:r>
        <w:t xml:space="preserve">moral basis for grandfathering. I think both theorists and activists often oppose grandfathering simply because they see emissions </w:t>
      </w:r>
      <w:r w:rsidR="006845B1">
        <w:t xml:space="preserve">themselves </w:t>
      </w:r>
      <w:r>
        <w:t xml:space="preserve">as </w:t>
      </w:r>
      <w:r w:rsidR="00EF07A3">
        <w:t>bad</w:t>
      </w:r>
      <w:r>
        <w:t xml:space="preserve">. But emissions are clearly only </w:t>
      </w:r>
      <w:r w:rsidR="00EF07A3">
        <w:t>bad</w:t>
      </w:r>
      <w:r w:rsidR="006845B1">
        <w:t xml:space="preserve"> contingently</w:t>
      </w:r>
      <w:r>
        <w:t xml:space="preserve">. In the past, </w:t>
      </w:r>
      <w:r w:rsidR="006845B1">
        <w:t xml:space="preserve">anthropogenic </w:t>
      </w:r>
      <w:r>
        <w:t xml:space="preserve">global warming has been welcomed as </w:t>
      </w:r>
      <w:r w:rsidR="006845B1">
        <w:t xml:space="preserve">increasing agricultural output and </w:t>
      </w:r>
      <w:r w:rsidR="0000677A">
        <w:t>delaying the next</w:t>
      </w:r>
      <w:r w:rsidR="00FA4318">
        <w:t xml:space="preserve"> </w:t>
      </w:r>
      <w:r w:rsidR="0000677A">
        <w:t>ice age.</w:t>
      </w:r>
      <w:r w:rsidR="0000677A">
        <w:rPr>
          <w:rStyle w:val="FootnoteReference"/>
        </w:rPr>
        <w:footnoteReference w:id="5"/>
      </w:r>
      <w:r w:rsidR="006845B1">
        <w:t xml:space="preserve"> Were those its main effects, </w:t>
      </w:r>
      <w:r w:rsidR="00EF07A3">
        <w:t xml:space="preserve">emissions would not </w:t>
      </w:r>
      <w:r w:rsidR="00E15E16">
        <w:t>be</w:t>
      </w:r>
      <w:r w:rsidR="00EF07A3">
        <w:t xml:space="preserve"> bad</w:t>
      </w:r>
      <w:r w:rsidR="006845B1">
        <w:t xml:space="preserve">. This suggests that </w:t>
      </w:r>
      <w:r w:rsidR="0048774F">
        <w:t xml:space="preserve">what matters </w:t>
      </w:r>
      <w:proofErr w:type="gramStart"/>
      <w:r w:rsidR="0048774F">
        <w:t>is</w:t>
      </w:r>
      <w:proofErr w:type="gramEnd"/>
      <w:r w:rsidR="0048774F">
        <w:t xml:space="preserve"> not emissions per se but their effects</w:t>
      </w:r>
      <w:r w:rsidR="006845B1">
        <w:t xml:space="preserve">. </w:t>
      </w:r>
      <w:r w:rsidR="0045689C">
        <w:t xml:space="preserve">My argument is, </w:t>
      </w:r>
      <w:r w:rsidR="00EF07A3">
        <w:t xml:space="preserve">in essence, that emissions </w:t>
      </w:r>
      <w:r w:rsidR="00E15E16">
        <w:t xml:space="preserve">are </w:t>
      </w:r>
      <w:r w:rsidR="00EF07A3">
        <w:t>in one respect instrumentally bad</w:t>
      </w:r>
      <w:r w:rsidR="00E15E16">
        <w:t xml:space="preserve"> (they increase harmful climate change)</w:t>
      </w:r>
      <w:r w:rsidR="00EF07A3">
        <w:t>, but in another instrumentally good</w:t>
      </w:r>
      <w:r w:rsidR="00E15E16">
        <w:t xml:space="preserve"> (they enable beneficial activities)</w:t>
      </w:r>
      <w:r w:rsidR="00EF07A3">
        <w:t xml:space="preserve">. Our task is to reduce the badness </w:t>
      </w:r>
      <w:r w:rsidR="000038D9">
        <w:t>such</w:t>
      </w:r>
      <w:r w:rsidR="00E15E16">
        <w:t xml:space="preserve"> that the</w:t>
      </w:r>
      <w:r w:rsidR="00EF07A3">
        <w:t xml:space="preserve"> </w:t>
      </w:r>
      <w:r w:rsidR="00E15E16">
        <w:t xml:space="preserve">loss of goodness is minimized. I argue that </w:t>
      </w:r>
      <w:r w:rsidR="00E15E16">
        <w:lastRenderedPageBreak/>
        <w:t xml:space="preserve">this involves significant emission reductions, but ones consistent with </w:t>
      </w:r>
      <w:r w:rsidR="000038D9">
        <w:t>giving more than average entitlements to those</w:t>
      </w:r>
      <w:r w:rsidR="00E15E16">
        <w:t xml:space="preserve"> high </w:t>
      </w:r>
      <w:r w:rsidR="000038D9">
        <w:t>emitters</w:t>
      </w:r>
      <w:r w:rsidR="00E15E16">
        <w:t xml:space="preserve"> </w:t>
      </w:r>
      <w:r w:rsidR="000038D9">
        <w:t>who significantly benefit from them</w:t>
      </w:r>
      <w:r w:rsidR="00E15E16">
        <w:t>.</w:t>
      </w:r>
    </w:p>
    <w:p w:rsidR="00C07F85" w:rsidRDefault="000D1780" w:rsidP="00C07F85">
      <w:pPr>
        <w:spacing w:line="480" w:lineRule="auto"/>
        <w:ind w:firstLine="720"/>
        <w:jc w:val="both"/>
      </w:pPr>
      <w:r>
        <w:t xml:space="preserve">Like </w:t>
      </w:r>
      <w:r w:rsidR="00C07F85">
        <w:t xml:space="preserve">most other </w:t>
      </w:r>
      <w:r w:rsidR="00B82EF6">
        <w:t>philosophers</w:t>
      </w:r>
      <w:r w:rsidR="00C07F85">
        <w:t xml:space="preserve"> writing on emission rights, I assume a broadly cosmopolitan account, treating the allocation of emission entitlements as a matter of distributive justice which ultimately derives from individuals’ equal moral standing.</w:t>
      </w:r>
      <w:r w:rsidR="00C07F85">
        <w:rPr>
          <w:rStyle w:val="FootnoteReference"/>
        </w:rPr>
        <w:footnoteReference w:id="6"/>
      </w:r>
      <w:r w:rsidR="00C07F85">
        <w:t xml:space="preserve"> Such an account is consistent with allocating emission rights to communities or countries for </w:t>
      </w:r>
      <w:r w:rsidR="00E15E16">
        <w:t>practical</w:t>
      </w:r>
      <w:r w:rsidR="00C07F85">
        <w:t xml:space="preserve"> reasons.</w:t>
      </w:r>
      <w:r w:rsidR="00C07F85">
        <w:rPr>
          <w:rStyle w:val="FootnoteReference"/>
        </w:rPr>
        <w:footnoteReference w:id="7"/>
      </w:r>
      <w:r w:rsidR="00F356C8">
        <w:t xml:space="preserve"> </w:t>
      </w:r>
      <w:r w:rsidR="000D1EEA">
        <w:t xml:space="preserve">Towards the end of the article I explain how, on this ground, moderate grandfathering can play a role in establishing the international allocation of emission entitlements </w:t>
      </w:r>
      <w:r w:rsidR="00480F8F">
        <w:t>(section VI).</w:t>
      </w:r>
    </w:p>
    <w:p w:rsidR="00153A46" w:rsidRDefault="00153A46" w:rsidP="006D1A15">
      <w:pPr>
        <w:spacing w:line="480" w:lineRule="auto"/>
        <w:jc w:val="both"/>
      </w:pPr>
    </w:p>
    <w:p w:rsidR="00E13772" w:rsidRDefault="00E07A79" w:rsidP="00E13772">
      <w:pPr>
        <w:spacing w:line="480" w:lineRule="auto"/>
        <w:jc w:val="both"/>
        <w:rPr>
          <w:b/>
        </w:rPr>
      </w:pPr>
      <w:r>
        <w:rPr>
          <w:b/>
        </w:rPr>
        <w:t>I</w:t>
      </w:r>
      <w:r w:rsidR="00E13772">
        <w:rPr>
          <w:b/>
        </w:rPr>
        <w:t xml:space="preserve">I. </w:t>
      </w:r>
      <w:r w:rsidR="00E3174C">
        <w:rPr>
          <w:b/>
        </w:rPr>
        <w:t>Utility</w:t>
      </w:r>
    </w:p>
    <w:p w:rsidR="00426FD7" w:rsidRPr="00E13772" w:rsidRDefault="008073FF" w:rsidP="00E13772">
      <w:pPr>
        <w:spacing w:line="480" w:lineRule="auto"/>
        <w:jc w:val="both"/>
        <w:rPr>
          <w:b/>
        </w:rPr>
      </w:pPr>
      <w:r w:rsidRPr="0008728A">
        <w:t>Several writers have described the apparent appeal of grandfathering as following from the difficulty that high emitters face in reducing their emissions. Tim Hayward suggests that grandfathering ‘</w:t>
      </w:r>
      <w:r w:rsidRPr="0008728A">
        <w:rPr>
          <w:rFonts w:ascii="AdvPS94BA" w:hAnsi="AdvPS94BA" w:cs="AdvPS94BA"/>
          <w:lang w:val="en-US" w:eastAsia="en-US"/>
        </w:rPr>
        <w:t xml:space="preserve">is justified by its proponents on the grounds that the high emitters are locked into their carbon dependence and that any attempt to reduce their emissions too abruptly would be catastrophic for </w:t>
      </w:r>
      <w:proofErr w:type="gramStart"/>
      <w:r w:rsidRPr="0008728A">
        <w:rPr>
          <w:rFonts w:ascii="AdvPS94BA" w:hAnsi="AdvPS94BA" w:cs="AdvPS94BA"/>
          <w:lang w:val="en-US" w:eastAsia="en-US"/>
        </w:rPr>
        <w:t>them,</w:t>
      </w:r>
      <w:proofErr w:type="gramEnd"/>
      <w:r w:rsidRPr="0008728A">
        <w:rPr>
          <w:rFonts w:ascii="AdvPS94BA" w:hAnsi="AdvPS94BA" w:cs="AdvPS94BA"/>
          <w:lang w:val="en-US" w:eastAsia="en-US"/>
        </w:rPr>
        <w:t xml:space="preserve"> and perhaps for the global economy as a whole</w:t>
      </w:r>
      <w:r w:rsidR="0008728A" w:rsidRPr="0008728A">
        <w:rPr>
          <w:rFonts w:ascii="AdvPS94BA" w:hAnsi="AdvPS94BA" w:cs="AdvPS94BA"/>
          <w:lang w:val="en-US" w:eastAsia="en-US"/>
        </w:rPr>
        <w:t>’</w:t>
      </w:r>
      <w:r w:rsidRPr="0008728A">
        <w:rPr>
          <w:rFonts w:ascii="AdvPS94BA" w:hAnsi="AdvPS94BA" w:cs="AdvPS94BA"/>
          <w:lang w:val="en-US" w:eastAsia="en-US"/>
        </w:rPr>
        <w:t>.</w:t>
      </w:r>
      <w:r w:rsidR="00AE04BE">
        <w:rPr>
          <w:rStyle w:val="FootnoteReference"/>
          <w:rFonts w:ascii="AdvPS94BA" w:hAnsi="AdvPS94BA" w:cs="AdvPS94BA"/>
          <w:lang w:val="en-US" w:eastAsia="en-US"/>
        </w:rPr>
        <w:footnoteReference w:id="8"/>
      </w:r>
      <w:r w:rsidR="0008728A">
        <w:rPr>
          <w:rFonts w:ascii="AdvPS94BA" w:hAnsi="AdvPS94BA" w:cs="AdvPS94BA"/>
          <w:lang w:val="en-US" w:eastAsia="en-US"/>
        </w:rPr>
        <w:t xml:space="preserve"> Clearly this is only part of a justification for grandfathering; aside from making good on the controversial empirical claims, </w:t>
      </w:r>
      <w:r w:rsidR="00AE04BE">
        <w:rPr>
          <w:rFonts w:ascii="AdvPS94BA" w:hAnsi="AdvPS94BA" w:cs="AdvPS94BA"/>
          <w:lang w:val="en-US" w:eastAsia="en-US"/>
        </w:rPr>
        <w:t>a principled explanation for why the (apparently) catastrophic effects of abrupt emissions reductions</w:t>
      </w:r>
      <w:r w:rsidR="0008728A">
        <w:rPr>
          <w:rFonts w:ascii="AdvPS94BA" w:hAnsi="AdvPS94BA" w:cs="AdvPS94BA"/>
          <w:lang w:val="en-US" w:eastAsia="en-US"/>
        </w:rPr>
        <w:t xml:space="preserve"> </w:t>
      </w:r>
      <w:r w:rsidR="00426FD7">
        <w:rPr>
          <w:rFonts w:ascii="AdvPS94BA" w:hAnsi="AdvPS94BA" w:cs="AdvPS94BA"/>
          <w:lang w:val="en-US" w:eastAsia="en-US"/>
        </w:rPr>
        <w:t xml:space="preserve">would </w:t>
      </w:r>
      <w:r w:rsidR="00AE04BE">
        <w:rPr>
          <w:rFonts w:ascii="AdvPS94BA" w:hAnsi="AdvPS94BA" w:cs="AdvPS94BA"/>
          <w:lang w:val="en-US" w:eastAsia="en-US"/>
        </w:rPr>
        <w:t>legitimate less radical reductions is needed</w:t>
      </w:r>
      <w:r w:rsidR="00426FD7">
        <w:rPr>
          <w:rFonts w:ascii="AdvPS94BA" w:hAnsi="AdvPS94BA" w:cs="AdvPS94BA"/>
          <w:lang w:val="en-US" w:eastAsia="en-US"/>
        </w:rPr>
        <w:t xml:space="preserve">. This </w:t>
      </w:r>
      <w:r w:rsidR="00426FD7" w:rsidRPr="00426FD7">
        <w:rPr>
          <w:rFonts w:ascii="AdvPS94BA" w:hAnsi="AdvPS94BA" w:cs="AdvPS94BA"/>
          <w:lang w:val="en-US" w:eastAsia="en-US"/>
        </w:rPr>
        <w:t>explanation is needed because</w:t>
      </w:r>
      <w:r w:rsidR="00AE04BE" w:rsidRPr="00426FD7">
        <w:rPr>
          <w:rFonts w:ascii="AdvPS94BA" w:hAnsi="AdvPS94BA" w:cs="AdvPS94BA"/>
          <w:lang w:val="en-US" w:eastAsia="en-US"/>
        </w:rPr>
        <w:t xml:space="preserve"> lesser reductions will, plausibly, create catastrophic effects of their own,</w:t>
      </w:r>
      <w:r w:rsidR="00F2671B">
        <w:rPr>
          <w:rFonts w:ascii="AdvPS94BA" w:hAnsi="AdvPS94BA" w:cs="AdvPS94BA"/>
          <w:lang w:val="en-US" w:eastAsia="en-US"/>
        </w:rPr>
        <w:t xml:space="preserve"> and we need some way of comparing these costs</w:t>
      </w:r>
      <w:r w:rsidR="00F82C28">
        <w:rPr>
          <w:rFonts w:ascii="AdvPS94BA" w:hAnsi="AdvPS94BA" w:cs="AdvPS94BA"/>
          <w:lang w:val="en-US" w:eastAsia="en-US"/>
        </w:rPr>
        <w:t>.</w:t>
      </w:r>
    </w:p>
    <w:p w:rsidR="001D3846" w:rsidRDefault="00426FD7" w:rsidP="00594253">
      <w:pPr>
        <w:autoSpaceDE w:val="0"/>
        <w:autoSpaceDN w:val="0"/>
        <w:adjustRightInd w:val="0"/>
        <w:spacing w:line="480" w:lineRule="auto"/>
        <w:ind w:firstLine="720"/>
        <w:jc w:val="both"/>
        <w:rPr>
          <w:lang w:val="en-US" w:eastAsia="en-US"/>
        </w:rPr>
      </w:pPr>
      <w:r w:rsidRPr="001A5D65">
        <w:rPr>
          <w:lang w:val="en-US" w:eastAsia="en-US"/>
        </w:rPr>
        <w:lastRenderedPageBreak/>
        <w:t>The</w:t>
      </w:r>
      <w:r w:rsidR="0008728A" w:rsidRPr="001A5D65">
        <w:rPr>
          <w:lang w:val="en-US" w:eastAsia="en-US"/>
        </w:rPr>
        <w:t xml:space="preserve"> proto-argument </w:t>
      </w:r>
      <w:r w:rsidRPr="001A5D65">
        <w:rPr>
          <w:lang w:val="en-US" w:eastAsia="en-US"/>
        </w:rPr>
        <w:t xml:space="preserve">for grandfathering </w:t>
      </w:r>
      <w:r w:rsidR="0008728A" w:rsidRPr="001A5D65">
        <w:rPr>
          <w:lang w:val="en-US" w:eastAsia="en-US"/>
        </w:rPr>
        <w:t xml:space="preserve">is developed </w:t>
      </w:r>
      <w:r w:rsidR="00AE04BE" w:rsidRPr="001A5D65">
        <w:rPr>
          <w:lang w:val="en-US" w:eastAsia="en-US"/>
        </w:rPr>
        <w:t xml:space="preserve">further by </w:t>
      </w:r>
      <w:r w:rsidRPr="001A5D65">
        <w:rPr>
          <w:lang w:val="en-US" w:eastAsia="en-US"/>
        </w:rPr>
        <w:t>Wesley and Peterson</w:t>
      </w:r>
      <w:r w:rsidR="006B28E8">
        <w:rPr>
          <w:lang w:val="en-US" w:eastAsia="en-US"/>
        </w:rPr>
        <w:t xml:space="preserve"> by bringing</w:t>
      </w:r>
      <w:r w:rsidRPr="001A5D65">
        <w:rPr>
          <w:lang w:val="en-US" w:eastAsia="en-US"/>
        </w:rPr>
        <w:t xml:space="preserve"> </w:t>
      </w:r>
      <w:r w:rsidR="008C3F12">
        <w:rPr>
          <w:lang w:val="en-US" w:eastAsia="en-US"/>
        </w:rPr>
        <w:t xml:space="preserve">in </w:t>
      </w:r>
      <w:r w:rsidRPr="00E3174C">
        <w:rPr>
          <w:i/>
          <w:lang w:val="en-US" w:eastAsia="en-US"/>
        </w:rPr>
        <w:t>utilitarian</w:t>
      </w:r>
      <w:r w:rsidR="00E3174C" w:rsidRPr="00E3174C">
        <w:rPr>
          <w:i/>
          <w:lang w:val="en-US" w:eastAsia="en-US"/>
        </w:rPr>
        <w:t>ism</w:t>
      </w:r>
      <w:r w:rsidRPr="00E3174C">
        <w:rPr>
          <w:i/>
          <w:lang w:val="en-US" w:eastAsia="en-US"/>
        </w:rPr>
        <w:t>.</w:t>
      </w:r>
      <w:r w:rsidRPr="00EE0BA0">
        <w:rPr>
          <w:lang w:val="en-US" w:eastAsia="en-US"/>
        </w:rPr>
        <w:t xml:space="preserve"> As they note, ‘people in industrialized countries have developed life plans on the expectation that they would be able to carry out certain activities, such as driving around in automobiles, that may even be necessary for normal functioning in the societies in which they live’.</w:t>
      </w:r>
      <w:r w:rsidRPr="00EE0BA0">
        <w:rPr>
          <w:rStyle w:val="FootnoteReference"/>
          <w:lang w:val="en-US" w:eastAsia="en-US"/>
        </w:rPr>
        <w:footnoteReference w:id="9"/>
      </w:r>
      <w:r w:rsidRPr="00EE0BA0">
        <w:rPr>
          <w:lang w:val="en-US" w:eastAsia="en-US"/>
        </w:rPr>
        <w:t xml:space="preserve"> Were </w:t>
      </w:r>
      <w:r w:rsidR="006B28E8" w:rsidRPr="00EE0BA0">
        <w:rPr>
          <w:lang w:val="en-US" w:eastAsia="en-US"/>
        </w:rPr>
        <w:t xml:space="preserve">severe </w:t>
      </w:r>
      <w:r w:rsidR="001A5D65" w:rsidRPr="00EE0BA0">
        <w:rPr>
          <w:lang w:val="en-US" w:eastAsia="en-US"/>
        </w:rPr>
        <w:t>emissions</w:t>
      </w:r>
      <w:r w:rsidRPr="00EE0BA0">
        <w:rPr>
          <w:lang w:val="en-US" w:eastAsia="en-US"/>
        </w:rPr>
        <w:t xml:space="preserve"> reductions brought in, a ‘great loss in utility in the industrialized countries could be thought to stem from the violation of individuals’ legitimate </w:t>
      </w:r>
      <w:proofErr w:type="gramStart"/>
      <w:r w:rsidRPr="00EE0BA0">
        <w:rPr>
          <w:lang w:val="en-US" w:eastAsia="en-US"/>
        </w:rPr>
        <w:t>expectations’.</w:t>
      </w:r>
      <w:proofErr w:type="gramEnd"/>
      <w:r w:rsidRPr="00EE0BA0">
        <w:rPr>
          <w:rStyle w:val="FootnoteReference"/>
          <w:lang w:val="en-US" w:eastAsia="en-US"/>
        </w:rPr>
        <w:footnoteReference w:id="10"/>
      </w:r>
      <w:r w:rsidR="001A5D65" w:rsidRPr="00EE0BA0">
        <w:rPr>
          <w:lang w:val="en-US" w:eastAsia="en-US"/>
        </w:rPr>
        <w:t xml:space="preserve"> </w:t>
      </w:r>
      <w:r w:rsidR="006B28E8" w:rsidRPr="00EE0BA0">
        <w:rPr>
          <w:lang w:val="en-US" w:eastAsia="en-US"/>
        </w:rPr>
        <w:t>As poor countries do not have a similar dependence on emissions, they would</w:t>
      </w:r>
      <w:r w:rsidR="00F2671B">
        <w:rPr>
          <w:lang w:val="en-US" w:eastAsia="en-US"/>
        </w:rPr>
        <w:t xml:space="preserve"> be less vulnerable to emission</w:t>
      </w:r>
      <w:r w:rsidR="006B28E8" w:rsidRPr="00EE0BA0">
        <w:rPr>
          <w:lang w:val="en-US" w:eastAsia="en-US"/>
        </w:rPr>
        <w:t xml:space="preserve"> limits. </w:t>
      </w:r>
    </w:p>
    <w:p w:rsidR="00495668" w:rsidRDefault="001A5D65" w:rsidP="00594253">
      <w:pPr>
        <w:autoSpaceDE w:val="0"/>
        <w:autoSpaceDN w:val="0"/>
        <w:adjustRightInd w:val="0"/>
        <w:spacing w:line="480" w:lineRule="auto"/>
        <w:ind w:firstLine="720"/>
        <w:jc w:val="both"/>
        <w:rPr>
          <w:lang w:val="en-US" w:eastAsia="en-US"/>
        </w:rPr>
      </w:pPr>
      <w:r w:rsidRPr="00EE0BA0">
        <w:rPr>
          <w:lang w:val="en-US" w:eastAsia="en-US"/>
        </w:rPr>
        <w:t xml:space="preserve">However, </w:t>
      </w:r>
      <w:r w:rsidR="00545492">
        <w:rPr>
          <w:lang w:val="en-US" w:eastAsia="en-US"/>
        </w:rPr>
        <w:t xml:space="preserve">as </w:t>
      </w:r>
      <w:r w:rsidRPr="00EE0BA0">
        <w:rPr>
          <w:lang w:val="en-US" w:eastAsia="en-US"/>
        </w:rPr>
        <w:t xml:space="preserve">Wesley and Peterson </w:t>
      </w:r>
      <w:r w:rsidR="00B82EF6">
        <w:rPr>
          <w:lang w:val="en-US" w:eastAsia="en-US"/>
        </w:rPr>
        <w:t>observe</w:t>
      </w:r>
      <w:r w:rsidR="00545492">
        <w:rPr>
          <w:lang w:val="en-US" w:eastAsia="en-US"/>
        </w:rPr>
        <w:t xml:space="preserve">, </w:t>
      </w:r>
      <w:r w:rsidRPr="00EE0BA0">
        <w:rPr>
          <w:lang w:val="en-US" w:eastAsia="en-US"/>
        </w:rPr>
        <w:t>this argument is not empiri</w:t>
      </w:r>
      <w:r w:rsidR="006B28E8" w:rsidRPr="00EE0BA0">
        <w:rPr>
          <w:lang w:val="en-US" w:eastAsia="en-US"/>
        </w:rPr>
        <w:t xml:space="preserve">cally </w:t>
      </w:r>
      <w:r w:rsidR="00DE1215">
        <w:rPr>
          <w:lang w:val="en-US" w:eastAsia="en-US"/>
        </w:rPr>
        <w:t>credible</w:t>
      </w:r>
      <w:r w:rsidR="006B28E8" w:rsidRPr="00EE0BA0">
        <w:rPr>
          <w:lang w:val="en-US" w:eastAsia="en-US"/>
        </w:rPr>
        <w:t xml:space="preserve">. </w:t>
      </w:r>
      <w:r w:rsidR="00DB614E">
        <w:rPr>
          <w:lang w:val="en-US" w:eastAsia="en-US"/>
        </w:rPr>
        <w:t>E</w:t>
      </w:r>
      <w:r w:rsidRPr="00EE0BA0">
        <w:rPr>
          <w:lang w:val="en-US" w:eastAsia="en-US"/>
        </w:rPr>
        <w:t>missions reductions in rich countries, in contrast to those in poor countries, typically concern luxuries.</w:t>
      </w:r>
      <w:r w:rsidRPr="00EE0BA0">
        <w:rPr>
          <w:rStyle w:val="FootnoteReference"/>
          <w:lang w:val="en-US" w:eastAsia="en-US"/>
        </w:rPr>
        <w:footnoteReference w:id="11"/>
      </w:r>
      <w:r w:rsidRPr="00EE0BA0">
        <w:rPr>
          <w:lang w:val="en-US" w:eastAsia="en-US"/>
        </w:rPr>
        <w:t xml:space="preserve"> It is not very plausible that the loss of luxuries in the rich world could constitute a graver catastrophe</w:t>
      </w:r>
      <w:r w:rsidR="006B28E8" w:rsidRPr="00EE0BA0">
        <w:rPr>
          <w:lang w:val="en-US" w:eastAsia="en-US"/>
        </w:rPr>
        <w:t xml:space="preserve"> in utilitarian terms</w:t>
      </w:r>
      <w:r w:rsidRPr="00EE0BA0">
        <w:rPr>
          <w:lang w:val="en-US" w:eastAsia="en-US"/>
        </w:rPr>
        <w:t xml:space="preserve"> than the </w:t>
      </w:r>
      <w:r w:rsidR="006B28E8" w:rsidRPr="00EE0BA0">
        <w:rPr>
          <w:lang w:val="en-US" w:eastAsia="en-US"/>
        </w:rPr>
        <w:t>loss of necessities in</w:t>
      </w:r>
      <w:r w:rsidRPr="00EE0BA0">
        <w:rPr>
          <w:lang w:val="en-US" w:eastAsia="en-US"/>
        </w:rPr>
        <w:t xml:space="preserve"> developing countries</w:t>
      </w:r>
      <w:r w:rsidR="006B28E8" w:rsidRPr="00EE0BA0">
        <w:rPr>
          <w:lang w:val="en-US" w:eastAsia="en-US"/>
        </w:rPr>
        <w:t>,</w:t>
      </w:r>
      <w:r w:rsidR="00F2671B">
        <w:rPr>
          <w:lang w:val="en-US" w:eastAsia="en-US"/>
        </w:rPr>
        <w:t xml:space="preserve"> either resulting from emission</w:t>
      </w:r>
      <w:r w:rsidR="006B28E8" w:rsidRPr="00EE0BA0">
        <w:rPr>
          <w:lang w:val="en-US" w:eastAsia="en-US"/>
        </w:rPr>
        <w:t xml:space="preserve"> constraints or from climate change itself</w:t>
      </w:r>
      <w:r w:rsidRPr="00EE0BA0">
        <w:rPr>
          <w:lang w:val="en-US" w:eastAsia="en-US"/>
        </w:rPr>
        <w:t>.</w:t>
      </w:r>
    </w:p>
    <w:p w:rsidR="00E75DE1" w:rsidRDefault="007A1BA6" w:rsidP="00362C42">
      <w:pPr>
        <w:autoSpaceDE w:val="0"/>
        <w:autoSpaceDN w:val="0"/>
        <w:adjustRightInd w:val="0"/>
        <w:spacing w:line="480" w:lineRule="auto"/>
        <w:ind w:firstLine="720"/>
        <w:jc w:val="both"/>
        <w:rPr>
          <w:lang w:val="en-US" w:eastAsia="en-US"/>
        </w:rPr>
      </w:pPr>
      <w:r>
        <w:rPr>
          <w:lang w:val="en-US" w:eastAsia="en-US"/>
        </w:rPr>
        <w:t>T</w:t>
      </w:r>
      <w:r w:rsidR="00E75DE1">
        <w:rPr>
          <w:lang w:val="en-US" w:eastAsia="en-US"/>
        </w:rPr>
        <w:t>he key move in generating a successful ar</w:t>
      </w:r>
      <w:r w:rsidR="00545492">
        <w:rPr>
          <w:lang w:val="en-US" w:eastAsia="en-US"/>
        </w:rPr>
        <w:t xml:space="preserve">gument for grandfathering </w:t>
      </w:r>
      <w:r w:rsidR="007C7B3B">
        <w:rPr>
          <w:lang w:val="en-US" w:eastAsia="en-US"/>
        </w:rPr>
        <w:t xml:space="preserve">is to reposition the considerations appealed to by the proto-argument as pro </w:t>
      </w:r>
      <w:proofErr w:type="spellStart"/>
      <w:r w:rsidR="007C7B3B">
        <w:rPr>
          <w:lang w:val="en-US" w:eastAsia="en-US"/>
        </w:rPr>
        <w:t>tanto</w:t>
      </w:r>
      <w:proofErr w:type="spellEnd"/>
      <w:r w:rsidR="007C7B3B">
        <w:rPr>
          <w:lang w:val="en-US" w:eastAsia="en-US"/>
        </w:rPr>
        <w:t xml:space="preserve"> considerations. </w:t>
      </w:r>
      <w:r w:rsidR="00B53FAF">
        <w:rPr>
          <w:lang w:val="en-US" w:eastAsia="en-US"/>
        </w:rPr>
        <w:t>So th</w:t>
      </w:r>
      <w:r w:rsidR="00BC4625">
        <w:rPr>
          <w:lang w:val="en-US" w:eastAsia="en-US"/>
        </w:rPr>
        <w:t xml:space="preserve">e </w:t>
      </w:r>
      <w:r w:rsidR="00270484">
        <w:rPr>
          <w:lang w:val="en-US" w:eastAsia="en-US"/>
        </w:rPr>
        <w:t>reply to t</w:t>
      </w:r>
      <w:r w:rsidR="006339CB">
        <w:rPr>
          <w:lang w:val="en-US" w:eastAsia="en-US"/>
        </w:rPr>
        <w:t>hose</w:t>
      </w:r>
      <w:r w:rsidR="00B53FAF">
        <w:rPr>
          <w:rStyle w:val="FootnoteReference"/>
          <w:lang w:val="en-US" w:eastAsia="en-US"/>
        </w:rPr>
        <w:footnoteReference w:id="12"/>
      </w:r>
      <w:r w:rsidR="006339CB">
        <w:rPr>
          <w:lang w:val="en-US" w:eastAsia="en-US"/>
        </w:rPr>
        <w:t xml:space="preserve"> </w:t>
      </w:r>
      <w:r w:rsidR="00BC4625">
        <w:rPr>
          <w:lang w:val="en-US" w:eastAsia="en-US"/>
        </w:rPr>
        <w:t xml:space="preserve">who object that grandfathering </w:t>
      </w:r>
      <w:r w:rsidR="00270484">
        <w:rPr>
          <w:lang w:val="en-US" w:eastAsia="en-US"/>
        </w:rPr>
        <w:t xml:space="preserve">rewards rich polluters by giving them huge emission rights and </w:t>
      </w:r>
      <w:r w:rsidR="00BC4625">
        <w:rPr>
          <w:lang w:val="en-US" w:eastAsia="en-US"/>
        </w:rPr>
        <w:t xml:space="preserve">harms the </w:t>
      </w:r>
      <w:r w:rsidR="00A76E94">
        <w:rPr>
          <w:lang w:val="en-US" w:eastAsia="en-US"/>
        </w:rPr>
        <w:t>non-polluting</w:t>
      </w:r>
      <w:r w:rsidR="00BC4625">
        <w:rPr>
          <w:lang w:val="en-US" w:eastAsia="en-US"/>
        </w:rPr>
        <w:t xml:space="preserve"> poor </w:t>
      </w:r>
      <w:r w:rsidR="00C53B96">
        <w:rPr>
          <w:lang w:val="en-US" w:eastAsia="en-US"/>
        </w:rPr>
        <w:t>by giving them minimal emission rights is that grandfathering</w:t>
      </w:r>
      <w:r w:rsidR="00235AFD">
        <w:rPr>
          <w:lang w:val="en-US" w:eastAsia="en-US"/>
        </w:rPr>
        <w:t xml:space="preserve"> need not do </w:t>
      </w:r>
      <w:r w:rsidR="000E60CF">
        <w:rPr>
          <w:lang w:val="en-US" w:eastAsia="en-US"/>
        </w:rPr>
        <w:t>n</w:t>
      </w:r>
      <w:r w:rsidR="00BC4625">
        <w:rPr>
          <w:lang w:val="en-US" w:eastAsia="en-US"/>
        </w:rPr>
        <w:t xml:space="preserve">either. </w:t>
      </w:r>
      <w:r w:rsidR="00B53FAF">
        <w:rPr>
          <w:lang w:val="en-US" w:eastAsia="en-US"/>
        </w:rPr>
        <w:t xml:space="preserve">It may </w:t>
      </w:r>
      <w:r w:rsidR="00B53FAF">
        <w:rPr>
          <w:lang w:val="en-US" w:eastAsia="en-US"/>
        </w:rPr>
        <w:lastRenderedPageBreak/>
        <w:t>be that on account of countervailing factors high emitters</w:t>
      </w:r>
      <w:r w:rsidR="00BC4625">
        <w:rPr>
          <w:lang w:val="en-US" w:eastAsia="en-US"/>
        </w:rPr>
        <w:t xml:space="preserve"> </w:t>
      </w:r>
      <w:r w:rsidR="00B53FAF">
        <w:rPr>
          <w:lang w:val="en-US" w:eastAsia="en-US"/>
        </w:rPr>
        <w:t xml:space="preserve">get </w:t>
      </w:r>
      <w:r w:rsidR="00BC4625">
        <w:rPr>
          <w:lang w:val="en-US" w:eastAsia="en-US"/>
        </w:rPr>
        <w:t xml:space="preserve">no more than </w:t>
      </w:r>
      <w:r w:rsidR="00B53FAF">
        <w:rPr>
          <w:lang w:val="en-US" w:eastAsia="en-US"/>
        </w:rPr>
        <w:t>low emitters</w:t>
      </w:r>
      <w:r w:rsidR="00BC4625">
        <w:rPr>
          <w:lang w:val="en-US" w:eastAsia="en-US"/>
        </w:rPr>
        <w:t>.</w:t>
      </w:r>
    </w:p>
    <w:p w:rsidR="006B28E8" w:rsidRDefault="00E75DE1" w:rsidP="00594253">
      <w:pPr>
        <w:autoSpaceDE w:val="0"/>
        <w:autoSpaceDN w:val="0"/>
        <w:adjustRightInd w:val="0"/>
        <w:spacing w:line="480" w:lineRule="auto"/>
        <w:ind w:firstLine="720"/>
        <w:jc w:val="both"/>
        <w:rPr>
          <w:lang w:val="en-US" w:eastAsia="en-US"/>
        </w:rPr>
      </w:pPr>
      <w:proofErr w:type="gramStart"/>
      <w:r>
        <w:rPr>
          <w:lang w:val="en-US" w:eastAsia="en-US"/>
        </w:rPr>
        <w:t>To see this first reconsider utilitarianism.</w:t>
      </w:r>
      <w:proofErr w:type="gramEnd"/>
      <w:r>
        <w:rPr>
          <w:lang w:val="en-US" w:eastAsia="en-US"/>
        </w:rPr>
        <w:t xml:space="preserve"> </w:t>
      </w:r>
      <w:r w:rsidR="000E60CF">
        <w:rPr>
          <w:lang w:val="en-US" w:eastAsia="en-US"/>
        </w:rPr>
        <w:t>S</w:t>
      </w:r>
      <w:r w:rsidR="00AE4C6B">
        <w:rPr>
          <w:lang w:val="en-US" w:eastAsia="en-US"/>
        </w:rPr>
        <w:t xml:space="preserve">ome account should be taken by </w:t>
      </w:r>
      <w:r w:rsidR="00417E5A">
        <w:rPr>
          <w:lang w:val="en-US" w:eastAsia="en-US"/>
        </w:rPr>
        <w:t>utilitarianism of the transition</w:t>
      </w:r>
      <w:r w:rsidR="00AE4C6B">
        <w:rPr>
          <w:lang w:val="en-US" w:eastAsia="en-US"/>
        </w:rPr>
        <w:t xml:space="preserve"> costs suffered by historically high emitters</w:t>
      </w:r>
      <w:r w:rsidR="00EE2964">
        <w:rPr>
          <w:lang w:val="en-US" w:eastAsia="en-US"/>
        </w:rPr>
        <w:t>. B</w:t>
      </w:r>
      <w:r w:rsidR="00AE4C6B">
        <w:rPr>
          <w:lang w:val="en-US" w:eastAsia="en-US"/>
        </w:rPr>
        <w:t xml:space="preserve">ut that </w:t>
      </w:r>
      <w:r w:rsidR="00AA52F3">
        <w:rPr>
          <w:lang w:val="en-US" w:eastAsia="en-US"/>
        </w:rPr>
        <w:t>could not justify an above average level of</w:t>
      </w:r>
      <w:r w:rsidR="00381030">
        <w:rPr>
          <w:lang w:val="en-US" w:eastAsia="en-US"/>
        </w:rPr>
        <w:t xml:space="preserve"> resources, including</w:t>
      </w:r>
      <w:r w:rsidR="00AA52F3">
        <w:rPr>
          <w:lang w:val="en-US" w:eastAsia="en-US"/>
        </w:rPr>
        <w:t xml:space="preserve"> emissions rights</w:t>
      </w:r>
      <w:r w:rsidR="00381030">
        <w:rPr>
          <w:lang w:val="en-US" w:eastAsia="en-US"/>
        </w:rPr>
        <w:t>,</w:t>
      </w:r>
      <w:r w:rsidR="00620306">
        <w:rPr>
          <w:lang w:val="en-US" w:eastAsia="en-US"/>
        </w:rPr>
        <w:t xml:space="preserve"> as there is a</w:t>
      </w:r>
      <w:r w:rsidR="00AE4C6B">
        <w:rPr>
          <w:lang w:val="en-US" w:eastAsia="en-US"/>
        </w:rPr>
        <w:t xml:space="preserve"> powerful countervail</w:t>
      </w:r>
      <w:r w:rsidR="00620306">
        <w:rPr>
          <w:lang w:val="en-US" w:eastAsia="en-US"/>
        </w:rPr>
        <w:t xml:space="preserve">ing consideration. This is the fact that historically high emitters are </w:t>
      </w:r>
      <w:r w:rsidR="00620306" w:rsidRPr="00620306">
        <w:rPr>
          <w:i/>
          <w:lang w:val="en-US" w:eastAsia="en-US"/>
        </w:rPr>
        <w:t>in general</w:t>
      </w:r>
      <w:r w:rsidR="00620306">
        <w:rPr>
          <w:lang w:val="en-US" w:eastAsia="en-US"/>
        </w:rPr>
        <w:t xml:space="preserve"> inefficient converters of resources into utility. As historically high emitters will</w:t>
      </w:r>
      <w:r w:rsidR="00B53FAF">
        <w:rPr>
          <w:lang w:val="en-US" w:eastAsia="en-US"/>
        </w:rPr>
        <w:t xml:space="preserve"> generally</w:t>
      </w:r>
      <w:r w:rsidR="00620306">
        <w:rPr>
          <w:lang w:val="en-US" w:eastAsia="en-US"/>
        </w:rPr>
        <w:t>, for the foreseeable future, live in rich</w:t>
      </w:r>
      <w:r w:rsidR="00F567D0">
        <w:rPr>
          <w:lang w:val="en-US" w:eastAsia="en-US"/>
        </w:rPr>
        <w:t>er</w:t>
      </w:r>
      <w:r w:rsidR="00620306">
        <w:rPr>
          <w:lang w:val="en-US" w:eastAsia="en-US"/>
        </w:rPr>
        <w:t xml:space="preserve"> countries, a dollar </w:t>
      </w:r>
      <w:r w:rsidR="00F567D0">
        <w:rPr>
          <w:lang w:val="en-US" w:eastAsia="en-US"/>
        </w:rPr>
        <w:t xml:space="preserve">(or an apple, or a bottle of water, or a medicine) </w:t>
      </w:r>
      <w:r w:rsidR="00620306">
        <w:rPr>
          <w:lang w:val="en-US" w:eastAsia="en-US"/>
        </w:rPr>
        <w:t xml:space="preserve">given to the typical high emitter will </w:t>
      </w:r>
      <w:r w:rsidR="00F567D0">
        <w:rPr>
          <w:lang w:val="en-US" w:eastAsia="en-US"/>
        </w:rPr>
        <w:t xml:space="preserve">yield </w:t>
      </w:r>
      <w:r w:rsidR="00620306">
        <w:rPr>
          <w:lang w:val="en-US" w:eastAsia="en-US"/>
        </w:rPr>
        <w:t xml:space="preserve">less utility than a dollar </w:t>
      </w:r>
      <w:r w:rsidR="00F567D0">
        <w:rPr>
          <w:lang w:val="en-US" w:eastAsia="en-US"/>
        </w:rPr>
        <w:t xml:space="preserve">(or other resource) </w:t>
      </w:r>
      <w:r w:rsidR="00620306">
        <w:rPr>
          <w:lang w:val="en-US" w:eastAsia="en-US"/>
        </w:rPr>
        <w:t xml:space="preserve">given to the typical low emitter. </w:t>
      </w:r>
      <w:r w:rsidR="007C230A">
        <w:rPr>
          <w:lang w:val="en-US" w:eastAsia="en-US"/>
        </w:rPr>
        <w:t>A resource has greater value to someone on, say, half of the global average income</w:t>
      </w:r>
      <w:r w:rsidR="00661740">
        <w:rPr>
          <w:lang w:val="en-US" w:eastAsia="en-US"/>
        </w:rPr>
        <w:t xml:space="preserve"> </w:t>
      </w:r>
      <w:r w:rsidR="007C230A">
        <w:rPr>
          <w:lang w:val="en-US" w:eastAsia="en-US"/>
        </w:rPr>
        <w:t xml:space="preserve">than it would to someone </w:t>
      </w:r>
      <w:r w:rsidR="00661740">
        <w:rPr>
          <w:lang w:val="en-US" w:eastAsia="en-US"/>
        </w:rPr>
        <w:t>on double the global average income</w:t>
      </w:r>
      <w:r w:rsidR="007C230A">
        <w:rPr>
          <w:lang w:val="en-US" w:eastAsia="en-US"/>
        </w:rPr>
        <w:t xml:space="preserve">. </w:t>
      </w:r>
      <w:r w:rsidR="00AA52F3">
        <w:rPr>
          <w:lang w:val="en-US" w:eastAsia="en-US"/>
        </w:rPr>
        <w:t>And of course, if we are working with the current massive global inequality, the opportu</w:t>
      </w:r>
      <w:r w:rsidR="00EE2964">
        <w:rPr>
          <w:lang w:val="en-US" w:eastAsia="en-US"/>
        </w:rPr>
        <w:t xml:space="preserve">nity cost of assigning </w:t>
      </w:r>
      <w:r w:rsidR="00381030">
        <w:rPr>
          <w:lang w:val="en-US" w:eastAsia="en-US"/>
        </w:rPr>
        <w:t>resources</w:t>
      </w:r>
      <w:r w:rsidR="00AA52F3">
        <w:rPr>
          <w:lang w:val="en-US" w:eastAsia="en-US"/>
        </w:rPr>
        <w:t xml:space="preserve"> to the rich is even higher. </w:t>
      </w:r>
      <w:r w:rsidR="007C230A">
        <w:rPr>
          <w:lang w:val="en-US" w:eastAsia="en-US"/>
        </w:rPr>
        <w:t>These considerations of</w:t>
      </w:r>
      <w:r w:rsidR="00620306">
        <w:rPr>
          <w:lang w:val="en-US" w:eastAsia="en-US"/>
        </w:rPr>
        <w:t xml:space="preserve"> diminishing marginal utility will be mitigated by the fact that in </w:t>
      </w:r>
      <w:r w:rsidR="00620306" w:rsidRPr="00620306">
        <w:rPr>
          <w:i/>
          <w:lang w:val="en-US" w:eastAsia="en-US"/>
        </w:rPr>
        <w:t>one</w:t>
      </w:r>
      <w:r w:rsidR="00620306">
        <w:rPr>
          <w:lang w:val="en-US" w:eastAsia="en-US"/>
        </w:rPr>
        <w:t xml:space="preserve"> class</w:t>
      </w:r>
      <w:r w:rsidR="00F567D0">
        <w:rPr>
          <w:lang w:val="en-US" w:eastAsia="en-US"/>
        </w:rPr>
        <w:t xml:space="preserve"> of resource </w:t>
      </w:r>
      <w:r w:rsidR="00574BE3">
        <w:rPr>
          <w:lang w:val="en-US" w:eastAsia="en-US"/>
        </w:rPr>
        <w:t>–</w:t>
      </w:r>
      <w:r w:rsidR="00F567D0">
        <w:rPr>
          <w:lang w:val="en-US" w:eastAsia="en-US"/>
        </w:rPr>
        <w:t xml:space="preserve"> emission</w:t>
      </w:r>
      <w:r w:rsidR="00574BE3">
        <w:rPr>
          <w:lang w:val="en-US" w:eastAsia="en-US"/>
        </w:rPr>
        <w:t xml:space="preserve"> </w:t>
      </w:r>
      <w:r w:rsidR="00F567D0">
        <w:rPr>
          <w:lang w:val="en-US" w:eastAsia="en-US"/>
        </w:rPr>
        <w:t>rights –</w:t>
      </w:r>
      <w:r w:rsidR="00620306">
        <w:rPr>
          <w:lang w:val="en-US" w:eastAsia="en-US"/>
        </w:rPr>
        <w:t xml:space="preserve"> </w:t>
      </w:r>
      <w:r w:rsidR="00F567D0">
        <w:rPr>
          <w:lang w:val="en-US" w:eastAsia="en-US"/>
        </w:rPr>
        <w:t>historically high emitters</w:t>
      </w:r>
      <w:r w:rsidR="00AA52F3">
        <w:rPr>
          <w:lang w:val="en-US" w:eastAsia="en-US"/>
        </w:rPr>
        <w:t xml:space="preserve"> will</w:t>
      </w:r>
      <w:r w:rsidR="00F567D0">
        <w:rPr>
          <w:lang w:val="en-US" w:eastAsia="en-US"/>
        </w:rPr>
        <w:t xml:space="preserve"> </w:t>
      </w:r>
      <w:r w:rsidR="00AA52F3">
        <w:rPr>
          <w:lang w:val="en-US" w:eastAsia="en-US"/>
        </w:rPr>
        <w:t>benefit in one regar</w:t>
      </w:r>
      <w:r w:rsidR="00417E5A">
        <w:rPr>
          <w:lang w:val="en-US" w:eastAsia="en-US"/>
        </w:rPr>
        <w:t>d (absence of painful transition</w:t>
      </w:r>
      <w:r w:rsidR="00AA52F3">
        <w:rPr>
          <w:lang w:val="en-US" w:eastAsia="en-US"/>
        </w:rPr>
        <w:t xml:space="preserve"> costs) that</w:t>
      </w:r>
      <w:r w:rsidR="00F567D0">
        <w:rPr>
          <w:lang w:val="en-US" w:eastAsia="en-US"/>
        </w:rPr>
        <w:t xml:space="preserve"> low emitters </w:t>
      </w:r>
      <w:r w:rsidR="00AA52F3">
        <w:rPr>
          <w:lang w:val="en-US" w:eastAsia="en-US"/>
        </w:rPr>
        <w:t xml:space="preserve">will not </w:t>
      </w:r>
      <w:r w:rsidR="00F567D0">
        <w:rPr>
          <w:lang w:val="en-US" w:eastAsia="en-US"/>
        </w:rPr>
        <w:t xml:space="preserve">from </w:t>
      </w:r>
      <w:r w:rsidR="00F05CFA">
        <w:rPr>
          <w:lang w:val="en-US" w:eastAsia="en-US"/>
        </w:rPr>
        <w:t>a given level of the resource</w:t>
      </w:r>
      <w:r w:rsidR="007C230A">
        <w:rPr>
          <w:lang w:val="en-US" w:eastAsia="en-US"/>
        </w:rPr>
        <w:t>.</w:t>
      </w:r>
      <w:r w:rsidR="00F567D0">
        <w:rPr>
          <w:lang w:val="en-US" w:eastAsia="en-US"/>
        </w:rPr>
        <w:t xml:space="preserve"> </w:t>
      </w:r>
      <w:r w:rsidR="007C230A">
        <w:rPr>
          <w:lang w:val="en-US" w:eastAsia="en-US"/>
        </w:rPr>
        <w:t>B</w:t>
      </w:r>
      <w:r w:rsidR="00F567D0">
        <w:rPr>
          <w:lang w:val="en-US" w:eastAsia="en-US"/>
        </w:rPr>
        <w:t>ut that is not enough to overturn the opposed effects in all or virtually all other classes of resources</w:t>
      </w:r>
      <w:r w:rsidR="00620306">
        <w:rPr>
          <w:lang w:val="en-US" w:eastAsia="en-US"/>
        </w:rPr>
        <w:t>.</w:t>
      </w:r>
      <w:r w:rsidR="00F567D0">
        <w:rPr>
          <w:lang w:val="en-US" w:eastAsia="en-US"/>
        </w:rPr>
        <w:t xml:space="preserve"> </w:t>
      </w:r>
      <w:r w:rsidR="007C230A">
        <w:rPr>
          <w:lang w:val="en-US" w:eastAsia="en-US"/>
        </w:rPr>
        <w:t xml:space="preserve">Utilitarianism thus does not suggest that </w:t>
      </w:r>
      <w:r w:rsidR="005D414E">
        <w:rPr>
          <w:lang w:val="en-US" w:eastAsia="en-US"/>
        </w:rPr>
        <w:t xml:space="preserve">available </w:t>
      </w:r>
      <w:r w:rsidR="007C230A">
        <w:rPr>
          <w:lang w:val="en-US" w:eastAsia="en-US"/>
        </w:rPr>
        <w:t>resources, such as emissions rights, are disproportionately allocated to</w:t>
      </w:r>
      <w:r w:rsidR="000E60CF">
        <w:rPr>
          <w:lang w:val="en-US" w:eastAsia="en-US"/>
        </w:rPr>
        <w:t xml:space="preserve"> high</w:t>
      </w:r>
      <w:r w:rsidR="007C230A">
        <w:rPr>
          <w:lang w:val="en-US" w:eastAsia="en-US"/>
        </w:rPr>
        <w:t xml:space="preserve"> emitters.</w:t>
      </w:r>
    </w:p>
    <w:p w:rsidR="00EE216B" w:rsidRDefault="00AA52F3" w:rsidP="00594253">
      <w:pPr>
        <w:autoSpaceDE w:val="0"/>
        <w:autoSpaceDN w:val="0"/>
        <w:adjustRightInd w:val="0"/>
        <w:spacing w:line="480" w:lineRule="auto"/>
        <w:ind w:firstLine="720"/>
        <w:jc w:val="both"/>
        <w:rPr>
          <w:lang w:val="en-US" w:eastAsia="en-US"/>
        </w:rPr>
      </w:pPr>
      <w:r>
        <w:rPr>
          <w:lang w:val="en-US" w:eastAsia="en-US"/>
        </w:rPr>
        <w:t xml:space="preserve">But none of this is sufficient to establish that utilitarianism does not support moderate grandfathering. </w:t>
      </w:r>
      <w:r w:rsidR="00661740">
        <w:rPr>
          <w:lang w:val="en-US" w:eastAsia="en-US"/>
        </w:rPr>
        <w:t>R</w:t>
      </w:r>
      <w:r>
        <w:rPr>
          <w:lang w:val="en-US" w:eastAsia="en-US"/>
        </w:rPr>
        <w:t>ich</w:t>
      </w:r>
      <w:r w:rsidR="00FB27F8">
        <w:rPr>
          <w:lang w:val="en-US" w:eastAsia="en-US"/>
        </w:rPr>
        <w:t xml:space="preserve"> countries</w:t>
      </w:r>
      <w:r>
        <w:rPr>
          <w:lang w:val="en-US" w:eastAsia="en-US"/>
        </w:rPr>
        <w:t xml:space="preserve"> would be due even fewer resources had they not been high emitters.</w:t>
      </w:r>
      <w:r w:rsidR="00FB27F8">
        <w:rPr>
          <w:lang w:val="en-US" w:eastAsia="en-US"/>
        </w:rPr>
        <w:t xml:space="preserve"> By illustration, consider two agent</w:t>
      </w:r>
      <w:r w:rsidR="00B15C6E">
        <w:rPr>
          <w:lang w:val="en-US" w:eastAsia="en-US"/>
        </w:rPr>
        <w:t xml:space="preserve">s (who may be </w:t>
      </w:r>
      <w:r w:rsidR="00FB27F8">
        <w:rPr>
          <w:lang w:val="en-US" w:eastAsia="en-US"/>
        </w:rPr>
        <w:t>individuals</w:t>
      </w:r>
      <w:r w:rsidR="00B15C6E">
        <w:rPr>
          <w:lang w:val="en-US" w:eastAsia="en-US"/>
        </w:rPr>
        <w:t xml:space="preserve"> or countries)</w:t>
      </w:r>
      <w:r w:rsidR="00FB27F8">
        <w:rPr>
          <w:lang w:val="en-US" w:eastAsia="en-US"/>
        </w:rPr>
        <w:t xml:space="preserve"> of</w:t>
      </w:r>
      <w:r w:rsidR="00661740">
        <w:rPr>
          <w:lang w:val="en-US" w:eastAsia="en-US"/>
        </w:rPr>
        <w:t xml:space="preserve"> </w:t>
      </w:r>
      <w:r w:rsidR="00B15C6E">
        <w:rPr>
          <w:lang w:val="en-US" w:eastAsia="en-US"/>
        </w:rPr>
        <w:t xml:space="preserve">an </w:t>
      </w:r>
      <w:r w:rsidR="00FB27F8">
        <w:rPr>
          <w:lang w:val="en-US" w:eastAsia="en-US"/>
        </w:rPr>
        <w:t>identical</w:t>
      </w:r>
      <w:r w:rsidR="00B15C6E">
        <w:rPr>
          <w:lang w:val="en-US" w:eastAsia="en-US"/>
        </w:rPr>
        <w:t>ly high level of wealth. One of our agents, High, is a historically high emitter, but the other, Low</w:t>
      </w:r>
      <w:r w:rsidR="00887302">
        <w:rPr>
          <w:lang w:val="en-US" w:eastAsia="en-US"/>
        </w:rPr>
        <w:t>, has, unusually, acquired her</w:t>
      </w:r>
      <w:r w:rsidR="00B15C6E">
        <w:rPr>
          <w:lang w:val="en-US" w:eastAsia="en-US"/>
        </w:rPr>
        <w:t xml:space="preserve"> wealth </w:t>
      </w:r>
      <w:r w:rsidR="00B15C6E">
        <w:rPr>
          <w:lang w:val="en-US" w:eastAsia="en-US"/>
        </w:rPr>
        <w:lastRenderedPageBreak/>
        <w:t xml:space="preserve">through low emissions. Other than the effects on their </w:t>
      </w:r>
      <w:r w:rsidR="00096227">
        <w:rPr>
          <w:lang w:val="en-US" w:eastAsia="en-US"/>
        </w:rPr>
        <w:t xml:space="preserve">productive processes and </w:t>
      </w:r>
      <w:r w:rsidR="00B15C6E">
        <w:rPr>
          <w:lang w:val="en-US" w:eastAsia="en-US"/>
        </w:rPr>
        <w:t>preferences of their respective emissions levels their circumstances are identical</w:t>
      </w:r>
      <w:r w:rsidR="00661740">
        <w:rPr>
          <w:lang w:val="en-US" w:eastAsia="en-US"/>
        </w:rPr>
        <w:t>.</w:t>
      </w:r>
      <w:r w:rsidR="00B15C6E">
        <w:rPr>
          <w:lang w:val="en-US" w:eastAsia="en-US"/>
        </w:rPr>
        <w:t xml:space="preserve"> </w:t>
      </w:r>
    </w:p>
    <w:p w:rsidR="00887302" w:rsidRDefault="00B15C6E" w:rsidP="00661740">
      <w:pPr>
        <w:autoSpaceDE w:val="0"/>
        <w:autoSpaceDN w:val="0"/>
        <w:adjustRightInd w:val="0"/>
        <w:spacing w:line="480" w:lineRule="auto"/>
        <w:ind w:firstLine="720"/>
        <w:jc w:val="both"/>
        <w:rPr>
          <w:lang w:val="en-US" w:eastAsia="en-US"/>
        </w:rPr>
      </w:pPr>
      <w:r>
        <w:rPr>
          <w:lang w:val="en-US" w:eastAsia="en-US"/>
        </w:rPr>
        <w:t>When de</w:t>
      </w:r>
      <w:r w:rsidR="009A02C4">
        <w:rPr>
          <w:lang w:val="en-US" w:eastAsia="en-US"/>
        </w:rPr>
        <w:t>ciding how to allocate a fixed reduction in emissions</w:t>
      </w:r>
      <w:r>
        <w:rPr>
          <w:lang w:val="en-US" w:eastAsia="en-US"/>
        </w:rPr>
        <w:t xml:space="preserve"> between these two agents, it seems clear that the utilitarian will assign greater emissions rights to High than to Low.</w:t>
      </w:r>
      <w:r w:rsidR="00021F88">
        <w:rPr>
          <w:rStyle w:val="FootnoteReference"/>
          <w:lang w:val="en-US" w:eastAsia="en-US"/>
        </w:rPr>
        <w:footnoteReference w:id="13"/>
      </w:r>
      <w:r>
        <w:rPr>
          <w:lang w:val="en-US" w:eastAsia="en-US"/>
        </w:rPr>
        <w:t xml:space="preserve"> </w:t>
      </w:r>
      <w:r w:rsidR="00315C8A">
        <w:rPr>
          <w:lang w:val="en-US" w:eastAsia="en-US"/>
        </w:rPr>
        <w:t>Suppose, for example</w:t>
      </w:r>
      <w:r w:rsidR="00F127C0">
        <w:rPr>
          <w:lang w:val="en-US" w:eastAsia="en-US"/>
        </w:rPr>
        <w:t xml:space="preserve">, that High emits </w:t>
      </w:r>
      <w:r w:rsidR="00661740">
        <w:rPr>
          <w:lang w:val="en-US" w:eastAsia="en-US"/>
        </w:rPr>
        <w:t>10</w:t>
      </w:r>
      <w:r w:rsidR="00F127C0">
        <w:rPr>
          <w:lang w:val="en-US" w:eastAsia="en-US"/>
        </w:rPr>
        <w:t xml:space="preserve"> </w:t>
      </w:r>
      <w:proofErr w:type="spellStart"/>
      <w:r w:rsidR="00F127C0">
        <w:rPr>
          <w:lang w:val="en-US" w:eastAsia="en-US"/>
        </w:rPr>
        <w:t>tonnes</w:t>
      </w:r>
      <w:proofErr w:type="spellEnd"/>
      <w:r w:rsidR="00F127C0">
        <w:rPr>
          <w:lang w:val="en-US" w:eastAsia="en-US"/>
        </w:rPr>
        <w:t xml:space="preserve"> and Low emits </w:t>
      </w:r>
      <w:r w:rsidR="008159DA">
        <w:rPr>
          <w:lang w:val="en-US" w:eastAsia="en-US"/>
        </w:rPr>
        <w:t>5</w:t>
      </w:r>
      <w:r w:rsidR="00F127C0">
        <w:rPr>
          <w:lang w:val="en-US" w:eastAsia="en-US"/>
        </w:rPr>
        <w:t xml:space="preserve"> </w:t>
      </w:r>
      <w:proofErr w:type="spellStart"/>
      <w:r w:rsidR="00F127C0">
        <w:rPr>
          <w:lang w:val="en-US" w:eastAsia="en-US"/>
        </w:rPr>
        <w:t>tonnes</w:t>
      </w:r>
      <w:proofErr w:type="spellEnd"/>
      <w:r w:rsidR="00F127C0">
        <w:rPr>
          <w:lang w:val="en-US" w:eastAsia="en-US"/>
        </w:rPr>
        <w:t xml:space="preserve">, and it has been decided that their combined </w:t>
      </w:r>
      <w:r w:rsidR="00315C8A">
        <w:rPr>
          <w:lang w:val="en-US" w:eastAsia="en-US"/>
        </w:rPr>
        <w:t>emissions need to</w:t>
      </w:r>
      <w:r w:rsidR="00F127C0">
        <w:rPr>
          <w:lang w:val="en-US" w:eastAsia="en-US"/>
        </w:rPr>
        <w:t xml:space="preserve"> be </w:t>
      </w:r>
      <w:r w:rsidR="008159DA">
        <w:rPr>
          <w:lang w:val="en-US" w:eastAsia="en-US"/>
        </w:rPr>
        <w:t xml:space="preserve">reduced to </w:t>
      </w:r>
      <w:r w:rsidR="00ED31D7">
        <w:rPr>
          <w:lang w:val="en-US" w:eastAsia="en-US"/>
        </w:rPr>
        <w:t>10</w:t>
      </w:r>
      <w:r w:rsidR="00F127C0">
        <w:rPr>
          <w:lang w:val="en-US" w:eastAsia="en-US"/>
        </w:rPr>
        <w:t xml:space="preserve"> </w:t>
      </w:r>
      <w:proofErr w:type="spellStart"/>
      <w:r w:rsidR="00F127C0">
        <w:rPr>
          <w:lang w:val="en-US" w:eastAsia="en-US"/>
        </w:rPr>
        <w:t>tonnes</w:t>
      </w:r>
      <w:proofErr w:type="spellEnd"/>
      <w:r w:rsidR="00F127C0">
        <w:rPr>
          <w:lang w:val="en-US" w:eastAsia="en-US"/>
        </w:rPr>
        <w:t xml:space="preserve">. A policy of equalizing </w:t>
      </w:r>
      <w:r w:rsidR="008159DA">
        <w:rPr>
          <w:lang w:val="en-US" w:eastAsia="en-US"/>
        </w:rPr>
        <w:t xml:space="preserve">emissions imposes </w:t>
      </w:r>
      <w:r w:rsidR="00ED31D7">
        <w:rPr>
          <w:lang w:val="en-US" w:eastAsia="en-US"/>
        </w:rPr>
        <w:t>a huge 5</w:t>
      </w:r>
      <w:r w:rsidR="00F127C0">
        <w:rPr>
          <w:lang w:val="en-US" w:eastAsia="en-US"/>
        </w:rPr>
        <w:t xml:space="preserve"> </w:t>
      </w:r>
      <w:proofErr w:type="spellStart"/>
      <w:r w:rsidR="00F127C0">
        <w:rPr>
          <w:lang w:val="en-US" w:eastAsia="en-US"/>
        </w:rPr>
        <w:t>tonne</w:t>
      </w:r>
      <w:proofErr w:type="spellEnd"/>
      <w:r w:rsidR="00F127C0">
        <w:rPr>
          <w:lang w:val="en-US" w:eastAsia="en-US"/>
        </w:rPr>
        <w:t xml:space="preserve"> reduction</w:t>
      </w:r>
      <w:r w:rsidR="008159DA">
        <w:rPr>
          <w:lang w:val="en-US" w:eastAsia="en-US"/>
        </w:rPr>
        <w:t xml:space="preserve"> for</w:t>
      </w:r>
      <w:r w:rsidR="00F127C0">
        <w:rPr>
          <w:lang w:val="en-US" w:eastAsia="en-US"/>
        </w:rPr>
        <w:t xml:space="preserve"> High,</w:t>
      </w:r>
      <w:r w:rsidR="008159DA">
        <w:rPr>
          <w:lang w:val="en-US" w:eastAsia="en-US"/>
        </w:rPr>
        <w:t xml:space="preserve"> </w:t>
      </w:r>
      <w:r w:rsidR="00ED31D7">
        <w:rPr>
          <w:lang w:val="en-US" w:eastAsia="en-US"/>
        </w:rPr>
        <w:t xml:space="preserve">and no reduction at all </w:t>
      </w:r>
      <w:r w:rsidR="008159DA">
        <w:rPr>
          <w:lang w:val="en-US" w:eastAsia="en-US"/>
        </w:rPr>
        <w:t>for Low. A policy of moderate grandfat</w:t>
      </w:r>
      <w:r w:rsidR="00315C8A">
        <w:rPr>
          <w:lang w:val="en-US" w:eastAsia="en-US"/>
        </w:rPr>
        <w:t xml:space="preserve">hering, by contrast, would give limited priority to the higher emitter, for instance assigning </w:t>
      </w:r>
      <w:r w:rsidR="00661740">
        <w:rPr>
          <w:lang w:val="en-US" w:eastAsia="en-US"/>
        </w:rPr>
        <w:t>6</w:t>
      </w:r>
      <w:r w:rsidR="008159DA">
        <w:rPr>
          <w:lang w:val="en-US" w:eastAsia="en-US"/>
        </w:rPr>
        <w:t xml:space="preserve"> </w:t>
      </w:r>
      <w:proofErr w:type="spellStart"/>
      <w:r w:rsidR="008159DA">
        <w:rPr>
          <w:lang w:val="en-US" w:eastAsia="en-US"/>
        </w:rPr>
        <w:t>tonnes</w:t>
      </w:r>
      <w:proofErr w:type="spellEnd"/>
      <w:r w:rsidR="00661740">
        <w:rPr>
          <w:lang w:val="en-US" w:eastAsia="en-US"/>
        </w:rPr>
        <w:t xml:space="preserve"> to High and 4</w:t>
      </w:r>
      <w:r w:rsidR="008159DA">
        <w:rPr>
          <w:lang w:val="en-US" w:eastAsia="en-US"/>
        </w:rPr>
        <w:t xml:space="preserve"> </w:t>
      </w:r>
      <w:proofErr w:type="spellStart"/>
      <w:r w:rsidR="008159DA">
        <w:rPr>
          <w:lang w:val="en-US" w:eastAsia="en-US"/>
        </w:rPr>
        <w:t>tonnes</w:t>
      </w:r>
      <w:proofErr w:type="spellEnd"/>
      <w:r w:rsidR="00F127C0">
        <w:rPr>
          <w:lang w:val="en-US" w:eastAsia="en-US"/>
        </w:rPr>
        <w:t xml:space="preserve"> </w:t>
      </w:r>
      <w:r w:rsidR="00315C8A">
        <w:rPr>
          <w:lang w:val="en-US" w:eastAsia="en-US"/>
        </w:rPr>
        <w:t xml:space="preserve">to Low. This is a </w:t>
      </w:r>
      <w:r w:rsidR="00ED31D7">
        <w:rPr>
          <w:lang w:val="en-US" w:eastAsia="en-US"/>
        </w:rPr>
        <w:t>4</w:t>
      </w:r>
      <w:r w:rsidR="00315C8A">
        <w:rPr>
          <w:lang w:val="en-US" w:eastAsia="en-US"/>
        </w:rPr>
        <w:t xml:space="preserve"> </w:t>
      </w:r>
      <w:proofErr w:type="spellStart"/>
      <w:r w:rsidR="00315C8A">
        <w:rPr>
          <w:lang w:val="en-US" w:eastAsia="en-US"/>
        </w:rPr>
        <w:t>tonne</w:t>
      </w:r>
      <w:proofErr w:type="spellEnd"/>
      <w:r w:rsidR="00315C8A">
        <w:rPr>
          <w:lang w:val="en-US" w:eastAsia="en-US"/>
        </w:rPr>
        <w:t xml:space="preserve"> reduction for </w:t>
      </w:r>
      <w:proofErr w:type="gramStart"/>
      <w:r w:rsidR="00315C8A">
        <w:rPr>
          <w:lang w:val="en-US" w:eastAsia="en-US"/>
        </w:rPr>
        <w:t>High,</w:t>
      </w:r>
      <w:proofErr w:type="gramEnd"/>
      <w:r w:rsidR="00315C8A">
        <w:rPr>
          <w:lang w:val="en-US" w:eastAsia="en-US"/>
        </w:rPr>
        <w:t xml:space="preserve"> and </w:t>
      </w:r>
      <w:r w:rsidR="00ED31D7">
        <w:rPr>
          <w:lang w:val="en-US" w:eastAsia="en-US"/>
        </w:rPr>
        <w:t xml:space="preserve">a 1 </w:t>
      </w:r>
      <w:proofErr w:type="spellStart"/>
      <w:r w:rsidR="00ED31D7">
        <w:rPr>
          <w:lang w:val="en-US" w:eastAsia="en-US"/>
        </w:rPr>
        <w:t>tonne</w:t>
      </w:r>
      <w:proofErr w:type="spellEnd"/>
      <w:r w:rsidR="00ED31D7">
        <w:rPr>
          <w:lang w:val="en-US" w:eastAsia="en-US"/>
        </w:rPr>
        <w:t xml:space="preserve"> </w:t>
      </w:r>
      <w:r w:rsidR="00315C8A">
        <w:rPr>
          <w:lang w:val="en-US" w:eastAsia="en-US"/>
        </w:rPr>
        <w:t>reduction for Low.</w:t>
      </w:r>
      <w:r w:rsidR="008159DA">
        <w:rPr>
          <w:lang w:val="en-US" w:eastAsia="en-US"/>
        </w:rPr>
        <w:t xml:space="preserve"> </w:t>
      </w:r>
      <w:r w:rsidR="00315C8A">
        <w:rPr>
          <w:lang w:val="en-US" w:eastAsia="en-US"/>
        </w:rPr>
        <w:t xml:space="preserve">While these reductions will </w:t>
      </w:r>
      <w:r w:rsidR="00ED31D7">
        <w:rPr>
          <w:lang w:val="en-US" w:eastAsia="en-US"/>
        </w:rPr>
        <w:t xml:space="preserve">typically </w:t>
      </w:r>
      <w:r w:rsidR="00315C8A">
        <w:rPr>
          <w:lang w:val="en-US" w:eastAsia="en-US"/>
        </w:rPr>
        <w:t xml:space="preserve">be painful for both agents, they </w:t>
      </w:r>
      <w:r w:rsidR="00ED31D7">
        <w:rPr>
          <w:lang w:val="en-US" w:eastAsia="en-US"/>
        </w:rPr>
        <w:t xml:space="preserve">significantly </w:t>
      </w:r>
      <w:r w:rsidR="00315C8A">
        <w:rPr>
          <w:lang w:val="en-US" w:eastAsia="en-US"/>
        </w:rPr>
        <w:t xml:space="preserve">reduce the </w:t>
      </w:r>
      <w:r w:rsidR="00ED31D7">
        <w:rPr>
          <w:lang w:val="en-US" w:eastAsia="en-US"/>
        </w:rPr>
        <w:t>severity</w:t>
      </w:r>
      <w:r w:rsidR="00315C8A">
        <w:rPr>
          <w:lang w:val="en-US" w:eastAsia="en-US"/>
        </w:rPr>
        <w:t xml:space="preserve"> of the cuts required of the higher </w:t>
      </w:r>
      <w:r w:rsidR="00ED31D7">
        <w:rPr>
          <w:lang w:val="en-US" w:eastAsia="en-US"/>
        </w:rPr>
        <w:t>emitter, while imposing only a moderate burden on the lower emitter.</w:t>
      </w:r>
      <w:r w:rsidR="00315C8A">
        <w:rPr>
          <w:lang w:val="en-US" w:eastAsia="en-US"/>
        </w:rPr>
        <w:t xml:space="preserve"> </w:t>
      </w:r>
      <w:r w:rsidR="008159DA">
        <w:rPr>
          <w:lang w:val="en-US" w:eastAsia="en-US"/>
        </w:rPr>
        <w:t xml:space="preserve">Utility is </w:t>
      </w:r>
      <w:r w:rsidR="00315C8A">
        <w:rPr>
          <w:lang w:val="en-US" w:eastAsia="en-US"/>
        </w:rPr>
        <w:t>very likely</w:t>
      </w:r>
      <w:r w:rsidR="00096227">
        <w:rPr>
          <w:lang w:val="en-US" w:eastAsia="en-US"/>
        </w:rPr>
        <w:t xml:space="preserve"> maximized in this case by allowing High to have greater emissions</w:t>
      </w:r>
      <w:r w:rsidR="008159DA">
        <w:rPr>
          <w:lang w:val="en-US" w:eastAsia="en-US"/>
        </w:rPr>
        <w:t xml:space="preserve"> than Low</w:t>
      </w:r>
      <w:r w:rsidR="00096227">
        <w:rPr>
          <w:lang w:val="en-US" w:eastAsia="en-US"/>
        </w:rPr>
        <w:t>.</w:t>
      </w:r>
    </w:p>
    <w:p w:rsidR="00BC3A2C" w:rsidRDefault="00887302" w:rsidP="00594253">
      <w:pPr>
        <w:autoSpaceDE w:val="0"/>
        <w:autoSpaceDN w:val="0"/>
        <w:adjustRightInd w:val="0"/>
        <w:spacing w:line="480" w:lineRule="auto"/>
        <w:ind w:firstLine="720"/>
        <w:jc w:val="both"/>
        <w:rPr>
          <w:lang w:val="en-US" w:eastAsia="en-US"/>
        </w:rPr>
      </w:pPr>
      <w:r>
        <w:rPr>
          <w:lang w:val="en-US" w:eastAsia="en-US"/>
        </w:rPr>
        <w:t xml:space="preserve">Furthermore, </w:t>
      </w:r>
      <w:proofErr w:type="gramStart"/>
      <w:r>
        <w:rPr>
          <w:lang w:val="en-US" w:eastAsia="en-US"/>
        </w:rPr>
        <w:t>High</w:t>
      </w:r>
      <w:proofErr w:type="gramEnd"/>
      <w:r>
        <w:rPr>
          <w:lang w:val="en-US" w:eastAsia="en-US"/>
        </w:rPr>
        <w:t xml:space="preserve"> wil</w:t>
      </w:r>
      <w:r w:rsidR="00ED31D7">
        <w:rPr>
          <w:lang w:val="en-US" w:eastAsia="en-US"/>
        </w:rPr>
        <w:t>l still be due greater emission</w:t>
      </w:r>
      <w:r>
        <w:rPr>
          <w:lang w:val="en-US" w:eastAsia="en-US"/>
        </w:rPr>
        <w:t xml:space="preserve"> rights</w:t>
      </w:r>
      <w:r w:rsidR="00381030">
        <w:rPr>
          <w:lang w:val="en-US" w:eastAsia="en-US"/>
        </w:rPr>
        <w:t xml:space="preserve"> </w:t>
      </w:r>
      <w:r>
        <w:rPr>
          <w:lang w:val="en-US" w:eastAsia="en-US"/>
        </w:rPr>
        <w:t xml:space="preserve">than Low when we bring a third agent, Poor, into the picture. </w:t>
      </w:r>
      <w:r w:rsidR="00C53B96">
        <w:rPr>
          <w:lang w:val="en-US" w:eastAsia="en-US"/>
        </w:rPr>
        <w:t xml:space="preserve">In this case, we assume that </w:t>
      </w:r>
      <w:r>
        <w:rPr>
          <w:lang w:val="en-US" w:eastAsia="en-US"/>
        </w:rPr>
        <w:t>P</w:t>
      </w:r>
      <w:r w:rsidR="00C53B96">
        <w:rPr>
          <w:lang w:val="en-US" w:eastAsia="en-US"/>
        </w:rPr>
        <w:t>oor is due greater emission</w:t>
      </w:r>
      <w:r>
        <w:rPr>
          <w:lang w:val="en-US" w:eastAsia="en-US"/>
        </w:rPr>
        <w:t xml:space="preserve"> rights than High or Low as extra emissions for her will promote welfare even more than extra emissions for </w:t>
      </w:r>
      <w:r w:rsidR="00661740">
        <w:rPr>
          <w:lang w:val="en-US" w:eastAsia="en-US"/>
        </w:rPr>
        <w:t>High will</w:t>
      </w:r>
      <w:r>
        <w:rPr>
          <w:lang w:val="en-US" w:eastAsia="en-US"/>
        </w:rPr>
        <w:t>. But this addition of a third party does not affect the relative i</w:t>
      </w:r>
      <w:r w:rsidR="00B60359">
        <w:rPr>
          <w:lang w:val="en-US" w:eastAsia="en-US"/>
        </w:rPr>
        <w:t>mportance of assigning emission rights</w:t>
      </w:r>
      <w:r>
        <w:rPr>
          <w:lang w:val="en-US" w:eastAsia="en-US"/>
        </w:rPr>
        <w:t xml:space="preserve"> to High and Low</w:t>
      </w:r>
      <w:r w:rsidR="00B60359">
        <w:rPr>
          <w:lang w:val="en-US" w:eastAsia="en-US"/>
        </w:rPr>
        <w:t>. Though High is due less than Poor, she is still due rather more than Low as emissions cuts for High still impose greater welfare penalties than cuts for Low.</w:t>
      </w:r>
      <w:r w:rsidR="00BC3A2C">
        <w:rPr>
          <w:lang w:val="en-US" w:eastAsia="en-US"/>
        </w:rPr>
        <w:t xml:space="preserve"> </w:t>
      </w:r>
    </w:p>
    <w:p w:rsidR="00096227" w:rsidRDefault="000A7102" w:rsidP="00594253">
      <w:pPr>
        <w:autoSpaceDE w:val="0"/>
        <w:autoSpaceDN w:val="0"/>
        <w:adjustRightInd w:val="0"/>
        <w:spacing w:line="480" w:lineRule="auto"/>
        <w:ind w:firstLine="720"/>
        <w:jc w:val="both"/>
        <w:rPr>
          <w:lang w:val="en-US" w:eastAsia="en-US"/>
        </w:rPr>
      </w:pPr>
      <w:r>
        <w:rPr>
          <w:lang w:val="en-US" w:eastAsia="en-US"/>
        </w:rPr>
        <w:lastRenderedPageBreak/>
        <w:t>I</w:t>
      </w:r>
      <w:r w:rsidR="00B60359">
        <w:rPr>
          <w:lang w:val="en-US" w:eastAsia="en-US"/>
        </w:rPr>
        <w:t>f this is the case</w:t>
      </w:r>
      <w:r w:rsidR="00353ABA">
        <w:rPr>
          <w:lang w:val="en-US" w:eastAsia="en-US"/>
        </w:rPr>
        <w:t xml:space="preserve"> in a </w:t>
      </w:r>
      <w:r>
        <w:rPr>
          <w:lang w:val="en-US" w:eastAsia="en-US"/>
        </w:rPr>
        <w:t>High-Low</w:t>
      </w:r>
      <w:r w:rsidR="00353ABA">
        <w:rPr>
          <w:lang w:val="en-US" w:eastAsia="en-US"/>
        </w:rPr>
        <w:t>-Poor</w:t>
      </w:r>
      <w:r>
        <w:rPr>
          <w:lang w:val="en-US" w:eastAsia="en-US"/>
        </w:rPr>
        <w:t xml:space="preserve"> world</w:t>
      </w:r>
      <w:r w:rsidR="00B60359">
        <w:rPr>
          <w:lang w:val="en-US" w:eastAsia="en-US"/>
        </w:rPr>
        <w:t>, it follows that there is a</w:t>
      </w:r>
      <w:r w:rsidR="00BC3A2C">
        <w:rPr>
          <w:lang w:val="en-US" w:eastAsia="en-US"/>
        </w:rPr>
        <w:t xml:space="preserve"> relevant difference between a</w:t>
      </w:r>
      <w:r w:rsidR="00B60359">
        <w:rPr>
          <w:lang w:val="en-US" w:eastAsia="en-US"/>
        </w:rPr>
        <w:t xml:space="preserve"> scenario in which only </w:t>
      </w:r>
      <w:proofErr w:type="gramStart"/>
      <w:r w:rsidR="00B60359">
        <w:rPr>
          <w:lang w:val="en-US" w:eastAsia="en-US"/>
        </w:rPr>
        <w:t>Po</w:t>
      </w:r>
      <w:r w:rsidR="00BC3A2C">
        <w:rPr>
          <w:lang w:val="en-US" w:eastAsia="en-US"/>
        </w:rPr>
        <w:t>or</w:t>
      </w:r>
      <w:proofErr w:type="gramEnd"/>
      <w:r w:rsidR="00BC3A2C">
        <w:rPr>
          <w:lang w:val="en-US" w:eastAsia="en-US"/>
        </w:rPr>
        <w:t xml:space="preserve"> and High are present, and a</w:t>
      </w:r>
      <w:r w:rsidR="00B60359">
        <w:rPr>
          <w:lang w:val="en-US" w:eastAsia="en-US"/>
        </w:rPr>
        <w:t xml:space="preserve"> scenario in which only Poor and Low are pre</w:t>
      </w:r>
      <w:r w:rsidR="00263010">
        <w:rPr>
          <w:lang w:val="en-US" w:eastAsia="en-US"/>
        </w:rPr>
        <w:t>sent. In both cases Poor has a</w:t>
      </w:r>
      <w:r w:rsidR="00B60359">
        <w:rPr>
          <w:lang w:val="en-US" w:eastAsia="en-US"/>
        </w:rPr>
        <w:t xml:space="preserve"> greater claim on emission </w:t>
      </w:r>
      <w:proofErr w:type="gramStart"/>
      <w:r w:rsidR="00B60359">
        <w:rPr>
          <w:lang w:val="en-US" w:eastAsia="en-US"/>
        </w:rPr>
        <w:t>rights, but the inequality of emission rights is</w:t>
      </w:r>
      <w:proofErr w:type="gramEnd"/>
      <w:r w:rsidR="00B60359">
        <w:rPr>
          <w:lang w:val="en-US" w:eastAsia="en-US"/>
        </w:rPr>
        <w:t xml:space="preserve"> not quite as great in the first case as in the second case on account of the fact that denying High emissions has a greater hit to welfare than does denying Low. </w:t>
      </w:r>
      <w:r w:rsidR="00353ABA">
        <w:rPr>
          <w:lang w:val="en-US" w:eastAsia="en-US"/>
        </w:rPr>
        <w:t xml:space="preserve">Perhaps tonnage in a </w:t>
      </w:r>
      <w:r w:rsidR="00BC3A2C">
        <w:rPr>
          <w:lang w:val="en-US" w:eastAsia="en-US"/>
        </w:rPr>
        <w:t>High</w:t>
      </w:r>
      <w:r w:rsidR="00353ABA">
        <w:rPr>
          <w:lang w:val="en-US" w:eastAsia="en-US"/>
        </w:rPr>
        <w:t xml:space="preserve">-Poor world should be split 4-6, but in a </w:t>
      </w:r>
      <w:r w:rsidR="00BC3A2C">
        <w:rPr>
          <w:lang w:val="en-US" w:eastAsia="en-US"/>
        </w:rPr>
        <w:t>Low</w:t>
      </w:r>
      <w:r w:rsidR="00353ABA">
        <w:rPr>
          <w:lang w:val="en-US" w:eastAsia="en-US"/>
        </w:rPr>
        <w:t>-Poor world 3-7</w:t>
      </w:r>
      <w:r w:rsidR="00CC1039">
        <w:rPr>
          <w:lang w:val="en-US" w:eastAsia="en-US"/>
        </w:rPr>
        <w:t xml:space="preserve"> would promote utility better</w:t>
      </w:r>
      <w:r w:rsidR="00BC3A2C">
        <w:rPr>
          <w:lang w:val="en-US" w:eastAsia="en-US"/>
        </w:rPr>
        <w:t xml:space="preserve">. </w:t>
      </w:r>
      <w:r w:rsidR="00B60359">
        <w:rPr>
          <w:lang w:val="en-US" w:eastAsia="en-US"/>
        </w:rPr>
        <w:t xml:space="preserve">This demonstrates that, even where the higher emitter has lesser </w:t>
      </w:r>
      <w:r w:rsidR="00661740">
        <w:rPr>
          <w:lang w:val="en-US" w:eastAsia="en-US"/>
        </w:rPr>
        <w:t>emission rights</w:t>
      </w:r>
      <w:r w:rsidR="00B60359">
        <w:rPr>
          <w:lang w:val="en-US" w:eastAsia="en-US"/>
        </w:rPr>
        <w:t xml:space="preserve">, </w:t>
      </w:r>
      <w:r w:rsidR="0007070A">
        <w:rPr>
          <w:lang w:val="en-US" w:eastAsia="en-US"/>
        </w:rPr>
        <w:t>th</w:t>
      </w:r>
      <w:r w:rsidR="00546F4A">
        <w:rPr>
          <w:lang w:val="en-US" w:eastAsia="en-US"/>
        </w:rPr>
        <w:t>e higher emissions still strengthen the case for emission rights</w:t>
      </w:r>
      <w:r w:rsidR="00B60359">
        <w:rPr>
          <w:lang w:val="en-US" w:eastAsia="en-US"/>
        </w:rPr>
        <w:t>.</w:t>
      </w:r>
      <w:r w:rsidR="00FC5F87">
        <w:rPr>
          <w:lang w:val="en-US" w:eastAsia="en-US"/>
        </w:rPr>
        <w:t xml:space="preserve"> </w:t>
      </w:r>
      <w:r w:rsidR="000D50F2">
        <w:rPr>
          <w:lang w:val="en-US" w:eastAsia="en-US"/>
        </w:rPr>
        <w:t>Thus,</w:t>
      </w:r>
      <w:r w:rsidR="00FC5F87">
        <w:rPr>
          <w:lang w:val="en-US" w:eastAsia="en-US"/>
        </w:rPr>
        <w:t xml:space="preserve"> even if</w:t>
      </w:r>
      <w:r w:rsidR="000D50F2">
        <w:rPr>
          <w:lang w:val="en-US" w:eastAsia="en-US"/>
        </w:rPr>
        <w:t xml:space="preserve"> the real world consists almost entirely of </w:t>
      </w:r>
      <w:r w:rsidR="00FC5F87">
        <w:rPr>
          <w:lang w:val="en-US" w:eastAsia="en-US"/>
        </w:rPr>
        <w:t>rich high emi</w:t>
      </w:r>
      <w:r w:rsidR="000D50F2">
        <w:rPr>
          <w:lang w:val="en-US" w:eastAsia="en-US"/>
        </w:rPr>
        <w:t>tters and poor low emitters,</w:t>
      </w:r>
      <w:r>
        <w:rPr>
          <w:lang w:val="en-US" w:eastAsia="en-US"/>
        </w:rPr>
        <w:t xml:space="preserve"> grandfathering is relevant and not unjust. The rich will be due a little more than they would be if they had not emitted so much</w:t>
      </w:r>
      <w:r w:rsidR="000D50F2">
        <w:rPr>
          <w:lang w:val="en-US" w:eastAsia="en-US"/>
        </w:rPr>
        <w:t>.</w:t>
      </w:r>
      <w:r w:rsidR="0020606B">
        <w:rPr>
          <w:lang w:val="en-US" w:eastAsia="en-US"/>
        </w:rPr>
        <w:t xml:space="preserve"> Furthermore, </w:t>
      </w:r>
      <w:r w:rsidR="001356A9">
        <w:rPr>
          <w:lang w:val="en-US" w:eastAsia="en-US"/>
        </w:rPr>
        <w:t>the high emitting rich will be due more than the low emitting rich even where there is an emissions trading regime, as they will otherwise be disadvantaged by the cost of buying permits.</w:t>
      </w:r>
    </w:p>
    <w:p w:rsidR="009F727B" w:rsidRDefault="00CC1039" w:rsidP="00F61D07">
      <w:pPr>
        <w:autoSpaceDE w:val="0"/>
        <w:autoSpaceDN w:val="0"/>
        <w:adjustRightInd w:val="0"/>
        <w:spacing w:line="480" w:lineRule="auto"/>
        <w:ind w:firstLine="720"/>
        <w:jc w:val="both"/>
        <w:rPr>
          <w:lang w:val="en-US" w:eastAsia="en-US"/>
        </w:rPr>
      </w:pPr>
      <w:r>
        <w:rPr>
          <w:lang w:val="en-US" w:eastAsia="en-US"/>
        </w:rPr>
        <w:t>Note that the</w:t>
      </w:r>
      <w:r w:rsidR="004F074E">
        <w:rPr>
          <w:lang w:val="en-US" w:eastAsia="en-US"/>
        </w:rPr>
        <w:t xml:space="preserve"> claim is </w:t>
      </w:r>
      <w:r w:rsidR="004F074E" w:rsidRPr="004F074E">
        <w:rPr>
          <w:i/>
          <w:lang w:val="en-US" w:eastAsia="en-US"/>
        </w:rPr>
        <w:t>not</w:t>
      </w:r>
      <w:r w:rsidR="004F074E">
        <w:rPr>
          <w:i/>
          <w:lang w:val="en-US" w:eastAsia="en-US"/>
        </w:rPr>
        <w:t xml:space="preserve"> </w:t>
      </w:r>
      <w:r w:rsidR="004F074E">
        <w:rPr>
          <w:lang w:val="en-US" w:eastAsia="en-US"/>
        </w:rPr>
        <w:t xml:space="preserve">that high emitters suffer </w:t>
      </w:r>
      <w:r w:rsidR="004E334E">
        <w:rPr>
          <w:lang w:val="en-US" w:eastAsia="en-US"/>
        </w:rPr>
        <w:t xml:space="preserve">a </w:t>
      </w:r>
      <w:r w:rsidR="004F074E">
        <w:rPr>
          <w:lang w:val="en-US" w:eastAsia="en-US"/>
        </w:rPr>
        <w:t>higher ‘marginal abatement</w:t>
      </w:r>
      <w:r w:rsidR="004E334E">
        <w:rPr>
          <w:lang w:val="en-US" w:eastAsia="en-US"/>
        </w:rPr>
        <w:t xml:space="preserve"> cost</w:t>
      </w:r>
      <w:r w:rsidR="004F074E">
        <w:rPr>
          <w:lang w:val="en-US" w:eastAsia="en-US"/>
        </w:rPr>
        <w:t xml:space="preserve">’, in the sense given to that in the economic </w:t>
      </w:r>
      <w:r w:rsidR="004E334E">
        <w:rPr>
          <w:lang w:val="en-US" w:eastAsia="en-US"/>
        </w:rPr>
        <w:t xml:space="preserve">literature as </w:t>
      </w:r>
      <w:r w:rsidR="00461860">
        <w:rPr>
          <w:lang w:val="en-US" w:eastAsia="en-US"/>
        </w:rPr>
        <w:t xml:space="preserve">the cost of </w:t>
      </w:r>
      <w:r w:rsidR="00461860" w:rsidRPr="00461860">
        <w:rPr>
          <w:lang w:val="en-US" w:eastAsia="en-US"/>
        </w:rPr>
        <w:t xml:space="preserve">one </w:t>
      </w:r>
      <w:r w:rsidR="004E334E">
        <w:rPr>
          <w:lang w:val="en-US" w:eastAsia="en-US"/>
        </w:rPr>
        <w:t xml:space="preserve">extra </w:t>
      </w:r>
      <w:r w:rsidR="00461860">
        <w:rPr>
          <w:lang w:val="en-US" w:eastAsia="en-US"/>
        </w:rPr>
        <w:t xml:space="preserve">unit of emissions reduction. </w:t>
      </w:r>
      <w:r w:rsidR="009F727B">
        <w:rPr>
          <w:lang w:val="en-US" w:eastAsia="en-US"/>
        </w:rPr>
        <w:t xml:space="preserve">In the first place, marginal abatement costs are standardly assessed in monetary terms, whereas my focus is on </w:t>
      </w:r>
      <w:r w:rsidR="009F727B" w:rsidRPr="00F805EC">
        <w:rPr>
          <w:i/>
          <w:lang w:val="en-US" w:eastAsia="en-US"/>
        </w:rPr>
        <w:t>welfare</w:t>
      </w:r>
      <w:r w:rsidR="009F727B">
        <w:rPr>
          <w:lang w:val="en-US" w:eastAsia="en-US"/>
        </w:rPr>
        <w:t xml:space="preserve"> costs. However human welfare is properly defined, it will not be in monetary terms</w:t>
      </w:r>
      <w:r w:rsidR="00F61D07">
        <w:rPr>
          <w:lang w:val="en-US" w:eastAsia="en-US"/>
        </w:rPr>
        <w:t xml:space="preserve">. </w:t>
      </w:r>
      <w:r w:rsidR="005B6931">
        <w:rPr>
          <w:lang w:val="en-US" w:eastAsia="en-US"/>
        </w:rPr>
        <w:t xml:space="preserve">On one common view, for instance, </w:t>
      </w:r>
      <w:r w:rsidR="005B6931">
        <w:t xml:space="preserve">an individual’s welfare level increases with </w:t>
      </w:r>
      <w:r w:rsidR="00EC0C83">
        <w:t xml:space="preserve">the </w:t>
      </w:r>
      <w:r w:rsidR="005B6931">
        <w:t>satisfaction of her preferences.</w:t>
      </w:r>
      <w:r w:rsidR="005B6931">
        <w:rPr>
          <w:rStyle w:val="FootnoteReference"/>
        </w:rPr>
        <w:footnoteReference w:id="14"/>
      </w:r>
      <w:r w:rsidR="00EA67C9">
        <w:t xml:space="preserve"> A unit of emissions reductions can have both a monetary cost but no preference satisfaction cost (</w:t>
      </w:r>
      <w:r w:rsidR="000E6AD6">
        <w:t xml:space="preserve">as where </w:t>
      </w:r>
      <w:r w:rsidR="00EA67C9">
        <w:t xml:space="preserve">lost money </w:t>
      </w:r>
      <w:r w:rsidR="000E6AD6">
        <w:t>is not</w:t>
      </w:r>
      <w:r w:rsidR="00EA67C9">
        <w:t xml:space="preserve"> missed</w:t>
      </w:r>
      <w:r w:rsidR="000E6AD6">
        <w:t>)</w:t>
      </w:r>
      <w:r w:rsidR="00EA67C9">
        <w:t xml:space="preserve">, and a preference satisfaction cost but no monetary cost </w:t>
      </w:r>
      <w:r w:rsidR="000E6AD6">
        <w:t>(as where preferred high-emission leisure activities are avoided</w:t>
      </w:r>
      <w:r w:rsidR="00EA67C9">
        <w:t>).</w:t>
      </w:r>
    </w:p>
    <w:p w:rsidR="009F727B" w:rsidRDefault="009F727B" w:rsidP="004F074E">
      <w:pPr>
        <w:autoSpaceDE w:val="0"/>
        <w:autoSpaceDN w:val="0"/>
        <w:adjustRightInd w:val="0"/>
        <w:spacing w:line="480" w:lineRule="auto"/>
        <w:ind w:firstLine="720"/>
        <w:jc w:val="both"/>
        <w:rPr>
          <w:lang w:val="en-US" w:eastAsia="en-US"/>
        </w:rPr>
      </w:pPr>
      <w:r>
        <w:rPr>
          <w:lang w:val="en-US" w:eastAsia="en-US"/>
        </w:rPr>
        <w:lastRenderedPageBreak/>
        <w:t>Furthermore, the argument would be</w:t>
      </w:r>
      <w:r w:rsidR="00461860">
        <w:rPr>
          <w:lang w:val="en-US" w:eastAsia="en-US"/>
        </w:rPr>
        <w:t xml:space="preserve"> </w:t>
      </w:r>
      <w:r w:rsidR="004E334E">
        <w:rPr>
          <w:lang w:val="en-US" w:eastAsia="en-US"/>
        </w:rPr>
        <w:t xml:space="preserve">quite </w:t>
      </w:r>
      <w:r w:rsidR="00461860">
        <w:rPr>
          <w:lang w:val="en-US" w:eastAsia="en-US"/>
        </w:rPr>
        <w:t xml:space="preserve">compatible with higher emitters having </w:t>
      </w:r>
      <w:r w:rsidR="00461860" w:rsidRPr="00461860">
        <w:rPr>
          <w:i/>
          <w:lang w:val="en-US" w:eastAsia="en-US"/>
        </w:rPr>
        <w:t>lower</w:t>
      </w:r>
      <w:r w:rsidR="00461860">
        <w:rPr>
          <w:lang w:val="en-US" w:eastAsia="en-US"/>
        </w:rPr>
        <w:t xml:space="preserve"> marginal abatement costs</w:t>
      </w:r>
      <w:r>
        <w:rPr>
          <w:lang w:val="en-US" w:eastAsia="en-US"/>
        </w:rPr>
        <w:t xml:space="preserve"> even if (counterfactually) marginal abatement costs coincided with welfare costs. The argument</w:t>
      </w:r>
      <w:r w:rsidR="00461860">
        <w:rPr>
          <w:lang w:val="en-US" w:eastAsia="en-US"/>
        </w:rPr>
        <w:t xml:space="preserve"> does, after all, grant that emissions reductions should be in proportion to prior emissions, so an agent who</w:t>
      </w:r>
      <w:r w:rsidR="00FC306C">
        <w:rPr>
          <w:lang w:val="en-US" w:eastAsia="en-US"/>
        </w:rPr>
        <w:t xml:space="preserve"> emits </w:t>
      </w:r>
      <w:r>
        <w:rPr>
          <w:lang w:val="en-US" w:eastAsia="en-US"/>
        </w:rPr>
        <w:t>more</w:t>
      </w:r>
      <w:r w:rsidR="00472DB9">
        <w:rPr>
          <w:lang w:val="en-US" w:eastAsia="en-US"/>
        </w:rPr>
        <w:t xml:space="preserve"> than others</w:t>
      </w:r>
      <w:r w:rsidR="00461860">
        <w:rPr>
          <w:lang w:val="en-US" w:eastAsia="en-US"/>
        </w:rPr>
        <w:t xml:space="preserve"> will have to reduce e</w:t>
      </w:r>
      <w:r>
        <w:rPr>
          <w:lang w:val="en-US" w:eastAsia="en-US"/>
        </w:rPr>
        <w:t>missions by more</w:t>
      </w:r>
      <w:r w:rsidR="004E334E">
        <w:rPr>
          <w:lang w:val="en-US" w:eastAsia="en-US"/>
        </w:rPr>
        <w:t xml:space="preserve">. </w:t>
      </w:r>
      <w:r w:rsidR="00220C33">
        <w:rPr>
          <w:lang w:val="en-US" w:eastAsia="en-US"/>
        </w:rPr>
        <w:t xml:space="preserve">For instance, </w:t>
      </w:r>
      <w:r w:rsidR="00BC3A2C">
        <w:rPr>
          <w:lang w:val="en-US" w:eastAsia="en-US"/>
        </w:rPr>
        <w:t xml:space="preserve">under moderate grandfathering </w:t>
      </w:r>
      <w:r w:rsidR="00220C33">
        <w:rPr>
          <w:lang w:val="en-US" w:eastAsia="en-US"/>
        </w:rPr>
        <w:t>in</w:t>
      </w:r>
      <w:r w:rsidR="00BC3A2C">
        <w:rPr>
          <w:lang w:val="en-US" w:eastAsia="en-US"/>
        </w:rPr>
        <w:t xml:space="preserve"> the High-Low world</w:t>
      </w:r>
      <w:r w:rsidR="00220C33">
        <w:rPr>
          <w:lang w:val="en-US" w:eastAsia="en-US"/>
        </w:rPr>
        <w:t xml:space="preserve">, </w:t>
      </w:r>
      <w:proofErr w:type="gramStart"/>
      <w:r w:rsidR="00220C33">
        <w:rPr>
          <w:lang w:val="en-US" w:eastAsia="en-US"/>
        </w:rPr>
        <w:t>High</w:t>
      </w:r>
      <w:proofErr w:type="gramEnd"/>
      <w:r w:rsidR="00220C33">
        <w:rPr>
          <w:lang w:val="en-US" w:eastAsia="en-US"/>
        </w:rPr>
        <w:t xml:space="preserve"> had to reduce her emissions by six times the amount that Low had to reduce hers. </w:t>
      </w:r>
      <w:r w:rsidR="004E334E">
        <w:rPr>
          <w:lang w:val="en-US" w:eastAsia="en-US"/>
        </w:rPr>
        <w:t xml:space="preserve">For that to be justifiable, one would expect that the cost of </w:t>
      </w:r>
      <w:r w:rsidR="004E334E" w:rsidRPr="00687E40">
        <w:rPr>
          <w:i/>
          <w:lang w:val="en-US" w:eastAsia="en-US"/>
        </w:rPr>
        <w:t>each unit</w:t>
      </w:r>
      <w:r w:rsidR="004E334E">
        <w:rPr>
          <w:lang w:val="en-US" w:eastAsia="en-US"/>
        </w:rPr>
        <w:t xml:space="preserve"> of reduced emissions would be </w:t>
      </w:r>
      <w:r w:rsidR="004E334E" w:rsidRPr="00687E40">
        <w:rPr>
          <w:lang w:val="en-US" w:eastAsia="en-US"/>
        </w:rPr>
        <w:t xml:space="preserve">lower </w:t>
      </w:r>
      <w:r w:rsidR="004E334E">
        <w:rPr>
          <w:lang w:val="en-US" w:eastAsia="en-US"/>
        </w:rPr>
        <w:t>for higher emitters.</w:t>
      </w:r>
      <w:r w:rsidR="0038644C">
        <w:rPr>
          <w:lang w:val="en-US" w:eastAsia="en-US"/>
        </w:rPr>
        <w:t xml:space="preserve"> </w:t>
      </w:r>
      <w:r w:rsidR="00687E40">
        <w:rPr>
          <w:lang w:val="en-US" w:eastAsia="en-US"/>
        </w:rPr>
        <w:t>The respect in which</w:t>
      </w:r>
      <w:r w:rsidR="00661740">
        <w:rPr>
          <w:lang w:val="en-US" w:eastAsia="en-US"/>
        </w:rPr>
        <w:t xml:space="preserve"> high emitters </w:t>
      </w:r>
      <w:r w:rsidR="00687E40">
        <w:rPr>
          <w:lang w:val="en-US" w:eastAsia="en-US"/>
        </w:rPr>
        <w:t xml:space="preserve">face high transition costs is that they have to cut </w:t>
      </w:r>
      <w:r w:rsidR="00687E40" w:rsidRPr="00687E40">
        <w:rPr>
          <w:i/>
          <w:lang w:val="en-US" w:eastAsia="en-US"/>
        </w:rPr>
        <w:t>more units</w:t>
      </w:r>
      <w:r w:rsidR="00687E40">
        <w:rPr>
          <w:lang w:val="en-US" w:eastAsia="en-US"/>
        </w:rPr>
        <w:t xml:space="preserve"> to reach a given lower level of emissions.</w:t>
      </w:r>
      <w:r w:rsidR="00F61D07">
        <w:rPr>
          <w:lang w:val="en-US" w:eastAsia="en-US"/>
        </w:rPr>
        <w:t xml:space="preserve"> </w:t>
      </w:r>
    </w:p>
    <w:p w:rsidR="004F074E" w:rsidRDefault="00AB466B" w:rsidP="00594253">
      <w:pPr>
        <w:autoSpaceDE w:val="0"/>
        <w:autoSpaceDN w:val="0"/>
        <w:adjustRightInd w:val="0"/>
        <w:spacing w:line="480" w:lineRule="auto"/>
        <w:ind w:firstLine="720"/>
        <w:jc w:val="both"/>
        <w:rPr>
          <w:lang w:val="en-US" w:eastAsia="en-US"/>
        </w:rPr>
      </w:pPr>
      <w:r>
        <w:rPr>
          <w:lang w:val="en-US" w:eastAsia="en-US"/>
        </w:rPr>
        <w:t>Note that,</w:t>
      </w:r>
      <w:r w:rsidR="000A2C37">
        <w:rPr>
          <w:lang w:val="en-US" w:eastAsia="en-US"/>
        </w:rPr>
        <w:t xml:space="preserve"> i</w:t>
      </w:r>
      <w:r w:rsidR="00096227">
        <w:rPr>
          <w:lang w:val="en-US" w:eastAsia="en-US"/>
        </w:rPr>
        <w:t xml:space="preserve">n the real world, agents with high emissions will have varying </w:t>
      </w:r>
      <w:r w:rsidR="00417E5A">
        <w:rPr>
          <w:lang w:val="en-US" w:eastAsia="en-US"/>
        </w:rPr>
        <w:t>levels of difficulty in transitioning</w:t>
      </w:r>
      <w:r w:rsidR="000A2C37">
        <w:rPr>
          <w:lang w:val="en-US" w:eastAsia="en-US"/>
        </w:rPr>
        <w:t xml:space="preserve"> to lower emissions. Hence there can be no linear relationship bet</w:t>
      </w:r>
      <w:r w:rsidR="00417E5A">
        <w:rPr>
          <w:lang w:val="en-US" w:eastAsia="en-US"/>
        </w:rPr>
        <w:t>ween prior emissions, transition</w:t>
      </w:r>
      <w:r w:rsidR="00F61D07">
        <w:rPr>
          <w:lang w:val="en-US" w:eastAsia="en-US"/>
        </w:rPr>
        <w:t xml:space="preserve"> costs, and future entitlements</w:t>
      </w:r>
      <w:r w:rsidR="000A2C37">
        <w:rPr>
          <w:lang w:val="en-US" w:eastAsia="en-US"/>
        </w:rPr>
        <w:t xml:space="preserve">. </w:t>
      </w:r>
      <w:r w:rsidR="00687E40">
        <w:rPr>
          <w:lang w:val="en-US" w:eastAsia="en-US"/>
        </w:rPr>
        <w:t xml:space="preserve">But moderate grandfathering is justified in practice as </w:t>
      </w:r>
      <w:r w:rsidR="000A2C37">
        <w:rPr>
          <w:lang w:val="en-US" w:eastAsia="en-US"/>
        </w:rPr>
        <w:t xml:space="preserve">prior emissions either </w:t>
      </w:r>
      <w:r w:rsidR="000A2C37" w:rsidRPr="000A2C37">
        <w:rPr>
          <w:i/>
          <w:lang w:val="en-US" w:eastAsia="en-US"/>
        </w:rPr>
        <w:t>always</w:t>
      </w:r>
      <w:r w:rsidR="00417E5A">
        <w:rPr>
          <w:lang w:val="en-US" w:eastAsia="en-US"/>
        </w:rPr>
        <w:t xml:space="preserve"> impose transition</w:t>
      </w:r>
      <w:r w:rsidR="000A2C37">
        <w:rPr>
          <w:lang w:val="en-US" w:eastAsia="en-US"/>
        </w:rPr>
        <w:t xml:space="preserve"> costs on agents or impose such costs </w:t>
      </w:r>
      <w:r w:rsidR="000A2C37" w:rsidRPr="000A2C37">
        <w:rPr>
          <w:i/>
          <w:lang w:val="en-US" w:eastAsia="en-US"/>
        </w:rPr>
        <w:t>often enough</w:t>
      </w:r>
      <w:r w:rsidR="000A2C37">
        <w:rPr>
          <w:lang w:val="en-US" w:eastAsia="en-US"/>
        </w:rPr>
        <w:t xml:space="preserve"> that informational limitations make the best po</w:t>
      </w:r>
      <w:r w:rsidR="00417E5A">
        <w:rPr>
          <w:lang w:val="en-US" w:eastAsia="en-US"/>
        </w:rPr>
        <w:t>licy that of assuming transition</w:t>
      </w:r>
      <w:r w:rsidR="000A2C37">
        <w:rPr>
          <w:lang w:val="en-US" w:eastAsia="en-US"/>
        </w:rPr>
        <w:t xml:space="preserve"> costs, and hence assigning extra emission rights.</w:t>
      </w:r>
    </w:p>
    <w:p w:rsidR="00C43D6C" w:rsidRDefault="00C43D6C" w:rsidP="00594253">
      <w:pPr>
        <w:autoSpaceDE w:val="0"/>
        <w:autoSpaceDN w:val="0"/>
        <w:adjustRightInd w:val="0"/>
        <w:spacing w:line="480" w:lineRule="auto"/>
        <w:jc w:val="both"/>
        <w:rPr>
          <w:b/>
          <w:lang w:val="en-US" w:eastAsia="en-US"/>
        </w:rPr>
      </w:pPr>
    </w:p>
    <w:p w:rsidR="00E13772" w:rsidRDefault="00E07A79" w:rsidP="00594253">
      <w:pPr>
        <w:autoSpaceDE w:val="0"/>
        <w:autoSpaceDN w:val="0"/>
        <w:adjustRightInd w:val="0"/>
        <w:spacing w:line="480" w:lineRule="auto"/>
        <w:jc w:val="both"/>
        <w:rPr>
          <w:b/>
          <w:lang w:val="en-US" w:eastAsia="en-US"/>
        </w:rPr>
      </w:pPr>
      <w:r>
        <w:rPr>
          <w:b/>
          <w:lang w:val="en-US" w:eastAsia="en-US"/>
        </w:rPr>
        <w:t>I</w:t>
      </w:r>
      <w:r w:rsidR="00EF3CFB">
        <w:rPr>
          <w:b/>
          <w:lang w:val="en-US" w:eastAsia="en-US"/>
        </w:rPr>
        <w:t>II</w:t>
      </w:r>
      <w:r w:rsidR="00887302" w:rsidRPr="00887302">
        <w:rPr>
          <w:b/>
          <w:lang w:val="en-US" w:eastAsia="en-US"/>
        </w:rPr>
        <w:t xml:space="preserve">. </w:t>
      </w:r>
      <w:r w:rsidR="00E13772">
        <w:rPr>
          <w:b/>
          <w:lang w:val="en-US" w:eastAsia="en-US"/>
        </w:rPr>
        <w:t>Equality</w:t>
      </w:r>
    </w:p>
    <w:p w:rsidR="003829FF" w:rsidRDefault="004C4200" w:rsidP="00594253">
      <w:pPr>
        <w:autoSpaceDE w:val="0"/>
        <w:autoSpaceDN w:val="0"/>
        <w:adjustRightInd w:val="0"/>
        <w:spacing w:line="480" w:lineRule="auto"/>
        <w:jc w:val="both"/>
        <w:rPr>
          <w:lang w:val="en-US" w:eastAsia="en-US"/>
        </w:rPr>
      </w:pPr>
      <w:r>
        <w:rPr>
          <w:lang w:val="en-US" w:eastAsia="en-US"/>
        </w:rPr>
        <w:t>Many will be unmov</w:t>
      </w:r>
      <w:r w:rsidR="00362C42">
        <w:rPr>
          <w:lang w:val="en-US" w:eastAsia="en-US"/>
        </w:rPr>
        <w:t>ed</w:t>
      </w:r>
      <w:r w:rsidR="00687E40">
        <w:rPr>
          <w:lang w:val="en-US" w:eastAsia="en-US"/>
        </w:rPr>
        <w:t xml:space="preserve"> by the above argument</w:t>
      </w:r>
      <w:r w:rsidR="00362C42">
        <w:rPr>
          <w:lang w:val="en-US" w:eastAsia="en-US"/>
        </w:rPr>
        <w:t>. After all, utilitarianism is</w:t>
      </w:r>
      <w:r>
        <w:rPr>
          <w:lang w:val="en-US" w:eastAsia="en-US"/>
        </w:rPr>
        <w:t xml:space="preserve"> often conside</w:t>
      </w:r>
      <w:r w:rsidR="00F356C8">
        <w:rPr>
          <w:lang w:val="en-US" w:eastAsia="en-US"/>
        </w:rPr>
        <w:t xml:space="preserve">red implausible </w:t>
      </w:r>
      <w:r w:rsidR="00362C42">
        <w:rPr>
          <w:lang w:val="en-US" w:eastAsia="en-US"/>
        </w:rPr>
        <w:t>because it ‘is not sensitive to the distribution of burdens and benefits across individuals (or countries)’.</w:t>
      </w:r>
      <w:r w:rsidR="00362C42">
        <w:rPr>
          <w:rStyle w:val="FootnoteReference"/>
          <w:lang w:val="en-US" w:eastAsia="en-US"/>
        </w:rPr>
        <w:footnoteReference w:id="15"/>
      </w:r>
      <w:r w:rsidR="00362C42">
        <w:rPr>
          <w:lang w:val="en-US" w:eastAsia="en-US"/>
        </w:rPr>
        <w:t xml:space="preserve"> </w:t>
      </w:r>
      <w:r w:rsidR="008043DA">
        <w:rPr>
          <w:lang w:val="en-US" w:eastAsia="en-US"/>
        </w:rPr>
        <w:t>I</w:t>
      </w:r>
      <w:r w:rsidR="00DF2EC8">
        <w:rPr>
          <w:lang w:val="en-US" w:eastAsia="en-US"/>
        </w:rPr>
        <w:t xml:space="preserve"> will now</w:t>
      </w:r>
      <w:r w:rsidR="008043DA">
        <w:rPr>
          <w:lang w:val="en-US" w:eastAsia="en-US"/>
        </w:rPr>
        <w:t xml:space="preserve"> suggest that, perhaps</w:t>
      </w:r>
      <w:r w:rsidR="003829FF">
        <w:rPr>
          <w:lang w:val="en-US" w:eastAsia="en-US"/>
        </w:rPr>
        <w:t xml:space="preserve"> surprising</w:t>
      </w:r>
      <w:r w:rsidR="0064337A">
        <w:rPr>
          <w:lang w:val="en-US" w:eastAsia="en-US"/>
        </w:rPr>
        <w:t>ly,</w:t>
      </w:r>
      <w:r w:rsidR="0007070A">
        <w:rPr>
          <w:lang w:val="en-US" w:eastAsia="en-US"/>
        </w:rPr>
        <w:t xml:space="preserve"> several</w:t>
      </w:r>
      <w:r w:rsidR="00427D76">
        <w:rPr>
          <w:lang w:val="en-US" w:eastAsia="en-US"/>
        </w:rPr>
        <w:t xml:space="preserve"> </w:t>
      </w:r>
      <w:r w:rsidR="00DF2EC8">
        <w:rPr>
          <w:lang w:val="en-US" w:eastAsia="en-US"/>
        </w:rPr>
        <w:t>egalitarian</w:t>
      </w:r>
      <w:r w:rsidR="00DC7B94">
        <w:rPr>
          <w:lang w:val="en-US" w:eastAsia="en-US"/>
        </w:rPr>
        <w:t xml:space="preserve"> views</w:t>
      </w:r>
      <w:r>
        <w:rPr>
          <w:lang w:val="en-US" w:eastAsia="en-US"/>
        </w:rPr>
        <w:t xml:space="preserve"> which can hardly be accused of distribution insensitivity</w:t>
      </w:r>
      <w:r w:rsidR="00427D76">
        <w:rPr>
          <w:lang w:val="en-US" w:eastAsia="en-US"/>
        </w:rPr>
        <w:t xml:space="preserve"> </w:t>
      </w:r>
      <w:r w:rsidR="003829FF">
        <w:rPr>
          <w:lang w:val="en-US" w:eastAsia="en-US"/>
        </w:rPr>
        <w:t xml:space="preserve">can </w:t>
      </w:r>
      <w:r w:rsidR="0007070A">
        <w:rPr>
          <w:lang w:val="en-US" w:eastAsia="en-US"/>
        </w:rPr>
        <w:t>serve the argument just as well as utilitarianism</w:t>
      </w:r>
      <w:r w:rsidR="003829FF">
        <w:rPr>
          <w:lang w:val="en-US" w:eastAsia="en-US"/>
        </w:rPr>
        <w:t>.</w:t>
      </w:r>
    </w:p>
    <w:p w:rsidR="008171EF" w:rsidRDefault="0064337A" w:rsidP="00594253">
      <w:pPr>
        <w:autoSpaceDE w:val="0"/>
        <w:autoSpaceDN w:val="0"/>
        <w:adjustRightInd w:val="0"/>
        <w:spacing w:line="480" w:lineRule="auto"/>
        <w:ind w:firstLine="720"/>
        <w:jc w:val="both"/>
        <w:rPr>
          <w:lang w:val="en-US" w:eastAsia="en-US"/>
        </w:rPr>
      </w:pPr>
      <w:r>
        <w:rPr>
          <w:lang w:val="en-US" w:eastAsia="en-US"/>
        </w:rPr>
        <w:lastRenderedPageBreak/>
        <w:t xml:space="preserve">Consider first </w:t>
      </w:r>
      <w:r>
        <w:rPr>
          <w:i/>
          <w:lang w:val="en-US" w:eastAsia="en-US"/>
        </w:rPr>
        <w:t>equality of welfare</w:t>
      </w:r>
      <w:r w:rsidR="001356A9">
        <w:rPr>
          <w:i/>
          <w:lang w:val="en-US" w:eastAsia="en-US"/>
        </w:rPr>
        <w:t xml:space="preserve">, </w:t>
      </w:r>
      <w:r w:rsidR="001356A9">
        <w:rPr>
          <w:lang w:val="en-US" w:eastAsia="en-US"/>
        </w:rPr>
        <w:t>which simply seeks to equalize individuals’ welfare levels</w:t>
      </w:r>
      <w:r w:rsidR="00ED4B8A">
        <w:rPr>
          <w:lang w:val="en-US" w:eastAsia="en-US"/>
        </w:rPr>
        <w:t>. This view</w:t>
      </w:r>
      <w:r w:rsidR="00353ABA">
        <w:rPr>
          <w:lang w:val="en-US" w:eastAsia="en-US"/>
        </w:rPr>
        <w:t xml:space="preserve"> is concerned with</w:t>
      </w:r>
      <w:r w:rsidR="00417E5A">
        <w:rPr>
          <w:lang w:val="en-US" w:eastAsia="en-US"/>
        </w:rPr>
        <w:t xml:space="preserve"> the transit</w:t>
      </w:r>
      <w:r w:rsidR="00780264">
        <w:rPr>
          <w:lang w:val="en-US" w:eastAsia="en-US"/>
        </w:rPr>
        <w:t xml:space="preserve">ion </w:t>
      </w:r>
      <w:r w:rsidR="009F0847">
        <w:rPr>
          <w:lang w:val="en-US" w:eastAsia="en-US"/>
        </w:rPr>
        <w:t>costs of historically high emitters, but in a different way than utilitarianism. While utilitarianism sees the moral relevance of these</w:t>
      </w:r>
      <w:r w:rsidR="00ED4B8A">
        <w:rPr>
          <w:lang w:val="en-US" w:eastAsia="en-US"/>
        </w:rPr>
        <w:t xml:space="preserve"> costs in terms of</w:t>
      </w:r>
      <w:r w:rsidR="009F0847">
        <w:rPr>
          <w:lang w:val="en-US" w:eastAsia="en-US"/>
        </w:rPr>
        <w:t xml:space="preserve"> the reduction in the overall amount of utility they</w:t>
      </w:r>
      <w:r w:rsidR="00ED4B8A">
        <w:rPr>
          <w:lang w:val="en-US" w:eastAsia="en-US"/>
        </w:rPr>
        <w:t xml:space="preserve"> impose, equality of welfare</w:t>
      </w:r>
      <w:r w:rsidR="009F0847">
        <w:rPr>
          <w:lang w:val="en-US" w:eastAsia="en-US"/>
        </w:rPr>
        <w:t xml:space="preserve"> </w:t>
      </w:r>
      <w:r w:rsidR="00ED4B8A">
        <w:rPr>
          <w:lang w:val="en-US" w:eastAsia="en-US"/>
        </w:rPr>
        <w:t xml:space="preserve">sees their moral relevance in terms of how they affect the </w:t>
      </w:r>
      <w:r w:rsidR="00ED4B8A" w:rsidRPr="00ED4B8A">
        <w:rPr>
          <w:i/>
          <w:lang w:val="en-US" w:eastAsia="en-US"/>
        </w:rPr>
        <w:t>relative advantage level</w:t>
      </w:r>
      <w:r w:rsidR="00ED4B8A">
        <w:rPr>
          <w:lang w:val="en-US" w:eastAsia="en-US"/>
        </w:rPr>
        <w:t xml:space="preserve"> of the emitter. </w:t>
      </w:r>
    </w:p>
    <w:p w:rsidR="00A45DE0" w:rsidRDefault="00ED4B8A" w:rsidP="00A45DE0">
      <w:pPr>
        <w:autoSpaceDE w:val="0"/>
        <w:autoSpaceDN w:val="0"/>
        <w:adjustRightInd w:val="0"/>
        <w:spacing w:line="480" w:lineRule="auto"/>
        <w:ind w:firstLine="720"/>
        <w:jc w:val="both"/>
        <w:rPr>
          <w:lang w:val="en-US" w:eastAsia="en-US"/>
        </w:rPr>
      </w:pPr>
      <w:r>
        <w:rPr>
          <w:lang w:val="en-US" w:eastAsia="en-US"/>
        </w:rPr>
        <w:t xml:space="preserve">Against the current backdrop of massive global inequality, equality of welfare delivers a similar result to utilitarianism, but for different reasons. </w:t>
      </w:r>
      <w:r w:rsidR="0007070A">
        <w:rPr>
          <w:lang w:val="en-US" w:eastAsia="en-US"/>
        </w:rPr>
        <w:t>In such circumstances it recommends</w:t>
      </w:r>
      <w:r>
        <w:rPr>
          <w:lang w:val="en-US" w:eastAsia="en-US"/>
        </w:rPr>
        <w:t xml:space="preserve"> </w:t>
      </w:r>
      <w:r w:rsidR="0007070A">
        <w:rPr>
          <w:lang w:val="en-US" w:eastAsia="en-US"/>
        </w:rPr>
        <w:t xml:space="preserve">an overall distribution that, at first glance, shows no similarity with grandfathering. </w:t>
      </w:r>
      <w:r w:rsidR="00687E40">
        <w:rPr>
          <w:lang w:val="en-US" w:eastAsia="en-US"/>
        </w:rPr>
        <w:t>G</w:t>
      </w:r>
      <w:r w:rsidR="008171EF">
        <w:rPr>
          <w:lang w:val="en-US" w:eastAsia="en-US"/>
        </w:rPr>
        <w:t>ranting extra emission</w:t>
      </w:r>
      <w:r>
        <w:rPr>
          <w:lang w:val="en-US" w:eastAsia="en-US"/>
        </w:rPr>
        <w:t xml:space="preserve"> rights to historically high emitters would increase global inequality of welfare, which is the oppos</w:t>
      </w:r>
      <w:r w:rsidR="0007070A">
        <w:rPr>
          <w:lang w:val="en-US" w:eastAsia="en-US"/>
        </w:rPr>
        <w:t>ite of the goal. But on closer inspection it becomes apparent that moderate grandfathering is in fact playing a role.</w:t>
      </w:r>
      <w:r w:rsidR="008761EC">
        <w:rPr>
          <w:lang w:val="en-US" w:eastAsia="en-US"/>
        </w:rPr>
        <w:t xml:space="preserve"> In the</w:t>
      </w:r>
      <w:r w:rsidR="00780264">
        <w:rPr>
          <w:lang w:val="en-US" w:eastAsia="en-US"/>
        </w:rPr>
        <w:t xml:space="preserve"> </w:t>
      </w:r>
      <w:r w:rsidR="008761EC">
        <w:rPr>
          <w:lang w:val="en-US" w:eastAsia="en-US"/>
        </w:rPr>
        <w:t xml:space="preserve">first </w:t>
      </w:r>
      <w:r w:rsidR="00780264">
        <w:rPr>
          <w:lang w:val="en-US" w:eastAsia="en-US"/>
        </w:rPr>
        <w:t>two-agent case</w:t>
      </w:r>
      <w:r w:rsidR="008761EC">
        <w:rPr>
          <w:lang w:val="en-US" w:eastAsia="en-US"/>
        </w:rPr>
        <w:t xml:space="preserve"> we previously considered</w:t>
      </w:r>
      <w:r w:rsidR="00780264">
        <w:rPr>
          <w:lang w:val="en-US" w:eastAsia="en-US"/>
        </w:rPr>
        <w:t>, it is clear that High is due more than Low according to equality of welfare beca</w:t>
      </w:r>
      <w:r w:rsidR="00417E5A">
        <w:rPr>
          <w:lang w:val="en-US" w:eastAsia="en-US"/>
        </w:rPr>
        <w:t>use the former’s high transition</w:t>
      </w:r>
      <w:r w:rsidR="00780264">
        <w:rPr>
          <w:lang w:val="en-US" w:eastAsia="en-US"/>
        </w:rPr>
        <w:t xml:space="preserve"> costs constitute what Ronald </w:t>
      </w:r>
      <w:proofErr w:type="spellStart"/>
      <w:r w:rsidR="00780264">
        <w:rPr>
          <w:lang w:val="en-US" w:eastAsia="en-US"/>
        </w:rPr>
        <w:t>Dworkin</w:t>
      </w:r>
      <w:proofErr w:type="spellEnd"/>
      <w:r w:rsidR="00780264">
        <w:rPr>
          <w:lang w:val="en-US" w:eastAsia="en-US"/>
        </w:rPr>
        <w:t xml:space="preserve"> calls ‘expensive tastes’: High requires above average resources, including emission rights, to secure equal levels of welfare.</w:t>
      </w:r>
      <w:r w:rsidR="00780264">
        <w:rPr>
          <w:rStyle w:val="FootnoteReference"/>
          <w:lang w:val="en-US" w:eastAsia="en-US"/>
        </w:rPr>
        <w:footnoteReference w:id="16"/>
      </w:r>
      <w:r w:rsidR="00780264">
        <w:rPr>
          <w:lang w:val="en-US" w:eastAsia="en-US"/>
        </w:rPr>
        <w:t xml:space="preserve"> </w:t>
      </w:r>
      <w:r w:rsidR="003A7CA4">
        <w:rPr>
          <w:lang w:val="en-US" w:eastAsia="en-US"/>
        </w:rPr>
        <w:t xml:space="preserve">For instance, High may require 6 </w:t>
      </w:r>
      <w:proofErr w:type="spellStart"/>
      <w:r w:rsidR="003A7CA4">
        <w:rPr>
          <w:lang w:val="en-US" w:eastAsia="en-US"/>
        </w:rPr>
        <w:t>tonnes</w:t>
      </w:r>
      <w:proofErr w:type="spellEnd"/>
      <w:r w:rsidR="003A7CA4">
        <w:rPr>
          <w:lang w:val="en-US" w:eastAsia="en-US"/>
        </w:rPr>
        <w:t xml:space="preserve"> of emissions to achieve 5 units of welfare, while Low requires only 4 </w:t>
      </w:r>
      <w:proofErr w:type="spellStart"/>
      <w:r w:rsidR="003A7CA4">
        <w:rPr>
          <w:lang w:val="en-US" w:eastAsia="en-US"/>
        </w:rPr>
        <w:t>tonnes</w:t>
      </w:r>
      <w:proofErr w:type="spellEnd"/>
      <w:r w:rsidR="003A7CA4">
        <w:rPr>
          <w:lang w:val="en-US" w:eastAsia="en-US"/>
        </w:rPr>
        <w:t xml:space="preserve"> of emissions to achieve the same welfare level. </w:t>
      </w:r>
      <w:r w:rsidR="00780264">
        <w:rPr>
          <w:lang w:val="en-US" w:eastAsia="en-US"/>
        </w:rPr>
        <w:t>As in the utilitarian case, the rationale for treating emissions as more valuable when assigned to High than when assigned to Low remains even where we bring in Poor, who</w:t>
      </w:r>
      <w:r w:rsidR="00A45DE0">
        <w:rPr>
          <w:lang w:val="en-US" w:eastAsia="en-US"/>
        </w:rPr>
        <w:t xml:space="preserve"> is worse off in welfare terms. Similarly, t</w:t>
      </w:r>
      <w:r w:rsidR="003A79A2">
        <w:rPr>
          <w:lang w:val="en-US" w:eastAsia="en-US"/>
        </w:rPr>
        <w:t xml:space="preserve">he amount of emission rights required to equalize Poor’s position with High is less than the amount of emission rights required to equalize Poor’s position with Low. </w:t>
      </w:r>
    </w:p>
    <w:p w:rsidR="00BE6958" w:rsidRDefault="00565F96" w:rsidP="00594253">
      <w:pPr>
        <w:autoSpaceDE w:val="0"/>
        <w:autoSpaceDN w:val="0"/>
        <w:adjustRightInd w:val="0"/>
        <w:spacing w:line="480" w:lineRule="auto"/>
        <w:ind w:firstLine="720"/>
        <w:jc w:val="both"/>
        <w:rPr>
          <w:bCs/>
          <w:lang w:val="en-US" w:eastAsia="en-US"/>
        </w:rPr>
      </w:pPr>
      <w:proofErr w:type="spellStart"/>
      <w:r w:rsidRPr="00565F96">
        <w:rPr>
          <w:lang w:val="en-US" w:eastAsia="en-US"/>
        </w:rPr>
        <w:lastRenderedPageBreak/>
        <w:t>Dworkin</w:t>
      </w:r>
      <w:proofErr w:type="spellEnd"/>
      <w:r w:rsidRPr="00565F96">
        <w:rPr>
          <w:lang w:val="en-US" w:eastAsia="en-US"/>
        </w:rPr>
        <w:t xml:space="preserve"> has </w:t>
      </w:r>
      <w:r w:rsidR="00BE6958" w:rsidRPr="00565F96">
        <w:rPr>
          <w:lang w:val="en-US" w:eastAsia="en-US"/>
        </w:rPr>
        <w:t>argued that equality of welfare ought to be rejected. Furthermore, he specifically objects to its implication that expensive tastes require compensation, which was essential to the</w:t>
      </w:r>
      <w:r w:rsidR="00546F4A">
        <w:rPr>
          <w:lang w:val="en-US" w:eastAsia="en-US"/>
        </w:rPr>
        <w:t xml:space="preserve"> above egalitarian</w:t>
      </w:r>
      <w:r w:rsidR="00BE6958" w:rsidRPr="00565F96">
        <w:rPr>
          <w:lang w:val="en-US" w:eastAsia="en-US"/>
        </w:rPr>
        <w:t xml:space="preserve"> case for </w:t>
      </w:r>
      <w:r w:rsidR="00546F4A">
        <w:rPr>
          <w:lang w:val="en-US" w:eastAsia="en-US"/>
        </w:rPr>
        <w:t>grandfathering</w:t>
      </w:r>
      <w:r>
        <w:rPr>
          <w:lang w:val="en-US" w:eastAsia="en-US"/>
        </w:rPr>
        <w:t>. Such compensation is especial</w:t>
      </w:r>
      <w:r w:rsidR="00D9769F">
        <w:rPr>
          <w:lang w:val="en-US" w:eastAsia="en-US"/>
        </w:rPr>
        <w:t xml:space="preserve">ly problematic, </w:t>
      </w:r>
      <w:proofErr w:type="spellStart"/>
      <w:r w:rsidR="00D9769F">
        <w:rPr>
          <w:lang w:val="en-US" w:eastAsia="en-US"/>
        </w:rPr>
        <w:t>Dworkin</w:t>
      </w:r>
      <w:proofErr w:type="spellEnd"/>
      <w:r w:rsidR="00D9769F">
        <w:rPr>
          <w:lang w:val="en-US" w:eastAsia="en-US"/>
        </w:rPr>
        <w:t xml:space="preserve"> seems to suggest</w:t>
      </w:r>
      <w:r>
        <w:rPr>
          <w:lang w:val="en-US" w:eastAsia="en-US"/>
        </w:rPr>
        <w:t xml:space="preserve">, where the taste was </w:t>
      </w:r>
      <w:r w:rsidR="00CB6ABA">
        <w:rPr>
          <w:lang w:val="en-US" w:eastAsia="en-US"/>
        </w:rPr>
        <w:t>chosen</w:t>
      </w:r>
      <w:r>
        <w:rPr>
          <w:lang w:val="en-US" w:eastAsia="en-US"/>
        </w:rPr>
        <w:t xml:space="preserve">. </w:t>
      </w:r>
      <w:r w:rsidR="00CB6ABA">
        <w:rPr>
          <w:lang w:val="en-US" w:eastAsia="en-US"/>
        </w:rPr>
        <w:t xml:space="preserve">For </w:t>
      </w:r>
      <w:r w:rsidRPr="00CB6ABA">
        <w:rPr>
          <w:lang w:val="en-US" w:eastAsia="en-US"/>
        </w:rPr>
        <w:t xml:space="preserve">instance, </w:t>
      </w:r>
      <w:r w:rsidR="00CB6ABA" w:rsidRPr="00CB6ABA">
        <w:rPr>
          <w:bCs/>
          <w:lang w:val="en-US" w:eastAsia="en-US"/>
        </w:rPr>
        <w:t>‘suppose that someone (Louis) sets out deliberately to cultivate some taste or ambition</w:t>
      </w:r>
      <w:r w:rsidR="00CB6ABA" w:rsidRPr="00CB6ABA">
        <w:rPr>
          <w:lang w:val="en-US" w:eastAsia="en-US"/>
        </w:rPr>
        <w:t xml:space="preserve"> </w:t>
      </w:r>
      <w:r w:rsidR="00CB6ABA" w:rsidRPr="00CB6ABA">
        <w:rPr>
          <w:bCs/>
          <w:lang w:val="en-US" w:eastAsia="en-US"/>
        </w:rPr>
        <w:t>he does not now have, but which will be expensive in the sense that once it has been cultivated he will not have as much welfare on the chosen conception as he had before unless he acquires more wealth’.</w:t>
      </w:r>
      <w:r w:rsidR="00CB6ABA" w:rsidRPr="00CB6ABA">
        <w:rPr>
          <w:rStyle w:val="FootnoteReference"/>
          <w:bCs/>
          <w:lang w:val="en-US" w:eastAsia="en-US"/>
        </w:rPr>
        <w:footnoteReference w:id="17"/>
      </w:r>
      <w:r w:rsidR="00CB6ABA" w:rsidRPr="00CB6ABA">
        <w:rPr>
          <w:bCs/>
          <w:lang w:val="en-US" w:eastAsia="en-US"/>
        </w:rPr>
        <w:t xml:space="preserve"> That equality of welfare would recommend that Louis be compensated for his acquisition of, say, a taste for vintage claret is, </w:t>
      </w:r>
      <w:proofErr w:type="spellStart"/>
      <w:r w:rsidR="00CB6ABA" w:rsidRPr="00CB6ABA">
        <w:rPr>
          <w:bCs/>
          <w:lang w:val="en-US" w:eastAsia="en-US"/>
        </w:rPr>
        <w:t>Dworkin</w:t>
      </w:r>
      <w:proofErr w:type="spellEnd"/>
      <w:r w:rsidR="00CB6ABA" w:rsidRPr="00CB6ABA">
        <w:rPr>
          <w:bCs/>
          <w:lang w:val="en-US" w:eastAsia="en-US"/>
        </w:rPr>
        <w:t xml:space="preserve"> maintains, ‘embarrassing for the theory … </w:t>
      </w:r>
      <w:r w:rsidRPr="00CB6ABA">
        <w:rPr>
          <w:bCs/>
          <w:lang w:val="en-US" w:eastAsia="en-US"/>
        </w:rPr>
        <w:t>be</w:t>
      </w:r>
      <w:r w:rsidR="00CB6ABA" w:rsidRPr="00CB6ABA">
        <w:rPr>
          <w:bCs/>
          <w:lang w:val="en-US" w:eastAsia="en-US"/>
        </w:rPr>
        <w:t xml:space="preserve">cause we believe that equality … </w:t>
      </w:r>
      <w:r w:rsidRPr="00CB6ABA">
        <w:rPr>
          <w:bCs/>
          <w:lang w:val="en-US" w:eastAsia="en-US"/>
        </w:rPr>
        <w:t>condemns rather than recommends</w:t>
      </w:r>
      <w:r w:rsidR="00CB6ABA" w:rsidRPr="00CB6ABA">
        <w:rPr>
          <w:lang w:val="en-US" w:eastAsia="en-US"/>
        </w:rPr>
        <w:t xml:space="preserve"> </w:t>
      </w:r>
      <w:r w:rsidRPr="00CB6ABA">
        <w:rPr>
          <w:bCs/>
          <w:lang w:val="en-US" w:eastAsia="en-US"/>
        </w:rPr>
        <w:t>compensating for deliberately cultivated expensive tastes</w:t>
      </w:r>
      <w:r w:rsidR="00CB6ABA" w:rsidRPr="00CB6ABA">
        <w:rPr>
          <w:bCs/>
          <w:lang w:val="en-US" w:eastAsia="en-US"/>
        </w:rPr>
        <w:t>’</w:t>
      </w:r>
      <w:r w:rsidR="00BE6958" w:rsidRPr="00CB6ABA">
        <w:rPr>
          <w:bCs/>
          <w:lang w:val="en-US" w:eastAsia="en-US"/>
        </w:rPr>
        <w:t>.</w:t>
      </w:r>
      <w:r w:rsidR="00BE6958" w:rsidRPr="00CB6ABA">
        <w:rPr>
          <w:rStyle w:val="FootnoteReference"/>
          <w:bCs/>
          <w:lang w:val="en-US" w:eastAsia="en-US"/>
        </w:rPr>
        <w:footnoteReference w:id="18"/>
      </w:r>
      <w:r w:rsidR="00CB6ABA">
        <w:rPr>
          <w:bCs/>
          <w:lang w:val="en-US" w:eastAsia="en-US"/>
        </w:rPr>
        <w:t xml:space="preserve"> About this much </w:t>
      </w:r>
      <w:proofErr w:type="spellStart"/>
      <w:r w:rsidR="00CB6ABA">
        <w:rPr>
          <w:bCs/>
          <w:lang w:val="en-US" w:eastAsia="en-US"/>
        </w:rPr>
        <w:t>Dworkin</w:t>
      </w:r>
      <w:proofErr w:type="spellEnd"/>
      <w:r w:rsidR="00CB6ABA">
        <w:rPr>
          <w:bCs/>
          <w:lang w:val="en-US" w:eastAsia="en-US"/>
        </w:rPr>
        <w:t xml:space="preserve"> appears to be correct</w:t>
      </w:r>
      <w:r w:rsidR="00546F4A">
        <w:rPr>
          <w:bCs/>
          <w:lang w:val="en-US" w:eastAsia="en-US"/>
        </w:rPr>
        <w:t>, and so we should be dubious about equality of welfare</w:t>
      </w:r>
      <w:r w:rsidR="00CB6ABA">
        <w:rPr>
          <w:bCs/>
          <w:lang w:val="en-US" w:eastAsia="en-US"/>
        </w:rPr>
        <w:t xml:space="preserve">. But </w:t>
      </w:r>
      <w:r w:rsidR="007F21CC">
        <w:rPr>
          <w:bCs/>
          <w:lang w:val="en-US" w:eastAsia="en-US"/>
        </w:rPr>
        <w:t>his critique points towards further extensions of the main argument. Both an adaption of</w:t>
      </w:r>
      <w:r w:rsidR="00CB6ABA">
        <w:rPr>
          <w:bCs/>
          <w:lang w:val="en-US" w:eastAsia="en-US"/>
        </w:rPr>
        <w:t xml:space="preserve"> equality of welfare, and </w:t>
      </w:r>
      <w:proofErr w:type="spellStart"/>
      <w:r w:rsidR="00CB6ABA">
        <w:rPr>
          <w:bCs/>
          <w:lang w:val="en-US" w:eastAsia="en-US"/>
        </w:rPr>
        <w:t>Dworkin’s</w:t>
      </w:r>
      <w:proofErr w:type="spellEnd"/>
      <w:r w:rsidR="00CB6ABA">
        <w:rPr>
          <w:bCs/>
          <w:lang w:val="en-US" w:eastAsia="en-US"/>
        </w:rPr>
        <w:t xml:space="preserve"> </w:t>
      </w:r>
      <w:proofErr w:type="spellStart"/>
      <w:r w:rsidR="00CB6ABA">
        <w:rPr>
          <w:bCs/>
          <w:lang w:val="en-US" w:eastAsia="en-US"/>
        </w:rPr>
        <w:t>favoured</w:t>
      </w:r>
      <w:proofErr w:type="spellEnd"/>
      <w:r w:rsidR="00CB6ABA">
        <w:rPr>
          <w:bCs/>
          <w:lang w:val="en-US" w:eastAsia="en-US"/>
        </w:rPr>
        <w:t xml:space="preserve"> alternative, </w:t>
      </w:r>
      <w:r w:rsidR="007F21CC">
        <w:rPr>
          <w:bCs/>
          <w:lang w:val="en-US" w:eastAsia="en-US"/>
        </w:rPr>
        <w:t>can support moderate grandfathering.</w:t>
      </w:r>
    </w:p>
    <w:p w:rsidR="001D7D16" w:rsidRDefault="007F21CC" w:rsidP="00594253">
      <w:pPr>
        <w:autoSpaceDE w:val="0"/>
        <w:autoSpaceDN w:val="0"/>
        <w:adjustRightInd w:val="0"/>
        <w:spacing w:line="480" w:lineRule="auto"/>
        <w:ind w:firstLine="720"/>
        <w:jc w:val="both"/>
        <w:rPr>
          <w:bCs/>
          <w:lang w:val="en-US" w:eastAsia="en-US"/>
        </w:rPr>
      </w:pPr>
      <w:proofErr w:type="spellStart"/>
      <w:r>
        <w:rPr>
          <w:bCs/>
          <w:lang w:val="en-US" w:eastAsia="en-US"/>
        </w:rPr>
        <w:t>Dworkin’s</w:t>
      </w:r>
      <w:proofErr w:type="spellEnd"/>
      <w:r>
        <w:rPr>
          <w:bCs/>
          <w:lang w:val="en-US" w:eastAsia="en-US"/>
        </w:rPr>
        <w:t xml:space="preserve"> indictment of compensation for deliberately cultivated expensive tastes suggests that </w:t>
      </w:r>
      <w:r w:rsidRPr="007F21CC">
        <w:rPr>
          <w:bCs/>
          <w:i/>
          <w:lang w:val="en-US" w:eastAsia="en-US"/>
        </w:rPr>
        <w:t>equality of opportunity for welfare</w:t>
      </w:r>
      <w:r>
        <w:rPr>
          <w:bCs/>
          <w:lang w:val="en-US" w:eastAsia="en-US"/>
        </w:rPr>
        <w:t xml:space="preserve"> might be a better account than straight equality of welfare.</w:t>
      </w:r>
      <w:r w:rsidR="001356A9">
        <w:rPr>
          <w:bCs/>
          <w:lang w:val="en-US" w:eastAsia="en-US"/>
        </w:rPr>
        <w:t xml:space="preserve"> Equality of opportunity for welfare seeks to equalize individual welfare levels, except insofar as individuals are responsible for bringing about unequal welfare levels.</w:t>
      </w:r>
      <w:r>
        <w:rPr>
          <w:bCs/>
          <w:lang w:val="en-US" w:eastAsia="en-US"/>
        </w:rPr>
        <w:t xml:space="preserve"> As applied to expensive tastes, </w:t>
      </w:r>
      <w:r w:rsidR="001356A9">
        <w:rPr>
          <w:bCs/>
          <w:lang w:val="en-US" w:eastAsia="en-US"/>
        </w:rPr>
        <w:t>it</w:t>
      </w:r>
      <w:r>
        <w:rPr>
          <w:bCs/>
          <w:lang w:val="en-US" w:eastAsia="en-US"/>
        </w:rPr>
        <w:t xml:space="preserve"> offers compensation for </w:t>
      </w:r>
      <w:r w:rsidRPr="001961A0">
        <w:rPr>
          <w:bCs/>
          <w:i/>
          <w:lang w:val="en-US" w:eastAsia="en-US"/>
        </w:rPr>
        <w:t>involuntarily</w:t>
      </w:r>
      <w:r>
        <w:rPr>
          <w:bCs/>
          <w:lang w:val="en-US" w:eastAsia="en-US"/>
        </w:rPr>
        <w:t xml:space="preserve"> acquired tastes, while denying compensation for voluntarily acquired </w:t>
      </w:r>
      <w:r>
        <w:rPr>
          <w:bCs/>
          <w:lang w:val="en-US" w:eastAsia="en-US"/>
        </w:rPr>
        <w:lastRenderedPageBreak/>
        <w:t>tastes.</w:t>
      </w:r>
      <w:r>
        <w:rPr>
          <w:rStyle w:val="FootnoteReference"/>
          <w:bCs/>
          <w:lang w:val="en-US" w:eastAsia="en-US"/>
        </w:rPr>
        <w:footnoteReference w:id="19"/>
      </w:r>
      <w:r>
        <w:rPr>
          <w:bCs/>
          <w:lang w:val="en-US" w:eastAsia="en-US"/>
        </w:rPr>
        <w:t xml:space="preserve"> As such it appears to be immune to the Louis counterexample to equality of welfare. But can it support grandfathering as equality</w:t>
      </w:r>
      <w:r w:rsidR="001961A0">
        <w:rPr>
          <w:bCs/>
          <w:lang w:val="en-US" w:eastAsia="en-US"/>
        </w:rPr>
        <w:t xml:space="preserve"> of </w:t>
      </w:r>
      <w:r w:rsidR="00A45DE0">
        <w:rPr>
          <w:bCs/>
          <w:lang w:val="en-US" w:eastAsia="en-US"/>
        </w:rPr>
        <w:t>welfar</w:t>
      </w:r>
      <w:r w:rsidR="001961A0">
        <w:rPr>
          <w:bCs/>
          <w:lang w:val="en-US" w:eastAsia="en-US"/>
        </w:rPr>
        <w:t>e can?</w:t>
      </w:r>
    </w:p>
    <w:p w:rsidR="001B00F1" w:rsidRDefault="007F21CC" w:rsidP="00594253">
      <w:pPr>
        <w:autoSpaceDE w:val="0"/>
        <w:autoSpaceDN w:val="0"/>
        <w:adjustRightInd w:val="0"/>
        <w:spacing w:line="480" w:lineRule="auto"/>
        <w:ind w:firstLine="720"/>
        <w:jc w:val="both"/>
        <w:rPr>
          <w:bCs/>
          <w:lang w:val="en-US" w:eastAsia="en-US"/>
        </w:rPr>
      </w:pPr>
      <w:r>
        <w:rPr>
          <w:bCs/>
          <w:lang w:val="en-US" w:eastAsia="en-US"/>
        </w:rPr>
        <w:t xml:space="preserve">Here the relevant question is whether high emitters have voluntarily acquired their </w:t>
      </w:r>
      <w:r w:rsidR="001C65E5">
        <w:rPr>
          <w:bCs/>
          <w:lang w:val="en-US" w:eastAsia="en-US"/>
        </w:rPr>
        <w:t xml:space="preserve">practices and </w:t>
      </w:r>
      <w:r>
        <w:rPr>
          <w:bCs/>
          <w:lang w:val="en-US" w:eastAsia="en-US"/>
        </w:rPr>
        <w:t>tastes</w:t>
      </w:r>
      <w:r w:rsidR="00821BFA">
        <w:rPr>
          <w:bCs/>
          <w:lang w:val="en-US" w:eastAsia="en-US"/>
        </w:rPr>
        <w:t xml:space="preserve"> which are dependent on emissions</w:t>
      </w:r>
      <w:r w:rsidR="001D7D16">
        <w:rPr>
          <w:bCs/>
          <w:lang w:val="en-US" w:eastAsia="en-US"/>
        </w:rPr>
        <w:t>.</w:t>
      </w:r>
      <w:r w:rsidR="0041415C">
        <w:rPr>
          <w:rStyle w:val="FootnoteReference"/>
          <w:bCs/>
          <w:lang w:val="en-US" w:eastAsia="en-US"/>
        </w:rPr>
        <w:footnoteReference w:id="20"/>
      </w:r>
      <w:r w:rsidR="001D7D16">
        <w:rPr>
          <w:bCs/>
          <w:lang w:val="en-US" w:eastAsia="en-US"/>
        </w:rPr>
        <w:t xml:space="preserve"> </w:t>
      </w:r>
      <w:r w:rsidR="00821BFA">
        <w:rPr>
          <w:bCs/>
          <w:lang w:val="en-US" w:eastAsia="en-US"/>
        </w:rPr>
        <w:t xml:space="preserve">Some general doubts about </w:t>
      </w:r>
      <w:r w:rsidR="001D7D16">
        <w:rPr>
          <w:bCs/>
          <w:lang w:val="en-US" w:eastAsia="en-US"/>
        </w:rPr>
        <w:t>voluntariness can be raised</w:t>
      </w:r>
      <w:r w:rsidR="00F1092B">
        <w:rPr>
          <w:bCs/>
          <w:lang w:val="en-US" w:eastAsia="en-US"/>
        </w:rPr>
        <w:t>. B</w:t>
      </w:r>
      <w:r w:rsidR="00821BFA">
        <w:rPr>
          <w:bCs/>
          <w:lang w:val="en-US" w:eastAsia="en-US"/>
        </w:rPr>
        <w:t xml:space="preserve">oth Richard </w:t>
      </w:r>
      <w:proofErr w:type="spellStart"/>
      <w:r w:rsidR="00821BFA">
        <w:rPr>
          <w:bCs/>
          <w:lang w:val="en-US" w:eastAsia="en-US"/>
        </w:rPr>
        <w:t>Arneson</w:t>
      </w:r>
      <w:proofErr w:type="spellEnd"/>
      <w:r w:rsidR="00821BFA">
        <w:rPr>
          <w:bCs/>
          <w:lang w:val="en-US" w:eastAsia="en-US"/>
        </w:rPr>
        <w:t xml:space="preserve"> and G. A. Cohen, the two leading proponents of equality of opportunity for welfare, suggest that if the metaphysical position of hard determinism is true – that is, that all events, including human a</w:t>
      </w:r>
      <w:r w:rsidR="00546F4A">
        <w:rPr>
          <w:bCs/>
          <w:lang w:val="en-US" w:eastAsia="en-US"/>
        </w:rPr>
        <w:t>ction, are antecedently caused</w:t>
      </w:r>
      <w:r w:rsidR="00821BFA">
        <w:rPr>
          <w:bCs/>
          <w:lang w:val="en-US" w:eastAsia="en-US"/>
        </w:rPr>
        <w:t xml:space="preserve">, and that that is inconsistent with free will or responsibility – equality of opportunity for welfare has exactly the same prescriptions as equality of welfare. While we certainly cannot assume such a </w:t>
      </w:r>
      <w:proofErr w:type="spellStart"/>
      <w:r w:rsidR="00821BFA">
        <w:rPr>
          <w:bCs/>
          <w:lang w:val="en-US" w:eastAsia="en-US"/>
        </w:rPr>
        <w:t>sceptical</w:t>
      </w:r>
      <w:proofErr w:type="spellEnd"/>
      <w:r w:rsidR="00821BFA">
        <w:rPr>
          <w:bCs/>
          <w:lang w:val="en-US" w:eastAsia="en-US"/>
        </w:rPr>
        <w:t xml:space="preserve"> picture on voluntariness, </w:t>
      </w:r>
      <w:r w:rsidR="00546F4A">
        <w:rPr>
          <w:bCs/>
          <w:lang w:val="en-US" w:eastAsia="en-US"/>
        </w:rPr>
        <w:t xml:space="preserve">it is equally cavalier to assume its falsity. </w:t>
      </w:r>
      <w:r w:rsidR="001B00F1">
        <w:rPr>
          <w:bCs/>
          <w:lang w:val="en-US" w:eastAsia="en-US"/>
        </w:rPr>
        <w:t>Our metaphysical doubt at this point is perhaps best modeled by treating</w:t>
      </w:r>
      <w:r w:rsidR="00821BFA">
        <w:rPr>
          <w:bCs/>
          <w:lang w:val="en-US" w:eastAsia="en-US"/>
        </w:rPr>
        <w:t xml:space="preserve"> even the most evidently voluntary actions as </w:t>
      </w:r>
      <w:r w:rsidR="00821BFA" w:rsidRPr="001B00F1">
        <w:rPr>
          <w:bCs/>
          <w:i/>
          <w:lang w:val="en-US" w:eastAsia="en-US"/>
        </w:rPr>
        <w:t>partially</w:t>
      </w:r>
      <w:r w:rsidR="00821BFA">
        <w:rPr>
          <w:bCs/>
          <w:lang w:val="en-US" w:eastAsia="en-US"/>
        </w:rPr>
        <w:t xml:space="preserve"> involuntarily.</w:t>
      </w:r>
      <w:r w:rsidR="00821BFA">
        <w:rPr>
          <w:rStyle w:val="FootnoteReference"/>
          <w:bCs/>
          <w:lang w:val="en-US" w:eastAsia="en-US"/>
        </w:rPr>
        <w:footnoteReference w:id="21"/>
      </w:r>
    </w:p>
    <w:p w:rsidR="00FE289D" w:rsidRDefault="00821BFA" w:rsidP="00594253">
      <w:pPr>
        <w:autoSpaceDE w:val="0"/>
        <w:autoSpaceDN w:val="0"/>
        <w:adjustRightInd w:val="0"/>
        <w:spacing w:line="480" w:lineRule="auto"/>
        <w:ind w:firstLine="720"/>
        <w:jc w:val="both"/>
        <w:rPr>
          <w:bCs/>
          <w:lang w:val="en-US" w:eastAsia="en-US"/>
        </w:rPr>
      </w:pPr>
      <w:r>
        <w:rPr>
          <w:bCs/>
          <w:lang w:val="en-US" w:eastAsia="en-US"/>
        </w:rPr>
        <w:t xml:space="preserve">There are also factors specific to emitters’ tastes which may cause us to doubt their voluntariness. </w:t>
      </w:r>
      <w:r w:rsidR="001C65E5">
        <w:rPr>
          <w:bCs/>
          <w:lang w:val="en-US" w:eastAsia="en-US"/>
        </w:rPr>
        <w:t>Individuals’ tastes are significantly influenced by upbringing, for which they cannot be held responsible. Given that climate change has only been well understood since</w:t>
      </w:r>
      <w:r w:rsidR="00BA0AAD">
        <w:rPr>
          <w:bCs/>
          <w:lang w:val="en-US" w:eastAsia="en-US"/>
        </w:rPr>
        <w:t xml:space="preserve"> the</w:t>
      </w:r>
      <w:r w:rsidR="001C65E5">
        <w:rPr>
          <w:bCs/>
          <w:lang w:val="en-US" w:eastAsia="en-US"/>
        </w:rPr>
        <w:t xml:space="preserve"> 1990</w:t>
      </w:r>
      <w:r w:rsidR="00BA0AAD">
        <w:rPr>
          <w:bCs/>
          <w:lang w:val="en-US" w:eastAsia="en-US"/>
        </w:rPr>
        <w:t>s</w:t>
      </w:r>
      <w:r w:rsidR="001C65E5">
        <w:rPr>
          <w:bCs/>
          <w:lang w:val="en-US" w:eastAsia="en-US"/>
        </w:rPr>
        <w:t xml:space="preserve">, tastes acquired during adulthood but </w:t>
      </w:r>
      <w:r w:rsidR="00A45DE0">
        <w:rPr>
          <w:bCs/>
          <w:lang w:val="en-US" w:eastAsia="en-US"/>
        </w:rPr>
        <w:t>decades ago</w:t>
      </w:r>
      <w:r w:rsidR="001C65E5">
        <w:rPr>
          <w:bCs/>
          <w:lang w:val="en-US" w:eastAsia="en-US"/>
        </w:rPr>
        <w:t xml:space="preserve"> can also </w:t>
      </w:r>
      <w:r w:rsidR="001C65E5">
        <w:rPr>
          <w:bCs/>
          <w:lang w:val="en-US" w:eastAsia="en-US"/>
        </w:rPr>
        <w:lastRenderedPageBreak/>
        <w:t>be treated as relevantly involuntary</w:t>
      </w:r>
      <w:r w:rsidR="00A45DE0">
        <w:rPr>
          <w:bCs/>
          <w:lang w:val="en-US" w:eastAsia="en-US"/>
        </w:rPr>
        <w:t>:</w:t>
      </w:r>
      <w:r w:rsidR="00852516">
        <w:rPr>
          <w:rStyle w:val="FootnoteReference"/>
          <w:bCs/>
          <w:lang w:val="en-US" w:eastAsia="en-US"/>
        </w:rPr>
        <w:footnoteReference w:id="22"/>
      </w:r>
      <w:r w:rsidR="00A45DE0">
        <w:rPr>
          <w:bCs/>
          <w:lang w:val="en-US" w:eastAsia="en-US"/>
        </w:rPr>
        <w:t xml:space="preserve"> a</w:t>
      </w:r>
      <w:r w:rsidR="001C65E5">
        <w:rPr>
          <w:bCs/>
          <w:lang w:val="en-US" w:eastAsia="en-US"/>
        </w:rPr>
        <w:t xml:space="preserve">s Cohen has emphasized, it is responsibility for the </w:t>
      </w:r>
      <w:r w:rsidR="001C65E5" w:rsidRPr="001C65E5">
        <w:rPr>
          <w:bCs/>
          <w:i/>
          <w:lang w:val="en-US" w:eastAsia="en-US"/>
        </w:rPr>
        <w:t>expensiveness</w:t>
      </w:r>
      <w:r w:rsidR="001C65E5">
        <w:rPr>
          <w:bCs/>
          <w:lang w:val="en-US" w:eastAsia="en-US"/>
        </w:rPr>
        <w:t xml:space="preserve"> of a taste that matters for justice, rather than its mere possession.</w:t>
      </w:r>
      <w:r w:rsidR="001C65E5">
        <w:rPr>
          <w:rStyle w:val="FootnoteReference"/>
          <w:bCs/>
          <w:lang w:val="en-US" w:eastAsia="en-US"/>
        </w:rPr>
        <w:footnoteReference w:id="23"/>
      </w:r>
      <w:r w:rsidR="001C65E5">
        <w:rPr>
          <w:bCs/>
          <w:lang w:val="en-US" w:eastAsia="en-US"/>
        </w:rPr>
        <w:t xml:space="preserve"> Finally, the social context in which individuals find themselves</w:t>
      </w:r>
      <w:r w:rsidR="00A33C1D">
        <w:rPr>
          <w:bCs/>
          <w:lang w:val="en-US" w:eastAsia="en-US"/>
        </w:rPr>
        <w:t xml:space="preserve"> m</w:t>
      </w:r>
      <w:r w:rsidR="00A45DE0">
        <w:rPr>
          <w:bCs/>
          <w:lang w:val="en-US" w:eastAsia="en-US"/>
        </w:rPr>
        <w:t>ay mean that some high emission</w:t>
      </w:r>
      <w:r w:rsidR="00A33C1D">
        <w:rPr>
          <w:bCs/>
          <w:lang w:val="en-US" w:eastAsia="en-US"/>
        </w:rPr>
        <w:t xml:space="preserve"> practices can only be avoided at a significant welfare cost. For instance, in some areas transport by car may be the only viable option. While these costs could be avoided through significant curtailment of mobility or relocation, it is clear that someone faced with such a choice who decides to stay mobile and in the same area – perhaps because this is the only reliable way to stay employed – is often not responsible for the fact that they need more resources (including emission rights) to secure the same welfare as others.</w:t>
      </w:r>
    </w:p>
    <w:p w:rsidR="00B819D2" w:rsidRPr="00D95D75" w:rsidRDefault="00F95FE5" w:rsidP="00D95D75">
      <w:pPr>
        <w:autoSpaceDE w:val="0"/>
        <w:autoSpaceDN w:val="0"/>
        <w:adjustRightInd w:val="0"/>
        <w:spacing w:line="480" w:lineRule="auto"/>
        <w:ind w:firstLine="720"/>
        <w:jc w:val="both"/>
        <w:rPr>
          <w:rFonts w:ascii="Palatino-Roman" w:hAnsi="Palatino-Roman" w:cs="Palatino-Roman"/>
          <w:i/>
          <w:sz w:val="20"/>
          <w:szCs w:val="20"/>
          <w:lang w:val="en-US" w:eastAsia="en-US"/>
        </w:rPr>
      </w:pPr>
      <w:r>
        <w:rPr>
          <w:bCs/>
          <w:lang w:val="en-US" w:eastAsia="en-US"/>
        </w:rPr>
        <w:t xml:space="preserve">An </w:t>
      </w:r>
      <w:r w:rsidR="009E45E7">
        <w:rPr>
          <w:bCs/>
          <w:lang w:val="en-US" w:eastAsia="en-US"/>
        </w:rPr>
        <w:t xml:space="preserve">objection </w:t>
      </w:r>
      <w:r>
        <w:rPr>
          <w:bCs/>
          <w:lang w:val="en-US" w:eastAsia="en-US"/>
        </w:rPr>
        <w:t xml:space="preserve">to compensation for such costs </w:t>
      </w:r>
      <w:r w:rsidR="009E45E7">
        <w:rPr>
          <w:bCs/>
          <w:lang w:val="en-US" w:eastAsia="en-US"/>
        </w:rPr>
        <w:t xml:space="preserve">is raised in </w:t>
      </w:r>
      <w:r w:rsidR="001F1F7B" w:rsidRPr="00AF672C">
        <w:rPr>
          <w:bCs/>
          <w:lang w:val="en-US" w:eastAsia="en-US"/>
        </w:rPr>
        <w:t xml:space="preserve">Axel </w:t>
      </w:r>
      <w:proofErr w:type="spellStart"/>
      <w:r w:rsidR="001F1F7B" w:rsidRPr="00AF672C">
        <w:rPr>
          <w:bCs/>
          <w:lang w:val="en-US" w:eastAsia="en-US"/>
        </w:rPr>
        <w:t>Gosseries</w:t>
      </w:r>
      <w:proofErr w:type="spellEnd"/>
      <w:r w:rsidR="009E45E7">
        <w:rPr>
          <w:bCs/>
          <w:lang w:val="en-US" w:eastAsia="en-US"/>
        </w:rPr>
        <w:t>’</w:t>
      </w:r>
      <w:r w:rsidR="001F1F7B" w:rsidRPr="00AF672C">
        <w:rPr>
          <w:bCs/>
          <w:lang w:val="en-US" w:eastAsia="en-US"/>
        </w:rPr>
        <w:t xml:space="preserve"> insightful analysis of </w:t>
      </w:r>
      <w:r w:rsidR="00994A28" w:rsidRPr="00AF672C">
        <w:rPr>
          <w:bCs/>
          <w:lang w:val="en-US" w:eastAsia="en-US"/>
        </w:rPr>
        <w:t>gr</w:t>
      </w:r>
      <w:r w:rsidR="001F1F7B" w:rsidRPr="00AF672C">
        <w:rPr>
          <w:bCs/>
          <w:lang w:val="en-US" w:eastAsia="en-US"/>
        </w:rPr>
        <w:t xml:space="preserve">andfathering </w:t>
      </w:r>
      <w:r w:rsidR="00EB7D60">
        <w:rPr>
          <w:bCs/>
          <w:lang w:val="en-US" w:eastAsia="en-US"/>
        </w:rPr>
        <w:t>from a perspective similar to equal</w:t>
      </w:r>
      <w:r w:rsidR="00037539">
        <w:rPr>
          <w:bCs/>
          <w:lang w:val="en-US" w:eastAsia="en-US"/>
        </w:rPr>
        <w:t xml:space="preserve">ity of opportunity for welfare. He </w:t>
      </w:r>
      <w:r w:rsidR="00D95D75">
        <w:rPr>
          <w:bCs/>
          <w:lang w:val="en-US" w:eastAsia="en-US"/>
        </w:rPr>
        <w:t xml:space="preserve">suggests that </w:t>
      </w:r>
      <w:r w:rsidR="001F1F7B" w:rsidRPr="00AF672C">
        <w:rPr>
          <w:lang w:val="en-US" w:eastAsia="en-US"/>
        </w:rPr>
        <w:t xml:space="preserve">‘[t]here may be cases in which </w:t>
      </w:r>
      <w:r w:rsidR="00D95D75">
        <w:rPr>
          <w:lang w:val="en-US" w:eastAsia="en-US"/>
        </w:rPr>
        <w:t xml:space="preserve">… </w:t>
      </w:r>
      <w:r w:rsidR="001F1F7B" w:rsidRPr="00AF672C">
        <w:rPr>
          <w:lang w:val="en-US" w:eastAsia="en-US"/>
        </w:rPr>
        <w:t>transition losses should be compensated, in the same way as other disadvantageous circumstances call for compensation’.</w:t>
      </w:r>
      <w:r w:rsidR="00AF672C">
        <w:rPr>
          <w:rStyle w:val="FootnoteReference"/>
          <w:lang w:val="en-US" w:eastAsia="en-US"/>
        </w:rPr>
        <w:footnoteReference w:id="24"/>
      </w:r>
      <w:r w:rsidR="000C201E" w:rsidRPr="00AF672C">
        <w:rPr>
          <w:lang w:val="en-US" w:eastAsia="en-US"/>
        </w:rPr>
        <w:t xml:space="preserve"> However, </w:t>
      </w:r>
      <w:r w:rsidR="00EC0C83">
        <w:rPr>
          <w:lang w:val="en-US" w:eastAsia="en-US"/>
        </w:rPr>
        <w:t>he</w:t>
      </w:r>
      <w:r w:rsidR="000C201E" w:rsidRPr="00AF672C">
        <w:rPr>
          <w:lang w:val="en-US" w:eastAsia="en-US"/>
        </w:rPr>
        <w:t xml:space="preserve"> opposes grandfather</w:t>
      </w:r>
      <w:r w:rsidR="00300DFF">
        <w:rPr>
          <w:lang w:val="en-US" w:eastAsia="en-US"/>
        </w:rPr>
        <w:t xml:space="preserve">ing of emissions – except </w:t>
      </w:r>
      <w:r w:rsidR="00EE5805">
        <w:rPr>
          <w:lang w:val="en-US" w:eastAsia="en-US"/>
        </w:rPr>
        <w:t>as a transitional measure, or for emissions</w:t>
      </w:r>
      <w:r w:rsidR="00300DFF">
        <w:rPr>
          <w:lang w:val="en-US" w:eastAsia="en-US"/>
        </w:rPr>
        <w:t xml:space="preserve"> made prior to 1995</w:t>
      </w:r>
      <w:r w:rsidR="00D95D75">
        <w:rPr>
          <w:lang w:val="en-US" w:eastAsia="en-US"/>
        </w:rPr>
        <w:t>.</w:t>
      </w:r>
      <w:r w:rsidR="00D95D75">
        <w:rPr>
          <w:rFonts w:ascii="Palatino-Roman" w:hAnsi="Palatino-Roman" w:cs="Palatino-Roman"/>
          <w:i/>
          <w:sz w:val="20"/>
          <w:szCs w:val="20"/>
          <w:lang w:val="en-US" w:eastAsia="en-US"/>
        </w:rPr>
        <w:t xml:space="preserve"> </w:t>
      </w:r>
      <w:r w:rsidR="00047601" w:rsidRPr="00300DFF">
        <w:rPr>
          <w:lang w:val="en-US" w:eastAsia="en-US"/>
        </w:rPr>
        <w:t xml:space="preserve">The </w:t>
      </w:r>
      <w:r w:rsidR="009E45E7">
        <w:rPr>
          <w:lang w:val="en-US" w:eastAsia="en-US"/>
        </w:rPr>
        <w:t>key</w:t>
      </w:r>
      <w:r w:rsidR="00047601" w:rsidRPr="00300DFF">
        <w:rPr>
          <w:lang w:val="en-US" w:eastAsia="en-US"/>
        </w:rPr>
        <w:t xml:space="preserve"> question </w:t>
      </w:r>
      <w:r w:rsidR="0069526E">
        <w:rPr>
          <w:lang w:val="en-US" w:eastAsia="en-US"/>
        </w:rPr>
        <w:t xml:space="preserve">for </w:t>
      </w:r>
      <w:proofErr w:type="spellStart"/>
      <w:r w:rsidR="0069526E">
        <w:rPr>
          <w:lang w:val="en-US" w:eastAsia="en-US"/>
        </w:rPr>
        <w:t>Gosseries</w:t>
      </w:r>
      <w:proofErr w:type="spellEnd"/>
      <w:r w:rsidR="009E45E7">
        <w:rPr>
          <w:lang w:val="en-US" w:eastAsia="en-US"/>
        </w:rPr>
        <w:t xml:space="preserve"> </w:t>
      </w:r>
      <w:r w:rsidR="00047601" w:rsidRPr="00300DFF">
        <w:rPr>
          <w:lang w:val="en-US" w:eastAsia="en-US"/>
        </w:rPr>
        <w:t>is</w:t>
      </w:r>
      <w:r w:rsidR="00277D48" w:rsidRPr="00300DFF">
        <w:rPr>
          <w:lang w:val="en-US" w:eastAsia="en-US"/>
        </w:rPr>
        <w:t xml:space="preserve"> ‘whether the potential transition losers should not have considered the initial regime as obviously illegitimate’</w:t>
      </w:r>
      <w:r w:rsidR="00047601" w:rsidRPr="00300DFF">
        <w:rPr>
          <w:lang w:val="en-US" w:eastAsia="en-US"/>
        </w:rPr>
        <w:t>.</w:t>
      </w:r>
      <w:r w:rsidR="00047601" w:rsidRPr="00300DFF">
        <w:rPr>
          <w:rStyle w:val="FootnoteReference"/>
          <w:lang w:val="en-US" w:eastAsia="en-US"/>
        </w:rPr>
        <w:footnoteReference w:id="25"/>
      </w:r>
      <w:r w:rsidR="00047601" w:rsidRPr="00300DFF">
        <w:rPr>
          <w:lang w:val="en-US" w:eastAsia="en-US"/>
        </w:rPr>
        <w:t xml:space="preserve"> If the transition losers, such as higher emitters, </w:t>
      </w:r>
      <w:r w:rsidR="0051063C" w:rsidRPr="00300DFF">
        <w:rPr>
          <w:lang w:val="en-US" w:eastAsia="en-US"/>
        </w:rPr>
        <w:t>should have been able to te</w:t>
      </w:r>
      <w:r w:rsidR="009E45E7">
        <w:rPr>
          <w:lang w:val="en-US" w:eastAsia="en-US"/>
        </w:rPr>
        <w:t xml:space="preserve">ll that their regime was </w:t>
      </w:r>
      <w:r w:rsidR="00D95D75">
        <w:rPr>
          <w:lang w:val="en-US" w:eastAsia="en-US"/>
        </w:rPr>
        <w:t>‘</w:t>
      </w:r>
      <w:r w:rsidR="009E45E7">
        <w:rPr>
          <w:lang w:val="en-US" w:eastAsia="en-US"/>
        </w:rPr>
        <w:t>obviously</w:t>
      </w:r>
      <w:r w:rsidR="0051063C" w:rsidRPr="00300DFF">
        <w:rPr>
          <w:lang w:val="en-US" w:eastAsia="en-US"/>
        </w:rPr>
        <w:t xml:space="preserve"> illegitimate</w:t>
      </w:r>
      <w:r w:rsidR="00D95D75">
        <w:rPr>
          <w:lang w:val="en-US" w:eastAsia="en-US"/>
        </w:rPr>
        <w:t>’</w:t>
      </w:r>
      <w:r w:rsidR="0051063C" w:rsidRPr="00300DFF">
        <w:rPr>
          <w:lang w:val="en-US" w:eastAsia="en-US"/>
        </w:rPr>
        <w:t>, they are not entitled to compensation. Only one</w:t>
      </w:r>
      <w:r w:rsidR="00047601" w:rsidRPr="00300DFF">
        <w:rPr>
          <w:lang w:val="en-US" w:eastAsia="en-US"/>
        </w:rPr>
        <w:t xml:space="preserve"> argument for </w:t>
      </w:r>
      <w:r w:rsidR="0051063C" w:rsidRPr="00300DFF">
        <w:rPr>
          <w:lang w:val="en-US" w:eastAsia="en-US"/>
        </w:rPr>
        <w:t>this position is presented, and</w:t>
      </w:r>
      <w:r w:rsidR="00EE5805">
        <w:rPr>
          <w:lang w:val="en-US" w:eastAsia="en-US"/>
        </w:rPr>
        <w:t xml:space="preserve"> as with so many arguments against grandfathering, it is </w:t>
      </w:r>
      <w:r w:rsidR="00EE5805">
        <w:rPr>
          <w:lang w:val="en-US" w:eastAsia="en-US"/>
        </w:rPr>
        <w:lastRenderedPageBreak/>
        <w:t>convincing only against strong</w:t>
      </w:r>
      <w:r w:rsidR="0069526E">
        <w:rPr>
          <w:lang w:val="en-US" w:eastAsia="en-US"/>
        </w:rPr>
        <w:t>er</w:t>
      </w:r>
      <w:r w:rsidR="00EE5805">
        <w:rPr>
          <w:lang w:val="en-US" w:eastAsia="en-US"/>
        </w:rPr>
        <w:t xml:space="preserve"> version</w:t>
      </w:r>
      <w:r w:rsidR="0069526E">
        <w:rPr>
          <w:lang w:val="en-US" w:eastAsia="en-US"/>
        </w:rPr>
        <w:t>s</w:t>
      </w:r>
      <w:r w:rsidR="00EE5805">
        <w:rPr>
          <w:lang w:val="en-US" w:eastAsia="en-US"/>
        </w:rPr>
        <w:t xml:space="preserve"> of the view</w:t>
      </w:r>
      <w:r w:rsidR="00047601" w:rsidRPr="00300DFF">
        <w:rPr>
          <w:lang w:val="en-US" w:eastAsia="en-US"/>
        </w:rPr>
        <w:t>.</w:t>
      </w:r>
      <w:r w:rsidR="0051063C" w:rsidRPr="00300DFF">
        <w:rPr>
          <w:lang w:val="en-US" w:eastAsia="en-US"/>
        </w:rPr>
        <w:t xml:space="preserve"> </w:t>
      </w:r>
      <w:proofErr w:type="spellStart"/>
      <w:r w:rsidR="0051063C" w:rsidRPr="00300DFF">
        <w:rPr>
          <w:lang w:val="en-US" w:eastAsia="en-US"/>
        </w:rPr>
        <w:t>Gosseries</w:t>
      </w:r>
      <w:proofErr w:type="spellEnd"/>
      <w:r w:rsidR="0051063C" w:rsidRPr="00300DFF">
        <w:rPr>
          <w:lang w:val="en-US" w:eastAsia="en-US"/>
        </w:rPr>
        <w:t xml:space="preserve"> maintains that</w:t>
      </w:r>
      <w:r w:rsidR="00047601" w:rsidRPr="00300DFF">
        <w:rPr>
          <w:lang w:val="en-US" w:eastAsia="en-US"/>
        </w:rPr>
        <w:t xml:space="preserve"> ‘</w:t>
      </w:r>
      <w:r w:rsidR="0051063C" w:rsidRPr="00300DFF">
        <w:rPr>
          <w:lang w:val="en-US" w:eastAsia="en-US"/>
        </w:rPr>
        <w:t>it would be morally unacceptable (and even absurd) to allow</w:t>
      </w:r>
      <w:r w:rsidR="00047601" w:rsidRPr="00300DFF">
        <w:rPr>
          <w:lang w:val="en-US" w:eastAsia="en-US"/>
        </w:rPr>
        <w:t xml:space="preserve"> men to claim compensation from women for losses resulting from the cancellation of clearly undue privileges’ acquired under a regime of workplace gender discrimination.</w:t>
      </w:r>
      <w:r w:rsidR="00047601" w:rsidRPr="00300DFF">
        <w:rPr>
          <w:rStyle w:val="FootnoteReference"/>
          <w:lang w:val="en-US" w:eastAsia="en-US"/>
        </w:rPr>
        <w:footnoteReference w:id="26"/>
      </w:r>
      <w:r w:rsidR="0051063C" w:rsidRPr="00300DFF">
        <w:rPr>
          <w:lang w:val="en-US" w:eastAsia="en-US"/>
        </w:rPr>
        <w:t xml:space="preserve"> </w:t>
      </w:r>
      <w:r w:rsidR="00300DFF" w:rsidRPr="00300DFF">
        <w:rPr>
          <w:lang w:val="en-US" w:eastAsia="en-US"/>
        </w:rPr>
        <w:t>This much we can readily allow, but it is insufficient to establish that grandfathering should play no role</w:t>
      </w:r>
      <w:r w:rsidR="00A36F68">
        <w:rPr>
          <w:lang w:val="en-US" w:eastAsia="en-US"/>
        </w:rPr>
        <w:t xml:space="preserve"> where there is awareness of illegitimacy</w:t>
      </w:r>
      <w:r w:rsidR="00300DFF" w:rsidRPr="00300DFF">
        <w:rPr>
          <w:lang w:val="en-US" w:eastAsia="en-US"/>
        </w:rPr>
        <w:t>. In the workplace ex</w:t>
      </w:r>
      <w:r w:rsidR="00EE5805">
        <w:rPr>
          <w:lang w:val="en-US" w:eastAsia="en-US"/>
        </w:rPr>
        <w:t>ample, the net compensation should</w:t>
      </w:r>
      <w:r w:rsidR="00300DFF" w:rsidRPr="00300DFF">
        <w:rPr>
          <w:lang w:val="en-US" w:eastAsia="en-US"/>
        </w:rPr>
        <w:t xml:space="preserve"> clearly be from men to women, who have suffered serious disadvantages relative to men. Nevertheless, some men will be disadvantaged more than o</w:t>
      </w:r>
      <w:r w:rsidR="009E45E7">
        <w:rPr>
          <w:lang w:val="en-US" w:eastAsia="en-US"/>
        </w:rPr>
        <w:t>ther men</w:t>
      </w:r>
      <w:r w:rsidR="00300DFF">
        <w:rPr>
          <w:lang w:val="en-US" w:eastAsia="en-US"/>
        </w:rPr>
        <w:t xml:space="preserve"> by the change </w:t>
      </w:r>
      <w:r w:rsidR="00EE5805">
        <w:rPr>
          <w:lang w:val="en-US" w:eastAsia="en-US"/>
        </w:rPr>
        <w:t>–</w:t>
      </w:r>
      <w:r w:rsidR="00300DFF">
        <w:rPr>
          <w:lang w:val="en-US" w:eastAsia="en-US"/>
        </w:rPr>
        <w:t xml:space="preserve"> </w:t>
      </w:r>
      <w:proofErr w:type="spellStart"/>
      <w:r w:rsidR="00300DFF" w:rsidRPr="00300DFF">
        <w:rPr>
          <w:lang w:val="en-US" w:eastAsia="en-US"/>
        </w:rPr>
        <w:t>Gosseries</w:t>
      </w:r>
      <w:proofErr w:type="spellEnd"/>
      <w:r w:rsidR="00EE5805">
        <w:rPr>
          <w:lang w:val="en-US" w:eastAsia="en-US"/>
        </w:rPr>
        <w:t xml:space="preserve"> </w:t>
      </w:r>
      <w:r w:rsidR="00300DFF" w:rsidRPr="00300DFF">
        <w:rPr>
          <w:lang w:val="en-US" w:eastAsia="en-US"/>
        </w:rPr>
        <w:t>even mentions ‘those who have invested in their career, suddenly facing</w:t>
      </w:r>
      <w:r w:rsidR="00300DFF">
        <w:rPr>
          <w:lang w:val="en-US" w:eastAsia="en-US"/>
        </w:rPr>
        <w:t xml:space="preserve"> </w:t>
      </w:r>
      <w:r w:rsidR="00300DFF" w:rsidRPr="00300DFF">
        <w:rPr>
          <w:lang w:val="en-US" w:eastAsia="en-US"/>
        </w:rPr>
        <w:t>a shrinking of their promotion perspectives’</w:t>
      </w:r>
      <w:r w:rsidR="00EE5805">
        <w:rPr>
          <w:lang w:val="en-US" w:eastAsia="en-US"/>
        </w:rPr>
        <w:t>.</w:t>
      </w:r>
      <w:r w:rsidR="00300DFF">
        <w:rPr>
          <w:rStyle w:val="FootnoteReference"/>
          <w:lang w:val="en-US" w:eastAsia="en-US"/>
        </w:rPr>
        <w:footnoteReference w:id="27"/>
      </w:r>
      <w:r w:rsidR="00300DFF">
        <w:rPr>
          <w:lang w:val="en-US" w:eastAsia="en-US"/>
        </w:rPr>
        <w:t xml:space="preserve"> </w:t>
      </w:r>
      <w:r w:rsidR="0037449B">
        <w:rPr>
          <w:lang w:val="en-US" w:eastAsia="en-US"/>
        </w:rPr>
        <w:t>E</w:t>
      </w:r>
      <w:r w:rsidR="00E96464">
        <w:rPr>
          <w:lang w:val="en-US" w:eastAsia="en-US"/>
        </w:rPr>
        <w:t xml:space="preserve">quality of opportunity for welfare requires that </w:t>
      </w:r>
      <w:r w:rsidR="00A36F68">
        <w:rPr>
          <w:lang w:val="en-US" w:eastAsia="en-US"/>
        </w:rPr>
        <w:t xml:space="preserve">more </w:t>
      </w:r>
      <w:r w:rsidR="005B7989">
        <w:rPr>
          <w:lang w:val="en-US" w:eastAsia="en-US"/>
        </w:rPr>
        <w:t>disadvantaged</w:t>
      </w:r>
      <w:r w:rsidR="00300DFF">
        <w:rPr>
          <w:lang w:val="en-US" w:eastAsia="en-US"/>
        </w:rPr>
        <w:t xml:space="preserve"> men </w:t>
      </w:r>
      <w:r w:rsidR="003E7D9C">
        <w:rPr>
          <w:lang w:val="en-US" w:eastAsia="en-US"/>
        </w:rPr>
        <w:t xml:space="preserve">are compensated, either by </w:t>
      </w:r>
      <w:r w:rsidR="00A67950">
        <w:rPr>
          <w:lang w:val="en-US" w:eastAsia="en-US"/>
        </w:rPr>
        <w:t>transferring</w:t>
      </w:r>
      <w:r w:rsidR="00A36F68">
        <w:rPr>
          <w:lang w:val="en-US" w:eastAsia="en-US"/>
        </w:rPr>
        <w:t xml:space="preserve"> less to women </w:t>
      </w:r>
      <w:r w:rsidR="00E96464">
        <w:rPr>
          <w:lang w:val="en-US" w:eastAsia="en-US"/>
        </w:rPr>
        <w:t>than</w:t>
      </w:r>
      <w:r w:rsidR="00A36F68">
        <w:rPr>
          <w:lang w:val="en-US" w:eastAsia="en-US"/>
        </w:rPr>
        <w:t xml:space="preserve"> less disadvantaged men</w:t>
      </w:r>
      <w:r w:rsidR="00A67950">
        <w:rPr>
          <w:lang w:val="en-US" w:eastAsia="en-US"/>
        </w:rPr>
        <w:t xml:space="preserve"> transfer or (what comes to the same) by receiving transfers from less disadvantaged men</w:t>
      </w:r>
      <w:r w:rsidR="00300DFF">
        <w:rPr>
          <w:lang w:val="en-US" w:eastAsia="en-US"/>
        </w:rPr>
        <w:t>.</w:t>
      </w:r>
      <w:r w:rsidR="0037449B">
        <w:rPr>
          <w:lang w:val="en-US" w:eastAsia="en-US"/>
        </w:rPr>
        <w:t xml:space="preserve"> </w:t>
      </w:r>
      <w:r w:rsidR="003E7D9C">
        <w:rPr>
          <w:lang w:val="en-US" w:eastAsia="en-US"/>
        </w:rPr>
        <w:t>M</w:t>
      </w:r>
      <w:r w:rsidR="00B55C4D" w:rsidRPr="00B55C4D">
        <w:rPr>
          <w:lang w:val="en-US" w:eastAsia="en-US"/>
        </w:rPr>
        <w:t xml:space="preserve">oderate </w:t>
      </w:r>
      <w:r w:rsidR="003E7D9C">
        <w:rPr>
          <w:lang w:val="en-US" w:eastAsia="en-US"/>
        </w:rPr>
        <w:t xml:space="preserve">emissions </w:t>
      </w:r>
      <w:r w:rsidR="00B55C4D" w:rsidRPr="00B55C4D">
        <w:rPr>
          <w:lang w:val="en-US" w:eastAsia="en-US"/>
        </w:rPr>
        <w:t>grandfathering</w:t>
      </w:r>
      <w:r w:rsidR="003E7D9C">
        <w:rPr>
          <w:lang w:val="en-US" w:eastAsia="en-US"/>
        </w:rPr>
        <w:t xml:space="preserve"> takes</w:t>
      </w:r>
      <w:r w:rsidR="00B55C4D" w:rsidRPr="00B55C4D">
        <w:rPr>
          <w:lang w:val="en-US" w:eastAsia="en-US"/>
        </w:rPr>
        <w:t xml:space="preserve"> </w:t>
      </w:r>
      <w:r w:rsidR="003E7D9C">
        <w:rPr>
          <w:lang w:val="en-US" w:eastAsia="en-US"/>
        </w:rPr>
        <w:t>high emitters to be relevantly similar to more disadvantaged men, in that they</w:t>
      </w:r>
      <w:r w:rsidR="00A67950">
        <w:rPr>
          <w:lang w:val="en-US" w:eastAsia="en-US"/>
        </w:rPr>
        <w:t xml:space="preserve"> face involuntary high transition costs which</w:t>
      </w:r>
      <w:r w:rsidR="003E7D9C">
        <w:rPr>
          <w:lang w:val="en-US" w:eastAsia="en-US"/>
        </w:rPr>
        <w:t xml:space="preserve"> </w:t>
      </w:r>
      <w:r w:rsidR="00A67950">
        <w:rPr>
          <w:lang w:val="en-US" w:eastAsia="en-US"/>
        </w:rPr>
        <w:t>require increased entitlements if equality of opportunity is to be secured</w:t>
      </w:r>
      <w:r w:rsidR="00B55C4D" w:rsidRPr="00B55C4D">
        <w:rPr>
          <w:lang w:val="en-US" w:eastAsia="en-US"/>
        </w:rPr>
        <w:t xml:space="preserve">. </w:t>
      </w:r>
      <w:r w:rsidR="00E96464">
        <w:rPr>
          <w:lang w:val="en-US" w:eastAsia="en-US"/>
        </w:rPr>
        <w:t xml:space="preserve">Although these </w:t>
      </w:r>
      <w:r w:rsidR="00A67950">
        <w:rPr>
          <w:lang w:val="en-US" w:eastAsia="en-US"/>
        </w:rPr>
        <w:t>entitlements</w:t>
      </w:r>
      <w:r w:rsidR="00E96464">
        <w:rPr>
          <w:lang w:val="en-US" w:eastAsia="en-US"/>
        </w:rPr>
        <w:t xml:space="preserve"> </w:t>
      </w:r>
      <w:r w:rsidR="00A67950">
        <w:rPr>
          <w:lang w:val="en-US" w:eastAsia="en-US"/>
        </w:rPr>
        <w:t>arise</w:t>
      </w:r>
      <w:r w:rsidR="00E96464">
        <w:rPr>
          <w:lang w:val="en-US" w:eastAsia="en-US"/>
        </w:rPr>
        <w:t xml:space="preserve"> </w:t>
      </w:r>
      <w:r w:rsidR="00A67950">
        <w:rPr>
          <w:lang w:val="en-US" w:eastAsia="en-US"/>
        </w:rPr>
        <w:t>through a history</w:t>
      </w:r>
      <w:r w:rsidR="00E96464">
        <w:rPr>
          <w:lang w:val="en-US" w:eastAsia="en-US"/>
        </w:rPr>
        <w:t xml:space="preserve"> of clear illegitimacy, </w:t>
      </w:r>
      <w:proofErr w:type="spellStart"/>
      <w:r w:rsidR="00E96464">
        <w:rPr>
          <w:lang w:val="en-US" w:eastAsia="en-US"/>
        </w:rPr>
        <w:t>Gosseries</w:t>
      </w:r>
      <w:proofErr w:type="spellEnd"/>
      <w:r w:rsidR="00E96464">
        <w:rPr>
          <w:lang w:val="en-US" w:eastAsia="en-US"/>
        </w:rPr>
        <w:t xml:space="preserve"> has presented no reason for thinking that they themselves are illegitimate.</w:t>
      </w:r>
      <w:r w:rsidR="00B55C4D">
        <w:rPr>
          <w:rStyle w:val="FootnoteReference"/>
          <w:lang w:val="en-US" w:eastAsia="en-US"/>
        </w:rPr>
        <w:footnoteReference w:id="28"/>
      </w:r>
    </w:p>
    <w:p w:rsidR="009424CE" w:rsidRDefault="00B819D2" w:rsidP="00300DFF">
      <w:pPr>
        <w:autoSpaceDE w:val="0"/>
        <w:autoSpaceDN w:val="0"/>
        <w:adjustRightInd w:val="0"/>
        <w:spacing w:line="480" w:lineRule="auto"/>
        <w:ind w:firstLine="720"/>
        <w:jc w:val="both"/>
        <w:rPr>
          <w:lang w:val="en-US" w:eastAsia="en-US"/>
        </w:rPr>
      </w:pPr>
      <w:r>
        <w:rPr>
          <w:lang w:val="en-US" w:eastAsia="en-US"/>
        </w:rPr>
        <w:t>A referee suggested that</w:t>
      </w:r>
      <w:r w:rsidR="003A4DAE">
        <w:rPr>
          <w:lang w:val="en-US" w:eastAsia="en-US"/>
        </w:rPr>
        <w:t>, where some practice is</w:t>
      </w:r>
      <w:r>
        <w:rPr>
          <w:lang w:val="en-US" w:eastAsia="en-US"/>
        </w:rPr>
        <w:t xml:space="preserve"> </w:t>
      </w:r>
      <w:r w:rsidR="002A0187">
        <w:rPr>
          <w:lang w:val="en-US" w:eastAsia="en-US"/>
        </w:rPr>
        <w:t xml:space="preserve">obviously </w:t>
      </w:r>
      <w:r>
        <w:rPr>
          <w:lang w:val="en-US" w:eastAsia="en-US"/>
        </w:rPr>
        <w:t>illegi</w:t>
      </w:r>
      <w:r w:rsidR="003A4DAE">
        <w:rPr>
          <w:lang w:val="en-US" w:eastAsia="en-US"/>
        </w:rPr>
        <w:t xml:space="preserve">timate, that </w:t>
      </w:r>
      <w:r w:rsidR="009424CE">
        <w:rPr>
          <w:lang w:val="en-US" w:eastAsia="en-US"/>
        </w:rPr>
        <w:t xml:space="preserve">obvious illegitimacy </w:t>
      </w:r>
      <w:r w:rsidR="003A4DAE">
        <w:rPr>
          <w:lang w:val="en-US" w:eastAsia="en-US"/>
        </w:rPr>
        <w:t xml:space="preserve">bars </w:t>
      </w:r>
      <w:r w:rsidR="00F67BDB" w:rsidRPr="00F67BDB">
        <w:rPr>
          <w:i/>
          <w:lang w:val="en-US" w:eastAsia="en-US"/>
        </w:rPr>
        <w:t>any</w:t>
      </w:r>
      <w:r w:rsidR="00F67BDB">
        <w:rPr>
          <w:lang w:val="en-US" w:eastAsia="en-US"/>
        </w:rPr>
        <w:t xml:space="preserve"> </w:t>
      </w:r>
      <w:r w:rsidR="003A4DAE">
        <w:rPr>
          <w:lang w:val="en-US" w:eastAsia="en-US"/>
        </w:rPr>
        <w:t xml:space="preserve">compensation </w:t>
      </w:r>
      <w:r w:rsidR="00F67BDB">
        <w:rPr>
          <w:lang w:val="en-US" w:eastAsia="en-US"/>
        </w:rPr>
        <w:t xml:space="preserve">– even compensation from other participants in the illegitimate practice – </w:t>
      </w:r>
      <w:r w:rsidR="003A4DAE">
        <w:rPr>
          <w:lang w:val="en-US" w:eastAsia="en-US"/>
        </w:rPr>
        <w:t>in</w:t>
      </w:r>
      <w:r w:rsidR="00F67BDB">
        <w:rPr>
          <w:lang w:val="en-US" w:eastAsia="en-US"/>
        </w:rPr>
        <w:t xml:space="preserve"> </w:t>
      </w:r>
      <w:r w:rsidR="003A4DAE">
        <w:rPr>
          <w:lang w:val="en-US" w:eastAsia="en-US"/>
        </w:rPr>
        <w:t xml:space="preserve">the event that the practice is </w:t>
      </w:r>
      <w:r w:rsidR="003A4DAE" w:rsidRPr="00F67BDB">
        <w:rPr>
          <w:lang w:val="en-US" w:eastAsia="en-US"/>
        </w:rPr>
        <w:t xml:space="preserve">ended. </w:t>
      </w:r>
      <w:r w:rsidR="002A0187" w:rsidRPr="00F67BDB">
        <w:rPr>
          <w:lang w:val="en-US" w:eastAsia="en-US"/>
        </w:rPr>
        <w:t xml:space="preserve">For </w:t>
      </w:r>
      <w:r w:rsidR="002A0187" w:rsidRPr="00F67BDB">
        <w:rPr>
          <w:lang w:val="en-US" w:eastAsia="en-US"/>
        </w:rPr>
        <w:lastRenderedPageBreak/>
        <w:t>inst</w:t>
      </w:r>
      <w:r w:rsidR="002A0187">
        <w:rPr>
          <w:lang w:val="en-US" w:eastAsia="en-US"/>
        </w:rPr>
        <w:t>ance, ‘[</w:t>
      </w:r>
      <w:proofErr w:type="spellStart"/>
      <w:r w:rsidR="002A0187">
        <w:rPr>
          <w:lang w:val="en-US" w:eastAsia="en-US"/>
        </w:rPr>
        <w:t>i</w:t>
      </w:r>
      <w:proofErr w:type="spellEnd"/>
      <w:r w:rsidR="002A0187">
        <w:rPr>
          <w:lang w:val="en-US" w:eastAsia="en-US"/>
        </w:rPr>
        <w:t>]f I'm a slave owner, in a period when slavery is acknowledged to be morally odious and illegitimate, then the revenue I derive from my slave I have no legitimate entitlement to. Thus if that revenue is taken from me, I have no legitimate claim to compensation from it, any more than a thief has a legitimate claim to be made whole if someone else takes his stolen loot</w:t>
      </w:r>
      <w:r w:rsidR="009424CE">
        <w:rPr>
          <w:lang w:val="en-US" w:eastAsia="en-US"/>
        </w:rPr>
        <w:t>’</w:t>
      </w:r>
      <w:r w:rsidR="002A0187">
        <w:rPr>
          <w:lang w:val="en-US" w:eastAsia="en-US"/>
        </w:rPr>
        <w:t>.</w:t>
      </w:r>
    </w:p>
    <w:p w:rsidR="009F4CD3" w:rsidRDefault="00F95FE5" w:rsidP="00F95FE5">
      <w:pPr>
        <w:autoSpaceDE w:val="0"/>
        <w:autoSpaceDN w:val="0"/>
        <w:adjustRightInd w:val="0"/>
        <w:spacing w:line="480" w:lineRule="auto"/>
        <w:ind w:firstLine="720"/>
        <w:jc w:val="both"/>
        <w:rPr>
          <w:lang w:val="en-US" w:eastAsia="en-US"/>
        </w:rPr>
      </w:pPr>
      <w:r>
        <w:rPr>
          <w:lang w:val="en-US" w:eastAsia="en-US"/>
        </w:rPr>
        <w:t>The crucial question here is how far</w:t>
      </w:r>
      <w:r w:rsidR="003856F0">
        <w:rPr>
          <w:lang w:val="en-US" w:eastAsia="en-US"/>
        </w:rPr>
        <w:t xml:space="preserve"> </w:t>
      </w:r>
      <w:r>
        <w:rPr>
          <w:lang w:val="en-US" w:eastAsia="en-US"/>
        </w:rPr>
        <w:t>h</w:t>
      </w:r>
      <w:r w:rsidR="009424CE">
        <w:rPr>
          <w:lang w:val="en-US" w:eastAsia="en-US"/>
        </w:rPr>
        <w:t xml:space="preserve">igh emissions </w:t>
      </w:r>
      <w:r>
        <w:rPr>
          <w:lang w:val="en-US" w:eastAsia="en-US"/>
        </w:rPr>
        <w:t>can</w:t>
      </w:r>
      <w:r w:rsidR="009424CE">
        <w:rPr>
          <w:lang w:val="en-US" w:eastAsia="en-US"/>
        </w:rPr>
        <w:t xml:space="preserve"> be shown to be relevantly equivalent to </w:t>
      </w:r>
      <w:r>
        <w:rPr>
          <w:lang w:val="en-US" w:eastAsia="en-US"/>
        </w:rPr>
        <w:t>slavery</w:t>
      </w:r>
      <w:r w:rsidR="009424CE">
        <w:rPr>
          <w:lang w:val="en-US" w:eastAsia="en-US"/>
        </w:rPr>
        <w:t>, in that they are obviously illegitimate.</w:t>
      </w:r>
      <w:r w:rsidR="003856F0">
        <w:rPr>
          <w:lang w:val="en-US" w:eastAsia="en-US"/>
        </w:rPr>
        <w:t xml:space="preserve"> </w:t>
      </w:r>
      <w:r>
        <w:rPr>
          <w:lang w:val="en-US" w:eastAsia="en-US"/>
        </w:rPr>
        <w:t xml:space="preserve">There are two </w:t>
      </w:r>
      <w:r w:rsidR="009F4CD3">
        <w:rPr>
          <w:lang w:val="en-US" w:eastAsia="en-US"/>
        </w:rPr>
        <w:t>forms of obvious</w:t>
      </w:r>
      <w:r>
        <w:rPr>
          <w:lang w:val="en-US" w:eastAsia="en-US"/>
        </w:rPr>
        <w:t xml:space="preserve"> illeg</w:t>
      </w:r>
      <w:r w:rsidR="009F4CD3">
        <w:rPr>
          <w:lang w:val="en-US" w:eastAsia="en-US"/>
        </w:rPr>
        <w:t>itimacy</w:t>
      </w:r>
      <w:r>
        <w:rPr>
          <w:lang w:val="en-US" w:eastAsia="en-US"/>
        </w:rPr>
        <w:t xml:space="preserve">. </w:t>
      </w:r>
      <w:r w:rsidR="009F4CD3">
        <w:rPr>
          <w:lang w:val="en-US" w:eastAsia="en-US"/>
        </w:rPr>
        <w:t>Slave owning</w:t>
      </w:r>
      <w:r>
        <w:rPr>
          <w:lang w:val="en-US" w:eastAsia="en-US"/>
        </w:rPr>
        <w:t xml:space="preserve"> is obviously illegitimate in both respects, but </w:t>
      </w:r>
      <w:r w:rsidR="009F4CD3">
        <w:rPr>
          <w:lang w:val="en-US" w:eastAsia="en-US"/>
        </w:rPr>
        <w:t xml:space="preserve">it is arguable that </w:t>
      </w:r>
      <w:r>
        <w:rPr>
          <w:lang w:val="en-US" w:eastAsia="en-US"/>
        </w:rPr>
        <w:t>high emissions are obviously illegitimate in only one.</w:t>
      </w:r>
    </w:p>
    <w:p w:rsidR="00B81398" w:rsidRPr="00F95FE5" w:rsidRDefault="00F95FE5" w:rsidP="00F95FE5">
      <w:pPr>
        <w:autoSpaceDE w:val="0"/>
        <w:autoSpaceDN w:val="0"/>
        <w:adjustRightInd w:val="0"/>
        <w:spacing w:line="480" w:lineRule="auto"/>
        <w:ind w:firstLine="720"/>
        <w:jc w:val="both"/>
        <w:rPr>
          <w:lang w:val="en-US" w:eastAsia="en-US"/>
        </w:rPr>
      </w:pPr>
      <w:r>
        <w:rPr>
          <w:lang w:val="en-US" w:eastAsia="en-US"/>
        </w:rPr>
        <w:t>First,</w:t>
      </w:r>
      <w:r w:rsidR="009F4CD3">
        <w:rPr>
          <w:lang w:val="en-US" w:eastAsia="en-US"/>
        </w:rPr>
        <w:t xml:space="preserve"> then,</w:t>
      </w:r>
      <w:r>
        <w:rPr>
          <w:lang w:val="en-US" w:eastAsia="en-US"/>
        </w:rPr>
        <w:t xml:space="preserve"> a practice itself may be obviously illegitimate.</w:t>
      </w:r>
      <w:r w:rsidR="009F4CD3">
        <w:rPr>
          <w:lang w:val="en-US" w:eastAsia="en-US"/>
        </w:rPr>
        <w:t xml:space="preserve"> It seems reasonable to assume that, like a slave economy, a high emission economy is obviously illegitimate.</w:t>
      </w:r>
      <w:r>
        <w:rPr>
          <w:lang w:val="en-US" w:eastAsia="en-US"/>
        </w:rPr>
        <w:t xml:space="preserve"> </w:t>
      </w:r>
      <w:proofErr w:type="spellStart"/>
      <w:r w:rsidR="003856F0" w:rsidRPr="003856F0">
        <w:rPr>
          <w:lang w:val="en-US" w:eastAsia="en-US"/>
        </w:rPr>
        <w:t>Gosseries</w:t>
      </w:r>
      <w:proofErr w:type="spellEnd"/>
      <w:r w:rsidR="003856F0" w:rsidRPr="003856F0">
        <w:rPr>
          <w:lang w:val="en-US" w:eastAsia="en-US"/>
        </w:rPr>
        <w:t xml:space="preserve"> </w:t>
      </w:r>
      <w:r w:rsidR="003856F0">
        <w:rPr>
          <w:lang w:val="en-US" w:eastAsia="en-US"/>
        </w:rPr>
        <w:t>writes</w:t>
      </w:r>
      <w:r w:rsidR="003856F0" w:rsidRPr="003856F0">
        <w:rPr>
          <w:lang w:val="en-US" w:eastAsia="en-US"/>
        </w:rPr>
        <w:t xml:space="preserve"> that </w:t>
      </w:r>
      <w:r w:rsidR="003856F0">
        <w:rPr>
          <w:lang w:val="en-US" w:eastAsia="en-US"/>
        </w:rPr>
        <w:t>‘</w:t>
      </w:r>
      <w:r w:rsidR="003856F0" w:rsidRPr="003856F0">
        <w:t>the legitimacy requirement</w:t>
      </w:r>
      <w:r w:rsidR="003856F0">
        <w:t xml:space="preserve"> … is not satisfi</w:t>
      </w:r>
      <w:r w:rsidR="003856F0" w:rsidRPr="003856F0">
        <w:t>ed in the case at hand,</w:t>
      </w:r>
      <w:r w:rsidR="003856F0">
        <w:t xml:space="preserve"> </w:t>
      </w:r>
      <w:r w:rsidR="003856F0" w:rsidRPr="003856F0">
        <w:t>at least from 1995 onwards, for current emissions are higher than the</w:t>
      </w:r>
      <w:r w:rsidR="003856F0">
        <w:t xml:space="preserve"> </w:t>
      </w:r>
      <w:r w:rsidR="003856F0" w:rsidRPr="003856F0">
        <w:t>level of emissions that countries should have aimed at from that date</w:t>
      </w:r>
      <w:r>
        <w:rPr>
          <w:lang w:val="en-US" w:eastAsia="en-US"/>
        </w:rPr>
        <w:t xml:space="preserve"> </w:t>
      </w:r>
      <w:r w:rsidR="00B81398">
        <w:t>o</w:t>
      </w:r>
      <w:r w:rsidR="003856F0">
        <w:t>nwards’.</w:t>
      </w:r>
      <w:r w:rsidR="00B81398">
        <w:rPr>
          <w:rStyle w:val="FootnoteReference"/>
        </w:rPr>
        <w:footnoteReference w:id="29"/>
      </w:r>
      <w:r w:rsidR="00B81398">
        <w:t xml:space="preserve"> </w:t>
      </w:r>
      <w:r>
        <w:t xml:space="preserve">As the </w:t>
      </w:r>
      <w:r w:rsidR="009F4CD3">
        <w:t>legitimacy</w:t>
      </w:r>
      <w:r>
        <w:t xml:space="preserve"> requirement is not met, </w:t>
      </w:r>
      <w:proofErr w:type="spellStart"/>
      <w:r>
        <w:t>Gosseries</w:t>
      </w:r>
      <w:proofErr w:type="spellEnd"/>
      <w:r>
        <w:t xml:space="preserve"> concludes that compensation for the losers of the transition to low emissions is unjustified. </w:t>
      </w:r>
      <w:r w:rsidR="00B81398">
        <w:rPr>
          <w:bCs/>
          <w:lang w:val="en-US" w:eastAsia="en-US"/>
        </w:rPr>
        <w:t>But fro</w:t>
      </w:r>
      <w:r w:rsidR="009F4CD3">
        <w:rPr>
          <w:bCs/>
          <w:lang w:val="en-US" w:eastAsia="en-US"/>
        </w:rPr>
        <w:t>m the cosmopolitan perspective both he and I assume</w:t>
      </w:r>
      <w:r w:rsidR="00B81398">
        <w:rPr>
          <w:bCs/>
          <w:lang w:val="en-US" w:eastAsia="en-US"/>
        </w:rPr>
        <w:t xml:space="preserve">, this would be to put the cart before the horse. Even though, in practice, individual compensation will probably have to be facilitated by granting countries increased emission rights in international negotiations, countries are not morally fundamental agents, and their prior actions, however illegitimate, </w:t>
      </w:r>
      <w:proofErr w:type="spellStart"/>
      <w:r w:rsidR="00B81398">
        <w:rPr>
          <w:bCs/>
          <w:lang w:val="en-US" w:eastAsia="en-US"/>
        </w:rPr>
        <w:t>can not</w:t>
      </w:r>
      <w:proofErr w:type="spellEnd"/>
      <w:r w:rsidR="00B81398">
        <w:rPr>
          <w:bCs/>
          <w:lang w:val="en-US" w:eastAsia="en-US"/>
        </w:rPr>
        <w:t xml:space="preserve"> justify disadvantages being imposed on their members. </w:t>
      </w:r>
      <w:r w:rsidR="009F4CD3">
        <w:rPr>
          <w:bCs/>
          <w:lang w:val="en-US" w:eastAsia="en-US"/>
        </w:rPr>
        <w:t>As far as</w:t>
      </w:r>
      <w:r w:rsidR="00B81398">
        <w:rPr>
          <w:bCs/>
          <w:lang w:val="en-US" w:eastAsia="en-US"/>
        </w:rPr>
        <w:t xml:space="preserve"> equality of opportunity for welfare</w:t>
      </w:r>
      <w:r w:rsidR="009F4CD3">
        <w:rPr>
          <w:bCs/>
          <w:lang w:val="en-US" w:eastAsia="en-US"/>
        </w:rPr>
        <w:t xml:space="preserve"> goes</w:t>
      </w:r>
      <w:r w:rsidR="00B81398">
        <w:rPr>
          <w:bCs/>
          <w:lang w:val="en-US" w:eastAsia="en-US"/>
        </w:rPr>
        <w:t>, at least, the relevant kind of responsibility is individual, and outside a few exceptional cases (presidents, prime ministers, and the like), individuals are not responsible for their countries’ actions.</w:t>
      </w:r>
    </w:p>
    <w:p w:rsidR="009F4CD3" w:rsidRPr="00F67BDB" w:rsidRDefault="00F95FE5" w:rsidP="00F67BDB">
      <w:pPr>
        <w:autoSpaceDE w:val="0"/>
        <w:autoSpaceDN w:val="0"/>
        <w:adjustRightInd w:val="0"/>
        <w:spacing w:line="480" w:lineRule="auto"/>
        <w:jc w:val="both"/>
        <w:rPr>
          <w:lang w:val="en-US" w:eastAsia="en-US"/>
        </w:rPr>
      </w:pPr>
      <w:r>
        <w:rPr>
          <w:bCs/>
          <w:lang w:val="en-US" w:eastAsia="en-US"/>
        </w:rPr>
        <w:lastRenderedPageBreak/>
        <w:tab/>
      </w:r>
      <w:r w:rsidR="009F4CD3">
        <w:rPr>
          <w:bCs/>
          <w:lang w:val="en-US" w:eastAsia="en-US"/>
        </w:rPr>
        <w:t>This leads us into the second kind of obvious illegitimacy. Here it is not the social practice, but an individual’s actions, which form part of that practice, that is the focus. For instance, ‘</w:t>
      </w:r>
      <w:r w:rsidR="009F4CD3">
        <w:rPr>
          <w:lang w:val="en-US" w:eastAsia="en-US"/>
        </w:rPr>
        <w:t>a slave owner, in a period when slavery is acknowledged to be m</w:t>
      </w:r>
      <w:r w:rsidR="00F67BDB">
        <w:rPr>
          <w:lang w:val="en-US" w:eastAsia="en-US"/>
        </w:rPr>
        <w:t>orally odious and illegitimate’</w:t>
      </w:r>
      <w:r w:rsidR="009F4CD3">
        <w:rPr>
          <w:lang w:val="en-US" w:eastAsia="en-US"/>
        </w:rPr>
        <w:t xml:space="preserve"> will routinely engage in obviously illegitimate practices.</w:t>
      </w:r>
      <w:r w:rsidR="00A33566">
        <w:rPr>
          <w:lang w:val="en-US" w:eastAsia="en-US"/>
        </w:rPr>
        <w:t xml:space="preserve"> He will be confronted with overwhelming proof of that illegitimacy on a daily basis, both in terms of </w:t>
      </w:r>
      <w:r w:rsidR="00EC0C83">
        <w:rPr>
          <w:lang w:val="en-US" w:eastAsia="en-US"/>
        </w:rPr>
        <w:t xml:space="preserve">the </w:t>
      </w:r>
      <w:r w:rsidR="00A33566">
        <w:rPr>
          <w:lang w:val="en-US" w:eastAsia="en-US"/>
        </w:rPr>
        <w:t xml:space="preserve">public </w:t>
      </w:r>
      <w:r w:rsidR="00EC0C83">
        <w:rPr>
          <w:lang w:val="en-US" w:eastAsia="en-US"/>
        </w:rPr>
        <w:t>condemnation he faces</w:t>
      </w:r>
      <w:r w:rsidR="00A33566">
        <w:rPr>
          <w:lang w:val="en-US" w:eastAsia="en-US"/>
        </w:rPr>
        <w:t xml:space="preserve"> and </w:t>
      </w:r>
      <w:r w:rsidR="00EC0C83">
        <w:rPr>
          <w:lang w:val="en-US" w:eastAsia="en-US"/>
        </w:rPr>
        <w:t xml:space="preserve">his </w:t>
      </w:r>
      <w:r w:rsidR="00A33566">
        <w:rPr>
          <w:lang w:val="en-US" w:eastAsia="en-US"/>
        </w:rPr>
        <w:t xml:space="preserve">firsthand experience of the misery he inflicts. It is far from clear, however, that the typical member of a high emitting society faces similarly unavoidable and incontrovertible evidence of the illegitimacy of their actions. Part of the problem here is simply that, in spite of the scientific consensus, there is no shortage of people, some of them in prominent public positions, who deny that anthropogenic climate change is a reality. </w:t>
      </w:r>
      <w:r w:rsidR="00C5590C">
        <w:rPr>
          <w:lang w:val="en-US" w:eastAsia="en-US"/>
        </w:rPr>
        <w:t xml:space="preserve">But </w:t>
      </w:r>
      <w:r w:rsidR="003D1E59">
        <w:rPr>
          <w:lang w:val="en-US" w:eastAsia="en-US"/>
        </w:rPr>
        <w:t>there are deeper</w:t>
      </w:r>
      <w:r w:rsidR="00C5590C">
        <w:rPr>
          <w:lang w:val="en-US" w:eastAsia="en-US"/>
        </w:rPr>
        <w:t xml:space="preserve"> barriers to the obviousness of high emissions’ illegitimacy</w:t>
      </w:r>
      <w:r w:rsidR="00653232">
        <w:rPr>
          <w:lang w:val="en-US" w:eastAsia="en-US"/>
        </w:rPr>
        <w:t>. As Jamieson has noted, ‘[o]</w:t>
      </w:r>
      <w:proofErr w:type="spellStart"/>
      <w:proofErr w:type="gramStart"/>
      <w:r w:rsidR="00653232">
        <w:rPr>
          <w:lang w:val="en-US" w:eastAsia="en-US"/>
        </w:rPr>
        <w:t>ur</w:t>
      </w:r>
      <w:proofErr w:type="spellEnd"/>
      <w:proofErr w:type="gramEnd"/>
      <w:r w:rsidR="00653232">
        <w:rPr>
          <w:lang w:val="en-US" w:eastAsia="en-US"/>
        </w:rPr>
        <w:t xml:space="preserve"> current value system presupposes that harms and their causes are individual, that they can readily be identified, and that they are local in space and time’.</w:t>
      </w:r>
      <w:r w:rsidR="00653232">
        <w:rPr>
          <w:rStyle w:val="FootnoteReference"/>
          <w:lang w:val="en-US" w:eastAsia="en-US"/>
        </w:rPr>
        <w:footnoteReference w:id="30"/>
      </w:r>
      <w:r w:rsidR="00653232">
        <w:rPr>
          <w:lang w:val="en-US" w:eastAsia="en-US"/>
        </w:rPr>
        <w:t xml:space="preserve"> As such, it is not well equipped to identify the harm associated with climate change, which results in part from ‘seemingly innocent acts’, and has ‘diffuse’ and ‘remote’ causes.</w:t>
      </w:r>
      <w:r w:rsidR="003D1E59">
        <w:rPr>
          <w:lang w:val="en-US" w:eastAsia="en-US"/>
        </w:rPr>
        <w:t xml:space="preserve"> </w:t>
      </w:r>
      <w:r w:rsidR="004A7085">
        <w:rPr>
          <w:lang w:val="en-US" w:eastAsia="en-US"/>
        </w:rPr>
        <w:t xml:space="preserve">For </w:t>
      </w:r>
      <w:r w:rsidR="00612D20">
        <w:rPr>
          <w:lang w:val="en-US" w:eastAsia="en-US"/>
        </w:rPr>
        <w:t>high emissions</w:t>
      </w:r>
      <w:r w:rsidR="004A7085">
        <w:rPr>
          <w:lang w:val="en-US" w:eastAsia="en-US"/>
        </w:rPr>
        <w:t xml:space="preserve">, there is no consequence of human suffering ‘right here, right now’ as there is for slavery. </w:t>
      </w:r>
      <w:r w:rsidR="003D1E59">
        <w:rPr>
          <w:lang w:val="en-US" w:eastAsia="en-US"/>
        </w:rPr>
        <w:t xml:space="preserve">These and other difficulties make climate change infamously </w:t>
      </w:r>
      <w:r w:rsidR="004A7085">
        <w:rPr>
          <w:lang w:val="en-US" w:eastAsia="en-US"/>
        </w:rPr>
        <w:t>intractable for the layperson</w:t>
      </w:r>
      <w:r w:rsidR="003D1E59">
        <w:rPr>
          <w:lang w:val="en-US" w:eastAsia="en-US"/>
        </w:rPr>
        <w:t>.</w:t>
      </w:r>
      <w:r w:rsidR="003D1E59">
        <w:rPr>
          <w:rStyle w:val="FootnoteReference"/>
          <w:lang w:val="en-US" w:eastAsia="en-US"/>
        </w:rPr>
        <w:footnoteReference w:id="31"/>
      </w:r>
      <w:r w:rsidR="00F67BDB">
        <w:rPr>
          <w:lang w:val="en-US" w:eastAsia="en-US"/>
        </w:rPr>
        <w:t xml:space="preserve"> Equality of opportunity for welfare implies that i</w:t>
      </w:r>
      <w:r w:rsidR="004A7085">
        <w:rPr>
          <w:lang w:val="en-US" w:eastAsia="en-US"/>
        </w:rPr>
        <w:t xml:space="preserve">ndividuals </w:t>
      </w:r>
      <w:proofErr w:type="spellStart"/>
      <w:r w:rsidR="004A7085">
        <w:rPr>
          <w:lang w:val="en-US" w:eastAsia="en-US"/>
        </w:rPr>
        <w:t>can not</w:t>
      </w:r>
      <w:proofErr w:type="spellEnd"/>
      <w:r w:rsidR="004A7085">
        <w:rPr>
          <w:lang w:val="en-US" w:eastAsia="en-US"/>
        </w:rPr>
        <w:t xml:space="preserve"> </w:t>
      </w:r>
      <w:r w:rsidR="003D1E59">
        <w:rPr>
          <w:lang w:val="en-US" w:eastAsia="en-US"/>
        </w:rPr>
        <w:t>fairly</w:t>
      </w:r>
      <w:r w:rsidR="004A7085">
        <w:rPr>
          <w:lang w:val="en-US" w:eastAsia="en-US"/>
        </w:rPr>
        <w:t xml:space="preserve"> be</w:t>
      </w:r>
      <w:r w:rsidR="003D1E59">
        <w:rPr>
          <w:lang w:val="en-US" w:eastAsia="en-US"/>
        </w:rPr>
        <w:t xml:space="preserve"> denied compensation for costs</w:t>
      </w:r>
      <w:r w:rsidR="004A7085">
        <w:rPr>
          <w:lang w:val="en-US" w:eastAsia="en-US"/>
        </w:rPr>
        <w:t xml:space="preserve"> where </w:t>
      </w:r>
      <w:r w:rsidR="00C61C67">
        <w:rPr>
          <w:lang w:val="en-US" w:eastAsia="en-US"/>
        </w:rPr>
        <w:t>they</w:t>
      </w:r>
      <w:r w:rsidR="004A7085">
        <w:rPr>
          <w:lang w:val="en-US" w:eastAsia="en-US"/>
        </w:rPr>
        <w:t xml:space="preserve"> arise from differences ‘</w:t>
      </w:r>
      <w:r w:rsidR="004A7085">
        <w:rPr>
          <w:lang w:eastAsia="en-US"/>
        </w:rPr>
        <w:t>in their awareness of [the]</w:t>
      </w:r>
      <w:r w:rsidR="004A7085" w:rsidRPr="004A7085">
        <w:rPr>
          <w:lang w:eastAsia="en-US"/>
        </w:rPr>
        <w:t xml:space="preserve"> options, their ability to choose</w:t>
      </w:r>
      <w:r w:rsidR="004A7085">
        <w:rPr>
          <w:lang w:eastAsia="en-US"/>
        </w:rPr>
        <w:t xml:space="preserve"> </w:t>
      </w:r>
      <w:r w:rsidR="004A7085" w:rsidRPr="004A7085">
        <w:rPr>
          <w:lang w:eastAsia="en-US"/>
        </w:rPr>
        <w:t>reasonably among them, and the strength of character that enables a</w:t>
      </w:r>
      <w:r w:rsidR="004A7085">
        <w:rPr>
          <w:lang w:eastAsia="en-US"/>
        </w:rPr>
        <w:t xml:space="preserve"> </w:t>
      </w:r>
      <w:r w:rsidR="004A7085" w:rsidRPr="004A7085">
        <w:rPr>
          <w:lang w:eastAsia="en-US"/>
        </w:rPr>
        <w:t xml:space="preserve">person to persist </w:t>
      </w:r>
      <w:r w:rsidR="004A7085" w:rsidRPr="004A7085">
        <w:rPr>
          <w:lang w:eastAsia="en-US"/>
        </w:rPr>
        <w:lastRenderedPageBreak/>
        <w:t>in carrying ou</w:t>
      </w:r>
      <w:r w:rsidR="004A7085">
        <w:rPr>
          <w:lang w:eastAsia="en-US"/>
        </w:rPr>
        <w:t>t a chosen option’.</w:t>
      </w:r>
      <w:r w:rsidR="004A7085">
        <w:rPr>
          <w:rStyle w:val="FootnoteReference"/>
          <w:lang w:eastAsia="en-US"/>
        </w:rPr>
        <w:footnoteReference w:id="32"/>
      </w:r>
      <w:r w:rsidR="00612D20">
        <w:rPr>
          <w:lang w:eastAsia="en-US"/>
        </w:rPr>
        <w:t xml:space="preserve"> Though the issue is not clear cut, it seems likely that it would be unfair to deny high emitters transition compensation on the gr</w:t>
      </w:r>
      <w:r w:rsidR="00C61C67">
        <w:rPr>
          <w:lang w:eastAsia="en-US"/>
        </w:rPr>
        <w:t xml:space="preserve">ounds that their emissions </w:t>
      </w:r>
      <w:r w:rsidR="00612D20">
        <w:rPr>
          <w:lang w:eastAsia="en-US"/>
        </w:rPr>
        <w:t>were obviously illegitimate.</w:t>
      </w:r>
    </w:p>
    <w:p w:rsidR="007F21CC" w:rsidRPr="007F21CC" w:rsidRDefault="00FE289D" w:rsidP="009F4CD3">
      <w:pPr>
        <w:autoSpaceDE w:val="0"/>
        <w:autoSpaceDN w:val="0"/>
        <w:adjustRightInd w:val="0"/>
        <w:spacing w:line="480" w:lineRule="auto"/>
        <w:ind w:firstLine="720"/>
        <w:jc w:val="both"/>
        <w:rPr>
          <w:lang w:val="en-US" w:eastAsia="en-US"/>
        </w:rPr>
      </w:pPr>
      <w:r>
        <w:rPr>
          <w:bCs/>
          <w:lang w:val="en-US" w:eastAsia="en-US"/>
        </w:rPr>
        <w:t>In sum</w:t>
      </w:r>
      <w:r w:rsidR="001D7D16">
        <w:rPr>
          <w:bCs/>
          <w:lang w:val="en-US" w:eastAsia="en-US"/>
        </w:rPr>
        <w:t xml:space="preserve">, while the support given to grandfathering by equality of opportunity for welfare is less secure than that of equality of welfare, as some emitters’ </w:t>
      </w:r>
      <w:r w:rsidR="00612D20">
        <w:rPr>
          <w:bCs/>
          <w:lang w:val="en-US" w:eastAsia="en-US"/>
        </w:rPr>
        <w:t>actions</w:t>
      </w:r>
      <w:r w:rsidR="001D7D16">
        <w:rPr>
          <w:bCs/>
          <w:lang w:val="en-US" w:eastAsia="en-US"/>
        </w:rPr>
        <w:t xml:space="preserve"> and tastes might in principle be identified as voluntary</w:t>
      </w:r>
      <w:r w:rsidR="00612D20">
        <w:rPr>
          <w:bCs/>
          <w:lang w:val="en-US" w:eastAsia="en-US"/>
        </w:rPr>
        <w:t xml:space="preserve"> or illegitimate</w:t>
      </w:r>
      <w:r w:rsidR="001D7D16">
        <w:rPr>
          <w:bCs/>
          <w:lang w:val="en-US" w:eastAsia="en-US"/>
        </w:rPr>
        <w:t>, there are both general and specific reasons for maintaining that the practices and tastes of high emitters</w:t>
      </w:r>
      <w:r w:rsidR="00A33C1D">
        <w:rPr>
          <w:bCs/>
          <w:lang w:val="en-US" w:eastAsia="en-US"/>
        </w:rPr>
        <w:t xml:space="preserve"> </w:t>
      </w:r>
      <w:r w:rsidR="00612D20">
        <w:rPr>
          <w:bCs/>
          <w:lang w:val="en-US" w:eastAsia="en-US"/>
        </w:rPr>
        <w:t>are standardly neither</w:t>
      </w:r>
      <w:r w:rsidR="001D7D16">
        <w:rPr>
          <w:bCs/>
          <w:lang w:val="en-US" w:eastAsia="en-US"/>
        </w:rPr>
        <w:t xml:space="preserve"> fully voluntarily</w:t>
      </w:r>
      <w:r w:rsidR="00612D20">
        <w:rPr>
          <w:bCs/>
          <w:lang w:val="en-US" w:eastAsia="en-US"/>
        </w:rPr>
        <w:t xml:space="preserve"> nor obviously illegitimate</w:t>
      </w:r>
      <w:r w:rsidR="001D7D16">
        <w:rPr>
          <w:bCs/>
          <w:lang w:val="en-US" w:eastAsia="en-US"/>
        </w:rPr>
        <w:t>. That is enough to establish that they are due some level of compensation on account of the expensive tastes and practices which have been shaped by their prior emissions.</w:t>
      </w:r>
    </w:p>
    <w:p w:rsidR="008809EC" w:rsidRDefault="00BE6958" w:rsidP="00594253">
      <w:pPr>
        <w:autoSpaceDE w:val="0"/>
        <w:autoSpaceDN w:val="0"/>
        <w:adjustRightInd w:val="0"/>
        <w:spacing w:line="480" w:lineRule="auto"/>
        <w:ind w:firstLine="720"/>
        <w:jc w:val="both"/>
      </w:pPr>
      <w:r>
        <w:rPr>
          <w:lang w:val="en-US" w:eastAsia="en-US"/>
        </w:rPr>
        <w:t xml:space="preserve">  </w:t>
      </w:r>
      <w:r w:rsidR="00074846">
        <w:rPr>
          <w:lang w:val="en-US" w:eastAsia="en-US"/>
        </w:rPr>
        <w:t>The third</w:t>
      </w:r>
      <w:r w:rsidR="00427D76">
        <w:rPr>
          <w:lang w:val="en-US" w:eastAsia="en-US"/>
        </w:rPr>
        <w:t xml:space="preserve"> egalitarian view to be considered is </w:t>
      </w:r>
      <w:proofErr w:type="spellStart"/>
      <w:r w:rsidR="00427D76">
        <w:rPr>
          <w:lang w:val="en-US" w:eastAsia="en-US"/>
        </w:rPr>
        <w:t>Dworkin’s</w:t>
      </w:r>
      <w:proofErr w:type="spellEnd"/>
      <w:r w:rsidR="00427D76">
        <w:rPr>
          <w:lang w:val="en-US" w:eastAsia="en-US"/>
        </w:rPr>
        <w:t xml:space="preserve"> </w:t>
      </w:r>
      <w:r w:rsidR="00427D76" w:rsidRPr="00427D76">
        <w:rPr>
          <w:i/>
          <w:lang w:val="en-US" w:eastAsia="en-US"/>
        </w:rPr>
        <w:t>equality of resources</w:t>
      </w:r>
      <w:r w:rsidR="00427D76">
        <w:rPr>
          <w:lang w:val="en-US" w:eastAsia="en-US"/>
        </w:rPr>
        <w:t xml:space="preserve">. </w:t>
      </w:r>
      <w:r w:rsidR="001356A9">
        <w:rPr>
          <w:lang w:val="en-US" w:eastAsia="en-US"/>
        </w:rPr>
        <w:t>This view seeks to equalize</w:t>
      </w:r>
      <w:r w:rsidR="00905D98">
        <w:rPr>
          <w:lang w:val="en-US" w:eastAsia="en-US"/>
        </w:rPr>
        <w:t xml:space="preserve"> a somewhat complicated form of</w:t>
      </w:r>
      <w:r w:rsidR="001356A9">
        <w:rPr>
          <w:lang w:val="en-US" w:eastAsia="en-US"/>
        </w:rPr>
        <w:t xml:space="preserve"> resources. The relevant point here is th</w:t>
      </w:r>
      <w:r w:rsidR="00905D98">
        <w:rPr>
          <w:lang w:val="en-US" w:eastAsia="en-US"/>
        </w:rPr>
        <w:t>at equality of resources</w:t>
      </w:r>
      <w:r w:rsidR="00427D76">
        <w:rPr>
          <w:lang w:val="en-US" w:eastAsia="en-US"/>
        </w:rPr>
        <w:t xml:space="preserve"> suggests that the appropriate response to expensive tastes is to ask whether the holder identifies with them. </w:t>
      </w:r>
      <w:r w:rsidR="00427D76">
        <w:t xml:space="preserve">Where individuals </w:t>
      </w:r>
      <w:proofErr w:type="spellStart"/>
      <w:r w:rsidR="00427D76">
        <w:t>disidentify</w:t>
      </w:r>
      <w:proofErr w:type="spellEnd"/>
      <w:r w:rsidR="00427D76">
        <w:t xml:space="preserve"> with their tastes, preferring not to have them given the option, ‘[t]</w:t>
      </w:r>
      <w:proofErr w:type="spellStart"/>
      <w:r w:rsidR="00427D76">
        <w:t>hese</w:t>
      </w:r>
      <w:proofErr w:type="spellEnd"/>
      <w:r w:rsidR="00427D76">
        <w:t xml:space="preserve"> are, for them, handicaps, and are therefore suitable for the regime proposed for handicaps generally’.</w:t>
      </w:r>
      <w:r w:rsidR="00427D76">
        <w:rPr>
          <w:rStyle w:val="FootnoteReference"/>
        </w:rPr>
        <w:footnoteReference w:id="33"/>
      </w:r>
    </w:p>
    <w:p w:rsidR="0018765E" w:rsidRDefault="008809EC" w:rsidP="00594253">
      <w:pPr>
        <w:autoSpaceDE w:val="0"/>
        <w:autoSpaceDN w:val="0"/>
        <w:adjustRightInd w:val="0"/>
        <w:spacing w:line="480" w:lineRule="auto"/>
        <w:ind w:firstLine="720"/>
        <w:jc w:val="both"/>
      </w:pPr>
      <w:r>
        <w:t>D</w:t>
      </w:r>
      <w:r w:rsidR="00427D76">
        <w:t xml:space="preserve">o </w:t>
      </w:r>
      <w:r w:rsidR="009B08C4">
        <w:t xml:space="preserve">historically </w:t>
      </w:r>
      <w:r w:rsidR="00427D76">
        <w:t xml:space="preserve">high emitters identify with their </w:t>
      </w:r>
      <w:r w:rsidR="009B08C4">
        <w:t>expensive tastes</w:t>
      </w:r>
      <w:r w:rsidR="001B00F1">
        <w:t>, or are they compensable</w:t>
      </w:r>
      <w:r w:rsidR="0055003B">
        <w:t xml:space="preserve"> ‘cravings’</w:t>
      </w:r>
      <w:r w:rsidR="002C79AF">
        <w:t xml:space="preserve">? On the face </w:t>
      </w:r>
      <w:proofErr w:type="spellStart"/>
      <w:r w:rsidR="002C79AF">
        <w:t>if</w:t>
      </w:r>
      <w:proofErr w:type="spellEnd"/>
      <w:r w:rsidR="002C79AF">
        <w:t xml:space="preserve"> it, </w:t>
      </w:r>
      <w:r w:rsidR="009B08C4">
        <w:t xml:space="preserve">many high emitters </w:t>
      </w:r>
      <w:r w:rsidR="002C79AF">
        <w:t>do not</w:t>
      </w:r>
      <w:r w:rsidR="009B08C4">
        <w:t xml:space="preserve"> regret the</w:t>
      </w:r>
      <w:r w:rsidR="00BA0AAD">
        <w:t>ir habits</w:t>
      </w:r>
      <w:r w:rsidR="009B08C4">
        <w:t xml:space="preserve">. </w:t>
      </w:r>
      <w:r w:rsidR="002C79AF">
        <w:t>For instance, some drivers take pride in their fuel inefficient cars as a badge of social status.</w:t>
      </w:r>
      <w:r w:rsidR="002C79AF">
        <w:rPr>
          <w:rStyle w:val="FootnoteReference"/>
        </w:rPr>
        <w:footnoteReference w:id="34"/>
      </w:r>
      <w:r w:rsidR="002C79AF">
        <w:t xml:space="preserve"> George H. W. Bush’s declaration</w:t>
      </w:r>
      <w:r w:rsidR="00BA0AAD">
        <w:t xml:space="preserve"> at the Earth Summit</w:t>
      </w:r>
      <w:r w:rsidR="002C79AF">
        <w:t xml:space="preserve"> </w:t>
      </w:r>
      <w:r w:rsidR="00BA0AAD">
        <w:t xml:space="preserve">in 1992 </w:t>
      </w:r>
      <w:r w:rsidR="002C79AF">
        <w:t xml:space="preserve">that ‘the American way of life is not negotiable’ </w:t>
      </w:r>
      <w:r w:rsidR="00BA0AAD">
        <w:t>appears to reflect</w:t>
      </w:r>
      <w:r w:rsidR="002C79AF">
        <w:t xml:space="preserve"> this sort</w:t>
      </w:r>
      <w:r w:rsidR="00BA0AAD">
        <w:t xml:space="preserve"> of view</w:t>
      </w:r>
      <w:r w:rsidR="002C79AF">
        <w:t xml:space="preserve">. </w:t>
      </w:r>
    </w:p>
    <w:p w:rsidR="0018765E" w:rsidRDefault="002C79AF" w:rsidP="00594253">
      <w:pPr>
        <w:autoSpaceDE w:val="0"/>
        <w:autoSpaceDN w:val="0"/>
        <w:adjustRightInd w:val="0"/>
        <w:spacing w:line="480" w:lineRule="auto"/>
        <w:ind w:firstLine="720"/>
        <w:jc w:val="both"/>
      </w:pPr>
      <w:r>
        <w:lastRenderedPageBreak/>
        <w:t xml:space="preserve">There are, nevertheless, </w:t>
      </w:r>
      <w:r w:rsidR="00304204">
        <w:t>several reasons for doubting that</w:t>
      </w:r>
      <w:r>
        <w:t xml:space="preserve"> identification with high emitting practices</w:t>
      </w:r>
      <w:r w:rsidR="00304204">
        <w:t xml:space="preserve"> would be widespread where a global scheme of major emissions reductions was put in place</w:t>
      </w:r>
      <w:r>
        <w:t xml:space="preserve">. </w:t>
      </w:r>
      <w:r w:rsidR="009B08C4">
        <w:t>One factor here might be increased social awareness of the effects of climate change</w:t>
      </w:r>
      <w:r w:rsidR="00304204">
        <w:t xml:space="preserve"> that such a scheme would introduce</w:t>
      </w:r>
      <w:r w:rsidR="009B08C4">
        <w:t xml:space="preserve">. Another more </w:t>
      </w:r>
      <w:r w:rsidR="002666CB">
        <w:t>narrow</w:t>
      </w:r>
      <w:r w:rsidR="009B08C4">
        <w:t xml:space="preserve">ly self-interested factor would be </w:t>
      </w:r>
      <w:r w:rsidR="00BA0AAD">
        <w:t xml:space="preserve">the increased </w:t>
      </w:r>
      <w:r w:rsidR="009B08C4">
        <w:t xml:space="preserve">expense of high emission tastes </w:t>
      </w:r>
      <w:r w:rsidR="00BA0AAD">
        <w:t xml:space="preserve">to the individual </w:t>
      </w:r>
      <w:r w:rsidR="009B08C4">
        <w:t xml:space="preserve">where reductions in emissions are encouraged </w:t>
      </w:r>
      <w:r w:rsidR="00304204">
        <w:t>by increase</w:t>
      </w:r>
      <w:r w:rsidR="00BA0AAD">
        <w:t>s in the cost of emitting. O</w:t>
      </w:r>
      <w:r w:rsidR="00304204">
        <w:t xml:space="preserve">n </w:t>
      </w:r>
      <w:proofErr w:type="spellStart"/>
      <w:r w:rsidR="00304204">
        <w:t>Dworkin’s</w:t>
      </w:r>
      <w:proofErr w:type="spellEnd"/>
      <w:r w:rsidR="00304204">
        <w:t xml:space="preserve"> view it is (dis)</w:t>
      </w:r>
      <w:r w:rsidR="00C61C67">
        <w:t>identification with one’s taste</w:t>
      </w:r>
      <w:r w:rsidR="00304204">
        <w:t xml:space="preserve">s </w:t>
      </w:r>
      <w:r w:rsidR="00304204" w:rsidRPr="00304204">
        <w:rPr>
          <w:i/>
        </w:rPr>
        <w:t>and their expense</w:t>
      </w:r>
      <w:r w:rsidR="00304204">
        <w:t xml:space="preserve"> that matters for distribution</w:t>
      </w:r>
      <w:r w:rsidR="009B08C4">
        <w:t>.</w:t>
      </w:r>
      <w:r w:rsidR="002666CB">
        <w:t xml:space="preserve"> A</w:t>
      </w:r>
      <w:r w:rsidR="009B08C4">
        <w:t>n analogy</w:t>
      </w:r>
      <w:r w:rsidR="002666CB">
        <w:t xml:space="preserve"> can be drawn</w:t>
      </w:r>
      <w:r w:rsidR="009B08C4">
        <w:t xml:space="preserve"> with the decline </w:t>
      </w:r>
      <w:r w:rsidR="002666CB">
        <w:t>of cigarette smoking in developed countries</w:t>
      </w:r>
      <w:r w:rsidR="009B08C4">
        <w:t xml:space="preserve">, which </w:t>
      </w:r>
      <w:r w:rsidR="002666CB">
        <w:t xml:space="preserve">is attributable to a combination of increased awareness and expense. The decline of </w:t>
      </w:r>
      <w:r w:rsidR="002666CB" w:rsidRPr="001B00F1">
        <w:rPr>
          <w:i/>
        </w:rPr>
        <w:t>identification</w:t>
      </w:r>
      <w:r w:rsidR="002666CB">
        <w:t xml:space="preserve"> with smoking is even higher</w:t>
      </w:r>
      <w:r w:rsidR="001B00F1">
        <w:t xml:space="preserve"> (as many smokers disapprove of their habit)</w:t>
      </w:r>
      <w:r w:rsidR="002666CB">
        <w:t xml:space="preserve">, and </w:t>
      </w:r>
      <w:proofErr w:type="spellStart"/>
      <w:r w:rsidR="002666CB">
        <w:t>disidentification</w:t>
      </w:r>
      <w:proofErr w:type="spellEnd"/>
      <w:r w:rsidR="002666CB">
        <w:t xml:space="preserve"> with high emission tastes might be even higher given that they are rarely if ever physically addictive as smoking is. </w:t>
      </w:r>
      <w:r w:rsidR="00304204">
        <w:t xml:space="preserve">A further point is that </w:t>
      </w:r>
      <w:proofErr w:type="spellStart"/>
      <w:r w:rsidR="00304204">
        <w:t>Dworkin</w:t>
      </w:r>
      <w:proofErr w:type="spellEnd"/>
      <w:r w:rsidR="00304204">
        <w:t xml:space="preserve"> does not propose to take just any (dis)identification as </w:t>
      </w:r>
      <w:proofErr w:type="spellStart"/>
      <w:r w:rsidR="00304204">
        <w:t>distributively</w:t>
      </w:r>
      <w:proofErr w:type="spellEnd"/>
      <w:r w:rsidR="00304204">
        <w:t xml:space="preserve"> significant. He writes that ‘[p]</w:t>
      </w:r>
      <w:proofErr w:type="spellStart"/>
      <w:r w:rsidR="00304204">
        <w:t>ersonality</w:t>
      </w:r>
      <w:proofErr w:type="spellEnd"/>
      <w:r w:rsidR="00304204">
        <w:t xml:space="preserve"> is not fixed: people’s convictions and preferences change and can be influenced and manipulated. A complete account of equality of resources must therefore include, as a baseline feature, some description of the circumstances in which people’s personalities will be taken as properly developed’.</w:t>
      </w:r>
      <w:r w:rsidR="00304204">
        <w:rPr>
          <w:rStyle w:val="FootnoteReference"/>
        </w:rPr>
        <w:footnoteReference w:id="35"/>
      </w:r>
      <w:r w:rsidR="00304204">
        <w:t xml:space="preserve"> We might think that, in at least some cases, those who </w:t>
      </w:r>
      <w:r w:rsidR="0018765E">
        <w:t>identify with</w:t>
      </w:r>
      <w:r w:rsidR="00304204">
        <w:t xml:space="preserve"> thei</w:t>
      </w:r>
      <w:r w:rsidR="0018765E">
        <w:t>r high emitting lifestyles, in spite of the unfolding environmental catastrophe and in spite of the increased running costs of their fuel inefficient cars, have been manipulated and should not be disadvantaged on account of their identification as it is inauthentic.</w:t>
      </w:r>
    </w:p>
    <w:p w:rsidR="00074846" w:rsidRDefault="0018765E" w:rsidP="00594253">
      <w:pPr>
        <w:autoSpaceDE w:val="0"/>
        <w:autoSpaceDN w:val="0"/>
        <w:adjustRightInd w:val="0"/>
        <w:spacing w:line="480" w:lineRule="auto"/>
        <w:ind w:firstLine="720"/>
        <w:jc w:val="both"/>
      </w:pPr>
      <w:r>
        <w:t>W</w:t>
      </w:r>
      <w:r w:rsidR="002666CB">
        <w:t>e should not overdraw the argument here, and ackn</w:t>
      </w:r>
      <w:r>
        <w:t>owledge that</w:t>
      </w:r>
      <w:r w:rsidR="0051416B">
        <w:t xml:space="preserve"> </w:t>
      </w:r>
      <w:r>
        <w:t>there are probably some</w:t>
      </w:r>
      <w:r w:rsidR="002666CB">
        <w:t xml:space="preserve"> cases where compensation ought in principle to be denied to high </w:t>
      </w:r>
      <w:r w:rsidR="002666CB">
        <w:lastRenderedPageBreak/>
        <w:t>emitters. Nevertheless, it seems that the standard case would be one</w:t>
      </w:r>
      <w:r>
        <w:t xml:space="preserve"> of compensation, on account of</w:t>
      </w:r>
      <w:r w:rsidR="002666CB">
        <w:t xml:space="preserve"> </w:t>
      </w:r>
      <w:r>
        <w:t xml:space="preserve">either </w:t>
      </w:r>
      <w:proofErr w:type="spellStart"/>
      <w:r w:rsidR="002666CB">
        <w:t>disidentification</w:t>
      </w:r>
      <w:proofErr w:type="spellEnd"/>
      <w:r>
        <w:t xml:space="preserve"> or inauthentic identification</w:t>
      </w:r>
      <w:r w:rsidR="002666CB">
        <w:t xml:space="preserve">. As with equality of opportunity for welfare, it may be that non-compensable cases are sufficiently few and hard to identify that the best policy would be blanket compensation at a less than complete level. </w:t>
      </w:r>
      <w:proofErr w:type="spellStart"/>
      <w:r w:rsidR="002666CB">
        <w:t>Disidentification</w:t>
      </w:r>
      <w:proofErr w:type="spellEnd"/>
      <w:r w:rsidR="002666CB">
        <w:t xml:space="preserve"> </w:t>
      </w:r>
      <w:r w:rsidR="00215200">
        <w:t xml:space="preserve">provides another possible link </w:t>
      </w:r>
      <w:r w:rsidR="0055003B">
        <w:t>between</w:t>
      </w:r>
      <w:r w:rsidR="00074846">
        <w:t xml:space="preserve"> </w:t>
      </w:r>
      <w:r w:rsidR="0055003B">
        <w:t>prior emissions and emission entitlements.</w:t>
      </w:r>
    </w:p>
    <w:p w:rsidR="00DC7B94" w:rsidRDefault="00DC7B94" w:rsidP="00DC7B94">
      <w:pPr>
        <w:autoSpaceDE w:val="0"/>
        <w:autoSpaceDN w:val="0"/>
        <w:adjustRightInd w:val="0"/>
        <w:spacing w:line="480" w:lineRule="auto"/>
        <w:jc w:val="both"/>
      </w:pPr>
    </w:p>
    <w:p w:rsidR="000F429C" w:rsidRPr="000F429C" w:rsidRDefault="000F429C" w:rsidP="00DC7B94">
      <w:pPr>
        <w:autoSpaceDE w:val="0"/>
        <w:autoSpaceDN w:val="0"/>
        <w:adjustRightInd w:val="0"/>
        <w:spacing w:line="480" w:lineRule="auto"/>
        <w:jc w:val="both"/>
        <w:rPr>
          <w:b/>
        </w:rPr>
      </w:pPr>
      <w:r w:rsidRPr="000F429C">
        <w:rPr>
          <w:b/>
        </w:rPr>
        <w:t>IV. Priority</w:t>
      </w:r>
    </w:p>
    <w:p w:rsidR="00F356C8" w:rsidRDefault="00F356C8" w:rsidP="00DC7B94">
      <w:pPr>
        <w:autoSpaceDE w:val="0"/>
        <w:autoSpaceDN w:val="0"/>
        <w:adjustRightInd w:val="0"/>
        <w:spacing w:line="480" w:lineRule="auto"/>
        <w:jc w:val="both"/>
      </w:pPr>
      <w:r>
        <w:t>Some writers have</w:t>
      </w:r>
      <w:r w:rsidR="00074846">
        <w:t xml:space="preserve"> suggested that a concern with the interests of the worst off need not be a concern with their relative standing, as all the aforementioned versions of egalitarianism suggest.</w:t>
      </w:r>
      <w:r>
        <w:t xml:space="preserve"> </w:t>
      </w:r>
      <w:r w:rsidR="0019752B">
        <w:t>This seems</w:t>
      </w:r>
      <w:r w:rsidR="00713F9D">
        <w:t xml:space="preserve"> </w:t>
      </w:r>
      <w:r w:rsidR="0019752B">
        <w:t xml:space="preserve">appealing in light of the fact that any of the above forms of egalitarianism are committed to ‘levelling down’. For instance, if ‘half of some population are blind … egalitarianism would view </w:t>
      </w:r>
      <w:r w:rsidR="00713F9D">
        <w:t xml:space="preserve">a move to an </w:t>
      </w:r>
      <w:r w:rsidR="00713F9D" w:rsidRPr="00713F9D">
        <w:rPr>
          <w:i/>
        </w:rPr>
        <w:t>entirely</w:t>
      </w:r>
      <w:r w:rsidR="00713F9D">
        <w:t xml:space="preserve"> blind world as a good, or just, outcome in at least one respect’.</w:t>
      </w:r>
      <w:r w:rsidR="00713F9D">
        <w:rPr>
          <w:rStyle w:val="FootnoteReference"/>
        </w:rPr>
        <w:footnoteReference w:id="36"/>
      </w:r>
      <w:r w:rsidR="00713F9D">
        <w:t xml:space="preserve"> To avoid this kind of problem, we might focus on the absolute, non-comparative position of the worst off. In this section </w:t>
      </w:r>
      <w:r w:rsidR="00C61C67">
        <w:t xml:space="preserve">and the next </w:t>
      </w:r>
      <w:r w:rsidR="00713F9D">
        <w:t>I suggest that the main two views of this kind may support grandfathering.</w:t>
      </w:r>
    </w:p>
    <w:p w:rsidR="00215200" w:rsidRDefault="00713F9D" w:rsidP="00F356C8">
      <w:pPr>
        <w:autoSpaceDE w:val="0"/>
        <w:autoSpaceDN w:val="0"/>
        <w:adjustRightInd w:val="0"/>
        <w:spacing w:line="480" w:lineRule="auto"/>
        <w:ind w:firstLine="720"/>
        <w:jc w:val="both"/>
      </w:pPr>
      <w:r>
        <w:t xml:space="preserve">Derek </w:t>
      </w:r>
      <w:proofErr w:type="spellStart"/>
      <w:r>
        <w:t>Parfit</w:t>
      </w:r>
      <w:proofErr w:type="spellEnd"/>
      <w:r w:rsidR="00F356C8" w:rsidRPr="00F356C8">
        <w:t xml:space="preserve"> </w:t>
      </w:r>
      <w:r>
        <w:t xml:space="preserve">suggested that we should be </w:t>
      </w:r>
      <w:r w:rsidR="00074846" w:rsidRPr="00074846">
        <w:t>concerned</w:t>
      </w:r>
      <w:r w:rsidR="00074846">
        <w:t xml:space="preserve"> with maximizing the </w:t>
      </w:r>
      <w:r w:rsidR="00074846" w:rsidRPr="00713F9D">
        <w:t xml:space="preserve">absolute </w:t>
      </w:r>
      <w:r w:rsidR="00074846">
        <w:t>advantage levels of the worst off</w:t>
      </w:r>
      <w:r>
        <w:t xml:space="preserve">, a view which has become known as </w:t>
      </w:r>
      <w:proofErr w:type="spellStart"/>
      <w:r w:rsidRPr="00C61C67">
        <w:rPr>
          <w:i/>
        </w:rPr>
        <w:t>prioritarianism</w:t>
      </w:r>
      <w:proofErr w:type="spellEnd"/>
      <w:r w:rsidR="00F356C8" w:rsidRPr="00C61C67">
        <w:rPr>
          <w:i/>
        </w:rPr>
        <w:t>.</w:t>
      </w:r>
      <w:r w:rsidR="00F356C8">
        <w:rPr>
          <w:rStyle w:val="FootnoteReference"/>
        </w:rPr>
        <w:footnoteReference w:id="37"/>
      </w:r>
      <w:r w:rsidR="00F356C8">
        <w:t xml:space="preserve"> </w:t>
      </w:r>
      <w:r w:rsidR="00C61C67">
        <w:t xml:space="preserve">The simplest version of </w:t>
      </w:r>
      <w:proofErr w:type="spellStart"/>
      <w:r w:rsidR="00C61C67">
        <w:t>prioritarianism</w:t>
      </w:r>
      <w:proofErr w:type="spellEnd"/>
      <w:r w:rsidR="00C61C67">
        <w:t xml:space="preserve"> has only this concern</w:t>
      </w:r>
      <w:r w:rsidR="003C4199" w:rsidRPr="00C61C67">
        <w:t>.</w:t>
      </w:r>
      <w:r w:rsidR="003C4199">
        <w:rPr>
          <w:rStyle w:val="FootnoteReference"/>
        </w:rPr>
        <w:footnoteReference w:id="38"/>
      </w:r>
      <w:r w:rsidR="00C61C67">
        <w:t xml:space="preserve"> This </w:t>
      </w:r>
      <w:r w:rsidR="003C4199">
        <w:t xml:space="preserve">view, when combined with </w:t>
      </w:r>
      <w:proofErr w:type="spellStart"/>
      <w:r w:rsidR="003C4199">
        <w:t>welfarism</w:t>
      </w:r>
      <w:proofErr w:type="spellEnd"/>
      <w:r w:rsidR="003C4199">
        <w:t xml:space="preserve">, can deliver a </w:t>
      </w:r>
      <w:r w:rsidR="00215200">
        <w:t xml:space="preserve">straightforward </w:t>
      </w:r>
      <w:r w:rsidR="003C4199">
        <w:t>argument</w:t>
      </w:r>
      <w:r w:rsidR="00215200">
        <w:t xml:space="preserve"> for </w:t>
      </w:r>
      <w:r w:rsidR="00215200">
        <w:lastRenderedPageBreak/>
        <w:t>grandfathering</w:t>
      </w:r>
      <w:r w:rsidR="003C4199">
        <w:t>. If High and Low are granted identical levels of resources, including emission rights, High would be disadvantaged</w:t>
      </w:r>
      <w:r w:rsidR="00215200">
        <w:t xml:space="preserve"> in</w:t>
      </w:r>
      <w:r w:rsidR="005B2208">
        <w:t xml:space="preserve"> terms of</w:t>
      </w:r>
      <w:r w:rsidR="00215200">
        <w:t xml:space="preserve"> </w:t>
      </w:r>
      <w:r w:rsidR="005B2208">
        <w:t>absolute levels of welfare</w:t>
      </w:r>
      <w:r w:rsidR="003C4199">
        <w:t xml:space="preserve"> </w:t>
      </w:r>
      <w:r w:rsidR="00215200">
        <w:t xml:space="preserve">on </w:t>
      </w:r>
      <w:r w:rsidR="00417E5A">
        <w:t>account of the transition</w:t>
      </w:r>
      <w:r w:rsidR="003C4199">
        <w:t xml:space="preserve"> costs that High faces.</w:t>
      </w:r>
      <w:r w:rsidR="00287675">
        <w:t xml:space="preserve"> For instance, High may have difficulty getting</w:t>
      </w:r>
      <w:r w:rsidR="005B2208">
        <w:t xml:space="preserve"> to work if he has only equal emission rights, as his country is car dependent, w</w:t>
      </w:r>
      <w:r w:rsidR="00287675">
        <w:t xml:space="preserve">hile Low can easily get to work with low emissions </w:t>
      </w:r>
      <w:r w:rsidR="005B2208">
        <w:t xml:space="preserve">on his country’s </w:t>
      </w:r>
      <w:r w:rsidR="00287675">
        <w:t xml:space="preserve">effective </w:t>
      </w:r>
      <w:r w:rsidR="005B2208">
        <w:t>public transport system.</w:t>
      </w:r>
      <w:r w:rsidR="00287675">
        <w:t xml:space="preserve"> Even if emission permits could be traded, and </w:t>
      </w:r>
      <w:proofErr w:type="gramStart"/>
      <w:r w:rsidR="00287675">
        <w:t>High</w:t>
      </w:r>
      <w:proofErr w:type="gramEnd"/>
      <w:r w:rsidR="00287675">
        <w:t xml:space="preserve"> bought some of Low’s permits, High would still be disadvantaged, as he would now have less money than Low. </w:t>
      </w:r>
      <w:r w:rsidR="003C4199">
        <w:t xml:space="preserve">High is </w:t>
      </w:r>
      <w:r w:rsidR="00287675">
        <w:t xml:space="preserve">thus </w:t>
      </w:r>
      <w:r w:rsidR="003C4199">
        <w:t xml:space="preserve">due a higher </w:t>
      </w:r>
      <w:r w:rsidR="00287675">
        <w:t xml:space="preserve">initial </w:t>
      </w:r>
      <w:r w:rsidR="003C4199">
        <w:t>level of resources than Low</w:t>
      </w:r>
      <w:r w:rsidR="00215200">
        <w:t xml:space="preserve"> in</w:t>
      </w:r>
      <w:r w:rsidR="00287675">
        <w:t xml:space="preserve"> order to maximize the welfare</w:t>
      </w:r>
      <w:r w:rsidR="00215200">
        <w:t xml:space="preserve"> level of the worst off.</w:t>
      </w:r>
    </w:p>
    <w:p w:rsidR="000F429C" w:rsidRDefault="00215200" w:rsidP="0019752B">
      <w:pPr>
        <w:autoSpaceDE w:val="0"/>
        <w:autoSpaceDN w:val="0"/>
        <w:adjustRightInd w:val="0"/>
        <w:spacing w:line="480" w:lineRule="auto"/>
        <w:ind w:firstLine="720"/>
        <w:jc w:val="both"/>
      </w:pPr>
      <w:r>
        <w:t xml:space="preserve">The simple form of </w:t>
      </w:r>
      <w:proofErr w:type="spellStart"/>
      <w:r>
        <w:t>prioritarianism</w:t>
      </w:r>
      <w:proofErr w:type="spellEnd"/>
      <w:r>
        <w:t xml:space="preserve"> is often </w:t>
      </w:r>
      <w:r w:rsidR="00D9769F">
        <w:t xml:space="preserve">(in effect) </w:t>
      </w:r>
      <w:r>
        <w:t>combine</w:t>
      </w:r>
      <w:r w:rsidR="00905D98">
        <w:t>d with utilitarianism, to provide a limited priority to the worst off</w:t>
      </w:r>
      <w:r>
        <w:t xml:space="preserve">. As both components of this position support grandfathering, </w:t>
      </w:r>
      <w:r w:rsidR="003053EA">
        <w:t>the overall view does as well.</w:t>
      </w:r>
      <w:r w:rsidR="003053EA">
        <w:rPr>
          <w:rStyle w:val="FootnoteReference"/>
        </w:rPr>
        <w:footnoteReference w:id="39"/>
      </w:r>
      <w:r w:rsidR="003053EA">
        <w:t xml:space="preserve"> This l</w:t>
      </w:r>
      <w:r>
        <w:t xml:space="preserve">imited priority </w:t>
      </w:r>
      <w:r w:rsidR="003053EA">
        <w:t xml:space="preserve">view </w:t>
      </w:r>
      <w:r>
        <w:t xml:space="preserve">has itself been combined with responsibility considerations similar to those of equality of opportunity for welfare to create ‘responsibility-catering </w:t>
      </w:r>
      <w:proofErr w:type="spellStart"/>
      <w:r>
        <w:t>prioritarianism</w:t>
      </w:r>
      <w:proofErr w:type="spellEnd"/>
      <w:r>
        <w:t>’.</w:t>
      </w:r>
      <w:r>
        <w:rPr>
          <w:rStyle w:val="FootnoteReference"/>
        </w:rPr>
        <w:footnoteReference w:id="40"/>
      </w:r>
      <w:r>
        <w:t xml:space="preserve"> As all three components of this vie</w:t>
      </w:r>
      <w:r w:rsidR="003D2D37">
        <w:t xml:space="preserve">w support grandfathering, it </w:t>
      </w:r>
      <w:r>
        <w:t xml:space="preserve">again </w:t>
      </w:r>
      <w:r w:rsidR="003D2D37">
        <w:t xml:space="preserve">follows that the overall view </w:t>
      </w:r>
      <w:r>
        <w:t>does.</w:t>
      </w:r>
    </w:p>
    <w:p w:rsidR="0018500E" w:rsidRPr="0019752B" w:rsidRDefault="0018500E" w:rsidP="0018500E">
      <w:pPr>
        <w:autoSpaceDE w:val="0"/>
        <w:autoSpaceDN w:val="0"/>
        <w:adjustRightInd w:val="0"/>
        <w:spacing w:line="480" w:lineRule="auto"/>
        <w:jc w:val="both"/>
      </w:pPr>
    </w:p>
    <w:p w:rsidR="0018500E" w:rsidRPr="0018500E" w:rsidRDefault="0018500E" w:rsidP="0018500E">
      <w:pPr>
        <w:autoSpaceDE w:val="0"/>
        <w:autoSpaceDN w:val="0"/>
        <w:adjustRightInd w:val="0"/>
        <w:spacing w:line="480" w:lineRule="auto"/>
        <w:jc w:val="both"/>
        <w:rPr>
          <w:b/>
        </w:rPr>
      </w:pPr>
      <w:r w:rsidRPr="0018500E">
        <w:rPr>
          <w:b/>
        </w:rPr>
        <w:t>V. Sufficiency</w:t>
      </w:r>
    </w:p>
    <w:p w:rsidR="000F429C" w:rsidRDefault="00713F9D" w:rsidP="0018500E">
      <w:pPr>
        <w:autoSpaceDE w:val="0"/>
        <w:autoSpaceDN w:val="0"/>
        <w:adjustRightInd w:val="0"/>
        <w:spacing w:line="480" w:lineRule="auto"/>
        <w:jc w:val="both"/>
      </w:pPr>
      <w:r>
        <w:t>The second view concerned with the absolute position of the worst off</w:t>
      </w:r>
      <w:r w:rsidR="0018500E">
        <w:t>, and the final view to be considered,</w:t>
      </w:r>
      <w:r>
        <w:t xml:space="preserve"> is </w:t>
      </w:r>
      <w:proofErr w:type="spellStart"/>
      <w:r w:rsidRPr="00713F9D">
        <w:rPr>
          <w:i/>
        </w:rPr>
        <w:t>sufficientarianism</w:t>
      </w:r>
      <w:proofErr w:type="spellEnd"/>
      <w:r w:rsidR="000F429C" w:rsidRPr="00713F9D">
        <w:rPr>
          <w:i/>
        </w:rPr>
        <w:t>.</w:t>
      </w:r>
      <w:r w:rsidR="000F429C">
        <w:t xml:space="preserve"> </w:t>
      </w:r>
      <w:r>
        <w:t>On this view,</w:t>
      </w:r>
      <w:r w:rsidR="000F429C">
        <w:t xml:space="preserve"> distributive justice requires not that benefits be maximized, equalized, or </w:t>
      </w:r>
      <w:r w:rsidR="002237B7">
        <w:t>directed to</w:t>
      </w:r>
      <w:r w:rsidR="000F429C">
        <w:t xml:space="preserve"> the worst off, but that individuals </w:t>
      </w:r>
      <w:proofErr w:type="gramStart"/>
      <w:r w:rsidR="000F429C">
        <w:t>be</w:t>
      </w:r>
      <w:proofErr w:type="gramEnd"/>
      <w:r w:rsidR="000F429C">
        <w:t xml:space="preserve"> provided with enough. </w:t>
      </w:r>
      <w:r w:rsidR="004E1E10">
        <w:t xml:space="preserve">Different versions of </w:t>
      </w:r>
      <w:proofErr w:type="spellStart"/>
      <w:r w:rsidR="0018500E">
        <w:t>sufficientarianism</w:t>
      </w:r>
      <w:proofErr w:type="spellEnd"/>
      <w:r w:rsidR="004E1E10">
        <w:t xml:space="preserve"> answer the question of ‘how much is enough?’ in different ways. Harry Frankfurt’s influential </w:t>
      </w:r>
      <w:r w:rsidR="004E1E10">
        <w:lastRenderedPageBreak/>
        <w:t xml:space="preserve">early discussion treated individuals as having enough where they are contented with what they have, while Roger Crisp has more recently suggested that individuals have enough where an impartial spectator would </w:t>
      </w:r>
      <w:r w:rsidR="004437FB">
        <w:t>stop having</w:t>
      </w:r>
      <w:r w:rsidR="004E1E10">
        <w:t xml:space="preserve"> compassion for them.</w:t>
      </w:r>
      <w:r w:rsidR="004E1E10">
        <w:rPr>
          <w:rStyle w:val="FootnoteReference"/>
        </w:rPr>
        <w:footnoteReference w:id="41"/>
      </w:r>
      <w:r w:rsidR="002237B7">
        <w:t xml:space="preserve"> In any event, the crucial feature of the view is that </w:t>
      </w:r>
      <w:r w:rsidR="00FD5A4E">
        <w:t>benefits to individuals below the threshold of enough have</w:t>
      </w:r>
      <w:r>
        <w:t xml:space="preserve"> unconditional</w:t>
      </w:r>
      <w:r w:rsidR="002237B7">
        <w:t xml:space="preserve"> priority over</w:t>
      </w:r>
      <w:r w:rsidR="00FD5A4E">
        <w:t xml:space="preserve"> benefits to individuals above the threshold</w:t>
      </w:r>
      <w:r w:rsidR="002237B7">
        <w:t>.</w:t>
      </w:r>
    </w:p>
    <w:p w:rsidR="0042669A" w:rsidRDefault="002237B7" w:rsidP="00FD5A4E">
      <w:pPr>
        <w:autoSpaceDE w:val="0"/>
        <w:autoSpaceDN w:val="0"/>
        <w:adjustRightInd w:val="0"/>
        <w:spacing w:line="480" w:lineRule="auto"/>
        <w:ind w:firstLine="720"/>
        <w:jc w:val="both"/>
      </w:pPr>
      <w:proofErr w:type="spellStart"/>
      <w:r>
        <w:t>Sufficientarianism</w:t>
      </w:r>
      <w:proofErr w:type="spellEnd"/>
      <w:r>
        <w:t xml:space="preserve"> may seem unpromising as a basis for grandfathering. After all, the view </w:t>
      </w:r>
      <w:r w:rsidR="006C1071">
        <w:t>and its close relatives</w:t>
      </w:r>
      <w:r>
        <w:t xml:space="preserve"> </w:t>
      </w:r>
      <w:r w:rsidR="00713F9D">
        <w:t>are familiar</w:t>
      </w:r>
      <w:r>
        <w:t xml:space="preserve"> in a climate ethics context as a basis for limiting the emission entitlements of </w:t>
      </w:r>
      <w:r w:rsidR="006C1071">
        <w:t>the high emitting rich</w:t>
      </w:r>
      <w:r>
        <w:t>.</w:t>
      </w:r>
      <w:r w:rsidR="001A409F">
        <w:rPr>
          <w:rStyle w:val="FootnoteReference"/>
        </w:rPr>
        <w:footnoteReference w:id="42"/>
      </w:r>
      <w:r w:rsidR="006C1071">
        <w:t xml:space="preserve"> We should, however, </w:t>
      </w:r>
      <w:r w:rsidR="003053EA">
        <w:t>be careful to distinguish</w:t>
      </w:r>
      <w:r w:rsidR="006C1071">
        <w:t xml:space="preserve"> the high emitting rich’s richness from their high emitting. Once we do so, it becomes apparent that some forms of </w:t>
      </w:r>
      <w:proofErr w:type="spellStart"/>
      <w:r w:rsidR="006C1071">
        <w:t>sufficientarianism</w:t>
      </w:r>
      <w:proofErr w:type="spellEnd"/>
      <w:r w:rsidR="006C1071">
        <w:t>, at least, can support grandfathering.</w:t>
      </w:r>
      <w:r w:rsidR="00713F9D">
        <w:t xml:space="preserve"> For instance, </w:t>
      </w:r>
      <w:r w:rsidR="00D12466">
        <w:t>cutting the emissions of High so they are at the same level as Low</w:t>
      </w:r>
      <w:r w:rsidR="0042669A">
        <w:t>’s emissions</w:t>
      </w:r>
      <w:r w:rsidR="00D12466">
        <w:t xml:space="preserve"> will leave Low no less content (she can emit as much as before) but High discontent (she has to emit much less). This difference is morally important</w:t>
      </w:r>
      <w:r w:rsidR="00D12466" w:rsidRPr="00D12466">
        <w:t xml:space="preserve"> </w:t>
      </w:r>
      <w:r w:rsidR="00D12466">
        <w:t xml:space="preserve">on a </w:t>
      </w:r>
      <w:proofErr w:type="spellStart"/>
      <w:r w:rsidR="00D12466">
        <w:t>Frankfurtian</w:t>
      </w:r>
      <w:proofErr w:type="spellEnd"/>
      <w:r w:rsidR="00D12466">
        <w:t xml:space="preserve"> view which treats individuals as having enough where they are content with what they have, and justifies High having greater entitlements than Low.</w:t>
      </w:r>
      <w:r w:rsidR="00D12466">
        <w:rPr>
          <w:rStyle w:val="FootnoteReference"/>
        </w:rPr>
        <w:footnoteReference w:id="43"/>
      </w:r>
      <w:r w:rsidR="0042669A">
        <w:t xml:space="preserve"> And for reasons that should by now be familiar, this follows even where Poor is present, and even where emissions entitlements are tradable.</w:t>
      </w:r>
      <w:r w:rsidR="00FD5A4E" w:rsidRPr="00FD5A4E">
        <w:t xml:space="preserve"> </w:t>
      </w:r>
      <w:r w:rsidR="00FD5A4E">
        <w:t xml:space="preserve">Thus, avoidance of below-threshold disadvantage offers a sixth possible link – after avoidance of utility loss, relative disadvantage, involuntary relative </w:t>
      </w:r>
      <w:r w:rsidR="00FD5A4E">
        <w:lastRenderedPageBreak/>
        <w:t xml:space="preserve">disadvantage, </w:t>
      </w:r>
      <w:proofErr w:type="spellStart"/>
      <w:r w:rsidR="00FD5A4E">
        <w:t>disidentification</w:t>
      </w:r>
      <w:proofErr w:type="spellEnd"/>
      <w:r w:rsidR="00FD5A4E">
        <w:t>, and absolute disadvantage – between prior emissions and emissions entitlements.</w:t>
      </w:r>
    </w:p>
    <w:p w:rsidR="00814161" w:rsidRDefault="0042669A" w:rsidP="00814161">
      <w:pPr>
        <w:autoSpaceDE w:val="0"/>
        <w:autoSpaceDN w:val="0"/>
        <w:adjustRightInd w:val="0"/>
        <w:spacing w:line="480" w:lineRule="auto"/>
        <w:ind w:firstLine="720"/>
        <w:jc w:val="both"/>
      </w:pPr>
      <w:r>
        <w:t xml:space="preserve">Still, some forms of </w:t>
      </w:r>
      <w:proofErr w:type="spellStart"/>
      <w:r>
        <w:t>su</w:t>
      </w:r>
      <w:r w:rsidR="00415415">
        <w:t>fficientarianism</w:t>
      </w:r>
      <w:proofErr w:type="spellEnd"/>
      <w:r w:rsidR="00415415">
        <w:t xml:space="preserve"> are less likely to support grandfathering. Whether Crisp’s view</w:t>
      </w:r>
      <w:r>
        <w:t xml:space="preserve"> </w:t>
      </w:r>
      <w:r w:rsidR="00415415">
        <w:t>would give rise to grandfathering is unclear. Cutting t</w:t>
      </w:r>
      <w:r>
        <w:t>he emissions of High so they are at the same level as Low</w:t>
      </w:r>
      <w:r w:rsidR="00415415">
        <w:t>’s</w:t>
      </w:r>
      <w:r>
        <w:t xml:space="preserve"> emissions will certainly not make it the case that </w:t>
      </w:r>
      <w:r w:rsidR="00415415">
        <w:t>the spectator should feel compassion</w:t>
      </w:r>
      <w:r>
        <w:t xml:space="preserve"> for Low, but may</w:t>
      </w:r>
      <w:r w:rsidR="00415415">
        <w:t xml:space="preserve"> or may not</w:t>
      </w:r>
      <w:r>
        <w:t xml:space="preserve"> make it appropriate to show compassion for </w:t>
      </w:r>
      <w:r w:rsidR="00415415">
        <w:t>High. That will depend on the extent of the impact on High</w:t>
      </w:r>
      <w:r w:rsidR="00814161">
        <w:t xml:space="preserve">, and on the proper </w:t>
      </w:r>
      <w:r w:rsidR="00415415">
        <w:t xml:space="preserve">conception of compassion, on which Crisp offers little guidance. </w:t>
      </w:r>
      <w:r w:rsidR="00814161">
        <w:t>Furthermore, o</w:t>
      </w:r>
      <w:r w:rsidR="00415415">
        <w:t xml:space="preserve">n the minimalist form of </w:t>
      </w:r>
      <w:proofErr w:type="spellStart"/>
      <w:r w:rsidR="00415415">
        <w:t>sufficientarianism</w:t>
      </w:r>
      <w:proofErr w:type="spellEnd"/>
      <w:r w:rsidR="00415415">
        <w:t xml:space="preserve"> familiar from </w:t>
      </w:r>
      <w:r w:rsidR="009D54E1">
        <w:t>climate ethics, it seems</w:t>
      </w:r>
      <w:r w:rsidR="00814161">
        <w:t xml:space="preserve"> clear</w:t>
      </w:r>
      <w:r w:rsidR="009D54E1">
        <w:t xml:space="preserve"> that grandfathering would not be supported. Henry </w:t>
      </w:r>
      <w:proofErr w:type="spellStart"/>
      <w:r w:rsidR="009D54E1">
        <w:t>Shue</w:t>
      </w:r>
      <w:proofErr w:type="spellEnd"/>
      <w:r w:rsidR="009D54E1">
        <w:t xml:space="preserve">, for instance, writes that ‘those living in desperate poverty ought not to be required </w:t>
      </w:r>
      <w:r w:rsidR="00814161">
        <w:t>to restrain their emissions, thereby remaining in poverty, in order that those living in luxury should not have to restrain their emissions’.</w:t>
      </w:r>
      <w:r w:rsidR="00814161">
        <w:rPr>
          <w:rStyle w:val="FootnoteReference"/>
        </w:rPr>
        <w:footnoteReference w:id="44"/>
      </w:r>
      <w:r w:rsidR="00814161">
        <w:t xml:space="preserve"> If the threshold of enough is set low, so that only those who are poor (or badly off in welfare terms) by global standards are below it, it seems clear that a typical high emitter will not be in danger of falling below the threshold even with </w:t>
      </w:r>
      <w:r w:rsidR="003053EA">
        <w:t>disproportionate</w:t>
      </w:r>
      <w:r w:rsidR="00814161">
        <w:t xml:space="preserve"> cuts, and hence grandfathering will not be supported.</w:t>
      </w:r>
    </w:p>
    <w:p w:rsidR="002237B7" w:rsidRDefault="00814161" w:rsidP="00814161">
      <w:pPr>
        <w:autoSpaceDE w:val="0"/>
        <w:autoSpaceDN w:val="0"/>
        <w:adjustRightInd w:val="0"/>
        <w:spacing w:line="480" w:lineRule="auto"/>
        <w:ind w:firstLine="720"/>
        <w:jc w:val="both"/>
      </w:pPr>
      <w:r>
        <w:t xml:space="preserve">There is, however, an important caveat. Versions of </w:t>
      </w:r>
      <w:proofErr w:type="spellStart"/>
      <w:r>
        <w:t>sufficientarianism</w:t>
      </w:r>
      <w:proofErr w:type="spellEnd"/>
      <w:r>
        <w:t xml:space="preserve"> with low thresholds are rarely</w:t>
      </w:r>
      <w:r w:rsidR="00FD5A4E">
        <w:t xml:space="preserve"> </w:t>
      </w:r>
      <w:r>
        <w:t xml:space="preserve">intended as overall accounts of justice. </w:t>
      </w:r>
      <w:r w:rsidR="00FD5A4E">
        <w:t>I</w:t>
      </w:r>
      <w:r w:rsidR="0052147D">
        <w:t xml:space="preserve">t is not very plausible that, when it comes to distributing some good, such as emission allowances, the only distributive </w:t>
      </w:r>
      <w:r w:rsidR="000E60CF">
        <w:t>goal</w:t>
      </w:r>
      <w:r w:rsidR="0052147D">
        <w:t xml:space="preserve"> </w:t>
      </w:r>
      <w:r w:rsidR="000E60CF">
        <w:t>is to ensure</w:t>
      </w:r>
      <w:r w:rsidR="00517A8E">
        <w:t xml:space="preserve"> that the very badly off are provided for. The amount of the good that the (merely) </w:t>
      </w:r>
      <w:r w:rsidR="00FD5A4E">
        <w:t xml:space="preserve">badly off and the averagely off </w:t>
      </w:r>
      <w:r w:rsidR="00517A8E">
        <w:t>get also matters</w:t>
      </w:r>
      <w:r w:rsidR="00FD5A4E">
        <w:t>, to some significant extent</w:t>
      </w:r>
      <w:r w:rsidR="00517A8E">
        <w:t xml:space="preserve">. Thus, </w:t>
      </w:r>
      <w:r w:rsidR="00FD5A4E">
        <w:t xml:space="preserve">precisely </w:t>
      </w:r>
      <w:r w:rsidR="00517A8E">
        <w:t xml:space="preserve">insofar as </w:t>
      </w:r>
      <w:proofErr w:type="spellStart"/>
      <w:r w:rsidR="00517A8E">
        <w:t>sufficientarianism</w:t>
      </w:r>
      <w:proofErr w:type="spellEnd"/>
      <w:r w:rsidR="00517A8E">
        <w:t xml:space="preserve"> fails to support grandfathering, it will need </w:t>
      </w:r>
      <w:r w:rsidR="004437FB">
        <w:t>to be complemented</w:t>
      </w:r>
      <w:r w:rsidR="00517A8E">
        <w:t xml:space="preserve"> by other principles. If those </w:t>
      </w:r>
      <w:r w:rsidR="00517A8E">
        <w:lastRenderedPageBreak/>
        <w:t xml:space="preserve">other principles are </w:t>
      </w:r>
      <w:r w:rsidR="00932A9B">
        <w:t xml:space="preserve">utilitarian, </w:t>
      </w:r>
      <w:r w:rsidR="00517A8E">
        <w:t xml:space="preserve">egalitarian, </w:t>
      </w:r>
      <w:proofErr w:type="spellStart"/>
      <w:r w:rsidR="00517A8E">
        <w:t>prioritarian</w:t>
      </w:r>
      <w:proofErr w:type="spellEnd"/>
      <w:r w:rsidR="00517A8E">
        <w:t xml:space="preserve">, or even (less minimalist) </w:t>
      </w:r>
      <w:proofErr w:type="spellStart"/>
      <w:r w:rsidR="00517A8E">
        <w:t>sufficientarian</w:t>
      </w:r>
      <w:proofErr w:type="spellEnd"/>
      <w:r w:rsidR="00517A8E">
        <w:t xml:space="preserve">, they may themselves </w:t>
      </w:r>
      <w:r w:rsidR="000914FF">
        <w:t>provide grounds for</w:t>
      </w:r>
      <w:r w:rsidR="00517A8E">
        <w:t xml:space="preserve"> grandfathering.</w:t>
      </w:r>
      <w:r w:rsidR="00517A8E">
        <w:rPr>
          <w:rStyle w:val="FootnoteReference"/>
        </w:rPr>
        <w:footnoteReference w:id="45"/>
      </w:r>
    </w:p>
    <w:p w:rsidR="0018500E" w:rsidRDefault="0018500E" w:rsidP="0018500E">
      <w:pPr>
        <w:autoSpaceDE w:val="0"/>
        <w:autoSpaceDN w:val="0"/>
        <w:adjustRightInd w:val="0"/>
        <w:spacing w:line="480" w:lineRule="auto"/>
        <w:jc w:val="both"/>
      </w:pPr>
    </w:p>
    <w:p w:rsidR="0018500E" w:rsidRPr="00480F8F" w:rsidRDefault="0018500E" w:rsidP="0018500E">
      <w:pPr>
        <w:autoSpaceDE w:val="0"/>
        <w:autoSpaceDN w:val="0"/>
        <w:adjustRightInd w:val="0"/>
        <w:spacing w:line="480" w:lineRule="auto"/>
        <w:jc w:val="both"/>
        <w:rPr>
          <w:b/>
        </w:rPr>
      </w:pPr>
      <w:r w:rsidRPr="00480F8F">
        <w:rPr>
          <w:b/>
        </w:rPr>
        <w:t>V</w:t>
      </w:r>
      <w:r w:rsidR="00480F8F" w:rsidRPr="00480F8F">
        <w:rPr>
          <w:b/>
        </w:rPr>
        <w:t>I</w:t>
      </w:r>
      <w:r w:rsidRPr="00480F8F">
        <w:rPr>
          <w:b/>
        </w:rPr>
        <w:t>.</w:t>
      </w:r>
      <w:r w:rsidR="00480F8F" w:rsidRPr="00480F8F">
        <w:rPr>
          <w:b/>
        </w:rPr>
        <w:t xml:space="preserve"> </w:t>
      </w:r>
      <w:r w:rsidR="00480F8F">
        <w:rPr>
          <w:b/>
        </w:rPr>
        <w:t>Practical Implications</w:t>
      </w:r>
      <w:r w:rsidRPr="00480F8F">
        <w:rPr>
          <w:b/>
        </w:rPr>
        <w:t xml:space="preserve"> </w:t>
      </w:r>
    </w:p>
    <w:p w:rsidR="00C8286A" w:rsidRPr="004E5796" w:rsidRDefault="00C8286A" w:rsidP="00C8286A">
      <w:pPr>
        <w:autoSpaceDE w:val="0"/>
        <w:autoSpaceDN w:val="0"/>
        <w:adjustRightInd w:val="0"/>
        <w:spacing w:line="480" w:lineRule="auto"/>
        <w:jc w:val="both"/>
        <w:rPr>
          <w:lang w:val="en-US" w:eastAsia="en-US"/>
        </w:rPr>
      </w:pPr>
      <w:r>
        <w:t xml:space="preserve">While the egalitarian, </w:t>
      </w:r>
      <w:proofErr w:type="spellStart"/>
      <w:r>
        <w:t>prioritarian</w:t>
      </w:r>
      <w:proofErr w:type="spellEnd"/>
      <w:r>
        <w:t xml:space="preserve">, and </w:t>
      </w:r>
      <w:proofErr w:type="spellStart"/>
      <w:r>
        <w:t>sufficientarian</w:t>
      </w:r>
      <w:proofErr w:type="spellEnd"/>
      <w:r>
        <w:t xml:space="preserve"> views discussed </w:t>
      </w:r>
      <w:r w:rsidR="00561432">
        <w:t xml:space="preserve">above </w:t>
      </w:r>
      <w:r>
        <w:t xml:space="preserve">generally support grandfathering, it should be emphasized that they provide even stronger reasons for transferring resources from the rich to the poor than </w:t>
      </w:r>
      <w:proofErr w:type="gramStart"/>
      <w:r>
        <w:t>does</w:t>
      </w:r>
      <w:proofErr w:type="gramEnd"/>
      <w:r>
        <w:t xml:space="preserve"> utilitarianism. The utilitarian argument for global equality is instrumental, based on diminishing marginal utility. Egalitarians see global equality, in their favoured dimensions, as just </w:t>
      </w:r>
      <w:r w:rsidRPr="00BA0AAD">
        <w:rPr>
          <w:i/>
        </w:rPr>
        <w:t>fundamentally.</w:t>
      </w:r>
      <w:r>
        <w:t xml:space="preserve"> Likewise, </w:t>
      </w:r>
      <w:proofErr w:type="spellStart"/>
      <w:r>
        <w:t>prioritarians</w:t>
      </w:r>
      <w:proofErr w:type="spellEnd"/>
      <w:r>
        <w:t xml:space="preserve"> see benefits to the worst off as being fundamentally just. </w:t>
      </w:r>
      <w:proofErr w:type="spellStart"/>
      <w:r>
        <w:t>Sufficientarians</w:t>
      </w:r>
      <w:proofErr w:type="spellEnd"/>
      <w:r>
        <w:t xml:space="preserve"> also see benefits to those below their favoured threshold as being fundamentally just. Even more than is the case with the utilitarian argument for grandfathering, we should see the egalitarian, </w:t>
      </w:r>
      <w:proofErr w:type="spellStart"/>
      <w:r>
        <w:t>prioritarian</w:t>
      </w:r>
      <w:proofErr w:type="spellEnd"/>
      <w:r>
        <w:t xml:space="preserve">, and </w:t>
      </w:r>
      <w:proofErr w:type="spellStart"/>
      <w:r>
        <w:t>sufficientarian</w:t>
      </w:r>
      <w:proofErr w:type="spellEnd"/>
      <w:r>
        <w:t xml:space="preserve"> arguments for grandfathering as relatively small adjustments of distributions in the favour of high emitters, against a backdrop of massive emission cuts by the high-emitting rich.</w:t>
      </w:r>
    </w:p>
    <w:p w:rsidR="0024635B" w:rsidRDefault="00C8286A" w:rsidP="00E269F2">
      <w:pPr>
        <w:autoSpaceDE w:val="0"/>
        <w:autoSpaceDN w:val="0"/>
        <w:adjustRightInd w:val="0"/>
        <w:spacing w:line="480" w:lineRule="auto"/>
        <w:jc w:val="both"/>
      </w:pPr>
      <w:r>
        <w:tab/>
      </w:r>
      <w:r w:rsidR="00932A9B">
        <w:t>It might be doubted whether the idealized conditions under which grandfathering seems plausible – in p</w:t>
      </w:r>
      <w:r w:rsidR="00D34794">
        <w:t>articular, those featuring High and</w:t>
      </w:r>
      <w:r w:rsidR="00932A9B">
        <w:t xml:space="preserve"> Low</w:t>
      </w:r>
      <w:r w:rsidR="00D34794">
        <w:t xml:space="preserve"> </w:t>
      </w:r>
      <w:r w:rsidR="00932A9B">
        <w:t>– are ever actually approximated.</w:t>
      </w:r>
      <w:r w:rsidR="00932A9B">
        <w:rPr>
          <w:rStyle w:val="FootnoteReference"/>
        </w:rPr>
        <w:footnoteReference w:id="46"/>
      </w:r>
      <w:r w:rsidR="00932A9B">
        <w:t xml:space="preserve"> However, the practical problem of assigning emissi</w:t>
      </w:r>
      <w:r w:rsidR="00EC3B10">
        <w:t xml:space="preserve">on entitlements among countries </w:t>
      </w:r>
      <w:r w:rsidR="000429F8">
        <w:t xml:space="preserve">is, </w:t>
      </w:r>
      <w:r w:rsidR="00776F3F">
        <w:t xml:space="preserve">in </w:t>
      </w:r>
      <w:r w:rsidR="000429F8">
        <w:t xml:space="preserve">one </w:t>
      </w:r>
      <w:r w:rsidR="00776F3F">
        <w:t xml:space="preserve">clear and </w:t>
      </w:r>
      <w:r w:rsidR="000429F8">
        <w:t>important respect, relevantly similar</w:t>
      </w:r>
      <w:r w:rsidR="00932A9B">
        <w:t xml:space="preserve"> </w:t>
      </w:r>
      <w:r w:rsidR="00932A9B">
        <w:lastRenderedPageBreak/>
        <w:t>to the High-Low-Poor world.</w:t>
      </w:r>
      <w:r w:rsidR="000429F8">
        <w:t xml:space="preserve"> </w:t>
      </w:r>
      <w:r w:rsidR="00776F3F">
        <w:t xml:space="preserve">Quite simply, our world does contain rich high emitting countries, rich (relatively) low emitting countries, and poor countries. </w:t>
      </w:r>
    </w:p>
    <w:p w:rsidR="000429F8" w:rsidRDefault="00D21242" w:rsidP="00D21242">
      <w:pPr>
        <w:autoSpaceDE w:val="0"/>
        <w:autoSpaceDN w:val="0"/>
        <w:adjustRightInd w:val="0"/>
        <w:spacing w:line="480" w:lineRule="auto"/>
        <w:ind w:firstLine="720"/>
        <w:jc w:val="both"/>
      </w:pPr>
      <w:r>
        <w:t>An</w:t>
      </w:r>
      <w:r w:rsidR="0024635B">
        <w:t xml:space="preserve"> initial complication should be addressed. Our world does</w:t>
      </w:r>
      <w:r w:rsidR="00776F3F">
        <w:t xml:space="preserve"> also, of course,</w:t>
      </w:r>
      <w:r w:rsidR="0024635B">
        <w:t xml:space="preserve"> contain</w:t>
      </w:r>
      <w:r w:rsidR="00776F3F">
        <w:t xml:space="preserve"> countrie</w:t>
      </w:r>
      <w:r w:rsidR="0024635B">
        <w:t xml:space="preserve">s that do not seem to be counterparts of </w:t>
      </w:r>
      <w:proofErr w:type="gramStart"/>
      <w:r w:rsidR="0024635B">
        <w:t>either High</w:t>
      </w:r>
      <w:proofErr w:type="gramEnd"/>
      <w:r w:rsidR="0024635B">
        <w:t>, Low</w:t>
      </w:r>
      <w:r w:rsidR="00776F3F">
        <w:t xml:space="preserve">, </w:t>
      </w:r>
      <w:r w:rsidR="0024635B">
        <w:t>or Poor. M</w:t>
      </w:r>
      <w:r w:rsidR="00776F3F">
        <w:t>iddle-income countries</w:t>
      </w:r>
      <w:r w:rsidR="0024635B">
        <w:t xml:space="preserve"> are</w:t>
      </w:r>
      <w:r w:rsidR="002B1364">
        <w:t xml:space="preserve"> the</w:t>
      </w:r>
      <w:r w:rsidR="0024635B">
        <w:t xml:space="preserve"> main example here</w:t>
      </w:r>
      <w:r w:rsidR="00D07492">
        <w:t>. However,</w:t>
      </w:r>
      <w:r w:rsidR="00776F3F">
        <w:t xml:space="preserve"> </w:t>
      </w:r>
      <w:r w:rsidR="00D07492">
        <w:t xml:space="preserve">the </w:t>
      </w:r>
      <w:r w:rsidR="00D07492" w:rsidRPr="00D07492">
        <w:rPr>
          <w:i/>
        </w:rPr>
        <w:t>relative</w:t>
      </w:r>
      <w:r w:rsidR="00D07492">
        <w:t xml:space="preserve"> entitlements of the real world counterparts of High, Low, and Poor</w:t>
      </w:r>
      <w:r w:rsidR="00D07492" w:rsidRPr="00D07492">
        <w:rPr>
          <w:i/>
        </w:rPr>
        <w:t xml:space="preserve"> </w:t>
      </w:r>
      <w:r w:rsidR="0024635B">
        <w:t xml:space="preserve">should not be affected by the </w:t>
      </w:r>
      <w:r w:rsidR="00776F3F">
        <w:t>presence of further parties.</w:t>
      </w:r>
      <w:r w:rsidR="0024635B">
        <w:t xml:space="preserve"> Of course, these further parties’ emission needs may reduce the </w:t>
      </w:r>
      <w:r w:rsidR="0024635B" w:rsidRPr="00D07492">
        <w:rPr>
          <w:i/>
        </w:rPr>
        <w:t>absolute</w:t>
      </w:r>
      <w:r w:rsidR="00D07492">
        <w:rPr>
          <w:i/>
        </w:rPr>
        <w:t xml:space="preserve"> </w:t>
      </w:r>
      <w:r w:rsidR="00D07492">
        <w:t>(non-comparative)</w:t>
      </w:r>
      <w:r w:rsidR="0024635B">
        <w:t xml:space="preserve"> entitlements of both High and Low. But it is hard to see </w:t>
      </w:r>
      <w:r w:rsidR="002B1364">
        <w:t xml:space="preserve">how </w:t>
      </w:r>
      <w:r w:rsidR="0024635B">
        <w:t>these needs would affect High’s entitlement relative to Low. So I will simply set aside middle-income countries in what follows.</w:t>
      </w:r>
      <w:r w:rsidR="00975D4A">
        <w:rPr>
          <w:rStyle w:val="FootnoteReference"/>
        </w:rPr>
        <w:footnoteReference w:id="47"/>
      </w:r>
    </w:p>
    <w:p w:rsidR="0024635B" w:rsidRDefault="00D34794" w:rsidP="000429F8">
      <w:pPr>
        <w:autoSpaceDE w:val="0"/>
        <w:autoSpaceDN w:val="0"/>
        <w:adjustRightInd w:val="0"/>
        <w:spacing w:line="480" w:lineRule="auto"/>
        <w:ind w:firstLine="720"/>
        <w:jc w:val="both"/>
      </w:pPr>
      <w:r>
        <w:t xml:space="preserve">I will also set aside poor countries. </w:t>
      </w:r>
      <w:r w:rsidR="0021236B">
        <w:t>Almost any</w:t>
      </w:r>
      <w:r w:rsidR="00EC3B10">
        <w:t xml:space="preserve"> benefit we could assign either to a poor country or a rich country should, according to </w:t>
      </w:r>
      <w:r w:rsidR="00D07492">
        <w:t>the distributive principles canvassed above</w:t>
      </w:r>
      <w:r w:rsidR="00EC3B10">
        <w:t xml:space="preserve">, be assigned to </w:t>
      </w:r>
      <w:r w:rsidR="0021236B">
        <w:t>a poor country. Thus, we can assume that poor countries will receive whatever emission entitlements they need for their development</w:t>
      </w:r>
      <w:r w:rsidR="000429F8">
        <w:t xml:space="preserve">, and that </w:t>
      </w:r>
      <w:r w:rsidR="00776F3F">
        <w:t xml:space="preserve">virtually </w:t>
      </w:r>
      <w:r w:rsidR="000429F8">
        <w:t>any claims against this that rich countries might have on grounds of grandfathering are outweighed</w:t>
      </w:r>
      <w:r w:rsidR="00776F3F">
        <w:t xml:space="preserve"> (which is not to say disregarded)</w:t>
      </w:r>
      <w:r w:rsidR="0021236B">
        <w:t>.</w:t>
      </w:r>
    </w:p>
    <w:p w:rsidR="002B22C5" w:rsidRDefault="0024635B" w:rsidP="002F4515">
      <w:pPr>
        <w:autoSpaceDE w:val="0"/>
        <w:autoSpaceDN w:val="0"/>
        <w:adjustRightInd w:val="0"/>
        <w:spacing w:line="480" w:lineRule="auto"/>
        <w:ind w:firstLine="720"/>
        <w:jc w:val="both"/>
      </w:pPr>
      <w:r>
        <w:t>It is</w:t>
      </w:r>
      <w:r w:rsidR="00D34794">
        <w:t>, then,</w:t>
      </w:r>
      <w:r>
        <w:t xml:space="preserve"> concerning </w:t>
      </w:r>
      <w:r w:rsidR="0021236B">
        <w:t>distribution among rich countries</w:t>
      </w:r>
      <w:r>
        <w:t xml:space="preserve"> that moderate grandfathering seems most important</w:t>
      </w:r>
      <w:r w:rsidR="0021236B">
        <w:t xml:space="preserve">. </w:t>
      </w:r>
      <w:r w:rsidR="005C371B">
        <w:t>To keep the discussion manageable</w:t>
      </w:r>
      <w:r w:rsidR="002B22C5">
        <w:t>, let us</w:t>
      </w:r>
      <w:r w:rsidR="005C371B">
        <w:t xml:space="preserve"> just</w:t>
      </w:r>
      <w:r w:rsidR="002B22C5">
        <w:t xml:space="preserve"> consider the G7 countries</w:t>
      </w:r>
      <w:r w:rsidR="002B1364">
        <w:t xml:space="preserve"> (see Table 1)</w:t>
      </w:r>
      <w:r w:rsidR="002B22C5">
        <w:t>.</w:t>
      </w:r>
    </w:p>
    <w:p w:rsidR="00CA4ECD" w:rsidRDefault="00FA7883" w:rsidP="002B1364">
      <w:pPr>
        <w:autoSpaceDE w:val="0"/>
        <w:autoSpaceDN w:val="0"/>
        <w:adjustRightInd w:val="0"/>
        <w:spacing w:line="480" w:lineRule="auto"/>
        <w:jc w:val="both"/>
      </w:pPr>
      <w:r>
        <w:rPr>
          <w:lang w:val="en-US" w:eastAsia="en-US"/>
        </w:rPr>
        <w:tab/>
      </w:r>
      <w:r w:rsidR="00B54D63">
        <w:rPr>
          <w:lang w:val="en-US" w:eastAsia="en-US"/>
        </w:rPr>
        <w:t>I will s</w:t>
      </w:r>
      <w:r>
        <w:rPr>
          <w:lang w:val="en-US" w:eastAsia="en-US"/>
        </w:rPr>
        <w:t xml:space="preserve">tart by comparing Australia with Germany. This is about as close to the High-Low example as we are likely to get in the real world. Australia and Germany are </w:t>
      </w:r>
      <w:r w:rsidR="00CA4ECD">
        <w:rPr>
          <w:lang w:val="en-US" w:eastAsia="en-US"/>
        </w:rPr>
        <w:t>more or less</w:t>
      </w:r>
      <w:r>
        <w:rPr>
          <w:lang w:val="en-US" w:eastAsia="en-US"/>
        </w:rPr>
        <w:t xml:space="preserve"> as well off as each other, yet Australia emits twice as much as Germany. If we thought it was plausible for High to </w:t>
      </w:r>
      <w:r w:rsidR="00CA4ECD">
        <w:rPr>
          <w:lang w:val="en-US" w:eastAsia="en-US"/>
        </w:rPr>
        <w:t xml:space="preserve">receive greater entitlements than Low, I think we will think it plausible for Australia to receive greater entitlements </w:t>
      </w:r>
      <w:r w:rsidR="00CA4ECD">
        <w:rPr>
          <w:lang w:val="en-US" w:eastAsia="en-US"/>
        </w:rPr>
        <w:lastRenderedPageBreak/>
        <w:t xml:space="preserve">than Germany. </w:t>
      </w:r>
      <w:r w:rsidR="00D34794">
        <w:rPr>
          <w:lang w:val="en-US" w:eastAsia="en-US"/>
        </w:rPr>
        <w:t>C</w:t>
      </w:r>
      <w:r w:rsidR="00CA4ECD">
        <w:rPr>
          <w:lang w:val="en-US" w:eastAsia="en-US"/>
        </w:rPr>
        <w:t>onsider the effects on these countries of grandfathered versus non-grandfathered emission allocations. A non-grandfathering rule that limits each of these countries to 6 tons per capita would impose</w:t>
      </w:r>
      <w:r w:rsidR="00D34794">
        <w:rPr>
          <w:lang w:val="en-US" w:eastAsia="en-US"/>
        </w:rPr>
        <w:t xml:space="preserve"> a</w:t>
      </w:r>
      <w:r w:rsidR="00CA4ECD">
        <w:rPr>
          <w:lang w:val="en-US" w:eastAsia="en-US"/>
        </w:rPr>
        <w:t xml:space="preserve"> manageable </w:t>
      </w:r>
      <w:r w:rsidR="00C77C11">
        <w:rPr>
          <w:lang w:val="en-US" w:eastAsia="en-US"/>
        </w:rPr>
        <w:t>33</w:t>
      </w:r>
      <w:r w:rsidR="00CA4ECD">
        <w:rPr>
          <w:lang w:val="en-US" w:eastAsia="en-US"/>
        </w:rPr>
        <w:t xml:space="preserve"> per cent </w:t>
      </w:r>
      <w:r w:rsidR="00C77C11">
        <w:rPr>
          <w:lang w:val="en-US" w:eastAsia="en-US"/>
        </w:rPr>
        <w:t xml:space="preserve">cut on Germany but an extreme 67 per cent cut on Australia. </w:t>
      </w:r>
      <w:r w:rsidR="0060010C">
        <w:rPr>
          <w:lang w:val="en-US" w:eastAsia="en-US"/>
        </w:rPr>
        <w:t xml:space="preserve">Since Australians and Germans appear to start off equally well off, </w:t>
      </w:r>
      <w:r w:rsidR="00C77C11">
        <w:rPr>
          <w:lang w:val="en-US" w:eastAsia="en-US"/>
        </w:rPr>
        <w:t>egalitarian</w:t>
      </w:r>
      <w:r w:rsidR="0060010C">
        <w:rPr>
          <w:lang w:val="en-US" w:eastAsia="en-US"/>
        </w:rPr>
        <w:t>ism</w:t>
      </w:r>
      <w:r w:rsidR="00B54D63">
        <w:rPr>
          <w:lang w:val="en-US" w:eastAsia="en-US"/>
        </w:rPr>
        <w:t xml:space="preserve"> and</w:t>
      </w:r>
      <w:r w:rsidR="00C77C11">
        <w:rPr>
          <w:lang w:val="en-US" w:eastAsia="en-US"/>
        </w:rPr>
        <w:t xml:space="preserve"> </w:t>
      </w:r>
      <w:proofErr w:type="spellStart"/>
      <w:r w:rsidR="00C77C11">
        <w:rPr>
          <w:lang w:val="en-US" w:eastAsia="en-US"/>
        </w:rPr>
        <w:t>prioritarian</w:t>
      </w:r>
      <w:r w:rsidR="0060010C">
        <w:rPr>
          <w:lang w:val="en-US" w:eastAsia="en-US"/>
        </w:rPr>
        <w:t>ism</w:t>
      </w:r>
      <w:proofErr w:type="spellEnd"/>
      <w:r w:rsidR="00B54D63">
        <w:rPr>
          <w:lang w:val="en-US" w:eastAsia="en-US"/>
        </w:rPr>
        <w:t xml:space="preserve"> would </w:t>
      </w:r>
      <w:r w:rsidR="0060010C">
        <w:rPr>
          <w:lang w:val="en-US" w:eastAsia="en-US"/>
        </w:rPr>
        <w:t>oppose</w:t>
      </w:r>
      <w:r w:rsidR="00B54D63">
        <w:rPr>
          <w:lang w:val="en-US" w:eastAsia="en-US"/>
        </w:rPr>
        <w:t xml:space="preserve"> such a policy as it would make Australians worse off. </w:t>
      </w:r>
      <w:proofErr w:type="spellStart"/>
      <w:r w:rsidR="00B54D63">
        <w:rPr>
          <w:lang w:val="en-US" w:eastAsia="en-US"/>
        </w:rPr>
        <w:t>Utilitarians</w:t>
      </w:r>
      <w:proofErr w:type="spellEnd"/>
      <w:r w:rsidR="00B54D63">
        <w:rPr>
          <w:lang w:val="en-US" w:eastAsia="en-US"/>
        </w:rPr>
        <w:t xml:space="preserve"> would oppose the policy for </w:t>
      </w:r>
      <w:r w:rsidR="00133380">
        <w:rPr>
          <w:lang w:val="en-US" w:eastAsia="en-US"/>
        </w:rPr>
        <w:t xml:space="preserve">the </w:t>
      </w:r>
      <w:r w:rsidR="00B54D63">
        <w:rPr>
          <w:lang w:val="en-US" w:eastAsia="en-US"/>
        </w:rPr>
        <w:t xml:space="preserve">different reason that it allocates cuts in an </w:t>
      </w:r>
      <w:r w:rsidR="00133380">
        <w:rPr>
          <w:lang w:val="en-US" w:eastAsia="en-US"/>
        </w:rPr>
        <w:t>in</w:t>
      </w:r>
      <w:r w:rsidR="00B54D63">
        <w:rPr>
          <w:lang w:val="en-US" w:eastAsia="en-US"/>
        </w:rPr>
        <w:t xml:space="preserve">efficient and painful way by forcing the lion’s share on Australia. </w:t>
      </w:r>
      <w:proofErr w:type="spellStart"/>
      <w:r w:rsidR="00B54D63">
        <w:rPr>
          <w:lang w:val="en-US" w:eastAsia="en-US"/>
        </w:rPr>
        <w:t>Sufficientarians</w:t>
      </w:r>
      <w:proofErr w:type="spellEnd"/>
      <w:r w:rsidR="00B54D63">
        <w:rPr>
          <w:lang w:val="en-US" w:eastAsia="en-US"/>
        </w:rPr>
        <w:t xml:space="preserve"> probably do not recognize even post-cut Australians as below their sufficiency threshold, but any plausible </w:t>
      </w:r>
      <w:proofErr w:type="spellStart"/>
      <w:r w:rsidR="00B54D63">
        <w:rPr>
          <w:lang w:val="en-US" w:eastAsia="en-US"/>
        </w:rPr>
        <w:t>sufficientarian</w:t>
      </w:r>
      <w:proofErr w:type="spellEnd"/>
      <w:r w:rsidR="00B54D63">
        <w:rPr>
          <w:lang w:val="en-US" w:eastAsia="en-US"/>
        </w:rPr>
        <w:t xml:space="preserve"> will endorse other (maybe utilitarian, egalitarian, or </w:t>
      </w:r>
      <w:proofErr w:type="spellStart"/>
      <w:r w:rsidR="00B54D63">
        <w:rPr>
          <w:lang w:val="en-US" w:eastAsia="en-US"/>
        </w:rPr>
        <w:t>prioritarian</w:t>
      </w:r>
      <w:proofErr w:type="spellEnd"/>
      <w:r w:rsidR="00B54D63">
        <w:rPr>
          <w:lang w:val="en-US" w:eastAsia="en-US"/>
        </w:rPr>
        <w:t>) principles that are likely to disapprove of burdening Australians in this way. The distributive principles</w:t>
      </w:r>
      <w:r w:rsidR="00C77C11">
        <w:rPr>
          <w:lang w:val="en-US" w:eastAsia="en-US"/>
        </w:rPr>
        <w:t xml:space="preserve"> would be much better served by a rule that incorporates moderate grandfathering</w:t>
      </w:r>
      <w:r w:rsidR="00672964">
        <w:rPr>
          <w:lang w:val="en-US" w:eastAsia="en-US"/>
        </w:rPr>
        <w:t>, allowing Australia greater emissions than Germany while insisting that Australia makes greater cuts.</w:t>
      </w:r>
      <w:r w:rsidR="0060010C">
        <w:rPr>
          <w:lang w:val="en-US" w:eastAsia="en-US"/>
        </w:rPr>
        <w:t xml:space="preserve"> </w:t>
      </w:r>
      <w:r w:rsidR="0060010C">
        <w:t>For instance, Australia could be required to cut to 8 tons (a 10.2 ton or 56 per cent reduction) and Germany to 4 tons (a 5 ton or 44 per cent reduction).</w:t>
      </w:r>
      <w:r w:rsidR="00672964">
        <w:rPr>
          <w:rStyle w:val="FootnoteReference"/>
          <w:lang w:val="en-US" w:eastAsia="en-US"/>
        </w:rPr>
        <w:footnoteReference w:id="48"/>
      </w:r>
    </w:p>
    <w:p w:rsidR="00894317" w:rsidRDefault="00B54D63" w:rsidP="002B1364">
      <w:pPr>
        <w:autoSpaceDE w:val="0"/>
        <w:autoSpaceDN w:val="0"/>
        <w:adjustRightInd w:val="0"/>
        <w:spacing w:line="480" w:lineRule="auto"/>
        <w:jc w:val="both"/>
      </w:pPr>
      <w:r>
        <w:tab/>
        <w:t xml:space="preserve">Things are slightly more complicated where we consider countries that are not equally </w:t>
      </w:r>
      <w:r w:rsidR="005A682C">
        <w:t>rich</w:t>
      </w:r>
      <w:r>
        <w:t xml:space="preserve"> initially. For instance, the United States is somewh</w:t>
      </w:r>
      <w:r w:rsidR="005A54F8">
        <w:t xml:space="preserve">at richer than Italy. The complication here is the presence of a further consideration, which I will call the ‘disadvantage consideration’. As we have seen, there are utilitarian, egalitarian, </w:t>
      </w:r>
      <w:proofErr w:type="spellStart"/>
      <w:r w:rsidR="005A54F8">
        <w:t>prioritarian</w:t>
      </w:r>
      <w:proofErr w:type="spellEnd"/>
      <w:r w:rsidR="005A54F8">
        <w:t xml:space="preserve">, and (sometimes) </w:t>
      </w:r>
      <w:proofErr w:type="spellStart"/>
      <w:r w:rsidR="005A54F8">
        <w:t>sufficientarian</w:t>
      </w:r>
      <w:proofErr w:type="spellEnd"/>
      <w:r w:rsidR="005A54F8">
        <w:t xml:space="preserve"> reasons for directing extra assistance to </w:t>
      </w:r>
      <w:r w:rsidR="005A54F8">
        <w:lastRenderedPageBreak/>
        <w:t>the less advantaged.</w:t>
      </w:r>
      <w:r w:rsidR="005A54F8" w:rsidRPr="005A54F8">
        <w:t xml:space="preserve"> </w:t>
      </w:r>
      <w:r w:rsidR="00874B7B">
        <w:t xml:space="preserve">That is a decisive consideration where we are comparing a rich country with a poor country. It is still relevant, though not decisive, where we are comparing two rich countries, and there are grounds, such as a disparity in income, for thinking </w:t>
      </w:r>
      <w:r w:rsidR="00B9310D">
        <w:t>that the citizens of one country (here, the United States)</w:t>
      </w:r>
      <w:r w:rsidR="00874B7B">
        <w:t xml:space="preserve"> are better off in welfare (or </w:t>
      </w:r>
      <w:proofErr w:type="spellStart"/>
      <w:r w:rsidR="00874B7B">
        <w:t>Dworkinian</w:t>
      </w:r>
      <w:proofErr w:type="spellEnd"/>
      <w:r w:rsidR="00874B7B">
        <w:t xml:space="preserve"> resource) </w:t>
      </w:r>
      <w:r w:rsidR="00B9310D">
        <w:t>terms than those of another (Italy)</w:t>
      </w:r>
      <w:r w:rsidR="00874B7B">
        <w:t>.</w:t>
      </w:r>
      <w:r w:rsidR="00B9310D">
        <w:rPr>
          <w:rStyle w:val="FootnoteReference"/>
        </w:rPr>
        <w:footnoteReference w:id="49"/>
      </w:r>
      <w:r w:rsidR="00874B7B">
        <w:t xml:space="preserve"> </w:t>
      </w:r>
      <w:r w:rsidR="005A54F8">
        <w:t>The disadvantage consideration</w:t>
      </w:r>
      <w:r w:rsidR="00B6290C">
        <w:t xml:space="preserve"> and grandfathering consideration </w:t>
      </w:r>
      <w:r w:rsidR="00B9310D">
        <w:t>are countervailing where the better off country is higher emitting, as s</w:t>
      </w:r>
      <w:r w:rsidR="00B6290C">
        <w:t>eem</w:t>
      </w:r>
      <w:r w:rsidR="00B9310D">
        <w:t xml:space="preserve">s to be true in </w:t>
      </w:r>
      <w:r w:rsidR="005A54F8">
        <w:t>the United States</w:t>
      </w:r>
      <w:r w:rsidR="00B6290C">
        <w:t>-Italy case</w:t>
      </w:r>
      <w:r w:rsidR="005A54F8">
        <w:t>. There remains a clear role for the grandfathering consideration in suc</w:t>
      </w:r>
      <w:r w:rsidR="00B6290C">
        <w:t>h</w:t>
      </w:r>
      <w:r w:rsidR="005A54F8">
        <w:t xml:space="preserve"> cases.</w:t>
      </w:r>
      <w:r w:rsidR="00B9310D">
        <w:t xml:space="preserve"> The disadvantage consideration tells in favour of extra resources, such as emission entitlements, for the less advantaged country, so were the grandfathering consideration disregarded, we would</w:t>
      </w:r>
      <w:r w:rsidR="00194AEA">
        <w:t xml:space="preserve"> </w:t>
      </w:r>
      <w:r w:rsidR="00B9310D">
        <w:t xml:space="preserve">expect Italy’s overall emission entitlement to be greater than the United States’. But the grandfathering consideration suggests that, in one respect, </w:t>
      </w:r>
      <w:r w:rsidR="00194AEA">
        <w:t xml:space="preserve">the United States </w:t>
      </w:r>
      <w:r w:rsidR="00B9310D">
        <w:t xml:space="preserve">has a stronger claim for emission entitlements, </w:t>
      </w:r>
      <w:r w:rsidR="00DA60E4">
        <w:t>namely the fact that it has</w:t>
      </w:r>
      <w:r w:rsidR="00B9310D">
        <w:t xml:space="preserve"> a recent history of higher emissions. </w:t>
      </w:r>
      <w:r w:rsidR="00DA60E4">
        <w:t xml:space="preserve">Exactly what the final allocation should be will depend on how we weigh these considerations against one another, a question I </w:t>
      </w:r>
      <w:proofErr w:type="spellStart"/>
      <w:r w:rsidR="00DA60E4">
        <w:t>can not</w:t>
      </w:r>
      <w:proofErr w:type="spellEnd"/>
      <w:r w:rsidR="00DA60E4">
        <w:t xml:space="preserve"> address here. But it is evident that the grandfathering consideration will shift the allocation in the United States’ direction. Furthermore, this is intuitively acceptable. With the disadvantage consideration alone, the aforementioned cut to an average of 6 tons per capita should be achieved in such a way that Italy has greater entitlements – maybe </w:t>
      </w:r>
      <w:r w:rsidR="000F50B7">
        <w:t xml:space="preserve">the United States’ entitlement </w:t>
      </w:r>
      <w:r w:rsidR="00DA60E4">
        <w:t>would be</w:t>
      </w:r>
      <w:r w:rsidR="000F50B7">
        <w:t xml:space="preserve"> 5 tons </w:t>
      </w:r>
      <w:r w:rsidR="00DA60E4">
        <w:t xml:space="preserve">and </w:t>
      </w:r>
      <w:r w:rsidR="000F50B7">
        <w:t>Italy’s 7</w:t>
      </w:r>
      <w:r w:rsidR="00DA60E4">
        <w:t xml:space="preserve"> tons. This has the absurd result of </w:t>
      </w:r>
      <w:r w:rsidR="000F50B7">
        <w:t xml:space="preserve">a 12.3 ton or 71 per cent cut for the United States, and a 0.3 ton or 4 per cent </w:t>
      </w:r>
      <w:r w:rsidR="000F50B7" w:rsidRPr="000F50B7">
        <w:rPr>
          <w:i/>
        </w:rPr>
        <w:t>increase</w:t>
      </w:r>
      <w:r w:rsidR="000F50B7">
        <w:t xml:space="preserve"> for Italy. Where we take into account </w:t>
      </w:r>
      <w:proofErr w:type="gramStart"/>
      <w:r w:rsidR="000F50B7">
        <w:t>both the</w:t>
      </w:r>
      <w:proofErr w:type="gramEnd"/>
      <w:r w:rsidR="000F50B7">
        <w:t xml:space="preserve"> disadvantage and grandfathering considerations, much more </w:t>
      </w:r>
      <w:r w:rsidR="000F50B7">
        <w:lastRenderedPageBreak/>
        <w:t>plausible options are available – for instance, entitlements of 5 tons for Italy (implying a 1.7 ton or 25 per cent cut) and 7 tons for the United States (</w:t>
      </w:r>
      <w:r w:rsidR="002B1DEA">
        <w:t>implying a 10.3 ton or 60 per cent cut)</w:t>
      </w:r>
      <w:r w:rsidR="000F50B7">
        <w:t>.</w:t>
      </w:r>
    </w:p>
    <w:p w:rsidR="00D11BC9" w:rsidRDefault="00894317" w:rsidP="00672964">
      <w:pPr>
        <w:autoSpaceDE w:val="0"/>
        <w:autoSpaceDN w:val="0"/>
        <w:adjustRightInd w:val="0"/>
        <w:spacing w:line="480" w:lineRule="auto"/>
        <w:jc w:val="both"/>
      </w:pPr>
      <w:r>
        <w:tab/>
      </w:r>
      <w:r w:rsidR="002B1DEA">
        <w:t xml:space="preserve">I have considered one case that closely approximates High-Low (Australia-Germany), and one case that may add the complication that one country’s citizens are better off than the other’s (United States-Italy). </w:t>
      </w:r>
      <w:r w:rsidR="00D11BC9">
        <w:t xml:space="preserve">Most comparisons among the G7 countries fall between </w:t>
      </w:r>
      <w:r w:rsidR="002B1DEA">
        <w:t>the two kinds of cases</w:t>
      </w:r>
      <w:r w:rsidR="005C5A63">
        <w:t>, but closer to the first case</w:t>
      </w:r>
      <w:r w:rsidR="00D11BC9">
        <w:t xml:space="preserve">. For instance, Canada and Australia are a little richer than the United Kingdom and France, but not so much that any significant difference in welfare or </w:t>
      </w:r>
      <w:proofErr w:type="spellStart"/>
      <w:r w:rsidR="00D11BC9">
        <w:t>Dworkin’s</w:t>
      </w:r>
      <w:proofErr w:type="spellEnd"/>
      <w:r w:rsidR="00D11BC9">
        <w:t xml:space="preserve"> resources can be inferred. Indeed, such an inference </w:t>
      </w:r>
      <w:r w:rsidR="002B1DEA">
        <w:t>is not rock solid</w:t>
      </w:r>
      <w:r w:rsidR="00D11BC9">
        <w:t xml:space="preserve"> even in the United States-Italy case, which involves far greater economic inequality</w:t>
      </w:r>
      <w:r w:rsidR="005C5A63">
        <w:t xml:space="preserve"> (a per capita income difference of $13,320)</w:t>
      </w:r>
      <w:r w:rsidR="002B1DEA">
        <w:t xml:space="preserve"> – perhaps even that case should be treated as a pure High-Low scenario</w:t>
      </w:r>
      <w:r w:rsidR="00D11BC9">
        <w:t xml:space="preserve">. </w:t>
      </w:r>
      <w:r w:rsidR="005C5A63">
        <w:t>I consequently hold that</w:t>
      </w:r>
      <w:r w:rsidR="00D11BC9">
        <w:t xml:space="preserve"> most of these comparisons are </w:t>
      </w:r>
      <w:r w:rsidR="005C5A63">
        <w:t>similar</w:t>
      </w:r>
      <w:r w:rsidR="00D11BC9">
        <w:t xml:space="preserve"> enough to the High-Low case</w:t>
      </w:r>
      <w:r w:rsidR="005C5A63">
        <w:t xml:space="preserve"> for it to be assumed that economic considerations (for instance, Canadian per capita income being $2,380 higher than British per capita income) are much less weighty than grandfathering considerations. The overall pattern of emission entitlements among the G7</w:t>
      </w:r>
      <w:r w:rsidR="00A87346">
        <w:t>, and probably rich countries in general,</w:t>
      </w:r>
      <w:r w:rsidR="005C5A63">
        <w:t xml:space="preserve"> can therefore be expected to be strongly influenced by grandfathering. </w:t>
      </w:r>
      <w:r w:rsidR="00A87346">
        <w:t>Leaving aside the United States,</w:t>
      </w:r>
      <w:r w:rsidR="00A87346" w:rsidRPr="00A87346">
        <w:t xml:space="preserve"> </w:t>
      </w:r>
      <w:r w:rsidR="006D6BA8">
        <w:t>which is</w:t>
      </w:r>
      <w:r w:rsidR="00A87346">
        <w:t xml:space="preserve"> an economic outlier </w:t>
      </w:r>
      <w:r w:rsidR="006D6BA8">
        <w:t xml:space="preserve">and </w:t>
      </w:r>
      <w:r w:rsidR="00A87346">
        <w:t xml:space="preserve">a difficult case, the high emitters </w:t>
      </w:r>
      <w:r w:rsidR="005C5A63">
        <w:t xml:space="preserve">Australia and Canada are due greater emissions than </w:t>
      </w:r>
      <w:r w:rsidR="00A87346">
        <w:t xml:space="preserve">are the mid-level emitters </w:t>
      </w:r>
      <w:r w:rsidR="005C5A63">
        <w:t xml:space="preserve">Germany and the United Kingdom, who are in turn due greater emissions than </w:t>
      </w:r>
      <w:r w:rsidR="00A87346">
        <w:t xml:space="preserve">the (relative to their peers) low-emitting </w:t>
      </w:r>
      <w:r w:rsidR="005C5A63">
        <w:t>France and Italy.</w:t>
      </w:r>
    </w:p>
    <w:p w:rsidR="00894317" w:rsidRPr="00672964" w:rsidRDefault="00894317" w:rsidP="00672964">
      <w:pPr>
        <w:autoSpaceDE w:val="0"/>
        <w:autoSpaceDN w:val="0"/>
        <w:adjustRightInd w:val="0"/>
        <w:spacing w:line="480" w:lineRule="auto"/>
        <w:jc w:val="both"/>
        <w:rPr>
          <w:lang w:val="en-US" w:eastAsia="en-US"/>
        </w:rPr>
      </w:pPr>
    </w:p>
    <w:p w:rsidR="0082199E" w:rsidRDefault="0082199E" w:rsidP="00594253">
      <w:pPr>
        <w:spacing w:line="480" w:lineRule="auto"/>
        <w:jc w:val="both"/>
        <w:rPr>
          <w:b/>
        </w:rPr>
      </w:pPr>
    </w:p>
    <w:p w:rsidR="0082199E" w:rsidRDefault="0082199E" w:rsidP="00594253">
      <w:pPr>
        <w:spacing w:line="480" w:lineRule="auto"/>
        <w:jc w:val="both"/>
        <w:rPr>
          <w:b/>
        </w:rPr>
      </w:pPr>
    </w:p>
    <w:p w:rsidR="001C6A54" w:rsidRPr="001C6A54" w:rsidRDefault="001C6A54" w:rsidP="00594253">
      <w:pPr>
        <w:spacing w:line="480" w:lineRule="auto"/>
        <w:jc w:val="both"/>
        <w:rPr>
          <w:b/>
        </w:rPr>
      </w:pPr>
      <w:r w:rsidRPr="001C6A54">
        <w:rPr>
          <w:b/>
        </w:rPr>
        <w:lastRenderedPageBreak/>
        <w:t>VI</w:t>
      </w:r>
      <w:r w:rsidR="00480F8F">
        <w:rPr>
          <w:b/>
        </w:rPr>
        <w:t>I</w:t>
      </w:r>
      <w:r w:rsidRPr="001C6A54">
        <w:rPr>
          <w:b/>
        </w:rPr>
        <w:t>. Conclusion</w:t>
      </w:r>
    </w:p>
    <w:p w:rsidR="001C6A54" w:rsidRDefault="001C6A54" w:rsidP="001C6A54">
      <w:pPr>
        <w:spacing w:line="480" w:lineRule="auto"/>
        <w:jc w:val="both"/>
      </w:pPr>
      <w:r>
        <w:t xml:space="preserve">I have argued that the costs imposed by forced movements to </w:t>
      </w:r>
      <w:r w:rsidR="002B1DEA">
        <w:t xml:space="preserve">specific </w:t>
      </w:r>
      <w:r>
        <w:t xml:space="preserve">lower levels of emissions are higher for high emitters than they are for low emitters. On this instrumental ground I have defended a moderate form of grandfathering, which holds that an individual’s prior emissions provide a pro </w:t>
      </w:r>
      <w:proofErr w:type="spellStart"/>
      <w:r>
        <w:t>tanto</w:t>
      </w:r>
      <w:proofErr w:type="spellEnd"/>
      <w:r>
        <w:t xml:space="preserve"> reason for emission rights to be granted to that individual.</w:t>
      </w:r>
      <w:r>
        <w:rPr>
          <w:rStyle w:val="FootnoteReference"/>
        </w:rPr>
        <w:footnoteReference w:id="50"/>
      </w:r>
      <w:r>
        <w:t xml:space="preserve"> The argument can rely on utilitarian, egalitarian, </w:t>
      </w:r>
      <w:proofErr w:type="spellStart"/>
      <w:r>
        <w:t>prioritar</w:t>
      </w:r>
      <w:r w:rsidR="006D6BA8">
        <w:t>ian</w:t>
      </w:r>
      <w:proofErr w:type="spellEnd"/>
      <w:r w:rsidR="006D6BA8">
        <w:t xml:space="preserve">, or </w:t>
      </w:r>
      <w:proofErr w:type="spellStart"/>
      <w:r w:rsidR="006D6BA8">
        <w:t>sufficientarian</w:t>
      </w:r>
      <w:proofErr w:type="spellEnd"/>
      <w:r w:rsidR="006D6BA8">
        <w:t xml:space="preserve"> premises</w:t>
      </w:r>
      <w:r>
        <w:t>, or on a pluralistic position combining more than one of these</w:t>
      </w:r>
      <w:r w:rsidR="006D6BA8">
        <w:t xml:space="preserve"> premises</w:t>
      </w:r>
      <w:r>
        <w:t>.</w:t>
      </w:r>
      <w:r w:rsidR="006D6BA8">
        <w:t xml:space="preserve"> While grandfathering is not a weighty enough consideration to mandate greater emission entitlements for rich high emitters rather than poor low emitters, among similarly rich countries, it is </w:t>
      </w:r>
      <w:r w:rsidR="00F26FAF">
        <w:t xml:space="preserve">generally </w:t>
      </w:r>
      <w:r w:rsidR="006D6BA8">
        <w:t xml:space="preserve">weighty enough to justify greater entitlements for higher emitters. </w:t>
      </w:r>
    </w:p>
    <w:p w:rsidR="005F2496" w:rsidRDefault="00904F5C" w:rsidP="001C6A54">
      <w:pPr>
        <w:spacing w:line="480" w:lineRule="auto"/>
        <w:ind w:firstLine="720"/>
        <w:jc w:val="both"/>
      </w:pPr>
      <w:r>
        <w:t xml:space="preserve">Evidently much more would need to be said to provide a full defence of </w:t>
      </w:r>
      <w:r w:rsidR="00D21F46">
        <w:t xml:space="preserve">moderate </w:t>
      </w:r>
      <w:r w:rsidR="00B26A46">
        <w:t>grandfathering</w:t>
      </w:r>
      <w:r>
        <w:t xml:space="preserve">. I will finish </w:t>
      </w:r>
      <w:r w:rsidR="00920394">
        <w:t>by briefly mentioning</w:t>
      </w:r>
      <w:r w:rsidR="0022005C">
        <w:t xml:space="preserve"> </w:t>
      </w:r>
      <w:r w:rsidR="00FB3128">
        <w:t>two</w:t>
      </w:r>
      <w:r>
        <w:t xml:space="preserve"> areas in which that defence is especially needed. First, </w:t>
      </w:r>
      <w:r w:rsidR="00E90756">
        <w:t>and as mentioned at the outset, I have assumed cosmopolitanism. Some would see that as giving insufficient weight to the moral value of national membership or self-determination.</w:t>
      </w:r>
      <w:r w:rsidR="00E90756">
        <w:rPr>
          <w:rStyle w:val="FootnoteReference"/>
        </w:rPr>
        <w:footnoteReference w:id="51"/>
      </w:r>
      <w:r w:rsidR="00E90756">
        <w:t xml:space="preserve"> Second</w:t>
      </w:r>
      <w:r w:rsidR="0022005C">
        <w:t xml:space="preserve">, </w:t>
      </w:r>
      <w:r>
        <w:t>utilitarianism, egalitari</w:t>
      </w:r>
      <w:r w:rsidR="00647C85">
        <w:t xml:space="preserve">anism, </w:t>
      </w:r>
      <w:proofErr w:type="spellStart"/>
      <w:r w:rsidR="0022005C">
        <w:t>prioritarianism</w:t>
      </w:r>
      <w:proofErr w:type="spellEnd"/>
      <w:r w:rsidR="00647C85">
        <w:t xml:space="preserve">, and </w:t>
      </w:r>
      <w:proofErr w:type="spellStart"/>
      <w:r w:rsidR="00647C85">
        <w:t>sufficientarianism</w:t>
      </w:r>
      <w:proofErr w:type="spellEnd"/>
      <w:r w:rsidR="0022005C">
        <w:t xml:space="preserve"> </w:t>
      </w:r>
      <w:r>
        <w:t xml:space="preserve">support grandfathering </w:t>
      </w:r>
      <w:r w:rsidR="0022005C">
        <w:t xml:space="preserve">best </w:t>
      </w:r>
      <w:r>
        <w:t>where they are combined with subjective accounts of advantage</w:t>
      </w:r>
      <w:r w:rsidR="005F2496">
        <w:t>, such as welfare</w:t>
      </w:r>
      <w:r w:rsidR="00B67789">
        <w:t xml:space="preserve"> as usually understood</w:t>
      </w:r>
      <w:r w:rsidR="005F2496">
        <w:t xml:space="preserve"> or </w:t>
      </w:r>
      <w:proofErr w:type="spellStart"/>
      <w:r w:rsidR="005F2496">
        <w:t>Dworkinian</w:t>
      </w:r>
      <w:proofErr w:type="spellEnd"/>
      <w:r w:rsidR="005F2496">
        <w:t xml:space="preserve"> resources</w:t>
      </w:r>
      <w:r>
        <w:t xml:space="preserve">. </w:t>
      </w:r>
      <w:r w:rsidR="005F2496">
        <w:t>Where an o</w:t>
      </w:r>
      <w:r w:rsidR="00B67789">
        <w:t>bjective account, such as a</w:t>
      </w:r>
      <w:r w:rsidR="005F2496">
        <w:t xml:space="preserve"> conventional conception of resources</w:t>
      </w:r>
      <w:r w:rsidR="0022005C">
        <w:t xml:space="preserve"> or (perhaps) capabilities</w:t>
      </w:r>
      <w:r w:rsidR="005F2496">
        <w:t xml:space="preserve">, is assumed, there is no reference to individual preferences, and hence </w:t>
      </w:r>
      <w:r w:rsidR="0022005C">
        <w:t>the argument mu</w:t>
      </w:r>
      <w:r w:rsidR="00B74F2B">
        <w:t>st proceed</w:t>
      </w:r>
      <w:r w:rsidR="0022005C">
        <w:t xml:space="preserve"> by referring </w:t>
      </w:r>
      <w:r w:rsidR="0022005C">
        <w:lastRenderedPageBreak/>
        <w:t>only to cases of object</w:t>
      </w:r>
      <w:r w:rsidR="00371428">
        <w:t>ive disadvantage</w:t>
      </w:r>
      <w:r w:rsidR="0022005C">
        <w:t>.</w:t>
      </w:r>
      <w:r w:rsidR="009B5C97">
        <w:rPr>
          <w:rStyle w:val="FootnoteReference"/>
        </w:rPr>
        <w:footnoteReference w:id="52"/>
      </w:r>
      <w:r w:rsidR="0022005C">
        <w:t xml:space="preserve"> While some such</w:t>
      </w:r>
      <w:r w:rsidR="00B74F2B">
        <w:t xml:space="preserve"> cases support grandfathering (</w:t>
      </w:r>
      <w:r w:rsidR="0022005C">
        <w:t>for instance, that of the person who can only re</w:t>
      </w:r>
      <w:r w:rsidR="00E90756">
        <w:t>ach her</w:t>
      </w:r>
      <w:r w:rsidR="00B74F2B">
        <w:t xml:space="preserve"> workplace if </w:t>
      </w:r>
      <w:r w:rsidR="00E90756">
        <w:t>s</w:t>
      </w:r>
      <w:r w:rsidR="00B74F2B">
        <w:t>he drives),</w:t>
      </w:r>
      <w:r w:rsidR="0022005C">
        <w:t xml:space="preserve"> the argument proceeds less easily </w:t>
      </w:r>
      <w:r w:rsidR="00647C85">
        <w:t xml:space="preserve">without </w:t>
      </w:r>
      <w:r w:rsidR="00DF2EC8">
        <w:t>subjective disadvantage</w:t>
      </w:r>
      <w:r w:rsidR="006567D5">
        <w:t>.</w:t>
      </w:r>
    </w:p>
    <w:p w:rsidR="00BE6958" w:rsidRDefault="00F26FAF" w:rsidP="00594253">
      <w:pPr>
        <w:spacing w:line="480" w:lineRule="auto"/>
        <w:ind w:firstLine="720"/>
        <w:jc w:val="both"/>
      </w:pPr>
      <w:r>
        <w:t xml:space="preserve">Clearly these </w:t>
      </w:r>
      <w:r w:rsidR="005F2496">
        <w:t xml:space="preserve">are </w:t>
      </w:r>
      <w:r w:rsidR="00EB62D7">
        <w:t>major topics, and it would t</w:t>
      </w:r>
      <w:r w:rsidR="005F2496">
        <w:t>ake me too far afield to engage substantively with them here. But it is worth pointing out that the case for grandfathering can be expected to be somewhat durable, given that a variety</w:t>
      </w:r>
      <w:r w:rsidR="005F2496" w:rsidRPr="005F2496">
        <w:t xml:space="preserve"> </w:t>
      </w:r>
      <w:r w:rsidR="005F2496">
        <w:t xml:space="preserve">of </w:t>
      </w:r>
      <w:proofErr w:type="spellStart"/>
      <w:r w:rsidR="005F2496">
        <w:t>well known</w:t>
      </w:r>
      <w:proofErr w:type="spellEnd"/>
      <w:r w:rsidR="005F2496">
        <w:t xml:space="preserve"> approaches t</w:t>
      </w:r>
      <w:r w:rsidR="009B5C97">
        <w:t>o these topics support it</w:t>
      </w:r>
      <w:r w:rsidR="005F2496">
        <w:t xml:space="preserve">. </w:t>
      </w:r>
      <w:r w:rsidR="00EB62D7">
        <w:t>Caney writes</w:t>
      </w:r>
      <w:r w:rsidR="005F2496">
        <w:t xml:space="preserve"> </w:t>
      </w:r>
      <w:r w:rsidR="003229BC">
        <w:t>that</w:t>
      </w:r>
      <w:r w:rsidR="005F2496">
        <w:t xml:space="preserve"> to his knowledge, ‘no moral and political philosopher </w:t>
      </w:r>
      <w:r w:rsidR="00EB62D7">
        <w:t xml:space="preserve">… defends </w:t>
      </w:r>
      <w:proofErr w:type="gramStart"/>
      <w:r w:rsidR="00EB62D7">
        <w:t>grandfathering,</w:t>
      </w:r>
      <w:proofErr w:type="gramEnd"/>
      <w:r w:rsidR="00EB62D7">
        <w:t xml:space="preserve"> presumably assuming that it is unjust’.</w:t>
      </w:r>
      <w:r w:rsidR="00EB62D7">
        <w:rPr>
          <w:rStyle w:val="FootnoteReference"/>
        </w:rPr>
        <w:footnoteReference w:id="53"/>
      </w:r>
      <w:r w:rsidR="00EB62D7">
        <w:t xml:space="preserve"> If my argument is correct</w:t>
      </w:r>
      <w:r w:rsidR="00AA6716">
        <w:t>,</w:t>
      </w:r>
      <w:r w:rsidR="00EB62D7">
        <w:t xml:space="preserve"> many, </w:t>
      </w:r>
      <w:r w:rsidR="00574BE3">
        <w:t>if not most, moral and</w:t>
      </w:r>
      <w:r w:rsidR="00EB62D7">
        <w:t xml:space="preserve"> political philosophers should, on account of their other commitments, support </w:t>
      </w:r>
      <w:r w:rsidR="00FB3128">
        <w:t xml:space="preserve">moderate </w:t>
      </w:r>
      <w:r w:rsidR="00EB62D7">
        <w:t>grandfathering.</w:t>
      </w:r>
    </w:p>
    <w:p w:rsidR="002F4515" w:rsidRDefault="002F4515" w:rsidP="002F4515">
      <w:pPr>
        <w:spacing w:line="480" w:lineRule="auto"/>
        <w:jc w:val="both"/>
      </w:pPr>
    </w:p>
    <w:p w:rsidR="003E7937" w:rsidRPr="009C6D59" w:rsidRDefault="003E7937" w:rsidP="009C6D59">
      <w:pPr>
        <w:spacing w:line="480" w:lineRule="auto"/>
        <w:jc w:val="both"/>
        <w:rPr>
          <w:b/>
        </w:rPr>
      </w:pPr>
      <w:r w:rsidRPr="009C6D59">
        <w:rPr>
          <w:b/>
        </w:rPr>
        <w:t>References</w:t>
      </w:r>
    </w:p>
    <w:p w:rsidR="00E77BBB" w:rsidRPr="009C6D59" w:rsidRDefault="00E77BBB" w:rsidP="009C6D59">
      <w:pPr>
        <w:pStyle w:val="FootnoteText"/>
        <w:spacing w:line="480" w:lineRule="auto"/>
        <w:jc w:val="both"/>
        <w:rPr>
          <w:sz w:val="24"/>
          <w:szCs w:val="24"/>
        </w:rPr>
      </w:pPr>
      <w:proofErr w:type="spellStart"/>
      <w:proofErr w:type="gramStart"/>
      <w:r w:rsidRPr="009C6D59">
        <w:rPr>
          <w:sz w:val="24"/>
          <w:szCs w:val="24"/>
        </w:rPr>
        <w:t>Agarwal</w:t>
      </w:r>
      <w:proofErr w:type="spellEnd"/>
      <w:r w:rsidRPr="009C6D59">
        <w:rPr>
          <w:sz w:val="24"/>
          <w:szCs w:val="24"/>
        </w:rPr>
        <w:t>, A., and S.</w:t>
      </w:r>
      <w:r w:rsidR="009C6D59">
        <w:rPr>
          <w:sz w:val="24"/>
          <w:szCs w:val="24"/>
        </w:rPr>
        <w:t xml:space="preserve"> </w:t>
      </w:r>
      <w:proofErr w:type="spellStart"/>
      <w:r w:rsidR="009C6D59">
        <w:rPr>
          <w:sz w:val="24"/>
          <w:szCs w:val="24"/>
        </w:rPr>
        <w:t>Narain</w:t>
      </w:r>
      <w:proofErr w:type="spellEnd"/>
      <w:r w:rsidR="009C6D59">
        <w:rPr>
          <w:sz w:val="24"/>
          <w:szCs w:val="24"/>
        </w:rPr>
        <w:t>.</w:t>
      </w:r>
      <w:proofErr w:type="gramEnd"/>
      <w:r w:rsidR="009C6D59">
        <w:rPr>
          <w:sz w:val="24"/>
          <w:szCs w:val="24"/>
        </w:rPr>
        <w:t xml:space="preserve"> 1991.</w:t>
      </w:r>
      <w:r w:rsidRPr="009C6D59">
        <w:rPr>
          <w:sz w:val="24"/>
          <w:szCs w:val="24"/>
        </w:rPr>
        <w:t xml:space="preserve"> </w:t>
      </w:r>
      <w:r w:rsidRPr="009C6D59">
        <w:rPr>
          <w:i/>
          <w:sz w:val="24"/>
          <w:szCs w:val="24"/>
        </w:rPr>
        <w:t>Global Warming in an Unequal World: A Case of Environmental Colonialism</w:t>
      </w:r>
      <w:r w:rsidR="009C6D59">
        <w:rPr>
          <w:i/>
          <w:sz w:val="24"/>
          <w:szCs w:val="24"/>
        </w:rPr>
        <w:t xml:space="preserve">. </w:t>
      </w:r>
      <w:r w:rsidRPr="009C6D59">
        <w:rPr>
          <w:sz w:val="24"/>
          <w:szCs w:val="24"/>
        </w:rPr>
        <w:t xml:space="preserve">New Delhi: Centre for </w:t>
      </w:r>
      <w:r w:rsidR="009C6D59">
        <w:rPr>
          <w:sz w:val="24"/>
          <w:szCs w:val="24"/>
        </w:rPr>
        <w:t>Science and Environment</w:t>
      </w:r>
      <w:r w:rsidRPr="009C6D59">
        <w:rPr>
          <w:sz w:val="24"/>
          <w:szCs w:val="24"/>
        </w:rPr>
        <w:t>.</w:t>
      </w:r>
    </w:p>
    <w:p w:rsidR="009571E2" w:rsidRPr="009C6D59" w:rsidRDefault="009571E2" w:rsidP="009C6D59">
      <w:pPr>
        <w:spacing w:line="480" w:lineRule="auto"/>
        <w:jc w:val="both"/>
      </w:pPr>
      <w:proofErr w:type="spellStart"/>
      <w:r w:rsidRPr="009C6D59">
        <w:rPr>
          <w:rFonts w:eastAsia="SimSun"/>
          <w:lang w:eastAsia="zh-CN"/>
        </w:rPr>
        <w:t>Arneson</w:t>
      </w:r>
      <w:proofErr w:type="spellEnd"/>
      <w:r w:rsidRPr="009C6D59">
        <w:rPr>
          <w:rFonts w:eastAsia="SimSun"/>
          <w:lang w:eastAsia="zh-CN"/>
        </w:rPr>
        <w:t xml:space="preserve">, R. J. </w:t>
      </w:r>
      <w:r w:rsidR="009C6D59">
        <w:rPr>
          <w:rFonts w:eastAsia="SimSun"/>
          <w:lang w:eastAsia="zh-CN"/>
        </w:rPr>
        <w:t xml:space="preserve">1989. </w:t>
      </w:r>
      <w:proofErr w:type="gramStart"/>
      <w:r w:rsidRPr="009C6D59">
        <w:rPr>
          <w:rFonts w:eastAsia="SimSun"/>
          <w:lang w:eastAsia="zh-CN"/>
        </w:rPr>
        <w:t>‘</w:t>
      </w:r>
      <w:r w:rsidR="009C6D59">
        <w:t>Equality and equal opportunity for w</w:t>
      </w:r>
      <w:r w:rsidRPr="009C6D59">
        <w:t xml:space="preserve">elfare’, </w:t>
      </w:r>
      <w:r w:rsidRPr="009C6D59">
        <w:rPr>
          <w:i/>
          <w:iCs/>
        </w:rPr>
        <w:t>Philosophical Studies</w:t>
      </w:r>
      <w:r w:rsidR="009C6D59">
        <w:t xml:space="preserve"> </w:t>
      </w:r>
      <w:r w:rsidR="009C6D59" w:rsidRPr="009C6D59">
        <w:rPr>
          <w:b/>
        </w:rPr>
        <w:t>56</w:t>
      </w:r>
      <w:r w:rsidR="009C6D59" w:rsidRPr="009C6D59">
        <w:t>:</w:t>
      </w:r>
      <w:r w:rsidRPr="009C6D59">
        <w:t xml:space="preserve"> 77-93.</w:t>
      </w:r>
      <w:proofErr w:type="gramEnd"/>
    </w:p>
    <w:p w:rsidR="009558FF" w:rsidRPr="009C6D59" w:rsidRDefault="009558FF" w:rsidP="009C6D59">
      <w:pPr>
        <w:spacing w:line="480" w:lineRule="auto"/>
        <w:jc w:val="both"/>
      </w:pPr>
      <w:proofErr w:type="spellStart"/>
      <w:r w:rsidRPr="009C6D59">
        <w:t>Arneson</w:t>
      </w:r>
      <w:proofErr w:type="spellEnd"/>
      <w:r w:rsidRPr="009C6D59">
        <w:t xml:space="preserve">, R. J. </w:t>
      </w:r>
      <w:r w:rsidR="009C6D59">
        <w:t xml:space="preserve">2000. </w:t>
      </w:r>
      <w:proofErr w:type="gramStart"/>
      <w:r w:rsidR="009C6D59">
        <w:t xml:space="preserve">‘Luck egalitarianism and </w:t>
      </w:r>
      <w:proofErr w:type="spellStart"/>
      <w:r w:rsidR="009C6D59">
        <w:t>prioritarianism</w:t>
      </w:r>
      <w:proofErr w:type="spellEnd"/>
      <w:r w:rsidR="009C6D59">
        <w:t>’.</w:t>
      </w:r>
      <w:proofErr w:type="gramEnd"/>
      <w:r w:rsidRPr="009C6D59">
        <w:t xml:space="preserve"> </w:t>
      </w:r>
      <w:r w:rsidRPr="009C6D59">
        <w:rPr>
          <w:i/>
          <w:iCs/>
        </w:rPr>
        <w:t>Ethics</w:t>
      </w:r>
      <w:r w:rsidR="009C6D59">
        <w:t xml:space="preserve"> </w:t>
      </w:r>
      <w:r w:rsidR="009C6D59" w:rsidRPr="009C6D59">
        <w:rPr>
          <w:b/>
        </w:rPr>
        <w:t>110</w:t>
      </w:r>
      <w:r w:rsidR="009C6D59">
        <w:t xml:space="preserve">: </w:t>
      </w:r>
      <w:r w:rsidRPr="009C6D59">
        <w:t>339-49.</w:t>
      </w:r>
    </w:p>
    <w:p w:rsidR="00E77BBB" w:rsidRPr="009C6D59" w:rsidRDefault="00E77BBB" w:rsidP="009C6D59">
      <w:pPr>
        <w:spacing w:line="480" w:lineRule="auto"/>
        <w:jc w:val="both"/>
      </w:pPr>
      <w:proofErr w:type="gramStart"/>
      <w:r w:rsidRPr="009C6D59">
        <w:t xml:space="preserve">Baer, P., T. </w:t>
      </w:r>
      <w:proofErr w:type="spellStart"/>
      <w:r w:rsidRPr="009C6D59">
        <w:t>Athanasiou</w:t>
      </w:r>
      <w:proofErr w:type="spellEnd"/>
      <w:r w:rsidRPr="009C6D59">
        <w:t xml:space="preserve">, S. </w:t>
      </w:r>
      <w:proofErr w:type="spellStart"/>
      <w:r w:rsidRPr="009C6D59">
        <w:t>Kartha</w:t>
      </w:r>
      <w:proofErr w:type="spellEnd"/>
      <w:r w:rsidRPr="009C6D59">
        <w:t>, and E.</w:t>
      </w:r>
      <w:r w:rsidR="009C6D59">
        <w:t xml:space="preserve"> Kemp-Benedict.</w:t>
      </w:r>
      <w:proofErr w:type="gramEnd"/>
      <w:r w:rsidR="009C6D59">
        <w:t xml:space="preserve"> 2008.</w:t>
      </w:r>
      <w:r w:rsidRPr="009C6D59">
        <w:t xml:space="preserve"> </w:t>
      </w:r>
      <w:r w:rsidRPr="009C6D59">
        <w:rPr>
          <w:i/>
        </w:rPr>
        <w:t>The Greenhouse Development Rights Framework</w:t>
      </w:r>
      <w:r w:rsidR="009C6D59">
        <w:rPr>
          <w:i/>
        </w:rPr>
        <w:t xml:space="preserve">, </w:t>
      </w:r>
      <w:r w:rsidR="009C6D59" w:rsidRPr="009C6D59">
        <w:t>second edition.</w:t>
      </w:r>
      <w:r w:rsidRPr="009C6D59">
        <w:t xml:space="preserve"> Berlin: Heinrich </w:t>
      </w:r>
      <w:proofErr w:type="spellStart"/>
      <w:r w:rsidRPr="009C6D59">
        <w:t>Böll</w:t>
      </w:r>
      <w:proofErr w:type="spellEnd"/>
      <w:r w:rsidRPr="009C6D59">
        <w:t xml:space="preserve"> Fou</w:t>
      </w:r>
      <w:r w:rsidR="009C6D59">
        <w:t>ndation.</w:t>
      </w:r>
    </w:p>
    <w:p w:rsidR="009C6D59" w:rsidRDefault="009558FF" w:rsidP="009C6D59">
      <w:pPr>
        <w:pStyle w:val="FootnoteText"/>
        <w:spacing w:line="480" w:lineRule="auto"/>
        <w:jc w:val="both"/>
        <w:rPr>
          <w:sz w:val="24"/>
          <w:szCs w:val="24"/>
        </w:rPr>
      </w:pPr>
      <w:proofErr w:type="spellStart"/>
      <w:r w:rsidRPr="009C6D59">
        <w:rPr>
          <w:sz w:val="24"/>
          <w:szCs w:val="24"/>
        </w:rPr>
        <w:t>Böhm</w:t>
      </w:r>
      <w:proofErr w:type="spellEnd"/>
      <w:r w:rsidRPr="009C6D59">
        <w:rPr>
          <w:sz w:val="24"/>
          <w:szCs w:val="24"/>
        </w:rPr>
        <w:t>, S., C. Jones, C. Land, and M. Pa</w:t>
      </w:r>
      <w:r w:rsidR="009C6D59">
        <w:rPr>
          <w:sz w:val="24"/>
          <w:szCs w:val="24"/>
        </w:rPr>
        <w:t>terson (</w:t>
      </w:r>
      <w:proofErr w:type="spellStart"/>
      <w:proofErr w:type="gramStart"/>
      <w:r w:rsidR="009C6D59">
        <w:rPr>
          <w:sz w:val="24"/>
          <w:szCs w:val="24"/>
        </w:rPr>
        <w:t>eds</w:t>
      </w:r>
      <w:proofErr w:type="spellEnd"/>
      <w:proofErr w:type="gramEnd"/>
      <w:r w:rsidR="009C6D59">
        <w:rPr>
          <w:sz w:val="24"/>
          <w:szCs w:val="24"/>
        </w:rPr>
        <w:t>). 2006.</w:t>
      </w:r>
      <w:r w:rsidRPr="009C6D59">
        <w:rPr>
          <w:sz w:val="24"/>
          <w:szCs w:val="24"/>
        </w:rPr>
        <w:t xml:space="preserve"> </w:t>
      </w:r>
      <w:proofErr w:type="gramStart"/>
      <w:r w:rsidRPr="009C6D59">
        <w:rPr>
          <w:i/>
          <w:sz w:val="24"/>
          <w:szCs w:val="24"/>
        </w:rPr>
        <w:t>Against</w:t>
      </w:r>
      <w:proofErr w:type="gramEnd"/>
      <w:r w:rsidRPr="009C6D59">
        <w:rPr>
          <w:i/>
          <w:sz w:val="24"/>
          <w:szCs w:val="24"/>
        </w:rPr>
        <w:t xml:space="preserve"> </w:t>
      </w:r>
      <w:proofErr w:type="spellStart"/>
      <w:r w:rsidRPr="009C6D59">
        <w:rPr>
          <w:i/>
          <w:sz w:val="24"/>
          <w:szCs w:val="24"/>
        </w:rPr>
        <w:t>Automobility</w:t>
      </w:r>
      <w:proofErr w:type="spellEnd"/>
      <w:r w:rsidR="009C6D59">
        <w:rPr>
          <w:i/>
          <w:sz w:val="24"/>
          <w:szCs w:val="24"/>
        </w:rPr>
        <w:t>.</w:t>
      </w:r>
      <w:r w:rsidR="009C6D59">
        <w:rPr>
          <w:sz w:val="24"/>
          <w:szCs w:val="24"/>
        </w:rPr>
        <w:t xml:space="preserve"> Oxford: Blackwell</w:t>
      </w:r>
      <w:r w:rsidRPr="009C6D59">
        <w:rPr>
          <w:sz w:val="24"/>
          <w:szCs w:val="24"/>
        </w:rPr>
        <w:t xml:space="preserve">. </w:t>
      </w:r>
    </w:p>
    <w:p w:rsidR="009571E2" w:rsidRPr="009C6D59" w:rsidRDefault="009571E2" w:rsidP="009C6D59">
      <w:pPr>
        <w:pStyle w:val="FootnoteText"/>
        <w:spacing w:line="480" w:lineRule="auto"/>
        <w:jc w:val="both"/>
        <w:rPr>
          <w:sz w:val="24"/>
          <w:szCs w:val="24"/>
          <w:lang w:val="en-ZA"/>
        </w:rPr>
      </w:pPr>
      <w:r w:rsidRPr="009C6D59">
        <w:rPr>
          <w:sz w:val="24"/>
          <w:szCs w:val="24"/>
          <w:lang w:val="en-ZA"/>
        </w:rPr>
        <w:lastRenderedPageBreak/>
        <w:t>Booth, C.</w:t>
      </w:r>
      <w:r w:rsidR="009C6D59">
        <w:rPr>
          <w:sz w:val="24"/>
          <w:szCs w:val="24"/>
          <w:lang w:val="en-ZA"/>
        </w:rPr>
        <w:t xml:space="preserve"> 2012. ‘</w:t>
      </w:r>
      <w:proofErr w:type="spellStart"/>
      <w:r w:rsidR="009C6D59">
        <w:rPr>
          <w:sz w:val="24"/>
          <w:szCs w:val="24"/>
          <w:lang w:val="en-ZA"/>
        </w:rPr>
        <w:t>Bystanding</w:t>
      </w:r>
      <w:proofErr w:type="spellEnd"/>
      <w:r w:rsidR="009C6D59">
        <w:rPr>
          <w:sz w:val="24"/>
          <w:szCs w:val="24"/>
          <w:lang w:val="en-ZA"/>
        </w:rPr>
        <w:t xml:space="preserve"> and climate change’.</w:t>
      </w:r>
      <w:r w:rsidRPr="009C6D59">
        <w:rPr>
          <w:sz w:val="24"/>
          <w:szCs w:val="24"/>
          <w:lang w:val="en-ZA"/>
        </w:rPr>
        <w:t xml:space="preserve"> </w:t>
      </w:r>
      <w:r w:rsidRPr="009C6D59">
        <w:rPr>
          <w:i/>
          <w:sz w:val="24"/>
          <w:szCs w:val="24"/>
          <w:lang w:val="en-ZA"/>
        </w:rPr>
        <w:t>Environmental Values</w:t>
      </w:r>
      <w:r w:rsidR="009C6D59">
        <w:rPr>
          <w:i/>
          <w:sz w:val="24"/>
          <w:szCs w:val="24"/>
          <w:lang w:val="en-ZA"/>
        </w:rPr>
        <w:t xml:space="preserve"> </w:t>
      </w:r>
      <w:r w:rsidRPr="009C6D59">
        <w:rPr>
          <w:b/>
          <w:sz w:val="24"/>
          <w:szCs w:val="24"/>
          <w:lang w:val="en-ZA"/>
        </w:rPr>
        <w:t>21</w:t>
      </w:r>
      <w:r w:rsidR="009C6D59">
        <w:rPr>
          <w:sz w:val="24"/>
          <w:szCs w:val="24"/>
          <w:lang w:val="en-ZA"/>
        </w:rPr>
        <w:t>:</w:t>
      </w:r>
      <w:r w:rsidRPr="009C6D59">
        <w:rPr>
          <w:i/>
          <w:sz w:val="24"/>
          <w:szCs w:val="24"/>
          <w:lang w:val="en-ZA"/>
        </w:rPr>
        <w:t xml:space="preserve"> </w:t>
      </w:r>
      <w:r w:rsidRPr="009C6D59">
        <w:rPr>
          <w:sz w:val="24"/>
          <w:szCs w:val="24"/>
          <w:lang w:val="en-ZA"/>
        </w:rPr>
        <w:t>397-416.</w:t>
      </w:r>
    </w:p>
    <w:p w:rsidR="00E77BBB" w:rsidRPr="009C6D59" w:rsidRDefault="00E77BBB" w:rsidP="009C6D59">
      <w:pPr>
        <w:pStyle w:val="FootnoteText"/>
        <w:spacing w:line="480" w:lineRule="auto"/>
        <w:jc w:val="both"/>
        <w:rPr>
          <w:sz w:val="24"/>
          <w:szCs w:val="24"/>
        </w:rPr>
      </w:pPr>
      <w:proofErr w:type="spellStart"/>
      <w:r w:rsidRPr="009C6D59">
        <w:rPr>
          <w:sz w:val="24"/>
          <w:szCs w:val="24"/>
        </w:rPr>
        <w:t>Callendar</w:t>
      </w:r>
      <w:proofErr w:type="spellEnd"/>
      <w:r w:rsidRPr="009C6D59">
        <w:rPr>
          <w:sz w:val="24"/>
          <w:szCs w:val="24"/>
        </w:rPr>
        <w:t xml:space="preserve">, G. S. </w:t>
      </w:r>
      <w:r w:rsidR="009C6D59">
        <w:rPr>
          <w:sz w:val="24"/>
          <w:szCs w:val="24"/>
        </w:rPr>
        <w:t xml:space="preserve">1938. </w:t>
      </w:r>
      <w:proofErr w:type="gramStart"/>
      <w:r w:rsidR="009C6D59">
        <w:rPr>
          <w:sz w:val="24"/>
          <w:szCs w:val="24"/>
        </w:rPr>
        <w:t>‘The a</w:t>
      </w:r>
      <w:r w:rsidRPr="009C6D59">
        <w:rPr>
          <w:sz w:val="24"/>
          <w:szCs w:val="24"/>
        </w:rPr>
        <w:t>rtificia</w:t>
      </w:r>
      <w:r w:rsidR="009C6D59">
        <w:rPr>
          <w:sz w:val="24"/>
          <w:szCs w:val="24"/>
        </w:rPr>
        <w:t>l production of carbon dioxide and its influence on temperature’.</w:t>
      </w:r>
      <w:proofErr w:type="gramEnd"/>
      <w:r w:rsidRPr="009C6D59">
        <w:rPr>
          <w:sz w:val="24"/>
          <w:szCs w:val="24"/>
        </w:rPr>
        <w:t xml:space="preserve"> </w:t>
      </w:r>
      <w:r w:rsidRPr="009C6D59">
        <w:rPr>
          <w:i/>
          <w:sz w:val="24"/>
          <w:szCs w:val="24"/>
        </w:rPr>
        <w:t>Quarterly Journal of t</w:t>
      </w:r>
      <w:r w:rsidR="009C6D59">
        <w:rPr>
          <w:i/>
          <w:sz w:val="24"/>
          <w:szCs w:val="24"/>
        </w:rPr>
        <w:t>he Royal Meteorological Society</w:t>
      </w:r>
      <w:r w:rsidRPr="009C6D59">
        <w:rPr>
          <w:i/>
          <w:sz w:val="24"/>
          <w:szCs w:val="24"/>
        </w:rPr>
        <w:t xml:space="preserve"> </w:t>
      </w:r>
      <w:r w:rsidR="009C6D59" w:rsidRPr="009C6D59">
        <w:rPr>
          <w:b/>
          <w:sz w:val="24"/>
          <w:szCs w:val="24"/>
        </w:rPr>
        <w:t>64</w:t>
      </w:r>
      <w:r w:rsidR="009C6D59">
        <w:rPr>
          <w:sz w:val="24"/>
          <w:szCs w:val="24"/>
        </w:rPr>
        <w:t>: 223-40.</w:t>
      </w:r>
    </w:p>
    <w:p w:rsidR="00E77BBB" w:rsidRPr="009C6D59" w:rsidRDefault="00E77BBB" w:rsidP="009C6D59">
      <w:pPr>
        <w:pStyle w:val="FootnoteText"/>
        <w:spacing w:line="480" w:lineRule="auto"/>
        <w:jc w:val="both"/>
        <w:rPr>
          <w:sz w:val="24"/>
          <w:szCs w:val="24"/>
        </w:rPr>
      </w:pPr>
      <w:proofErr w:type="gramStart"/>
      <w:r w:rsidRPr="009C6D59">
        <w:rPr>
          <w:sz w:val="24"/>
          <w:szCs w:val="24"/>
        </w:rPr>
        <w:t>Caney, S. 2005a.</w:t>
      </w:r>
      <w:proofErr w:type="gramEnd"/>
      <w:r w:rsidRPr="009C6D59">
        <w:rPr>
          <w:sz w:val="24"/>
          <w:szCs w:val="24"/>
        </w:rPr>
        <w:t xml:space="preserve"> </w:t>
      </w:r>
      <w:r w:rsidR="009C6D59">
        <w:rPr>
          <w:sz w:val="24"/>
          <w:szCs w:val="24"/>
        </w:rPr>
        <w:t>‘Cosmopolitan justice, responsibility, and global climate c</w:t>
      </w:r>
      <w:r w:rsidR="00907269">
        <w:rPr>
          <w:sz w:val="24"/>
          <w:szCs w:val="24"/>
        </w:rPr>
        <w:t>hange’.</w:t>
      </w:r>
      <w:r w:rsidRPr="009C6D59">
        <w:rPr>
          <w:sz w:val="24"/>
          <w:szCs w:val="24"/>
        </w:rPr>
        <w:t xml:space="preserve"> </w:t>
      </w:r>
      <w:r w:rsidRPr="009C6D59">
        <w:rPr>
          <w:i/>
          <w:sz w:val="24"/>
          <w:szCs w:val="24"/>
        </w:rPr>
        <w:t>Leiden Journal of International Law</w:t>
      </w:r>
      <w:r w:rsidR="00907269">
        <w:rPr>
          <w:sz w:val="24"/>
          <w:szCs w:val="24"/>
        </w:rPr>
        <w:t xml:space="preserve"> </w:t>
      </w:r>
      <w:r w:rsidR="00907269" w:rsidRPr="00907269">
        <w:rPr>
          <w:b/>
          <w:sz w:val="24"/>
          <w:szCs w:val="24"/>
        </w:rPr>
        <w:t>18</w:t>
      </w:r>
      <w:r w:rsidR="00907269">
        <w:rPr>
          <w:sz w:val="24"/>
          <w:szCs w:val="24"/>
        </w:rPr>
        <w:t>:</w:t>
      </w:r>
      <w:r w:rsidRPr="009C6D59">
        <w:rPr>
          <w:sz w:val="24"/>
          <w:szCs w:val="24"/>
        </w:rPr>
        <w:t xml:space="preserve"> 747-77.</w:t>
      </w:r>
    </w:p>
    <w:p w:rsidR="00E77BBB" w:rsidRPr="009C6D59" w:rsidRDefault="00E77BBB" w:rsidP="009C6D59">
      <w:pPr>
        <w:pStyle w:val="FootnoteText"/>
        <w:spacing w:line="480" w:lineRule="auto"/>
        <w:jc w:val="both"/>
        <w:rPr>
          <w:sz w:val="24"/>
          <w:szCs w:val="24"/>
        </w:rPr>
      </w:pPr>
      <w:proofErr w:type="gramStart"/>
      <w:r w:rsidRPr="009C6D59">
        <w:rPr>
          <w:sz w:val="24"/>
          <w:szCs w:val="24"/>
        </w:rPr>
        <w:t>Caney, S. 2005b.</w:t>
      </w:r>
      <w:proofErr w:type="gramEnd"/>
      <w:r w:rsidRPr="009C6D59">
        <w:rPr>
          <w:sz w:val="24"/>
          <w:szCs w:val="24"/>
        </w:rPr>
        <w:t xml:space="preserve"> </w:t>
      </w:r>
      <w:r w:rsidRPr="009C6D59">
        <w:rPr>
          <w:i/>
          <w:sz w:val="24"/>
          <w:szCs w:val="24"/>
        </w:rPr>
        <w:t>Justice Beyond Borders</w:t>
      </w:r>
      <w:r w:rsidR="00907269">
        <w:rPr>
          <w:i/>
          <w:sz w:val="24"/>
          <w:szCs w:val="24"/>
        </w:rPr>
        <w:t xml:space="preserve">. </w:t>
      </w:r>
      <w:r w:rsidRPr="009C6D59">
        <w:rPr>
          <w:sz w:val="24"/>
          <w:szCs w:val="24"/>
        </w:rPr>
        <w:t>Oxford</w:t>
      </w:r>
      <w:r w:rsidR="00907269">
        <w:rPr>
          <w:sz w:val="24"/>
          <w:szCs w:val="24"/>
        </w:rPr>
        <w:t>: Oxford University Press</w:t>
      </w:r>
      <w:r w:rsidRPr="009C6D59">
        <w:rPr>
          <w:sz w:val="24"/>
          <w:szCs w:val="24"/>
        </w:rPr>
        <w:t>.</w:t>
      </w:r>
    </w:p>
    <w:p w:rsidR="009571E2" w:rsidRPr="009C6D59" w:rsidRDefault="009571E2" w:rsidP="009C6D59">
      <w:pPr>
        <w:pStyle w:val="FootnoteText"/>
        <w:spacing w:line="480" w:lineRule="auto"/>
        <w:jc w:val="both"/>
        <w:rPr>
          <w:sz w:val="24"/>
          <w:szCs w:val="24"/>
        </w:rPr>
      </w:pPr>
      <w:proofErr w:type="gramStart"/>
      <w:r w:rsidRPr="009C6D59">
        <w:rPr>
          <w:sz w:val="24"/>
          <w:szCs w:val="24"/>
        </w:rPr>
        <w:t xml:space="preserve">Caney, S. </w:t>
      </w:r>
      <w:r w:rsidR="00907269">
        <w:rPr>
          <w:sz w:val="24"/>
          <w:szCs w:val="24"/>
        </w:rPr>
        <w:t>2009.</w:t>
      </w:r>
      <w:proofErr w:type="gramEnd"/>
      <w:r w:rsidR="00907269">
        <w:rPr>
          <w:sz w:val="24"/>
          <w:szCs w:val="24"/>
        </w:rPr>
        <w:t xml:space="preserve"> ‘Justice and the distribution of greenhouse gas emissions’.</w:t>
      </w:r>
      <w:r w:rsidRPr="009C6D59">
        <w:rPr>
          <w:sz w:val="24"/>
          <w:szCs w:val="24"/>
        </w:rPr>
        <w:t xml:space="preserve"> </w:t>
      </w:r>
      <w:r w:rsidRPr="009C6D59">
        <w:rPr>
          <w:i/>
          <w:sz w:val="24"/>
          <w:szCs w:val="24"/>
        </w:rPr>
        <w:t>Journal of Global Ethics</w:t>
      </w:r>
      <w:r w:rsidR="00907269">
        <w:rPr>
          <w:sz w:val="24"/>
          <w:szCs w:val="24"/>
        </w:rPr>
        <w:t xml:space="preserve"> </w:t>
      </w:r>
      <w:r w:rsidR="00907269" w:rsidRPr="00907269">
        <w:rPr>
          <w:b/>
          <w:sz w:val="24"/>
          <w:szCs w:val="24"/>
        </w:rPr>
        <w:t>5</w:t>
      </w:r>
      <w:r w:rsidR="00907269">
        <w:rPr>
          <w:sz w:val="24"/>
          <w:szCs w:val="24"/>
        </w:rPr>
        <w:t>:</w:t>
      </w:r>
      <w:r w:rsidRPr="009C6D59">
        <w:rPr>
          <w:sz w:val="24"/>
          <w:szCs w:val="24"/>
        </w:rPr>
        <w:t xml:space="preserve"> 125-46.</w:t>
      </w:r>
    </w:p>
    <w:p w:rsidR="00E77BBB" w:rsidRPr="009C6D59" w:rsidRDefault="00E77BBB" w:rsidP="009C6D59">
      <w:pPr>
        <w:pStyle w:val="FootnoteText"/>
        <w:spacing w:line="480" w:lineRule="auto"/>
        <w:jc w:val="both"/>
        <w:rPr>
          <w:sz w:val="24"/>
          <w:szCs w:val="24"/>
        </w:rPr>
      </w:pPr>
      <w:proofErr w:type="gramStart"/>
      <w:r w:rsidRPr="009C6D59">
        <w:rPr>
          <w:sz w:val="24"/>
          <w:szCs w:val="24"/>
        </w:rPr>
        <w:t xml:space="preserve">Caney, S. </w:t>
      </w:r>
      <w:r w:rsidR="00907269">
        <w:rPr>
          <w:sz w:val="24"/>
          <w:szCs w:val="24"/>
        </w:rPr>
        <w:t>2010.</w:t>
      </w:r>
      <w:proofErr w:type="gramEnd"/>
      <w:r w:rsidR="00907269">
        <w:rPr>
          <w:sz w:val="24"/>
          <w:szCs w:val="24"/>
        </w:rPr>
        <w:t xml:space="preserve"> </w:t>
      </w:r>
      <w:proofErr w:type="gramStart"/>
      <w:r w:rsidR="00907269">
        <w:rPr>
          <w:sz w:val="24"/>
          <w:szCs w:val="24"/>
        </w:rPr>
        <w:t>‘Climate change and the duties of the a</w:t>
      </w:r>
      <w:r w:rsidRPr="009C6D59">
        <w:rPr>
          <w:sz w:val="24"/>
          <w:szCs w:val="24"/>
        </w:rPr>
        <w:t>dvantaged’</w:t>
      </w:r>
      <w:r w:rsidR="00907269">
        <w:rPr>
          <w:sz w:val="24"/>
          <w:szCs w:val="24"/>
        </w:rPr>
        <w:t>.</w:t>
      </w:r>
      <w:proofErr w:type="gramEnd"/>
      <w:r w:rsidR="00907269">
        <w:rPr>
          <w:sz w:val="24"/>
          <w:szCs w:val="24"/>
        </w:rPr>
        <w:t xml:space="preserve"> </w:t>
      </w:r>
      <w:r w:rsidRPr="009C6D59">
        <w:rPr>
          <w:i/>
          <w:sz w:val="24"/>
          <w:szCs w:val="24"/>
        </w:rPr>
        <w:t>Critical Review of International Social and Political Philosophy</w:t>
      </w:r>
      <w:r w:rsidR="00907269">
        <w:rPr>
          <w:sz w:val="24"/>
          <w:szCs w:val="24"/>
        </w:rPr>
        <w:t xml:space="preserve"> </w:t>
      </w:r>
      <w:r w:rsidR="00907269" w:rsidRPr="00907269">
        <w:rPr>
          <w:b/>
          <w:sz w:val="24"/>
          <w:szCs w:val="24"/>
        </w:rPr>
        <w:t>13</w:t>
      </w:r>
      <w:r w:rsidR="00907269">
        <w:rPr>
          <w:sz w:val="24"/>
          <w:szCs w:val="24"/>
        </w:rPr>
        <w:t>:</w:t>
      </w:r>
      <w:r w:rsidRPr="009C6D59">
        <w:rPr>
          <w:sz w:val="24"/>
          <w:szCs w:val="24"/>
        </w:rPr>
        <w:t xml:space="preserve"> 203-28.</w:t>
      </w:r>
    </w:p>
    <w:p w:rsidR="003E7937" w:rsidRPr="009C6D59" w:rsidRDefault="003E7937" w:rsidP="009C6D59">
      <w:pPr>
        <w:pStyle w:val="FootnoteText"/>
        <w:spacing w:line="480" w:lineRule="auto"/>
        <w:jc w:val="both"/>
        <w:rPr>
          <w:sz w:val="24"/>
          <w:szCs w:val="24"/>
        </w:rPr>
      </w:pPr>
      <w:proofErr w:type="gramStart"/>
      <w:r w:rsidRPr="009C6D59">
        <w:rPr>
          <w:sz w:val="24"/>
          <w:szCs w:val="24"/>
        </w:rPr>
        <w:t>Caney,</w:t>
      </w:r>
      <w:r w:rsidR="00572F00" w:rsidRPr="009C6D59">
        <w:rPr>
          <w:sz w:val="24"/>
          <w:szCs w:val="24"/>
        </w:rPr>
        <w:t xml:space="preserve"> S.</w:t>
      </w:r>
      <w:r w:rsidRPr="009C6D59">
        <w:rPr>
          <w:sz w:val="24"/>
          <w:szCs w:val="24"/>
        </w:rPr>
        <w:t xml:space="preserve"> </w:t>
      </w:r>
      <w:r w:rsidR="00907269">
        <w:rPr>
          <w:sz w:val="24"/>
          <w:szCs w:val="24"/>
        </w:rPr>
        <w:t>2011.</w:t>
      </w:r>
      <w:proofErr w:type="gramEnd"/>
      <w:r w:rsidR="00907269">
        <w:rPr>
          <w:sz w:val="24"/>
          <w:szCs w:val="24"/>
        </w:rPr>
        <w:t xml:space="preserve"> ‘Climate change, energy r</w:t>
      </w:r>
      <w:r w:rsidRPr="009C6D59">
        <w:rPr>
          <w:sz w:val="24"/>
          <w:szCs w:val="24"/>
        </w:rPr>
        <w:t>ights,</w:t>
      </w:r>
      <w:r w:rsidR="00907269">
        <w:rPr>
          <w:sz w:val="24"/>
          <w:szCs w:val="24"/>
        </w:rPr>
        <w:t xml:space="preserve"> and equality’.</w:t>
      </w:r>
      <w:r w:rsidRPr="009C6D59">
        <w:rPr>
          <w:sz w:val="24"/>
          <w:szCs w:val="24"/>
        </w:rPr>
        <w:t xml:space="preserve"> </w:t>
      </w:r>
      <w:r w:rsidR="00907269">
        <w:rPr>
          <w:sz w:val="24"/>
          <w:szCs w:val="24"/>
        </w:rPr>
        <w:t>I</w:t>
      </w:r>
      <w:r w:rsidRPr="009C6D59">
        <w:rPr>
          <w:sz w:val="24"/>
          <w:szCs w:val="24"/>
        </w:rPr>
        <w:t xml:space="preserve">n </w:t>
      </w:r>
      <w:r w:rsidR="00907269">
        <w:rPr>
          <w:sz w:val="24"/>
          <w:szCs w:val="24"/>
          <w:lang w:val="en-US" w:eastAsia="en-US"/>
        </w:rPr>
        <w:t>D.</w:t>
      </w:r>
      <w:r w:rsidRPr="009C6D59">
        <w:rPr>
          <w:sz w:val="24"/>
          <w:szCs w:val="24"/>
          <w:lang w:val="en-US" w:eastAsia="en-US"/>
        </w:rPr>
        <w:t xml:space="preserve"> Arnold (ed.), </w:t>
      </w:r>
      <w:r w:rsidRPr="009C6D59">
        <w:rPr>
          <w:i/>
          <w:sz w:val="24"/>
          <w:szCs w:val="24"/>
          <w:lang w:val="en-US" w:eastAsia="en-US"/>
        </w:rPr>
        <w:t>The Ethics of Global Climate Change</w:t>
      </w:r>
      <w:r w:rsidR="00907269">
        <w:rPr>
          <w:sz w:val="24"/>
          <w:szCs w:val="24"/>
          <w:lang w:val="en-US" w:eastAsia="en-US"/>
        </w:rPr>
        <w:t xml:space="preserve">. </w:t>
      </w:r>
      <w:r w:rsidRPr="009C6D59">
        <w:rPr>
          <w:sz w:val="24"/>
          <w:szCs w:val="24"/>
          <w:lang w:val="en-US" w:eastAsia="en-US"/>
        </w:rPr>
        <w:t>Cambridge: Cambridge University</w:t>
      </w:r>
      <w:r w:rsidR="00907269">
        <w:rPr>
          <w:sz w:val="24"/>
          <w:szCs w:val="24"/>
          <w:lang w:val="en-US" w:eastAsia="en-US"/>
        </w:rPr>
        <w:t xml:space="preserve"> Press.</w:t>
      </w:r>
    </w:p>
    <w:p w:rsidR="009558FF" w:rsidRPr="009C6D59" w:rsidRDefault="009558FF" w:rsidP="009C6D59">
      <w:pPr>
        <w:pStyle w:val="FootnoteText"/>
        <w:spacing w:line="480" w:lineRule="auto"/>
        <w:jc w:val="both"/>
        <w:rPr>
          <w:sz w:val="24"/>
          <w:szCs w:val="24"/>
        </w:rPr>
      </w:pPr>
      <w:proofErr w:type="spellStart"/>
      <w:r w:rsidRPr="009C6D59">
        <w:rPr>
          <w:sz w:val="24"/>
          <w:szCs w:val="24"/>
        </w:rPr>
        <w:t>Casal</w:t>
      </w:r>
      <w:proofErr w:type="spellEnd"/>
      <w:r w:rsidRPr="009C6D59">
        <w:rPr>
          <w:sz w:val="24"/>
          <w:szCs w:val="24"/>
        </w:rPr>
        <w:t>, P.</w:t>
      </w:r>
      <w:r w:rsidR="00907269">
        <w:rPr>
          <w:sz w:val="24"/>
          <w:szCs w:val="24"/>
        </w:rPr>
        <w:t xml:space="preserve"> 2007.</w:t>
      </w:r>
      <w:r w:rsidRPr="009C6D59">
        <w:rPr>
          <w:sz w:val="24"/>
          <w:szCs w:val="24"/>
        </w:rPr>
        <w:t xml:space="preserve"> </w:t>
      </w:r>
      <w:r w:rsidR="00907269">
        <w:rPr>
          <w:sz w:val="24"/>
          <w:szCs w:val="24"/>
        </w:rPr>
        <w:t>‘Why sufficiency is not enough’.</w:t>
      </w:r>
      <w:r w:rsidRPr="009C6D59">
        <w:rPr>
          <w:sz w:val="24"/>
          <w:szCs w:val="24"/>
        </w:rPr>
        <w:t xml:space="preserve"> </w:t>
      </w:r>
      <w:r w:rsidRPr="009C6D59">
        <w:rPr>
          <w:i/>
          <w:sz w:val="24"/>
          <w:szCs w:val="24"/>
        </w:rPr>
        <w:t>Ethics</w:t>
      </w:r>
      <w:r w:rsidRPr="009C6D59">
        <w:rPr>
          <w:sz w:val="24"/>
          <w:szCs w:val="24"/>
        </w:rPr>
        <w:t xml:space="preserve"> </w:t>
      </w:r>
      <w:r w:rsidRPr="00907269">
        <w:rPr>
          <w:b/>
          <w:sz w:val="24"/>
          <w:szCs w:val="24"/>
        </w:rPr>
        <w:t>1</w:t>
      </w:r>
      <w:r w:rsidR="00907269" w:rsidRPr="00907269">
        <w:rPr>
          <w:b/>
          <w:sz w:val="24"/>
          <w:szCs w:val="24"/>
        </w:rPr>
        <w:t>17</w:t>
      </w:r>
      <w:r w:rsidR="00907269">
        <w:rPr>
          <w:sz w:val="24"/>
          <w:szCs w:val="24"/>
        </w:rPr>
        <w:t>:</w:t>
      </w:r>
      <w:r w:rsidRPr="009C6D59">
        <w:rPr>
          <w:sz w:val="24"/>
          <w:szCs w:val="24"/>
        </w:rPr>
        <w:t xml:space="preserve"> 296-326.</w:t>
      </w:r>
    </w:p>
    <w:p w:rsidR="009571E2" w:rsidRPr="009C6D59" w:rsidRDefault="009571E2" w:rsidP="009C6D59">
      <w:pPr>
        <w:pStyle w:val="FootnoteText"/>
        <w:spacing w:line="480" w:lineRule="auto"/>
        <w:jc w:val="both"/>
        <w:rPr>
          <w:sz w:val="24"/>
          <w:szCs w:val="24"/>
        </w:rPr>
      </w:pPr>
      <w:r w:rsidRPr="009C6D59">
        <w:rPr>
          <w:sz w:val="24"/>
          <w:szCs w:val="24"/>
        </w:rPr>
        <w:t xml:space="preserve">Cohen, G. A. </w:t>
      </w:r>
      <w:r w:rsidR="00907269">
        <w:rPr>
          <w:sz w:val="24"/>
          <w:szCs w:val="24"/>
        </w:rPr>
        <w:t xml:space="preserve">1989. </w:t>
      </w:r>
      <w:proofErr w:type="gramStart"/>
      <w:r w:rsidR="00907269">
        <w:rPr>
          <w:sz w:val="24"/>
          <w:szCs w:val="24"/>
        </w:rPr>
        <w:t>‘On the currency of egalitarian justice’.</w:t>
      </w:r>
      <w:proofErr w:type="gramEnd"/>
      <w:r w:rsidRPr="009C6D59">
        <w:rPr>
          <w:sz w:val="24"/>
          <w:szCs w:val="24"/>
        </w:rPr>
        <w:t xml:space="preserve"> </w:t>
      </w:r>
      <w:r w:rsidRPr="009C6D59">
        <w:rPr>
          <w:i/>
          <w:sz w:val="24"/>
          <w:szCs w:val="24"/>
        </w:rPr>
        <w:t>Ethics</w:t>
      </w:r>
      <w:r w:rsidR="00907269">
        <w:rPr>
          <w:sz w:val="24"/>
          <w:szCs w:val="24"/>
        </w:rPr>
        <w:t xml:space="preserve"> </w:t>
      </w:r>
      <w:r w:rsidR="00907269" w:rsidRPr="00907269">
        <w:rPr>
          <w:b/>
          <w:sz w:val="24"/>
          <w:szCs w:val="24"/>
        </w:rPr>
        <w:t>99</w:t>
      </w:r>
      <w:r w:rsidR="00907269">
        <w:rPr>
          <w:sz w:val="24"/>
          <w:szCs w:val="24"/>
        </w:rPr>
        <w:t>:</w:t>
      </w:r>
      <w:r w:rsidRPr="009C6D59">
        <w:rPr>
          <w:sz w:val="24"/>
          <w:szCs w:val="24"/>
        </w:rPr>
        <w:t xml:space="preserve"> 906-44.</w:t>
      </w:r>
    </w:p>
    <w:p w:rsidR="009571E2" w:rsidRPr="009C6D59" w:rsidRDefault="009571E2" w:rsidP="009C6D59">
      <w:pPr>
        <w:pStyle w:val="FootnoteText"/>
        <w:spacing w:line="480" w:lineRule="auto"/>
        <w:jc w:val="both"/>
        <w:rPr>
          <w:sz w:val="24"/>
          <w:szCs w:val="24"/>
        </w:rPr>
      </w:pPr>
      <w:r w:rsidRPr="009C6D59">
        <w:rPr>
          <w:sz w:val="24"/>
          <w:szCs w:val="24"/>
        </w:rPr>
        <w:t>Cohen, G. A.</w:t>
      </w:r>
      <w:r w:rsidR="00907269">
        <w:rPr>
          <w:sz w:val="24"/>
          <w:szCs w:val="24"/>
        </w:rPr>
        <w:t xml:space="preserve"> 2004.</w:t>
      </w:r>
      <w:r w:rsidRPr="009C6D59">
        <w:rPr>
          <w:sz w:val="24"/>
          <w:szCs w:val="24"/>
        </w:rPr>
        <w:t xml:space="preserve"> </w:t>
      </w:r>
      <w:r w:rsidR="00907269">
        <w:rPr>
          <w:sz w:val="24"/>
          <w:szCs w:val="24"/>
        </w:rPr>
        <w:t xml:space="preserve">‘Expensive taste rides again’. </w:t>
      </w:r>
      <w:proofErr w:type="gramStart"/>
      <w:r w:rsidR="00907269">
        <w:rPr>
          <w:sz w:val="24"/>
          <w:szCs w:val="24"/>
        </w:rPr>
        <w:t>In J.</w:t>
      </w:r>
      <w:r w:rsidRPr="009C6D59">
        <w:rPr>
          <w:sz w:val="24"/>
          <w:szCs w:val="24"/>
        </w:rPr>
        <w:t xml:space="preserve"> Burley (ed.), </w:t>
      </w:r>
      <w:proofErr w:type="spellStart"/>
      <w:r w:rsidRPr="009C6D59">
        <w:rPr>
          <w:i/>
          <w:iCs/>
          <w:sz w:val="24"/>
          <w:szCs w:val="24"/>
        </w:rPr>
        <w:t>Dworkin</w:t>
      </w:r>
      <w:proofErr w:type="spellEnd"/>
      <w:r w:rsidRPr="009C6D59">
        <w:rPr>
          <w:i/>
          <w:iCs/>
          <w:sz w:val="24"/>
          <w:szCs w:val="24"/>
        </w:rPr>
        <w:t xml:space="preserve"> and His Critics</w:t>
      </w:r>
      <w:r w:rsidR="00907269">
        <w:rPr>
          <w:i/>
          <w:iCs/>
          <w:sz w:val="24"/>
          <w:szCs w:val="24"/>
        </w:rPr>
        <w:t>.</w:t>
      </w:r>
      <w:proofErr w:type="gramEnd"/>
      <w:r w:rsidR="00907269">
        <w:rPr>
          <w:i/>
          <w:iCs/>
          <w:sz w:val="24"/>
          <w:szCs w:val="24"/>
        </w:rPr>
        <w:t xml:space="preserve"> </w:t>
      </w:r>
      <w:r w:rsidR="00907269">
        <w:rPr>
          <w:sz w:val="24"/>
          <w:szCs w:val="24"/>
        </w:rPr>
        <w:t>Oxford: Blackwell</w:t>
      </w:r>
      <w:r w:rsidRPr="009C6D59">
        <w:rPr>
          <w:sz w:val="24"/>
          <w:szCs w:val="24"/>
        </w:rPr>
        <w:t>.</w:t>
      </w:r>
    </w:p>
    <w:p w:rsidR="009558FF" w:rsidRPr="009C6D59" w:rsidRDefault="009558FF" w:rsidP="009C6D59">
      <w:pPr>
        <w:pStyle w:val="FootnoteText"/>
        <w:spacing w:line="480" w:lineRule="auto"/>
        <w:jc w:val="both"/>
        <w:rPr>
          <w:sz w:val="24"/>
          <w:szCs w:val="24"/>
        </w:rPr>
      </w:pPr>
      <w:proofErr w:type="gramStart"/>
      <w:r w:rsidRPr="009C6D59">
        <w:rPr>
          <w:sz w:val="24"/>
          <w:szCs w:val="24"/>
        </w:rPr>
        <w:t>Crisp, R.</w:t>
      </w:r>
      <w:r w:rsidR="00907269">
        <w:rPr>
          <w:sz w:val="24"/>
          <w:szCs w:val="24"/>
        </w:rPr>
        <w:t xml:space="preserve"> 2003.</w:t>
      </w:r>
      <w:proofErr w:type="gramEnd"/>
      <w:r w:rsidR="00907269">
        <w:rPr>
          <w:sz w:val="24"/>
          <w:szCs w:val="24"/>
        </w:rPr>
        <w:t xml:space="preserve"> </w:t>
      </w:r>
      <w:proofErr w:type="gramStart"/>
      <w:r w:rsidR="00907269">
        <w:rPr>
          <w:sz w:val="24"/>
          <w:szCs w:val="24"/>
        </w:rPr>
        <w:t>‘Equality, priority, and compassion’.</w:t>
      </w:r>
      <w:proofErr w:type="gramEnd"/>
      <w:r w:rsidRPr="009C6D59">
        <w:rPr>
          <w:sz w:val="24"/>
          <w:szCs w:val="24"/>
        </w:rPr>
        <w:t xml:space="preserve"> </w:t>
      </w:r>
      <w:r w:rsidRPr="009C6D59">
        <w:rPr>
          <w:i/>
          <w:sz w:val="24"/>
          <w:szCs w:val="24"/>
        </w:rPr>
        <w:t>Ethics</w:t>
      </w:r>
      <w:r w:rsidR="00907269">
        <w:rPr>
          <w:sz w:val="24"/>
          <w:szCs w:val="24"/>
        </w:rPr>
        <w:t xml:space="preserve"> </w:t>
      </w:r>
      <w:r w:rsidR="00907269" w:rsidRPr="00907269">
        <w:rPr>
          <w:b/>
          <w:sz w:val="24"/>
          <w:szCs w:val="24"/>
        </w:rPr>
        <w:t>113</w:t>
      </w:r>
      <w:r w:rsidR="00907269">
        <w:rPr>
          <w:sz w:val="24"/>
          <w:szCs w:val="24"/>
        </w:rPr>
        <w:t xml:space="preserve">: </w:t>
      </w:r>
      <w:r w:rsidRPr="009C6D59">
        <w:rPr>
          <w:sz w:val="24"/>
          <w:szCs w:val="24"/>
        </w:rPr>
        <w:t>745-63.</w:t>
      </w:r>
    </w:p>
    <w:p w:rsidR="009571E2" w:rsidRPr="009C6D59" w:rsidRDefault="009571E2" w:rsidP="009C6D59">
      <w:pPr>
        <w:pStyle w:val="FootnoteText"/>
        <w:spacing w:line="480" w:lineRule="auto"/>
        <w:jc w:val="both"/>
        <w:rPr>
          <w:sz w:val="24"/>
          <w:szCs w:val="24"/>
        </w:rPr>
      </w:pPr>
      <w:proofErr w:type="spellStart"/>
      <w:proofErr w:type="gramStart"/>
      <w:r w:rsidRPr="009C6D59">
        <w:rPr>
          <w:sz w:val="24"/>
          <w:szCs w:val="24"/>
        </w:rPr>
        <w:t>Dworkin</w:t>
      </w:r>
      <w:proofErr w:type="spellEnd"/>
      <w:r w:rsidRPr="009C6D59">
        <w:rPr>
          <w:sz w:val="24"/>
          <w:szCs w:val="24"/>
        </w:rPr>
        <w:t xml:space="preserve">, R. </w:t>
      </w:r>
      <w:r w:rsidR="00907269">
        <w:rPr>
          <w:sz w:val="24"/>
          <w:szCs w:val="24"/>
        </w:rPr>
        <w:t>1981a.</w:t>
      </w:r>
      <w:proofErr w:type="gramEnd"/>
      <w:r w:rsidR="00907269">
        <w:rPr>
          <w:sz w:val="24"/>
          <w:szCs w:val="24"/>
        </w:rPr>
        <w:t xml:space="preserve"> ‘What is equality? Part o</w:t>
      </w:r>
      <w:r w:rsidRPr="009C6D59">
        <w:rPr>
          <w:sz w:val="24"/>
          <w:szCs w:val="24"/>
        </w:rPr>
        <w:t>ne</w:t>
      </w:r>
      <w:r w:rsidR="00907269">
        <w:rPr>
          <w:sz w:val="24"/>
          <w:szCs w:val="24"/>
        </w:rPr>
        <w:t>: Equality of welfare’.</w:t>
      </w:r>
      <w:r w:rsidRPr="009C6D59">
        <w:rPr>
          <w:sz w:val="24"/>
          <w:szCs w:val="24"/>
        </w:rPr>
        <w:t xml:space="preserve"> </w:t>
      </w:r>
      <w:r w:rsidR="00907269">
        <w:rPr>
          <w:i/>
          <w:sz w:val="24"/>
          <w:szCs w:val="24"/>
        </w:rPr>
        <w:t>Philosophy and Public Affairs</w:t>
      </w:r>
      <w:r w:rsidRPr="009C6D59">
        <w:rPr>
          <w:i/>
          <w:sz w:val="24"/>
          <w:szCs w:val="24"/>
        </w:rPr>
        <w:t xml:space="preserve"> </w:t>
      </w:r>
      <w:r w:rsidR="00907269" w:rsidRPr="00907269">
        <w:rPr>
          <w:b/>
          <w:sz w:val="24"/>
          <w:szCs w:val="24"/>
        </w:rPr>
        <w:t>10</w:t>
      </w:r>
      <w:r w:rsidR="00907269">
        <w:rPr>
          <w:sz w:val="24"/>
          <w:szCs w:val="24"/>
        </w:rPr>
        <w:t>:</w:t>
      </w:r>
      <w:r w:rsidRPr="009C6D59">
        <w:rPr>
          <w:sz w:val="24"/>
          <w:szCs w:val="24"/>
        </w:rPr>
        <w:t xml:space="preserve"> 185-246.</w:t>
      </w:r>
    </w:p>
    <w:p w:rsidR="009571E2" w:rsidRDefault="009571E2" w:rsidP="009C6D59">
      <w:pPr>
        <w:pStyle w:val="FootnoteText"/>
        <w:spacing w:line="480" w:lineRule="auto"/>
        <w:jc w:val="both"/>
        <w:rPr>
          <w:sz w:val="24"/>
          <w:szCs w:val="24"/>
        </w:rPr>
      </w:pPr>
      <w:proofErr w:type="spellStart"/>
      <w:proofErr w:type="gramStart"/>
      <w:r w:rsidRPr="009C6D59">
        <w:rPr>
          <w:sz w:val="24"/>
          <w:szCs w:val="24"/>
        </w:rPr>
        <w:t>Dworkin</w:t>
      </w:r>
      <w:proofErr w:type="spellEnd"/>
      <w:r w:rsidRPr="009C6D59">
        <w:rPr>
          <w:sz w:val="24"/>
          <w:szCs w:val="24"/>
        </w:rPr>
        <w:t>,</w:t>
      </w:r>
      <w:r w:rsidR="00907269">
        <w:rPr>
          <w:sz w:val="24"/>
          <w:szCs w:val="24"/>
        </w:rPr>
        <w:t xml:space="preserve"> R. 1981b.</w:t>
      </w:r>
      <w:proofErr w:type="gramEnd"/>
      <w:r w:rsidR="00907269">
        <w:rPr>
          <w:sz w:val="24"/>
          <w:szCs w:val="24"/>
        </w:rPr>
        <w:t xml:space="preserve"> ‘What is equality? Part two: Equality of resources’.</w:t>
      </w:r>
      <w:r w:rsidRPr="009C6D59">
        <w:rPr>
          <w:sz w:val="24"/>
          <w:szCs w:val="24"/>
        </w:rPr>
        <w:t xml:space="preserve"> </w:t>
      </w:r>
      <w:r w:rsidRPr="009C6D59">
        <w:rPr>
          <w:i/>
          <w:sz w:val="24"/>
          <w:szCs w:val="24"/>
        </w:rPr>
        <w:t>Philosophy and Public Affairs</w:t>
      </w:r>
      <w:r w:rsidR="00907269">
        <w:rPr>
          <w:sz w:val="24"/>
          <w:szCs w:val="24"/>
        </w:rPr>
        <w:t xml:space="preserve"> </w:t>
      </w:r>
      <w:r w:rsidR="00907269" w:rsidRPr="00907269">
        <w:rPr>
          <w:b/>
          <w:sz w:val="24"/>
          <w:szCs w:val="24"/>
        </w:rPr>
        <w:t>10</w:t>
      </w:r>
      <w:r w:rsidR="00907269">
        <w:rPr>
          <w:sz w:val="24"/>
          <w:szCs w:val="24"/>
        </w:rPr>
        <w:t>:</w:t>
      </w:r>
      <w:r w:rsidRPr="009C6D59">
        <w:rPr>
          <w:sz w:val="24"/>
          <w:szCs w:val="24"/>
        </w:rPr>
        <w:t xml:space="preserve"> 283-345.</w:t>
      </w:r>
    </w:p>
    <w:p w:rsidR="00907269" w:rsidRPr="009C6D59" w:rsidRDefault="00907269" w:rsidP="009C6D59">
      <w:pPr>
        <w:pStyle w:val="FootnoteText"/>
        <w:spacing w:line="480" w:lineRule="auto"/>
        <w:jc w:val="both"/>
        <w:rPr>
          <w:sz w:val="24"/>
          <w:szCs w:val="24"/>
        </w:rPr>
      </w:pPr>
      <w:proofErr w:type="spellStart"/>
      <w:r w:rsidRPr="009C6D59">
        <w:rPr>
          <w:sz w:val="24"/>
          <w:szCs w:val="24"/>
        </w:rPr>
        <w:t>Dworkin</w:t>
      </w:r>
      <w:proofErr w:type="spellEnd"/>
      <w:r w:rsidRPr="009C6D59">
        <w:rPr>
          <w:sz w:val="24"/>
          <w:szCs w:val="24"/>
        </w:rPr>
        <w:t xml:space="preserve">, R. </w:t>
      </w:r>
      <w:r>
        <w:rPr>
          <w:sz w:val="24"/>
          <w:szCs w:val="24"/>
        </w:rPr>
        <w:t xml:space="preserve">2000. </w:t>
      </w:r>
      <w:r w:rsidRPr="009C6D59">
        <w:rPr>
          <w:i/>
          <w:sz w:val="24"/>
          <w:szCs w:val="24"/>
        </w:rPr>
        <w:t>Sovereign Virtue</w:t>
      </w:r>
      <w:r>
        <w:rPr>
          <w:i/>
          <w:sz w:val="24"/>
          <w:szCs w:val="24"/>
        </w:rPr>
        <w:t>: The Theory and Practice of Equality</w:t>
      </w:r>
      <w:r>
        <w:rPr>
          <w:sz w:val="24"/>
          <w:szCs w:val="24"/>
        </w:rPr>
        <w:t xml:space="preserve">. </w:t>
      </w:r>
      <w:r w:rsidRPr="009C6D59">
        <w:rPr>
          <w:sz w:val="24"/>
          <w:szCs w:val="24"/>
        </w:rPr>
        <w:t>Cambridge, MA:</w:t>
      </w:r>
      <w:r>
        <w:rPr>
          <w:sz w:val="24"/>
          <w:szCs w:val="24"/>
        </w:rPr>
        <w:t xml:space="preserve"> Harvard University Press</w:t>
      </w:r>
      <w:r w:rsidRPr="009C6D59">
        <w:rPr>
          <w:sz w:val="24"/>
          <w:szCs w:val="24"/>
        </w:rPr>
        <w:t>.</w:t>
      </w:r>
    </w:p>
    <w:p w:rsidR="009558FF" w:rsidRPr="009C6D59" w:rsidRDefault="009558FF" w:rsidP="009C6D59">
      <w:pPr>
        <w:pStyle w:val="FootnoteText"/>
        <w:spacing w:line="480" w:lineRule="auto"/>
        <w:jc w:val="both"/>
        <w:rPr>
          <w:sz w:val="24"/>
          <w:szCs w:val="24"/>
        </w:rPr>
      </w:pPr>
      <w:r w:rsidRPr="009C6D59">
        <w:rPr>
          <w:sz w:val="24"/>
          <w:szCs w:val="24"/>
        </w:rPr>
        <w:t>Frankfurt, H.</w:t>
      </w:r>
      <w:r w:rsidR="00907269">
        <w:rPr>
          <w:sz w:val="24"/>
          <w:szCs w:val="24"/>
        </w:rPr>
        <w:t xml:space="preserve"> 1987.</w:t>
      </w:r>
      <w:r w:rsidRPr="009C6D59">
        <w:rPr>
          <w:sz w:val="24"/>
          <w:szCs w:val="24"/>
        </w:rPr>
        <w:t xml:space="preserve"> ‘</w:t>
      </w:r>
      <w:r w:rsidR="00907269">
        <w:rPr>
          <w:sz w:val="24"/>
          <w:szCs w:val="24"/>
        </w:rPr>
        <w:t>Equality as a moral i</w:t>
      </w:r>
      <w:r w:rsidRPr="009C6D59">
        <w:rPr>
          <w:sz w:val="24"/>
          <w:szCs w:val="24"/>
        </w:rPr>
        <w:t xml:space="preserve">deal’, </w:t>
      </w:r>
      <w:r w:rsidRPr="009C6D59">
        <w:rPr>
          <w:i/>
          <w:sz w:val="24"/>
          <w:szCs w:val="24"/>
        </w:rPr>
        <w:t>Ethics</w:t>
      </w:r>
      <w:r w:rsidR="00907269">
        <w:rPr>
          <w:sz w:val="24"/>
          <w:szCs w:val="24"/>
        </w:rPr>
        <w:t xml:space="preserve"> </w:t>
      </w:r>
      <w:r w:rsidR="00907269" w:rsidRPr="00907269">
        <w:rPr>
          <w:b/>
          <w:sz w:val="24"/>
          <w:szCs w:val="24"/>
        </w:rPr>
        <w:t>98</w:t>
      </w:r>
      <w:r w:rsidR="00907269">
        <w:rPr>
          <w:sz w:val="24"/>
          <w:szCs w:val="24"/>
        </w:rPr>
        <w:t>:</w:t>
      </w:r>
      <w:r w:rsidRPr="009C6D59">
        <w:rPr>
          <w:sz w:val="24"/>
          <w:szCs w:val="24"/>
        </w:rPr>
        <w:t xml:space="preserve"> 21-43.</w:t>
      </w:r>
    </w:p>
    <w:p w:rsidR="009558FF" w:rsidRPr="009C6D59" w:rsidRDefault="009558FF" w:rsidP="009C6D59">
      <w:pPr>
        <w:pStyle w:val="FootnoteText"/>
        <w:spacing w:line="480" w:lineRule="auto"/>
        <w:jc w:val="both"/>
        <w:rPr>
          <w:sz w:val="24"/>
          <w:szCs w:val="24"/>
        </w:rPr>
      </w:pPr>
      <w:r w:rsidRPr="009C6D59">
        <w:rPr>
          <w:sz w:val="24"/>
          <w:szCs w:val="24"/>
        </w:rPr>
        <w:t xml:space="preserve">Gardiner, S. M. </w:t>
      </w:r>
      <w:r w:rsidR="00907269">
        <w:rPr>
          <w:sz w:val="24"/>
          <w:szCs w:val="24"/>
        </w:rPr>
        <w:t xml:space="preserve">2011. </w:t>
      </w:r>
      <w:proofErr w:type="gramStart"/>
      <w:r w:rsidRPr="009C6D59">
        <w:rPr>
          <w:i/>
          <w:sz w:val="24"/>
          <w:szCs w:val="24"/>
        </w:rPr>
        <w:t>A Perfect Moral Storm</w:t>
      </w:r>
      <w:r w:rsidR="00907269">
        <w:rPr>
          <w:sz w:val="24"/>
          <w:szCs w:val="24"/>
        </w:rPr>
        <w:t>.</w:t>
      </w:r>
      <w:proofErr w:type="gramEnd"/>
      <w:r w:rsidR="00907269">
        <w:rPr>
          <w:sz w:val="24"/>
          <w:szCs w:val="24"/>
        </w:rPr>
        <w:t xml:space="preserve"> </w:t>
      </w:r>
      <w:r w:rsidRPr="009C6D59">
        <w:rPr>
          <w:sz w:val="24"/>
          <w:szCs w:val="24"/>
        </w:rPr>
        <w:t xml:space="preserve">Oxford: </w:t>
      </w:r>
      <w:r w:rsidR="00907269">
        <w:rPr>
          <w:sz w:val="24"/>
          <w:szCs w:val="24"/>
        </w:rPr>
        <w:t>Oxford University Press.</w:t>
      </w:r>
    </w:p>
    <w:p w:rsidR="00E77BBB" w:rsidRPr="009C6D59" w:rsidRDefault="00E77BBB" w:rsidP="009C6D59">
      <w:pPr>
        <w:spacing w:line="480" w:lineRule="auto"/>
        <w:jc w:val="both"/>
      </w:pPr>
      <w:proofErr w:type="spellStart"/>
      <w:r w:rsidRPr="009C6D59">
        <w:lastRenderedPageBreak/>
        <w:t>Goodin</w:t>
      </w:r>
      <w:proofErr w:type="spellEnd"/>
      <w:r w:rsidRPr="009C6D59">
        <w:t>, R.</w:t>
      </w:r>
      <w:r w:rsidR="00907269">
        <w:t xml:space="preserve"> 2008. ‘What is so special about our fellow countrymen?</w:t>
      </w:r>
      <w:proofErr w:type="gramStart"/>
      <w:r w:rsidR="00907269">
        <w:t>’.</w:t>
      </w:r>
      <w:proofErr w:type="gramEnd"/>
      <w:r w:rsidR="00907269">
        <w:t xml:space="preserve"> In T.</w:t>
      </w:r>
      <w:r w:rsidRPr="009C6D59">
        <w:t xml:space="preserve"> Brooks (ed.), </w:t>
      </w:r>
      <w:proofErr w:type="gramStart"/>
      <w:r w:rsidRPr="009C6D59">
        <w:rPr>
          <w:i/>
        </w:rPr>
        <w:t>The</w:t>
      </w:r>
      <w:proofErr w:type="gramEnd"/>
      <w:r w:rsidRPr="009C6D59">
        <w:rPr>
          <w:i/>
        </w:rPr>
        <w:t xml:space="preserve"> Global Justice Reader</w:t>
      </w:r>
      <w:r w:rsidR="00907269">
        <w:rPr>
          <w:i/>
        </w:rPr>
        <w:t xml:space="preserve">. </w:t>
      </w:r>
      <w:r w:rsidR="00907269">
        <w:t>Oxford: Blackwell</w:t>
      </w:r>
      <w:r w:rsidRPr="009C6D59">
        <w:t>.</w:t>
      </w:r>
    </w:p>
    <w:p w:rsidR="00572F00" w:rsidRPr="009C6D59" w:rsidRDefault="003E7937" w:rsidP="009C6D59">
      <w:pPr>
        <w:pStyle w:val="FootnoteText"/>
        <w:spacing w:line="480" w:lineRule="auto"/>
        <w:jc w:val="both"/>
        <w:rPr>
          <w:sz w:val="24"/>
          <w:szCs w:val="24"/>
        </w:rPr>
      </w:pPr>
      <w:proofErr w:type="spellStart"/>
      <w:proofErr w:type="gramStart"/>
      <w:r w:rsidRPr="009C6D59">
        <w:rPr>
          <w:sz w:val="24"/>
          <w:szCs w:val="24"/>
        </w:rPr>
        <w:t>Gosseries</w:t>
      </w:r>
      <w:proofErr w:type="spellEnd"/>
      <w:r w:rsidRPr="009C6D59">
        <w:rPr>
          <w:sz w:val="24"/>
          <w:szCs w:val="24"/>
        </w:rPr>
        <w:t>,</w:t>
      </w:r>
      <w:r w:rsidR="00572F00" w:rsidRPr="009C6D59">
        <w:rPr>
          <w:sz w:val="24"/>
          <w:szCs w:val="24"/>
        </w:rPr>
        <w:t xml:space="preserve"> A.</w:t>
      </w:r>
      <w:r w:rsidR="00907269">
        <w:rPr>
          <w:sz w:val="24"/>
          <w:szCs w:val="24"/>
        </w:rPr>
        <w:t xml:space="preserve"> 2004.</w:t>
      </w:r>
      <w:proofErr w:type="gramEnd"/>
      <w:r w:rsidR="00907269">
        <w:rPr>
          <w:sz w:val="24"/>
          <w:szCs w:val="24"/>
        </w:rPr>
        <w:t xml:space="preserve"> </w:t>
      </w:r>
      <w:proofErr w:type="gramStart"/>
      <w:r w:rsidR="00907269">
        <w:rPr>
          <w:sz w:val="24"/>
          <w:szCs w:val="24"/>
        </w:rPr>
        <w:t>‘Historical emissions and free-riding.</w:t>
      </w:r>
      <w:proofErr w:type="gramEnd"/>
      <w:r w:rsidR="00907269">
        <w:rPr>
          <w:sz w:val="24"/>
          <w:szCs w:val="24"/>
        </w:rPr>
        <w:t xml:space="preserve"> </w:t>
      </w:r>
      <w:proofErr w:type="gramStart"/>
      <w:r w:rsidR="00907269">
        <w:rPr>
          <w:sz w:val="24"/>
          <w:szCs w:val="24"/>
        </w:rPr>
        <w:t>In L.</w:t>
      </w:r>
      <w:r w:rsidRPr="009C6D59">
        <w:rPr>
          <w:sz w:val="24"/>
          <w:szCs w:val="24"/>
        </w:rPr>
        <w:t xml:space="preserve"> H. Meyer (ed.), </w:t>
      </w:r>
      <w:r w:rsidRPr="009C6D59">
        <w:rPr>
          <w:i/>
          <w:sz w:val="24"/>
          <w:szCs w:val="24"/>
        </w:rPr>
        <w:t>Justice in Time</w:t>
      </w:r>
      <w:r w:rsidR="00907269">
        <w:rPr>
          <w:i/>
          <w:sz w:val="24"/>
          <w:szCs w:val="24"/>
        </w:rPr>
        <w:t>.</w:t>
      </w:r>
      <w:proofErr w:type="gramEnd"/>
      <w:r w:rsidR="00907269">
        <w:rPr>
          <w:i/>
          <w:sz w:val="24"/>
          <w:szCs w:val="24"/>
        </w:rPr>
        <w:t xml:space="preserve"> </w:t>
      </w:r>
      <w:r w:rsidR="00907269">
        <w:rPr>
          <w:sz w:val="24"/>
          <w:szCs w:val="24"/>
        </w:rPr>
        <w:t xml:space="preserve">Baden-Baden: </w:t>
      </w:r>
      <w:proofErr w:type="spellStart"/>
      <w:r w:rsidR="00907269">
        <w:rPr>
          <w:sz w:val="24"/>
          <w:szCs w:val="24"/>
        </w:rPr>
        <w:t>Nomos</w:t>
      </w:r>
      <w:proofErr w:type="spellEnd"/>
      <w:r w:rsidR="00907269">
        <w:rPr>
          <w:sz w:val="24"/>
          <w:szCs w:val="24"/>
        </w:rPr>
        <w:t>.</w:t>
      </w:r>
    </w:p>
    <w:p w:rsidR="009571E2" w:rsidRPr="009C6D59" w:rsidRDefault="009571E2" w:rsidP="009C6D59">
      <w:pPr>
        <w:pStyle w:val="FootnoteText"/>
        <w:spacing w:line="480" w:lineRule="auto"/>
        <w:jc w:val="both"/>
        <w:rPr>
          <w:sz w:val="24"/>
          <w:szCs w:val="24"/>
        </w:rPr>
      </w:pPr>
      <w:proofErr w:type="spellStart"/>
      <w:proofErr w:type="gramStart"/>
      <w:r w:rsidRPr="009C6D59">
        <w:rPr>
          <w:sz w:val="24"/>
          <w:szCs w:val="24"/>
        </w:rPr>
        <w:t>Gosseries</w:t>
      </w:r>
      <w:proofErr w:type="spellEnd"/>
      <w:r w:rsidRPr="009C6D59">
        <w:rPr>
          <w:sz w:val="24"/>
          <w:szCs w:val="24"/>
        </w:rPr>
        <w:t xml:space="preserve">, A. </w:t>
      </w:r>
      <w:r w:rsidR="00907269">
        <w:rPr>
          <w:sz w:val="24"/>
          <w:szCs w:val="24"/>
        </w:rPr>
        <w:t>2005.</w:t>
      </w:r>
      <w:proofErr w:type="gramEnd"/>
      <w:r w:rsidR="00907269">
        <w:rPr>
          <w:sz w:val="24"/>
          <w:szCs w:val="24"/>
        </w:rPr>
        <w:t xml:space="preserve"> </w:t>
      </w:r>
      <w:proofErr w:type="gramStart"/>
      <w:r w:rsidR="00907269">
        <w:rPr>
          <w:sz w:val="24"/>
          <w:szCs w:val="24"/>
        </w:rPr>
        <w:t>‘Cosmopolitan luck egalitarianism and the greenhouse effect’.</w:t>
      </w:r>
      <w:proofErr w:type="gramEnd"/>
      <w:r w:rsidR="00907269">
        <w:rPr>
          <w:sz w:val="24"/>
          <w:szCs w:val="24"/>
        </w:rPr>
        <w:t xml:space="preserve"> In D.</w:t>
      </w:r>
      <w:r w:rsidRPr="009C6D59">
        <w:rPr>
          <w:sz w:val="24"/>
          <w:szCs w:val="24"/>
        </w:rPr>
        <w:t xml:space="preserve"> Weinstock (ed.),</w:t>
      </w:r>
      <w:r w:rsidRPr="009C6D59">
        <w:rPr>
          <w:i/>
          <w:sz w:val="24"/>
          <w:szCs w:val="24"/>
        </w:rPr>
        <w:t xml:space="preserve"> Global Justice, Global Institutions</w:t>
      </w:r>
      <w:r w:rsidR="00907269">
        <w:rPr>
          <w:i/>
          <w:sz w:val="24"/>
          <w:szCs w:val="24"/>
        </w:rPr>
        <w:t xml:space="preserve">. </w:t>
      </w:r>
      <w:r w:rsidRPr="009C6D59">
        <w:rPr>
          <w:sz w:val="24"/>
          <w:szCs w:val="24"/>
        </w:rPr>
        <w:t>Calgary: Un</w:t>
      </w:r>
      <w:r w:rsidR="00907269">
        <w:rPr>
          <w:sz w:val="24"/>
          <w:szCs w:val="24"/>
        </w:rPr>
        <w:t>iversity of Calgary Press.</w:t>
      </w:r>
    </w:p>
    <w:p w:rsidR="009571E2" w:rsidRPr="009C6D59" w:rsidRDefault="009571E2" w:rsidP="009C6D59">
      <w:pPr>
        <w:autoSpaceDE w:val="0"/>
        <w:autoSpaceDN w:val="0"/>
        <w:adjustRightInd w:val="0"/>
        <w:spacing w:line="480" w:lineRule="auto"/>
        <w:jc w:val="both"/>
      </w:pPr>
      <w:proofErr w:type="spellStart"/>
      <w:proofErr w:type="gramStart"/>
      <w:r w:rsidRPr="009C6D59">
        <w:t>Gosseries</w:t>
      </w:r>
      <w:proofErr w:type="spellEnd"/>
      <w:r w:rsidRPr="009C6D59">
        <w:t xml:space="preserve">, A., and M. </w:t>
      </w:r>
      <w:proofErr w:type="spellStart"/>
      <w:r w:rsidRPr="009C6D59">
        <w:t>Hungerb</w:t>
      </w:r>
      <w:r w:rsidR="00387D37">
        <w:t>ühler</w:t>
      </w:r>
      <w:proofErr w:type="spellEnd"/>
      <w:r w:rsidR="00387D37">
        <w:t>.</w:t>
      </w:r>
      <w:proofErr w:type="gramEnd"/>
      <w:r w:rsidR="00387D37">
        <w:t xml:space="preserve"> 2006.</w:t>
      </w:r>
      <w:r w:rsidRPr="009C6D59">
        <w:t xml:space="preserve"> ‘Rule</w:t>
      </w:r>
      <w:r w:rsidR="00387D37">
        <w:t xml:space="preserve"> change and intergenerational justice. </w:t>
      </w:r>
      <w:proofErr w:type="gramStart"/>
      <w:r w:rsidR="00387D37">
        <w:t>In J. C.</w:t>
      </w:r>
      <w:r w:rsidRPr="009C6D59">
        <w:t xml:space="preserve"> </w:t>
      </w:r>
      <w:proofErr w:type="spellStart"/>
      <w:r w:rsidRPr="009C6D59">
        <w:t>Tremmel</w:t>
      </w:r>
      <w:proofErr w:type="spellEnd"/>
      <w:r w:rsidRPr="009C6D59">
        <w:t xml:space="preserve"> (ed.), </w:t>
      </w:r>
      <w:r w:rsidRPr="009C6D59">
        <w:rPr>
          <w:i/>
        </w:rPr>
        <w:t>Handbook of Intergenerational Justice</w:t>
      </w:r>
      <w:r w:rsidR="00387D37">
        <w:rPr>
          <w:i/>
        </w:rPr>
        <w:t>.</w:t>
      </w:r>
      <w:proofErr w:type="gramEnd"/>
      <w:r w:rsidRPr="009C6D59">
        <w:rPr>
          <w:i/>
        </w:rPr>
        <w:t xml:space="preserve"> </w:t>
      </w:r>
      <w:r w:rsidR="00387D37">
        <w:t>Cheltenham: Edward Elgar.</w:t>
      </w:r>
    </w:p>
    <w:p w:rsidR="009571E2" w:rsidRPr="009C6D59" w:rsidRDefault="009571E2" w:rsidP="009C6D59">
      <w:pPr>
        <w:pStyle w:val="FootnoteText"/>
        <w:spacing w:line="480" w:lineRule="auto"/>
        <w:jc w:val="both"/>
        <w:rPr>
          <w:sz w:val="24"/>
          <w:szCs w:val="24"/>
        </w:rPr>
      </w:pPr>
      <w:r w:rsidRPr="009C6D59">
        <w:rPr>
          <w:sz w:val="24"/>
          <w:szCs w:val="24"/>
        </w:rPr>
        <w:t>Grubb, M.</w:t>
      </w:r>
      <w:r w:rsidR="00387D37">
        <w:rPr>
          <w:sz w:val="24"/>
          <w:szCs w:val="24"/>
        </w:rPr>
        <w:t xml:space="preserve"> 1989.</w:t>
      </w:r>
      <w:r w:rsidRPr="009C6D59">
        <w:rPr>
          <w:sz w:val="24"/>
          <w:szCs w:val="24"/>
        </w:rPr>
        <w:t xml:space="preserve"> </w:t>
      </w:r>
      <w:r w:rsidR="00387D37">
        <w:rPr>
          <w:sz w:val="24"/>
          <w:szCs w:val="24"/>
        </w:rPr>
        <w:t>‘The greenhouse effect: negotiating t</w:t>
      </w:r>
      <w:r w:rsidRPr="009C6D59">
        <w:rPr>
          <w:sz w:val="24"/>
          <w:szCs w:val="24"/>
        </w:rPr>
        <w:t>argets’</w:t>
      </w:r>
      <w:r w:rsidR="00387D37">
        <w:rPr>
          <w:sz w:val="24"/>
          <w:szCs w:val="24"/>
        </w:rPr>
        <w:t>.</w:t>
      </w:r>
      <w:r w:rsidRPr="009C6D59">
        <w:rPr>
          <w:sz w:val="24"/>
          <w:szCs w:val="24"/>
        </w:rPr>
        <w:t xml:space="preserve"> </w:t>
      </w:r>
      <w:r w:rsidR="00387D37">
        <w:rPr>
          <w:i/>
          <w:sz w:val="24"/>
          <w:szCs w:val="24"/>
        </w:rPr>
        <w:t>International Affairs</w:t>
      </w:r>
      <w:r w:rsidRPr="009C6D59">
        <w:rPr>
          <w:i/>
          <w:sz w:val="24"/>
          <w:szCs w:val="24"/>
        </w:rPr>
        <w:t xml:space="preserve"> </w:t>
      </w:r>
      <w:r w:rsidR="00387D37" w:rsidRPr="00387D37">
        <w:rPr>
          <w:b/>
          <w:sz w:val="24"/>
          <w:szCs w:val="24"/>
        </w:rPr>
        <w:t>66</w:t>
      </w:r>
      <w:r w:rsidR="00387D37">
        <w:rPr>
          <w:sz w:val="24"/>
          <w:szCs w:val="24"/>
        </w:rPr>
        <w:t xml:space="preserve">: </w:t>
      </w:r>
      <w:r w:rsidRPr="009C6D59">
        <w:rPr>
          <w:sz w:val="24"/>
          <w:szCs w:val="24"/>
        </w:rPr>
        <w:t>67-89.</w:t>
      </w:r>
    </w:p>
    <w:p w:rsidR="009571E2" w:rsidRPr="009C6D59" w:rsidRDefault="009571E2" w:rsidP="009C6D59">
      <w:pPr>
        <w:spacing w:line="480" w:lineRule="auto"/>
        <w:jc w:val="both"/>
      </w:pPr>
      <w:proofErr w:type="gramStart"/>
      <w:r w:rsidRPr="009C6D59">
        <w:t xml:space="preserve">Hare, R. M. </w:t>
      </w:r>
      <w:r w:rsidR="00387D37">
        <w:t>1981.</w:t>
      </w:r>
      <w:proofErr w:type="gramEnd"/>
      <w:r w:rsidR="00387D37">
        <w:t xml:space="preserve"> </w:t>
      </w:r>
      <w:proofErr w:type="gramStart"/>
      <w:r w:rsidRPr="009C6D59">
        <w:rPr>
          <w:i/>
        </w:rPr>
        <w:t>Moral Thinking</w:t>
      </w:r>
      <w:r w:rsidR="00387D37">
        <w:t>.</w:t>
      </w:r>
      <w:proofErr w:type="gramEnd"/>
      <w:r w:rsidR="00387D37">
        <w:t xml:space="preserve"> </w:t>
      </w:r>
      <w:r w:rsidRPr="009C6D59">
        <w:t>Oxford: Oxford University Press</w:t>
      </w:r>
      <w:r w:rsidR="00387D37">
        <w:t>.</w:t>
      </w:r>
    </w:p>
    <w:p w:rsidR="009571E2" w:rsidRPr="009C6D59" w:rsidRDefault="009571E2" w:rsidP="009C6D59">
      <w:pPr>
        <w:spacing w:line="480" w:lineRule="auto"/>
        <w:jc w:val="both"/>
        <w:rPr>
          <w:rFonts w:eastAsia="SimSun"/>
          <w:lang w:eastAsia="zh-CN"/>
        </w:rPr>
      </w:pPr>
      <w:proofErr w:type="spellStart"/>
      <w:r w:rsidRPr="009C6D59">
        <w:rPr>
          <w:rFonts w:eastAsia="SimSun"/>
          <w:lang w:eastAsia="zh-CN"/>
        </w:rPr>
        <w:t>Harsanyi</w:t>
      </w:r>
      <w:proofErr w:type="spellEnd"/>
      <w:r w:rsidRPr="009C6D59">
        <w:rPr>
          <w:rFonts w:eastAsia="SimSun"/>
          <w:lang w:eastAsia="zh-CN"/>
        </w:rPr>
        <w:t xml:space="preserve">, J. C. </w:t>
      </w:r>
      <w:r w:rsidR="00387D37">
        <w:rPr>
          <w:rFonts w:eastAsia="SimSun"/>
          <w:lang w:eastAsia="zh-CN"/>
        </w:rPr>
        <w:t xml:space="preserve">1982. </w:t>
      </w:r>
      <w:proofErr w:type="gramStart"/>
      <w:r w:rsidR="00387D37">
        <w:rPr>
          <w:rFonts w:eastAsia="SimSun"/>
          <w:lang w:eastAsia="zh-CN"/>
        </w:rPr>
        <w:t>‘Morality and the theory of rational behaviour’.</w:t>
      </w:r>
      <w:proofErr w:type="gramEnd"/>
      <w:r w:rsidR="00387D37">
        <w:rPr>
          <w:rFonts w:eastAsia="SimSun"/>
          <w:lang w:eastAsia="zh-CN"/>
        </w:rPr>
        <w:t xml:space="preserve"> In A. K. </w:t>
      </w:r>
      <w:proofErr w:type="spellStart"/>
      <w:r w:rsidR="00387D37">
        <w:rPr>
          <w:rFonts w:eastAsia="SimSun"/>
          <w:lang w:eastAsia="zh-CN"/>
        </w:rPr>
        <w:t>Sen</w:t>
      </w:r>
      <w:proofErr w:type="spellEnd"/>
      <w:r w:rsidR="00387D37">
        <w:rPr>
          <w:rFonts w:eastAsia="SimSun"/>
          <w:lang w:eastAsia="zh-CN"/>
        </w:rPr>
        <w:t xml:space="preserve"> and B.</w:t>
      </w:r>
      <w:r w:rsidRPr="009C6D59">
        <w:rPr>
          <w:rFonts w:eastAsia="SimSun"/>
          <w:lang w:eastAsia="zh-CN"/>
        </w:rPr>
        <w:t xml:space="preserve"> Williams (</w:t>
      </w:r>
      <w:proofErr w:type="spellStart"/>
      <w:proofErr w:type="gramStart"/>
      <w:r w:rsidRPr="009C6D59">
        <w:rPr>
          <w:rFonts w:eastAsia="SimSun"/>
          <w:lang w:eastAsia="zh-CN"/>
        </w:rPr>
        <w:t>eds</w:t>
      </w:r>
      <w:proofErr w:type="spellEnd"/>
      <w:proofErr w:type="gramEnd"/>
      <w:r w:rsidRPr="009C6D59">
        <w:rPr>
          <w:rFonts w:eastAsia="SimSun"/>
          <w:lang w:eastAsia="zh-CN"/>
        </w:rPr>
        <w:t xml:space="preserve">), </w:t>
      </w:r>
      <w:r w:rsidRPr="009C6D59">
        <w:rPr>
          <w:rFonts w:eastAsia="SimSun"/>
          <w:i/>
          <w:iCs/>
          <w:lang w:eastAsia="zh-CN"/>
        </w:rPr>
        <w:t>Utilitarianism and Beyond</w:t>
      </w:r>
      <w:r w:rsidR="00387D37">
        <w:rPr>
          <w:rFonts w:eastAsia="SimSun"/>
          <w:i/>
          <w:iCs/>
          <w:lang w:eastAsia="zh-CN"/>
        </w:rPr>
        <w:t>.</w:t>
      </w:r>
      <w:r w:rsidR="00387D37">
        <w:rPr>
          <w:rFonts w:eastAsia="SimSun"/>
          <w:iCs/>
          <w:lang w:eastAsia="zh-CN"/>
        </w:rPr>
        <w:t xml:space="preserve"> </w:t>
      </w:r>
      <w:r w:rsidRPr="009C6D59">
        <w:rPr>
          <w:rFonts w:eastAsia="SimSun"/>
          <w:lang w:eastAsia="zh-CN"/>
        </w:rPr>
        <w:t>Cambridge: Cam</w:t>
      </w:r>
      <w:r w:rsidR="00387D37">
        <w:rPr>
          <w:rFonts w:eastAsia="SimSun"/>
          <w:lang w:eastAsia="zh-CN"/>
        </w:rPr>
        <w:t>bridge University Press</w:t>
      </w:r>
      <w:r w:rsidRPr="009C6D59">
        <w:rPr>
          <w:rFonts w:eastAsia="SimSun"/>
          <w:lang w:eastAsia="zh-CN"/>
        </w:rPr>
        <w:t>.</w:t>
      </w:r>
    </w:p>
    <w:p w:rsidR="009571E2" w:rsidRPr="009C6D59" w:rsidRDefault="009571E2" w:rsidP="009C6D59">
      <w:pPr>
        <w:autoSpaceDE w:val="0"/>
        <w:autoSpaceDN w:val="0"/>
        <w:adjustRightInd w:val="0"/>
        <w:spacing w:line="480" w:lineRule="auto"/>
        <w:jc w:val="both"/>
        <w:rPr>
          <w:lang w:val="en-US" w:eastAsia="en-US"/>
        </w:rPr>
      </w:pPr>
      <w:r w:rsidRPr="009C6D59">
        <w:t xml:space="preserve">Hayward, T. </w:t>
      </w:r>
      <w:r w:rsidR="00387D37">
        <w:t xml:space="preserve">2007. </w:t>
      </w:r>
      <w:r w:rsidRPr="009C6D59">
        <w:t>‘</w:t>
      </w:r>
      <w:r w:rsidR="00387D37">
        <w:rPr>
          <w:lang w:val="en-US" w:eastAsia="en-US"/>
        </w:rPr>
        <w:t>Human rights versus emissions rights: Climate justice and the equitable distribution of ecological space’.</w:t>
      </w:r>
      <w:r w:rsidRPr="009C6D59">
        <w:rPr>
          <w:lang w:val="en-US" w:eastAsia="en-US"/>
        </w:rPr>
        <w:t xml:space="preserve"> </w:t>
      </w:r>
      <w:r w:rsidRPr="009C6D59">
        <w:rPr>
          <w:i/>
          <w:lang w:val="en-US" w:eastAsia="en-US"/>
        </w:rPr>
        <w:t>Ethics and International Affairs</w:t>
      </w:r>
      <w:r w:rsidR="00387D37">
        <w:rPr>
          <w:lang w:val="en-US" w:eastAsia="en-US"/>
        </w:rPr>
        <w:t xml:space="preserve"> </w:t>
      </w:r>
      <w:r w:rsidR="00387D37" w:rsidRPr="00387D37">
        <w:rPr>
          <w:b/>
          <w:lang w:val="en-US" w:eastAsia="en-US"/>
        </w:rPr>
        <w:t>21</w:t>
      </w:r>
      <w:r w:rsidR="00387D37">
        <w:rPr>
          <w:lang w:val="en-US" w:eastAsia="en-US"/>
        </w:rPr>
        <w:t>:</w:t>
      </w:r>
      <w:r w:rsidRPr="009C6D59">
        <w:rPr>
          <w:lang w:val="en-US" w:eastAsia="en-US"/>
        </w:rPr>
        <w:t xml:space="preserve"> 431-50.</w:t>
      </w:r>
    </w:p>
    <w:p w:rsidR="009571E2" w:rsidRPr="009C6D59" w:rsidRDefault="009571E2" w:rsidP="009C6D59">
      <w:pPr>
        <w:pStyle w:val="FootnoteText"/>
        <w:spacing w:line="480" w:lineRule="auto"/>
        <w:jc w:val="both"/>
        <w:rPr>
          <w:sz w:val="24"/>
          <w:szCs w:val="24"/>
          <w:lang w:val="en-ZA"/>
        </w:rPr>
      </w:pPr>
      <w:proofErr w:type="spellStart"/>
      <w:r w:rsidRPr="009C6D59">
        <w:rPr>
          <w:sz w:val="24"/>
          <w:szCs w:val="24"/>
          <w:lang w:val="en-ZA"/>
        </w:rPr>
        <w:t>Hourdequin</w:t>
      </w:r>
      <w:proofErr w:type="spellEnd"/>
      <w:r w:rsidRPr="009C6D59">
        <w:rPr>
          <w:sz w:val="24"/>
          <w:szCs w:val="24"/>
          <w:lang w:val="en-ZA"/>
        </w:rPr>
        <w:t xml:space="preserve">, M. </w:t>
      </w:r>
      <w:r w:rsidR="00387D37">
        <w:rPr>
          <w:sz w:val="24"/>
          <w:szCs w:val="24"/>
          <w:lang w:val="en-ZA"/>
        </w:rPr>
        <w:t xml:space="preserve">2010. </w:t>
      </w:r>
      <w:proofErr w:type="gramStart"/>
      <w:r w:rsidR="00387D37">
        <w:rPr>
          <w:sz w:val="24"/>
          <w:szCs w:val="24"/>
          <w:lang w:val="en-ZA"/>
        </w:rPr>
        <w:t>‘Climate, collective action and i</w:t>
      </w:r>
      <w:r w:rsidRPr="009C6D59">
        <w:rPr>
          <w:sz w:val="24"/>
          <w:szCs w:val="24"/>
          <w:lang w:val="en-ZA"/>
        </w:rPr>
        <w:t>ndivid</w:t>
      </w:r>
      <w:r w:rsidR="00387D37">
        <w:rPr>
          <w:sz w:val="24"/>
          <w:szCs w:val="24"/>
          <w:lang w:val="en-ZA"/>
        </w:rPr>
        <w:t>ual ethical obligations’.</w:t>
      </w:r>
      <w:proofErr w:type="gramEnd"/>
      <w:r w:rsidRPr="009C6D59">
        <w:rPr>
          <w:sz w:val="24"/>
          <w:szCs w:val="24"/>
          <w:lang w:val="en-ZA"/>
        </w:rPr>
        <w:t xml:space="preserve"> </w:t>
      </w:r>
      <w:r w:rsidRPr="009C6D59">
        <w:rPr>
          <w:i/>
          <w:sz w:val="24"/>
          <w:szCs w:val="24"/>
          <w:lang w:val="en-ZA"/>
        </w:rPr>
        <w:t>Environmental Values</w:t>
      </w:r>
      <w:r w:rsidR="00387D37">
        <w:rPr>
          <w:i/>
          <w:sz w:val="24"/>
          <w:szCs w:val="24"/>
          <w:lang w:val="en-ZA"/>
        </w:rPr>
        <w:t xml:space="preserve"> </w:t>
      </w:r>
      <w:r w:rsidR="00387D37" w:rsidRPr="00387D37">
        <w:rPr>
          <w:b/>
          <w:sz w:val="24"/>
          <w:szCs w:val="24"/>
          <w:lang w:val="en-ZA"/>
        </w:rPr>
        <w:t>19</w:t>
      </w:r>
      <w:r w:rsidR="00387D37">
        <w:rPr>
          <w:sz w:val="24"/>
          <w:szCs w:val="24"/>
          <w:lang w:val="en-ZA"/>
        </w:rPr>
        <w:t>:</w:t>
      </w:r>
      <w:r w:rsidRPr="009C6D59">
        <w:rPr>
          <w:sz w:val="24"/>
          <w:szCs w:val="24"/>
          <w:lang w:val="en-ZA"/>
        </w:rPr>
        <w:t xml:space="preserve"> 443-64.</w:t>
      </w:r>
    </w:p>
    <w:p w:rsidR="009558FF" w:rsidRPr="009C6D59" w:rsidRDefault="009558FF" w:rsidP="009C6D59">
      <w:pPr>
        <w:pStyle w:val="FootnoteText"/>
        <w:spacing w:line="480" w:lineRule="auto"/>
        <w:jc w:val="both"/>
        <w:rPr>
          <w:sz w:val="24"/>
          <w:szCs w:val="24"/>
        </w:rPr>
      </w:pPr>
      <w:proofErr w:type="spellStart"/>
      <w:r w:rsidRPr="009C6D59">
        <w:rPr>
          <w:sz w:val="24"/>
          <w:szCs w:val="24"/>
        </w:rPr>
        <w:t>Huseby</w:t>
      </w:r>
      <w:proofErr w:type="spellEnd"/>
      <w:r w:rsidRPr="009C6D59">
        <w:rPr>
          <w:sz w:val="24"/>
          <w:szCs w:val="24"/>
        </w:rPr>
        <w:t xml:space="preserve">, R. </w:t>
      </w:r>
      <w:r w:rsidR="00387D37">
        <w:rPr>
          <w:sz w:val="24"/>
          <w:szCs w:val="24"/>
        </w:rPr>
        <w:t>2010. ‘Sufficiency: restated and defended’.</w:t>
      </w:r>
      <w:r w:rsidRPr="009C6D59">
        <w:rPr>
          <w:sz w:val="24"/>
          <w:szCs w:val="24"/>
        </w:rPr>
        <w:t xml:space="preserve"> </w:t>
      </w:r>
      <w:r w:rsidRPr="009C6D59">
        <w:rPr>
          <w:i/>
          <w:sz w:val="24"/>
          <w:szCs w:val="24"/>
        </w:rPr>
        <w:t>Journal of Political Philosophy</w:t>
      </w:r>
      <w:r w:rsidR="00387D37">
        <w:rPr>
          <w:sz w:val="24"/>
          <w:szCs w:val="24"/>
        </w:rPr>
        <w:t xml:space="preserve"> </w:t>
      </w:r>
      <w:r w:rsidR="00387D37" w:rsidRPr="00387D37">
        <w:rPr>
          <w:b/>
          <w:sz w:val="24"/>
          <w:szCs w:val="24"/>
        </w:rPr>
        <w:t>18</w:t>
      </w:r>
      <w:r w:rsidR="00387D37">
        <w:rPr>
          <w:sz w:val="24"/>
          <w:szCs w:val="24"/>
        </w:rPr>
        <w:t>:</w:t>
      </w:r>
      <w:r w:rsidRPr="009C6D59">
        <w:rPr>
          <w:sz w:val="24"/>
          <w:szCs w:val="24"/>
        </w:rPr>
        <w:t xml:space="preserve"> 178-97.</w:t>
      </w:r>
    </w:p>
    <w:p w:rsidR="00E77BBB" w:rsidRPr="009C6D59" w:rsidRDefault="00E77BBB" w:rsidP="009C6D59">
      <w:pPr>
        <w:pStyle w:val="FootnoteText"/>
        <w:spacing w:line="480" w:lineRule="auto"/>
        <w:jc w:val="both"/>
        <w:rPr>
          <w:sz w:val="24"/>
          <w:szCs w:val="24"/>
        </w:rPr>
      </w:pPr>
      <w:proofErr w:type="gramStart"/>
      <w:r w:rsidRPr="009C6D59">
        <w:rPr>
          <w:sz w:val="24"/>
          <w:szCs w:val="24"/>
        </w:rPr>
        <w:lastRenderedPageBreak/>
        <w:t>Jamieson, D. 2010a.</w:t>
      </w:r>
      <w:proofErr w:type="gramEnd"/>
      <w:r w:rsidRPr="009C6D59">
        <w:rPr>
          <w:sz w:val="24"/>
          <w:szCs w:val="24"/>
        </w:rPr>
        <w:t xml:space="preserve"> </w:t>
      </w:r>
      <w:proofErr w:type="gramStart"/>
      <w:r w:rsidR="00387D37">
        <w:rPr>
          <w:sz w:val="24"/>
          <w:szCs w:val="24"/>
        </w:rPr>
        <w:t>‘Adaptation, mitigation, and justice’.</w:t>
      </w:r>
      <w:proofErr w:type="gramEnd"/>
      <w:r w:rsidR="00387D37">
        <w:rPr>
          <w:sz w:val="24"/>
          <w:szCs w:val="24"/>
        </w:rPr>
        <w:t xml:space="preserve"> In S. M. Gardiner, S. Caney, D. Jamieson, and H.</w:t>
      </w:r>
      <w:r w:rsidRPr="009C6D59">
        <w:rPr>
          <w:sz w:val="24"/>
          <w:szCs w:val="24"/>
        </w:rPr>
        <w:t xml:space="preserve"> </w:t>
      </w:r>
      <w:proofErr w:type="spellStart"/>
      <w:r w:rsidRPr="009C6D59">
        <w:rPr>
          <w:sz w:val="24"/>
          <w:szCs w:val="24"/>
        </w:rPr>
        <w:t>Shue</w:t>
      </w:r>
      <w:proofErr w:type="spellEnd"/>
      <w:r w:rsidRPr="009C6D59">
        <w:rPr>
          <w:sz w:val="24"/>
          <w:szCs w:val="24"/>
        </w:rPr>
        <w:t xml:space="preserve"> (</w:t>
      </w:r>
      <w:proofErr w:type="spellStart"/>
      <w:proofErr w:type="gramStart"/>
      <w:r w:rsidRPr="009C6D59">
        <w:rPr>
          <w:sz w:val="24"/>
          <w:szCs w:val="24"/>
        </w:rPr>
        <w:t>eds</w:t>
      </w:r>
      <w:proofErr w:type="spellEnd"/>
      <w:proofErr w:type="gramEnd"/>
      <w:r w:rsidRPr="009C6D59">
        <w:rPr>
          <w:sz w:val="24"/>
          <w:szCs w:val="24"/>
        </w:rPr>
        <w:t xml:space="preserve">), </w:t>
      </w:r>
      <w:r w:rsidRPr="009C6D59">
        <w:rPr>
          <w:i/>
          <w:sz w:val="24"/>
          <w:szCs w:val="24"/>
        </w:rPr>
        <w:t>Climate Ethics: Essential Readings</w:t>
      </w:r>
      <w:r w:rsidR="00387D37">
        <w:rPr>
          <w:i/>
          <w:sz w:val="24"/>
          <w:szCs w:val="24"/>
        </w:rPr>
        <w:t xml:space="preserve">. </w:t>
      </w:r>
      <w:r w:rsidRPr="009C6D59">
        <w:rPr>
          <w:sz w:val="24"/>
          <w:szCs w:val="24"/>
        </w:rPr>
        <w:t xml:space="preserve">Oxford: Oxford </w:t>
      </w:r>
      <w:r w:rsidR="00387D37">
        <w:rPr>
          <w:sz w:val="24"/>
          <w:szCs w:val="24"/>
        </w:rPr>
        <w:t>University Press.</w:t>
      </w:r>
    </w:p>
    <w:p w:rsidR="009571E2" w:rsidRPr="00387D37" w:rsidRDefault="00E77BBB" w:rsidP="009C6D59">
      <w:pPr>
        <w:pStyle w:val="FootnoteText"/>
        <w:spacing w:line="480" w:lineRule="auto"/>
        <w:jc w:val="both"/>
        <w:rPr>
          <w:sz w:val="24"/>
          <w:szCs w:val="24"/>
        </w:rPr>
      </w:pPr>
      <w:proofErr w:type="gramStart"/>
      <w:r w:rsidRPr="009C6D59">
        <w:rPr>
          <w:sz w:val="24"/>
          <w:szCs w:val="24"/>
        </w:rPr>
        <w:t>Jamieson, D. 2010b.</w:t>
      </w:r>
      <w:proofErr w:type="gramEnd"/>
      <w:r w:rsidRPr="009C6D59">
        <w:rPr>
          <w:sz w:val="24"/>
          <w:szCs w:val="24"/>
        </w:rPr>
        <w:t xml:space="preserve"> </w:t>
      </w:r>
      <w:proofErr w:type="gramStart"/>
      <w:r w:rsidR="00387D37">
        <w:rPr>
          <w:sz w:val="24"/>
          <w:szCs w:val="24"/>
        </w:rPr>
        <w:t>‘Ethics, public policy, and global warming’.</w:t>
      </w:r>
      <w:proofErr w:type="gramEnd"/>
      <w:r w:rsidRPr="009C6D59">
        <w:rPr>
          <w:sz w:val="24"/>
          <w:szCs w:val="24"/>
        </w:rPr>
        <w:t xml:space="preserve"> </w:t>
      </w:r>
      <w:r w:rsidR="00387D37">
        <w:rPr>
          <w:sz w:val="24"/>
          <w:szCs w:val="24"/>
        </w:rPr>
        <w:t>In S. M. Gardiner, S. Caney, D. Jamieson, and H.</w:t>
      </w:r>
      <w:r w:rsidR="00387D37" w:rsidRPr="009C6D59">
        <w:rPr>
          <w:sz w:val="24"/>
          <w:szCs w:val="24"/>
        </w:rPr>
        <w:t xml:space="preserve"> </w:t>
      </w:r>
      <w:proofErr w:type="spellStart"/>
      <w:r w:rsidR="00387D37" w:rsidRPr="009C6D59">
        <w:rPr>
          <w:sz w:val="24"/>
          <w:szCs w:val="24"/>
        </w:rPr>
        <w:t>Shue</w:t>
      </w:r>
      <w:proofErr w:type="spellEnd"/>
      <w:r w:rsidR="00387D37" w:rsidRPr="009C6D59">
        <w:rPr>
          <w:sz w:val="24"/>
          <w:szCs w:val="24"/>
        </w:rPr>
        <w:t xml:space="preserve"> (</w:t>
      </w:r>
      <w:proofErr w:type="spellStart"/>
      <w:proofErr w:type="gramStart"/>
      <w:r w:rsidR="00387D37" w:rsidRPr="009C6D59">
        <w:rPr>
          <w:sz w:val="24"/>
          <w:szCs w:val="24"/>
        </w:rPr>
        <w:t>eds</w:t>
      </w:r>
      <w:proofErr w:type="spellEnd"/>
      <w:proofErr w:type="gramEnd"/>
      <w:r w:rsidR="00387D37" w:rsidRPr="009C6D59">
        <w:rPr>
          <w:sz w:val="24"/>
          <w:szCs w:val="24"/>
        </w:rPr>
        <w:t xml:space="preserve">), </w:t>
      </w:r>
      <w:r w:rsidR="00387D37" w:rsidRPr="009C6D59">
        <w:rPr>
          <w:i/>
          <w:sz w:val="24"/>
          <w:szCs w:val="24"/>
        </w:rPr>
        <w:t>Climate Ethics: Essential Readings</w:t>
      </w:r>
      <w:r w:rsidR="00387D37">
        <w:rPr>
          <w:i/>
          <w:sz w:val="24"/>
          <w:szCs w:val="24"/>
        </w:rPr>
        <w:t xml:space="preserve">. </w:t>
      </w:r>
      <w:r w:rsidR="00387D37" w:rsidRPr="009C6D59">
        <w:rPr>
          <w:sz w:val="24"/>
          <w:szCs w:val="24"/>
        </w:rPr>
        <w:t xml:space="preserve">Oxford: Oxford </w:t>
      </w:r>
      <w:r w:rsidR="00387D37">
        <w:rPr>
          <w:sz w:val="24"/>
          <w:szCs w:val="24"/>
        </w:rPr>
        <w:t>University Press.</w:t>
      </w:r>
    </w:p>
    <w:p w:rsidR="009571E2" w:rsidRDefault="009571E2" w:rsidP="009C6D59">
      <w:pPr>
        <w:pStyle w:val="FootnoteText"/>
        <w:spacing w:line="480" w:lineRule="auto"/>
        <w:jc w:val="both"/>
        <w:rPr>
          <w:sz w:val="24"/>
          <w:szCs w:val="24"/>
          <w:lang w:val="en-ZA"/>
        </w:rPr>
      </w:pPr>
      <w:proofErr w:type="gramStart"/>
      <w:r w:rsidRPr="009C6D59">
        <w:rPr>
          <w:sz w:val="24"/>
          <w:szCs w:val="24"/>
          <w:lang w:val="en-ZA"/>
        </w:rPr>
        <w:t>Knight, C. 2009.</w:t>
      </w:r>
      <w:proofErr w:type="gramEnd"/>
      <w:r w:rsidRPr="009C6D59">
        <w:rPr>
          <w:sz w:val="24"/>
          <w:szCs w:val="24"/>
          <w:lang w:val="en-ZA"/>
        </w:rPr>
        <w:t xml:space="preserve"> </w:t>
      </w:r>
      <w:r w:rsidRPr="009C6D59">
        <w:rPr>
          <w:i/>
          <w:sz w:val="24"/>
          <w:szCs w:val="24"/>
          <w:lang w:val="en-ZA"/>
        </w:rPr>
        <w:t>Luck Egalitarianism: Equality, Responsibility, and Justice.</w:t>
      </w:r>
      <w:r w:rsidRPr="009C6D59">
        <w:rPr>
          <w:sz w:val="24"/>
          <w:szCs w:val="24"/>
          <w:lang w:val="en-ZA"/>
        </w:rPr>
        <w:t xml:space="preserve"> Edinburgh: Edinburgh University Press.</w:t>
      </w:r>
    </w:p>
    <w:p w:rsidR="00DD5EB5" w:rsidRPr="00DD5EB5" w:rsidRDefault="00DD5EB5" w:rsidP="00DD5EB5">
      <w:pPr>
        <w:pStyle w:val="Default"/>
        <w:spacing w:line="480" w:lineRule="auto"/>
        <w:jc w:val="both"/>
      </w:pPr>
      <w:proofErr w:type="gramStart"/>
      <w:r>
        <w:rPr>
          <w:lang w:val="en-ZA"/>
        </w:rPr>
        <w:t>Knight, C. 2011.</w:t>
      </w:r>
      <w:proofErr w:type="gramEnd"/>
      <w:r>
        <w:rPr>
          <w:lang w:val="en-ZA"/>
        </w:rPr>
        <w:t xml:space="preserve"> ‘</w:t>
      </w:r>
      <w:proofErr w:type="spellStart"/>
      <w:r>
        <w:rPr>
          <w:lang w:val="en-ZA"/>
        </w:rPr>
        <w:t>Cl</w:t>
      </w:r>
      <w:r w:rsidRPr="00DD5EB5">
        <w:t>imate</w:t>
      </w:r>
      <w:proofErr w:type="spellEnd"/>
      <w:r w:rsidRPr="00DD5EB5">
        <w:t xml:space="preserve"> change and the duties of the disadvantaged: reply to Caney</w:t>
      </w:r>
      <w:r>
        <w:t>’</w:t>
      </w:r>
      <w:r w:rsidRPr="00DD5EB5">
        <w:t xml:space="preserve">. </w:t>
      </w:r>
      <w:r w:rsidRPr="00DD5EB5">
        <w:rPr>
          <w:i/>
        </w:rPr>
        <w:t>Critical Review of International Social and Political Philosophy</w:t>
      </w:r>
      <w:r>
        <w:t xml:space="preserve"> </w:t>
      </w:r>
      <w:r w:rsidRPr="00DD5EB5">
        <w:rPr>
          <w:b/>
        </w:rPr>
        <w:t>14</w:t>
      </w:r>
      <w:r>
        <w:t>: 531-</w:t>
      </w:r>
      <w:r w:rsidRPr="00DD5EB5">
        <w:t>42.</w:t>
      </w:r>
    </w:p>
    <w:p w:rsidR="009571E2" w:rsidRPr="009C6D59" w:rsidRDefault="009571E2" w:rsidP="009C6D59">
      <w:pPr>
        <w:pStyle w:val="FootnoteText"/>
        <w:spacing w:line="480" w:lineRule="auto"/>
        <w:jc w:val="both"/>
        <w:rPr>
          <w:sz w:val="24"/>
          <w:szCs w:val="24"/>
          <w:lang w:val="en-ZA"/>
        </w:rPr>
      </w:pPr>
      <w:proofErr w:type="gramStart"/>
      <w:r w:rsidRPr="009C6D59">
        <w:rPr>
          <w:sz w:val="24"/>
          <w:szCs w:val="24"/>
          <w:lang w:val="en-ZA"/>
        </w:rPr>
        <w:t>Knight, C. 2013.</w:t>
      </w:r>
      <w:proofErr w:type="gramEnd"/>
      <w:r w:rsidRPr="009C6D59">
        <w:rPr>
          <w:sz w:val="24"/>
          <w:szCs w:val="24"/>
          <w:lang w:val="en-ZA"/>
        </w:rPr>
        <w:t xml:space="preserve"> ‘What is grandfathering?’ </w:t>
      </w:r>
      <w:proofErr w:type="gramStart"/>
      <w:r w:rsidRPr="009C6D59">
        <w:rPr>
          <w:i/>
          <w:sz w:val="24"/>
          <w:szCs w:val="24"/>
          <w:lang w:val="en-ZA"/>
        </w:rPr>
        <w:t>Environmental Politics,</w:t>
      </w:r>
      <w:r w:rsidRPr="009C6D59">
        <w:rPr>
          <w:sz w:val="24"/>
          <w:szCs w:val="24"/>
          <w:lang w:val="en-ZA"/>
        </w:rPr>
        <w:t xml:space="preserve"> forthcoming.</w:t>
      </w:r>
      <w:proofErr w:type="gramEnd"/>
    </w:p>
    <w:p w:rsidR="009558FF" w:rsidRPr="009C6D59" w:rsidRDefault="009558FF" w:rsidP="009C6D59">
      <w:pPr>
        <w:pStyle w:val="FootnoteText"/>
        <w:spacing w:line="480" w:lineRule="auto"/>
        <w:jc w:val="both"/>
        <w:rPr>
          <w:sz w:val="24"/>
          <w:szCs w:val="24"/>
        </w:rPr>
      </w:pPr>
      <w:r w:rsidRPr="009C6D59">
        <w:rPr>
          <w:sz w:val="24"/>
          <w:szCs w:val="24"/>
        </w:rPr>
        <w:t xml:space="preserve">Miller, D. </w:t>
      </w:r>
      <w:r w:rsidR="00387D37">
        <w:rPr>
          <w:sz w:val="24"/>
          <w:szCs w:val="24"/>
        </w:rPr>
        <w:t xml:space="preserve">2007. </w:t>
      </w:r>
      <w:proofErr w:type="gramStart"/>
      <w:r w:rsidRPr="009C6D59">
        <w:rPr>
          <w:i/>
          <w:sz w:val="24"/>
          <w:szCs w:val="24"/>
        </w:rPr>
        <w:t>National Responsibility and Global Justice</w:t>
      </w:r>
      <w:r w:rsidR="00387D37">
        <w:rPr>
          <w:sz w:val="24"/>
          <w:szCs w:val="24"/>
        </w:rPr>
        <w:t>.</w:t>
      </w:r>
      <w:proofErr w:type="gramEnd"/>
      <w:r w:rsidR="00387D37">
        <w:rPr>
          <w:sz w:val="24"/>
          <w:szCs w:val="24"/>
        </w:rPr>
        <w:t xml:space="preserve"> </w:t>
      </w:r>
      <w:r w:rsidRPr="009C6D59">
        <w:rPr>
          <w:sz w:val="24"/>
          <w:szCs w:val="24"/>
        </w:rPr>
        <w:t>Oxford</w:t>
      </w:r>
      <w:r w:rsidR="00387D37">
        <w:rPr>
          <w:sz w:val="24"/>
          <w:szCs w:val="24"/>
        </w:rPr>
        <w:t>: Oxford University Press</w:t>
      </w:r>
      <w:r w:rsidRPr="009C6D59">
        <w:rPr>
          <w:sz w:val="24"/>
          <w:szCs w:val="24"/>
        </w:rPr>
        <w:t>.</w:t>
      </w:r>
    </w:p>
    <w:p w:rsidR="009558FF" w:rsidRPr="009C6D59" w:rsidRDefault="009558FF" w:rsidP="009C6D59">
      <w:pPr>
        <w:spacing w:line="480" w:lineRule="auto"/>
        <w:jc w:val="both"/>
        <w:rPr>
          <w:lang w:val="en-US" w:eastAsia="en-US"/>
        </w:rPr>
      </w:pPr>
      <w:r w:rsidRPr="009C6D59">
        <w:t>Miller, D. 2009. ‘Global justice and climate change’. In</w:t>
      </w:r>
      <w:r w:rsidR="00387D37">
        <w:t xml:space="preserve"> G. B. Peterson</w:t>
      </w:r>
      <w:r w:rsidRPr="009C6D59">
        <w:t xml:space="preserve"> </w:t>
      </w:r>
      <w:r w:rsidR="00387D37">
        <w:t>(</w:t>
      </w:r>
      <w:r w:rsidRPr="009C6D59">
        <w:t>ed.</w:t>
      </w:r>
      <w:r w:rsidR="00387D37">
        <w:t>),</w:t>
      </w:r>
      <w:r w:rsidRPr="009C6D59">
        <w:t xml:space="preserve"> </w:t>
      </w:r>
      <w:r w:rsidR="00387D37">
        <w:rPr>
          <w:i/>
        </w:rPr>
        <w:t>The Tanner Lectures on Human V</w:t>
      </w:r>
      <w:r w:rsidRPr="009C6D59">
        <w:rPr>
          <w:i/>
        </w:rPr>
        <w:t xml:space="preserve">alues, </w:t>
      </w:r>
      <w:r w:rsidR="00387D37">
        <w:t>volume</w:t>
      </w:r>
      <w:r w:rsidRPr="009C6D59">
        <w:t xml:space="preserve"> 28. Salt Lake City: University of Utah Press.</w:t>
      </w:r>
    </w:p>
    <w:p w:rsidR="009571E2" w:rsidRPr="009C6D59" w:rsidRDefault="009571E2" w:rsidP="009C6D59">
      <w:pPr>
        <w:pStyle w:val="FootnoteText"/>
        <w:spacing w:line="480" w:lineRule="auto"/>
        <w:jc w:val="both"/>
        <w:rPr>
          <w:sz w:val="24"/>
          <w:szCs w:val="24"/>
        </w:rPr>
      </w:pPr>
      <w:proofErr w:type="spellStart"/>
      <w:r w:rsidRPr="009C6D59">
        <w:rPr>
          <w:sz w:val="24"/>
          <w:szCs w:val="24"/>
        </w:rPr>
        <w:t>Moellendorf</w:t>
      </w:r>
      <w:proofErr w:type="spellEnd"/>
      <w:r w:rsidRPr="009C6D59">
        <w:rPr>
          <w:sz w:val="24"/>
          <w:szCs w:val="24"/>
        </w:rPr>
        <w:t>, D.</w:t>
      </w:r>
      <w:r w:rsidRPr="009C6D59">
        <w:rPr>
          <w:i/>
          <w:sz w:val="24"/>
          <w:szCs w:val="24"/>
        </w:rPr>
        <w:t xml:space="preserve"> </w:t>
      </w:r>
      <w:r w:rsidR="00387D37">
        <w:rPr>
          <w:sz w:val="24"/>
          <w:szCs w:val="24"/>
        </w:rPr>
        <w:t xml:space="preserve">2009. </w:t>
      </w:r>
      <w:proofErr w:type="gramStart"/>
      <w:r w:rsidRPr="009C6D59">
        <w:rPr>
          <w:i/>
          <w:sz w:val="24"/>
          <w:szCs w:val="24"/>
        </w:rPr>
        <w:t>Global Inequality Matters</w:t>
      </w:r>
      <w:r w:rsidR="00387D37">
        <w:rPr>
          <w:sz w:val="24"/>
          <w:szCs w:val="24"/>
        </w:rPr>
        <w:t>.</w:t>
      </w:r>
      <w:proofErr w:type="gramEnd"/>
      <w:r w:rsidR="00387D37">
        <w:rPr>
          <w:sz w:val="24"/>
          <w:szCs w:val="24"/>
        </w:rPr>
        <w:t xml:space="preserve"> </w:t>
      </w:r>
      <w:r w:rsidRPr="009C6D59">
        <w:rPr>
          <w:sz w:val="24"/>
          <w:szCs w:val="24"/>
        </w:rPr>
        <w:t>Basing</w:t>
      </w:r>
      <w:r w:rsidR="00387D37">
        <w:rPr>
          <w:sz w:val="24"/>
          <w:szCs w:val="24"/>
        </w:rPr>
        <w:t>stoke: Palgrave Macmillan.</w:t>
      </w:r>
    </w:p>
    <w:p w:rsidR="009558FF" w:rsidRPr="009C6D59" w:rsidRDefault="009558FF" w:rsidP="009C6D59">
      <w:pPr>
        <w:pStyle w:val="FootnoteText"/>
        <w:spacing w:line="480" w:lineRule="auto"/>
        <w:jc w:val="both"/>
        <w:rPr>
          <w:sz w:val="24"/>
          <w:szCs w:val="24"/>
        </w:rPr>
      </w:pPr>
      <w:r w:rsidRPr="009C6D59">
        <w:rPr>
          <w:sz w:val="24"/>
          <w:szCs w:val="24"/>
        </w:rPr>
        <w:t xml:space="preserve">Nussbaum, M. </w:t>
      </w:r>
      <w:r w:rsidR="00387D37">
        <w:rPr>
          <w:sz w:val="24"/>
          <w:szCs w:val="24"/>
        </w:rPr>
        <w:t xml:space="preserve">2011. </w:t>
      </w:r>
      <w:proofErr w:type="gramStart"/>
      <w:r w:rsidRPr="009C6D59">
        <w:rPr>
          <w:i/>
          <w:sz w:val="24"/>
          <w:szCs w:val="24"/>
        </w:rPr>
        <w:t>Creating Capabilities</w:t>
      </w:r>
      <w:r w:rsidR="00387D37">
        <w:rPr>
          <w:sz w:val="24"/>
          <w:szCs w:val="24"/>
        </w:rPr>
        <w:t>.</w:t>
      </w:r>
      <w:proofErr w:type="gramEnd"/>
      <w:r w:rsidR="00387D37">
        <w:rPr>
          <w:sz w:val="24"/>
          <w:szCs w:val="24"/>
        </w:rPr>
        <w:t xml:space="preserve"> </w:t>
      </w:r>
      <w:r w:rsidRPr="009C6D59">
        <w:rPr>
          <w:sz w:val="24"/>
          <w:szCs w:val="24"/>
        </w:rPr>
        <w:t>Cambridge, MA:</w:t>
      </w:r>
      <w:r w:rsidR="00387D37">
        <w:rPr>
          <w:sz w:val="24"/>
          <w:szCs w:val="24"/>
        </w:rPr>
        <w:t xml:space="preserve"> Harvard University Press</w:t>
      </w:r>
      <w:r w:rsidRPr="009C6D59">
        <w:rPr>
          <w:sz w:val="24"/>
          <w:szCs w:val="24"/>
        </w:rPr>
        <w:t>.</w:t>
      </w:r>
    </w:p>
    <w:p w:rsidR="009558FF" w:rsidRPr="009C6D59" w:rsidRDefault="009558FF" w:rsidP="009C6D59">
      <w:pPr>
        <w:pStyle w:val="FootnoteText"/>
        <w:spacing w:line="480" w:lineRule="auto"/>
        <w:jc w:val="both"/>
        <w:rPr>
          <w:sz w:val="24"/>
          <w:szCs w:val="24"/>
        </w:rPr>
      </w:pPr>
      <w:proofErr w:type="gramStart"/>
      <w:r w:rsidRPr="009C6D59">
        <w:rPr>
          <w:sz w:val="24"/>
          <w:szCs w:val="24"/>
        </w:rPr>
        <w:t xml:space="preserve">Page, E. A. </w:t>
      </w:r>
      <w:r w:rsidR="00387D37">
        <w:rPr>
          <w:sz w:val="24"/>
          <w:szCs w:val="24"/>
        </w:rPr>
        <w:t>2006.</w:t>
      </w:r>
      <w:proofErr w:type="gramEnd"/>
      <w:r w:rsidR="00387D37">
        <w:rPr>
          <w:sz w:val="24"/>
          <w:szCs w:val="24"/>
        </w:rPr>
        <w:t xml:space="preserve"> </w:t>
      </w:r>
      <w:proofErr w:type="gramStart"/>
      <w:r w:rsidRPr="009C6D59">
        <w:rPr>
          <w:i/>
          <w:sz w:val="24"/>
          <w:szCs w:val="24"/>
        </w:rPr>
        <w:t>Climate Change, Justice, and Future Generations</w:t>
      </w:r>
      <w:r w:rsidR="00387D37">
        <w:rPr>
          <w:sz w:val="24"/>
          <w:szCs w:val="24"/>
        </w:rPr>
        <w:t>.</w:t>
      </w:r>
      <w:proofErr w:type="gramEnd"/>
      <w:r w:rsidR="00387D37">
        <w:rPr>
          <w:sz w:val="24"/>
          <w:szCs w:val="24"/>
        </w:rPr>
        <w:t xml:space="preserve"> </w:t>
      </w:r>
      <w:r w:rsidRPr="009C6D59">
        <w:rPr>
          <w:sz w:val="24"/>
          <w:szCs w:val="24"/>
        </w:rPr>
        <w:t>Cheltenham</w:t>
      </w:r>
      <w:r w:rsidR="00387D37">
        <w:rPr>
          <w:sz w:val="24"/>
          <w:szCs w:val="24"/>
        </w:rPr>
        <w:t>: Edward Elgar</w:t>
      </w:r>
      <w:r w:rsidRPr="009C6D59">
        <w:rPr>
          <w:sz w:val="24"/>
          <w:szCs w:val="24"/>
        </w:rPr>
        <w:t>.</w:t>
      </w:r>
    </w:p>
    <w:p w:rsidR="00572F00" w:rsidRPr="009C6D59" w:rsidRDefault="003E7937" w:rsidP="009C6D59">
      <w:pPr>
        <w:pStyle w:val="FootnoteText"/>
        <w:spacing w:line="480" w:lineRule="auto"/>
        <w:jc w:val="both"/>
        <w:rPr>
          <w:sz w:val="24"/>
          <w:szCs w:val="24"/>
        </w:rPr>
      </w:pPr>
      <w:proofErr w:type="gramStart"/>
      <w:r w:rsidRPr="009C6D59">
        <w:rPr>
          <w:sz w:val="24"/>
          <w:szCs w:val="24"/>
        </w:rPr>
        <w:t>Page,</w:t>
      </w:r>
      <w:r w:rsidR="00572F00" w:rsidRPr="009C6D59">
        <w:rPr>
          <w:sz w:val="24"/>
          <w:szCs w:val="24"/>
        </w:rPr>
        <w:t xml:space="preserve"> E. A.</w:t>
      </w:r>
      <w:r w:rsidRPr="009C6D59">
        <w:rPr>
          <w:sz w:val="24"/>
          <w:szCs w:val="24"/>
        </w:rPr>
        <w:t xml:space="preserve"> </w:t>
      </w:r>
      <w:r w:rsidR="00387D37">
        <w:rPr>
          <w:sz w:val="24"/>
          <w:szCs w:val="24"/>
        </w:rPr>
        <w:t>2008.</w:t>
      </w:r>
      <w:proofErr w:type="gramEnd"/>
      <w:r w:rsidR="00387D37">
        <w:rPr>
          <w:sz w:val="24"/>
          <w:szCs w:val="24"/>
        </w:rPr>
        <w:t xml:space="preserve"> </w:t>
      </w:r>
      <w:proofErr w:type="gramStart"/>
      <w:r w:rsidR="00387D37">
        <w:rPr>
          <w:sz w:val="24"/>
          <w:szCs w:val="24"/>
        </w:rPr>
        <w:t>‘Distributing the burdens of climate change’.</w:t>
      </w:r>
      <w:proofErr w:type="gramEnd"/>
      <w:r w:rsidRPr="009C6D59">
        <w:rPr>
          <w:sz w:val="24"/>
          <w:szCs w:val="24"/>
        </w:rPr>
        <w:t xml:space="preserve"> </w:t>
      </w:r>
      <w:r w:rsidRPr="009C6D59">
        <w:rPr>
          <w:i/>
          <w:sz w:val="24"/>
          <w:szCs w:val="24"/>
        </w:rPr>
        <w:t xml:space="preserve">Environmental Politics, </w:t>
      </w:r>
      <w:r w:rsidR="00387D37" w:rsidRPr="00387D37">
        <w:rPr>
          <w:b/>
          <w:sz w:val="24"/>
          <w:szCs w:val="24"/>
        </w:rPr>
        <w:t>17</w:t>
      </w:r>
      <w:r w:rsidR="00387D37">
        <w:rPr>
          <w:sz w:val="24"/>
          <w:szCs w:val="24"/>
        </w:rPr>
        <w:t>:</w:t>
      </w:r>
      <w:r w:rsidR="00572F00" w:rsidRPr="009C6D59">
        <w:rPr>
          <w:sz w:val="24"/>
          <w:szCs w:val="24"/>
        </w:rPr>
        <w:t xml:space="preserve"> 556-75.</w:t>
      </w:r>
    </w:p>
    <w:p w:rsidR="003E7937" w:rsidRPr="009C6D59" w:rsidRDefault="00572F00" w:rsidP="009C6D59">
      <w:pPr>
        <w:pStyle w:val="FootnoteText"/>
        <w:spacing w:line="480" w:lineRule="auto"/>
        <w:jc w:val="both"/>
        <w:rPr>
          <w:sz w:val="24"/>
          <w:szCs w:val="24"/>
        </w:rPr>
      </w:pPr>
      <w:proofErr w:type="gramStart"/>
      <w:r w:rsidRPr="009C6D59">
        <w:rPr>
          <w:sz w:val="24"/>
          <w:szCs w:val="24"/>
        </w:rPr>
        <w:t xml:space="preserve">Page, E. A. </w:t>
      </w:r>
      <w:r w:rsidR="00387D37">
        <w:rPr>
          <w:sz w:val="24"/>
          <w:szCs w:val="24"/>
        </w:rPr>
        <w:t>2011.</w:t>
      </w:r>
      <w:proofErr w:type="gramEnd"/>
      <w:r w:rsidR="00387D37">
        <w:rPr>
          <w:sz w:val="24"/>
          <w:szCs w:val="24"/>
        </w:rPr>
        <w:t xml:space="preserve"> ‘Climatic justice and the fair distribution of atmospheric burdens: A conjunctive account’.</w:t>
      </w:r>
      <w:r w:rsidR="003E7937" w:rsidRPr="009C6D59">
        <w:rPr>
          <w:sz w:val="24"/>
          <w:szCs w:val="24"/>
        </w:rPr>
        <w:t xml:space="preserve"> </w:t>
      </w:r>
      <w:r w:rsidR="00387D37">
        <w:rPr>
          <w:i/>
          <w:sz w:val="24"/>
          <w:szCs w:val="24"/>
        </w:rPr>
        <w:t>The Monist</w:t>
      </w:r>
      <w:r w:rsidR="003E7937" w:rsidRPr="009C6D59">
        <w:rPr>
          <w:i/>
          <w:sz w:val="24"/>
          <w:szCs w:val="24"/>
        </w:rPr>
        <w:t xml:space="preserve"> </w:t>
      </w:r>
      <w:r w:rsidR="00387D37" w:rsidRPr="00387D37">
        <w:rPr>
          <w:b/>
          <w:sz w:val="24"/>
          <w:szCs w:val="24"/>
        </w:rPr>
        <w:t>94</w:t>
      </w:r>
      <w:r w:rsidR="00387D37">
        <w:rPr>
          <w:sz w:val="24"/>
          <w:szCs w:val="24"/>
        </w:rPr>
        <w:t>:</w:t>
      </w:r>
      <w:r w:rsidR="003E7937" w:rsidRPr="009C6D59">
        <w:rPr>
          <w:sz w:val="24"/>
          <w:szCs w:val="24"/>
        </w:rPr>
        <w:t xml:space="preserve"> 412-32.</w:t>
      </w:r>
    </w:p>
    <w:p w:rsidR="009558FF" w:rsidRPr="009C6D59" w:rsidRDefault="009558FF" w:rsidP="009C6D59">
      <w:pPr>
        <w:pStyle w:val="FootnoteText"/>
        <w:spacing w:line="480" w:lineRule="auto"/>
        <w:jc w:val="both"/>
        <w:rPr>
          <w:sz w:val="24"/>
          <w:szCs w:val="24"/>
        </w:rPr>
      </w:pPr>
      <w:proofErr w:type="spellStart"/>
      <w:r w:rsidRPr="009C6D59">
        <w:rPr>
          <w:sz w:val="24"/>
          <w:szCs w:val="24"/>
        </w:rPr>
        <w:lastRenderedPageBreak/>
        <w:t>Parfit</w:t>
      </w:r>
      <w:proofErr w:type="spellEnd"/>
      <w:r w:rsidRPr="009C6D59">
        <w:rPr>
          <w:sz w:val="24"/>
          <w:szCs w:val="24"/>
        </w:rPr>
        <w:t xml:space="preserve">, D. </w:t>
      </w:r>
      <w:r w:rsidR="00387D37">
        <w:rPr>
          <w:sz w:val="24"/>
          <w:szCs w:val="24"/>
        </w:rPr>
        <w:t xml:space="preserve">1984. </w:t>
      </w:r>
      <w:proofErr w:type="gramStart"/>
      <w:r w:rsidRPr="009C6D59">
        <w:rPr>
          <w:i/>
          <w:sz w:val="24"/>
          <w:szCs w:val="24"/>
        </w:rPr>
        <w:t>Reasons and Persons</w:t>
      </w:r>
      <w:r w:rsidR="00387D37">
        <w:rPr>
          <w:sz w:val="24"/>
          <w:szCs w:val="24"/>
        </w:rPr>
        <w:t>.</w:t>
      </w:r>
      <w:proofErr w:type="gramEnd"/>
      <w:r w:rsidR="00387D37">
        <w:rPr>
          <w:sz w:val="24"/>
          <w:szCs w:val="24"/>
        </w:rPr>
        <w:t xml:space="preserve"> </w:t>
      </w:r>
      <w:r w:rsidRPr="009C6D59">
        <w:rPr>
          <w:sz w:val="24"/>
          <w:szCs w:val="24"/>
        </w:rPr>
        <w:t>Oxford: Oxford University</w:t>
      </w:r>
      <w:r w:rsidR="00387D37">
        <w:rPr>
          <w:sz w:val="24"/>
          <w:szCs w:val="24"/>
        </w:rPr>
        <w:t xml:space="preserve"> Press.</w:t>
      </w:r>
    </w:p>
    <w:p w:rsidR="009558FF" w:rsidRPr="009C6D59" w:rsidRDefault="009558FF" w:rsidP="009C6D59">
      <w:pPr>
        <w:spacing w:line="480" w:lineRule="auto"/>
        <w:jc w:val="both"/>
      </w:pPr>
      <w:proofErr w:type="spellStart"/>
      <w:r w:rsidRPr="009C6D59">
        <w:t>Parfit</w:t>
      </w:r>
      <w:proofErr w:type="spellEnd"/>
      <w:r w:rsidRPr="009C6D59">
        <w:t>, D.</w:t>
      </w:r>
      <w:r w:rsidR="005440C1">
        <w:t xml:space="preserve"> 1996. </w:t>
      </w:r>
      <w:proofErr w:type="gramStart"/>
      <w:r w:rsidR="005440C1">
        <w:t>Equality and p</w:t>
      </w:r>
      <w:r w:rsidR="00387D37">
        <w:t>riority.</w:t>
      </w:r>
      <w:proofErr w:type="gramEnd"/>
      <w:r w:rsidR="00387D37">
        <w:t xml:space="preserve"> </w:t>
      </w:r>
      <w:proofErr w:type="gramStart"/>
      <w:r w:rsidR="00387D37">
        <w:t>In A.</w:t>
      </w:r>
      <w:r w:rsidRPr="009C6D59">
        <w:t xml:space="preserve"> Mason (ed.), </w:t>
      </w:r>
      <w:r w:rsidRPr="009C6D59">
        <w:rPr>
          <w:i/>
          <w:iCs/>
        </w:rPr>
        <w:t>Ideals of Equality.</w:t>
      </w:r>
      <w:proofErr w:type="gramEnd"/>
      <w:r w:rsidRPr="009C6D59">
        <w:rPr>
          <w:i/>
          <w:iCs/>
        </w:rPr>
        <w:t xml:space="preserve"> </w:t>
      </w:r>
      <w:r w:rsidR="005440C1">
        <w:t>Oxford: Blackwell.</w:t>
      </w:r>
    </w:p>
    <w:p w:rsidR="009C6D59" w:rsidRPr="009C6D59" w:rsidRDefault="009C6D59" w:rsidP="009C6D59">
      <w:pPr>
        <w:pStyle w:val="FootnoteText"/>
        <w:spacing w:line="480" w:lineRule="auto"/>
        <w:jc w:val="both"/>
        <w:rPr>
          <w:sz w:val="24"/>
          <w:szCs w:val="24"/>
        </w:rPr>
      </w:pPr>
      <w:r w:rsidRPr="009C6D59">
        <w:rPr>
          <w:sz w:val="24"/>
          <w:szCs w:val="24"/>
        </w:rPr>
        <w:t>Paterson, M.</w:t>
      </w:r>
      <w:r w:rsidR="005440C1">
        <w:rPr>
          <w:sz w:val="24"/>
          <w:szCs w:val="24"/>
        </w:rPr>
        <w:t xml:space="preserve"> 2007.</w:t>
      </w:r>
      <w:r w:rsidRPr="009C6D59">
        <w:rPr>
          <w:sz w:val="24"/>
          <w:szCs w:val="24"/>
        </w:rPr>
        <w:t xml:space="preserve"> </w:t>
      </w:r>
      <w:proofErr w:type="gramStart"/>
      <w:r w:rsidRPr="009C6D59">
        <w:rPr>
          <w:i/>
          <w:sz w:val="24"/>
          <w:szCs w:val="24"/>
        </w:rPr>
        <w:t>Automobile Politics</w:t>
      </w:r>
      <w:r w:rsidR="005440C1">
        <w:rPr>
          <w:i/>
          <w:sz w:val="24"/>
          <w:szCs w:val="24"/>
        </w:rPr>
        <w:t>.</w:t>
      </w:r>
      <w:proofErr w:type="gramEnd"/>
      <w:r w:rsidR="005440C1">
        <w:rPr>
          <w:i/>
          <w:sz w:val="24"/>
          <w:szCs w:val="24"/>
        </w:rPr>
        <w:t xml:space="preserve"> </w:t>
      </w:r>
      <w:r w:rsidRPr="009C6D59">
        <w:rPr>
          <w:sz w:val="24"/>
          <w:szCs w:val="24"/>
        </w:rPr>
        <w:t>Cambridge: C</w:t>
      </w:r>
      <w:r w:rsidR="005440C1">
        <w:rPr>
          <w:sz w:val="24"/>
          <w:szCs w:val="24"/>
        </w:rPr>
        <w:t>ambridge University Press</w:t>
      </w:r>
      <w:r w:rsidRPr="009C6D59">
        <w:rPr>
          <w:sz w:val="24"/>
          <w:szCs w:val="24"/>
        </w:rPr>
        <w:t>.</w:t>
      </w:r>
    </w:p>
    <w:p w:rsidR="009571E2" w:rsidRPr="009C6D59" w:rsidRDefault="009571E2" w:rsidP="009C6D59">
      <w:pPr>
        <w:pStyle w:val="FootnoteText"/>
        <w:spacing w:line="480" w:lineRule="auto"/>
        <w:jc w:val="both"/>
        <w:rPr>
          <w:sz w:val="24"/>
          <w:szCs w:val="24"/>
          <w:lang w:val="en-ZA"/>
        </w:rPr>
      </w:pPr>
      <w:proofErr w:type="spellStart"/>
      <w:r w:rsidRPr="009C6D59">
        <w:rPr>
          <w:sz w:val="24"/>
          <w:szCs w:val="24"/>
          <w:lang w:val="en-ZA"/>
        </w:rPr>
        <w:t>Raterman</w:t>
      </w:r>
      <w:proofErr w:type="spellEnd"/>
      <w:r w:rsidRPr="009C6D59">
        <w:rPr>
          <w:sz w:val="24"/>
          <w:szCs w:val="24"/>
          <w:lang w:val="en-ZA"/>
        </w:rPr>
        <w:t>, T.</w:t>
      </w:r>
      <w:r w:rsidR="005440C1">
        <w:rPr>
          <w:sz w:val="24"/>
          <w:szCs w:val="24"/>
          <w:lang w:val="en-ZA"/>
        </w:rPr>
        <w:t xml:space="preserve"> 2012. </w:t>
      </w:r>
      <w:proofErr w:type="gramStart"/>
      <w:r w:rsidR="005440C1">
        <w:rPr>
          <w:sz w:val="24"/>
          <w:szCs w:val="24"/>
          <w:lang w:val="en-ZA"/>
        </w:rPr>
        <w:t>‘Bearing the weight of the world: On the extent of an individual’s environmental responsibility’.</w:t>
      </w:r>
      <w:proofErr w:type="gramEnd"/>
      <w:r w:rsidRPr="009C6D59">
        <w:rPr>
          <w:sz w:val="24"/>
          <w:szCs w:val="24"/>
          <w:lang w:val="en-ZA"/>
        </w:rPr>
        <w:t xml:space="preserve"> </w:t>
      </w:r>
      <w:r w:rsidRPr="009C6D59">
        <w:rPr>
          <w:i/>
          <w:sz w:val="24"/>
          <w:szCs w:val="24"/>
          <w:lang w:val="en-ZA"/>
        </w:rPr>
        <w:t>Environmental Values</w:t>
      </w:r>
      <w:r w:rsidR="005440C1">
        <w:rPr>
          <w:sz w:val="24"/>
          <w:szCs w:val="24"/>
          <w:lang w:val="en-ZA"/>
        </w:rPr>
        <w:t xml:space="preserve"> </w:t>
      </w:r>
      <w:r w:rsidR="005440C1" w:rsidRPr="005440C1">
        <w:rPr>
          <w:b/>
          <w:sz w:val="24"/>
          <w:szCs w:val="24"/>
          <w:lang w:val="en-ZA"/>
        </w:rPr>
        <w:t>21</w:t>
      </w:r>
      <w:r w:rsidR="005440C1">
        <w:rPr>
          <w:sz w:val="24"/>
          <w:szCs w:val="24"/>
          <w:lang w:val="en-ZA"/>
        </w:rPr>
        <w:t>:</w:t>
      </w:r>
      <w:r w:rsidRPr="009C6D59">
        <w:rPr>
          <w:sz w:val="24"/>
          <w:szCs w:val="24"/>
          <w:lang w:val="en-ZA"/>
        </w:rPr>
        <w:t xml:space="preserve"> 417-36.</w:t>
      </w:r>
    </w:p>
    <w:p w:rsidR="009558FF" w:rsidRPr="009C6D59" w:rsidRDefault="009558FF" w:rsidP="009C6D59">
      <w:pPr>
        <w:pStyle w:val="FootnoteText"/>
        <w:spacing w:line="480" w:lineRule="auto"/>
        <w:jc w:val="both"/>
        <w:rPr>
          <w:i/>
          <w:sz w:val="24"/>
          <w:szCs w:val="24"/>
        </w:rPr>
      </w:pPr>
      <w:r w:rsidRPr="009C6D59">
        <w:rPr>
          <w:sz w:val="24"/>
          <w:szCs w:val="24"/>
        </w:rPr>
        <w:t xml:space="preserve">Rawls, J. 1999a. </w:t>
      </w:r>
      <w:r w:rsidRPr="009C6D59">
        <w:rPr>
          <w:i/>
          <w:sz w:val="24"/>
          <w:szCs w:val="24"/>
        </w:rPr>
        <w:t xml:space="preserve">A Theory of Justice, </w:t>
      </w:r>
      <w:r w:rsidRPr="009C6D59">
        <w:rPr>
          <w:sz w:val="24"/>
          <w:szCs w:val="24"/>
        </w:rPr>
        <w:t>revised ed</w:t>
      </w:r>
      <w:r w:rsidR="005440C1">
        <w:rPr>
          <w:sz w:val="24"/>
          <w:szCs w:val="24"/>
        </w:rPr>
        <w:t>ition</w:t>
      </w:r>
      <w:r w:rsidRPr="009C6D59">
        <w:rPr>
          <w:sz w:val="24"/>
          <w:szCs w:val="24"/>
        </w:rPr>
        <w:t>.</w:t>
      </w:r>
      <w:r w:rsidRPr="009C6D59">
        <w:rPr>
          <w:i/>
          <w:sz w:val="24"/>
          <w:szCs w:val="24"/>
        </w:rPr>
        <w:t xml:space="preserve"> </w:t>
      </w:r>
      <w:r w:rsidRPr="009C6D59">
        <w:rPr>
          <w:sz w:val="24"/>
          <w:szCs w:val="24"/>
        </w:rPr>
        <w:t>Oxford: Oxford University Press</w:t>
      </w:r>
      <w:r w:rsidRPr="009C6D59">
        <w:rPr>
          <w:i/>
          <w:sz w:val="24"/>
          <w:szCs w:val="24"/>
        </w:rPr>
        <w:t>.</w:t>
      </w:r>
    </w:p>
    <w:p w:rsidR="009558FF" w:rsidRPr="009C6D59" w:rsidRDefault="009558FF" w:rsidP="009C6D59">
      <w:pPr>
        <w:pStyle w:val="FootnoteText"/>
        <w:spacing w:line="480" w:lineRule="auto"/>
        <w:jc w:val="both"/>
        <w:rPr>
          <w:sz w:val="24"/>
          <w:szCs w:val="24"/>
        </w:rPr>
      </w:pPr>
      <w:r w:rsidRPr="009C6D59">
        <w:rPr>
          <w:sz w:val="24"/>
          <w:szCs w:val="24"/>
        </w:rPr>
        <w:t xml:space="preserve">Rawls, J. 1999b. </w:t>
      </w:r>
      <w:proofErr w:type="gramStart"/>
      <w:r w:rsidRPr="009C6D59">
        <w:rPr>
          <w:i/>
          <w:sz w:val="24"/>
          <w:szCs w:val="24"/>
        </w:rPr>
        <w:t>The Law of Peoples</w:t>
      </w:r>
      <w:r w:rsidR="005440C1">
        <w:rPr>
          <w:sz w:val="24"/>
          <w:szCs w:val="24"/>
        </w:rPr>
        <w:t>.</w:t>
      </w:r>
      <w:proofErr w:type="gramEnd"/>
      <w:r w:rsidR="005440C1">
        <w:rPr>
          <w:sz w:val="24"/>
          <w:szCs w:val="24"/>
        </w:rPr>
        <w:t xml:space="preserve"> </w:t>
      </w:r>
      <w:r w:rsidRPr="009C6D59">
        <w:rPr>
          <w:sz w:val="24"/>
          <w:szCs w:val="24"/>
        </w:rPr>
        <w:t xml:space="preserve">Cambridge, MA: </w:t>
      </w:r>
      <w:r w:rsidR="005440C1">
        <w:rPr>
          <w:sz w:val="24"/>
          <w:szCs w:val="24"/>
        </w:rPr>
        <w:t>Harvard University Press.</w:t>
      </w:r>
    </w:p>
    <w:p w:rsidR="009571E2" w:rsidRPr="009C6D59" w:rsidRDefault="009571E2" w:rsidP="009C6D59">
      <w:pPr>
        <w:spacing w:line="480" w:lineRule="auto"/>
        <w:jc w:val="both"/>
        <w:rPr>
          <w:rFonts w:eastAsia="SimSun"/>
          <w:lang w:eastAsia="zh-CN"/>
        </w:rPr>
      </w:pPr>
      <w:proofErr w:type="spellStart"/>
      <w:r w:rsidRPr="009C6D59">
        <w:rPr>
          <w:rFonts w:eastAsia="SimSun"/>
          <w:lang w:eastAsia="zh-CN"/>
        </w:rPr>
        <w:t>Raz</w:t>
      </w:r>
      <w:proofErr w:type="spellEnd"/>
      <w:r w:rsidRPr="009C6D59">
        <w:rPr>
          <w:rFonts w:eastAsia="SimSun"/>
          <w:lang w:eastAsia="zh-CN"/>
        </w:rPr>
        <w:t>, J.</w:t>
      </w:r>
      <w:r w:rsidR="005440C1">
        <w:rPr>
          <w:rFonts w:eastAsia="SimSun"/>
          <w:lang w:eastAsia="zh-CN"/>
        </w:rPr>
        <w:t xml:space="preserve"> 1986.</w:t>
      </w:r>
      <w:r w:rsidRPr="009C6D59">
        <w:rPr>
          <w:rFonts w:eastAsia="SimSun"/>
          <w:lang w:eastAsia="zh-CN"/>
        </w:rPr>
        <w:t xml:space="preserve"> </w:t>
      </w:r>
      <w:proofErr w:type="gramStart"/>
      <w:r w:rsidRPr="009C6D59">
        <w:rPr>
          <w:rFonts w:eastAsia="SimSun"/>
          <w:i/>
          <w:lang w:eastAsia="zh-CN"/>
        </w:rPr>
        <w:t>The Morality of Freedom</w:t>
      </w:r>
      <w:r w:rsidR="005440C1">
        <w:rPr>
          <w:rFonts w:eastAsia="SimSun"/>
          <w:i/>
          <w:lang w:eastAsia="zh-CN"/>
        </w:rPr>
        <w:t>.</w:t>
      </w:r>
      <w:proofErr w:type="gramEnd"/>
      <w:r w:rsidR="005440C1">
        <w:rPr>
          <w:rFonts w:eastAsia="SimSun"/>
          <w:i/>
          <w:lang w:eastAsia="zh-CN"/>
        </w:rPr>
        <w:t xml:space="preserve"> </w:t>
      </w:r>
      <w:r w:rsidRPr="009C6D59">
        <w:rPr>
          <w:rFonts w:eastAsia="SimSun"/>
          <w:lang w:eastAsia="zh-CN"/>
        </w:rPr>
        <w:t>Oxford:</w:t>
      </w:r>
      <w:r w:rsidR="005440C1">
        <w:rPr>
          <w:rFonts w:eastAsia="SimSun"/>
          <w:lang w:eastAsia="zh-CN"/>
        </w:rPr>
        <w:t xml:space="preserve"> Oxford University Press.</w:t>
      </w:r>
    </w:p>
    <w:p w:rsidR="009571E2" w:rsidRPr="009C6D59" w:rsidRDefault="009571E2" w:rsidP="009C6D59">
      <w:pPr>
        <w:pStyle w:val="FootnoteText"/>
        <w:spacing w:line="480" w:lineRule="auto"/>
        <w:jc w:val="both"/>
        <w:rPr>
          <w:sz w:val="24"/>
          <w:szCs w:val="24"/>
          <w:lang w:val="en-ZA"/>
        </w:rPr>
      </w:pPr>
      <w:r w:rsidRPr="009C6D59">
        <w:rPr>
          <w:sz w:val="24"/>
          <w:szCs w:val="24"/>
          <w:lang w:val="en-ZA"/>
        </w:rPr>
        <w:t xml:space="preserve">Scanlon, T. 1998. </w:t>
      </w:r>
      <w:r w:rsidRPr="009C6D59">
        <w:rPr>
          <w:i/>
          <w:sz w:val="24"/>
          <w:szCs w:val="24"/>
          <w:lang w:val="en-ZA"/>
        </w:rPr>
        <w:t>What We Owe to Each Other</w:t>
      </w:r>
      <w:r w:rsidR="005440C1">
        <w:rPr>
          <w:sz w:val="24"/>
          <w:szCs w:val="24"/>
          <w:lang w:val="en-ZA"/>
        </w:rPr>
        <w:t xml:space="preserve">. </w:t>
      </w:r>
      <w:r w:rsidRPr="009C6D59">
        <w:rPr>
          <w:sz w:val="24"/>
          <w:szCs w:val="24"/>
          <w:lang w:val="en-ZA"/>
        </w:rPr>
        <w:t>Cambridge, MA: H</w:t>
      </w:r>
      <w:r w:rsidR="005440C1">
        <w:rPr>
          <w:sz w:val="24"/>
          <w:szCs w:val="24"/>
          <w:lang w:val="en-ZA"/>
        </w:rPr>
        <w:t>arvard University Press.</w:t>
      </w:r>
    </w:p>
    <w:p w:rsidR="009558FF" w:rsidRPr="009C6D59" w:rsidRDefault="009558FF" w:rsidP="009C6D59">
      <w:pPr>
        <w:pStyle w:val="FootnoteText"/>
        <w:spacing w:line="480" w:lineRule="auto"/>
        <w:jc w:val="both"/>
        <w:rPr>
          <w:sz w:val="24"/>
          <w:szCs w:val="24"/>
        </w:rPr>
      </w:pPr>
      <w:r w:rsidRPr="009C6D59">
        <w:rPr>
          <w:sz w:val="24"/>
          <w:szCs w:val="24"/>
        </w:rPr>
        <w:t>Schwartz Cohen, R.</w:t>
      </w:r>
      <w:r w:rsidR="005440C1">
        <w:rPr>
          <w:sz w:val="24"/>
          <w:szCs w:val="24"/>
        </w:rPr>
        <w:t xml:space="preserve"> 1997. </w:t>
      </w:r>
      <w:proofErr w:type="gramStart"/>
      <w:r w:rsidR="005440C1">
        <w:rPr>
          <w:sz w:val="24"/>
          <w:szCs w:val="24"/>
        </w:rPr>
        <w:t xml:space="preserve">‘Automobiles and </w:t>
      </w:r>
      <w:proofErr w:type="spellStart"/>
      <w:r w:rsidR="005440C1">
        <w:rPr>
          <w:sz w:val="24"/>
          <w:szCs w:val="24"/>
        </w:rPr>
        <w:t>Automobility</w:t>
      </w:r>
      <w:proofErr w:type="spellEnd"/>
      <w:r w:rsidR="005440C1">
        <w:rPr>
          <w:sz w:val="24"/>
          <w:szCs w:val="24"/>
        </w:rPr>
        <w:t>’.</w:t>
      </w:r>
      <w:proofErr w:type="gramEnd"/>
      <w:r w:rsidR="005440C1">
        <w:rPr>
          <w:sz w:val="24"/>
          <w:szCs w:val="24"/>
        </w:rPr>
        <w:t xml:space="preserve"> </w:t>
      </w:r>
      <w:proofErr w:type="gramStart"/>
      <w:r w:rsidR="005440C1">
        <w:rPr>
          <w:sz w:val="24"/>
          <w:szCs w:val="24"/>
        </w:rPr>
        <w:t>I</w:t>
      </w:r>
      <w:r w:rsidRPr="009C6D59">
        <w:rPr>
          <w:sz w:val="24"/>
          <w:szCs w:val="24"/>
        </w:rPr>
        <w:t xml:space="preserve">n </w:t>
      </w:r>
      <w:r w:rsidRPr="009C6D59">
        <w:rPr>
          <w:i/>
          <w:sz w:val="24"/>
          <w:szCs w:val="24"/>
        </w:rPr>
        <w:t>A Social History of American Technology</w:t>
      </w:r>
      <w:r w:rsidR="005440C1">
        <w:rPr>
          <w:i/>
          <w:sz w:val="24"/>
          <w:szCs w:val="24"/>
        </w:rPr>
        <w:t>.</w:t>
      </w:r>
      <w:proofErr w:type="gramEnd"/>
      <w:r w:rsidR="005440C1">
        <w:rPr>
          <w:i/>
          <w:sz w:val="24"/>
          <w:szCs w:val="24"/>
        </w:rPr>
        <w:t xml:space="preserve"> </w:t>
      </w:r>
      <w:r w:rsidRPr="009C6D59">
        <w:rPr>
          <w:sz w:val="24"/>
          <w:szCs w:val="24"/>
        </w:rPr>
        <w:t>Oxford</w:t>
      </w:r>
      <w:r w:rsidR="005440C1">
        <w:rPr>
          <w:sz w:val="24"/>
          <w:szCs w:val="24"/>
        </w:rPr>
        <w:t>: Oxford University Press</w:t>
      </w:r>
      <w:r w:rsidRPr="009C6D59">
        <w:rPr>
          <w:sz w:val="24"/>
          <w:szCs w:val="24"/>
        </w:rPr>
        <w:t>.</w:t>
      </w:r>
    </w:p>
    <w:p w:rsidR="009558FF" w:rsidRPr="009C6D59" w:rsidRDefault="009558FF" w:rsidP="009C6D59">
      <w:pPr>
        <w:pStyle w:val="FootnoteText"/>
        <w:spacing w:line="480" w:lineRule="auto"/>
        <w:jc w:val="both"/>
        <w:rPr>
          <w:sz w:val="24"/>
          <w:szCs w:val="24"/>
        </w:rPr>
      </w:pPr>
      <w:proofErr w:type="spellStart"/>
      <w:proofErr w:type="gramStart"/>
      <w:r w:rsidRPr="009C6D59">
        <w:rPr>
          <w:sz w:val="24"/>
          <w:szCs w:val="24"/>
        </w:rPr>
        <w:t>Sen</w:t>
      </w:r>
      <w:proofErr w:type="spellEnd"/>
      <w:r w:rsidRPr="009C6D59">
        <w:rPr>
          <w:sz w:val="24"/>
          <w:szCs w:val="24"/>
        </w:rPr>
        <w:t xml:space="preserve">, A. </w:t>
      </w:r>
      <w:r w:rsidR="005440C1">
        <w:rPr>
          <w:sz w:val="24"/>
          <w:szCs w:val="24"/>
        </w:rPr>
        <w:t>1999.</w:t>
      </w:r>
      <w:proofErr w:type="gramEnd"/>
      <w:r w:rsidR="005440C1">
        <w:rPr>
          <w:sz w:val="24"/>
          <w:szCs w:val="24"/>
        </w:rPr>
        <w:t xml:space="preserve"> </w:t>
      </w:r>
      <w:proofErr w:type="gramStart"/>
      <w:r w:rsidRPr="009C6D59">
        <w:rPr>
          <w:i/>
          <w:sz w:val="24"/>
          <w:szCs w:val="24"/>
        </w:rPr>
        <w:t>Development as Freedom</w:t>
      </w:r>
      <w:r w:rsidR="005440C1">
        <w:rPr>
          <w:sz w:val="24"/>
          <w:szCs w:val="24"/>
        </w:rPr>
        <w:t>.</w:t>
      </w:r>
      <w:proofErr w:type="gramEnd"/>
      <w:r w:rsidR="005440C1">
        <w:rPr>
          <w:sz w:val="24"/>
          <w:szCs w:val="24"/>
        </w:rPr>
        <w:t xml:space="preserve"> </w:t>
      </w:r>
      <w:r w:rsidRPr="009C6D59">
        <w:rPr>
          <w:sz w:val="24"/>
          <w:szCs w:val="24"/>
        </w:rPr>
        <w:t>Oxford: Oxford</w:t>
      </w:r>
      <w:r w:rsidR="005440C1">
        <w:rPr>
          <w:sz w:val="24"/>
          <w:szCs w:val="24"/>
        </w:rPr>
        <w:t xml:space="preserve"> University Press.</w:t>
      </w:r>
    </w:p>
    <w:p w:rsidR="009558FF" w:rsidRPr="009C6D59" w:rsidRDefault="009558FF" w:rsidP="009C6D59">
      <w:pPr>
        <w:pStyle w:val="FootnoteText"/>
        <w:spacing w:line="480" w:lineRule="auto"/>
        <w:jc w:val="both"/>
        <w:rPr>
          <w:sz w:val="24"/>
          <w:szCs w:val="24"/>
        </w:rPr>
      </w:pPr>
      <w:proofErr w:type="spellStart"/>
      <w:r w:rsidRPr="009C6D59">
        <w:rPr>
          <w:sz w:val="24"/>
          <w:szCs w:val="24"/>
        </w:rPr>
        <w:t>Shavell</w:t>
      </w:r>
      <w:proofErr w:type="spellEnd"/>
      <w:r w:rsidRPr="009C6D59">
        <w:rPr>
          <w:sz w:val="24"/>
          <w:szCs w:val="24"/>
        </w:rPr>
        <w:t xml:space="preserve">, S. </w:t>
      </w:r>
      <w:r w:rsidR="005440C1">
        <w:rPr>
          <w:sz w:val="24"/>
          <w:szCs w:val="24"/>
        </w:rPr>
        <w:t xml:space="preserve">2008. </w:t>
      </w:r>
      <w:proofErr w:type="gramStart"/>
      <w:r w:rsidR="005440C1">
        <w:rPr>
          <w:sz w:val="24"/>
          <w:szCs w:val="24"/>
        </w:rPr>
        <w:t xml:space="preserve">‘On optimal legal change, past </w:t>
      </w:r>
      <w:proofErr w:type="spellStart"/>
      <w:r w:rsidR="005440C1">
        <w:rPr>
          <w:sz w:val="24"/>
          <w:szCs w:val="24"/>
        </w:rPr>
        <w:t>behavior</w:t>
      </w:r>
      <w:proofErr w:type="spellEnd"/>
      <w:r w:rsidR="005440C1">
        <w:rPr>
          <w:sz w:val="24"/>
          <w:szCs w:val="24"/>
        </w:rPr>
        <w:t>, and grandfathering’.</w:t>
      </w:r>
      <w:proofErr w:type="gramEnd"/>
      <w:r w:rsidRPr="009C6D59">
        <w:rPr>
          <w:sz w:val="24"/>
          <w:szCs w:val="24"/>
        </w:rPr>
        <w:t xml:space="preserve"> </w:t>
      </w:r>
      <w:r w:rsidRPr="009C6D59">
        <w:rPr>
          <w:i/>
          <w:sz w:val="24"/>
          <w:szCs w:val="24"/>
        </w:rPr>
        <w:t>Journal of Legal Studies</w:t>
      </w:r>
      <w:r w:rsidR="005440C1">
        <w:rPr>
          <w:sz w:val="24"/>
          <w:szCs w:val="24"/>
        </w:rPr>
        <w:t xml:space="preserve"> </w:t>
      </w:r>
      <w:r w:rsidR="005440C1" w:rsidRPr="005440C1">
        <w:rPr>
          <w:b/>
          <w:sz w:val="24"/>
          <w:szCs w:val="24"/>
        </w:rPr>
        <w:t>37</w:t>
      </w:r>
      <w:r w:rsidR="005440C1">
        <w:rPr>
          <w:sz w:val="24"/>
          <w:szCs w:val="24"/>
        </w:rPr>
        <w:t>:</w:t>
      </w:r>
      <w:r w:rsidRPr="009C6D59">
        <w:rPr>
          <w:sz w:val="24"/>
          <w:szCs w:val="24"/>
        </w:rPr>
        <w:t xml:space="preserve"> 37-85.</w:t>
      </w:r>
    </w:p>
    <w:p w:rsidR="009571E2" w:rsidRPr="009C6D59" w:rsidRDefault="009571E2" w:rsidP="009C6D59">
      <w:pPr>
        <w:pStyle w:val="FootnoteText"/>
        <w:spacing w:line="480" w:lineRule="auto"/>
        <w:jc w:val="both"/>
        <w:rPr>
          <w:sz w:val="24"/>
          <w:szCs w:val="24"/>
        </w:rPr>
      </w:pPr>
      <w:proofErr w:type="spellStart"/>
      <w:r w:rsidRPr="009C6D59">
        <w:rPr>
          <w:sz w:val="24"/>
          <w:szCs w:val="24"/>
        </w:rPr>
        <w:t>Shue</w:t>
      </w:r>
      <w:proofErr w:type="spellEnd"/>
      <w:r w:rsidRPr="009C6D59">
        <w:rPr>
          <w:sz w:val="24"/>
          <w:szCs w:val="24"/>
        </w:rPr>
        <w:t>, H.</w:t>
      </w:r>
      <w:r w:rsidR="005440C1">
        <w:rPr>
          <w:sz w:val="24"/>
          <w:szCs w:val="24"/>
        </w:rPr>
        <w:t xml:space="preserve"> 1992. </w:t>
      </w:r>
      <w:proofErr w:type="gramStart"/>
      <w:r w:rsidR="005440C1">
        <w:rPr>
          <w:sz w:val="24"/>
          <w:szCs w:val="24"/>
        </w:rPr>
        <w:t>‘The unavoidability of justice’.</w:t>
      </w:r>
      <w:proofErr w:type="gramEnd"/>
      <w:r w:rsidR="005440C1">
        <w:rPr>
          <w:sz w:val="24"/>
          <w:szCs w:val="24"/>
        </w:rPr>
        <w:t xml:space="preserve"> In A. </w:t>
      </w:r>
      <w:proofErr w:type="spellStart"/>
      <w:r w:rsidR="005440C1">
        <w:rPr>
          <w:sz w:val="24"/>
          <w:szCs w:val="24"/>
        </w:rPr>
        <w:t>Hurrell</w:t>
      </w:r>
      <w:proofErr w:type="spellEnd"/>
      <w:r w:rsidR="005440C1">
        <w:rPr>
          <w:sz w:val="24"/>
          <w:szCs w:val="24"/>
        </w:rPr>
        <w:t xml:space="preserve"> and B.</w:t>
      </w:r>
      <w:r w:rsidRPr="009C6D59">
        <w:rPr>
          <w:sz w:val="24"/>
          <w:szCs w:val="24"/>
        </w:rPr>
        <w:t xml:space="preserve"> Kingsbury (eds.), </w:t>
      </w:r>
      <w:proofErr w:type="gramStart"/>
      <w:r w:rsidRPr="009C6D59">
        <w:rPr>
          <w:i/>
          <w:sz w:val="24"/>
          <w:szCs w:val="24"/>
        </w:rPr>
        <w:t>The</w:t>
      </w:r>
      <w:proofErr w:type="gramEnd"/>
      <w:r w:rsidRPr="009C6D59">
        <w:rPr>
          <w:i/>
          <w:sz w:val="24"/>
          <w:szCs w:val="24"/>
        </w:rPr>
        <w:t xml:space="preserve"> International Politics of the Environment</w:t>
      </w:r>
      <w:r w:rsidR="005440C1">
        <w:rPr>
          <w:i/>
          <w:sz w:val="24"/>
          <w:szCs w:val="24"/>
        </w:rPr>
        <w:t>.</w:t>
      </w:r>
      <w:r w:rsidR="005440C1">
        <w:rPr>
          <w:sz w:val="24"/>
          <w:szCs w:val="24"/>
        </w:rPr>
        <w:t xml:space="preserve"> </w:t>
      </w:r>
      <w:r w:rsidRPr="009C6D59">
        <w:rPr>
          <w:sz w:val="24"/>
          <w:szCs w:val="24"/>
        </w:rPr>
        <w:t>Oxford</w:t>
      </w:r>
      <w:r w:rsidR="005440C1">
        <w:rPr>
          <w:sz w:val="24"/>
          <w:szCs w:val="24"/>
        </w:rPr>
        <w:t>: Oxford University Press</w:t>
      </w:r>
      <w:r w:rsidRPr="009C6D59">
        <w:rPr>
          <w:sz w:val="24"/>
          <w:szCs w:val="24"/>
        </w:rPr>
        <w:t>.</w:t>
      </w:r>
    </w:p>
    <w:p w:rsidR="00C65AEC" w:rsidRDefault="009571E2" w:rsidP="005440C1">
      <w:pPr>
        <w:pStyle w:val="FootnoteText"/>
        <w:spacing w:line="480" w:lineRule="auto"/>
        <w:jc w:val="both"/>
        <w:rPr>
          <w:sz w:val="24"/>
          <w:szCs w:val="24"/>
        </w:rPr>
      </w:pPr>
      <w:proofErr w:type="spellStart"/>
      <w:r w:rsidRPr="009C6D59">
        <w:rPr>
          <w:sz w:val="24"/>
          <w:szCs w:val="24"/>
        </w:rPr>
        <w:t>Shue</w:t>
      </w:r>
      <w:proofErr w:type="spellEnd"/>
      <w:r w:rsidRPr="009C6D59">
        <w:rPr>
          <w:sz w:val="24"/>
          <w:szCs w:val="24"/>
        </w:rPr>
        <w:t xml:space="preserve">, H. </w:t>
      </w:r>
      <w:r w:rsidR="009558FF" w:rsidRPr="009C6D59">
        <w:rPr>
          <w:sz w:val="24"/>
          <w:szCs w:val="24"/>
        </w:rPr>
        <w:t xml:space="preserve">2010a. </w:t>
      </w:r>
      <w:proofErr w:type="gramStart"/>
      <w:r w:rsidR="005440C1">
        <w:rPr>
          <w:sz w:val="24"/>
          <w:szCs w:val="24"/>
        </w:rPr>
        <w:t>‘Subsistence emissions and luxury emissions’.</w:t>
      </w:r>
      <w:proofErr w:type="gramEnd"/>
      <w:r w:rsidRPr="009C6D59">
        <w:rPr>
          <w:sz w:val="24"/>
          <w:szCs w:val="24"/>
        </w:rPr>
        <w:t xml:space="preserve"> </w:t>
      </w:r>
      <w:r w:rsidR="005440C1">
        <w:rPr>
          <w:sz w:val="24"/>
          <w:szCs w:val="24"/>
        </w:rPr>
        <w:t>In S. M. Gardiner, S. Caney, D. Jamieson, and H.</w:t>
      </w:r>
      <w:r w:rsidR="005440C1" w:rsidRPr="009C6D59">
        <w:rPr>
          <w:sz w:val="24"/>
          <w:szCs w:val="24"/>
        </w:rPr>
        <w:t xml:space="preserve"> </w:t>
      </w:r>
      <w:proofErr w:type="spellStart"/>
      <w:r w:rsidR="005440C1" w:rsidRPr="009C6D59">
        <w:rPr>
          <w:sz w:val="24"/>
          <w:szCs w:val="24"/>
        </w:rPr>
        <w:t>Shue</w:t>
      </w:r>
      <w:proofErr w:type="spellEnd"/>
      <w:r w:rsidR="005440C1" w:rsidRPr="009C6D59">
        <w:rPr>
          <w:sz w:val="24"/>
          <w:szCs w:val="24"/>
        </w:rPr>
        <w:t xml:space="preserve"> (</w:t>
      </w:r>
      <w:proofErr w:type="spellStart"/>
      <w:proofErr w:type="gramStart"/>
      <w:r w:rsidR="005440C1" w:rsidRPr="009C6D59">
        <w:rPr>
          <w:sz w:val="24"/>
          <w:szCs w:val="24"/>
        </w:rPr>
        <w:t>eds</w:t>
      </w:r>
      <w:proofErr w:type="spellEnd"/>
      <w:proofErr w:type="gramEnd"/>
      <w:r w:rsidR="005440C1" w:rsidRPr="009C6D59">
        <w:rPr>
          <w:sz w:val="24"/>
          <w:szCs w:val="24"/>
        </w:rPr>
        <w:t xml:space="preserve">), </w:t>
      </w:r>
      <w:r w:rsidR="005440C1" w:rsidRPr="009C6D59">
        <w:rPr>
          <w:i/>
          <w:sz w:val="24"/>
          <w:szCs w:val="24"/>
        </w:rPr>
        <w:t>Climate Ethics: Essential Readings</w:t>
      </w:r>
      <w:r w:rsidR="005440C1">
        <w:rPr>
          <w:i/>
          <w:sz w:val="24"/>
          <w:szCs w:val="24"/>
        </w:rPr>
        <w:t xml:space="preserve">. </w:t>
      </w:r>
      <w:r w:rsidR="005440C1" w:rsidRPr="009C6D59">
        <w:rPr>
          <w:sz w:val="24"/>
          <w:szCs w:val="24"/>
        </w:rPr>
        <w:t xml:space="preserve">Oxford: Oxford </w:t>
      </w:r>
      <w:r w:rsidR="005440C1">
        <w:rPr>
          <w:sz w:val="24"/>
          <w:szCs w:val="24"/>
        </w:rPr>
        <w:t>University Press.</w:t>
      </w:r>
    </w:p>
    <w:p w:rsidR="005440C1" w:rsidRPr="005440C1" w:rsidRDefault="005440C1" w:rsidP="005440C1">
      <w:pPr>
        <w:pStyle w:val="FootnoteText"/>
        <w:spacing w:line="480" w:lineRule="auto"/>
        <w:jc w:val="both"/>
        <w:rPr>
          <w:sz w:val="24"/>
          <w:szCs w:val="24"/>
        </w:rPr>
      </w:pPr>
      <w:proofErr w:type="spellStart"/>
      <w:r>
        <w:rPr>
          <w:sz w:val="24"/>
          <w:szCs w:val="24"/>
        </w:rPr>
        <w:t>Shue</w:t>
      </w:r>
      <w:proofErr w:type="spellEnd"/>
      <w:r>
        <w:rPr>
          <w:sz w:val="24"/>
          <w:szCs w:val="24"/>
        </w:rPr>
        <w:t xml:space="preserve">, H. 2010b. </w:t>
      </w:r>
      <w:proofErr w:type="gramStart"/>
      <w:r>
        <w:rPr>
          <w:sz w:val="24"/>
          <w:szCs w:val="24"/>
        </w:rPr>
        <w:t>‘Global environment and international inequality’.</w:t>
      </w:r>
      <w:proofErr w:type="gramEnd"/>
      <w:r w:rsidR="009558FF" w:rsidRPr="009C6D59">
        <w:rPr>
          <w:sz w:val="24"/>
          <w:szCs w:val="24"/>
        </w:rPr>
        <w:t xml:space="preserve"> </w:t>
      </w:r>
      <w:r>
        <w:rPr>
          <w:sz w:val="24"/>
          <w:szCs w:val="24"/>
        </w:rPr>
        <w:t>In S. M. Gardiner, S. Caney, D. Jamieson, and H.</w:t>
      </w:r>
      <w:r w:rsidRPr="009C6D59">
        <w:rPr>
          <w:sz w:val="24"/>
          <w:szCs w:val="24"/>
        </w:rPr>
        <w:t xml:space="preserve"> </w:t>
      </w:r>
      <w:proofErr w:type="spellStart"/>
      <w:r w:rsidRPr="009C6D59">
        <w:rPr>
          <w:sz w:val="24"/>
          <w:szCs w:val="24"/>
        </w:rPr>
        <w:t>Shue</w:t>
      </w:r>
      <w:proofErr w:type="spellEnd"/>
      <w:r w:rsidRPr="009C6D59">
        <w:rPr>
          <w:sz w:val="24"/>
          <w:szCs w:val="24"/>
        </w:rPr>
        <w:t xml:space="preserve"> (</w:t>
      </w:r>
      <w:proofErr w:type="spellStart"/>
      <w:proofErr w:type="gramStart"/>
      <w:r w:rsidRPr="009C6D59">
        <w:rPr>
          <w:sz w:val="24"/>
          <w:szCs w:val="24"/>
        </w:rPr>
        <w:t>eds</w:t>
      </w:r>
      <w:proofErr w:type="spellEnd"/>
      <w:proofErr w:type="gramEnd"/>
      <w:r w:rsidRPr="009C6D59">
        <w:rPr>
          <w:sz w:val="24"/>
          <w:szCs w:val="24"/>
        </w:rPr>
        <w:t xml:space="preserve">), </w:t>
      </w:r>
      <w:r w:rsidRPr="009C6D59">
        <w:rPr>
          <w:i/>
          <w:sz w:val="24"/>
          <w:szCs w:val="24"/>
        </w:rPr>
        <w:t>Climate Ethics: Essential Readings</w:t>
      </w:r>
      <w:r>
        <w:rPr>
          <w:i/>
          <w:sz w:val="24"/>
          <w:szCs w:val="24"/>
        </w:rPr>
        <w:t xml:space="preserve">. </w:t>
      </w:r>
      <w:r w:rsidRPr="005440C1">
        <w:rPr>
          <w:sz w:val="24"/>
          <w:szCs w:val="24"/>
        </w:rPr>
        <w:t>Oxford: Oxford University Press.</w:t>
      </w:r>
    </w:p>
    <w:p w:rsidR="003E7937" w:rsidRPr="005440C1" w:rsidRDefault="003E7937" w:rsidP="005440C1">
      <w:pPr>
        <w:pStyle w:val="FootnoteText"/>
        <w:spacing w:line="480" w:lineRule="auto"/>
        <w:jc w:val="both"/>
        <w:rPr>
          <w:sz w:val="24"/>
          <w:szCs w:val="24"/>
          <w:lang w:val="en-US" w:eastAsia="en-US"/>
        </w:rPr>
      </w:pPr>
      <w:r w:rsidRPr="005440C1">
        <w:rPr>
          <w:sz w:val="24"/>
          <w:szCs w:val="24"/>
          <w:lang w:val="en-US" w:eastAsia="en-US"/>
        </w:rPr>
        <w:lastRenderedPageBreak/>
        <w:t>Singer,</w:t>
      </w:r>
      <w:r w:rsidR="009D27CD" w:rsidRPr="005440C1">
        <w:rPr>
          <w:sz w:val="24"/>
          <w:szCs w:val="24"/>
          <w:lang w:val="en-US" w:eastAsia="en-US"/>
        </w:rPr>
        <w:t xml:space="preserve"> P.</w:t>
      </w:r>
      <w:r w:rsidR="005440C1">
        <w:rPr>
          <w:sz w:val="24"/>
          <w:szCs w:val="24"/>
          <w:lang w:val="en-US" w:eastAsia="en-US"/>
        </w:rPr>
        <w:t xml:space="preserve"> 2006. ‘Ethics and climate change: A c</w:t>
      </w:r>
      <w:r w:rsidRPr="005440C1">
        <w:rPr>
          <w:sz w:val="24"/>
          <w:szCs w:val="24"/>
          <w:lang w:val="en-US" w:eastAsia="en-US"/>
        </w:rPr>
        <w:t xml:space="preserve">ommentary on </w:t>
      </w:r>
      <w:proofErr w:type="spellStart"/>
      <w:r w:rsidR="005440C1">
        <w:rPr>
          <w:sz w:val="24"/>
          <w:szCs w:val="24"/>
          <w:lang w:val="en-US" w:eastAsia="en-US"/>
        </w:rPr>
        <w:t>MacCracken</w:t>
      </w:r>
      <w:proofErr w:type="spellEnd"/>
      <w:r w:rsidR="005440C1">
        <w:rPr>
          <w:sz w:val="24"/>
          <w:szCs w:val="24"/>
          <w:lang w:val="en-US" w:eastAsia="en-US"/>
        </w:rPr>
        <w:t xml:space="preserve">, </w:t>
      </w:r>
      <w:proofErr w:type="spellStart"/>
      <w:r w:rsidR="005440C1">
        <w:rPr>
          <w:sz w:val="24"/>
          <w:szCs w:val="24"/>
          <w:lang w:val="en-US" w:eastAsia="en-US"/>
        </w:rPr>
        <w:t>Toman</w:t>
      </w:r>
      <w:proofErr w:type="spellEnd"/>
      <w:r w:rsidR="005440C1">
        <w:rPr>
          <w:sz w:val="24"/>
          <w:szCs w:val="24"/>
          <w:lang w:val="en-US" w:eastAsia="en-US"/>
        </w:rPr>
        <w:t xml:space="preserve"> and Gardiner’.</w:t>
      </w:r>
      <w:r w:rsidRPr="005440C1">
        <w:rPr>
          <w:sz w:val="24"/>
          <w:szCs w:val="24"/>
          <w:lang w:val="en-US" w:eastAsia="en-US"/>
        </w:rPr>
        <w:t xml:space="preserve"> </w:t>
      </w:r>
      <w:r w:rsidRPr="005440C1">
        <w:rPr>
          <w:i/>
          <w:sz w:val="24"/>
          <w:szCs w:val="24"/>
          <w:lang w:val="en-US" w:eastAsia="en-US"/>
        </w:rPr>
        <w:t>Environmental Values</w:t>
      </w:r>
      <w:r w:rsidR="005440C1">
        <w:rPr>
          <w:sz w:val="24"/>
          <w:szCs w:val="24"/>
          <w:lang w:val="en-US" w:eastAsia="en-US"/>
        </w:rPr>
        <w:t xml:space="preserve"> </w:t>
      </w:r>
      <w:r w:rsidR="005440C1" w:rsidRPr="005440C1">
        <w:rPr>
          <w:b/>
          <w:sz w:val="24"/>
          <w:szCs w:val="24"/>
          <w:lang w:val="en-US" w:eastAsia="en-US"/>
        </w:rPr>
        <w:t>15</w:t>
      </w:r>
      <w:r w:rsidR="005440C1">
        <w:rPr>
          <w:sz w:val="24"/>
          <w:szCs w:val="24"/>
          <w:lang w:val="en-US" w:eastAsia="en-US"/>
        </w:rPr>
        <w:t>:</w:t>
      </w:r>
      <w:r w:rsidRPr="005440C1">
        <w:rPr>
          <w:sz w:val="24"/>
          <w:szCs w:val="24"/>
          <w:lang w:val="en-US" w:eastAsia="en-US"/>
        </w:rPr>
        <w:t xml:space="preserve"> 415-22.</w:t>
      </w:r>
    </w:p>
    <w:p w:rsidR="009571E2" w:rsidRPr="005440C1" w:rsidRDefault="009571E2" w:rsidP="005440C1">
      <w:pPr>
        <w:pStyle w:val="FootnoteText"/>
        <w:spacing w:line="480" w:lineRule="auto"/>
        <w:jc w:val="both"/>
        <w:rPr>
          <w:sz w:val="24"/>
          <w:szCs w:val="24"/>
        </w:rPr>
      </w:pPr>
      <w:proofErr w:type="spellStart"/>
      <w:proofErr w:type="gramStart"/>
      <w:r w:rsidRPr="005440C1">
        <w:rPr>
          <w:sz w:val="24"/>
          <w:szCs w:val="24"/>
          <w:lang w:val="en-ZA"/>
        </w:rPr>
        <w:t>Sinnott</w:t>
      </w:r>
      <w:proofErr w:type="spellEnd"/>
      <w:r w:rsidRPr="005440C1">
        <w:rPr>
          <w:sz w:val="24"/>
          <w:szCs w:val="24"/>
          <w:lang w:val="en-ZA"/>
        </w:rPr>
        <w:t xml:space="preserve">-Armstrong, W. </w:t>
      </w:r>
      <w:r w:rsidR="005440C1" w:rsidRPr="005440C1">
        <w:rPr>
          <w:sz w:val="24"/>
          <w:szCs w:val="24"/>
          <w:lang w:val="en-ZA"/>
        </w:rPr>
        <w:t>2010.</w:t>
      </w:r>
      <w:proofErr w:type="gramEnd"/>
      <w:r w:rsidR="005440C1" w:rsidRPr="005440C1">
        <w:rPr>
          <w:sz w:val="24"/>
          <w:szCs w:val="24"/>
          <w:lang w:val="en-ZA"/>
        </w:rPr>
        <w:t xml:space="preserve"> ‘It’s not </w:t>
      </w:r>
      <w:r w:rsidR="005440C1" w:rsidRPr="005440C1">
        <w:rPr>
          <w:i/>
          <w:sz w:val="24"/>
          <w:szCs w:val="24"/>
          <w:lang w:val="en-ZA"/>
        </w:rPr>
        <w:t>my</w:t>
      </w:r>
      <w:r w:rsidR="005440C1" w:rsidRPr="005440C1">
        <w:rPr>
          <w:sz w:val="24"/>
          <w:szCs w:val="24"/>
          <w:lang w:val="en-ZA"/>
        </w:rPr>
        <w:t xml:space="preserve"> fault: Global warming and individual moral obligations’.</w:t>
      </w:r>
      <w:r w:rsidRPr="005440C1">
        <w:rPr>
          <w:sz w:val="24"/>
          <w:szCs w:val="24"/>
          <w:lang w:val="en-ZA"/>
        </w:rPr>
        <w:t xml:space="preserve"> </w:t>
      </w:r>
      <w:r w:rsidR="005440C1" w:rsidRPr="005440C1">
        <w:rPr>
          <w:sz w:val="24"/>
          <w:szCs w:val="24"/>
        </w:rPr>
        <w:t xml:space="preserve">In S. M. Gardiner, S. Caney, D. Jamieson, and H. </w:t>
      </w:r>
      <w:proofErr w:type="spellStart"/>
      <w:r w:rsidR="005440C1" w:rsidRPr="005440C1">
        <w:rPr>
          <w:sz w:val="24"/>
          <w:szCs w:val="24"/>
        </w:rPr>
        <w:t>Shue</w:t>
      </w:r>
      <w:proofErr w:type="spellEnd"/>
      <w:r w:rsidR="005440C1" w:rsidRPr="005440C1">
        <w:rPr>
          <w:sz w:val="24"/>
          <w:szCs w:val="24"/>
        </w:rPr>
        <w:t xml:space="preserve"> (</w:t>
      </w:r>
      <w:proofErr w:type="spellStart"/>
      <w:proofErr w:type="gramStart"/>
      <w:r w:rsidR="005440C1" w:rsidRPr="005440C1">
        <w:rPr>
          <w:sz w:val="24"/>
          <w:szCs w:val="24"/>
        </w:rPr>
        <w:t>eds</w:t>
      </w:r>
      <w:proofErr w:type="spellEnd"/>
      <w:proofErr w:type="gramEnd"/>
      <w:r w:rsidR="005440C1" w:rsidRPr="005440C1">
        <w:rPr>
          <w:sz w:val="24"/>
          <w:szCs w:val="24"/>
        </w:rPr>
        <w:t xml:space="preserve">), </w:t>
      </w:r>
      <w:r w:rsidR="005440C1" w:rsidRPr="005440C1">
        <w:rPr>
          <w:i/>
          <w:sz w:val="24"/>
          <w:szCs w:val="24"/>
        </w:rPr>
        <w:t xml:space="preserve">Climate Ethics: Essential Readings. </w:t>
      </w:r>
      <w:r w:rsidR="005440C1" w:rsidRPr="005440C1">
        <w:rPr>
          <w:sz w:val="24"/>
          <w:szCs w:val="24"/>
        </w:rPr>
        <w:t>Oxford: Oxford University Press.</w:t>
      </w:r>
    </w:p>
    <w:p w:rsidR="009571E2" w:rsidRPr="009C6D59" w:rsidRDefault="009571E2" w:rsidP="009C6D59">
      <w:pPr>
        <w:pStyle w:val="FootnoteText"/>
        <w:spacing w:line="480" w:lineRule="auto"/>
        <w:jc w:val="both"/>
        <w:rPr>
          <w:sz w:val="24"/>
          <w:szCs w:val="24"/>
        </w:rPr>
      </w:pPr>
      <w:proofErr w:type="spellStart"/>
      <w:r w:rsidRPr="009C6D59">
        <w:rPr>
          <w:sz w:val="24"/>
          <w:szCs w:val="24"/>
        </w:rPr>
        <w:t>Soltau</w:t>
      </w:r>
      <w:proofErr w:type="spellEnd"/>
      <w:r w:rsidRPr="009C6D59">
        <w:rPr>
          <w:sz w:val="24"/>
          <w:szCs w:val="24"/>
        </w:rPr>
        <w:t xml:space="preserve">, F. </w:t>
      </w:r>
      <w:r w:rsidR="005440C1">
        <w:rPr>
          <w:sz w:val="24"/>
          <w:szCs w:val="24"/>
        </w:rPr>
        <w:t xml:space="preserve">2009. </w:t>
      </w:r>
      <w:proofErr w:type="gramStart"/>
      <w:r w:rsidRPr="009C6D59">
        <w:rPr>
          <w:i/>
          <w:sz w:val="24"/>
          <w:szCs w:val="24"/>
        </w:rPr>
        <w:t>Fairness in International Climate Change Law and Policy</w:t>
      </w:r>
      <w:r w:rsidR="005440C1">
        <w:rPr>
          <w:sz w:val="24"/>
          <w:szCs w:val="24"/>
        </w:rPr>
        <w:t>.</w:t>
      </w:r>
      <w:proofErr w:type="gramEnd"/>
      <w:r w:rsidR="005440C1">
        <w:rPr>
          <w:sz w:val="24"/>
          <w:szCs w:val="24"/>
        </w:rPr>
        <w:t xml:space="preserve"> </w:t>
      </w:r>
      <w:r w:rsidRPr="009C6D59">
        <w:rPr>
          <w:sz w:val="24"/>
          <w:szCs w:val="24"/>
        </w:rPr>
        <w:t>Cambridge: Cambridge University Press</w:t>
      </w:r>
      <w:r w:rsidR="005440C1">
        <w:rPr>
          <w:sz w:val="24"/>
          <w:szCs w:val="24"/>
        </w:rPr>
        <w:t>.</w:t>
      </w:r>
    </w:p>
    <w:p w:rsidR="009D27CD" w:rsidRPr="009C6D59" w:rsidRDefault="003E7937" w:rsidP="009C6D59">
      <w:pPr>
        <w:pStyle w:val="FootnoteText"/>
        <w:spacing w:line="480" w:lineRule="auto"/>
        <w:jc w:val="both"/>
        <w:rPr>
          <w:sz w:val="24"/>
          <w:szCs w:val="24"/>
        </w:rPr>
      </w:pPr>
      <w:proofErr w:type="gramStart"/>
      <w:r w:rsidRPr="009C6D59">
        <w:rPr>
          <w:sz w:val="24"/>
          <w:szCs w:val="24"/>
        </w:rPr>
        <w:t>Wesley</w:t>
      </w:r>
      <w:r w:rsidR="009D27CD" w:rsidRPr="009C6D59">
        <w:rPr>
          <w:sz w:val="24"/>
          <w:szCs w:val="24"/>
        </w:rPr>
        <w:t>, E.,</w:t>
      </w:r>
      <w:r w:rsidR="005440C1">
        <w:rPr>
          <w:sz w:val="24"/>
          <w:szCs w:val="24"/>
        </w:rPr>
        <w:t xml:space="preserve"> and F. Peterson.</w:t>
      </w:r>
      <w:proofErr w:type="gramEnd"/>
      <w:r w:rsidR="005440C1">
        <w:rPr>
          <w:sz w:val="24"/>
          <w:szCs w:val="24"/>
        </w:rPr>
        <w:t xml:space="preserve"> 1999. ‘The ethics of sharing in the global greenhouse’.</w:t>
      </w:r>
      <w:r w:rsidRPr="009C6D59">
        <w:rPr>
          <w:sz w:val="24"/>
          <w:szCs w:val="24"/>
        </w:rPr>
        <w:t xml:space="preserve"> </w:t>
      </w:r>
      <w:r w:rsidRPr="009C6D59">
        <w:rPr>
          <w:i/>
          <w:sz w:val="24"/>
          <w:szCs w:val="24"/>
        </w:rPr>
        <w:t>Journal of Agricultural and Environmental Ethics</w:t>
      </w:r>
      <w:r w:rsidR="005440C1">
        <w:rPr>
          <w:sz w:val="24"/>
          <w:szCs w:val="24"/>
        </w:rPr>
        <w:t xml:space="preserve"> </w:t>
      </w:r>
      <w:r w:rsidR="005440C1" w:rsidRPr="005440C1">
        <w:rPr>
          <w:b/>
          <w:sz w:val="24"/>
          <w:szCs w:val="24"/>
        </w:rPr>
        <w:t>11</w:t>
      </w:r>
      <w:r w:rsidR="005440C1">
        <w:rPr>
          <w:sz w:val="24"/>
          <w:szCs w:val="24"/>
        </w:rPr>
        <w:t>:</w:t>
      </w:r>
      <w:r w:rsidRPr="009C6D59">
        <w:rPr>
          <w:sz w:val="24"/>
          <w:szCs w:val="24"/>
        </w:rPr>
        <w:t xml:space="preserve"> 167-96</w:t>
      </w:r>
      <w:r w:rsidR="009571E2" w:rsidRPr="009C6D59">
        <w:rPr>
          <w:sz w:val="24"/>
          <w:szCs w:val="24"/>
        </w:rPr>
        <w:t>.</w:t>
      </w:r>
    </w:p>
    <w:p w:rsidR="009C6D59" w:rsidRPr="009C6D59" w:rsidRDefault="009C6D59" w:rsidP="009C6D59">
      <w:pPr>
        <w:pStyle w:val="FootnoteText"/>
        <w:spacing w:line="480" w:lineRule="auto"/>
        <w:jc w:val="both"/>
        <w:rPr>
          <w:sz w:val="24"/>
          <w:szCs w:val="24"/>
        </w:rPr>
      </w:pPr>
      <w:proofErr w:type="gramStart"/>
      <w:r w:rsidRPr="009C6D59">
        <w:rPr>
          <w:sz w:val="24"/>
          <w:szCs w:val="24"/>
        </w:rPr>
        <w:t>World Bank.</w:t>
      </w:r>
      <w:proofErr w:type="gramEnd"/>
      <w:r w:rsidRPr="009C6D59">
        <w:rPr>
          <w:sz w:val="24"/>
          <w:szCs w:val="24"/>
        </w:rPr>
        <w:t xml:space="preserve"> </w:t>
      </w:r>
      <w:proofErr w:type="gramStart"/>
      <w:r w:rsidRPr="009C6D59">
        <w:rPr>
          <w:sz w:val="24"/>
          <w:szCs w:val="24"/>
        </w:rPr>
        <w:t>2013a. ‘GNI per capita, PPP (current international $)’</w:t>
      </w:r>
      <w:r w:rsidR="005440C1">
        <w:rPr>
          <w:sz w:val="24"/>
          <w:szCs w:val="24"/>
        </w:rPr>
        <w:t xml:space="preserve">, </w:t>
      </w:r>
      <w:hyperlink r:id="rId8" w:history="1">
        <w:r w:rsidRPr="009C6D59">
          <w:rPr>
            <w:rStyle w:val="Hyperlink"/>
            <w:sz w:val="24"/>
            <w:szCs w:val="24"/>
          </w:rPr>
          <w:t>http://data.worldbank.org/indicator/EN.ATM.CO2E.PC</w:t>
        </w:r>
      </w:hyperlink>
      <w:r w:rsidR="005440C1">
        <w:rPr>
          <w:sz w:val="24"/>
          <w:szCs w:val="24"/>
        </w:rPr>
        <w:t xml:space="preserve"> (</w:t>
      </w:r>
      <w:r w:rsidR="005440C1">
        <w:rPr>
          <w:sz w:val="24"/>
          <w:szCs w:val="24"/>
          <w:lang w:val="en"/>
        </w:rPr>
        <w:t>a</w:t>
      </w:r>
      <w:r w:rsidRPr="009C6D59">
        <w:rPr>
          <w:sz w:val="24"/>
          <w:szCs w:val="24"/>
          <w:lang w:val="en"/>
        </w:rPr>
        <w:t>ccessed 9 March 2013</w:t>
      </w:r>
      <w:r w:rsidR="005440C1">
        <w:rPr>
          <w:sz w:val="24"/>
          <w:szCs w:val="24"/>
          <w:lang w:val="en"/>
        </w:rPr>
        <w:t>)</w:t>
      </w:r>
      <w:r w:rsidRPr="009C6D59">
        <w:rPr>
          <w:sz w:val="24"/>
          <w:szCs w:val="24"/>
          <w:lang w:val="en"/>
        </w:rPr>
        <w:t>.</w:t>
      </w:r>
      <w:proofErr w:type="gramEnd"/>
    </w:p>
    <w:p w:rsidR="009571E2" w:rsidRPr="00F26FAF" w:rsidRDefault="009C6D59" w:rsidP="003E7937">
      <w:pPr>
        <w:pStyle w:val="FootnoteText"/>
        <w:spacing w:line="480" w:lineRule="auto"/>
        <w:jc w:val="both"/>
        <w:rPr>
          <w:sz w:val="24"/>
          <w:szCs w:val="24"/>
        </w:rPr>
      </w:pPr>
      <w:proofErr w:type="gramStart"/>
      <w:r w:rsidRPr="009C6D59">
        <w:rPr>
          <w:sz w:val="24"/>
          <w:szCs w:val="24"/>
        </w:rPr>
        <w:t>World Bank.</w:t>
      </w:r>
      <w:proofErr w:type="gramEnd"/>
      <w:r w:rsidRPr="009C6D59">
        <w:rPr>
          <w:sz w:val="24"/>
          <w:szCs w:val="24"/>
        </w:rPr>
        <w:t xml:space="preserve"> </w:t>
      </w:r>
      <w:proofErr w:type="gramStart"/>
      <w:r w:rsidRPr="009C6D59">
        <w:rPr>
          <w:sz w:val="24"/>
          <w:szCs w:val="24"/>
        </w:rPr>
        <w:t>2013b. ‘</w:t>
      </w:r>
      <w:r w:rsidRPr="009C6D59">
        <w:rPr>
          <w:sz w:val="24"/>
          <w:szCs w:val="24"/>
          <w:lang w:val="en"/>
        </w:rPr>
        <w:t>CO2 emissions (metric tons per capita)’</w:t>
      </w:r>
      <w:r w:rsidR="005440C1">
        <w:rPr>
          <w:sz w:val="24"/>
          <w:szCs w:val="24"/>
          <w:lang w:val="en"/>
        </w:rPr>
        <w:t xml:space="preserve">, </w:t>
      </w:r>
      <w:hyperlink r:id="rId9" w:history="1">
        <w:r w:rsidRPr="009C6D59">
          <w:rPr>
            <w:rStyle w:val="Hyperlink"/>
            <w:sz w:val="24"/>
            <w:szCs w:val="24"/>
            <w:lang w:val="en"/>
          </w:rPr>
          <w:t>http://data.worldbank.org/indicator/NY.GNP.PCAP.PP.CD</w:t>
        </w:r>
      </w:hyperlink>
      <w:r w:rsidR="005440C1">
        <w:rPr>
          <w:sz w:val="24"/>
          <w:szCs w:val="24"/>
          <w:lang w:val="en"/>
        </w:rPr>
        <w:t xml:space="preserve"> (a</w:t>
      </w:r>
      <w:r w:rsidRPr="009C6D59">
        <w:rPr>
          <w:sz w:val="24"/>
          <w:szCs w:val="24"/>
          <w:lang w:val="en"/>
        </w:rPr>
        <w:t>ccessed 9 March 2013</w:t>
      </w:r>
      <w:r w:rsidR="005440C1">
        <w:rPr>
          <w:sz w:val="24"/>
          <w:szCs w:val="24"/>
          <w:lang w:val="en"/>
        </w:rPr>
        <w:t>)</w:t>
      </w:r>
      <w:r w:rsidRPr="009C6D59">
        <w:rPr>
          <w:sz w:val="24"/>
          <w:szCs w:val="24"/>
          <w:lang w:val="en"/>
        </w:rPr>
        <w:t>.</w:t>
      </w:r>
      <w:proofErr w:type="gramEnd"/>
    </w:p>
    <w:p w:rsidR="005273D1" w:rsidRDefault="005273D1" w:rsidP="002F4515">
      <w:pPr>
        <w:autoSpaceDE w:val="0"/>
        <w:autoSpaceDN w:val="0"/>
        <w:adjustRightInd w:val="0"/>
        <w:spacing w:line="480" w:lineRule="auto"/>
        <w:jc w:val="both"/>
        <w:rPr>
          <w:sz w:val="20"/>
          <w:szCs w:val="20"/>
        </w:rPr>
      </w:pPr>
    </w:p>
    <w:p w:rsidR="005273D1" w:rsidRDefault="005273D1" w:rsidP="002F4515">
      <w:pPr>
        <w:autoSpaceDE w:val="0"/>
        <w:autoSpaceDN w:val="0"/>
        <w:adjustRightInd w:val="0"/>
        <w:spacing w:line="480" w:lineRule="auto"/>
        <w:jc w:val="both"/>
        <w:rPr>
          <w:sz w:val="20"/>
          <w:szCs w:val="20"/>
        </w:rPr>
      </w:pPr>
    </w:p>
    <w:p w:rsidR="005273D1" w:rsidRDefault="005273D1" w:rsidP="002F4515">
      <w:pPr>
        <w:autoSpaceDE w:val="0"/>
        <w:autoSpaceDN w:val="0"/>
        <w:adjustRightInd w:val="0"/>
        <w:spacing w:line="480" w:lineRule="auto"/>
        <w:jc w:val="both"/>
        <w:rPr>
          <w:sz w:val="20"/>
          <w:szCs w:val="20"/>
        </w:rPr>
      </w:pPr>
    </w:p>
    <w:p w:rsidR="005273D1" w:rsidRDefault="005273D1" w:rsidP="002F4515">
      <w:pPr>
        <w:autoSpaceDE w:val="0"/>
        <w:autoSpaceDN w:val="0"/>
        <w:adjustRightInd w:val="0"/>
        <w:spacing w:line="480" w:lineRule="auto"/>
        <w:jc w:val="both"/>
        <w:rPr>
          <w:sz w:val="20"/>
          <w:szCs w:val="20"/>
        </w:rPr>
      </w:pPr>
    </w:p>
    <w:p w:rsidR="005273D1" w:rsidRDefault="005273D1" w:rsidP="002F4515">
      <w:pPr>
        <w:autoSpaceDE w:val="0"/>
        <w:autoSpaceDN w:val="0"/>
        <w:adjustRightInd w:val="0"/>
        <w:spacing w:line="480" w:lineRule="auto"/>
        <w:jc w:val="both"/>
        <w:rPr>
          <w:sz w:val="20"/>
          <w:szCs w:val="20"/>
        </w:rPr>
      </w:pPr>
    </w:p>
    <w:p w:rsidR="005273D1" w:rsidRDefault="005273D1" w:rsidP="002F4515">
      <w:pPr>
        <w:autoSpaceDE w:val="0"/>
        <w:autoSpaceDN w:val="0"/>
        <w:adjustRightInd w:val="0"/>
        <w:spacing w:line="480" w:lineRule="auto"/>
        <w:jc w:val="both"/>
        <w:rPr>
          <w:sz w:val="20"/>
          <w:szCs w:val="20"/>
        </w:rPr>
      </w:pPr>
    </w:p>
    <w:p w:rsidR="005273D1" w:rsidRDefault="005273D1" w:rsidP="002F4515">
      <w:pPr>
        <w:autoSpaceDE w:val="0"/>
        <w:autoSpaceDN w:val="0"/>
        <w:adjustRightInd w:val="0"/>
        <w:spacing w:line="480" w:lineRule="auto"/>
        <w:jc w:val="both"/>
        <w:rPr>
          <w:sz w:val="20"/>
          <w:szCs w:val="20"/>
        </w:rPr>
      </w:pPr>
    </w:p>
    <w:p w:rsidR="005273D1" w:rsidRDefault="005273D1" w:rsidP="002F4515">
      <w:pPr>
        <w:autoSpaceDE w:val="0"/>
        <w:autoSpaceDN w:val="0"/>
        <w:adjustRightInd w:val="0"/>
        <w:spacing w:line="480" w:lineRule="auto"/>
        <w:jc w:val="both"/>
        <w:rPr>
          <w:sz w:val="20"/>
          <w:szCs w:val="20"/>
        </w:rPr>
      </w:pPr>
    </w:p>
    <w:p w:rsidR="00F26FAF" w:rsidRDefault="00F26FAF" w:rsidP="002F4515">
      <w:pPr>
        <w:autoSpaceDE w:val="0"/>
        <w:autoSpaceDN w:val="0"/>
        <w:adjustRightInd w:val="0"/>
        <w:spacing w:line="480" w:lineRule="auto"/>
        <w:jc w:val="both"/>
      </w:pPr>
    </w:p>
    <w:p w:rsidR="00F26FAF" w:rsidRDefault="00F26FAF" w:rsidP="002F4515">
      <w:pPr>
        <w:autoSpaceDE w:val="0"/>
        <w:autoSpaceDN w:val="0"/>
        <w:adjustRightInd w:val="0"/>
        <w:spacing w:line="480" w:lineRule="auto"/>
        <w:jc w:val="both"/>
      </w:pPr>
    </w:p>
    <w:p w:rsidR="00F26FAF" w:rsidRDefault="00F26FAF" w:rsidP="002F4515">
      <w:pPr>
        <w:autoSpaceDE w:val="0"/>
        <w:autoSpaceDN w:val="0"/>
        <w:adjustRightInd w:val="0"/>
        <w:spacing w:line="480" w:lineRule="auto"/>
        <w:jc w:val="both"/>
      </w:pPr>
    </w:p>
    <w:p w:rsidR="00F26FAF" w:rsidRDefault="00F26FAF" w:rsidP="002F4515">
      <w:pPr>
        <w:autoSpaceDE w:val="0"/>
        <w:autoSpaceDN w:val="0"/>
        <w:adjustRightInd w:val="0"/>
        <w:spacing w:line="480" w:lineRule="auto"/>
        <w:jc w:val="both"/>
      </w:pPr>
    </w:p>
    <w:p w:rsidR="00F26FAF" w:rsidRDefault="00F26FAF" w:rsidP="002F4515">
      <w:pPr>
        <w:autoSpaceDE w:val="0"/>
        <w:autoSpaceDN w:val="0"/>
        <w:adjustRightInd w:val="0"/>
        <w:spacing w:line="480" w:lineRule="auto"/>
        <w:jc w:val="both"/>
      </w:pPr>
    </w:p>
    <w:p w:rsidR="002F4515" w:rsidRDefault="002F4515" w:rsidP="002F4515">
      <w:pPr>
        <w:autoSpaceDE w:val="0"/>
        <w:autoSpaceDN w:val="0"/>
        <w:adjustRightInd w:val="0"/>
        <w:spacing w:line="480" w:lineRule="auto"/>
        <w:jc w:val="both"/>
      </w:pPr>
      <w:bookmarkStart w:id="0" w:name="_GoBack"/>
      <w:bookmarkEnd w:id="0"/>
      <w:proofErr w:type="gramStart"/>
      <w:r>
        <w:lastRenderedPageBreak/>
        <w:t>Table 1.</w:t>
      </w:r>
      <w:proofErr w:type="gramEnd"/>
      <w:r>
        <w:t xml:space="preserve"> </w:t>
      </w:r>
      <w:proofErr w:type="gramStart"/>
      <w:r>
        <w:t>Gross national income per capita and CO2 emissions per capita of the G7 countries.</w:t>
      </w:r>
      <w:proofErr w:type="gramEnd"/>
      <w:r>
        <w:rPr>
          <w:rStyle w:val="FootnoteReference"/>
        </w:rPr>
        <w:footnoteReference w:id="5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2F4515" w:rsidTr="00387D37">
        <w:tc>
          <w:tcPr>
            <w:tcW w:w="2840" w:type="dxa"/>
            <w:shd w:val="clear" w:color="auto" w:fill="auto"/>
          </w:tcPr>
          <w:p w:rsidR="002F4515" w:rsidRPr="00C226AE" w:rsidRDefault="002F4515" w:rsidP="00387D37">
            <w:pPr>
              <w:autoSpaceDE w:val="0"/>
              <w:autoSpaceDN w:val="0"/>
              <w:adjustRightInd w:val="0"/>
              <w:spacing w:line="480" w:lineRule="auto"/>
              <w:jc w:val="both"/>
              <w:rPr>
                <w:i/>
              </w:rPr>
            </w:pPr>
            <w:r w:rsidRPr="00C226AE">
              <w:rPr>
                <w:i/>
              </w:rPr>
              <w:t>Country</w:t>
            </w:r>
          </w:p>
        </w:tc>
        <w:tc>
          <w:tcPr>
            <w:tcW w:w="2841" w:type="dxa"/>
            <w:shd w:val="clear" w:color="auto" w:fill="auto"/>
          </w:tcPr>
          <w:p w:rsidR="002F4515" w:rsidRPr="00C226AE" w:rsidRDefault="002F4515" w:rsidP="00387D37">
            <w:pPr>
              <w:autoSpaceDE w:val="0"/>
              <w:autoSpaceDN w:val="0"/>
              <w:adjustRightInd w:val="0"/>
              <w:spacing w:line="480" w:lineRule="auto"/>
              <w:jc w:val="both"/>
              <w:rPr>
                <w:i/>
              </w:rPr>
            </w:pPr>
            <w:r w:rsidRPr="00C226AE">
              <w:rPr>
                <w:i/>
              </w:rPr>
              <w:t>Gross national income per capita, purchasing power parity (international $), 2009</w:t>
            </w:r>
          </w:p>
        </w:tc>
        <w:tc>
          <w:tcPr>
            <w:tcW w:w="2841" w:type="dxa"/>
            <w:shd w:val="clear" w:color="auto" w:fill="auto"/>
          </w:tcPr>
          <w:p w:rsidR="002F4515" w:rsidRPr="00C226AE" w:rsidRDefault="002F4515" w:rsidP="00387D37">
            <w:pPr>
              <w:autoSpaceDE w:val="0"/>
              <w:autoSpaceDN w:val="0"/>
              <w:adjustRightInd w:val="0"/>
              <w:spacing w:line="480" w:lineRule="auto"/>
              <w:jc w:val="both"/>
              <w:rPr>
                <w:i/>
              </w:rPr>
            </w:pPr>
            <w:r w:rsidRPr="00C226AE">
              <w:rPr>
                <w:i/>
              </w:rPr>
              <w:t>CO2 emissions per capita (metric tons), 2009</w:t>
            </w:r>
          </w:p>
        </w:tc>
      </w:tr>
      <w:tr w:rsidR="002F4515" w:rsidTr="00387D37">
        <w:tc>
          <w:tcPr>
            <w:tcW w:w="2840" w:type="dxa"/>
            <w:shd w:val="clear" w:color="auto" w:fill="auto"/>
          </w:tcPr>
          <w:p w:rsidR="002F4515" w:rsidRDefault="002F4515" w:rsidP="00387D37">
            <w:pPr>
              <w:autoSpaceDE w:val="0"/>
              <w:autoSpaceDN w:val="0"/>
              <w:adjustRightInd w:val="0"/>
              <w:spacing w:line="480" w:lineRule="auto"/>
              <w:jc w:val="both"/>
            </w:pPr>
            <w:r>
              <w:t>United States</w:t>
            </w:r>
          </w:p>
        </w:tc>
        <w:tc>
          <w:tcPr>
            <w:tcW w:w="2841" w:type="dxa"/>
            <w:shd w:val="clear" w:color="auto" w:fill="auto"/>
          </w:tcPr>
          <w:p w:rsidR="002F4515" w:rsidRDefault="002F4515" w:rsidP="00387D37">
            <w:pPr>
              <w:autoSpaceDE w:val="0"/>
              <w:autoSpaceDN w:val="0"/>
              <w:adjustRightInd w:val="0"/>
              <w:spacing w:line="480" w:lineRule="auto"/>
              <w:jc w:val="both"/>
            </w:pPr>
            <w:r>
              <w:t>$45,390</w:t>
            </w:r>
          </w:p>
        </w:tc>
        <w:tc>
          <w:tcPr>
            <w:tcW w:w="2841" w:type="dxa"/>
            <w:shd w:val="clear" w:color="auto" w:fill="auto"/>
          </w:tcPr>
          <w:p w:rsidR="002F4515" w:rsidRDefault="002F4515" w:rsidP="00387D37">
            <w:pPr>
              <w:autoSpaceDE w:val="0"/>
              <w:autoSpaceDN w:val="0"/>
              <w:adjustRightInd w:val="0"/>
              <w:spacing w:line="480" w:lineRule="auto"/>
              <w:jc w:val="both"/>
            </w:pPr>
            <w:r>
              <w:t>17.3</w:t>
            </w:r>
          </w:p>
        </w:tc>
      </w:tr>
      <w:tr w:rsidR="002F4515" w:rsidTr="00387D37">
        <w:tc>
          <w:tcPr>
            <w:tcW w:w="2840" w:type="dxa"/>
            <w:shd w:val="clear" w:color="auto" w:fill="auto"/>
          </w:tcPr>
          <w:p w:rsidR="002F4515" w:rsidRDefault="002F4515" w:rsidP="00387D37">
            <w:pPr>
              <w:autoSpaceDE w:val="0"/>
              <w:autoSpaceDN w:val="0"/>
              <w:adjustRightInd w:val="0"/>
              <w:spacing w:line="480" w:lineRule="auto"/>
              <w:jc w:val="both"/>
            </w:pPr>
            <w:r>
              <w:t>Australia</w:t>
            </w:r>
          </w:p>
        </w:tc>
        <w:tc>
          <w:tcPr>
            <w:tcW w:w="2841" w:type="dxa"/>
            <w:shd w:val="clear" w:color="auto" w:fill="auto"/>
          </w:tcPr>
          <w:p w:rsidR="002F4515" w:rsidRDefault="002F4515" w:rsidP="00387D37">
            <w:pPr>
              <w:autoSpaceDE w:val="0"/>
              <w:autoSpaceDN w:val="0"/>
              <w:adjustRightInd w:val="0"/>
              <w:spacing w:line="480" w:lineRule="auto"/>
              <w:jc w:val="both"/>
            </w:pPr>
            <w:r>
              <w:t>$37,500</w:t>
            </w:r>
          </w:p>
        </w:tc>
        <w:tc>
          <w:tcPr>
            <w:tcW w:w="2841" w:type="dxa"/>
            <w:shd w:val="clear" w:color="auto" w:fill="auto"/>
          </w:tcPr>
          <w:p w:rsidR="002F4515" w:rsidRDefault="002F4515" w:rsidP="00387D37">
            <w:pPr>
              <w:autoSpaceDE w:val="0"/>
              <w:autoSpaceDN w:val="0"/>
              <w:adjustRightInd w:val="0"/>
              <w:spacing w:line="480" w:lineRule="auto"/>
              <w:jc w:val="both"/>
            </w:pPr>
            <w:r>
              <w:t>18.2</w:t>
            </w:r>
          </w:p>
        </w:tc>
      </w:tr>
      <w:tr w:rsidR="002F4515" w:rsidTr="00387D37">
        <w:tc>
          <w:tcPr>
            <w:tcW w:w="2840" w:type="dxa"/>
            <w:shd w:val="clear" w:color="auto" w:fill="auto"/>
          </w:tcPr>
          <w:p w:rsidR="002F4515" w:rsidRDefault="002F4515" w:rsidP="00387D37">
            <w:pPr>
              <w:autoSpaceDE w:val="0"/>
              <w:autoSpaceDN w:val="0"/>
              <w:adjustRightInd w:val="0"/>
              <w:spacing w:line="480" w:lineRule="auto"/>
              <w:jc w:val="both"/>
            </w:pPr>
            <w:r>
              <w:t>Canada</w:t>
            </w:r>
          </w:p>
        </w:tc>
        <w:tc>
          <w:tcPr>
            <w:tcW w:w="2841" w:type="dxa"/>
            <w:shd w:val="clear" w:color="auto" w:fill="auto"/>
          </w:tcPr>
          <w:p w:rsidR="002F4515" w:rsidRDefault="002F4515" w:rsidP="00387D37">
            <w:pPr>
              <w:autoSpaceDE w:val="0"/>
              <w:autoSpaceDN w:val="0"/>
              <w:adjustRightInd w:val="0"/>
              <w:spacing w:line="480" w:lineRule="auto"/>
              <w:jc w:val="both"/>
            </w:pPr>
            <w:r>
              <w:t>$37,190</w:t>
            </w:r>
          </w:p>
        </w:tc>
        <w:tc>
          <w:tcPr>
            <w:tcW w:w="2841" w:type="dxa"/>
            <w:shd w:val="clear" w:color="auto" w:fill="auto"/>
          </w:tcPr>
          <w:p w:rsidR="002F4515" w:rsidRDefault="002F4515" w:rsidP="00387D37">
            <w:pPr>
              <w:autoSpaceDE w:val="0"/>
              <w:autoSpaceDN w:val="0"/>
              <w:adjustRightInd w:val="0"/>
              <w:spacing w:line="480" w:lineRule="auto"/>
              <w:jc w:val="both"/>
            </w:pPr>
            <w:r>
              <w:t>15.2</w:t>
            </w:r>
          </w:p>
        </w:tc>
      </w:tr>
      <w:tr w:rsidR="002F4515" w:rsidTr="00387D37">
        <w:tc>
          <w:tcPr>
            <w:tcW w:w="2840" w:type="dxa"/>
            <w:shd w:val="clear" w:color="auto" w:fill="auto"/>
          </w:tcPr>
          <w:p w:rsidR="002F4515" w:rsidRDefault="002F4515" w:rsidP="00387D37">
            <w:pPr>
              <w:autoSpaceDE w:val="0"/>
              <w:autoSpaceDN w:val="0"/>
              <w:adjustRightInd w:val="0"/>
              <w:spacing w:line="480" w:lineRule="auto"/>
              <w:jc w:val="both"/>
            </w:pPr>
            <w:r>
              <w:t>Germany</w:t>
            </w:r>
          </w:p>
        </w:tc>
        <w:tc>
          <w:tcPr>
            <w:tcW w:w="2841" w:type="dxa"/>
            <w:shd w:val="clear" w:color="auto" w:fill="auto"/>
          </w:tcPr>
          <w:p w:rsidR="002F4515" w:rsidRDefault="002F4515" w:rsidP="00387D37">
            <w:pPr>
              <w:autoSpaceDE w:val="0"/>
              <w:autoSpaceDN w:val="0"/>
              <w:adjustRightInd w:val="0"/>
              <w:spacing w:line="480" w:lineRule="auto"/>
              <w:jc w:val="both"/>
            </w:pPr>
            <w:r>
              <w:t>$36,500</w:t>
            </w:r>
          </w:p>
        </w:tc>
        <w:tc>
          <w:tcPr>
            <w:tcW w:w="2841" w:type="dxa"/>
            <w:shd w:val="clear" w:color="auto" w:fill="auto"/>
          </w:tcPr>
          <w:p w:rsidR="002F4515" w:rsidRDefault="002F4515" w:rsidP="00387D37">
            <w:pPr>
              <w:autoSpaceDE w:val="0"/>
              <w:autoSpaceDN w:val="0"/>
              <w:adjustRightInd w:val="0"/>
              <w:spacing w:line="480" w:lineRule="auto"/>
              <w:jc w:val="both"/>
            </w:pPr>
            <w:r>
              <w:t>9</w:t>
            </w:r>
          </w:p>
        </w:tc>
      </w:tr>
      <w:tr w:rsidR="002F4515" w:rsidTr="00387D37">
        <w:tc>
          <w:tcPr>
            <w:tcW w:w="2840" w:type="dxa"/>
            <w:shd w:val="clear" w:color="auto" w:fill="auto"/>
          </w:tcPr>
          <w:p w:rsidR="002F4515" w:rsidRDefault="002F4515" w:rsidP="00387D37">
            <w:pPr>
              <w:autoSpaceDE w:val="0"/>
              <w:autoSpaceDN w:val="0"/>
              <w:adjustRightInd w:val="0"/>
              <w:spacing w:line="480" w:lineRule="auto"/>
              <w:jc w:val="both"/>
            </w:pPr>
            <w:r>
              <w:t>United Kingdom</w:t>
            </w:r>
          </w:p>
        </w:tc>
        <w:tc>
          <w:tcPr>
            <w:tcW w:w="2841" w:type="dxa"/>
            <w:shd w:val="clear" w:color="auto" w:fill="auto"/>
          </w:tcPr>
          <w:p w:rsidR="002F4515" w:rsidRDefault="002F4515" w:rsidP="00387D37">
            <w:pPr>
              <w:autoSpaceDE w:val="0"/>
              <w:autoSpaceDN w:val="0"/>
              <w:adjustRightInd w:val="0"/>
              <w:spacing w:line="480" w:lineRule="auto"/>
              <w:jc w:val="both"/>
            </w:pPr>
            <w:r>
              <w:t>$34,810</w:t>
            </w:r>
          </w:p>
        </w:tc>
        <w:tc>
          <w:tcPr>
            <w:tcW w:w="2841" w:type="dxa"/>
            <w:shd w:val="clear" w:color="auto" w:fill="auto"/>
          </w:tcPr>
          <w:p w:rsidR="002F4515" w:rsidRDefault="002F4515" w:rsidP="00387D37">
            <w:pPr>
              <w:autoSpaceDE w:val="0"/>
              <w:autoSpaceDN w:val="0"/>
              <w:adjustRightInd w:val="0"/>
              <w:spacing w:line="480" w:lineRule="auto"/>
              <w:jc w:val="both"/>
            </w:pPr>
            <w:r>
              <w:t>7.7</w:t>
            </w:r>
          </w:p>
        </w:tc>
      </w:tr>
      <w:tr w:rsidR="002F4515" w:rsidTr="00387D37">
        <w:tc>
          <w:tcPr>
            <w:tcW w:w="2840" w:type="dxa"/>
            <w:shd w:val="clear" w:color="auto" w:fill="auto"/>
          </w:tcPr>
          <w:p w:rsidR="002F4515" w:rsidRDefault="002F4515" w:rsidP="00387D37">
            <w:pPr>
              <w:autoSpaceDE w:val="0"/>
              <w:autoSpaceDN w:val="0"/>
              <w:adjustRightInd w:val="0"/>
              <w:spacing w:line="480" w:lineRule="auto"/>
              <w:jc w:val="both"/>
            </w:pPr>
            <w:r>
              <w:t>France</w:t>
            </w:r>
          </w:p>
        </w:tc>
        <w:tc>
          <w:tcPr>
            <w:tcW w:w="2841" w:type="dxa"/>
            <w:shd w:val="clear" w:color="auto" w:fill="auto"/>
          </w:tcPr>
          <w:p w:rsidR="002F4515" w:rsidRDefault="002F4515" w:rsidP="00387D37">
            <w:pPr>
              <w:autoSpaceDE w:val="0"/>
              <w:autoSpaceDN w:val="0"/>
              <w:adjustRightInd w:val="0"/>
              <w:spacing w:line="480" w:lineRule="auto"/>
              <w:jc w:val="both"/>
            </w:pPr>
            <w:r>
              <w:t>$34,280</w:t>
            </w:r>
          </w:p>
        </w:tc>
        <w:tc>
          <w:tcPr>
            <w:tcW w:w="2841" w:type="dxa"/>
            <w:shd w:val="clear" w:color="auto" w:fill="auto"/>
          </w:tcPr>
          <w:p w:rsidR="002F4515" w:rsidRDefault="002F4515" w:rsidP="00387D37">
            <w:pPr>
              <w:autoSpaceDE w:val="0"/>
              <w:autoSpaceDN w:val="0"/>
              <w:adjustRightInd w:val="0"/>
              <w:spacing w:line="480" w:lineRule="auto"/>
              <w:jc w:val="both"/>
            </w:pPr>
            <w:r>
              <w:t>5.6</w:t>
            </w:r>
          </w:p>
        </w:tc>
      </w:tr>
      <w:tr w:rsidR="002F4515" w:rsidTr="00387D37">
        <w:tc>
          <w:tcPr>
            <w:tcW w:w="2840" w:type="dxa"/>
            <w:shd w:val="clear" w:color="auto" w:fill="auto"/>
          </w:tcPr>
          <w:p w:rsidR="002F4515" w:rsidRDefault="002F4515" w:rsidP="00387D37">
            <w:pPr>
              <w:autoSpaceDE w:val="0"/>
              <w:autoSpaceDN w:val="0"/>
              <w:adjustRightInd w:val="0"/>
              <w:spacing w:line="480" w:lineRule="auto"/>
              <w:jc w:val="both"/>
            </w:pPr>
            <w:r>
              <w:t>Italy</w:t>
            </w:r>
          </w:p>
        </w:tc>
        <w:tc>
          <w:tcPr>
            <w:tcW w:w="2841" w:type="dxa"/>
            <w:shd w:val="clear" w:color="auto" w:fill="auto"/>
          </w:tcPr>
          <w:p w:rsidR="002F4515" w:rsidRDefault="002F4515" w:rsidP="00387D37">
            <w:pPr>
              <w:autoSpaceDE w:val="0"/>
              <w:autoSpaceDN w:val="0"/>
              <w:adjustRightInd w:val="0"/>
              <w:spacing w:line="480" w:lineRule="auto"/>
              <w:jc w:val="both"/>
            </w:pPr>
            <w:r>
              <w:t>$32,070</w:t>
            </w:r>
          </w:p>
        </w:tc>
        <w:tc>
          <w:tcPr>
            <w:tcW w:w="2841" w:type="dxa"/>
            <w:shd w:val="clear" w:color="auto" w:fill="auto"/>
          </w:tcPr>
          <w:p w:rsidR="002F4515" w:rsidRDefault="002F4515" w:rsidP="00387D37">
            <w:pPr>
              <w:autoSpaceDE w:val="0"/>
              <w:autoSpaceDN w:val="0"/>
              <w:adjustRightInd w:val="0"/>
              <w:spacing w:line="480" w:lineRule="auto"/>
              <w:jc w:val="both"/>
            </w:pPr>
            <w:r>
              <w:t>6.7</w:t>
            </w:r>
          </w:p>
        </w:tc>
      </w:tr>
    </w:tbl>
    <w:p w:rsidR="003E7937" w:rsidRPr="007838F1" w:rsidRDefault="003E7937" w:rsidP="002F4515">
      <w:pPr>
        <w:spacing w:line="480" w:lineRule="auto"/>
        <w:jc w:val="both"/>
      </w:pPr>
    </w:p>
    <w:sectPr w:rsidR="003E7937" w:rsidRPr="007838F1">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47" w:rsidRDefault="00C74447">
      <w:r>
        <w:separator/>
      </w:r>
    </w:p>
  </w:endnote>
  <w:endnote w:type="continuationSeparator" w:id="0">
    <w:p w:rsidR="00C74447" w:rsidRDefault="00C7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PS94B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37" w:rsidRDefault="00387D37" w:rsidP="00804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7D37" w:rsidRDefault="00387D37" w:rsidP="00804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37" w:rsidRDefault="00387D37" w:rsidP="00804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199E">
      <w:rPr>
        <w:rStyle w:val="PageNumber"/>
        <w:noProof/>
      </w:rPr>
      <w:t>1</w:t>
    </w:r>
    <w:r>
      <w:rPr>
        <w:rStyle w:val="PageNumber"/>
      </w:rPr>
      <w:fldChar w:fldCharType="end"/>
    </w:r>
  </w:p>
  <w:p w:rsidR="00387D37" w:rsidRDefault="00387D37" w:rsidP="008043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47" w:rsidRDefault="00C74447">
      <w:r>
        <w:separator/>
      </w:r>
    </w:p>
  </w:footnote>
  <w:footnote w:type="continuationSeparator" w:id="0">
    <w:p w:rsidR="00C74447" w:rsidRDefault="00C74447">
      <w:r>
        <w:continuationSeparator/>
      </w:r>
    </w:p>
  </w:footnote>
  <w:footnote w:id="1">
    <w:p w:rsidR="000869A9" w:rsidRDefault="000869A9" w:rsidP="003C4A23">
      <w:pPr>
        <w:pStyle w:val="FootnoteText"/>
        <w:spacing w:line="480" w:lineRule="auto"/>
        <w:jc w:val="both"/>
      </w:pPr>
      <w:r>
        <w:rPr>
          <w:rStyle w:val="FootnoteReference"/>
        </w:rPr>
        <w:t>*</w:t>
      </w:r>
      <w:r>
        <w:t xml:space="preserve"> </w:t>
      </w:r>
      <w:r w:rsidR="0082199E">
        <w:t>This article is forthcoming</w:t>
      </w:r>
      <w:r w:rsidR="0082199E">
        <w:t>,</w:t>
      </w:r>
      <w:r w:rsidR="0082199E">
        <w:t xml:space="preserve"> as</w:t>
      </w:r>
      <w:r w:rsidR="0082199E">
        <w:t xml:space="preserve"> of April 2013, in </w:t>
      </w:r>
      <w:r w:rsidR="0082199E" w:rsidRPr="0082199E">
        <w:rPr>
          <w:i/>
        </w:rPr>
        <w:t>Environmental Values</w:t>
      </w:r>
      <w:r w:rsidR="0082199E">
        <w:rPr>
          <w:i/>
        </w:rPr>
        <w:t xml:space="preserve"> </w:t>
      </w:r>
      <w:r w:rsidR="0082199E">
        <w:t>(</w:t>
      </w:r>
      <w:hyperlink r:id="rId1" w:history="1">
        <w:r w:rsidR="0082199E" w:rsidRPr="00626582">
          <w:rPr>
            <w:rStyle w:val="Hyperlink"/>
          </w:rPr>
          <w:t>http://www.erica.demon.co.uk/EV.html</w:t>
        </w:r>
      </w:hyperlink>
      <w:r w:rsidR="0082199E">
        <w:t xml:space="preserve">). </w:t>
      </w:r>
      <w:proofErr w:type="gramStart"/>
      <w:r w:rsidR="0082199E">
        <w:t>© 2013 The White Horse Press</w:t>
      </w:r>
      <w:r w:rsidR="0082199E">
        <w:t>.</w:t>
      </w:r>
      <w:proofErr w:type="gramEnd"/>
      <w:r w:rsidR="0082199E">
        <w:t xml:space="preserve"> </w:t>
      </w:r>
      <w:r>
        <w:t xml:space="preserve">Earlier versions of this article were presented at the Universities of Edinburgh and Johannesburg. I would to thank the participants on those occasions. I </w:t>
      </w:r>
      <w:r w:rsidR="003C4A23">
        <w:t>am especially grateful to</w:t>
      </w:r>
      <w:r>
        <w:t xml:space="preserve"> Dominic </w:t>
      </w:r>
      <w:proofErr w:type="spellStart"/>
      <w:r>
        <w:t>Roser</w:t>
      </w:r>
      <w:proofErr w:type="spellEnd"/>
      <w:r>
        <w:t xml:space="preserve"> and two anonymous referees</w:t>
      </w:r>
      <w:r w:rsidR="003C4A23">
        <w:t xml:space="preserve"> for their</w:t>
      </w:r>
      <w:r>
        <w:t xml:space="preserve"> </w:t>
      </w:r>
      <w:r w:rsidR="003C4A23">
        <w:t>insightful</w:t>
      </w:r>
      <w:r>
        <w:t xml:space="preserve"> written comments.</w:t>
      </w:r>
      <w:r w:rsidR="00336DEE">
        <w:t xml:space="preserve"> Research for this article was supported by the British Academy.</w:t>
      </w:r>
    </w:p>
  </w:footnote>
  <w:footnote w:id="2">
    <w:p w:rsidR="00387D37" w:rsidRDefault="00387D37" w:rsidP="005F01DF">
      <w:pPr>
        <w:pStyle w:val="FootnoteText"/>
        <w:spacing w:line="480" w:lineRule="auto"/>
        <w:jc w:val="both"/>
      </w:pPr>
      <w:r>
        <w:rPr>
          <w:rStyle w:val="FootnoteReference"/>
        </w:rPr>
        <w:footnoteRef/>
      </w:r>
      <w:r>
        <w:t xml:space="preserve"> </w:t>
      </w:r>
      <w:r w:rsidR="003E7399">
        <w:t>Caney</w:t>
      </w:r>
      <w:r w:rsidR="00435A56">
        <w:t>,</w:t>
      </w:r>
      <w:r w:rsidR="003E7399">
        <w:t xml:space="preserve"> </w:t>
      </w:r>
      <w:r w:rsidR="00435A56">
        <w:t>2011,</w:t>
      </w:r>
      <w:r w:rsidR="003E7399">
        <w:t xml:space="preserve"> p. 88.</w:t>
      </w:r>
    </w:p>
  </w:footnote>
  <w:footnote w:id="3">
    <w:p w:rsidR="00387D37" w:rsidRPr="00CA1975" w:rsidRDefault="00387D37" w:rsidP="00CA1975">
      <w:pPr>
        <w:pStyle w:val="FootnoteText"/>
        <w:spacing w:line="480" w:lineRule="auto"/>
        <w:jc w:val="both"/>
      </w:pPr>
      <w:r>
        <w:rPr>
          <w:rStyle w:val="FootnoteReference"/>
        </w:rPr>
        <w:footnoteRef/>
      </w:r>
      <w:r>
        <w:t xml:space="preserve"> Jamieson, </w:t>
      </w:r>
      <w:r w:rsidR="00435A56">
        <w:t>2010a</w:t>
      </w:r>
      <w:r>
        <w:t>,</w:t>
      </w:r>
      <w:r w:rsidR="00435A56">
        <w:t xml:space="preserve"> pp.</w:t>
      </w:r>
      <w:r>
        <w:t xml:space="preserve"> 271-72.</w:t>
      </w:r>
    </w:p>
  </w:footnote>
  <w:footnote w:id="4">
    <w:p w:rsidR="00387D37" w:rsidRDefault="00387D37" w:rsidP="00CC1039">
      <w:pPr>
        <w:pStyle w:val="FootnoteText"/>
        <w:spacing w:line="480" w:lineRule="auto"/>
        <w:jc w:val="both"/>
      </w:pPr>
      <w:r>
        <w:rPr>
          <w:rStyle w:val="FootnoteReference"/>
        </w:rPr>
        <w:footnoteRef/>
      </w:r>
      <w:r>
        <w:t xml:space="preserve"> </w:t>
      </w:r>
      <w:proofErr w:type="spellStart"/>
      <w:proofErr w:type="gramStart"/>
      <w:r>
        <w:t>Gosseries</w:t>
      </w:r>
      <w:proofErr w:type="spellEnd"/>
      <w:r>
        <w:t xml:space="preserve">, </w:t>
      </w:r>
      <w:r w:rsidR="00435A56">
        <w:t>2004</w:t>
      </w:r>
      <w:r>
        <w:t>; Caney</w:t>
      </w:r>
      <w:r w:rsidR="00435A56">
        <w:t>, 2005a</w:t>
      </w:r>
      <w:r>
        <w:t xml:space="preserve">; </w:t>
      </w:r>
      <w:r w:rsidR="00435A56">
        <w:t>2010</w:t>
      </w:r>
      <w:r>
        <w:t xml:space="preserve">; </w:t>
      </w:r>
      <w:r w:rsidR="00435A56">
        <w:t>Page, 2008; 2011</w:t>
      </w:r>
      <w:r>
        <w:t>.</w:t>
      </w:r>
      <w:proofErr w:type="gramEnd"/>
    </w:p>
  </w:footnote>
  <w:footnote w:id="5">
    <w:p w:rsidR="00387D37" w:rsidRPr="000869A9" w:rsidRDefault="00387D37" w:rsidP="0000677A">
      <w:pPr>
        <w:pStyle w:val="FootnoteText"/>
        <w:spacing w:line="480" w:lineRule="auto"/>
        <w:jc w:val="both"/>
      </w:pPr>
      <w:r>
        <w:rPr>
          <w:rStyle w:val="FootnoteReference"/>
        </w:rPr>
        <w:footnoteRef/>
      </w:r>
      <w:r>
        <w:t xml:space="preserve"> </w:t>
      </w:r>
      <w:proofErr w:type="spellStart"/>
      <w:proofErr w:type="gramStart"/>
      <w:r w:rsidR="00435A56">
        <w:t>Callendar</w:t>
      </w:r>
      <w:proofErr w:type="spellEnd"/>
      <w:r w:rsidR="00435A56">
        <w:t xml:space="preserve">, </w:t>
      </w:r>
      <w:r>
        <w:t>1938</w:t>
      </w:r>
      <w:r w:rsidR="004F533D">
        <w:t xml:space="preserve">, cited in </w:t>
      </w:r>
      <w:r>
        <w:t xml:space="preserve">Jamieson, </w:t>
      </w:r>
      <w:r w:rsidR="00435A56">
        <w:t xml:space="preserve">2010b, p. </w:t>
      </w:r>
      <w:r>
        <w:t>77</w:t>
      </w:r>
      <w:r w:rsidRPr="0000677A">
        <w:rPr>
          <w:i/>
        </w:rPr>
        <w:t>.</w:t>
      </w:r>
      <w:proofErr w:type="gramEnd"/>
    </w:p>
  </w:footnote>
  <w:footnote w:id="6">
    <w:p w:rsidR="00387D37" w:rsidRPr="008E5FF4" w:rsidRDefault="00387D37" w:rsidP="00C07F85">
      <w:pPr>
        <w:pStyle w:val="FootnoteText"/>
        <w:spacing w:line="480" w:lineRule="auto"/>
        <w:jc w:val="both"/>
      </w:pPr>
      <w:r>
        <w:rPr>
          <w:rStyle w:val="FootnoteReference"/>
        </w:rPr>
        <w:footnoteRef/>
      </w:r>
      <w:r>
        <w:t xml:space="preserve"> For Caney’s general cosmopolitan position see Caney,</w:t>
      </w:r>
      <w:r w:rsidR="00435A56">
        <w:t xml:space="preserve"> 2005b</w:t>
      </w:r>
      <w:r>
        <w:t>.</w:t>
      </w:r>
    </w:p>
  </w:footnote>
  <w:footnote w:id="7">
    <w:p w:rsidR="00387D37" w:rsidRPr="008E5FF4" w:rsidRDefault="00387D37" w:rsidP="00C07F85">
      <w:pPr>
        <w:spacing w:line="480" w:lineRule="auto"/>
        <w:jc w:val="both"/>
        <w:rPr>
          <w:sz w:val="20"/>
          <w:szCs w:val="20"/>
        </w:rPr>
      </w:pPr>
      <w:r w:rsidRPr="008E5FF4">
        <w:rPr>
          <w:rStyle w:val="FootnoteReference"/>
          <w:sz w:val="20"/>
          <w:szCs w:val="20"/>
        </w:rPr>
        <w:footnoteRef/>
      </w:r>
      <w:r w:rsidRPr="008E5FF4">
        <w:rPr>
          <w:sz w:val="20"/>
          <w:szCs w:val="20"/>
        </w:rPr>
        <w:t xml:space="preserve"> </w:t>
      </w:r>
      <w:proofErr w:type="spellStart"/>
      <w:proofErr w:type="gramStart"/>
      <w:r w:rsidRPr="008E5FF4">
        <w:rPr>
          <w:sz w:val="20"/>
          <w:szCs w:val="20"/>
        </w:rPr>
        <w:t>Goodin</w:t>
      </w:r>
      <w:proofErr w:type="spellEnd"/>
      <w:r w:rsidRPr="008E5FF4">
        <w:rPr>
          <w:sz w:val="20"/>
          <w:szCs w:val="20"/>
        </w:rPr>
        <w:t xml:space="preserve">, </w:t>
      </w:r>
      <w:r w:rsidR="00435A56">
        <w:rPr>
          <w:sz w:val="20"/>
          <w:szCs w:val="20"/>
        </w:rPr>
        <w:t xml:space="preserve">2008; </w:t>
      </w:r>
      <w:r>
        <w:rPr>
          <w:sz w:val="20"/>
          <w:szCs w:val="20"/>
        </w:rPr>
        <w:t>Baer</w:t>
      </w:r>
      <w:r w:rsidR="00435A56">
        <w:rPr>
          <w:sz w:val="20"/>
          <w:szCs w:val="20"/>
        </w:rPr>
        <w:t xml:space="preserve"> et al, 2008</w:t>
      </w:r>
      <w:r>
        <w:rPr>
          <w:sz w:val="20"/>
          <w:szCs w:val="20"/>
        </w:rPr>
        <w:t>.</w:t>
      </w:r>
      <w:proofErr w:type="gramEnd"/>
      <w:r>
        <w:rPr>
          <w:sz w:val="20"/>
          <w:szCs w:val="20"/>
        </w:rPr>
        <w:t xml:space="preserve"> </w:t>
      </w:r>
    </w:p>
  </w:footnote>
  <w:footnote w:id="8">
    <w:p w:rsidR="00387D37" w:rsidRPr="00F82C28" w:rsidRDefault="00387D37" w:rsidP="00615CBF">
      <w:pPr>
        <w:autoSpaceDE w:val="0"/>
        <w:autoSpaceDN w:val="0"/>
        <w:adjustRightInd w:val="0"/>
        <w:spacing w:line="480" w:lineRule="auto"/>
        <w:jc w:val="both"/>
        <w:rPr>
          <w:sz w:val="20"/>
          <w:szCs w:val="20"/>
          <w:lang w:val="en-US" w:eastAsia="en-US"/>
        </w:rPr>
      </w:pPr>
      <w:r w:rsidRPr="00F82C28">
        <w:rPr>
          <w:rStyle w:val="FootnoteReference"/>
          <w:sz w:val="20"/>
          <w:szCs w:val="20"/>
        </w:rPr>
        <w:footnoteRef/>
      </w:r>
      <w:r w:rsidR="00435A56">
        <w:rPr>
          <w:sz w:val="20"/>
          <w:szCs w:val="20"/>
        </w:rPr>
        <w:t xml:space="preserve"> </w:t>
      </w:r>
      <w:r w:rsidRPr="00F82C28">
        <w:rPr>
          <w:sz w:val="20"/>
          <w:szCs w:val="20"/>
        </w:rPr>
        <w:t xml:space="preserve">Hayward, </w:t>
      </w:r>
      <w:r w:rsidR="00435A56">
        <w:rPr>
          <w:sz w:val="20"/>
          <w:szCs w:val="20"/>
          <w:lang w:val="en-US" w:eastAsia="en-US"/>
        </w:rPr>
        <w:t>2007, p.</w:t>
      </w:r>
      <w:r>
        <w:rPr>
          <w:sz w:val="20"/>
          <w:szCs w:val="20"/>
          <w:lang w:val="en-US" w:eastAsia="en-US"/>
        </w:rPr>
        <w:t xml:space="preserve"> </w:t>
      </w:r>
      <w:r w:rsidRPr="00F82C28">
        <w:rPr>
          <w:sz w:val="20"/>
          <w:szCs w:val="20"/>
          <w:lang w:val="en-US" w:eastAsia="en-US"/>
        </w:rPr>
        <w:t>449.</w:t>
      </w:r>
      <w:r>
        <w:rPr>
          <w:sz w:val="20"/>
          <w:szCs w:val="20"/>
          <w:lang w:val="en-US" w:eastAsia="en-US"/>
        </w:rPr>
        <w:t xml:space="preserve"> See also Singer,</w:t>
      </w:r>
      <w:r w:rsidR="00435A56">
        <w:rPr>
          <w:sz w:val="20"/>
          <w:szCs w:val="20"/>
          <w:lang w:val="en-US" w:eastAsia="en-US"/>
        </w:rPr>
        <w:t xml:space="preserve"> 2006</w:t>
      </w:r>
      <w:r>
        <w:rPr>
          <w:sz w:val="20"/>
          <w:szCs w:val="20"/>
          <w:lang w:val="en-US" w:eastAsia="en-US"/>
        </w:rPr>
        <w:t xml:space="preserve">, </w:t>
      </w:r>
      <w:r w:rsidR="00435A56">
        <w:rPr>
          <w:sz w:val="20"/>
          <w:szCs w:val="20"/>
          <w:lang w:val="en-US" w:eastAsia="en-US"/>
        </w:rPr>
        <w:t xml:space="preserve">p. </w:t>
      </w:r>
      <w:r>
        <w:rPr>
          <w:sz w:val="20"/>
          <w:szCs w:val="20"/>
          <w:lang w:val="en-US" w:eastAsia="en-US"/>
        </w:rPr>
        <w:t>420.</w:t>
      </w:r>
    </w:p>
  </w:footnote>
  <w:footnote w:id="9">
    <w:p w:rsidR="00387D37" w:rsidRPr="005F2496" w:rsidRDefault="00387D37" w:rsidP="00615CBF">
      <w:pPr>
        <w:pStyle w:val="FootnoteText"/>
        <w:spacing w:line="480" w:lineRule="auto"/>
        <w:jc w:val="both"/>
      </w:pPr>
      <w:r w:rsidRPr="005F2496">
        <w:rPr>
          <w:rStyle w:val="FootnoteReference"/>
        </w:rPr>
        <w:footnoteRef/>
      </w:r>
      <w:r w:rsidRPr="005F2496">
        <w:t xml:space="preserve"> </w:t>
      </w:r>
      <w:r w:rsidR="00435A56">
        <w:t xml:space="preserve">Wesley and Peterson, 1999, pp. </w:t>
      </w:r>
      <w:r w:rsidRPr="005F2496">
        <w:t>178-</w:t>
      </w:r>
      <w:r w:rsidR="00435A56">
        <w:t>7</w:t>
      </w:r>
      <w:r w:rsidRPr="005F2496">
        <w:t>9.</w:t>
      </w:r>
    </w:p>
  </w:footnote>
  <w:footnote w:id="10">
    <w:p w:rsidR="00387D37" w:rsidRPr="005F2496" w:rsidRDefault="00387D37" w:rsidP="00615CBF">
      <w:pPr>
        <w:pStyle w:val="FootnoteText"/>
        <w:spacing w:line="480" w:lineRule="auto"/>
        <w:jc w:val="both"/>
      </w:pPr>
      <w:r w:rsidRPr="005F2496">
        <w:rPr>
          <w:rStyle w:val="FootnoteReference"/>
        </w:rPr>
        <w:footnoteRef/>
      </w:r>
      <w:r w:rsidRPr="005F2496">
        <w:t xml:space="preserve"> Wesley and Peterson</w:t>
      </w:r>
      <w:r>
        <w:t>,</w:t>
      </w:r>
      <w:r w:rsidR="00435A56">
        <w:t xml:space="preserve"> 1999, p.</w:t>
      </w:r>
      <w:r>
        <w:t xml:space="preserve"> </w:t>
      </w:r>
      <w:r w:rsidRPr="005F2496">
        <w:t>186.</w:t>
      </w:r>
    </w:p>
  </w:footnote>
  <w:footnote w:id="11">
    <w:p w:rsidR="00387D37" w:rsidRPr="005F2496" w:rsidRDefault="00387D37" w:rsidP="00615CBF">
      <w:pPr>
        <w:spacing w:line="480" w:lineRule="auto"/>
        <w:contextualSpacing/>
        <w:jc w:val="both"/>
        <w:rPr>
          <w:sz w:val="20"/>
          <w:szCs w:val="20"/>
        </w:rPr>
      </w:pPr>
      <w:r w:rsidRPr="005F2496">
        <w:rPr>
          <w:rStyle w:val="FootnoteReference"/>
          <w:sz w:val="20"/>
          <w:szCs w:val="20"/>
        </w:rPr>
        <w:footnoteRef/>
      </w:r>
      <w:r w:rsidRPr="005F2496">
        <w:rPr>
          <w:sz w:val="20"/>
          <w:szCs w:val="20"/>
        </w:rPr>
        <w:t xml:space="preserve"> </w:t>
      </w:r>
      <w:proofErr w:type="spellStart"/>
      <w:proofErr w:type="gramStart"/>
      <w:r>
        <w:rPr>
          <w:sz w:val="20"/>
          <w:szCs w:val="20"/>
        </w:rPr>
        <w:t>Agarwal</w:t>
      </w:r>
      <w:proofErr w:type="spellEnd"/>
      <w:r>
        <w:rPr>
          <w:sz w:val="20"/>
          <w:szCs w:val="20"/>
        </w:rPr>
        <w:t xml:space="preserve"> and </w:t>
      </w:r>
      <w:proofErr w:type="spellStart"/>
      <w:r>
        <w:rPr>
          <w:sz w:val="20"/>
          <w:szCs w:val="20"/>
        </w:rPr>
        <w:t>Narain</w:t>
      </w:r>
      <w:proofErr w:type="spellEnd"/>
      <w:r>
        <w:rPr>
          <w:sz w:val="20"/>
          <w:szCs w:val="20"/>
        </w:rPr>
        <w:t xml:space="preserve">, </w:t>
      </w:r>
      <w:r w:rsidR="00435A56">
        <w:rPr>
          <w:sz w:val="20"/>
          <w:szCs w:val="20"/>
        </w:rPr>
        <w:t>1991</w:t>
      </w:r>
      <w:r>
        <w:rPr>
          <w:sz w:val="20"/>
          <w:szCs w:val="20"/>
        </w:rPr>
        <w:t xml:space="preserve">; </w:t>
      </w:r>
      <w:proofErr w:type="spellStart"/>
      <w:r w:rsidRPr="005F2496">
        <w:rPr>
          <w:sz w:val="20"/>
          <w:szCs w:val="20"/>
        </w:rPr>
        <w:t>Shue</w:t>
      </w:r>
      <w:proofErr w:type="spellEnd"/>
      <w:r w:rsidRPr="005F2496">
        <w:rPr>
          <w:sz w:val="20"/>
          <w:szCs w:val="20"/>
        </w:rPr>
        <w:t xml:space="preserve">, </w:t>
      </w:r>
      <w:r w:rsidR="00435A56">
        <w:rPr>
          <w:sz w:val="20"/>
          <w:szCs w:val="20"/>
        </w:rPr>
        <w:t>1992</w:t>
      </w:r>
      <w:r w:rsidRPr="009D54E1">
        <w:rPr>
          <w:sz w:val="20"/>
          <w:szCs w:val="20"/>
        </w:rPr>
        <w:t>;</w:t>
      </w:r>
      <w:r w:rsidR="00435A56">
        <w:rPr>
          <w:sz w:val="20"/>
          <w:szCs w:val="20"/>
        </w:rPr>
        <w:t xml:space="preserve"> 2010a.</w:t>
      </w:r>
      <w:proofErr w:type="gramEnd"/>
    </w:p>
  </w:footnote>
  <w:footnote w:id="12">
    <w:p w:rsidR="00B53FAF" w:rsidRDefault="00B53FAF" w:rsidP="00B53FAF">
      <w:pPr>
        <w:pStyle w:val="FootnoteText"/>
        <w:spacing w:line="480" w:lineRule="auto"/>
        <w:jc w:val="both"/>
      </w:pPr>
      <w:r>
        <w:rPr>
          <w:rStyle w:val="FootnoteReference"/>
        </w:rPr>
        <w:footnoteRef/>
      </w:r>
      <w:r>
        <w:t xml:space="preserve"> </w:t>
      </w:r>
      <w:r w:rsidRPr="005F2496">
        <w:t xml:space="preserve">Caney, </w:t>
      </w:r>
      <w:r>
        <w:t>2009, p. 128; 2011, p.</w:t>
      </w:r>
      <w:r>
        <w:rPr>
          <w:lang w:val="en-US" w:eastAsia="en-US"/>
        </w:rPr>
        <w:t xml:space="preserve"> 88;</w:t>
      </w:r>
      <w:r w:rsidRPr="0045511D">
        <w:t xml:space="preserve"> </w:t>
      </w:r>
      <w:r>
        <w:t xml:space="preserve">Grubb, 1989, p. 83; </w:t>
      </w:r>
      <w:proofErr w:type="spellStart"/>
      <w:r>
        <w:t>Moellendorf</w:t>
      </w:r>
      <w:proofErr w:type="spellEnd"/>
      <w:r>
        <w:t>,</w:t>
      </w:r>
      <w:r>
        <w:rPr>
          <w:i/>
        </w:rPr>
        <w:t xml:space="preserve"> </w:t>
      </w:r>
      <w:r>
        <w:t>2009, p. 117.</w:t>
      </w:r>
    </w:p>
  </w:footnote>
  <w:footnote w:id="13">
    <w:p w:rsidR="00387D37" w:rsidRDefault="00387D37" w:rsidP="00021F88">
      <w:pPr>
        <w:pStyle w:val="FootnoteText"/>
        <w:spacing w:line="480" w:lineRule="auto"/>
        <w:jc w:val="both"/>
      </w:pPr>
      <w:r>
        <w:rPr>
          <w:rStyle w:val="FootnoteReference"/>
        </w:rPr>
        <w:footnoteRef/>
      </w:r>
      <w:r>
        <w:t xml:space="preserve"> In this and the following paragraphs ‘emission rights’ should be read as ‘emission rights and/or the means of purchasing emission rights’, with the ‘means’ being relevant only if emissions trading is permitted – on which I take no stance here.</w:t>
      </w:r>
    </w:p>
  </w:footnote>
  <w:footnote w:id="14">
    <w:p w:rsidR="00387D37" w:rsidRPr="005B6931" w:rsidRDefault="00387D37" w:rsidP="005B6931">
      <w:pPr>
        <w:spacing w:line="360" w:lineRule="auto"/>
        <w:jc w:val="both"/>
        <w:rPr>
          <w:rFonts w:eastAsia="SimSun"/>
          <w:sz w:val="20"/>
          <w:szCs w:val="20"/>
          <w:lang w:eastAsia="zh-CN"/>
        </w:rPr>
      </w:pPr>
      <w:r w:rsidRPr="005B6931">
        <w:rPr>
          <w:rStyle w:val="FootnoteReference"/>
          <w:sz w:val="20"/>
          <w:szCs w:val="20"/>
        </w:rPr>
        <w:footnoteRef/>
      </w:r>
      <w:r w:rsidRPr="005B6931">
        <w:rPr>
          <w:sz w:val="20"/>
          <w:szCs w:val="20"/>
        </w:rPr>
        <w:t xml:space="preserve"> </w:t>
      </w:r>
      <w:proofErr w:type="gramStart"/>
      <w:r w:rsidRPr="005B6931">
        <w:rPr>
          <w:sz w:val="20"/>
          <w:szCs w:val="20"/>
        </w:rPr>
        <w:t xml:space="preserve">Hare, </w:t>
      </w:r>
      <w:r w:rsidR="00435A56">
        <w:rPr>
          <w:sz w:val="20"/>
          <w:szCs w:val="20"/>
        </w:rPr>
        <w:t>1981</w:t>
      </w:r>
      <w:r w:rsidRPr="005B6931">
        <w:rPr>
          <w:sz w:val="20"/>
          <w:szCs w:val="20"/>
        </w:rPr>
        <w:t xml:space="preserve">; </w:t>
      </w:r>
      <w:proofErr w:type="spellStart"/>
      <w:r w:rsidRPr="005B6931">
        <w:rPr>
          <w:rFonts w:eastAsia="SimSun"/>
          <w:sz w:val="20"/>
          <w:szCs w:val="20"/>
          <w:lang w:eastAsia="zh-CN"/>
        </w:rPr>
        <w:t>Harsanyi</w:t>
      </w:r>
      <w:proofErr w:type="spellEnd"/>
      <w:r w:rsidRPr="005B6931">
        <w:rPr>
          <w:rFonts w:eastAsia="SimSun"/>
          <w:sz w:val="20"/>
          <w:szCs w:val="20"/>
          <w:lang w:eastAsia="zh-CN"/>
        </w:rPr>
        <w:t xml:space="preserve">, </w:t>
      </w:r>
      <w:r w:rsidR="00435A56">
        <w:rPr>
          <w:rFonts w:eastAsia="SimSun"/>
          <w:sz w:val="20"/>
          <w:szCs w:val="20"/>
          <w:lang w:eastAsia="zh-CN"/>
        </w:rPr>
        <w:t xml:space="preserve">1982; </w:t>
      </w:r>
      <w:proofErr w:type="spellStart"/>
      <w:r w:rsidRPr="005B6931">
        <w:rPr>
          <w:rFonts w:eastAsia="SimSun"/>
          <w:sz w:val="20"/>
          <w:szCs w:val="20"/>
          <w:lang w:eastAsia="zh-CN"/>
        </w:rPr>
        <w:t>Raz</w:t>
      </w:r>
      <w:proofErr w:type="spellEnd"/>
      <w:r w:rsidRPr="005B6931">
        <w:rPr>
          <w:rFonts w:eastAsia="SimSun"/>
          <w:sz w:val="20"/>
          <w:szCs w:val="20"/>
          <w:lang w:eastAsia="zh-CN"/>
        </w:rPr>
        <w:t xml:space="preserve">, </w:t>
      </w:r>
      <w:r w:rsidR="00435A56">
        <w:rPr>
          <w:rFonts w:eastAsia="SimSun"/>
          <w:sz w:val="20"/>
          <w:szCs w:val="20"/>
          <w:lang w:eastAsia="zh-CN"/>
        </w:rPr>
        <w:t>1986</w:t>
      </w:r>
      <w:r>
        <w:rPr>
          <w:rFonts w:eastAsia="SimSun"/>
          <w:sz w:val="20"/>
          <w:szCs w:val="20"/>
          <w:lang w:eastAsia="zh-CN"/>
        </w:rPr>
        <w:t xml:space="preserve">, </w:t>
      </w:r>
      <w:proofErr w:type="spellStart"/>
      <w:r>
        <w:rPr>
          <w:rFonts w:eastAsia="SimSun"/>
          <w:sz w:val="20"/>
          <w:szCs w:val="20"/>
          <w:lang w:eastAsia="zh-CN"/>
        </w:rPr>
        <w:t>ch.</w:t>
      </w:r>
      <w:proofErr w:type="spellEnd"/>
      <w:r>
        <w:rPr>
          <w:rFonts w:eastAsia="SimSun"/>
          <w:sz w:val="20"/>
          <w:szCs w:val="20"/>
          <w:lang w:eastAsia="zh-CN"/>
        </w:rPr>
        <w:t xml:space="preserve"> 12</w:t>
      </w:r>
      <w:r w:rsidRPr="005B6931">
        <w:rPr>
          <w:rFonts w:eastAsia="SimSun"/>
          <w:sz w:val="20"/>
          <w:szCs w:val="20"/>
          <w:lang w:eastAsia="zh-CN"/>
        </w:rPr>
        <w:t xml:space="preserve">; </w:t>
      </w:r>
      <w:proofErr w:type="spellStart"/>
      <w:r w:rsidRPr="005B6931">
        <w:rPr>
          <w:rFonts w:eastAsia="SimSun"/>
          <w:sz w:val="20"/>
          <w:szCs w:val="20"/>
          <w:lang w:eastAsia="zh-CN"/>
        </w:rPr>
        <w:t>Arneson</w:t>
      </w:r>
      <w:proofErr w:type="spellEnd"/>
      <w:r w:rsidRPr="005B6931">
        <w:rPr>
          <w:rFonts w:eastAsia="SimSun"/>
          <w:sz w:val="20"/>
          <w:szCs w:val="20"/>
          <w:lang w:eastAsia="zh-CN"/>
        </w:rPr>
        <w:t xml:space="preserve">, </w:t>
      </w:r>
      <w:r w:rsidR="00AB4F61">
        <w:rPr>
          <w:iCs/>
          <w:sz w:val="20"/>
          <w:szCs w:val="20"/>
        </w:rPr>
        <w:t>1989</w:t>
      </w:r>
      <w:r w:rsidRPr="005B6931">
        <w:rPr>
          <w:sz w:val="20"/>
          <w:szCs w:val="20"/>
        </w:rPr>
        <w:t>.</w:t>
      </w:r>
      <w:proofErr w:type="gramEnd"/>
    </w:p>
  </w:footnote>
  <w:footnote w:id="15">
    <w:p w:rsidR="00387D37" w:rsidRDefault="00387D37" w:rsidP="00362C42">
      <w:pPr>
        <w:pStyle w:val="FootnoteText"/>
        <w:spacing w:line="480" w:lineRule="auto"/>
      </w:pPr>
      <w:r>
        <w:rPr>
          <w:rStyle w:val="FootnoteReference"/>
        </w:rPr>
        <w:footnoteRef/>
      </w:r>
      <w:r w:rsidR="00AB4F61">
        <w:t xml:space="preserve"> </w:t>
      </w:r>
      <w:proofErr w:type="spellStart"/>
      <w:r>
        <w:t>Soltau</w:t>
      </w:r>
      <w:proofErr w:type="spellEnd"/>
      <w:r>
        <w:t>,</w:t>
      </w:r>
      <w:r w:rsidR="00AB4F61">
        <w:t xml:space="preserve"> 2009,</w:t>
      </w:r>
      <w:r>
        <w:t xml:space="preserve"> </w:t>
      </w:r>
      <w:r w:rsidR="00AB4F61">
        <w:t xml:space="preserve">p. </w:t>
      </w:r>
      <w:r>
        <w:t>143.</w:t>
      </w:r>
    </w:p>
  </w:footnote>
  <w:footnote w:id="16">
    <w:p w:rsidR="00387D37" w:rsidRPr="005F2496" w:rsidRDefault="00387D37" w:rsidP="00615CBF">
      <w:pPr>
        <w:pStyle w:val="FootnoteText"/>
        <w:spacing w:line="480" w:lineRule="auto"/>
        <w:jc w:val="both"/>
      </w:pPr>
      <w:r w:rsidRPr="005F2496">
        <w:rPr>
          <w:rStyle w:val="FootnoteReference"/>
        </w:rPr>
        <w:footnoteRef/>
      </w:r>
      <w:r w:rsidRPr="005F2496">
        <w:t xml:space="preserve"> </w:t>
      </w:r>
      <w:proofErr w:type="spellStart"/>
      <w:proofErr w:type="gramStart"/>
      <w:r w:rsidR="00AB4F61">
        <w:t>Dworkin</w:t>
      </w:r>
      <w:proofErr w:type="spellEnd"/>
      <w:r w:rsidR="00AB4F61">
        <w:t>, 1981a.</w:t>
      </w:r>
      <w:proofErr w:type="gramEnd"/>
    </w:p>
  </w:footnote>
  <w:footnote w:id="17">
    <w:p w:rsidR="00387D37" w:rsidRPr="005F2496" w:rsidRDefault="00387D37" w:rsidP="00615CBF">
      <w:pPr>
        <w:pStyle w:val="FootnoteText"/>
        <w:spacing w:line="480" w:lineRule="auto"/>
        <w:jc w:val="both"/>
      </w:pPr>
      <w:r w:rsidRPr="005F2496">
        <w:rPr>
          <w:rStyle w:val="FootnoteReference"/>
        </w:rPr>
        <w:footnoteRef/>
      </w:r>
      <w:r w:rsidRPr="005F2496">
        <w:t xml:space="preserve"> </w:t>
      </w:r>
      <w:proofErr w:type="spellStart"/>
      <w:r w:rsidRPr="005F2496">
        <w:t>Dworkin</w:t>
      </w:r>
      <w:proofErr w:type="spellEnd"/>
      <w:r w:rsidRPr="005F2496">
        <w:t xml:space="preserve">, </w:t>
      </w:r>
      <w:r w:rsidR="00AB4F61">
        <w:t xml:space="preserve">1981a, p. </w:t>
      </w:r>
      <w:r w:rsidRPr="005F2496">
        <w:t>229.</w:t>
      </w:r>
    </w:p>
  </w:footnote>
  <w:footnote w:id="18">
    <w:p w:rsidR="00387D37" w:rsidRPr="005F2496" w:rsidRDefault="00387D37" w:rsidP="00615CBF">
      <w:pPr>
        <w:pStyle w:val="FootnoteText"/>
        <w:spacing w:line="480" w:lineRule="auto"/>
        <w:jc w:val="both"/>
      </w:pPr>
      <w:r w:rsidRPr="005F2496">
        <w:rPr>
          <w:rStyle w:val="FootnoteReference"/>
        </w:rPr>
        <w:footnoteRef/>
      </w:r>
      <w:r w:rsidR="00AB4F61">
        <w:t xml:space="preserve"> </w:t>
      </w:r>
      <w:proofErr w:type="spellStart"/>
      <w:r w:rsidR="00AB4F61">
        <w:t>Dworkin</w:t>
      </w:r>
      <w:proofErr w:type="spellEnd"/>
      <w:r w:rsidR="00AB4F61">
        <w:t>, 1981a</w:t>
      </w:r>
      <w:r>
        <w:t>,</w:t>
      </w:r>
      <w:r w:rsidR="00AB4F61">
        <w:t xml:space="preserve"> p.</w:t>
      </w:r>
      <w:r>
        <w:t xml:space="preserve"> </w:t>
      </w:r>
      <w:r w:rsidRPr="005F2496">
        <w:t>235.</w:t>
      </w:r>
    </w:p>
  </w:footnote>
  <w:footnote w:id="19">
    <w:p w:rsidR="00387D37" w:rsidRPr="005F2496" w:rsidRDefault="00387D37" w:rsidP="00615CBF">
      <w:pPr>
        <w:pStyle w:val="FootnoteText"/>
        <w:spacing w:line="480" w:lineRule="auto"/>
        <w:jc w:val="both"/>
      </w:pPr>
      <w:r w:rsidRPr="005F2496">
        <w:rPr>
          <w:rStyle w:val="FootnoteReference"/>
        </w:rPr>
        <w:footnoteRef/>
      </w:r>
      <w:r w:rsidR="00AB4F61">
        <w:t xml:space="preserve"> </w:t>
      </w:r>
      <w:proofErr w:type="spellStart"/>
      <w:proofErr w:type="gramStart"/>
      <w:r w:rsidR="00AB4F61">
        <w:t>Arneson</w:t>
      </w:r>
      <w:proofErr w:type="spellEnd"/>
      <w:r w:rsidR="00AB4F61">
        <w:t>, 1989; Cohen, 1989</w:t>
      </w:r>
      <w:r w:rsidRPr="005F2496">
        <w:t>.</w:t>
      </w:r>
      <w:proofErr w:type="gramEnd"/>
    </w:p>
  </w:footnote>
  <w:footnote w:id="20">
    <w:p w:rsidR="00387D37" w:rsidRPr="00BA25F4" w:rsidRDefault="00387D37" w:rsidP="001A7642">
      <w:pPr>
        <w:pStyle w:val="FootnoteText"/>
        <w:spacing w:line="480" w:lineRule="auto"/>
        <w:jc w:val="both"/>
        <w:rPr>
          <w:lang w:val="en-ZA"/>
        </w:rPr>
      </w:pPr>
      <w:r>
        <w:rPr>
          <w:rStyle w:val="FootnoteReference"/>
        </w:rPr>
        <w:footnoteRef/>
      </w:r>
      <w:r>
        <w:t xml:space="preserve"> </w:t>
      </w:r>
      <w:r>
        <w:rPr>
          <w:lang w:val="en-ZA"/>
        </w:rPr>
        <w:t xml:space="preserve">Thus, though luck egalitarianism focuses on individual responsibility, it does so in a very different way to much of the environmental ethics literature. In particular, its first concern is with ‘responsibility as </w:t>
      </w:r>
      <w:proofErr w:type="spellStart"/>
      <w:r>
        <w:rPr>
          <w:lang w:val="en-ZA"/>
        </w:rPr>
        <w:t>attributability</w:t>
      </w:r>
      <w:proofErr w:type="spellEnd"/>
      <w:r>
        <w:rPr>
          <w:lang w:val="en-ZA"/>
        </w:rPr>
        <w:t>’, which is what an ind</w:t>
      </w:r>
      <w:r w:rsidR="00AB4F61">
        <w:rPr>
          <w:lang w:val="en-ZA"/>
        </w:rPr>
        <w:t xml:space="preserve">ividual has brought about (see </w:t>
      </w:r>
      <w:r>
        <w:rPr>
          <w:lang w:val="en-ZA"/>
        </w:rPr>
        <w:t xml:space="preserve">Scanlon, </w:t>
      </w:r>
      <w:r w:rsidR="00AB4F61">
        <w:rPr>
          <w:lang w:val="en-ZA"/>
        </w:rPr>
        <w:t xml:space="preserve">1989, </w:t>
      </w:r>
      <w:proofErr w:type="spellStart"/>
      <w:r w:rsidR="00AB4F61">
        <w:rPr>
          <w:lang w:val="en-ZA"/>
        </w:rPr>
        <w:t>ch.</w:t>
      </w:r>
      <w:proofErr w:type="spellEnd"/>
      <w:r w:rsidR="00AB4F61">
        <w:rPr>
          <w:lang w:val="en-ZA"/>
        </w:rPr>
        <w:t xml:space="preserve"> 6</w:t>
      </w:r>
      <w:r>
        <w:rPr>
          <w:lang w:val="en-ZA"/>
        </w:rPr>
        <w:t>). This contrasts with ‘substantive responsibility’, which concerns the obligations an individual is now under. The latter is the more usual focus in environmental et</w:t>
      </w:r>
      <w:r w:rsidR="00AB4F61">
        <w:rPr>
          <w:lang w:val="en-ZA"/>
        </w:rPr>
        <w:t xml:space="preserve">hics. See, for instance, </w:t>
      </w:r>
      <w:proofErr w:type="spellStart"/>
      <w:r>
        <w:rPr>
          <w:lang w:val="en-ZA"/>
        </w:rPr>
        <w:t>Sinnott</w:t>
      </w:r>
      <w:proofErr w:type="spellEnd"/>
      <w:r>
        <w:rPr>
          <w:lang w:val="en-ZA"/>
        </w:rPr>
        <w:t xml:space="preserve">-Armstrong, </w:t>
      </w:r>
      <w:r w:rsidR="00AB4F61">
        <w:rPr>
          <w:lang w:val="en-ZA"/>
        </w:rPr>
        <w:t xml:space="preserve">2010; </w:t>
      </w:r>
      <w:proofErr w:type="spellStart"/>
      <w:r>
        <w:rPr>
          <w:lang w:val="en-ZA"/>
        </w:rPr>
        <w:t>Hourdequin</w:t>
      </w:r>
      <w:proofErr w:type="spellEnd"/>
      <w:r>
        <w:rPr>
          <w:lang w:val="en-ZA"/>
        </w:rPr>
        <w:t xml:space="preserve">, </w:t>
      </w:r>
      <w:r w:rsidR="00AB4F61">
        <w:rPr>
          <w:lang w:val="en-ZA"/>
        </w:rPr>
        <w:t>2010</w:t>
      </w:r>
      <w:r>
        <w:rPr>
          <w:lang w:val="en-ZA"/>
        </w:rPr>
        <w:t>; Booth,</w:t>
      </w:r>
      <w:r w:rsidR="00AB4F61">
        <w:rPr>
          <w:lang w:val="en-ZA"/>
        </w:rPr>
        <w:t xml:space="preserve"> 2012</w:t>
      </w:r>
      <w:r>
        <w:rPr>
          <w:lang w:val="en-ZA"/>
        </w:rPr>
        <w:t xml:space="preserve">; </w:t>
      </w:r>
      <w:proofErr w:type="spellStart"/>
      <w:r>
        <w:rPr>
          <w:lang w:val="en-ZA"/>
        </w:rPr>
        <w:t>Raterman</w:t>
      </w:r>
      <w:proofErr w:type="spellEnd"/>
      <w:r>
        <w:rPr>
          <w:lang w:val="en-ZA"/>
        </w:rPr>
        <w:t xml:space="preserve">, </w:t>
      </w:r>
      <w:r w:rsidR="00AB4F61">
        <w:rPr>
          <w:lang w:val="en-ZA"/>
        </w:rPr>
        <w:t>2012</w:t>
      </w:r>
      <w:r>
        <w:rPr>
          <w:lang w:val="en-ZA"/>
        </w:rPr>
        <w:t>.</w:t>
      </w:r>
    </w:p>
  </w:footnote>
  <w:footnote w:id="21">
    <w:p w:rsidR="00387D37" w:rsidRPr="005F2496" w:rsidRDefault="00387D37" w:rsidP="00615CBF">
      <w:pPr>
        <w:pStyle w:val="FootnoteText"/>
        <w:spacing w:line="480" w:lineRule="auto"/>
        <w:jc w:val="both"/>
      </w:pPr>
      <w:r w:rsidRPr="005F2496">
        <w:rPr>
          <w:rStyle w:val="FootnoteReference"/>
        </w:rPr>
        <w:footnoteRef/>
      </w:r>
      <w:r w:rsidRPr="005F2496">
        <w:t xml:space="preserve"> </w:t>
      </w:r>
      <w:proofErr w:type="gramStart"/>
      <w:r w:rsidR="00AB4F61">
        <w:t>Knight, 2009, pp.</w:t>
      </w:r>
      <w:r>
        <w:t xml:space="preserve"> 152, 187.</w:t>
      </w:r>
      <w:proofErr w:type="gramEnd"/>
    </w:p>
  </w:footnote>
  <w:footnote w:id="22">
    <w:p w:rsidR="00387D37" w:rsidRPr="001B07D8" w:rsidRDefault="00387D37" w:rsidP="00852516">
      <w:pPr>
        <w:pStyle w:val="FootnoteText"/>
        <w:spacing w:line="480" w:lineRule="auto"/>
        <w:jc w:val="both"/>
      </w:pPr>
      <w:r>
        <w:rPr>
          <w:rStyle w:val="FootnoteReference"/>
        </w:rPr>
        <w:footnoteRef/>
      </w:r>
      <w:r>
        <w:t xml:space="preserve"> This has been proposed as a basis for a limitation on principles of historical responsibility; see </w:t>
      </w:r>
      <w:proofErr w:type="spellStart"/>
      <w:r>
        <w:t>Gosseries</w:t>
      </w:r>
      <w:proofErr w:type="spellEnd"/>
      <w:r>
        <w:t xml:space="preserve">, </w:t>
      </w:r>
      <w:r w:rsidR="00AB4F61">
        <w:t>2004</w:t>
      </w:r>
      <w:r>
        <w:t xml:space="preserve">; Caney, </w:t>
      </w:r>
      <w:r w:rsidR="00AB4F61">
        <w:t>2010</w:t>
      </w:r>
      <w:r>
        <w:t>.</w:t>
      </w:r>
    </w:p>
  </w:footnote>
  <w:footnote w:id="23">
    <w:p w:rsidR="00387D37" w:rsidRPr="005F2496" w:rsidRDefault="00387D37" w:rsidP="00615CBF">
      <w:pPr>
        <w:pStyle w:val="FootnoteText"/>
        <w:spacing w:line="480" w:lineRule="auto"/>
        <w:jc w:val="both"/>
      </w:pPr>
      <w:r w:rsidRPr="005F2496">
        <w:rPr>
          <w:rStyle w:val="FootnoteReference"/>
        </w:rPr>
        <w:footnoteRef/>
      </w:r>
      <w:r w:rsidRPr="005F2496">
        <w:t xml:space="preserve"> </w:t>
      </w:r>
      <w:proofErr w:type="gramStart"/>
      <w:r w:rsidRPr="005F2496">
        <w:t xml:space="preserve">Cohen, </w:t>
      </w:r>
      <w:r w:rsidR="00AB4F61">
        <w:t>2004</w:t>
      </w:r>
      <w:r w:rsidRPr="005F2496">
        <w:t>.</w:t>
      </w:r>
      <w:proofErr w:type="gramEnd"/>
    </w:p>
  </w:footnote>
  <w:footnote w:id="24">
    <w:p w:rsidR="00387D37" w:rsidRDefault="00387D37" w:rsidP="00AF672C">
      <w:pPr>
        <w:pStyle w:val="FootnoteText"/>
        <w:spacing w:line="480" w:lineRule="auto"/>
        <w:jc w:val="both"/>
      </w:pPr>
      <w:r>
        <w:rPr>
          <w:rStyle w:val="FootnoteReference"/>
        </w:rPr>
        <w:footnoteRef/>
      </w:r>
      <w:r w:rsidR="00AB4F61">
        <w:t xml:space="preserve"> </w:t>
      </w:r>
      <w:proofErr w:type="spellStart"/>
      <w:r>
        <w:t>Gosseries</w:t>
      </w:r>
      <w:proofErr w:type="spellEnd"/>
      <w:r>
        <w:t xml:space="preserve">, </w:t>
      </w:r>
      <w:r w:rsidR="00AB4F61">
        <w:t>2005</w:t>
      </w:r>
      <w:r>
        <w:t xml:space="preserve">, </w:t>
      </w:r>
      <w:r w:rsidR="00AB4F61">
        <w:t xml:space="preserve">p. </w:t>
      </w:r>
      <w:r>
        <w:t>298.</w:t>
      </w:r>
    </w:p>
  </w:footnote>
  <w:footnote w:id="25">
    <w:p w:rsidR="00387D37" w:rsidRDefault="00387D37" w:rsidP="00047601">
      <w:pPr>
        <w:pStyle w:val="FootnoteText"/>
        <w:spacing w:line="480" w:lineRule="auto"/>
        <w:jc w:val="both"/>
      </w:pPr>
      <w:r>
        <w:rPr>
          <w:rStyle w:val="FootnoteReference"/>
        </w:rPr>
        <w:footnoteRef/>
      </w:r>
      <w:r>
        <w:t xml:space="preserve"> </w:t>
      </w:r>
      <w:proofErr w:type="spellStart"/>
      <w:r>
        <w:t>Gosseries</w:t>
      </w:r>
      <w:proofErr w:type="spellEnd"/>
      <w:r>
        <w:t xml:space="preserve">, </w:t>
      </w:r>
      <w:r w:rsidR="00AB4F61">
        <w:t xml:space="preserve">2005, p. </w:t>
      </w:r>
      <w:r>
        <w:t xml:space="preserve">299; see also </w:t>
      </w:r>
      <w:proofErr w:type="spellStart"/>
      <w:r>
        <w:t>Gosseries</w:t>
      </w:r>
      <w:proofErr w:type="spellEnd"/>
      <w:r>
        <w:t xml:space="preserve"> and </w:t>
      </w:r>
      <w:proofErr w:type="spellStart"/>
      <w:r w:rsidRPr="0037449B">
        <w:t>Hungerbühler</w:t>
      </w:r>
      <w:proofErr w:type="spellEnd"/>
      <w:r w:rsidRPr="0037449B">
        <w:t>,</w:t>
      </w:r>
      <w:r w:rsidR="00AB4F61">
        <w:t xml:space="preserve"> 2006.</w:t>
      </w:r>
    </w:p>
  </w:footnote>
  <w:footnote w:id="26">
    <w:p w:rsidR="00387D37" w:rsidRDefault="00387D37" w:rsidP="00047601">
      <w:pPr>
        <w:pStyle w:val="FootnoteText"/>
        <w:spacing w:line="480" w:lineRule="auto"/>
        <w:jc w:val="both"/>
      </w:pPr>
      <w:r>
        <w:rPr>
          <w:rStyle w:val="FootnoteReference"/>
        </w:rPr>
        <w:footnoteRef/>
      </w:r>
      <w:r>
        <w:t xml:space="preserve"> </w:t>
      </w:r>
      <w:proofErr w:type="spellStart"/>
      <w:r>
        <w:t>Gosseries</w:t>
      </w:r>
      <w:proofErr w:type="spellEnd"/>
      <w:r>
        <w:t xml:space="preserve">, </w:t>
      </w:r>
      <w:r w:rsidR="00AB4F61">
        <w:t>2005</w:t>
      </w:r>
      <w:r>
        <w:t>,</w:t>
      </w:r>
      <w:r w:rsidR="00AB4F61">
        <w:t xml:space="preserve"> p.</w:t>
      </w:r>
      <w:r>
        <w:t xml:space="preserve"> 299.</w:t>
      </w:r>
    </w:p>
  </w:footnote>
  <w:footnote w:id="27">
    <w:p w:rsidR="00387D37" w:rsidRDefault="00387D37" w:rsidP="00300DFF">
      <w:pPr>
        <w:pStyle w:val="FootnoteText"/>
        <w:tabs>
          <w:tab w:val="left" w:pos="2700"/>
        </w:tabs>
        <w:spacing w:line="480" w:lineRule="auto"/>
        <w:jc w:val="both"/>
      </w:pPr>
      <w:r>
        <w:rPr>
          <w:rStyle w:val="FootnoteReference"/>
        </w:rPr>
        <w:footnoteRef/>
      </w:r>
      <w:r>
        <w:t xml:space="preserve"> </w:t>
      </w:r>
      <w:proofErr w:type="spellStart"/>
      <w:r>
        <w:t>Gosseries</w:t>
      </w:r>
      <w:proofErr w:type="spellEnd"/>
      <w:r>
        <w:t xml:space="preserve">, </w:t>
      </w:r>
      <w:r w:rsidR="00AB4F61">
        <w:t xml:space="preserve">2005, p. </w:t>
      </w:r>
      <w:r>
        <w:t>299.</w:t>
      </w:r>
      <w:r>
        <w:tab/>
      </w:r>
    </w:p>
  </w:footnote>
  <w:footnote w:id="28">
    <w:p w:rsidR="00387D37" w:rsidRPr="00B55C4D" w:rsidRDefault="00387D37" w:rsidP="00460842">
      <w:pPr>
        <w:pStyle w:val="FootnoteText"/>
        <w:spacing w:line="480" w:lineRule="auto"/>
        <w:jc w:val="both"/>
        <w:rPr>
          <w:lang w:val="en-ZA"/>
        </w:rPr>
      </w:pPr>
      <w:r>
        <w:rPr>
          <w:rStyle w:val="FootnoteReference"/>
        </w:rPr>
        <w:footnoteRef/>
      </w:r>
      <w:r>
        <w:t xml:space="preserve"> Indeed, </w:t>
      </w:r>
      <w:proofErr w:type="spellStart"/>
      <w:r w:rsidRPr="00460842">
        <w:rPr>
          <w:lang w:val="en-US" w:eastAsia="en-US"/>
        </w:rPr>
        <w:t>Gosseries</w:t>
      </w:r>
      <w:proofErr w:type="spellEnd"/>
      <w:r w:rsidRPr="00460842">
        <w:rPr>
          <w:lang w:val="en-US" w:eastAsia="en-US"/>
        </w:rPr>
        <w:t xml:space="preserve"> and </w:t>
      </w:r>
      <w:proofErr w:type="spellStart"/>
      <w:r w:rsidRPr="00460842">
        <w:rPr>
          <w:lang w:val="en-US" w:eastAsia="en-US"/>
        </w:rPr>
        <w:t>Hungerbühler</w:t>
      </w:r>
      <w:proofErr w:type="spellEnd"/>
      <w:r w:rsidR="00AB4F61">
        <w:rPr>
          <w:lang w:val="en-US" w:eastAsia="en-US"/>
        </w:rPr>
        <w:t xml:space="preserve"> (2006, p. 125 n. 7)</w:t>
      </w:r>
      <w:r>
        <w:rPr>
          <w:lang w:val="en-US" w:eastAsia="en-US"/>
        </w:rPr>
        <w:t xml:space="preserve"> allow that ‘[t]axing less affected men to compensate more affected men’ may be permissible, but </w:t>
      </w:r>
      <w:proofErr w:type="spellStart"/>
      <w:r>
        <w:rPr>
          <w:lang w:val="en-US" w:eastAsia="en-US"/>
        </w:rPr>
        <w:t>Gosseries</w:t>
      </w:r>
      <w:proofErr w:type="spellEnd"/>
      <w:r>
        <w:rPr>
          <w:lang w:val="en-US" w:eastAsia="en-US"/>
        </w:rPr>
        <w:t xml:space="preserve"> does not recognize the clear parallel between more affected men and high emitters.</w:t>
      </w:r>
    </w:p>
  </w:footnote>
  <w:footnote w:id="29">
    <w:p w:rsidR="00387D37" w:rsidRDefault="00387D37" w:rsidP="00B81398">
      <w:pPr>
        <w:pStyle w:val="FootnoteText"/>
        <w:spacing w:line="480" w:lineRule="auto"/>
        <w:jc w:val="both"/>
      </w:pPr>
      <w:r>
        <w:rPr>
          <w:rStyle w:val="FootnoteReference"/>
        </w:rPr>
        <w:footnoteRef/>
      </w:r>
      <w:r>
        <w:t xml:space="preserve"> </w:t>
      </w:r>
      <w:proofErr w:type="spellStart"/>
      <w:r>
        <w:t>Gosseries</w:t>
      </w:r>
      <w:proofErr w:type="spellEnd"/>
      <w:r>
        <w:t xml:space="preserve">, </w:t>
      </w:r>
      <w:r w:rsidR="00AB4F61">
        <w:t>2005</w:t>
      </w:r>
      <w:r>
        <w:t>,</w:t>
      </w:r>
      <w:r w:rsidR="00AB4F61">
        <w:t xml:space="preserve"> p.</w:t>
      </w:r>
      <w:r>
        <w:t xml:space="preserve"> 300.</w:t>
      </w:r>
    </w:p>
  </w:footnote>
  <w:footnote w:id="30">
    <w:p w:rsidR="00387D37" w:rsidRDefault="00387D37" w:rsidP="00653232">
      <w:pPr>
        <w:pStyle w:val="FootnoteText"/>
        <w:spacing w:line="480" w:lineRule="auto"/>
        <w:jc w:val="both"/>
      </w:pPr>
      <w:r>
        <w:rPr>
          <w:rStyle w:val="FootnoteReference"/>
        </w:rPr>
        <w:footnoteRef/>
      </w:r>
      <w:r w:rsidR="00AB4F61">
        <w:t xml:space="preserve"> Jamieson, 2010b</w:t>
      </w:r>
      <w:r>
        <w:t>,</w:t>
      </w:r>
      <w:r w:rsidR="00AB4F61">
        <w:t xml:space="preserve"> p.</w:t>
      </w:r>
      <w:r>
        <w:t xml:space="preserve"> 83.</w:t>
      </w:r>
    </w:p>
  </w:footnote>
  <w:footnote w:id="31">
    <w:p w:rsidR="00387D37" w:rsidRDefault="00387D37" w:rsidP="003D1E59">
      <w:pPr>
        <w:pStyle w:val="FootnoteText"/>
        <w:spacing w:line="480" w:lineRule="auto"/>
      </w:pPr>
      <w:r>
        <w:rPr>
          <w:rStyle w:val="FootnoteReference"/>
        </w:rPr>
        <w:footnoteRef/>
      </w:r>
      <w:r>
        <w:t xml:space="preserve"> See Gardiner, </w:t>
      </w:r>
      <w:r w:rsidR="00AB4F61">
        <w:t>2011</w:t>
      </w:r>
      <w:r w:rsidR="00F26FAF">
        <w:t>.</w:t>
      </w:r>
    </w:p>
  </w:footnote>
  <w:footnote w:id="32">
    <w:p w:rsidR="00387D37" w:rsidRDefault="00387D37" w:rsidP="004A7085">
      <w:pPr>
        <w:pStyle w:val="FootnoteText"/>
        <w:spacing w:line="480" w:lineRule="auto"/>
        <w:jc w:val="both"/>
      </w:pPr>
      <w:r>
        <w:rPr>
          <w:rStyle w:val="FootnoteReference"/>
        </w:rPr>
        <w:footnoteRef/>
      </w:r>
      <w:r w:rsidR="00AB4F61">
        <w:t xml:space="preserve"> </w:t>
      </w:r>
      <w:proofErr w:type="spellStart"/>
      <w:r w:rsidR="00AB4F61">
        <w:t>Arneson</w:t>
      </w:r>
      <w:proofErr w:type="spellEnd"/>
      <w:r w:rsidR="00AB4F61">
        <w:t>, 1989</w:t>
      </w:r>
      <w:r>
        <w:t>,</w:t>
      </w:r>
      <w:r w:rsidR="00AB4F61">
        <w:t xml:space="preserve"> p. 86; see also Cohen, 1989, pp.</w:t>
      </w:r>
      <w:r>
        <w:t xml:space="preserve"> 916-17.</w:t>
      </w:r>
    </w:p>
  </w:footnote>
  <w:footnote w:id="33">
    <w:p w:rsidR="00387D37" w:rsidRPr="005F2496" w:rsidRDefault="00387D37" w:rsidP="00615CBF">
      <w:pPr>
        <w:pStyle w:val="FootnoteText"/>
        <w:spacing w:line="480" w:lineRule="auto"/>
        <w:jc w:val="both"/>
      </w:pPr>
      <w:r w:rsidRPr="005F2496">
        <w:rPr>
          <w:rStyle w:val="FootnoteReference"/>
        </w:rPr>
        <w:footnoteRef/>
      </w:r>
      <w:r w:rsidRPr="005F2496">
        <w:t xml:space="preserve"> </w:t>
      </w:r>
      <w:proofErr w:type="spellStart"/>
      <w:r w:rsidR="005273D1">
        <w:t>Dworkin</w:t>
      </w:r>
      <w:proofErr w:type="spellEnd"/>
      <w:r w:rsidR="005273D1">
        <w:t xml:space="preserve">, 1981b, p. </w:t>
      </w:r>
      <w:r w:rsidRPr="005F2496">
        <w:t>303.</w:t>
      </w:r>
    </w:p>
  </w:footnote>
  <w:footnote w:id="34">
    <w:p w:rsidR="00387D37" w:rsidRPr="0017778C" w:rsidRDefault="00387D37" w:rsidP="002C79AF">
      <w:pPr>
        <w:pStyle w:val="FootnoteText"/>
        <w:spacing w:line="480" w:lineRule="auto"/>
        <w:jc w:val="both"/>
      </w:pPr>
      <w:r>
        <w:rPr>
          <w:rStyle w:val="FootnoteReference"/>
        </w:rPr>
        <w:footnoteRef/>
      </w:r>
      <w:r>
        <w:t xml:space="preserve"> See Schwartz Cohen, </w:t>
      </w:r>
      <w:r w:rsidR="005273D1">
        <w:t>1997</w:t>
      </w:r>
      <w:r>
        <w:t xml:space="preserve">; </w:t>
      </w:r>
      <w:proofErr w:type="spellStart"/>
      <w:r w:rsidR="005273D1">
        <w:t>Böhm</w:t>
      </w:r>
      <w:proofErr w:type="spellEnd"/>
      <w:r w:rsidR="005273D1">
        <w:t xml:space="preserve"> et al, 2006</w:t>
      </w:r>
      <w:r>
        <w:t xml:space="preserve">; </w:t>
      </w:r>
      <w:r w:rsidR="005273D1">
        <w:t>Paterson, 2007</w:t>
      </w:r>
      <w:r>
        <w:t>.</w:t>
      </w:r>
    </w:p>
  </w:footnote>
  <w:footnote w:id="35">
    <w:p w:rsidR="00387D37" w:rsidRDefault="00387D37" w:rsidP="00304204">
      <w:pPr>
        <w:pStyle w:val="FootnoteText"/>
        <w:spacing w:line="480" w:lineRule="auto"/>
        <w:jc w:val="both"/>
      </w:pPr>
      <w:r>
        <w:rPr>
          <w:rStyle w:val="FootnoteReference"/>
        </w:rPr>
        <w:footnoteRef/>
      </w:r>
      <w:r>
        <w:t xml:space="preserve"> </w:t>
      </w:r>
      <w:proofErr w:type="spellStart"/>
      <w:r>
        <w:t>Dworkin</w:t>
      </w:r>
      <w:proofErr w:type="spellEnd"/>
      <w:r>
        <w:t xml:space="preserve">, </w:t>
      </w:r>
      <w:r w:rsidR="005273D1">
        <w:t>2000</w:t>
      </w:r>
      <w:r>
        <w:t>,</w:t>
      </w:r>
      <w:r w:rsidR="005273D1">
        <w:t xml:space="preserve"> p.</w:t>
      </w:r>
      <w:r>
        <w:t xml:space="preserve"> 159.</w:t>
      </w:r>
    </w:p>
  </w:footnote>
  <w:footnote w:id="36">
    <w:p w:rsidR="00387D37" w:rsidRPr="00713F9D" w:rsidRDefault="00387D37" w:rsidP="00713F9D">
      <w:pPr>
        <w:pStyle w:val="FootnoteText"/>
        <w:spacing w:line="480" w:lineRule="auto"/>
        <w:jc w:val="both"/>
      </w:pPr>
      <w:r w:rsidRPr="00713F9D">
        <w:rPr>
          <w:rStyle w:val="FootnoteReference"/>
        </w:rPr>
        <w:footnoteRef/>
      </w:r>
      <w:r w:rsidRPr="00713F9D">
        <w:t xml:space="preserve"> </w:t>
      </w:r>
      <w:proofErr w:type="gramStart"/>
      <w:r w:rsidRPr="00713F9D">
        <w:t xml:space="preserve">Page, </w:t>
      </w:r>
      <w:r w:rsidR="005273D1">
        <w:t>2006</w:t>
      </w:r>
      <w:r>
        <w:t>, 81.</w:t>
      </w:r>
      <w:proofErr w:type="gramEnd"/>
    </w:p>
  </w:footnote>
  <w:footnote w:id="37">
    <w:p w:rsidR="00387D37" w:rsidRPr="005F2496" w:rsidRDefault="00387D37" w:rsidP="00F356C8">
      <w:pPr>
        <w:spacing w:line="480" w:lineRule="auto"/>
        <w:jc w:val="both"/>
        <w:rPr>
          <w:sz w:val="20"/>
          <w:szCs w:val="20"/>
        </w:rPr>
      </w:pPr>
      <w:r w:rsidRPr="005F2496">
        <w:rPr>
          <w:rStyle w:val="FootnoteReference"/>
          <w:sz w:val="20"/>
          <w:szCs w:val="20"/>
        </w:rPr>
        <w:footnoteRef/>
      </w:r>
      <w:r w:rsidRPr="005F2496">
        <w:rPr>
          <w:sz w:val="20"/>
          <w:szCs w:val="20"/>
        </w:rPr>
        <w:t xml:space="preserve"> </w:t>
      </w:r>
      <w:proofErr w:type="spellStart"/>
      <w:proofErr w:type="gramStart"/>
      <w:r w:rsidRPr="005F2496">
        <w:rPr>
          <w:sz w:val="20"/>
          <w:szCs w:val="20"/>
        </w:rPr>
        <w:t>Parfit</w:t>
      </w:r>
      <w:proofErr w:type="spellEnd"/>
      <w:r w:rsidRPr="005F2496">
        <w:rPr>
          <w:sz w:val="20"/>
          <w:szCs w:val="20"/>
        </w:rPr>
        <w:t>,</w:t>
      </w:r>
      <w:r w:rsidR="005273D1">
        <w:rPr>
          <w:sz w:val="20"/>
          <w:szCs w:val="20"/>
        </w:rPr>
        <w:t xml:space="preserve"> 1996.</w:t>
      </w:r>
      <w:proofErr w:type="gramEnd"/>
    </w:p>
  </w:footnote>
  <w:footnote w:id="38">
    <w:p w:rsidR="00387D37" w:rsidRPr="005F2496" w:rsidRDefault="00387D37" w:rsidP="00615CBF">
      <w:pPr>
        <w:pStyle w:val="FootnoteText"/>
        <w:spacing w:line="480" w:lineRule="auto"/>
        <w:jc w:val="both"/>
      </w:pPr>
      <w:r w:rsidRPr="005F2496">
        <w:rPr>
          <w:rStyle w:val="FootnoteReference"/>
        </w:rPr>
        <w:footnoteRef/>
      </w:r>
      <w:r w:rsidRPr="005F2496">
        <w:t xml:space="preserve"> Rawls’ </w:t>
      </w:r>
      <w:r w:rsidR="005273D1">
        <w:t xml:space="preserve">(1999a) </w:t>
      </w:r>
      <w:r w:rsidRPr="005F2496">
        <w:t>difference principle has this simple structure, though he combines it with other</w:t>
      </w:r>
      <w:r w:rsidR="005273D1">
        <w:t xml:space="preserve"> principles</w:t>
      </w:r>
      <w:r w:rsidRPr="005F2496">
        <w:rPr>
          <w:i/>
        </w:rPr>
        <w:t>.</w:t>
      </w:r>
    </w:p>
  </w:footnote>
  <w:footnote w:id="39">
    <w:p w:rsidR="003053EA" w:rsidRDefault="003053EA" w:rsidP="003053EA">
      <w:pPr>
        <w:pStyle w:val="FootnoteText"/>
        <w:spacing w:line="480" w:lineRule="auto"/>
        <w:jc w:val="both"/>
      </w:pPr>
      <w:r>
        <w:rPr>
          <w:rStyle w:val="FootnoteReference"/>
        </w:rPr>
        <w:footnoteRef/>
      </w:r>
      <w:r>
        <w:t xml:space="preserve"> The same goes for combinations of utilitarianism and egalitarianism (see </w:t>
      </w:r>
      <w:proofErr w:type="spellStart"/>
      <w:r>
        <w:t>Parfit</w:t>
      </w:r>
      <w:proofErr w:type="spellEnd"/>
      <w:r>
        <w:t>, 1984, p. 339).</w:t>
      </w:r>
    </w:p>
  </w:footnote>
  <w:footnote w:id="40">
    <w:p w:rsidR="00387D37" w:rsidRPr="005F2496" w:rsidRDefault="00387D37" w:rsidP="00615CBF">
      <w:pPr>
        <w:spacing w:line="480" w:lineRule="auto"/>
        <w:jc w:val="both"/>
        <w:rPr>
          <w:sz w:val="20"/>
          <w:szCs w:val="20"/>
        </w:rPr>
      </w:pPr>
      <w:r w:rsidRPr="005F2496">
        <w:rPr>
          <w:rStyle w:val="FootnoteReference"/>
          <w:sz w:val="20"/>
          <w:szCs w:val="20"/>
        </w:rPr>
        <w:footnoteRef/>
      </w:r>
      <w:r w:rsidRPr="005F2496">
        <w:rPr>
          <w:sz w:val="20"/>
          <w:szCs w:val="20"/>
        </w:rPr>
        <w:t xml:space="preserve"> </w:t>
      </w:r>
      <w:proofErr w:type="spellStart"/>
      <w:r w:rsidRPr="005F2496">
        <w:rPr>
          <w:sz w:val="20"/>
          <w:szCs w:val="20"/>
        </w:rPr>
        <w:t>Arneson</w:t>
      </w:r>
      <w:proofErr w:type="spellEnd"/>
      <w:r w:rsidRPr="005F2496">
        <w:rPr>
          <w:sz w:val="20"/>
          <w:szCs w:val="20"/>
        </w:rPr>
        <w:t xml:space="preserve">, </w:t>
      </w:r>
      <w:r w:rsidR="005273D1">
        <w:rPr>
          <w:sz w:val="20"/>
          <w:szCs w:val="20"/>
        </w:rPr>
        <w:t>2000a</w:t>
      </w:r>
      <w:r w:rsidRPr="005F2496">
        <w:rPr>
          <w:sz w:val="20"/>
          <w:szCs w:val="20"/>
        </w:rPr>
        <w:t>,</w:t>
      </w:r>
      <w:r w:rsidR="005273D1">
        <w:rPr>
          <w:sz w:val="20"/>
          <w:szCs w:val="20"/>
        </w:rPr>
        <w:t xml:space="preserve"> pp.</w:t>
      </w:r>
      <w:r w:rsidRPr="005F2496">
        <w:rPr>
          <w:sz w:val="20"/>
          <w:szCs w:val="20"/>
        </w:rPr>
        <w:t xml:space="preserve"> 339-49.</w:t>
      </w:r>
    </w:p>
  </w:footnote>
  <w:footnote w:id="41">
    <w:p w:rsidR="00387D37" w:rsidRDefault="00387D37" w:rsidP="004E1E10">
      <w:pPr>
        <w:pStyle w:val="FootnoteText"/>
        <w:spacing w:line="480" w:lineRule="auto"/>
      </w:pPr>
      <w:r>
        <w:rPr>
          <w:rStyle w:val="FootnoteReference"/>
        </w:rPr>
        <w:footnoteRef/>
      </w:r>
      <w:r>
        <w:t xml:space="preserve"> </w:t>
      </w:r>
      <w:proofErr w:type="gramStart"/>
      <w:r>
        <w:t xml:space="preserve">Frankfurt, </w:t>
      </w:r>
      <w:r w:rsidR="005273D1">
        <w:t>1987; Crisp, 2003.</w:t>
      </w:r>
      <w:proofErr w:type="gramEnd"/>
    </w:p>
  </w:footnote>
  <w:footnote w:id="42">
    <w:p w:rsidR="00387D37" w:rsidRPr="001A409F" w:rsidRDefault="00387D37" w:rsidP="001A409F">
      <w:pPr>
        <w:spacing w:line="480" w:lineRule="auto"/>
        <w:contextualSpacing/>
        <w:jc w:val="both"/>
        <w:rPr>
          <w:sz w:val="20"/>
          <w:szCs w:val="20"/>
        </w:rPr>
      </w:pPr>
      <w:r w:rsidRPr="001A409F">
        <w:rPr>
          <w:rStyle w:val="FootnoteReference"/>
          <w:sz w:val="20"/>
          <w:szCs w:val="20"/>
        </w:rPr>
        <w:footnoteRef/>
      </w:r>
      <w:r w:rsidRPr="001A409F">
        <w:rPr>
          <w:sz w:val="20"/>
          <w:szCs w:val="20"/>
        </w:rPr>
        <w:t xml:space="preserve"> </w:t>
      </w:r>
      <w:proofErr w:type="spellStart"/>
      <w:proofErr w:type="gramStart"/>
      <w:r w:rsidRPr="001A409F">
        <w:rPr>
          <w:sz w:val="20"/>
          <w:szCs w:val="20"/>
        </w:rPr>
        <w:t>Agarwal</w:t>
      </w:r>
      <w:proofErr w:type="spellEnd"/>
      <w:r w:rsidRPr="001A409F">
        <w:rPr>
          <w:sz w:val="20"/>
          <w:szCs w:val="20"/>
        </w:rPr>
        <w:t xml:space="preserve"> and </w:t>
      </w:r>
      <w:proofErr w:type="spellStart"/>
      <w:r w:rsidRPr="001A409F">
        <w:rPr>
          <w:sz w:val="20"/>
          <w:szCs w:val="20"/>
        </w:rPr>
        <w:t>Narain</w:t>
      </w:r>
      <w:proofErr w:type="spellEnd"/>
      <w:r w:rsidRPr="001A409F">
        <w:rPr>
          <w:sz w:val="20"/>
          <w:szCs w:val="20"/>
        </w:rPr>
        <w:t xml:space="preserve">, </w:t>
      </w:r>
      <w:r w:rsidR="005273D1">
        <w:rPr>
          <w:sz w:val="20"/>
          <w:szCs w:val="20"/>
        </w:rPr>
        <w:t>1991</w:t>
      </w:r>
      <w:r>
        <w:rPr>
          <w:i/>
          <w:sz w:val="20"/>
          <w:szCs w:val="20"/>
        </w:rPr>
        <w:t xml:space="preserve">; </w:t>
      </w:r>
      <w:proofErr w:type="spellStart"/>
      <w:r w:rsidRPr="001A409F">
        <w:rPr>
          <w:sz w:val="20"/>
          <w:szCs w:val="20"/>
        </w:rPr>
        <w:t>Shue</w:t>
      </w:r>
      <w:proofErr w:type="spellEnd"/>
      <w:r w:rsidRPr="001A409F">
        <w:rPr>
          <w:sz w:val="20"/>
          <w:szCs w:val="20"/>
        </w:rPr>
        <w:t xml:space="preserve">, </w:t>
      </w:r>
      <w:r w:rsidR="000E60CF">
        <w:rPr>
          <w:sz w:val="20"/>
          <w:szCs w:val="20"/>
        </w:rPr>
        <w:t>1992; 2010a; Caney</w:t>
      </w:r>
      <w:r w:rsidR="00DD5EB5">
        <w:rPr>
          <w:sz w:val="20"/>
          <w:szCs w:val="20"/>
        </w:rPr>
        <w:t>,</w:t>
      </w:r>
      <w:r w:rsidR="000E60CF">
        <w:rPr>
          <w:sz w:val="20"/>
          <w:szCs w:val="20"/>
        </w:rPr>
        <w:t xml:space="preserve"> </w:t>
      </w:r>
      <w:r w:rsidR="00DD5EB5">
        <w:rPr>
          <w:sz w:val="20"/>
          <w:szCs w:val="20"/>
        </w:rPr>
        <w:t>2005a; 2010.</w:t>
      </w:r>
      <w:proofErr w:type="gramEnd"/>
      <w:r w:rsidR="00DD5EB5">
        <w:rPr>
          <w:sz w:val="20"/>
          <w:szCs w:val="20"/>
        </w:rPr>
        <w:t xml:space="preserve"> For criticism</w:t>
      </w:r>
      <w:r w:rsidR="00767BBE">
        <w:rPr>
          <w:sz w:val="20"/>
          <w:szCs w:val="20"/>
        </w:rPr>
        <w:t xml:space="preserve"> see Knight, 2011</w:t>
      </w:r>
      <w:r w:rsidR="000E60CF">
        <w:rPr>
          <w:sz w:val="20"/>
          <w:szCs w:val="20"/>
        </w:rPr>
        <w:t>.</w:t>
      </w:r>
    </w:p>
  </w:footnote>
  <w:footnote w:id="43">
    <w:p w:rsidR="00387D37" w:rsidRDefault="00387D37" w:rsidP="00D12466">
      <w:pPr>
        <w:pStyle w:val="FootnoteText"/>
        <w:spacing w:line="480" w:lineRule="auto"/>
        <w:jc w:val="both"/>
      </w:pPr>
      <w:r>
        <w:rPr>
          <w:rStyle w:val="FootnoteReference"/>
        </w:rPr>
        <w:footnoteRef/>
      </w:r>
      <w:r>
        <w:t xml:space="preserve"> I say ‘</w:t>
      </w:r>
      <w:proofErr w:type="spellStart"/>
      <w:r>
        <w:t>Franfurtian</w:t>
      </w:r>
      <w:proofErr w:type="spellEnd"/>
      <w:r>
        <w:t xml:space="preserve">’ as Frankfurt’s own view is concerned only with the distribution of money. For a view which takes contentedness with welfare levels as the measure of enough, see </w:t>
      </w:r>
      <w:proofErr w:type="spellStart"/>
      <w:r>
        <w:t>Huseby</w:t>
      </w:r>
      <w:proofErr w:type="spellEnd"/>
      <w:r>
        <w:t xml:space="preserve">, </w:t>
      </w:r>
      <w:r w:rsidR="005273D1">
        <w:t>2010</w:t>
      </w:r>
      <w:r>
        <w:t>.</w:t>
      </w:r>
    </w:p>
  </w:footnote>
  <w:footnote w:id="44">
    <w:p w:rsidR="00387D37" w:rsidRDefault="00387D37" w:rsidP="00814161">
      <w:pPr>
        <w:pStyle w:val="FootnoteText"/>
        <w:spacing w:line="480" w:lineRule="auto"/>
        <w:jc w:val="both"/>
      </w:pPr>
      <w:r>
        <w:rPr>
          <w:rStyle w:val="FootnoteReference"/>
        </w:rPr>
        <w:footnoteRef/>
      </w:r>
      <w:r>
        <w:t xml:space="preserve"> </w:t>
      </w:r>
      <w:proofErr w:type="spellStart"/>
      <w:r>
        <w:t>Shue</w:t>
      </w:r>
      <w:proofErr w:type="spellEnd"/>
      <w:r>
        <w:t xml:space="preserve">, </w:t>
      </w:r>
      <w:r w:rsidR="005273D1">
        <w:t>2010a</w:t>
      </w:r>
      <w:r>
        <w:t xml:space="preserve">, p. 202; see also </w:t>
      </w:r>
      <w:proofErr w:type="spellStart"/>
      <w:r>
        <w:t>Shue</w:t>
      </w:r>
      <w:proofErr w:type="spellEnd"/>
      <w:r>
        <w:t>,</w:t>
      </w:r>
      <w:r w:rsidR="005273D1">
        <w:t xml:space="preserve"> 2010b,</w:t>
      </w:r>
      <w:r>
        <w:t xml:space="preserve"> </w:t>
      </w:r>
      <w:r w:rsidR="005273D1">
        <w:t xml:space="preserve">pp. </w:t>
      </w:r>
      <w:r>
        <w:t>107-10.</w:t>
      </w:r>
    </w:p>
  </w:footnote>
  <w:footnote w:id="45">
    <w:p w:rsidR="00387D37" w:rsidRDefault="00387D37" w:rsidP="00E3174C">
      <w:pPr>
        <w:pStyle w:val="FootnoteText"/>
        <w:spacing w:line="480" w:lineRule="auto"/>
        <w:jc w:val="both"/>
      </w:pPr>
      <w:r>
        <w:rPr>
          <w:rStyle w:val="FootnoteReference"/>
        </w:rPr>
        <w:footnoteRef/>
      </w:r>
      <w:r>
        <w:t xml:space="preserve"> Paula </w:t>
      </w:r>
      <w:proofErr w:type="spellStart"/>
      <w:r>
        <w:t>Casal</w:t>
      </w:r>
      <w:proofErr w:type="spellEnd"/>
      <w:r w:rsidR="005273D1">
        <w:t xml:space="preserve"> (2007)</w:t>
      </w:r>
      <w:r>
        <w:t xml:space="preserve"> suggests a minimal </w:t>
      </w:r>
      <w:proofErr w:type="spellStart"/>
      <w:r>
        <w:t>sufficientari</w:t>
      </w:r>
      <w:r w:rsidR="005273D1">
        <w:t>an</w:t>
      </w:r>
      <w:proofErr w:type="spellEnd"/>
      <w:r w:rsidR="005273D1">
        <w:t>-luck egalitarian combination</w:t>
      </w:r>
      <w:r>
        <w:t xml:space="preserve">. </w:t>
      </w:r>
      <w:proofErr w:type="spellStart"/>
      <w:r>
        <w:t>Huseby’s</w:t>
      </w:r>
      <w:proofErr w:type="spellEnd"/>
      <w:r w:rsidR="005273D1">
        <w:t xml:space="preserve"> (2010)</w:t>
      </w:r>
      <w:r>
        <w:t xml:space="preserve"> view combines minimalist </w:t>
      </w:r>
      <w:proofErr w:type="spellStart"/>
      <w:r>
        <w:t>sufficientarianism</w:t>
      </w:r>
      <w:proofErr w:type="spellEnd"/>
      <w:r>
        <w:t xml:space="preserve"> with maximalist </w:t>
      </w:r>
      <w:proofErr w:type="spellStart"/>
      <w:r>
        <w:t>sufficientarianism</w:t>
      </w:r>
      <w:proofErr w:type="spellEnd"/>
      <w:r>
        <w:t xml:space="preserve">, as it has a ‘minimal sufficiency threshold’ securing basic needs, which has ‘strong priority’ over a ‘maximal sufficiency threshold’ securing contentedness, which in turn has ‘absolute </w:t>
      </w:r>
      <w:r w:rsidR="005273D1">
        <w:t>priority’ over other objectives</w:t>
      </w:r>
      <w:r>
        <w:t>.</w:t>
      </w:r>
    </w:p>
  </w:footnote>
  <w:footnote w:id="46">
    <w:p w:rsidR="00387D37" w:rsidRDefault="00387D37" w:rsidP="00932A9B">
      <w:pPr>
        <w:pStyle w:val="FootnoteText"/>
        <w:spacing w:line="480" w:lineRule="auto"/>
        <w:jc w:val="both"/>
      </w:pPr>
      <w:r>
        <w:rPr>
          <w:rStyle w:val="FootnoteReference"/>
        </w:rPr>
        <w:footnoteRef/>
      </w:r>
      <w:r>
        <w:t xml:space="preserve"> A referee raised this doubt.</w:t>
      </w:r>
    </w:p>
  </w:footnote>
  <w:footnote w:id="47">
    <w:p w:rsidR="00387D37" w:rsidRDefault="00387D37" w:rsidP="00975D4A">
      <w:pPr>
        <w:pStyle w:val="FootnoteText"/>
        <w:spacing w:line="480" w:lineRule="auto"/>
        <w:jc w:val="both"/>
      </w:pPr>
      <w:r>
        <w:rPr>
          <w:rStyle w:val="FootnoteReference"/>
        </w:rPr>
        <w:footnoteRef/>
      </w:r>
      <w:r>
        <w:t xml:space="preserve"> </w:t>
      </w:r>
      <w:r w:rsidR="00F26FAF">
        <w:t xml:space="preserve">But </w:t>
      </w:r>
      <w:r>
        <w:t>see Knight, 2013.</w:t>
      </w:r>
    </w:p>
  </w:footnote>
  <w:footnote w:id="48">
    <w:p w:rsidR="00387D37" w:rsidRDefault="00387D37" w:rsidP="0060010C">
      <w:pPr>
        <w:pStyle w:val="FootnoteText"/>
        <w:spacing w:line="480" w:lineRule="auto"/>
        <w:jc w:val="both"/>
      </w:pPr>
      <w:r>
        <w:rPr>
          <w:rStyle w:val="FootnoteReference"/>
        </w:rPr>
        <w:footnoteRef/>
      </w:r>
      <w:r>
        <w:t xml:space="preserve"> Given that Germany has a much larger population than Australia, this policy would actually reduce emissions more than the non-grandfathering policy described earlier in the paragraph. This is not, of course, relevant to the present point.</w:t>
      </w:r>
      <w:r w:rsidR="000F50B7">
        <w:t xml:space="preserve"> Similar considerations apply to the discussion of the United States and Italy below.</w:t>
      </w:r>
    </w:p>
  </w:footnote>
  <w:footnote w:id="49">
    <w:p w:rsidR="00B9310D" w:rsidRDefault="00B9310D" w:rsidP="00B9310D">
      <w:pPr>
        <w:pStyle w:val="FootnoteText"/>
        <w:spacing w:line="480" w:lineRule="auto"/>
        <w:jc w:val="both"/>
      </w:pPr>
      <w:r>
        <w:rPr>
          <w:rStyle w:val="FootnoteReference"/>
        </w:rPr>
        <w:footnoteRef/>
      </w:r>
      <w:r>
        <w:t xml:space="preserve"> Of course, if we instead suppose that Italians are not actually disadvantaged relative to Americans in welfare (or </w:t>
      </w:r>
      <w:proofErr w:type="spellStart"/>
      <w:r>
        <w:t>Dworkinian</w:t>
      </w:r>
      <w:proofErr w:type="spellEnd"/>
      <w:r>
        <w:t xml:space="preserve"> resource) </w:t>
      </w:r>
      <w:proofErr w:type="gramStart"/>
      <w:r>
        <w:t>terms, this case is</w:t>
      </w:r>
      <w:proofErr w:type="gramEnd"/>
      <w:r>
        <w:t xml:space="preserve"> a simple High-Low case, like Australia-Germany. </w:t>
      </w:r>
    </w:p>
  </w:footnote>
  <w:footnote w:id="50">
    <w:p w:rsidR="00387D37" w:rsidRDefault="00387D37" w:rsidP="001C6A54">
      <w:pPr>
        <w:pStyle w:val="FootnoteText"/>
        <w:spacing w:line="480" w:lineRule="auto"/>
        <w:jc w:val="both"/>
      </w:pPr>
      <w:r>
        <w:rPr>
          <w:rStyle w:val="FootnoteReference"/>
        </w:rPr>
        <w:footnoteRef/>
      </w:r>
      <w:r>
        <w:t xml:space="preserve"> My view has a similar emphasis to Steven </w:t>
      </w:r>
      <w:proofErr w:type="spellStart"/>
      <w:r>
        <w:t>Shavell’s</w:t>
      </w:r>
      <w:proofErr w:type="spellEnd"/>
      <w:r>
        <w:t xml:space="preserve"> </w:t>
      </w:r>
      <w:r w:rsidR="005273D1">
        <w:t xml:space="preserve">(2008, pp. 37-8) </w:t>
      </w:r>
      <w:r>
        <w:t>more general position ‘</w:t>
      </w:r>
      <w:r w:rsidRPr="00990844">
        <w:t>that legal rules should be more stable than</w:t>
      </w:r>
      <w:r>
        <w:t xml:space="preserve"> would apparently be appropriate, that is, appropriate were past behaviour not taken into account’.</w:t>
      </w:r>
    </w:p>
  </w:footnote>
  <w:footnote w:id="51">
    <w:p w:rsidR="00387D37" w:rsidRDefault="00387D37" w:rsidP="00E90756">
      <w:pPr>
        <w:pStyle w:val="FootnoteText"/>
        <w:spacing w:line="480" w:lineRule="auto"/>
        <w:jc w:val="both"/>
      </w:pPr>
      <w:r>
        <w:rPr>
          <w:rStyle w:val="FootnoteReference"/>
        </w:rPr>
        <w:footnoteRef/>
      </w:r>
      <w:r>
        <w:t xml:space="preserve"> See Rawls,</w:t>
      </w:r>
      <w:r w:rsidR="005273D1">
        <w:t xml:space="preserve"> 1999b; </w:t>
      </w:r>
      <w:r>
        <w:t xml:space="preserve">Miller, </w:t>
      </w:r>
      <w:r w:rsidR="005273D1">
        <w:t>2007</w:t>
      </w:r>
      <w:r>
        <w:t xml:space="preserve">. On emission rights specifically see Miller, 2009. </w:t>
      </w:r>
    </w:p>
  </w:footnote>
  <w:footnote w:id="52">
    <w:p w:rsidR="00387D37" w:rsidRDefault="00387D37" w:rsidP="00615CBF">
      <w:pPr>
        <w:pStyle w:val="FootnoteText"/>
        <w:spacing w:line="480" w:lineRule="auto"/>
        <w:jc w:val="both"/>
      </w:pPr>
      <w:r>
        <w:rPr>
          <w:rStyle w:val="FootnoteReference"/>
        </w:rPr>
        <w:footnoteRef/>
      </w:r>
      <w:r>
        <w:t xml:space="preserve"> </w:t>
      </w:r>
      <w:r w:rsidRPr="009B5C97">
        <w:t>Rawls’</w:t>
      </w:r>
      <w:r w:rsidR="005273D1">
        <w:t xml:space="preserve"> (1999)</w:t>
      </w:r>
      <w:r w:rsidRPr="009B5C97">
        <w:t xml:space="preserve"> primary goods are a </w:t>
      </w:r>
      <w:r>
        <w:t xml:space="preserve">more </w:t>
      </w:r>
      <w:r w:rsidRPr="009B5C97">
        <w:t>s</w:t>
      </w:r>
      <w:r w:rsidR="005273D1">
        <w:t>tandard conception of resources</w:t>
      </w:r>
      <w:r w:rsidRPr="009B5C97">
        <w:t xml:space="preserve">. On capabilities see </w:t>
      </w:r>
      <w:proofErr w:type="spellStart"/>
      <w:r w:rsidR="005273D1">
        <w:t>Sen</w:t>
      </w:r>
      <w:proofErr w:type="spellEnd"/>
      <w:r w:rsidR="005273D1">
        <w:t xml:space="preserve"> 1999; Nussbaum 2011.</w:t>
      </w:r>
    </w:p>
  </w:footnote>
  <w:footnote w:id="53">
    <w:p w:rsidR="00387D37" w:rsidRDefault="00387D37" w:rsidP="006D191A">
      <w:pPr>
        <w:pStyle w:val="FootnoteText"/>
        <w:spacing w:line="480" w:lineRule="auto"/>
        <w:jc w:val="both"/>
      </w:pPr>
      <w:r>
        <w:rPr>
          <w:rStyle w:val="FootnoteReference"/>
        </w:rPr>
        <w:footnoteRef/>
      </w:r>
      <w:r>
        <w:t xml:space="preserve"> </w:t>
      </w:r>
      <w:r w:rsidRPr="005F2496">
        <w:t xml:space="preserve">Caney, </w:t>
      </w:r>
      <w:r w:rsidR="005273D1">
        <w:t>2009</w:t>
      </w:r>
      <w:r>
        <w:t>,</w:t>
      </w:r>
      <w:r w:rsidR="005273D1">
        <w:t xml:space="preserve"> p.</w:t>
      </w:r>
      <w:r>
        <w:t xml:space="preserve"> 128.</w:t>
      </w:r>
    </w:p>
  </w:footnote>
  <w:footnote w:id="54">
    <w:p w:rsidR="00387D37" w:rsidRDefault="00387D37" w:rsidP="002F4515">
      <w:pPr>
        <w:pStyle w:val="FootnoteText"/>
      </w:pPr>
      <w:r>
        <w:rPr>
          <w:rStyle w:val="FootnoteReference"/>
        </w:rPr>
        <w:footnoteRef/>
      </w:r>
      <w:r>
        <w:t xml:space="preserve"> Compiled from </w:t>
      </w:r>
      <w:r w:rsidR="005273D1">
        <w:t>World Bank 2013a; 2013b.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A6B"/>
    <w:rsid w:val="000038D9"/>
    <w:rsid w:val="0000677A"/>
    <w:rsid w:val="00011020"/>
    <w:rsid w:val="0001214E"/>
    <w:rsid w:val="00020A34"/>
    <w:rsid w:val="00021F88"/>
    <w:rsid w:val="000228C6"/>
    <w:rsid w:val="000237FE"/>
    <w:rsid w:val="00025E63"/>
    <w:rsid w:val="000262AC"/>
    <w:rsid w:val="00030DE2"/>
    <w:rsid w:val="00033795"/>
    <w:rsid w:val="00037539"/>
    <w:rsid w:val="000429F8"/>
    <w:rsid w:val="00043D3C"/>
    <w:rsid w:val="00047601"/>
    <w:rsid w:val="00047C37"/>
    <w:rsid w:val="00047DAF"/>
    <w:rsid w:val="00052D42"/>
    <w:rsid w:val="00055284"/>
    <w:rsid w:val="0005790D"/>
    <w:rsid w:val="00060EE6"/>
    <w:rsid w:val="000610C0"/>
    <w:rsid w:val="0007070A"/>
    <w:rsid w:val="00072168"/>
    <w:rsid w:val="00074846"/>
    <w:rsid w:val="00076108"/>
    <w:rsid w:val="00077C19"/>
    <w:rsid w:val="00082FCB"/>
    <w:rsid w:val="000869A9"/>
    <w:rsid w:val="00086DC6"/>
    <w:rsid w:val="0008728A"/>
    <w:rsid w:val="000914FF"/>
    <w:rsid w:val="00096227"/>
    <w:rsid w:val="000A2C37"/>
    <w:rsid w:val="000A496C"/>
    <w:rsid w:val="000A65C3"/>
    <w:rsid w:val="000A7102"/>
    <w:rsid w:val="000A79CA"/>
    <w:rsid w:val="000C1678"/>
    <w:rsid w:val="000C201E"/>
    <w:rsid w:val="000C4E73"/>
    <w:rsid w:val="000C5CA8"/>
    <w:rsid w:val="000D1780"/>
    <w:rsid w:val="000D1EEA"/>
    <w:rsid w:val="000D50F2"/>
    <w:rsid w:val="000E0A72"/>
    <w:rsid w:val="000E60CF"/>
    <w:rsid w:val="000E6AD6"/>
    <w:rsid w:val="000F429C"/>
    <w:rsid w:val="000F50B7"/>
    <w:rsid w:val="0010357D"/>
    <w:rsid w:val="00105291"/>
    <w:rsid w:val="001053B1"/>
    <w:rsid w:val="001054D8"/>
    <w:rsid w:val="001070FC"/>
    <w:rsid w:val="0011137E"/>
    <w:rsid w:val="00116228"/>
    <w:rsid w:val="00127F95"/>
    <w:rsid w:val="00133380"/>
    <w:rsid w:val="001356A9"/>
    <w:rsid w:val="00135DA7"/>
    <w:rsid w:val="0013684A"/>
    <w:rsid w:val="0014185B"/>
    <w:rsid w:val="00141ADA"/>
    <w:rsid w:val="00153701"/>
    <w:rsid w:val="00153A31"/>
    <w:rsid w:val="00153A46"/>
    <w:rsid w:val="001569AB"/>
    <w:rsid w:val="00160912"/>
    <w:rsid w:val="00161C91"/>
    <w:rsid w:val="00163177"/>
    <w:rsid w:val="00163672"/>
    <w:rsid w:val="00163E73"/>
    <w:rsid w:val="0017184A"/>
    <w:rsid w:val="001746DA"/>
    <w:rsid w:val="001773B2"/>
    <w:rsid w:val="0017778C"/>
    <w:rsid w:val="0018082A"/>
    <w:rsid w:val="0018500E"/>
    <w:rsid w:val="00185058"/>
    <w:rsid w:val="0018765E"/>
    <w:rsid w:val="00194AEA"/>
    <w:rsid w:val="001961A0"/>
    <w:rsid w:val="0019752B"/>
    <w:rsid w:val="001975B6"/>
    <w:rsid w:val="001A1B97"/>
    <w:rsid w:val="001A409F"/>
    <w:rsid w:val="001A5D65"/>
    <w:rsid w:val="001A7642"/>
    <w:rsid w:val="001B00F1"/>
    <w:rsid w:val="001B07D8"/>
    <w:rsid w:val="001B3CD0"/>
    <w:rsid w:val="001B45B8"/>
    <w:rsid w:val="001B5A9F"/>
    <w:rsid w:val="001C0BED"/>
    <w:rsid w:val="001C3D4F"/>
    <w:rsid w:val="001C65E5"/>
    <w:rsid w:val="001C6A54"/>
    <w:rsid w:val="001C6D79"/>
    <w:rsid w:val="001D3846"/>
    <w:rsid w:val="001D7270"/>
    <w:rsid w:val="001D7D16"/>
    <w:rsid w:val="001E5C2F"/>
    <w:rsid w:val="001E7DDF"/>
    <w:rsid w:val="001F0275"/>
    <w:rsid w:val="001F1F7B"/>
    <w:rsid w:val="001F4986"/>
    <w:rsid w:val="001F4BC3"/>
    <w:rsid w:val="0020606B"/>
    <w:rsid w:val="0021236B"/>
    <w:rsid w:val="00215200"/>
    <w:rsid w:val="0022005C"/>
    <w:rsid w:val="00220C33"/>
    <w:rsid w:val="002237B7"/>
    <w:rsid w:val="00227F6D"/>
    <w:rsid w:val="002306A3"/>
    <w:rsid w:val="002318EC"/>
    <w:rsid w:val="00233083"/>
    <w:rsid w:val="002348A5"/>
    <w:rsid w:val="00235AFD"/>
    <w:rsid w:val="0024635B"/>
    <w:rsid w:val="002507A4"/>
    <w:rsid w:val="00251595"/>
    <w:rsid w:val="00252627"/>
    <w:rsid w:val="00263010"/>
    <w:rsid w:val="002666CB"/>
    <w:rsid w:val="00270484"/>
    <w:rsid w:val="00272A95"/>
    <w:rsid w:val="00277D48"/>
    <w:rsid w:val="00277ECB"/>
    <w:rsid w:val="00287675"/>
    <w:rsid w:val="00297EE2"/>
    <w:rsid w:val="002A0187"/>
    <w:rsid w:val="002A47A5"/>
    <w:rsid w:val="002A586F"/>
    <w:rsid w:val="002A6AD9"/>
    <w:rsid w:val="002B1364"/>
    <w:rsid w:val="002B1C7A"/>
    <w:rsid w:val="002B1DEA"/>
    <w:rsid w:val="002B22C5"/>
    <w:rsid w:val="002C0D63"/>
    <w:rsid w:val="002C15CD"/>
    <w:rsid w:val="002C79AF"/>
    <w:rsid w:val="002C7DC8"/>
    <w:rsid w:val="002D0A4B"/>
    <w:rsid w:val="002D10F7"/>
    <w:rsid w:val="002D181C"/>
    <w:rsid w:val="002D2613"/>
    <w:rsid w:val="002E4556"/>
    <w:rsid w:val="002E5375"/>
    <w:rsid w:val="002F4515"/>
    <w:rsid w:val="00300DFF"/>
    <w:rsid w:val="00304204"/>
    <w:rsid w:val="003048A9"/>
    <w:rsid w:val="003053EA"/>
    <w:rsid w:val="00305C3C"/>
    <w:rsid w:val="003067EB"/>
    <w:rsid w:val="00310859"/>
    <w:rsid w:val="00315C8A"/>
    <w:rsid w:val="003229BC"/>
    <w:rsid w:val="00324D3D"/>
    <w:rsid w:val="00330C11"/>
    <w:rsid w:val="00332D78"/>
    <w:rsid w:val="00334636"/>
    <w:rsid w:val="00336DEE"/>
    <w:rsid w:val="00347C97"/>
    <w:rsid w:val="00351969"/>
    <w:rsid w:val="00351FD3"/>
    <w:rsid w:val="00353ABA"/>
    <w:rsid w:val="00354CB3"/>
    <w:rsid w:val="00356862"/>
    <w:rsid w:val="00357479"/>
    <w:rsid w:val="00357E05"/>
    <w:rsid w:val="00362C42"/>
    <w:rsid w:val="00363C42"/>
    <w:rsid w:val="00363D6A"/>
    <w:rsid w:val="00364F75"/>
    <w:rsid w:val="00364FF2"/>
    <w:rsid w:val="00365EF2"/>
    <w:rsid w:val="00371428"/>
    <w:rsid w:val="003714A5"/>
    <w:rsid w:val="003743E9"/>
    <w:rsid w:val="0037449B"/>
    <w:rsid w:val="00376D85"/>
    <w:rsid w:val="00381030"/>
    <w:rsid w:val="003829FF"/>
    <w:rsid w:val="00383D38"/>
    <w:rsid w:val="003856F0"/>
    <w:rsid w:val="00385D0C"/>
    <w:rsid w:val="0038644C"/>
    <w:rsid w:val="00387D37"/>
    <w:rsid w:val="003A3059"/>
    <w:rsid w:val="003A4DAE"/>
    <w:rsid w:val="003A79A2"/>
    <w:rsid w:val="003A7CA4"/>
    <w:rsid w:val="003B5903"/>
    <w:rsid w:val="003C0B90"/>
    <w:rsid w:val="003C33AE"/>
    <w:rsid w:val="003C4199"/>
    <w:rsid w:val="003C4A23"/>
    <w:rsid w:val="003D1E59"/>
    <w:rsid w:val="003D2D37"/>
    <w:rsid w:val="003E013E"/>
    <w:rsid w:val="003E7399"/>
    <w:rsid w:val="003E7937"/>
    <w:rsid w:val="003E7D9C"/>
    <w:rsid w:val="00401507"/>
    <w:rsid w:val="00403FD7"/>
    <w:rsid w:val="00410285"/>
    <w:rsid w:val="0041415C"/>
    <w:rsid w:val="00415415"/>
    <w:rsid w:val="00417E5A"/>
    <w:rsid w:val="00425F2E"/>
    <w:rsid w:val="0042669A"/>
    <w:rsid w:val="00426FD7"/>
    <w:rsid w:val="00427D76"/>
    <w:rsid w:val="00435A56"/>
    <w:rsid w:val="004437FB"/>
    <w:rsid w:val="00447E23"/>
    <w:rsid w:val="00451B11"/>
    <w:rsid w:val="00453A11"/>
    <w:rsid w:val="0045511D"/>
    <w:rsid w:val="0045689C"/>
    <w:rsid w:val="00457FE7"/>
    <w:rsid w:val="00460842"/>
    <w:rsid w:val="00461860"/>
    <w:rsid w:val="00464C40"/>
    <w:rsid w:val="00470873"/>
    <w:rsid w:val="00472DB9"/>
    <w:rsid w:val="004754BF"/>
    <w:rsid w:val="00476B47"/>
    <w:rsid w:val="00480F8F"/>
    <w:rsid w:val="004811EF"/>
    <w:rsid w:val="0048647B"/>
    <w:rsid w:val="0048774F"/>
    <w:rsid w:val="00487F68"/>
    <w:rsid w:val="00490A89"/>
    <w:rsid w:val="00490D35"/>
    <w:rsid w:val="00494AB0"/>
    <w:rsid w:val="00495668"/>
    <w:rsid w:val="004A4418"/>
    <w:rsid w:val="004A7085"/>
    <w:rsid w:val="004B3077"/>
    <w:rsid w:val="004B3293"/>
    <w:rsid w:val="004C2C4D"/>
    <w:rsid w:val="004C4200"/>
    <w:rsid w:val="004C7785"/>
    <w:rsid w:val="004D4A1C"/>
    <w:rsid w:val="004E1E10"/>
    <w:rsid w:val="004E334E"/>
    <w:rsid w:val="004E51BA"/>
    <w:rsid w:val="004E5796"/>
    <w:rsid w:val="004F074E"/>
    <w:rsid w:val="004F4695"/>
    <w:rsid w:val="004F533D"/>
    <w:rsid w:val="00504386"/>
    <w:rsid w:val="0051063C"/>
    <w:rsid w:val="0051069C"/>
    <w:rsid w:val="005140E8"/>
    <w:rsid w:val="0051416B"/>
    <w:rsid w:val="00515DA8"/>
    <w:rsid w:val="00517A8E"/>
    <w:rsid w:val="0052147D"/>
    <w:rsid w:val="005273D1"/>
    <w:rsid w:val="00530A73"/>
    <w:rsid w:val="00530B71"/>
    <w:rsid w:val="00532232"/>
    <w:rsid w:val="005440C1"/>
    <w:rsid w:val="00545492"/>
    <w:rsid w:val="00546F4A"/>
    <w:rsid w:val="0055003B"/>
    <w:rsid w:val="00551CB4"/>
    <w:rsid w:val="00561432"/>
    <w:rsid w:val="0056481C"/>
    <w:rsid w:val="00565F96"/>
    <w:rsid w:val="0056647C"/>
    <w:rsid w:val="00572F00"/>
    <w:rsid w:val="00574BE3"/>
    <w:rsid w:val="00580257"/>
    <w:rsid w:val="00583304"/>
    <w:rsid w:val="00594253"/>
    <w:rsid w:val="00594F3B"/>
    <w:rsid w:val="005A208E"/>
    <w:rsid w:val="005A2671"/>
    <w:rsid w:val="005A54F8"/>
    <w:rsid w:val="005A682C"/>
    <w:rsid w:val="005B2208"/>
    <w:rsid w:val="005B4564"/>
    <w:rsid w:val="005B6931"/>
    <w:rsid w:val="005B723C"/>
    <w:rsid w:val="005B7989"/>
    <w:rsid w:val="005C027E"/>
    <w:rsid w:val="005C1AE2"/>
    <w:rsid w:val="005C371B"/>
    <w:rsid w:val="005C5A63"/>
    <w:rsid w:val="005C6EA0"/>
    <w:rsid w:val="005D22DA"/>
    <w:rsid w:val="005D414E"/>
    <w:rsid w:val="005D47A4"/>
    <w:rsid w:val="005E56B6"/>
    <w:rsid w:val="005F01DF"/>
    <w:rsid w:val="005F2496"/>
    <w:rsid w:val="005F51A7"/>
    <w:rsid w:val="0060010C"/>
    <w:rsid w:val="00601B4F"/>
    <w:rsid w:val="006038DD"/>
    <w:rsid w:val="00606D30"/>
    <w:rsid w:val="0061061A"/>
    <w:rsid w:val="00612D20"/>
    <w:rsid w:val="006139EB"/>
    <w:rsid w:val="00615CBF"/>
    <w:rsid w:val="00620306"/>
    <w:rsid w:val="00627512"/>
    <w:rsid w:val="006339CB"/>
    <w:rsid w:val="006362D7"/>
    <w:rsid w:val="00636EAA"/>
    <w:rsid w:val="006413CF"/>
    <w:rsid w:val="0064337A"/>
    <w:rsid w:val="00645B6F"/>
    <w:rsid w:val="00647C85"/>
    <w:rsid w:val="0065048E"/>
    <w:rsid w:val="00652FE7"/>
    <w:rsid w:val="00653232"/>
    <w:rsid w:val="006567D5"/>
    <w:rsid w:val="00661740"/>
    <w:rsid w:val="00663BA5"/>
    <w:rsid w:val="006666DE"/>
    <w:rsid w:val="00672964"/>
    <w:rsid w:val="00673E5D"/>
    <w:rsid w:val="006845B1"/>
    <w:rsid w:val="00685A7D"/>
    <w:rsid w:val="0068639E"/>
    <w:rsid w:val="006879D0"/>
    <w:rsid w:val="00687E40"/>
    <w:rsid w:val="00691D60"/>
    <w:rsid w:val="0069526E"/>
    <w:rsid w:val="00696855"/>
    <w:rsid w:val="006A3912"/>
    <w:rsid w:val="006A4878"/>
    <w:rsid w:val="006B28E8"/>
    <w:rsid w:val="006B6A6C"/>
    <w:rsid w:val="006C1071"/>
    <w:rsid w:val="006C1133"/>
    <w:rsid w:val="006C4A5F"/>
    <w:rsid w:val="006D191A"/>
    <w:rsid w:val="006D1A15"/>
    <w:rsid w:val="006D36EE"/>
    <w:rsid w:val="006D503C"/>
    <w:rsid w:val="006D6BA8"/>
    <w:rsid w:val="006D754A"/>
    <w:rsid w:val="006E1AD6"/>
    <w:rsid w:val="006E5709"/>
    <w:rsid w:val="006E70AE"/>
    <w:rsid w:val="006F64D8"/>
    <w:rsid w:val="006F7FFB"/>
    <w:rsid w:val="00705166"/>
    <w:rsid w:val="007078C5"/>
    <w:rsid w:val="00713F9D"/>
    <w:rsid w:val="00732A75"/>
    <w:rsid w:val="00733F26"/>
    <w:rsid w:val="00736683"/>
    <w:rsid w:val="00737129"/>
    <w:rsid w:val="00737785"/>
    <w:rsid w:val="00741CA7"/>
    <w:rsid w:val="00745996"/>
    <w:rsid w:val="00750D67"/>
    <w:rsid w:val="007524B1"/>
    <w:rsid w:val="0075707E"/>
    <w:rsid w:val="00763186"/>
    <w:rsid w:val="007668A1"/>
    <w:rsid w:val="00767BBE"/>
    <w:rsid w:val="00767FC1"/>
    <w:rsid w:val="00776F3F"/>
    <w:rsid w:val="00780264"/>
    <w:rsid w:val="007804C5"/>
    <w:rsid w:val="00780842"/>
    <w:rsid w:val="00780C37"/>
    <w:rsid w:val="0078235F"/>
    <w:rsid w:val="007838F1"/>
    <w:rsid w:val="00794980"/>
    <w:rsid w:val="007961A5"/>
    <w:rsid w:val="007A19BC"/>
    <w:rsid w:val="007A1BA6"/>
    <w:rsid w:val="007B46E4"/>
    <w:rsid w:val="007C120D"/>
    <w:rsid w:val="007C230A"/>
    <w:rsid w:val="007C65F4"/>
    <w:rsid w:val="007C7AAF"/>
    <w:rsid w:val="007C7B3B"/>
    <w:rsid w:val="007D3D9A"/>
    <w:rsid w:val="007D56FE"/>
    <w:rsid w:val="007E3E61"/>
    <w:rsid w:val="007E7DEC"/>
    <w:rsid w:val="007F0371"/>
    <w:rsid w:val="007F21CC"/>
    <w:rsid w:val="007F3296"/>
    <w:rsid w:val="007F7E1F"/>
    <w:rsid w:val="008043DA"/>
    <w:rsid w:val="008073FF"/>
    <w:rsid w:val="00814161"/>
    <w:rsid w:val="008159DA"/>
    <w:rsid w:val="008171EF"/>
    <w:rsid w:val="0082199E"/>
    <w:rsid w:val="00821BFA"/>
    <w:rsid w:val="00822659"/>
    <w:rsid w:val="0082745A"/>
    <w:rsid w:val="0083575E"/>
    <w:rsid w:val="00852516"/>
    <w:rsid w:val="008660C2"/>
    <w:rsid w:val="00871C80"/>
    <w:rsid w:val="00874B7B"/>
    <w:rsid w:val="008761EC"/>
    <w:rsid w:val="008767D1"/>
    <w:rsid w:val="00877A6B"/>
    <w:rsid w:val="008809EC"/>
    <w:rsid w:val="0088194C"/>
    <w:rsid w:val="008872CA"/>
    <w:rsid w:val="00887302"/>
    <w:rsid w:val="00894317"/>
    <w:rsid w:val="008A0999"/>
    <w:rsid w:val="008A692A"/>
    <w:rsid w:val="008A7DEE"/>
    <w:rsid w:val="008B6370"/>
    <w:rsid w:val="008B7EAE"/>
    <w:rsid w:val="008C3F12"/>
    <w:rsid w:val="008D241D"/>
    <w:rsid w:val="008D74F2"/>
    <w:rsid w:val="008D79BE"/>
    <w:rsid w:val="008E2FC4"/>
    <w:rsid w:val="008E34B7"/>
    <w:rsid w:val="008E3EC3"/>
    <w:rsid w:val="008E5FF4"/>
    <w:rsid w:val="008F46AC"/>
    <w:rsid w:val="008F49D4"/>
    <w:rsid w:val="00904B82"/>
    <w:rsid w:val="00904F5C"/>
    <w:rsid w:val="00905D98"/>
    <w:rsid w:val="00907269"/>
    <w:rsid w:val="00917262"/>
    <w:rsid w:val="009177E1"/>
    <w:rsid w:val="00920394"/>
    <w:rsid w:val="0092314F"/>
    <w:rsid w:val="00925BA6"/>
    <w:rsid w:val="00925CD4"/>
    <w:rsid w:val="0092752C"/>
    <w:rsid w:val="00932A9B"/>
    <w:rsid w:val="00940EC2"/>
    <w:rsid w:val="009424CE"/>
    <w:rsid w:val="009433A8"/>
    <w:rsid w:val="0094389C"/>
    <w:rsid w:val="009471C3"/>
    <w:rsid w:val="009558FF"/>
    <w:rsid w:val="009571E2"/>
    <w:rsid w:val="009579FA"/>
    <w:rsid w:val="00962012"/>
    <w:rsid w:val="00963918"/>
    <w:rsid w:val="009716B4"/>
    <w:rsid w:val="009752C5"/>
    <w:rsid w:val="00975D4A"/>
    <w:rsid w:val="009772D0"/>
    <w:rsid w:val="00977E65"/>
    <w:rsid w:val="00983480"/>
    <w:rsid w:val="009839E7"/>
    <w:rsid w:val="00987B96"/>
    <w:rsid w:val="00990844"/>
    <w:rsid w:val="00994A28"/>
    <w:rsid w:val="009A02C4"/>
    <w:rsid w:val="009A1B46"/>
    <w:rsid w:val="009B08C4"/>
    <w:rsid w:val="009B5C97"/>
    <w:rsid w:val="009C67EC"/>
    <w:rsid w:val="009C6D59"/>
    <w:rsid w:val="009C7B00"/>
    <w:rsid w:val="009D1EF2"/>
    <w:rsid w:val="009D27CD"/>
    <w:rsid w:val="009D3883"/>
    <w:rsid w:val="009D54E1"/>
    <w:rsid w:val="009E02D8"/>
    <w:rsid w:val="009E44A5"/>
    <w:rsid w:val="009E45E7"/>
    <w:rsid w:val="009F0847"/>
    <w:rsid w:val="009F3927"/>
    <w:rsid w:val="009F4CD3"/>
    <w:rsid w:val="009F727B"/>
    <w:rsid w:val="00A0130F"/>
    <w:rsid w:val="00A2184D"/>
    <w:rsid w:val="00A26241"/>
    <w:rsid w:val="00A30D1F"/>
    <w:rsid w:val="00A33566"/>
    <w:rsid w:val="00A33C1D"/>
    <w:rsid w:val="00A34B43"/>
    <w:rsid w:val="00A35FA9"/>
    <w:rsid w:val="00A36365"/>
    <w:rsid w:val="00A36DC6"/>
    <w:rsid w:val="00A36F68"/>
    <w:rsid w:val="00A4567A"/>
    <w:rsid w:val="00A45DE0"/>
    <w:rsid w:val="00A51201"/>
    <w:rsid w:val="00A540DA"/>
    <w:rsid w:val="00A67950"/>
    <w:rsid w:val="00A7565D"/>
    <w:rsid w:val="00A757D3"/>
    <w:rsid w:val="00A76CD3"/>
    <w:rsid w:val="00A76E94"/>
    <w:rsid w:val="00A831C4"/>
    <w:rsid w:val="00A843E2"/>
    <w:rsid w:val="00A85E6B"/>
    <w:rsid w:val="00A87346"/>
    <w:rsid w:val="00A92888"/>
    <w:rsid w:val="00A93730"/>
    <w:rsid w:val="00A94FC0"/>
    <w:rsid w:val="00AA0F85"/>
    <w:rsid w:val="00AA4DD6"/>
    <w:rsid w:val="00AA52F3"/>
    <w:rsid w:val="00AA6716"/>
    <w:rsid w:val="00AB0C4B"/>
    <w:rsid w:val="00AB466B"/>
    <w:rsid w:val="00AB4930"/>
    <w:rsid w:val="00AB4F61"/>
    <w:rsid w:val="00AC2F89"/>
    <w:rsid w:val="00AC394A"/>
    <w:rsid w:val="00AC44D1"/>
    <w:rsid w:val="00AE04BE"/>
    <w:rsid w:val="00AE113B"/>
    <w:rsid w:val="00AE195F"/>
    <w:rsid w:val="00AE4C6B"/>
    <w:rsid w:val="00AE5D86"/>
    <w:rsid w:val="00AE7EBC"/>
    <w:rsid w:val="00AF1559"/>
    <w:rsid w:val="00AF251D"/>
    <w:rsid w:val="00AF2F4C"/>
    <w:rsid w:val="00AF672C"/>
    <w:rsid w:val="00B00E12"/>
    <w:rsid w:val="00B02211"/>
    <w:rsid w:val="00B116DC"/>
    <w:rsid w:val="00B15C6E"/>
    <w:rsid w:val="00B220E0"/>
    <w:rsid w:val="00B26A46"/>
    <w:rsid w:val="00B33CDB"/>
    <w:rsid w:val="00B37262"/>
    <w:rsid w:val="00B51C5A"/>
    <w:rsid w:val="00B53FAF"/>
    <w:rsid w:val="00B54D63"/>
    <w:rsid w:val="00B55C4D"/>
    <w:rsid w:val="00B561F3"/>
    <w:rsid w:val="00B60359"/>
    <w:rsid w:val="00B6077F"/>
    <w:rsid w:val="00B61E93"/>
    <w:rsid w:val="00B6290C"/>
    <w:rsid w:val="00B63493"/>
    <w:rsid w:val="00B67789"/>
    <w:rsid w:val="00B74F2B"/>
    <w:rsid w:val="00B81398"/>
    <w:rsid w:val="00B819D2"/>
    <w:rsid w:val="00B82EF6"/>
    <w:rsid w:val="00B9310D"/>
    <w:rsid w:val="00B93FD9"/>
    <w:rsid w:val="00BA0AAD"/>
    <w:rsid w:val="00BA25F4"/>
    <w:rsid w:val="00BA302D"/>
    <w:rsid w:val="00BA3AAC"/>
    <w:rsid w:val="00BB084C"/>
    <w:rsid w:val="00BB0B46"/>
    <w:rsid w:val="00BB1850"/>
    <w:rsid w:val="00BC1B9F"/>
    <w:rsid w:val="00BC3A2C"/>
    <w:rsid w:val="00BC4625"/>
    <w:rsid w:val="00BE2DD2"/>
    <w:rsid w:val="00BE3952"/>
    <w:rsid w:val="00BE6958"/>
    <w:rsid w:val="00C03D26"/>
    <w:rsid w:val="00C07F85"/>
    <w:rsid w:val="00C10A86"/>
    <w:rsid w:val="00C15B76"/>
    <w:rsid w:val="00C1791C"/>
    <w:rsid w:val="00C201E7"/>
    <w:rsid w:val="00C226AE"/>
    <w:rsid w:val="00C259EA"/>
    <w:rsid w:val="00C3018E"/>
    <w:rsid w:val="00C304FC"/>
    <w:rsid w:val="00C311CD"/>
    <w:rsid w:val="00C43D6C"/>
    <w:rsid w:val="00C45B5E"/>
    <w:rsid w:val="00C53B96"/>
    <w:rsid w:val="00C54716"/>
    <w:rsid w:val="00C5590C"/>
    <w:rsid w:val="00C61C67"/>
    <w:rsid w:val="00C6560F"/>
    <w:rsid w:val="00C65AEC"/>
    <w:rsid w:val="00C6660B"/>
    <w:rsid w:val="00C675FE"/>
    <w:rsid w:val="00C67AA7"/>
    <w:rsid w:val="00C732AC"/>
    <w:rsid w:val="00C74302"/>
    <w:rsid w:val="00C74447"/>
    <w:rsid w:val="00C77C11"/>
    <w:rsid w:val="00C8286A"/>
    <w:rsid w:val="00C85EB8"/>
    <w:rsid w:val="00C92D3C"/>
    <w:rsid w:val="00CA1975"/>
    <w:rsid w:val="00CA2F12"/>
    <w:rsid w:val="00CA4ECD"/>
    <w:rsid w:val="00CA7970"/>
    <w:rsid w:val="00CB6684"/>
    <w:rsid w:val="00CB6ABA"/>
    <w:rsid w:val="00CC1039"/>
    <w:rsid w:val="00CC30B2"/>
    <w:rsid w:val="00CC4744"/>
    <w:rsid w:val="00CD06B3"/>
    <w:rsid w:val="00CD344F"/>
    <w:rsid w:val="00CD7D06"/>
    <w:rsid w:val="00CE2E8B"/>
    <w:rsid w:val="00CF1E3A"/>
    <w:rsid w:val="00CF5537"/>
    <w:rsid w:val="00D022EC"/>
    <w:rsid w:val="00D051CA"/>
    <w:rsid w:val="00D059DC"/>
    <w:rsid w:val="00D07492"/>
    <w:rsid w:val="00D11BC9"/>
    <w:rsid w:val="00D12466"/>
    <w:rsid w:val="00D1652A"/>
    <w:rsid w:val="00D21242"/>
    <w:rsid w:val="00D21F46"/>
    <w:rsid w:val="00D222B6"/>
    <w:rsid w:val="00D2380F"/>
    <w:rsid w:val="00D2608D"/>
    <w:rsid w:val="00D34794"/>
    <w:rsid w:val="00D44173"/>
    <w:rsid w:val="00D4770F"/>
    <w:rsid w:val="00D646F8"/>
    <w:rsid w:val="00D64E91"/>
    <w:rsid w:val="00D742FD"/>
    <w:rsid w:val="00D95D75"/>
    <w:rsid w:val="00D9769F"/>
    <w:rsid w:val="00DA2CC0"/>
    <w:rsid w:val="00DA60E4"/>
    <w:rsid w:val="00DA6621"/>
    <w:rsid w:val="00DB3707"/>
    <w:rsid w:val="00DB3ADA"/>
    <w:rsid w:val="00DB614E"/>
    <w:rsid w:val="00DC7B94"/>
    <w:rsid w:val="00DD0FAF"/>
    <w:rsid w:val="00DD5EB5"/>
    <w:rsid w:val="00DE1215"/>
    <w:rsid w:val="00DE16EC"/>
    <w:rsid w:val="00DE187D"/>
    <w:rsid w:val="00DF2EC8"/>
    <w:rsid w:val="00E050C1"/>
    <w:rsid w:val="00E07066"/>
    <w:rsid w:val="00E07A79"/>
    <w:rsid w:val="00E1073D"/>
    <w:rsid w:val="00E111F0"/>
    <w:rsid w:val="00E12711"/>
    <w:rsid w:val="00E13772"/>
    <w:rsid w:val="00E15E16"/>
    <w:rsid w:val="00E249D5"/>
    <w:rsid w:val="00E269F2"/>
    <w:rsid w:val="00E3174C"/>
    <w:rsid w:val="00E35D53"/>
    <w:rsid w:val="00E37261"/>
    <w:rsid w:val="00E45463"/>
    <w:rsid w:val="00E475A4"/>
    <w:rsid w:val="00E477FC"/>
    <w:rsid w:val="00E61576"/>
    <w:rsid w:val="00E6172B"/>
    <w:rsid w:val="00E61D5B"/>
    <w:rsid w:val="00E61ED4"/>
    <w:rsid w:val="00E73644"/>
    <w:rsid w:val="00E75C93"/>
    <w:rsid w:val="00E75DE1"/>
    <w:rsid w:val="00E77BBB"/>
    <w:rsid w:val="00E819FC"/>
    <w:rsid w:val="00E825CA"/>
    <w:rsid w:val="00E874AF"/>
    <w:rsid w:val="00E90756"/>
    <w:rsid w:val="00E96464"/>
    <w:rsid w:val="00E96DA8"/>
    <w:rsid w:val="00EA67C9"/>
    <w:rsid w:val="00EB62D7"/>
    <w:rsid w:val="00EB7D60"/>
    <w:rsid w:val="00EC0C83"/>
    <w:rsid w:val="00EC3B10"/>
    <w:rsid w:val="00ED0C9B"/>
    <w:rsid w:val="00ED190F"/>
    <w:rsid w:val="00ED31D7"/>
    <w:rsid w:val="00ED4B8A"/>
    <w:rsid w:val="00EE0BA0"/>
    <w:rsid w:val="00EE0D59"/>
    <w:rsid w:val="00EE1532"/>
    <w:rsid w:val="00EE216B"/>
    <w:rsid w:val="00EE2964"/>
    <w:rsid w:val="00EE5539"/>
    <w:rsid w:val="00EE5805"/>
    <w:rsid w:val="00EE65A6"/>
    <w:rsid w:val="00EF07A3"/>
    <w:rsid w:val="00EF1969"/>
    <w:rsid w:val="00EF2FAE"/>
    <w:rsid w:val="00EF3CFB"/>
    <w:rsid w:val="00EF6BC3"/>
    <w:rsid w:val="00EF7AFB"/>
    <w:rsid w:val="00EF7EFD"/>
    <w:rsid w:val="00F03C32"/>
    <w:rsid w:val="00F05CFA"/>
    <w:rsid w:val="00F10046"/>
    <w:rsid w:val="00F10768"/>
    <w:rsid w:val="00F1092B"/>
    <w:rsid w:val="00F127C0"/>
    <w:rsid w:val="00F12F17"/>
    <w:rsid w:val="00F17422"/>
    <w:rsid w:val="00F2671B"/>
    <w:rsid w:val="00F26FAF"/>
    <w:rsid w:val="00F277ED"/>
    <w:rsid w:val="00F30E6D"/>
    <w:rsid w:val="00F356C8"/>
    <w:rsid w:val="00F40B22"/>
    <w:rsid w:val="00F4585D"/>
    <w:rsid w:val="00F4609B"/>
    <w:rsid w:val="00F4651B"/>
    <w:rsid w:val="00F567D0"/>
    <w:rsid w:val="00F57F83"/>
    <w:rsid w:val="00F61D07"/>
    <w:rsid w:val="00F654EB"/>
    <w:rsid w:val="00F67BDB"/>
    <w:rsid w:val="00F707FF"/>
    <w:rsid w:val="00F74EE9"/>
    <w:rsid w:val="00F805EC"/>
    <w:rsid w:val="00F81E8B"/>
    <w:rsid w:val="00F82C28"/>
    <w:rsid w:val="00F83E71"/>
    <w:rsid w:val="00F917B3"/>
    <w:rsid w:val="00F93F64"/>
    <w:rsid w:val="00F95FE5"/>
    <w:rsid w:val="00FA4318"/>
    <w:rsid w:val="00FA7883"/>
    <w:rsid w:val="00FB27F8"/>
    <w:rsid w:val="00FB3128"/>
    <w:rsid w:val="00FB392E"/>
    <w:rsid w:val="00FB63F1"/>
    <w:rsid w:val="00FC306C"/>
    <w:rsid w:val="00FC5F87"/>
    <w:rsid w:val="00FC7F1A"/>
    <w:rsid w:val="00FD189A"/>
    <w:rsid w:val="00FD4769"/>
    <w:rsid w:val="00FD489A"/>
    <w:rsid w:val="00FD5A4E"/>
    <w:rsid w:val="00FD6AA4"/>
    <w:rsid w:val="00FE289D"/>
    <w:rsid w:val="00FE540D"/>
    <w:rsid w:val="00FE7D1F"/>
    <w:rsid w:val="00FF331E"/>
    <w:rsid w:val="00FF5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77A6B"/>
    <w:rPr>
      <w:i/>
      <w:iCs/>
    </w:rPr>
  </w:style>
  <w:style w:type="paragraph" w:styleId="FootnoteText">
    <w:name w:val="footnote text"/>
    <w:basedOn w:val="Normal"/>
    <w:link w:val="FootnoteTextChar"/>
    <w:semiHidden/>
    <w:rsid w:val="00606D30"/>
    <w:rPr>
      <w:sz w:val="20"/>
      <w:szCs w:val="20"/>
    </w:rPr>
  </w:style>
  <w:style w:type="character" w:styleId="FootnoteReference">
    <w:name w:val="footnote reference"/>
    <w:semiHidden/>
    <w:rsid w:val="00606D30"/>
    <w:rPr>
      <w:vertAlign w:val="superscript"/>
    </w:rPr>
  </w:style>
  <w:style w:type="character" w:styleId="Hyperlink">
    <w:name w:val="Hyperlink"/>
    <w:rsid w:val="00606D30"/>
    <w:rPr>
      <w:color w:val="0000FF"/>
      <w:u w:val="single"/>
    </w:rPr>
  </w:style>
  <w:style w:type="paragraph" w:styleId="Footer">
    <w:name w:val="footer"/>
    <w:basedOn w:val="Normal"/>
    <w:rsid w:val="008043DA"/>
    <w:pPr>
      <w:tabs>
        <w:tab w:val="center" w:pos="4320"/>
        <w:tab w:val="right" w:pos="8640"/>
      </w:tabs>
    </w:pPr>
  </w:style>
  <w:style w:type="character" w:styleId="PageNumber">
    <w:name w:val="page number"/>
    <w:basedOn w:val="DefaultParagraphFont"/>
    <w:rsid w:val="008043DA"/>
  </w:style>
  <w:style w:type="character" w:styleId="FollowedHyperlink">
    <w:name w:val="FollowedHyperlink"/>
    <w:rsid w:val="000A496C"/>
    <w:rPr>
      <w:color w:val="606420"/>
      <w:u w:val="single"/>
    </w:rPr>
  </w:style>
  <w:style w:type="character" w:styleId="CommentReference">
    <w:name w:val="annotation reference"/>
    <w:semiHidden/>
    <w:rsid w:val="00161C91"/>
    <w:rPr>
      <w:sz w:val="16"/>
      <w:szCs w:val="16"/>
    </w:rPr>
  </w:style>
  <w:style w:type="paragraph" w:styleId="CommentText">
    <w:name w:val="annotation text"/>
    <w:basedOn w:val="Normal"/>
    <w:semiHidden/>
    <w:rsid w:val="00161C91"/>
    <w:rPr>
      <w:sz w:val="20"/>
      <w:szCs w:val="20"/>
    </w:rPr>
  </w:style>
  <w:style w:type="paragraph" w:styleId="CommentSubject">
    <w:name w:val="annotation subject"/>
    <w:basedOn w:val="CommentText"/>
    <w:next w:val="CommentText"/>
    <w:semiHidden/>
    <w:rsid w:val="00161C91"/>
    <w:rPr>
      <w:b/>
      <w:bCs/>
    </w:rPr>
  </w:style>
  <w:style w:type="paragraph" w:styleId="BalloonText">
    <w:name w:val="Balloon Text"/>
    <w:basedOn w:val="Normal"/>
    <w:semiHidden/>
    <w:rsid w:val="00161C91"/>
    <w:rPr>
      <w:rFonts w:ascii="Tahoma" w:hAnsi="Tahoma" w:cs="Tahoma"/>
      <w:sz w:val="16"/>
      <w:szCs w:val="16"/>
    </w:rPr>
  </w:style>
  <w:style w:type="character" w:customStyle="1" w:styleId="ft">
    <w:name w:val="ft"/>
    <w:basedOn w:val="DefaultParagraphFont"/>
    <w:rsid w:val="002507A4"/>
  </w:style>
  <w:style w:type="table" w:styleId="TableGrid">
    <w:name w:val="Table Grid"/>
    <w:basedOn w:val="TableNormal"/>
    <w:rsid w:val="002B2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rsid w:val="009571E2"/>
  </w:style>
  <w:style w:type="paragraph" w:customStyle="1" w:styleId="Default">
    <w:name w:val="Default"/>
    <w:rsid w:val="00DD5EB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3038">
      <w:bodyDiv w:val="1"/>
      <w:marLeft w:val="0"/>
      <w:marRight w:val="0"/>
      <w:marTop w:val="0"/>
      <w:marBottom w:val="0"/>
      <w:divBdr>
        <w:top w:val="none" w:sz="0" w:space="0" w:color="auto"/>
        <w:left w:val="none" w:sz="0" w:space="0" w:color="auto"/>
        <w:bottom w:val="none" w:sz="0" w:space="0" w:color="auto"/>
        <w:right w:val="none" w:sz="0" w:space="0" w:color="auto"/>
      </w:divBdr>
      <w:divsChild>
        <w:div w:id="952784111">
          <w:marLeft w:val="0"/>
          <w:marRight w:val="0"/>
          <w:marTop w:val="0"/>
          <w:marBottom w:val="0"/>
          <w:divBdr>
            <w:top w:val="none" w:sz="0" w:space="0" w:color="auto"/>
            <w:left w:val="none" w:sz="0" w:space="0" w:color="auto"/>
            <w:bottom w:val="none" w:sz="0" w:space="0" w:color="auto"/>
            <w:right w:val="none" w:sz="0" w:space="0" w:color="auto"/>
          </w:divBdr>
          <w:divsChild>
            <w:div w:id="126510742">
              <w:marLeft w:val="0"/>
              <w:marRight w:val="0"/>
              <w:marTop w:val="0"/>
              <w:marBottom w:val="0"/>
              <w:divBdr>
                <w:top w:val="none" w:sz="0" w:space="0" w:color="auto"/>
                <w:left w:val="none" w:sz="0" w:space="0" w:color="auto"/>
                <w:bottom w:val="none" w:sz="0" w:space="0" w:color="auto"/>
                <w:right w:val="none" w:sz="0" w:space="0" w:color="auto"/>
              </w:divBdr>
              <w:divsChild>
                <w:div w:id="1599025112">
                  <w:marLeft w:val="0"/>
                  <w:marRight w:val="0"/>
                  <w:marTop w:val="0"/>
                  <w:marBottom w:val="0"/>
                  <w:divBdr>
                    <w:top w:val="none" w:sz="0" w:space="0" w:color="auto"/>
                    <w:left w:val="none" w:sz="0" w:space="0" w:color="auto"/>
                    <w:bottom w:val="none" w:sz="0" w:space="0" w:color="auto"/>
                    <w:right w:val="none" w:sz="0" w:space="0" w:color="auto"/>
                  </w:divBdr>
                  <w:divsChild>
                    <w:div w:id="603421944">
                      <w:marLeft w:val="0"/>
                      <w:marRight w:val="0"/>
                      <w:marTop w:val="0"/>
                      <w:marBottom w:val="0"/>
                      <w:divBdr>
                        <w:top w:val="none" w:sz="0" w:space="0" w:color="auto"/>
                        <w:left w:val="none" w:sz="0" w:space="0" w:color="auto"/>
                        <w:bottom w:val="none" w:sz="0" w:space="0" w:color="auto"/>
                        <w:right w:val="none" w:sz="0" w:space="0" w:color="auto"/>
                      </w:divBdr>
                      <w:divsChild>
                        <w:div w:id="17086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worldbank.org/indicator/EN.ATM.CO2E.P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ta.worldbank.org/indicator/NY.GNP.PCAP.PP.C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rica.demon.co.uk/E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743AA-C5CC-430F-A5C8-D2D0A88F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8705</Words>
  <Characters>48561</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57152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Carl</dc:creator>
  <cp:lastModifiedBy>Carl Knight</cp:lastModifiedBy>
  <cp:revision>2</cp:revision>
  <dcterms:created xsi:type="dcterms:W3CDTF">2013-04-18T20:56:00Z</dcterms:created>
  <dcterms:modified xsi:type="dcterms:W3CDTF">2013-04-18T20:56:00Z</dcterms:modified>
</cp:coreProperties>
</file>