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52648" w14:textId="4F205536" w:rsidR="00BA7100" w:rsidRDefault="00BA7100" w:rsidP="004845F2">
      <w:pPr>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Review of:</w:t>
      </w:r>
    </w:p>
    <w:p w14:paraId="36CAA0B8" w14:textId="3027B5DE" w:rsidR="00F4661A" w:rsidRPr="009B1EA5" w:rsidRDefault="00F4661A" w:rsidP="004845F2">
      <w:pPr>
        <w:spacing w:after="0" w:line="240" w:lineRule="auto"/>
        <w:rPr>
          <w:rFonts w:ascii="Verdana" w:eastAsia="Times New Roman" w:hAnsi="Verdana" w:cs="Times New Roman"/>
          <w:b/>
          <w:sz w:val="20"/>
          <w:szCs w:val="20"/>
        </w:rPr>
      </w:pPr>
      <w:r w:rsidRPr="009B1EA5">
        <w:rPr>
          <w:rFonts w:ascii="Verdana" w:eastAsia="Times New Roman" w:hAnsi="Verdana" w:cs="Times New Roman"/>
          <w:b/>
          <w:sz w:val="20"/>
          <w:szCs w:val="20"/>
        </w:rPr>
        <w:t>Herman Cappelen</w:t>
      </w:r>
    </w:p>
    <w:p w14:paraId="16849201" w14:textId="299462E7" w:rsidR="00F4661A" w:rsidRPr="005618F0" w:rsidRDefault="00F4661A" w:rsidP="004845F2">
      <w:pPr>
        <w:spacing w:after="0" w:line="240" w:lineRule="auto"/>
        <w:rPr>
          <w:rFonts w:ascii="Verdana" w:eastAsia="Times New Roman" w:hAnsi="Verdana" w:cs="Times New Roman"/>
          <w:sz w:val="20"/>
          <w:szCs w:val="20"/>
        </w:rPr>
      </w:pPr>
      <w:r w:rsidRPr="009B1EA5">
        <w:rPr>
          <w:rFonts w:ascii="Verdana" w:eastAsia="Times New Roman" w:hAnsi="Verdana" w:cs="Times New Roman"/>
          <w:b/>
          <w:sz w:val="20"/>
          <w:szCs w:val="20"/>
        </w:rPr>
        <w:t xml:space="preserve">Fixing Language. An Essay </w:t>
      </w:r>
      <w:r w:rsidR="00821865">
        <w:rPr>
          <w:rFonts w:ascii="Verdana" w:eastAsia="Times New Roman" w:hAnsi="Verdana" w:cs="Times New Roman"/>
          <w:b/>
          <w:sz w:val="20"/>
          <w:szCs w:val="20"/>
        </w:rPr>
        <w:t>o</w:t>
      </w:r>
      <w:r w:rsidRPr="009B1EA5">
        <w:rPr>
          <w:rFonts w:ascii="Verdana" w:eastAsia="Times New Roman" w:hAnsi="Verdana" w:cs="Times New Roman"/>
          <w:b/>
          <w:sz w:val="20"/>
          <w:szCs w:val="20"/>
        </w:rPr>
        <w:t>n Conceptual Engineering</w:t>
      </w:r>
    </w:p>
    <w:p w14:paraId="76E1FE10" w14:textId="77777777" w:rsidR="00F4661A" w:rsidRPr="005618F0" w:rsidRDefault="00F4661A" w:rsidP="004845F2">
      <w:pPr>
        <w:spacing w:after="0" w:line="240" w:lineRule="auto"/>
        <w:rPr>
          <w:rFonts w:ascii="Verdana" w:eastAsia="Times New Roman" w:hAnsi="Verdana" w:cs="Times New Roman"/>
          <w:sz w:val="20"/>
          <w:szCs w:val="20"/>
        </w:rPr>
      </w:pPr>
      <w:r w:rsidRPr="005618F0">
        <w:rPr>
          <w:rFonts w:ascii="Verdana" w:eastAsia="Times New Roman" w:hAnsi="Verdana" w:cs="Times New Roman"/>
          <w:sz w:val="20"/>
          <w:szCs w:val="20"/>
        </w:rPr>
        <w:t>Oxford: Oxford University Press, 2018.</w:t>
      </w:r>
    </w:p>
    <w:p w14:paraId="56DC9383" w14:textId="77777777" w:rsidR="00F4661A" w:rsidRPr="005618F0" w:rsidRDefault="00F4661A" w:rsidP="004845F2">
      <w:pPr>
        <w:spacing w:after="0" w:line="240" w:lineRule="auto"/>
        <w:rPr>
          <w:rFonts w:ascii="Verdana" w:eastAsia="Times New Roman" w:hAnsi="Verdana" w:cs="Times New Roman"/>
          <w:sz w:val="20"/>
          <w:szCs w:val="20"/>
        </w:rPr>
      </w:pPr>
      <w:r w:rsidRPr="005618F0">
        <w:rPr>
          <w:rFonts w:ascii="Verdana" w:eastAsia="Times New Roman" w:hAnsi="Verdana" w:cs="Times New Roman"/>
          <w:sz w:val="20"/>
          <w:szCs w:val="20"/>
        </w:rPr>
        <w:t xml:space="preserve">ISBN: 9780198814719; $39, </w:t>
      </w:r>
      <w:r w:rsidRPr="00CE58EE">
        <w:rPr>
          <w:rFonts w:ascii="Verdana" w:eastAsia="Times New Roman" w:hAnsi="Verdana" w:cs="Times New Roman"/>
          <w:sz w:val="20"/>
          <w:szCs w:val="20"/>
        </w:rPr>
        <w:t>£29.00</w:t>
      </w:r>
      <w:r w:rsidRPr="005618F0">
        <w:rPr>
          <w:rFonts w:ascii="Verdana" w:eastAsia="Times New Roman" w:hAnsi="Verdana" w:cs="Times New Roman"/>
          <w:sz w:val="20"/>
          <w:szCs w:val="20"/>
        </w:rPr>
        <w:t>, €36,30 (hardback)</w:t>
      </w:r>
    </w:p>
    <w:p w14:paraId="1C49E98B" w14:textId="43312334" w:rsidR="00C511C5" w:rsidRPr="00BA7100" w:rsidRDefault="00F4661A" w:rsidP="004845F2">
      <w:pPr>
        <w:spacing w:line="240" w:lineRule="auto"/>
        <w:rPr>
          <w:rFonts w:ascii="Verdana" w:eastAsia="Times New Roman" w:hAnsi="Verdana" w:cs="Times New Roman"/>
          <w:sz w:val="20"/>
          <w:szCs w:val="20"/>
        </w:rPr>
      </w:pPr>
      <w:r w:rsidRPr="005618F0">
        <w:rPr>
          <w:rFonts w:ascii="Verdana" w:eastAsia="Times New Roman" w:hAnsi="Verdana" w:cs="Times New Roman"/>
          <w:sz w:val="20"/>
          <w:szCs w:val="20"/>
        </w:rPr>
        <w:t>224 Pages</w:t>
      </w:r>
    </w:p>
    <w:p w14:paraId="4E207CC5" w14:textId="5F4EBFA0" w:rsidR="00CA4337" w:rsidRDefault="005C35EB" w:rsidP="003A5F37">
      <w:pPr>
        <w:spacing w:after="0" w:line="240" w:lineRule="auto"/>
        <w:rPr>
          <w:rFonts w:ascii="Verdana" w:eastAsia="Times New Roman" w:hAnsi="Verdana" w:cs="Times New Roman"/>
          <w:sz w:val="20"/>
          <w:szCs w:val="20"/>
        </w:rPr>
      </w:pPr>
      <w:r w:rsidRPr="005C35EB">
        <w:rPr>
          <w:rFonts w:ascii="Verdana" w:eastAsia="Times New Roman" w:hAnsi="Verdana" w:cs="Times New Roman"/>
          <w:i/>
          <w:sz w:val="20"/>
          <w:szCs w:val="20"/>
        </w:rPr>
        <w:t xml:space="preserve">Fixing Language </w:t>
      </w:r>
      <w:r>
        <w:rPr>
          <w:rFonts w:ascii="Verdana" w:eastAsia="Times New Roman" w:hAnsi="Verdana" w:cs="Times New Roman"/>
          <w:sz w:val="20"/>
          <w:szCs w:val="20"/>
        </w:rPr>
        <w:t xml:space="preserve">is a book about an activity nowadays known as ‘conceptual engineering’. In Cappelen’s own words, conceptual engineering is the “process of assessing and improving representational devices” (3). Herman Cappelen is not the first author to </w:t>
      </w:r>
      <w:r w:rsidR="00931986">
        <w:rPr>
          <w:rFonts w:ascii="Verdana" w:eastAsia="Times New Roman" w:hAnsi="Verdana" w:cs="Times New Roman"/>
          <w:sz w:val="20"/>
          <w:szCs w:val="20"/>
        </w:rPr>
        <w:t>theorize about this process, but his monograph is the first book-length contribution to this young and quickly growing field of research. It offers a comprehensive means to engage with the literature about conceptual engineering</w:t>
      </w:r>
      <w:r w:rsidR="003A5F37">
        <w:rPr>
          <w:rFonts w:ascii="Verdana" w:eastAsia="Times New Roman" w:hAnsi="Verdana" w:cs="Times New Roman"/>
          <w:sz w:val="20"/>
          <w:szCs w:val="20"/>
        </w:rPr>
        <w:t xml:space="preserve"> – </w:t>
      </w:r>
      <w:r w:rsidR="00931986">
        <w:rPr>
          <w:rFonts w:ascii="Verdana" w:eastAsia="Times New Roman" w:hAnsi="Verdana" w:cs="Times New Roman"/>
          <w:sz w:val="20"/>
          <w:szCs w:val="20"/>
        </w:rPr>
        <w:t xml:space="preserve">a literature which is not always referred to as ‘conceptual engineering’, but sometimes </w:t>
      </w:r>
      <w:r w:rsidR="003340E9">
        <w:rPr>
          <w:rFonts w:ascii="Verdana" w:eastAsia="Times New Roman" w:hAnsi="Verdana" w:cs="Times New Roman"/>
          <w:sz w:val="20"/>
          <w:szCs w:val="20"/>
        </w:rPr>
        <w:t xml:space="preserve">also </w:t>
      </w:r>
      <w:r w:rsidR="00931986">
        <w:rPr>
          <w:rFonts w:ascii="Verdana" w:eastAsia="Times New Roman" w:hAnsi="Verdana" w:cs="Times New Roman"/>
          <w:sz w:val="20"/>
          <w:szCs w:val="20"/>
        </w:rPr>
        <w:t xml:space="preserve">goes under the </w:t>
      </w:r>
      <w:r w:rsidR="007275CE">
        <w:rPr>
          <w:rFonts w:ascii="Verdana" w:eastAsia="Times New Roman" w:hAnsi="Verdana" w:cs="Times New Roman"/>
          <w:sz w:val="20"/>
          <w:szCs w:val="20"/>
        </w:rPr>
        <w:t xml:space="preserve">labels </w:t>
      </w:r>
      <w:r w:rsidR="00931986">
        <w:rPr>
          <w:rFonts w:ascii="Verdana" w:eastAsia="Times New Roman" w:hAnsi="Verdana" w:cs="Times New Roman"/>
          <w:sz w:val="20"/>
          <w:szCs w:val="20"/>
        </w:rPr>
        <w:t>of ‘Carnapian Explication’ (Carnap 1950), ‘Ameliorative Analysis’ (Haslanger 2006), ‘Metalinguistic Negotiation’ (Plunkett and Sundell 2013, Plunkett 2015)</w:t>
      </w:r>
      <w:r w:rsidR="003340E9">
        <w:rPr>
          <w:rFonts w:ascii="Verdana" w:eastAsia="Times New Roman" w:hAnsi="Verdana" w:cs="Times New Roman"/>
          <w:sz w:val="20"/>
          <w:szCs w:val="20"/>
        </w:rPr>
        <w:t>,</w:t>
      </w:r>
      <w:r w:rsidR="00931986">
        <w:rPr>
          <w:rFonts w:ascii="Verdana" w:eastAsia="Times New Roman" w:hAnsi="Verdana" w:cs="Times New Roman"/>
          <w:sz w:val="20"/>
          <w:szCs w:val="20"/>
        </w:rPr>
        <w:t xml:space="preserve"> or ‘Conceptual Re-engineering’ (Brun 2016). It is one goal </w:t>
      </w:r>
      <w:r w:rsidR="00931986" w:rsidRPr="008E36D0">
        <w:rPr>
          <w:rFonts w:ascii="Verdana" w:eastAsia="Times New Roman" w:hAnsi="Verdana" w:cs="Times New Roman"/>
          <w:sz w:val="20"/>
          <w:szCs w:val="20"/>
        </w:rPr>
        <w:t>of</w:t>
      </w:r>
      <w:r w:rsidR="00931986" w:rsidRPr="008E36D0">
        <w:rPr>
          <w:rFonts w:ascii="Verdana" w:eastAsia="Times New Roman" w:hAnsi="Verdana" w:cs="Times New Roman"/>
          <w:i/>
          <w:sz w:val="20"/>
          <w:szCs w:val="20"/>
        </w:rPr>
        <w:t xml:space="preserve"> Fixing Language</w:t>
      </w:r>
      <w:r w:rsidR="00931986">
        <w:rPr>
          <w:rFonts w:ascii="Verdana" w:eastAsia="Times New Roman" w:hAnsi="Verdana" w:cs="Times New Roman"/>
          <w:sz w:val="20"/>
          <w:szCs w:val="20"/>
        </w:rPr>
        <w:t xml:space="preserve"> to </w:t>
      </w:r>
      <w:r w:rsidR="008E36D0">
        <w:rPr>
          <w:rFonts w:ascii="Verdana" w:eastAsia="Times New Roman" w:hAnsi="Verdana" w:cs="Times New Roman"/>
          <w:sz w:val="20"/>
          <w:szCs w:val="20"/>
        </w:rPr>
        <w:t xml:space="preserve">show that these different theories are theories of a common phenomenon, whose proper recognition has major consequences for philosophical methodology. Another goal of this book is to present and defend a particular view about conceptual engineering. The details will be discussed below, but here are (some of) Cappelen’s main theses: (i) Perhaps despite appearances to the contrary, </w:t>
      </w:r>
      <w:r w:rsidR="0029452C">
        <w:rPr>
          <w:rFonts w:ascii="Verdana" w:eastAsia="Times New Roman" w:hAnsi="Verdana" w:cs="Times New Roman"/>
          <w:sz w:val="20"/>
          <w:szCs w:val="20"/>
        </w:rPr>
        <w:t>meaning change</w:t>
      </w:r>
      <w:r w:rsidR="008E36D0">
        <w:rPr>
          <w:rFonts w:ascii="Verdana" w:eastAsia="Times New Roman" w:hAnsi="Verdana" w:cs="Times New Roman"/>
          <w:sz w:val="20"/>
          <w:szCs w:val="20"/>
        </w:rPr>
        <w:t xml:space="preserve"> is a process which is for the most part inscrutable and </w:t>
      </w:r>
      <w:r w:rsidR="003340E9">
        <w:rPr>
          <w:rFonts w:ascii="Verdana" w:eastAsia="Times New Roman" w:hAnsi="Verdana" w:cs="Times New Roman"/>
          <w:sz w:val="20"/>
          <w:szCs w:val="20"/>
        </w:rPr>
        <w:t>beyond</w:t>
      </w:r>
      <w:r w:rsidR="008E36D0">
        <w:rPr>
          <w:rFonts w:ascii="Verdana" w:eastAsia="Times New Roman" w:hAnsi="Verdana" w:cs="Times New Roman"/>
          <w:sz w:val="20"/>
          <w:szCs w:val="20"/>
        </w:rPr>
        <w:t xml:space="preserve"> control; </w:t>
      </w:r>
      <w:r w:rsidR="00EF147A">
        <w:rPr>
          <w:rFonts w:ascii="Verdana" w:eastAsia="Times New Roman" w:hAnsi="Verdana" w:cs="Times New Roman"/>
          <w:sz w:val="20"/>
          <w:szCs w:val="20"/>
        </w:rPr>
        <w:t xml:space="preserve">(ii) </w:t>
      </w:r>
      <w:r w:rsidR="0085005A">
        <w:rPr>
          <w:rFonts w:ascii="Verdana" w:eastAsia="Times New Roman" w:hAnsi="Verdana" w:cs="Times New Roman"/>
          <w:sz w:val="20"/>
          <w:szCs w:val="20"/>
        </w:rPr>
        <w:t>c</w:t>
      </w:r>
      <w:r w:rsidR="00EF147A">
        <w:rPr>
          <w:rFonts w:ascii="Verdana" w:eastAsia="Times New Roman" w:hAnsi="Verdana" w:cs="Times New Roman"/>
          <w:sz w:val="20"/>
          <w:szCs w:val="20"/>
        </w:rPr>
        <w:t>ontrary to Peter Strawson’s famous critique of revisionary projects in philosophy, it is possible to preserve a topic through semantic revision</w:t>
      </w:r>
      <w:r w:rsidR="0085005A">
        <w:rPr>
          <w:rFonts w:ascii="Verdana" w:eastAsia="Times New Roman" w:hAnsi="Verdana" w:cs="Times New Roman"/>
          <w:sz w:val="20"/>
          <w:szCs w:val="20"/>
        </w:rPr>
        <w:t xml:space="preserve">; </w:t>
      </w:r>
      <w:r w:rsidR="00EF147A">
        <w:rPr>
          <w:rFonts w:ascii="Verdana" w:eastAsia="Times New Roman" w:hAnsi="Verdana" w:cs="Times New Roman"/>
          <w:sz w:val="20"/>
          <w:szCs w:val="20"/>
        </w:rPr>
        <w:t>(iii) conceptual engineering</w:t>
      </w:r>
      <w:r w:rsidR="0085005A">
        <w:rPr>
          <w:rFonts w:ascii="Verdana" w:eastAsia="Times New Roman" w:hAnsi="Verdana" w:cs="Times New Roman"/>
          <w:sz w:val="20"/>
          <w:szCs w:val="20"/>
        </w:rPr>
        <w:t xml:space="preserve"> </w:t>
      </w:r>
      <w:r w:rsidR="00EF147A">
        <w:rPr>
          <w:rFonts w:ascii="Verdana" w:eastAsia="Times New Roman" w:hAnsi="Verdana" w:cs="Times New Roman"/>
          <w:sz w:val="20"/>
          <w:szCs w:val="20"/>
        </w:rPr>
        <w:t xml:space="preserve">does not </w:t>
      </w:r>
      <w:r w:rsidR="0085005A">
        <w:rPr>
          <w:rFonts w:ascii="Verdana" w:eastAsia="Times New Roman" w:hAnsi="Verdana" w:cs="Times New Roman"/>
          <w:sz w:val="20"/>
          <w:szCs w:val="20"/>
        </w:rPr>
        <w:t xml:space="preserve">actually </w:t>
      </w:r>
      <w:r w:rsidR="00EF147A">
        <w:rPr>
          <w:rFonts w:ascii="Verdana" w:eastAsia="Times New Roman" w:hAnsi="Verdana" w:cs="Times New Roman"/>
          <w:sz w:val="20"/>
          <w:szCs w:val="20"/>
        </w:rPr>
        <w:t>involve concepts in any philosophically or psychologically significant sense</w:t>
      </w:r>
      <w:r w:rsidR="0085005A">
        <w:rPr>
          <w:rFonts w:ascii="Verdana" w:eastAsia="Times New Roman" w:hAnsi="Verdana" w:cs="Times New Roman"/>
          <w:sz w:val="20"/>
          <w:szCs w:val="20"/>
        </w:rPr>
        <w:t>, but</w:t>
      </w:r>
      <w:r w:rsidR="00EF147A">
        <w:rPr>
          <w:rFonts w:ascii="Verdana" w:eastAsia="Times New Roman" w:hAnsi="Verdana" w:cs="Times New Roman"/>
          <w:sz w:val="20"/>
          <w:szCs w:val="20"/>
        </w:rPr>
        <w:t xml:space="preserve"> only the extensions and intensions of words</w:t>
      </w:r>
      <w:r w:rsidR="0085005A">
        <w:rPr>
          <w:rFonts w:ascii="Verdana" w:eastAsia="Times New Roman" w:hAnsi="Verdana" w:cs="Times New Roman"/>
          <w:sz w:val="20"/>
          <w:szCs w:val="20"/>
        </w:rPr>
        <w:t xml:space="preserve"> (</w:t>
      </w:r>
      <w:r w:rsidR="00EF147A">
        <w:rPr>
          <w:rFonts w:ascii="Verdana" w:eastAsia="Times New Roman" w:hAnsi="Verdana" w:cs="Times New Roman"/>
          <w:sz w:val="20"/>
          <w:szCs w:val="20"/>
        </w:rPr>
        <w:t>and, to some extent, also the objects that those words refer to</w:t>
      </w:r>
      <w:r w:rsidR="0085005A">
        <w:rPr>
          <w:rFonts w:ascii="Verdana" w:eastAsia="Times New Roman" w:hAnsi="Verdana" w:cs="Times New Roman"/>
          <w:sz w:val="20"/>
          <w:szCs w:val="20"/>
        </w:rPr>
        <w:t>)</w:t>
      </w:r>
      <w:r w:rsidR="00EF147A">
        <w:rPr>
          <w:rFonts w:ascii="Verdana" w:eastAsia="Times New Roman" w:hAnsi="Verdana" w:cs="Times New Roman"/>
          <w:sz w:val="20"/>
          <w:szCs w:val="20"/>
        </w:rPr>
        <w:t xml:space="preserve">. </w:t>
      </w:r>
      <w:r w:rsidR="0085005A">
        <w:rPr>
          <w:rFonts w:ascii="Verdana" w:eastAsia="Times New Roman" w:hAnsi="Verdana" w:cs="Times New Roman"/>
          <w:sz w:val="20"/>
          <w:szCs w:val="20"/>
        </w:rPr>
        <w:t>A</w:t>
      </w:r>
      <w:r w:rsidR="00EF147A">
        <w:rPr>
          <w:rFonts w:ascii="Verdana" w:eastAsia="Times New Roman" w:hAnsi="Verdana" w:cs="Times New Roman"/>
          <w:sz w:val="20"/>
          <w:szCs w:val="20"/>
        </w:rPr>
        <w:t xml:space="preserve">ll of these claims are controversial, but </w:t>
      </w:r>
      <w:r w:rsidR="0085005A">
        <w:rPr>
          <w:rFonts w:ascii="Verdana" w:eastAsia="Times New Roman" w:hAnsi="Verdana" w:cs="Times New Roman"/>
          <w:sz w:val="20"/>
          <w:szCs w:val="20"/>
        </w:rPr>
        <w:t>Cappelen develops and</w:t>
      </w:r>
      <w:r w:rsidR="00EF147A">
        <w:rPr>
          <w:rFonts w:ascii="Verdana" w:eastAsia="Times New Roman" w:hAnsi="Verdana" w:cs="Times New Roman"/>
          <w:sz w:val="20"/>
          <w:szCs w:val="20"/>
        </w:rPr>
        <w:t xml:space="preserve"> defends them in a </w:t>
      </w:r>
      <w:r w:rsidR="007275CE">
        <w:rPr>
          <w:rFonts w:ascii="Verdana" w:eastAsia="Times New Roman" w:hAnsi="Verdana" w:cs="Times New Roman"/>
          <w:sz w:val="20"/>
          <w:szCs w:val="20"/>
        </w:rPr>
        <w:t>clear and</w:t>
      </w:r>
      <w:r w:rsidR="00EF147A">
        <w:rPr>
          <w:rFonts w:ascii="Verdana" w:eastAsia="Times New Roman" w:hAnsi="Verdana" w:cs="Times New Roman"/>
          <w:sz w:val="20"/>
          <w:szCs w:val="20"/>
        </w:rPr>
        <w:t xml:space="preserve"> rigorous</w:t>
      </w:r>
      <w:r w:rsidR="007275CE">
        <w:rPr>
          <w:rFonts w:ascii="Verdana" w:eastAsia="Times New Roman" w:hAnsi="Verdana" w:cs="Times New Roman"/>
          <w:sz w:val="20"/>
          <w:szCs w:val="20"/>
        </w:rPr>
        <w:t xml:space="preserve"> manner, which makes </w:t>
      </w:r>
      <w:r w:rsidR="007275CE" w:rsidRPr="005C35EB">
        <w:rPr>
          <w:rFonts w:ascii="Verdana" w:eastAsia="Times New Roman" w:hAnsi="Verdana" w:cs="Times New Roman"/>
          <w:i/>
          <w:sz w:val="20"/>
          <w:szCs w:val="20"/>
        </w:rPr>
        <w:t>Fixing Language</w:t>
      </w:r>
      <w:r w:rsidR="007275CE">
        <w:rPr>
          <w:rFonts w:ascii="Verdana" w:eastAsia="Times New Roman" w:hAnsi="Verdana" w:cs="Times New Roman"/>
          <w:i/>
          <w:sz w:val="20"/>
          <w:szCs w:val="20"/>
        </w:rPr>
        <w:t xml:space="preserve"> </w:t>
      </w:r>
      <w:r w:rsidR="007275CE">
        <w:rPr>
          <w:rFonts w:ascii="Verdana" w:eastAsia="Times New Roman" w:hAnsi="Verdana" w:cs="Times New Roman"/>
          <w:sz w:val="20"/>
          <w:szCs w:val="20"/>
        </w:rPr>
        <w:t>an engaging and thought-provoking read.</w:t>
      </w:r>
    </w:p>
    <w:p w14:paraId="7F512D7C" w14:textId="57217A28" w:rsidR="007275CE" w:rsidRDefault="007275CE" w:rsidP="004845F2">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b/>
      </w:r>
      <w:r w:rsidR="00FA3726">
        <w:rPr>
          <w:rFonts w:ascii="Verdana" w:eastAsia="Times New Roman" w:hAnsi="Verdana" w:cs="Times New Roman"/>
          <w:sz w:val="20"/>
          <w:szCs w:val="20"/>
        </w:rPr>
        <w:t xml:space="preserve">Let me begin this review with a brief summary of </w:t>
      </w:r>
      <w:r w:rsidR="00FA3726" w:rsidRPr="00FA3726">
        <w:rPr>
          <w:rFonts w:ascii="Verdana" w:eastAsia="Times New Roman" w:hAnsi="Verdana" w:cs="Times New Roman"/>
          <w:i/>
          <w:sz w:val="20"/>
          <w:szCs w:val="20"/>
        </w:rPr>
        <w:t>Fixing Language.</w:t>
      </w:r>
      <w:r w:rsidR="00FA3726">
        <w:rPr>
          <w:rFonts w:ascii="Verdana" w:eastAsia="Times New Roman" w:hAnsi="Verdana" w:cs="Times New Roman"/>
          <w:sz w:val="20"/>
          <w:szCs w:val="20"/>
        </w:rPr>
        <w:t xml:space="preserve"> </w:t>
      </w:r>
      <w:r>
        <w:rPr>
          <w:rFonts w:ascii="Verdana" w:eastAsia="Times New Roman" w:hAnsi="Verdana" w:cs="Times New Roman"/>
          <w:sz w:val="20"/>
          <w:szCs w:val="20"/>
        </w:rPr>
        <w:t>The book is structured in five parts, each of which contains numerous chapters circulat</w:t>
      </w:r>
      <w:r w:rsidR="0022321C">
        <w:rPr>
          <w:rFonts w:ascii="Verdana" w:eastAsia="Times New Roman" w:hAnsi="Verdana" w:cs="Times New Roman"/>
          <w:sz w:val="20"/>
          <w:szCs w:val="20"/>
        </w:rPr>
        <w:t>ing</w:t>
      </w:r>
      <w:r>
        <w:rPr>
          <w:rFonts w:ascii="Verdana" w:eastAsia="Times New Roman" w:hAnsi="Verdana" w:cs="Times New Roman"/>
          <w:sz w:val="20"/>
          <w:szCs w:val="20"/>
        </w:rPr>
        <w:t xml:space="preserve"> around a </w:t>
      </w:r>
      <w:r w:rsidR="0022321C">
        <w:rPr>
          <w:rFonts w:ascii="Verdana" w:eastAsia="Times New Roman" w:hAnsi="Verdana" w:cs="Times New Roman"/>
          <w:sz w:val="20"/>
          <w:szCs w:val="20"/>
        </w:rPr>
        <w:t>particular</w:t>
      </w:r>
      <w:r>
        <w:rPr>
          <w:rFonts w:ascii="Verdana" w:eastAsia="Times New Roman" w:hAnsi="Verdana" w:cs="Times New Roman"/>
          <w:sz w:val="20"/>
          <w:szCs w:val="20"/>
        </w:rPr>
        <w:t xml:space="preserve"> subtopic of conceptual engineering. Part I offers an extensive introduction to conceptual engineering, which contains both many example</w:t>
      </w:r>
      <w:r w:rsidR="0022321C">
        <w:rPr>
          <w:rFonts w:ascii="Verdana" w:eastAsia="Times New Roman" w:hAnsi="Verdana" w:cs="Times New Roman"/>
          <w:sz w:val="20"/>
          <w:szCs w:val="20"/>
        </w:rPr>
        <w:t>s</w:t>
      </w:r>
      <w:r>
        <w:rPr>
          <w:rFonts w:ascii="Verdana" w:eastAsia="Times New Roman" w:hAnsi="Verdana" w:cs="Times New Roman"/>
          <w:sz w:val="20"/>
          <w:szCs w:val="20"/>
        </w:rPr>
        <w:t xml:space="preserve"> from inside and outside philosophy, as well as general arguments for the importance of conceptual engineering, its implications for philosophical methodology, and the need to have a general theory about it. Part II</w:t>
      </w:r>
      <w:r w:rsidR="0022321C">
        <w:rPr>
          <w:rFonts w:ascii="Verdana" w:eastAsia="Times New Roman" w:hAnsi="Verdana" w:cs="Times New Roman"/>
          <w:sz w:val="20"/>
          <w:szCs w:val="20"/>
        </w:rPr>
        <w:t xml:space="preserve">-IV contain Cappelen’s own view of conceptual engineering, a view that he refers to as the </w:t>
      </w:r>
      <w:r w:rsidR="0022321C" w:rsidRPr="0022321C">
        <w:rPr>
          <w:rFonts w:ascii="Verdana" w:eastAsia="Times New Roman" w:hAnsi="Verdana" w:cs="Times New Roman"/>
          <w:i/>
          <w:sz w:val="20"/>
          <w:szCs w:val="20"/>
        </w:rPr>
        <w:t>Austerity Framework</w:t>
      </w:r>
      <w:r w:rsidR="0022321C">
        <w:rPr>
          <w:rFonts w:ascii="Verdana" w:eastAsia="Times New Roman" w:hAnsi="Verdana" w:cs="Times New Roman"/>
          <w:sz w:val="20"/>
          <w:szCs w:val="20"/>
        </w:rPr>
        <w:t xml:space="preserve">. More specifically, part II aims to provide a metasemantic foundation for conceptual engineering which does justice to traditional externalist </w:t>
      </w:r>
      <w:r w:rsidR="003A62FD">
        <w:rPr>
          <w:rFonts w:ascii="Verdana" w:eastAsia="Times New Roman" w:hAnsi="Verdana" w:cs="Times New Roman"/>
          <w:sz w:val="20"/>
          <w:szCs w:val="20"/>
        </w:rPr>
        <w:t>insight</w:t>
      </w:r>
      <w:r w:rsidR="0022321C">
        <w:rPr>
          <w:rFonts w:ascii="Verdana" w:eastAsia="Times New Roman" w:hAnsi="Verdana" w:cs="Times New Roman"/>
          <w:sz w:val="20"/>
          <w:szCs w:val="20"/>
        </w:rPr>
        <w:t>s. Cappelen models conceptual engineering on typical cases of reference change</w:t>
      </w:r>
      <w:r w:rsidR="0085005A">
        <w:rPr>
          <w:rFonts w:ascii="Verdana" w:eastAsia="Times New Roman" w:hAnsi="Verdana" w:cs="Times New Roman"/>
          <w:sz w:val="20"/>
          <w:szCs w:val="20"/>
        </w:rPr>
        <w:t xml:space="preserve">. </w:t>
      </w:r>
      <w:r w:rsidR="002C6A82">
        <w:rPr>
          <w:rFonts w:ascii="Verdana" w:eastAsia="Times New Roman" w:hAnsi="Verdana" w:cs="Times New Roman"/>
          <w:sz w:val="20"/>
          <w:szCs w:val="20"/>
        </w:rPr>
        <w:t xml:space="preserve">The author argues that there is not and cannot be a general theory of reference change, because reference change is inscrutable and not within the voluntary control of language users. As a corollary, </w:t>
      </w:r>
      <w:r w:rsidR="0029452C">
        <w:rPr>
          <w:rFonts w:ascii="Verdana" w:eastAsia="Times New Roman" w:hAnsi="Verdana" w:cs="Times New Roman"/>
          <w:sz w:val="20"/>
          <w:szCs w:val="20"/>
        </w:rPr>
        <w:t xml:space="preserve">the actual implementation of a </w:t>
      </w:r>
      <w:r w:rsidR="002C6A82">
        <w:rPr>
          <w:rFonts w:ascii="Verdana" w:eastAsia="Times New Roman" w:hAnsi="Verdana" w:cs="Times New Roman"/>
          <w:sz w:val="20"/>
          <w:szCs w:val="20"/>
        </w:rPr>
        <w:t>conceptual engineering</w:t>
      </w:r>
      <w:r w:rsidR="0029452C">
        <w:rPr>
          <w:rFonts w:ascii="Verdana" w:eastAsia="Times New Roman" w:hAnsi="Verdana" w:cs="Times New Roman"/>
          <w:sz w:val="20"/>
          <w:szCs w:val="20"/>
        </w:rPr>
        <w:t xml:space="preserve"> proposal</w:t>
      </w:r>
      <w:r w:rsidR="002C6A82">
        <w:rPr>
          <w:rFonts w:ascii="Verdana" w:eastAsia="Times New Roman" w:hAnsi="Verdana" w:cs="Times New Roman"/>
          <w:sz w:val="20"/>
          <w:szCs w:val="20"/>
        </w:rPr>
        <w:t xml:space="preserve"> is also inscrutable and not within the control of language users. Part III engages extensively with Peter Strawson’s famous </w:t>
      </w:r>
      <w:r w:rsidR="00416421">
        <w:rPr>
          <w:rFonts w:ascii="Verdana" w:eastAsia="Times New Roman" w:hAnsi="Verdana" w:cs="Times New Roman"/>
          <w:sz w:val="20"/>
          <w:szCs w:val="20"/>
        </w:rPr>
        <w:t>o</w:t>
      </w:r>
      <w:r w:rsidR="002C6A82">
        <w:rPr>
          <w:rFonts w:ascii="Verdana" w:eastAsia="Times New Roman" w:hAnsi="Verdana" w:cs="Times New Roman"/>
          <w:sz w:val="20"/>
          <w:szCs w:val="20"/>
        </w:rPr>
        <w:t xml:space="preserve">bjection to Rudolf Carnap’s proposed method of explication, </w:t>
      </w:r>
      <w:r w:rsidR="00C92F69">
        <w:rPr>
          <w:rFonts w:ascii="Verdana" w:eastAsia="Times New Roman" w:hAnsi="Verdana" w:cs="Times New Roman"/>
          <w:sz w:val="20"/>
          <w:szCs w:val="20"/>
        </w:rPr>
        <w:t xml:space="preserve">which is </w:t>
      </w:r>
      <w:r w:rsidR="0085005A">
        <w:rPr>
          <w:rFonts w:ascii="Verdana" w:eastAsia="Times New Roman" w:hAnsi="Verdana" w:cs="Times New Roman"/>
          <w:sz w:val="20"/>
          <w:szCs w:val="20"/>
        </w:rPr>
        <w:t>arguably a form of conceptual engineering.</w:t>
      </w:r>
      <w:r w:rsidR="002C6A82">
        <w:rPr>
          <w:rFonts w:ascii="Verdana" w:eastAsia="Times New Roman" w:hAnsi="Verdana" w:cs="Times New Roman"/>
          <w:sz w:val="20"/>
          <w:szCs w:val="20"/>
        </w:rPr>
        <w:t xml:space="preserve"> According to Strawson, it is not possible to improve our concept of, say, knowledge, because any attempt to do so merely changes the topic from knowledge to something else. Cappelen offers two strategies in response</w:t>
      </w:r>
      <w:r w:rsidR="0085005A">
        <w:rPr>
          <w:rFonts w:ascii="Verdana" w:eastAsia="Times New Roman" w:hAnsi="Verdana" w:cs="Times New Roman"/>
          <w:sz w:val="20"/>
          <w:szCs w:val="20"/>
        </w:rPr>
        <w:t xml:space="preserve"> to this challenge</w:t>
      </w:r>
      <w:r w:rsidR="002C6A82">
        <w:rPr>
          <w:rFonts w:ascii="Verdana" w:eastAsia="Times New Roman" w:hAnsi="Verdana" w:cs="Times New Roman"/>
          <w:sz w:val="20"/>
          <w:szCs w:val="20"/>
        </w:rPr>
        <w:t>: firstly,</w:t>
      </w:r>
      <w:r w:rsidR="0085005A">
        <w:rPr>
          <w:rFonts w:ascii="Verdana" w:eastAsia="Times New Roman" w:hAnsi="Verdana" w:cs="Times New Roman"/>
          <w:sz w:val="20"/>
          <w:szCs w:val="20"/>
        </w:rPr>
        <w:t xml:space="preserve"> </w:t>
      </w:r>
      <w:r w:rsidR="002C6A82">
        <w:rPr>
          <w:rFonts w:ascii="Verdana" w:eastAsia="Times New Roman" w:hAnsi="Verdana" w:cs="Times New Roman"/>
          <w:sz w:val="20"/>
          <w:szCs w:val="20"/>
        </w:rPr>
        <w:t>he argues</w:t>
      </w:r>
      <w:r w:rsidR="00C92F69">
        <w:rPr>
          <w:rFonts w:ascii="Verdana" w:eastAsia="Times New Roman" w:hAnsi="Verdana" w:cs="Times New Roman"/>
          <w:sz w:val="20"/>
          <w:szCs w:val="20"/>
        </w:rPr>
        <w:t>,</w:t>
      </w:r>
      <w:r w:rsidR="002C6A82">
        <w:rPr>
          <w:rFonts w:ascii="Verdana" w:eastAsia="Times New Roman" w:hAnsi="Verdana" w:cs="Times New Roman"/>
          <w:sz w:val="20"/>
          <w:szCs w:val="20"/>
        </w:rPr>
        <w:t xml:space="preserve"> </w:t>
      </w:r>
      <w:r w:rsidR="002C6A82" w:rsidRPr="0085005A">
        <w:rPr>
          <w:rFonts w:ascii="Verdana" w:eastAsia="Times New Roman" w:hAnsi="Verdana" w:cs="Times New Roman"/>
          <w:i/>
          <w:sz w:val="20"/>
          <w:szCs w:val="20"/>
        </w:rPr>
        <w:t>pace</w:t>
      </w:r>
      <w:r w:rsidR="002C6A82">
        <w:rPr>
          <w:rFonts w:ascii="Verdana" w:eastAsia="Times New Roman" w:hAnsi="Verdana" w:cs="Times New Roman"/>
          <w:sz w:val="20"/>
          <w:szCs w:val="20"/>
        </w:rPr>
        <w:t xml:space="preserve"> Strawson</w:t>
      </w:r>
      <w:r w:rsidR="00C92F69">
        <w:rPr>
          <w:rFonts w:ascii="Verdana" w:eastAsia="Times New Roman" w:hAnsi="Verdana" w:cs="Times New Roman"/>
          <w:sz w:val="20"/>
          <w:szCs w:val="20"/>
        </w:rPr>
        <w:t>,</w:t>
      </w:r>
      <w:r w:rsidR="002C6A82">
        <w:rPr>
          <w:rFonts w:ascii="Verdana" w:eastAsia="Times New Roman" w:hAnsi="Verdana" w:cs="Times New Roman"/>
          <w:sz w:val="20"/>
          <w:szCs w:val="20"/>
        </w:rPr>
        <w:t xml:space="preserve"> that topic preservation through semantic revision is possible, since not all semantic differences result in people saying different things. Secondly, Cappelen argues that conceptual engineers may appeal to what he calls ‘lexical effects’ to justify using an old word with a new meaning despite changes of topic. </w:t>
      </w:r>
      <w:r w:rsidR="00FC21B9">
        <w:rPr>
          <w:rFonts w:ascii="Verdana" w:eastAsia="Times New Roman" w:hAnsi="Verdana" w:cs="Times New Roman"/>
          <w:sz w:val="20"/>
          <w:szCs w:val="20"/>
        </w:rPr>
        <w:t>Although Cappelen ultimately rejects this strategy, he does believe that lexical effects, i.e.</w:t>
      </w:r>
      <w:r w:rsidR="00C92F69">
        <w:rPr>
          <w:rFonts w:ascii="Verdana" w:eastAsia="Times New Roman" w:hAnsi="Verdana" w:cs="Times New Roman"/>
          <w:sz w:val="20"/>
          <w:szCs w:val="20"/>
        </w:rPr>
        <w:t>,</w:t>
      </w:r>
      <w:r w:rsidR="00FC21B9">
        <w:rPr>
          <w:rFonts w:ascii="Verdana" w:eastAsia="Times New Roman" w:hAnsi="Verdana" w:cs="Times New Roman"/>
          <w:sz w:val="20"/>
          <w:szCs w:val="20"/>
        </w:rPr>
        <w:t xml:space="preserve"> the psychological and sociological effects of using certain string of letters or sounds, mark an important and underappreciated category in philosophy of language. In </w:t>
      </w:r>
      <w:r w:rsidR="00767F7F">
        <w:rPr>
          <w:rFonts w:ascii="Verdana" w:eastAsia="Times New Roman" w:hAnsi="Verdana" w:cs="Times New Roman"/>
          <w:sz w:val="20"/>
          <w:szCs w:val="20"/>
        </w:rPr>
        <w:t>p</w:t>
      </w:r>
      <w:r w:rsidR="00FC21B9">
        <w:rPr>
          <w:rFonts w:ascii="Verdana" w:eastAsia="Times New Roman" w:hAnsi="Verdana" w:cs="Times New Roman"/>
          <w:sz w:val="20"/>
          <w:szCs w:val="20"/>
        </w:rPr>
        <w:t>art IV,</w:t>
      </w:r>
      <w:r w:rsidR="0000421F">
        <w:rPr>
          <w:rFonts w:ascii="Verdana" w:eastAsia="Times New Roman" w:hAnsi="Verdana" w:cs="Times New Roman"/>
          <w:sz w:val="20"/>
          <w:szCs w:val="20"/>
        </w:rPr>
        <w:t xml:space="preserve"> Cappelen argues</w:t>
      </w:r>
      <w:r w:rsidR="00C901B1">
        <w:rPr>
          <w:rFonts w:ascii="Verdana" w:eastAsia="Times New Roman" w:hAnsi="Verdana" w:cs="Times New Roman"/>
          <w:sz w:val="20"/>
          <w:szCs w:val="20"/>
        </w:rPr>
        <w:t xml:space="preserve"> that despite his claim </w:t>
      </w:r>
      <w:r w:rsidR="00C92F69">
        <w:rPr>
          <w:rFonts w:ascii="Verdana" w:eastAsia="Times New Roman" w:hAnsi="Verdana" w:cs="Times New Roman"/>
          <w:sz w:val="20"/>
          <w:szCs w:val="20"/>
        </w:rPr>
        <w:t>that</w:t>
      </w:r>
      <w:r w:rsidR="00C901B1">
        <w:rPr>
          <w:rFonts w:ascii="Verdana" w:eastAsia="Times New Roman" w:hAnsi="Verdana" w:cs="Times New Roman"/>
          <w:sz w:val="20"/>
          <w:szCs w:val="20"/>
        </w:rPr>
        <w:t xml:space="preserve"> conceptual engineering </w:t>
      </w:r>
      <w:r w:rsidR="00C92F69">
        <w:rPr>
          <w:rFonts w:ascii="Verdana" w:eastAsia="Times New Roman" w:hAnsi="Verdana" w:cs="Times New Roman"/>
          <w:sz w:val="20"/>
          <w:szCs w:val="20"/>
        </w:rPr>
        <w:t>is</w:t>
      </w:r>
      <w:r w:rsidR="00C901B1">
        <w:rPr>
          <w:rFonts w:ascii="Verdana" w:eastAsia="Times New Roman" w:hAnsi="Verdana" w:cs="Times New Roman"/>
          <w:sz w:val="20"/>
          <w:szCs w:val="20"/>
        </w:rPr>
        <w:t xml:space="preserve"> about the intensions and extensions o</w:t>
      </w:r>
      <w:r w:rsidR="00C92F69">
        <w:rPr>
          <w:rFonts w:ascii="Verdana" w:eastAsia="Times New Roman" w:hAnsi="Verdana" w:cs="Times New Roman"/>
          <w:sz w:val="20"/>
          <w:szCs w:val="20"/>
        </w:rPr>
        <w:t>f</w:t>
      </w:r>
      <w:r w:rsidR="00C901B1">
        <w:rPr>
          <w:rFonts w:ascii="Verdana" w:eastAsia="Times New Roman" w:hAnsi="Verdana" w:cs="Times New Roman"/>
          <w:sz w:val="20"/>
          <w:szCs w:val="20"/>
        </w:rPr>
        <w:t xml:space="preserve"> </w:t>
      </w:r>
      <w:r w:rsidR="00C901B1">
        <w:rPr>
          <w:rFonts w:ascii="Verdana" w:eastAsia="Times New Roman" w:hAnsi="Verdana" w:cs="Times New Roman"/>
          <w:sz w:val="20"/>
          <w:szCs w:val="20"/>
        </w:rPr>
        <w:lastRenderedPageBreak/>
        <w:t>words, this process can also be described</w:t>
      </w:r>
      <w:r w:rsidR="00A273FA">
        <w:rPr>
          <w:rFonts w:ascii="Verdana" w:eastAsia="Times New Roman" w:hAnsi="Verdana" w:cs="Times New Roman"/>
          <w:sz w:val="20"/>
          <w:szCs w:val="20"/>
        </w:rPr>
        <w:t xml:space="preserve"> </w:t>
      </w:r>
      <w:r w:rsidR="00C901B1">
        <w:rPr>
          <w:rFonts w:ascii="Verdana" w:eastAsia="Times New Roman" w:hAnsi="Verdana" w:cs="Times New Roman"/>
          <w:sz w:val="20"/>
          <w:szCs w:val="20"/>
        </w:rPr>
        <w:t>as being about the object level. Cappelen calls this the ‘worldliness’ of conceptual engineering. According to Cappelen, each utterance express</w:t>
      </w:r>
      <w:r w:rsidR="00FA3726">
        <w:rPr>
          <w:rFonts w:ascii="Verdana" w:eastAsia="Times New Roman" w:hAnsi="Verdana" w:cs="Times New Roman"/>
          <w:sz w:val="20"/>
          <w:szCs w:val="20"/>
        </w:rPr>
        <w:t>es</w:t>
      </w:r>
      <w:r w:rsidR="00C901B1">
        <w:rPr>
          <w:rFonts w:ascii="Verdana" w:eastAsia="Times New Roman" w:hAnsi="Verdana" w:cs="Times New Roman"/>
          <w:sz w:val="20"/>
          <w:szCs w:val="20"/>
        </w:rPr>
        <w:t xml:space="preserve"> not just one, but a very large number of different propositions, such that the proposition semantically expressed is just one of them. And while it is true that conceptual engineering will never result in true propositions semantically expressed by sentences like “What families are has changed”, such sentences may nevertheless express other true propositions.</w:t>
      </w:r>
      <w:r w:rsidR="00767F7F">
        <w:rPr>
          <w:rFonts w:ascii="Verdana" w:eastAsia="Times New Roman" w:hAnsi="Verdana" w:cs="Times New Roman"/>
          <w:sz w:val="20"/>
          <w:szCs w:val="20"/>
        </w:rPr>
        <w:t xml:space="preserve"> Furthermore, part IV gives a taxonomy of the varieties of conceptual engineering and defends the </w:t>
      </w:r>
      <w:r w:rsidR="00767F7F" w:rsidRPr="00767F7F">
        <w:rPr>
          <w:rFonts w:ascii="Verdana" w:eastAsia="Times New Roman" w:hAnsi="Verdana" w:cs="Times New Roman"/>
          <w:i/>
          <w:sz w:val="20"/>
          <w:szCs w:val="20"/>
        </w:rPr>
        <w:t xml:space="preserve">Austerity Framework </w:t>
      </w:r>
      <w:r w:rsidR="00767F7F">
        <w:rPr>
          <w:rFonts w:ascii="Verdana" w:eastAsia="Times New Roman" w:hAnsi="Verdana" w:cs="Times New Roman"/>
          <w:sz w:val="20"/>
          <w:szCs w:val="20"/>
        </w:rPr>
        <w:t xml:space="preserve">against </w:t>
      </w:r>
      <w:r w:rsidR="009F4488">
        <w:rPr>
          <w:rFonts w:ascii="Verdana" w:eastAsia="Times New Roman" w:hAnsi="Verdana" w:cs="Times New Roman"/>
          <w:sz w:val="20"/>
          <w:szCs w:val="20"/>
        </w:rPr>
        <w:t xml:space="preserve">various </w:t>
      </w:r>
      <w:r w:rsidR="00767F7F">
        <w:rPr>
          <w:rFonts w:ascii="Verdana" w:eastAsia="Times New Roman" w:hAnsi="Verdana" w:cs="Times New Roman"/>
          <w:sz w:val="20"/>
          <w:szCs w:val="20"/>
        </w:rPr>
        <w:t>objections. Finally, part V compares the framework with three extant theories about conceptual engineering</w:t>
      </w:r>
      <w:r w:rsidR="0085005A">
        <w:rPr>
          <w:rFonts w:ascii="Verdana" w:eastAsia="Times New Roman" w:hAnsi="Verdana" w:cs="Times New Roman"/>
          <w:sz w:val="20"/>
          <w:szCs w:val="20"/>
        </w:rPr>
        <w:t xml:space="preserve">: </w:t>
      </w:r>
      <w:r w:rsidR="00767F7F">
        <w:rPr>
          <w:rFonts w:ascii="Verdana" w:eastAsia="Times New Roman" w:hAnsi="Verdana" w:cs="Times New Roman"/>
          <w:sz w:val="20"/>
          <w:szCs w:val="20"/>
        </w:rPr>
        <w:t>metalinguistic negotiation (</w:t>
      </w:r>
      <w:r w:rsidR="00644AB5">
        <w:rPr>
          <w:rFonts w:ascii="Verdana" w:eastAsia="Times New Roman" w:hAnsi="Verdana" w:cs="Times New Roman"/>
          <w:sz w:val="20"/>
          <w:szCs w:val="20"/>
        </w:rPr>
        <w:t xml:space="preserve">Ludlow 2014, </w:t>
      </w:r>
      <w:r w:rsidR="00767F7F">
        <w:rPr>
          <w:rFonts w:ascii="Verdana" w:eastAsia="Times New Roman" w:hAnsi="Verdana" w:cs="Times New Roman"/>
          <w:sz w:val="20"/>
          <w:szCs w:val="20"/>
        </w:rPr>
        <w:t>Plunkett and Sundell</w:t>
      </w:r>
      <w:r w:rsidR="00644AB5">
        <w:rPr>
          <w:rFonts w:ascii="Verdana" w:eastAsia="Times New Roman" w:hAnsi="Verdana" w:cs="Times New Roman"/>
          <w:sz w:val="20"/>
          <w:szCs w:val="20"/>
        </w:rPr>
        <w:t xml:space="preserve"> 2013</w:t>
      </w:r>
      <w:r w:rsidR="00767F7F">
        <w:rPr>
          <w:rFonts w:ascii="Verdana" w:eastAsia="Times New Roman" w:hAnsi="Verdana" w:cs="Times New Roman"/>
          <w:sz w:val="20"/>
          <w:szCs w:val="20"/>
        </w:rPr>
        <w:t>, Plunkett</w:t>
      </w:r>
      <w:r w:rsidR="00644AB5">
        <w:rPr>
          <w:rFonts w:ascii="Verdana" w:eastAsia="Times New Roman" w:hAnsi="Verdana" w:cs="Times New Roman"/>
          <w:sz w:val="20"/>
          <w:szCs w:val="20"/>
        </w:rPr>
        <w:t xml:space="preserve"> 2015</w:t>
      </w:r>
      <w:r w:rsidR="00767F7F">
        <w:rPr>
          <w:rFonts w:ascii="Verdana" w:eastAsia="Times New Roman" w:hAnsi="Verdana" w:cs="Times New Roman"/>
          <w:sz w:val="20"/>
          <w:szCs w:val="20"/>
        </w:rPr>
        <w:t>), the appeal to a concept’s function or purpose (Haslanger</w:t>
      </w:r>
      <w:r w:rsidR="00644AB5">
        <w:rPr>
          <w:rFonts w:ascii="Verdana" w:eastAsia="Times New Roman" w:hAnsi="Verdana" w:cs="Times New Roman"/>
          <w:sz w:val="20"/>
          <w:szCs w:val="20"/>
        </w:rPr>
        <w:t xml:space="preserve"> 2000</w:t>
      </w:r>
      <w:r w:rsidR="00767F7F">
        <w:rPr>
          <w:rFonts w:ascii="Verdana" w:eastAsia="Times New Roman" w:hAnsi="Verdana" w:cs="Times New Roman"/>
          <w:sz w:val="20"/>
          <w:szCs w:val="20"/>
        </w:rPr>
        <w:t>,</w:t>
      </w:r>
      <w:r w:rsidR="00644AB5">
        <w:rPr>
          <w:rFonts w:ascii="Verdana" w:eastAsia="Times New Roman" w:hAnsi="Verdana" w:cs="Times New Roman"/>
          <w:sz w:val="20"/>
          <w:szCs w:val="20"/>
        </w:rPr>
        <w:t xml:space="preserve"> Brigandt 2010,</w:t>
      </w:r>
      <w:r w:rsidR="00767F7F">
        <w:rPr>
          <w:rFonts w:ascii="Verdana" w:eastAsia="Times New Roman" w:hAnsi="Verdana" w:cs="Times New Roman"/>
          <w:sz w:val="20"/>
          <w:szCs w:val="20"/>
        </w:rPr>
        <w:t xml:space="preserve"> Thomasson</w:t>
      </w:r>
      <w:r w:rsidR="00644AB5">
        <w:rPr>
          <w:rFonts w:ascii="Verdana" w:eastAsia="Times New Roman" w:hAnsi="Verdana" w:cs="Times New Roman"/>
          <w:sz w:val="20"/>
          <w:szCs w:val="20"/>
        </w:rPr>
        <w:t xml:space="preserve"> forthcoming</w:t>
      </w:r>
      <w:r w:rsidR="00767F7F">
        <w:rPr>
          <w:rFonts w:ascii="Verdana" w:eastAsia="Times New Roman" w:hAnsi="Verdana" w:cs="Times New Roman"/>
          <w:sz w:val="20"/>
          <w:szCs w:val="20"/>
        </w:rPr>
        <w:t>), and the Subscript Gambit (Chalmers</w:t>
      </w:r>
      <w:r w:rsidR="00644AB5">
        <w:rPr>
          <w:rFonts w:ascii="Verdana" w:eastAsia="Times New Roman" w:hAnsi="Verdana" w:cs="Times New Roman"/>
          <w:sz w:val="20"/>
          <w:szCs w:val="20"/>
        </w:rPr>
        <w:t xml:space="preserve"> 2011</w:t>
      </w:r>
      <w:r w:rsidR="00767F7F">
        <w:rPr>
          <w:rFonts w:ascii="Verdana" w:eastAsia="Times New Roman" w:hAnsi="Verdana" w:cs="Times New Roman"/>
          <w:sz w:val="20"/>
          <w:szCs w:val="20"/>
        </w:rPr>
        <w:t>) – arguing that it fares better than all of these.</w:t>
      </w:r>
    </w:p>
    <w:p w14:paraId="44B72624" w14:textId="2BC325E3" w:rsidR="0057758C" w:rsidRPr="00A63CFF" w:rsidRDefault="00DF680E" w:rsidP="003A5F37">
      <w:pPr>
        <w:spacing w:after="0" w:line="240" w:lineRule="auto"/>
        <w:rPr>
          <w:rFonts w:ascii="Segoe UI" w:eastAsia="Times New Roman" w:hAnsi="Segoe UI" w:cs="Segoe UI"/>
          <w:sz w:val="18"/>
          <w:szCs w:val="18"/>
        </w:rPr>
      </w:pPr>
      <w:r>
        <w:rPr>
          <w:rFonts w:ascii="Verdana" w:eastAsia="Times New Roman" w:hAnsi="Verdana" w:cs="Times New Roman"/>
          <w:sz w:val="20"/>
          <w:szCs w:val="20"/>
        </w:rPr>
        <w:tab/>
        <w:t xml:space="preserve">In what follows, I will </w:t>
      </w:r>
      <w:r w:rsidR="00AF05D3">
        <w:rPr>
          <w:rFonts w:ascii="Verdana" w:eastAsia="Times New Roman" w:hAnsi="Verdana" w:cs="Times New Roman"/>
          <w:sz w:val="20"/>
          <w:szCs w:val="20"/>
        </w:rPr>
        <w:t>focus on</w:t>
      </w:r>
      <w:r>
        <w:rPr>
          <w:rFonts w:ascii="Verdana" w:eastAsia="Times New Roman" w:hAnsi="Verdana" w:cs="Times New Roman"/>
          <w:sz w:val="20"/>
          <w:szCs w:val="20"/>
        </w:rPr>
        <w:t xml:space="preserve"> the essential theses</w:t>
      </w:r>
      <w:r w:rsidR="004845F2">
        <w:rPr>
          <w:rFonts w:ascii="Verdana" w:eastAsia="Times New Roman" w:hAnsi="Verdana" w:cs="Times New Roman"/>
          <w:sz w:val="20"/>
          <w:szCs w:val="20"/>
        </w:rPr>
        <w:t xml:space="preserve"> and arguments</w:t>
      </w:r>
      <w:r>
        <w:rPr>
          <w:rFonts w:ascii="Verdana" w:eastAsia="Times New Roman" w:hAnsi="Verdana" w:cs="Times New Roman"/>
          <w:sz w:val="20"/>
          <w:szCs w:val="20"/>
        </w:rPr>
        <w:t xml:space="preserve"> </w:t>
      </w:r>
      <w:r w:rsidR="004845F2">
        <w:rPr>
          <w:rFonts w:ascii="Verdana" w:eastAsia="Times New Roman" w:hAnsi="Verdana" w:cs="Times New Roman"/>
          <w:sz w:val="20"/>
          <w:szCs w:val="20"/>
        </w:rPr>
        <w:t xml:space="preserve">from parts I-IV </w:t>
      </w:r>
      <w:r>
        <w:rPr>
          <w:rFonts w:ascii="Verdana" w:eastAsia="Times New Roman" w:hAnsi="Verdana" w:cs="Times New Roman"/>
          <w:sz w:val="20"/>
          <w:szCs w:val="20"/>
        </w:rPr>
        <w:t xml:space="preserve">of </w:t>
      </w:r>
      <w:r w:rsidRPr="00523E13">
        <w:rPr>
          <w:rFonts w:ascii="Verdana" w:eastAsia="Times New Roman" w:hAnsi="Verdana" w:cs="Times New Roman"/>
          <w:i/>
          <w:sz w:val="20"/>
          <w:szCs w:val="20"/>
        </w:rPr>
        <w:t>Fixing Language</w:t>
      </w:r>
      <w:r>
        <w:rPr>
          <w:rFonts w:ascii="Verdana" w:eastAsia="Times New Roman" w:hAnsi="Verdana" w:cs="Times New Roman"/>
          <w:sz w:val="20"/>
          <w:szCs w:val="20"/>
        </w:rPr>
        <w:t xml:space="preserve"> and assess</w:t>
      </w:r>
      <w:r w:rsidR="00523E13">
        <w:rPr>
          <w:rFonts w:ascii="Verdana" w:eastAsia="Times New Roman" w:hAnsi="Verdana" w:cs="Times New Roman"/>
          <w:sz w:val="20"/>
          <w:szCs w:val="20"/>
        </w:rPr>
        <w:t xml:space="preserve"> them </w:t>
      </w:r>
      <w:r>
        <w:rPr>
          <w:rFonts w:ascii="Verdana" w:eastAsia="Times New Roman" w:hAnsi="Verdana" w:cs="Times New Roman"/>
          <w:sz w:val="20"/>
          <w:szCs w:val="20"/>
        </w:rPr>
        <w:t xml:space="preserve">in </w:t>
      </w:r>
      <w:r w:rsidR="00523E13">
        <w:rPr>
          <w:rFonts w:ascii="Verdana" w:eastAsia="Times New Roman" w:hAnsi="Verdana" w:cs="Times New Roman"/>
          <w:sz w:val="20"/>
          <w:szCs w:val="20"/>
        </w:rPr>
        <w:t>more</w:t>
      </w:r>
      <w:r w:rsidR="004751DD">
        <w:rPr>
          <w:rFonts w:ascii="Verdana" w:eastAsia="Times New Roman" w:hAnsi="Verdana" w:cs="Times New Roman"/>
          <w:sz w:val="20"/>
          <w:szCs w:val="20"/>
        </w:rPr>
        <w:t xml:space="preserve"> </w:t>
      </w:r>
      <w:r>
        <w:rPr>
          <w:rFonts w:ascii="Verdana" w:eastAsia="Times New Roman" w:hAnsi="Verdana" w:cs="Times New Roman"/>
          <w:sz w:val="20"/>
          <w:szCs w:val="20"/>
        </w:rPr>
        <w:t>detail</w:t>
      </w:r>
      <w:r w:rsidR="00AF05D3">
        <w:rPr>
          <w:rFonts w:ascii="Verdana" w:eastAsia="Times New Roman" w:hAnsi="Verdana" w:cs="Times New Roman"/>
          <w:sz w:val="20"/>
          <w:szCs w:val="20"/>
        </w:rPr>
        <w:t xml:space="preserve"> (I will leave out Cappelen’s critique of extant theories of conceptual engineering)</w:t>
      </w:r>
      <w:r>
        <w:rPr>
          <w:rFonts w:ascii="Verdana" w:eastAsia="Times New Roman" w:hAnsi="Verdana" w:cs="Times New Roman"/>
          <w:sz w:val="20"/>
          <w:szCs w:val="20"/>
        </w:rPr>
        <w:t xml:space="preserve">. </w:t>
      </w:r>
      <w:r w:rsidR="004845F2">
        <w:rPr>
          <w:rFonts w:ascii="Verdana" w:eastAsia="Times New Roman" w:hAnsi="Verdana" w:cs="Times New Roman"/>
          <w:sz w:val="20"/>
          <w:szCs w:val="20"/>
        </w:rPr>
        <w:t>In part I</w:t>
      </w:r>
      <w:r>
        <w:rPr>
          <w:rFonts w:ascii="Verdana" w:eastAsia="Times New Roman" w:hAnsi="Verdana" w:cs="Times New Roman"/>
          <w:sz w:val="20"/>
          <w:szCs w:val="20"/>
        </w:rPr>
        <w:t xml:space="preserve">, Cappelen advances what he calls the </w:t>
      </w:r>
      <w:r w:rsidRPr="0085005A">
        <w:rPr>
          <w:rFonts w:ascii="Verdana" w:eastAsia="Times New Roman" w:hAnsi="Verdana" w:cs="Times New Roman"/>
          <w:i/>
          <w:sz w:val="20"/>
          <w:szCs w:val="20"/>
        </w:rPr>
        <w:t>Anti-</w:t>
      </w:r>
      <w:r w:rsidR="007214BE" w:rsidRPr="0085005A">
        <w:rPr>
          <w:rFonts w:ascii="Verdana" w:eastAsia="Times New Roman" w:hAnsi="Verdana" w:cs="Times New Roman"/>
          <w:i/>
          <w:sz w:val="20"/>
          <w:szCs w:val="20"/>
        </w:rPr>
        <w:t>D</w:t>
      </w:r>
      <w:r w:rsidRPr="0085005A">
        <w:rPr>
          <w:rFonts w:ascii="Verdana" w:eastAsia="Times New Roman" w:hAnsi="Verdana" w:cs="Times New Roman"/>
          <w:i/>
          <w:sz w:val="20"/>
          <w:szCs w:val="20"/>
        </w:rPr>
        <w:t>escriptive Argument</w:t>
      </w:r>
      <w:r>
        <w:rPr>
          <w:rFonts w:ascii="Verdana" w:eastAsia="Times New Roman" w:hAnsi="Verdana" w:cs="Times New Roman"/>
          <w:sz w:val="20"/>
          <w:szCs w:val="20"/>
        </w:rPr>
        <w:t>. This argument is supposed to show that “at the core of all philosophical activity is the continuous assessment of representational devices” (48), and thus that there is no room for purely descriptive work within philosophy. Notice how radical this view is: it is, for instance, incompatible with a moderately positive attitude towards conceptual engineering, according to which philosophy contains both normative</w:t>
      </w:r>
      <w:r w:rsidRPr="00523E13">
        <w:rPr>
          <w:rFonts w:ascii="Verdana" w:eastAsia="Times New Roman" w:hAnsi="Verdana" w:cs="Times New Roman"/>
          <w:i/>
          <w:sz w:val="20"/>
          <w:szCs w:val="20"/>
        </w:rPr>
        <w:t xml:space="preserve"> and</w:t>
      </w:r>
      <w:r>
        <w:rPr>
          <w:rFonts w:ascii="Verdana" w:eastAsia="Times New Roman" w:hAnsi="Verdana" w:cs="Times New Roman"/>
          <w:sz w:val="20"/>
          <w:szCs w:val="20"/>
        </w:rPr>
        <w:t xml:space="preserve"> descriptive conceptual work. What is more,</w:t>
      </w:r>
      <w:r w:rsidR="007214BE">
        <w:rPr>
          <w:rFonts w:ascii="Verdana" w:eastAsia="Times New Roman" w:hAnsi="Verdana" w:cs="Times New Roman"/>
          <w:sz w:val="20"/>
          <w:szCs w:val="20"/>
        </w:rPr>
        <w:t xml:space="preserve"> the Anti-Descriptive Argument seems to reject the idea that the process of conceptual engineering </w:t>
      </w:r>
      <w:r w:rsidR="007214BE" w:rsidRPr="007214BE">
        <w:rPr>
          <w:rFonts w:ascii="Verdana" w:eastAsia="Times New Roman" w:hAnsi="Verdana" w:cs="Times New Roman"/>
          <w:i/>
          <w:sz w:val="20"/>
          <w:szCs w:val="20"/>
        </w:rPr>
        <w:t>itself</w:t>
      </w:r>
      <w:r w:rsidR="007214BE">
        <w:rPr>
          <w:rFonts w:ascii="Verdana" w:eastAsia="Times New Roman" w:hAnsi="Verdana" w:cs="Times New Roman"/>
          <w:sz w:val="20"/>
          <w:szCs w:val="20"/>
        </w:rPr>
        <w:t xml:space="preserve"> involves descriptive elements. This</w:t>
      </w:r>
      <w:r w:rsidR="00523E13">
        <w:rPr>
          <w:rFonts w:ascii="Verdana" w:eastAsia="Times New Roman" w:hAnsi="Verdana" w:cs="Times New Roman"/>
          <w:sz w:val="20"/>
          <w:szCs w:val="20"/>
        </w:rPr>
        <w:t xml:space="preserve"> is</w:t>
      </w:r>
      <w:r w:rsidR="007214BE">
        <w:rPr>
          <w:rFonts w:ascii="Verdana" w:eastAsia="Times New Roman" w:hAnsi="Verdana" w:cs="Times New Roman"/>
          <w:sz w:val="20"/>
          <w:szCs w:val="20"/>
        </w:rPr>
        <w:t xml:space="preserve"> surprising, given that Cappelen defines conceptual engineering as the “process of assessing and improving representational devices” (3), </w:t>
      </w:r>
      <w:r w:rsidR="0085005A">
        <w:rPr>
          <w:rFonts w:ascii="Verdana" w:eastAsia="Times New Roman" w:hAnsi="Verdana" w:cs="Times New Roman"/>
          <w:sz w:val="20"/>
          <w:szCs w:val="20"/>
        </w:rPr>
        <w:t>for</w:t>
      </w:r>
      <w:r w:rsidR="007214BE">
        <w:rPr>
          <w:rFonts w:ascii="Verdana" w:eastAsia="Times New Roman" w:hAnsi="Verdana" w:cs="Times New Roman"/>
          <w:sz w:val="20"/>
          <w:szCs w:val="20"/>
        </w:rPr>
        <w:t xml:space="preserve"> surely assessing</w:t>
      </w:r>
      <w:r w:rsidR="004751DD">
        <w:rPr>
          <w:rFonts w:ascii="Verdana" w:eastAsia="Times New Roman" w:hAnsi="Verdana" w:cs="Times New Roman"/>
          <w:sz w:val="20"/>
          <w:szCs w:val="20"/>
        </w:rPr>
        <w:t xml:space="preserve"> or improving</w:t>
      </w:r>
      <w:r w:rsidR="007214BE">
        <w:rPr>
          <w:rFonts w:ascii="Verdana" w:eastAsia="Times New Roman" w:hAnsi="Verdana" w:cs="Times New Roman"/>
          <w:sz w:val="20"/>
          <w:szCs w:val="20"/>
        </w:rPr>
        <w:t xml:space="preserve"> a given representational device implies describing, or perhaps even analyzing</w:t>
      </w:r>
      <w:r w:rsidR="00523E13">
        <w:rPr>
          <w:rFonts w:ascii="Verdana" w:eastAsia="Times New Roman" w:hAnsi="Verdana" w:cs="Times New Roman"/>
          <w:sz w:val="20"/>
          <w:szCs w:val="20"/>
        </w:rPr>
        <w:t>,</w:t>
      </w:r>
      <w:r w:rsidR="007214BE">
        <w:rPr>
          <w:rFonts w:ascii="Verdana" w:eastAsia="Times New Roman" w:hAnsi="Verdana" w:cs="Times New Roman"/>
          <w:sz w:val="20"/>
          <w:szCs w:val="20"/>
        </w:rPr>
        <w:t xml:space="preserve"> it</w:t>
      </w:r>
      <w:r w:rsidR="00523E13">
        <w:rPr>
          <w:rFonts w:ascii="Verdana" w:eastAsia="Times New Roman" w:hAnsi="Verdana" w:cs="Times New Roman"/>
          <w:sz w:val="20"/>
          <w:szCs w:val="20"/>
        </w:rPr>
        <w:t xml:space="preserve"> first</w:t>
      </w:r>
      <w:r w:rsidR="0057758C">
        <w:rPr>
          <w:rFonts w:ascii="Verdana" w:eastAsia="Times New Roman" w:hAnsi="Verdana" w:cs="Times New Roman"/>
          <w:sz w:val="20"/>
          <w:szCs w:val="20"/>
        </w:rPr>
        <w:t xml:space="preserve"> (Koch 2019)</w:t>
      </w:r>
      <w:r w:rsidR="007214BE">
        <w:rPr>
          <w:rFonts w:ascii="Verdana" w:eastAsia="Times New Roman" w:hAnsi="Verdana" w:cs="Times New Roman"/>
          <w:sz w:val="20"/>
          <w:szCs w:val="20"/>
        </w:rPr>
        <w:t xml:space="preserve">. </w:t>
      </w:r>
      <w:r w:rsidR="00A63CFF">
        <w:rPr>
          <w:rFonts w:ascii="Verdana" w:eastAsia="Times New Roman" w:hAnsi="Verdana" w:cs="Times New Roman"/>
          <w:sz w:val="20"/>
          <w:szCs w:val="20"/>
        </w:rPr>
        <w:t>Cappelen’</w:t>
      </w:r>
      <w:r w:rsidR="00AC5C94">
        <w:rPr>
          <w:rFonts w:ascii="Verdana" w:eastAsia="Times New Roman" w:hAnsi="Verdana" w:cs="Times New Roman"/>
          <w:sz w:val="20"/>
          <w:szCs w:val="20"/>
        </w:rPr>
        <w:t>s</w:t>
      </w:r>
      <w:r w:rsidR="00A63CFF">
        <w:rPr>
          <w:rFonts w:ascii="Verdana" w:eastAsia="Times New Roman" w:hAnsi="Verdana" w:cs="Times New Roman"/>
          <w:sz w:val="20"/>
          <w:szCs w:val="20"/>
        </w:rPr>
        <w:t xml:space="preserve"> claim is also in stark contrast with what practitioners of conceptual engineering are actually doing</w:t>
      </w:r>
      <w:r w:rsidR="00075579">
        <w:rPr>
          <w:rFonts w:ascii="Verdana" w:eastAsia="Times New Roman" w:hAnsi="Verdana" w:cs="Times New Roman"/>
          <w:sz w:val="20"/>
          <w:szCs w:val="20"/>
        </w:rPr>
        <w:t>:</w:t>
      </w:r>
      <w:r w:rsidR="00A63CFF">
        <w:rPr>
          <w:rFonts w:ascii="Verdana" w:eastAsia="Times New Roman" w:hAnsi="Verdana" w:cs="Times New Roman"/>
          <w:sz w:val="20"/>
          <w:szCs w:val="20"/>
        </w:rPr>
        <w:t xml:space="preserve"> </w:t>
      </w:r>
      <w:r w:rsidR="007214BE">
        <w:rPr>
          <w:rFonts w:ascii="Verdana" w:eastAsia="Times New Roman" w:hAnsi="Verdana" w:cs="Times New Roman"/>
          <w:sz w:val="20"/>
          <w:szCs w:val="20"/>
        </w:rPr>
        <w:t>Before suggesting to replace ‘truth’ with the two concept</w:t>
      </w:r>
      <w:r w:rsidR="00A63CFF">
        <w:rPr>
          <w:rFonts w:ascii="Verdana" w:eastAsia="Times New Roman" w:hAnsi="Verdana" w:cs="Times New Roman"/>
          <w:sz w:val="20"/>
          <w:szCs w:val="20"/>
        </w:rPr>
        <w:t>s</w:t>
      </w:r>
      <w:r w:rsidR="007214BE">
        <w:rPr>
          <w:rFonts w:ascii="Verdana" w:eastAsia="Times New Roman" w:hAnsi="Verdana" w:cs="Times New Roman"/>
          <w:sz w:val="20"/>
          <w:szCs w:val="20"/>
        </w:rPr>
        <w:t xml:space="preserve"> ‘ascending truth’ and ‘descending truth’, Kevin Scharp (2007, 2013) argues that ‘truth’ is an inconsistent concept</w:t>
      </w:r>
      <w:r w:rsidR="00075579">
        <w:rPr>
          <w:rFonts w:ascii="Verdana" w:eastAsia="Times New Roman" w:hAnsi="Verdana" w:cs="Times New Roman"/>
          <w:sz w:val="20"/>
          <w:szCs w:val="20"/>
        </w:rPr>
        <w:t>, and</w:t>
      </w:r>
      <w:r w:rsidR="007214BE">
        <w:rPr>
          <w:rFonts w:ascii="Verdana" w:eastAsia="Times New Roman" w:hAnsi="Verdana" w:cs="Times New Roman"/>
          <w:sz w:val="20"/>
          <w:szCs w:val="20"/>
        </w:rPr>
        <w:t xml:space="preserve"> before proposing to replace our concept ‘knowledge’, Fassio &amp; McKenna (2013) argue that this concept incorporates inconsistent platitude</w:t>
      </w:r>
      <w:r w:rsidR="00A63CFF">
        <w:rPr>
          <w:rFonts w:ascii="Verdana" w:eastAsia="Times New Roman" w:hAnsi="Verdana" w:cs="Times New Roman"/>
          <w:sz w:val="20"/>
          <w:szCs w:val="20"/>
        </w:rPr>
        <w:t>s</w:t>
      </w:r>
      <w:r w:rsidR="00075579">
        <w:rPr>
          <w:rFonts w:ascii="Verdana" w:eastAsia="Times New Roman" w:hAnsi="Verdana" w:cs="Times New Roman"/>
          <w:sz w:val="20"/>
          <w:szCs w:val="20"/>
        </w:rPr>
        <w:t xml:space="preserve">. </w:t>
      </w:r>
      <w:r w:rsidR="0085005A">
        <w:rPr>
          <w:rFonts w:ascii="Verdana" w:eastAsia="Times New Roman" w:hAnsi="Verdana" w:cs="Times New Roman"/>
          <w:sz w:val="20"/>
          <w:szCs w:val="20"/>
        </w:rPr>
        <w:t>This tenet also plays a major role in Carnap’s exposition of explications</w:t>
      </w:r>
      <w:r w:rsidR="00566AE0">
        <w:rPr>
          <w:rFonts w:ascii="Verdana" w:eastAsia="Times New Roman" w:hAnsi="Verdana" w:cs="Times New Roman"/>
          <w:sz w:val="20"/>
          <w:szCs w:val="20"/>
        </w:rPr>
        <w:t xml:space="preserve">, </w:t>
      </w:r>
      <w:r w:rsidR="00523E13">
        <w:rPr>
          <w:rFonts w:ascii="Verdana" w:eastAsia="Times New Roman" w:hAnsi="Verdana" w:cs="Times New Roman"/>
          <w:sz w:val="20"/>
          <w:szCs w:val="20"/>
        </w:rPr>
        <w:t>e.g.</w:t>
      </w:r>
      <w:r w:rsidR="00AF05D3">
        <w:rPr>
          <w:rFonts w:ascii="Verdana" w:eastAsia="Times New Roman" w:hAnsi="Verdana" w:cs="Times New Roman"/>
          <w:sz w:val="20"/>
          <w:szCs w:val="20"/>
        </w:rPr>
        <w:t>,</w:t>
      </w:r>
      <w:r w:rsidR="00523E13">
        <w:rPr>
          <w:rFonts w:ascii="Verdana" w:eastAsia="Times New Roman" w:hAnsi="Verdana" w:cs="Times New Roman"/>
          <w:sz w:val="20"/>
          <w:szCs w:val="20"/>
        </w:rPr>
        <w:t xml:space="preserve"> when he </w:t>
      </w:r>
      <w:r w:rsidR="008149A2">
        <w:rPr>
          <w:rFonts w:ascii="Verdana" w:eastAsia="Times New Roman" w:hAnsi="Verdana" w:cs="Times New Roman"/>
          <w:sz w:val="20"/>
          <w:szCs w:val="20"/>
        </w:rPr>
        <w:t>argues</w:t>
      </w:r>
      <w:r w:rsidR="00523E13">
        <w:rPr>
          <w:rFonts w:ascii="Verdana" w:eastAsia="Times New Roman" w:hAnsi="Verdana" w:cs="Times New Roman"/>
          <w:sz w:val="20"/>
          <w:szCs w:val="20"/>
        </w:rPr>
        <w:t xml:space="preserve"> that we must “</w:t>
      </w:r>
      <w:r w:rsidR="00523E13" w:rsidRPr="00523E13">
        <w:rPr>
          <w:rFonts w:ascii="Verdana" w:eastAsia="Times New Roman" w:hAnsi="Verdana" w:cs="Times New Roman"/>
          <w:sz w:val="20"/>
          <w:szCs w:val="20"/>
        </w:rPr>
        <w:t xml:space="preserve">do all we can to make at least practically clear what is meant as the explicandum”, </w:t>
      </w:r>
      <w:r w:rsidR="00A63CFF">
        <w:rPr>
          <w:rFonts w:ascii="Verdana" w:eastAsia="Times New Roman" w:hAnsi="Verdana" w:cs="Times New Roman"/>
          <w:sz w:val="20"/>
          <w:szCs w:val="20"/>
        </w:rPr>
        <w:t>and</w:t>
      </w:r>
      <w:r w:rsidR="00523E13" w:rsidRPr="00523E13">
        <w:rPr>
          <w:rFonts w:ascii="Verdana" w:eastAsia="Times New Roman" w:hAnsi="Verdana" w:cs="Times New Roman"/>
          <w:sz w:val="20"/>
          <w:szCs w:val="20"/>
        </w:rPr>
        <w:t xml:space="preserve"> when he goes on complaining that, “</w:t>
      </w:r>
      <w:r w:rsidR="007214BE" w:rsidRPr="007214BE">
        <w:rPr>
          <w:rFonts w:ascii="Verdana" w:eastAsia="Times New Roman" w:hAnsi="Verdana" w:cs="Times New Roman"/>
          <w:sz w:val="20"/>
          <w:szCs w:val="20"/>
        </w:rPr>
        <w:t>in raising problems of analysis or explication, philos</w:t>
      </w:r>
      <w:r w:rsidR="00523E13" w:rsidRPr="00523E13">
        <w:rPr>
          <w:rFonts w:ascii="Verdana" w:eastAsia="Times New Roman" w:hAnsi="Verdana" w:cs="Times New Roman"/>
          <w:sz w:val="20"/>
          <w:szCs w:val="20"/>
        </w:rPr>
        <w:t>o</w:t>
      </w:r>
      <w:r w:rsidR="007214BE" w:rsidRPr="007214BE">
        <w:rPr>
          <w:rFonts w:ascii="Verdana" w:eastAsia="Times New Roman" w:hAnsi="Verdana" w:cs="Times New Roman"/>
          <w:sz w:val="20"/>
          <w:szCs w:val="20"/>
        </w:rPr>
        <w:t>phers very frequently violate this requirement</w:t>
      </w:r>
      <w:r w:rsidR="00523E13" w:rsidRPr="00523E13">
        <w:rPr>
          <w:rFonts w:ascii="Verdana" w:eastAsia="Times New Roman" w:hAnsi="Verdana" w:cs="Times New Roman"/>
          <w:sz w:val="20"/>
          <w:szCs w:val="20"/>
        </w:rPr>
        <w:t>” (Carnap 1950, 4).</w:t>
      </w:r>
    </w:p>
    <w:p w14:paraId="4D5B8C9C" w14:textId="41931AEC" w:rsidR="007214BE" w:rsidRPr="007214BE" w:rsidRDefault="00523E13" w:rsidP="00566AE0">
      <w:pPr>
        <w:spacing w:after="0" w:line="240" w:lineRule="auto"/>
        <w:ind w:firstLine="708"/>
        <w:rPr>
          <w:rFonts w:ascii="Segoe UI" w:eastAsia="Times New Roman" w:hAnsi="Segoe UI" w:cs="Segoe UI"/>
          <w:sz w:val="18"/>
          <w:szCs w:val="18"/>
        </w:rPr>
      </w:pPr>
      <w:r>
        <w:rPr>
          <w:rFonts w:ascii="Verdana" w:eastAsia="Times New Roman" w:hAnsi="Verdana" w:cs="Times New Roman"/>
          <w:sz w:val="20"/>
          <w:szCs w:val="20"/>
        </w:rPr>
        <w:t>Cappelen anticipates a reply along these lines, but dismisses it on the grounds that it “shows a lack of understanding of the scope of the revisionary attitude” (48). According to Cappelen, the moderate endorsement of conceptual engin</w:t>
      </w:r>
      <w:r w:rsidR="004751DD">
        <w:rPr>
          <w:rFonts w:ascii="Verdana" w:eastAsia="Times New Roman" w:hAnsi="Verdana" w:cs="Times New Roman"/>
          <w:sz w:val="20"/>
          <w:szCs w:val="20"/>
        </w:rPr>
        <w:t>eering suggested above implies that there are “safe spaces”, i.e., parts of language which are not defective and which can be used in carrying out descriptive work. But Cappelen thinks that there are no safe spaces</w:t>
      </w:r>
      <w:r w:rsidR="00566AE0">
        <w:rPr>
          <w:rFonts w:ascii="Verdana" w:eastAsia="Times New Roman" w:hAnsi="Verdana" w:cs="Times New Roman"/>
          <w:sz w:val="20"/>
          <w:szCs w:val="20"/>
        </w:rPr>
        <w:t>. Instead,</w:t>
      </w:r>
      <w:r w:rsidR="004751DD">
        <w:rPr>
          <w:rFonts w:ascii="Verdana" w:eastAsia="Times New Roman" w:hAnsi="Verdana" w:cs="Times New Roman"/>
          <w:sz w:val="20"/>
          <w:szCs w:val="20"/>
        </w:rPr>
        <w:t xml:space="preserve"> we should be critical towards </w:t>
      </w:r>
      <w:r w:rsidR="004751DD" w:rsidRPr="004751DD">
        <w:rPr>
          <w:rFonts w:ascii="Verdana" w:eastAsia="Times New Roman" w:hAnsi="Verdana" w:cs="Times New Roman"/>
          <w:i/>
          <w:sz w:val="20"/>
          <w:szCs w:val="20"/>
        </w:rPr>
        <w:t>all</w:t>
      </w:r>
      <w:r w:rsidR="004751DD">
        <w:rPr>
          <w:rFonts w:ascii="Verdana" w:eastAsia="Times New Roman" w:hAnsi="Verdana" w:cs="Times New Roman"/>
          <w:i/>
          <w:sz w:val="20"/>
          <w:szCs w:val="20"/>
        </w:rPr>
        <w:t xml:space="preserve"> </w:t>
      </w:r>
      <w:r w:rsidR="004751DD">
        <w:rPr>
          <w:rFonts w:ascii="Verdana" w:eastAsia="Times New Roman" w:hAnsi="Verdana" w:cs="Times New Roman"/>
          <w:sz w:val="20"/>
          <w:szCs w:val="20"/>
        </w:rPr>
        <w:t xml:space="preserve">of our representational devices, even the ones used in formulating descriptive or normative claims about what a concept does or should mean. </w:t>
      </w:r>
      <w:r w:rsidR="001F5711">
        <w:rPr>
          <w:rFonts w:ascii="Verdana" w:eastAsia="Times New Roman" w:hAnsi="Verdana" w:cs="Times New Roman"/>
          <w:sz w:val="20"/>
          <w:szCs w:val="20"/>
        </w:rPr>
        <w:t>On the plausible assumption that assessing and improving representational devices cannot be done without using other representational devices</w:t>
      </w:r>
      <w:r w:rsidR="004751DD">
        <w:rPr>
          <w:rFonts w:ascii="Verdana" w:eastAsia="Times New Roman" w:hAnsi="Verdana" w:cs="Times New Roman"/>
          <w:sz w:val="20"/>
          <w:szCs w:val="20"/>
        </w:rPr>
        <w:t xml:space="preserve">, this picture makes any engagement in conceptual engineering, or as a matter of fact any use of representational devices, </w:t>
      </w:r>
      <w:r w:rsidR="0023173A">
        <w:rPr>
          <w:rFonts w:ascii="Verdana" w:eastAsia="Times New Roman" w:hAnsi="Verdana" w:cs="Times New Roman"/>
          <w:sz w:val="20"/>
          <w:szCs w:val="20"/>
        </w:rPr>
        <w:t>close to</w:t>
      </w:r>
      <w:r w:rsidR="004751DD">
        <w:rPr>
          <w:rFonts w:ascii="Verdana" w:eastAsia="Times New Roman" w:hAnsi="Verdana" w:cs="Times New Roman"/>
          <w:sz w:val="20"/>
          <w:szCs w:val="20"/>
        </w:rPr>
        <w:t xml:space="preserve"> impossible: before using a representational device, we ought to critically assess it, but we can’t do that, because we cannot rely on </w:t>
      </w:r>
      <w:r w:rsidR="001F5711">
        <w:rPr>
          <w:rFonts w:ascii="Verdana" w:eastAsia="Times New Roman" w:hAnsi="Verdana" w:cs="Times New Roman"/>
          <w:sz w:val="20"/>
          <w:szCs w:val="20"/>
        </w:rPr>
        <w:t>other representational devices either</w:t>
      </w:r>
      <w:r w:rsidR="0023173A">
        <w:rPr>
          <w:rFonts w:ascii="Verdana" w:eastAsia="Times New Roman" w:hAnsi="Verdana" w:cs="Times New Roman"/>
          <w:sz w:val="20"/>
          <w:szCs w:val="20"/>
        </w:rPr>
        <w:t>.</w:t>
      </w:r>
    </w:p>
    <w:p w14:paraId="218720F2" w14:textId="28036026" w:rsidR="007214BE" w:rsidRDefault="00701671" w:rsidP="00566AE0">
      <w:pPr>
        <w:spacing w:after="0" w:line="240" w:lineRule="auto"/>
        <w:ind w:firstLine="708"/>
        <w:rPr>
          <w:rFonts w:ascii="Verdana" w:eastAsia="Times New Roman" w:hAnsi="Verdana" w:cs="Times New Roman"/>
          <w:sz w:val="20"/>
          <w:szCs w:val="20"/>
        </w:rPr>
      </w:pPr>
      <w:r w:rsidRPr="00701671">
        <w:rPr>
          <w:rFonts w:ascii="Verdana" w:eastAsia="Times New Roman" w:hAnsi="Verdana" w:cs="Times New Roman"/>
          <w:sz w:val="20"/>
          <w:szCs w:val="20"/>
        </w:rPr>
        <w:t>In my view, this is an i</w:t>
      </w:r>
      <w:r w:rsidR="004D2182">
        <w:rPr>
          <w:rFonts w:ascii="Verdana" w:eastAsia="Times New Roman" w:hAnsi="Verdana" w:cs="Times New Roman"/>
          <w:sz w:val="20"/>
          <w:szCs w:val="20"/>
        </w:rPr>
        <w:t>mplausible</w:t>
      </w:r>
      <w:r w:rsidRPr="00701671">
        <w:rPr>
          <w:rFonts w:ascii="Verdana" w:eastAsia="Times New Roman" w:hAnsi="Verdana" w:cs="Times New Roman"/>
          <w:sz w:val="20"/>
          <w:szCs w:val="20"/>
        </w:rPr>
        <w:t xml:space="preserve"> position and Cappelen doesn’t provide sufficient reasons for </w:t>
      </w:r>
      <w:r w:rsidR="00326072">
        <w:rPr>
          <w:rFonts w:ascii="Verdana" w:eastAsia="Times New Roman" w:hAnsi="Verdana" w:cs="Times New Roman"/>
          <w:sz w:val="20"/>
          <w:szCs w:val="20"/>
        </w:rPr>
        <w:t xml:space="preserve">accepting </w:t>
      </w:r>
      <w:r w:rsidRPr="00701671">
        <w:rPr>
          <w:rFonts w:ascii="Verdana" w:eastAsia="Times New Roman" w:hAnsi="Verdana" w:cs="Times New Roman"/>
          <w:sz w:val="20"/>
          <w:szCs w:val="20"/>
        </w:rPr>
        <w:t xml:space="preserve">it. </w:t>
      </w:r>
      <w:r w:rsidR="00566AE0">
        <w:rPr>
          <w:rFonts w:ascii="Verdana" w:eastAsia="Times New Roman" w:hAnsi="Verdana" w:cs="Times New Roman"/>
          <w:sz w:val="20"/>
          <w:szCs w:val="20"/>
        </w:rPr>
        <w:t>Wha</w:t>
      </w:r>
      <w:r w:rsidR="00697AE7">
        <w:rPr>
          <w:rFonts w:ascii="Verdana" w:eastAsia="Times New Roman" w:hAnsi="Verdana" w:cs="Times New Roman"/>
          <w:sz w:val="20"/>
          <w:szCs w:val="20"/>
        </w:rPr>
        <w:t>t</w:t>
      </w:r>
      <w:r w:rsidR="00566AE0">
        <w:rPr>
          <w:rFonts w:ascii="Verdana" w:eastAsia="Times New Roman" w:hAnsi="Verdana" w:cs="Times New Roman"/>
          <w:sz w:val="20"/>
          <w:szCs w:val="20"/>
        </w:rPr>
        <w:t xml:space="preserve"> he calls</w:t>
      </w:r>
      <w:r w:rsidRPr="00701671">
        <w:rPr>
          <w:rFonts w:ascii="Verdana" w:eastAsia="Times New Roman" w:hAnsi="Verdana" w:cs="Times New Roman"/>
          <w:sz w:val="20"/>
          <w:szCs w:val="20"/>
        </w:rPr>
        <w:t xml:space="preserve"> the </w:t>
      </w:r>
      <w:r w:rsidRPr="00701671">
        <w:rPr>
          <w:rFonts w:ascii="Verdana" w:eastAsia="Times New Roman" w:hAnsi="Verdana" w:cs="Times New Roman"/>
          <w:i/>
          <w:sz w:val="20"/>
          <w:szCs w:val="20"/>
        </w:rPr>
        <w:t>Argument from Many Alternatives</w:t>
      </w:r>
      <w:r w:rsidRPr="00701671">
        <w:rPr>
          <w:rFonts w:ascii="Verdana" w:eastAsia="Times New Roman" w:hAnsi="Verdana" w:cs="Times New Roman"/>
          <w:sz w:val="20"/>
          <w:szCs w:val="20"/>
        </w:rPr>
        <w:t xml:space="preserve"> merely show</w:t>
      </w:r>
      <w:r w:rsidR="00566AE0">
        <w:rPr>
          <w:rFonts w:ascii="Verdana" w:eastAsia="Times New Roman" w:hAnsi="Verdana" w:cs="Times New Roman"/>
          <w:sz w:val="20"/>
          <w:szCs w:val="20"/>
        </w:rPr>
        <w:t xml:space="preserve">s </w:t>
      </w:r>
      <w:r w:rsidRPr="00701671">
        <w:rPr>
          <w:rFonts w:ascii="Verdana" w:eastAsia="Times New Roman" w:hAnsi="Verdana" w:cs="Times New Roman"/>
          <w:sz w:val="20"/>
          <w:szCs w:val="20"/>
        </w:rPr>
        <w:t>that, in principle, there is no reason to suppose that conceptual defects are limited to certain special cases. This might give us reason to be careful throughout, but it doesn’t license the assumption that all our language is, as a matter of fact, defective, such that we shouldn’t use it to carry out descriptive project</w:t>
      </w:r>
      <w:r>
        <w:rPr>
          <w:rFonts w:ascii="Verdana" w:eastAsia="Times New Roman" w:hAnsi="Verdana" w:cs="Times New Roman"/>
          <w:sz w:val="20"/>
          <w:szCs w:val="20"/>
        </w:rPr>
        <w:t>s</w:t>
      </w:r>
      <w:r w:rsidRPr="00701671">
        <w:rPr>
          <w:rFonts w:ascii="Verdana" w:eastAsia="Times New Roman" w:hAnsi="Verdana" w:cs="Times New Roman"/>
          <w:sz w:val="20"/>
          <w:szCs w:val="20"/>
        </w:rPr>
        <w:t xml:space="preserve">. Moreover, even if, at the end of the day, it </w:t>
      </w:r>
      <w:r w:rsidRPr="00701671">
        <w:rPr>
          <w:rFonts w:ascii="Verdana" w:eastAsia="Times New Roman" w:hAnsi="Verdana" w:cs="Times New Roman"/>
          <w:i/>
          <w:sz w:val="20"/>
          <w:szCs w:val="20"/>
        </w:rPr>
        <w:t>would</w:t>
      </w:r>
      <w:r>
        <w:rPr>
          <w:rFonts w:ascii="Verdana" w:eastAsia="Times New Roman" w:hAnsi="Verdana" w:cs="Times New Roman"/>
          <w:sz w:val="20"/>
          <w:szCs w:val="20"/>
        </w:rPr>
        <w:t xml:space="preserve"> be true</w:t>
      </w:r>
      <w:r w:rsidRPr="00701671">
        <w:rPr>
          <w:rFonts w:ascii="Verdana" w:eastAsia="Times New Roman" w:hAnsi="Verdana" w:cs="Times New Roman"/>
          <w:sz w:val="20"/>
          <w:szCs w:val="20"/>
        </w:rPr>
        <w:t xml:space="preserve"> that all or most of our language is defective, it would still be the case that ameliorators have to </w:t>
      </w:r>
      <w:r w:rsidR="004D2182">
        <w:rPr>
          <w:rFonts w:ascii="Verdana" w:eastAsia="Times New Roman" w:hAnsi="Verdana" w:cs="Times New Roman"/>
          <w:sz w:val="20"/>
          <w:szCs w:val="20"/>
        </w:rPr>
        <w:t>deal with</w:t>
      </w:r>
      <w:r w:rsidRPr="00701671">
        <w:rPr>
          <w:rFonts w:ascii="Verdana" w:eastAsia="Times New Roman" w:hAnsi="Verdana" w:cs="Times New Roman"/>
          <w:sz w:val="20"/>
          <w:szCs w:val="20"/>
        </w:rPr>
        <w:t xml:space="preserve"> one</w:t>
      </w:r>
      <w:r w:rsidR="004D2182">
        <w:rPr>
          <w:rFonts w:ascii="Verdana" w:eastAsia="Times New Roman" w:hAnsi="Verdana" w:cs="Times New Roman"/>
          <w:sz w:val="20"/>
          <w:szCs w:val="20"/>
        </w:rPr>
        <w:t xml:space="preserve"> case</w:t>
      </w:r>
      <w:r w:rsidRPr="00701671">
        <w:rPr>
          <w:rFonts w:ascii="Verdana" w:eastAsia="Times New Roman" w:hAnsi="Verdana" w:cs="Times New Roman"/>
          <w:sz w:val="20"/>
          <w:szCs w:val="20"/>
        </w:rPr>
        <w:t xml:space="preserve"> at a time. They pick out a concept, or </w:t>
      </w:r>
      <w:r w:rsidRPr="00701671">
        <w:rPr>
          <w:rFonts w:ascii="Verdana" w:eastAsia="Times New Roman" w:hAnsi="Verdana" w:cs="Times New Roman"/>
          <w:sz w:val="20"/>
          <w:szCs w:val="20"/>
        </w:rPr>
        <w:lastRenderedPageBreak/>
        <w:t xml:space="preserve">a bunch of them, analyze their defects and ameliorate them using other parts of the language which, for the sake of the inquiry, are assumed to be okay. Later on, they can go about ameliorating these parts as well. </w:t>
      </w:r>
      <w:r w:rsidR="004D2182">
        <w:rPr>
          <w:rFonts w:ascii="Verdana" w:eastAsia="Times New Roman" w:hAnsi="Verdana" w:cs="Times New Roman"/>
          <w:sz w:val="20"/>
          <w:szCs w:val="20"/>
        </w:rPr>
        <w:t>This might be</w:t>
      </w:r>
      <w:r w:rsidRPr="00701671">
        <w:rPr>
          <w:rFonts w:ascii="Verdana" w:eastAsia="Times New Roman" w:hAnsi="Verdana" w:cs="Times New Roman"/>
          <w:sz w:val="20"/>
          <w:szCs w:val="20"/>
        </w:rPr>
        <w:t xml:space="preserve"> </w:t>
      </w:r>
      <w:r w:rsidR="0057758C">
        <w:rPr>
          <w:rFonts w:ascii="Verdana" w:eastAsia="Times New Roman" w:hAnsi="Verdana" w:cs="Times New Roman"/>
          <w:sz w:val="20"/>
          <w:szCs w:val="20"/>
        </w:rPr>
        <w:t>a</w:t>
      </w:r>
      <w:r w:rsidRPr="00701671">
        <w:rPr>
          <w:rFonts w:ascii="Verdana" w:eastAsia="Times New Roman" w:hAnsi="Verdana" w:cs="Times New Roman"/>
          <w:sz w:val="20"/>
          <w:szCs w:val="20"/>
        </w:rPr>
        <w:t xml:space="preserve"> never-ending process, in which one amelioration provides the grounds for further ameliorations, which again provide the grounds for re-assessing the earlier ameliorations, etc.</w:t>
      </w:r>
      <w:r>
        <w:rPr>
          <w:rFonts w:ascii="Verdana" w:eastAsia="Times New Roman" w:hAnsi="Verdana" w:cs="Times New Roman"/>
          <w:sz w:val="20"/>
          <w:szCs w:val="20"/>
        </w:rPr>
        <w:t xml:space="preserve"> I</w:t>
      </w:r>
      <w:r w:rsidR="00566AE0">
        <w:rPr>
          <w:rFonts w:ascii="Verdana" w:eastAsia="Times New Roman" w:hAnsi="Verdana" w:cs="Times New Roman"/>
          <w:sz w:val="20"/>
          <w:szCs w:val="20"/>
        </w:rPr>
        <w:t>t is difficult</w:t>
      </w:r>
      <w:r>
        <w:rPr>
          <w:rFonts w:ascii="Verdana" w:eastAsia="Times New Roman" w:hAnsi="Verdana" w:cs="Times New Roman"/>
          <w:sz w:val="20"/>
          <w:szCs w:val="20"/>
        </w:rPr>
        <w:t xml:space="preserve"> to see how this can be done without careful descriptive philosophical work.</w:t>
      </w:r>
    </w:p>
    <w:p w14:paraId="1C18CE54" w14:textId="438AEFF6" w:rsidR="0057758C" w:rsidRDefault="0057758C" w:rsidP="003A5F37">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 xml:space="preserve">In part II, Cappelen argues for a thesis he calls </w:t>
      </w:r>
      <w:r w:rsidRPr="00566AE0">
        <w:rPr>
          <w:rFonts w:ascii="Verdana" w:eastAsia="Times New Roman" w:hAnsi="Verdana" w:cs="Times New Roman"/>
          <w:i/>
          <w:sz w:val="20"/>
          <w:szCs w:val="20"/>
        </w:rPr>
        <w:t>Inscrutable – Lack of Control – Will Keep Trying</w:t>
      </w:r>
      <w:r>
        <w:rPr>
          <w:rFonts w:ascii="Verdana" w:eastAsia="Times New Roman" w:hAnsi="Verdana" w:cs="Times New Roman"/>
          <w:sz w:val="20"/>
          <w:szCs w:val="20"/>
        </w:rPr>
        <w:t xml:space="preserve">, which runs as follows: </w:t>
      </w:r>
      <w:r w:rsidR="003C22B2">
        <w:rPr>
          <w:rFonts w:ascii="Verdana" w:eastAsia="Times New Roman" w:hAnsi="Verdana" w:cs="Times New Roman"/>
          <w:sz w:val="20"/>
          <w:szCs w:val="20"/>
        </w:rPr>
        <w:t>“</w:t>
      </w:r>
      <w:r w:rsidR="003C22B2" w:rsidRPr="003C22B2">
        <w:rPr>
          <w:rFonts w:ascii="Verdana" w:eastAsia="Times New Roman" w:hAnsi="Verdana" w:cs="Times New Roman"/>
          <w:sz w:val="20"/>
          <w:szCs w:val="20"/>
        </w:rPr>
        <w:t>The processes involved in conceptual engineering are for the most part inscrutable, and we lack control of them, but nonetheless we will and should keep trying</w:t>
      </w:r>
      <w:r w:rsidR="00566AE0">
        <w:rPr>
          <w:rFonts w:ascii="Verdana" w:eastAsia="Times New Roman" w:hAnsi="Verdana" w:cs="Times New Roman"/>
          <w:sz w:val="20"/>
          <w:szCs w:val="20"/>
        </w:rPr>
        <w:t>”</w:t>
      </w:r>
      <w:r w:rsidR="003C22B2" w:rsidRPr="003C22B2">
        <w:rPr>
          <w:rFonts w:ascii="Verdana" w:eastAsia="Times New Roman" w:hAnsi="Verdana" w:cs="Times New Roman"/>
          <w:sz w:val="20"/>
          <w:szCs w:val="20"/>
        </w:rPr>
        <w:t xml:space="preserve"> (72). This thesis is based on an externalist metasemantics, according to which speakers don’t have full access to the meanings of their utterances. Cappelen </w:t>
      </w:r>
      <w:r w:rsidR="00EA2C9C">
        <w:rPr>
          <w:rFonts w:ascii="Verdana" w:eastAsia="Times New Roman" w:hAnsi="Verdana" w:cs="Times New Roman"/>
          <w:sz w:val="20"/>
          <w:szCs w:val="20"/>
        </w:rPr>
        <w:t>goes far beyond</w:t>
      </w:r>
      <w:r w:rsidR="003C22B2" w:rsidRPr="003C22B2">
        <w:rPr>
          <w:rFonts w:ascii="Verdana" w:eastAsia="Times New Roman" w:hAnsi="Verdana" w:cs="Times New Roman"/>
          <w:sz w:val="20"/>
          <w:szCs w:val="20"/>
        </w:rPr>
        <w:t xml:space="preserve"> traditional versions of semantic externalism by claiming that the externalist </w:t>
      </w:r>
      <w:r w:rsidR="00EA2C9C">
        <w:rPr>
          <w:rFonts w:ascii="Verdana" w:eastAsia="Times New Roman" w:hAnsi="Verdana" w:cs="Times New Roman"/>
          <w:sz w:val="20"/>
          <w:szCs w:val="20"/>
        </w:rPr>
        <w:t>insights</w:t>
      </w:r>
      <w:r w:rsidR="003C22B2" w:rsidRPr="003C22B2">
        <w:rPr>
          <w:rFonts w:ascii="Verdana" w:eastAsia="Times New Roman" w:hAnsi="Verdana" w:cs="Times New Roman"/>
          <w:sz w:val="20"/>
          <w:szCs w:val="20"/>
        </w:rPr>
        <w:t xml:space="preserve"> by Kripke (1980)</w:t>
      </w:r>
      <w:r w:rsidR="00566AE0">
        <w:rPr>
          <w:rFonts w:ascii="Verdana" w:eastAsia="Times New Roman" w:hAnsi="Verdana" w:cs="Times New Roman"/>
          <w:sz w:val="20"/>
          <w:szCs w:val="20"/>
        </w:rPr>
        <w:t xml:space="preserve"> and</w:t>
      </w:r>
      <w:r w:rsidR="003C22B2" w:rsidRPr="003C22B2">
        <w:rPr>
          <w:rFonts w:ascii="Verdana" w:eastAsia="Times New Roman" w:hAnsi="Verdana" w:cs="Times New Roman"/>
          <w:sz w:val="20"/>
          <w:szCs w:val="20"/>
        </w:rPr>
        <w:t xml:space="preserve"> Putnam (1975) apply not just to proper names and natural kind terms, but to all other parts of language as well. For this reason, the author models conceptual engineering on</w:t>
      </w:r>
      <w:r w:rsidR="00B1418D">
        <w:rPr>
          <w:rFonts w:ascii="Verdana" w:eastAsia="Times New Roman" w:hAnsi="Verdana" w:cs="Times New Roman"/>
          <w:sz w:val="20"/>
          <w:szCs w:val="20"/>
        </w:rPr>
        <w:t xml:space="preserve"> cases of reference change as they are discussed in the literature (e.g. the Madagascar case, cf. Evans 1973, Kripke 1980). Cappelen argues that</w:t>
      </w:r>
      <w:r w:rsidR="003500EA">
        <w:rPr>
          <w:rFonts w:ascii="Verdana" w:eastAsia="Times New Roman" w:hAnsi="Verdana" w:cs="Times New Roman"/>
          <w:sz w:val="20"/>
          <w:szCs w:val="20"/>
        </w:rPr>
        <w:t xml:space="preserve"> the factors which determine meanings and references are too complex to have a comprehensive theory about them, and that as a corollary, it is also impossible to </w:t>
      </w:r>
      <w:r w:rsidR="002901D9">
        <w:rPr>
          <w:rFonts w:ascii="Verdana" w:eastAsia="Times New Roman" w:hAnsi="Verdana" w:cs="Times New Roman"/>
          <w:sz w:val="20"/>
          <w:szCs w:val="20"/>
        </w:rPr>
        <w:t>state</w:t>
      </w:r>
      <w:r w:rsidR="00E26B06">
        <w:rPr>
          <w:rFonts w:ascii="Verdana" w:eastAsia="Times New Roman" w:hAnsi="Verdana" w:cs="Times New Roman"/>
          <w:sz w:val="20"/>
          <w:szCs w:val="20"/>
        </w:rPr>
        <w:t xml:space="preserve"> the mechanisms of reference change. </w:t>
      </w:r>
      <w:r w:rsidR="0023173A">
        <w:rPr>
          <w:rFonts w:ascii="Verdana" w:eastAsia="Times New Roman" w:hAnsi="Verdana" w:cs="Times New Roman"/>
          <w:sz w:val="20"/>
          <w:szCs w:val="20"/>
        </w:rPr>
        <w:t>This is even more so, given that Cappelen takes metasemantics to be “in flux”</w:t>
      </w:r>
      <w:r w:rsidR="00566AE0">
        <w:rPr>
          <w:rFonts w:ascii="Verdana" w:eastAsia="Times New Roman" w:hAnsi="Verdana" w:cs="Times New Roman"/>
          <w:sz w:val="20"/>
          <w:szCs w:val="20"/>
        </w:rPr>
        <w:t>:</w:t>
      </w:r>
      <w:r w:rsidR="0023173A">
        <w:rPr>
          <w:rFonts w:ascii="Verdana" w:eastAsia="Times New Roman" w:hAnsi="Verdana" w:cs="Times New Roman"/>
          <w:sz w:val="20"/>
          <w:szCs w:val="20"/>
        </w:rPr>
        <w:t xml:space="preserve"> </w:t>
      </w:r>
      <w:r w:rsidR="00566AE0">
        <w:rPr>
          <w:rFonts w:ascii="Verdana" w:eastAsia="Times New Roman" w:hAnsi="Verdana" w:cs="Times New Roman"/>
          <w:sz w:val="20"/>
          <w:szCs w:val="20"/>
        </w:rPr>
        <w:t>n</w:t>
      </w:r>
      <w:r w:rsidR="0023173A">
        <w:rPr>
          <w:rFonts w:ascii="Verdana" w:eastAsia="Times New Roman" w:hAnsi="Verdana" w:cs="Times New Roman"/>
          <w:sz w:val="20"/>
          <w:szCs w:val="20"/>
        </w:rPr>
        <w:t>ot only meanings and references are subject to change, but also the kinds of factors which determine meanings and references</w:t>
      </w:r>
      <w:r w:rsidR="008431D7">
        <w:rPr>
          <w:rFonts w:ascii="Verdana" w:eastAsia="Times New Roman" w:hAnsi="Verdana" w:cs="Times New Roman"/>
          <w:sz w:val="20"/>
          <w:szCs w:val="20"/>
        </w:rPr>
        <w:t>.</w:t>
      </w:r>
      <w:r w:rsidR="0023173A">
        <w:rPr>
          <w:rFonts w:ascii="Verdana" w:eastAsia="Times New Roman" w:hAnsi="Verdana" w:cs="Times New Roman"/>
          <w:sz w:val="20"/>
          <w:szCs w:val="20"/>
        </w:rPr>
        <w:t xml:space="preserve"> </w:t>
      </w:r>
      <w:r w:rsidR="00E26B06">
        <w:rPr>
          <w:rFonts w:ascii="Verdana" w:eastAsia="Times New Roman" w:hAnsi="Verdana" w:cs="Times New Roman"/>
          <w:sz w:val="20"/>
          <w:szCs w:val="20"/>
        </w:rPr>
        <w:t xml:space="preserve">The optimistic attitude towards our ability to bring about meaning change </w:t>
      </w:r>
      <w:r w:rsidR="00EA2C9C">
        <w:rPr>
          <w:rFonts w:ascii="Verdana" w:eastAsia="Times New Roman" w:hAnsi="Verdana" w:cs="Times New Roman"/>
          <w:sz w:val="20"/>
          <w:szCs w:val="20"/>
        </w:rPr>
        <w:t>that</w:t>
      </w:r>
      <w:r w:rsidR="00E26B06">
        <w:rPr>
          <w:rFonts w:ascii="Verdana" w:eastAsia="Times New Roman" w:hAnsi="Verdana" w:cs="Times New Roman"/>
          <w:sz w:val="20"/>
          <w:szCs w:val="20"/>
        </w:rPr>
        <w:t xml:space="preserve"> can be found in writings about conceptual engineering is therefore a “hubris” (75)</w:t>
      </w:r>
      <w:r w:rsidR="0023173A">
        <w:rPr>
          <w:rFonts w:ascii="Verdana" w:eastAsia="Times New Roman" w:hAnsi="Verdana" w:cs="Times New Roman"/>
          <w:sz w:val="20"/>
          <w:szCs w:val="20"/>
        </w:rPr>
        <w:t xml:space="preserve"> and an “illusion”</w:t>
      </w:r>
      <w:r w:rsidR="00E26B06">
        <w:rPr>
          <w:rFonts w:ascii="Verdana" w:eastAsia="Times New Roman" w:hAnsi="Verdana" w:cs="Times New Roman"/>
          <w:sz w:val="20"/>
          <w:szCs w:val="20"/>
        </w:rPr>
        <w:t>: “</w:t>
      </w:r>
      <w:r w:rsidR="00E26B06" w:rsidRPr="00E26B06">
        <w:rPr>
          <w:rFonts w:ascii="Verdana" w:eastAsia="Times New Roman" w:hAnsi="Verdana" w:cs="Times New Roman"/>
          <w:sz w:val="20"/>
          <w:szCs w:val="20"/>
        </w:rPr>
        <w:t>it is an illusion to think that any individual or group has any significant degree of control of the reference-fixing facts. If we are not in control of the reference-fixing facts, then we’re not in control of conceptual engineering because it requires us to change the reference-fixing facts</w:t>
      </w:r>
      <w:r w:rsidR="00E26B06">
        <w:rPr>
          <w:rFonts w:ascii="Verdana" w:eastAsia="Times New Roman" w:hAnsi="Verdana" w:cs="Times New Roman"/>
          <w:sz w:val="20"/>
          <w:szCs w:val="20"/>
        </w:rPr>
        <w:t>” (74). Strikingly, however, Cappelen does not think that this verdict undermines the normative force of conceptual engineering projects. Even though the prospects of success are dim, we should try nonetheless.</w:t>
      </w:r>
      <w:r w:rsidR="00BB4B64">
        <w:rPr>
          <w:rFonts w:ascii="Verdana" w:eastAsia="Times New Roman" w:hAnsi="Verdana" w:cs="Times New Roman"/>
          <w:sz w:val="20"/>
          <w:szCs w:val="20"/>
        </w:rPr>
        <w:t xml:space="preserve"> In this respect, Cappelen argues, conceptual engineering is no different than other normative enterprises, such as raising a child (75) or lowering crime rates in Baltimore (60).</w:t>
      </w:r>
    </w:p>
    <w:p w14:paraId="616DB1BC" w14:textId="6C7B5CB2" w:rsidR="009148B4" w:rsidRDefault="00827713" w:rsidP="0082771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There are two aspects of this view I find wanting</w:t>
      </w:r>
      <w:r w:rsidR="002F451E">
        <w:rPr>
          <w:rFonts w:ascii="Verdana" w:eastAsia="Times New Roman" w:hAnsi="Verdana" w:cs="Times New Roman"/>
          <w:sz w:val="20"/>
          <w:szCs w:val="20"/>
        </w:rPr>
        <w:t>.</w:t>
      </w:r>
      <w:r>
        <w:rPr>
          <w:rFonts w:ascii="Verdana" w:eastAsia="Times New Roman" w:hAnsi="Verdana" w:cs="Times New Roman"/>
          <w:sz w:val="20"/>
          <w:szCs w:val="20"/>
        </w:rPr>
        <w:t xml:space="preserve"> First</w:t>
      </w:r>
      <w:r w:rsidR="00390E0F">
        <w:rPr>
          <w:rFonts w:ascii="Verdana" w:eastAsia="Times New Roman" w:hAnsi="Verdana" w:cs="Times New Roman"/>
          <w:sz w:val="20"/>
          <w:szCs w:val="20"/>
        </w:rPr>
        <w:t>ly</w:t>
      </w:r>
      <w:r w:rsidR="009148B4">
        <w:rPr>
          <w:rFonts w:ascii="Verdana" w:eastAsia="Times New Roman" w:hAnsi="Verdana" w:cs="Times New Roman"/>
          <w:sz w:val="20"/>
          <w:szCs w:val="20"/>
        </w:rPr>
        <w:t xml:space="preserve">, if the mechanism behind conceptual engineering </w:t>
      </w:r>
      <w:r w:rsidR="009148B4" w:rsidRPr="004A45D8">
        <w:rPr>
          <w:rFonts w:ascii="Verdana" w:eastAsia="Times New Roman" w:hAnsi="Verdana" w:cs="Times New Roman"/>
          <w:i/>
          <w:sz w:val="20"/>
          <w:szCs w:val="20"/>
        </w:rPr>
        <w:t>really were</w:t>
      </w:r>
      <w:r w:rsidR="009148B4">
        <w:rPr>
          <w:rFonts w:ascii="Verdana" w:eastAsia="Times New Roman" w:hAnsi="Verdana" w:cs="Times New Roman"/>
          <w:sz w:val="20"/>
          <w:szCs w:val="20"/>
        </w:rPr>
        <w:t xml:space="preserve"> outside of our control, such that the amelioration of representational devices “has little to do with our intentional efforts” (201),</w:t>
      </w:r>
      <w:r w:rsidR="004A45D8">
        <w:rPr>
          <w:rFonts w:ascii="Verdana" w:eastAsia="Times New Roman" w:hAnsi="Verdana" w:cs="Times New Roman"/>
          <w:sz w:val="20"/>
          <w:szCs w:val="20"/>
        </w:rPr>
        <w:t xml:space="preserve"> this would seriously undermine the role of conceptual engineering in philosophical methodology</w:t>
      </w:r>
      <w:r w:rsidR="002F451E">
        <w:rPr>
          <w:rFonts w:ascii="Verdana" w:eastAsia="Times New Roman" w:hAnsi="Verdana" w:cs="Times New Roman"/>
          <w:sz w:val="20"/>
          <w:szCs w:val="20"/>
        </w:rPr>
        <w:t xml:space="preserve"> (Koch 2018, Pinder 2018)</w:t>
      </w:r>
      <w:r w:rsidR="004A45D8">
        <w:rPr>
          <w:rFonts w:ascii="Verdana" w:eastAsia="Times New Roman" w:hAnsi="Verdana" w:cs="Times New Roman"/>
          <w:sz w:val="20"/>
          <w:szCs w:val="20"/>
        </w:rPr>
        <w:t xml:space="preserve">. On Cappelen’s view, conceptual engineering </w:t>
      </w:r>
      <w:r w:rsidR="00DC384C">
        <w:rPr>
          <w:rFonts w:ascii="Verdana" w:eastAsia="Times New Roman" w:hAnsi="Verdana" w:cs="Times New Roman"/>
          <w:sz w:val="20"/>
          <w:szCs w:val="20"/>
        </w:rPr>
        <w:t>is simply not something that people, much less philosophers, can reasonably engage in. Rather, Cappelen seems to think of conceptual engineering</w:t>
      </w:r>
      <w:r w:rsidR="00BC3541">
        <w:rPr>
          <w:rFonts w:ascii="Verdana" w:eastAsia="Times New Roman" w:hAnsi="Verdana" w:cs="Times New Roman"/>
          <w:sz w:val="20"/>
          <w:szCs w:val="20"/>
        </w:rPr>
        <w:t xml:space="preserve"> as somewhat analogous to natural phenomena like earthquakes: they do happen, what people do might in some ways have an effect on whether they happen, but they are never the result of our intentional actions. The reasonable attitude towards earthquakes is to study them, to try our best to predict and prepare for them; but it doesn’t make any sense to </w:t>
      </w:r>
      <w:r w:rsidR="00B510F0">
        <w:rPr>
          <w:rFonts w:ascii="Verdana" w:eastAsia="Times New Roman" w:hAnsi="Verdana" w:cs="Times New Roman"/>
          <w:sz w:val="20"/>
          <w:szCs w:val="20"/>
        </w:rPr>
        <w:t xml:space="preserve">try </w:t>
      </w:r>
      <w:r w:rsidR="00BC3541">
        <w:rPr>
          <w:rFonts w:ascii="Verdana" w:eastAsia="Times New Roman" w:hAnsi="Verdana" w:cs="Times New Roman"/>
          <w:sz w:val="20"/>
          <w:szCs w:val="20"/>
        </w:rPr>
        <w:t>stopping them or bringing them about</w:t>
      </w:r>
      <w:r w:rsidR="00B510F0">
        <w:rPr>
          <w:rFonts w:ascii="Verdana" w:eastAsia="Times New Roman" w:hAnsi="Verdana" w:cs="Times New Roman"/>
          <w:sz w:val="20"/>
          <w:szCs w:val="20"/>
        </w:rPr>
        <w:t>.</w:t>
      </w:r>
      <w:r w:rsidR="00BC3541">
        <w:rPr>
          <w:rFonts w:ascii="Verdana" w:eastAsia="Times New Roman" w:hAnsi="Verdana" w:cs="Times New Roman"/>
          <w:sz w:val="20"/>
          <w:szCs w:val="20"/>
        </w:rPr>
        <w:t xml:space="preserve"> I think the same follows from Cappelen’s view about conceptual engineering. It is really hard to square the</w:t>
      </w:r>
      <w:r w:rsidR="00BC3541" w:rsidRPr="00390E0F">
        <w:rPr>
          <w:rFonts w:ascii="Verdana" w:eastAsia="Times New Roman" w:hAnsi="Verdana" w:cs="Times New Roman"/>
          <w:i/>
          <w:sz w:val="20"/>
          <w:szCs w:val="20"/>
        </w:rPr>
        <w:t xml:space="preserve"> Lack of Control</w:t>
      </w:r>
      <w:r w:rsidR="00BC3541">
        <w:rPr>
          <w:rFonts w:ascii="Verdana" w:eastAsia="Times New Roman" w:hAnsi="Verdana" w:cs="Times New Roman"/>
          <w:sz w:val="20"/>
          <w:szCs w:val="20"/>
        </w:rPr>
        <w:t xml:space="preserve"> thesis with his repeated remarks that conceptual engineering </w:t>
      </w:r>
      <w:r w:rsidR="00390E0F">
        <w:rPr>
          <w:rFonts w:ascii="Verdana" w:eastAsia="Times New Roman" w:hAnsi="Verdana" w:cs="Times New Roman"/>
          <w:sz w:val="20"/>
          <w:szCs w:val="20"/>
        </w:rPr>
        <w:t>should take a top priority in philosophical work</w:t>
      </w:r>
      <w:r w:rsidR="00B656B8">
        <w:rPr>
          <w:rFonts w:ascii="Verdana" w:eastAsia="Times New Roman" w:hAnsi="Verdana" w:cs="Times New Roman"/>
          <w:sz w:val="20"/>
          <w:szCs w:val="20"/>
        </w:rPr>
        <w:t>.</w:t>
      </w:r>
    </w:p>
    <w:p w14:paraId="3EC9F7AC" w14:textId="652F61C4" w:rsidR="00CA4337" w:rsidRDefault="00827713" w:rsidP="00CA4337">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Secondly</w:t>
      </w:r>
      <w:r w:rsidR="00390E0F">
        <w:rPr>
          <w:rFonts w:ascii="Verdana" w:eastAsia="Times New Roman" w:hAnsi="Verdana" w:cs="Times New Roman"/>
          <w:sz w:val="20"/>
          <w:szCs w:val="20"/>
        </w:rPr>
        <w:t xml:space="preserve">, I am not convinced that the </w:t>
      </w:r>
      <w:r w:rsidR="00390E0F" w:rsidRPr="00390E0F">
        <w:rPr>
          <w:rFonts w:ascii="Verdana" w:eastAsia="Times New Roman" w:hAnsi="Verdana" w:cs="Times New Roman"/>
          <w:i/>
          <w:sz w:val="20"/>
          <w:szCs w:val="20"/>
        </w:rPr>
        <w:t>Lack of Control</w:t>
      </w:r>
      <w:r w:rsidR="00390E0F">
        <w:rPr>
          <w:rFonts w:ascii="Verdana" w:eastAsia="Times New Roman" w:hAnsi="Verdana" w:cs="Times New Roman"/>
          <w:sz w:val="20"/>
          <w:szCs w:val="20"/>
        </w:rPr>
        <w:t xml:space="preserve"> thesis follows from traditional lines of externalism in the way suggested by Cappelen</w:t>
      </w:r>
      <w:r w:rsidR="002F451E">
        <w:rPr>
          <w:rFonts w:ascii="Verdana" w:eastAsia="Times New Roman" w:hAnsi="Verdana" w:cs="Times New Roman"/>
          <w:sz w:val="20"/>
          <w:szCs w:val="20"/>
        </w:rPr>
        <w:t xml:space="preserve"> (Koch 2018)</w:t>
      </w:r>
      <w:r w:rsidR="00390E0F">
        <w:rPr>
          <w:rFonts w:ascii="Verdana" w:eastAsia="Times New Roman" w:hAnsi="Verdana" w:cs="Times New Roman"/>
          <w:sz w:val="20"/>
          <w:szCs w:val="20"/>
        </w:rPr>
        <w:t>.</w:t>
      </w:r>
      <w:r w:rsidR="004E1D73">
        <w:rPr>
          <w:rFonts w:ascii="Verdana" w:eastAsia="Times New Roman" w:hAnsi="Verdana" w:cs="Times New Roman"/>
          <w:sz w:val="20"/>
          <w:szCs w:val="20"/>
        </w:rPr>
        <w:t xml:space="preserve"> Let me demonstrate this with respect to causal theories of reference in the spirit of Kripke (1980) and Putnam (1975). Very roughly, reference depend</w:t>
      </w:r>
      <w:r w:rsidR="00335966">
        <w:rPr>
          <w:rFonts w:ascii="Verdana" w:eastAsia="Times New Roman" w:hAnsi="Verdana" w:cs="Times New Roman"/>
          <w:sz w:val="20"/>
          <w:szCs w:val="20"/>
        </w:rPr>
        <w:t>s</w:t>
      </w:r>
      <w:r w:rsidR="004E1D73">
        <w:rPr>
          <w:rFonts w:ascii="Verdana" w:eastAsia="Times New Roman" w:hAnsi="Verdana" w:cs="Times New Roman"/>
          <w:sz w:val="20"/>
          <w:szCs w:val="20"/>
        </w:rPr>
        <w:t xml:space="preserve"> on two crucial features</w:t>
      </w:r>
      <w:r w:rsidR="00335966">
        <w:rPr>
          <w:rFonts w:ascii="Verdana" w:eastAsia="Times New Roman" w:hAnsi="Verdana" w:cs="Times New Roman"/>
          <w:sz w:val="20"/>
          <w:szCs w:val="20"/>
        </w:rPr>
        <w:t xml:space="preserve"> according to these theories</w:t>
      </w:r>
      <w:r w:rsidR="004E1D73">
        <w:rPr>
          <w:rFonts w:ascii="Verdana" w:eastAsia="Times New Roman" w:hAnsi="Verdana" w:cs="Times New Roman"/>
          <w:sz w:val="20"/>
          <w:szCs w:val="20"/>
        </w:rPr>
        <w:t xml:space="preserve">: (i) the introduction of a term, and (ii) the communicative chain that stretches from the introductory event to its current use. If the term in question is </w:t>
      </w:r>
      <w:r w:rsidR="000B3A3A">
        <w:rPr>
          <w:rFonts w:ascii="Verdana" w:eastAsia="Times New Roman" w:hAnsi="Verdana" w:cs="Times New Roman"/>
          <w:sz w:val="20"/>
          <w:szCs w:val="20"/>
        </w:rPr>
        <w:t xml:space="preserve">a </w:t>
      </w:r>
      <w:r w:rsidR="004E1D73">
        <w:rPr>
          <w:rFonts w:ascii="Verdana" w:eastAsia="Times New Roman" w:hAnsi="Verdana" w:cs="Times New Roman"/>
          <w:sz w:val="20"/>
          <w:szCs w:val="20"/>
        </w:rPr>
        <w:t xml:space="preserve">natural kind term such as ‘water’ or ‘gold’, then (i) implies an implicit (or explicit) generalization from the token sample to other tokens of the kind, where kindhood is </w:t>
      </w:r>
      <w:r w:rsidR="000132CA">
        <w:rPr>
          <w:rFonts w:ascii="Verdana" w:eastAsia="Times New Roman" w:hAnsi="Verdana" w:cs="Times New Roman"/>
          <w:sz w:val="20"/>
          <w:szCs w:val="20"/>
        </w:rPr>
        <w:t xml:space="preserve">ultimately </w:t>
      </w:r>
      <w:r w:rsidR="004E1D73">
        <w:rPr>
          <w:rFonts w:ascii="Verdana" w:eastAsia="Times New Roman" w:hAnsi="Verdana" w:cs="Times New Roman"/>
          <w:sz w:val="20"/>
          <w:szCs w:val="20"/>
        </w:rPr>
        <w:t>determined by essential properties – e.g. being H</w:t>
      </w:r>
      <w:r w:rsidR="004E1D73" w:rsidRPr="002F121F">
        <w:rPr>
          <w:rFonts w:ascii="Verdana" w:eastAsia="Times New Roman" w:hAnsi="Verdana" w:cs="Times New Roman"/>
          <w:sz w:val="20"/>
          <w:szCs w:val="20"/>
          <w:vertAlign w:val="subscript"/>
        </w:rPr>
        <w:t>2</w:t>
      </w:r>
      <w:r w:rsidR="004E1D73">
        <w:rPr>
          <w:rFonts w:ascii="Verdana" w:eastAsia="Times New Roman" w:hAnsi="Verdana" w:cs="Times New Roman"/>
          <w:sz w:val="20"/>
          <w:szCs w:val="20"/>
        </w:rPr>
        <w:t xml:space="preserve">0 in the case of water, or having atomic number 79 in the case of gold. On first glance, one might think that such theories </w:t>
      </w:r>
      <w:r w:rsidR="00AF07EE">
        <w:rPr>
          <w:rFonts w:ascii="Verdana" w:eastAsia="Times New Roman" w:hAnsi="Verdana" w:cs="Times New Roman"/>
          <w:sz w:val="20"/>
          <w:szCs w:val="20"/>
        </w:rPr>
        <w:t>are at odds</w:t>
      </w:r>
      <w:r w:rsidR="004E1D73">
        <w:rPr>
          <w:rFonts w:ascii="Verdana" w:eastAsia="Times New Roman" w:hAnsi="Verdana" w:cs="Times New Roman"/>
          <w:sz w:val="20"/>
          <w:szCs w:val="20"/>
        </w:rPr>
        <w:t xml:space="preserve"> with the project of intentional reference change, for it would seem that in order to change the reference of ‘water’, one would have to change </w:t>
      </w:r>
      <w:r w:rsidR="004E1D73">
        <w:rPr>
          <w:rFonts w:ascii="Verdana" w:eastAsia="Times New Roman" w:hAnsi="Verdana" w:cs="Times New Roman"/>
          <w:sz w:val="20"/>
          <w:szCs w:val="20"/>
        </w:rPr>
        <w:lastRenderedPageBreak/>
        <w:t xml:space="preserve">either the essential properties of water, or the way the term ‘water’ was introduced or used in the past, which is </w:t>
      </w:r>
      <w:r w:rsidR="00AF07EE">
        <w:rPr>
          <w:rFonts w:ascii="Verdana" w:eastAsia="Times New Roman" w:hAnsi="Verdana" w:cs="Times New Roman"/>
          <w:sz w:val="20"/>
          <w:szCs w:val="20"/>
        </w:rPr>
        <w:t>both</w:t>
      </w:r>
      <w:r w:rsidR="004E1D73">
        <w:rPr>
          <w:rFonts w:ascii="Verdana" w:eastAsia="Times New Roman" w:hAnsi="Verdana" w:cs="Times New Roman"/>
          <w:sz w:val="20"/>
          <w:szCs w:val="20"/>
        </w:rPr>
        <w:t xml:space="preserve"> impossible. However, a closer look</w:t>
      </w:r>
      <w:r w:rsidR="001720B4">
        <w:rPr>
          <w:rFonts w:ascii="Verdana" w:eastAsia="Times New Roman" w:hAnsi="Verdana" w:cs="Times New Roman"/>
          <w:sz w:val="20"/>
          <w:szCs w:val="20"/>
        </w:rPr>
        <w:t xml:space="preserve"> at the more worked-out version</w:t>
      </w:r>
      <w:r w:rsidR="002F121F">
        <w:rPr>
          <w:rFonts w:ascii="Verdana" w:eastAsia="Times New Roman" w:hAnsi="Verdana" w:cs="Times New Roman"/>
          <w:sz w:val="20"/>
          <w:szCs w:val="20"/>
        </w:rPr>
        <w:t>s</w:t>
      </w:r>
      <w:r w:rsidR="001720B4">
        <w:rPr>
          <w:rFonts w:ascii="Verdana" w:eastAsia="Times New Roman" w:hAnsi="Verdana" w:cs="Times New Roman"/>
          <w:sz w:val="20"/>
          <w:szCs w:val="20"/>
        </w:rPr>
        <w:t xml:space="preserve"> of causal theories of reference reveal that reference change can </w:t>
      </w:r>
      <w:r w:rsidR="002F121F">
        <w:rPr>
          <w:rFonts w:ascii="Verdana" w:eastAsia="Times New Roman" w:hAnsi="Verdana" w:cs="Times New Roman"/>
          <w:sz w:val="20"/>
          <w:szCs w:val="20"/>
        </w:rPr>
        <w:t>nevertheless</w:t>
      </w:r>
      <w:r w:rsidR="001720B4">
        <w:rPr>
          <w:rFonts w:ascii="Verdana" w:eastAsia="Times New Roman" w:hAnsi="Verdana" w:cs="Times New Roman"/>
          <w:sz w:val="20"/>
          <w:szCs w:val="20"/>
        </w:rPr>
        <w:t xml:space="preserve"> be the product of our intentional efforts. Kripke himself acknowledges the possibility of new uses ‘overriding’ the referential facts determined by older uses (Kripke 1980, 163). More importantly, Evans (1973) and especially Devitt (1981) stress that terms can be ‘re-grounded’ in different (kinds of) entities. Plausibly, this is what happened to ‘Madagascar’, a name which was introduced to denote parts of the African mainland, but which now denotes </w:t>
      </w:r>
      <w:r w:rsidR="00AF07EE">
        <w:rPr>
          <w:rFonts w:ascii="Verdana" w:eastAsia="Times New Roman" w:hAnsi="Verdana" w:cs="Times New Roman"/>
          <w:sz w:val="20"/>
          <w:szCs w:val="20"/>
        </w:rPr>
        <w:t>an</w:t>
      </w:r>
      <w:r w:rsidR="001720B4">
        <w:rPr>
          <w:rFonts w:ascii="Verdana" w:eastAsia="Times New Roman" w:hAnsi="Verdana" w:cs="Times New Roman"/>
          <w:sz w:val="20"/>
          <w:szCs w:val="20"/>
        </w:rPr>
        <w:t xml:space="preserve"> East-African island. On a more </w:t>
      </w:r>
      <w:r w:rsidR="002F121F">
        <w:rPr>
          <w:rFonts w:ascii="Verdana" w:eastAsia="Times New Roman" w:hAnsi="Verdana" w:cs="Times New Roman"/>
          <w:sz w:val="20"/>
          <w:szCs w:val="20"/>
        </w:rPr>
        <w:t>general</w:t>
      </w:r>
      <w:r w:rsidR="001720B4">
        <w:rPr>
          <w:rFonts w:ascii="Verdana" w:eastAsia="Times New Roman" w:hAnsi="Verdana" w:cs="Times New Roman"/>
          <w:sz w:val="20"/>
          <w:szCs w:val="20"/>
        </w:rPr>
        <w:t xml:space="preserve"> level, Evans notes that the ‘causal source’ of a term is steadily in flux: each utterance a speaker makes can potentially influence what a term refers to. If a critical mass is reached, the reference will switch from one (kind of) entity to another. It is not difficult to imagine this </w:t>
      </w:r>
      <w:r w:rsidR="002F121F">
        <w:rPr>
          <w:rFonts w:ascii="Verdana" w:eastAsia="Times New Roman" w:hAnsi="Verdana" w:cs="Times New Roman"/>
          <w:sz w:val="20"/>
          <w:szCs w:val="20"/>
        </w:rPr>
        <w:t>being</w:t>
      </w:r>
      <w:r w:rsidR="001720B4">
        <w:rPr>
          <w:rFonts w:ascii="Verdana" w:eastAsia="Times New Roman" w:hAnsi="Verdana" w:cs="Times New Roman"/>
          <w:sz w:val="20"/>
          <w:szCs w:val="20"/>
        </w:rPr>
        <w:t xml:space="preserve"> the outcome of a group’s intentional efforts.</w:t>
      </w:r>
      <w:r w:rsidR="002F121F">
        <w:rPr>
          <w:rFonts w:ascii="Verdana" w:eastAsia="Times New Roman" w:hAnsi="Verdana" w:cs="Times New Roman"/>
          <w:sz w:val="20"/>
          <w:szCs w:val="20"/>
        </w:rPr>
        <w:t xml:space="preserve"> The amount of control which an </w:t>
      </w:r>
      <w:r w:rsidR="002F121F" w:rsidRPr="002F121F">
        <w:rPr>
          <w:rFonts w:ascii="Verdana" w:eastAsia="Times New Roman" w:hAnsi="Verdana" w:cs="Times New Roman"/>
          <w:i/>
          <w:sz w:val="20"/>
          <w:szCs w:val="20"/>
        </w:rPr>
        <w:t>individual</w:t>
      </w:r>
      <w:r w:rsidR="002F121F">
        <w:rPr>
          <w:rFonts w:ascii="Verdana" w:eastAsia="Times New Roman" w:hAnsi="Verdana" w:cs="Times New Roman"/>
          <w:sz w:val="20"/>
          <w:szCs w:val="20"/>
        </w:rPr>
        <w:t xml:space="preserve"> has over reference change is of course limited. </w:t>
      </w:r>
      <w:r>
        <w:rPr>
          <w:rFonts w:ascii="Verdana" w:eastAsia="Times New Roman" w:hAnsi="Verdana" w:cs="Times New Roman"/>
          <w:sz w:val="20"/>
          <w:szCs w:val="20"/>
        </w:rPr>
        <w:t>Nonetheless, as a group</w:t>
      </w:r>
      <w:r w:rsidR="002F121F">
        <w:rPr>
          <w:rFonts w:ascii="Verdana" w:eastAsia="Times New Roman" w:hAnsi="Verdana" w:cs="Times New Roman"/>
          <w:sz w:val="20"/>
          <w:szCs w:val="20"/>
        </w:rPr>
        <w:t xml:space="preserve"> </w:t>
      </w:r>
      <w:r w:rsidR="00AF07EE">
        <w:rPr>
          <w:rFonts w:ascii="Verdana" w:eastAsia="Times New Roman" w:hAnsi="Verdana" w:cs="Times New Roman"/>
          <w:sz w:val="20"/>
          <w:szCs w:val="20"/>
        </w:rPr>
        <w:t xml:space="preserve">we </w:t>
      </w:r>
      <w:r w:rsidR="002F121F">
        <w:rPr>
          <w:rFonts w:ascii="Verdana" w:eastAsia="Times New Roman" w:hAnsi="Verdana" w:cs="Times New Roman"/>
          <w:sz w:val="20"/>
          <w:szCs w:val="20"/>
        </w:rPr>
        <w:t xml:space="preserve">are in possession of what me might call </w:t>
      </w:r>
      <w:r w:rsidR="002F121F" w:rsidRPr="00FE2F63">
        <w:rPr>
          <w:rFonts w:ascii="Verdana" w:eastAsia="Times New Roman" w:hAnsi="Verdana" w:cs="Times New Roman"/>
          <w:i/>
          <w:sz w:val="20"/>
          <w:szCs w:val="20"/>
        </w:rPr>
        <w:t>collective long-range control</w:t>
      </w:r>
      <w:r w:rsidR="00FE2F63">
        <w:rPr>
          <w:rFonts w:ascii="Verdana" w:eastAsia="Times New Roman" w:hAnsi="Verdana" w:cs="Times New Roman"/>
          <w:sz w:val="20"/>
          <w:szCs w:val="20"/>
        </w:rPr>
        <w:t xml:space="preserve">: through our collective communicative activities we can eventually bring </w:t>
      </w:r>
      <w:r>
        <w:rPr>
          <w:rFonts w:ascii="Verdana" w:eastAsia="Times New Roman" w:hAnsi="Verdana" w:cs="Times New Roman"/>
          <w:sz w:val="20"/>
          <w:szCs w:val="20"/>
        </w:rPr>
        <w:t>about reference change.</w:t>
      </w:r>
    </w:p>
    <w:p w14:paraId="712EB2C8" w14:textId="5F498BE3" w:rsidR="00DF7D83" w:rsidRDefault="00DF7D83" w:rsidP="00DF7D8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Part III is devoted to addressing the Strawsonian challenge: “[c]</w:t>
      </w:r>
      <w:r w:rsidRPr="008A2225">
        <w:rPr>
          <w:rFonts w:ascii="Verdana" w:eastAsia="Times New Roman" w:hAnsi="Verdana" w:cs="Times New Roman"/>
          <w:sz w:val="20"/>
          <w:szCs w:val="20"/>
        </w:rPr>
        <w:t>hange of extension and intension…is a change of topic, so revisionary projects…are bound to fail. Even if the revisions succeed, they do not provide us with a better way to talk about what we were talking about; they simply change the topic” (100).</w:t>
      </w:r>
      <w:r>
        <w:rPr>
          <w:rFonts w:ascii="Verdana" w:eastAsia="Times New Roman" w:hAnsi="Verdana" w:cs="Times New Roman"/>
          <w:sz w:val="20"/>
          <w:szCs w:val="20"/>
        </w:rPr>
        <w:t xml:space="preserve"> Cappelen takes this worry very seriously and offers two independent responses. According to the first, topics are individuated in a more coarse-grained fashion than semantic values, which is why they may be preserved through semantic changes. According to the second, what </w:t>
      </w:r>
      <w:r w:rsidR="00C422DC">
        <w:rPr>
          <w:rFonts w:ascii="Verdana" w:eastAsia="Times New Roman" w:hAnsi="Verdana" w:cs="Times New Roman"/>
          <w:sz w:val="20"/>
          <w:szCs w:val="20"/>
        </w:rPr>
        <w:t>binds</w:t>
      </w:r>
      <w:r>
        <w:rPr>
          <w:rFonts w:ascii="Verdana" w:eastAsia="Times New Roman" w:hAnsi="Verdana" w:cs="Times New Roman"/>
          <w:sz w:val="20"/>
          <w:szCs w:val="20"/>
        </w:rPr>
        <w:t xml:space="preserve"> together pre-ameliorated and post-ameliorated pieces of language are ‘lexical effects’, i.e., non-semantic and non-pragmatic features of words</w:t>
      </w:r>
      <w:r w:rsidR="00C422DC">
        <w:rPr>
          <w:rFonts w:ascii="Verdana" w:eastAsia="Times New Roman" w:hAnsi="Verdana" w:cs="Times New Roman"/>
          <w:sz w:val="20"/>
          <w:szCs w:val="20"/>
        </w:rPr>
        <w:t>,</w:t>
      </w:r>
      <w:r>
        <w:rPr>
          <w:rFonts w:ascii="Verdana" w:eastAsia="Times New Roman" w:hAnsi="Verdana" w:cs="Times New Roman"/>
          <w:sz w:val="20"/>
          <w:szCs w:val="20"/>
        </w:rPr>
        <w:t xml:space="preserve"> such as the associations or framings they prompt. As Cappelen ultimately rejects this second line of response but endorses the first, I shall limit a more detailed discussion to the first. Suffice it to say that I agree with Cappelen’s diagnosis: lexical effects mark an important and perhaps underappreciated category in linguistics; but “exploiting” lexical effects without an “</w:t>
      </w:r>
      <w:r w:rsidRPr="009959C0">
        <w:rPr>
          <w:rFonts w:ascii="Verdana" w:eastAsia="Times New Roman" w:hAnsi="Verdana" w:cs="Times New Roman"/>
          <w:sz w:val="20"/>
          <w:szCs w:val="20"/>
        </w:rPr>
        <w:t xml:space="preserve">effort to make the case that the revision is topic preserving” (133) undermines rationale discourse and </w:t>
      </w:r>
      <w:r>
        <w:rPr>
          <w:rFonts w:ascii="Verdana" w:eastAsia="Times New Roman" w:hAnsi="Verdana" w:cs="Times New Roman"/>
          <w:sz w:val="20"/>
          <w:szCs w:val="20"/>
        </w:rPr>
        <w:t>leads to</w:t>
      </w:r>
      <w:r w:rsidRPr="009959C0">
        <w:rPr>
          <w:rFonts w:ascii="Verdana" w:eastAsia="Times New Roman" w:hAnsi="Verdana" w:cs="Times New Roman"/>
          <w:sz w:val="20"/>
          <w:szCs w:val="20"/>
        </w:rPr>
        <w:t xml:space="preserve"> verbal disputes.</w:t>
      </w:r>
    </w:p>
    <w:p w14:paraId="278D9AD8" w14:textId="23885C08" w:rsidR="00DF7D83" w:rsidRDefault="00DF7D83" w:rsidP="00DF7D8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Cappelen’s argument that topics are more coarse-grained than semantic values involves the following two steps: (i) it is possible for two speakers A and B to “samesay” each other using a sentence ‘Fa’, even though the extension of ‘F’ in A’s speech differs from the extension of ‘F’ in B’s speech; (ii) “if samesaying is possible despite differences in extension, then so is ‘talking about the same topic’. Sameness of topic goes hand in hand with samesaying” (107f.). Step (i) is backed</w:t>
      </w:r>
      <w:r w:rsidR="00BB166E">
        <w:rPr>
          <w:rFonts w:ascii="Verdana" w:eastAsia="Times New Roman" w:hAnsi="Verdana" w:cs="Times New Roman"/>
          <w:sz w:val="20"/>
          <w:szCs w:val="20"/>
        </w:rPr>
        <w:t xml:space="preserve"> </w:t>
      </w:r>
      <w:r>
        <w:rPr>
          <w:rFonts w:ascii="Verdana" w:eastAsia="Times New Roman" w:hAnsi="Verdana" w:cs="Times New Roman"/>
          <w:sz w:val="20"/>
          <w:szCs w:val="20"/>
        </w:rPr>
        <w:t xml:space="preserve">up by data about inter-contextual samesaying and diachronic samesaying. Many terms of our language are context-sensitive: A person considered tall in the context of a kid’s birthday party might not be considered tall in the context of an NBA basketball game. Despite this, Cappelen argues that it is perfectly okay for a speaker in one context to report what another person said in another context without quoting her, even when this report includes context-sensitive expressions. Cappelen calls this phenomenon </w:t>
      </w:r>
      <w:r w:rsidRPr="00A5418F">
        <w:rPr>
          <w:rFonts w:ascii="Verdana" w:eastAsia="Times New Roman" w:hAnsi="Verdana" w:cs="Times New Roman"/>
          <w:i/>
          <w:sz w:val="20"/>
          <w:szCs w:val="20"/>
        </w:rPr>
        <w:t>disquotational speech reports</w:t>
      </w:r>
      <w:r>
        <w:rPr>
          <w:rFonts w:ascii="Verdana" w:eastAsia="Times New Roman" w:hAnsi="Verdana" w:cs="Times New Roman"/>
          <w:sz w:val="20"/>
          <w:szCs w:val="20"/>
        </w:rPr>
        <w:t>. The pervasiveness and apparent easiness of disquotational speech reports involving context-sensitive expressions lends support to the idea that speakers can say the same thing even though the extensions of one or more of the expressions used therein differ. Similarly, Cappelen argues that people of different times can samesay each other, even if there has been a change in the semantic facts. This point is based on Dorr and Hawthorne (2014), who argue that many expressions of our language are subject to tiny diachronic shifts in meaning (‘plasticity’), but that, nonetheless, “</w:t>
      </w:r>
      <w:r w:rsidRPr="00CE77C6">
        <w:rPr>
          <w:rFonts w:ascii="Verdana" w:eastAsia="Times New Roman" w:hAnsi="Verdana" w:cs="Times New Roman"/>
          <w:sz w:val="20"/>
          <w:szCs w:val="20"/>
        </w:rPr>
        <w:t>we confidently use homophonic methods in reporting speeches made in the not-too-distant past</w:t>
      </w:r>
      <w:r>
        <w:rPr>
          <w:rFonts w:ascii="Verdana" w:eastAsia="Times New Roman" w:hAnsi="Verdana" w:cs="Times New Roman"/>
          <w:sz w:val="20"/>
          <w:szCs w:val="20"/>
        </w:rPr>
        <w:t>” (</w:t>
      </w:r>
      <w:r w:rsidRPr="00CE77C6">
        <w:rPr>
          <w:rFonts w:ascii="Verdana" w:eastAsia="Times New Roman" w:hAnsi="Verdana" w:cs="Times New Roman"/>
          <w:sz w:val="20"/>
          <w:szCs w:val="20"/>
        </w:rPr>
        <w:t xml:space="preserve">Dorr and Hawthorne 2014: 286). </w:t>
      </w:r>
      <w:r>
        <w:rPr>
          <w:rFonts w:ascii="Verdana" w:eastAsia="Times New Roman" w:hAnsi="Verdana" w:cs="Times New Roman"/>
          <w:sz w:val="20"/>
          <w:szCs w:val="20"/>
        </w:rPr>
        <w:t>If this practice is licensed, it would seem that it provides further support for the idea that samesaying, and thus topics, are more coarse-grained than semantic values.</w:t>
      </w:r>
    </w:p>
    <w:p w14:paraId="7E7A116E" w14:textId="413F6D35" w:rsidR="00DF7D83" w:rsidRDefault="00DF7D83" w:rsidP="00DF7D8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 xml:space="preserve">Although ingenious, Cappelen’s response is not without difficulties. </w:t>
      </w:r>
      <w:r w:rsidRPr="009A423D">
        <w:rPr>
          <w:rFonts w:ascii="Verdana" w:eastAsia="Times New Roman" w:hAnsi="Verdana" w:cs="Times New Roman"/>
          <w:sz w:val="20"/>
          <w:szCs w:val="20"/>
        </w:rPr>
        <w:t xml:space="preserve">The first thing to note is that the data about inter-contextual samesaying </w:t>
      </w:r>
      <w:r>
        <w:rPr>
          <w:rFonts w:ascii="Verdana" w:eastAsia="Times New Roman" w:hAnsi="Verdana" w:cs="Times New Roman"/>
          <w:sz w:val="20"/>
          <w:szCs w:val="20"/>
        </w:rPr>
        <w:t xml:space="preserve">provided by Cappelen </w:t>
      </w:r>
      <w:r w:rsidRPr="009A423D">
        <w:rPr>
          <w:rFonts w:ascii="Verdana" w:eastAsia="Times New Roman" w:hAnsi="Verdana" w:cs="Times New Roman"/>
          <w:sz w:val="20"/>
          <w:szCs w:val="20"/>
        </w:rPr>
        <w:t xml:space="preserve">fail to </w:t>
      </w:r>
      <w:r>
        <w:rPr>
          <w:rFonts w:ascii="Verdana" w:eastAsia="Times New Roman" w:hAnsi="Verdana" w:cs="Times New Roman"/>
          <w:sz w:val="20"/>
          <w:szCs w:val="20"/>
        </w:rPr>
        <w:t xml:space="preserve">properly </w:t>
      </w:r>
      <w:r w:rsidRPr="009A423D">
        <w:rPr>
          <w:rFonts w:ascii="Verdana" w:eastAsia="Times New Roman" w:hAnsi="Verdana" w:cs="Times New Roman"/>
          <w:sz w:val="20"/>
          <w:szCs w:val="20"/>
        </w:rPr>
        <w:t>address</w:t>
      </w:r>
      <w:r>
        <w:rPr>
          <w:rFonts w:ascii="Verdana" w:eastAsia="Times New Roman" w:hAnsi="Verdana" w:cs="Times New Roman"/>
          <w:sz w:val="20"/>
          <w:szCs w:val="20"/>
        </w:rPr>
        <w:t xml:space="preserve"> the Strawsonian challenge.</w:t>
      </w:r>
      <w:r w:rsidRPr="009A423D">
        <w:rPr>
          <w:rFonts w:ascii="Verdana" w:eastAsia="Times New Roman" w:hAnsi="Verdana" w:cs="Times New Roman"/>
          <w:sz w:val="20"/>
          <w:szCs w:val="20"/>
        </w:rPr>
        <w:t xml:space="preserve"> According to this challenge, there is no topic </w:t>
      </w:r>
      <w:r w:rsidRPr="009A423D">
        <w:rPr>
          <w:rFonts w:ascii="Verdana" w:eastAsia="Times New Roman" w:hAnsi="Verdana" w:cs="Times New Roman"/>
          <w:sz w:val="20"/>
          <w:szCs w:val="20"/>
        </w:rPr>
        <w:lastRenderedPageBreak/>
        <w:t xml:space="preserve">continuity between two expressions just in case they differ </w:t>
      </w:r>
      <w:r>
        <w:rPr>
          <w:rFonts w:ascii="Verdana" w:eastAsia="Times New Roman" w:hAnsi="Verdana" w:cs="Times New Roman"/>
          <w:sz w:val="20"/>
          <w:szCs w:val="20"/>
        </w:rPr>
        <w:t xml:space="preserve">in meanings. This worry should be construed as being about intensions rather than extensions. To illustrate: </w:t>
      </w:r>
      <w:r w:rsidRPr="009A423D">
        <w:rPr>
          <w:rFonts w:ascii="Verdana" w:eastAsia="Times New Roman" w:hAnsi="Verdana" w:cs="Times New Roman"/>
          <w:sz w:val="20"/>
          <w:szCs w:val="20"/>
        </w:rPr>
        <w:t>Strawson’s worry is not that there is a lack of topic continuity between two speakers using the term ‘woman’ at two different times simply because a couple of women died</w:t>
      </w:r>
      <w:r>
        <w:rPr>
          <w:rFonts w:ascii="Verdana" w:eastAsia="Times New Roman" w:hAnsi="Verdana" w:cs="Times New Roman"/>
          <w:sz w:val="20"/>
          <w:szCs w:val="20"/>
        </w:rPr>
        <w:t xml:space="preserve"> (and were born)</w:t>
      </w:r>
      <w:r w:rsidRPr="009A423D">
        <w:rPr>
          <w:rFonts w:ascii="Verdana" w:eastAsia="Times New Roman" w:hAnsi="Verdana" w:cs="Times New Roman"/>
          <w:sz w:val="20"/>
          <w:szCs w:val="20"/>
        </w:rPr>
        <w:t xml:space="preserve"> in </w:t>
      </w:r>
      <w:r>
        <w:rPr>
          <w:rFonts w:ascii="Verdana" w:eastAsia="Times New Roman" w:hAnsi="Verdana" w:cs="Times New Roman"/>
          <w:sz w:val="20"/>
          <w:szCs w:val="20"/>
        </w:rPr>
        <w:t>the meantime.</w:t>
      </w:r>
      <w:r w:rsidRPr="009A423D">
        <w:rPr>
          <w:rFonts w:ascii="Verdana" w:eastAsia="Times New Roman" w:hAnsi="Verdana" w:cs="Times New Roman"/>
          <w:sz w:val="20"/>
          <w:szCs w:val="20"/>
        </w:rPr>
        <w:t xml:space="preserve"> The problem only arises when</w:t>
      </w:r>
      <w:r>
        <w:rPr>
          <w:rFonts w:ascii="Verdana" w:eastAsia="Times New Roman" w:hAnsi="Verdana" w:cs="Times New Roman"/>
          <w:sz w:val="20"/>
          <w:szCs w:val="20"/>
        </w:rPr>
        <w:t xml:space="preserve"> the intension, i.e., the extension relative to the same circumstances, </w:t>
      </w:r>
      <w:r w:rsidRPr="009A423D">
        <w:rPr>
          <w:rFonts w:ascii="Verdana" w:eastAsia="Times New Roman" w:hAnsi="Verdana" w:cs="Times New Roman"/>
          <w:sz w:val="20"/>
          <w:szCs w:val="20"/>
        </w:rPr>
        <w:t xml:space="preserve">of ‘woman’ changes. </w:t>
      </w:r>
      <w:r>
        <w:rPr>
          <w:rFonts w:ascii="Verdana" w:eastAsia="Times New Roman" w:hAnsi="Verdana" w:cs="Times New Roman"/>
          <w:sz w:val="20"/>
          <w:szCs w:val="20"/>
        </w:rPr>
        <w:t>I</w:t>
      </w:r>
      <w:r w:rsidRPr="009A423D">
        <w:rPr>
          <w:rFonts w:ascii="Verdana" w:eastAsia="Times New Roman" w:hAnsi="Verdana" w:cs="Times New Roman"/>
          <w:sz w:val="20"/>
          <w:szCs w:val="20"/>
        </w:rPr>
        <w:t>nter-contextual samesaying of the kind mentioned by Cappelen does not involve differen</w:t>
      </w:r>
      <w:r>
        <w:rPr>
          <w:rFonts w:ascii="Verdana" w:eastAsia="Times New Roman" w:hAnsi="Verdana" w:cs="Times New Roman"/>
          <w:sz w:val="20"/>
          <w:szCs w:val="20"/>
        </w:rPr>
        <w:t>ces in</w:t>
      </w:r>
      <w:r w:rsidRPr="009A423D">
        <w:rPr>
          <w:rFonts w:ascii="Verdana" w:eastAsia="Times New Roman" w:hAnsi="Verdana" w:cs="Times New Roman"/>
          <w:sz w:val="20"/>
          <w:szCs w:val="20"/>
        </w:rPr>
        <w:t xml:space="preserve"> intensions. When two speakers A and B use ‘tall’ in different contexts and thus with different extensions, both their uses of ‘tall’ will have the same intension.</w:t>
      </w:r>
    </w:p>
    <w:p w14:paraId="2BFB954F" w14:textId="67F4AAAD" w:rsidR="00DF7D83" w:rsidRPr="009A423D" w:rsidRDefault="00DF7D83" w:rsidP="00DF7D83">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Arguably, t</w:t>
      </w:r>
      <w:r w:rsidRPr="009A423D">
        <w:rPr>
          <w:rFonts w:ascii="Verdana" w:eastAsia="Times New Roman" w:hAnsi="Verdana" w:cs="Times New Roman"/>
          <w:sz w:val="20"/>
          <w:szCs w:val="20"/>
        </w:rPr>
        <w:t xml:space="preserve">his is different </w:t>
      </w:r>
      <w:r>
        <w:rPr>
          <w:rFonts w:ascii="Verdana" w:eastAsia="Times New Roman" w:hAnsi="Verdana" w:cs="Times New Roman"/>
          <w:sz w:val="20"/>
          <w:szCs w:val="20"/>
        </w:rPr>
        <w:t>when it comes</w:t>
      </w:r>
      <w:r w:rsidRPr="009A423D">
        <w:rPr>
          <w:rFonts w:ascii="Verdana" w:eastAsia="Times New Roman" w:hAnsi="Verdana" w:cs="Times New Roman"/>
          <w:sz w:val="20"/>
          <w:szCs w:val="20"/>
        </w:rPr>
        <w:t xml:space="preserve"> to diachronic samesaying. The semantic changes envisaged by Dorr and Hawthorne are the result of changes in intensions. But notice that here the data </w:t>
      </w:r>
      <w:r>
        <w:rPr>
          <w:rFonts w:ascii="Verdana" w:eastAsia="Times New Roman" w:hAnsi="Verdana" w:cs="Times New Roman"/>
          <w:sz w:val="20"/>
          <w:szCs w:val="20"/>
        </w:rPr>
        <w:t>are</w:t>
      </w:r>
      <w:r w:rsidRPr="009A423D">
        <w:rPr>
          <w:rFonts w:ascii="Verdana" w:eastAsia="Times New Roman" w:hAnsi="Verdana" w:cs="Times New Roman"/>
          <w:sz w:val="20"/>
          <w:szCs w:val="20"/>
        </w:rPr>
        <w:t xml:space="preserve"> less persuasive than in the case of inter-contextual samesaying. First of all, </w:t>
      </w:r>
      <w:r>
        <w:rPr>
          <w:rFonts w:ascii="Verdana" w:eastAsia="Times New Roman" w:hAnsi="Verdana" w:cs="Times New Roman"/>
          <w:sz w:val="20"/>
          <w:szCs w:val="20"/>
        </w:rPr>
        <w:t>they</w:t>
      </w:r>
      <w:r w:rsidRPr="009A423D">
        <w:rPr>
          <w:rFonts w:ascii="Verdana" w:eastAsia="Times New Roman" w:hAnsi="Verdana" w:cs="Times New Roman"/>
          <w:sz w:val="20"/>
          <w:szCs w:val="20"/>
        </w:rPr>
        <w:t xml:space="preserve"> rest on the controversial </w:t>
      </w:r>
      <w:r w:rsidRPr="009B191C">
        <w:rPr>
          <w:rFonts w:ascii="Verdana" w:eastAsia="Times New Roman" w:hAnsi="Verdana" w:cs="Times New Roman"/>
          <w:i/>
          <w:sz w:val="20"/>
          <w:szCs w:val="20"/>
        </w:rPr>
        <w:t>temporal semantic</w:t>
      </w:r>
      <w:r>
        <w:rPr>
          <w:rFonts w:ascii="Verdana" w:eastAsia="Times New Roman" w:hAnsi="Verdana" w:cs="Times New Roman"/>
          <w:sz w:val="20"/>
          <w:szCs w:val="20"/>
        </w:rPr>
        <w:t xml:space="preserve"> </w:t>
      </w:r>
      <w:r w:rsidRPr="003E0135">
        <w:rPr>
          <w:rFonts w:ascii="Verdana" w:eastAsia="Times New Roman" w:hAnsi="Verdana" w:cs="Times New Roman"/>
          <w:i/>
          <w:sz w:val="20"/>
          <w:szCs w:val="20"/>
        </w:rPr>
        <w:t>plasticity</w:t>
      </w:r>
      <w:r>
        <w:rPr>
          <w:rFonts w:ascii="Verdana" w:eastAsia="Times New Roman" w:hAnsi="Verdana" w:cs="Times New Roman"/>
          <w:sz w:val="20"/>
          <w:szCs w:val="20"/>
        </w:rPr>
        <w:t xml:space="preserve"> </w:t>
      </w:r>
      <w:r w:rsidRPr="009A423D">
        <w:rPr>
          <w:rFonts w:ascii="Verdana" w:eastAsia="Times New Roman" w:hAnsi="Verdana" w:cs="Times New Roman"/>
          <w:sz w:val="20"/>
          <w:szCs w:val="20"/>
        </w:rPr>
        <w:t xml:space="preserve">thesis championed by Dorr and Hawthorne – a thesis which the authors themselves endorse only for a limited number of expressions such as ‘salad’ (how could </w:t>
      </w:r>
      <w:r w:rsidRPr="00745796">
        <w:rPr>
          <w:rFonts w:ascii="Verdana" w:eastAsia="Times New Roman" w:hAnsi="Verdana" w:cs="Times New Roman"/>
          <w:sz w:val="20"/>
          <w:szCs w:val="20"/>
        </w:rPr>
        <w:t>plasticity</w:t>
      </w:r>
      <w:r w:rsidRPr="009A423D">
        <w:rPr>
          <w:rFonts w:ascii="Verdana" w:eastAsia="Times New Roman" w:hAnsi="Verdana" w:cs="Times New Roman"/>
          <w:sz w:val="20"/>
          <w:szCs w:val="20"/>
        </w:rPr>
        <w:t xml:space="preserve"> be true of philosophically interesting terms li</w:t>
      </w:r>
      <w:r>
        <w:rPr>
          <w:rFonts w:ascii="Verdana" w:eastAsia="Times New Roman" w:hAnsi="Verdana" w:cs="Times New Roman"/>
          <w:sz w:val="20"/>
          <w:szCs w:val="20"/>
        </w:rPr>
        <w:t>k</w:t>
      </w:r>
      <w:r w:rsidRPr="009A423D">
        <w:rPr>
          <w:rFonts w:ascii="Verdana" w:eastAsia="Times New Roman" w:hAnsi="Verdana" w:cs="Times New Roman"/>
          <w:sz w:val="20"/>
          <w:szCs w:val="20"/>
        </w:rPr>
        <w:t xml:space="preserve">e ‘woman’, ‘man’, ‘knowledge’, </w:t>
      </w:r>
      <w:r>
        <w:rPr>
          <w:rFonts w:ascii="Verdana" w:eastAsia="Times New Roman" w:hAnsi="Verdana" w:cs="Times New Roman"/>
          <w:sz w:val="20"/>
          <w:szCs w:val="20"/>
        </w:rPr>
        <w:t>or ‘</w:t>
      </w:r>
      <w:r w:rsidRPr="009A423D">
        <w:rPr>
          <w:rFonts w:ascii="Verdana" w:eastAsia="Times New Roman" w:hAnsi="Verdana" w:cs="Times New Roman"/>
          <w:sz w:val="20"/>
          <w:szCs w:val="20"/>
        </w:rPr>
        <w:t>truth’?). Moreover, even in cases of semantic drift, do people really say the same thing when they use the expression in question? Consider this in the case of ‘salad’</w:t>
      </w:r>
      <w:r>
        <w:rPr>
          <w:rFonts w:ascii="Verdana" w:eastAsia="Times New Roman" w:hAnsi="Verdana" w:cs="Times New Roman"/>
          <w:sz w:val="20"/>
          <w:szCs w:val="20"/>
        </w:rPr>
        <w:t>.</w:t>
      </w:r>
      <w:r w:rsidRPr="009A423D">
        <w:rPr>
          <w:rFonts w:ascii="Verdana" w:eastAsia="Times New Roman" w:hAnsi="Verdana" w:cs="Times New Roman"/>
          <w:sz w:val="20"/>
          <w:szCs w:val="20"/>
        </w:rPr>
        <w:t xml:space="preserve"> </w:t>
      </w:r>
      <w:r>
        <w:rPr>
          <w:rFonts w:ascii="Verdana" w:eastAsia="Times New Roman" w:hAnsi="Verdana" w:cs="Times New Roman"/>
          <w:sz w:val="20"/>
          <w:szCs w:val="20"/>
        </w:rPr>
        <w:t>S</w:t>
      </w:r>
      <w:r w:rsidRPr="009A423D">
        <w:rPr>
          <w:rFonts w:ascii="Verdana" w:eastAsia="Times New Roman" w:hAnsi="Verdana" w:cs="Times New Roman"/>
          <w:sz w:val="20"/>
          <w:szCs w:val="20"/>
        </w:rPr>
        <w:t xml:space="preserve">ay we follow Dorr and Hawthorne when they claim that “‘salad’ has evolved gradually over the last few centuries, from a situation in which people only applied the word to cold dishes with a high preponderance of green leaves of some sort, to the current state where we comfortably apply the word to various warm, leaf-free concoctions” (Dorr and Hawthorne 2014, 284–5). Cappelen thinks that people from back then and people now </w:t>
      </w:r>
      <w:r>
        <w:rPr>
          <w:rFonts w:ascii="Verdana" w:eastAsia="Times New Roman" w:hAnsi="Verdana" w:cs="Times New Roman"/>
          <w:sz w:val="20"/>
          <w:szCs w:val="20"/>
        </w:rPr>
        <w:t xml:space="preserve">say the same thing when they use ‘salad’. </w:t>
      </w:r>
      <w:r w:rsidRPr="009A423D">
        <w:rPr>
          <w:rFonts w:ascii="Verdana" w:eastAsia="Times New Roman" w:hAnsi="Verdana" w:cs="Times New Roman"/>
          <w:sz w:val="20"/>
          <w:szCs w:val="20"/>
        </w:rPr>
        <w:t>I’m not so sure – perhaps the reason why we seem to be able to disquotationally report what they said is simply that our use of ‘salad’ is wider than theirs, such that what they counted as salad still counts as salad</w:t>
      </w:r>
      <w:r>
        <w:rPr>
          <w:rFonts w:ascii="Verdana" w:eastAsia="Times New Roman" w:hAnsi="Verdana" w:cs="Times New Roman"/>
          <w:sz w:val="20"/>
          <w:szCs w:val="20"/>
        </w:rPr>
        <w:t xml:space="preserve"> today</w:t>
      </w:r>
      <w:r w:rsidRPr="009A423D">
        <w:rPr>
          <w:rFonts w:ascii="Verdana" w:eastAsia="Times New Roman" w:hAnsi="Verdana" w:cs="Times New Roman"/>
          <w:sz w:val="20"/>
          <w:szCs w:val="20"/>
        </w:rPr>
        <w:t xml:space="preserve"> (but not vice versa). Or perhaps there is no </w:t>
      </w:r>
      <w:r>
        <w:rPr>
          <w:rFonts w:ascii="Verdana" w:eastAsia="Times New Roman" w:hAnsi="Verdana" w:cs="Times New Roman"/>
          <w:sz w:val="20"/>
          <w:szCs w:val="20"/>
        </w:rPr>
        <w:t xml:space="preserve">real </w:t>
      </w:r>
      <w:r w:rsidRPr="009A423D">
        <w:rPr>
          <w:rFonts w:ascii="Verdana" w:eastAsia="Times New Roman" w:hAnsi="Verdana" w:cs="Times New Roman"/>
          <w:sz w:val="20"/>
          <w:szCs w:val="20"/>
        </w:rPr>
        <w:t>samesaying</w:t>
      </w:r>
      <w:r>
        <w:rPr>
          <w:rFonts w:ascii="Verdana" w:eastAsia="Times New Roman" w:hAnsi="Verdana" w:cs="Times New Roman"/>
          <w:sz w:val="20"/>
          <w:szCs w:val="20"/>
        </w:rPr>
        <w:t>, but</w:t>
      </w:r>
      <w:r w:rsidRPr="009A423D">
        <w:rPr>
          <w:rFonts w:ascii="Verdana" w:eastAsia="Times New Roman" w:hAnsi="Verdana" w:cs="Times New Roman"/>
          <w:sz w:val="20"/>
          <w:szCs w:val="20"/>
        </w:rPr>
        <w:t xml:space="preserve"> the degree of similarity reached at a given instance sometimes suffices for the communicative purposes at issue.</w:t>
      </w:r>
      <w:r>
        <w:rPr>
          <w:rFonts w:ascii="Verdana" w:eastAsia="Times New Roman" w:hAnsi="Verdana" w:cs="Times New Roman"/>
          <w:sz w:val="20"/>
          <w:szCs w:val="20"/>
        </w:rPr>
        <w:t xml:space="preserve"> Or perhaps disquotational speech reports across semantic drift are never really warranted, but we are just too lazy to </w:t>
      </w:r>
      <w:r w:rsidR="00F07FE9">
        <w:rPr>
          <w:rFonts w:ascii="Verdana" w:eastAsia="Times New Roman" w:hAnsi="Verdana" w:cs="Times New Roman"/>
          <w:sz w:val="20"/>
          <w:szCs w:val="20"/>
        </w:rPr>
        <w:t xml:space="preserve">properly </w:t>
      </w:r>
      <w:r>
        <w:rPr>
          <w:rFonts w:ascii="Verdana" w:eastAsia="Times New Roman" w:hAnsi="Verdana" w:cs="Times New Roman"/>
          <w:sz w:val="20"/>
          <w:szCs w:val="20"/>
        </w:rPr>
        <w:t xml:space="preserve">use quotation marks, and eventually develop the skills to nevertheless interpret people in the intended way. There is a plethora of </w:t>
      </w:r>
      <w:r w:rsidR="00E548E2">
        <w:rPr>
          <w:rFonts w:ascii="Verdana" w:eastAsia="Times New Roman" w:hAnsi="Verdana" w:cs="Times New Roman"/>
          <w:sz w:val="20"/>
          <w:szCs w:val="20"/>
        </w:rPr>
        <w:t xml:space="preserve">theoretical </w:t>
      </w:r>
      <w:r>
        <w:rPr>
          <w:rFonts w:ascii="Verdana" w:eastAsia="Times New Roman" w:hAnsi="Verdana" w:cs="Times New Roman"/>
          <w:sz w:val="20"/>
          <w:szCs w:val="20"/>
        </w:rPr>
        <w:t>options compatible with the data, and Cappelen does not offer decisive reason</w:t>
      </w:r>
      <w:r w:rsidR="00E548E2">
        <w:rPr>
          <w:rFonts w:ascii="Verdana" w:eastAsia="Times New Roman" w:hAnsi="Verdana" w:cs="Times New Roman"/>
          <w:sz w:val="20"/>
          <w:szCs w:val="20"/>
        </w:rPr>
        <w:t>s</w:t>
      </w:r>
      <w:r>
        <w:rPr>
          <w:rFonts w:ascii="Verdana" w:eastAsia="Times New Roman" w:hAnsi="Verdana" w:cs="Times New Roman"/>
          <w:sz w:val="20"/>
          <w:szCs w:val="20"/>
        </w:rPr>
        <w:t xml:space="preserve"> for favoring his </w:t>
      </w:r>
      <w:r w:rsidR="00E548E2">
        <w:rPr>
          <w:rFonts w:ascii="Verdana" w:eastAsia="Times New Roman" w:hAnsi="Verdana" w:cs="Times New Roman"/>
          <w:sz w:val="20"/>
          <w:szCs w:val="20"/>
        </w:rPr>
        <w:t xml:space="preserve">preferred samesaying-account </w:t>
      </w:r>
      <w:r>
        <w:rPr>
          <w:rFonts w:ascii="Verdana" w:eastAsia="Times New Roman" w:hAnsi="Verdana" w:cs="Times New Roman"/>
          <w:sz w:val="20"/>
          <w:szCs w:val="20"/>
        </w:rPr>
        <w:t>over the others.</w:t>
      </w:r>
    </w:p>
    <w:p w14:paraId="6D9BC459" w14:textId="51592CCE" w:rsidR="00DF7D83" w:rsidRDefault="00DF7D83" w:rsidP="00DF7D83">
      <w:pPr>
        <w:spacing w:after="0" w:line="240" w:lineRule="auto"/>
        <w:ind w:firstLine="708"/>
        <w:rPr>
          <w:rFonts w:ascii="Verdana" w:eastAsia="Times New Roman" w:hAnsi="Verdana" w:cs="Times New Roman"/>
          <w:sz w:val="20"/>
          <w:szCs w:val="20"/>
        </w:rPr>
      </w:pPr>
      <w:r w:rsidRPr="00272756">
        <w:rPr>
          <w:rFonts w:ascii="Verdana" w:eastAsia="Times New Roman" w:hAnsi="Verdana" w:cs="Times New Roman"/>
          <w:sz w:val="20"/>
          <w:szCs w:val="20"/>
        </w:rPr>
        <w:t>Another worry concerns how</w:t>
      </w:r>
      <w:r>
        <w:rPr>
          <w:rFonts w:ascii="Verdana" w:eastAsia="Times New Roman" w:hAnsi="Verdana" w:cs="Times New Roman"/>
          <w:sz w:val="20"/>
          <w:szCs w:val="20"/>
        </w:rPr>
        <w:t xml:space="preserve"> we</w:t>
      </w:r>
      <w:r w:rsidRPr="00272756">
        <w:rPr>
          <w:rFonts w:ascii="Verdana" w:eastAsia="Times New Roman" w:hAnsi="Verdana" w:cs="Times New Roman"/>
          <w:sz w:val="20"/>
          <w:szCs w:val="20"/>
        </w:rPr>
        <w:t xml:space="preserve"> get from the observation that samesaying in the face of different semantic values is </w:t>
      </w:r>
      <w:r w:rsidRPr="003E3A3F">
        <w:rPr>
          <w:rFonts w:ascii="Verdana" w:eastAsia="Times New Roman" w:hAnsi="Verdana" w:cs="Times New Roman"/>
          <w:i/>
          <w:sz w:val="20"/>
          <w:szCs w:val="20"/>
        </w:rPr>
        <w:t>possible</w:t>
      </w:r>
      <w:r w:rsidRPr="00272756">
        <w:rPr>
          <w:rFonts w:ascii="Verdana" w:eastAsia="Times New Roman" w:hAnsi="Verdana" w:cs="Times New Roman"/>
          <w:sz w:val="20"/>
          <w:szCs w:val="20"/>
        </w:rPr>
        <w:t xml:space="preserve"> to a satisfying response to the Strawsonian challenge. Ameliorators who grant </w:t>
      </w:r>
      <w:r>
        <w:rPr>
          <w:rFonts w:ascii="Verdana" w:eastAsia="Times New Roman" w:hAnsi="Verdana" w:cs="Times New Roman"/>
          <w:sz w:val="20"/>
          <w:szCs w:val="20"/>
        </w:rPr>
        <w:t>C</w:t>
      </w:r>
      <w:r w:rsidRPr="003E3A3F">
        <w:rPr>
          <w:rFonts w:ascii="Verdana" w:eastAsia="Times New Roman" w:hAnsi="Verdana" w:cs="Times New Roman"/>
          <w:i/>
          <w:sz w:val="20"/>
          <w:szCs w:val="20"/>
        </w:rPr>
        <w:t>oarse-</w:t>
      </w:r>
      <w:r>
        <w:rPr>
          <w:rFonts w:ascii="Verdana" w:eastAsia="Times New Roman" w:hAnsi="Verdana" w:cs="Times New Roman"/>
          <w:i/>
          <w:sz w:val="20"/>
          <w:szCs w:val="20"/>
        </w:rPr>
        <w:t>G</w:t>
      </w:r>
      <w:r w:rsidRPr="003E3A3F">
        <w:rPr>
          <w:rFonts w:ascii="Verdana" w:eastAsia="Times New Roman" w:hAnsi="Verdana" w:cs="Times New Roman"/>
          <w:i/>
          <w:sz w:val="20"/>
          <w:szCs w:val="20"/>
        </w:rPr>
        <w:t>rainedness</w:t>
      </w:r>
      <w:r>
        <w:rPr>
          <w:rFonts w:ascii="Verdana" w:eastAsia="Times New Roman" w:hAnsi="Verdana" w:cs="Times New Roman"/>
          <w:sz w:val="20"/>
          <w:szCs w:val="20"/>
        </w:rPr>
        <w:t xml:space="preserve"> </w:t>
      </w:r>
      <w:r w:rsidRPr="00272756">
        <w:rPr>
          <w:rFonts w:ascii="Verdana" w:eastAsia="Times New Roman" w:hAnsi="Verdana" w:cs="Times New Roman"/>
          <w:sz w:val="20"/>
          <w:szCs w:val="20"/>
        </w:rPr>
        <w:t xml:space="preserve">will still want to know more about when a particular revision crosses the boarder from samesaying to changing the topic. The account above does not specify these conditions, which leaves ameliorators without a manual for how to conduct their theoretical work. Cappelen answers this worry with what he calls the </w:t>
      </w:r>
      <w:r w:rsidRPr="008431D7">
        <w:rPr>
          <w:rFonts w:ascii="Verdana" w:eastAsia="Times New Roman" w:hAnsi="Verdana" w:cs="Times New Roman"/>
          <w:i/>
          <w:sz w:val="20"/>
          <w:szCs w:val="20"/>
        </w:rPr>
        <w:t>Contestation Theory of the Limits of Revision:</w:t>
      </w:r>
      <w:r w:rsidRPr="00272756">
        <w:rPr>
          <w:rFonts w:ascii="Verdana" w:eastAsia="Times New Roman" w:hAnsi="Verdana" w:cs="Times New Roman"/>
          <w:sz w:val="20"/>
          <w:szCs w:val="20"/>
        </w:rPr>
        <w:t xml:space="preserve"> “there are no fixed rules for how far revision can go. The limits of revision are themselves up for revision, contestation, and negotiation. If there are any rules here at all, it’s that we make up the rules along the way” (116).</w:t>
      </w:r>
      <w:r w:rsidRPr="00B5509D">
        <w:rPr>
          <w:rFonts w:ascii="Verdana" w:eastAsia="Times New Roman" w:hAnsi="Verdana" w:cs="Times New Roman"/>
          <w:sz w:val="20"/>
          <w:szCs w:val="20"/>
        </w:rPr>
        <w:t xml:space="preserve"> </w:t>
      </w:r>
      <w:r>
        <w:rPr>
          <w:rFonts w:ascii="Verdana" w:eastAsia="Times New Roman" w:hAnsi="Verdana" w:cs="Times New Roman"/>
          <w:sz w:val="20"/>
          <w:szCs w:val="20"/>
        </w:rPr>
        <w:t>I</w:t>
      </w:r>
      <w:r w:rsidRPr="00B5509D">
        <w:rPr>
          <w:rFonts w:ascii="Verdana" w:eastAsia="Times New Roman" w:hAnsi="Verdana" w:cs="Times New Roman"/>
          <w:sz w:val="20"/>
          <w:szCs w:val="20"/>
        </w:rPr>
        <w:t xml:space="preserve">t </w:t>
      </w:r>
      <w:r>
        <w:rPr>
          <w:rFonts w:ascii="Verdana" w:eastAsia="Times New Roman" w:hAnsi="Verdana" w:cs="Times New Roman"/>
          <w:sz w:val="20"/>
          <w:szCs w:val="20"/>
        </w:rPr>
        <w:t>might in fact</w:t>
      </w:r>
      <w:r w:rsidRPr="00B5509D">
        <w:rPr>
          <w:rFonts w:ascii="Verdana" w:eastAsia="Times New Roman" w:hAnsi="Verdana" w:cs="Times New Roman"/>
          <w:sz w:val="20"/>
          <w:szCs w:val="20"/>
        </w:rPr>
        <w:t xml:space="preserve"> be extremely difficult, or perhaps impossible, to state necessary and sufficient conditions for topic preservation</w:t>
      </w:r>
      <w:r>
        <w:rPr>
          <w:rFonts w:ascii="Verdana" w:eastAsia="Times New Roman" w:hAnsi="Verdana" w:cs="Times New Roman"/>
          <w:sz w:val="20"/>
          <w:szCs w:val="20"/>
        </w:rPr>
        <w:t>. But</w:t>
      </w:r>
      <w:r w:rsidRPr="00B5509D">
        <w:rPr>
          <w:rFonts w:ascii="Verdana" w:eastAsia="Times New Roman" w:hAnsi="Verdana" w:cs="Times New Roman"/>
          <w:sz w:val="20"/>
          <w:szCs w:val="20"/>
        </w:rPr>
        <w:t xml:space="preserve"> it would </w:t>
      </w:r>
      <w:r>
        <w:rPr>
          <w:rFonts w:ascii="Verdana" w:eastAsia="Times New Roman" w:hAnsi="Verdana" w:cs="Times New Roman"/>
          <w:sz w:val="20"/>
          <w:szCs w:val="20"/>
        </w:rPr>
        <w:t xml:space="preserve">still </w:t>
      </w:r>
      <w:r w:rsidRPr="00B5509D">
        <w:rPr>
          <w:rFonts w:ascii="Verdana" w:eastAsia="Times New Roman" w:hAnsi="Verdana" w:cs="Times New Roman"/>
          <w:sz w:val="20"/>
          <w:szCs w:val="20"/>
        </w:rPr>
        <w:t xml:space="preserve">be good to </w:t>
      </w:r>
      <w:r>
        <w:rPr>
          <w:rFonts w:ascii="Verdana" w:eastAsia="Times New Roman" w:hAnsi="Verdana" w:cs="Times New Roman"/>
          <w:sz w:val="20"/>
          <w:szCs w:val="20"/>
        </w:rPr>
        <w:t>know</w:t>
      </w:r>
      <w:r w:rsidRPr="00B5509D">
        <w:rPr>
          <w:rFonts w:ascii="Verdana" w:eastAsia="Times New Roman" w:hAnsi="Verdana" w:cs="Times New Roman"/>
          <w:sz w:val="20"/>
          <w:szCs w:val="20"/>
        </w:rPr>
        <w:t xml:space="preserve"> </w:t>
      </w:r>
      <w:r w:rsidR="00E548E2">
        <w:rPr>
          <w:rFonts w:ascii="Verdana" w:eastAsia="Times New Roman" w:hAnsi="Verdana" w:cs="Times New Roman"/>
          <w:sz w:val="20"/>
          <w:szCs w:val="20"/>
        </w:rPr>
        <w:t>some of the</w:t>
      </w:r>
      <w:r w:rsidRPr="00B5509D">
        <w:rPr>
          <w:rFonts w:ascii="Verdana" w:eastAsia="Times New Roman" w:hAnsi="Verdana" w:cs="Times New Roman"/>
          <w:sz w:val="20"/>
          <w:szCs w:val="20"/>
        </w:rPr>
        <w:t xml:space="preserve"> factors </w:t>
      </w:r>
      <w:r w:rsidR="00E548E2">
        <w:rPr>
          <w:rFonts w:ascii="Verdana" w:eastAsia="Times New Roman" w:hAnsi="Verdana" w:cs="Times New Roman"/>
          <w:sz w:val="20"/>
          <w:szCs w:val="20"/>
        </w:rPr>
        <w:t xml:space="preserve">on which one has </w:t>
      </w:r>
      <w:r>
        <w:rPr>
          <w:rFonts w:ascii="Verdana" w:eastAsia="Times New Roman" w:hAnsi="Verdana" w:cs="Times New Roman"/>
          <w:sz w:val="20"/>
          <w:szCs w:val="20"/>
        </w:rPr>
        <w:t>to</w:t>
      </w:r>
      <w:r w:rsidRPr="00B5509D">
        <w:rPr>
          <w:rFonts w:ascii="Verdana" w:eastAsia="Times New Roman" w:hAnsi="Verdana" w:cs="Times New Roman"/>
          <w:sz w:val="20"/>
          <w:szCs w:val="20"/>
        </w:rPr>
        <w:t xml:space="preserve"> focus. </w:t>
      </w:r>
      <w:r>
        <w:rPr>
          <w:rFonts w:ascii="Verdana" w:eastAsia="Times New Roman" w:hAnsi="Verdana" w:cs="Times New Roman"/>
          <w:sz w:val="20"/>
          <w:szCs w:val="20"/>
        </w:rPr>
        <w:t>N</w:t>
      </w:r>
      <w:r w:rsidRPr="00B5509D">
        <w:rPr>
          <w:rFonts w:ascii="Verdana" w:eastAsia="Times New Roman" w:hAnsi="Verdana" w:cs="Times New Roman"/>
          <w:sz w:val="20"/>
          <w:szCs w:val="20"/>
        </w:rPr>
        <w:t xml:space="preserve">ote that other theorists (e.g. Prinzing 2017, Thomasson forthcoming), who model topic preservation on </w:t>
      </w:r>
      <w:r>
        <w:rPr>
          <w:rFonts w:ascii="Verdana" w:eastAsia="Times New Roman" w:hAnsi="Verdana" w:cs="Times New Roman"/>
          <w:sz w:val="20"/>
          <w:szCs w:val="20"/>
        </w:rPr>
        <w:t>a</w:t>
      </w:r>
      <w:r w:rsidRPr="00B5509D">
        <w:rPr>
          <w:rFonts w:ascii="Verdana" w:eastAsia="Times New Roman" w:hAnsi="Verdana" w:cs="Times New Roman"/>
          <w:sz w:val="20"/>
          <w:szCs w:val="20"/>
        </w:rPr>
        <w:t xml:space="preserve"> concept’s function or purpose</w:t>
      </w:r>
      <w:r>
        <w:rPr>
          <w:rFonts w:ascii="Verdana" w:eastAsia="Times New Roman" w:hAnsi="Verdana" w:cs="Times New Roman"/>
          <w:sz w:val="20"/>
          <w:szCs w:val="20"/>
        </w:rPr>
        <w:t>,</w:t>
      </w:r>
      <w:r w:rsidRPr="00B5509D">
        <w:rPr>
          <w:rFonts w:ascii="Verdana" w:eastAsia="Times New Roman" w:hAnsi="Verdana" w:cs="Times New Roman"/>
          <w:sz w:val="20"/>
          <w:szCs w:val="20"/>
        </w:rPr>
        <w:t xml:space="preserve"> do just that</w:t>
      </w:r>
      <w:r>
        <w:rPr>
          <w:rFonts w:ascii="Verdana" w:eastAsia="Times New Roman" w:hAnsi="Verdana" w:cs="Times New Roman"/>
          <w:sz w:val="20"/>
          <w:szCs w:val="20"/>
        </w:rPr>
        <w:t>: they tell us that in order to check for topic preservation, we have to identify the concept’s function.</w:t>
      </w:r>
      <w:r w:rsidRPr="00B5509D">
        <w:rPr>
          <w:rFonts w:ascii="Verdana" w:eastAsia="Times New Roman" w:hAnsi="Verdana" w:cs="Times New Roman"/>
          <w:sz w:val="20"/>
          <w:szCs w:val="20"/>
        </w:rPr>
        <w:t xml:space="preserve"> Whether their accounts fare better than the </w:t>
      </w:r>
      <w:r w:rsidRPr="008431D7">
        <w:rPr>
          <w:rFonts w:ascii="Verdana" w:eastAsia="Times New Roman" w:hAnsi="Verdana" w:cs="Times New Roman"/>
          <w:i/>
          <w:sz w:val="20"/>
          <w:szCs w:val="20"/>
        </w:rPr>
        <w:t>Contestation Theory</w:t>
      </w:r>
      <w:r w:rsidRPr="00B5509D">
        <w:rPr>
          <w:rFonts w:ascii="Verdana" w:eastAsia="Times New Roman" w:hAnsi="Verdana" w:cs="Times New Roman"/>
          <w:sz w:val="20"/>
          <w:szCs w:val="20"/>
        </w:rPr>
        <w:t xml:space="preserve"> depends on whether </w:t>
      </w:r>
      <w:r>
        <w:rPr>
          <w:rFonts w:ascii="Verdana" w:eastAsia="Times New Roman" w:hAnsi="Verdana" w:cs="Times New Roman"/>
          <w:sz w:val="20"/>
          <w:szCs w:val="20"/>
        </w:rPr>
        <w:t xml:space="preserve">an </w:t>
      </w:r>
      <w:r w:rsidRPr="00B5509D">
        <w:rPr>
          <w:rFonts w:ascii="Verdana" w:eastAsia="Times New Roman" w:hAnsi="Verdana" w:cs="Times New Roman"/>
          <w:sz w:val="20"/>
          <w:szCs w:val="20"/>
        </w:rPr>
        <w:t>appeal to</w:t>
      </w:r>
      <w:r>
        <w:rPr>
          <w:rFonts w:ascii="Verdana" w:eastAsia="Times New Roman" w:hAnsi="Verdana" w:cs="Times New Roman"/>
          <w:sz w:val="20"/>
          <w:szCs w:val="20"/>
        </w:rPr>
        <w:t xml:space="preserve"> a concept’s</w:t>
      </w:r>
      <w:r w:rsidRPr="00B5509D">
        <w:rPr>
          <w:rFonts w:ascii="Verdana" w:eastAsia="Times New Roman" w:hAnsi="Verdana" w:cs="Times New Roman"/>
          <w:sz w:val="20"/>
          <w:szCs w:val="20"/>
        </w:rPr>
        <w:t xml:space="preserve"> function or purpose is something that can be made sense of – an idea that Cappelen vehemently rejects in part V of </w:t>
      </w:r>
      <w:r w:rsidRPr="00B5509D">
        <w:rPr>
          <w:rFonts w:ascii="Verdana" w:eastAsia="Times New Roman" w:hAnsi="Verdana" w:cs="Times New Roman"/>
          <w:i/>
          <w:sz w:val="20"/>
          <w:szCs w:val="20"/>
        </w:rPr>
        <w:t>Fixing Language</w:t>
      </w:r>
      <w:r w:rsidRPr="00B5509D">
        <w:rPr>
          <w:rFonts w:ascii="Verdana" w:eastAsia="Times New Roman" w:hAnsi="Verdana" w:cs="Times New Roman"/>
          <w:sz w:val="20"/>
          <w:szCs w:val="20"/>
        </w:rPr>
        <w:t>. To this day, it is perhaps too early to make a final judgement on this matter.</w:t>
      </w:r>
    </w:p>
    <w:p w14:paraId="6FF9F9EE" w14:textId="785B9FAE" w:rsidR="00B5509D" w:rsidRDefault="00B5509D" w:rsidP="003A5F37">
      <w:pPr>
        <w:spacing w:after="0" w:line="240" w:lineRule="auto"/>
        <w:ind w:firstLine="708"/>
        <w:rPr>
          <w:rFonts w:ascii="Verdana" w:eastAsia="Times New Roman" w:hAnsi="Verdana" w:cs="Times New Roman"/>
          <w:sz w:val="20"/>
          <w:szCs w:val="20"/>
        </w:rPr>
      </w:pPr>
      <w:r w:rsidRPr="005B731E">
        <w:rPr>
          <w:rFonts w:ascii="Verdana" w:eastAsia="Times New Roman" w:hAnsi="Verdana" w:cs="Times New Roman"/>
          <w:sz w:val="20"/>
          <w:szCs w:val="20"/>
        </w:rPr>
        <w:t xml:space="preserve">Finally, part IV arrays a number of different issues: it argues for the view that conceptual engineering can be given a worldly description, it offers a taxonomy of the different varieties of conceptual engineering, and replies to some objections to the </w:t>
      </w:r>
      <w:r w:rsidRPr="005B731E">
        <w:rPr>
          <w:rFonts w:ascii="Verdana" w:eastAsia="Times New Roman" w:hAnsi="Verdana" w:cs="Times New Roman"/>
          <w:i/>
          <w:sz w:val="20"/>
          <w:szCs w:val="20"/>
        </w:rPr>
        <w:t>Austerity Framework</w:t>
      </w:r>
      <w:r w:rsidRPr="005B731E">
        <w:rPr>
          <w:rFonts w:ascii="Verdana" w:eastAsia="Times New Roman" w:hAnsi="Verdana" w:cs="Times New Roman"/>
          <w:sz w:val="20"/>
          <w:szCs w:val="20"/>
        </w:rPr>
        <w:t xml:space="preserve">. The most interesting and controversial element of part IV is surely the </w:t>
      </w:r>
      <w:r w:rsidR="00E6158E">
        <w:rPr>
          <w:rFonts w:ascii="Verdana" w:eastAsia="Times New Roman" w:hAnsi="Verdana" w:cs="Times New Roman"/>
          <w:i/>
          <w:sz w:val="20"/>
          <w:szCs w:val="20"/>
        </w:rPr>
        <w:t>W</w:t>
      </w:r>
      <w:r w:rsidR="006A3741" w:rsidRPr="006A3741">
        <w:rPr>
          <w:rFonts w:ascii="Verdana" w:eastAsia="Times New Roman" w:hAnsi="Verdana" w:cs="Times New Roman"/>
          <w:i/>
          <w:sz w:val="20"/>
          <w:szCs w:val="20"/>
        </w:rPr>
        <w:t xml:space="preserve">orldliness </w:t>
      </w:r>
      <w:r w:rsidRPr="005B731E">
        <w:rPr>
          <w:rFonts w:ascii="Verdana" w:eastAsia="Times New Roman" w:hAnsi="Verdana" w:cs="Times New Roman"/>
          <w:sz w:val="20"/>
          <w:szCs w:val="20"/>
        </w:rPr>
        <w:t xml:space="preserve">view. Cappelen begins his discussion </w:t>
      </w:r>
      <w:r w:rsidR="00BF2DEE" w:rsidRPr="005B731E">
        <w:rPr>
          <w:rFonts w:ascii="Verdana" w:eastAsia="Times New Roman" w:hAnsi="Verdana" w:cs="Times New Roman"/>
          <w:sz w:val="20"/>
          <w:szCs w:val="20"/>
        </w:rPr>
        <w:t xml:space="preserve">of this view by distinguishing three </w:t>
      </w:r>
      <w:r w:rsidR="00BF2DEE" w:rsidRPr="005B731E">
        <w:rPr>
          <w:rFonts w:ascii="Verdana" w:eastAsia="Times New Roman" w:hAnsi="Verdana" w:cs="Times New Roman"/>
          <w:sz w:val="20"/>
          <w:szCs w:val="20"/>
        </w:rPr>
        <w:lastRenderedPageBreak/>
        <w:t xml:space="preserve">different views about what conceptual engineering is about: a) about concepts, b) about the intension and extension of words, and c) about the world, i.e., the object level. Cappelen rejects a) on the grounds that it commits one to a theory of concepts, a theoretical burden which he is not willing to take on board (and which is incompatible with the austerity of his overall framework). We have already been told that Cappelen adopts b). The new and interesting claim he aims to defend now is that b) is compatible with, or perhaps even implies, c). </w:t>
      </w:r>
      <w:r w:rsidR="00090FF3">
        <w:rPr>
          <w:rFonts w:ascii="Verdana" w:eastAsia="Times New Roman" w:hAnsi="Verdana" w:cs="Times New Roman"/>
          <w:sz w:val="20"/>
          <w:szCs w:val="20"/>
        </w:rPr>
        <w:t>T</w:t>
      </w:r>
      <w:r w:rsidR="00BF2DEE" w:rsidRPr="005B731E">
        <w:rPr>
          <w:rFonts w:ascii="Verdana" w:eastAsia="Times New Roman" w:hAnsi="Verdana" w:cs="Times New Roman"/>
          <w:sz w:val="20"/>
          <w:szCs w:val="20"/>
        </w:rPr>
        <w:t>here is one reading of c) which many theorists will accept but which is not the reading Cappelen aims for, namely</w:t>
      </w:r>
      <w:r w:rsidR="00090FF3">
        <w:rPr>
          <w:rFonts w:ascii="Verdana" w:eastAsia="Times New Roman" w:hAnsi="Verdana" w:cs="Times New Roman"/>
          <w:sz w:val="20"/>
          <w:szCs w:val="20"/>
        </w:rPr>
        <w:t>,</w:t>
      </w:r>
      <w:r w:rsidR="00BF2DEE" w:rsidRPr="005B731E">
        <w:rPr>
          <w:rFonts w:ascii="Verdana" w:eastAsia="Times New Roman" w:hAnsi="Verdana" w:cs="Times New Roman"/>
          <w:sz w:val="20"/>
          <w:szCs w:val="20"/>
        </w:rPr>
        <w:t xml:space="preserve"> that some areas of reality are at least partly grounded in (or ‘depend on’ in some other sense) the behavior and representations of people. For instance, many philosophers believe that facts about money are partly grounded in what people take to be money. An upshot of this view </w:t>
      </w:r>
      <w:r w:rsidR="00090FF3">
        <w:rPr>
          <w:rFonts w:ascii="Verdana" w:eastAsia="Times New Roman" w:hAnsi="Verdana" w:cs="Times New Roman"/>
          <w:sz w:val="20"/>
          <w:szCs w:val="20"/>
        </w:rPr>
        <w:t>might be</w:t>
      </w:r>
      <w:r w:rsidR="00BF2DEE" w:rsidRPr="005B731E">
        <w:rPr>
          <w:rFonts w:ascii="Verdana" w:eastAsia="Times New Roman" w:hAnsi="Verdana" w:cs="Times New Roman"/>
          <w:sz w:val="20"/>
          <w:szCs w:val="20"/>
        </w:rPr>
        <w:t xml:space="preserve"> that if our concept ‘money’ changes its meaning, then so does money. Cappelen is sympathetic to this view, but aims to defend a more radical version of </w:t>
      </w:r>
      <w:r w:rsidR="00E6158E">
        <w:rPr>
          <w:rFonts w:ascii="Verdana" w:eastAsia="Times New Roman" w:hAnsi="Verdana" w:cs="Times New Roman"/>
          <w:i/>
          <w:sz w:val="20"/>
          <w:szCs w:val="20"/>
        </w:rPr>
        <w:t>W</w:t>
      </w:r>
      <w:r w:rsidR="00BF2DEE" w:rsidRPr="006A3741">
        <w:rPr>
          <w:rFonts w:ascii="Verdana" w:eastAsia="Times New Roman" w:hAnsi="Verdana" w:cs="Times New Roman"/>
          <w:i/>
          <w:sz w:val="20"/>
          <w:szCs w:val="20"/>
        </w:rPr>
        <w:t>orldliness</w:t>
      </w:r>
      <w:r w:rsidR="005B731E" w:rsidRPr="005B731E">
        <w:rPr>
          <w:rFonts w:ascii="Verdana" w:eastAsia="Times New Roman" w:hAnsi="Verdana" w:cs="Times New Roman"/>
          <w:sz w:val="20"/>
          <w:szCs w:val="20"/>
        </w:rPr>
        <w:t xml:space="preserve">. He believes that </w:t>
      </w:r>
      <w:r w:rsidR="00E6158E">
        <w:rPr>
          <w:rFonts w:ascii="Verdana" w:eastAsia="Times New Roman" w:hAnsi="Verdana" w:cs="Times New Roman"/>
          <w:i/>
          <w:sz w:val="20"/>
          <w:szCs w:val="20"/>
        </w:rPr>
        <w:t>W</w:t>
      </w:r>
      <w:r w:rsidR="005B731E" w:rsidRPr="006A3741">
        <w:rPr>
          <w:rFonts w:ascii="Verdana" w:eastAsia="Times New Roman" w:hAnsi="Verdana" w:cs="Times New Roman"/>
          <w:i/>
          <w:sz w:val="20"/>
          <w:szCs w:val="20"/>
        </w:rPr>
        <w:t>orldliness</w:t>
      </w:r>
      <w:r w:rsidR="005B731E" w:rsidRPr="005B731E">
        <w:rPr>
          <w:rFonts w:ascii="Verdana" w:eastAsia="Times New Roman" w:hAnsi="Verdana" w:cs="Times New Roman"/>
          <w:sz w:val="20"/>
          <w:szCs w:val="20"/>
        </w:rPr>
        <w:t xml:space="preserve"> holds in all cases, not just those which involve socially grounded entities. </w:t>
      </w:r>
      <w:r w:rsidR="005B731E">
        <w:rPr>
          <w:rFonts w:ascii="Verdana" w:eastAsia="Times New Roman" w:hAnsi="Verdana" w:cs="Times New Roman"/>
          <w:sz w:val="20"/>
          <w:szCs w:val="20"/>
        </w:rPr>
        <w:t xml:space="preserve">His construal of c) roughly goes </w:t>
      </w:r>
      <w:r w:rsidR="00090FF3">
        <w:rPr>
          <w:rFonts w:ascii="Verdana" w:eastAsia="Times New Roman" w:hAnsi="Verdana" w:cs="Times New Roman"/>
          <w:sz w:val="20"/>
          <w:szCs w:val="20"/>
        </w:rPr>
        <w:t>as follows</w:t>
      </w:r>
      <w:r w:rsidR="005B731E">
        <w:rPr>
          <w:rFonts w:ascii="Verdana" w:eastAsia="Times New Roman" w:hAnsi="Verdana" w:cs="Times New Roman"/>
          <w:sz w:val="20"/>
          <w:szCs w:val="20"/>
        </w:rPr>
        <w:t xml:space="preserve">: there is a difference between </w:t>
      </w:r>
      <w:r w:rsidR="005B731E" w:rsidRPr="006E430E">
        <w:rPr>
          <w:rFonts w:ascii="Verdana" w:eastAsia="Times New Roman" w:hAnsi="Verdana" w:cs="Times New Roman"/>
          <w:i/>
          <w:sz w:val="20"/>
          <w:szCs w:val="20"/>
        </w:rPr>
        <w:t>semantic content</w:t>
      </w:r>
      <w:r w:rsidR="005B731E">
        <w:rPr>
          <w:rFonts w:ascii="Verdana" w:eastAsia="Times New Roman" w:hAnsi="Verdana" w:cs="Times New Roman"/>
          <w:sz w:val="20"/>
          <w:szCs w:val="20"/>
        </w:rPr>
        <w:t xml:space="preserve"> and </w:t>
      </w:r>
      <w:r w:rsidR="005B731E" w:rsidRPr="006E430E">
        <w:rPr>
          <w:rFonts w:ascii="Verdana" w:eastAsia="Times New Roman" w:hAnsi="Verdana" w:cs="Times New Roman"/>
          <w:i/>
          <w:sz w:val="20"/>
          <w:szCs w:val="20"/>
        </w:rPr>
        <w:t>speech act content</w:t>
      </w:r>
      <w:r w:rsidR="005B731E">
        <w:rPr>
          <w:rFonts w:ascii="Verdana" w:eastAsia="Times New Roman" w:hAnsi="Verdana" w:cs="Times New Roman"/>
          <w:sz w:val="20"/>
          <w:szCs w:val="20"/>
        </w:rPr>
        <w:t xml:space="preserve">. The discrepancy between </w:t>
      </w:r>
      <w:r w:rsidR="006E430E">
        <w:rPr>
          <w:rFonts w:ascii="Verdana" w:eastAsia="Times New Roman" w:hAnsi="Verdana" w:cs="Times New Roman"/>
          <w:sz w:val="20"/>
          <w:szCs w:val="20"/>
        </w:rPr>
        <w:t>t</w:t>
      </w:r>
      <w:r w:rsidR="005B731E">
        <w:rPr>
          <w:rFonts w:ascii="Verdana" w:eastAsia="Times New Roman" w:hAnsi="Verdana" w:cs="Times New Roman"/>
          <w:sz w:val="20"/>
          <w:szCs w:val="20"/>
        </w:rPr>
        <w:t>he two allows us to say something true when we say, e.g., that marriage has changed, or that families have changed, or that women have changed. In none of these cases will the semantic content of the utterance be true; but the content of the speech act can come out as true nonetheless</w:t>
      </w:r>
      <w:r w:rsidR="00DE0B3A">
        <w:rPr>
          <w:rFonts w:ascii="Verdana" w:eastAsia="Times New Roman" w:hAnsi="Verdana" w:cs="Times New Roman"/>
          <w:sz w:val="20"/>
          <w:szCs w:val="20"/>
        </w:rPr>
        <w:t xml:space="preserve"> (138). A background assumption of this view (defended in Cappelen and Lepore 2005) is that actual utterances express a very large number of propositions, only one of them being the proposition semantically expressed</w:t>
      </w:r>
      <w:r w:rsidR="006E430E">
        <w:rPr>
          <w:rFonts w:ascii="Verdana" w:eastAsia="Times New Roman" w:hAnsi="Verdana" w:cs="Times New Roman"/>
          <w:sz w:val="20"/>
          <w:szCs w:val="20"/>
        </w:rPr>
        <w:t xml:space="preserve"> (139, n.3).</w:t>
      </w:r>
    </w:p>
    <w:p w14:paraId="76E828F9" w14:textId="6464183B" w:rsidR="00DC0B4A" w:rsidRDefault="006A3741" w:rsidP="008C1D75">
      <w:pPr>
        <w:spacing w:after="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T</w:t>
      </w:r>
      <w:r w:rsidR="006E430E">
        <w:rPr>
          <w:rFonts w:ascii="Verdana" w:eastAsia="Times New Roman" w:hAnsi="Verdana" w:cs="Times New Roman"/>
          <w:sz w:val="20"/>
          <w:szCs w:val="20"/>
        </w:rPr>
        <w:t xml:space="preserve">his view </w:t>
      </w:r>
      <w:r>
        <w:rPr>
          <w:rFonts w:ascii="Verdana" w:eastAsia="Times New Roman" w:hAnsi="Verdana" w:cs="Times New Roman"/>
          <w:sz w:val="20"/>
          <w:szCs w:val="20"/>
        </w:rPr>
        <w:t xml:space="preserve">strikes me as </w:t>
      </w:r>
      <w:r w:rsidR="006E430E">
        <w:rPr>
          <w:rFonts w:ascii="Verdana" w:eastAsia="Times New Roman" w:hAnsi="Verdana" w:cs="Times New Roman"/>
          <w:sz w:val="20"/>
          <w:szCs w:val="20"/>
        </w:rPr>
        <w:t xml:space="preserve">puzzling for a number of reasons. For one, </w:t>
      </w:r>
      <w:r>
        <w:rPr>
          <w:rFonts w:ascii="Verdana" w:eastAsia="Times New Roman" w:hAnsi="Verdana" w:cs="Times New Roman"/>
          <w:sz w:val="20"/>
          <w:szCs w:val="20"/>
        </w:rPr>
        <w:t>it would be good to</w:t>
      </w:r>
      <w:r w:rsidR="006E430E">
        <w:rPr>
          <w:rFonts w:ascii="Verdana" w:eastAsia="Times New Roman" w:hAnsi="Verdana" w:cs="Times New Roman"/>
          <w:sz w:val="20"/>
          <w:szCs w:val="20"/>
        </w:rPr>
        <w:t xml:space="preserve"> hear more about the supposed mechanism which determines whether or not a given proposition counts as being expressed by an utterance. If a given utterance expresses a very large number of propositions, with the </w:t>
      </w:r>
      <w:r w:rsidR="00A563C6">
        <w:rPr>
          <w:rFonts w:ascii="Verdana" w:eastAsia="Times New Roman" w:hAnsi="Verdana" w:cs="Times New Roman"/>
          <w:sz w:val="20"/>
          <w:szCs w:val="20"/>
        </w:rPr>
        <w:t xml:space="preserve">semantically expressed </w:t>
      </w:r>
      <w:r w:rsidR="006E430E">
        <w:rPr>
          <w:rFonts w:ascii="Verdana" w:eastAsia="Times New Roman" w:hAnsi="Verdana" w:cs="Times New Roman"/>
          <w:sz w:val="20"/>
          <w:szCs w:val="20"/>
        </w:rPr>
        <w:t xml:space="preserve">proposition being just one of them, then which </w:t>
      </w:r>
      <w:r w:rsidR="009B71CD">
        <w:rPr>
          <w:rFonts w:ascii="Verdana" w:eastAsia="Times New Roman" w:hAnsi="Verdana" w:cs="Times New Roman"/>
          <w:sz w:val="20"/>
          <w:szCs w:val="20"/>
        </w:rPr>
        <w:t>other</w:t>
      </w:r>
      <w:r w:rsidR="00A563C6">
        <w:rPr>
          <w:rFonts w:ascii="Verdana" w:eastAsia="Times New Roman" w:hAnsi="Verdana" w:cs="Times New Roman"/>
          <w:sz w:val="20"/>
          <w:szCs w:val="20"/>
        </w:rPr>
        <w:t>s are and are not expressed by it</w:t>
      </w:r>
      <w:r w:rsidR="006E430E">
        <w:rPr>
          <w:rFonts w:ascii="Verdana" w:eastAsia="Times New Roman" w:hAnsi="Verdana" w:cs="Times New Roman"/>
          <w:sz w:val="20"/>
          <w:szCs w:val="20"/>
        </w:rPr>
        <w:t xml:space="preserve">? </w:t>
      </w:r>
      <w:r w:rsidR="009B71CD">
        <w:rPr>
          <w:rFonts w:ascii="Verdana" w:eastAsia="Times New Roman" w:hAnsi="Verdana" w:cs="Times New Roman"/>
          <w:sz w:val="20"/>
          <w:szCs w:val="20"/>
        </w:rPr>
        <w:t xml:space="preserve">Unfortunately, Cappelen’s brief description of the view in </w:t>
      </w:r>
      <w:r w:rsidR="009B71CD" w:rsidRPr="009B71CD">
        <w:rPr>
          <w:rFonts w:ascii="Verdana" w:eastAsia="Times New Roman" w:hAnsi="Verdana" w:cs="Times New Roman"/>
          <w:i/>
          <w:sz w:val="20"/>
          <w:szCs w:val="20"/>
        </w:rPr>
        <w:t xml:space="preserve">Fixing Language </w:t>
      </w:r>
      <w:r w:rsidR="009B71CD">
        <w:rPr>
          <w:rFonts w:ascii="Verdana" w:eastAsia="Times New Roman" w:hAnsi="Verdana" w:cs="Times New Roman"/>
          <w:sz w:val="20"/>
          <w:szCs w:val="20"/>
        </w:rPr>
        <w:t xml:space="preserve">does not offer much to settle this question. Moreover, Cappelen does not give us an explicit characterization of the proposition expressed by utterances such as “families have changed” which can be both salient and true in certain contexts. </w:t>
      </w:r>
      <w:r>
        <w:rPr>
          <w:rFonts w:ascii="Verdana" w:eastAsia="Times New Roman" w:hAnsi="Verdana" w:cs="Times New Roman"/>
          <w:sz w:val="20"/>
          <w:szCs w:val="20"/>
        </w:rPr>
        <w:t xml:space="preserve">Two possible readings come to mind: </w:t>
      </w:r>
      <w:r w:rsidR="00426A80">
        <w:rPr>
          <w:rFonts w:ascii="Verdana" w:eastAsia="Times New Roman" w:hAnsi="Verdana" w:cs="Times New Roman"/>
          <w:sz w:val="20"/>
          <w:szCs w:val="20"/>
        </w:rPr>
        <w:t xml:space="preserve">On one </w:t>
      </w:r>
      <w:r w:rsidR="00DF7D83">
        <w:rPr>
          <w:rFonts w:ascii="Verdana" w:eastAsia="Times New Roman" w:hAnsi="Verdana" w:cs="Times New Roman"/>
          <w:sz w:val="20"/>
          <w:szCs w:val="20"/>
        </w:rPr>
        <w:t>reading</w:t>
      </w:r>
      <w:r w:rsidR="00426A80">
        <w:rPr>
          <w:rFonts w:ascii="Verdana" w:eastAsia="Times New Roman" w:hAnsi="Verdana" w:cs="Times New Roman"/>
          <w:sz w:val="20"/>
          <w:szCs w:val="20"/>
        </w:rPr>
        <w:t>,</w:t>
      </w:r>
      <w:r w:rsidR="009B71CD">
        <w:rPr>
          <w:rFonts w:ascii="Verdana" w:eastAsia="Times New Roman" w:hAnsi="Verdana" w:cs="Times New Roman"/>
          <w:sz w:val="20"/>
          <w:szCs w:val="20"/>
        </w:rPr>
        <w:t xml:space="preserve"> </w:t>
      </w:r>
      <w:r w:rsidR="00426A80">
        <w:rPr>
          <w:rFonts w:ascii="Verdana" w:eastAsia="Times New Roman" w:hAnsi="Verdana" w:cs="Times New Roman"/>
          <w:sz w:val="20"/>
          <w:szCs w:val="20"/>
        </w:rPr>
        <w:t>the idea is</w:t>
      </w:r>
      <w:r w:rsidR="009B71CD">
        <w:rPr>
          <w:rFonts w:ascii="Verdana" w:eastAsia="Times New Roman" w:hAnsi="Verdana" w:cs="Times New Roman"/>
          <w:sz w:val="20"/>
          <w:szCs w:val="20"/>
        </w:rPr>
        <w:t xml:space="preserve"> that, in certain context</w:t>
      </w:r>
      <w:r w:rsidR="00426A80">
        <w:rPr>
          <w:rFonts w:ascii="Verdana" w:eastAsia="Times New Roman" w:hAnsi="Verdana" w:cs="Times New Roman"/>
          <w:sz w:val="20"/>
          <w:szCs w:val="20"/>
        </w:rPr>
        <w:t>s</w:t>
      </w:r>
      <w:r w:rsidR="009B71CD">
        <w:rPr>
          <w:rFonts w:ascii="Verdana" w:eastAsia="Times New Roman" w:hAnsi="Verdana" w:cs="Times New Roman"/>
          <w:sz w:val="20"/>
          <w:szCs w:val="20"/>
        </w:rPr>
        <w:t xml:space="preserve">, people can use an utterance formulated on the object-level to express a </w:t>
      </w:r>
      <w:r w:rsidR="009B71CD" w:rsidRPr="008C1D75">
        <w:rPr>
          <w:rFonts w:ascii="Verdana" w:eastAsia="Times New Roman" w:hAnsi="Verdana" w:cs="Times New Roman"/>
          <w:i/>
          <w:sz w:val="20"/>
          <w:szCs w:val="20"/>
        </w:rPr>
        <w:t>metalinguistic</w:t>
      </w:r>
      <w:r w:rsidR="009B71CD">
        <w:rPr>
          <w:rFonts w:ascii="Verdana" w:eastAsia="Times New Roman" w:hAnsi="Verdana" w:cs="Times New Roman"/>
          <w:sz w:val="20"/>
          <w:szCs w:val="20"/>
        </w:rPr>
        <w:t xml:space="preserve"> statement such as “the meaning of the word ‘family’ has changed”. </w:t>
      </w:r>
      <w:r w:rsidR="008C1D75">
        <w:rPr>
          <w:rFonts w:ascii="Verdana" w:eastAsia="Times New Roman" w:hAnsi="Verdana" w:cs="Times New Roman"/>
          <w:sz w:val="20"/>
          <w:szCs w:val="20"/>
        </w:rPr>
        <w:t>I</w:t>
      </w:r>
      <w:r w:rsidR="009B71CD">
        <w:rPr>
          <w:rFonts w:ascii="Verdana" w:eastAsia="Times New Roman" w:hAnsi="Verdana" w:cs="Times New Roman"/>
          <w:sz w:val="20"/>
          <w:szCs w:val="20"/>
        </w:rPr>
        <w:t xml:space="preserve">t is unlikely that </w:t>
      </w:r>
      <w:r w:rsidR="008C1D75">
        <w:rPr>
          <w:rFonts w:ascii="Verdana" w:eastAsia="Times New Roman" w:hAnsi="Verdana" w:cs="Times New Roman"/>
          <w:sz w:val="20"/>
          <w:szCs w:val="20"/>
        </w:rPr>
        <w:t>this is Cappelen’s intended reading, though</w:t>
      </w:r>
      <w:r w:rsidR="003A62FD">
        <w:rPr>
          <w:rFonts w:ascii="Verdana" w:eastAsia="Times New Roman" w:hAnsi="Verdana" w:cs="Times New Roman"/>
          <w:sz w:val="20"/>
          <w:szCs w:val="20"/>
        </w:rPr>
        <w:t>.</w:t>
      </w:r>
      <w:r w:rsidR="009B71CD">
        <w:rPr>
          <w:rFonts w:ascii="Verdana" w:eastAsia="Times New Roman" w:hAnsi="Verdana" w:cs="Times New Roman"/>
          <w:sz w:val="20"/>
          <w:szCs w:val="20"/>
        </w:rPr>
        <w:t xml:space="preserve"> </w:t>
      </w:r>
      <w:r w:rsidR="008C1D75">
        <w:rPr>
          <w:rFonts w:ascii="Verdana" w:eastAsia="Times New Roman" w:hAnsi="Verdana" w:cs="Times New Roman"/>
          <w:sz w:val="20"/>
          <w:szCs w:val="20"/>
        </w:rPr>
        <w:t>I</w:t>
      </w:r>
      <w:r>
        <w:rPr>
          <w:rFonts w:ascii="Verdana" w:eastAsia="Times New Roman" w:hAnsi="Verdana" w:cs="Times New Roman"/>
          <w:sz w:val="20"/>
          <w:szCs w:val="20"/>
        </w:rPr>
        <w:t xml:space="preserve">n his discussion of metalinguistic negotiations in part V, </w:t>
      </w:r>
      <w:r w:rsidR="009B71CD">
        <w:rPr>
          <w:rFonts w:ascii="Verdana" w:eastAsia="Times New Roman" w:hAnsi="Verdana" w:cs="Times New Roman"/>
          <w:sz w:val="20"/>
          <w:szCs w:val="20"/>
        </w:rPr>
        <w:t xml:space="preserve">he </w:t>
      </w:r>
      <w:r w:rsidR="00DC0B4A">
        <w:rPr>
          <w:rFonts w:ascii="Verdana" w:eastAsia="Times New Roman" w:hAnsi="Verdana" w:cs="Times New Roman"/>
          <w:sz w:val="20"/>
          <w:szCs w:val="20"/>
        </w:rPr>
        <w:t>opposes</w:t>
      </w:r>
      <w:r w:rsidR="00DC0B4A" w:rsidRPr="00DC0B4A">
        <w:rPr>
          <w:rFonts w:ascii="Verdana" w:eastAsia="Times New Roman" w:hAnsi="Verdana" w:cs="Times New Roman"/>
          <w:sz w:val="20"/>
          <w:szCs w:val="20"/>
        </w:rPr>
        <w:t xml:space="preserve"> the idea that sentences formulated on the object-level should be given a metalinguistic reading</w:t>
      </w:r>
      <w:r>
        <w:rPr>
          <w:rFonts w:ascii="Verdana" w:eastAsia="Times New Roman" w:hAnsi="Verdana" w:cs="Times New Roman"/>
          <w:sz w:val="20"/>
          <w:szCs w:val="20"/>
        </w:rPr>
        <w:t xml:space="preserve"> (172)</w:t>
      </w:r>
      <w:r w:rsidR="00DC0B4A" w:rsidRPr="00DC0B4A">
        <w:rPr>
          <w:rFonts w:ascii="Verdana" w:eastAsia="Times New Roman" w:hAnsi="Verdana" w:cs="Times New Roman"/>
          <w:sz w:val="20"/>
          <w:szCs w:val="20"/>
        </w:rPr>
        <w:t xml:space="preserve">. </w:t>
      </w:r>
      <w:r w:rsidR="00DC0B4A">
        <w:rPr>
          <w:rFonts w:ascii="Verdana" w:eastAsia="Times New Roman" w:hAnsi="Verdana" w:cs="Times New Roman"/>
          <w:sz w:val="20"/>
          <w:szCs w:val="20"/>
        </w:rPr>
        <w:t xml:space="preserve">On another reading, </w:t>
      </w:r>
      <w:r w:rsidR="008C1D75">
        <w:rPr>
          <w:rFonts w:ascii="Verdana" w:eastAsia="Times New Roman" w:hAnsi="Verdana" w:cs="Times New Roman"/>
          <w:sz w:val="20"/>
          <w:szCs w:val="20"/>
        </w:rPr>
        <w:t>the</w:t>
      </w:r>
      <w:r w:rsidR="009A1695">
        <w:rPr>
          <w:rFonts w:ascii="Verdana" w:eastAsia="Times New Roman" w:hAnsi="Verdana" w:cs="Times New Roman"/>
          <w:sz w:val="20"/>
          <w:szCs w:val="20"/>
        </w:rPr>
        <w:t xml:space="preserve"> relevant true proposition expressed by “families have changed” is not metalinguistic, but about </w:t>
      </w:r>
      <w:r w:rsidR="009A1695" w:rsidRPr="008C1D75">
        <w:rPr>
          <w:rFonts w:ascii="Verdana" w:eastAsia="Times New Roman" w:hAnsi="Verdana" w:cs="Times New Roman"/>
          <w:i/>
          <w:sz w:val="20"/>
          <w:szCs w:val="20"/>
        </w:rPr>
        <w:t>topics</w:t>
      </w:r>
      <w:r w:rsidR="009A1695">
        <w:rPr>
          <w:rFonts w:ascii="Verdana" w:eastAsia="Times New Roman" w:hAnsi="Verdana" w:cs="Times New Roman"/>
          <w:sz w:val="20"/>
          <w:szCs w:val="20"/>
        </w:rPr>
        <w:t xml:space="preserve">. </w:t>
      </w:r>
      <w:r w:rsidR="000F4C10">
        <w:rPr>
          <w:rFonts w:ascii="Verdana" w:eastAsia="Times New Roman" w:hAnsi="Verdana" w:cs="Times New Roman"/>
          <w:sz w:val="20"/>
          <w:szCs w:val="20"/>
        </w:rPr>
        <w:t>To recall</w:t>
      </w:r>
      <w:r w:rsidR="009A1695">
        <w:rPr>
          <w:rFonts w:ascii="Verdana" w:eastAsia="Times New Roman" w:hAnsi="Verdana" w:cs="Times New Roman"/>
          <w:sz w:val="20"/>
          <w:szCs w:val="20"/>
        </w:rPr>
        <w:t xml:space="preserve">, Cappelen’s idea is that topics are more coarse-grained than semantic values, such that they can be preserved through semantic revision. </w:t>
      </w:r>
      <w:r w:rsidR="008C1D75">
        <w:rPr>
          <w:rFonts w:ascii="Verdana" w:eastAsia="Times New Roman" w:hAnsi="Verdana" w:cs="Times New Roman"/>
          <w:sz w:val="20"/>
          <w:szCs w:val="20"/>
        </w:rPr>
        <w:t>W</w:t>
      </w:r>
      <w:r w:rsidR="009A1695">
        <w:rPr>
          <w:rFonts w:ascii="Verdana" w:eastAsia="Times New Roman" w:hAnsi="Verdana" w:cs="Times New Roman"/>
          <w:sz w:val="20"/>
          <w:szCs w:val="20"/>
        </w:rPr>
        <w:t xml:space="preserve">hat speaks against this reading is that it renders the utterance in question </w:t>
      </w:r>
      <w:r w:rsidR="00426A80">
        <w:rPr>
          <w:rFonts w:ascii="Verdana" w:eastAsia="Times New Roman" w:hAnsi="Verdana" w:cs="Times New Roman"/>
          <w:sz w:val="20"/>
          <w:szCs w:val="20"/>
        </w:rPr>
        <w:t xml:space="preserve">either </w:t>
      </w:r>
      <w:r w:rsidR="009A1695">
        <w:rPr>
          <w:rFonts w:ascii="Verdana" w:eastAsia="Times New Roman" w:hAnsi="Verdana" w:cs="Times New Roman"/>
          <w:sz w:val="20"/>
          <w:szCs w:val="20"/>
        </w:rPr>
        <w:t>false</w:t>
      </w:r>
      <w:r w:rsidR="00426A80">
        <w:rPr>
          <w:rFonts w:ascii="Verdana" w:eastAsia="Times New Roman" w:hAnsi="Verdana" w:cs="Times New Roman"/>
          <w:sz w:val="20"/>
          <w:szCs w:val="20"/>
        </w:rPr>
        <w:t xml:space="preserve"> or nonsensical</w:t>
      </w:r>
      <w:r w:rsidR="009A1695">
        <w:rPr>
          <w:rFonts w:ascii="Verdana" w:eastAsia="Times New Roman" w:hAnsi="Verdana" w:cs="Times New Roman"/>
          <w:sz w:val="20"/>
          <w:szCs w:val="20"/>
        </w:rPr>
        <w:t xml:space="preserve">. </w:t>
      </w:r>
      <w:r w:rsidR="00426A80">
        <w:rPr>
          <w:rFonts w:ascii="Verdana" w:eastAsia="Times New Roman" w:hAnsi="Verdana" w:cs="Times New Roman"/>
          <w:sz w:val="20"/>
          <w:szCs w:val="20"/>
        </w:rPr>
        <w:t>If the imagined revision of ‘family’ is topic-preserving, then the ‘topic-reading’ of “families have changed” is meaningful but false: the topic of ‘family’ hasn’t changed. If the imagined revision of ‘family’ is not topic-preserving, then the ‘topic-reading’ of “families have changed” is nonsensical</w:t>
      </w:r>
      <w:r w:rsidR="008C1D75">
        <w:rPr>
          <w:rFonts w:ascii="Verdana" w:eastAsia="Times New Roman" w:hAnsi="Verdana" w:cs="Times New Roman"/>
          <w:sz w:val="20"/>
          <w:szCs w:val="20"/>
        </w:rPr>
        <w:t>:</w:t>
      </w:r>
      <w:r w:rsidR="00426A80">
        <w:rPr>
          <w:rFonts w:ascii="Verdana" w:eastAsia="Times New Roman" w:hAnsi="Verdana" w:cs="Times New Roman"/>
          <w:sz w:val="20"/>
          <w:szCs w:val="20"/>
        </w:rPr>
        <w:t xml:space="preserve"> there isn’t a single topic about which this claim could be made.</w:t>
      </w:r>
      <w:r w:rsidR="003D544D">
        <w:rPr>
          <w:rFonts w:ascii="Verdana" w:eastAsia="Times New Roman" w:hAnsi="Verdana" w:cs="Times New Roman"/>
          <w:sz w:val="20"/>
          <w:szCs w:val="20"/>
        </w:rPr>
        <w:t xml:space="preserve"> </w:t>
      </w:r>
      <w:r w:rsidR="008C1D75">
        <w:rPr>
          <w:rFonts w:ascii="Verdana" w:eastAsia="Times New Roman" w:hAnsi="Verdana" w:cs="Times New Roman"/>
          <w:sz w:val="20"/>
          <w:szCs w:val="20"/>
        </w:rPr>
        <w:t>Therefore</w:t>
      </w:r>
      <w:r w:rsidR="00482930">
        <w:rPr>
          <w:rFonts w:ascii="Verdana" w:eastAsia="Times New Roman" w:hAnsi="Verdana" w:cs="Times New Roman"/>
          <w:sz w:val="20"/>
          <w:szCs w:val="20"/>
        </w:rPr>
        <w:t>, it seems</w:t>
      </w:r>
      <w:r w:rsidR="008C1D75">
        <w:rPr>
          <w:rFonts w:ascii="Verdana" w:eastAsia="Times New Roman" w:hAnsi="Verdana" w:cs="Times New Roman"/>
          <w:sz w:val="20"/>
          <w:szCs w:val="20"/>
        </w:rPr>
        <w:t xml:space="preserve"> unclear how to interpret </w:t>
      </w:r>
      <w:r w:rsidR="008C1D75" w:rsidRPr="008C1D75">
        <w:rPr>
          <w:rFonts w:ascii="Verdana" w:eastAsia="Times New Roman" w:hAnsi="Verdana" w:cs="Times New Roman"/>
          <w:i/>
          <w:sz w:val="20"/>
          <w:szCs w:val="20"/>
        </w:rPr>
        <w:t>Worldliness</w:t>
      </w:r>
      <w:r w:rsidR="008C1D75">
        <w:rPr>
          <w:rFonts w:ascii="Verdana" w:eastAsia="Times New Roman" w:hAnsi="Verdana" w:cs="Times New Roman"/>
          <w:sz w:val="20"/>
          <w:szCs w:val="20"/>
        </w:rPr>
        <w:t xml:space="preserve"> in a plausible and coherent fashion. </w:t>
      </w:r>
    </w:p>
    <w:p w14:paraId="7594EE83" w14:textId="3D51AC24" w:rsidR="00DF31F1" w:rsidRDefault="008C1D75" w:rsidP="00143805">
      <w:pPr>
        <w:spacing w:after="120" w:line="240" w:lineRule="auto"/>
        <w:ind w:firstLine="708"/>
        <w:rPr>
          <w:rFonts w:ascii="Verdana" w:eastAsia="Times New Roman" w:hAnsi="Verdana" w:cs="Times New Roman"/>
          <w:sz w:val="20"/>
          <w:szCs w:val="20"/>
        </w:rPr>
      </w:pPr>
      <w:r>
        <w:rPr>
          <w:rFonts w:ascii="Verdana" w:eastAsia="Times New Roman" w:hAnsi="Verdana" w:cs="Times New Roman"/>
          <w:sz w:val="20"/>
          <w:szCs w:val="20"/>
        </w:rPr>
        <w:t xml:space="preserve">This concludes my </w:t>
      </w:r>
      <w:r w:rsidR="001126A4">
        <w:rPr>
          <w:rFonts w:ascii="Verdana" w:eastAsia="Times New Roman" w:hAnsi="Verdana" w:cs="Times New Roman"/>
          <w:sz w:val="20"/>
          <w:szCs w:val="20"/>
        </w:rPr>
        <w:t xml:space="preserve">critical </w:t>
      </w:r>
      <w:r>
        <w:rPr>
          <w:rFonts w:ascii="Verdana" w:eastAsia="Times New Roman" w:hAnsi="Verdana" w:cs="Times New Roman"/>
          <w:sz w:val="20"/>
          <w:szCs w:val="20"/>
        </w:rPr>
        <w:t xml:space="preserve">assessment of the </w:t>
      </w:r>
      <w:r w:rsidR="001126A4">
        <w:rPr>
          <w:rFonts w:ascii="Verdana" w:eastAsia="Times New Roman" w:hAnsi="Verdana" w:cs="Times New Roman"/>
          <w:sz w:val="20"/>
          <w:szCs w:val="20"/>
        </w:rPr>
        <w:t xml:space="preserve">main </w:t>
      </w:r>
      <w:r>
        <w:rPr>
          <w:rFonts w:ascii="Verdana" w:eastAsia="Times New Roman" w:hAnsi="Verdana" w:cs="Times New Roman"/>
          <w:sz w:val="20"/>
          <w:szCs w:val="20"/>
        </w:rPr>
        <w:t xml:space="preserve">views defended in </w:t>
      </w:r>
      <w:r w:rsidRPr="008C1D75">
        <w:rPr>
          <w:rFonts w:ascii="Verdana" w:eastAsia="Times New Roman" w:hAnsi="Verdana" w:cs="Times New Roman"/>
          <w:i/>
          <w:sz w:val="20"/>
          <w:szCs w:val="20"/>
        </w:rPr>
        <w:t>Fixing Language</w:t>
      </w:r>
      <w:r w:rsidR="00DF31F1" w:rsidRPr="001F789C">
        <w:rPr>
          <w:rFonts w:ascii="Verdana" w:eastAsia="Times New Roman" w:hAnsi="Verdana" w:cs="Times New Roman"/>
          <w:sz w:val="20"/>
          <w:szCs w:val="20"/>
        </w:rPr>
        <w:t xml:space="preserve">. </w:t>
      </w:r>
      <w:r w:rsidR="00AE09ED" w:rsidRPr="001F789C">
        <w:rPr>
          <w:rFonts w:ascii="Verdana" w:eastAsia="Times New Roman" w:hAnsi="Verdana" w:cs="Times New Roman"/>
          <w:sz w:val="20"/>
          <w:szCs w:val="20"/>
        </w:rPr>
        <w:t>As became clear above, I tend to disagree with some of t</w:t>
      </w:r>
      <w:r>
        <w:rPr>
          <w:rFonts w:ascii="Verdana" w:eastAsia="Times New Roman" w:hAnsi="Verdana" w:cs="Times New Roman"/>
          <w:sz w:val="20"/>
          <w:szCs w:val="20"/>
        </w:rPr>
        <w:t>hem</w:t>
      </w:r>
      <w:r w:rsidR="00AE09ED" w:rsidRPr="001F789C">
        <w:rPr>
          <w:rFonts w:ascii="Verdana" w:eastAsia="Times New Roman" w:hAnsi="Verdana" w:cs="Times New Roman"/>
          <w:sz w:val="20"/>
          <w:szCs w:val="20"/>
        </w:rPr>
        <w:t xml:space="preserve">: </w:t>
      </w:r>
      <w:r w:rsidR="00143805">
        <w:rPr>
          <w:rFonts w:ascii="Verdana" w:eastAsia="Times New Roman" w:hAnsi="Verdana" w:cs="Times New Roman"/>
          <w:sz w:val="20"/>
          <w:szCs w:val="20"/>
        </w:rPr>
        <w:t xml:space="preserve">to my mind, </w:t>
      </w:r>
      <w:r w:rsidR="00AE09ED" w:rsidRPr="001F789C">
        <w:rPr>
          <w:rFonts w:ascii="Verdana" w:eastAsia="Times New Roman" w:hAnsi="Verdana" w:cs="Times New Roman"/>
          <w:sz w:val="20"/>
          <w:szCs w:val="20"/>
        </w:rPr>
        <w:t xml:space="preserve">the </w:t>
      </w:r>
      <w:r w:rsidR="001F789C" w:rsidRPr="001F789C">
        <w:rPr>
          <w:rFonts w:ascii="Verdana" w:eastAsia="Times New Roman" w:hAnsi="Verdana" w:cs="Times New Roman"/>
          <w:sz w:val="20"/>
          <w:szCs w:val="20"/>
        </w:rPr>
        <w:t xml:space="preserve">conclusion of the </w:t>
      </w:r>
      <w:r w:rsidR="001F789C" w:rsidRPr="001F789C">
        <w:rPr>
          <w:rFonts w:ascii="Verdana" w:eastAsia="Times New Roman" w:hAnsi="Verdana" w:cs="Times New Roman"/>
          <w:i/>
          <w:sz w:val="20"/>
          <w:szCs w:val="20"/>
        </w:rPr>
        <w:t>Anti-Descriptive Argument</w:t>
      </w:r>
      <w:r w:rsidR="00AE09ED" w:rsidRPr="001F789C">
        <w:rPr>
          <w:rFonts w:ascii="Verdana" w:eastAsia="Times New Roman" w:hAnsi="Verdana" w:cs="Times New Roman"/>
          <w:sz w:val="20"/>
          <w:szCs w:val="20"/>
        </w:rPr>
        <w:t xml:space="preserve"> seems exaggerated</w:t>
      </w:r>
      <w:r w:rsidR="001F789C" w:rsidRPr="001F789C">
        <w:rPr>
          <w:rFonts w:ascii="Verdana" w:eastAsia="Times New Roman" w:hAnsi="Verdana" w:cs="Times New Roman"/>
          <w:sz w:val="20"/>
          <w:szCs w:val="20"/>
        </w:rPr>
        <w:t>;</w:t>
      </w:r>
      <w:r w:rsidR="00AE09ED" w:rsidRPr="001F789C">
        <w:rPr>
          <w:rFonts w:ascii="Verdana" w:eastAsia="Times New Roman" w:hAnsi="Verdana" w:cs="Times New Roman"/>
          <w:sz w:val="20"/>
          <w:szCs w:val="20"/>
        </w:rPr>
        <w:t xml:space="preserve"> the </w:t>
      </w:r>
      <w:r w:rsidR="00AE09ED" w:rsidRPr="001F789C">
        <w:rPr>
          <w:rFonts w:ascii="Verdana" w:eastAsia="Times New Roman" w:hAnsi="Verdana" w:cs="Times New Roman"/>
          <w:i/>
          <w:sz w:val="20"/>
          <w:szCs w:val="20"/>
        </w:rPr>
        <w:t>Inscrutable – Lack of Control –</w:t>
      </w:r>
      <w:r w:rsidR="00AE09ED" w:rsidRPr="001F789C">
        <w:rPr>
          <w:rFonts w:ascii="Verdana" w:eastAsia="Times New Roman" w:hAnsi="Verdana" w:cs="Times New Roman"/>
          <w:sz w:val="20"/>
          <w:szCs w:val="20"/>
        </w:rPr>
        <w:t xml:space="preserve"> </w:t>
      </w:r>
      <w:r w:rsidR="00AE09ED" w:rsidRPr="001F789C">
        <w:rPr>
          <w:rFonts w:ascii="Verdana" w:eastAsia="Times New Roman" w:hAnsi="Verdana" w:cs="Times New Roman"/>
          <w:i/>
          <w:sz w:val="20"/>
          <w:szCs w:val="20"/>
        </w:rPr>
        <w:t>Will Keep Trying</w:t>
      </w:r>
      <w:r w:rsidR="00AE09ED" w:rsidRPr="001F789C">
        <w:rPr>
          <w:rFonts w:ascii="Verdana" w:eastAsia="Times New Roman" w:hAnsi="Verdana" w:cs="Times New Roman"/>
          <w:sz w:val="20"/>
          <w:szCs w:val="20"/>
        </w:rPr>
        <w:t xml:space="preserve"> thesis seems to undermine the </w:t>
      </w:r>
      <w:r w:rsidR="001F789C" w:rsidRPr="001F789C">
        <w:rPr>
          <w:rFonts w:ascii="Verdana" w:eastAsia="Times New Roman" w:hAnsi="Verdana" w:cs="Times New Roman"/>
          <w:sz w:val="20"/>
          <w:szCs w:val="20"/>
        </w:rPr>
        <w:t>significance</w:t>
      </w:r>
      <w:r w:rsidR="00AE09ED" w:rsidRPr="001F789C">
        <w:rPr>
          <w:rFonts w:ascii="Verdana" w:eastAsia="Times New Roman" w:hAnsi="Verdana" w:cs="Times New Roman"/>
          <w:sz w:val="20"/>
          <w:szCs w:val="20"/>
        </w:rPr>
        <w:t xml:space="preserve"> of conceptual engineering</w:t>
      </w:r>
      <w:r w:rsidR="001F789C" w:rsidRPr="001F789C">
        <w:rPr>
          <w:rFonts w:ascii="Verdana" w:eastAsia="Times New Roman" w:hAnsi="Verdana" w:cs="Times New Roman"/>
          <w:sz w:val="20"/>
          <w:szCs w:val="20"/>
        </w:rPr>
        <w:t xml:space="preserve"> and underestimates the </w:t>
      </w:r>
      <w:r w:rsidR="001126A4">
        <w:rPr>
          <w:rFonts w:ascii="Verdana" w:eastAsia="Times New Roman" w:hAnsi="Verdana" w:cs="Times New Roman"/>
          <w:sz w:val="20"/>
          <w:szCs w:val="20"/>
        </w:rPr>
        <w:t xml:space="preserve">collective </w:t>
      </w:r>
      <w:r w:rsidR="001F789C" w:rsidRPr="001F789C">
        <w:rPr>
          <w:rFonts w:ascii="Verdana" w:eastAsia="Times New Roman" w:hAnsi="Verdana" w:cs="Times New Roman"/>
          <w:sz w:val="20"/>
          <w:szCs w:val="20"/>
        </w:rPr>
        <w:t xml:space="preserve">meaning control of speakers; the data supporting </w:t>
      </w:r>
      <w:r w:rsidR="001F789C" w:rsidRPr="001F789C">
        <w:rPr>
          <w:rFonts w:ascii="Verdana" w:eastAsia="Times New Roman" w:hAnsi="Verdana" w:cs="Times New Roman"/>
          <w:i/>
          <w:sz w:val="20"/>
          <w:szCs w:val="20"/>
        </w:rPr>
        <w:t>Coarse-Grainedness</w:t>
      </w:r>
      <w:r w:rsidR="001F789C" w:rsidRPr="001F789C">
        <w:rPr>
          <w:rFonts w:ascii="Verdana" w:eastAsia="Times New Roman" w:hAnsi="Verdana" w:cs="Times New Roman"/>
          <w:sz w:val="20"/>
          <w:szCs w:val="20"/>
        </w:rPr>
        <w:t xml:space="preserve"> are less suggestive than Cappelen takes them to be; and </w:t>
      </w:r>
      <w:r w:rsidR="00143805">
        <w:rPr>
          <w:rFonts w:ascii="Verdana" w:eastAsia="Times New Roman" w:hAnsi="Verdana" w:cs="Times New Roman"/>
          <w:sz w:val="20"/>
          <w:szCs w:val="20"/>
        </w:rPr>
        <w:t xml:space="preserve">I find </w:t>
      </w:r>
      <w:r w:rsidR="001F789C" w:rsidRPr="001F789C">
        <w:rPr>
          <w:rFonts w:ascii="Verdana" w:eastAsia="Times New Roman" w:hAnsi="Verdana" w:cs="Times New Roman"/>
          <w:sz w:val="20"/>
          <w:szCs w:val="20"/>
        </w:rPr>
        <w:t xml:space="preserve">it difficult to wrap </w:t>
      </w:r>
      <w:r w:rsidR="00143805">
        <w:rPr>
          <w:rFonts w:ascii="Verdana" w:eastAsia="Times New Roman" w:hAnsi="Verdana" w:cs="Times New Roman"/>
          <w:sz w:val="20"/>
          <w:szCs w:val="20"/>
        </w:rPr>
        <w:t>my</w:t>
      </w:r>
      <w:r w:rsidR="001F789C" w:rsidRPr="001F789C">
        <w:rPr>
          <w:rFonts w:ascii="Verdana" w:eastAsia="Times New Roman" w:hAnsi="Verdana" w:cs="Times New Roman"/>
          <w:sz w:val="20"/>
          <w:szCs w:val="20"/>
        </w:rPr>
        <w:t xml:space="preserve"> head around </w:t>
      </w:r>
      <w:r w:rsidR="001F789C" w:rsidRPr="001F789C">
        <w:rPr>
          <w:rFonts w:ascii="Verdana" w:eastAsia="Times New Roman" w:hAnsi="Verdana" w:cs="Times New Roman"/>
          <w:i/>
          <w:sz w:val="20"/>
          <w:szCs w:val="20"/>
        </w:rPr>
        <w:t>Worldliness</w:t>
      </w:r>
      <w:r w:rsidR="001F789C" w:rsidRPr="001F789C">
        <w:rPr>
          <w:rFonts w:ascii="Verdana" w:eastAsia="Times New Roman" w:hAnsi="Verdana" w:cs="Times New Roman"/>
          <w:sz w:val="20"/>
          <w:szCs w:val="20"/>
        </w:rPr>
        <w:t xml:space="preserve">. In the introduction to </w:t>
      </w:r>
      <w:r w:rsidR="001F789C" w:rsidRPr="001F789C">
        <w:rPr>
          <w:rFonts w:ascii="Verdana" w:eastAsia="Times New Roman" w:hAnsi="Verdana" w:cs="Times New Roman"/>
          <w:i/>
          <w:sz w:val="20"/>
          <w:szCs w:val="20"/>
        </w:rPr>
        <w:t>Fixing Language</w:t>
      </w:r>
      <w:r w:rsidR="001F789C" w:rsidRPr="001F789C">
        <w:rPr>
          <w:rFonts w:ascii="Verdana" w:eastAsia="Times New Roman" w:hAnsi="Verdana" w:cs="Times New Roman"/>
          <w:sz w:val="20"/>
          <w:szCs w:val="20"/>
        </w:rPr>
        <w:t xml:space="preserve">, however, Cappelen articulates a </w:t>
      </w:r>
      <w:r w:rsidR="00210F1E">
        <w:rPr>
          <w:rFonts w:ascii="Verdana" w:eastAsia="Times New Roman" w:hAnsi="Verdana" w:cs="Times New Roman"/>
          <w:sz w:val="20"/>
          <w:szCs w:val="20"/>
        </w:rPr>
        <w:t>more</w:t>
      </w:r>
      <w:r w:rsidR="001F789C" w:rsidRPr="001F789C">
        <w:rPr>
          <w:rFonts w:ascii="Verdana" w:eastAsia="Times New Roman" w:hAnsi="Verdana" w:cs="Times New Roman"/>
          <w:sz w:val="20"/>
          <w:szCs w:val="20"/>
        </w:rPr>
        <w:t xml:space="preserve"> modest goal of </w:t>
      </w:r>
      <w:r w:rsidR="001F789C">
        <w:rPr>
          <w:rFonts w:ascii="Verdana" w:eastAsia="Times New Roman" w:hAnsi="Verdana" w:cs="Times New Roman"/>
          <w:sz w:val="20"/>
          <w:szCs w:val="20"/>
        </w:rPr>
        <w:t>his</w:t>
      </w:r>
      <w:r w:rsidR="001F789C" w:rsidRPr="001F789C">
        <w:rPr>
          <w:rFonts w:ascii="Verdana" w:eastAsia="Times New Roman" w:hAnsi="Verdana" w:cs="Times New Roman"/>
          <w:sz w:val="20"/>
          <w:szCs w:val="20"/>
        </w:rPr>
        <w:t xml:space="preserve"> book: “even if you end up disagreeing with the theory I propose, I hope that you will at least end up agreeing that conceptual engineering is an important topic for philosophers” (10). </w:t>
      </w:r>
      <w:r w:rsidR="001F789C" w:rsidRPr="001F789C">
        <w:rPr>
          <w:rFonts w:ascii="Verdana" w:eastAsia="Times New Roman" w:hAnsi="Verdana" w:cs="Times New Roman"/>
          <w:i/>
          <w:sz w:val="20"/>
          <w:szCs w:val="20"/>
        </w:rPr>
        <w:t>Fixing Language</w:t>
      </w:r>
      <w:r w:rsidR="001F789C" w:rsidRPr="001F789C">
        <w:rPr>
          <w:rFonts w:ascii="Verdana" w:eastAsia="Times New Roman" w:hAnsi="Verdana" w:cs="Times New Roman"/>
          <w:sz w:val="20"/>
          <w:szCs w:val="20"/>
        </w:rPr>
        <w:t xml:space="preserve"> does a great job at accomplishing </w:t>
      </w:r>
      <w:r w:rsidR="001F789C" w:rsidRPr="00F33BD9">
        <w:rPr>
          <w:rFonts w:ascii="Verdana" w:eastAsia="Times New Roman" w:hAnsi="Verdana" w:cs="Times New Roman"/>
          <w:i/>
          <w:sz w:val="20"/>
          <w:szCs w:val="20"/>
        </w:rPr>
        <w:t>this</w:t>
      </w:r>
      <w:r w:rsidR="001F789C" w:rsidRPr="001F789C">
        <w:rPr>
          <w:rFonts w:ascii="Verdana" w:eastAsia="Times New Roman" w:hAnsi="Verdana" w:cs="Times New Roman"/>
          <w:sz w:val="20"/>
          <w:szCs w:val="20"/>
        </w:rPr>
        <w:t xml:space="preserve"> goal</w:t>
      </w:r>
      <w:r w:rsidR="001F789C">
        <w:rPr>
          <w:rFonts w:ascii="Verdana" w:eastAsia="Times New Roman" w:hAnsi="Verdana" w:cs="Times New Roman"/>
          <w:sz w:val="20"/>
          <w:szCs w:val="20"/>
        </w:rPr>
        <w:t xml:space="preserve">. </w:t>
      </w:r>
      <w:r w:rsidR="00483195">
        <w:rPr>
          <w:rFonts w:ascii="Verdana" w:eastAsia="Times New Roman" w:hAnsi="Verdana" w:cs="Times New Roman"/>
          <w:sz w:val="20"/>
          <w:szCs w:val="20"/>
        </w:rPr>
        <w:t>Moreover</w:t>
      </w:r>
      <w:r w:rsidR="001F789C">
        <w:rPr>
          <w:rFonts w:ascii="Verdana" w:eastAsia="Times New Roman" w:hAnsi="Verdana" w:cs="Times New Roman"/>
          <w:sz w:val="20"/>
          <w:szCs w:val="20"/>
        </w:rPr>
        <w:t>, it</w:t>
      </w:r>
      <w:r w:rsidR="00483195">
        <w:rPr>
          <w:rFonts w:ascii="Verdana" w:eastAsia="Times New Roman" w:hAnsi="Verdana" w:cs="Times New Roman"/>
          <w:sz w:val="20"/>
          <w:szCs w:val="20"/>
        </w:rPr>
        <w:t xml:space="preserve"> identifies some of the </w:t>
      </w:r>
      <w:r w:rsidR="00483195">
        <w:rPr>
          <w:rFonts w:ascii="Verdana" w:eastAsia="Times New Roman" w:hAnsi="Verdana" w:cs="Times New Roman"/>
          <w:sz w:val="20"/>
          <w:szCs w:val="20"/>
        </w:rPr>
        <w:lastRenderedPageBreak/>
        <w:t xml:space="preserve">key issues that any future theory </w:t>
      </w:r>
      <w:r w:rsidR="00EB7406">
        <w:rPr>
          <w:rFonts w:ascii="Verdana" w:eastAsia="Times New Roman" w:hAnsi="Verdana" w:cs="Times New Roman"/>
          <w:sz w:val="20"/>
          <w:szCs w:val="20"/>
        </w:rPr>
        <w:t>of</w:t>
      </w:r>
      <w:r w:rsidR="00483195">
        <w:rPr>
          <w:rFonts w:ascii="Verdana" w:eastAsia="Times New Roman" w:hAnsi="Verdana" w:cs="Times New Roman"/>
          <w:sz w:val="20"/>
          <w:szCs w:val="20"/>
        </w:rPr>
        <w:t xml:space="preserve"> conceptual engineering will have to address, and offers </w:t>
      </w:r>
      <w:r w:rsidR="00EB7406">
        <w:rPr>
          <w:rFonts w:ascii="Verdana" w:eastAsia="Times New Roman" w:hAnsi="Verdana" w:cs="Times New Roman"/>
          <w:sz w:val="20"/>
          <w:szCs w:val="20"/>
        </w:rPr>
        <w:t>thought-</w:t>
      </w:r>
      <w:r w:rsidR="00483195">
        <w:rPr>
          <w:rFonts w:ascii="Verdana" w:eastAsia="Times New Roman" w:hAnsi="Verdana" w:cs="Times New Roman"/>
          <w:sz w:val="20"/>
          <w:szCs w:val="20"/>
        </w:rPr>
        <w:t xml:space="preserve">provoking answers to </w:t>
      </w:r>
      <w:r w:rsidR="00EB7406">
        <w:rPr>
          <w:rFonts w:ascii="Verdana" w:eastAsia="Times New Roman" w:hAnsi="Verdana" w:cs="Times New Roman"/>
          <w:sz w:val="20"/>
          <w:szCs w:val="20"/>
        </w:rPr>
        <w:t xml:space="preserve">all of </w:t>
      </w:r>
      <w:r w:rsidR="00483195">
        <w:rPr>
          <w:rFonts w:ascii="Verdana" w:eastAsia="Times New Roman" w:hAnsi="Verdana" w:cs="Times New Roman"/>
          <w:sz w:val="20"/>
          <w:szCs w:val="20"/>
        </w:rPr>
        <w:t>them</w:t>
      </w:r>
      <w:r w:rsidR="00EB7406">
        <w:rPr>
          <w:rFonts w:ascii="Verdana" w:eastAsia="Times New Roman" w:hAnsi="Verdana" w:cs="Times New Roman"/>
          <w:sz w:val="20"/>
          <w:szCs w:val="20"/>
        </w:rPr>
        <w:t>.</w:t>
      </w:r>
      <w:r w:rsidR="00483195">
        <w:rPr>
          <w:rFonts w:ascii="Verdana" w:eastAsia="Times New Roman" w:hAnsi="Verdana" w:cs="Times New Roman"/>
          <w:sz w:val="20"/>
          <w:szCs w:val="20"/>
        </w:rPr>
        <w:t xml:space="preserve"> </w:t>
      </w:r>
      <w:r w:rsidR="00EB7406">
        <w:rPr>
          <w:rFonts w:ascii="Verdana" w:eastAsia="Times New Roman" w:hAnsi="Verdana" w:cs="Times New Roman"/>
          <w:sz w:val="20"/>
          <w:szCs w:val="20"/>
        </w:rPr>
        <w:t>Grappling</w:t>
      </w:r>
      <w:r w:rsidR="00483195">
        <w:rPr>
          <w:rFonts w:ascii="Verdana" w:eastAsia="Times New Roman" w:hAnsi="Verdana" w:cs="Times New Roman"/>
          <w:sz w:val="20"/>
          <w:szCs w:val="20"/>
        </w:rPr>
        <w:t xml:space="preserve"> with </w:t>
      </w:r>
      <w:r w:rsidR="00EB7406">
        <w:rPr>
          <w:rFonts w:ascii="Verdana" w:eastAsia="Times New Roman" w:hAnsi="Verdana" w:cs="Times New Roman"/>
          <w:sz w:val="20"/>
          <w:szCs w:val="20"/>
        </w:rPr>
        <w:t xml:space="preserve">Cappelen’s answers </w:t>
      </w:r>
      <w:r w:rsidR="00483195">
        <w:rPr>
          <w:rFonts w:ascii="Verdana" w:eastAsia="Times New Roman" w:hAnsi="Verdana" w:cs="Times New Roman"/>
          <w:sz w:val="20"/>
          <w:szCs w:val="20"/>
        </w:rPr>
        <w:t xml:space="preserve">will surely help to bring the meta-philosophical debate about conceptual engineering to a new level. </w:t>
      </w:r>
      <w:r w:rsidR="000B62E9" w:rsidRPr="001F789C">
        <w:rPr>
          <w:rFonts w:ascii="Verdana" w:eastAsia="Times New Roman" w:hAnsi="Verdana" w:cs="Times New Roman"/>
          <w:i/>
          <w:sz w:val="20"/>
          <w:szCs w:val="20"/>
        </w:rPr>
        <w:t>Fixing Language</w:t>
      </w:r>
      <w:r w:rsidR="00143805">
        <w:rPr>
          <w:rFonts w:ascii="Verdana" w:eastAsia="Times New Roman" w:hAnsi="Verdana" w:cs="Times New Roman"/>
          <w:sz w:val="20"/>
          <w:szCs w:val="20"/>
        </w:rPr>
        <w:t xml:space="preserve"> is</w:t>
      </w:r>
      <w:r w:rsidR="00483195">
        <w:rPr>
          <w:rFonts w:ascii="Verdana" w:eastAsia="Times New Roman" w:hAnsi="Verdana" w:cs="Times New Roman"/>
          <w:sz w:val="20"/>
          <w:szCs w:val="20"/>
        </w:rPr>
        <w:t xml:space="preserve"> clear and engaging </w:t>
      </w:r>
      <w:r w:rsidR="00143805">
        <w:rPr>
          <w:rFonts w:ascii="Verdana" w:eastAsia="Times New Roman" w:hAnsi="Verdana" w:cs="Times New Roman"/>
          <w:sz w:val="20"/>
          <w:szCs w:val="20"/>
        </w:rPr>
        <w:t xml:space="preserve">in </w:t>
      </w:r>
      <w:r w:rsidR="00483195">
        <w:rPr>
          <w:rFonts w:ascii="Verdana" w:eastAsia="Times New Roman" w:hAnsi="Verdana" w:cs="Times New Roman"/>
          <w:sz w:val="20"/>
          <w:szCs w:val="20"/>
        </w:rPr>
        <w:t>style</w:t>
      </w:r>
      <w:r w:rsidR="00143805">
        <w:rPr>
          <w:rFonts w:ascii="Verdana" w:eastAsia="Times New Roman" w:hAnsi="Verdana" w:cs="Times New Roman"/>
          <w:sz w:val="20"/>
          <w:szCs w:val="20"/>
        </w:rPr>
        <w:t xml:space="preserve">, but </w:t>
      </w:r>
      <w:r w:rsidR="005B2558">
        <w:rPr>
          <w:rFonts w:ascii="Verdana" w:eastAsia="Times New Roman" w:hAnsi="Verdana" w:cs="Times New Roman"/>
          <w:sz w:val="20"/>
          <w:szCs w:val="20"/>
        </w:rPr>
        <w:t>since</w:t>
      </w:r>
      <w:r w:rsidR="00143805">
        <w:rPr>
          <w:rFonts w:ascii="Verdana" w:eastAsia="Times New Roman" w:hAnsi="Verdana" w:cs="Times New Roman"/>
          <w:sz w:val="20"/>
          <w:szCs w:val="20"/>
        </w:rPr>
        <w:t xml:space="preserve"> some of its arguments rest on </w:t>
      </w:r>
      <w:r w:rsidR="005B2558">
        <w:rPr>
          <w:rFonts w:ascii="Verdana" w:eastAsia="Times New Roman" w:hAnsi="Verdana" w:cs="Times New Roman"/>
          <w:sz w:val="20"/>
          <w:szCs w:val="20"/>
        </w:rPr>
        <w:t>complex</w:t>
      </w:r>
      <w:r w:rsidR="000B62E9">
        <w:rPr>
          <w:rFonts w:ascii="Verdana" w:eastAsia="Times New Roman" w:hAnsi="Verdana" w:cs="Times New Roman"/>
          <w:sz w:val="20"/>
          <w:szCs w:val="20"/>
        </w:rPr>
        <w:t xml:space="preserve"> </w:t>
      </w:r>
      <w:r w:rsidR="00143805">
        <w:rPr>
          <w:rFonts w:ascii="Verdana" w:eastAsia="Times New Roman" w:hAnsi="Verdana" w:cs="Times New Roman"/>
          <w:sz w:val="20"/>
          <w:szCs w:val="20"/>
        </w:rPr>
        <w:t xml:space="preserve">background theories in the philosophy of language, I </w:t>
      </w:r>
      <w:r w:rsidR="000B62E9">
        <w:rPr>
          <w:rFonts w:ascii="Verdana" w:eastAsia="Times New Roman" w:hAnsi="Verdana" w:cs="Times New Roman"/>
          <w:sz w:val="20"/>
          <w:szCs w:val="20"/>
        </w:rPr>
        <w:t xml:space="preserve">would primarily </w:t>
      </w:r>
      <w:r w:rsidR="00143805">
        <w:rPr>
          <w:rFonts w:ascii="Verdana" w:eastAsia="Times New Roman" w:hAnsi="Verdana" w:cs="Times New Roman"/>
          <w:sz w:val="20"/>
          <w:szCs w:val="20"/>
        </w:rPr>
        <w:t>recommend it</w:t>
      </w:r>
      <w:r w:rsidR="00483195">
        <w:rPr>
          <w:rFonts w:ascii="Verdana" w:eastAsia="Times New Roman" w:hAnsi="Verdana" w:cs="Times New Roman"/>
          <w:sz w:val="20"/>
          <w:szCs w:val="20"/>
        </w:rPr>
        <w:t xml:space="preserve"> </w:t>
      </w:r>
      <w:r w:rsidR="00143805">
        <w:rPr>
          <w:rFonts w:ascii="Verdana" w:eastAsia="Times New Roman" w:hAnsi="Verdana" w:cs="Times New Roman"/>
          <w:sz w:val="20"/>
          <w:szCs w:val="20"/>
        </w:rPr>
        <w:t>to</w:t>
      </w:r>
      <w:r w:rsidR="00483195">
        <w:rPr>
          <w:rFonts w:ascii="Verdana" w:eastAsia="Times New Roman" w:hAnsi="Verdana" w:cs="Times New Roman"/>
          <w:sz w:val="20"/>
          <w:szCs w:val="20"/>
        </w:rPr>
        <w:t xml:space="preserve"> graduate students</w:t>
      </w:r>
      <w:r w:rsidR="000B62E9">
        <w:rPr>
          <w:rFonts w:ascii="Verdana" w:eastAsia="Times New Roman" w:hAnsi="Verdana" w:cs="Times New Roman"/>
          <w:sz w:val="20"/>
          <w:szCs w:val="20"/>
        </w:rPr>
        <w:t>,</w:t>
      </w:r>
      <w:r w:rsidR="00483195">
        <w:rPr>
          <w:rFonts w:ascii="Verdana" w:eastAsia="Times New Roman" w:hAnsi="Verdana" w:cs="Times New Roman"/>
          <w:sz w:val="20"/>
          <w:szCs w:val="20"/>
        </w:rPr>
        <w:t xml:space="preserve"> </w:t>
      </w:r>
      <w:r w:rsidR="000B62E9">
        <w:rPr>
          <w:rFonts w:ascii="Verdana" w:eastAsia="Times New Roman" w:hAnsi="Verdana" w:cs="Times New Roman"/>
          <w:sz w:val="20"/>
          <w:szCs w:val="20"/>
        </w:rPr>
        <w:t xml:space="preserve">other </w:t>
      </w:r>
      <w:r w:rsidR="00483195">
        <w:rPr>
          <w:rFonts w:ascii="Verdana" w:eastAsia="Times New Roman" w:hAnsi="Verdana" w:cs="Times New Roman"/>
          <w:sz w:val="20"/>
          <w:szCs w:val="20"/>
        </w:rPr>
        <w:t>researchers</w:t>
      </w:r>
      <w:r w:rsidR="00EB2F03">
        <w:rPr>
          <w:rFonts w:ascii="Verdana" w:eastAsia="Times New Roman" w:hAnsi="Verdana" w:cs="Times New Roman"/>
          <w:sz w:val="20"/>
          <w:szCs w:val="20"/>
        </w:rPr>
        <w:t>, and perhaps to some advanced undergraduates with a solid background in the philosophy of language</w:t>
      </w:r>
      <w:r w:rsidR="00483195">
        <w:rPr>
          <w:rFonts w:ascii="Verdana" w:eastAsia="Times New Roman" w:hAnsi="Verdana" w:cs="Times New Roman"/>
          <w:sz w:val="20"/>
          <w:szCs w:val="20"/>
        </w:rPr>
        <w:t>.</w:t>
      </w:r>
    </w:p>
    <w:p w14:paraId="620BB00E" w14:textId="77777777" w:rsidR="004E37BD" w:rsidRPr="004E37BD" w:rsidRDefault="004E37BD" w:rsidP="00AE09ED">
      <w:pPr>
        <w:spacing w:after="120" w:line="240" w:lineRule="auto"/>
        <w:ind w:firstLine="708"/>
        <w:rPr>
          <w:rFonts w:ascii="Verdana" w:eastAsia="Times New Roman" w:hAnsi="Verdana" w:cs="Times New Roman"/>
          <w:sz w:val="20"/>
          <w:szCs w:val="20"/>
        </w:rPr>
      </w:pPr>
    </w:p>
    <w:p w14:paraId="17147AF4" w14:textId="04CADEDC" w:rsidR="00483195" w:rsidRPr="004E37BD" w:rsidRDefault="00483195" w:rsidP="00697AE7">
      <w:pPr>
        <w:spacing w:after="0" w:line="240" w:lineRule="auto"/>
        <w:rPr>
          <w:rFonts w:ascii="Verdana" w:eastAsia="Times New Roman" w:hAnsi="Verdana" w:cs="Times New Roman"/>
          <w:sz w:val="20"/>
          <w:szCs w:val="20"/>
          <w:lang w:val="de-DE"/>
        </w:rPr>
      </w:pPr>
      <w:r w:rsidRPr="004E37BD">
        <w:rPr>
          <w:rFonts w:ascii="Verdana" w:eastAsia="Times New Roman" w:hAnsi="Verdana" w:cs="Times New Roman"/>
          <w:sz w:val="20"/>
          <w:szCs w:val="20"/>
          <w:lang w:val="de-DE"/>
        </w:rPr>
        <w:t>Steffen Koch</w:t>
      </w:r>
    </w:p>
    <w:p w14:paraId="75D44C60" w14:textId="1A365C14" w:rsidR="00483195" w:rsidRPr="004E37BD" w:rsidRDefault="00483195" w:rsidP="00697AE7">
      <w:pPr>
        <w:spacing w:after="0" w:line="240" w:lineRule="auto"/>
        <w:rPr>
          <w:rFonts w:ascii="Verdana" w:eastAsia="Times New Roman" w:hAnsi="Verdana" w:cs="Times New Roman"/>
          <w:sz w:val="20"/>
          <w:szCs w:val="20"/>
          <w:lang w:val="de-DE"/>
        </w:rPr>
      </w:pPr>
      <w:r w:rsidRPr="004E37BD">
        <w:rPr>
          <w:rFonts w:ascii="Verdana" w:eastAsia="Times New Roman" w:hAnsi="Verdana" w:cs="Times New Roman"/>
          <w:sz w:val="20"/>
          <w:szCs w:val="20"/>
          <w:lang w:val="de-DE"/>
        </w:rPr>
        <w:t>Ruhr</w:t>
      </w:r>
      <w:r w:rsidR="00E03EF1">
        <w:rPr>
          <w:rFonts w:ascii="Verdana" w:eastAsia="Times New Roman" w:hAnsi="Verdana" w:cs="Times New Roman"/>
          <w:sz w:val="20"/>
          <w:szCs w:val="20"/>
          <w:lang w:val="de-DE"/>
        </w:rPr>
        <w:t xml:space="preserve"> </w:t>
      </w:r>
      <w:r w:rsidRPr="004E37BD">
        <w:rPr>
          <w:rFonts w:ascii="Verdana" w:eastAsia="Times New Roman" w:hAnsi="Verdana" w:cs="Times New Roman"/>
          <w:sz w:val="20"/>
          <w:szCs w:val="20"/>
          <w:lang w:val="de-DE"/>
        </w:rPr>
        <w:t>University Bochum</w:t>
      </w:r>
    </w:p>
    <w:p w14:paraId="1297EE1B" w14:textId="258B78C4" w:rsidR="00483195" w:rsidRPr="004E37BD" w:rsidRDefault="00483195" w:rsidP="00697AE7">
      <w:pPr>
        <w:spacing w:after="0" w:line="240" w:lineRule="auto"/>
        <w:rPr>
          <w:rFonts w:ascii="Verdana" w:eastAsia="Times New Roman" w:hAnsi="Verdana" w:cs="Times New Roman"/>
          <w:sz w:val="20"/>
          <w:szCs w:val="20"/>
          <w:lang w:val="de-DE"/>
        </w:rPr>
      </w:pPr>
      <w:r w:rsidRPr="004E37BD">
        <w:rPr>
          <w:rFonts w:ascii="Verdana" w:eastAsia="Times New Roman" w:hAnsi="Verdana" w:cs="Times New Roman"/>
          <w:sz w:val="20"/>
          <w:szCs w:val="20"/>
          <w:lang w:val="de-DE"/>
        </w:rPr>
        <w:t>Institut für Philosophie II</w:t>
      </w:r>
    </w:p>
    <w:p w14:paraId="72A4AC2D" w14:textId="432EB6F6" w:rsidR="00483195" w:rsidRPr="00A8289F" w:rsidRDefault="00483195" w:rsidP="00697AE7">
      <w:pPr>
        <w:spacing w:after="0" w:line="240" w:lineRule="auto"/>
        <w:rPr>
          <w:rFonts w:ascii="Verdana" w:eastAsia="Times New Roman" w:hAnsi="Verdana" w:cs="Times New Roman"/>
          <w:sz w:val="20"/>
          <w:szCs w:val="20"/>
          <w:lang w:val="de-DE"/>
        </w:rPr>
      </w:pPr>
      <w:r w:rsidRPr="00A8289F">
        <w:rPr>
          <w:rFonts w:ascii="Verdana" w:eastAsia="Times New Roman" w:hAnsi="Verdana" w:cs="Times New Roman"/>
          <w:sz w:val="20"/>
          <w:szCs w:val="20"/>
          <w:lang w:val="de-DE"/>
        </w:rPr>
        <w:t>Universitätsstraße 150</w:t>
      </w:r>
    </w:p>
    <w:p w14:paraId="722DC458" w14:textId="126D753D" w:rsidR="00483195" w:rsidRPr="00A8289F" w:rsidRDefault="00483195" w:rsidP="00697AE7">
      <w:pPr>
        <w:spacing w:after="0" w:line="240" w:lineRule="auto"/>
        <w:rPr>
          <w:rFonts w:ascii="Verdana" w:eastAsia="Times New Roman" w:hAnsi="Verdana" w:cs="Times New Roman"/>
          <w:sz w:val="20"/>
          <w:szCs w:val="20"/>
          <w:lang w:val="de-DE"/>
        </w:rPr>
      </w:pPr>
      <w:r w:rsidRPr="00A8289F">
        <w:rPr>
          <w:rFonts w:ascii="Verdana" w:eastAsia="Times New Roman" w:hAnsi="Verdana" w:cs="Times New Roman"/>
          <w:sz w:val="20"/>
          <w:szCs w:val="20"/>
          <w:lang w:val="de-DE"/>
        </w:rPr>
        <w:t>44780 Bochum</w:t>
      </w:r>
    </w:p>
    <w:p w14:paraId="12537FDC" w14:textId="1F6F1E20" w:rsidR="00B630C0" w:rsidRPr="00A8289F" w:rsidRDefault="00483195" w:rsidP="000F5A2E">
      <w:pPr>
        <w:spacing w:after="0" w:line="240" w:lineRule="auto"/>
        <w:rPr>
          <w:rFonts w:ascii="Verdana" w:eastAsia="Times New Roman" w:hAnsi="Verdana" w:cs="Times New Roman"/>
          <w:sz w:val="20"/>
          <w:szCs w:val="20"/>
          <w:lang w:val="de-DE"/>
        </w:rPr>
      </w:pPr>
      <w:r w:rsidRPr="00A8289F">
        <w:rPr>
          <w:rFonts w:ascii="Verdana" w:eastAsia="Times New Roman" w:hAnsi="Verdana" w:cs="Times New Roman"/>
          <w:sz w:val="20"/>
          <w:szCs w:val="20"/>
          <w:lang w:val="de-DE"/>
        </w:rPr>
        <w:t>Germany</w:t>
      </w:r>
    </w:p>
    <w:p w14:paraId="138229B8" w14:textId="03872BD9" w:rsidR="00496B26" w:rsidRPr="00A8289F" w:rsidRDefault="00496B26" w:rsidP="003A5F37">
      <w:pPr>
        <w:spacing w:after="0" w:line="240" w:lineRule="auto"/>
        <w:ind w:left="5812" w:firstLine="708"/>
        <w:rPr>
          <w:rFonts w:ascii="Verdana" w:eastAsia="Times New Roman" w:hAnsi="Verdana" w:cs="Times New Roman"/>
          <w:sz w:val="20"/>
          <w:szCs w:val="20"/>
          <w:lang w:val="de-DE"/>
        </w:rPr>
      </w:pPr>
    </w:p>
    <w:p w14:paraId="73A9D98E" w14:textId="0B6E5324" w:rsidR="00496B26" w:rsidRPr="00A8289F" w:rsidRDefault="00496B26" w:rsidP="00496B26">
      <w:pPr>
        <w:spacing w:after="0" w:line="240" w:lineRule="auto"/>
        <w:rPr>
          <w:rFonts w:ascii="Verdana" w:eastAsia="Times New Roman" w:hAnsi="Verdana" w:cs="Times New Roman"/>
          <w:b/>
          <w:sz w:val="20"/>
          <w:szCs w:val="20"/>
          <w:lang w:val="de-DE"/>
        </w:rPr>
      </w:pPr>
      <w:r w:rsidRPr="00A8289F">
        <w:rPr>
          <w:rFonts w:ascii="Verdana" w:eastAsia="Times New Roman" w:hAnsi="Verdana" w:cs="Times New Roman"/>
          <w:b/>
          <w:sz w:val="20"/>
          <w:szCs w:val="20"/>
          <w:lang w:val="de-DE"/>
        </w:rPr>
        <w:t>References</w:t>
      </w:r>
    </w:p>
    <w:p w14:paraId="2278513D" w14:textId="01B5F5C7" w:rsidR="00496B26" w:rsidRPr="00A8289F" w:rsidRDefault="00496B26" w:rsidP="00496B26">
      <w:pPr>
        <w:spacing w:after="0" w:line="240" w:lineRule="auto"/>
        <w:rPr>
          <w:rFonts w:ascii="Verdana" w:eastAsia="Times New Roman" w:hAnsi="Verdana" w:cs="Times New Roman"/>
          <w:sz w:val="20"/>
          <w:szCs w:val="20"/>
          <w:lang w:val="de-DE"/>
        </w:rPr>
      </w:pPr>
    </w:p>
    <w:p w14:paraId="0A4E1337" w14:textId="486B462E" w:rsidR="00B630C0" w:rsidRPr="00B630C0" w:rsidRDefault="00B630C0" w:rsidP="00B630C0">
      <w:pPr>
        <w:autoSpaceDE w:val="0"/>
        <w:autoSpaceDN w:val="0"/>
        <w:adjustRightInd w:val="0"/>
        <w:spacing w:after="0" w:line="240" w:lineRule="auto"/>
        <w:ind w:left="567" w:hanging="567"/>
        <w:rPr>
          <w:rFonts w:ascii="Verdana" w:hAnsi="Verdana"/>
          <w:sz w:val="20"/>
          <w:szCs w:val="20"/>
        </w:rPr>
      </w:pPr>
      <w:r w:rsidRPr="00A8289F">
        <w:rPr>
          <w:rFonts w:ascii="Verdana" w:hAnsi="Verdana"/>
          <w:sz w:val="20"/>
          <w:szCs w:val="20"/>
          <w:lang w:val="de-DE"/>
        </w:rPr>
        <w:t>Brigandt, I</w:t>
      </w:r>
      <w:r w:rsidR="00A8289F" w:rsidRPr="00A8289F">
        <w:rPr>
          <w:rFonts w:ascii="Verdana" w:hAnsi="Verdana"/>
          <w:sz w:val="20"/>
          <w:szCs w:val="20"/>
          <w:lang w:val="de-DE"/>
        </w:rPr>
        <w:t xml:space="preserve">. </w:t>
      </w:r>
      <w:r w:rsidRPr="00A8289F">
        <w:rPr>
          <w:rFonts w:ascii="Verdana" w:hAnsi="Verdana"/>
          <w:sz w:val="20"/>
          <w:szCs w:val="20"/>
          <w:lang w:val="de-DE"/>
        </w:rPr>
        <w:t xml:space="preserve">2010. </w:t>
      </w:r>
      <w:r w:rsidRPr="00B630C0">
        <w:rPr>
          <w:rFonts w:ascii="Verdana" w:hAnsi="Verdana"/>
          <w:sz w:val="20"/>
          <w:szCs w:val="20"/>
        </w:rPr>
        <w:t xml:space="preserve">The epistemic goal of a concept: accounting for the rationality of semantic change and variation. </w:t>
      </w:r>
      <w:r w:rsidRPr="00B630C0">
        <w:rPr>
          <w:rFonts w:ascii="Verdana" w:hAnsi="Verdana"/>
          <w:i/>
          <w:sz w:val="20"/>
          <w:szCs w:val="20"/>
        </w:rPr>
        <w:t>Synthese</w:t>
      </w:r>
      <w:r w:rsidRPr="00B630C0">
        <w:rPr>
          <w:rFonts w:ascii="Verdana" w:hAnsi="Verdana"/>
          <w:sz w:val="20"/>
          <w:szCs w:val="20"/>
        </w:rPr>
        <w:t>, 177 (1): 19–40.</w:t>
      </w:r>
    </w:p>
    <w:p w14:paraId="099C865A" w14:textId="42E2EA0E" w:rsidR="004D6DBA" w:rsidRPr="00B630C0" w:rsidRDefault="004D6DBA" w:rsidP="00B630C0">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Brun, G</w:t>
      </w:r>
      <w:r w:rsidR="00A8289F">
        <w:rPr>
          <w:rFonts w:ascii="Verdana" w:hAnsi="Verdana"/>
          <w:sz w:val="20"/>
          <w:szCs w:val="20"/>
        </w:rPr>
        <w:t>.</w:t>
      </w:r>
      <w:r w:rsidRPr="004D6DBA">
        <w:rPr>
          <w:rFonts w:ascii="Verdana" w:hAnsi="Verdana"/>
          <w:sz w:val="20"/>
          <w:szCs w:val="20"/>
        </w:rPr>
        <w:t xml:space="preserve"> 2016. Explication as a method of conceptual re-engineering. </w:t>
      </w:r>
      <w:r w:rsidRPr="004D6DBA">
        <w:rPr>
          <w:rFonts w:ascii="Verdana" w:hAnsi="Verdana"/>
          <w:i/>
          <w:sz w:val="20"/>
          <w:szCs w:val="20"/>
        </w:rPr>
        <w:t>Erkenntnis</w:t>
      </w:r>
      <w:r w:rsidRPr="00B630C0">
        <w:rPr>
          <w:rFonts w:ascii="Verdana" w:hAnsi="Verdana"/>
          <w:sz w:val="20"/>
          <w:szCs w:val="20"/>
        </w:rPr>
        <w:t>,</w:t>
      </w:r>
      <w:r w:rsidRPr="004D6DBA">
        <w:rPr>
          <w:rFonts w:ascii="Verdana" w:hAnsi="Verdana"/>
          <w:sz w:val="20"/>
          <w:szCs w:val="20"/>
        </w:rPr>
        <w:t xml:space="preserve"> 81 (6): 1211–41.</w:t>
      </w:r>
    </w:p>
    <w:p w14:paraId="5DA982EE" w14:textId="4A646386" w:rsidR="00496B26" w:rsidRPr="00B630C0" w:rsidRDefault="002F451E" w:rsidP="00533007">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Cappelen, H. 2018. </w:t>
      </w:r>
      <w:r w:rsidRPr="00B630C0">
        <w:rPr>
          <w:rFonts w:ascii="Verdana" w:hAnsi="Verdana"/>
          <w:i/>
          <w:sz w:val="20"/>
          <w:szCs w:val="20"/>
        </w:rPr>
        <w:t>Fixing Language</w:t>
      </w:r>
      <w:r w:rsidRPr="00B630C0">
        <w:rPr>
          <w:rFonts w:ascii="Verdana" w:hAnsi="Verdana"/>
          <w:sz w:val="20"/>
          <w:szCs w:val="20"/>
        </w:rPr>
        <w:t xml:space="preserve">. </w:t>
      </w:r>
      <w:r w:rsidRPr="00B630C0">
        <w:rPr>
          <w:rFonts w:ascii="Verdana" w:hAnsi="Verdana"/>
          <w:i/>
          <w:sz w:val="20"/>
          <w:szCs w:val="20"/>
        </w:rPr>
        <w:t xml:space="preserve">An Essay on the Foundations of Conceptual Engineering. </w:t>
      </w:r>
      <w:r w:rsidRPr="00B630C0">
        <w:rPr>
          <w:rFonts w:ascii="Verdana" w:hAnsi="Verdana"/>
          <w:sz w:val="20"/>
          <w:szCs w:val="20"/>
        </w:rPr>
        <w:t>Oxford: Oxford University Press.</w:t>
      </w:r>
    </w:p>
    <w:p w14:paraId="247CC2A1" w14:textId="6203E6C1" w:rsidR="004D6DBA" w:rsidRDefault="00B630C0" w:rsidP="00533007">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w:t>
      </w:r>
      <w:r w:rsidR="004D6DBA" w:rsidRPr="004D6DBA">
        <w:rPr>
          <w:rFonts w:ascii="Verdana" w:hAnsi="Verdana"/>
          <w:sz w:val="20"/>
          <w:szCs w:val="20"/>
        </w:rPr>
        <w:t>, and Hawthorne, J</w:t>
      </w:r>
      <w:r w:rsidR="004D6DBA" w:rsidRPr="00B630C0">
        <w:rPr>
          <w:rFonts w:ascii="Verdana" w:hAnsi="Verdana"/>
          <w:sz w:val="20"/>
          <w:szCs w:val="20"/>
        </w:rPr>
        <w:t>.</w:t>
      </w:r>
      <w:r w:rsidR="004D6DBA" w:rsidRPr="004D6DBA">
        <w:rPr>
          <w:rFonts w:ascii="Verdana" w:hAnsi="Verdana"/>
          <w:sz w:val="20"/>
          <w:szCs w:val="20"/>
        </w:rPr>
        <w:t xml:space="preserve"> (2009). </w:t>
      </w:r>
      <w:r w:rsidR="004D6DBA" w:rsidRPr="004D6DBA">
        <w:rPr>
          <w:rFonts w:ascii="Verdana" w:hAnsi="Verdana"/>
          <w:i/>
          <w:sz w:val="20"/>
          <w:szCs w:val="20"/>
        </w:rPr>
        <w:t>Relativism and Monadic Truth</w:t>
      </w:r>
      <w:r w:rsidR="004D6DBA" w:rsidRPr="004D6DBA">
        <w:rPr>
          <w:rFonts w:ascii="Verdana" w:hAnsi="Verdana"/>
          <w:sz w:val="20"/>
          <w:szCs w:val="20"/>
        </w:rPr>
        <w:t>. Oxford University Press.</w:t>
      </w:r>
    </w:p>
    <w:p w14:paraId="4AB86E07" w14:textId="3E464383" w:rsidR="00C81794" w:rsidRPr="00C81794" w:rsidRDefault="00C81794" w:rsidP="00533007">
      <w:pPr>
        <w:autoSpaceDE w:val="0"/>
        <w:autoSpaceDN w:val="0"/>
        <w:adjustRightInd w:val="0"/>
        <w:spacing w:after="0" w:line="240" w:lineRule="auto"/>
        <w:ind w:left="567" w:hanging="567"/>
        <w:rPr>
          <w:rFonts w:ascii="Verdana" w:hAnsi="Verdana"/>
          <w:sz w:val="20"/>
          <w:szCs w:val="20"/>
        </w:rPr>
      </w:pPr>
      <w:r>
        <w:rPr>
          <w:rFonts w:ascii="Verdana" w:hAnsi="Verdana"/>
          <w:sz w:val="20"/>
          <w:szCs w:val="20"/>
        </w:rPr>
        <w:t xml:space="preserve">Carnap, R. 1950. </w:t>
      </w:r>
      <w:r w:rsidRPr="00C81794">
        <w:rPr>
          <w:rFonts w:ascii="Verdana" w:hAnsi="Verdana"/>
          <w:i/>
          <w:sz w:val="20"/>
          <w:szCs w:val="20"/>
        </w:rPr>
        <w:t>Logical foundations of probability</w:t>
      </w:r>
      <w:r w:rsidRPr="00C81794">
        <w:rPr>
          <w:rFonts w:ascii="Verdana" w:hAnsi="Verdana"/>
          <w:sz w:val="20"/>
          <w:szCs w:val="20"/>
        </w:rPr>
        <w:t>. Chicago: Chicago University Press.</w:t>
      </w:r>
    </w:p>
    <w:p w14:paraId="09064739" w14:textId="2B965E58" w:rsidR="00B630C0" w:rsidRDefault="00B630C0" w:rsidP="00533007">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Chalmers, David J. 2011. Verbal disputes. </w:t>
      </w:r>
      <w:r w:rsidRPr="00B630C0">
        <w:rPr>
          <w:rFonts w:ascii="Verdana" w:hAnsi="Verdana"/>
          <w:i/>
          <w:sz w:val="20"/>
          <w:szCs w:val="20"/>
        </w:rPr>
        <w:t>Philosophical Review</w:t>
      </w:r>
      <w:r w:rsidRPr="00B630C0">
        <w:rPr>
          <w:rFonts w:ascii="Verdana" w:hAnsi="Verdana"/>
          <w:sz w:val="20"/>
          <w:szCs w:val="20"/>
        </w:rPr>
        <w:t>, 120 (4): 515–66.</w:t>
      </w:r>
    </w:p>
    <w:p w14:paraId="42AE125C" w14:textId="4E6E312D" w:rsidR="00533007" w:rsidRPr="00533007" w:rsidRDefault="00533007" w:rsidP="00533007">
      <w:pPr>
        <w:autoSpaceDE w:val="0"/>
        <w:autoSpaceDN w:val="0"/>
        <w:adjustRightInd w:val="0"/>
        <w:spacing w:after="0" w:line="240" w:lineRule="auto"/>
        <w:ind w:left="283" w:hanging="283"/>
        <w:rPr>
          <w:rFonts w:ascii="Verdana" w:hAnsi="Verdana"/>
          <w:sz w:val="20"/>
          <w:szCs w:val="20"/>
        </w:rPr>
      </w:pPr>
      <w:r w:rsidRPr="00533007">
        <w:rPr>
          <w:rFonts w:ascii="Verdana" w:hAnsi="Verdana"/>
          <w:sz w:val="20"/>
          <w:szCs w:val="20"/>
        </w:rPr>
        <w:t xml:space="preserve">Devitt, M. 1981. </w:t>
      </w:r>
      <w:r w:rsidRPr="00533007">
        <w:rPr>
          <w:rFonts w:ascii="Verdana" w:hAnsi="Verdana"/>
          <w:i/>
          <w:sz w:val="20"/>
          <w:szCs w:val="20"/>
        </w:rPr>
        <w:t>Designation</w:t>
      </w:r>
      <w:r w:rsidRPr="00533007">
        <w:rPr>
          <w:rFonts w:ascii="Verdana" w:hAnsi="Verdana"/>
          <w:sz w:val="20"/>
          <w:szCs w:val="20"/>
        </w:rPr>
        <w:t>. New York: Columbia University Press.</w:t>
      </w:r>
    </w:p>
    <w:p w14:paraId="2ADFBB6F" w14:textId="694E969E" w:rsidR="004D6DBA" w:rsidRPr="004D6DBA" w:rsidRDefault="004D6DBA" w:rsidP="00533007">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Dorr, C</w:t>
      </w:r>
      <w:r w:rsidRPr="00B630C0">
        <w:rPr>
          <w:rFonts w:ascii="Verdana" w:hAnsi="Verdana"/>
          <w:sz w:val="20"/>
          <w:szCs w:val="20"/>
        </w:rPr>
        <w:t>.</w:t>
      </w:r>
      <w:r w:rsidRPr="004D6DBA">
        <w:rPr>
          <w:rFonts w:ascii="Verdana" w:hAnsi="Verdana"/>
          <w:sz w:val="20"/>
          <w:szCs w:val="20"/>
        </w:rPr>
        <w:t>, and Hawthorne, J</w:t>
      </w:r>
      <w:r w:rsidRPr="00B630C0">
        <w:rPr>
          <w:rFonts w:ascii="Verdana" w:hAnsi="Verdana"/>
          <w:sz w:val="20"/>
          <w:szCs w:val="20"/>
        </w:rPr>
        <w:t>.</w:t>
      </w:r>
      <w:r w:rsidRPr="004D6DBA">
        <w:rPr>
          <w:rFonts w:ascii="Verdana" w:hAnsi="Verdana"/>
          <w:sz w:val="20"/>
          <w:szCs w:val="20"/>
        </w:rPr>
        <w:t xml:space="preserve"> 201</w:t>
      </w:r>
      <w:r w:rsidR="00A8289F">
        <w:rPr>
          <w:rFonts w:ascii="Verdana" w:hAnsi="Verdana"/>
          <w:sz w:val="20"/>
          <w:szCs w:val="20"/>
        </w:rPr>
        <w:t>4</w:t>
      </w:r>
      <w:r w:rsidRPr="004D6DBA">
        <w:rPr>
          <w:rFonts w:ascii="Verdana" w:hAnsi="Verdana"/>
          <w:sz w:val="20"/>
          <w:szCs w:val="20"/>
        </w:rPr>
        <w:t xml:space="preserve">. Semantic plasticity and speech reports. </w:t>
      </w:r>
      <w:r w:rsidRPr="004D6DBA">
        <w:rPr>
          <w:rFonts w:ascii="Verdana" w:hAnsi="Verdana"/>
          <w:i/>
          <w:sz w:val="20"/>
          <w:szCs w:val="20"/>
        </w:rPr>
        <w:t>Philosophical Review</w:t>
      </w:r>
      <w:r w:rsidRPr="00B630C0">
        <w:rPr>
          <w:rFonts w:ascii="Verdana" w:hAnsi="Verdana"/>
          <w:i/>
          <w:sz w:val="20"/>
          <w:szCs w:val="20"/>
        </w:rPr>
        <w:t>,</w:t>
      </w:r>
      <w:r w:rsidRPr="004D6DBA">
        <w:rPr>
          <w:rFonts w:ascii="Verdana" w:hAnsi="Verdana"/>
          <w:sz w:val="20"/>
          <w:szCs w:val="20"/>
        </w:rPr>
        <w:t xml:space="preserve"> 123 (3): 281–338.</w:t>
      </w:r>
    </w:p>
    <w:p w14:paraId="058179B4" w14:textId="0674062C"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Evans, G. 1973. The Causal Theory of Names. </w:t>
      </w:r>
      <w:r w:rsidRPr="00B630C0">
        <w:rPr>
          <w:rFonts w:ascii="Verdana" w:hAnsi="Verdana"/>
          <w:i/>
          <w:sz w:val="20"/>
          <w:szCs w:val="20"/>
        </w:rPr>
        <w:t>Aristotelian Society Supplementary Volume</w:t>
      </w:r>
      <w:r w:rsidRPr="00B630C0">
        <w:rPr>
          <w:rFonts w:ascii="Verdana" w:hAnsi="Verdana"/>
          <w:sz w:val="20"/>
          <w:szCs w:val="20"/>
        </w:rPr>
        <w:t>, 47/1: 187–225.</w:t>
      </w:r>
    </w:p>
    <w:p w14:paraId="3153AA43" w14:textId="32771F6B"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Fassio, D. and McKenna, R. 2015. Revisionary Epistemology. </w:t>
      </w:r>
      <w:r w:rsidR="003A62FD" w:rsidRPr="004D6DBA">
        <w:rPr>
          <w:rFonts w:ascii="Verdana" w:hAnsi="Verdana"/>
          <w:i/>
          <w:sz w:val="20"/>
          <w:szCs w:val="20"/>
        </w:rPr>
        <w:t>Inquiry: An Interdisciplinary Journal of Philosophy</w:t>
      </w:r>
      <w:r w:rsidRPr="00B630C0">
        <w:rPr>
          <w:rFonts w:ascii="Verdana" w:hAnsi="Verdana"/>
          <w:sz w:val="20"/>
          <w:szCs w:val="20"/>
        </w:rPr>
        <w:t>, 58/7-8: 755–779</w:t>
      </w:r>
    </w:p>
    <w:p w14:paraId="5F49E026" w14:textId="323B47B3"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Haslanger, S. 2000. Gender and Race. (What) Are They? (What) Do We Want Them To Be?’. </w:t>
      </w:r>
      <w:r w:rsidRPr="00B630C0">
        <w:rPr>
          <w:rFonts w:ascii="Verdana" w:hAnsi="Verdana"/>
          <w:i/>
          <w:sz w:val="20"/>
          <w:szCs w:val="20"/>
        </w:rPr>
        <w:t>Nous</w:t>
      </w:r>
      <w:r w:rsidRPr="00B630C0">
        <w:rPr>
          <w:rFonts w:ascii="Verdana" w:hAnsi="Verdana"/>
          <w:sz w:val="20"/>
          <w:szCs w:val="20"/>
        </w:rPr>
        <w:t>, 34/1: 31–55.</w:t>
      </w:r>
    </w:p>
    <w:p w14:paraId="0FDDF2EC" w14:textId="06C52BF7" w:rsidR="004D6DBA" w:rsidRPr="00B630C0" w:rsidRDefault="00B630C0"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w:t>
      </w:r>
      <w:r w:rsidR="004D6DBA" w:rsidRPr="004D6DBA">
        <w:rPr>
          <w:rFonts w:ascii="Verdana" w:hAnsi="Verdana"/>
          <w:sz w:val="20"/>
          <w:szCs w:val="20"/>
        </w:rPr>
        <w:t xml:space="preserve"> 2006. What good are our intuitions? Philosophical analysis and social kinds. </w:t>
      </w:r>
      <w:r w:rsidR="004D6DBA" w:rsidRPr="004D6DBA">
        <w:rPr>
          <w:rFonts w:ascii="Verdana" w:hAnsi="Verdana"/>
          <w:i/>
          <w:sz w:val="20"/>
          <w:szCs w:val="20"/>
        </w:rPr>
        <w:t>Aristotelian Society Supplementary Volume</w:t>
      </w:r>
      <w:r w:rsidR="004D6DBA" w:rsidRPr="00B630C0">
        <w:rPr>
          <w:rFonts w:ascii="Verdana" w:hAnsi="Verdana"/>
          <w:sz w:val="20"/>
          <w:szCs w:val="20"/>
        </w:rPr>
        <w:t>,</w:t>
      </w:r>
      <w:r w:rsidR="004D6DBA" w:rsidRPr="004D6DBA">
        <w:rPr>
          <w:rFonts w:ascii="Verdana" w:hAnsi="Verdana"/>
          <w:sz w:val="20"/>
          <w:szCs w:val="20"/>
        </w:rPr>
        <w:t xml:space="preserve"> 80 (1): 89–118.</w:t>
      </w:r>
    </w:p>
    <w:p w14:paraId="4DF946E0" w14:textId="79555FF4" w:rsidR="00B630C0" w:rsidRPr="00B630C0" w:rsidRDefault="00B630C0"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Koch, S. 2018. The externalist challenge to conceptual engineering. </w:t>
      </w:r>
      <w:r w:rsidRPr="00B630C0">
        <w:rPr>
          <w:rFonts w:ascii="Verdana" w:hAnsi="Verdana"/>
          <w:i/>
          <w:sz w:val="20"/>
          <w:szCs w:val="20"/>
        </w:rPr>
        <w:t>Synthese</w:t>
      </w:r>
      <w:r w:rsidRPr="00B630C0">
        <w:rPr>
          <w:rFonts w:ascii="Verdana" w:hAnsi="Verdana"/>
          <w:sz w:val="20"/>
          <w:szCs w:val="20"/>
        </w:rPr>
        <w:t>, online-first.</w:t>
      </w:r>
      <w:r w:rsidR="00A264FE">
        <w:rPr>
          <w:rFonts w:ascii="Verdana" w:hAnsi="Verdana"/>
          <w:sz w:val="20"/>
          <w:szCs w:val="20"/>
        </w:rPr>
        <w:t xml:space="preserve"> DOI: </w:t>
      </w:r>
      <w:hyperlink r:id="rId8" w:history="1">
        <w:r w:rsidR="00A264FE" w:rsidRPr="00A264FE">
          <w:rPr>
            <w:rFonts w:ascii="Verdana" w:hAnsi="Verdana"/>
            <w:sz w:val="20"/>
            <w:szCs w:val="20"/>
          </w:rPr>
          <w:t>10.1007/s11229-018-02007-6 </w:t>
        </w:r>
      </w:hyperlink>
    </w:p>
    <w:p w14:paraId="56EFF0E4" w14:textId="7A1CBB85" w:rsidR="00B630C0" w:rsidRPr="00A264FE" w:rsidRDefault="00B630C0" w:rsidP="00B630C0">
      <w:pPr>
        <w:spacing w:after="0" w:line="240" w:lineRule="auto"/>
        <w:ind w:left="567" w:hanging="567"/>
        <w:rPr>
          <w:rFonts w:ascii="Verdana" w:hAnsi="Verdana"/>
          <w:sz w:val="20"/>
          <w:szCs w:val="20"/>
        </w:rPr>
      </w:pPr>
      <w:r w:rsidRPr="00B630C0">
        <w:rPr>
          <w:rFonts w:ascii="Verdana" w:hAnsi="Verdana"/>
          <w:sz w:val="20"/>
          <w:szCs w:val="20"/>
        </w:rPr>
        <w:t xml:space="preserve">—— 2019. Carnapian explications, experimental philosophy, and fruitful concepts. </w:t>
      </w:r>
      <w:r w:rsidRPr="004D6DBA">
        <w:rPr>
          <w:rFonts w:ascii="Verdana" w:hAnsi="Verdana"/>
          <w:i/>
          <w:sz w:val="20"/>
          <w:szCs w:val="20"/>
        </w:rPr>
        <w:t>Inquiry: An Interdisciplinary Journal of Philosophy</w:t>
      </w:r>
      <w:r w:rsidRPr="00B630C0">
        <w:rPr>
          <w:rFonts w:ascii="Verdana" w:hAnsi="Verdana"/>
          <w:i/>
          <w:sz w:val="20"/>
          <w:szCs w:val="20"/>
        </w:rPr>
        <w:t xml:space="preserve">, </w:t>
      </w:r>
      <w:r w:rsidRPr="00B630C0">
        <w:rPr>
          <w:rFonts w:ascii="Verdana" w:hAnsi="Verdana"/>
          <w:sz w:val="20"/>
          <w:szCs w:val="20"/>
        </w:rPr>
        <w:t>online-first.</w:t>
      </w:r>
      <w:r w:rsidR="00A264FE">
        <w:rPr>
          <w:rFonts w:ascii="Verdana" w:hAnsi="Verdana"/>
          <w:sz w:val="20"/>
          <w:szCs w:val="20"/>
        </w:rPr>
        <w:t xml:space="preserve"> DOI: </w:t>
      </w:r>
      <w:hyperlink r:id="rId9" w:history="1">
        <w:r w:rsidR="00A264FE" w:rsidRPr="00A264FE">
          <w:rPr>
            <w:rFonts w:ascii="Verdana" w:hAnsi="Verdana"/>
            <w:sz w:val="20"/>
            <w:szCs w:val="20"/>
          </w:rPr>
          <w:t>10.1080/0020174X.2019.1567381 </w:t>
        </w:r>
      </w:hyperlink>
    </w:p>
    <w:p w14:paraId="4DB6E4D3" w14:textId="331C5E75"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Kripke, S. A. 1980. </w:t>
      </w:r>
      <w:r w:rsidRPr="00B630C0">
        <w:rPr>
          <w:rFonts w:ascii="Verdana" w:hAnsi="Verdana"/>
          <w:i/>
          <w:sz w:val="20"/>
          <w:szCs w:val="20"/>
        </w:rPr>
        <w:t>Naming and Necessity</w:t>
      </w:r>
      <w:r w:rsidRPr="00B630C0">
        <w:rPr>
          <w:rFonts w:ascii="Verdana" w:hAnsi="Verdana"/>
          <w:sz w:val="20"/>
          <w:szCs w:val="20"/>
        </w:rPr>
        <w:t>. Oxford: Basil Blackwell Ltd.</w:t>
      </w:r>
    </w:p>
    <w:p w14:paraId="2FED21A4" w14:textId="2D022224" w:rsidR="00B630C0" w:rsidRPr="00B630C0" w:rsidRDefault="00B630C0" w:rsidP="00B630C0">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Lepore, E</w:t>
      </w:r>
      <w:r w:rsidRPr="00B630C0">
        <w:rPr>
          <w:rFonts w:ascii="Verdana" w:hAnsi="Verdana"/>
          <w:sz w:val="20"/>
          <w:szCs w:val="20"/>
        </w:rPr>
        <w:t>.</w:t>
      </w:r>
      <w:r w:rsidRPr="004D6DBA">
        <w:rPr>
          <w:rFonts w:ascii="Verdana" w:hAnsi="Verdana"/>
          <w:sz w:val="20"/>
          <w:szCs w:val="20"/>
        </w:rPr>
        <w:t>, and Cappelen, H</w:t>
      </w:r>
      <w:r w:rsidRPr="00B630C0">
        <w:rPr>
          <w:rFonts w:ascii="Verdana" w:hAnsi="Verdana"/>
          <w:sz w:val="20"/>
          <w:szCs w:val="20"/>
        </w:rPr>
        <w:t>.</w:t>
      </w:r>
      <w:r w:rsidRPr="004D6DBA">
        <w:rPr>
          <w:rFonts w:ascii="Verdana" w:hAnsi="Verdana"/>
          <w:sz w:val="20"/>
          <w:szCs w:val="20"/>
        </w:rPr>
        <w:t xml:space="preserve"> 2005. </w:t>
      </w:r>
      <w:r w:rsidRPr="004D6DBA">
        <w:rPr>
          <w:rFonts w:ascii="Verdana" w:hAnsi="Verdana"/>
          <w:i/>
          <w:sz w:val="20"/>
          <w:szCs w:val="20"/>
        </w:rPr>
        <w:t>Insensitive Semantics: A Defense of Semantic Minimalism and Speech Act Pluralism</w:t>
      </w:r>
      <w:r w:rsidRPr="004D6DBA">
        <w:rPr>
          <w:rFonts w:ascii="Verdana" w:hAnsi="Verdana"/>
          <w:sz w:val="20"/>
          <w:szCs w:val="20"/>
        </w:rPr>
        <w:t>. Blackwell.</w:t>
      </w:r>
    </w:p>
    <w:p w14:paraId="55B6EB8D" w14:textId="2E065B79" w:rsidR="00496B26"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Ludlow, P. 2014. </w:t>
      </w:r>
      <w:r w:rsidRPr="00B630C0">
        <w:rPr>
          <w:rFonts w:ascii="Verdana" w:hAnsi="Verdana"/>
          <w:i/>
          <w:sz w:val="20"/>
          <w:szCs w:val="20"/>
        </w:rPr>
        <w:t>Living words</w:t>
      </w:r>
      <w:r w:rsidRPr="00B630C0">
        <w:rPr>
          <w:rFonts w:ascii="Verdana" w:hAnsi="Verdana"/>
          <w:sz w:val="20"/>
          <w:szCs w:val="20"/>
        </w:rPr>
        <w:t xml:space="preserve">: </w:t>
      </w:r>
      <w:r w:rsidRPr="00B630C0">
        <w:rPr>
          <w:rFonts w:ascii="Verdana" w:hAnsi="Verdana"/>
          <w:i/>
          <w:sz w:val="20"/>
          <w:szCs w:val="20"/>
        </w:rPr>
        <w:t xml:space="preserve">Meaning underdetermination and the dynamic lexicon. </w:t>
      </w:r>
      <w:r w:rsidRPr="00B630C0">
        <w:rPr>
          <w:rFonts w:ascii="Verdana" w:hAnsi="Verdana"/>
          <w:sz w:val="20"/>
          <w:szCs w:val="20"/>
        </w:rPr>
        <w:t>Oxford: Oxford University Press.</w:t>
      </w:r>
    </w:p>
    <w:p w14:paraId="44F005C7" w14:textId="200CD586" w:rsidR="003A62FD" w:rsidRPr="00B630C0" w:rsidRDefault="003A62FD" w:rsidP="003A62FD">
      <w:pPr>
        <w:autoSpaceDE w:val="0"/>
        <w:autoSpaceDN w:val="0"/>
        <w:adjustRightInd w:val="0"/>
        <w:spacing w:after="0" w:line="240" w:lineRule="auto"/>
        <w:ind w:left="567" w:hanging="567"/>
        <w:rPr>
          <w:rFonts w:ascii="Verdana" w:hAnsi="Verdana"/>
          <w:sz w:val="20"/>
          <w:szCs w:val="20"/>
        </w:rPr>
      </w:pPr>
      <w:r>
        <w:rPr>
          <w:rFonts w:ascii="Verdana" w:hAnsi="Verdana"/>
          <w:sz w:val="20"/>
          <w:szCs w:val="20"/>
        </w:rPr>
        <w:t xml:space="preserve">Pinder, M. 2018. The austerity framework and semantic normativity. </w:t>
      </w:r>
      <w:r w:rsidRPr="004D6DBA">
        <w:rPr>
          <w:rFonts w:ascii="Verdana" w:hAnsi="Verdana"/>
          <w:i/>
          <w:sz w:val="20"/>
          <w:szCs w:val="20"/>
        </w:rPr>
        <w:t>Inquiry: An Interdisciplinary Journal of Philosophy</w:t>
      </w:r>
      <w:r>
        <w:rPr>
          <w:rFonts w:ascii="Verdana" w:hAnsi="Verdana"/>
          <w:i/>
          <w:sz w:val="20"/>
          <w:szCs w:val="20"/>
        </w:rPr>
        <w:t xml:space="preserve">, </w:t>
      </w:r>
      <w:r w:rsidRPr="00151036">
        <w:rPr>
          <w:rFonts w:ascii="Verdana" w:hAnsi="Verdana"/>
          <w:sz w:val="20"/>
          <w:szCs w:val="20"/>
        </w:rPr>
        <w:t>online-first.</w:t>
      </w:r>
      <w:r>
        <w:rPr>
          <w:rFonts w:ascii="Verdana" w:hAnsi="Verdana"/>
          <w:i/>
          <w:sz w:val="20"/>
          <w:szCs w:val="20"/>
        </w:rPr>
        <w:t xml:space="preserve"> </w:t>
      </w:r>
      <w:r>
        <w:rPr>
          <w:rFonts w:ascii="Verdana" w:hAnsi="Verdana"/>
          <w:sz w:val="20"/>
          <w:szCs w:val="20"/>
        </w:rPr>
        <w:t xml:space="preserve">DOI: </w:t>
      </w:r>
      <w:hyperlink r:id="rId10" w:history="1">
        <w:r w:rsidRPr="00151036">
          <w:rPr>
            <w:rFonts w:ascii="Verdana" w:hAnsi="Verdana"/>
            <w:sz w:val="20"/>
            <w:szCs w:val="20"/>
          </w:rPr>
          <w:t>10.1080/0020174X.2018.1557543 </w:t>
        </w:r>
      </w:hyperlink>
    </w:p>
    <w:p w14:paraId="07E98ECB" w14:textId="3FD5F71F" w:rsidR="004D6DBA" w:rsidRPr="004D6DBA" w:rsidRDefault="004D6DBA" w:rsidP="00B630C0">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 xml:space="preserve">Plunkett, </w:t>
      </w:r>
      <w:r w:rsidRPr="00B630C0">
        <w:rPr>
          <w:rFonts w:ascii="Verdana" w:hAnsi="Verdana"/>
          <w:sz w:val="20"/>
          <w:szCs w:val="20"/>
        </w:rPr>
        <w:t>D.</w:t>
      </w:r>
      <w:r w:rsidRPr="004D6DBA">
        <w:rPr>
          <w:rFonts w:ascii="Verdana" w:hAnsi="Verdana"/>
          <w:sz w:val="20"/>
          <w:szCs w:val="20"/>
        </w:rPr>
        <w:t xml:space="preserve"> 2015. Which concepts should we use? Metalinguistic negotiations and the methodology of philosophy. </w:t>
      </w:r>
      <w:r w:rsidRPr="004D6DBA">
        <w:rPr>
          <w:rFonts w:ascii="Verdana" w:hAnsi="Verdana"/>
          <w:i/>
          <w:sz w:val="20"/>
          <w:szCs w:val="20"/>
        </w:rPr>
        <w:t>Inquiry: An Interdisciplinary Journal of Philosophy</w:t>
      </w:r>
      <w:r w:rsidRPr="00B630C0">
        <w:rPr>
          <w:rFonts w:ascii="Verdana" w:hAnsi="Verdana"/>
          <w:sz w:val="20"/>
          <w:szCs w:val="20"/>
        </w:rPr>
        <w:t>,</w:t>
      </w:r>
      <w:r w:rsidRPr="004D6DBA">
        <w:rPr>
          <w:rFonts w:ascii="Verdana" w:hAnsi="Verdana"/>
          <w:sz w:val="20"/>
          <w:szCs w:val="20"/>
        </w:rPr>
        <w:t xml:space="preserve"> 58 (7–8): 828–74.</w:t>
      </w:r>
    </w:p>
    <w:p w14:paraId="3EF5B0F4" w14:textId="69C21C0E" w:rsidR="004D6DBA" w:rsidRPr="00B630C0" w:rsidRDefault="00B630C0"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w:t>
      </w:r>
      <w:r w:rsidR="004D6DBA" w:rsidRPr="004D6DBA">
        <w:rPr>
          <w:rFonts w:ascii="Verdana" w:hAnsi="Verdana"/>
          <w:sz w:val="20"/>
          <w:szCs w:val="20"/>
        </w:rPr>
        <w:t>, and Sundell, T</w:t>
      </w:r>
      <w:r w:rsidR="004D6DBA" w:rsidRPr="00B630C0">
        <w:rPr>
          <w:rFonts w:ascii="Verdana" w:hAnsi="Verdana"/>
          <w:sz w:val="20"/>
          <w:szCs w:val="20"/>
        </w:rPr>
        <w:t>.</w:t>
      </w:r>
      <w:r w:rsidR="004D6DBA" w:rsidRPr="004D6DBA">
        <w:rPr>
          <w:rFonts w:ascii="Verdana" w:hAnsi="Verdana"/>
          <w:sz w:val="20"/>
          <w:szCs w:val="20"/>
        </w:rPr>
        <w:t xml:space="preserve"> 2013. Disagreement and the semantics of normative and evaluative terms. </w:t>
      </w:r>
      <w:r w:rsidR="004D6DBA" w:rsidRPr="004D6DBA">
        <w:rPr>
          <w:rFonts w:ascii="Verdana" w:hAnsi="Verdana"/>
          <w:i/>
          <w:sz w:val="20"/>
          <w:szCs w:val="20"/>
        </w:rPr>
        <w:t>Philosophers’ Imprint</w:t>
      </w:r>
      <w:r w:rsidR="004D6DBA" w:rsidRPr="00B630C0">
        <w:rPr>
          <w:rFonts w:ascii="Verdana" w:hAnsi="Verdana"/>
          <w:i/>
          <w:sz w:val="20"/>
          <w:szCs w:val="20"/>
        </w:rPr>
        <w:t>,</w:t>
      </w:r>
      <w:r w:rsidR="004D6DBA" w:rsidRPr="004D6DBA">
        <w:rPr>
          <w:rFonts w:ascii="Verdana" w:hAnsi="Verdana"/>
          <w:sz w:val="20"/>
          <w:szCs w:val="20"/>
        </w:rPr>
        <w:t xml:space="preserve"> 13 (23): 1–37.</w:t>
      </w:r>
    </w:p>
    <w:p w14:paraId="57F3889D" w14:textId="646A5296"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lastRenderedPageBreak/>
        <w:t xml:space="preserve">Putnam, H. 1975. The Meaning of 'Meaning'. In H. Putnam (Ed.), </w:t>
      </w:r>
      <w:r w:rsidRPr="00B630C0">
        <w:rPr>
          <w:rFonts w:ascii="Verdana" w:hAnsi="Verdana"/>
          <w:i/>
          <w:sz w:val="20"/>
          <w:szCs w:val="20"/>
        </w:rPr>
        <w:t>Philosophical Paper Vol. 2. Mind, language and reality</w:t>
      </w:r>
      <w:r w:rsidRPr="00B630C0">
        <w:rPr>
          <w:rFonts w:ascii="Verdana" w:hAnsi="Verdana"/>
          <w:sz w:val="20"/>
          <w:szCs w:val="20"/>
        </w:rPr>
        <w:t>, 215–71. Cambridge: Cambridge University Press.</w:t>
      </w:r>
    </w:p>
    <w:p w14:paraId="0DA735CC" w14:textId="1EFD0F89"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Scharp, K. 2007. Replacing Truth. </w:t>
      </w:r>
      <w:r w:rsidR="003A62FD" w:rsidRPr="004D6DBA">
        <w:rPr>
          <w:rFonts w:ascii="Verdana" w:hAnsi="Verdana"/>
          <w:i/>
          <w:sz w:val="20"/>
          <w:szCs w:val="20"/>
        </w:rPr>
        <w:t>Inquiry: An Interdisciplinary Journal of Philosophy</w:t>
      </w:r>
      <w:r w:rsidR="003A62FD" w:rsidRPr="00B630C0" w:rsidDel="002D38A5">
        <w:rPr>
          <w:rFonts w:ascii="Verdana" w:hAnsi="Verdana"/>
          <w:i/>
          <w:sz w:val="20"/>
          <w:szCs w:val="20"/>
        </w:rPr>
        <w:t xml:space="preserve"> </w:t>
      </w:r>
      <w:r w:rsidRPr="00B630C0">
        <w:rPr>
          <w:rFonts w:ascii="Verdana" w:hAnsi="Verdana"/>
          <w:sz w:val="20"/>
          <w:szCs w:val="20"/>
        </w:rPr>
        <w:t>, 50/6: 606–621.</w:t>
      </w:r>
    </w:p>
    <w:p w14:paraId="62C79618" w14:textId="72ADCF63" w:rsidR="00496B26" w:rsidRPr="00B630C0" w:rsidRDefault="00496B26" w:rsidP="00B630C0">
      <w:pPr>
        <w:autoSpaceDE w:val="0"/>
        <w:autoSpaceDN w:val="0"/>
        <w:adjustRightInd w:val="0"/>
        <w:spacing w:after="0" w:line="240" w:lineRule="auto"/>
        <w:ind w:left="567" w:hanging="567"/>
        <w:rPr>
          <w:rFonts w:ascii="Verdana" w:hAnsi="Verdana"/>
          <w:sz w:val="20"/>
          <w:szCs w:val="20"/>
        </w:rPr>
      </w:pPr>
      <w:r w:rsidRPr="00B630C0">
        <w:rPr>
          <w:rFonts w:ascii="Verdana" w:hAnsi="Verdana"/>
          <w:sz w:val="20"/>
          <w:szCs w:val="20"/>
        </w:rPr>
        <w:t xml:space="preserve">—— 2013. </w:t>
      </w:r>
      <w:r w:rsidRPr="00B630C0">
        <w:rPr>
          <w:rFonts w:ascii="Verdana" w:hAnsi="Verdana"/>
          <w:i/>
          <w:sz w:val="20"/>
          <w:szCs w:val="20"/>
        </w:rPr>
        <w:t xml:space="preserve">Replacing Truth. </w:t>
      </w:r>
      <w:r w:rsidRPr="00B630C0">
        <w:rPr>
          <w:rFonts w:ascii="Verdana" w:hAnsi="Verdana"/>
          <w:sz w:val="20"/>
          <w:szCs w:val="20"/>
        </w:rPr>
        <w:t>Oxford: Oxford University Press.</w:t>
      </w:r>
    </w:p>
    <w:p w14:paraId="7C631D3C" w14:textId="5EBDDC4D" w:rsidR="00B630C0" w:rsidRPr="00B630C0" w:rsidRDefault="004D6DBA" w:rsidP="00B630C0">
      <w:pPr>
        <w:autoSpaceDE w:val="0"/>
        <w:autoSpaceDN w:val="0"/>
        <w:adjustRightInd w:val="0"/>
        <w:spacing w:after="0" w:line="240" w:lineRule="auto"/>
        <w:ind w:left="567" w:hanging="567"/>
        <w:rPr>
          <w:rFonts w:ascii="Verdana" w:hAnsi="Verdana"/>
          <w:sz w:val="20"/>
          <w:szCs w:val="20"/>
        </w:rPr>
      </w:pPr>
      <w:r w:rsidRPr="004D6DBA">
        <w:rPr>
          <w:rFonts w:ascii="Verdana" w:hAnsi="Verdana"/>
          <w:sz w:val="20"/>
          <w:szCs w:val="20"/>
        </w:rPr>
        <w:t>Thomasson, A</w:t>
      </w:r>
      <w:r w:rsidRPr="00B630C0">
        <w:rPr>
          <w:rFonts w:ascii="Verdana" w:hAnsi="Verdana"/>
          <w:sz w:val="20"/>
          <w:szCs w:val="20"/>
        </w:rPr>
        <w:t>.</w:t>
      </w:r>
      <w:r w:rsidRPr="004D6DBA">
        <w:rPr>
          <w:rFonts w:ascii="Verdana" w:hAnsi="Verdana"/>
          <w:sz w:val="20"/>
          <w:szCs w:val="20"/>
        </w:rPr>
        <w:t xml:space="preserve"> forthcoming. A pragmatic method for conceptual ethics. In Burgess, Cappelen, and Plunkett (eds.), </w:t>
      </w:r>
      <w:r w:rsidRPr="004D6DBA">
        <w:rPr>
          <w:rFonts w:ascii="Verdana" w:hAnsi="Verdana"/>
          <w:i/>
          <w:sz w:val="20"/>
          <w:szCs w:val="20"/>
        </w:rPr>
        <w:t>Conceptual Ethics and Conceptual Engineering</w:t>
      </w:r>
      <w:r w:rsidRPr="004D6DBA">
        <w:rPr>
          <w:rFonts w:ascii="Verdana" w:hAnsi="Verdana"/>
          <w:sz w:val="20"/>
          <w:szCs w:val="20"/>
        </w:rPr>
        <w:t>. Oxford University Press.</w:t>
      </w:r>
    </w:p>
    <w:sectPr w:rsidR="00B630C0" w:rsidRPr="00B630C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7B470" w14:textId="77777777" w:rsidR="00146C7F" w:rsidRDefault="00146C7F" w:rsidP="00B656B8">
      <w:pPr>
        <w:spacing w:after="0" w:line="240" w:lineRule="auto"/>
      </w:pPr>
      <w:r>
        <w:separator/>
      </w:r>
    </w:p>
  </w:endnote>
  <w:endnote w:type="continuationSeparator" w:id="0">
    <w:p w14:paraId="1A4B1367" w14:textId="77777777" w:rsidR="00146C7F" w:rsidRDefault="00146C7F" w:rsidP="00B6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B481" w14:textId="77777777" w:rsidR="00821865" w:rsidRDefault="008218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E478" w14:textId="77777777" w:rsidR="00821865" w:rsidRDefault="008218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C3CD5" w14:textId="77777777" w:rsidR="00821865" w:rsidRDefault="008218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5F139" w14:textId="77777777" w:rsidR="00146C7F" w:rsidRDefault="00146C7F" w:rsidP="00B656B8">
      <w:pPr>
        <w:spacing w:after="0" w:line="240" w:lineRule="auto"/>
      </w:pPr>
      <w:r>
        <w:separator/>
      </w:r>
    </w:p>
  </w:footnote>
  <w:footnote w:type="continuationSeparator" w:id="0">
    <w:p w14:paraId="63C5160E" w14:textId="77777777" w:rsidR="00146C7F" w:rsidRDefault="00146C7F" w:rsidP="00B6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841A" w14:textId="77777777" w:rsidR="00821865" w:rsidRDefault="008218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A3CA" w14:textId="5DC8ECC4" w:rsidR="00821865" w:rsidRDefault="00821865" w:rsidP="008F55D7">
    <w:pPr>
      <w:spacing w:line="240" w:lineRule="auto"/>
      <w:rPr>
        <w:rFonts w:ascii="Verdana" w:eastAsia="Times New Roman" w:hAnsi="Verdana" w:cs="Times New Roman"/>
        <w:sz w:val="20"/>
        <w:szCs w:val="20"/>
      </w:rPr>
    </w:pPr>
    <w:r>
      <w:rPr>
        <w:rFonts w:ascii="Verdana" w:eastAsia="Times New Roman" w:hAnsi="Verdana" w:cs="Times New Roman"/>
        <w:sz w:val="20"/>
        <w:szCs w:val="20"/>
      </w:rPr>
      <w:t>Pre-print</w:t>
    </w:r>
  </w:p>
  <w:p w14:paraId="7FA2245C" w14:textId="18F5E4A4" w:rsidR="008F55D7" w:rsidRPr="008F55D7" w:rsidRDefault="008F55D7" w:rsidP="008F55D7">
    <w:pPr>
      <w:spacing w:line="240" w:lineRule="auto"/>
      <w:rPr>
        <w:rFonts w:ascii="Verdana" w:eastAsia="Times New Roman" w:hAnsi="Verdana" w:cs="Times New Roman"/>
        <w:sz w:val="20"/>
        <w:szCs w:val="20"/>
      </w:rPr>
    </w:pPr>
    <w:r>
      <w:rPr>
        <w:rFonts w:ascii="Verdana" w:eastAsia="Times New Roman" w:hAnsi="Verdana" w:cs="Times New Roman"/>
        <w:sz w:val="20"/>
        <w:szCs w:val="20"/>
      </w:rPr>
      <w:t>Forthcoming in</w:t>
    </w:r>
    <w:r w:rsidRPr="00C511C5">
      <w:rPr>
        <w:rFonts w:ascii="Verdana" w:eastAsia="Times New Roman" w:hAnsi="Verdana" w:cs="Times New Roman"/>
        <w:i/>
        <w:sz w:val="20"/>
        <w:szCs w:val="20"/>
      </w:rPr>
      <w:t xml:space="preserve"> History of Philosophy</w:t>
    </w:r>
    <w:r w:rsidR="003C17C8">
      <w:rPr>
        <w:rFonts w:ascii="Verdana" w:eastAsia="Times New Roman" w:hAnsi="Verdana" w:cs="Times New Roman"/>
        <w:i/>
        <w:sz w:val="20"/>
        <w:szCs w:val="20"/>
      </w:rPr>
      <w:t xml:space="preserve"> and </w:t>
    </w:r>
    <w:r w:rsidR="003C17C8" w:rsidRPr="00C511C5">
      <w:rPr>
        <w:rFonts w:ascii="Verdana" w:eastAsia="Times New Roman" w:hAnsi="Verdana" w:cs="Times New Roman"/>
        <w:i/>
        <w:sz w:val="20"/>
        <w:szCs w:val="20"/>
      </w:rPr>
      <w:t>Logical Analysis</w:t>
    </w:r>
  </w:p>
  <w:p w14:paraId="0ECDBFD4" w14:textId="77777777" w:rsidR="008F55D7" w:rsidRDefault="008F55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B5C9F" w14:textId="77777777" w:rsidR="00821865" w:rsidRDefault="008218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165E"/>
    <w:multiLevelType w:val="hybridMultilevel"/>
    <w:tmpl w:val="321A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0470"/>
    <w:multiLevelType w:val="multilevel"/>
    <w:tmpl w:val="E2CC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40EDB"/>
    <w:multiLevelType w:val="hybridMultilevel"/>
    <w:tmpl w:val="FA7E77B0"/>
    <w:lvl w:ilvl="0" w:tplc="0B6C7AC2">
      <w:start w:val="1"/>
      <w:numFmt w:val="bullet"/>
      <w:lvlText w:val="-"/>
      <w:lvlJc w:val="left"/>
      <w:pPr>
        <w:ind w:left="1068" w:hanging="360"/>
      </w:pPr>
      <w:rPr>
        <w:rFonts w:ascii="Verdana" w:eastAsia="Times New Roman" w:hAnsi="Verdan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80600E7"/>
    <w:multiLevelType w:val="multilevel"/>
    <w:tmpl w:val="AF74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D1339"/>
    <w:multiLevelType w:val="hybridMultilevel"/>
    <w:tmpl w:val="4832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179D2"/>
    <w:multiLevelType w:val="hybridMultilevel"/>
    <w:tmpl w:val="D732329C"/>
    <w:lvl w:ilvl="0" w:tplc="849A8982">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4E920D25"/>
    <w:multiLevelType w:val="multilevel"/>
    <w:tmpl w:val="09EE6ECC"/>
    <w:lvl w:ilvl="0">
      <w:start w:val="224"/>
      <w:numFmt w:val="bullet"/>
      <w:lvlText w:val="-"/>
      <w:lvlJc w:val="left"/>
      <w:pPr>
        <w:tabs>
          <w:tab w:val="num" w:pos="720"/>
        </w:tabs>
        <w:ind w:left="720" w:hanging="360"/>
      </w:pPr>
      <w:rPr>
        <w:rFonts w:ascii="Verdana" w:eastAsia="Times New Roman" w:hAnsi="Verdan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93B17"/>
    <w:multiLevelType w:val="hybridMultilevel"/>
    <w:tmpl w:val="05ECA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7655EC"/>
    <w:multiLevelType w:val="multilevel"/>
    <w:tmpl w:val="30C4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B68D8"/>
    <w:multiLevelType w:val="hybridMultilevel"/>
    <w:tmpl w:val="EFE2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6367E"/>
    <w:multiLevelType w:val="hybridMultilevel"/>
    <w:tmpl w:val="832E0D04"/>
    <w:lvl w:ilvl="0" w:tplc="39782DFC">
      <w:start w:val="22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6"/>
  </w:num>
  <w:num w:numId="6">
    <w:abstractNumId w:val="0"/>
  </w:num>
  <w:num w:numId="7">
    <w:abstractNumId w:val="4"/>
  </w:num>
  <w:num w:numId="8">
    <w:abstractNumId w:val="9"/>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38"/>
    <w:rsid w:val="0000421F"/>
    <w:rsid w:val="0000791E"/>
    <w:rsid w:val="000132CA"/>
    <w:rsid w:val="0005206C"/>
    <w:rsid w:val="0005558E"/>
    <w:rsid w:val="0006684C"/>
    <w:rsid w:val="0007065F"/>
    <w:rsid w:val="00075579"/>
    <w:rsid w:val="00086123"/>
    <w:rsid w:val="00090FF3"/>
    <w:rsid w:val="000A3EB6"/>
    <w:rsid w:val="000B3A3A"/>
    <w:rsid w:val="000B62E9"/>
    <w:rsid w:val="000C20EB"/>
    <w:rsid w:val="000E6CAB"/>
    <w:rsid w:val="000F4C10"/>
    <w:rsid w:val="000F5A2E"/>
    <w:rsid w:val="001126A4"/>
    <w:rsid w:val="00143805"/>
    <w:rsid w:val="001456F0"/>
    <w:rsid w:val="00146C7F"/>
    <w:rsid w:val="001720B4"/>
    <w:rsid w:val="001F5711"/>
    <w:rsid w:val="001F789C"/>
    <w:rsid w:val="00210F1E"/>
    <w:rsid w:val="00214FD1"/>
    <w:rsid w:val="0022321C"/>
    <w:rsid w:val="0023173A"/>
    <w:rsid w:val="0023626F"/>
    <w:rsid w:val="002453CF"/>
    <w:rsid w:val="00252AA9"/>
    <w:rsid w:val="0025650E"/>
    <w:rsid w:val="00256728"/>
    <w:rsid w:val="00261A50"/>
    <w:rsid w:val="0026340B"/>
    <w:rsid w:val="00272756"/>
    <w:rsid w:val="002901D9"/>
    <w:rsid w:val="0029452C"/>
    <w:rsid w:val="00294A7E"/>
    <w:rsid w:val="002C6A82"/>
    <w:rsid w:val="002D0990"/>
    <w:rsid w:val="002D6B4E"/>
    <w:rsid w:val="002F121F"/>
    <w:rsid w:val="002F451E"/>
    <w:rsid w:val="00305D2D"/>
    <w:rsid w:val="00326072"/>
    <w:rsid w:val="0032685D"/>
    <w:rsid w:val="003340E9"/>
    <w:rsid w:val="00335966"/>
    <w:rsid w:val="003408E1"/>
    <w:rsid w:val="003500EA"/>
    <w:rsid w:val="00357431"/>
    <w:rsid w:val="00390E0F"/>
    <w:rsid w:val="003926E5"/>
    <w:rsid w:val="003A00C7"/>
    <w:rsid w:val="003A5F37"/>
    <w:rsid w:val="003A62FD"/>
    <w:rsid w:val="003C17C8"/>
    <w:rsid w:val="003C22B2"/>
    <w:rsid w:val="003D544D"/>
    <w:rsid w:val="003E0135"/>
    <w:rsid w:val="003E3A3F"/>
    <w:rsid w:val="00416421"/>
    <w:rsid w:val="00426A80"/>
    <w:rsid w:val="004429D3"/>
    <w:rsid w:val="004751DD"/>
    <w:rsid w:val="00482930"/>
    <w:rsid w:val="00483195"/>
    <w:rsid w:val="004845F2"/>
    <w:rsid w:val="00496B26"/>
    <w:rsid w:val="004A45D8"/>
    <w:rsid w:val="004D2182"/>
    <w:rsid w:val="004D6DBA"/>
    <w:rsid w:val="004E1D73"/>
    <w:rsid w:val="004E37BD"/>
    <w:rsid w:val="005169F6"/>
    <w:rsid w:val="00523E13"/>
    <w:rsid w:val="00533007"/>
    <w:rsid w:val="00547854"/>
    <w:rsid w:val="005618F0"/>
    <w:rsid w:val="00566AE0"/>
    <w:rsid w:val="0057758C"/>
    <w:rsid w:val="00582CE6"/>
    <w:rsid w:val="005B2558"/>
    <w:rsid w:val="005B731E"/>
    <w:rsid w:val="005C35EB"/>
    <w:rsid w:val="005C4DB4"/>
    <w:rsid w:val="005D7A7F"/>
    <w:rsid w:val="006116DA"/>
    <w:rsid w:val="00644AB5"/>
    <w:rsid w:val="006817D7"/>
    <w:rsid w:val="00697AE7"/>
    <w:rsid w:val="006A3741"/>
    <w:rsid w:val="006B1E95"/>
    <w:rsid w:val="006D5B8C"/>
    <w:rsid w:val="006E430E"/>
    <w:rsid w:val="00701671"/>
    <w:rsid w:val="00707B59"/>
    <w:rsid w:val="00714FFE"/>
    <w:rsid w:val="007214BE"/>
    <w:rsid w:val="007230DC"/>
    <w:rsid w:val="00726A21"/>
    <w:rsid w:val="007275CE"/>
    <w:rsid w:val="00745796"/>
    <w:rsid w:val="00767F7F"/>
    <w:rsid w:val="00773D8A"/>
    <w:rsid w:val="00780DD3"/>
    <w:rsid w:val="00783D66"/>
    <w:rsid w:val="00783FCC"/>
    <w:rsid w:val="008149A2"/>
    <w:rsid w:val="00821865"/>
    <w:rsid w:val="00824EB3"/>
    <w:rsid w:val="00827713"/>
    <w:rsid w:val="008431D7"/>
    <w:rsid w:val="0085005A"/>
    <w:rsid w:val="008779BA"/>
    <w:rsid w:val="008A2225"/>
    <w:rsid w:val="008B19AA"/>
    <w:rsid w:val="008C1D75"/>
    <w:rsid w:val="008D3889"/>
    <w:rsid w:val="008E36D0"/>
    <w:rsid w:val="008F55D7"/>
    <w:rsid w:val="009148B4"/>
    <w:rsid w:val="009168A1"/>
    <w:rsid w:val="00931986"/>
    <w:rsid w:val="009959C0"/>
    <w:rsid w:val="009A1695"/>
    <w:rsid w:val="009A423D"/>
    <w:rsid w:val="009A5613"/>
    <w:rsid w:val="009B191C"/>
    <w:rsid w:val="009B1EA5"/>
    <w:rsid w:val="009B71CD"/>
    <w:rsid w:val="009F4488"/>
    <w:rsid w:val="00A264FE"/>
    <w:rsid w:val="00A273FA"/>
    <w:rsid w:val="00A519DC"/>
    <w:rsid w:val="00A5418F"/>
    <w:rsid w:val="00A563C6"/>
    <w:rsid w:val="00A629E5"/>
    <w:rsid w:val="00A63CFF"/>
    <w:rsid w:val="00A7767E"/>
    <w:rsid w:val="00A8289F"/>
    <w:rsid w:val="00AB5D20"/>
    <w:rsid w:val="00AC19DB"/>
    <w:rsid w:val="00AC5C94"/>
    <w:rsid w:val="00AE09ED"/>
    <w:rsid w:val="00AE1999"/>
    <w:rsid w:val="00AF05D3"/>
    <w:rsid w:val="00AF07EE"/>
    <w:rsid w:val="00B1418D"/>
    <w:rsid w:val="00B33F9E"/>
    <w:rsid w:val="00B510F0"/>
    <w:rsid w:val="00B5509D"/>
    <w:rsid w:val="00B563D5"/>
    <w:rsid w:val="00B630C0"/>
    <w:rsid w:val="00B656B8"/>
    <w:rsid w:val="00BA7100"/>
    <w:rsid w:val="00BB166E"/>
    <w:rsid w:val="00BB4B64"/>
    <w:rsid w:val="00BC3541"/>
    <w:rsid w:val="00BF2DEE"/>
    <w:rsid w:val="00C02B1E"/>
    <w:rsid w:val="00C422DC"/>
    <w:rsid w:val="00C511C5"/>
    <w:rsid w:val="00C76EF4"/>
    <w:rsid w:val="00C7704C"/>
    <w:rsid w:val="00C81794"/>
    <w:rsid w:val="00C85A24"/>
    <w:rsid w:val="00C901B1"/>
    <w:rsid w:val="00C92F69"/>
    <w:rsid w:val="00CA4337"/>
    <w:rsid w:val="00CB4433"/>
    <w:rsid w:val="00CE58C0"/>
    <w:rsid w:val="00CE58EE"/>
    <w:rsid w:val="00CE77C6"/>
    <w:rsid w:val="00D00265"/>
    <w:rsid w:val="00D376CD"/>
    <w:rsid w:val="00D67486"/>
    <w:rsid w:val="00DC0B4A"/>
    <w:rsid w:val="00DC384C"/>
    <w:rsid w:val="00DE0B3A"/>
    <w:rsid w:val="00DF31F1"/>
    <w:rsid w:val="00DF680E"/>
    <w:rsid w:val="00DF7D83"/>
    <w:rsid w:val="00E03EF1"/>
    <w:rsid w:val="00E23B92"/>
    <w:rsid w:val="00E26B06"/>
    <w:rsid w:val="00E548E2"/>
    <w:rsid w:val="00E6158E"/>
    <w:rsid w:val="00EA2C9C"/>
    <w:rsid w:val="00EB2F03"/>
    <w:rsid w:val="00EB7406"/>
    <w:rsid w:val="00EF147A"/>
    <w:rsid w:val="00F00CC7"/>
    <w:rsid w:val="00F07FE9"/>
    <w:rsid w:val="00F22136"/>
    <w:rsid w:val="00F33BD9"/>
    <w:rsid w:val="00F4661A"/>
    <w:rsid w:val="00F63259"/>
    <w:rsid w:val="00F900E7"/>
    <w:rsid w:val="00FA3726"/>
    <w:rsid w:val="00FB7B38"/>
    <w:rsid w:val="00FC21B9"/>
    <w:rsid w:val="00FD0F04"/>
    <w:rsid w:val="00FE2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57F9"/>
  <w15:chartTrackingRefBased/>
  <w15:docId w15:val="{BD35DF16-8F1C-43B3-9C5A-6FFD1C63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paragraph" w:styleId="berschrift2">
    <w:name w:val="heading 2"/>
    <w:basedOn w:val="Standard"/>
    <w:link w:val="berschrift2Zchn"/>
    <w:uiPriority w:val="9"/>
    <w:qFormat/>
    <w:rsid w:val="00CE58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E58EE"/>
    <w:rPr>
      <w:rFonts w:ascii="Times New Roman" w:eastAsia="Times New Roman" w:hAnsi="Times New Roman" w:cs="Times New Roman"/>
      <w:b/>
      <w:bCs/>
      <w:sz w:val="36"/>
      <w:szCs w:val="36"/>
      <w:lang w:val="en-US"/>
    </w:rPr>
  </w:style>
  <w:style w:type="paragraph" w:styleId="StandardWeb">
    <w:name w:val="Normal (Web)"/>
    <w:basedOn w:val="Standard"/>
    <w:uiPriority w:val="99"/>
    <w:unhideWhenUsed/>
    <w:rsid w:val="00CE58EE"/>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F4661A"/>
    <w:pPr>
      <w:ind w:left="720"/>
      <w:contextualSpacing/>
    </w:pPr>
  </w:style>
  <w:style w:type="paragraph" w:styleId="Funotentext">
    <w:name w:val="footnote text"/>
    <w:basedOn w:val="Standard"/>
    <w:link w:val="FunotentextZchn"/>
    <w:uiPriority w:val="99"/>
    <w:semiHidden/>
    <w:unhideWhenUsed/>
    <w:rsid w:val="00B656B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656B8"/>
    <w:rPr>
      <w:sz w:val="20"/>
      <w:szCs w:val="20"/>
      <w:lang w:val="en-US"/>
    </w:rPr>
  </w:style>
  <w:style w:type="character" w:styleId="Funotenzeichen">
    <w:name w:val="footnote reference"/>
    <w:basedOn w:val="Absatz-Standardschriftart"/>
    <w:uiPriority w:val="99"/>
    <w:semiHidden/>
    <w:unhideWhenUsed/>
    <w:rsid w:val="00B656B8"/>
    <w:rPr>
      <w:vertAlign w:val="superscript"/>
    </w:rPr>
  </w:style>
  <w:style w:type="character" w:styleId="Hyperlink">
    <w:name w:val="Hyperlink"/>
    <w:basedOn w:val="Absatz-Standardschriftart"/>
    <w:uiPriority w:val="99"/>
    <w:unhideWhenUsed/>
    <w:rsid w:val="00496B26"/>
    <w:rPr>
      <w:rFonts w:cs="Times New Roman"/>
      <w:color w:val="0563C1" w:themeColor="hyperlink"/>
      <w:u w:val="single"/>
    </w:rPr>
  </w:style>
  <w:style w:type="character" w:styleId="Kommentarzeichen">
    <w:name w:val="annotation reference"/>
    <w:basedOn w:val="Absatz-Standardschriftart"/>
    <w:uiPriority w:val="99"/>
    <w:semiHidden/>
    <w:unhideWhenUsed/>
    <w:rsid w:val="00697AE7"/>
    <w:rPr>
      <w:sz w:val="16"/>
      <w:szCs w:val="16"/>
    </w:rPr>
  </w:style>
  <w:style w:type="paragraph" w:styleId="Kommentartext">
    <w:name w:val="annotation text"/>
    <w:basedOn w:val="Standard"/>
    <w:link w:val="KommentartextZchn"/>
    <w:uiPriority w:val="99"/>
    <w:semiHidden/>
    <w:unhideWhenUsed/>
    <w:rsid w:val="00697A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AE7"/>
    <w:rPr>
      <w:sz w:val="20"/>
      <w:szCs w:val="20"/>
      <w:lang w:val="en-US"/>
    </w:rPr>
  </w:style>
  <w:style w:type="paragraph" w:styleId="Kommentarthema">
    <w:name w:val="annotation subject"/>
    <w:basedOn w:val="Kommentartext"/>
    <w:next w:val="Kommentartext"/>
    <w:link w:val="KommentarthemaZchn"/>
    <w:uiPriority w:val="99"/>
    <w:semiHidden/>
    <w:unhideWhenUsed/>
    <w:rsid w:val="00697AE7"/>
    <w:rPr>
      <w:b/>
      <w:bCs/>
    </w:rPr>
  </w:style>
  <w:style w:type="character" w:customStyle="1" w:styleId="KommentarthemaZchn">
    <w:name w:val="Kommentarthema Zchn"/>
    <w:basedOn w:val="KommentartextZchn"/>
    <w:link w:val="Kommentarthema"/>
    <w:uiPriority w:val="99"/>
    <w:semiHidden/>
    <w:rsid w:val="00697AE7"/>
    <w:rPr>
      <w:b/>
      <w:bCs/>
      <w:sz w:val="20"/>
      <w:szCs w:val="20"/>
      <w:lang w:val="en-US"/>
    </w:rPr>
  </w:style>
  <w:style w:type="paragraph" w:styleId="Sprechblasentext">
    <w:name w:val="Balloon Text"/>
    <w:basedOn w:val="Standard"/>
    <w:link w:val="SprechblasentextZchn"/>
    <w:uiPriority w:val="99"/>
    <w:semiHidden/>
    <w:unhideWhenUsed/>
    <w:rsid w:val="00697A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7AE7"/>
    <w:rPr>
      <w:rFonts w:ascii="Segoe UI" w:hAnsi="Segoe UI" w:cs="Segoe UI"/>
      <w:sz w:val="18"/>
      <w:szCs w:val="18"/>
      <w:lang w:val="en-US"/>
    </w:rPr>
  </w:style>
  <w:style w:type="paragraph" w:styleId="Kopfzeile">
    <w:name w:val="header"/>
    <w:basedOn w:val="Standard"/>
    <w:link w:val="KopfzeileZchn"/>
    <w:uiPriority w:val="99"/>
    <w:unhideWhenUsed/>
    <w:rsid w:val="00BA710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A7100"/>
    <w:rPr>
      <w:lang w:val="en-US"/>
    </w:rPr>
  </w:style>
  <w:style w:type="paragraph" w:styleId="Fuzeile">
    <w:name w:val="footer"/>
    <w:basedOn w:val="Standard"/>
    <w:link w:val="FuzeileZchn"/>
    <w:uiPriority w:val="99"/>
    <w:unhideWhenUsed/>
    <w:rsid w:val="00BA710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A710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0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KOCTEC&amp;proxyId=&amp;u=http%3A%2F%2Fdx.doi.org%2F10.1007%2Fs11229-018-02007-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hilpapers.org/go.pl?id=PINTAF-2&amp;proxyId=&amp;u=http%3A%2F%2Fdx.doi.org%2F10.1080%2F0020174X.2018.1557543" TargetMode="External"/><Relationship Id="rId4" Type="http://schemas.openxmlformats.org/officeDocument/2006/relationships/settings" Target="settings.xml"/><Relationship Id="rId9" Type="http://schemas.openxmlformats.org/officeDocument/2006/relationships/hyperlink" Target="https://philpapers.org/go.pl?id=KOCCEE-2&amp;proxyId=&amp;u=http%3A%2F%2Fdx.doi.org%2F10.1080%2F0020174X.2019.1567381"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CD8B-9D42-4ED6-9D5C-10026D04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4858</Words>
  <Characters>27693</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28</cp:revision>
  <dcterms:created xsi:type="dcterms:W3CDTF">2019-01-22T20:35:00Z</dcterms:created>
  <dcterms:modified xsi:type="dcterms:W3CDTF">2020-05-25T12:01:00Z</dcterms:modified>
</cp:coreProperties>
</file>