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3866A" w14:textId="4DC5B984" w:rsidR="00FC48F9" w:rsidRPr="00B924A8" w:rsidRDefault="00EA4AF7" w:rsidP="00AC62F4">
      <w:pPr>
        <w:rPr>
          <w:rFonts w:cs="Times New Roman"/>
        </w:rPr>
      </w:pPr>
      <w:r w:rsidRPr="00B924A8">
        <w:rPr>
          <w:rFonts w:cs="Times New Roman"/>
        </w:rPr>
        <w:t>Faith, Recognition, and Community</w:t>
      </w:r>
      <w:r w:rsidR="00A80161" w:rsidRPr="00B924A8">
        <w:rPr>
          <w:rFonts w:cs="Times New Roman"/>
        </w:rPr>
        <w:t>: Abraham</w:t>
      </w:r>
      <w:r w:rsidR="005D4C21">
        <w:rPr>
          <w:rFonts w:cs="Times New Roman"/>
        </w:rPr>
        <w:t xml:space="preserve"> and “Faith-In”</w:t>
      </w:r>
      <w:r w:rsidR="00A80161" w:rsidRPr="00B924A8">
        <w:rPr>
          <w:rFonts w:cs="Times New Roman"/>
        </w:rPr>
        <w:t xml:space="preserve"> in Hegel and Kierkegaard</w:t>
      </w:r>
    </w:p>
    <w:p w14:paraId="12A7CCB0" w14:textId="0E6EEE6C" w:rsidR="00A80161" w:rsidRPr="00B924A8" w:rsidRDefault="000321E4" w:rsidP="00AC62F4">
      <w:pPr>
        <w:rPr>
          <w:rFonts w:cs="Times New Roman"/>
          <w:i/>
        </w:rPr>
      </w:pPr>
      <w:r w:rsidRPr="00B924A8">
        <w:rPr>
          <w:rFonts w:cs="Times New Roman"/>
          <w:i/>
        </w:rPr>
        <w:t>Andrew James</w:t>
      </w:r>
      <w:r w:rsidR="00A80161" w:rsidRPr="00B924A8">
        <w:rPr>
          <w:rFonts w:cs="Times New Roman"/>
          <w:i/>
        </w:rPr>
        <w:t xml:space="preserve"> Komasinski</w:t>
      </w:r>
    </w:p>
    <w:p w14:paraId="0D8F671B" w14:textId="77777777" w:rsidR="00A80161" w:rsidRPr="00B924A8" w:rsidRDefault="00A80161" w:rsidP="00AC62F4">
      <w:pPr>
        <w:ind w:firstLine="720"/>
        <w:rPr>
          <w:rFonts w:cs="Times New Roman"/>
        </w:rPr>
      </w:pPr>
    </w:p>
    <w:p w14:paraId="6ECA3426" w14:textId="47006CC5" w:rsidR="00A80161" w:rsidRDefault="00A80161" w:rsidP="00097D6B">
      <w:pPr>
        <w:pStyle w:val="Heading1"/>
      </w:pPr>
      <w:r>
        <w:t>Abstract</w:t>
      </w:r>
    </w:p>
    <w:p w14:paraId="147F6417" w14:textId="4F6822D2" w:rsidR="00AD3A81" w:rsidRPr="00B924A8" w:rsidRDefault="00AD3A81" w:rsidP="00074681">
      <w:pPr>
        <w:ind w:firstLine="720"/>
        <w:rPr>
          <w:rFonts w:cs="Times New Roman"/>
        </w:rPr>
      </w:pPr>
      <w:r w:rsidRPr="00B924A8">
        <w:rPr>
          <w:rFonts w:cs="Times New Roman"/>
        </w:rPr>
        <w:t xml:space="preserve">This article </w:t>
      </w:r>
      <w:r>
        <w:rPr>
          <w:rFonts w:cs="Times New Roman"/>
        </w:rPr>
        <w:t xml:space="preserve">looks at </w:t>
      </w:r>
      <w:r w:rsidRPr="00B924A8">
        <w:rPr>
          <w:rFonts w:cs="Times New Roman"/>
        </w:rPr>
        <w:t>“faith-in”</w:t>
      </w:r>
      <w:r>
        <w:rPr>
          <w:rFonts w:cs="Times New Roman"/>
        </w:rPr>
        <w:t xml:space="preserve"> and what Jonathan Kvanvig calls the “belittler objection” by comparing Hegel</w:t>
      </w:r>
      <w:r w:rsidR="00E22E18">
        <w:rPr>
          <w:rFonts w:cs="Times New Roman"/>
        </w:rPr>
        <w:t>’s</w:t>
      </w:r>
      <w:r>
        <w:rPr>
          <w:rFonts w:cs="Times New Roman"/>
        </w:rPr>
        <w:t xml:space="preserve"> and Kierkegaard’s interpretations of </w:t>
      </w:r>
      <w:r w:rsidR="00E22E18">
        <w:rPr>
          <w:rFonts w:cs="Times New Roman"/>
        </w:rPr>
        <w:t xml:space="preserve">Abram (later known as </w:t>
      </w:r>
      <w:r>
        <w:rPr>
          <w:rFonts w:cs="Times New Roman"/>
        </w:rPr>
        <w:t>Abraham</w:t>
      </w:r>
      <w:r w:rsidR="00E22E18">
        <w:rPr>
          <w:rFonts w:cs="Times New Roman"/>
        </w:rPr>
        <w:t>)</w:t>
      </w:r>
      <w:r w:rsidRPr="00B924A8">
        <w:rPr>
          <w:rFonts w:cs="Times New Roman"/>
        </w:rPr>
        <w:t xml:space="preserve">. </w:t>
      </w:r>
      <w:r w:rsidR="00A44C54">
        <w:rPr>
          <w:rFonts w:cs="Times New Roman"/>
        </w:rPr>
        <w:t>I first argue that</w:t>
      </w:r>
      <w:r>
        <w:rPr>
          <w:rFonts w:cs="Times New Roman"/>
        </w:rPr>
        <w:t xml:space="preserve"> </w:t>
      </w:r>
      <w:r w:rsidRPr="00B924A8">
        <w:rPr>
          <w:rFonts w:cs="Times New Roman"/>
        </w:rPr>
        <w:t>Hege</w:t>
      </w:r>
      <w:r w:rsidR="005752D0">
        <w:rPr>
          <w:rFonts w:cs="Times New Roman"/>
        </w:rPr>
        <w:t xml:space="preserve">l’s </w:t>
      </w:r>
      <w:r>
        <w:rPr>
          <w:rFonts w:cs="Times New Roman"/>
        </w:rPr>
        <w:t>treatment of Abram in</w:t>
      </w:r>
      <w:r w:rsidRPr="00B924A8">
        <w:rPr>
          <w:rFonts w:cs="Times New Roman"/>
        </w:rPr>
        <w:t xml:space="preserve"> </w:t>
      </w:r>
      <w:r w:rsidRPr="00B924A8">
        <w:rPr>
          <w:rFonts w:cs="Times New Roman"/>
          <w:i/>
        </w:rPr>
        <w:t>Spirit of Christianity</w:t>
      </w:r>
      <w:r w:rsidR="0079025A">
        <w:rPr>
          <w:rFonts w:cs="Times New Roman"/>
          <w:i/>
        </w:rPr>
        <w:t xml:space="preserve"> and its Fate</w:t>
      </w:r>
      <w:r>
        <w:rPr>
          <w:rFonts w:cs="Times New Roman"/>
          <w:i/>
        </w:rPr>
        <w:t xml:space="preserve"> </w:t>
      </w:r>
      <w:r w:rsidR="00A44C54">
        <w:rPr>
          <w:rFonts w:cs="Times New Roman"/>
        </w:rPr>
        <w:t>i</w:t>
      </w:r>
      <w:r>
        <w:rPr>
          <w:rFonts w:cs="Times New Roman"/>
        </w:rPr>
        <w:t>s a</w:t>
      </w:r>
      <w:r w:rsidR="005752D0">
        <w:rPr>
          <w:rFonts w:cs="Times New Roman"/>
        </w:rPr>
        <w:t>n object</w:t>
      </w:r>
      <w:r w:rsidR="001A2CE9">
        <w:rPr>
          <w:rFonts w:cs="Times New Roman"/>
        </w:rPr>
        <w:t>ion</w:t>
      </w:r>
      <w:r w:rsidR="005752D0">
        <w:rPr>
          <w:rFonts w:cs="Times New Roman"/>
        </w:rPr>
        <w:t xml:space="preserve"> to faith-in. Building on </w:t>
      </w:r>
      <w:r w:rsidR="00E22E18">
        <w:rPr>
          <w:rFonts w:cs="Times New Roman"/>
        </w:rPr>
        <w:t>this with additional</w:t>
      </w:r>
      <w:r w:rsidR="005752D0">
        <w:rPr>
          <w:rFonts w:cs="Times New Roman"/>
        </w:rPr>
        <w:t xml:space="preserve"> Hegelian texts, I argue that </w:t>
      </w:r>
      <w:r w:rsidR="001A2CE9">
        <w:rPr>
          <w:rFonts w:cs="Times New Roman"/>
        </w:rPr>
        <w:t xml:space="preserve">Hegel’s objection </w:t>
      </w:r>
      <w:r w:rsidR="00E22E18">
        <w:rPr>
          <w:rFonts w:cs="Times New Roman"/>
        </w:rPr>
        <w:t>employs</w:t>
      </w:r>
      <w:r w:rsidR="001A2CE9">
        <w:rPr>
          <w:rFonts w:cs="Times New Roman"/>
        </w:rPr>
        <w:t xml:space="preserve"> his</w:t>
      </w:r>
      <w:r w:rsidR="00A44C54">
        <w:rPr>
          <w:rFonts w:cs="Times New Roman"/>
        </w:rPr>
        <w:t xml:space="preserve"> </w:t>
      </w:r>
      <w:r w:rsidR="005752D0">
        <w:rPr>
          <w:rFonts w:cs="Times New Roman"/>
        </w:rPr>
        <w:t>social command account of morality</w:t>
      </w:r>
      <w:r w:rsidR="00A44C54">
        <w:rPr>
          <w:rFonts w:cs="Times New Roman"/>
        </w:rPr>
        <w:t>.</w:t>
      </w:r>
      <w:r w:rsidR="005752D0">
        <w:rPr>
          <w:rFonts w:cs="Times New Roman"/>
        </w:rPr>
        <w:t xml:space="preserve"> I then turn to</w:t>
      </w:r>
      <w:r w:rsidR="001A2CE9">
        <w:rPr>
          <w:rFonts w:cs="Times New Roman"/>
        </w:rPr>
        <w:t xml:space="preserve"> Johannes de Silentio’s treatment</w:t>
      </w:r>
      <w:r w:rsidR="001E46A4">
        <w:rPr>
          <w:rFonts w:cs="Times New Roman"/>
        </w:rPr>
        <w:t>s</w:t>
      </w:r>
      <w:r w:rsidR="001A2CE9">
        <w:rPr>
          <w:rFonts w:cs="Times New Roman"/>
        </w:rPr>
        <w:t xml:space="preserve"> of Abraham in</w:t>
      </w:r>
      <w:r w:rsidR="005752D0">
        <w:rPr>
          <w:rFonts w:cs="Times New Roman"/>
        </w:rPr>
        <w:t xml:space="preserve"> </w:t>
      </w:r>
      <w:r w:rsidRPr="00B924A8">
        <w:rPr>
          <w:rFonts w:cs="Times New Roman"/>
          <w:i/>
        </w:rPr>
        <w:t>Fear and Trembling</w:t>
      </w:r>
      <w:r>
        <w:rPr>
          <w:rFonts w:cs="Times New Roman"/>
        </w:rPr>
        <w:t xml:space="preserve"> and</w:t>
      </w:r>
      <w:r w:rsidR="002E24F5">
        <w:rPr>
          <w:rFonts w:cs="Times New Roman"/>
        </w:rPr>
        <w:t xml:space="preserve"> </w:t>
      </w:r>
      <w:r w:rsidR="00590264">
        <w:rPr>
          <w:rFonts w:cs="Times New Roman"/>
        </w:rPr>
        <w:t xml:space="preserve">Søren </w:t>
      </w:r>
      <w:r w:rsidR="002E24F5">
        <w:rPr>
          <w:rFonts w:cs="Times New Roman"/>
        </w:rPr>
        <w:t>Kierkegaard’s</w:t>
      </w:r>
      <w:r w:rsidR="005752D0">
        <w:rPr>
          <w:rFonts w:cs="Times New Roman"/>
        </w:rPr>
        <w:t xml:space="preserve"> </w:t>
      </w:r>
      <w:r w:rsidR="005752D0">
        <w:rPr>
          <w:rFonts w:cs="Times New Roman"/>
          <w:i/>
        </w:rPr>
        <w:t>Works of Love</w:t>
      </w:r>
      <w:r w:rsidR="005752D0">
        <w:rPr>
          <w:rFonts w:cs="Times New Roman"/>
        </w:rPr>
        <w:t xml:space="preserve"> to argue that Kierkegaard defends faith-in as part of a moderate divine command account </w:t>
      </w:r>
      <w:r>
        <w:rPr>
          <w:rFonts w:cs="Times New Roman"/>
        </w:rPr>
        <w:t xml:space="preserve">of moral knowledge. Finally, </w:t>
      </w:r>
      <w:r w:rsidR="00E22E18">
        <w:rPr>
          <w:rFonts w:cs="Times New Roman"/>
        </w:rPr>
        <w:t xml:space="preserve">this article </w:t>
      </w:r>
      <w:r>
        <w:rPr>
          <w:rFonts w:cs="Times New Roman"/>
        </w:rPr>
        <w:t>suggests that the belittl</w:t>
      </w:r>
      <w:r w:rsidR="00E22E18">
        <w:rPr>
          <w:rFonts w:cs="Times New Roman"/>
        </w:rPr>
        <w:t>er</w:t>
      </w:r>
      <w:r>
        <w:rPr>
          <w:rFonts w:cs="Times New Roman"/>
        </w:rPr>
        <w:t xml:space="preserve"> objection is ultimately an objection to faith-in as a divine command source of moral knowledge or obligation </w:t>
      </w:r>
      <w:r w:rsidR="00E22E18">
        <w:rPr>
          <w:rFonts w:cs="Times New Roman"/>
        </w:rPr>
        <w:t>rather than</w:t>
      </w:r>
      <w:r>
        <w:rPr>
          <w:rFonts w:cs="Times New Roman"/>
        </w:rPr>
        <w:t xml:space="preserve"> social command.</w:t>
      </w:r>
    </w:p>
    <w:p w14:paraId="76599017" w14:textId="5C92A72B" w:rsidR="00A80161" w:rsidRDefault="00A34AD0" w:rsidP="00097D6B">
      <w:pPr>
        <w:pStyle w:val="Heading1"/>
      </w:pPr>
      <w:r>
        <w:t>Article</w:t>
      </w:r>
    </w:p>
    <w:p w14:paraId="728B8DC2" w14:textId="5FC78401" w:rsidR="00A80161" w:rsidRPr="00A80161" w:rsidRDefault="00A80161" w:rsidP="00074681">
      <w:pPr>
        <w:pStyle w:val="Heading2"/>
        <w:numPr>
          <w:ilvl w:val="0"/>
          <w:numId w:val="1"/>
        </w:numPr>
      </w:pPr>
      <w:r>
        <w:t>Introduction</w:t>
      </w:r>
    </w:p>
    <w:p w14:paraId="3F06F53C" w14:textId="310CB428" w:rsidR="005752D0" w:rsidRPr="00B924A8" w:rsidRDefault="00A34AD0" w:rsidP="00074681">
      <w:pPr>
        <w:ind w:firstLine="720"/>
        <w:rPr>
          <w:rFonts w:cs="Times New Roman"/>
        </w:rPr>
      </w:pPr>
      <w:r w:rsidRPr="00B924A8">
        <w:rPr>
          <w:rFonts w:cs="Times New Roman"/>
        </w:rPr>
        <w:t>This article</w:t>
      </w:r>
      <w:r w:rsidR="00FF02A0" w:rsidRPr="00B924A8">
        <w:rPr>
          <w:rFonts w:cs="Times New Roman"/>
        </w:rPr>
        <w:t xml:space="preserve"> </w:t>
      </w:r>
      <w:r w:rsidR="00656AA7">
        <w:rPr>
          <w:rFonts w:cs="Times New Roman"/>
        </w:rPr>
        <w:t xml:space="preserve">looks at </w:t>
      </w:r>
      <w:r w:rsidR="00AF0368" w:rsidRPr="00B924A8">
        <w:rPr>
          <w:rFonts w:cs="Times New Roman"/>
        </w:rPr>
        <w:t>“</w:t>
      </w:r>
      <w:r w:rsidR="008573D7" w:rsidRPr="00B924A8">
        <w:rPr>
          <w:rFonts w:cs="Times New Roman"/>
        </w:rPr>
        <w:t>faith</w:t>
      </w:r>
      <w:r w:rsidR="003D205F" w:rsidRPr="00B924A8">
        <w:rPr>
          <w:rFonts w:cs="Times New Roman"/>
        </w:rPr>
        <w:t>-in</w:t>
      </w:r>
      <w:r w:rsidR="00AF0368" w:rsidRPr="00B924A8">
        <w:rPr>
          <w:rFonts w:cs="Times New Roman"/>
        </w:rPr>
        <w:t>”</w:t>
      </w:r>
      <w:r w:rsidR="00656AA7">
        <w:rPr>
          <w:rFonts w:cs="Times New Roman"/>
        </w:rPr>
        <w:t xml:space="preserve"> and what Jonathan Kvanvig calls the “belittler objection” by comparing Hegel</w:t>
      </w:r>
      <w:r w:rsidR="00E22E18">
        <w:rPr>
          <w:rFonts w:cs="Times New Roman"/>
        </w:rPr>
        <w:t>’s</w:t>
      </w:r>
      <w:r w:rsidR="00656AA7">
        <w:rPr>
          <w:rFonts w:cs="Times New Roman"/>
        </w:rPr>
        <w:t xml:space="preserve"> and Kierkegaard’s interpretations of </w:t>
      </w:r>
      <w:r w:rsidR="00E22E18">
        <w:rPr>
          <w:rFonts w:cs="Times New Roman"/>
        </w:rPr>
        <w:t xml:space="preserve">Abram (later known as </w:t>
      </w:r>
      <w:r w:rsidR="00656AA7">
        <w:rPr>
          <w:rFonts w:cs="Times New Roman"/>
        </w:rPr>
        <w:t>Abraham</w:t>
      </w:r>
      <w:r w:rsidR="00E22E18">
        <w:rPr>
          <w:rFonts w:cs="Times New Roman"/>
        </w:rPr>
        <w:t>)</w:t>
      </w:r>
      <w:r w:rsidR="000F1EC4" w:rsidRPr="00B924A8">
        <w:rPr>
          <w:rFonts w:cs="Times New Roman"/>
        </w:rPr>
        <w:t>.</w:t>
      </w:r>
      <w:r w:rsidR="005E1CD4" w:rsidRPr="005D4C21">
        <w:rPr>
          <w:rStyle w:val="FootnoteReference"/>
        </w:rPr>
        <w:footnoteReference w:id="1"/>
      </w:r>
      <w:r w:rsidR="00BC328B" w:rsidRPr="00B924A8">
        <w:rPr>
          <w:rFonts w:cs="Times New Roman"/>
        </w:rPr>
        <w:t xml:space="preserve"> </w:t>
      </w:r>
      <w:r w:rsidR="005752D0">
        <w:rPr>
          <w:rFonts w:cs="Times New Roman"/>
        </w:rPr>
        <w:t xml:space="preserve">I first argue that </w:t>
      </w:r>
      <w:r w:rsidR="005752D0" w:rsidRPr="00B924A8">
        <w:rPr>
          <w:rFonts w:cs="Times New Roman"/>
        </w:rPr>
        <w:t>Hege</w:t>
      </w:r>
      <w:r w:rsidR="005752D0">
        <w:rPr>
          <w:rFonts w:cs="Times New Roman"/>
        </w:rPr>
        <w:t>l’s treatment of Abram in</w:t>
      </w:r>
      <w:r w:rsidR="005752D0" w:rsidRPr="00B924A8">
        <w:rPr>
          <w:rFonts w:cs="Times New Roman"/>
        </w:rPr>
        <w:t xml:space="preserve"> </w:t>
      </w:r>
      <w:r w:rsidR="005752D0" w:rsidRPr="00B924A8">
        <w:rPr>
          <w:rFonts w:cs="Times New Roman"/>
          <w:i/>
        </w:rPr>
        <w:t>Spirit of Christianity</w:t>
      </w:r>
      <w:r w:rsidR="0079025A">
        <w:rPr>
          <w:rFonts w:cs="Times New Roman"/>
          <w:i/>
        </w:rPr>
        <w:t xml:space="preserve"> and its Fate</w:t>
      </w:r>
      <w:r w:rsidR="005752D0" w:rsidRPr="005D4C21">
        <w:rPr>
          <w:rStyle w:val="FootnoteReference"/>
        </w:rPr>
        <w:footnoteReference w:id="2"/>
      </w:r>
      <w:r w:rsidR="005752D0">
        <w:rPr>
          <w:rFonts w:cs="Times New Roman"/>
          <w:i/>
        </w:rPr>
        <w:t xml:space="preserve"> </w:t>
      </w:r>
      <w:r w:rsidR="005752D0">
        <w:rPr>
          <w:rFonts w:cs="Times New Roman"/>
        </w:rPr>
        <w:t xml:space="preserve">is an </w:t>
      </w:r>
      <w:r w:rsidR="005752D0">
        <w:rPr>
          <w:rFonts w:cs="Times New Roman"/>
        </w:rPr>
        <w:lastRenderedPageBreak/>
        <w:t>object</w:t>
      </w:r>
      <w:r w:rsidR="001A2CE9">
        <w:rPr>
          <w:rFonts w:cs="Times New Roman"/>
        </w:rPr>
        <w:t>ion</w:t>
      </w:r>
      <w:r w:rsidR="005752D0">
        <w:rPr>
          <w:rFonts w:cs="Times New Roman"/>
        </w:rPr>
        <w:t xml:space="preserve"> to faith-in. </w:t>
      </w:r>
      <w:r w:rsidR="001A2CE9">
        <w:rPr>
          <w:rFonts w:cs="Times New Roman"/>
        </w:rPr>
        <w:t xml:space="preserve">Building on </w:t>
      </w:r>
      <w:r w:rsidR="00E22E18">
        <w:rPr>
          <w:rFonts w:cs="Times New Roman"/>
        </w:rPr>
        <w:t xml:space="preserve">this with additional </w:t>
      </w:r>
      <w:r w:rsidR="001A2CE9">
        <w:rPr>
          <w:rFonts w:cs="Times New Roman"/>
        </w:rPr>
        <w:t xml:space="preserve">Hegelian texts, I argue that Hegel’s objection </w:t>
      </w:r>
      <w:r w:rsidR="001E46A4">
        <w:rPr>
          <w:rFonts w:cs="Times New Roman"/>
        </w:rPr>
        <w:t>employs</w:t>
      </w:r>
      <w:r w:rsidR="001A2CE9">
        <w:rPr>
          <w:rFonts w:cs="Times New Roman"/>
        </w:rPr>
        <w:t xml:space="preserve"> his social command account of morality.</w:t>
      </w:r>
      <w:r w:rsidR="005752D0">
        <w:rPr>
          <w:rFonts w:cs="Times New Roman"/>
        </w:rPr>
        <w:t xml:space="preserve"> </w:t>
      </w:r>
      <w:r w:rsidR="00DE4C2D">
        <w:rPr>
          <w:rFonts w:cs="Times New Roman"/>
        </w:rPr>
        <w:t>I then turn to Johannes de Silentio’s treatment</w:t>
      </w:r>
      <w:r w:rsidR="001E46A4">
        <w:rPr>
          <w:rFonts w:cs="Times New Roman"/>
        </w:rPr>
        <w:t>s</w:t>
      </w:r>
      <w:r w:rsidR="00DE4C2D">
        <w:rPr>
          <w:rFonts w:cs="Times New Roman"/>
        </w:rPr>
        <w:t xml:space="preserve"> of Abraham in </w:t>
      </w:r>
      <w:r w:rsidR="005752D0" w:rsidRPr="00B924A8">
        <w:rPr>
          <w:rFonts w:cs="Times New Roman"/>
          <w:i/>
        </w:rPr>
        <w:t>Fear and Trembling</w:t>
      </w:r>
      <w:r w:rsidR="005752D0">
        <w:rPr>
          <w:rFonts w:cs="Times New Roman"/>
        </w:rPr>
        <w:t xml:space="preserve"> and </w:t>
      </w:r>
      <w:r w:rsidR="00590264">
        <w:rPr>
          <w:rFonts w:cs="Times New Roman"/>
        </w:rPr>
        <w:t xml:space="preserve">Søren Kierkegaard’s </w:t>
      </w:r>
      <w:r w:rsidR="005752D0">
        <w:rPr>
          <w:rFonts w:cs="Times New Roman"/>
          <w:i/>
        </w:rPr>
        <w:t>Works of Love</w:t>
      </w:r>
      <w:r w:rsidR="001E46A4" w:rsidRPr="005D4C21">
        <w:rPr>
          <w:rStyle w:val="FootnoteReference"/>
        </w:rPr>
        <w:footnoteReference w:id="3"/>
      </w:r>
      <w:r w:rsidR="005752D0">
        <w:rPr>
          <w:rFonts w:cs="Times New Roman"/>
        </w:rPr>
        <w:t xml:space="preserve"> to argue that Kierkegaard defends faith-in as part of a moderate divine command account of moral knowledge. Finally, </w:t>
      </w:r>
      <w:r w:rsidR="001E46A4">
        <w:rPr>
          <w:rFonts w:cs="Times New Roman"/>
        </w:rPr>
        <w:t>this paper</w:t>
      </w:r>
      <w:r w:rsidR="005752D0">
        <w:rPr>
          <w:rFonts w:cs="Times New Roman"/>
        </w:rPr>
        <w:t xml:space="preserve"> suggests that the belittl</w:t>
      </w:r>
      <w:r w:rsidR="001E46A4">
        <w:rPr>
          <w:rFonts w:cs="Times New Roman"/>
        </w:rPr>
        <w:t>er</w:t>
      </w:r>
      <w:r w:rsidR="005752D0">
        <w:rPr>
          <w:rFonts w:cs="Times New Roman"/>
        </w:rPr>
        <w:t xml:space="preserve"> objection is ultimately an objection to faith-in as a divine command source of moral knowledge or obligation </w:t>
      </w:r>
      <w:r w:rsidR="001E46A4">
        <w:rPr>
          <w:rFonts w:cs="Times New Roman"/>
        </w:rPr>
        <w:t>rather than</w:t>
      </w:r>
      <w:r w:rsidR="005752D0">
        <w:rPr>
          <w:rFonts w:cs="Times New Roman"/>
        </w:rPr>
        <w:t xml:space="preserve"> social command.</w:t>
      </w:r>
    </w:p>
    <w:p w14:paraId="6FF7101E" w14:textId="087960C4" w:rsidR="005A169B" w:rsidRPr="00B924A8" w:rsidRDefault="00DE4C2D" w:rsidP="00AC62F4">
      <w:pPr>
        <w:ind w:firstLine="720"/>
        <w:rPr>
          <w:rFonts w:cs="Times New Roman"/>
        </w:rPr>
      </w:pPr>
      <w:r>
        <w:rPr>
          <w:rFonts w:cs="Times New Roman"/>
        </w:rPr>
        <w:t>In this paper, I take “faith-in</w:t>
      </w:r>
      <w:r w:rsidR="005A169B" w:rsidRPr="00B924A8">
        <w:rPr>
          <w:rFonts w:cs="Times New Roman"/>
        </w:rPr>
        <w:t>”</w:t>
      </w:r>
      <w:r>
        <w:rPr>
          <w:rFonts w:cs="Times New Roman"/>
        </w:rPr>
        <w:t xml:space="preserve"> to mean</w:t>
      </w:r>
      <w:r w:rsidR="00AD3A81">
        <w:rPr>
          <w:rFonts w:cs="Times New Roman"/>
        </w:rPr>
        <w:t xml:space="preserve"> </w:t>
      </w:r>
      <w:r w:rsidR="005A169B" w:rsidRPr="00B924A8">
        <w:rPr>
          <w:rFonts w:cs="Times New Roman"/>
        </w:rPr>
        <w:t>placing sufficient credit or trust in another to provide knowledge</w:t>
      </w:r>
      <w:r>
        <w:rPr>
          <w:rFonts w:cs="Times New Roman"/>
        </w:rPr>
        <w:t xml:space="preserve"> (or</w:t>
      </w:r>
      <w:r w:rsidR="001E46A4">
        <w:rPr>
          <w:rFonts w:cs="Times New Roman"/>
        </w:rPr>
        <w:t>,</w:t>
      </w:r>
      <w:r>
        <w:rPr>
          <w:rFonts w:cs="Times New Roman"/>
        </w:rPr>
        <w:t xml:space="preserve"> possibly</w:t>
      </w:r>
      <w:r w:rsidR="001E46A4">
        <w:rPr>
          <w:rFonts w:cs="Times New Roman"/>
        </w:rPr>
        <w:t>,</w:t>
      </w:r>
      <w:r>
        <w:rPr>
          <w:rFonts w:cs="Times New Roman"/>
        </w:rPr>
        <w:t xml:space="preserve"> expert knowledge)</w:t>
      </w:r>
      <w:r w:rsidR="001E46A4">
        <w:rPr>
          <w:rFonts w:cs="Times New Roman"/>
        </w:rPr>
        <w:t>,</w:t>
      </w:r>
      <w:r w:rsidR="005A169B" w:rsidRPr="00B924A8">
        <w:rPr>
          <w:rFonts w:cs="Times New Roman"/>
        </w:rPr>
        <w:t xml:space="preserve"> as opposed to </w:t>
      </w:r>
      <w:r w:rsidR="001E46A4">
        <w:rPr>
          <w:rFonts w:cs="Times New Roman"/>
        </w:rPr>
        <w:t>“</w:t>
      </w:r>
      <w:r w:rsidR="005A169B" w:rsidRPr="00B924A8">
        <w:rPr>
          <w:rFonts w:cs="Times New Roman"/>
        </w:rPr>
        <w:t>faith-that</w:t>
      </w:r>
      <w:r w:rsidR="001E46A4">
        <w:rPr>
          <w:rFonts w:cs="Times New Roman"/>
        </w:rPr>
        <w:t>”</w:t>
      </w:r>
      <w:r w:rsidR="005A169B" w:rsidRPr="00B924A8">
        <w:rPr>
          <w:rFonts w:cs="Times New Roman"/>
        </w:rPr>
        <w:t xml:space="preserve"> with respect to propositional content.</w:t>
      </w:r>
      <w:r w:rsidR="005A169B" w:rsidRPr="005D4C21">
        <w:rPr>
          <w:rStyle w:val="FootnoteReference"/>
        </w:rPr>
        <w:footnoteReference w:id="4"/>
      </w:r>
      <w:r w:rsidR="005A169B" w:rsidRPr="00B924A8">
        <w:rPr>
          <w:rFonts w:cs="Times New Roman"/>
        </w:rPr>
        <w:t xml:space="preserve"> This sort of faith-in enables the individual to “act under the </w:t>
      </w:r>
      <w:r w:rsidR="005A169B" w:rsidRPr="00B924A8">
        <w:rPr>
          <w:rFonts w:cs="Times New Roman"/>
        </w:rPr>
        <w:lastRenderedPageBreak/>
        <w:t>presumption” without necessarily reaching a conclusion about its propositional content.</w:t>
      </w:r>
      <w:r w:rsidR="005A169B" w:rsidRPr="005D4C21">
        <w:rPr>
          <w:rStyle w:val="FootnoteReference"/>
        </w:rPr>
        <w:footnoteReference w:id="5"/>
      </w:r>
      <w:r w:rsidR="005A169B" w:rsidRPr="00B924A8">
        <w:rPr>
          <w:rFonts w:cs="Times New Roman"/>
        </w:rPr>
        <w:t xml:space="preserve"> </w:t>
      </w:r>
      <w:r w:rsidR="00D55E11">
        <w:rPr>
          <w:rFonts w:cs="Times New Roman"/>
        </w:rPr>
        <w:t>T</w:t>
      </w:r>
      <w:r w:rsidR="005A169B" w:rsidRPr="00B924A8">
        <w:rPr>
          <w:rFonts w:cs="Times New Roman"/>
        </w:rPr>
        <w:t>his enables it to supply what I will call “moral knowledge</w:t>
      </w:r>
      <w:r w:rsidR="00D55E11">
        <w:rPr>
          <w:rFonts w:cs="Times New Roman"/>
        </w:rPr>
        <w:t>,</w:t>
      </w:r>
      <w:r w:rsidR="005A169B" w:rsidRPr="00B924A8">
        <w:rPr>
          <w:rFonts w:cs="Times New Roman"/>
        </w:rPr>
        <w:t>” define</w:t>
      </w:r>
      <w:r w:rsidR="00D55E11">
        <w:rPr>
          <w:rFonts w:cs="Times New Roman"/>
        </w:rPr>
        <w:t>d</w:t>
      </w:r>
      <w:r w:rsidR="005A169B" w:rsidRPr="00B924A8">
        <w:rPr>
          <w:rFonts w:cs="Times New Roman"/>
        </w:rPr>
        <w:t xml:space="preserve"> as the notion that “I should do …” or “I am obliged to do …” (or</w:t>
      </w:r>
      <w:r w:rsidR="00D55E11">
        <w:rPr>
          <w:rFonts w:cs="Times New Roman"/>
        </w:rPr>
        <w:t>,</w:t>
      </w:r>
      <w:r w:rsidR="005A169B" w:rsidRPr="00B924A8">
        <w:rPr>
          <w:rFonts w:cs="Times New Roman"/>
        </w:rPr>
        <w:t xml:space="preserve"> the negation of these things) received in trust.</w:t>
      </w:r>
      <w:r w:rsidR="005A169B" w:rsidRPr="005D4C21">
        <w:rPr>
          <w:rStyle w:val="FootnoteReference"/>
        </w:rPr>
        <w:footnoteReference w:id="6"/>
      </w:r>
      <w:r w:rsidR="005A169B" w:rsidRPr="00B924A8">
        <w:rPr>
          <w:rFonts w:cs="Times New Roman"/>
        </w:rPr>
        <w:t xml:space="preserve"> I take this to be more conative than cognitive</w:t>
      </w:r>
      <w:r w:rsidR="00D55E11">
        <w:rPr>
          <w:rFonts w:cs="Times New Roman"/>
        </w:rPr>
        <w:t>,</w:t>
      </w:r>
      <w:r w:rsidR="005A169B" w:rsidRPr="00B924A8">
        <w:rPr>
          <w:rFonts w:cs="Times New Roman"/>
        </w:rPr>
        <w:t xml:space="preserve"> and more related to action than </w:t>
      </w:r>
      <w:r w:rsidR="00D55E11">
        <w:rPr>
          <w:rFonts w:cs="Times New Roman"/>
        </w:rPr>
        <w:t xml:space="preserve">to </w:t>
      </w:r>
      <w:r w:rsidR="005A169B" w:rsidRPr="00B924A8">
        <w:rPr>
          <w:rFonts w:cs="Times New Roman"/>
        </w:rPr>
        <w:t>propositional acceptance.</w:t>
      </w:r>
      <w:r w:rsidR="005A169B" w:rsidRPr="005D4C21">
        <w:rPr>
          <w:rStyle w:val="FootnoteReference"/>
        </w:rPr>
        <w:footnoteReference w:id="7"/>
      </w:r>
      <w:r w:rsidR="005A169B" w:rsidRPr="00B924A8">
        <w:rPr>
          <w:rFonts w:cs="Times New Roman"/>
        </w:rPr>
        <w:t xml:space="preserve"> My use of the elocution “faith-in,” however, hinges more on what follows in the article than </w:t>
      </w:r>
      <w:r w:rsidR="00D55E11">
        <w:rPr>
          <w:rFonts w:cs="Times New Roman"/>
        </w:rPr>
        <w:t xml:space="preserve">on </w:t>
      </w:r>
      <w:r w:rsidR="005A169B" w:rsidRPr="00B924A8">
        <w:rPr>
          <w:rFonts w:cs="Times New Roman"/>
        </w:rPr>
        <w:t>staking a position in this contemporary debate itself.</w:t>
      </w:r>
    </w:p>
    <w:p w14:paraId="55B6C0DD" w14:textId="5E33360D" w:rsidR="00DB68C7" w:rsidRPr="00B924A8" w:rsidRDefault="00DB68C7" w:rsidP="00AC62F4">
      <w:pPr>
        <w:ind w:firstLine="720"/>
        <w:rPr>
          <w:rFonts w:cs="Times New Roman"/>
        </w:rPr>
      </w:pPr>
      <w:r w:rsidRPr="00B924A8">
        <w:rPr>
          <w:rFonts w:cs="Times New Roman"/>
        </w:rPr>
        <w:t xml:space="preserve">Fortuitously, </w:t>
      </w:r>
      <w:r w:rsidR="005A169B" w:rsidRPr="00B924A8">
        <w:rPr>
          <w:rFonts w:cs="Times New Roman"/>
        </w:rPr>
        <w:t>Hegel, Kierkegaard, and the contemporary debate</w:t>
      </w:r>
      <w:r w:rsidR="00D55E11">
        <w:rPr>
          <w:rFonts w:cs="Times New Roman"/>
        </w:rPr>
        <w:t>rs</w:t>
      </w:r>
      <w:r w:rsidR="005A169B" w:rsidRPr="00B924A8">
        <w:rPr>
          <w:rFonts w:cs="Times New Roman"/>
        </w:rPr>
        <w:t xml:space="preserve"> all </w:t>
      </w:r>
      <w:r w:rsidR="00A3172C" w:rsidRPr="00B924A8">
        <w:rPr>
          <w:rFonts w:cs="Times New Roman"/>
        </w:rPr>
        <w:t>consider</w:t>
      </w:r>
      <w:r w:rsidRPr="00B924A8">
        <w:rPr>
          <w:rFonts w:cs="Times New Roman"/>
        </w:rPr>
        <w:t xml:space="preserve"> Abraham’s </w:t>
      </w:r>
      <w:r w:rsidR="005A169B" w:rsidRPr="00B924A8">
        <w:rPr>
          <w:rFonts w:cs="Times New Roman"/>
        </w:rPr>
        <w:t>faith-</w:t>
      </w:r>
      <w:r w:rsidRPr="00B924A8">
        <w:rPr>
          <w:rFonts w:cs="Times New Roman"/>
        </w:rPr>
        <w:t xml:space="preserve">in God </w:t>
      </w:r>
      <w:r w:rsidR="005A169B" w:rsidRPr="00B924A8">
        <w:rPr>
          <w:rFonts w:cs="Times New Roman"/>
        </w:rPr>
        <w:t xml:space="preserve">and </w:t>
      </w:r>
      <w:r w:rsidR="00FE3F2D" w:rsidRPr="00B924A8">
        <w:rPr>
          <w:rFonts w:cs="Times New Roman"/>
        </w:rPr>
        <w:t xml:space="preserve">the role </w:t>
      </w:r>
      <w:r w:rsidR="00D55E11">
        <w:rPr>
          <w:rFonts w:cs="Times New Roman"/>
        </w:rPr>
        <w:t xml:space="preserve">of </w:t>
      </w:r>
      <w:r w:rsidRPr="00B924A8">
        <w:rPr>
          <w:rFonts w:cs="Times New Roman"/>
        </w:rPr>
        <w:t xml:space="preserve">Abraham’s God-relation </w:t>
      </w:r>
      <w:r w:rsidR="00FE3F2D" w:rsidRPr="00B924A8">
        <w:rPr>
          <w:rFonts w:cs="Times New Roman"/>
        </w:rPr>
        <w:t>in informing</w:t>
      </w:r>
      <w:r w:rsidRPr="00B924A8">
        <w:rPr>
          <w:rFonts w:cs="Times New Roman"/>
        </w:rPr>
        <w:t xml:space="preserve"> </w:t>
      </w:r>
      <w:r w:rsidR="00E3303D">
        <w:rPr>
          <w:rFonts w:cs="Times New Roman"/>
        </w:rPr>
        <w:t xml:space="preserve">him of </w:t>
      </w:r>
      <w:r w:rsidRPr="00B924A8">
        <w:rPr>
          <w:rFonts w:cs="Times New Roman"/>
        </w:rPr>
        <w:t>his moral</w:t>
      </w:r>
      <w:r w:rsidR="00E3303D">
        <w:rPr>
          <w:rFonts w:cs="Times New Roman"/>
        </w:rPr>
        <w:t xml:space="preserve"> obligations.</w:t>
      </w:r>
      <w:r w:rsidR="00FE3F2D" w:rsidRPr="00B924A8">
        <w:rPr>
          <w:rFonts w:cs="Times New Roman"/>
        </w:rPr>
        <w:t xml:space="preserve"> This </w:t>
      </w:r>
      <w:r w:rsidR="00A3172C" w:rsidRPr="00B924A8">
        <w:rPr>
          <w:rFonts w:cs="Times New Roman"/>
        </w:rPr>
        <w:t>enable us to compare their different responses to faith-in</w:t>
      </w:r>
      <w:r w:rsidR="00FE3F2D" w:rsidRPr="00B924A8">
        <w:rPr>
          <w:rFonts w:cs="Times New Roman"/>
        </w:rPr>
        <w:t xml:space="preserve"> and relate th</w:t>
      </w:r>
      <w:r w:rsidR="00D55E11">
        <w:rPr>
          <w:rFonts w:cs="Times New Roman"/>
        </w:rPr>
        <w:t>ese</w:t>
      </w:r>
      <w:r w:rsidR="00FE3F2D" w:rsidRPr="00B924A8">
        <w:rPr>
          <w:rFonts w:cs="Times New Roman"/>
        </w:rPr>
        <w:t xml:space="preserve"> to the motivations of those </w:t>
      </w:r>
      <w:r w:rsidR="00D55E11">
        <w:rPr>
          <w:rFonts w:cs="Times New Roman"/>
        </w:rPr>
        <w:t xml:space="preserve">whom </w:t>
      </w:r>
      <w:r w:rsidR="0065281F" w:rsidRPr="00B924A8">
        <w:rPr>
          <w:rFonts w:cs="Times New Roman"/>
        </w:rPr>
        <w:t xml:space="preserve">Jonathan Kvanvig </w:t>
      </w:r>
      <w:r w:rsidRPr="00B924A8">
        <w:rPr>
          <w:rFonts w:cs="Times New Roman"/>
        </w:rPr>
        <w:t>describes as</w:t>
      </w:r>
      <w:r w:rsidR="00FE3F2D" w:rsidRPr="00B924A8">
        <w:rPr>
          <w:rFonts w:cs="Times New Roman"/>
        </w:rPr>
        <w:t xml:space="preserve"> “[t]</w:t>
      </w:r>
      <w:r w:rsidR="0065281F" w:rsidRPr="00B924A8">
        <w:rPr>
          <w:rFonts w:cs="Times New Roman"/>
        </w:rPr>
        <w:t>he belittlers</w:t>
      </w:r>
      <w:r w:rsidR="00FE3F2D" w:rsidRPr="00B924A8">
        <w:rPr>
          <w:rFonts w:cs="Times New Roman"/>
        </w:rPr>
        <w:t xml:space="preserve"> [who]</w:t>
      </w:r>
      <w:r w:rsidR="0065281F" w:rsidRPr="00B924A8">
        <w:rPr>
          <w:rFonts w:cs="Times New Roman"/>
        </w:rPr>
        <w:t xml:space="preserve"> object to faith on multiple grounds, but the fundamental concern expressed is that such faith cannot survive epistemic scrutiny.”</w:t>
      </w:r>
      <w:r w:rsidR="0065281F" w:rsidRPr="005D4C21">
        <w:rPr>
          <w:rStyle w:val="FootnoteReference"/>
        </w:rPr>
        <w:footnoteReference w:id="8"/>
      </w:r>
      <w:r w:rsidR="0065281F" w:rsidRPr="00B924A8">
        <w:rPr>
          <w:rFonts w:cs="Times New Roman"/>
        </w:rPr>
        <w:t xml:space="preserve"> As I will argue below, Hegel is one of the belittlers</w:t>
      </w:r>
      <w:r w:rsidR="00FE3F2D" w:rsidRPr="00B924A8">
        <w:rPr>
          <w:rFonts w:cs="Times New Roman"/>
        </w:rPr>
        <w:t xml:space="preserve"> </w:t>
      </w:r>
      <w:r w:rsidR="0065281F" w:rsidRPr="00B924A8">
        <w:rPr>
          <w:rFonts w:cs="Times New Roman"/>
        </w:rPr>
        <w:t>with respect to faith-in, and</w:t>
      </w:r>
      <w:r w:rsidR="00FE3F2D" w:rsidRPr="00B924A8">
        <w:rPr>
          <w:rFonts w:cs="Times New Roman"/>
        </w:rPr>
        <w:t xml:space="preserve"> Kierkegaard is not. </w:t>
      </w:r>
      <w:r w:rsidR="00D55E11">
        <w:rPr>
          <w:rFonts w:cs="Times New Roman"/>
        </w:rPr>
        <w:t>B</w:t>
      </w:r>
      <w:r w:rsidR="00FE3F2D" w:rsidRPr="00B924A8">
        <w:rPr>
          <w:rFonts w:cs="Times New Roman"/>
        </w:rPr>
        <w:t xml:space="preserve">y looking at Hegel’s objection to faith-in, we can </w:t>
      </w:r>
      <w:r w:rsidR="0065281F" w:rsidRPr="00B924A8">
        <w:rPr>
          <w:rFonts w:cs="Times New Roman"/>
        </w:rPr>
        <w:t xml:space="preserve">clarify </w:t>
      </w:r>
      <w:r w:rsidR="00FE3F2D" w:rsidRPr="00B924A8">
        <w:rPr>
          <w:rFonts w:cs="Times New Roman"/>
        </w:rPr>
        <w:t xml:space="preserve">both </w:t>
      </w:r>
      <w:r w:rsidR="0065281F" w:rsidRPr="00B924A8">
        <w:rPr>
          <w:rFonts w:cs="Times New Roman"/>
        </w:rPr>
        <w:t>what many belitt</w:t>
      </w:r>
      <w:r w:rsidR="00914301" w:rsidRPr="00B924A8">
        <w:rPr>
          <w:rFonts w:cs="Times New Roman"/>
        </w:rPr>
        <w:t>lers find odious in the notion</w:t>
      </w:r>
      <w:r w:rsidR="00D55E11">
        <w:rPr>
          <w:rFonts w:cs="Times New Roman"/>
        </w:rPr>
        <w:t>,</w:t>
      </w:r>
      <w:r w:rsidR="00FE3F2D" w:rsidRPr="00B924A8">
        <w:rPr>
          <w:rFonts w:cs="Times New Roman"/>
        </w:rPr>
        <w:t xml:space="preserve"> and why they will not be moved from this position by any species of faith-in</w:t>
      </w:r>
      <w:r w:rsidR="00914301" w:rsidRPr="00B924A8">
        <w:rPr>
          <w:rFonts w:cs="Times New Roman"/>
        </w:rPr>
        <w:t>.</w:t>
      </w:r>
    </w:p>
    <w:p w14:paraId="0675B55E" w14:textId="62E4BB3C" w:rsidR="00AF0368" w:rsidRDefault="00A80161" w:rsidP="00097D6B">
      <w:pPr>
        <w:pStyle w:val="Heading2"/>
        <w:numPr>
          <w:ilvl w:val="0"/>
          <w:numId w:val="1"/>
        </w:numPr>
        <w:ind w:left="720"/>
      </w:pPr>
      <w:r>
        <w:lastRenderedPageBreak/>
        <w:t xml:space="preserve">Hegel’s </w:t>
      </w:r>
      <w:r w:rsidR="00914301">
        <w:t xml:space="preserve">Social Command Theory, Faith-In, and the </w:t>
      </w:r>
      <w:r>
        <w:t>Problem with Abra</w:t>
      </w:r>
      <w:r w:rsidR="00145F2F">
        <w:t>ha</w:t>
      </w:r>
      <w:r>
        <w:t>m</w:t>
      </w:r>
    </w:p>
    <w:p w14:paraId="24E0BF65" w14:textId="0B1E7EC3" w:rsidR="00A34AD0" w:rsidRPr="00B924A8" w:rsidRDefault="009F0B51" w:rsidP="00AC62F4">
      <w:pPr>
        <w:ind w:firstLine="720"/>
        <w:rPr>
          <w:rFonts w:cs="Times New Roman"/>
        </w:rPr>
      </w:pPr>
      <w:r w:rsidRPr="00B924A8">
        <w:rPr>
          <w:rFonts w:cs="Times New Roman"/>
        </w:rPr>
        <w:t xml:space="preserve">In this section, I connect Hegel’s assessment of Abram </w:t>
      </w:r>
      <w:r w:rsidR="00E01D14" w:rsidRPr="00B924A8">
        <w:rPr>
          <w:rFonts w:cs="Times New Roman"/>
        </w:rPr>
        <w:t xml:space="preserve">and his social command theory to </w:t>
      </w:r>
      <w:r w:rsidRPr="00B924A8">
        <w:rPr>
          <w:rFonts w:cs="Times New Roman"/>
        </w:rPr>
        <w:t>the contemporary discussion about faith-in</w:t>
      </w:r>
      <w:r w:rsidR="00781AB5" w:rsidRPr="00B924A8">
        <w:rPr>
          <w:rFonts w:cs="Times New Roman"/>
        </w:rPr>
        <w:t>.</w:t>
      </w:r>
      <w:r w:rsidRPr="00B924A8">
        <w:rPr>
          <w:rFonts w:cs="Times New Roman"/>
        </w:rPr>
        <w:t xml:space="preserve"> </w:t>
      </w:r>
      <w:r w:rsidR="00781AB5" w:rsidRPr="00B924A8">
        <w:rPr>
          <w:rFonts w:cs="Times New Roman"/>
        </w:rPr>
        <w:t xml:space="preserve">I </w:t>
      </w:r>
      <w:r w:rsidR="004543D6" w:rsidRPr="00B924A8">
        <w:rPr>
          <w:rFonts w:cs="Times New Roman"/>
        </w:rPr>
        <w:t xml:space="preserve">first </w:t>
      </w:r>
      <w:r w:rsidR="00781AB5" w:rsidRPr="00B924A8">
        <w:rPr>
          <w:rFonts w:cs="Times New Roman"/>
        </w:rPr>
        <w:t xml:space="preserve">turn to the posthumously published </w:t>
      </w:r>
      <w:r w:rsidR="001B5FC2">
        <w:rPr>
          <w:rFonts w:cs="Times New Roman"/>
          <w:i/>
        </w:rPr>
        <w:t>Spirit of Christianity</w:t>
      </w:r>
      <w:r w:rsidR="00781AB5" w:rsidRPr="00B924A8">
        <w:rPr>
          <w:rFonts w:cs="Times New Roman"/>
        </w:rPr>
        <w:t>.</w:t>
      </w:r>
      <w:r w:rsidR="004543D6" w:rsidRPr="00B924A8">
        <w:rPr>
          <w:rFonts w:cs="Times New Roman"/>
        </w:rPr>
        <w:t xml:space="preserve"> I then show that Hegel continues this evaluation when he looks at conscience in </w:t>
      </w:r>
      <w:r w:rsidR="00AC69B7" w:rsidRPr="002B4135">
        <w:rPr>
          <w:rFonts w:cs="Times New Roman"/>
          <w:i/>
          <w:iCs/>
        </w:rPr>
        <w:t xml:space="preserve">Elements of the </w:t>
      </w:r>
      <w:r w:rsidR="004543D6" w:rsidRPr="00B924A8">
        <w:rPr>
          <w:rFonts w:cs="Times New Roman"/>
          <w:i/>
        </w:rPr>
        <w:t>Philosophy of Right</w:t>
      </w:r>
      <w:r w:rsidR="004543D6" w:rsidRPr="00B924A8">
        <w:rPr>
          <w:rFonts w:cs="Times New Roman"/>
        </w:rPr>
        <w:t>.</w:t>
      </w:r>
      <w:r w:rsidR="002B4135" w:rsidRPr="005D4C21">
        <w:rPr>
          <w:rStyle w:val="FootnoteReference"/>
        </w:rPr>
        <w:footnoteReference w:id="9"/>
      </w:r>
      <w:r w:rsidR="004543D6" w:rsidRPr="00B924A8">
        <w:rPr>
          <w:rFonts w:cs="Times New Roman"/>
        </w:rPr>
        <w:t xml:space="preserve"> </w:t>
      </w:r>
      <w:r w:rsidRPr="00B924A8">
        <w:rPr>
          <w:rFonts w:cs="Times New Roman"/>
        </w:rPr>
        <w:t xml:space="preserve">Subsequently, I attend to Hegel’s use of the term </w:t>
      </w:r>
      <w:r w:rsidR="00AC69B7">
        <w:rPr>
          <w:rFonts w:cs="Times New Roman"/>
        </w:rPr>
        <w:t>“</w:t>
      </w:r>
      <w:r w:rsidRPr="00B924A8">
        <w:rPr>
          <w:rFonts w:cs="Times New Roman"/>
        </w:rPr>
        <w:t>faith</w:t>
      </w:r>
      <w:r w:rsidR="00AC69B7">
        <w:rPr>
          <w:rFonts w:cs="Times New Roman"/>
        </w:rPr>
        <w:t>”</w:t>
      </w:r>
      <w:r w:rsidRPr="00B924A8">
        <w:rPr>
          <w:rFonts w:cs="Times New Roman"/>
        </w:rPr>
        <w:t xml:space="preserve"> in </w:t>
      </w:r>
      <w:r w:rsidRPr="00B924A8">
        <w:rPr>
          <w:rFonts w:cs="Times New Roman"/>
          <w:i/>
        </w:rPr>
        <w:t>Lectures on the Philosophy of Religion</w:t>
      </w:r>
      <w:r w:rsidR="00C97C14" w:rsidRPr="005D4C21">
        <w:rPr>
          <w:rStyle w:val="FootnoteReference"/>
        </w:rPr>
        <w:footnoteReference w:id="10"/>
      </w:r>
      <w:r w:rsidRPr="00B924A8">
        <w:rPr>
          <w:rFonts w:cs="Times New Roman"/>
        </w:rPr>
        <w:t xml:space="preserve"> to argue that </w:t>
      </w:r>
      <w:r w:rsidR="00AC69B7">
        <w:rPr>
          <w:rFonts w:cs="Times New Roman"/>
        </w:rPr>
        <w:t xml:space="preserve">he </w:t>
      </w:r>
      <w:r w:rsidRPr="00B924A8">
        <w:rPr>
          <w:rFonts w:cs="Times New Roman"/>
        </w:rPr>
        <w:t xml:space="preserve">is not </w:t>
      </w:r>
      <w:r w:rsidR="00AC69B7">
        <w:rPr>
          <w:rFonts w:cs="Times New Roman"/>
        </w:rPr>
        <w:t xml:space="preserve">describing </w:t>
      </w:r>
      <w:r w:rsidRPr="00B924A8">
        <w:rPr>
          <w:rFonts w:cs="Times New Roman"/>
        </w:rPr>
        <w:t xml:space="preserve">faith-in. </w:t>
      </w:r>
      <w:r w:rsidR="004543D6" w:rsidRPr="00B924A8">
        <w:rPr>
          <w:rFonts w:cs="Times New Roman"/>
        </w:rPr>
        <w:t xml:space="preserve">Finally, I relate </w:t>
      </w:r>
      <w:r w:rsidR="00AC69B7">
        <w:rPr>
          <w:rFonts w:cs="Times New Roman"/>
        </w:rPr>
        <w:t>his</w:t>
      </w:r>
      <w:r w:rsidR="00AC69B7" w:rsidRPr="00B924A8">
        <w:rPr>
          <w:rFonts w:cs="Times New Roman"/>
        </w:rPr>
        <w:t xml:space="preserve"> </w:t>
      </w:r>
      <w:r w:rsidR="004543D6" w:rsidRPr="00B924A8">
        <w:rPr>
          <w:rFonts w:cs="Times New Roman"/>
        </w:rPr>
        <w:t>concerns back to the contemporary debate on faith-in.</w:t>
      </w:r>
    </w:p>
    <w:p w14:paraId="5176C7B3" w14:textId="325552F2" w:rsidR="004543D6" w:rsidRPr="004543D6" w:rsidRDefault="00DB68C7" w:rsidP="00097D6B">
      <w:pPr>
        <w:pStyle w:val="Heading3"/>
      </w:pPr>
      <w:r>
        <w:t>II</w:t>
      </w:r>
      <w:r w:rsidR="00370595">
        <w:t>.A</w:t>
      </w:r>
      <w:r w:rsidR="00EF6A95">
        <w:t>.</w:t>
      </w:r>
      <w:r w:rsidR="00370595">
        <w:t xml:space="preserve"> </w:t>
      </w:r>
      <w:r w:rsidR="00EF6A95">
        <w:t>Abraham’s Faith-</w:t>
      </w:r>
      <w:r w:rsidR="00370595">
        <w:t>in</w:t>
      </w:r>
      <w:r w:rsidR="00EF6A95">
        <w:t xml:space="preserve"> God in</w:t>
      </w:r>
      <w:r w:rsidR="00370595">
        <w:t xml:space="preserve"> the </w:t>
      </w:r>
      <w:r w:rsidR="00370595" w:rsidRPr="00074681">
        <w:rPr>
          <w:i w:val="0"/>
        </w:rPr>
        <w:t>Spirit of Christianity</w:t>
      </w:r>
    </w:p>
    <w:p w14:paraId="664147CF" w14:textId="248C7DDC" w:rsidR="00441294" w:rsidRPr="00B924A8" w:rsidRDefault="00B4052F" w:rsidP="00AC62F4">
      <w:pPr>
        <w:ind w:firstLine="720"/>
        <w:rPr>
          <w:rFonts w:cs="Times New Roman"/>
        </w:rPr>
      </w:pPr>
      <w:r w:rsidRPr="00B924A8">
        <w:rPr>
          <w:rFonts w:cs="Times New Roman"/>
          <w:i/>
        </w:rPr>
        <w:t>Sp</w:t>
      </w:r>
      <w:r w:rsidR="00DE4C2D">
        <w:rPr>
          <w:rFonts w:cs="Times New Roman"/>
          <w:i/>
        </w:rPr>
        <w:t>irit of Christianity</w:t>
      </w:r>
      <w:r w:rsidR="00F458AE" w:rsidRPr="00B924A8">
        <w:rPr>
          <w:rFonts w:cs="Times New Roman"/>
        </w:rPr>
        <w:t>,</w:t>
      </w:r>
      <w:r w:rsidR="00441294" w:rsidRPr="00B924A8">
        <w:rPr>
          <w:rFonts w:cs="Times New Roman"/>
        </w:rPr>
        <w:t xml:space="preserve"> </w:t>
      </w:r>
      <w:r w:rsidR="00F458AE" w:rsidRPr="00B924A8">
        <w:rPr>
          <w:rFonts w:cs="Times New Roman"/>
        </w:rPr>
        <w:t>written in 1798</w:t>
      </w:r>
      <w:r w:rsidR="00441294" w:rsidRPr="00B924A8">
        <w:rPr>
          <w:rFonts w:cs="Times New Roman"/>
        </w:rPr>
        <w:t xml:space="preserve">, predates both the </w:t>
      </w:r>
      <w:r w:rsidR="00441294" w:rsidRPr="00B924A8">
        <w:rPr>
          <w:rFonts w:cs="Times New Roman"/>
          <w:i/>
        </w:rPr>
        <w:t>Phenomenology of Spirit</w:t>
      </w:r>
      <w:r w:rsidR="00441294" w:rsidRPr="00B924A8">
        <w:rPr>
          <w:rFonts w:cs="Times New Roman"/>
        </w:rPr>
        <w:t xml:space="preserve"> and the encyclopedic system. </w:t>
      </w:r>
      <w:r w:rsidR="009C35BF" w:rsidRPr="00B924A8">
        <w:rPr>
          <w:rFonts w:cs="Times New Roman"/>
        </w:rPr>
        <w:t>The text considers Abram as</w:t>
      </w:r>
      <w:r w:rsidR="00DE4C2D">
        <w:rPr>
          <w:rFonts w:cs="Times New Roman"/>
        </w:rPr>
        <w:t xml:space="preserve"> a paradigm of “Jewish Religion</w:t>
      </w:r>
      <w:r w:rsidR="00AC69B7">
        <w:rPr>
          <w:rFonts w:cs="Times New Roman"/>
        </w:rPr>
        <w:t>,</w:t>
      </w:r>
      <w:r w:rsidR="00441294" w:rsidRPr="00B924A8">
        <w:rPr>
          <w:rFonts w:cs="Times New Roman"/>
        </w:rPr>
        <w:t>”</w:t>
      </w:r>
      <w:r w:rsidR="00DE4C2D">
        <w:rPr>
          <w:rFonts w:cs="Times New Roman"/>
        </w:rPr>
        <w:t xml:space="preserve"> where “Jewish Religion” refers</w:t>
      </w:r>
      <w:r w:rsidR="00441294" w:rsidRPr="00B924A8">
        <w:rPr>
          <w:rFonts w:cs="Times New Roman"/>
        </w:rPr>
        <w:t xml:space="preserve"> </w:t>
      </w:r>
      <w:r w:rsidR="00DE4C2D">
        <w:rPr>
          <w:rFonts w:cs="Times New Roman"/>
        </w:rPr>
        <w:t>to having</w:t>
      </w:r>
      <w:r w:rsidR="00AC69B7">
        <w:rPr>
          <w:rFonts w:cs="Times New Roman"/>
        </w:rPr>
        <w:t>,</w:t>
      </w:r>
      <w:r w:rsidR="00DE4C2D">
        <w:rPr>
          <w:rFonts w:cs="Times New Roman"/>
        </w:rPr>
        <w:t xml:space="preserve"> or seeking to have</w:t>
      </w:r>
      <w:r w:rsidR="00AC69B7">
        <w:rPr>
          <w:rFonts w:cs="Times New Roman"/>
        </w:rPr>
        <w:t>,</w:t>
      </w:r>
      <w:r w:rsidR="00441294" w:rsidRPr="00B924A8">
        <w:rPr>
          <w:rFonts w:cs="Times New Roman"/>
        </w:rPr>
        <w:t xml:space="preserve"> a relationship to the transcendent </w:t>
      </w:r>
      <w:r w:rsidR="00DE4C2D">
        <w:rPr>
          <w:rFonts w:cs="Times New Roman"/>
        </w:rPr>
        <w:t xml:space="preserve">in order </w:t>
      </w:r>
      <w:r w:rsidR="00441294" w:rsidRPr="00B924A8">
        <w:rPr>
          <w:rFonts w:cs="Times New Roman"/>
        </w:rPr>
        <w:t xml:space="preserve">to escape from the arbitrary nature of the temporal and accidental immanent. </w:t>
      </w:r>
      <w:r w:rsidR="009C35BF" w:rsidRPr="00B924A8">
        <w:rPr>
          <w:rFonts w:cs="Times New Roman"/>
          <w:i/>
        </w:rPr>
        <w:t>Spirit of Christianity</w:t>
      </w:r>
      <w:r w:rsidR="009C35BF" w:rsidRPr="00B924A8">
        <w:rPr>
          <w:rFonts w:cs="Times New Roman"/>
        </w:rPr>
        <w:t xml:space="preserve"> contrasts this with</w:t>
      </w:r>
      <w:r w:rsidR="00F458AE" w:rsidRPr="00B924A8">
        <w:rPr>
          <w:rFonts w:cs="Times New Roman"/>
        </w:rPr>
        <w:t xml:space="preserve"> “Christianity</w:t>
      </w:r>
      <w:r w:rsidR="00AC69B7">
        <w:rPr>
          <w:rFonts w:cs="Times New Roman"/>
        </w:rPr>
        <w:t>,</w:t>
      </w:r>
      <w:r w:rsidR="00F458AE" w:rsidRPr="00B924A8">
        <w:rPr>
          <w:rFonts w:cs="Times New Roman"/>
        </w:rPr>
        <w:t>”</w:t>
      </w:r>
      <w:r w:rsidR="009C35BF" w:rsidRPr="00B924A8">
        <w:rPr>
          <w:rFonts w:cs="Times New Roman"/>
        </w:rPr>
        <w:t xml:space="preserve"> where immanence (now united with transcendence) returns triumphant</w:t>
      </w:r>
      <w:r w:rsidR="00F458AE" w:rsidRPr="00B924A8">
        <w:rPr>
          <w:rFonts w:cs="Times New Roman"/>
        </w:rPr>
        <w:t xml:space="preserve">. This </w:t>
      </w:r>
      <w:r w:rsidR="009C35BF" w:rsidRPr="00B924A8">
        <w:rPr>
          <w:rFonts w:cs="Times New Roman"/>
        </w:rPr>
        <w:t xml:space="preserve">is </w:t>
      </w:r>
      <w:r w:rsidR="00590264">
        <w:rPr>
          <w:rFonts w:cs="Times New Roman"/>
        </w:rPr>
        <w:t>an early prototype</w:t>
      </w:r>
      <w:r w:rsidR="009C35BF" w:rsidRPr="00B924A8">
        <w:rPr>
          <w:rFonts w:cs="Times New Roman"/>
        </w:rPr>
        <w:t xml:space="preserve"> </w:t>
      </w:r>
      <w:r w:rsidR="00F458AE" w:rsidRPr="00B924A8">
        <w:rPr>
          <w:rFonts w:cs="Times New Roman"/>
        </w:rPr>
        <w:t xml:space="preserve">of a common pattern in </w:t>
      </w:r>
      <w:r w:rsidR="00DE4C2D">
        <w:rPr>
          <w:rFonts w:cs="Times New Roman"/>
        </w:rPr>
        <w:t>Hegel’s</w:t>
      </w:r>
      <w:r w:rsidR="00590264">
        <w:rPr>
          <w:rFonts w:cs="Times New Roman"/>
        </w:rPr>
        <w:t xml:space="preserve"> argumentation</w:t>
      </w:r>
      <w:r w:rsidR="00F458AE" w:rsidRPr="00B924A8">
        <w:rPr>
          <w:rFonts w:cs="Times New Roman"/>
        </w:rPr>
        <w:t xml:space="preserve">: (a) </w:t>
      </w:r>
      <w:r w:rsidR="00DE4C2D">
        <w:rPr>
          <w:rFonts w:cs="Times New Roman"/>
        </w:rPr>
        <w:t xml:space="preserve">natural “immanence,” </w:t>
      </w:r>
      <w:r w:rsidR="00F458AE" w:rsidRPr="00B924A8">
        <w:rPr>
          <w:rFonts w:cs="Times New Roman"/>
        </w:rPr>
        <w:t xml:space="preserve">(b) “transcendence” that makes itself universal by </w:t>
      </w:r>
      <w:r w:rsidR="00DE4C2D">
        <w:rPr>
          <w:rFonts w:cs="Times New Roman"/>
        </w:rPr>
        <w:t>becoming ideal, and (c) a return</w:t>
      </w:r>
      <w:r w:rsidR="00AC69B7">
        <w:rPr>
          <w:rFonts w:cs="Times New Roman"/>
        </w:rPr>
        <w:t xml:space="preserve"> to</w:t>
      </w:r>
      <w:r w:rsidR="00DE4C2D">
        <w:rPr>
          <w:rFonts w:cs="Times New Roman"/>
        </w:rPr>
        <w:t xml:space="preserve"> immanence that is also universal</w:t>
      </w:r>
      <w:r w:rsidR="00AC69B7">
        <w:rPr>
          <w:rFonts w:cs="Times New Roman"/>
        </w:rPr>
        <w:t>,</w:t>
      </w:r>
      <w:r w:rsidR="00DE4C2D">
        <w:rPr>
          <w:rFonts w:cs="Times New Roman"/>
        </w:rPr>
        <w:t xml:space="preserve"> insofar as it captures</w:t>
      </w:r>
      <w:r w:rsidR="00F458AE" w:rsidRPr="00B924A8">
        <w:rPr>
          <w:rFonts w:cs="Times New Roman"/>
        </w:rPr>
        <w:t xml:space="preserve"> the whole in all of its distinctions.</w:t>
      </w:r>
    </w:p>
    <w:p w14:paraId="0FC81388" w14:textId="55A18CF9" w:rsidR="00063516" w:rsidRPr="00B924A8" w:rsidRDefault="00F96294" w:rsidP="00F96294">
      <w:pPr>
        <w:ind w:firstLine="720"/>
        <w:rPr>
          <w:rFonts w:cs="Times New Roman"/>
        </w:rPr>
      </w:pPr>
      <w:r>
        <w:rPr>
          <w:rFonts w:cs="Times New Roman"/>
          <w:i/>
        </w:rPr>
        <w:t>Spirit of Chris</w:t>
      </w:r>
      <w:r w:rsidR="00AC69B7">
        <w:rPr>
          <w:rFonts w:cs="Times New Roman"/>
          <w:i/>
        </w:rPr>
        <w:t>t</w:t>
      </w:r>
      <w:r>
        <w:rPr>
          <w:rFonts w:cs="Times New Roman"/>
          <w:i/>
        </w:rPr>
        <w:t>ianity</w:t>
      </w:r>
      <w:r w:rsidR="00DC033B" w:rsidRPr="00B924A8">
        <w:rPr>
          <w:rFonts w:cs="Times New Roman"/>
        </w:rPr>
        <w:t xml:space="preserve"> contains </w:t>
      </w:r>
      <w:r>
        <w:rPr>
          <w:rFonts w:cs="Times New Roman"/>
        </w:rPr>
        <w:t>Hegel’s critique of Abram, which</w:t>
      </w:r>
      <w:r w:rsidR="00DC033B" w:rsidRPr="00B924A8">
        <w:rPr>
          <w:rFonts w:cs="Times New Roman"/>
        </w:rPr>
        <w:t xml:space="preserve"> I argue here is a critique of</w:t>
      </w:r>
      <w:r w:rsidR="009C35BF" w:rsidRPr="00B924A8">
        <w:rPr>
          <w:rFonts w:cs="Times New Roman"/>
        </w:rPr>
        <w:t xml:space="preserve"> faith-in God. </w:t>
      </w:r>
      <w:r w:rsidR="00AC69B7">
        <w:rPr>
          <w:rFonts w:cs="Times New Roman"/>
        </w:rPr>
        <w:t>While m</w:t>
      </w:r>
      <w:r w:rsidR="00DC033B" w:rsidRPr="00B924A8">
        <w:rPr>
          <w:rFonts w:cs="Times New Roman"/>
        </w:rPr>
        <w:t xml:space="preserve">any authors look at </w:t>
      </w:r>
      <w:r w:rsidR="009C35BF" w:rsidRPr="00B924A8">
        <w:rPr>
          <w:rFonts w:cs="Times New Roman"/>
        </w:rPr>
        <w:t xml:space="preserve">Abraham and faith </w:t>
      </w:r>
      <w:r w:rsidR="00DC033B" w:rsidRPr="00B924A8">
        <w:rPr>
          <w:rFonts w:cs="Times New Roman"/>
        </w:rPr>
        <w:t>in light of the</w:t>
      </w:r>
      <w:r w:rsidR="00F458AE" w:rsidRPr="00B924A8">
        <w:rPr>
          <w:rFonts w:cs="Times New Roman"/>
        </w:rPr>
        <w:t xml:space="preserve"> </w:t>
      </w:r>
      <w:r w:rsidR="00F458AE" w:rsidRPr="00B924A8">
        <w:rPr>
          <w:rFonts w:cs="Times New Roman"/>
          <w:i/>
        </w:rPr>
        <w:t>Akedah</w:t>
      </w:r>
      <w:r w:rsidR="00DC033B" w:rsidRPr="00B924A8">
        <w:rPr>
          <w:rFonts w:cs="Times New Roman"/>
        </w:rPr>
        <w:t>,</w:t>
      </w:r>
      <w:r w:rsidR="00F458AE" w:rsidRPr="00B924A8">
        <w:rPr>
          <w:rFonts w:cs="Times New Roman"/>
        </w:rPr>
        <w:t xml:space="preserve"> or </w:t>
      </w:r>
      <w:r w:rsidR="00AC69B7">
        <w:rPr>
          <w:rFonts w:cs="Times New Roman"/>
        </w:rPr>
        <w:t>B</w:t>
      </w:r>
      <w:r w:rsidR="00F458AE" w:rsidRPr="00B924A8">
        <w:rPr>
          <w:rFonts w:cs="Times New Roman"/>
        </w:rPr>
        <w:t>inding of Isaac</w:t>
      </w:r>
      <w:r w:rsidR="00AC69B7">
        <w:rPr>
          <w:rFonts w:cs="Times New Roman"/>
        </w:rPr>
        <w:t xml:space="preserve"> (</w:t>
      </w:r>
      <w:r w:rsidR="00F458AE" w:rsidRPr="00B924A8">
        <w:rPr>
          <w:rFonts w:cs="Times New Roman"/>
        </w:rPr>
        <w:t>Kant, for instance, takes up this subject twice</w:t>
      </w:r>
      <w:r w:rsidR="00AC69B7">
        <w:rPr>
          <w:rFonts w:cs="Times New Roman"/>
        </w:rPr>
        <w:t xml:space="preserve">, viewing </w:t>
      </w:r>
      <w:r w:rsidR="00F458AE" w:rsidRPr="00B924A8">
        <w:rPr>
          <w:rFonts w:cs="Times New Roman"/>
        </w:rPr>
        <w:t xml:space="preserve">the idea that God </w:t>
      </w:r>
      <w:r w:rsidR="00F458AE" w:rsidRPr="00B924A8">
        <w:rPr>
          <w:rFonts w:cs="Times New Roman"/>
        </w:rPr>
        <w:lastRenderedPageBreak/>
        <w:t>could command Abraham to do something other than what the morality of pure reason dictates as both immoral and nonsensical</w:t>
      </w:r>
      <w:r w:rsidR="00AC69B7">
        <w:rPr>
          <w:rFonts w:cs="Times New Roman"/>
        </w:rPr>
        <w:t>),</w:t>
      </w:r>
      <w:r w:rsidR="00F458AE" w:rsidRPr="005D4C21">
        <w:rPr>
          <w:rStyle w:val="FootnoteReference"/>
        </w:rPr>
        <w:footnoteReference w:id="11"/>
      </w:r>
      <w:r w:rsidR="009C35BF" w:rsidRPr="00B924A8">
        <w:rPr>
          <w:rFonts w:cs="Times New Roman"/>
        </w:rPr>
        <w:t xml:space="preserve"> Hegel’s </w:t>
      </w:r>
      <w:r w:rsidR="00DF4345">
        <w:rPr>
          <w:rFonts w:cs="Times New Roman"/>
        </w:rPr>
        <w:t xml:space="preserve">critique in </w:t>
      </w:r>
      <w:r w:rsidR="00F458AE" w:rsidRPr="00B924A8">
        <w:rPr>
          <w:rFonts w:cs="Times New Roman"/>
          <w:i/>
        </w:rPr>
        <w:t>Spirit of Christianity</w:t>
      </w:r>
      <w:r w:rsidR="00063516" w:rsidRPr="00B924A8">
        <w:rPr>
          <w:rFonts w:cs="Times New Roman"/>
        </w:rPr>
        <w:t xml:space="preserve"> </w:t>
      </w:r>
      <w:r w:rsidR="00AC69B7">
        <w:rPr>
          <w:rFonts w:cs="Times New Roman"/>
        </w:rPr>
        <w:t xml:space="preserve">hones in </w:t>
      </w:r>
      <w:r w:rsidR="00063516" w:rsidRPr="00B924A8">
        <w:rPr>
          <w:rFonts w:cs="Times New Roman"/>
        </w:rPr>
        <w:t xml:space="preserve">on a </w:t>
      </w:r>
      <w:r w:rsidR="00F458AE" w:rsidRPr="00B924A8">
        <w:rPr>
          <w:rFonts w:cs="Times New Roman"/>
        </w:rPr>
        <w:t>seemingly more innocuo</w:t>
      </w:r>
      <w:r w:rsidR="003443FF" w:rsidRPr="00B924A8">
        <w:rPr>
          <w:rFonts w:cs="Times New Roman"/>
        </w:rPr>
        <w:t>us segment</w:t>
      </w:r>
      <w:r w:rsidR="00F458AE" w:rsidRPr="00B924A8">
        <w:rPr>
          <w:rFonts w:cs="Times New Roman"/>
        </w:rPr>
        <w:t>:</w:t>
      </w:r>
      <w:r w:rsidR="003443FF" w:rsidRPr="00B924A8">
        <w:rPr>
          <w:rFonts w:cs="Times New Roman"/>
        </w:rPr>
        <w:t xml:space="preserve"> “Abraham, born in Chaldaea, had in youth already left a fatherland in his father's company. Now, in the plains of Mesopotamia, he tore himself free altogether from his family as well, in order to be a wholly self-subsistent, independent man, to be an overlord himself” (</w:t>
      </w:r>
      <w:r w:rsidR="003443FF" w:rsidRPr="00B924A8">
        <w:rPr>
          <w:rFonts w:cs="Times New Roman"/>
          <w:i/>
        </w:rPr>
        <w:t>SC</w:t>
      </w:r>
      <w:r w:rsidR="003443FF" w:rsidRPr="00B924A8">
        <w:rPr>
          <w:rFonts w:cs="Times New Roman"/>
        </w:rPr>
        <w:t xml:space="preserve"> 185).</w:t>
      </w:r>
      <w:r w:rsidR="00F458AE" w:rsidRPr="00B924A8">
        <w:rPr>
          <w:rFonts w:cs="Times New Roman"/>
        </w:rPr>
        <w:t xml:space="preserve"> </w:t>
      </w:r>
      <w:r w:rsidR="00374398">
        <w:rPr>
          <w:rFonts w:cs="Times New Roman"/>
        </w:rPr>
        <w:t>F</w:t>
      </w:r>
      <w:r w:rsidR="00DE4C2D">
        <w:rPr>
          <w:rFonts w:cs="Times New Roman"/>
        </w:rPr>
        <w:t>or Hegel, this is Abram breaking free from natural immanence by means on an abstract universal.</w:t>
      </w:r>
    </w:p>
    <w:p w14:paraId="62D9399B" w14:textId="4EFC4D6E" w:rsidR="00530C14" w:rsidRPr="00B924A8" w:rsidRDefault="003443FF" w:rsidP="00063516">
      <w:pPr>
        <w:ind w:firstLine="862"/>
        <w:rPr>
          <w:rFonts w:cs="Times New Roman"/>
        </w:rPr>
      </w:pPr>
      <w:r w:rsidRPr="00B924A8">
        <w:rPr>
          <w:rFonts w:cs="Times New Roman"/>
        </w:rPr>
        <w:t xml:space="preserve">While the author of </w:t>
      </w:r>
      <w:r w:rsidRPr="00B924A8">
        <w:rPr>
          <w:rFonts w:cs="Times New Roman"/>
          <w:i/>
        </w:rPr>
        <w:t xml:space="preserve">Hebrews </w:t>
      </w:r>
      <w:r w:rsidR="004E22D2" w:rsidRPr="00B924A8">
        <w:rPr>
          <w:rFonts w:cs="Times New Roman"/>
        </w:rPr>
        <w:t>praises Abraham</w:t>
      </w:r>
      <w:r w:rsidR="00374398">
        <w:rPr>
          <w:rFonts w:cs="Times New Roman"/>
        </w:rPr>
        <w:t>’s action</w:t>
      </w:r>
      <w:r w:rsidR="00AC69B7">
        <w:rPr>
          <w:rFonts w:cs="Times New Roman"/>
        </w:rPr>
        <w:t>,</w:t>
      </w:r>
      <w:r w:rsidR="004E22D2" w:rsidRPr="00B924A8">
        <w:rPr>
          <w:rFonts w:cs="Times New Roman"/>
        </w:rPr>
        <w:t xml:space="preserve"> </w:t>
      </w:r>
      <w:r w:rsidR="00AC69B7">
        <w:rPr>
          <w:rFonts w:cs="Times New Roman"/>
        </w:rPr>
        <w:t>interpret</w:t>
      </w:r>
      <w:r w:rsidR="004E22D2" w:rsidRPr="00B924A8">
        <w:rPr>
          <w:rFonts w:cs="Times New Roman"/>
        </w:rPr>
        <w:t>ing that “b</w:t>
      </w:r>
      <w:r w:rsidRPr="00B924A8">
        <w:rPr>
          <w:rFonts w:cs="Times New Roman"/>
        </w:rPr>
        <w:t>y faith Abra</w:t>
      </w:r>
      <w:r w:rsidR="00530C14" w:rsidRPr="00B924A8">
        <w:rPr>
          <w:rFonts w:cs="Times New Roman"/>
        </w:rPr>
        <w:t>ham obeyed when he was called to set out for a place that he was to receive an inheritance …</w:t>
      </w:r>
      <w:r w:rsidRPr="00B924A8">
        <w:rPr>
          <w:rFonts w:cs="Times New Roman"/>
        </w:rPr>
        <w:t>”</w:t>
      </w:r>
      <w:r w:rsidR="00530C14" w:rsidRPr="00B924A8">
        <w:rPr>
          <w:rFonts w:cs="Times New Roman"/>
        </w:rPr>
        <w:t xml:space="preserve"> (</w:t>
      </w:r>
      <w:r w:rsidR="00AC69B7" w:rsidRPr="00074681">
        <w:rPr>
          <w:rFonts w:cs="Times New Roman"/>
          <w:i/>
        </w:rPr>
        <w:t>Epistle to the</w:t>
      </w:r>
      <w:r w:rsidR="00AC69B7">
        <w:rPr>
          <w:rFonts w:cs="Times New Roman"/>
        </w:rPr>
        <w:t xml:space="preserve"> </w:t>
      </w:r>
      <w:r w:rsidR="00530C14" w:rsidRPr="00B924A8">
        <w:rPr>
          <w:rFonts w:cs="Times New Roman"/>
          <w:i/>
        </w:rPr>
        <w:t>Hebrews</w:t>
      </w:r>
      <w:r w:rsidR="00530C14" w:rsidRPr="00B924A8">
        <w:rPr>
          <w:rFonts w:cs="Times New Roman"/>
        </w:rPr>
        <w:t xml:space="preserve"> </w:t>
      </w:r>
      <w:r w:rsidR="00AF1CB6" w:rsidRPr="00B924A8">
        <w:rPr>
          <w:rFonts w:cs="Times New Roman"/>
        </w:rPr>
        <w:t xml:space="preserve">NRSV </w:t>
      </w:r>
      <w:r w:rsidR="00530C14" w:rsidRPr="00B924A8">
        <w:rPr>
          <w:rFonts w:cs="Times New Roman"/>
        </w:rPr>
        <w:t xml:space="preserve">11:8), Hegel reaches </w:t>
      </w:r>
      <w:r w:rsidR="00530C14" w:rsidRPr="00074681">
        <w:rPr>
          <w:rFonts w:cs="Times New Roman"/>
        </w:rPr>
        <w:t>a very negative</w:t>
      </w:r>
      <w:r w:rsidR="00530C14" w:rsidRPr="00B924A8">
        <w:rPr>
          <w:rFonts w:cs="Times New Roman"/>
        </w:rPr>
        <w:t xml:space="preserve"> judgment: </w:t>
      </w:r>
    </w:p>
    <w:p w14:paraId="6D410DE5" w14:textId="4D9D3B33" w:rsidR="00F458AE" w:rsidRDefault="00530C14" w:rsidP="00097D6B">
      <w:pPr>
        <w:pStyle w:val="Quote"/>
      </w:pPr>
      <w:r w:rsidRPr="00530C14">
        <w:t>He did this without having been injured or disowned</w:t>
      </w:r>
      <w:r>
        <w:t xml:space="preserve"> ….</w:t>
      </w:r>
      <w:r w:rsidRPr="00530C14">
        <w:t xml:space="preserve"> The first act which made Abraham the progenitor of a nation is a disseverance which snaps the bonds of communal life and love. The entirety of t</w:t>
      </w:r>
      <w:r>
        <w:t xml:space="preserve">he relationships in which </w:t>
      </w:r>
      <w:r w:rsidRPr="00530C14">
        <w:t xml:space="preserve">he had hitherto lived with men and nature, these beautiful relationships </w:t>
      </w:r>
      <w:r>
        <w:t xml:space="preserve">of his youth (Joshua xxiv. 2), </w:t>
      </w:r>
      <w:r w:rsidRPr="00530C14">
        <w:t>he spurned</w:t>
      </w:r>
      <w:r>
        <w:t xml:space="preserve"> (</w:t>
      </w:r>
      <w:r>
        <w:rPr>
          <w:i/>
        </w:rPr>
        <w:t>SC</w:t>
      </w:r>
      <w:r>
        <w:t xml:space="preserve"> 185). </w:t>
      </w:r>
    </w:p>
    <w:p w14:paraId="589574BB" w14:textId="3D6A7F48" w:rsidR="0036099C" w:rsidRPr="00B924A8" w:rsidRDefault="00DE4C2D" w:rsidP="0036099C">
      <w:pPr>
        <w:rPr>
          <w:rFonts w:cs="Times New Roman"/>
        </w:rPr>
      </w:pPr>
      <w:r>
        <w:rPr>
          <w:rFonts w:cs="Times New Roman"/>
        </w:rPr>
        <w:t xml:space="preserve">For Hegel, this </w:t>
      </w:r>
      <w:r w:rsidR="00074681">
        <w:rPr>
          <w:rFonts w:cs="Times New Roman"/>
        </w:rPr>
        <w:t xml:space="preserve">is a problematic </w:t>
      </w:r>
      <w:r>
        <w:rPr>
          <w:rFonts w:cs="Times New Roman"/>
        </w:rPr>
        <w:t xml:space="preserve">break with the natural. He contrasts this with a neutral or positive assessment of individuals who are forced by </w:t>
      </w:r>
      <w:r w:rsidR="00530C14" w:rsidRPr="00B924A8">
        <w:rPr>
          <w:rFonts w:cs="Times New Roman"/>
        </w:rPr>
        <w:t>tragedy, punishment, war</w:t>
      </w:r>
      <w:r w:rsidR="00374398">
        <w:rPr>
          <w:rFonts w:cs="Times New Roman"/>
        </w:rPr>
        <w:t>, or coercion</w:t>
      </w:r>
      <w:r w:rsidR="00530C14" w:rsidRPr="00B924A8">
        <w:rPr>
          <w:rFonts w:cs="Times New Roman"/>
        </w:rPr>
        <w:t xml:space="preserve"> to leave </w:t>
      </w:r>
      <w:r w:rsidR="00063516" w:rsidRPr="00B924A8">
        <w:rPr>
          <w:rFonts w:cs="Times New Roman"/>
        </w:rPr>
        <w:t xml:space="preserve">their communities or homelands. </w:t>
      </w:r>
      <w:r>
        <w:rPr>
          <w:rFonts w:cs="Times New Roman"/>
        </w:rPr>
        <w:t>A major reason Hegel is not bothered by these others is that</w:t>
      </w:r>
      <w:r w:rsidR="00374398">
        <w:rPr>
          <w:rFonts w:cs="Times New Roman"/>
        </w:rPr>
        <w:t>,</w:t>
      </w:r>
      <w:r>
        <w:rPr>
          <w:rFonts w:cs="Times New Roman"/>
        </w:rPr>
        <w:t xml:space="preserve"> whether they</w:t>
      </w:r>
      <w:r w:rsidR="0036099C" w:rsidRPr="00B924A8">
        <w:rPr>
          <w:rFonts w:cs="Times New Roman"/>
        </w:rPr>
        <w:t xml:space="preserve"> move </w:t>
      </w:r>
      <w:r w:rsidR="00374398">
        <w:rPr>
          <w:rFonts w:cs="Times New Roman"/>
        </w:rPr>
        <w:t>as</w:t>
      </w:r>
      <w:r w:rsidR="00374398" w:rsidRPr="00B924A8">
        <w:rPr>
          <w:rFonts w:cs="Times New Roman"/>
        </w:rPr>
        <w:t xml:space="preserve"> </w:t>
      </w:r>
      <w:r w:rsidR="0036099C" w:rsidRPr="00B924A8">
        <w:rPr>
          <w:rFonts w:cs="Times New Roman"/>
        </w:rPr>
        <w:t xml:space="preserve">refugees or </w:t>
      </w:r>
      <w:r w:rsidR="0079025A" w:rsidRPr="00B924A8">
        <w:rPr>
          <w:rFonts w:cs="Times New Roman"/>
        </w:rPr>
        <w:t>conquerors</w:t>
      </w:r>
      <w:r>
        <w:rPr>
          <w:rFonts w:cs="Times New Roman"/>
        </w:rPr>
        <w:t>, they still</w:t>
      </w:r>
      <w:r w:rsidR="0036099C" w:rsidRPr="00B924A8">
        <w:rPr>
          <w:rFonts w:cs="Times New Roman"/>
        </w:rPr>
        <w:t xml:space="preserve"> </w:t>
      </w:r>
      <w:r w:rsidR="00530C14" w:rsidRPr="00B924A8">
        <w:rPr>
          <w:rFonts w:cs="Times New Roman"/>
        </w:rPr>
        <w:t>“carried [their] gods forth with them” (</w:t>
      </w:r>
      <w:r w:rsidR="00530C14" w:rsidRPr="00B924A8">
        <w:rPr>
          <w:rFonts w:cs="Times New Roman"/>
          <w:i/>
        </w:rPr>
        <w:t>SC</w:t>
      </w:r>
      <w:r>
        <w:rPr>
          <w:rFonts w:cs="Times New Roman"/>
        </w:rPr>
        <w:t xml:space="preserve"> 186).</w:t>
      </w:r>
    </w:p>
    <w:p w14:paraId="7E369C47" w14:textId="7AEBF226" w:rsidR="00530C14" w:rsidRPr="00B924A8" w:rsidRDefault="00EC0745" w:rsidP="0036099C">
      <w:pPr>
        <w:ind w:firstLine="720"/>
        <w:rPr>
          <w:rFonts w:cs="Times New Roman"/>
        </w:rPr>
      </w:pPr>
      <w:r w:rsidRPr="00B924A8">
        <w:rPr>
          <w:rFonts w:cs="Times New Roman"/>
        </w:rPr>
        <w:t xml:space="preserve">Abram, however, </w:t>
      </w:r>
      <w:r w:rsidR="00530C14" w:rsidRPr="00B924A8">
        <w:rPr>
          <w:rFonts w:cs="Times New Roman"/>
        </w:rPr>
        <w:t xml:space="preserve">is to be condemned, because “Abraham wanted to be free from these very relationships, while the others by their gentle arts and manners won over the less </w:t>
      </w:r>
      <w:r w:rsidR="00530C14" w:rsidRPr="00B924A8">
        <w:rPr>
          <w:rFonts w:cs="Times New Roman"/>
        </w:rPr>
        <w:lastRenderedPageBreak/>
        <w:t>civilized aborigines and intermingled with them to form a happy and gregarious people” (</w:t>
      </w:r>
      <w:r w:rsidR="00530C14" w:rsidRPr="00B924A8">
        <w:rPr>
          <w:rFonts w:cs="Times New Roman"/>
          <w:i/>
        </w:rPr>
        <w:t>SC</w:t>
      </w:r>
      <w:r w:rsidR="00530C14" w:rsidRPr="00B924A8">
        <w:rPr>
          <w:rFonts w:cs="Times New Roman"/>
        </w:rPr>
        <w:t xml:space="preserve"> 186). Moreover, as </w:t>
      </w:r>
      <w:r w:rsidR="00374398">
        <w:rPr>
          <w:rFonts w:cs="Times New Roman"/>
        </w:rPr>
        <w:t>Abram</w:t>
      </w:r>
      <w:r w:rsidR="00530C14" w:rsidRPr="00B924A8">
        <w:rPr>
          <w:rFonts w:cs="Times New Roman"/>
        </w:rPr>
        <w:t xml:space="preserve"> travelled</w:t>
      </w:r>
      <w:r w:rsidR="00374398">
        <w:rPr>
          <w:rFonts w:cs="Times New Roman"/>
        </w:rPr>
        <w:t>,</w:t>
      </w:r>
      <w:r w:rsidR="00530C14" w:rsidRPr="00B924A8">
        <w:rPr>
          <w:rFonts w:cs="Times New Roman"/>
        </w:rPr>
        <w:t xml:space="preserve"> </w:t>
      </w:r>
      <w:r w:rsidR="00374398">
        <w:rPr>
          <w:rFonts w:cs="Times New Roman"/>
        </w:rPr>
        <w:t>he</w:t>
      </w:r>
      <w:r w:rsidR="00530C14" w:rsidRPr="00B924A8">
        <w:rPr>
          <w:rFonts w:cs="Times New Roman"/>
        </w:rPr>
        <w:t xml:space="preserve"> continued to refuse to join an</w:t>
      </w:r>
      <w:r w:rsidR="00374398">
        <w:rPr>
          <w:rFonts w:cs="Times New Roman"/>
        </w:rPr>
        <w:t xml:space="preserve"> existing</w:t>
      </w:r>
      <w:r w:rsidR="00530C14" w:rsidRPr="00B924A8">
        <w:rPr>
          <w:rFonts w:cs="Times New Roman"/>
        </w:rPr>
        <w:t xml:space="preserve"> epistemic community.</w:t>
      </w:r>
      <w:r w:rsidR="00882584" w:rsidRPr="00B924A8">
        <w:rPr>
          <w:rFonts w:cs="Times New Roman"/>
        </w:rPr>
        <w:t xml:space="preserve"> Hegel describes this constant refusal as a “struggle against his fate” (</w:t>
      </w:r>
      <w:r w:rsidR="00882584" w:rsidRPr="00B924A8">
        <w:rPr>
          <w:rFonts w:cs="Times New Roman"/>
          <w:i/>
        </w:rPr>
        <w:t>SC</w:t>
      </w:r>
      <w:r w:rsidR="00882584" w:rsidRPr="00B924A8">
        <w:rPr>
          <w:rFonts w:cs="Times New Roman"/>
        </w:rPr>
        <w:t xml:space="preserve"> 186).</w:t>
      </w:r>
      <w:r w:rsidR="00DE4C2D">
        <w:rPr>
          <w:rFonts w:cs="Times New Roman"/>
        </w:rPr>
        <w:t xml:space="preserve"> As</w:t>
      </w:r>
      <w:r w:rsidR="0036099C" w:rsidRPr="00B924A8">
        <w:rPr>
          <w:rFonts w:cs="Times New Roman"/>
        </w:rPr>
        <w:t xml:space="preserve"> Mark C. Taylor notes</w:t>
      </w:r>
      <w:r w:rsidR="00DE4C2D">
        <w:rPr>
          <w:rFonts w:cs="Times New Roman"/>
        </w:rPr>
        <w:t>,</w:t>
      </w:r>
      <w:r w:rsidR="0036099C" w:rsidRPr="00B924A8">
        <w:rPr>
          <w:rFonts w:cs="Times New Roman"/>
        </w:rPr>
        <w:t xml:space="preserve"> </w:t>
      </w:r>
      <w:r w:rsidR="00DE4C2D">
        <w:rPr>
          <w:rFonts w:cs="Times New Roman"/>
        </w:rPr>
        <w:t>for Hegel,</w:t>
      </w:r>
      <w:r w:rsidR="0036099C" w:rsidRPr="00B924A8">
        <w:rPr>
          <w:rFonts w:cs="Times New Roman"/>
        </w:rPr>
        <w:t xml:space="preserve"> “Abraham represents the extreme of alienation (later identified as the unhappy consciousness</w:t>
      </w:r>
      <w:r w:rsidR="0068208D" w:rsidRPr="00B924A8">
        <w:rPr>
          <w:rFonts w:cs="Times New Roman"/>
        </w:rPr>
        <w:t>)</w:t>
      </w:r>
      <w:r w:rsidR="0036099C" w:rsidRPr="00B924A8">
        <w:rPr>
          <w:rFonts w:cs="Times New Roman"/>
        </w:rPr>
        <w:t>.”</w:t>
      </w:r>
      <w:r w:rsidR="0036099C" w:rsidRPr="005D4C21">
        <w:rPr>
          <w:rStyle w:val="FootnoteReference"/>
        </w:rPr>
        <w:footnoteReference w:id="12"/>
      </w:r>
    </w:p>
    <w:p w14:paraId="5681D5ED" w14:textId="6D1EC624" w:rsidR="0068032D" w:rsidRPr="00B924A8" w:rsidRDefault="00AF1CB6" w:rsidP="00AC62F4">
      <w:pPr>
        <w:ind w:firstLine="720"/>
        <w:rPr>
          <w:rFonts w:cs="Times New Roman"/>
        </w:rPr>
      </w:pPr>
      <w:r w:rsidRPr="00B924A8">
        <w:rPr>
          <w:rFonts w:cs="Times New Roman"/>
        </w:rPr>
        <w:tab/>
      </w:r>
      <w:r w:rsidR="00DE4C2D">
        <w:rPr>
          <w:rFonts w:cs="Times New Roman"/>
        </w:rPr>
        <w:t xml:space="preserve">The center of Hegel’s critique is that Abraham has a faith relationship with a transcendent God. Thus, </w:t>
      </w:r>
      <w:r w:rsidR="0068032D" w:rsidRPr="00B924A8">
        <w:rPr>
          <w:rFonts w:cs="Times New Roman"/>
        </w:rPr>
        <w:t>Hegel identifies</w:t>
      </w:r>
      <w:r w:rsidRPr="00B924A8">
        <w:rPr>
          <w:rFonts w:cs="Times New Roman"/>
        </w:rPr>
        <w:t xml:space="preserve"> Abraham</w:t>
      </w:r>
      <w:r w:rsidR="0068032D" w:rsidRPr="00B924A8">
        <w:rPr>
          <w:rFonts w:cs="Times New Roman"/>
        </w:rPr>
        <w:t xml:space="preserve">’s </w:t>
      </w:r>
      <w:r w:rsidRPr="00B924A8">
        <w:rPr>
          <w:rFonts w:cs="Times New Roman"/>
        </w:rPr>
        <w:t xml:space="preserve">faith-in God </w:t>
      </w:r>
      <w:r w:rsidR="00374398">
        <w:rPr>
          <w:rFonts w:cs="Times New Roman"/>
        </w:rPr>
        <w:t xml:space="preserve">– </w:t>
      </w:r>
      <w:r w:rsidR="0068032D" w:rsidRPr="00B924A8">
        <w:rPr>
          <w:rFonts w:cs="Times New Roman"/>
        </w:rPr>
        <w:t>a</w:t>
      </w:r>
      <w:r w:rsidR="003361A1" w:rsidRPr="00B924A8">
        <w:rPr>
          <w:rFonts w:cs="Times New Roman"/>
        </w:rPr>
        <w:t xml:space="preserve">nd the exclusivity it </w:t>
      </w:r>
      <w:r w:rsidR="004E22D2" w:rsidRPr="00B924A8">
        <w:rPr>
          <w:rFonts w:cs="Times New Roman"/>
        </w:rPr>
        <w:t xml:space="preserve">demands </w:t>
      </w:r>
      <w:r w:rsidR="00374398">
        <w:rPr>
          <w:rFonts w:cs="Times New Roman"/>
        </w:rPr>
        <w:t xml:space="preserve">– </w:t>
      </w:r>
      <w:r w:rsidR="004E22D2" w:rsidRPr="00B924A8">
        <w:rPr>
          <w:rFonts w:cs="Times New Roman"/>
        </w:rPr>
        <w:t xml:space="preserve">as the </w:t>
      </w:r>
      <w:r w:rsidR="00374398">
        <w:rPr>
          <w:rFonts w:cs="Times New Roman"/>
        </w:rPr>
        <w:t xml:space="preserve">primary </w:t>
      </w:r>
      <w:r w:rsidR="004E22D2" w:rsidRPr="00B924A8">
        <w:rPr>
          <w:rFonts w:cs="Times New Roman"/>
        </w:rPr>
        <w:t>problem at hand:</w:t>
      </w:r>
    </w:p>
    <w:p w14:paraId="7B7B92A0" w14:textId="34F7DBB6" w:rsidR="003361A1" w:rsidRDefault="003361A1" w:rsidP="00097D6B">
      <w:pPr>
        <w:pStyle w:val="Quote"/>
      </w:pPr>
      <w:r w:rsidRPr="003361A1">
        <w:t>In this way, Abraham’s God is significantly different from household gods [</w:t>
      </w:r>
      <w:r w:rsidRPr="00F3752D">
        <w:rPr>
          <w:i/>
        </w:rPr>
        <w:t>Laren</w:t>
      </w:r>
      <w:r w:rsidRPr="003361A1">
        <w:t>] and national gods. A family worships i</w:t>
      </w:r>
      <w:r>
        <w:t>ts household gods; a nation</w:t>
      </w:r>
      <w:r w:rsidR="00374398">
        <w:t>,</w:t>
      </w:r>
      <w:r w:rsidRPr="003361A1">
        <w:t xml:space="preserve"> its national gods; They isolate themselves namely by taking something as their own portion</w:t>
      </w:r>
      <w:r>
        <w:t xml:space="preserve"> [</w:t>
      </w:r>
      <w:r>
        <w:rPr>
          <w:i/>
        </w:rPr>
        <w:t>Teile</w:t>
      </w:r>
      <w:r>
        <w:t>]</w:t>
      </w:r>
      <w:r w:rsidRPr="003361A1">
        <w:t xml:space="preserve"> and forsaking other portions. But they</w:t>
      </w:r>
      <w:r w:rsidR="00E37377">
        <w:t>,</w:t>
      </w:r>
      <w:r w:rsidRPr="003361A1">
        <w:t xml:space="preserve"> at the same time </w:t>
      </w:r>
      <w:r w:rsidR="00E37377">
        <w:t>as</w:t>
      </w:r>
      <w:r w:rsidR="00E37377" w:rsidRPr="003361A1">
        <w:t xml:space="preserve"> </w:t>
      </w:r>
      <w:r w:rsidRPr="003361A1">
        <w:t>this</w:t>
      </w:r>
      <w:r w:rsidR="00E37377">
        <w:t>,</w:t>
      </w:r>
      <w:r w:rsidRPr="003361A1">
        <w:t xml:space="preserve"> allow other portions</w:t>
      </w:r>
      <w:r w:rsidR="00E37377">
        <w:t>,</w:t>
      </w:r>
      <w:r w:rsidRPr="003361A1">
        <w:t xml:space="preserve"> and do not reserve the immeasurable to themselves and banish all others from it. Instead, they grant others rights equal to their </w:t>
      </w:r>
      <w:r>
        <w:t>own</w:t>
      </w:r>
      <w:r w:rsidR="00E37377">
        <w:t>,</w:t>
      </w:r>
      <w:r>
        <w:t xml:space="preserve"> and recognize the household</w:t>
      </w:r>
      <w:r w:rsidRPr="003361A1">
        <w:t xml:space="preserve"> gods and gods of others as household gods and gods. Conversely</w:t>
      </w:r>
      <w:r w:rsidR="00374398">
        <w:t>,</w:t>
      </w:r>
      <w:r w:rsidRPr="003361A1">
        <w:t xml:space="preserve"> </w:t>
      </w:r>
      <w:r w:rsidR="00374398">
        <w:t xml:space="preserve">in </w:t>
      </w:r>
      <w:r w:rsidRPr="003361A1">
        <w:t>Abraham and his descendants lie the dreadful insistence o</w:t>
      </w:r>
      <w:r w:rsidR="00E37377">
        <w:t>n</w:t>
      </w:r>
      <w:r w:rsidRPr="003361A1">
        <w:t xml:space="preserve"> a jealous god</w:t>
      </w:r>
      <w:r w:rsidR="00E37377">
        <w:t xml:space="preserve"> –</w:t>
      </w:r>
      <w:r w:rsidRPr="003361A1">
        <w:t xml:space="preserve"> that he alone</w:t>
      </w:r>
      <w:r w:rsidR="00E37377">
        <w:t>,</w:t>
      </w:r>
      <w:r w:rsidRPr="003361A1">
        <w:t xml:space="preserve"> and this nation by itself</w:t>
      </w:r>
      <w:r w:rsidR="00E37377">
        <w:t>,</w:t>
      </w:r>
      <w:r w:rsidRPr="003361A1">
        <w:t xml:space="preserve"> has the one God</w:t>
      </w:r>
      <w:r>
        <w:t xml:space="preserve"> (</w:t>
      </w:r>
      <w:r>
        <w:rPr>
          <w:i/>
        </w:rPr>
        <w:t>SC</w:t>
      </w:r>
      <w:r>
        <w:t xml:space="preserve"> 188, my translation)</w:t>
      </w:r>
      <w:r w:rsidRPr="003361A1">
        <w:t>.</w:t>
      </w:r>
    </w:p>
    <w:p w14:paraId="5E7B8662" w14:textId="45DE4E1B" w:rsidR="0068208D" w:rsidRPr="00B924A8" w:rsidRDefault="003361A1" w:rsidP="00AC62F4">
      <w:pPr>
        <w:rPr>
          <w:rFonts w:cs="Times New Roman"/>
        </w:rPr>
      </w:pPr>
      <w:r w:rsidRPr="00B924A8">
        <w:rPr>
          <w:rFonts w:cs="Times New Roman"/>
        </w:rPr>
        <w:t xml:space="preserve">In other words, belief in </w:t>
      </w:r>
      <w:r w:rsidR="00E37377">
        <w:rPr>
          <w:rFonts w:cs="Times New Roman"/>
        </w:rPr>
        <w:t xml:space="preserve">differing </w:t>
      </w:r>
      <w:r w:rsidRPr="00B924A8">
        <w:rPr>
          <w:rFonts w:cs="Times New Roman"/>
        </w:rPr>
        <w:t xml:space="preserve">household gods and </w:t>
      </w:r>
      <w:r w:rsidR="00DE4C2D">
        <w:rPr>
          <w:rFonts w:cs="Times New Roman"/>
        </w:rPr>
        <w:t xml:space="preserve">national </w:t>
      </w:r>
      <w:r w:rsidRPr="00B924A8">
        <w:rPr>
          <w:rFonts w:cs="Times New Roman"/>
        </w:rPr>
        <w:t xml:space="preserve">gods </w:t>
      </w:r>
      <w:r w:rsidR="00B1678C">
        <w:rPr>
          <w:rFonts w:cs="Times New Roman"/>
        </w:rPr>
        <w:t>i</w:t>
      </w:r>
      <w:r w:rsidRPr="00B924A8">
        <w:rPr>
          <w:rFonts w:cs="Times New Roman"/>
        </w:rPr>
        <w:t>s still a part of a</w:t>
      </w:r>
      <w:r w:rsidR="00E37377">
        <w:rPr>
          <w:rFonts w:cs="Times New Roman"/>
        </w:rPr>
        <w:t xml:space="preserve"> larger</w:t>
      </w:r>
      <w:r w:rsidRPr="00B924A8">
        <w:rPr>
          <w:rFonts w:cs="Times New Roman"/>
        </w:rPr>
        <w:t xml:space="preserve"> social system wherein the particular distinctiveness falls under a shared communal agreement about what is going</w:t>
      </w:r>
      <w:r w:rsidR="00E37377">
        <w:rPr>
          <w:rFonts w:cs="Times New Roman"/>
        </w:rPr>
        <w:t xml:space="preserve"> on</w:t>
      </w:r>
      <w:r w:rsidRPr="00B924A8">
        <w:rPr>
          <w:rFonts w:cs="Times New Roman"/>
        </w:rPr>
        <w:t>. For such a community, there</w:t>
      </w:r>
      <w:r w:rsidR="00E37377">
        <w:rPr>
          <w:rFonts w:cs="Times New Roman"/>
        </w:rPr>
        <w:t xml:space="preserve"> i</w:t>
      </w:r>
      <w:r w:rsidRPr="00B924A8">
        <w:rPr>
          <w:rFonts w:cs="Times New Roman"/>
        </w:rPr>
        <w:t xml:space="preserve">s still a common epistemic model, because what differences exist </w:t>
      </w:r>
      <w:r w:rsidR="00E37377">
        <w:rPr>
          <w:rFonts w:cs="Times New Roman"/>
        </w:rPr>
        <w:t xml:space="preserve">from god to god </w:t>
      </w:r>
      <w:r w:rsidRPr="00B924A8">
        <w:rPr>
          <w:rFonts w:cs="Times New Roman"/>
        </w:rPr>
        <w:t xml:space="preserve">are swallowed </w:t>
      </w:r>
      <w:r w:rsidR="00E37377">
        <w:rPr>
          <w:rFonts w:cs="Times New Roman"/>
        </w:rPr>
        <w:t xml:space="preserve">up </w:t>
      </w:r>
      <w:r w:rsidRPr="00B924A8">
        <w:rPr>
          <w:rFonts w:cs="Times New Roman"/>
        </w:rPr>
        <w:t xml:space="preserve">under the structural idea </w:t>
      </w:r>
      <w:r w:rsidRPr="00B924A8">
        <w:rPr>
          <w:rFonts w:cs="Times New Roman"/>
        </w:rPr>
        <w:lastRenderedPageBreak/>
        <w:t>that each h</w:t>
      </w:r>
      <w:r w:rsidR="00DE4C2D">
        <w:rPr>
          <w:rFonts w:cs="Times New Roman"/>
        </w:rPr>
        <w:t>ouse and each country has</w:t>
      </w:r>
      <w:r w:rsidR="00E37377">
        <w:rPr>
          <w:rFonts w:cs="Times New Roman"/>
        </w:rPr>
        <w:t xml:space="preserve"> its</w:t>
      </w:r>
      <w:r w:rsidR="00DE4C2D">
        <w:rPr>
          <w:rFonts w:cs="Times New Roman"/>
        </w:rPr>
        <w:t xml:space="preserve"> gods</w:t>
      </w:r>
      <w:r w:rsidR="002D54C8">
        <w:rPr>
          <w:rFonts w:cs="Times New Roman"/>
        </w:rPr>
        <w:t>, whose interactions mirror the members of the community itself</w:t>
      </w:r>
      <w:r w:rsidR="00DE4C2D">
        <w:rPr>
          <w:rFonts w:cs="Times New Roman"/>
        </w:rPr>
        <w:t>.</w:t>
      </w:r>
    </w:p>
    <w:p w14:paraId="08497A26" w14:textId="7EE72A8C" w:rsidR="00575905" w:rsidRDefault="00DE4C2D" w:rsidP="0068208D">
      <w:pPr>
        <w:ind w:firstLine="720"/>
        <w:rPr>
          <w:rFonts w:cs="Times New Roman"/>
        </w:rPr>
      </w:pPr>
      <w:r>
        <w:rPr>
          <w:rFonts w:cs="Times New Roman"/>
        </w:rPr>
        <w:t xml:space="preserve">After </w:t>
      </w:r>
      <w:r w:rsidR="002D54C8">
        <w:rPr>
          <w:rFonts w:cs="Times New Roman"/>
        </w:rPr>
        <w:t>considering Abram’s departure from his homeland</w:t>
      </w:r>
      <w:r>
        <w:rPr>
          <w:rFonts w:cs="Times New Roman"/>
        </w:rPr>
        <w:t xml:space="preserve">, </w:t>
      </w:r>
      <w:r w:rsidR="004B063B" w:rsidRPr="00B924A8">
        <w:rPr>
          <w:rFonts w:cs="Times New Roman"/>
        </w:rPr>
        <w:t>Hegel stops considering Abraham</w:t>
      </w:r>
      <w:r>
        <w:rPr>
          <w:rFonts w:cs="Times New Roman"/>
        </w:rPr>
        <w:t xml:space="preserve"> in </w:t>
      </w:r>
      <w:r>
        <w:rPr>
          <w:rFonts w:cs="Times New Roman"/>
          <w:i/>
        </w:rPr>
        <w:t>Spirit of Christianity</w:t>
      </w:r>
      <w:r>
        <w:rPr>
          <w:rFonts w:cs="Times New Roman"/>
        </w:rPr>
        <w:t>. The stop seems abrupt</w:t>
      </w:r>
      <w:r w:rsidR="00E37377">
        <w:rPr>
          <w:rFonts w:cs="Times New Roman"/>
        </w:rPr>
        <w:t>,</w:t>
      </w:r>
      <w:r>
        <w:rPr>
          <w:rFonts w:cs="Times New Roman"/>
        </w:rPr>
        <w:t xml:space="preserve"> in part because it skips </w:t>
      </w:r>
      <w:r w:rsidR="004E22D2" w:rsidRPr="00B924A8">
        <w:rPr>
          <w:rFonts w:cs="Times New Roman"/>
        </w:rPr>
        <w:t xml:space="preserve">the </w:t>
      </w:r>
      <w:r w:rsidR="004E22D2" w:rsidRPr="00B924A8">
        <w:rPr>
          <w:rFonts w:cs="Times New Roman"/>
          <w:i/>
        </w:rPr>
        <w:t>Akedah</w:t>
      </w:r>
      <w:r w:rsidR="004E22D2" w:rsidRPr="00B924A8">
        <w:rPr>
          <w:rFonts w:cs="Times New Roman"/>
        </w:rPr>
        <w:t xml:space="preserve"> entirely</w:t>
      </w:r>
      <w:r w:rsidR="0068208D" w:rsidRPr="00B924A8">
        <w:rPr>
          <w:rFonts w:cs="Times New Roman"/>
        </w:rPr>
        <w:t>.</w:t>
      </w:r>
      <w:r w:rsidR="009C35BF" w:rsidRPr="00B924A8">
        <w:rPr>
          <w:rFonts w:cs="Times New Roman"/>
        </w:rPr>
        <w:t xml:space="preserve"> </w:t>
      </w:r>
      <w:r w:rsidR="00BF6140" w:rsidRPr="00B924A8">
        <w:rPr>
          <w:rFonts w:cs="Times New Roman"/>
        </w:rPr>
        <w:t xml:space="preserve">Turning </w:t>
      </w:r>
      <w:r w:rsidR="00E37377">
        <w:rPr>
          <w:rFonts w:cs="Times New Roman"/>
        </w:rPr>
        <w:t xml:space="preserve">next </w:t>
      </w:r>
      <w:r w:rsidR="00BF6140" w:rsidRPr="00B924A8">
        <w:rPr>
          <w:rFonts w:cs="Times New Roman"/>
        </w:rPr>
        <w:t>to Jacob’s children, Hegel explains the entire point of this faith-in relation as “segregation [</w:t>
      </w:r>
      <w:r w:rsidR="00BF6140" w:rsidRPr="00B924A8">
        <w:rPr>
          <w:rFonts w:cs="Times New Roman"/>
          <w:i/>
        </w:rPr>
        <w:t>Absonderung</w:t>
      </w:r>
      <w:r w:rsidR="00BF6140" w:rsidRPr="00B924A8">
        <w:rPr>
          <w:rFonts w:cs="Times New Roman"/>
        </w:rPr>
        <w:t>]” (</w:t>
      </w:r>
      <w:r w:rsidR="00BF6140" w:rsidRPr="00B924A8">
        <w:rPr>
          <w:rFonts w:cs="Times New Roman"/>
          <w:i/>
        </w:rPr>
        <w:t>SC</w:t>
      </w:r>
      <w:r w:rsidR="00BF6140" w:rsidRPr="00B924A8">
        <w:rPr>
          <w:rFonts w:cs="Times New Roman"/>
        </w:rPr>
        <w:t xml:space="preserve"> 188). Hegel </w:t>
      </w:r>
      <w:r>
        <w:rPr>
          <w:rFonts w:cs="Times New Roman"/>
        </w:rPr>
        <w:t xml:space="preserve">continues his </w:t>
      </w:r>
      <w:r w:rsidR="00E37377">
        <w:rPr>
          <w:rFonts w:cs="Times New Roman"/>
        </w:rPr>
        <w:t>handling of Abra</w:t>
      </w:r>
      <w:r w:rsidR="00B1678C">
        <w:rPr>
          <w:rFonts w:cs="Times New Roman"/>
        </w:rPr>
        <w:t>ha</w:t>
      </w:r>
      <w:r w:rsidR="00E37377">
        <w:rPr>
          <w:rFonts w:cs="Times New Roman"/>
        </w:rPr>
        <w:t xml:space="preserve">m’s </w:t>
      </w:r>
      <w:r>
        <w:rPr>
          <w:rFonts w:cs="Times New Roman"/>
        </w:rPr>
        <w:t xml:space="preserve">story by looking at the transformation of </w:t>
      </w:r>
      <w:r w:rsidR="00575905">
        <w:rPr>
          <w:rFonts w:cs="Times New Roman"/>
        </w:rPr>
        <w:t>the Jews into a nation. T</w:t>
      </w:r>
      <w:r>
        <w:rPr>
          <w:rFonts w:cs="Times New Roman"/>
        </w:rPr>
        <w:t xml:space="preserve">aking a </w:t>
      </w:r>
      <w:r w:rsidR="00E37377">
        <w:rPr>
          <w:rFonts w:cs="Times New Roman"/>
        </w:rPr>
        <w:t>remarkably</w:t>
      </w:r>
      <w:r>
        <w:rPr>
          <w:rFonts w:cs="Times New Roman"/>
        </w:rPr>
        <w:t xml:space="preserve"> different view than the Old and New Testament authors, he praises</w:t>
      </w:r>
      <w:r w:rsidR="00BF6140" w:rsidRPr="00B924A8">
        <w:rPr>
          <w:rFonts w:cs="Times New Roman"/>
        </w:rPr>
        <w:t xml:space="preserve"> the</w:t>
      </w:r>
      <w:r w:rsidR="00E37377">
        <w:rPr>
          <w:rFonts w:cs="Times New Roman"/>
        </w:rPr>
        <w:t xml:space="preserve"> Jews’</w:t>
      </w:r>
      <w:r w:rsidR="00BF6140" w:rsidRPr="00B924A8">
        <w:rPr>
          <w:rFonts w:cs="Times New Roman"/>
        </w:rPr>
        <w:t xml:space="preserve"> worship of idols as the loss of this </w:t>
      </w:r>
      <w:r w:rsidR="00E37377">
        <w:rPr>
          <w:rFonts w:cs="Times New Roman"/>
        </w:rPr>
        <w:t xml:space="preserve">problematic </w:t>
      </w:r>
      <w:r w:rsidR="00BF6140" w:rsidRPr="00B924A8">
        <w:rPr>
          <w:rFonts w:cs="Times New Roman"/>
        </w:rPr>
        <w:t>segregation and the gain of integration into the local community (</w:t>
      </w:r>
      <w:r w:rsidR="00BF6140" w:rsidRPr="00B924A8">
        <w:rPr>
          <w:rFonts w:cs="Times New Roman"/>
          <w:i/>
        </w:rPr>
        <w:t>SC</w:t>
      </w:r>
      <w:r w:rsidR="00BF6140" w:rsidRPr="00B924A8">
        <w:rPr>
          <w:rFonts w:cs="Times New Roman"/>
        </w:rPr>
        <w:t xml:space="preserve"> 201)</w:t>
      </w:r>
      <w:r w:rsidR="007F18F1" w:rsidRPr="00B924A8">
        <w:rPr>
          <w:rFonts w:cs="Times New Roman"/>
        </w:rPr>
        <w:t>.</w:t>
      </w:r>
      <w:r w:rsidR="00246B42" w:rsidRPr="00B924A8">
        <w:rPr>
          <w:rFonts w:cs="Times New Roman"/>
        </w:rPr>
        <w:t xml:space="preserve"> </w:t>
      </w:r>
      <w:r w:rsidR="00575905">
        <w:rPr>
          <w:rFonts w:cs="Times New Roman"/>
        </w:rPr>
        <w:t>His</w:t>
      </w:r>
      <w:r w:rsidR="00D3098C">
        <w:rPr>
          <w:rFonts w:cs="Times New Roman"/>
        </w:rPr>
        <w:t xml:space="preserve"> assessment here</w:t>
      </w:r>
      <w:r w:rsidR="00575905">
        <w:rPr>
          <w:rFonts w:cs="Times New Roman"/>
        </w:rPr>
        <w:t xml:space="preserve"> is consistent with his critique of faith and transcendence</w:t>
      </w:r>
      <w:r w:rsidR="00E37377">
        <w:rPr>
          <w:rFonts w:cs="Times New Roman"/>
        </w:rPr>
        <w:t>: b</w:t>
      </w:r>
      <w:r w:rsidR="00575905">
        <w:rPr>
          <w:rFonts w:cs="Times New Roman"/>
        </w:rPr>
        <w:t>y returning to idol worship, the</w:t>
      </w:r>
      <w:r w:rsidR="00E37377">
        <w:rPr>
          <w:rFonts w:cs="Times New Roman"/>
        </w:rPr>
        <w:t xml:space="preserve"> Jews</w:t>
      </w:r>
      <w:r w:rsidR="004B3566">
        <w:rPr>
          <w:rFonts w:cs="Times New Roman"/>
        </w:rPr>
        <w:t xml:space="preserve"> return to immanence.</w:t>
      </w:r>
      <w:r w:rsidR="002A75FB">
        <w:rPr>
          <w:rFonts w:cs="Times New Roman"/>
        </w:rPr>
        <w:t xml:space="preserve"> All is not well, however.</w:t>
      </w:r>
    </w:p>
    <w:p w14:paraId="3F4BFF23" w14:textId="756BA883" w:rsidR="00575905" w:rsidRDefault="002A75FB" w:rsidP="00575905">
      <w:pPr>
        <w:ind w:firstLine="720"/>
        <w:rPr>
          <w:rFonts w:cs="Times New Roman"/>
        </w:rPr>
      </w:pPr>
      <w:r>
        <w:rPr>
          <w:rFonts w:cs="Times New Roman"/>
        </w:rPr>
        <w:t>For Hegel,</w:t>
      </w:r>
      <w:r w:rsidR="00575905">
        <w:rPr>
          <w:rFonts w:cs="Times New Roman"/>
        </w:rPr>
        <w:t xml:space="preserve"> their </w:t>
      </w:r>
      <w:r>
        <w:rPr>
          <w:rFonts w:cs="Times New Roman"/>
        </w:rPr>
        <w:t xml:space="preserve">prior </w:t>
      </w:r>
      <w:r w:rsidR="00575905">
        <w:rPr>
          <w:rFonts w:cs="Times New Roman"/>
        </w:rPr>
        <w:t>escape to tran</w:t>
      </w:r>
      <w:r>
        <w:rPr>
          <w:rFonts w:cs="Times New Roman"/>
        </w:rPr>
        <w:t>scendence leaves behind in their</w:t>
      </w:r>
      <w:r w:rsidR="00575905">
        <w:rPr>
          <w:rFonts w:cs="Times New Roman"/>
        </w:rPr>
        <w:t xml:space="preserve"> </w:t>
      </w:r>
      <w:r w:rsidR="00246B42" w:rsidRPr="00B924A8">
        <w:rPr>
          <w:rFonts w:cs="Times New Roman"/>
        </w:rPr>
        <w:t>fundamental</w:t>
      </w:r>
      <w:r w:rsidR="00E37377">
        <w:rPr>
          <w:rFonts w:cs="Times New Roman"/>
        </w:rPr>
        <w:t>s</w:t>
      </w:r>
      <w:r w:rsidR="00246B42" w:rsidRPr="00B924A8">
        <w:rPr>
          <w:rFonts w:cs="Times New Roman"/>
        </w:rPr>
        <w:t xml:space="preserve"> </w:t>
      </w:r>
      <w:r w:rsidR="00575905">
        <w:rPr>
          <w:rFonts w:cs="Times New Roman"/>
        </w:rPr>
        <w:t>the</w:t>
      </w:r>
      <w:r w:rsidR="00246B42" w:rsidRPr="00B924A8">
        <w:rPr>
          <w:rFonts w:cs="Times New Roman"/>
        </w:rPr>
        <w:t xml:space="preserve"> positing </w:t>
      </w:r>
      <w:r>
        <w:rPr>
          <w:rFonts w:cs="Times New Roman"/>
        </w:rPr>
        <w:t xml:space="preserve">of </w:t>
      </w:r>
      <w:r w:rsidR="00246B42" w:rsidRPr="00B924A8">
        <w:rPr>
          <w:rFonts w:cs="Times New Roman"/>
        </w:rPr>
        <w:t>“an impassable gulf, an alien court of judgment” between human actions and their evaluations (</w:t>
      </w:r>
      <w:r w:rsidR="00246B42" w:rsidRPr="00B924A8">
        <w:rPr>
          <w:rFonts w:cs="Times New Roman"/>
          <w:i/>
        </w:rPr>
        <w:t>SC</w:t>
      </w:r>
      <w:r w:rsidR="00246B42" w:rsidRPr="00B924A8">
        <w:rPr>
          <w:rFonts w:cs="Times New Roman"/>
        </w:rPr>
        <w:t xml:space="preserve"> 240). The issue is specifically tied to </w:t>
      </w:r>
      <w:r w:rsidR="00E37377">
        <w:rPr>
          <w:rFonts w:cs="Times New Roman"/>
        </w:rPr>
        <w:t>acquir</w:t>
      </w:r>
      <w:r w:rsidR="00246B42" w:rsidRPr="00B924A8">
        <w:rPr>
          <w:rFonts w:cs="Times New Roman"/>
        </w:rPr>
        <w:t>ing moral knowledge from God: “they had alienated from themselves all the genii in which men are united; they had put nature in the hands of an alien being” (</w:t>
      </w:r>
      <w:r w:rsidR="00246B42" w:rsidRPr="00B924A8">
        <w:rPr>
          <w:rFonts w:cs="Times New Roman"/>
          <w:i/>
        </w:rPr>
        <w:t>SC</w:t>
      </w:r>
      <w:r w:rsidR="00246B42" w:rsidRPr="00B924A8">
        <w:rPr>
          <w:rFonts w:cs="Times New Roman"/>
        </w:rPr>
        <w:t xml:space="preserve"> 240).</w:t>
      </w:r>
      <w:r w:rsidR="00575905">
        <w:rPr>
          <w:rFonts w:cs="Times New Roman"/>
        </w:rPr>
        <w:t xml:space="preserve"> To complete the circle and return to immanence</w:t>
      </w:r>
      <w:r w:rsidR="00E37377">
        <w:rPr>
          <w:rFonts w:cs="Times New Roman"/>
        </w:rPr>
        <w:t>,</w:t>
      </w:r>
      <w:r w:rsidR="00575905">
        <w:rPr>
          <w:rFonts w:cs="Times New Roman"/>
        </w:rPr>
        <w:t xml:space="preserve"> but this time with transcendence, Hegel posits Jesus </w:t>
      </w:r>
      <w:r w:rsidR="00E01D11" w:rsidRPr="00B924A8">
        <w:rPr>
          <w:rFonts w:cs="Times New Roman"/>
        </w:rPr>
        <w:t xml:space="preserve">as overcoming by </w:t>
      </w:r>
      <w:r w:rsidR="00663EF8" w:rsidRPr="00B924A8">
        <w:rPr>
          <w:rFonts w:cs="Times New Roman"/>
        </w:rPr>
        <w:t xml:space="preserve">the </w:t>
      </w:r>
      <w:r w:rsidR="00E01D11" w:rsidRPr="00B924A8">
        <w:rPr>
          <w:rFonts w:cs="Times New Roman"/>
        </w:rPr>
        <w:t>upheaval [</w:t>
      </w:r>
      <w:r w:rsidR="00E01D11" w:rsidRPr="00B924A8">
        <w:rPr>
          <w:rFonts w:cs="Times New Roman"/>
          <w:i/>
        </w:rPr>
        <w:t>Aufhebung</w:t>
      </w:r>
      <w:r w:rsidR="00E01D11" w:rsidRPr="00B924A8">
        <w:rPr>
          <w:rFonts w:cs="Times New Roman"/>
        </w:rPr>
        <w:t xml:space="preserve">] </w:t>
      </w:r>
      <w:r w:rsidR="00663EF8" w:rsidRPr="00B924A8">
        <w:rPr>
          <w:rFonts w:cs="Times New Roman"/>
        </w:rPr>
        <w:t xml:space="preserve">of </w:t>
      </w:r>
      <w:r w:rsidR="00E01D11" w:rsidRPr="00B924A8">
        <w:rPr>
          <w:rFonts w:cs="Times New Roman"/>
        </w:rPr>
        <w:t xml:space="preserve">the transcendence-immanence divide that </w:t>
      </w:r>
      <w:r w:rsidR="00020C9B" w:rsidRPr="00B924A8">
        <w:rPr>
          <w:rFonts w:cs="Times New Roman"/>
        </w:rPr>
        <w:t>defines</w:t>
      </w:r>
      <w:r w:rsidR="00E01D11" w:rsidRPr="00B924A8">
        <w:rPr>
          <w:rFonts w:cs="Times New Roman"/>
        </w:rPr>
        <w:t xml:space="preserve"> </w:t>
      </w:r>
      <w:r w:rsidR="0086318A" w:rsidRPr="00B924A8">
        <w:rPr>
          <w:rFonts w:cs="Times New Roman"/>
        </w:rPr>
        <w:t>“Jewish Religion” (</w:t>
      </w:r>
      <w:r w:rsidR="0086318A" w:rsidRPr="00B924A8">
        <w:rPr>
          <w:rFonts w:cs="Times New Roman"/>
          <w:i/>
        </w:rPr>
        <w:t>SC</w:t>
      </w:r>
      <w:r w:rsidR="00F77442">
        <w:rPr>
          <w:rFonts w:cs="Times New Roman"/>
        </w:rPr>
        <w:t xml:space="preserve"> 206-</w:t>
      </w:r>
      <w:r w:rsidR="0086318A" w:rsidRPr="00B924A8">
        <w:rPr>
          <w:rFonts w:cs="Times New Roman"/>
        </w:rPr>
        <w:t>10</w:t>
      </w:r>
      <w:r w:rsidR="00E01D11" w:rsidRPr="00B924A8">
        <w:rPr>
          <w:rFonts w:cs="Times New Roman"/>
        </w:rPr>
        <w:t xml:space="preserve">; </w:t>
      </w:r>
      <w:r w:rsidR="00E01D11" w:rsidRPr="00B924A8">
        <w:rPr>
          <w:rFonts w:cs="Times New Roman"/>
          <w:i/>
        </w:rPr>
        <w:t>SC</w:t>
      </w:r>
      <w:r w:rsidR="00F77442">
        <w:rPr>
          <w:rFonts w:cs="Times New Roman"/>
        </w:rPr>
        <w:t xml:space="preserve"> 258-</w:t>
      </w:r>
      <w:r w:rsidR="00E01D11" w:rsidRPr="00B924A8">
        <w:rPr>
          <w:rFonts w:cs="Times New Roman"/>
        </w:rPr>
        <w:t>9</w:t>
      </w:r>
      <w:r w:rsidR="0086318A" w:rsidRPr="00B924A8">
        <w:rPr>
          <w:rFonts w:cs="Times New Roman"/>
        </w:rPr>
        <w:t xml:space="preserve">). </w:t>
      </w:r>
      <w:r w:rsidR="00E01D11" w:rsidRPr="00B924A8">
        <w:rPr>
          <w:rFonts w:cs="Times New Roman"/>
        </w:rPr>
        <w:t xml:space="preserve">For Hegel, the </w:t>
      </w:r>
      <w:r w:rsidR="00042885" w:rsidRPr="00B924A8">
        <w:rPr>
          <w:rFonts w:cs="Times New Roman"/>
        </w:rPr>
        <w:t>fulcrum</w:t>
      </w:r>
      <w:r w:rsidR="00E01D11" w:rsidRPr="00B924A8">
        <w:rPr>
          <w:rFonts w:cs="Times New Roman"/>
        </w:rPr>
        <w:t xml:space="preserve"> is that</w:t>
      </w:r>
      <w:r w:rsidR="0086318A" w:rsidRPr="00B924A8">
        <w:rPr>
          <w:rFonts w:cs="Times New Roman"/>
        </w:rPr>
        <w:t xml:space="preserve"> “between man and God, between spirit and spirit, there is no such cleft of objectivity and subjectivity; one is to the other an other only in that one recognizes the other; both are one”</w:t>
      </w:r>
      <w:r w:rsidR="00DD1AB8" w:rsidRPr="00B924A8">
        <w:rPr>
          <w:rFonts w:cs="Times New Roman"/>
        </w:rPr>
        <w:t xml:space="preserve"> (</w:t>
      </w:r>
      <w:r w:rsidR="006F4CD6" w:rsidRPr="00B924A8">
        <w:rPr>
          <w:rFonts w:cs="Times New Roman"/>
          <w:i/>
        </w:rPr>
        <w:t>SC</w:t>
      </w:r>
      <w:r w:rsidR="006F4CD6" w:rsidRPr="00B924A8">
        <w:rPr>
          <w:rFonts w:cs="Times New Roman"/>
        </w:rPr>
        <w:t xml:space="preserve"> 265</w:t>
      </w:r>
      <w:r w:rsidR="00DD1AB8" w:rsidRPr="00B924A8">
        <w:rPr>
          <w:rFonts w:cs="Times New Roman"/>
        </w:rPr>
        <w:t xml:space="preserve">; See </w:t>
      </w:r>
      <w:r w:rsidR="00DD1AB8" w:rsidRPr="00B924A8">
        <w:rPr>
          <w:rFonts w:cs="Times New Roman"/>
          <w:i/>
        </w:rPr>
        <w:t>SC</w:t>
      </w:r>
      <w:r w:rsidR="00DD1AB8" w:rsidRPr="00B924A8">
        <w:rPr>
          <w:rFonts w:cs="Times New Roman"/>
        </w:rPr>
        <w:t xml:space="preserve"> 278)</w:t>
      </w:r>
      <w:r w:rsidR="00E37377">
        <w:rPr>
          <w:rFonts w:cs="Times New Roman"/>
        </w:rPr>
        <w:t>.</w:t>
      </w:r>
    </w:p>
    <w:p w14:paraId="4CFE015D" w14:textId="5EA80D56" w:rsidR="00575905" w:rsidRDefault="00E01D11" w:rsidP="00575905">
      <w:pPr>
        <w:ind w:firstLine="720"/>
        <w:rPr>
          <w:rFonts w:cs="Times New Roman"/>
        </w:rPr>
      </w:pPr>
      <w:r w:rsidRPr="00B924A8">
        <w:rPr>
          <w:rFonts w:cs="Times New Roman"/>
        </w:rPr>
        <w:t>Hegel calls this recognition of divinity in oneself “faith”:</w:t>
      </w:r>
      <w:r w:rsidR="005749F8" w:rsidRPr="00B924A8">
        <w:rPr>
          <w:rFonts w:cs="Times New Roman"/>
        </w:rPr>
        <w:t xml:space="preserve"> “Hence faith in the divine grows out of the divinity of the believer's own nature; only a modification of t</w:t>
      </w:r>
      <w:r w:rsidR="00AB696A" w:rsidRPr="00B924A8">
        <w:rPr>
          <w:rFonts w:cs="Times New Roman"/>
        </w:rPr>
        <w:t>he Godhead can know the Godhead</w:t>
      </w:r>
      <w:r w:rsidR="005749F8" w:rsidRPr="00B924A8">
        <w:rPr>
          <w:rFonts w:cs="Times New Roman"/>
        </w:rPr>
        <w:t>”</w:t>
      </w:r>
      <w:r w:rsidR="0086318A" w:rsidRPr="00B924A8">
        <w:rPr>
          <w:rFonts w:cs="Times New Roman"/>
        </w:rPr>
        <w:t xml:space="preserve"> (</w:t>
      </w:r>
      <w:r w:rsidR="0086318A" w:rsidRPr="00B924A8">
        <w:rPr>
          <w:rFonts w:cs="Times New Roman"/>
          <w:i/>
        </w:rPr>
        <w:t>SC</w:t>
      </w:r>
      <w:r w:rsidR="0086318A" w:rsidRPr="00B924A8">
        <w:rPr>
          <w:rFonts w:cs="Times New Roman"/>
        </w:rPr>
        <w:t xml:space="preserve"> 266).</w:t>
      </w:r>
      <w:r w:rsidRPr="00B924A8">
        <w:rPr>
          <w:rFonts w:cs="Times New Roman"/>
        </w:rPr>
        <w:t xml:space="preserve"> </w:t>
      </w:r>
      <w:r w:rsidR="003C68C2">
        <w:rPr>
          <w:rFonts w:cs="Times New Roman"/>
        </w:rPr>
        <w:t>However,</w:t>
      </w:r>
      <w:r w:rsidR="00575905">
        <w:rPr>
          <w:rFonts w:cs="Times New Roman"/>
        </w:rPr>
        <w:t xml:space="preserve"> </w:t>
      </w:r>
      <w:r w:rsidR="003C68C2">
        <w:rPr>
          <w:rFonts w:cs="Times New Roman"/>
        </w:rPr>
        <w:t>Hegel’s understanding of faith</w:t>
      </w:r>
      <w:r w:rsidR="00575905">
        <w:rPr>
          <w:rFonts w:cs="Times New Roman"/>
        </w:rPr>
        <w:t xml:space="preserve"> is clearly not faith-in</w:t>
      </w:r>
      <w:r w:rsidR="003C68C2">
        <w:rPr>
          <w:rFonts w:cs="Times New Roman"/>
        </w:rPr>
        <w:t>,</w:t>
      </w:r>
      <w:r w:rsidR="00575905">
        <w:rPr>
          <w:rFonts w:cs="Times New Roman"/>
        </w:rPr>
        <w:t xml:space="preserve"> understood as trust in another as a source of moral obligation. Instead, </w:t>
      </w:r>
      <w:r w:rsidR="003C68C2">
        <w:rPr>
          <w:rFonts w:cs="Times New Roman"/>
        </w:rPr>
        <w:t xml:space="preserve">Hegel’s is an </w:t>
      </w:r>
      <w:r w:rsidRPr="00B924A8">
        <w:rPr>
          <w:rFonts w:cs="Times New Roman"/>
        </w:rPr>
        <w:lastRenderedPageBreak/>
        <w:t xml:space="preserve">overcoming </w:t>
      </w:r>
      <w:r w:rsidR="003C68C2">
        <w:rPr>
          <w:rFonts w:cs="Times New Roman"/>
        </w:rPr>
        <w:t>of the</w:t>
      </w:r>
      <w:r w:rsidR="003C68C2" w:rsidRPr="00B924A8">
        <w:rPr>
          <w:rFonts w:cs="Times New Roman"/>
        </w:rPr>
        <w:t xml:space="preserve"> </w:t>
      </w:r>
      <w:r w:rsidRPr="00B924A8">
        <w:rPr>
          <w:rFonts w:cs="Times New Roman"/>
        </w:rPr>
        <w:t xml:space="preserve">split </w:t>
      </w:r>
      <w:r w:rsidR="003C68C2">
        <w:rPr>
          <w:rFonts w:cs="Times New Roman"/>
        </w:rPr>
        <w:t xml:space="preserve">that </w:t>
      </w:r>
      <w:r w:rsidRPr="00B924A8">
        <w:rPr>
          <w:rFonts w:cs="Times New Roman"/>
        </w:rPr>
        <w:t>brings morality back under the governance of the community.</w:t>
      </w:r>
      <w:r w:rsidR="009C35BF" w:rsidRPr="00B924A8">
        <w:rPr>
          <w:rFonts w:cs="Times New Roman"/>
        </w:rPr>
        <w:t xml:space="preserve"> </w:t>
      </w:r>
      <w:r w:rsidR="00575905">
        <w:rPr>
          <w:rFonts w:cs="Times New Roman"/>
        </w:rPr>
        <w:t>Hegel identifies this</w:t>
      </w:r>
      <w:r w:rsidR="003C68C2">
        <w:rPr>
          <w:rFonts w:cs="Times New Roman"/>
        </w:rPr>
        <w:t>,</w:t>
      </w:r>
      <w:r w:rsidR="00575905">
        <w:rPr>
          <w:rFonts w:cs="Times New Roman"/>
        </w:rPr>
        <w:t xml:space="preserve"> textually</w:t>
      </w:r>
      <w:r w:rsidR="003C68C2">
        <w:rPr>
          <w:rFonts w:cs="Times New Roman"/>
        </w:rPr>
        <w:t>,</w:t>
      </w:r>
      <w:r w:rsidR="00575905">
        <w:rPr>
          <w:rFonts w:cs="Times New Roman"/>
        </w:rPr>
        <w:t xml:space="preserve"> with Peter receiving “the keys of the kingdom” and</w:t>
      </w:r>
      <w:r w:rsidR="003C68C2">
        <w:rPr>
          <w:rFonts w:cs="Times New Roman"/>
        </w:rPr>
        <w:t>,</w:t>
      </w:r>
      <w:r w:rsidR="00575905">
        <w:rPr>
          <w:rFonts w:cs="Times New Roman"/>
        </w:rPr>
        <w:t xml:space="preserve"> conceptually</w:t>
      </w:r>
      <w:r w:rsidR="003C68C2">
        <w:rPr>
          <w:rFonts w:cs="Times New Roman"/>
        </w:rPr>
        <w:t>,</w:t>
      </w:r>
      <w:r w:rsidR="00575905">
        <w:rPr>
          <w:rFonts w:cs="Times New Roman"/>
        </w:rPr>
        <w:t xml:space="preserve"> as </w:t>
      </w:r>
      <w:r w:rsidRPr="00B924A8">
        <w:rPr>
          <w:rFonts w:cs="Times New Roman"/>
        </w:rPr>
        <w:t>apprehend</w:t>
      </w:r>
      <w:r w:rsidR="00575905">
        <w:rPr>
          <w:rFonts w:cs="Times New Roman"/>
        </w:rPr>
        <w:t>ing through Jesus</w:t>
      </w:r>
      <w:r w:rsidRPr="00B924A8">
        <w:rPr>
          <w:rFonts w:cs="Times New Roman"/>
        </w:rPr>
        <w:t xml:space="preserve"> the falsehood of this</w:t>
      </w:r>
      <w:r w:rsidR="009C35BF" w:rsidRPr="00B924A8">
        <w:rPr>
          <w:rFonts w:cs="Times New Roman"/>
        </w:rPr>
        <w:t xml:space="preserve"> transcendence-immanence (and God-man)</w:t>
      </w:r>
      <w:r w:rsidR="00575905">
        <w:rPr>
          <w:rFonts w:cs="Times New Roman"/>
        </w:rPr>
        <w:t xml:space="preserve"> </w:t>
      </w:r>
      <w:r w:rsidR="00575905" w:rsidRPr="00B924A8">
        <w:rPr>
          <w:rFonts w:cs="Times New Roman"/>
        </w:rPr>
        <w:t>(</w:t>
      </w:r>
      <w:r w:rsidR="00575905" w:rsidRPr="00B924A8">
        <w:rPr>
          <w:rFonts w:cs="Times New Roman"/>
          <w:i/>
        </w:rPr>
        <w:t>SC</w:t>
      </w:r>
      <w:r w:rsidR="00575905">
        <w:rPr>
          <w:rFonts w:cs="Times New Roman"/>
        </w:rPr>
        <w:t xml:space="preserve"> 241-</w:t>
      </w:r>
      <w:r w:rsidR="00575905" w:rsidRPr="00B924A8">
        <w:rPr>
          <w:rFonts w:cs="Times New Roman"/>
        </w:rPr>
        <w:t xml:space="preserve">2; </w:t>
      </w:r>
      <w:r w:rsidR="00575905" w:rsidRPr="00B924A8">
        <w:rPr>
          <w:rFonts w:cs="Times New Roman"/>
          <w:i/>
        </w:rPr>
        <w:t>SC</w:t>
      </w:r>
      <w:r w:rsidR="00575905">
        <w:rPr>
          <w:rFonts w:cs="Times New Roman"/>
        </w:rPr>
        <w:t xml:space="preserve"> 266-7). </w:t>
      </w:r>
    </w:p>
    <w:p w14:paraId="2DBF8284" w14:textId="4D67FC92" w:rsidR="007F18F1" w:rsidRPr="00B924A8" w:rsidRDefault="00575905" w:rsidP="00575905">
      <w:pPr>
        <w:ind w:firstLine="720"/>
        <w:rPr>
          <w:rFonts w:cs="Times New Roman"/>
        </w:rPr>
      </w:pPr>
      <w:r>
        <w:rPr>
          <w:rFonts w:cs="Times New Roman"/>
        </w:rPr>
        <w:t>These keys</w:t>
      </w:r>
      <w:r w:rsidR="00E01D11" w:rsidRPr="00B924A8">
        <w:rPr>
          <w:rFonts w:cs="Times New Roman"/>
        </w:rPr>
        <w:t xml:space="preserve"> </w:t>
      </w:r>
      <w:r>
        <w:rPr>
          <w:rFonts w:cs="Times New Roman"/>
        </w:rPr>
        <w:t>invest</w:t>
      </w:r>
      <w:r w:rsidR="00E01D11" w:rsidRPr="00B924A8">
        <w:rPr>
          <w:rFonts w:cs="Times New Roman"/>
        </w:rPr>
        <w:t xml:space="preserve"> in </w:t>
      </w:r>
      <w:r w:rsidR="003C68C2">
        <w:rPr>
          <w:rFonts w:cs="Times New Roman"/>
        </w:rPr>
        <w:t>Peter</w:t>
      </w:r>
      <w:r w:rsidR="00E01D11" w:rsidRPr="00B924A8">
        <w:rPr>
          <w:rFonts w:cs="Times New Roman"/>
        </w:rPr>
        <w:t xml:space="preserve"> the power to decide the content of morality</w:t>
      </w:r>
      <w:r w:rsidR="003C68C2">
        <w:rPr>
          <w:rFonts w:cs="Times New Roman"/>
        </w:rPr>
        <w:t>.</w:t>
      </w:r>
      <w:r w:rsidR="00E01D11" w:rsidRPr="00B924A8">
        <w:rPr>
          <w:rFonts w:cs="Times New Roman"/>
        </w:rPr>
        <w:t xml:space="preserve"> </w:t>
      </w:r>
      <w:r w:rsidR="009C35BF" w:rsidRPr="00B924A8">
        <w:rPr>
          <w:rFonts w:cs="Times New Roman"/>
        </w:rPr>
        <w:t xml:space="preserve">This realization grows from </w:t>
      </w:r>
      <w:r w:rsidR="003C68C2">
        <w:rPr>
          <w:rFonts w:cs="Times New Roman"/>
        </w:rPr>
        <w:t xml:space="preserve">knowing </w:t>
      </w:r>
      <w:r w:rsidR="00E01D11" w:rsidRPr="00B924A8">
        <w:rPr>
          <w:rFonts w:cs="Times New Roman"/>
        </w:rPr>
        <w:t>friends</w:t>
      </w:r>
      <w:r w:rsidR="009C35BF" w:rsidRPr="00B924A8">
        <w:rPr>
          <w:rFonts w:cs="Times New Roman"/>
        </w:rPr>
        <w:t xml:space="preserve"> as equals</w:t>
      </w:r>
      <w:r w:rsidR="00E01D11" w:rsidRPr="00B924A8">
        <w:rPr>
          <w:rFonts w:cs="Times New Roman"/>
        </w:rPr>
        <w:t xml:space="preserve"> (</w:t>
      </w:r>
      <w:r w:rsidR="00E01D11" w:rsidRPr="00B924A8">
        <w:rPr>
          <w:rFonts w:cs="Times New Roman"/>
          <w:i/>
        </w:rPr>
        <w:t>SC</w:t>
      </w:r>
      <w:r w:rsidR="00E01D11" w:rsidRPr="00B924A8">
        <w:rPr>
          <w:rFonts w:cs="Times New Roman"/>
        </w:rPr>
        <w:t xml:space="preserve"> 248-250; </w:t>
      </w:r>
      <w:r w:rsidR="00E01D11" w:rsidRPr="00B924A8">
        <w:rPr>
          <w:rFonts w:cs="Times New Roman"/>
          <w:i/>
        </w:rPr>
        <w:t>SC</w:t>
      </w:r>
      <w:r w:rsidR="00F77442">
        <w:rPr>
          <w:rFonts w:cs="Times New Roman"/>
        </w:rPr>
        <w:t xml:space="preserve"> 267-</w:t>
      </w:r>
      <w:r w:rsidR="00E01D11" w:rsidRPr="00B924A8">
        <w:rPr>
          <w:rFonts w:cs="Times New Roman"/>
        </w:rPr>
        <w:t>8</w:t>
      </w:r>
      <w:r w:rsidR="006F6489" w:rsidRPr="00B924A8">
        <w:rPr>
          <w:rFonts w:cs="Times New Roman"/>
        </w:rPr>
        <w:t xml:space="preserve">) to </w:t>
      </w:r>
      <w:r w:rsidR="009C35BF" w:rsidRPr="00B924A8">
        <w:rPr>
          <w:rFonts w:cs="Times New Roman"/>
        </w:rPr>
        <w:t>becoming</w:t>
      </w:r>
      <w:r w:rsidR="00EC4420" w:rsidRPr="00B924A8">
        <w:rPr>
          <w:rFonts w:cs="Times New Roman"/>
        </w:rPr>
        <w:t xml:space="preserve"> a community of Spirit</w:t>
      </w:r>
      <w:r w:rsidR="003C68C2">
        <w:rPr>
          <w:rFonts w:cs="Times New Roman"/>
        </w:rPr>
        <w:t>,</w:t>
      </w:r>
      <w:r w:rsidR="00EC4420" w:rsidRPr="00B924A8">
        <w:rPr>
          <w:rFonts w:cs="Times New Roman"/>
        </w:rPr>
        <w:t xml:space="preserve"> </w:t>
      </w:r>
      <w:r w:rsidR="003C68C2">
        <w:rPr>
          <w:rFonts w:cs="Times New Roman"/>
        </w:rPr>
        <w:t xml:space="preserve">which </w:t>
      </w:r>
      <w:r w:rsidR="003C68C2" w:rsidRPr="00B924A8">
        <w:rPr>
          <w:rFonts w:cs="Times New Roman"/>
        </w:rPr>
        <w:t xml:space="preserve">decides morality </w:t>
      </w:r>
      <w:r w:rsidR="00FB5185" w:rsidRPr="00B924A8">
        <w:rPr>
          <w:rFonts w:cs="Times New Roman"/>
        </w:rPr>
        <w:t xml:space="preserve">through rational autonomy </w:t>
      </w:r>
      <w:r w:rsidR="006F6489" w:rsidRPr="00B924A8">
        <w:rPr>
          <w:rFonts w:cs="Times New Roman"/>
        </w:rPr>
        <w:t>(</w:t>
      </w:r>
      <w:r w:rsidR="00EC4420" w:rsidRPr="00B924A8">
        <w:rPr>
          <w:rFonts w:cs="Times New Roman"/>
          <w:i/>
        </w:rPr>
        <w:t>SC</w:t>
      </w:r>
      <w:r w:rsidR="00EC4420" w:rsidRPr="00B924A8">
        <w:rPr>
          <w:rFonts w:cs="Times New Roman"/>
        </w:rPr>
        <w:t xml:space="preserve"> 271</w:t>
      </w:r>
      <w:r w:rsidR="00F77442">
        <w:rPr>
          <w:rFonts w:cs="Times New Roman"/>
        </w:rPr>
        <w:t>-</w:t>
      </w:r>
      <w:r w:rsidR="00FB5185" w:rsidRPr="00B924A8">
        <w:rPr>
          <w:rFonts w:cs="Times New Roman"/>
        </w:rPr>
        <w:t>3</w:t>
      </w:r>
      <w:r w:rsidR="006F6489" w:rsidRPr="00B924A8">
        <w:rPr>
          <w:rFonts w:cs="Times New Roman"/>
        </w:rPr>
        <w:t>).</w:t>
      </w:r>
      <w:r w:rsidR="009C35BF" w:rsidRPr="00B924A8">
        <w:rPr>
          <w:rFonts w:cs="Times New Roman"/>
        </w:rPr>
        <w:t xml:space="preserve"> Ultimately, it is the recognition that the self is part of a larger epistemic community built on “mutual recognition” </w:t>
      </w:r>
      <w:r w:rsidR="00042F48">
        <w:rPr>
          <w:rFonts w:cs="Times New Roman"/>
        </w:rPr>
        <w:t>that</w:t>
      </w:r>
      <w:r w:rsidR="009C35BF" w:rsidRPr="00B924A8">
        <w:rPr>
          <w:rFonts w:cs="Times New Roman"/>
        </w:rPr>
        <w:t xml:space="preserve"> supplies the morality of its members.</w:t>
      </w:r>
      <w:r w:rsidR="009C35BF" w:rsidRPr="005D4C21">
        <w:rPr>
          <w:rStyle w:val="FootnoteReference"/>
        </w:rPr>
        <w:footnoteReference w:id="13"/>
      </w:r>
    </w:p>
    <w:p w14:paraId="0B620689" w14:textId="67CF411A" w:rsidR="007F18F1" w:rsidRPr="00B924A8" w:rsidRDefault="003C68C2" w:rsidP="00AC62F4">
      <w:pPr>
        <w:widowControl/>
        <w:autoSpaceDE w:val="0"/>
        <w:autoSpaceDN w:val="0"/>
        <w:ind w:firstLine="720"/>
        <w:rPr>
          <w:rFonts w:cs="Times New Roman"/>
          <w:kern w:val="0"/>
        </w:rPr>
      </w:pPr>
      <w:r>
        <w:rPr>
          <w:rFonts w:cs="Times New Roman"/>
          <w:kern w:val="0"/>
        </w:rPr>
        <w:t>Contra</w:t>
      </w:r>
      <w:r w:rsidR="009E5895" w:rsidRPr="00B924A8">
        <w:rPr>
          <w:rFonts w:cs="Times New Roman"/>
          <w:kern w:val="0"/>
        </w:rPr>
        <w:t xml:space="preserve"> faith-in</w:t>
      </w:r>
      <w:r>
        <w:rPr>
          <w:rFonts w:cs="Times New Roman"/>
          <w:kern w:val="0"/>
        </w:rPr>
        <w:t>,</w:t>
      </w:r>
      <w:r w:rsidR="009E5895" w:rsidRPr="00B924A8">
        <w:rPr>
          <w:rFonts w:cs="Times New Roman"/>
          <w:kern w:val="0"/>
        </w:rPr>
        <w:t xml:space="preserve"> </w:t>
      </w:r>
      <w:r>
        <w:rPr>
          <w:rFonts w:cs="Times New Roman"/>
          <w:kern w:val="0"/>
        </w:rPr>
        <w:t xml:space="preserve">where </w:t>
      </w:r>
      <w:r w:rsidR="009E5895" w:rsidRPr="00B924A8">
        <w:rPr>
          <w:rFonts w:cs="Times New Roman"/>
          <w:kern w:val="0"/>
        </w:rPr>
        <w:t>the object of faith-in can supply moral knowledge or obligation for the faithful</w:t>
      </w:r>
      <w:r>
        <w:rPr>
          <w:rFonts w:cs="Times New Roman"/>
          <w:kern w:val="0"/>
        </w:rPr>
        <w:t>,</w:t>
      </w:r>
      <w:r w:rsidR="007F18F1" w:rsidRPr="00B924A8">
        <w:rPr>
          <w:rFonts w:cs="Times New Roman"/>
          <w:kern w:val="0"/>
        </w:rPr>
        <w:t xml:space="preserve"> </w:t>
      </w:r>
      <w:r w:rsidR="007F18F1" w:rsidRPr="00B924A8">
        <w:rPr>
          <w:rFonts w:cs="Times New Roman"/>
        </w:rPr>
        <w:t xml:space="preserve">Hegel’s </w:t>
      </w:r>
      <w:r>
        <w:rPr>
          <w:rFonts w:cs="Times New Roman"/>
        </w:rPr>
        <w:t>marked</w:t>
      </w:r>
      <w:r w:rsidRPr="00B924A8">
        <w:rPr>
          <w:rFonts w:cs="Times New Roman"/>
        </w:rPr>
        <w:t xml:space="preserve">ly </w:t>
      </w:r>
      <w:r w:rsidR="00575905">
        <w:rPr>
          <w:rFonts w:cs="Times New Roman"/>
        </w:rPr>
        <w:t>contra-textual</w:t>
      </w:r>
      <w:r w:rsidR="007F18F1" w:rsidRPr="00B924A8">
        <w:rPr>
          <w:rFonts w:cs="Times New Roman"/>
        </w:rPr>
        <w:t xml:space="preserve"> judgments in </w:t>
      </w:r>
      <w:r w:rsidR="007F18F1" w:rsidRPr="00B924A8">
        <w:rPr>
          <w:rFonts w:cs="Times New Roman"/>
          <w:i/>
        </w:rPr>
        <w:t>Spirit in Christianity</w:t>
      </w:r>
      <w:r w:rsidR="007F18F1" w:rsidRPr="00B924A8">
        <w:rPr>
          <w:rFonts w:cs="Times New Roman"/>
        </w:rPr>
        <w:t xml:space="preserve"> all build on the idea that the community is to be the source of social values. Conversely, values from faith-in or other structures of private revelation are specifically condemned</w:t>
      </w:r>
      <w:r>
        <w:rPr>
          <w:rFonts w:cs="Times New Roman"/>
        </w:rPr>
        <w:t>,</w:t>
      </w:r>
      <w:r w:rsidR="007F18F1" w:rsidRPr="00B924A8">
        <w:rPr>
          <w:rFonts w:cs="Times New Roman"/>
        </w:rPr>
        <w:t xml:space="preserve"> as in the case of Abram</w:t>
      </w:r>
      <w:r w:rsidR="009E5895" w:rsidRPr="00B924A8">
        <w:rPr>
          <w:rFonts w:cs="Times New Roman"/>
          <w:kern w:val="0"/>
        </w:rPr>
        <w:t xml:space="preserve">. This is an early expression of Hegel’s opposition to anything that cannot be “mediated,” meaning comprehended systematically and universally. </w:t>
      </w:r>
      <w:r w:rsidR="007F18F1" w:rsidRPr="00B924A8">
        <w:rPr>
          <w:rFonts w:cs="Times New Roman"/>
          <w:kern w:val="0"/>
        </w:rPr>
        <w:t>From this</w:t>
      </w:r>
      <w:r>
        <w:rPr>
          <w:rFonts w:cs="Times New Roman"/>
          <w:kern w:val="0"/>
        </w:rPr>
        <w:t>,</w:t>
      </w:r>
      <w:r w:rsidR="007F18F1" w:rsidRPr="00B924A8">
        <w:rPr>
          <w:rFonts w:cs="Times New Roman"/>
          <w:kern w:val="0"/>
        </w:rPr>
        <w:t xml:space="preserve"> we see that </w:t>
      </w:r>
      <w:r w:rsidR="002F0B4C" w:rsidRPr="00B924A8">
        <w:rPr>
          <w:rFonts w:cs="Times New Roman"/>
          <w:kern w:val="0"/>
        </w:rPr>
        <w:t xml:space="preserve">Hegel views this sort of faith-in as </w:t>
      </w:r>
      <w:r>
        <w:rPr>
          <w:rFonts w:cs="Times New Roman"/>
          <w:kern w:val="0"/>
        </w:rPr>
        <w:t>heinous</w:t>
      </w:r>
      <w:r w:rsidR="002F0B4C" w:rsidRPr="00B924A8">
        <w:rPr>
          <w:rFonts w:cs="Times New Roman"/>
          <w:kern w:val="0"/>
        </w:rPr>
        <w:t>, because it breaks the common epistemic environment and posits a transcendence that will not be subsumed.</w:t>
      </w:r>
    </w:p>
    <w:p w14:paraId="2857448F" w14:textId="12D1C53C" w:rsidR="002F0B4C" w:rsidRPr="00EC6D35" w:rsidRDefault="00DB68C7" w:rsidP="00097D6B">
      <w:pPr>
        <w:pStyle w:val="Heading3"/>
      </w:pPr>
      <w:r>
        <w:t>II</w:t>
      </w:r>
      <w:r w:rsidR="002F0B4C">
        <w:t xml:space="preserve">.B </w:t>
      </w:r>
      <w:r w:rsidR="0079025A">
        <w:t>T</w:t>
      </w:r>
      <w:r w:rsidR="009F0B51">
        <w:t xml:space="preserve">he Continuing Objection to Faith-in in the System and </w:t>
      </w:r>
      <w:r w:rsidR="009F0B51" w:rsidRPr="00074681">
        <w:rPr>
          <w:i w:val="0"/>
        </w:rPr>
        <w:t>Philosophy of Right</w:t>
      </w:r>
    </w:p>
    <w:p w14:paraId="42BA08C0" w14:textId="60B00583" w:rsidR="009F0B51" w:rsidRPr="00B924A8" w:rsidRDefault="002F0B4C" w:rsidP="00AC62F4">
      <w:pPr>
        <w:widowControl/>
        <w:autoSpaceDE w:val="0"/>
        <w:autoSpaceDN w:val="0"/>
        <w:ind w:firstLine="720"/>
        <w:rPr>
          <w:rFonts w:cs="Times New Roman"/>
          <w:kern w:val="0"/>
        </w:rPr>
      </w:pPr>
      <w:r w:rsidRPr="00B924A8">
        <w:rPr>
          <w:rFonts w:cs="Times New Roman"/>
          <w:kern w:val="0"/>
        </w:rPr>
        <w:tab/>
      </w:r>
      <w:r w:rsidR="009F0B51" w:rsidRPr="00B924A8">
        <w:rPr>
          <w:rFonts w:cs="Times New Roman"/>
          <w:kern w:val="0"/>
        </w:rPr>
        <w:t xml:space="preserve">Since </w:t>
      </w:r>
      <w:r w:rsidRPr="00B924A8">
        <w:rPr>
          <w:rFonts w:cs="Times New Roman"/>
          <w:i/>
          <w:kern w:val="0"/>
        </w:rPr>
        <w:t>Spirit of Christianity</w:t>
      </w:r>
      <w:r w:rsidRPr="00B924A8">
        <w:rPr>
          <w:rFonts w:cs="Times New Roman"/>
          <w:kern w:val="0"/>
        </w:rPr>
        <w:t xml:space="preserve"> is an early and unpublished work,</w:t>
      </w:r>
      <w:r w:rsidR="009F0B51" w:rsidRPr="00B924A8">
        <w:rPr>
          <w:rFonts w:cs="Times New Roman"/>
          <w:kern w:val="0"/>
        </w:rPr>
        <w:t xml:space="preserve"> one could argue that Hegel might have changed his view</w:t>
      </w:r>
      <w:r w:rsidR="00504FD0">
        <w:rPr>
          <w:rFonts w:cs="Times New Roman"/>
          <w:kern w:val="0"/>
        </w:rPr>
        <w:t xml:space="preserve"> on this question</w:t>
      </w:r>
      <w:r w:rsidR="009F0B51" w:rsidRPr="00B924A8">
        <w:rPr>
          <w:rFonts w:cs="Times New Roman"/>
          <w:kern w:val="0"/>
        </w:rPr>
        <w:t xml:space="preserve"> as he matured as a philosopher. </w:t>
      </w:r>
      <w:r w:rsidR="00504FD0">
        <w:rPr>
          <w:rFonts w:cs="Times New Roman"/>
          <w:kern w:val="0"/>
        </w:rPr>
        <w:t>I</w:t>
      </w:r>
      <w:r w:rsidR="004E22D2" w:rsidRPr="00B924A8">
        <w:rPr>
          <w:rFonts w:cs="Times New Roman"/>
          <w:kern w:val="0"/>
        </w:rPr>
        <w:t xml:space="preserve">n this </w:t>
      </w:r>
      <w:r w:rsidR="00504FD0">
        <w:rPr>
          <w:rFonts w:cs="Times New Roman"/>
          <w:kern w:val="0"/>
        </w:rPr>
        <w:lastRenderedPageBreak/>
        <w:t>vein</w:t>
      </w:r>
      <w:r w:rsidR="004E22D2" w:rsidRPr="00B924A8">
        <w:rPr>
          <w:rFonts w:cs="Times New Roman"/>
          <w:kern w:val="0"/>
        </w:rPr>
        <w:t xml:space="preserve">, </w:t>
      </w:r>
      <w:r w:rsidR="00504FD0">
        <w:rPr>
          <w:rFonts w:cs="Times New Roman"/>
          <w:kern w:val="0"/>
        </w:rPr>
        <w:t xml:space="preserve">Hegel tinkers with the position </w:t>
      </w:r>
      <w:r w:rsidR="004E22D2" w:rsidRPr="00B924A8">
        <w:rPr>
          <w:rFonts w:cs="Times New Roman"/>
          <w:kern w:val="0"/>
        </w:rPr>
        <w:t>and function</w:t>
      </w:r>
      <w:r w:rsidR="009F0B51" w:rsidRPr="00B924A8">
        <w:rPr>
          <w:rFonts w:cs="Times New Roman"/>
          <w:kern w:val="0"/>
        </w:rPr>
        <w:t xml:space="preserve"> of “Jewish Religion” </w:t>
      </w:r>
      <w:r w:rsidR="004E22D2" w:rsidRPr="00B924A8">
        <w:rPr>
          <w:rFonts w:cs="Times New Roman"/>
          <w:kern w:val="0"/>
        </w:rPr>
        <w:t>in</w:t>
      </w:r>
      <w:r w:rsidR="009E5895" w:rsidRPr="00B924A8">
        <w:rPr>
          <w:rFonts w:cs="Times New Roman"/>
          <w:kern w:val="0"/>
        </w:rPr>
        <w:t xml:space="preserve"> </w:t>
      </w:r>
      <w:r w:rsidR="003C68C2">
        <w:rPr>
          <w:rFonts w:cs="Times New Roman"/>
          <w:kern w:val="0"/>
        </w:rPr>
        <w:t xml:space="preserve">his </w:t>
      </w:r>
      <w:r w:rsidR="009E5895" w:rsidRPr="00B924A8">
        <w:rPr>
          <w:rFonts w:cs="Times New Roman"/>
          <w:kern w:val="0"/>
        </w:rPr>
        <w:t xml:space="preserve">history of </w:t>
      </w:r>
      <w:r w:rsidR="004E22D2" w:rsidRPr="00B924A8">
        <w:rPr>
          <w:rFonts w:cs="Times New Roman"/>
          <w:kern w:val="0"/>
        </w:rPr>
        <w:t>religions</w:t>
      </w:r>
      <w:r w:rsidR="00467BD0">
        <w:rPr>
          <w:rFonts w:cs="Times New Roman"/>
          <w:kern w:val="0"/>
        </w:rPr>
        <w:t xml:space="preserve"> as he</w:t>
      </w:r>
      <w:r w:rsidR="00504FD0">
        <w:rPr>
          <w:rFonts w:cs="Times New Roman"/>
          <w:kern w:val="0"/>
        </w:rPr>
        <w:t xml:space="preserve"> a</w:t>
      </w:r>
      <w:r w:rsidR="00DF0502">
        <w:rPr>
          <w:rFonts w:cs="Times New Roman"/>
          <w:kern w:val="0"/>
        </w:rPr>
        <w:t>dds further religions and places them within a story of the progress towards Absolute Religion</w:t>
      </w:r>
      <w:r w:rsidR="00467BD0">
        <w:rPr>
          <w:rFonts w:cs="Times New Roman"/>
          <w:kern w:val="0"/>
        </w:rPr>
        <w:t xml:space="preserve"> where each religion needs a role</w:t>
      </w:r>
      <w:r w:rsidR="00504FD0">
        <w:rPr>
          <w:rFonts w:cs="Times New Roman"/>
          <w:kern w:val="0"/>
        </w:rPr>
        <w:t xml:space="preserve">. I argue here, however, that </w:t>
      </w:r>
      <w:r w:rsidRPr="00B924A8">
        <w:rPr>
          <w:rFonts w:cs="Times New Roman"/>
          <w:kern w:val="0"/>
        </w:rPr>
        <w:t>Hegel’s</w:t>
      </w:r>
      <w:r w:rsidR="009F0B51" w:rsidRPr="00B924A8">
        <w:rPr>
          <w:rFonts w:cs="Times New Roman"/>
          <w:kern w:val="0"/>
        </w:rPr>
        <w:t xml:space="preserve"> negative assessment of faith-in as a source of moral knowledge for a self only grows stronger</w:t>
      </w:r>
      <w:r w:rsidR="004E22D2" w:rsidRPr="00B924A8">
        <w:rPr>
          <w:rFonts w:cs="Times New Roman"/>
          <w:kern w:val="0"/>
        </w:rPr>
        <w:t xml:space="preserve"> in his later works</w:t>
      </w:r>
      <w:r w:rsidRPr="00B924A8">
        <w:rPr>
          <w:rFonts w:cs="Times New Roman"/>
          <w:kern w:val="0"/>
        </w:rPr>
        <w:t>.</w:t>
      </w:r>
    </w:p>
    <w:p w14:paraId="79697B33" w14:textId="60C62CFE" w:rsidR="009E5895" w:rsidRPr="00B924A8" w:rsidRDefault="009E5895" w:rsidP="00AC62F4">
      <w:pPr>
        <w:widowControl/>
        <w:autoSpaceDE w:val="0"/>
        <w:autoSpaceDN w:val="0"/>
        <w:ind w:firstLine="720"/>
        <w:rPr>
          <w:rFonts w:cs="Times New Roman"/>
        </w:rPr>
      </w:pPr>
      <w:r w:rsidRPr="00B924A8">
        <w:rPr>
          <w:rFonts w:cs="Times New Roman"/>
        </w:rPr>
        <w:t xml:space="preserve">To confirm this assessment, we turn to </w:t>
      </w:r>
      <w:r w:rsidR="00E84AB2" w:rsidRPr="00B924A8">
        <w:rPr>
          <w:rFonts w:cs="Times New Roman"/>
        </w:rPr>
        <w:t>Hegel’s</w:t>
      </w:r>
      <w:r w:rsidRPr="00B924A8">
        <w:rPr>
          <w:rFonts w:cs="Times New Roman"/>
        </w:rPr>
        <w:t xml:space="preserve"> consideration of evil in the</w:t>
      </w:r>
      <w:r w:rsidR="00E84AB2" w:rsidRPr="00B924A8">
        <w:rPr>
          <w:rFonts w:cs="Times New Roman"/>
        </w:rPr>
        <w:t xml:space="preserve"> </w:t>
      </w:r>
      <w:r w:rsidR="00E84AB2" w:rsidRPr="00B924A8">
        <w:rPr>
          <w:rFonts w:cs="Times New Roman"/>
          <w:i/>
        </w:rPr>
        <w:t>Philosophy of Right</w:t>
      </w:r>
      <w:r w:rsidRPr="00B924A8">
        <w:rPr>
          <w:rFonts w:cs="Times New Roman"/>
        </w:rPr>
        <w:t xml:space="preserve">. This occurs near the end of </w:t>
      </w:r>
      <w:r w:rsidR="003C68C2">
        <w:rPr>
          <w:rFonts w:cs="Times New Roman"/>
        </w:rPr>
        <w:t xml:space="preserve">his </w:t>
      </w:r>
      <w:r w:rsidRPr="00B924A8">
        <w:rPr>
          <w:rFonts w:cs="Times New Roman"/>
        </w:rPr>
        <w:t>discussion of “Abstract Right.” For Hegel, the crux of the possibility of evil is that the self has an inwardness and a will</w:t>
      </w:r>
      <w:r w:rsidR="003C68C2">
        <w:rPr>
          <w:rFonts w:cs="Times New Roman"/>
        </w:rPr>
        <w:t>,</w:t>
      </w:r>
      <w:r w:rsidRPr="00B924A8">
        <w:rPr>
          <w:rFonts w:cs="Times New Roman"/>
        </w:rPr>
        <w:t xml:space="preserve"> which can choose either</w:t>
      </w:r>
      <w:r w:rsidR="00E14A2F" w:rsidRPr="00B924A8">
        <w:rPr>
          <w:rFonts w:cs="Times New Roman"/>
        </w:rPr>
        <w:t xml:space="preserve"> “the universal in-and-for itself” or “the arbitrariness of its own particularity”</w:t>
      </w:r>
      <w:r w:rsidRPr="00B924A8">
        <w:rPr>
          <w:rFonts w:cs="Times New Roman"/>
        </w:rPr>
        <w:t xml:space="preserve"> (</w:t>
      </w:r>
      <w:r w:rsidRPr="00B924A8">
        <w:rPr>
          <w:rFonts w:cs="Times New Roman"/>
          <w:i/>
        </w:rPr>
        <w:t>PR</w:t>
      </w:r>
      <w:r w:rsidR="00504FD0">
        <w:rPr>
          <w:rFonts w:cs="Times New Roman"/>
        </w:rPr>
        <w:t xml:space="preserve"> §139,</w:t>
      </w:r>
      <w:r w:rsidR="00E14A2F" w:rsidRPr="00B924A8">
        <w:rPr>
          <w:rFonts w:cs="Times New Roman"/>
        </w:rPr>
        <w:t xml:space="preserve"> 167</w:t>
      </w:r>
      <w:r w:rsidRPr="00B924A8">
        <w:rPr>
          <w:rFonts w:cs="Times New Roman"/>
        </w:rPr>
        <w:t>).</w:t>
      </w:r>
      <w:r w:rsidR="00E14A2F" w:rsidRPr="00B924A8">
        <w:rPr>
          <w:rFonts w:cs="Times New Roman"/>
        </w:rPr>
        <w:t xml:space="preserve"> Translated from Hegel’s </w:t>
      </w:r>
      <w:r w:rsidR="003C68C2">
        <w:rPr>
          <w:rFonts w:cs="Times New Roman"/>
        </w:rPr>
        <w:t xml:space="preserve">perhaps </w:t>
      </w:r>
      <w:r w:rsidR="00E14A2F" w:rsidRPr="00B924A8">
        <w:rPr>
          <w:rFonts w:cs="Times New Roman"/>
        </w:rPr>
        <w:t>idiosyncratic vocabulary, the moral self faces a choice of motivations between objective universal morality and something of its own devising. For Hegel, the choice of the particular over and against the common universal is the origin of evil (</w:t>
      </w:r>
      <w:r w:rsidR="00E14A2F" w:rsidRPr="00B924A8">
        <w:rPr>
          <w:rFonts w:cs="Times New Roman"/>
          <w:i/>
        </w:rPr>
        <w:t>PR</w:t>
      </w:r>
      <w:r w:rsidR="00504FD0">
        <w:rPr>
          <w:rFonts w:cs="Times New Roman"/>
        </w:rPr>
        <w:t xml:space="preserve"> §139 Remark, </w:t>
      </w:r>
      <w:r w:rsidR="00BF6140" w:rsidRPr="00B924A8">
        <w:rPr>
          <w:rFonts w:cs="Times New Roman"/>
        </w:rPr>
        <w:t>168).</w:t>
      </w:r>
    </w:p>
    <w:p w14:paraId="76135A5E" w14:textId="5BD04A7B" w:rsidR="002F0B4C" w:rsidRPr="00B924A8" w:rsidRDefault="00D331CE" w:rsidP="009F2EBF">
      <w:pPr>
        <w:widowControl/>
        <w:autoSpaceDE w:val="0"/>
        <w:autoSpaceDN w:val="0"/>
        <w:ind w:firstLine="720"/>
        <w:rPr>
          <w:rFonts w:cs="Times New Roman"/>
        </w:rPr>
      </w:pPr>
      <w:r>
        <w:rPr>
          <w:rFonts w:cs="Times New Roman"/>
        </w:rPr>
        <w:t>In fact</w:t>
      </w:r>
      <w:r w:rsidR="00E14A2F" w:rsidRPr="00B924A8">
        <w:rPr>
          <w:rFonts w:cs="Times New Roman"/>
        </w:rPr>
        <w:t>, it does not matter whether this inwardness presents itself as internal caprice or revelation from God.</w:t>
      </w:r>
      <w:r w:rsidR="00704311" w:rsidRPr="00B924A8">
        <w:rPr>
          <w:rFonts w:cs="Times New Roman"/>
        </w:rPr>
        <w:t xml:space="preserve"> </w:t>
      </w:r>
      <w:r w:rsidR="00E14A2F" w:rsidRPr="00B924A8">
        <w:rPr>
          <w:rFonts w:cs="Times New Roman"/>
        </w:rPr>
        <w:t>What matters is that this is a particular will that stubbornly refuses to take on objective content</w:t>
      </w:r>
      <w:r w:rsidR="002F0B4C" w:rsidRPr="00B924A8">
        <w:rPr>
          <w:rFonts w:cs="Times New Roman"/>
        </w:rPr>
        <w:t xml:space="preserve">. </w:t>
      </w:r>
      <w:r w:rsidR="00E84AB2" w:rsidRPr="00B924A8">
        <w:rPr>
          <w:rFonts w:cs="Times New Roman"/>
        </w:rPr>
        <w:t>He</w:t>
      </w:r>
      <w:r w:rsidR="009F2EBF">
        <w:rPr>
          <w:rFonts w:cs="Times New Roman"/>
        </w:rPr>
        <w:t>gel calls this</w:t>
      </w:r>
      <w:r w:rsidR="002F0B4C" w:rsidRPr="00B924A8">
        <w:rPr>
          <w:rFonts w:cs="Times New Roman"/>
        </w:rPr>
        <w:t xml:space="preserve"> “subjectivity declaring itself absolute” (</w:t>
      </w:r>
      <w:r w:rsidR="002F0B4C" w:rsidRPr="00B924A8">
        <w:rPr>
          <w:rFonts w:cs="Times New Roman"/>
          <w:i/>
        </w:rPr>
        <w:t>PR</w:t>
      </w:r>
      <w:r w:rsidR="009F2EBF">
        <w:rPr>
          <w:rFonts w:cs="Times New Roman"/>
        </w:rPr>
        <w:t xml:space="preserve"> §140, 170) which he identifies as</w:t>
      </w:r>
      <w:r w:rsidR="002F0B4C" w:rsidRPr="00B924A8">
        <w:rPr>
          <w:rFonts w:cs="Times New Roman"/>
        </w:rPr>
        <w:t xml:space="preserve"> the “last and most abstruse form of evil” (</w:t>
      </w:r>
      <w:r w:rsidR="002F0B4C" w:rsidRPr="00B924A8">
        <w:rPr>
          <w:rFonts w:cs="Times New Roman"/>
          <w:i/>
        </w:rPr>
        <w:t>PR</w:t>
      </w:r>
      <w:r w:rsidR="00504FD0">
        <w:rPr>
          <w:rFonts w:cs="Times New Roman"/>
        </w:rPr>
        <w:t xml:space="preserve"> §140 Remark, </w:t>
      </w:r>
      <w:r w:rsidR="002F0B4C" w:rsidRPr="00B924A8">
        <w:rPr>
          <w:rFonts w:cs="Times New Roman"/>
        </w:rPr>
        <w:t>171)</w:t>
      </w:r>
      <w:r w:rsidR="00E14A2F" w:rsidRPr="00B924A8">
        <w:rPr>
          <w:rFonts w:cs="Times New Roman"/>
        </w:rPr>
        <w:t>. In other words, he includes faith-in within this category, because faith-in is precisely the idea that the self has a source of moral obligation or knowledge that is not communal</w:t>
      </w:r>
      <w:r>
        <w:rPr>
          <w:rFonts w:cs="Times New Roman"/>
        </w:rPr>
        <w:t>,</w:t>
      </w:r>
      <w:r w:rsidR="00E14A2F" w:rsidRPr="00B924A8">
        <w:rPr>
          <w:rFonts w:cs="Times New Roman"/>
        </w:rPr>
        <w:t xml:space="preserve"> and therefore is not brought under rational scrutiny.</w:t>
      </w:r>
    </w:p>
    <w:p w14:paraId="52314D3F" w14:textId="08BA4A44" w:rsidR="009F0B51" w:rsidRDefault="00DB68C7" w:rsidP="00097D6B">
      <w:pPr>
        <w:pStyle w:val="Heading3"/>
      </w:pPr>
      <w:r>
        <w:t>II</w:t>
      </w:r>
      <w:r w:rsidR="0079025A">
        <w:t>.C Why We Can Ignore “Faith” as it O</w:t>
      </w:r>
      <w:r w:rsidR="009F0B51">
        <w:t xml:space="preserve">ccurs in </w:t>
      </w:r>
      <w:r w:rsidR="009F0B51" w:rsidRPr="00074681">
        <w:rPr>
          <w:i w:val="0"/>
        </w:rPr>
        <w:t>Lectures on the Philosophy of Religion</w:t>
      </w:r>
    </w:p>
    <w:p w14:paraId="55305986" w14:textId="402F7736" w:rsidR="00E14A2F" w:rsidRPr="00B924A8" w:rsidRDefault="00E14A2F" w:rsidP="00AC62F4">
      <w:pPr>
        <w:widowControl/>
        <w:autoSpaceDE w:val="0"/>
        <w:autoSpaceDN w:val="0"/>
        <w:ind w:firstLine="720"/>
        <w:rPr>
          <w:rFonts w:cs="Times New Roman"/>
          <w:kern w:val="0"/>
        </w:rPr>
      </w:pPr>
      <w:r w:rsidRPr="00B924A8">
        <w:rPr>
          <w:rFonts w:cs="Times New Roman"/>
          <w:kern w:val="0"/>
        </w:rPr>
        <w:t>One final issue to address in Hegel’s text</w:t>
      </w:r>
      <w:r w:rsidR="00D331CE">
        <w:rPr>
          <w:rFonts w:cs="Times New Roman"/>
          <w:kern w:val="0"/>
        </w:rPr>
        <w:t>s</w:t>
      </w:r>
      <w:r w:rsidRPr="00B924A8">
        <w:rPr>
          <w:rFonts w:cs="Times New Roman"/>
          <w:kern w:val="0"/>
        </w:rPr>
        <w:t xml:space="preserve"> is his own use of the term </w:t>
      </w:r>
      <w:r w:rsidR="00D331CE">
        <w:rPr>
          <w:rFonts w:cs="Times New Roman"/>
          <w:kern w:val="0"/>
        </w:rPr>
        <w:t>“</w:t>
      </w:r>
      <w:r w:rsidRPr="00B924A8">
        <w:rPr>
          <w:rFonts w:cs="Times New Roman"/>
          <w:kern w:val="0"/>
        </w:rPr>
        <w:t>faith</w:t>
      </w:r>
      <w:r w:rsidR="00D331CE">
        <w:rPr>
          <w:rFonts w:cs="Times New Roman"/>
          <w:kern w:val="0"/>
        </w:rPr>
        <w:t>”</w:t>
      </w:r>
      <w:r w:rsidR="009F2EBF">
        <w:rPr>
          <w:rFonts w:cs="Times New Roman"/>
          <w:kern w:val="0"/>
        </w:rPr>
        <w:t xml:space="preserve"> in </w:t>
      </w:r>
      <w:r w:rsidR="00E40A7E" w:rsidRPr="00B924A8">
        <w:rPr>
          <w:rFonts w:cs="Times New Roman"/>
          <w:i/>
          <w:kern w:val="0"/>
        </w:rPr>
        <w:t>Lectures on the Philosophy of Religion</w:t>
      </w:r>
      <w:r w:rsidRPr="00B924A8">
        <w:rPr>
          <w:rFonts w:cs="Times New Roman"/>
          <w:kern w:val="0"/>
        </w:rPr>
        <w:t>. I maintain that what “faith” means here is not faith-in</w:t>
      </w:r>
      <w:r w:rsidR="00D331CE">
        <w:rPr>
          <w:rFonts w:cs="Times New Roman"/>
          <w:kern w:val="0"/>
        </w:rPr>
        <w:t>,</w:t>
      </w:r>
      <w:r w:rsidRPr="00B924A8">
        <w:rPr>
          <w:rFonts w:cs="Times New Roman"/>
          <w:kern w:val="0"/>
        </w:rPr>
        <w:t xml:space="preserve"> but</w:t>
      </w:r>
      <w:r w:rsidR="00D331CE">
        <w:rPr>
          <w:rFonts w:cs="Times New Roman"/>
          <w:kern w:val="0"/>
        </w:rPr>
        <w:t xml:space="preserve"> rather</w:t>
      </w:r>
      <w:r w:rsidRPr="00B924A8">
        <w:rPr>
          <w:rFonts w:cs="Times New Roman"/>
          <w:kern w:val="0"/>
        </w:rPr>
        <w:t xml:space="preserve"> a synonym for picture-thinking [</w:t>
      </w:r>
      <w:r w:rsidRPr="00B924A8">
        <w:rPr>
          <w:rFonts w:cs="Times New Roman"/>
          <w:i/>
          <w:kern w:val="0"/>
        </w:rPr>
        <w:t>Vorstellung</w:t>
      </w:r>
      <w:r w:rsidRPr="00B924A8">
        <w:rPr>
          <w:rFonts w:cs="Times New Roman"/>
          <w:kern w:val="0"/>
        </w:rPr>
        <w:t>] as a temporary and slightly inadequate form of universal knowledge.</w:t>
      </w:r>
      <w:r w:rsidR="007F38A7" w:rsidRPr="00B924A8">
        <w:rPr>
          <w:rFonts w:cs="Times New Roman"/>
          <w:kern w:val="0"/>
        </w:rPr>
        <w:t xml:space="preserve"> </w:t>
      </w:r>
      <w:r w:rsidR="00F3177F" w:rsidRPr="00B924A8">
        <w:rPr>
          <w:rFonts w:cs="Times New Roman"/>
          <w:kern w:val="0"/>
        </w:rPr>
        <w:t xml:space="preserve">Hegel defines faith as “the witness of the spirit to </w:t>
      </w:r>
      <w:r w:rsidR="00F3177F" w:rsidRPr="00B924A8">
        <w:rPr>
          <w:rFonts w:cs="Times New Roman"/>
          <w:kern w:val="0"/>
        </w:rPr>
        <w:lastRenderedPageBreak/>
        <w:t>absolute Spirit” (</w:t>
      </w:r>
      <w:r w:rsidR="00F3177F" w:rsidRPr="00B924A8">
        <w:rPr>
          <w:rFonts w:cs="Times New Roman"/>
          <w:i/>
          <w:kern w:val="0"/>
        </w:rPr>
        <w:t>Rel</w:t>
      </w:r>
      <w:r w:rsidR="00F77442">
        <w:rPr>
          <w:rFonts w:cs="Times New Roman"/>
          <w:kern w:val="0"/>
        </w:rPr>
        <w:t xml:space="preserve"> I.211-</w:t>
      </w:r>
      <w:r w:rsidR="00F3177F" w:rsidRPr="00B924A8">
        <w:rPr>
          <w:rFonts w:cs="Times New Roman"/>
          <w:kern w:val="0"/>
        </w:rPr>
        <w:t>2; See also I.21</w:t>
      </w:r>
      <w:r w:rsidR="00F77442">
        <w:rPr>
          <w:rFonts w:cs="Times New Roman"/>
          <w:kern w:val="0"/>
        </w:rPr>
        <w:t>8-</w:t>
      </w:r>
      <w:r w:rsidR="00F3177F" w:rsidRPr="00B924A8">
        <w:rPr>
          <w:rFonts w:cs="Times New Roman"/>
          <w:kern w:val="0"/>
        </w:rPr>
        <w:t>9, III.119)</w:t>
      </w:r>
      <w:r w:rsidR="00DB4B8D" w:rsidRPr="00B924A8">
        <w:rPr>
          <w:rFonts w:cs="Times New Roman"/>
          <w:kern w:val="0"/>
        </w:rPr>
        <w:t xml:space="preserve"> or “regarding [objects of knowledge] with the spirit” rather than the “outward way of conceiving it” (</w:t>
      </w:r>
      <w:r w:rsidR="00DB4B8D" w:rsidRPr="00B924A8">
        <w:rPr>
          <w:rFonts w:cs="Times New Roman"/>
          <w:i/>
          <w:kern w:val="0"/>
        </w:rPr>
        <w:t>Rel</w:t>
      </w:r>
      <w:r w:rsidRPr="00B924A8">
        <w:rPr>
          <w:rFonts w:cs="Times New Roman"/>
          <w:kern w:val="0"/>
        </w:rPr>
        <w:t xml:space="preserve"> III.86). To those unfamiliar with Hegel’s terms, this </w:t>
      </w:r>
      <w:r w:rsidR="00D331CE">
        <w:rPr>
          <w:rFonts w:cs="Times New Roman"/>
          <w:kern w:val="0"/>
        </w:rPr>
        <w:t xml:space="preserve">phrasing can </w:t>
      </w:r>
      <w:r w:rsidRPr="00B924A8">
        <w:rPr>
          <w:rFonts w:cs="Times New Roman"/>
          <w:kern w:val="0"/>
        </w:rPr>
        <w:t>sound nearly orthodox, and Hegel believed what he was expressing is the truth of orthodoxy:</w:t>
      </w:r>
      <w:r w:rsidR="00DB4B8D" w:rsidRPr="00B924A8">
        <w:rPr>
          <w:rFonts w:cs="Times New Roman"/>
          <w:kern w:val="0"/>
        </w:rPr>
        <w:t xml:space="preserve"> “</w:t>
      </w:r>
      <w:r w:rsidR="00D12B8C" w:rsidRPr="00B924A8">
        <w:rPr>
          <w:rFonts w:cs="Times New Roman"/>
        </w:rPr>
        <w:t>Faith is essentially the consciousness of the absolute truth, of what God is in His true essential nature</w:t>
      </w:r>
      <w:r w:rsidR="00D12B8C" w:rsidRPr="00B924A8">
        <w:rPr>
          <w:rFonts w:cs="Times New Roman"/>
          <w:kern w:val="0"/>
        </w:rPr>
        <w:t>” (</w:t>
      </w:r>
      <w:r w:rsidR="00D12B8C" w:rsidRPr="00B924A8">
        <w:rPr>
          <w:rFonts w:cs="Times New Roman"/>
          <w:i/>
          <w:kern w:val="0"/>
        </w:rPr>
        <w:t>Rel</w:t>
      </w:r>
      <w:r w:rsidR="009F08E4" w:rsidRPr="00B924A8">
        <w:rPr>
          <w:rFonts w:cs="Times New Roman"/>
          <w:kern w:val="0"/>
        </w:rPr>
        <w:t xml:space="preserve"> III.87</w:t>
      </w:r>
      <w:r w:rsidR="00D12B8C" w:rsidRPr="00B924A8">
        <w:rPr>
          <w:rFonts w:cs="Times New Roman"/>
          <w:kern w:val="0"/>
        </w:rPr>
        <w:t>)</w:t>
      </w:r>
      <w:r w:rsidR="007F38A7" w:rsidRPr="00B924A8">
        <w:rPr>
          <w:rFonts w:cs="Times New Roman"/>
          <w:kern w:val="0"/>
        </w:rPr>
        <w:t xml:space="preserve">. </w:t>
      </w:r>
    </w:p>
    <w:p w14:paraId="7D5B5BC9" w14:textId="45B3A0C8" w:rsidR="00FF5A3C" w:rsidRPr="00B924A8" w:rsidRDefault="00E14A2F" w:rsidP="00AC62F4">
      <w:pPr>
        <w:widowControl/>
        <w:autoSpaceDE w:val="0"/>
        <w:autoSpaceDN w:val="0"/>
        <w:ind w:firstLine="720"/>
        <w:rPr>
          <w:rFonts w:cs="Times New Roman"/>
          <w:kern w:val="0"/>
        </w:rPr>
      </w:pPr>
      <w:r w:rsidRPr="00B924A8">
        <w:rPr>
          <w:rFonts w:cs="Times New Roman"/>
          <w:kern w:val="0"/>
        </w:rPr>
        <w:t>B</w:t>
      </w:r>
      <w:r w:rsidR="00FF5A3C" w:rsidRPr="00B924A8">
        <w:rPr>
          <w:rFonts w:cs="Times New Roman"/>
          <w:kern w:val="0"/>
        </w:rPr>
        <w:t>ut it is important to understand what Hegel means by “Spirit” and to recognize the consequences of this for</w:t>
      </w:r>
      <w:r w:rsidR="00D331CE">
        <w:rPr>
          <w:rFonts w:cs="Times New Roman"/>
          <w:kern w:val="0"/>
        </w:rPr>
        <w:t xml:space="preserve"> assessing</w:t>
      </w:r>
      <w:r w:rsidR="00FF5A3C" w:rsidRPr="00B924A8">
        <w:rPr>
          <w:rFonts w:cs="Times New Roman"/>
          <w:kern w:val="0"/>
        </w:rPr>
        <w:t xml:space="preserve"> the sentences above. For Hegel, </w:t>
      </w:r>
      <w:r w:rsidR="00D331CE">
        <w:rPr>
          <w:rFonts w:cs="Times New Roman"/>
          <w:kern w:val="0"/>
        </w:rPr>
        <w:t>“</w:t>
      </w:r>
      <w:r w:rsidR="00FF5A3C" w:rsidRPr="00B924A8">
        <w:rPr>
          <w:rFonts w:cs="Times New Roman"/>
          <w:kern w:val="0"/>
        </w:rPr>
        <w:t>Spirit</w:t>
      </w:r>
      <w:r w:rsidR="00D331CE">
        <w:rPr>
          <w:rFonts w:cs="Times New Roman"/>
          <w:kern w:val="0"/>
        </w:rPr>
        <w:t>”</w:t>
      </w:r>
      <w:r w:rsidR="00FF5A3C" w:rsidRPr="00B924A8">
        <w:rPr>
          <w:rFonts w:cs="Times New Roman"/>
          <w:kern w:val="0"/>
        </w:rPr>
        <w:t xml:space="preserve"> is shared conscious and self-conscious reasoning, which</w:t>
      </w:r>
      <w:r w:rsidR="00D331CE">
        <w:rPr>
          <w:rFonts w:cs="Times New Roman"/>
          <w:kern w:val="0"/>
        </w:rPr>
        <w:t>,</w:t>
      </w:r>
      <w:r w:rsidR="00FF5A3C" w:rsidRPr="00B924A8">
        <w:rPr>
          <w:rFonts w:cs="Times New Roman"/>
          <w:kern w:val="0"/>
        </w:rPr>
        <w:t xml:space="preserve"> in its absolute form</w:t>
      </w:r>
      <w:r w:rsidR="00D331CE">
        <w:rPr>
          <w:rFonts w:cs="Times New Roman"/>
          <w:kern w:val="0"/>
        </w:rPr>
        <w:t>,</w:t>
      </w:r>
      <w:r w:rsidR="00FF5A3C" w:rsidRPr="00B924A8">
        <w:rPr>
          <w:rFonts w:cs="Times New Roman"/>
          <w:kern w:val="0"/>
        </w:rPr>
        <w:t xml:space="preserve"> knows everything about everything.</w:t>
      </w:r>
      <w:r w:rsidR="00504FD0">
        <w:rPr>
          <w:rStyle w:val="FootnoteReference"/>
          <w:rFonts w:cs="Times New Roman"/>
          <w:kern w:val="0"/>
        </w:rPr>
        <w:footnoteReference w:id="14"/>
      </w:r>
      <w:r w:rsidR="00FF5A3C" w:rsidRPr="00B924A8">
        <w:rPr>
          <w:rFonts w:cs="Times New Roman"/>
          <w:kern w:val="0"/>
        </w:rPr>
        <w:t xml:space="preserve"> In other words, when Hegel writes that faith is “the witness of the spirit to absolute Spirit,” he is saying </w:t>
      </w:r>
      <w:r w:rsidR="00D331CE">
        <w:rPr>
          <w:rFonts w:cs="Times New Roman"/>
          <w:kern w:val="0"/>
        </w:rPr>
        <w:t>it</w:t>
      </w:r>
      <w:r w:rsidR="00FF5A3C" w:rsidRPr="00B924A8">
        <w:rPr>
          <w:rFonts w:cs="Times New Roman"/>
          <w:kern w:val="0"/>
        </w:rPr>
        <w:t xml:space="preserve"> is an individual’s rational knowledge of the systemic whole</w:t>
      </w:r>
      <w:r w:rsidR="00D331CE">
        <w:rPr>
          <w:rFonts w:cs="Times New Roman"/>
          <w:kern w:val="0"/>
        </w:rPr>
        <w:t>,</w:t>
      </w:r>
      <w:r w:rsidR="00FF5A3C" w:rsidRPr="00B924A8">
        <w:rPr>
          <w:rFonts w:cs="Times New Roman"/>
          <w:kern w:val="0"/>
        </w:rPr>
        <w:t xml:space="preserve"> in which the thinking part of reality as a whole thinks about all of reality in all of its particulars. </w:t>
      </w:r>
    </w:p>
    <w:p w14:paraId="53AAF30D" w14:textId="2DB90416" w:rsidR="00FF5A3C" w:rsidRPr="00B924A8" w:rsidRDefault="00D331CE" w:rsidP="00AC62F4">
      <w:pPr>
        <w:widowControl/>
        <w:autoSpaceDE w:val="0"/>
        <w:autoSpaceDN w:val="0"/>
        <w:ind w:firstLine="720"/>
        <w:rPr>
          <w:rFonts w:cs="Times New Roman"/>
          <w:kern w:val="0"/>
        </w:rPr>
      </w:pPr>
      <w:r>
        <w:rPr>
          <w:rFonts w:cs="Times New Roman"/>
          <w:kern w:val="0"/>
        </w:rPr>
        <w:t xml:space="preserve">Under </w:t>
      </w:r>
      <w:r w:rsidR="00FF5A3C" w:rsidRPr="00B924A8">
        <w:rPr>
          <w:rFonts w:cs="Times New Roman"/>
          <w:kern w:val="0"/>
        </w:rPr>
        <w:t>this</w:t>
      </w:r>
      <w:r>
        <w:rPr>
          <w:rFonts w:cs="Times New Roman"/>
          <w:kern w:val="0"/>
        </w:rPr>
        <w:t xml:space="preserve"> definition</w:t>
      </w:r>
      <w:r w:rsidR="00FF5A3C" w:rsidRPr="00B924A8">
        <w:rPr>
          <w:rFonts w:cs="Times New Roman"/>
          <w:kern w:val="0"/>
        </w:rPr>
        <w:t xml:space="preserve">, the point of religion is to reach absolute knowledge (though not in its absolute form). </w:t>
      </w:r>
      <w:r>
        <w:rPr>
          <w:rFonts w:cs="Times New Roman"/>
          <w:kern w:val="0"/>
        </w:rPr>
        <w:t>Accordingly</w:t>
      </w:r>
      <w:r w:rsidR="00FF5A3C" w:rsidRPr="00B924A8">
        <w:rPr>
          <w:rFonts w:cs="Times New Roman"/>
          <w:kern w:val="0"/>
        </w:rPr>
        <w:t>, Hegel traces a progression of religions as they move from</w:t>
      </w:r>
      <w:r w:rsidR="00E3303D">
        <w:rPr>
          <w:rFonts w:cs="Times New Roman"/>
          <w:kern w:val="0"/>
        </w:rPr>
        <w:t xml:space="preserve"> being mere “given”</w:t>
      </w:r>
      <w:r w:rsidR="00FF5A3C" w:rsidRPr="00B924A8">
        <w:rPr>
          <w:rFonts w:cs="Times New Roman"/>
          <w:kern w:val="0"/>
        </w:rPr>
        <w:t xml:space="preserve"> towards</w:t>
      </w:r>
      <w:r w:rsidR="00467BD0">
        <w:rPr>
          <w:rFonts w:cs="Times New Roman"/>
          <w:kern w:val="0"/>
        </w:rPr>
        <w:t xml:space="preserve"> becoming</w:t>
      </w:r>
      <w:r w:rsidR="00FF5A3C" w:rsidRPr="00B924A8">
        <w:rPr>
          <w:rFonts w:cs="Times New Roman"/>
          <w:kern w:val="0"/>
        </w:rPr>
        <w:t xml:space="preserve"> fully differentiated knowledge of the </w:t>
      </w:r>
      <w:r w:rsidR="00E3303D">
        <w:rPr>
          <w:rFonts w:cs="Times New Roman"/>
          <w:kern w:val="0"/>
        </w:rPr>
        <w:t>A</w:t>
      </w:r>
      <w:r w:rsidR="00FF5A3C" w:rsidRPr="00B924A8">
        <w:rPr>
          <w:rFonts w:cs="Times New Roman"/>
          <w:kern w:val="0"/>
        </w:rPr>
        <w:t>bsolute (</w:t>
      </w:r>
      <w:r w:rsidR="00FF5A3C" w:rsidRPr="00B924A8">
        <w:rPr>
          <w:rFonts w:cs="Times New Roman"/>
          <w:i/>
          <w:kern w:val="0"/>
        </w:rPr>
        <w:t>Rel</w:t>
      </w:r>
      <w:r w:rsidR="00F77442">
        <w:rPr>
          <w:rFonts w:cs="Times New Roman"/>
          <w:kern w:val="0"/>
        </w:rPr>
        <w:t xml:space="preserve"> I.224-</w:t>
      </w:r>
      <w:r w:rsidR="00FF5A3C" w:rsidRPr="00B924A8">
        <w:rPr>
          <w:rFonts w:cs="Times New Roman"/>
          <w:kern w:val="0"/>
        </w:rPr>
        <w:t xml:space="preserve">7). This is shorthand for the entire project of the </w:t>
      </w:r>
      <w:r w:rsidR="00FF5A3C" w:rsidRPr="00B924A8">
        <w:rPr>
          <w:rFonts w:cs="Times New Roman"/>
          <w:i/>
          <w:kern w:val="0"/>
        </w:rPr>
        <w:t>Phenomenology</w:t>
      </w:r>
      <w:r w:rsidR="00FF5A3C" w:rsidRPr="00B924A8">
        <w:rPr>
          <w:rFonts w:cs="Times New Roman"/>
          <w:kern w:val="0"/>
        </w:rPr>
        <w:t>. The role of faith is a</w:t>
      </w:r>
      <w:r w:rsidR="00E3303D">
        <w:rPr>
          <w:rFonts w:cs="Times New Roman"/>
          <w:kern w:val="0"/>
        </w:rPr>
        <w:t xml:space="preserve">s a </w:t>
      </w:r>
      <w:r w:rsidR="00FF5A3C" w:rsidRPr="00B924A8">
        <w:rPr>
          <w:rFonts w:cs="Times New Roman"/>
          <w:kern w:val="0"/>
        </w:rPr>
        <w:t>seed for knowledge or a picture-thinking attempt at knowledge (</w:t>
      </w:r>
      <w:r w:rsidR="00FF5A3C" w:rsidRPr="00B924A8">
        <w:rPr>
          <w:rFonts w:cs="Times New Roman"/>
          <w:i/>
          <w:kern w:val="0"/>
        </w:rPr>
        <w:t>Rel</w:t>
      </w:r>
      <w:r w:rsidR="00FF5A3C" w:rsidRPr="00B924A8">
        <w:rPr>
          <w:rFonts w:cs="Times New Roman"/>
          <w:kern w:val="0"/>
        </w:rPr>
        <w:t xml:space="preserve"> III.114; see also </w:t>
      </w:r>
      <w:r w:rsidR="00FF5A3C" w:rsidRPr="00B924A8">
        <w:rPr>
          <w:rFonts w:cs="Times New Roman"/>
          <w:i/>
          <w:kern w:val="0"/>
        </w:rPr>
        <w:t>Rel</w:t>
      </w:r>
      <w:r w:rsidR="00F77442">
        <w:rPr>
          <w:rFonts w:cs="Times New Roman"/>
          <w:kern w:val="0"/>
        </w:rPr>
        <w:t xml:space="preserve"> I.211-</w:t>
      </w:r>
      <w:r w:rsidR="007617FB">
        <w:rPr>
          <w:rFonts w:cs="Times New Roman"/>
          <w:kern w:val="0"/>
        </w:rPr>
        <w:t>9)</w:t>
      </w:r>
      <w:r w:rsidR="00E3303D">
        <w:rPr>
          <w:rFonts w:cs="Times New Roman"/>
          <w:kern w:val="0"/>
        </w:rPr>
        <w:t>, which can die when it becomes unnecessary.</w:t>
      </w:r>
      <w:r w:rsidR="007617FB">
        <w:rPr>
          <w:rFonts w:cs="Times New Roman"/>
          <w:kern w:val="0"/>
        </w:rPr>
        <w:t xml:space="preserve"> Consequently, it</w:t>
      </w:r>
      <w:r w:rsidR="00FF5A3C" w:rsidRPr="00B924A8">
        <w:rPr>
          <w:rFonts w:cs="Times New Roman"/>
          <w:kern w:val="0"/>
        </w:rPr>
        <w:t xml:space="preserve">s only inadequacy is the form under which it knows things. Thus, when Hegel explains that </w:t>
      </w:r>
      <w:r w:rsidR="00B8477C" w:rsidRPr="00B924A8">
        <w:rPr>
          <w:rFonts w:cs="Times New Roman"/>
          <w:kern w:val="0"/>
        </w:rPr>
        <w:t xml:space="preserve">faith has “no accidental content” and involves the dissolution of any dualities </w:t>
      </w:r>
      <w:r>
        <w:rPr>
          <w:rFonts w:cs="Times New Roman"/>
          <w:kern w:val="0"/>
        </w:rPr>
        <w:t>that</w:t>
      </w:r>
      <w:r w:rsidR="00B8477C" w:rsidRPr="00B924A8">
        <w:rPr>
          <w:rFonts w:cs="Times New Roman"/>
          <w:kern w:val="0"/>
        </w:rPr>
        <w:t xml:space="preserve"> yield </w:t>
      </w:r>
      <w:r w:rsidR="002B358A" w:rsidRPr="00B924A8">
        <w:rPr>
          <w:rFonts w:cs="Times New Roman"/>
          <w:kern w:val="0"/>
        </w:rPr>
        <w:t>to reason</w:t>
      </w:r>
      <w:r w:rsidR="00B8477C" w:rsidRPr="00B924A8">
        <w:rPr>
          <w:rFonts w:cs="Times New Roman"/>
          <w:kern w:val="0"/>
        </w:rPr>
        <w:t xml:space="preserve"> (</w:t>
      </w:r>
      <w:r w:rsidR="00B8477C" w:rsidRPr="00B924A8">
        <w:rPr>
          <w:rFonts w:cs="Times New Roman"/>
          <w:i/>
          <w:kern w:val="0"/>
        </w:rPr>
        <w:t>Rel</w:t>
      </w:r>
      <w:r w:rsidR="00B8477C" w:rsidRPr="00B924A8">
        <w:rPr>
          <w:rFonts w:cs="Times New Roman"/>
          <w:kern w:val="0"/>
        </w:rPr>
        <w:t xml:space="preserve"> I.218-221)</w:t>
      </w:r>
      <w:r w:rsidR="00FF5A3C" w:rsidRPr="00B924A8">
        <w:rPr>
          <w:rFonts w:cs="Times New Roman"/>
          <w:kern w:val="0"/>
        </w:rPr>
        <w:t>, he is again expressing his opposition to the possibility of anything like faith-in</w:t>
      </w:r>
      <w:r w:rsidR="0079025A">
        <w:rPr>
          <w:rFonts w:cs="Times New Roman"/>
          <w:kern w:val="0"/>
        </w:rPr>
        <w:t>.</w:t>
      </w:r>
    </w:p>
    <w:p w14:paraId="68341CBF" w14:textId="1D91B3A7" w:rsidR="00E23E2C" w:rsidRPr="00B924A8" w:rsidRDefault="00FF5A3C" w:rsidP="00AC62F4">
      <w:pPr>
        <w:widowControl/>
        <w:autoSpaceDE w:val="0"/>
        <w:autoSpaceDN w:val="0"/>
        <w:ind w:firstLine="720"/>
        <w:rPr>
          <w:rFonts w:cs="Times New Roman"/>
          <w:kern w:val="0"/>
        </w:rPr>
      </w:pPr>
      <w:r w:rsidRPr="00B924A8">
        <w:rPr>
          <w:rFonts w:cs="Times New Roman"/>
          <w:kern w:val="0"/>
        </w:rPr>
        <w:lastRenderedPageBreak/>
        <w:t>From this, we can see that</w:t>
      </w:r>
      <w:r w:rsidR="00F3177F" w:rsidRPr="00B924A8">
        <w:rPr>
          <w:rFonts w:cs="Times New Roman"/>
          <w:kern w:val="0"/>
        </w:rPr>
        <w:t xml:space="preserve"> </w:t>
      </w:r>
      <w:r w:rsidRPr="00B924A8">
        <w:rPr>
          <w:rFonts w:cs="Times New Roman"/>
          <w:kern w:val="0"/>
        </w:rPr>
        <w:t>“</w:t>
      </w:r>
      <w:r w:rsidR="00F3177F" w:rsidRPr="00B924A8">
        <w:rPr>
          <w:rFonts w:cs="Times New Roman"/>
          <w:kern w:val="0"/>
        </w:rPr>
        <w:t>faith</w:t>
      </w:r>
      <w:r w:rsidRPr="00B924A8">
        <w:rPr>
          <w:rFonts w:cs="Times New Roman"/>
          <w:kern w:val="0"/>
        </w:rPr>
        <w:t>”</w:t>
      </w:r>
      <w:r w:rsidR="00BD50DE" w:rsidRPr="00B924A8">
        <w:rPr>
          <w:rFonts w:cs="Times New Roman"/>
          <w:kern w:val="0"/>
        </w:rPr>
        <w:t xml:space="preserve"> in the </w:t>
      </w:r>
      <w:r w:rsidR="00BD50DE" w:rsidRPr="00B924A8">
        <w:rPr>
          <w:rFonts w:cs="Times New Roman"/>
          <w:i/>
          <w:kern w:val="0"/>
        </w:rPr>
        <w:t>Lectures on Religion</w:t>
      </w:r>
      <w:r w:rsidR="00F3177F" w:rsidRPr="00B924A8">
        <w:rPr>
          <w:rFonts w:cs="Times New Roman"/>
          <w:kern w:val="0"/>
        </w:rPr>
        <w:t xml:space="preserve"> has a similar fate to Absolute Religion:</w:t>
      </w:r>
      <w:r w:rsidR="00E40A7E" w:rsidRPr="00B924A8">
        <w:rPr>
          <w:rFonts w:cs="Times New Roman"/>
          <w:kern w:val="0"/>
        </w:rPr>
        <w:t xml:space="preserve"> once the community of Spirit has appeared, faith as a sensuous expression of the truth is no longer necessary (</w:t>
      </w:r>
      <w:r w:rsidR="00E40A7E" w:rsidRPr="00B924A8">
        <w:rPr>
          <w:rFonts w:cs="Times New Roman"/>
          <w:i/>
          <w:kern w:val="0"/>
        </w:rPr>
        <w:t>Rel</w:t>
      </w:r>
      <w:r w:rsidR="00F77442">
        <w:rPr>
          <w:rFonts w:cs="Times New Roman"/>
          <w:kern w:val="0"/>
        </w:rPr>
        <w:t xml:space="preserve"> III.115-</w:t>
      </w:r>
      <w:r w:rsidR="00E40A7E" w:rsidRPr="00B924A8">
        <w:rPr>
          <w:rFonts w:cs="Times New Roman"/>
          <w:kern w:val="0"/>
        </w:rPr>
        <w:t>6).</w:t>
      </w:r>
      <w:r w:rsidR="00F3177F" w:rsidRPr="00B924A8">
        <w:rPr>
          <w:rFonts w:cs="Times New Roman"/>
          <w:kern w:val="0"/>
        </w:rPr>
        <w:t xml:space="preserve"> Thus, in Christianity qua Absolute Religion, </w:t>
      </w:r>
      <w:r w:rsidR="00122E13" w:rsidRPr="00B924A8">
        <w:rPr>
          <w:rFonts w:cs="Times New Roman"/>
          <w:kern w:val="0"/>
        </w:rPr>
        <w:t xml:space="preserve">a community </w:t>
      </w:r>
      <w:r w:rsidR="00027596">
        <w:rPr>
          <w:rFonts w:cs="Times New Roman"/>
          <w:kern w:val="0"/>
        </w:rPr>
        <w:t xml:space="preserve">is </w:t>
      </w:r>
      <w:r w:rsidR="00027596" w:rsidRPr="00B924A8">
        <w:rPr>
          <w:rFonts w:cs="Times New Roman"/>
          <w:kern w:val="0"/>
        </w:rPr>
        <w:t xml:space="preserve">established </w:t>
      </w:r>
      <w:r w:rsidR="00122E13" w:rsidRPr="00B924A8">
        <w:rPr>
          <w:rFonts w:cs="Times New Roman"/>
          <w:kern w:val="0"/>
        </w:rPr>
        <w:t>on the basis of the “worthlessness of all particularity” (</w:t>
      </w:r>
      <w:r w:rsidR="00122E13" w:rsidRPr="00B924A8">
        <w:rPr>
          <w:rFonts w:cs="Times New Roman"/>
          <w:i/>
          <w:kern w:val="0"/>
        </w:rPr>
        <w:t>Rel</w:t>
      </w:r>
      <w:r w:rsidR="00122E13" w:rsidRPr="00B924A8">
        <w:rPr>
          <w:rFonts w:cs="Times New Roman"/>
          <w:kern w:val="0"/>
        </w:rPr>
        <w:t xml:space="preserve"> III.106) </w:t>
      </w:r>
      <w:r w:rsidR="00027596">
        <w:rPr>
          <w:rFonts w:cs="Times New Roman"/>
          <w:kern w:val="0"/>
        </w:rPr>
        <w:t>which</w:t>
      </w:r>
      <w:r w:rsidR="00122E13" w:rsidRPr="00B924A8">
        <w:rPr>
          <w:rFonts w:cs="Times New Roman"/>
          <w:kern w:val="0"/>
        </w:rPr>
        <w:t xml:space="preserve"> transcends friendship, marital love, and all other relationships. Thus, there is </w:t>
      </w:r>
      <w:r w:rsidR="003D5A02" w:rsidRPr="00B924A8">
        <w:rPr>
          <w:rFonts w:cs="Times New Roman"/>
          <w:kern w:val="0"/>
        </w:rPr>
        <w:t>“no particularity</w:t>
      </w:r>
      <w:r w:rsidR="00F3177F" w:rsidRPr="00B924A8">
        <w:rPr>
          <w:rFonts w:cs="Times New Roman"/>
          <w:kern w:val="0"/>
        </w:rPr>
        <w:t xml:space="preserve"> left</w:t>
      </w:r>
      <w:r w:rsidR="003D5A02" w:rsidRPr="00B924A8">
        <w:rPr>
          <w:rFonts w:cs="Times New Roman"/>
          <w:kern w:val="0"/>
        </w:rPr>
        <w:t>” (</w:t>
      </w:r>
      <w:r w:rsidR="007A37D5" w:rsidRPr="00B924A8">
        <w:rPr>
          <w:rFonts w:cs="Times New Roman"/>
          <w:i/>
          <w:kern w:val="0"/>
        </w:rPr>
        <w:t>Rel</w:t>
      </w:r>
      <w:r w:rsidR="003D5A02" w:rsidRPr="00B924A8">
        <w:rPr>
          <w:rFonts w:cs="Times New Roman"/>
          <w:i/>
          <w:kern w:val="0"/>
        </w:rPr>
        <w:t xml:space="preserve"> </w:t>
      </w:r>
      <w:r w:rsidR="00122E13" w:rsidRPr="00B924A8">
        <w:rPr>
          <w:rFonts w:cs="Times New Roman"/>
          <w:kern w:val="0"/>
        </w:rPr>
        <w:t xml:space="preserve">III.142). Moreover, this community qua church </w:t>
      </w:r>
      <w:r w:rsidR="00E23E2C" w:rsidRPr="00B924A8">
        <w:rPr>
          <w:rFonts w:cs="Times New Roman"/>
          <w:kern w:val="0"/>
        </w:rPr>
        <w:t>ceases to be a necessary entity and become</w:t>
      </w:r>
      <w:r w:rsidR="00027596">
        <w:rPr>
          <w:rFonts w:cs="Times New Roman"/>
          <w:kern w:val="0"/>
        </w:rPr>
        <w:t>s</w:t>
      </w:r>
      <w:r w:rsidR="00E23E2C" w:rsidRPr="00B924A8">
        <w:rPr>
          <w:rFonts w:cs="Times New Roman"/>
          <w:kern w:val="0"/>
        </w:rPr>
        <w:t xml:space="preserve"> subsumed into the state (</w:t>
      </w:r>
      <w:r w:rsidR="00E23E2C" w:rsidRPr="00B924A8">
        <w:rPr>
          <w:rFonts w:cs="Times New Roman"/>
          <w:i/>
          <w:kern w:val="0"/>
        </w:rPr>
        <w:t>Rel</w:t>
      </w:r>
      <w:r w:rsidR="00E23E2C" w:rsidRPr="00B924A8">
        <w:rPr>
          <w:rFonts w:cs="Times New Roman"/>
          <w:kern w:val="0"/>
        </w:rPr>
        <w:t xml:space="preserve"> II.298).</w:t>
      </w:r>
      <w:r w:rsidR="00E23E2C" w:rsidRPr="005D4C21">
        <w:rPr>
          <w:rStyle w:val="FootnoteReference"/>
        </w:rPr>
        <w:footnoteReference w:id="15"/>
      </w:r>
    </w:p>
    <w:p w14:paraId="04444AC9" w14:textId="32A4FCD0" w:rsidR="007A37D5" w:rsidRPr="00B924A8" w:rsidRDefault="00122E13" w:rsidP="00AC62F4">
      <w:pPr>
        <w:widowControl/>
        <w:autoSpaceDE w:val="0"/>
        <w:autoSpaceDN w:val="0"/>
        <w:ind w:firstLine="720"/>
        <w:rPr>
          <w:rFonts w:cs="Times New Roman"/>
          <w:kern w:val="0"/>
        </w:rPr>
      </w:pPr>
      <w:r w:rsidRPr="00B924A8">
        <w:rPr>
          <w:rFonts w:cs="Times New Roman"/>
          <w:kern w:val="0"/>
        </w:rPr>
        <w:t xml:space="preserve">Despite this apparent </w:t>
      </w:r>
      <w:r w:rsidR="00FD26BB">
        <w:rPr>
          <w:rFonts w:cs="Times New Roman"/>
          <w:kern w:val="0"/>
        </w:rPr>
        <w:t xml:space="preserve">fancy footwork </w:t>
      </w:r>
      <w:r w:rsidRPr="00B924A8">
        <w:rPr>
          <w:rFonts w:cs="Times New Roman"/>
          <w:kern w:val="0"/>
        </w:rPr>
        <w:t xml:space="preserve">with respect to the </w:t>
      </w:r>
      <w:r w:rsidR="00027596">
        <w:rPr>
          <w:rFonts w:cs="Times New Roman"/>
          <w:kern w:val="0"/>
        </w:rPr>
        <w:t xml:space="preserve">commonly-understood meaning of the </w:t>
      </w:r>
      <w:r w:rsidRPr="00B924A8">
        <w:rPr>
          <w:rFonts w:cs="Times New Roman"/>
          <w:kern w:val="0"/>
        </w:rPr>
        <w:t>word “faith,” Hegel continues to have a negative conclusion with respect to faith-in</w:t>
      </w:r>
      <w:r w:rsidR="00F3177F" w:rsidRPr="00B924A8">
        <w:rPr>
          <w:rFonts w:cs="Times New Roman"/>
          <w:kern w:val="0"/>
        </w:rPr>
        <w:t xml:space="preserve">. Thus, shortly before the end of </w:t>
      </w:r>
      <w:r w:rsidR="00F3177F" w:rsidRPr="00B924A8">
        <w:rPr>
          <w:rFonts w:cs="Times New Roman"/>
          <w:i/>
          <w:kern w:val="0"/>
        </w:rPr>
        <w:t>Lectures</w:t>
      </w:r>
      <w:r w:rsidR="00335D3B" w:rsidRPr="00B924A8">
        <w:rPr>
          <w:rFonts w:cs="Times New Roman"/>
          <w:i/>
          <w:kern w:val="0"/>
        </w:rPr>
        <w:t xml:space="preserve"> on the Philosophy of Religion</w:t>
      </w:r>
      <w:r w:rsidR="00F3177F" w:rsidRPr="00B924A8">
        <w:rPr>
          <w:rFonts w:cs="Times New Roman"/>
          <w:kern w:val="0"/>
        </w:rPr>
        <w:t xml:space="preserve">, Hegel </w:t>
      </w:r>
      <w:r w:rsidR="00335D3B" w:rsidRPr="00B924A8">
        <w:rPr>
          <w:rFonts w:cs="Times New Roman"/>
          <w:kern w:val="0"/>
        </w:rPr>
        <w:t>makes explicit his objection to a non-socially mediated source of moral knowledge</w:t>
      </w:r>
      <w:r w:rsidR="00042885" w:rsidRPr="00B924A8">
        <w:rPr>
          <w:rFonts w:cs="Times New Roman"/>
          <w:kern w:val="0"/>
        </w:rPr>
        <w:t xml:space="preserve"> in his condemnation of pietism:</w:t>
      </w:r>
      <w:r w:rsidR="00E23E2C" w:rsidRPr="00B924A8">
        <w:rPr>
          <w:rFonts w:cs="Times New Roman"/>
          <w:kern w:val="0"/>
        </w:rPr>
        <w:t xml:space="preserve"> </w:t>
      </w:r>
    </w:p>
    <w:p w14:paraId="5D7E119C" w14:textId="3E8B154B" w:rsidR="00E23E2C" w:rsidRDefault="007A37D5" w:rsidP="00097D6B">
      <w:pPr>
        <w:pStyle w:val="Quote"/>
      </w:pPr>
      <w:r>
        <w:t>[Pietism]</w:t>
      </w:r>
      <w:r w:rsidRPr="0054566A">
        <w:t xml:space="preserve"> is an inner self-enclosed life which may indeed coexist with calm, lofty, and pious aspirations, but may as readily appear as hypocrisy or as vanity in its most extreme form. </w:t>
      </w:r>
      <w:r>
        <w:t>…</w:t>
      </w:r>
      <w:r w:rsidRPr="0054566A">
        <w:t xml:space="preserve"> Pietism recognises no objective truth, sets itself in opposition to dogmas, to the content of religion, and though it does indeed preserve the eleme</w:t>
      </w:r>
      <w:r>
        <w:t>nt of mediation, and still main</w:t>
      </w:r>
      <w:r w:rsidRPr="0054566A">
        <w:t xml:space="preserve">tains a certain relation to Christ, yet this relation </w:t>
      </w:r>
      <w:r>
        <w:t>is sup</w:t>
      </w:r>
      <w:r w:rsidRPr="0054566A">
        <w:t>posed to remain in the sphere of feeling, in the sphere of inner sentiment. Each person has thus his own God, Christ, &amp;c. The element of particul</w:t>
      </w:r>
      <w:r>
        <w:t xml:space="preserve">arity in which each has his own </w:t>
      </w:r>
      <w:r w:rsidRPr="0054566A">
        <w:t>individual religion, his own theory of the Universe, &amp;c, does undoubtedl</w:t>
      </w:r>
      <w:r>
        <w:t xml:space="preserve">y </w:t>
      </w:r>
      <w:r>
        <w:lastRenderedPageBreak/>
        <w:t>exist in Man</w:t>
      </w:r>
      <w:r w:rsidRPr="0054566A">
        <w:t>; but in religion it is ab</w:t>
      </w:r>
      <w:r>
        <w:t xml:space="preserve">sorbed by life in the Spiritual </w:t>
      </w:r>
      <w:r w:rsidRPr="0054566A">
        <w:t>Community, and for the truly pious man it has no longer a</w:t>
      </w:r>
      <w:r>
        <w:t>ny real worth and is laid aside” (</w:t>
      </w:r>
      <w:r w:rsidR="00042885" w:rsidRPr="00042885">
        <w:rPr>
          <w:i/>
        </w:rPr>
        <w:t>Rel</w:t>
      </w:r>
      <w:r w:rsidR="00042885">
        <w:t xml:space="preserve"> </w:t>
      </w:r>
      <w:r w:rsidRPr="00042885">
        <w:t>III</w:t>
      </w:r>
      <w:r>
        <w:t>.141)</w:t>
      </w:r>
      <w:r w:rsidR="00D37935">
        <w:t>.</w:t>
      </w:r>
    </w:p>
    <w:p w14:paraId="67516BED" w14:textId="0A8DCFB6" w:rsidR="003A46C2" w:rsidRPr="00B924A8" w:rsidRDefault="00F3177F" w:rsidP="00AC62F4">
      <w:pPr>
        <w:rPr>
          <w:rFonts w:cs="Times New Roman"/>
        </w:rPr>
      </w:pPr>
      <w:r w:rsidRPr="00B924A8">
        <w:rPr>
          <w:rFonts w:cs="Times New Roman"/>
        </w:rPr>
        <w:t xml:space="preserve">The important </w:t>
      </w:r>
      <w:r w:rsidR="00C20128" w:rsidRPr="00B924A8">
        <w:rPr>
          <w:rFonts w:cs="Times New Roman"/>
        </w:rPr>
        <w:t>feature t</w:t>
      </w:r>
      <w:r w:rsidR="00467BD0">
        <w:rPr>
          <w:rFonts w:cs="Times New Roman"/>
        </w:rPr>
        <w:t>o notice here is that Hegel categorically rejects</w:t>
      </w:r>
      <w:r w:rsidR="00C20128" w:rsidRPr="00B924A8">
        <w:rPr>
          <w:rFonts w:cs="Times New Roman"/>
        </w:rPr>
        <w:t xml:space="preserve"> the</w:t>
      </w:r>
      <w:r w:rsidR="00467BD0">
        <w:rPr>
          <w:rFonts w:cs="Times New Roman"/>
        </w:rPr>
        <w:t xml:space="preserve"> devout individual’s</w:t>
      </w:r>
      <w:r w:rsidR="00027596">
        <w:rPr>
          <w:rFonts w:cs="Times New Roman"/>
        </w:rPr>
        <w:t xml:space="preserve"> </w:t>
      </w:r>
      <w:r w:rsidR="0079025A">
        <w:rPr>
          <w:rFonts w:cs="Times New Roman"/>
        </w:rPr>
        <w:t xml:space="preserve">claim to a private </w:t>
      </w:r>
      <w:r w:rsidR="007617FB">
        <w:rPr>
          <w:rFonts w:cs="Times New Roman"/>
        </w:rPr>
        <w:t>relation with transcendence</w:t>
      </w:r>
      <w:r w:rsidR="00567FB7">
        <w:rPr>
          <w:rFonts w:cs="Times New Roman"/>
        </w:rPr>
        <w:t xml:space="preserve"> as in</w:t>
      </w:r>
      <w:r w:rsidR="00C20128" w:rsidRPr="00B924A8">
        <w:rPr>
          <w:rFonts w:cs="Times New Roman"/>
        </w:rPr>
        <w:t>comp</w:t>
      </w:r>
      <w:r w:rsidR="0079025A">
        <w:rPr>
          <w:rFonts w:cs="Times New Roman"/>
        </w:rPr>
        <w:t xml:space="preserve">atible with his sort of project. Instead, </w:t>
      </w:r>
      <w:r w:rsidR="006451F5" w:rsidRPr="00B924A8">
        <w:rPr>
          <w:rFonts w:cs="Times New Roman"/>
        </w:rPr>
        <w:t xml:space="preserve">he condemns it in the same sort of terms as he condemns faith in </w:t>
      </w:r>
      <w:r w:rsidR="006451F5" w:rsidRPr="00B924A8">
        <w:rPr>
          <w:rFonts w:cs="Times New Roman"/>
          <w:i/>
        </w:rPr>
        <w:t>Philosophy of Right</w:t>
      </w:r>
      <w:r w:rsidR="006451F5" w:rsidRPr="00B924A8">
        <w:rPr>
          <w:rFonts w:cs="Times New Roman"/>
        </w:rPr>
        <w:t xml:space="preserve"> </w:t>
      </w:r>
      <w:r w:rsidR="007617FB">
        <w:rPr>
          <w:rFonts w:cs="Times New Roman"/>
        </w:rPr>
        <w:t xml:space="preserve">as </w:t>
      </w:r>
      <w:r w:rsidR="006451F5" w:rsidRPr="00B924A8">
        <w:rPr>
          <w:rFonts w:cs="Times New Roman"/>
        </w:rPr>
        <w:t>“hypocrisy or vanity in its most extreme form,” precisely because it</w:t>
      </w:r>
      <w:r w:rsidR="007617FB">
        <w:rPr>
          <w:rFonts w:cs="Times New Roman"/>
        </w:rPr>
        <w:t>,</w:t>
      </w:r>
      <w:r w:rsidR="006451F5" w:rsidRPr="00B924A8">
        <w:rPr>
          <w:rFonts w:cs="Times New Roman"/>
        </w:rPr>
        <w:t xml:space="preserve"> like Abram</w:t>
      </w:r>
      <w:r w:rsidR="007617FB">
        <w:rPr>
          <w:rFonts w:cs="Times New Roman"/>
        </w:rPr>
        <w:t>,</w:t>
      </w:r>
      <w:r w:rsidR="006451F5" w:rsidRPr="00B924A8">
        <w:rPr>
          <w:rFonts w:cs="Times New Roman"/>
        </w:rPr>
        <w:t xml:space="preserve"> sees a source for values outside of the community.</w:t>
      </w:r>
      <w:r w:rsidR="00DB68C7" w:rsidRPr="00B924A8">
        <w:rPr>
          <w:rFonts w:cs="Times New Roman"/>
        </w:rPr>
        <w:t xml:space="preserve"> Hegel disparages all such forms, because the only source of moral knowledge should be the moral reasoning of Spirit in the community, which is self-certain and immanent.</w:t>
      </w:r>
      <w:r w:rsidR="00FD26BB" w:rsidRPr="00B924A8" w:rsidDel="00FD26BB">
        <w:rPr>
          <w:rFonts w:cs="Times New Roman"/>
        </w:rPr>
        <w:t xml:space="preserve"> </w:t>
      </w:r>
    </w:p>
    <w:p w14:paraId="3F2DE869" w14:textId="1DA40C5C" w:rsidR="00EF6A95" w:rsidRPr="00EC6D35" w:rsidRDefault="00DB68C7" w:rsidP="00FD26BB">
      <w:r>
        <w:t>I</w:t>
      </w:r>
      <w:r w:rsidR="00FF5A3C">
        <w:t>I.D</w:t>
      </w:r>
      <w:r w:rsidR="00EF6A95">
        <w:t xml:space="preserve"> Hegel’s </w:t>
      </w:r>
      <w:r w:rsidR="00CC7E8E">
        <w:t>Social Obligation Theory</w:t>
      </w:r>
      <w:r w:rsidR="00EF6A95">
        <w:t xml:space="preserve"> Objection to Faith-In</w:t>
      </w:r>
    </w:p>
    <w:p w14:paraId="61DB6E91" w14:textId="77777777" w:rsidR="001D0840" w:rsidRDefault="00FF5A3C" w:rsidP="001D0840">
      <w:pPr>
        <w:ind w:firstLine="720"/>
        <w:rPr>
          <w:rFonts w:cs="Times New Roman"/>
        </w:rPr>
      </w:pPr>
      <w:r w:rsidRPr="00B924A8">
        <w:rPr>
          <w:rFonts w:cs="Times New Roman"/>
        </w:rPr>
        <w:t>We now have the resources to understand</w:t>
      </w:r>
      <w:r w:rsidR="007D6EC3">
        <w:rPr>
          <w:rFonts w:cs="Times New Roman"/>
        </w:rPr>
        <w:t xml:space="preserve"> and </w:t>
      </w:r>
      <w:r w:rsidR="007D6EC3" w:rsidRPr="00B924A8">
        <w:rPr>
          <w:rFonts w:cs="Times New Roman"/>
        </w:rPr>
        <w:t>articulate</w:t>
      </w:r>
      <w:r w:rsidRPr="00B924A8">
        <w:rPr>
          <w:rFonts w:cs="Times New Roman"/>
        </w:rPr>
        <w:t xml:space="preserve"> Hegel’s objection to faith-in and to link this with the belittlers. </w:t>
      </w:r>
      <w:r w:rsidR="007617FB">
        <w:rPr>
          <w:rFonts w:cs="Times New Roman"/>
        </w:rPr>
        <w:t xml:space="preserve">Our comparison is made easier because </w:t>
      </w:r>
      <w:r w:rsidR="00525454" w:rsidRPr="00B924A8">
        <w:rPr>
          <w:rFonts w:cs="Times New Roman"/>
        </w:rPr>
        <w:t>Kvanvig</w:t>
      </w:r>
      <w:r w:rsidR="007617FB">
        <w:rPr>
          <w:rFonts w:cs="Times New Roman"/>
        </w:rPr>
        <w:t xml:space="preserve">’s analysis of the belittlers also looks at Abram’s </w:t>
      </w:r>
      <w:r w:rsidR="00525454" w:rsidRPr="00B924A8">
        <w:rPr>
          <w:rFonts w:cs="Times New Roman"/>
        </w:rPr>
        <w:t>faith</w:t>
      </w:r>
      <w:r w:rsidR="007617FB">
        <w:rPr>
          <w:rFonts w:cs="Times New Roman"/>
        </w:rPr>
        <w:t>. Kvanvig</w:t>
      </w:r>
      <w:r w:rsidR="003906AF">
        <w:rPr>
          <w:rFonts w:cs="Times New Roman"/>
        </w:rPr>
        <w:t xml:space="preserve"> understands the faith that leads Abram</w:t>
      </w:r>
      <w:r w:rsidR="00525454" w:rsidRPr="00B924A8">
        <w:rPr>
          <w:rFonts w:cs="Times New Roman"/>
        </w:rPr>
        <w:t xml:space="preserve"> out of the land of his </w:t>
      </w:r>
      <w:r w:rsidR="007D6EC3">
        <w:rPr>
          <w:rFonts w:cs="Times New Roman"/>
        </w:rPr>
        <w:t xml:space="preserve">familial community </w:t>
      </w:r>
      <w:r w:rsidR="007B0D5B" w:rsidRPr="00B924A8">
        <w:rPr>
          <w:rFonts w:cs="Times New Roman"/>
        </w:rPr>
        <w:t>as a commitment that begins affectively rather than cognitively</w:t>
      </w:r>
      <w:r w:rsidR="00525454" w:rsidRPr="00B924A8">
        <w:rPr>
          <w:rFonts w:cs="Times New Roman"/>
        </w:rPr>
        <w:t>.</w:t>
      </w:r>
      <w:r w:rsidR="007B0D5B" w:rsidRPr="005D4C21">
        <w:rPr>
          <w:rStyle w:val="FootnoteReference"/>
        </w:rPr>
        <w:footnoteReference w:id="16"/>
      </w:r>
      <w:r w:rsidR="004E22D2" w:rsidRPr="00B924A8">
        <w:rPr>
          <w:rFonts w:cs="Times New Roman"/>
        </w:rPr>
        <w:t xml:space="preserve"> </w:t>
      </w:r>
      <w:r w:rsidR="003906AF">
        <w:rPr>
          <w:rFonts w:cs="Times New Roman"/>
        </w:rPr>
        <w:t>Such a reading is fully compatible with Hegel’s critique</w:t>
      </w:r>
      <w:r w:rsidR="007B0D5B" w:rsidRPr="00B924A8">
        <w:rPr>
          <w:rFonts w:cs="Times New Roman"/>
        </w:rPr>
        <w:t>. We can make sense of this by understanding the relationship between Abram and Hegel’s desiderata for moral theory.</w:t>
      </w:r>
    </w:p>
    <w:p w14:paraId="07E77D5B" w14:textId="3A2DA531" w:rsidR="007B0D5B" w:rsidRPr="00B924A8" w:rsidRDefault="007B0D5B" w:rsidP="001D0840">
      <w:pPr>
        <w:ind w:firstLine="720"/>
        <w:rPr>
          <w:rFonts w:cs="Times New Roman"/>
        </w:rPr>
      </w:pPr>
      <w:r w:rsidRPr="00B924A8">
        <w:rPr>
          <w:rFonts w:cs="Times New Roman"/>
        </w:rPr>
        <w:t xml:space="preserve">Hegel supplies </w:t>
      </w:r>
      <w:r w:rsidR="00914301" w:rsidRPr="00B924A8">
        <w:rPr>
          <w:rFonts w:cs="Times New Roman"/>
        </w:rPr>
        <w:t>a social command theory of moral obligation.</w:t>
      </w:r>
      <w:r w:rsidR="00914301" w:rsidRPr="005D4C21">
        <w:rPr>
          <w:rStyle w:val="FootnoteReference"/>
        </w:rPr>
        <w:footnoteReference w:id="17"/>
      </w:r>
      <w:r w:rsidR="007C1617" w:rsidRPr="00B924A8">
        <w:rPr>
          <w:rFonts w:cs="Times New Roman"/>
        </w:rPr>
        <w:t xml:space="preserve"> </w:t>
      </w:r>
      <w:r w:rsidR="00914301" w:rsidRPr="00B924A8">
        <w:rPr>
          <w:rFonts w:cs="Times New Roman"/>
        </w:rPr>
        <w:t>On such an account, the individuals are the accidental parts of a greater social whole</w:t>
      </w:r>
      <w:r w:rsidR="00990A7E">
        <w:rPr>
          <w:rFonts w:cs="Times New Roman"/>
        </w:rPr>
        <w:t>,</w:t>
      </w:r>
      <w:r w:rsidR="00914301" w:rsidRPr="00B924A8">
        <w:rPr>
          <w:rFonts w:cs="Times New Roman"/>
        </w:rPr>
        <w:t xml:space="preserve"> which informs</w:t>
      </w:r>
      <w:r w:rsidR="00990A7E">
        <w:rPr>
          <w:rFonts w:cs="Times New Roman"/>
        </w:rPr>
        <w:t xml:space="preserve"> them</w:t>
      </w:r>
      <w:r w:rsidR="00914301" w:rsidRPr="00B924A8">
        <w:rPr>
          <w:rFonts w:cs="Times New Roman"/>
        </w:rPr>
        <w:t xml:space="preserve"> of their </w:t>
      </w:r>
      <w:r w:rsidR="00914301" w:rsidRPr="00B924A8">
        <w:rPr>
          <w:rFonts w:cs="Times New Roman"/>
        </w:rPr>
        <w:lastRenderedPageBreak/>
        <w:t>obligations and the content of m</w:t>
      </w:r>
      <w:r w:rsidR="003906AF">
        <w:rPr>
          <w:rFonts w:cs="Times New Roman"/>
        </w:rPr>
        <w:t xml:space="preserve">orality. For Hegel, this </w:t>
      </w:r>
      <w:r w:rsidR="00914301" w:rsidRPr="00B924A8">
        <w:rPr>
          <w:rFonts w:cs="Times New Roman"/>
        </w:rPr>
        <w:t>supplan</w:t>
      </w:r>
      <w:r w:rsidR="003906AF">
        <w:rPr>
          <w:rFonts w:cs="Times New Roman"/>
        </w:rPr>
        <w:t>ts divine command theories as a truer</w:t>
      </w:r>
      <w:r w:rsidR="00914301" w:rsidRPr="00B924A8">
        <w:rPr>
          <w:rFonts w:cs="Times New Roman"/>
        </w:rPr>
        <w:t xml:space="preserve"> account of how we receive moral knowledge</w:t>
      </w:r>
      <w:r w:rsidR="00CC7E8E" w:rsidRPr="00B924A8">
        <w:rPr>
          <w:rFonts w:cs="Times New Roman"/>
        </w:rPr>
        <w:t>.</w:t>
      </w:r>
      <w:r w:rsidRPr="00B924A8">
        <w:rPr>
          <w:rFonts w:cs="Times New Roman"/>
        </w:rPr>
        <w:t xml:space="preserve"> Hegel, as we have seen above, is not opposed to all religion. In fact, he’s amenable to religions where society is the source of moral knowledge.</w:t>
      </w:r>
      <w:r w:rsidR="0084297D" w:rsidRPr="00B924A8">
        <w:rPr>
          <w:rFonts w:cs="Times New Roman"/>
        </w:rPr>
        <w:t xml:space="preserve"> Consequently, Hegel cryptically describe</w:t>
      </w:r>
      <w:r w:rsidR="00990A7E">
        <w:rPr>
          <w:rFonts w:cs="Times New Roman"/>
        </w:rPr>
        <w:t>s</w:t>
      </w:r>
      <w:r w:rsidR="0084297D" w:rsidRPr="00B924A8">
        <w:rPr>
          <w:rFonts w:cs="Times New Roman"/>
        </w:rPr>
        <w:t xml:space="preserve"> being born into the church as </w:t>
      </w:r>
      <w:r w:rsidR="003B337C" w:rsidRPr="00B924A8">
        <w:rPr>
          <w:rFonts w:cs="Times New Roman"/>
        </w:rPr>
        <w:t>be</w:t>
      </w:r>
      <w:r w:rsidR="00990A7E">
        <w:rPr>
          <w:rFonts w:cs="Times New Roman"/>
        </w:rPr>
        <w:t>ing</w:t>
      </w:r>
      <w:r w:rsidR="003B337C" w:rsidRPr="00B924A8">
        <w:rPr>
          <w:rFonts w:cs="Times New Roman"/>
        </w:rPr>
        <w:t xml:space="preserve"> born with no Other-Being (</w:t>
      </w:r>
      <w:r w:rsidR="0084297D" w:rsidRPr="00B924A8">
        <w:rPr>
          <w:rFonts w:cs="Times New Roman"/>
          <w:i/>
        </w:rPr>
        <w:t>Rel</w:t>
      </w:r>
      <w:r w:rsidR="0084297D" w:rsidRPr="00B924A8">
        <w:rPr>
          <w:rFonts w:cs="Times New Roman"/>
        </w:rPr>
        <w:t xml:space="preserve"> III.129), which means to be born </w:t>
      </w:r>
      <w:r w:rsidR="00990A7E">
        <w:rPr>
          <w:rFonts w:cs="Times New Roman"/>
        </w:rPr>
        <w:t xml:space="preserve">in </w:t>
      </w:r>
      <w:r w:rsidR="0084297D" w:rsidRPr="00B924A8">
        <w:rPr>
          <w:rFonts w:cs="Times New Roman"/>
        </w:rPr>
        <w:t>such</w:t>
      </w:r>
      <w:r w:rsidR="00990A7E">
        <w:rPr>
          <w:rFonts w:cs="Times New Roman"/>
        </w:rPr>
        <w:t xml:space="preserve"> a way</w:t>
      </w:r>
      <w:r w:rsidR="0084297D" w:rsidRPr="00B924A8">
        <w:rPr>
          <w:rFonts w:cs="Times New Roman"/>
        </w:rPr>
        <w:t xml:space="preserve"> that there is no transcendent other but rather a locus where all difference is mediated.</w:t>
      </w:r>
      <w:r w:rsidRPr="00B924A8">
        <w:rPr>
          <w:rFonts w:cs="Times New Roman"/>
        </w:rPr>
        <w:t xml:space="preserve"> </w:t>
      </w:r>
      <w:r w:rsidR="00D06D45" w:rsidRPr="00B924A8">
        <w:rPr>
          <w:rFonts w:cs="Times New Roman"/>
        </w:rPr>
        <w:t xml:space="preserve">Thus, </w:t>
      </w:r>
      <w:r w:rsidR="00AF0368" w:rsidRPr="00B924A8">
        <w:rPr>
          <w:rFonts w:cs="Times New Roman"/>
        </w:rPr>
        <w:t>Hegel</w:t>
      </w:r>
      <w:r w:rsidR="00EC6D35" w:rsidRPr="00B924A8">
        <w:rPr>
          <w:rFonts w:cs="Times New Roman"/>
        </w:rPr>
        <w:t xml:space="preserve"> can accept</w:t>
      </w:r>
      <w:r w:rsidR="00AF0368" w:rsidRPr="00B924A8">
        <w:rPr>
          <w:rFonts w:cs="Times New Roman"/>
        </w:rPr>
        <w:t xml:space="preserve"> both civic religion in Greece and faithless Christendom because, in these arrangements, members hold shared </w:t>
      </w:r>
      <w:r w:rsidR="004B063B" w:rsidRPr="00B924A8">
        <w:rPr>
          <w:rFonts w:cs="Times New Roman"/>
        </w:rPr>
        <w:t xml:space="preserve">social conceptions </w:t>
      </w:r>
      <w:r w:rsidR="00AF0368" w:rsidRPr="00B924A8">
        <w:rPr>
          <w:rFonts w:cs="Times New Roman"/>
        </w:rPr>
        <w:t>of right and wrong</w:t>
      </w:r>
      <w:r w:rsidR="0084297D" w:rsidRPr="00B924A8">
        <w:rPr>
          <w:rFonts w:cs="Times New Roman"/>
        </w:rPr>
        <w:t xml:space="preserve"> (the former</w:t>
      </w:r>
      <w:r w:rsidR="00990A7E">
        <w:rPr>
          <w:rFonts w:cs="Times New Roman"/>
        </w:rPr>
        <w:t>,</w:t>
      </w:r>
      <w:r w:rsidR="0084297D" w:rsidRPr="00B924A8">
        <w:rPr>
          <w:rFonts w:cs="Times New Roman"/>
        </w:rPr>
        <w:t xml:space="preserve"> pre-critically; the latter</w:t>
      </w:r>
      <w:r w:rsidR="00990A7E">
        <w:rPr>
          <w:rFonts w:cs="Times New Roman"/>
        </w:rPr>
        <w:t>,</w:t>
      </w:r>
      <w:r w:rsidR="0084297D" w:rsidRPr="00B924A8">
        <w:rPr>
          <w:rFonts w:cs="Times New Roman"/>
        </w:rPr>
        <w:t xml:space="preserve"> critically)</w:t>
      </w:r>
      <w:r w:rsidR="0043052A">
        <w:rPr>
          <w:rFonts w:cs="Times New Roman"/>
        </w:rPr>
        <w:t>.</w:t>
      </w:r>
    </w:p>
    <w:p w14:paraId="10CDF935" w14:textId="7C3A3B28" w:rsidR="004A6ECD" w:rsidRPr="00B924A8" w:rsidRDefault="007B0D5B" w:rsidP="00AC62F4">
      <w:pPr>
        <w:ind w:firstLine="720"/>
        <w:rPr>
          <w:rFonts w:cs="Times New Roman"/>
        </w:rPr>
      </w:pPr>
      <w:r w:rsidRPr="00B924A8">
        <w:rPr>
          <w:rFonts w:cs="Times New Roman"/>
        </w:rPr>
        <w:t>Such context can even permit a multiplicity of stories about these concerns</w:t>
      </w:r>
      <w:r w:rsidR="00990A7E">
        <w:rPr>
          <w:rFonts w:cs="Times New Roman"/>
        </w:rPr>
        <w:t>,</w:t>
      </w:r>
      <w:r w:rsidRPr="00B924A8">
        <w:rPr>
          <w:rFonts w:cs="Times New Roman"/>
        </w:rPr>
        <w:t xml:space="preserve"> as long as they are </w:t>
      </w:r>
      <w:r w:rsidR="00EC0745" w:rsidRPr="00B924A8">
        <w:rPr>
          <w:rFonts w:cs="Times New Roman"/>
        </w:rPr>
        <w:t>subsumed under a larger social whole. So</w:t>
      </w:r>
      <w:r w:rsidR="00FF5A3C" w:rsidRPr="00B924A8">
        <w:rPr>
          <w:rFonts w:cs="Times New Roman"/>
        </w:rPr>
        <w:t>,</w:t>
      </w:r>
      <w:r w:rsidR="00EC0745" w:rsidRPr="00B924A8">
        <w:rPr>
          <w:rFonts w:cs="Times New Roman"/>
        </w:rPr>
        <w:t xml:space="preserve"> while it is true on this model that Person A believes in God P and Person B believes </w:t>
      </w:r>
      <w:r w:rsidR="00990A7E">
        <w:rPr>
          <w:rFonts w:cs="Times New Roman"/>
        </w:rPr>
        <w:t xml:space="preserve">in </w:t>
      </w:r>
      <w:r w:rsidR="00EC0745" w:rsidRPr="00B924A8">
        <w:rPr>
          <w:rFonts w:cs="Times New Roman"/>
        </w:rPr>
        <w:t>God Q, there is unity in the differences and both are being told to do X.</w:t>
      </w:r>
      <w:r w:rsidR="00914301" w:rsidRPr="00B924A8">
        <w:rPr>
          <w:rFonts w:cs="Times New Roman"/>
        </w:rPr>
        <w:t xml:space="preserve"> In other words, these Gods turn out to be fictive ways of transmitting necessary moral truths </w:t>
      </w:r>
      <w:r w:rsidR="00645C5C">
        <w:rPr>
          <w:rFonts w:cs="Times New Roman"/>
        </w:rPr>
        <w:t>(</w:t>
      </w:r>
      <w:r w:rsidR="00914301" w:rsidRPr="00B924A8">
        <w:rPr>
          <w:rFonts w:cs="Times New Roman"/>
        </w:rPr>
        <w:t xml:space="preserve">much like how God in Kant’s </w:t>
      </w:r>
      <w:r w:rsidR="00914301" w:rsidRPr="00B924A8">
        <w:rPr>
          <w:rFonts w:cs="Times New Roman"/>
          <w:i/>
        </w:rPr>
        <w:t>Religion within the Bounds of Reason Alone</w:t>
      </w:r>
      <w:r w:rsidR="00914301" w:rsidRPr="00B924A8">
        <w:rPr>
          <w:rFonts w:cs="Times New Roman"/>
        </w:rPr>
        <w:t xml:space="preserve"> repeats the conclusions that pure reason attains on its own</w:t>
      </w:r>
      <w:r w:rsidR="00645C5C">
        <w:rPr>
          <w:rFonts w:cs="Times New Roman"/>
        </w:rPr>
        <w:t>),</w:t>
      </w:r>
      <w:r w:rsidR="00914301" w:rsidRPr="00B924A8">
        <w:rPr>
          <w:rFonts w:cs="Times New Roman"/>
        </w:rPr>
        <w:t xml:space="preserve"> and acts a crutch for the weak.</w:t>
      </w:r>
    </w:p>
    <w:p w14:paraId="7162B1D3" w14:textId="63D986F5" w:rsidR="00D06D45" w:rsidRPr="00B924A8" w:rsidRDefault="00914301" w:rsidP="00AC62F4">
      <w:pPr>
        <w:widowControl/>
        <w:autoSpaceDE w:val="0"/>
        <w:autoSpaceDN w:val="0"/>
        <w:ind w:firstLine="720"/>
        <w:rPr>
          <w:rFonts w:cs="Times New Roman"/>
        </w:rPr>
      </w:pPr>
      <w:r w:rsidRPr="00B924A8">
        <w:rPr>
          <w:rFonts w:cs="Times New Roman"/>
        </w:rPr>
        <w:t>A social command theory of morality does not mean that</w:t>
      </w:r>
      <w:r w:rsidR="004A6ECD" w:rsidRPr="00B924A8">
        <w:rPr>
          <w:rFonts w:cs="Times New Roman"/>
        </w:rPr>
        <w:t xml:space="preserve"> Hegel is a mo</w:t>
      </w:r>
      <w:r w:rsidRPr="00B924A8">
        <w:rPr>
          <w:rFonts w:cs="Times New Roman"/>
        </w:rPr>
        <w:t>ral relativist or a</w:t>
      </w:r>
      <w:r w:rsidR="00A0102E" w:rsidRPr="00B924A8">
        <w:rPr>
          <w:rFonts w:cs="Times New Roman"/>
        </w:rPr>
        <w:t>nti-realist</w:t>
      </w:r>
      <w:r w:rsidR="00645C5C">
        <w:rPr>
          <w:rFonts w:cs="Times New Roman"/>
        </w:rPr>
        <w:t xml:space="preserve"> (o</w:t>
      </w:r>
      <w:r w:rsidR="00A0102E" w:rsidRPr="00B924A8">
        <w:rPr>
          <w:rFonts w:cs="Times New Roman"/>
        </w:rPr>
        <w:t>n my interpretation he is neither, but we need not resolve th</w:t>
      </w:r>
      <w:r w:rsidR="00645C5C">
        <w:rPr>
          <w:rFonts w:cs="Times New Roman"/>
        </w:rPr>
        <w:t>at</w:t>
      </w:r>
      <w:r w:rsidR="00A0102E" w:rsidRPr="00B924A8">
        <w:rPr>
          <w:rFonts w:cs="Times New Roman"/>
        </w:rPr>
        <w:t xml:space="preserve"> question here</w:t>
      </w:r>
      <w:r w:rsidR="00645C5C">
        <w:rPr>
          <w:rFonts w:cs="Times New Roman"/>
        </w:rPr>
        <w:t>)</w:t>
      </w:r>
      <w:r w:rsidR="00A0102E" w:rsidRPr="00B924A8">
        <w:rPr>
          <w:rFonts w:cs="Times New Roman"/>
        </w:rPr>
        <w:t xml:space="preserve">. </w:t>
      </w:r>
      <w:r w:rsidR="00645C5C">
        <w:rPr>
          <w:rFonts w:cs="Times New Roman"/>
        </w:rPr>
        <w:t>By</w:t>
      </w:r>
      <w:r w:rsidR="00A0102E" w:rsidRPr="00B924A8">
        <w:rPr>
          <w:rFonts w:cs="Times New Roman"/>
        </w:rPr>
        <w:t xml:space="preserve"> focus</w:t>
      </w:r>
      <w:r w:rsidR="00645C5C">
        <w:rPr>
          <w:rFonts w:cs="Times New Roman"/>
        </w:rPr>
        <w:t>ing</w:t>
      </w:r>
      <w:r w:rsidR="00A0102E" w:rsidRPr="00B924A8">
        <w:rPr>
          <w:rFonts w:cs="Times New Roman"/>
        </w:rPr>
        <w:t xml:space="preserve"> on social command theory as an account of the transmission of moral knowledge or moral obligation, we are operating in the same domain as many moderate species of divine command theory that are not voluntarist about the right and the good.</w:t>
      </w:r>
      <w:r w:rsidR="003946E9">
        <w:rPr>
          <w:rFonts w:cs="Times New Roman"/>
        </w:rPr>
        <w:t xml:space="preserve"> In both instances we are not committing ourselves to an answer on the question of what makes something right and wrong metaphysically; we are only committing ourselves to an answer to the epistemic question of how we know something is right or wrong.</w:t>
      </w:r>
      <w:r w:rsidR="004A6ECD" w:rsidRPr="00B924A8">
        <w:rPr>
          <w:rFonts w:cs="Times New Roman"/>
        </w:rPr>
        <w:t xml:space="preserve"> The sections above in the </w:t>
      </w:r>
      <w:r w:rsidR="004A6ECD" w:rsidRPr="00B924A8">
        <w:rPr>
          <w:rFonts w:cs="Times New Roman"/>
          <w:i/>
        </w:rPr>
        <w:t>Philosophy of Right</w:t>
      </w:r>
      <w:r w:rsidR="004A6ECD" w:rsidRPr="00B924A8">
        <w:rPr>
          <w:rFonts w:cs="Times New Roman"/>
        </w:rPr>
        <w:t xml:space="preserve"> and </w:t>
      </w:r>
      <w:r w:rsidR="004A6ECD" w:rsidRPr="00B924A8">
        <w:rPr>
          <w:rFonts w:cs="Times New Roman"/>
          <w:i/>
        </w:rPr>
        <w:t>Lectures on the Philosophy of Religion</w:t>
      </w:r>
      <w:r w:rsidR="004A6ECD" w:rsidRPr="00B924A8">
        <w:rPr>
          <w:rFonts w:cs="Times New Roman"/>
        </w:rPr>
        <w:t xml:space="preserve"> supply strong support for this</w:t>
      </w:r>
      <w:r w:rsidR="00645C5C">
        <w:rPr>
          <w:rFonts w:cs="Times New Roman"/>
        </w:rPr>
        <w:t>,</w:t>
      </w:r>
      <w:r w:rsidR="004A6ECD" w:rsidRPr="00B924A8">
        <w:rPr>
          <w:rFonts w:cs="Times New Roman"/>
        </w:rPr>
        <w:t xml:space="preserve"> insofar as </w:t>
      </w:r>
      <w:r w:rsidR="004A6ECD" w:rsidRPr="00B924A8">
        <w:rPr>
          <w:rFonts w:cs="Times New Roman"/>
        </w:rPr>
        <w:lastRenderedPageBreak/>
        <w:t>the entire objection Hegel has to faith-in is that it refuses to cooperate with the tot</w:t>
      </w:r>
      <w:r w:rsidR="00973B79" w:rsidRPr="00B924A8">
        <w:rPr>
          <w:rFonts w:cs="Times New Roman"/>
        </w:rPr>
        <w:t>alizing project of the system.</w:t>
      </w:r>
    </w:p>
    <w:p w14:paraId="4E3F14F1" w14:textId="33F69158" w:rsidR="00EC0745" w:rsidRPr="00B924A8" w:rsidRDefault="007B0D5B" w:rsidP="00AC62F4">
      <w:pPr>
        <w:widowControl/>
        <w:autoSpaceDE w:val="0"/>
        <w:autoSpaceDN w:val="0"/>
        <w:ind w:firstLine="720"/>
        <w:rPr>
          <w:rFonts w:cs="Times New Roman"/>
        </w:rPr>
      </w:pPr>
      <w:r w:rsidRPr="00B924A8">
        <w:rPr>
          <w:rFonts w:cs="Times New Roman"/>
        </w:rPr>
        <w:t xml:space="preserve">What cannot be </w:t>
      </w:r>
      <w:r w:rsidR="004E22D2" w:rsidRPr="00B924A8">
        <w:rPr>
          <w:rFonts w:cs="Times New Roman"/>
        </w:rPr>
        <w:t>borne</w:t>
      </w:r>
      <w:r w:rsidRPr="00B924A8">
        <w:rPr>
          <w:rFonts w:cs="Times New Roman"/>
        </w:rPr>
        <w:t xml:space="preserve"> by a social command theory is </w:t>
      </w:r>
      <w:r w:rsidR="003D5A02" w:rsidRPr="00B924A8">
        <w:rPr>
          <w:rFonts w:cs="Times New Roman"/>
        </w:rPr>
        <w:t>any notion of faith</w:t>
      </w:r>
      <w:r w:rsidRPr="00B924A8">
        <w:rPr>
          <w:rFonts w:cs="Times New Roman"/>
        </w:rPr>
        <w:t>-in that supplies an individual</w:t>
      </w:r>
      <w:r w:rsidR="003D5A02" w:rsidRPr="00B924A8">
        <w:rPr>
          <w:rFonts w:cs="Times New Roman"/>
        </w:rPr>
        <w:t xml:space="preserve">, like Abram, </w:t>
      </w:r>
      <w:r w:rsidRPr="00B924A8">
        <w:rPr>
          <w:rFonts w:cs="Times New Roman"/>
        </w:rPr>
        <w:t xml:space="preserve">with </w:t>
      </w:r>
      <w:r w:rsidR="003D5A02" w:rsidRPr="00B924A8">
        <w:rPr>
          <w:rFonts w:cs="Times New Roman"/>
        </w:rPr>
        <w:t xml:space="preserve">a private basis for </w:t>
      </w:r>
      <w:r w:rsidRPr="00B924A8">
        <w:rPr>
          <w:rFonts w:cs="Times New Roman"/>
        </w:rPr>
        <w:t xml:space="preserve">moral </w:t>
      </w:r>
      <w:r w:rsidR="003D5A02" w:rsidRPr="00B924A8">
        <w:rPr>
          <w:rFonts w:cs="Times New Roman"/>
        </w:rPr>
        <w:t>knowledge</w:t>
      </w:r>
      <w:r w:rsidRPr="00B924A8">
        <w:rPr>
          <w:rFonts w:cs="Times New Roman"/>
        </w:rPr>
        <w:t xml:space="preserve"> separate from the integrated socio-communal account</w:t>
      </w:r>
      <w:r w:rsidR="003D5A02" w:rsidRPr="00B924A8">
        <w:rPr>
          <w:rFonts w:cs="Times New Roman"/>
        </w:rPr>
        <w:t>.</w:t>
      </w:r>
      <w:r w:rsidR="003D5A02" w:rsidRPr="005D4C21">
        <w:rPr>
          <w:rStyle w:val="FootnoteReference"/>
        </w:rPr>
        <w:footnoteReference w:id="18"/>
      </w:r>
      <w:r w:rsidR="004A6ECD" w:rsidRPr="00B924A8">
        <w:rPr>
          <w:rFonts w:cs="Times New Roman"/>
        </w:rPr>
        <w:t xml:space="preserve"> </w:t>
      </w:r>
      <w:r w:rsidR="00AD0A6E" w:rsidRPr="00B924A8">
        <w:rPr>
          <w:rFonts w:cs="Times New Roman"/>
        </w:rPr>
        <w:t>In other words</w:t>
      </w:r>
      <w:r w:rsidR="00EC0745" w:rsidRPr="00B924A8">
        <w:rPr>
          <w:rFonts w:cs="Times New Roman"/>
        </w:rPr>
        <w:t>, it is not merely that Person C believes in God R</w:t>
      </w:r>
      <w:r w:rsidR="00AD0A6E" w:rsidRPr="00B924A8">
        <w:rPr>
          <w:rFonts w:cs="Times New Roman"/>
        </w:rPr>
        <w:t xml:space="preserve"> who supp</w:t>
      </w:r>
      <w:r w:rsidR="00EC0745" w:rsidRPr="00B924A8">
        <w:rPr>
          <w:rFonts w:cs="Times New Roman"/>
        </w:rPr>
        <w:t xml:space="preserve">osedly said Y, but </w:t>
      </w:r>
      <w:r w:rsidR="00645C5C">
        <w:rPr>
          <w:rFonts w:cs="Times New Roman"/>
        </w:rPr>
        <w:t>rather</w:t>
      </w:r>
      <w:r w:rsidR="00EC0745" w:rsidRPr="00B924A8">
        <w:rPr>
          <w:rFonts w:cs="Times New Roman"/>
        </w:rPr>
        <w:t xml:space="preserve"> Person C’s faith-in God R produces a Y not shared by Persons A and B through their beliefs in their </w:t>
      </w:r>
      <w:r w:rsidR="00645C5C">
        <w:rPr>
          <w:rFonts w:cs="Times New Roman"/>
        </w:rPr>
        <w:t>Gods S and T</w:t>
      </w:r>
      <w:r w:rsidR="00EC0745" w:rsidRPr="00B924A8">
        <w:rPr>
          <w:rFonts w:cs="Times New Roman"/>
        </w:rPr>
        <w:t>.</w:t>
      </w:r>
      <w:r w:rsidR="00ED18F9" w:rsidRPr="00B924A8">
        <w:rPr>
          <w:rFonts w:cs="Times New Roman"/>
        </w:rPr>
        <w:t xml:space="preserve"> In other words, Hegel’s </w:t>
      </w:r>
      <w:r w:rsidRPr="00B924A8">
        <w:rPr>
          <w:rFonts w:cs="Times New Roman"/>
        </w:rPr>
        <w:t xml:space="preserve">belittler </w:t>
      </w:r>
      <w:r w:rsidR="00ED18F9" w:rsidRPr="00B924A8">
        <w:rPr>
          <w:rFonts w:cs="Times New Roman"/>
        </w:rPr>
        <w:t>objection is</w:t>
      </w:r>
      <w:r w:rsidRPr="00B924A8">
        <w:rPr>
          <w:rFonts w:cs="Times New Roman"/>
        </w:rPr>
        <w:t xml:space="preserve"> </w:t>
      </w:r>
      <w:r w:rsidR="00645C5C">
        <w:rPr>
          <w:rFonts w:cs="Times New Roman"/>
        </w:rPr>
        <w:t>precisely</w:t>
      </w:r>
      <w:r w:rsidR="00645C5C" w:rsidRPr="00B924A8">
        <w:rPr>
          <w:rFonts w:cs="Times New Roman"/>
        </w:rPr>
        <w:t xml:space="preserve"> </w:t>
      </w:r>
      <w:r w:rsidR="00ED18F9" w:rsidRPr="00B924A8">
        <w:rPr>
          <w:rFonts w:cs="Times New Roman"/>
        </w:rPr>
        <w:t>that Abram has “fidelity to a call” that does not come from his community</w:t>
      </w:r>
      <w:r w:rsidR="00645C5C">
        <w:rPr>
          <w:rFonts w:cs="Times New Roman"/>
        </w:rPr>
        <w:t xml:space="preserve"> and </w:t>
      </w:r>
      <w:r w:rsidR="00645C5C" w:rsidRPr="00B924A8">
        <w:rPr>
          <w:rFonts w:cs="Times New Roman"/>
        </w:rPr>
        <w:t>cannot be heard by all</w:t>
      </w:r>
      <w:r w:rsidR="00ED18F9" w:rsidRPr="00B924A8">
        <w:rPr>
          <w:rFonts w:cs="Times New Roman"/>
        </w:rPr>
        <w:t>.</w:t>
      </w:r>
      <w:r w:rsidR="00ED18F9" w:rsidRPr="005D4C21">
        <w:rPr>
          <w:rStyle w:val="FootnoteReference"/>
        </w:rPr>
        <w:footnoteReference w:id="19"/>
      </w:r>
    </w:p>
    <w:p w14:paraId="62D2A030" w14:textId="52A3D4A3" w:rsidR="003D5A02" w:rsidRPr="00B924A8" w:rsidRDefault="007B0D5B" w:rsidP="00AC62F4">
      <w:pPr>
        <w:widowControl/>
        <w:autoSpaceDE w:val="0"/>
        <w:autoSpaceDN w:val="0"/>
        <w:ind w:firstLine="720"/>
        <w:rPr>
          <w:rFonts w:cs="Times New Roman"/>
        </w:rPr>
      </w:pPr>
      <w:r w:rsidRPr="00B924A8">
        <w:rPr>
          <w:rFonts w:cs="Times New Roman"/>
        </w:rPr>
        <w:t>Hegel’s approach thus contrasts with Kant</w:t>
      </w:r>
      <w:r w:rsidR="00645C5C">
        <w:rPr>
          <w:rFonts w:cs="Times New Roman"/>
        </w:rPr>
        <w:t>,</w:t>
      </w:r>
      <w:r w:rsidRPr="00B924A8">
        <w:rPr>
          <w:rFonts w:cs="Times New Roman"/>
        </w:rPr>
        <w:t xml:space="preserve"> who also objects to Abraham. </w:t>
      </w:r>
      <w:r w:rsidR="00EF6A95" w:rsidRPr="00B924A8">
        <w:rPr>
          <w:rFonts w:cs="Times New Roman"/>
        </w:rPr>
        <w:t>Kant state</w:t>
      </w:r>
      <w:r w:rsidR="00645C5C">
        <w:rPr>
          <w:rFonts w:cs="Times New Roman"/>
        </w:rPr>
        <w:t>s</w:t>
      </w:r>
      <w:r w:rsidR="00EF6A95" w:rsidRPr="00B924A8">
        <w:rPr>
          <w:rFonts w:cs="Times New Roman"/>
        </w:rPr>
        <w:t xml:space="preserve"> that he limit</w:t>
      </w:r>
      <w:r w:rsidR="00A354AB">
        <w:rPr>
          <w:rFonts w:cs="Times New Roman"/>
        </w:rPr>
        <w:t>s</w:t>
      </w:r>
      <w:r w:rsidR="00EF6A95" w:rsidRPr="00B924A8">
        <w:rPr>
          <w:rFonts w:cs="Times New Roman"/>
        </w:rPr>
        <w:t xml:space="preserve"> knowledge “in order to make room for faith” (</w:t>
      </w:r>
      <w:r w:rsidR="00EF6A95" w:rsidRPr="00B924A8">
        <w:rPr>
          <w:rFonts w:cs="Times New Roman"/>
          <w:i/>
        </w:rPr>
        <w:t>C</w:t>
      </w:r>
      <w:r w:rsidR="003906AF">
        <w:rPr>
          <w:rFonts w:cs="Times New Roman"/>
          <w:i/>
        </w:rPr>
        <w:t xml:space="preserve">ritique of </w:t>
      </w:r>
      <w:r w:rsidR="00EF6A95" w:rsidRPr="00B924A8">
        <w:rPr>
          <w:rFonts w:cs="Times New Roman"/>
          <w:i/>
        </w:rPr>
        <w:t>P</w:t>
      </w:r>
      <w:r w:rsidR="003906AF">
        <w:rPr>
          <w:rFonts w:cs="Times New Roman"/>
          <w:i/>
        </w:rPr>
        <w:t xml:space="preserve">ure </w:t>
      </w:r>
      <w:r w:rsidR="00EF6A95" w:rsidRPr="00B924A8">
        <w:rPr>
          <w:rFonts w:cs="Times New Roman"/>
          <w:i/>
        </w:rPr>
        <w:t>R</w:t>
      </w:r>
      <w:r w:rsidR="003906AF">
        <w:rPr>
          <w:rFonts w:cs="Times New Roman"/>
          <w:i/>
        </w:rPr>
        <w:t>eason</w:t>
      </w:r>
      <w:r w:rsidR="00EF6A95" w:rsidRPr="00B924A8">
        <w:rPr>
          <w:rFonts w:cs="Times New Roman"/>
        </w:rPr>
        <w:t xml:space="preserve"> Bxxx),</w:t>
      </w:r>
      <w:r w:rsidR="005D515A" w:rsidRPr="00B924A8">
        <w:rPr>
          <w:rFonts w:cs="Times New Roman"/>
        </w:rPr>
        <w:t xml:space="preserve"> </w:t>
      </w:r>
      <w:r w:rsidR="000647AF" w:rsidRPr="00B924A8">
        <w:rPr>
          <w:rFonts w:cs="Times New Roman"/>
        </w:rPr>
        <w:t>including such thing</w:t>
      </w:r>
      <w:r w:rsidR="00A354AB">
        <w:rPr>
          <w:rFonts w:cs="Times New Roman"/>
        </w:rPr>
        <w:t>s</w:t>
      </w:r>
      <w:r w:rsidR="000647AF" w:rsidRPr="00B924A8">
        <w:rPr>
          <w:rFonts w:cs="Times New Roman"/>
        </w:rPr>
        <w:t xml:space="preserve"> as belief in God’s existence, the proportionality of justice, and the existence of an afterlife. </w:t>
      </w:r>
      <w:r w:rsidRPr="00B924A8">
        <w:rPr>
          <w:rFonts w:cs="Times New Roman"/>
        </w:rPr>
        <w:t xml:space="preserve">These ideas are important and practically necessary in Kant’s moral </w:t>
      </w:r>
      <w:r w:rsidR="009F723B">
        <w:rPr>
          <w:rFonts w:cs="Times New Roman"/>
        </w:rPr>
        <w:t xml:space="preserve">philosophy </w:t>
      </w:r>
      <w:r w:rsidRPr="00B924A8">
        <w:rPr>
          <w:rFonts w:cs="Times New Roman"/>
        </w:rPr>
        <w:t xml:space="preserve">(even if he thinks they are postulates). </w:t>
      </w:r>
      <w:r w:rsidR="00042885" w:rsidRPr="00B924A8">
        <w:rPr>
          <w:rFonts w:cs="Times New Roman"/>
        </w:rPr>
        <w:t>Hegel believe</w:t>
      </w:r>
      <w:r w:rsidR="00A354AB">
        <w:rPr>
          <w:rFonts w:cs="Times New Roman"/>
        </w:rPr>
        <w:t>s</w:t>
      </w:r>
      <w:r w:rsidR="00042885" w:rsidRPr="00B924A8">
        <w:rPr>
          <w:rFonts w:cs="Times New Roman"/>
        </w:rPr>
        <w:t xml:space="preserve"> this Kantian truce between reason and faith </w:t>
      </w:r>
      <w:r w:rsidR="00A354AB">
        <w:rPr>
          <w:rFonts w:cs="Times New Roman"/>
        </w:rPr>
        <w:t>i</w:t>
      </w:r>
      <w:r w:rsidR="00042885" w:rsidRPr="00B924A8">
        <w:rPr>
          <w:rFonts w:cs="Times New Roman"/>
        </w:rPr>
        <w:t>s a failure</w:t>
      </w:r>
      <w:r w:rsidR="00D3456A" w:rsidRPr="00B924A8">
        <w:rPr>
          <w:rFonts w:cs="Times New Roman"/>
        </w:rPr>
        <w:t xml:space="preserve"> with little of either left</w:t>
      </w:r>
      <w:r w:rsidR="00C76092" w:rsidRPr="00B924A8">
        <w:rPr>
          <w:rFonts w:cs="Times New Roman"/>
        </w:rPr>
        <w:t>.</w:t>
      </w:r>
      <w:r w:rsidR="00C76092" w:rsidRPr="005D4C21">
        <w:rPr>
          <w:rStyle w:val="FootnoteReference"/>
        </w:rPr>
        <w:footnoteReference w:id="20"/>
      </w:r>
      <w:r w:rsidR="00512E0A" w:rsidRPr="00B924A8">
        <w:rPr>
          <w:rFonts w:cs="Times New Roman"/>
        </w:rPr>
        <w:t xml:space="preserve"> </w:t>
      </w:r>
      <w:r w:rsidR="00D3456A" w:rsidRPr="00B924A8">
        <w:rPr>
          <w:rFonts w:cs="Times New Roman"/>
        </w:rPr>
        <w:t xml:space="preserve">Consequently, Hegel </w:t>
      </w:r>
      <w:r w:rsidR="00A354AB" w:rsidRPr="00B924A8">
        <w:rPr>
          <w:rFonts w:cs="Times New Roman"/>
        </w:rPr>
        <w:t>s</w:t>
      </w:r>
      <w:r w:rsidR="00A354AB">
        <w:rPr>
          <w:rFonts w:cs="Times New Roman"/>
        </w:rPr>
        <w:t>eeks</w:t>
      </w:r>
      <w:r w:rsidR="00A354AB" w:rsidRPr="00B924A8">
        <w:rPr>
          <w:rFonts w:cs="Times New Roman"/>
        </w:rPr>
        <w:t xml:space="preserve"> </w:t>
      </w:r>
      <w:r w:rsidR="00D3456A" w:rsidRPr="00B924A8">
        <w:rPr>
          <w:rFonts w:cs="Times New Roman"/>
        </w:rPr>
        <w:t xml:space="preserve">to </w:t>
      </w:r>
      <w:r w:rsidR="000647AF" w:rsidRPr="00B924A8">
        <w:rPr>
          <w:rFonts w:cs="Times New Roman"/>
        </w:rPr>
        <w:t>get rid of t</w:t>
      </w:r>
      <w:r w:rsidRPr="00B924A8">
        <w:rPr>
          <w:rFonts w:cs="Times New Roman"/>
        </w:rPr>
        <w:t>he black box that Kant uses to make room for faith</w:t>
      </w:r>
      <w:r w:rsidR="00A354AB">
        <w:rPr>
          <w:rFonts w:cs="Times New Roman"/>
        </w:rPr>
        <w:t>,</w:t>
      </w:r>
      <w:r w:rsidR="000647AF" w:rsidRPr="00B924A8">
        <w:rPr>
          <w:rFonts w:cs="Times New Roman"/>
        </w:rPr>
        <w:t xml:space="preserve"> and instead place</w:t>
      </w:r>
      <w:r w:rsidR="00A354AB">
        <w:rPr>
          <w:rFonts w:cs="Times New Roman"/>
        </w:rPr>
        <w:t>s</w:t>
      </w:r>
      <w:r w:rsidR="000647AF" w:rsidRPr="00B924A8">
        <w:rPr>
          <w:rFonts w:cs="Times New Roman"/>
        </w:rPr>
        <w:t xml:space="preserve"> everything under</w:t>
      </w:r>
      <w:r w:rsidRPr="00B924A8">
        <w:rPr>
          <w:rFonts w:cs="Times New Roman"/>
        </w:rPr>
        <w:t xml:space="preserve"> a </w:t>
      </w:r>
      <w:r w:rsidRPr="00B924A8">
        <w:rPr>
          <w:rFonts w:cs="Times New Roman"/>
        </w:rPr>
        <w:lastRenderedPageBreak/>
        <w:t>unified</w:t>
      </w:r>
      <w:r w:rsidR="000647AF" w:rsidRPr="00B924A8">
        <w:rPr>
          <w:rFonts w:cs="Times New Roman"/>
        </w:rPr>
        <w:t xml:space="preserve"> science</w:t>
      </w:r>
      <w:r w:rsidR="00D3456A" w:rsidRPr="00B924A8">
        <w:rPr>
          <w:rFonts w:cs="Times New Roman"/>
        </w:rPr>
        <w:t xml:space="preserve"> of knowledge. </w:t>
      </w:r>
      <w:r w:rsidR="00E656AD" w:rsidRPr="00B924A8">
        <w:rPr>
          <w:rFonts w:cs="Times New Roman"/>
        </w:rPr>
        <w:t>A necessary corollary of this is that faith</w:t>
      </w:r>
      <w:r w:rsidR="00A354AB">
        <w:rPr>
          <w:rFonts w:cs="Times New Roman"/>
        </w:rPr>
        <w:t>,</w:t>
      </w:r>
      <w:r w:rsidR="00E656AD" w:rsidRPr="00B924A8">
        <w:rPr>
          <w:rFonts w:cs="Times New Roman"/>
        </w:rPr>
        <w:t xml:space="preserve"> as that which makes sense but</w:t>
      </w:r>
      <w:r w:rsidR="00A354AB">
        <w:rPr>
          <w:rFonts w:cs="Times New Roman"/>
        </w:rPr>
        <w:t xml:space="preserve"> which</w:t>
      </w:r>
      <w:r w:rsidR="00E656AD" w:rsidRPr="00B924A8">
        <w:rPr>
          <w:rFonts w:cs="Times New Roman"/>
        </w:rPr>
        <w:t xml:space="preserve"> the self cannot make sense of</w:t>
      </w:r>
      <w:r w:rsidR="00A354AB">
        <w:rPr>
          <w:rFonts w:cs="Times New Roman"/>
        </w:rPr>
        <w:t>,</w:t>
      </w:r>
      <w:r w:rsidR="00E656AD" w:rsidRPr="00B924A8">
        <w:rPr>
          <w:rFonts w:cs="Times New Roman"/>
        </w:rPr>
        <w:t xml:space="preserve"> disappears as a category altogether in the system that understands everything.</w:t>
      </w:r>
    </w:p>
    <w:p w14:paraId="3525FD91" w14:textId="051209B0" w:rsidR="00800CBE" w:rsidRPr="00B924A8" w:rsidRDefault="00E656AD" w:rsidP="00AC62F4">
      <w:pPr>
        <w:widowControl/>
        <w:autoSpaceDE w:val="0"/>
        <w:autoSpaceDN w:val="0"/>
        <w:ind w:firstLine="720"/>
        <w:rPr>
          <w:rFonts w:cs="Times New Roman"/>
        </w:rPr>
      </w:pPr>
      <w:r w:rsidRPr="00B924A8">
        <w:rPr>
          <w:rFonts w:cs="Times New Roman"/>
        </w:rPr>
        <w:t>Thus</w:t>
      </w:r>
      <w:r w:rsidR="00583B8E" w:rsidRPr="00B924A8">
        <w:rPr>
          <w:rFonts w:cs="Times New Roman"/>
        </w:rPr>
        <w:t xml:space="preserve">, the only </w:t>
      </w:r>
      <w:r w:rsidRPr="00B924A8">
        <w:rPr>
          <w:rFonts w:cs="Times New Roman"/>
        </w:rPr>
        <w:t>“</w:t>
      </w:r>
      <w:r w:rsidR="00583B8E" w:rsidRPr="00B924A8">
        <w:rPr>
          <w:rFonts w:cs="Times New Roman"/>
        </w:rPr>
        <w:t>faith</w:t>
      </w:r>
      <w:r w:rsidRPr="00B924A8">
        <w:rPr>
          <w:rFonts w:cs="Times New Roman"/>
        </w:rPr>
        <w:t>”</w:t>
      </w:r>
      <w:r w:rsidR="00583B8E" w:rsidRPr="00B924A8">
        <w:rPr>
          <w:rFonts w:cs="Times New Roman"/>
        </w:rPr>
        <w:t xml:space="preserve"> that is not repugnant to Hegel is one </w:t>
      </w:r>
      <w:r w:rsidR="00A354AB">
        <w:rPr>
          <w:rFonts w:cs="Times New Roman"/>
        </w:rPr>
        <w:t>which</w:t>
      </w:r>
      <w:r w:rsidR="00A354AB" w:rsidRPr="00B924A8">
        <w:rPr>
          <w:rFonts w:cs="Times New Roman"/>
        </w:rPr>
        <w:t xml:space="preserve"> </w:t>
      </w:r>
      <w:r w:rsidR="00583B8E" w:rsidRPr="00B924A8">
        <w:rPr>
          <w:rFonts w:cs="Times New Roman"/>
        </w:rPr>
        <w:t xml:space="preserve">is a synonym for </w:t>
      </w:r>
      <w:r w:rsidR="00724D2C" w:rsidRPr="00B924A8">
        <w:rPr>
          <w:rFonts w:cs="Times New Roman"/>
        </w:rPr>
        <w:t xml:space="preserve">rational social </w:t>
      </w:r>
      <w:r w:rsidR="00583B8E" w:rsidRPr="00B924A8">
        <w:rPr>
          <w:rFonts w:cs="Times New Roman"/>
        </w:rPr>
        <w:t xml:space="preserve">knowledge. </w:t>
      </w:r>
      <w:r w:rsidR="008915EC" w:rsidRPr="00B924A8">
        <w:rPr>
          <w:rFonts w:cs="Times New Roman"/>
        </w:rPr>
        <w:t>For this reason, religion as a set of social practices is acceptable but</w:t>
      </w:r>
      <w:r w:rsidR="00A354AB">
        <w:rPr>
          <w:rFonts w:cs="Times New Roman"/>
        </w:rPr>
        <w:t>,</w:t>
      </w:r>
      <w:r w:rsidR="008915EC" w:rsidRPr="00B924A8">
        <w:rPr>
          <w:rFonts w:cs="Times New Roman"/>
        </w:rPr>
        <w:t xml:space="preserve"> as a relationship to transcendence</w:t>
      </w:r>
      <w:r w:rsidR="00A354AB">
        <w:rPr>
          <w:rFonts w:cs="Times New Roman"/>
        </w:rPr>
        <w:t>,</w:t>
      </w:r>
      <w:r w:rsidR="008915EC" w:rsidRPr="00B924A8">
        <w:rPr>
          <w:rFonts w:cs="Times New Roman"/>
        </w:rPr>
        <w:t xml:space="preserve"> is not. </w:t>
      </w:r>
      <w:r w:rsidR="00583B8E" w:rsidRPr="00B924A8">
        <w:rPr>
          <w:rFonts w:cs="Times New Roman"/>
        </w:rPr>
        <w:t>The contemporary belittler joins Hegel in this position, seeing faith-in as problematic not merely because of what it might say</w:t>
      </w:r>
      <w:r w:rsidR="00A354AB">
        <w:rPr>
          <w:rFonts w:cs="Times New Roman"/>
        </w:rPr>
        <w:t>,</w:t>
      </w:r>
      <w:r w:rsidR="00583B8E" w:rsidRPr="00B924A8">
        <w:rPr>
          <w:rFonts w:cs="Times New Roman"/>
        </w:rPr>
        <w:t xml:space="preserve"> but </w:t>
      </w:r>
      <w:r w:rsidR="00A354AB">
        <w:rPr>
          <w:rFonts w:cs="Times New Roman"/>
        </w:rPr>
        <w:t xml:space="preserve">due to </w:t>
      </w:r>
      <w:r w:rsidR="00583B8E" w:rsidRPr="00B924A8">
        <w:rPr>
          <w:rFonts w:cs="Times New Roman"/>
        </w:rPr>
        <w:t>the mere fact that it could even be providing a private source of moral knowledge or obligation that stands outside the community.</w:t>
      </w:r>
    </w:p>
    <w:p w14:paraId="1EDD0A43" w14:textId="3B7D8520" w:rsidR="00AF0368" w:rsidRDefault="00FB38BE" w:rsidP="009F723B">
      <w:pPr>
        <w:pStyle w:val="Heading2"/>
        <w:numPr>
          <w:ilvl w:val="0"/>
          <w:numId w:val="1"/>
        </w:numPr>
      </w:pPr>
      <w:r>
        <w:t>Kierkegaard</w:t>
      </w:r>
      <w:r w:rsidR="008915EC">
        <w:t>, Divine Command Theory,</w:t>
      </w:r>
      <w:r>
        <w:t xml:space="preserve"> and </w:t>
      </w:r>
      <w:r w:rsidR="00AF0368">
        <w:t>Faith-In</w:t>
      </w:r>
    </w:p>
    <w:p w14:paraId="02D4DFA1" w14:textId="64DBE326" w:rsidR="00AF0368" w:rsidRPr="00B924A8" w:rsidRDefault="009C548C" w:rsidP="00AC62F4">
      <w:pPr>
        <w:ind w:firstLine="720"/>
        <w:rPr>
          <w:rFonts w:cs="Times New Roman"/>
        </w:rPr>
      </w:pPr>
      <w:r w:rsidRPr="00B924A8">
        <w:rPr>
          <w:rFonts w:cs="Times New Roman"/>
        </w:rPr>
        <w:t xml:space="preserve">In this section, I argue that </w:t>
      </w:r>
      <w:r w:rsidR="008915EC" w:rsidRPr="00B924A8">
        <w:rPr>
          <w:rFonts w:cs="Times New Roman"/>
        </w:rPr>
        <w:t>Kierkegaard</w:t>
      </w:r>
      <w:r w:rsidR="008915EC" w:rsidRPr="005D4C21">
        <w:rPr>
          <w:rStyle w:val="FootnoteReference"/>
        </w:rPr>
        <w:footnoteReference w:id="21"/>
      </w:r>
      <w:r w:rsidRPr="00B924A8">
        <w:rPr>
          <w:rFonts w:cs="Times New Roman"/>
        </w:rPr>
        <w:t xml:space="preserve"> similarly understands Abraham as having faith-in God. I begin by showing how </w:t>
      </w:r>
      <w:r w:rsidR="00AF0368" w:rsidRPr="00B924A8">
        <w:rPr>
          <w:rFonts w:cs="Times New Roman"/>
          <w:i/>
        </w:rPr>
        <w:t>Fear and Trembling</w:t>
      </w:r>
      <w:r w:rsidRPr="00B924A8">
        <w:rPr>
          <w:rFonts w:cs="Times New Roman"/>
        </w:rPr>
        <w:t xml:space="preserve"> is about faith-in that pulls Abraham’s faith-in out of the </w:t>
      </w:r>
      <w:r w:rsidR="00AF0368" w:rsidRPr="00B924A8">
        <w:rPr>
          <w:rFonts w:cs="Times New Roman"/>
        </w:rPr>
        <w:t xml:space="preserve">of the ethical community and mutual recognition. </w:t>
      </w:r>
      <w:r w:rsidRPr="00B924A8">
        <w:rPr>
          <w:rFonts w:cs="Times New Roman"/>
        </w:rPr>
        <w:t>I</w:t>
      </w:r>
      <w:r w:rsidR="008915EC" w:rsidRPr="00B924A8">
        <w:rPr>
          <w:rFonts w:cs="Times New Roman"/>
        </w:rPr>
        <w:t xml:space="preserve"> then turn to </w:t>
      </w:r>
      <w:r w:rsidR="00AF0368" w:rsidRPr="00B924A8">
        <w:rPr>
          <w:rFonts w:cs="Times New Roman"/>
          <w:i/>
        </w:rPr>
        <w:t>Works of Love</w:t>
      </w:r>
      <w:r w:rsidR="008915EC" w:rsidRPr="00B924A8">
        <w:rPr>
          <w:rFonts w:cs="Times New Roman"/>
        </w:rPr>
        <w:t xml:space="preserve"> to show that the critique of the belittlers is about faith-in</w:t>
      </w:r>
      <w:r w:rsidR="00911E36">
        <w:rPr>
          <w:rFonts w:cs="Times New Roman"/>
        </w:rPr>
        <w:t>,</w:t>
      </w:r>
      <w:r w:rsidR="008915EC" w:rsidRPr="00B924A8">
        <w:rPr>
          <w:rFonts w:cs="Times New Roman"/>
        </w:rPr>
        <w:t xml:space="preserve"> rather than </w:t>
      </w:r>
      <w:r w:rsidR="00911E36">
        <w:rPr>
          <w:rFonts w:cs="Times New Roman"/>
        </w:rPr>
        <w:t xml:space="preserve">about </w:t>
      </w:r>
      <w:r w:rsidR="008915EC" w:rsidRPr="00B924A8">
        <w:rPr>
          <w:rFonts w:cs="Times New Roman"/>
        </w:rPr>
        <w:t>the moral knowledge that is the fruit of faith-in.</w:t>
      </w:r>
      <w:r w:rsidR="003946E9">
        <w:rPr>
          <w:rFonts w:cs="Times New Roman"/>
        </w:rPr>
        <w:t xml:space="preserve"> Finally, I</w:t>
      </w:r>
      <w:r w:rsidR="008B7D80">
        <w:rPr>
          <w:rFonts w:cs="Times New Roman"/>
        </w:rPr>
        <w:t xml:space="preserve"> argue that we should understand faith-in as divine commands that supply moral obligations to others rather than divine commands as excluding obligations to anyone but God to distinguish between a strawman and accurate version of the belittler objection to faith-in.</w:t>
      </w:r>
      <w:bookmarkStart w:id="0" w:name="_GoBack"/>
      <w:bookmarkEnd w:id="0"/>
      <w:r w:rsidR="008B7D80">
        <w:rPr>
          <w:rFonts w:cs="Times New Roman"/>
        </w:rPr>
        <w:t xml:space="preserve"> </w:t>
      </w:r>
    </w:p>
    <w:p w14:paraId="667BC1EE" w14:textId="3949EE61" w:rsidR="007B594D" w:rsidRDefault="00DB68C7" w:rsidP="00097D6B">
      <w:pPr>
        <w:pStyle w:val="Heading3"/>
      </w:pPr>
      <w:r>
        <w:t>III</w:t>
      </w:r>
      <w:r w:rsidR="007B594D">
        <w:t>.A Faith-in</w:t>
      </w:r>
      <w:r w:rsidR="00C10F4E">
        <w:t xml:space="preserve"> God, Abraham, and</w:t>
      </w:r>
      <w:r w:rsidR="007B594D">
        <w:t xml:space="preserve"> </w:t>
      </w:r>
      <w:r w:rsidR="007B594D" w:rsidRPr="009F723B">
        <w:rPr>
          <w:i w:val="0"/>
        </w:rPr>
        <w:t>Fear and Trembling</w:t>
      </w:r>
    </w:p>
    <w:p w14:paraId="651811C1" w14:textId="7A692E59" w:rsidR="00BA4F28" w:rsidRPr="00B924A8" w:rsidRDefault="00DC69AD" w:rsidP="00AC62F4">
      <w:pPr>
        <w:ind w:firstLine="720"/>
        <w:rPr>
          <w:rFonts w:cs="Times New Roman"/>
        </w:rPr>
      </w:pPr>
      <w:r w:rsidRPr="00B924A8">
        <w:rPr>
          <w:rFonts w:cs="Times New Roman"/>
          <w:i/>
        </w:rPr>
        <w:t>Fear and Trembling</w:t>
      </w:r>
      <w:r w:rsidR="00724D2C" w:rsidRPr="00B924A8">
        <w:rPr>
          <w:rFonts w:cs="Times New Roman"/>
        </w:rPr>
        <w:t xml:space="preserve"> is infamous</w:t>
      </w:r>
      <w:r w:rsidRPr="00B924A8">
        <w:rPr>
          <w:rFonts w:cs="Times New Roman"/>
        </w:rPr>
        <w:t xml:space="preserve"> </w:t>
      </w:r>
      <w:r w:rsidR="009C548C" w:rsidRPr="00B924A8">
        <w:rPr>
          <w:rFonts w:cs="Times New Roman"/>
        </w:rPr>
        <w:t>as the</w:t>
      </w:r>
      <w:r w:rsidRPr="00B924A8">
        <w:rPr>
          <w:rFonts w:cs="Times New Roman"/>
        </w:rPr>
        <w:t xml:space="preserve"> text </w:t>
      </w:r>
      <w:r w:rsidR="00911E36">
        <w:rPr>
          <w:rFonts w:cs="Times New Roman"/>
        </w:rPr>
        <w:t>in which</w:t>
      </w:r>
      <w:r w:rsidR="00911E36" w:rsidRPr="00B924A8">
        <w:rPr>
          <w:rFonts w:cs="Times New Roman"/>
        </w:rPr>
        <w:t xml:space="preserve"> </w:t>
      </w:r>
      <w:r w:rsidRPr="00B924A8">
        <w:rPr>
          <w:rFonts w:cs="Times New Roman"/>
        </w:rPr>
        <w:t>Kierkegaard</w:t>
      </w:r>
      <w:r w:rsidR="009C548C" w:rsidRPr="00B924A8">
        <w:rPr>
          <w:rFonts w:cs="Times New Roman"/>
        </w:rPr>
        <w:t xml:space="preserve"> </w:t>
      </w:r>
      <w:r w:rsidRPr="00B924A8">
        <w:rPr>
          <w:rFonts w:cs="Times New Roman"/>
        </w:rPr>
        <w:t xml:space="preserve">believes that Abraham is willing to obey God </w:t>
      </w:r>
      <w:r w:rsidR="009C548C" w:rsidRPr="00B924A8">
        <w:rPr>
          <w:rFonts w:cs="Times New Roman"/>
        </w:rPr>
        <w:t>and murder</w:t>
      </w:r>
      <w:r w:rsidRPr="00B924A8">
        <w:rPr>
          <w:rFonts w:cs="Times New Roman"/>
        </w:rPr>
        <w:t>.</w:t>
      </w:r>
      <w:r w:rsidR="009C548C" w:rsidRPr="00B924A8">
        <w:rPr>
          <w:rFonts w:cs="Times New Roman"/>
        </w:rPr>
        <w:t xml:space="preserve"> This </w:t>
      </w:r>
      <w:r w:rsidR="00911E36">
        <w:rPr>
          <w:rFonts w:cs="Times New Roman"/>
        </w:rPr>
        <w:t xml:space="preserve">paraphrased </w:t>
      </w:r>
      <w:r w:rsidR="009C548C" w:rsidRPr="00B924A8">
        <w:rPr>
          <w:rFonts w:cs="Times New Roman"/>
        </w:rPr>
        <w:t xml:space="preserve">summary, however, hides two mistakes. The more minor of these mistakes is that Kierkegaard distances himself from </w:t>
      </w:r>
      <w:r w:rsidR="009C548C" w:rsidRPr="00B924A8">
        <w:rPr>
          <w:rFonts w:cs="Times New Roman"/>
        </w:rPr>
        <w:lastRenderedPageBreak/>
        <w:t>authorship using a pseudonym. The more major of these mistakes is that the main thesis of the text is about faith (which I will argue is faith-in)</w:t>
      </w:r>
      <w:r w:rsidR="00911E36">
        <w:rPr>
          <w:rFonts w:cs="Times New Roman"/>
        </w:rPr>
        <w:t>,</w:t>
      </w:r>
      <w:r w:rsidR="009C548C" w:rsidRPr="00B924A8">
        <w:rPr>
          <w:rFonts w:cs="Times New Roman"/>
        </w:rPr>
        <w:t xml:space="preserve"> rather than the specific divine command itself</w:t>
      </w:r>
      <w:r w:rsidR="00BA4F28" w:rsidRPr="00B924A8">
        <w:rPr>
          <w:rFonts w:cs="Times New Roman"/>
        </w:rPr>
        <w:t>.</w:t>
      </w:r>
    </w:p>
    <w:p w14:paraId="05E5FD3D" w14:textId="0951E4AB" w:rsidR="00B8306B" w:rsidRPr="00B924A8" w:rsidRDefault="009C548C" w:rsidP="00AC62F4">
      <w:pPr>
        <w:ind w:firstLine="720"/>
        <w:rPr>
          <w:rFonts w:cs="Times New Roman"/>
        </w:rPr>
      </w:pPr>
      <w:r w:rsidRPr="00B924A8">
        <w:rPr>
          <w:rFonts w:cs="Times New Roman"/>
        </w:rPr>
        <w:tab/>
        <w:t>De Silentio’s Preface begins by contrasting Descartes’</w:t>
      </w:r>
      <w:r w:rsidR="00AB4AE9" w:rsidRPr="00B924A8">
        <w:rPr>
          <w:rFonts w:cs="Times New Roman"/>
        </w:rPr>
        <w:t xml:space="preserve"> method of doubt, which cancels itself out and does not attack faith</w:t>
      </w:r>
      <w:r w:rsidR="00974F2D">
        <w:rPr>
          <w:rFonts w:cs="Times New Roman"/>
        </w:rPr>
        <w:t>,</w:t>
      </w:r>
      <w:r w:rsidR="00AB4AE9" w:rsidRPr="00B924A8">
        <w:rPr>
          <w:rFonts w:cs="Times New Roman"/>
        </w:rPr>
        <w:t xml:space="preserve"> with an attitude</w:t>
      </w:r>
      <w:r w:rsidR="00974F2D">
        <w:rPr>
          <w:rFonts w:cs="Times New Roman"/>
        </w:rPr>
        <w:t xml:space="preserve"> of</w:t>
      </w:r>
      <w:r w:rsidR="00AB4AE9" w:rsidRPr="00B924A8">
        <w:rPr>
          <w:rFonts w:cs="Times New Roman"/>
        </w:rPr>
        <w:t xml:space="preserve"> “everyone is unwilling to stop at faith but goes further” (</w:t>
      </w:r>
      <w:r w:rsidR="00AB4AE9" w:rsidRPr="00B924A8">
        <w:rPr>
          <w:rFonts w:cs="Times New Roman"/>
          <w:i/>
        </w:rPr>
        <w:t>FT</w:t>
      </w:r>
      <w:r w:rsidR="0009299E" w:rsidRPr="00B924A8">
        <w:rPr>
          <w:rFonts w:cs="Times New Roman"/>
        </w:rPr>
        <w:t xml:space="preserve"> </w:t>
      </w:r>
      <w:r w:rsidR="009F2452" w:rsidRPr="00B924A8">
        <w:rPr>
          <w:rFonts w:cs="Times New Roman"/>
        </w:rPr>
        <w:t>7</w:t>
      </w:r>
      <w:r w:rsidR="0009299E" w:rsidRPr="00B924A8">
        <w:rPr>
          <w:rFonts w:cs="Times New Roman"/>
        </w:rPr>
        <w:t>, 4.102</w:t>
      </w:r>
      <w:r w:rsidR="00AB4AE9" w:rsidRPr="00B924A8">
        <w:rPr>
          <w:rFonts w:cs="Times New Roman"/>
        </w:rPr>
        <w:t>).</w:t>
      </w:r>
      <w:r w:rsidRPr="00B924A8">
        <w:rPr>
          <w:rFonts w:cs="Times New Roman"/>
        </w:rPr>
        <w:t xml:space="preserve"> </w:t>
      </w:r>
      <w:r w:rsidR="009F2452" w:rsidRPr="00B924A8">
        <w:rPr>
          <w:rFonts w:cs="Times New Roman"/>
        </w:rPr>
        <w:t>That de Silentio means this as a critique of</w:t>
      </w:r>
      <w:r w:rsidR="00270457" w:rsidRPr="00B924A8">
        <w:rPr>
          <w:rFonts w:cs="Times New Roman"/>
        </w:rPr>
        <w:t xml:space="preserve"> a Hegelian</w:t>
      </w:r>
      <w:r w:rsidR="009F2452" w:rsidRPr="00B924A8">
        <w:rPr>
          <w:rFonts w:cs="Times New Roman"/>
        </w:rPr>
        <w:t xml:space="preserve"> system</w:t>
      </w:r>
      <w:r w:rsidR="00270457" w:rsidRPr="005D4C21">
        <w:rPr>
          <w:rStyle w:val="FootnoteReference"/>
        </w:rPr>
        <w:footnoteReference w:id="22"/>
      </w:r>
      <w:r w:rsidR="009F2452" w:rsidRPr="00B924A8">
        <w:rPr>
          <w:rFonts w:cs="Times New Roman"/>
        </w:rPr>
        <w:t xml:space="preserve"> is made clear by his</w:t>
      </w:r>
      <w:r w:rsidR="00270457" w:rsidRPr="00B924A8">
        <w:rPr>
          <w:rFonts w:cs="Times New Roman"/>
        </w:rPr>
        <w:t xml:space="preserve"> lampooning of the system</w:t>
      </w:r>
      <w:r w:rsidR="009F2452" w:rsidRPr="00B924A8">
        <w:rPr>
          <w:rFonts w:cs="Times New Roman"/>
        </w:rPr>
        <w:t>: “He has not understood the system whether there is one, whether it is completed …. Even if someone were able to transpose the whole conte</w:t>
      </w:r>
      <w:r w:rsidR="00974F2D">
        <w:rPr>
          <w:rFonts w:cs="Times New Roman"/>
        </w:rPr>
        <w:t>n</w:t>
      </w:r>
      <w:r w:rsidR="009F2452" w:rsidRPr="00B924A8">
        <w:rPr>
          <w:rFonts w:cs="Times New Roman"/>
        </w:rPr>
        <w:t>t of faith into conceptual form, it does not follow that he has comprehended faith, comprehended how he himself has entered into it” (</w:t>
      </w:r>
      <w:r w:rsidR="009F2452" w:rsidRPr="00B924A8">
        <w:rPr>
          <w:rFonts w:cs="Times New Roman"/>
          <w:i/>
        </w:rPr>
        <w:t>FT</w:t>
      </w:r>
      <w:r w:rsidR="00203389" w:rsidRPr="00B924A8">
        <w:rPr>
          <w:rFonts w:cs="Times New Roman"/>
        </w:rPr>
        <w:t xml:space="preserve"> 7 /</w:t>
      </w:r>
      <w:r w:rsidR="009F2452" w:rsidRPr="00B924A8">
        <w:rPr>
          <w:rFonts w:cs="Times New Roman"/>
        </w:rPr>
        <w:t xml:space="preserve"> 4.103).</w:t>
      </w:r>
      <w:r w:rsidR="00B8306B" w:rsidRPr="00B924A8">
        <w:rPr>
          <w:rFonts w:cs="Times New Roman"/>
        </w:rPr>
        <w:t xml:space="preserve"> </w:t>
      </w:r>
    </w:p>
    <w:p w14:paraId="20A550AA" w14:textId="24A66CE0" w:rsidR="00B8306B" w:rsidRPr="00B924A8" w:rsidRDefault="00B8306B" w:rsidP="00AC62F4">
      <w:pPr>
        <w:ind w:firstLine="720"/>
        <w:rPr>
          <w:rFonts w:cs="Times New Roman"/>
        </w:rPr>
      </w:pPr>
      <w:r w:rsidRPr="00B924A8">
        <w:rPr>
          <w:rFonts w:cs="Times New Roman"/>
        </w:rPr>
        <w:t>The same page also states de Silentio’s thesis for the book: “Faith was then a task for a whole lifetime” (</w:t>
      </w:r>
      <w:r w:rsidRPr="00B924A8">
        <w:rPr>
          <w:rFonts w:cs="Times New Roman"/>
          <w:i/>
        </w:rPr>
        <w:t>FT</w:t>
      </w:r>
      <w:r w:rsidR="00203389" w:rsidRPr="00B924A8">
        <w:rPr>
          <w:rFonts w:cs="Times New Roman"/>
        </w:rPr>
        <w:t xml:space="preserve"> 7 /</w:t>
      </w:r>
      <w:r w:rsidRPr="00B924A8">
        <w:rPr>
          <w:rFonts w:cs="Times New Roman"/>
        </w:rPr>
        <w:t xml:space="preserve"> 4.102). De Silen</w:t>
      </w:r>
      <w:r w:rsidR="00BD7974" w:rsidRPr="00B924A8">
        <w:rPr>
          <w:rFonts w:cs="Times New Roman"/>
        </w:rPr>
        <w:t>tio essentia</w:t>
      </w:r>
      <w:r w:rsidR="00595F8D" w:rsidRPr="00B924A8">
        <w:rPr>
          <w:rFonts w:cs="Times New Roman"/>
        </w:rPr>
        <w:t xml:space="preserve">lly repeats this at the beginning of the </w:t>
      </w:r>
      <w:r w:rsidRPr="00B924A8">
        <w:rPr>
          <w:rFonts w:cs="Times New Roman"/>
        </w:rPr>
        <w:t>Exordium by highlighting that living only makes the self understand more the struggle of faith (</w:t>
      </w:r>
      <w:r w:rsidRPr="00B924A8">
        <w:rPr>
          <w:rFonts w:cs="Times New Roman"/>
          <w:i/>
        </w:rPr>
        <w:t>FT</w:t>
      </w:r>
      <w:r w:rsidR="00203389" w:rsidRPr="00B924A8">
        <w:rPr>
          <w:rFonts w:cs="Times New Roman"/>
        </w:rPr>
        <w:t xml:space="preserve"> 9 / </w:t>
      </w:r>
      <w:r w:rsidRPr="00B924A8">
        <w:rPr>
          <w:rFonts w:cs="Times New Roman"/>
        </w:rPr>
        <w:t>4.105).</w:t>
      </w:r>
      <w:r w:rsidR="00C50777" w:rsidRPr="00B924A8">
        <w:rPr>
          <w:rFonts w:cs="Times New Roman"/>
        </w:rPr>
        <w:t xml:space="preserve"> Each case in the Exordium is a sample of Abraham lacking faith in God’s command: I. </w:t>
      </w:r>
      <w:r w:rsidR="000F6FAD">
        <w:rPr>
          <w:rFonts w:cs="Times New Roman"/>
        </w:rPr>
        <w:t>A</w:t>
      </w:r>
      <w:r w:rsidR="00C50777" w:rsidRPr="00B924A8">
        <w:rPr>
          <w:rFonts w:cs="Times New Roman"/>
        </w:rPr>
        <w:t xml:space="preserve"> duplicitousness, II. A loss of faith on his part, III. Disbelief in God’s command, and IV. A loss of the confidence of obedience.</w:t>
      </w:r>
      <w:r w:rsidR="00367C60" w:rsidRPr="00B924A8">
        <w:rPr>
          <w:rFonts w:cs="Times New Roman"/>
        </w:rPr>
        <w:t xml:space="preserve"> In each case, the </w:t>
      </w:r>
      <w:r w:rsidR="000F6FAD" w:rsidRPr="000944AD">
        <w:rPr>
          <w:rFonts w:cs="Times New Roman"/>
          <w:i/>
        </w:rPr>
        <w:t>Akedah</w:t>
      </w:r>
      <w:r w:rsidR="00367C60" w:rsidRPr="00B924A8">
        <w:rPr>
          <w:rFonts w:cs="Times New Roman"/>
        </w:rPr>
        <w:t xml:space="preserve"> is the case study but not the point.</w:t>
      </w:r>
    </w:p>
    <w:p w14:paraId="4A37F9BC" w14:textId="168B798C" w:rsidR="00367C60" w:rsidRPr="00B924A8" w:rsidRDefault="00B75E96" w:rsidP="00AC62F4">
      <w:pPr>
        <w:ind w:firstLine="720"/>
        <w:rPr>
          <w:rFonts w:cs="Times New Roman"/>
        </w:rPr>
      </w:pPr>
      <w:r w:rsidRPr="00B924A8">
        <w:rPr>
          <w:rFonts w:cs="Times New Roman"/>
        </w:rPr>
        <w:t>De Silentio</w:t>
      </w:r>
      <w:r w:rsidR="00367C60" w:rsidRPr="00B924A8">
        <w:rPr>
          <w:rFonts w:cs="Times New Roman"/>
        </w:rPr>
        <w:t xml:space="preserve"> interprets </w:t>
      </w:r>
      <w:r w:rsidRPr="00B924A8">
        <w:rPr>
          <w:rFonts w:cs="Times New Roman"/>
        </w:rPr>
        <w:t xml:space="preserve">Abram’s emigration </w:t>
      </w:r>
      <w:r w:rsidR="00367C60" w:rsidRPr="00B924A8">
        <w:rPr>
          <w:rFonts w:cs="Times New Roman"/>
        </w:rPr>
        <w:t xml:space="preserve">in very different terms than Hegel’s </w:t>
      </w:r>
      <w:r w:rsidR="00367C60" w:rsidRPr="00B924A8">
        <w:rPr>
          <w:rFonts w:cs="Times New Roman"/>
          <w:i/>
        </w:rPr>
        <w:t>Spirit of Christian</w:t>
      </w:r>
      <w:r w:rsidR="000F6FAD">
        <w:rPr>
          <w:rFonts w:cs="Times New Roman"/>
          <w:i/>
        </w:rPr>
        <w:t>i</w:t>
      </w:r>
      <w:r w:rsidR="00367C60" w:rsidRPr="00B924A8">
        <w:rPr>
          <w:rFonts w:cs="Times New Roman"/>
          <w:i/>
        </w:rPr>
        <w:t>ty</w:t>
      </w:r>
      <w:r w:rsidR="000F6FAD" w:rsidRPr="000F6FAD">
        <w:rPr>
          <w:rFonts w:cs="Times New Roman"/>
        </w:rPr>
        <w:t xml:space="preserve"> does</w:t>
      </w:r>
      <w:r w:rsidR="00367C60" w:rsidRPr="00B924A8">
        <w:rPr>
          <w:rFonts w:cs="Times New Roman"/>
        </w:rPr>
        <w:t>:</w:t>
      </w:r>
    </w:p>
    <w:p w14:paraId="031FCFB3" w14:textId="4A435341" w:rsidR="00B75E96" w:rsidRDefault="00367C60" w:rsidP="00367C60">
      <w:pPr>
        <w:pStyle w:val="Quote"/>
      </w:pPr>
      <w:r>
        <w:lastRenderedPageBreak/>
        <w:t>By faith Abraham emigrated from the land of his fathers and became an alien in the promised land. He left one thing behind, took one thing along: he left behind his worldly understanding, and he took along his faith. Otherwise he certainly would not have emigrated but surely would have considered it unreasonable [</w:t>
      </w:r>
      <w:r>
        <w:rPr>
          <w:i/>
        </w:rPr>
        <w:t>urimeligt</w:t>
      </w:r>
      <w:r>
        <w:t>]. By faith he was an alien in the promised land, and there was nothing that reminded him of what he cherished, but everything by its newness tempted his soul to sorrowful longing. And yet he was God’s chosen one in whom the Lord was well-pleased! As a matter of fact, if he had been an exile, banished from God’s grace, he could have better understood it – but now it was as if he and his faith in were being mocked</w:t>
      </w:r>
      <w:r w:rsidR="00B75E96" w:rsidRPr="00B75E96">
        <w:t xml:space="preserve"> (</w:t>
      </w:r>
      <w:r w:rsidR="00B75E96" w:rsidRPr="00B75E96">
        <w:rPr>
          <w:i/>
        </w:rPr>
        <w:t>FT</w:t>
      </w:r>
      <w:r w:rsidR="00203389">
        <w:t xml:space="preserve"> 17 /</w:t>
      </w:r>
      <w:r w:rsidR="00B75E96" w:rsidRPr="00B75E96">
        <w:t xml:space="preserve"> 4</w:t>
      </w:r>
      <w:r w:rsidR="000944AD">
        <w:t>:</w:t>
      </w:r>
      <w:r w:rsidR="00B75E96" w:rsidRPr="00B75E96">
        <w:t>113</w:t>
      </w:r>
      <w:r w:rsidR="00F77442">
        <w:t>-</w:t>
      </w:r>
      <w:r>
        <w:t>4</w:t>
      </w:r>
      <w:r w:rsidR="00B75E96" w:rsidRPr="00B75E96">
        <w:t>).</w:t>
      </w:r>
    </w:p>
    <w:p w14:paraId="59FC7E2A" w14:textId="4CCE77A4" w:rsidR="00C53C5C" w:rsidRPr="00B924A8" w:rsidRDefault="00367C60" w:rsidP="00AC62F4">
      <w:pPr>
        <w:rPr>
          <w:rFonts w:cs="Times New Roman"/>
        </w:rPr>
      </w:pPr>
      <w:r w:rsidRPr="00B924A8">
        <w:rPr>
          <w:rFonts w:cs="Times New Roman"/>
        </w:rPr>
        <w:t>For Hegel, Abram’s departure from Mesopotamia is</w:t>
      </w:r>
      <w:r w:rsidR="000F6FAD">
        <w:rPr>
          <w:rFonts w:cs="Times New Roman"/>
        </w:rPr>
        <w:t xml:space="preserve"> a</w:t>
      </w:r>
      <w:r w:rsidRPr="00B924A8">
        <w:rPr>
          <w:rFonts w:cs="Times New Roman"/>
        </w:rPr>
        <w:t xml:space="preserve"> moment of consternation where Abram breaks with pre-critical social command theory; for </w:t>
      </w:r>
      <w:r w:rsidR="00C24D96" w:rsidRPr="00B924A8">
        <w:rPr>
          <w:rFonts w:cs="Times New Roman"/>
        </w:rPr>
        <w:t>de Silentio</w:t>
      </w:r>
      <w:r w:rsidRPr="00B924A8">
        <w:rPr>
          <w:rFonts w:cs="Times New Roman"/>
        </w:rPr>
        <w:t>, it is a moment worthy of eulogy where Abram’s faith-in demonstrates his repeated trust in God and willingness to obey divine command.</w:t>
      </w:r>
      <w:r w:rsidR="002D551D" w:rsidRPr="00B924A8">
        <w:rPr>
          <w:rFonts w:cs="Times New Roman"/>
        </w:rPr>
        <w:t xml:space="preserve"> Central to </w:t>
      </w:r>
      <w:r w:rsidR="002D551D" w:rsidRPr="00B924A8">
        <w:rPr>
          <w:rFonts w:cs="Times New Roman"/>
          <w:i/>
        </w:rPr>
        <w:t>F</w:t>
      </w:r>
      <w:r w:rsidR="003946E9">
        <w:rPr>
          <w:rFonts w:cs="Times New Roman"/>
          <w:i/>
        </w:rPr>
        <w:t xml:space="preserve">ear and </w:t>
      </w:r>
      <w:r w:rsidR="002D551D" w:rsidRPr="00B924A8">
        <w:rPr>
          <w:rFonts w:cs="Times New Roman"/>
          <w:i/>
        </w:rPr>
        <w:t>T</w:t>
      </w:r>
      <w:r w:rsidR="003946E9">
        <w:rPr>
          <w:rFonts w:cs="Times New Roman"/>
          <w:i/>
        </w:rPr>
        <w:t>rembling</w:t>
      </w:r>
      <w:r w:rsidR="002D551D" w:rsidRPr="00B924A8">
        <w:rPr>
          <w:rFonts w:cs="Times New Roman"/>
        </w:rPr>
        <w:t xml:space="preserve"> is “the claim that to be seriously religious is to have a higher allegiance than to my people and their conception of the Good.”</w:t>
      </w:r>
      <w:r w:rsidR="002D551D" w:rsidRPr="005D4C21">
        <w:rPr>
          <w:rStyle w:val="FootnoteReference"/>
        </w:rPr>
        <w:footnoteReference w:id="23"/>
      </w:r>
    </w:p>
    <w:p w14:paraId="51ECD613" w14:textId="2EE2091A" w:rsidR="00FD4FA5" w:rsidRPr="00B924A8" w:rsidRDefault="00020C9B" w:rsidP="00AC62F4">
      <w:pPr>
        <w:ind w:firstLine="720"/>
        <w:rPr>
          <w:rFonts w:cs="Times New Roman"/>
        </w:rPr>
      </w:pPr>
      <w:r w:rsidRPr="00B924A8">
        <w:rPr>
          <w:rFonts w:cs="Times New Roman"/>
        </w:rPr>
        <w:t xml:space="preserve">A major motif in </w:t>
      </w:r>
      <w:r w:rsidRPr="00B924A8">
        <w:rPr>
          <w:rFonts w:cs="Times New Roman"/>
          <w:i/>
        </w:rPr>
        <w:t>F</w:t>
      </w:r>
      <w:r w:rsidR="00C12C2B" w:rsidRPr="00B924A8">
        <w:rPr>
          <w:rFonts w:cs="Times New Roman"/>
          <w:i/>
        </w:rPr>
        <w:t xml:space="preserve">ear and </w:t>
      </w:r>
      <w:r w:rsidRPr="00B924A8">
        <w:rPr>
          <w:rFonts w:cs="Times New Roman"/>
          <w:i/>
        </w:rPr>
        <w:t>T</w:t>
      </w:r>
      <w:r w:rsidR="00C12C2B" w:rsidRPr="00B924A8">
        <w:rPr>
          <w:rFonts w:cs="Times New Roman"/>
          <w:i/>
        </w:rPr>
        <w:t>rembling</w:t>
      </w:r>
      <w:r w:rsidRPr="00B924A8">
        <w:rPr>
          <w:rFonts w:cs="Times New Roman"/>
        </w:rPr>
        <w:t xml:space="preserve"> is to go </w:t>
      </w:r>
      <w:r w:rsidR="000F6FAD">
        <w:rPr>
          <w:rFonts w:cs="Times New Roman"/>
        </w:rPr>
        <w:t xml:space="preserve">beyond </w:t>
      </w:r>
      <w:r w:rsidR="00994C88" w:rsidRPr="00B924A8">
        <w:rPr>
          <w:rFonts w:cs="Times New Roman"/>
        </w:rPr>
        <w:t>Hegel’s</w:t>
      </w:r>
      <w:r w:rsidRPr="00B924A8">
        <w:rPr>
          <w:rFonts w:cs="Times New Roman"/>
        </w:rPr>
        <w:t xml:space="preserve"> going beyond. In other words, to turn the</w:t>
      </w:r>
      <w:r w:rsidR="00994C88" w:rsidRPr="00B924A8">
        <w:rPr>
          <w:rFonts w:cs="Times New Roman"/>
        </w:rPr>
        <w:t xml:space="preserve"> concept of a social whole</w:t>
      </w:r>
      <w:r w:rsidRPr="00B924A8">
        <w:rPr>
          <w:rFonts w:cs="Times New Roman"/>
        </w:rPr>
        <w:t xml:space="preserve"> and social command theory on its head by introducing faith as a</w:t>
      </w:r>
      <w:r w:rsidR="000F6FAD">
        <w:rPr>
          <w:rFonts w:cs="Times New Roman"/>
        </w:rPr>
        <w:t>n even</w:t>
      </w:r>
      <w:r w:rsidRPr="00B924A8">
        <w:rPr>
          <w:rFonts w:cs="Times New Roman"/>
        </w:rPr>
        <w:t xml:space="preserve"> higher particular</w:t>
      </w:r>
      <w:r w:rsidR="004E5EE2" w:rsidRPr="00B924A8">
        <w:rPr>
          <w:rFonts w:cs="Times New Roman"/>
        </w:rPr>
        <w:t>.</w:t>
      </w:r>
      <w:r w:rsidRPr="00B924A8">
        <w:rPr>
          <w:rFonts w:cs="Times New Roman"/>
        </w:rPr>
        <w:t xml:space="preserve"> Thus, it calls</w:t>
      </w:r>
      <w:r w:rsidR="004E5EE2" w:rsidRPr="00B924A8">
        <w:rPr>
          <w:rFonts w:cs="Times New Roman"/>
        </w:rPr>
        <w:t xml:space="preserve"> “infinite resignation … the last stage” before faith (</w:t>
      </w:r>
      <w:r w:rsidR="004E5EE2" w:rsidRPr="00B924A8">
        <w:rPr>
          <w:rFonts w:cs="Times New Roman"/>
          <w:i/>
        </w:rPr>
        <w:t>FT</w:t>
      </w:r>
      <w:r w:rsidR="004E5EE2" w:rsidRPr="00B924A8">
        <w:rPr>
          <w:rFonts w:cs="Times New Roman"/>
        </w:rPr>
        <w:t xml:space="preserve"> 4</w:t>
      </w:r>
      <w:r w:rsidR="009A71D9" w:rsidRPr="00B924A8">
        <w:rPr>
          <w:rFonts w:cs="Times New Roman"/>
        </w:rPr>
        <w:t>6 /</w:t>
      </w:r>
      <w:r w:rsidR="004E5EE2" w:rsidRPr="00B924A8">
        <w:rPr>
          <w:rFonts w:cs="Times New Roman"/>
        </w:rPr>
        <w:t xml:space="preserve"> 4:140)</w:t>
      </w:r>
      <w:r w:rsidRPr="00B924A8">
        <w:rPr>
          <w:rFonts w:cs="Times New Roman"/>
        </w:rPr>
        <w:t xml:space="preserve"> and situates</w:t>
      </w:r>
      <w:r w:rsidR="004E5EE2" w:rsidRPr="00B924A8">
        <w:rPr>
          <w:rFonts w:cs="Times New Roman"/>
        </w:rPr>
        <w:t xml:space="preserve"> faith as something after “esthetic emotion” and “far higher” (</w:t>
      </w:r>
      <w:r w:rsidR="004E5EE2" w:rsidRPr="00B924A8">
        <w:rPr>
          <w:rFonts w:cs="Times New Roman"/>
          <w:i/>
        </w:rPr>
        <w:t>FT</w:t>
      </w:r>
      <w:r w:rsidR="009A71D9" w:rsidRPr="00B924A8">
        <w:rPr>
          <w:rFonts w:cs="Times New Roman"/>
        </w:rPr>
        <w:t xml:space="preserve"> 47 / </w:t>
      </w:r>
      <w:r w:rsidR="004E5EE2" w:rsidRPr="00B924A8">
        <w:rPr>
          <w:rFonts w:cs="Times New Roman"/>
        </w:rPr>
        <w:t xml:space="preserve">4:141). </w:t>
      </w:r>
      <w:r w:rsidR="00B139EB" w:rsidRPr="00B924A8">
        <w:rPr>
          <w:rFonts w:cs="Times New Roman"/>
        </w:rPr>
        <w:t>This</w:t>
      </w:r>
      <w:r w:rsidR="004E5EE2" w:rsidRPr="00B924A8">
        <w:rPr>
          <w:rFonts w:cs="Times New Roman"/>
        </w:rPr>
        <w:t xml:space="preserve"> one-upmanship</w:t>
      </w:r>
      <w:r w:rsidR="00B139EB" w:rsidRPr="00B924A8">
        <w:rPr>
          <w:rFonts w:cs="Times New Roman"/>
        </w:rPr>
        <w:t xml:space="preserve"> culminates in </w:t>
      </w:r>
      <w:r w:rsidR="00994C88" w:rsidRPr="00B924A8">
        <w:rPr>
          <w:rFonts w:cs="Times New Roman"/>
        </w:rPr>
        <w:t>the image of being able to “[perform] the marvel and [grasp] existence in its totality by virtue of the absurd” (</w:t>
      </w:r>
      <w:r w:rsidR="00994C88" w:rsidRPr="00B924A8">
        <w:rPr>
          <w:rFonts w:cs="Times New Roman"/>
          <w:i/>
        </w:rPr>
        <w:t>FT</w:t>
      </w:r>
      <w:r w:rsidR="009A71D9" w:rsidRPr="00B924A8">
        <w:rPr>
          <w:rFonts w:cs="Times New Roman"/>
        </w:rPr>
        <w:t xml:space="preserve"> 51 /</w:t>
      </w:r>
      <w:r w:rsidR="00F77442">
        <w:rPr>
          <w:rFonts w:cs="Times New Roman"/>
        </w:rPr>
        <w:t xml:space="preserve"> 4:144-</w:t>
      </w:r>
      <w:r w:rsidR="00994C88" w:rsidRPr="00B924A8">
        <w:rPr>
          <w:rFonts w:cs="Times New Roman"/>
        </w:rPr>
        <w:t>5).</w:t>
      </w:r>
      <w:r w:rsidRPr="00B924A8">
        <w:rPr>
          <w:rFonts w:cs="Times New Roman"/>
        </w:rPr>
        <w:t xml:space="preserve"> </w:t>
      </w:r>
    </w:p>
    <w:p w14:paraId="3D52F7FE" w14:textId="0D96F3AB" w:rsidR="00C12C2B" w:rsidRPr="00B924A8" w:rsidRDefault="00020C9B" w:rsidP="00AC62F4">
      <w:pPr>
        <w:ind w:firstLine="720"/>
        <w:rPr>
          <w:rFonts w:cs="Times New Roman"/>
        </w:rPr>
      </w:pPr>
      <w:r w:rsidRPr="00B924A8">
        <w:rPr>
          <w:rFonts w:cs="Times New Roman"/>
          <w:i/>
        </w:rPr>
        <w:lastRenderedPageBreak/>
        <w:t>Problemata</w:t>
      </w:r>
      <w:r w:rsidRPr="00B924A8">
        <w:rPr>
          <w:rFonts w:cs="Times New Roman"/>
        </w:rPr>
        <w:t xml:space="preserve"> I</w:t>
      </w:r>
      <w:r w:rsidR="00994C88" w:rsidRPr="00B924A8">
        <w:rPr>
          <w:rFonts w:cs="Times New Roman"/>
        </w:rPr>
        <w:t xml:space="preserve"> </w:t>
      </w:r>
      <w:r w:rsidR="00203389" w:rsidRPr="00B924A8">
        <w:rPr>
          <w:rFonts w:cs="Times New Roman"/>
        </w:rPr>
        <w:t xml:space="preserve">defends the possibility of a </w:t>
      </w:r>
      <w:r w:rsidR="00C12C2B" w:rsidRPr="00B924A8">
        <w:rPr>
          <w:rFonts w:cs="Times New Roman"/>
        </w:rPr>
        <w:t xml:space="preserve">break with the ethical universal </w:t>
      </w:r>
      <w:r w:rsidR="000F6FAD">
        <w:rPr>
          <w:rFonts w:cs="Times New Roman"/>
        </w:rPr>
        <w:t>that</w:t>
      </w:r>
      <w:r w:rsidR="000F6FAD" w:rsidRPr="00B924A8">
        <w:rPr>
          <w:rFonts w:cs="Times New Roman"/>
        </w:rPr>
        <w:t xml:space="preserve"> </w:t>
      </w:r>
      <w:r w:rsidR="00C12C2B" w:rsidRPr="00B924A8">
        <w:rPr>
          <w:rFonts w:cs="Times New Roman"/>
        </w:rPr>
        <w:t>involves a single individual asserting hims</w:t>
      </w:r>
      <w:r w:rsidR="00203389" w:rsidRPr="00B924A8">
        <w:rPr>
          <w:rFonts w:cs="Times New Roman"/>
        </w:rPr>
        <w:t>elf as higher. In this respect, it parallels one feature</w:t>
      </w:r>
      <w:r w:rsidR="000F6FAD">
        <w:rPr>
          <w:rFonts w:cs="Times New Roman"/>
        </w:rPr>
        <w:t xml:space="preserve"> that</w:t>
      </w:r>
      <w:r w:rsidR="00203389" w:rsidRPr="00B924A8">
        <w:rPr>
          <w:rFonts w:cs="Times New Roman"/>
        </w:rPr>
        <w:t xml:space="preserve"> Hegel’s</w:t>
      </w:r>
      <w:r w:rsidR="00C12C2B" w:rsidRPr="00B924A8">
        <w:rPr>
          <w:rFonts w:cs="Times New Roman"/>
        </w:rPr>
        <w:t xml:space="preserve"> </w:t>
      </w:r>
      <w:r w:rsidR="00C12C2B" w:rsidRPr="00B924A8">
        <w:rPr>
          <w:rFonts w:cs="Times New Roman"/>
          <w:i/>
        </w:rPr>
        <w:t>Spirit of Christianity</w:t>
      </w:r>
      <w:r w:rsidR="00C12C2B" w:rsidRPr="00B924A8">
        <w:rPr>
          <w:rFonts w:cs="Times New Roman"/>
        </w:rPr>
        <w:t xml:space="preserve"> condemns about Abram (</w:t>
      </w:r>
      <w:r w:rsidR="00C12C2B" w:rsidRPr="00B924A8">
        <w:rPr>
          <w:rFonts w:cs="Times New Roman"/>
          <w:i/>
        </w:rPr>
        <w:t>FT</w:t>
      </w:r>
      <w:r w:rsidR="00F77442">
        <w:rPr>
          <w:rFonts w:cs="Times New Roman"/>
        </w:rPr>
        <w:t xml:space="preserve"> 54-</w:t>
      </w:r>
      <w:r w:rsidR="009A71D9" w:rsidRPr="00B924A8">
        <w:rPr>
          <w:rFonts w:cs="Times New Roman"/>
        </w:rPr>
        <w:t>5 /</w:t>
      </w:r>
      <w:r w:rsidR="00F77442">
        <w:rPr>
          <w:rFonts w:cs="Times New Roman"/>
        </w:rPr>
        <w:t xml:space="preserve"> 4:148-</w:t>
      </w:r>
      <w:r w:rsidR="00C12C2B" w:rsidRPr="00B924A8">
        <w:rPr>
          <w:rFonts w:cs="Times New Roman"/>
        </w:rPr>
        <w:t>9)</w:t>
      </w:r>
      <w:r w:rsidR="00BA6A6A" w:rsidRPr="00B924A8">
        <w:rPr>
          <w:rFonts w:cs="Times New Roman"/>
        </w:rPr>
        <w:t xml:space="preserve">. </w:t>
      </w:r>
      <w:r w:rsidR="00203389" w:rsidRPr="00B924A8">
        <w:rPr>
          <w:rFonts w:cs="Times New Roman"/>
        </w:rPr>
        <w:t>While Hegel sees setting oneself apart from the universal as a source of condemnation, de Silentio</w:t>
      </w:r>
      <w:r w:rsidR="00BA6A6A" w:rsidRPr="00B924A8">
        <w:rPr>
          <w:rFonts w:cs="Times New Roman"/>
        </w:rPr>
        <w:t xml:space="preserve"> </w:t>
      </w:r>
      <w:r w:rsidR="00203389" w:rsidRPr="00B924A8">
        <w:rPr>
          <w:rFonts w:cs="Times New Roman"/>
        </w:rPr>
        <w:t>presents faith-in as the only possible justification for Abram’s</w:t>
      </w:r>
      <w:r w:rsidR="00BA6A6A" w:rsidRPr="00B924A8">
        <w:rPr>
          <w:rFonts w:cs="Times New Roman"/>
        </w:rPr>
        <w:t xml:space="preserve"> </w:t>
      </w:r>
      <w:r w:rsidR="00203389" w:rsidRPr="00B924A8">
        <w:rPr>
          <w:rFonts w:cs="Times New Roman"/>
        </w:rPr>
        <w:t>exception</w:t>
      </w:r>
      <w:r w:rsidR="000F6FAD">
        <w:rPr>
          <w:rFonts w:cs="Times New Roman"/>
        </w:rPr>
        <w:t>-</w:t>
      </w:r>
      <w:r w:rsidR="00203389" w:rsidRPr="00B924A8">
        <w:rPr>
          <w:rFonts w:cs="Times New Roman"/>
        </w:rPr>
        <w:t xml:space="preserve">taking with respect to the </w:t>
      </w:r>
      <w:r w:rsidR="00BA6A6A" w:rsidRPr="00B924A8">
        <w:rPr>
          <w:rFonts w:cs="Times New Roman"/>
        </w:rPr>
        <w:t xml:space="preserve">universal (which appears in social commands) </w:t>
      </w:r>
      <w:r w:rsidR="000F6FAD">
        <w:rPr>
          <w:rFonts w:cs="Times New Roman"/>
        </w:rPr>
        <w:t>that</w:t>
      </w:r>
      <w:r w:rsidR="000F6FAD" w:rsidRPr="00B924A8">
        <w:rPr>
          <w:rFonts w:cs="Times New Roman"/>
        </w:rPr>
        <w:t xml:space="preserve"> </w:t>
      </w:r>
      <w:r w:rsidR="00203389" w:rsidRPr="00B924A8">
        <w:rPr>
          <w:rFonts w:cs="Times New Roman"/>
        </w:rPr>
        <w:t>condemns Abram</w:t>
      </w:r>
      <w:r w:rsidR="00BA6A6A" w:rsidRPr="00B924A8">
        <w:rPr>
          <w:rFonts w:cs="Times New Roman"/>
        </w:rPr>
        <w:t xml:space="preserve"> (</w:t>
      </w:r>
      <w:r w:rsidR="00BA6A6A" w:rsidRPr="00B924A8">
        <w:rPr>
          <w:rFonts w:cs="Times New Roman"/>
          <w:i/>
        </w:rPr>
        <w:t>FT</w:t>
      </w:r>
      <w:r w:rsidR="009A71D9" w:rsidRPr="00B924A8">
        <w:rPr>
          <w:rFonts w:cs="Times New Roman"/>
        </w:rPr>
        <w:t xml:space="preserve"> 62 /</w:t>
      </w:r>
      <w:r w:rsidR="00BA6A6A" w:rsidRPr="00B924A8">
        <w:rPr>
          <w:rFonts w:cs="Times New Roman"/>
        </w:rPr>
        <w:t xml:space="preserve"> 4:</w:t>
      </w:r>
      <w:r w:rsidR="009F7495" w:rsidRPr="00B924A8">
        <w:rPr>
          <w:rFonts w:cs="Times New Roman"/>
        </w:rPr>
        <w:t>155).</w:t>
      </w:r>
    </w:p>
    <w:p w14:paraId="23AD8A2B" w14:textId="50BC0C52" w:rsidR="004B422E" w:rsidRPr="00B924A8" w:rsidRDefault="004B422E" w:rsidP="00AC62F4">
      <w:pPr>
        <w:ind w:firstLine="720"/>
        <w:rPr>
          <w:rFonts w:cs="Times New Roman"/>
        </w:rPr>
      </w:pPr>
      <w:r w:rsidRPr="00B924A8">
        <w:rPr>
          <w:rFonts w:cs="Times New Roman"/>
          <w:i/>
        </w:rPr>
        <w:t>Problemata</w:t>
      </w:r>
      <w:r w:rsidRPr="00B924A8">
        <w:rPr>
          <w:rFonts w:cs="Times New Roman"/>
        </w:rPr>
        <w:t xml:space="preserve"> II similarly attacks one of the ideas that </w:t>
      </w:r>
      <w:r w:rsidRPr="00B924A8">
        <w:rPr>
          <w:rFonts w:cs="Times New Roman"/>
          <w:i/>
        </w:rPr>
        <w:t>Spirit of Christianity</w:t>
      </w:r>
      <w:r w:rsidRPr="00B924A8">
        <w:rPr>
          <w:rFonts w:cs="Times New Roman"/>
        </w:rPr>
        <w:t xml:space="preserve"> presents, namely, the idea that </w:t>
      </w:r>
      <w:r w:rsidR="00FD4FA5" w:rsidRPr="00B924A8">
        <w:rPr>
          <w:rFonts w:cs="Times New Roman"/>
        </w:rPr>
        <w:t>duty to God can be subsumed under a more general category of duty: “The ethical is the universal, and as such it is also divine. Thus, it is proper to say that every duty is essentially duty to God, but if no more can be said than this, then it is also said that I actually have no duty to God” (</w:t>
      </w:r>
      <w:r w:rsidR="00FD4FA5" w:rsidRPr="00B924A8">
        <w:rPr>
          <w:rFonts w:cs="Times New Roman"/>
          <w:i/>
        </w:rPr>
        <w:t>FT</w:t>
      </w:r>
      <w:r w:rsidR="009A71D9" w:rsidRPr="00B924A8">
        <w:rPr>
          <w:rFonts w:cs="Times New Roman"/>
        </w:rPr>
        <w:t xml:space="preserve"> 68 /</w:t>
      </w:r>
      <w:r w:rsidR="00FD4FA5" w:rsidRPr="00B924A8">
        <w:rPr>
          <w:rFonts w:cs="Times New Roman"/>
        </w:rPr>
        <w:t xml:space="preserve"> 4:160). As I showed above, Hegel, like Kant, accepts God-talk in ethics especially when the outcome is a generic social command. Conversely, here de </w:t>
      </w:r>
      <w:r w:rsidR="00FD4FA5" w:rsidRPr="00E3303D">
        <w:rPr>
          <w:rFonts w:cs="Times New Roman"/>
        </w:rPr>
        <w:t>Silentio is arguing that</w:t>
      </w:r>
      <w:r w:rsidR="000F6FAD" w:rsidRPr="00E3303D">
        <w:rPr>
          <w:rFonts w:cs="Times New Roman"/>
        </w:rPr>
        <w:t>,</w:t>
      </w:r>
      <w:r w:rsidR="00FD4FA5" w:rsidRPr="00E3303D">
        <w:rPr>
          <w:rFonts w:cs="Times New Roman"/>
        </w:rPr>
        <w:t xml:space="preserve"> for faith-in, this </w:t>
      </w:r>
      <w:r w:rsidR="00E3303D" w:rsidRPr="00E3303D">
        <w:rPr>
          <w:rFonts w:cs="Times New Roman"/>
        </w:rPr>
        <w:t xml:space="preserve">outcome </w:t>
      </w:r>
      <w:r w:rsidR="00FD4FA5" w:rsidRPr="00E3303D">
        <w:rPr>
          <w:rFonts w:cs="Times New Roman"/>
        </w:rPr>
        <w:t>is precisely what will not do. His argument is that faith</w:t>
      </w:r>
      <w:r w:rsidR="000F6FAD" w:rsidRPr="00E3303D">
        <w:rPr>
          <w:rFonts w:cs="Times New Roman"/>
        </w:rPr>
        <w:t>,</w:t>
      </w:r>
      <w:r w:rsidR="00FD4FA5" w:rsidRPr="00E3303D">
        <w:rPr>
          <w:rFonts w:cs="Times New Roman"/>
        </w:rPr>
        <w:t xml:space="preserve"> and the obedience to divine commands </w:t>
      </w:r>
      <w:r w:rsidR="000F6FAD" w:rsidRPr="00E3303D">
        <w:rPr>
          <w:rFonts w:cs="Times New Roman"/>
        </w:rPr>
        <w:t xml:space="preserve">which </w:t>
      </w:r>
      <w:r w:rsidR="00FD4FA5" w:rsidRPr="00E3303D">
        <w:rPr>
          <w:rFonts w:cs="Times New Roman"/>
        </w:rPr>
        <w:t>it requires</w:t>
      </w:r>
      <w:r w:rsidR="000F6FAD" w:rsidRPr="00E3303D">
        <w:rPr>
          <w:rFonts w:cs="Times New Roman"/>
        </w:rPr>
        <w:t>,</w:t>
      </w:r>
      <w:r w:rsidR="00FD4FA5" w:rsidRPr="00E3303D">
        <w:rPr>
          <w:rFonts w:cs="Times New Roman"/>
        </w:rPr>
        <w:t xml:space="preserve"> cannot be reduced back into the commensurate whole</w:t>
      </w:r>
      <w:r w:rsidR="00120F0B" w:rsidRPr="00E3303D">
        <w:rPr>
          <w:rFonts w:cs="Times New Roman"/>
        </w:rPr>
        <w:t xml:space="preserve"> such that the individual relates directly to the absolute rather than universal</w:t>
      </w:r>
      <w:r w:rsidR="00120F0B" w:rsidRPr="00B924A8">
        <w:rPr>
          <w:rFonts w:cs="Times New Roman"/>
        </w:rPr>
        <w:t xml:space="preserve"> (</w:t>
      </w:r>
      <w:r w:rsidR="00120F0B" w:rsidRPr="00B924A8">
        <w:rPr>
          <w:rFonts w:cs="Times New Roman"/>
          <w:i/>
        </w:rPr>
        <w:t>FT</w:t>
      </w:r>
      <w:r w:rsidR="009A71D9" w:rsidRPr="00B924A8">
        <w:rPr>
          <w:rFonts w:cs="Times New Roman"/>
        </w:rPr>
        <w:t xml:space="preserve"> 70 /</w:t>
      </w:r>
      <w:r w:rsidR="00120F0B" w:rsidRPr="00B924A8">
        <w:rPr>
          <w:rFonts w:cs="Times New Roman"/>
        </w:rPr>
        <w:t xml:space="preserve"> 4:162)</w:t>
      </w:r>
      <w:r w:rsidR="00FD4FA5" w:rsidRPr="00B924A8">
        <w:rPr>
          <w:rFonts w:cs="Times New Roman"/>
        </w:rPr>
        <w:t>.</w:t>
      </w:r>
    </w:p>
    <w:p w14:paraId="6F75A178" w14:textId="25A6435C" w:rsidR="00624067" w:rsidRPr="00B924A8" w:rsidRDefault="00624067" w:rsidP="00AC62F4">
      <w:pPr>
        <w:ind w:firstLine="720"/>
        <w:rPr>
          <w:rFonts w:cs="Times New Roman"/>
        </w:rPr>
      </w:pPr>
      <w:r w:rsidRPr="00B924A8">
        <w:rPr>
          <w:rFonts w:cs="Times New Roman"/>
          <w:i/>
        </w:rPr>
        <w:t>Problemata</w:t>
      </w:r>
      <w:r w:rsidRPr="00B924A8">
        <w:rPr>
          <w:rFonts w:cs="Times New Roman"/>
        </w:rPr>
        <w:t xml:space="preserve"> III echoes the same point but in terms of immediacy</w:t>
      </w:r>
      <w:r w:rsidR="000F6FAD">
        <w:rPr>
          <w:rFonts w:cs="Times New Roman"/>
        </w:rPr>
        <w:t>,</w:t>
      </w:r>
      <w:r w:rsidR="00F33708" w:rsidRPr="00B924A8">
        <w:rPr>
          <w:rFonts w:cs="Times New Roman"/>
        </w:rPr>
        <w:t xml:space="preserve"> such that “the first immediacy is the esthetic, and here the Hegelian philosophy certainly may very well be right” that it can be mediated</w:t>
      </w:r>
      <w:r w:rsidR="00D359E6" w:rsidRPr="00B924A8">
        <w:rPr>
          <w:rFonts w:cs="Times New Roman"/>
        </w:rPr>
        <w:t xml:space="preserve"> and that it has no right to “justified hiddenness”</w:t>
      </w:r>
      <w:r w:rsidR="00F33708" w:rsidRPr="00B924A8">
        <w:rPr>
          <w:rFonts w:cs="Times New Roman"/>
        </w:rPr>
        <w:t xml:space="preserve"> (</w:t>
      </w:r>
      <w:r w:rsidR="00F33708" w:rsidRPr="00B924A8">
        <w:rPr>
          <w:rFonts w:cs="Times New Roman"/>
          <w:i/>
        </w:rPr>
        <w:t>FT</w:t>
      </w:r>
      <w:r w:rsidR="00D359E6" w:rsidRPr="00B924A8">
        <w:rPr>
          <w:rFonts w:cs="Times New Roman"/>
        </w:rPr>
        <w:t xml:space="preserve"> 82 /</w:t>
      </w:r>
      <w:r w:rsidR="00F33708" w:rsidRPr="00B924A8">
        <w:rPr>
          <w:rFonts w:cs="Times New Roman"/>
        </w:rPr>
        <w:t xml:space="preserve"> </w:t>
      </w:r>
      <w:r w:rsidR="00D359E6" w:rsidRPr="00B924A8">
        <w:rPr>
          <w:rFonts w:cs="Times New Roman"/>
        </w:rPr>
        <w:t>4:172</w:t>
      </w:r>
      <w:r w:rsidR="00F33708" w:rsidRPr="00B924A8">
        <w:rPr>
          <w:rFonts w:cs="Times New Roman"/>
        </w:rPr>
        <w:t>)</w:t>
      </w:r>
      <w:r w:rsidR="00D359E6" w:rsidRPr="00B924A8">
        <w:rPr>
          <w:rFonts w:cs="Times New Roman"/>
        </w:rPr>
        <w:t>. Faith, by contrast, is “not the first immediacy but a later immediacy” and one that has a right</w:t>
      </w:r>
      <w:r w:rsidR="009A71D9" w:rsidRPr="00B924A8">
        <w:rPr>
          <w:rFonts w:cs="Times New Roman"/>
        </w:rPr>
        <w:t xml:space="preserve"> to</w:t>
      </w:r>
      <w:r w:rsidR="00296A89" w:rsidRPr="00B924A8">
        <w:rPr>
          <w:rFonts w:cs="Times New Roman"/>
        </w:rPr>
        <w:t xml:space="preserve"> and requirement for</w:t>
      </w:r>
      <w:r w:rsidR="009A71D9" w:rsidRPr="00B924A8">
        <w:rPr>
          <w:rFonts w:cs="Times New Roman"/>
        </w:rPr>
        <w:t xml:space="preserve"> hiddenness (</w:t>
      </w:r>
      <w:r w:rsidR="009A71D9" w:rsidRPr="00B924A8">
        <w:rPr>
          <w:rFonts w:cs="Times New Roman"/>
          <w:i/>
        </w:rPr>
        <w:t>FT</w:t>
      </w:r>
      <w:r w:rsidR="009A71D9" w:rsidRPr="00B924A8">
        <w:rPr>
          <w:rFonts w:cs="Times New Roman"/>
        </w:rPr>
        <w:t xml:space="preserve"> 82 / 4:172</w:t>
      </w:r>
      <w:r w:rsidR="00296A89" w:rsidRPr="00B924A8">
        <w:rPr>
          <w:rFonts w:cs="Times New Roman"/>
        </w:rPr>
        <w:t xml:space="preserve">; 112 / </w:t>
      </w:r>
      <w:r w:rsidR="00AD4867" w:rsidRPr="00B924A8">
        <w:rPr>
          <w:rFonts w:cs="Times New Roman"/>
        </w:rPr>
        <w:t>4:200</w:t>
      </w:r>
      <w:r w:rsidR="009A71D9" w:rsidRPr="00B924A8">
        <w:rPr>
          <w:rFonts w:cs="Times New Roman"/>
        </w:rPr>
        <w:t>).</w:t>
      </w:r>
      <w:r w:rsidR="00D40A5A" w:rsidRPr="00B924A8">
        <w:rPr>
          <w:rFonts w:cs="Times New Roman"/>
        </w:rPr>
        <w:t xml:space="preserve"> Perhaps the most important addition here is that the ethical system is offended when a secret is kept from it</w:t>
      </w:r>
      <w:r w:rsidR="00AD4867" w:rsidRPr="00B924A8">
        <w:rPr>
          <w:rFonts w:cs="Times New Roman"/>
        </w:rPr>
        <w:t xml:space="preserve"> </w:t>
      </w:r>
      <w:r w:rsidR="00D40A5A" w:rsidRPr="00B924A8">
        <w:rPr>
          <w:rFonts w:cs="Times New Roman"/>
        </w:rPr>
        <w:t>(</w:t>
      </w:r>
      <w:r w:rsidR="00D40A5A" w:rsidRPr="00B924A8">
        <w:rPr>
          <w:rFonts w:cs="Times New Roman"/>
          <w:i/>
        </w:rPr>
        <w:t>FT</w:t>
      </w:r>
      <w:r w:rsidR="00D40A5A" w:rsidRPr="00B924A8">
        <w:rPr>
          <w:rFonts w:cs="Times New Roman"/>
        </w:rPr>
        <w:t xml:space="preserve"> 86 / </w:t>
      </w:r>
      <w:r w:rsidR="00680B6B" w:rsidRPr="00B924A8">
        <w:rPr>
          <w:rFonts w:cs="Times New Roman"/>
        </w:rPr>
        <w:t>4:176</w:t>
      </w:r>
      <w:r w:rsidR="00D40A5A" w:rsidRPr="00B924A8">
        <w:rPr>
          <w:rFonts w:cs="Times New Roman"/>
        </w:rPr>
        <w:t>)</w:t>
      </w:r>
      <w:r w:rsidR="00AD4867" w:rsidRPr="00B924A8">
        <w:rPr>
          <w:rFonts w:cs="Times New Roman"/>
        </w:rPr>
        <w:t xml:space="preserve"> and that</w:t>
      </w:r>
      <w:r w:rsidR="000F6FAD">
        <w:rPr>
          <w:rFonts w:cs="Times New Roman"/>
        </w:rPr>
        <w:t>,</w:t>
      </w:r>
      <w:r w:rsidR="00AD4867" w:rsidRPr="00B924A8">
        <w:rPr>
          <w:rFonts w:cs="Times New Roman"/>
        </w:rPr>
        <w:t xml:space="preserve"> unlike esthetic silence, religious silence cannot communicate</w:t>
      </w:r>
      <w:r w:rsidR="007B561D">
        <w:rPr>
          <w:rFonts w:cs="Times New Roman"/>
        </w:rPr>
        <w:t xml:space="preserve"> its content</w:t>
      </w:r>
      <w:r w:rsidR="00AD4867" w:rsidRPr="00B924A8">
        <w:rPr>
          <w:rFonts w:cs="Times New Roman"/>
        </w:rPr>
        <w:t xml:space="preserve"> in the realm of social commands (</w:t>
      </w:r>
      <w:r w:rsidR="00AD4867" w:rsidRPr="00B924A8">
        <w:rPr>
          <w:rFonts w:cs="Times New Roman"/>
          <w:i/>
        </w:rPr>
        <w:t>FT</w:t>
      </w:r>
      <w:r w:rsidR="00F77442">
        <w:rPr>
          <w:rFonts w:cs="Times New Roman"/>
        </w:rPr>
        <w:t xml:space="preserve"> 86-7 / 4:176-</w:t>
      </w:r>
      <w:r w:rsidR="00AD4867" w:rsidRPr="00B924A8">
        <w:rPr>
          <w:rFonts w:cs="Times New Roman"/>
        </w:rPr>
        <w:t>7)</w:t>
      </w:r>
      <w:r w:rsidR="00680B6B" w:rsidRPr="00B924A8">
        <w:rPr>
          <w:rFonts w:cs="Times New Roman"/>
        </w:rPr>
        <w:t>.</w:t>
      </w:r>
    </w:p>
    <w:p w14:paraId="001ACD44" w14:textId="2FB07F49" w:rsidR="002F6628" w:rsidRPr="00B924A8" w:rsidRDefault="002F6628" w:rsidP="00AC62F4">
      <w:pPr>
        <w:ind w:firstLine="720"/>
        <w:rPr>
          <w:rFonts w:cs="Times New Roman"/>
        </w:rPr>
      </w:pPr>
      <w:r w:rsidRPr="00B924A8">
        <w:rPr>
          <w:rFonts w:cs="Times New Roman"/>
        </w:rPr>
        <w:t xml:space="preserve">Two final thematic considerations sustain the manner in which </w:t>
      </w:r>
      <w:r w:rsidRPr="00B924A8">
        <w:rPr>
          <w:rFonts w:cs="Times New Roman"/>
          <w:i/>
        </w:rPr>
        <w:t>Fear and Tremlbing</w:t>
      </w:r>
      <w:r w:rsidRPr="00B924A8">
        <w:rPr>
          <w:rFonts w:cs="Times New Roman"/>
        </w:rPr>
        <w:t xml:space="preserve"> </w:t>
      </w:r>
      <w:r w:rsidRPr="00B924A8">
        <w:rPr>
          <w:rFonts w:cs="Times New Roman"/>
        </w:rPr>
        <w:lastRenderedPageBreak/>
        <w:t xml:space="preserve">responds to the argument of </w:t>
      </w:r>
      <w:r w:rsidRPr="00B924A8">
        <w:rPr>
          <w:rFonts w:cs="Times New Roman"/>
          <w:i/>
        </w:rPr>
        <w:t>Spirit of Christianity</w:t>
      </w:r>
      <w:r w:rsidRPr="00B924A8">
        <w:rPr>
          <w:rFonts w:cs="Times New Roman"/>
        </w:rPr>
        <w:t>. First, De Silentio is emphatic at several points that Abraham has present tense faith-in God. This too mirrors Hegel’s emphasis on Abraham’s stubborn resistance to not integrate with the cultures he encounter</w:t>
      </w:r>
      <w:r w:rsidR="007B561D">
        <w:rPr>
          <w:rFonts w:cs="Times New Roman"/>
        </w:rPr>
        <w:t>s</w:t>
      </w:r>
      <w:r w:rsidRPr="00B924A8">
        <w:rPr>
          <w:rFonts w:cs="Times New Roman"/>
        </w:rPr>
        <w:t>. De Silentio notes the active nature of Abraham’s faith-in God as a fight against time (</w:t>
      </w:r>
      <w:r w:rsidRPr="00B924A8">
        <w:rPr>
          <w:rFonts w:cs="Times New Roman"/>
          <w:i/>
        </w:rPr>
        <w:t>FT</w:t>
      </w:r>
      <w:r w:rsidR="00F77442">
        <w:rPr>
          <w:rFonts w:cs="Times New Roman"/>
        </w:rPr>
        <w:t xml:space="preserve"> 17 / 4:114-</w:t>
      </w:r>
      <w:r w:rsidRPr="00B924A8">
        <w:rPr>
          <w:rFonts w:cs="Times New Roman"/>
        </w:rPr>
        <w:t>5) and notes three times on the same page that “time passed” (</w:t>
      </w:r>
      <w:r w:rsidRPr="00B924A8">
        <w:rPr>
          <w:rFonts w:cs="Times New Roman"/>
          <w:i/>
        </w:rPr>
        <w:t>FT</w:t>
      </w:r>
      <w:r w:rsidRPr="00B924A8">
        <w:rPr>
          <w:rFonts w:cs="Times New Roman"/>
        </w:rPr>
        <w:t xml:space="preserve"> 17 / 4:114). The point of all this temporality is to make clear that Abraham’s faith-in makes it impossible to subsume it under the pattern of the household gods or national deities. In other words, it will not be reconciled to a social command theory and is only available in opposition to one (Cf. </w:t>
      </w:r>
      <w:r w:rsidRPr="00B924A8">
        <w:rPr>
          <w:rFonts w:cs="Times New Roman"/>
          <w:i/>
        </w:rPr>
        <w:t>FT</w:t>
      </w:r>
      <w:r w:rsidRPr="00B924A8">
        <w:rPr>
          <w:rFonts w:cs="Times New Roman"/>
        </w:rPr>
        <w:t xml:space="preserve"> 27 / 4:123). </w:t>
      </w:r>
    </w:p>
    <w:p w14:paraId="2829BE3C" w14:textId="58A51DFD" w:rsidR="00F476DF" w:rsidRPr="00B924A8" w:rsidRDefault="002F6628" w:rsidP="00AC62F4">
      <w:pPr>
        <w:ind w:firstLine="720"/>
        <w:rPr>
          <w:rFonts w:cs="Times New Roman"/>
        </w:rPr>
      </w:pPr>
      <w:r w:rsidRPr="00B924A8">
        <w:rPr>
          <w:rFonts w:cs="Times New Roman"/>
        </w:rPr>
        <w:t xml:space="preserve">The second point of contrast is their </w:t>
      </w:r>
      <w:r w:rsidR="00F476DF" w:rsidRPr="00B924A8">
        <w:rPr>
          <w:rFonts w:cs="Times New Roman"/>
        </w:rPr>
        <w:t xml:space="preserve">evaluations of the tragic hero. For Hegel, </w:t>
      </w:r>
      <w:r w:rsidR="00B1678C">
        <w:rPr>
          <w:rFonts w:cs="Times New Roman"/>
        </w:rPr>
        <w:t xml:space="preserve">the </w:t>
      </w:r>
      <w:r w:rsidR="00F476DF" w:rsidRPr="00B924A8">
        <w:rPr>
          <w:rFonts w:cs="Times New Roman"/>
        </w:rPr>
        <w:t>tragic hero is still redeemable because they function from the values of their society and sacrifice their individuality</w:t>
      </w:r>
      <w:r w:rsidR="00CD028C" w:rsidRPr="00B924A8">
        <w:rPr>
          <w:rFonts w:cs="Times New Roman"/>
        </w:rPr>
        <w:t xml:space="preserve"> (</w:t>
      </w:r>
      <w:r w:rsidR="00CD028C" w:rsidRPr="00B924A8">
        <w:rPr>
          <w:rFonts w:cs="Times New Roman"/>
          <w:i/>
        </w:rPr>
        <w:t>SC</w:t>
      </w:r>
      <w:r w:rsidR="00CD028C" w:rsidRPr="00B924A8">
        <w:rPr>
          <w:rFonts w:cs="Times New Roman"/>
        </w:rPr>
        <w:t xml:space="preserve"> 185)</w:t>
      </w:r>
      <w:r w:rsidR="00F476DF" w:rsidRPr="00B924A8">
        <w:rPr>
          <w:rFonts w:cs="Times New Roman"/>
        </w:rPr>
        <w:t>. For de Silentio, the tragic hero is a “knight of infinite resignation” (</w:t>
      </w:r>
      <w:r w:rsidR="00F476DF" w:rsidRPr="00B924A8">
        <w:rPr>
          <w:rFonts w:cs="Times New Roman"/>
          <w:i/>
        </w:rPr>
        <w:t>FT</w:t>
      </w:r>
      <w:r w:rsidR="00F77442">
        <w:rPr>
          <w:rFonts w:cs="Times New Roman"/>
        </w:rPr>
        <w:t xml:space="preserve"> 37-8 / 4:132-</w:t>
      </w:r>
      <w:r w:rsidR="00F476DF" w:rsidRPr="00B924A8">
        <w:rPr>
          <w:rFonts w:cs="Times New Roman"/>
        </w:rPr>
        <w:t>3), such as an Abraham that sacrifices himself instead (</w:t>
      </w:r>
      <w:r w:rsidR="00F476DF" w:rsidRPr="00B924A8">
        <w:rPr>
          <w:rFonts w:cs="Times New Roman"/>
          <w:i/>
        </w:rPr>
        <w:t>FT</w:t>
      </w:r>
      <w:r w:rsidR="00E7713E">
        <w:rPr>
          <w:rFonts w:cs="Times New Roman"/>
        </w:rPr>
        <w:t xml:space="preserve"> 20-2</w:t>
      </w:r>
      <w:r w:rsidR="00F476DF" w:rsidRPr="00B924A8">
        <w:rPr>
          <w:rFonts w:cs="Times New Roman"/>
        </w:rPr>
        <w:t>1 / 4:117), but this does not rise to faith-in precisely because what they do is obey a social command or make a socially-comprehensible and culturally praiseworthy choice (</w:t>
      </w:r>
      <w:r w:rsidR="00F476DF" w:rsidRPr="00B924A8">
        <w:rPr>
          <w:rFonts w:cs="Times New Roman"/>
          <w:i/>
        </w:rPr>
        <w:t>FT</w:t>
      </w:r>
      <w:r w:rsidR="00F77442">
        <w:rPr>
          <w:rFonts w:cs="Times New Roman"/>
        </w:rPr>
        <w:t xml:space="preserve"> 58-9 / 4:151-</w:t>
      </w:r>
      <w:r w:rsidR="00F476DF" w:rsidRPr="00B924A8">
        <w:rPr>
          <w:rFonts w:cs="Times New Roman"/>
        </w:rPr>
        <w:t>2). In other words, what they do is not born out of faith-in. Instead, it is ethical courage (</w:t>
      </w:r>
      <w:r w:rsidR="00F476DF" w:rsidRPr="00B924A8">
        <w:rPr>
          <w:rFonts w:cs="Times New Roman"/>
          <w:i/>
        </w:rPr>
        <w:t>FT</w:t>
      </w:r>
      <w:r w:rsidR="00F77442">
        <w:rPr>
          <w:rFonts w:cs="Times New Roman"/>
        </w:rPr>
        <w:t xml:space="preserve"> 87 / 4:176-</w:t>
      </w:r>
      <w:r w:rsidR="00F476DF" w:rsidRPr="00B924A8">
        <w:rPr>
          <w:rFonts w:cs="Times New Roman"/>
        </w:rPr>
        <w:t>7).</w:t>
      </w:r>
    </w:p>
    <w:p w14:paraId="5E1EEC09" w14:textId="64DD126F" w:rsidR="00F476DF" w:rsidRPr="00B924A8" w:rsidRDefault="002F6628" w:rsidP="00AC62F4">
      <w:pPr>
        <w:ind w:firstLine="720"/>
        <w:rPr>
          <w:rFonts w:cs="Times New Roman"/>
        </w:rPr>
      </w:pPr>
      <w:r w:rsidRPr="00B924A8">
        <w:rPr>
          <w:rFonts w:cs="Times New Roman"/>
        </w:rPr>
        <w:t xml:space="preserve">To avoid </w:t>
      </w:r>
      <w:r w:rsidR="0095415D" w:rsidRPr="00B924A8">
        <w:rPr>
          <w:rFonts w:cs="Times New Roman"/>
        </w:rPr>
        <w:t>making</w:t>
      </w:r>
      <w:r w:rsidRPr="00B924A8">
        <w:rPr>
          <w:rFonts w:cs="Times New Roman"/>
        </w:rPr>
        <w:t xml:space="preserve"> </w:t>
      </w:r>
      <w:r w:rsidR="00F476DF" w:rsidRPr="00B924A8">
        <w:rPr>
          <w:rFonts w:cs="Times New Roman"/>
        </w:rPr>
        <w:t>Abraham</w:t>
      </w:r>
      <w:r w:rsidR="0095415D" w:rsidRPr="00B924A8">
        <w:rPr>
          <w:rFonts w:cs="Times New Roman"/>
        </w:rPr>
        <w:t xml:space="preserve"> into a tragic hero</w:t>
      </w:r>
      <w:r w:rsidR="00F476DF" w:rsidRPr="00B924A8">
        <w:rPr>
          <w:rFonts w:cs="Times New Roman"/>
        </w:rPr>
        <w:t xml:space="preserve">, </w:t>
      </w:r>
      <w:r w:rsidRPr="00B924A8">
        <w:rPr>
          <w:rFonts w:cs="Times New Roman"/>
        </w:rPr>
        <w:t>de Silentio</w:t>
      </w:r>
      <w:r w:rsidR="00F476DF" w:rsidRPr="00B924A8">
        <w:rPr>
          <w:rFonts w:cs="Times New Roman"/>
        </w:rPr>
        <w:t xml:space="preserve"> maintains that Abraham’s conduct is murder vis-à-vis the social command and can only be something else on account of his faith-in God (</w:t>
      </w:r>
      <w:r w:rsidR="00F476DF" w:rsidRPr="00B924A8">
        <w:rPr>
          <w:rFonts w:cs="Times New Roman"/>
          <w:i/>
        </w:rPr>
        <w:t>FT</w:t>
      </w:r>
      <w:r w:rsidR="00F476DF" w:rsidRPr="00B924A8">
        <w:rPr>
          <w:rFonts w:cs="Times New Roman"/>
        </w:rPr>
        <w:t xml:space="preserve"> 30 /</w:t>
      </w:r>
      <w:r w:rsidR="0095415D" w:rsidRPr="00B924A8">
        <w:rPr>
          <w:rFonts w:cs="Times New Roman"/>
        </w:rPr>
        <w:t xml:space="preserve"> 4:126). Consequently, he rejects the attempt to relativize Abraham:</w:t>
      </w:r>
      <w:r w:rsidR="00F476DF" w:rsidRPr="00B924A8">
        <w:rPr>
          <w:rFonts w:cs="Times New Roman"/>
        </w:rPr>
        <w:t xml:space="preserve"> “if perhaps because of the location conditions of the day, it was something entirely different, then let us forget him, for what is the value of going to the trouble of remembering that past which cannot become a present” (</w:t>
      </w:r>
      <w:r w:rsidR="00F476DF" w:rsidRPr="00B924A8">
        <w:rPr>
          <w:rFonts w:cs="Times New Roman"/>
          <w:i/>
        </w:rPr>
        <w:t>FT</w:t>
      </w:r>
      <w:r w:rsidR="0095415D" w:rsidRPr="00B924A8">
        <w:rPr>
          <w:rFonts w:cs="Times New Roman"/>
        </w:rPr>
        <w:t xml:space="preserve"> 30 / 4:126). Instead, he holds that</w:t>
      </w:r>
      <w:r w:rsidR="00F476DF" w:rsidRPr="00B924A8">
        <w:rPr>
          <w:rFonts w:cs="Times New Roman"/>
        </w:rPr>
        <w:t xml:space="preserve"> Abraham “transgressed the ethical altogether and had a higher telos outside it” in acting “for God’s sake” and “for his own sake” (</w:t>
      </w:r>
      <w:r w:rsidR="00F476DF" w:rsidRPr="00B924A8">
        <w:rPr>
          <w:rFonts w:cs="Times New Roman"/>
          <w:i/>
        </w:rPr>
        <w:t>FT</w:t>
      </w:r>
      <w:r w:rsidR="003906AF">
        <w:rPr>
          <w:rFonts w:cs="Times New Roman"/>
        </w:rPr>
        <w:t xml:space="preserve"> 59 / 4:152-</w:t>
      </w:r>
      <w:r w:rsidR="00F476DF" w:rsidRPr="00B924A8">
        <w:rPr>
          <w:rFonts w:cs="Times New Roman"/>
        </w:rPr>
        <w:t>3). Conversely, for the tragic hero, the “ethical is the divine” and there can be no private relationship (</w:t>
      </w:r>
      <w:r w:rsidR="00F476DF" w:rsidRPr="00B924A8">
        <w:rPr>
          <w:rFonts w:cs="Times New Roman"/>
          <w:i/>
        </w:rPr>
        <w:t>FT</w:t>
      </w:r>
      <w:r w:rsidR="00F476DF" w:rsidRPr="00B924A8">
        <w:rPr>
          <w:rFonts w:cs="Times New Roman"/>
        </w:rPr>
        <w:t xml:space="preserve"> 60 / 4:153).</w:t>
      </w:r>
    </w:p>
    <w:p w14:paraId="2F1BDE1A" w14:textId="6971B2FF" w:rsidR="00913129" w:rsidRPr="00913129" w:rsidRDefault="002F6628" w:rsidP="00913129">
      <w:pPr>
        <w:ind w:firstLine="720"/>
        <w:rPr>
          <w:rFonts w:cs="Times New Roman"/>
        </w:rPr>
      </w:pPr>
      <w:r w:rsidRPr="00B924A8">
        <w:rPr>
          <w:rFonts w:cs="Times New Roman"/>
        </w:rPr>
        <w:lastRenderedPageBreak/>
        <w:t xml:space="preserve">Thus, we have seen that in </w:t>
      </w:r>
      <w:r w:rsidRPr="00B924A8">
        <w:rPr>
          <w:rFonts w:cs="Times New Roman"/>
          <w:i/>
        </w:rPr>
        <w:t>Fear and Trembling</w:t>
      </w:r>
      <w:r w:rsidRPr="00B924A8">
        <w:rPr>
          <w:rFonts w:cs="Times New Roman"/>
        </w:rPr>
        <w:t xml:space="preserve">, </w:t>
      </w:r>
      <w:r w:rsidR="002D551D" w:rsidRPr="00B924A8">
        <w:rPr>
          <w:rFonts w:cs="Times New Roman"/>
        </w:rPr>
        <w:t>faith-in</w:t>
      </w:r>
      <w:r w:rsidRPr="00B924A8">
        <w:rPr>
          <w:rFonts w:cs="Times New Roman"/>
        </w:rPr>
        <w:t xml:space="preserve"> is </w:t>
      </w:r>
      <w:r w:rsidR="00200AE2">
        <w:rPr>
          <w:rFonts w:cs="Times New Roman"/>
        </w:rPr>
        <w:t xml:space="preserve">something that gives Abraham a source of value separate from his culture and </w:t>
      </w:r>
      <w:r w:rsidRPr="00B924A8">
        <w:rPr>
          <w:rFonts w:cs="Times New Roman"/>
        </w:rPr>
        <w:t>central to</w:t>
      </w:r>
      <w:r w:rsidR="002D551D" w:rsidRPr="00B924A8">
        <w:rPr>
          <w:rFonts w:cs="Times New Roman"/>
        </w:rPr>
        <w:t xml:space="preserve"> Abraham’s </w:t>
      </w:r>
      <w:r w:rsidR="009C548C" w:rsidRPr="00B924A8">
        <w:rPr>
          <w:rFonts w:cs="Times New Roman"/>
        </w:rPr>
        <w:t>noetic structure</w:t>
      </w:r>
      <w:r w:rsidR="00200AE2">
        <w:rPr>
          <w:rFonts w:cs="Times New Roman"/>
        </w:rPr>
        <w:t>.</w:t>
      </w:r>
      <w:r w:rsidR="009C548C" w:rsidRPr="005D4C21">
        <w:rPr>
          <w:rStyle w:val="FootnoteReference"/>
        </w:rPr>
        <w:footnoteReference w:id="24"/>
      </w:r>
      <w:r w:rsidR="0095415D" w:rsidRPr="00B924A8">
        <w:rPr>
          <w:rFonts w:cs="Times New Roman"/>
        </w:rPr>
        <w:t xml:space="preserve"> </w:t>
      </w:r>
      <w:r w:rsidR="00E4121B">
        <w:rPr>
          <w:rFonts w:cs="Times New Roman"/>
        </w:rPr>
        <w:t>Despite</w:t>
      </w:r>
      <w:r w:rsidR="00E4121B" w:rsidRPr="00B924A8">
        <w:rPr>
          <w:rFonts w:cs="Times New Roman"/>
        </w:rPr>
        <w:t xml:space="preserve"> </w:t>
      </w:r>
      <w:r w:rsidR="00C53C5C" w:rsidRPr="00B924A8">
        <w:rPr>
          <w:rFonts w:cs="Times New Roman"/>
        </w:rPr>
        <w:t>chronological impossib</w:t>
      </w:r>
      <w:r w:rsidR="001457A4">
        <w:rPr>
          <w:rFonts w:cs="Times New Roman"/>
        </w:rPr>
        <w:t>ility</w:t>
      </w:r>
      <w:r w:rsidR="00C53C5C" w:rsidRPr="00B924A8">
        <w:rPr>
          <w:rFonts w:cs="Times New Roman"/>
        </w:rPr>
        <w:t xml:space="preserve"> (since </w:t>
      </w:r>
      <w:r w:rsidR="00C53C5C" w:rsidRPr="00B924A8">
        <w:rPr>
          <w:rFonts w:cs="Times New Roman"/>
          <w:i/>
        </w:rPr>
        <w:t>Spirit of Christianity</w:t>
      </w:r>
      <w:r w:rsidR="00C53C5C" w:rsidRPr="00B924A8">
        <w:rPr>
          <w:rFonts w:cs="Times New Roman"/>
        </w:rPr>
        <w:t xml:space="preserve"> was not published until the </w:t>
      </w:r>
      <w:r w:rsidR="00E4121B">
        <w:rPr>
          <w:rFonts w:cs="Times New Roman"/>
        </w:rPr>
        <w:t>twentieth c</w:t>
      </w:r>
      <w:r w:rsidR="00C53C5C" w:rsidRPr="00B924A8">
        <w:rPr>
          <w:rFonts w:cs="Times New Roman"/>
        </w:rPr>
        <w:t xml:space="preserve">entury), </w:t>
      </w:r>
      <w:r w:rsidR="00C53C5C" w:rsidRPr="00B924A8">
        <w:rPr>
          <w:rFonts w:cs="Times New Roman"/>
          <w:i/>
        </w:rPr>
        <w:t>Fear and Trembling</w:t>
      </w:r>
      <w:r w:rsidR="00C0226C" w:rsidRPr="00B924A8">
        <w:rPr>
          <w:rFonts w:cs="Times New Roman"/>
        </w:rPr>
        <w:t xml:space="preserve"> reads like a polemical defense of faith-in against</w:t>
      </w:r>
      <w:r w:rsidR="00C53C5C" w:rsidRPr="00B924A8">
        <w:rPr>
          <w:rFonts w:cs="Times New Roman"/>
        </w:rPr>
        <w:t xml:space="preserve"> Hegel’</w:t>
      </w:r>
      <w:r w:rsidR="00C0226C" w:rsidRPr="00B924A8">
        <w:rPr>
          <w:rFonts w:cs="Times New Roman"/>
        </w:rPr>
        <w:t>s social command theory that belittles</w:t>
      </w:r>
      <w:r w:rsidR="00C53C5C" w:rsidRPr="00B924A8">
        <w:rPr>
          <w:rFonts w:cs="Times New Roman"/>
        </w:rPr>
        <w:t xml:space="preserve"> Abraham</w:t>
      </w:r>
      <w:r w:rsidR="00C0226C" w:rsidRPr="00B924A8">
        <w:rPr>
          <w:rFonts w:cs="Times New Roman"/>
        </w:rPr>
        <w:t xml:space="preserve"> and “Jewish Religion</w:t>
      </w:r>
      <w:r w:rsidR="00C53C5C" w:rsidRPr="00B924A8">
        <w:rPr>
          <w:rFonts w:cs="Times New Roman"/>
        </w:rPr>
        <w:t>.</w:t>
      </w:r>
      <w:r w:rsidR="00C0226C" w:rsidRPr="00B924A8">
        <w:rPr>
          <w:rFonts w:cs="Times New Roman"/>
        </w:rPr>
        <w:t>”</w:t>
      </w:r>
      <w:r w:rsidR="00212BD4" w:rsidRPr="00B924A8">
        <w:rPr>
          <w:rFonts w:cs="Times New Roman"/>
        </w:rPr>
        <w:t xml:space="preserve"> The thrust of de Silentio’s argument is designed to elicit something that may contemporary belittlers seem to acknowledge: either faith-in claims should be taken more seriously and seen as threats to social command theory</w:t>
      </w:r>
      <w:r w:rsidR="001457A4">
        <w:rPr>
          <w:rFonts w:cs="Times New Roman"/>
        </w:rPr>
        <w:t>,</w:t>
      </w:r>
      <w:r w:rsidR="00212BD4" w:rsidRPr="00B924A8">
        <w:rPr>
          <w:rFonts w:cs="Times New Roman"/>
        </w:rPr>
        <w:t xml:space="preserve"> or they should be abandoned altogether.</w:t>
      </w:r>
    </w:p>
    <w:p w14:paraId="2F533FEF" w14:textId="17D47751" w:rsidR="000334A7" w:rsidRPr="0072342B" w:rsidRDefault="007B594D" w:rsidP="0072342B">
      <w:pPr>
        <w:pStyle w:val="Heading3"/>
      </w:pPr>
      <w:r>
        <w:t>I</w:t>
      </w:r>
      <w:r w:rsidR="00DB68C7">
        <w:t>II</w:t>
      </w:r>
      <w:r w:rsidR="006D3BE8">
        <w:t>.B</w:t>
      </w:r>
      <w:r w:rsidR="000334A7">
        <w:t xml:space="preserve"> </w:t>
      </w:r>
      <w:r w:rsidR="00C10F4E">
        <w:t>Kierkegaard’s Moderate Divine Command Theory</w:t>
      </w:r>
      <w:r w:rsidR="000334A7">
        <w:t xml:space="preserve"> </w:t>
      </w:r>
      <w:r w:rsidR="00C10F4E">
        <w:t>and Faith-In</w:t>
      </w:r>
      <w:r w:rsidR="00321CD1">
        <w:t xml:space="preserve"> </w:t>
      </w:r>
    </w:p>
    <w:p w14:paraId="2FC834D7" w14:textId="49ECBFF2" w:rsidR="00F96071" w:rsidRDefault="00B67322" w:rsidP="00F96071">
      <w:r w:rsidRPr="00B924A8">
        <w:rPr>
          <w:rFonts w:cs="Times New Roman"/>
        </w:rPr>
        <w:tab/>
      </w:r>
      <w:r w:rsidR="006D3BE8">
        <w:rPr>
          <w:rFonts w:cs="Times New Roman"/>
        </w:rPr>
        <w:t xml:space="preserve">Building on </w:t>
      </w:r>
      <w:r w:rsidR="006D3BE8">
        <w:rPr>
          <w:rFonts w:cs="Times New Roman"/>
          <w:i/>
        </w:rPr>
        <w:t xml:space="preserve">Works of </w:t>
      </w:r>
      <w:r w:rsidR="006D3BE8" w:rsidRPr="006D3BE8">
        <w:rPr>
          <w:rFonts w:cs="Times New Roman"/>
          <w:i/>
        </w:rPr>
        <w:t>Love</w:t>
      </w:r>
      <w:r w:rsidR="006D3BE8">
        <w:rPr>
          <w:rFonts w:cs="Times New Roman"/>
        </w:rPr>
        <w:t xml:space="preserve">, I argue here that faith-in for Kierkegaard contains obligations to others in society. </w:t>
      </w:r>
      <w:r w:rsidR="00F96071">
        <w:t xml:space="preserve">As we saw in the preceding section, one of the defining features of faith-in is that it bears the mark of the present tense. Kierkegaard </w:t>
      </w:r>
      <w:r w:rsidR="003906AF">
        <w:t>reference</w:t>
      </w:r>
      <w:r w:rsidR="00F96071">
        <w:t xml:space="preserve">s the same </w:t>
      </w:r>
      <w:r w:rsidR="003906AF">
        <w:t>idea</w:t>
      </w:r>
      <w:r w:rsidR="00F96071">
        <w:t xml:space="preserve"> in </w:t>
      </w:r>
      <w:r w:rsidR="00F96071">
        <w:rPr>
          <w:i/>
        </w:rPr>
        <w:t>Works of Love</w:t>
      </w:r>
      <w:r w:rsidR="00F96071">
        <w:t xml:space="preserve"> when he describes the love God commands as that which “abides” and “is</w:t>
      </w:r>
      <w:r w:rsidR="001457A4">
        <w:t>,</w:t>
      </w:r>
      <w:r w:rsidR="003906AF">
        <w:t xml:space="preserve">” </w:t>
      </w:r>
      <w:r w:rsidR="00F96071">
        <w:t>which Kierkegaard links directly to faith</w:t>
      </w:r>
      <w:r w:rsidR="00171CF4">
        <w:t xml:space="preserve"> as “what … must b</w:t>
      </w:r>
      <w:r w:rsidR="00463529">
        <w:t>e</w:t>
      </w:r>
      <w:r w:rsidR="00171CF4">
        <w:t xml:space="preserve"> believed and lived”</w:t>
      </w:r>
      <w:r w:rsidR="00F96071">
        <w:t xml:space="preserve"> (</w:t>
      </w:r>
      <w:r w:rsidR="00F96071">
        <w:rPr>
          <w:i/>
        </w:rPr>
        <w:t>WL</w:t>
      </w:r>
      <w:r w:rsidR="00F96071">
        <w:t xml:space="preserve"> 8 / 9:16).</w:t>
      </w:r>
    </w:p>
    <w:p w14:paraId="56FF4A26" w14:textId="19BD0C3D" w:rsidR="00171CF4" w:rsidRPr="00171CF4" w:rsidRDefault="00F96071" w:rsidP="00171CF4">
      <w:r>
        <w:tab/>
        <w:t>For Kierkegaard, the relation to God is one of “love in unconditional obedience” for which “</w:t>
      </w:r>
      <w:r w:rsidR="001457A4">
        <w:t>[y]</w:t>
      </w:r>
      <w:r>
        <w:t xml:space="preserve">ou have only lovingly to </w:t>
      </w:r>
      <w:r w:rsidR="00171CF4">
        <w:t>listen-</w:t>
      </w:r>
      <w:r>
        <w:t>obey</w:t>
      </w:r>
      <w:r w:rsidR="00171CF4">
        <w:t xml:space="preserve"> [</w:t>
      </w:r>
      <w:r w:rsidR="00171CF4" w:rsidRPr="00F01A0F">
        <w:rPr>
          <w:i/>
        </w:rPr>
        <w:t>at lyde</w:t>
      </w:r>
      <w:r w:rsidR="00171CF4">
        <w:t>]</w:t>
      </w:r>
      <w:r>
        <w:t>” (</w:t>
      </w:r>
      <w:r>
        <w:rPr>
          <w:i/>
        </w:rPr>
        <w:t>WL</w:t>
      </w:r>
      <w:r w:rsidR="00171CF4">
        <w:t xml:space="preserve"> 20 / 9:</w:t>
      </w:r>
      <w:r>
        <w:t>28, my translation</w:t>
      </w:r>
      <w:r w:rsidR="001457A4">
        <w:t>;</w:t>
      </w:r>
      <w:r w:rsidR="00F01A0F">
        <w:t xml:space="preserve"> the word </w:t>
      </w:r>
      <w:r w:rsidR="00F01A0F">
        <w:rPr>
          <w:i/>
        </w:rPr>
        <w:t>lyde</w:t>
      </w:r>
      <w:r w:rsidR="00F01A0F">
        <w:t xml:space="preserve"> means both to listen and to obey in Golden Age Danish</w:t>
      </w:r>
      <w:r>
        <w:t>).</w:t>
      </w:r>
      <w:r w:rsidR="00171CF4">
        <w:t xml:space="preserve"> For Kierkegaard, this is a command that must be grasped and obeyed in faith (</w:t>
      </w:r>
      <w:r w:rsidR="00171CF4">
        <w:rPr>
          <w:i/>
        </w:rPr>
        <w:t>WL</w:t>
      </w:r>
      <w:r w:rsidR="00171CF4">
        <w:t xml:space="preserve"> 27 / 9:34). </w:t>
      </w:r>
      <w:r w:rsidR="001457A4">
        <w:t xml:space="preserve">In </w:t>
      </w:r>
      <w:r w:rsidR="00171CF4">
        <w:t>spite</w:t>
      </w:r>
      <w:r w:rsidR="001457A4">
        <w:t xml:space="preserve"> of not</w:t>
      </w:r>
      <w:r w:rsidR="00171CF4">
        <w:t xml:space="preserve"> having read </w:t>
      </w:r>
      <w:r w:rsidR="00171CF4">
        <w:rPr>
          <w:i/>
        </w:rPr>
        <w:t xml:space="preserve">Spirit of </w:t>
      </w:r>
      <w:r w:rsidR="00171CF4" w:rsidRPr="00171CF4">
        <w:rPr>
          <w:i/>
        </w:rPr>
        <w:t>Christianity</w:t>
      </w:r>
      <w:r w:rsidR="00171CF4">
        <w:t>, Kierkegaard sees this command as expressly linking the pedigree of Christianity and Judaism (</w:t>
      </w:r>
      <w:r w:rsidR="00171CF4">
        <w:rPr>
          <w:i/>
        </w:rPr>
        <w:t>WL</w:t>
      </w:r>
      <w:r w:rsidR="001A2CE9">
        <w:t xml:space="preserve"> 24-</w:t>
      </w:r>
      <w:r w:rsidR="00171CF4">
        <w:t>5 / 9:</w:t>
      </w:r>
      <w:r w:rsidR="001A2CE9">
        <w:t>32-</w:t>
      </w:r>
      <w:r w:rsidR="00171CF4">
        <w:t>3). Later, Kierkegaard describes this as “going with God” (</w:t>
      </w:r>
      <w:r w:rsidR="00171CF4">
        <w:rPr>
          <w:i/>
        </w:rPr>
        <w:t>WL</w:t>
      </w:r>
      <w:r w:rsidR="00171CF4">
        <w:t xml:space="preserve"> 77 / 9:83).</w:t>
      </w:r>
    </w:p>
    <w:p w14:paraId="3AAA4634" w14:textId="7F0ED09B" w:rsidR="00463529" w:rsidRDefault="00171CF4" w:rsidP="00463529">
      <w:pPr>
        <w:ind w:firstLine="720"/>
      </w:pPr>
      <w:r>
        <w:lastRenderedPageBreak/>
        <w:t>Kierkegaard explicitly rejects the possibility of a social origin for these commands under the motto</w:t>
      </w:r>
      <w:r w:rsidR="003A7EF5">
        <w:t>,</w:t>
      </w:r>
      <w:r>
        <w:t xml:space="preserve"> “Beware of people” (</w:t>
      </w:r>
      <w:r>
        <w:rPr>
          <w:i/>
        </w:rPr>
        <w:t>WL</w:t>
      </w:r>
      <w:r>
        <w:t xml:space="preserve"> 27 / 9:35). </w:t>
      </w:r>
      <w:r w:rsidR="00463529">
        <w:t>Later, he contrasts</w:t>
      </w:r>
      <w:r>
        <w:t xml:space="preserve"> “culture’s highest” with the “essentially Christian” (</w:t>
      </w:r>
      <w:r>
        <w:rPr>
          <w:i/>
        </w:rPr>
        <w:t>WL</w:t>
      </w:r>
      <w:r w:rsidRPr="00171CF4">
        <w:t xml:space="preserve"> 59 /</w:t>
      </w:r>
      <w:r w:rsidR="001A2CE9">
        <w:t xml:space="preserve"> 9:65-</w:t>
      </w:r>
      <w:r>
        <w:t>6).</w:t>
      </w:r>
      <w:r w:rsidR="00463529">
        <w:t xml:space="preserve"> Similarly, he </w:t>
      </w:r>
      <w:r w:rsidR="000944AD">
        <w:t>exhorts his reader to stand</w:t>
      </w:r>
      <w:r w:rsidR="00463529">
        <w:t xml:space="preserve"> fast against </w:t>
      </w:r>
      <w:r w:rsidR="000944AD">
        <w:t xml:space="preserve">the failing of </w:t>
      </w:r>
      <w:r w:rsidR="00463529">
        <w:t>“holding together” with others (</w:t>
      </w:r>
      <w:r w:rsidR="00463529">
        <w:rPr>
          <w:i/>
        </w:rPr>
        <w:t>WL</w:t>
      </w:r>
      <w:r w:rsidR="00463529">
        <w:t xml:space="preserve"> 78 / 9:84). </w:t>
      </w:r>
      <w:r w:rsidR="00F01A0F">
        <w:t>A similar motif is that Kierkegaard believes the person of faith is called to ignore social claims on the self as sources of moral obligation and understand the monstrous claim of God (</w:t>
      </w:r>
      <w:r w:rsidR="00F01A0F">
        <w:rPr>
          <w:i/>
        </w:rPr>
        <w:t>WL</w:t>
      </w:r>
      <w:r w:rsidR="001A2CE9">
        <w:t xml:space="preserve"> 90 / 9:94-</w:t>
      </w:r>
      <w:r w:rsidR="00F01A0F">
        <w:t>5).</w:t>
      </w:r>
    </w:p>
    <w:p w14:paraId="1E301088" w14:textId="265F6ECD" w:rsidR="001A2CE9" w:rsidRDefault="00463529" w:rsidP="001A2CE9">
      <w:pPr>
        <w:ind w:firstLine="720"/>
      </w:pPr>
      <w:r>
        <w:t>All of this seems to play into the hands of the belittler</w:t>
      </w:r>
      <w:r w:rsidR="003A7EF5">
        <w:t>,</w:t>
      </w:r>
      <w:r>
        <w:t xml:space="preserve"> by pointing out that the self’s obligations are from God (an issue I address in the next section), but</w:t>
      </w:r>
      <w:r w:rsidR="001A2CE9">
        <w:t xml:space="preserve"> there are two features </w:t>
      </w:r>
      <w:r w:rsidR="003A7EF5">
        <w:t xml:space="preserve">which </w:t>
      </w:r>
      <w:r w:rsidR="001A2CE9">
        <w:t xml:space="preserve">suggest </w:t>
      </w:r>
      <w:r w:rsidR="003A7EF5">
        <w:t xml:space="preserve">that </w:t>
      </w:r>
      <w:r w:rsidR="001A2CE9">
        <w:t>this is not the whole story for Kierkegaard’s view. First, Kierkegaard recognizes the belittler objection. He points out that</w:t>
      </w:r>
      <w:r w:rsidR="003A7EF5">
        <w:t>,</w:t>
      </w:r>
      <w:r w:rsidR="001A2CE9">
        <w:t xml:space="preserve"> from a Hegelian perspective, the view he offers is “actually a delusion, a retardation” and “an abominable era of bond service” (</w:t>
      </w:r>
      <w:r w:rsidR="001A2CE9">
        <w:rPr>
          <w:i/>
        </w:rPr>
        <w:t>WL</w:t>
      </w:r>
      <w:r w:rsidR="001A2CE9">
        <w:t xml:space="preserve"> 114-5 / 9:118). Kierkegaard responds in kind to his imagined interlocutor</w:t>
      </w:r>
      <w:r w:rsidR="003A7EF5">
        <w:t>,</w:t>
      </w:r>
      <w:r w:rsidR="001A2CE9">
        <w:t xml:space="preserve"> calling the social command theory “inhumanly protracted labor on the common agreement among all people,” which plays out as a terribly long and boring game that some start but never finish</w:t>
      </w:r>
      <w:r w:rsidR="003A7EF5">
        <w:t>,</w:t>
      </w:r>
      <w:r w:rsidR="001A2CE9">
        <w:t xml:space="preserve"> and others join midway but see the end (</w:t>
      </w:r>
      <w:r w:rsidR="001A2CE9">
        <w:rPr>
          <w:i/>
        </w:rPr>
        <w:t>WL</w:t>
      </w:r>
      <w:r w:rsidR="001A2CE9">
        <w:t xml:space="preserve"> 116</w:t>
      </w:r>
      <w:r w:rsidR="003906AF">
        <w:t xml:space="preserve"> / 9:119-</w:t>
      </w:r>
      <w:r w:rsidR="001A2CE9">
        <w:t>20). For Kierkegaard, obligations that originate in society are ultimately “augmented forms of self-love” (</w:t>
      </w:r>
      <w:r w:rsidR="001A2CE9">
        <w:rPr>
          <w:i/>
        </w:rPr>
        <w:t>WL</w:t>
      </w:r>
      <w:r w:rsidR="001A2CE9">
        <w:t xml:space="preserve"> 266-7 / 9:265-6).</w:t>
      </w:r>
    </w:p>
    <w:p w14:paraId="16F7CCEE" w14:textId="37A7117A" w:rsidR="006D3BE8" w:rsidRDefault="001A2CE9" w:rsidP="001A2CE9">
      <w:pPr>
        <w:ind w:firstLine="720"/>
        <w:rPr>
          <w:rFonts w:cs="Times New Roman"/>
        </w:rPr>
      </w:pPr>
      <w:r>
        <w:t>Second</w:t>
      </w:r>
      <w:r w:rsidR="003A7EF5">
        <w:t>,</w:t>
      </w:r>
      <w:r>
        <w:t xml:space="preserve"> and more importantly,</w:t>
      </w:r>
      <w:r w:rsidR="00463529">
        <w:t xml:space="preserve"> the obligations we have in this divine command theory are to people under the category of “the Neighbor.” For Kierkegaard, this is a category defined by dissimilarity in culture but </w:t>
      </w:r>
      <w:r w:rsidR="00171CF4">
        <w:t>equality before God (</w:t>
      </w:r>
      <w:r w:rsidR="00171CF4">
        <w:rPr>
          <w:i/>
        </w:rPr>
        <w:t>WL</w:t>
      </w:r>
      <w:r w:rsidR="00171CF4">
        <w:t xml:space="preserve"> 60 / 9:66).</w:t>
      </w:r>
      <w:r w:rsidR="00463529">
        <w:t xml:space="preserve"> Kierkegaard links this to faith by repeating that the obligation is to listen-obey and </w:t>
      </w:r>
      <w:r w:rsidR="003A7EF5">
        <w:t xml:space="preserve">that </w:t>
      </w:r>
      <w:r w:rsidR="00463529">
        <w:t>the</w:t>
      </w:r>
      <w:r w:rsidR="003A7EF5">
        <w:t xml:space="preserve"> heard</w:t>
      </w:r>
      <w:r w:rsidR="00463529">
        <w:t xml:space="preserve"> command is to love the neighbor (</w:t>
      </w:r>
      <w:r w:rsidR="00463529">
        <w:rPr>
          <w:i/>
        </w:rPr>
        <w:t>WL</w:t>
      </w:r>
      <w:r w:rsidR="00463529">
        <w:t xml:space="preserve"> 84</w:t>
      </w:r>
      <w:r w:rsidR="003906AF">
        <w:t>-</w:t>
      </w:r>
      <w:r w:rsidR="00463529">
        <w:t>5 / 9:90).</w:t>
      </w:r>
      <w:r>
        <w:t xml:space="preserve"> Thus, Kierkegaard summarizes the obligation thusly</w:t>
      </w:r>
      <w:r w:rsidR="003A7EF5">
        <w:t>:</w:t>
      </w:r>
      <w:r>
        <w:t xml:space="preserve"> </w:t>
      </w:r>
      <w:r w:rsidRPr="001A2CE9">
        <w:t>“Love … is a quality [</w:t>
      </w:r>
      <w:r w:rsidRPr="001A2CE9">
        <w:rPr>
          <w:i/>
        </w:rPr>
        <w:t>Egenskab</w:t>
      </w:r>
      <w:r w:rsidRPr="001A2CE9">
        <w:t>] by which or in which you are for others” (</w:t>
      </w:r>
      <w:r w:rsidRPr="001A2CE9">
        <w:rPr>
          <w:i/>
        </w:rPr>
        <w:t>WL</w:t>
      </w:r>
      <w:r w:rsidRPr="001A2CE9">
        <w:t xml:space="preserve"> 223 / 9:225).</w:t>
      </w:r>
      <w:r>
        <w:t xml:space="preserve"> Rather than seeing moral obligations coming from God as a weakness, Kierkegaard sees it as a source of eternal financing for our mora</w:t>
      </w:r>
      <w:r w:rsidR="003A7EF5">
        <w:t>l</w:t>
      </w:r>
      <w:r>
        <w:t xml:space="preserve"> obligations:</w:t>
      </w:r>
      <w:r w:rsidR="006D3BE8" w:rsidRPr="00B924A8">
        <w:rPr>
          <w:rFonts w:cs="Times New Roman"/>
        </w:rPr>
        <w:t xml:space="preserve"> </w:t>
      </w:r>
    </w:p>
    <w:p w14:paraId="3B7D863A" w14:textId="77777777" w:rsidR="006D3BE8" w:rsidRPr="00A334AA" w:rsidRDefault="006D3BE8" w:rsidP="006D3BE8">
      <w:pPr>
        <w:pStyle w:val="Quote"/>
      </w:pPr>
      <w:r w:rsidRPr="00B924A8">
        <w:t xml:space="preserve">God is not a part of existence in such a way that he demands his share for </w:t>
      </w:r>
      <w:r w:rsidRPr="00B924A8">
        <w:lastRenderedPageBreak/>
        <w:t>himself; he demands everything, but as you bring it you immediately receive, if I may put it this way, an endorsement designating where it should be forwarded, for God demands nothing for himself, although he demands everything from you (</w:t>
      </w:r>
      <w:r>
        <w:rPr>
          <w:i/>
        </w:rPr>
        <w:t>WL</w:t>
      </w:r>
      <w:r w:rsidRPr="00B924A8">
        <w:t xml:space="preserve"> 161</w:t>
      </w:r>
      <w:r>
        <w:t xml:space="preserve"> / 9:161</w:t>
      </w:r>
      <w:r w:rsidRPr="00B924A8">
        <w:t>).</w:t>
      </w:r>
      <w:r w:rsidRPr="005D4C21">
        <w:rPr>
          <w:rStyle w:val="FootnoteReference"/>
        </w:rPr>
        <w:footnoteReference w:id="25"/>
      </w:r>
    </w:p>
    <w:p w14:paraId="11DED8D7" w14:textId="3F6B1F57" w:rsidR="00A631EA" w:rsidRPr="00A631EA" w:rsidRDefault="006D3BE8" w:rsidP="00F01A0F">
      <w:pPr>
        <w:rPr>
          <w:rFonts w:cs="Times New Roman"/>
        </w:rPr>
      </w:pPr>
      <w:r>
        <w:rPr>
          <w:rFonts w:cs="Times New Roman"/>
        </w:rPr>
        <w:t>This passage provides the mature structure of Kierkegaard’s understanding of faith-in: God commands (obligates) the self to behave in certain ways towards others, but these obligations are not born as social commands.</w:t>
      </w:r>
      <w:r w:rsidR="00F01A0F">
        <w:rPr>
          <w:rFonts w:cs="Times New Roman"/>
        </w:rPr>
        <w:t xml:space="preserve"> Kierkegaard supplies an analogy that the </w:t>
      </w:r>
      <w:r w:rsidR="00F01A0F">
        <w:t xml:space="preserve">understanding counts and counts </w:t>
      </w:r>
      <w:r w:rsidR="00182A92">
        <w:t>as it approximates what one should do, but Kierkegaard believes that faith leapfrogs this and finds deeper non-ten</w:t>
      </w:r>
      <w:r w:rsidR="00F24FC6">
        <w:t>t</w:t>
      </w:r>
      <w:r w:rsidR="00182A92">
        <w:t>ative meaning in divine commands</w:t>
      </w:r>
      <w:r w:rsidR="00F01A0F">
        <w:t xml:space="preserve"> (</w:t>
      </w:r>
      <w:r w:rsidR="00F01A0F">
        <w:rPr>
          <w:i/>
        </w:rPr>
        <w:t>WL</w:t>
      </w:r>
      <w:r w:rsidR="00F01A0F">
        <w:t xml:space="preserve"> 105 / 9:109).</w:t>
      </w:r>
      <w:r w:rsidR="00F01A0F">
        <w:rPr>
          <w:rFonts w:cs="Times New Roman"/>
        </w:rPr>
        <w:t xml:space="preserve"> All of this implies that</w:t>
      </w:r>
      <w:r w:rsidR="001A2CE9">
        <w:rPr>
          <w:rFonts w:cs="Times New Roman"/>
        </w:rPr>
        <w:t xml:space="preserve"> Kierkegaard is consciously presenting a divine command account of moral obligation where the self</w:t>
      </w:r>
      <w:r w:rsidR="00AA681A">
        <w:rPr>
          <w:rFonts w:cs="Times New Roman"/>
        </w:rPr>
        <w:t>,</w:t>
      </w:r>
      <w:r w:rsidR="001A2CE9">
        <w:rPr>
          <w:rFonts w:cs="Times New Roman"/>
        </w:rPr>
        <w:t xml:space="preserve"> who has faith-in God</w:t>
      </w:r>
      <w:r w:rsidR="00AA681A">
        <w:rPr>
          <w:rFonts w:cs="Times New Roman"/>
        </w:rPr>
        <w:t>,</w:t>
      </w:r>
      <w:r w:rsidR="001A2CE9">
        <w:rPr>
          <w:rFonts w:cs="Times New Roman"/>
        </w:rPr>
        <w:t xml:space="preserve"> receives moral obligations from </w:t>
      </w:r>
      <w:r w:rsidR="00AA681A">
        <w:rPr>
          <w:rFonts w:cs="Times New Roman"/>
        </w:rPr>
        <w:t>God,</w:t>
      </w:r>
      <w:r w:rsidR="001A2CE9">
        <w:rPr>
          <w:rFonts w:cs="Times New Roman"/>
        </w:rPr>
        <w:t xml:space="preserve"> in contrast to a Hegelian social command.</w:t>
      </w:r>
    </w:p>
    <w:p w14:paraId="516DEA90" w14:textId="750AA48D" w:rsidR="006D3BE8" w:rsidRDefault="006D3BE8" w:rsidP="006D3BE8">
      <w:pPr>
        <w:pStyle w:val="Heading3"/>
      </w:pPr>
      <w:r>
        <w:t xml:space="preserve">III.C The Critique of Social Command Theory in </w:t>
      </w:r>
      <w:r w:rsidRPr="000944AD">
        <w:rPr>
          <w:i w:val="0"/>
        </w:rPr>
        <w:t>Works of Love</w:t>
      </w:r>
      <w:r>
        <w:t xml:space="preserve"> </w:t>
      </w:r>
    </w:p>
    <w:p w14:paraId="02B83796" w14:textId="7A2212BA" w:rsidR="006D3BE8" w:rsidRPr="006D3BE8" w:rsidRDefault="006D3BE8" w:rsidP="006D3BE8">
      <w:pPr>
        <w:ind w:firstLine="720"/>
      </w:pPr>
      <w:r>
        <w:rPr>
          <w:rFonts w:cs="Times New Roman"/>
        </w:rPr>
        <w:t>In this section, I maintain that at least some species of the belittler’s objection to faith-in hinges on a misunderstanding. As we have seen above, the self has obligations to others in society; what is missing is that these are not “social obligations” or to word it more clearly that the obligations to others are not the fruit of social co</w:t>
      </w:r>
      <w:r w:rsidR="00BA54A4">
        <w:rPr>
          <w:rFonts w:cs="Times New Roman"/>
        </w:rPr>
        <w:t>mmands and instead find their origin in</w:t>
      </w:r>
      <w:r>
        <w:rPr>
          <w:rFonts w:cs="Times New Roman"/>
        </w:rPr>
        <w:t xml:space="preserve"> divine commands. This distinction is important, because confusing the two issues sometimes causes belittlers to object to a strawman rather than faith-in.</w:t>
      </w:r>
    </w:p>
    <w:p w14:paraId="768CE551" w14:textId="0E5C7035" w:rsidR="00C779F7" w:rsidRDefault="006D3BE8" w:rsidP="006D3BE8">
      <w:pPr>
        <w:ind w:firstLine="720"/>
        <w:rPr>
          <w:rFonts w:cs="Times New Roman"/>
        </w:rPr>
      </w:pPr>
      <w:r>
        <w:rPr>
          <w:rFonts w:cs="Times New Roman"/>
        </w:rPr>
        <w:t xml:space="preserve">It is my contention that Mark C. Taylor fails to make this distinction. </w:t>
      </w:r>
      <w:r w:rsidR="00C779F7">
        <w:t xml:space="preserve">Taylor has also compared </w:t>
      </w:r>
      <w:r w:rsidR="00C779F7">
        <w:rPr>
          <w:i/>
        </w:rPr>
        <w:t>Spirit of Christianity</w:t>
      </w:r>
      <w:r w:rsidR="00C779F7">
        <w:t xml:space="preserve"> and </w:t>
      </w:r>
      <w:r w:rsidR="00C779F7">
        <w:rPr>
          <w:i/>
        </w:rPr>
        <w:t>Fear and Trembling</w:t>
      </w:r>
      <w:r w:rsidR="0072342B">
        <w:t xml:space="preserve"> declaring</w:t>
      </w:r>
      <w:r w:rsidR="003906AF">
        <w:rPr>
          <w:rFonts w:cs="Times New Roman"/>
        </w:rPr>
        <w:t xml:space="preserve"> that</w:t>
      </w:r>
      <w:r w:rsidR="00C779F7">
        <w:rPr>
          <w:rFonts w:cs="Times New Roman"/>
        </w:rPr>
        <w:t xml:space="preserve"> </w:t>
      </w:r>
      <w:r w:rsidR="0036099C" w:rsidRPr="00B924A8">
        <w:rPr>
          <w:rFonts w:cs="Times New Roman"/>
          <w:i/>
        </w:rPr>
        <w:t>Spirit of Ch</w:t>
      </w:r>
      <w:r>
        <w:rPr>
          <w:rFonts w:cs="Times New Roman"/>
          <w:i/>
        </w:rPr>
        <w:t>r</w:t>
      </w:r>
      <w:r w:rsidR="0036099C" w:rsidRPr="00B924A8">
        <w:rPr>
          <w:rFonts w:cs="Times New Roman"/>
          <w:i/>
        </w:rPr>
        <w:t>istianity</w:t>
      </w:r>
      <w:r w:rsidR="0072342B">
        <w:rPr>
          <w:rFonts w:cs="Times New Roman"/>
        </w:rPr>
        <w:t xml:space="preserve"> contains</w:t>
      </w:r>
      <w:r w:rsidR="0036099C" w:rsidRPr="00B924A8">
        <w:rPr>
          <w:rFonts w:cs="Times New Roman"/>
        </w:rPr>
        <w:t xml:space="preserve"> “Hegel's anticipation of important dimensions of Kierkegaard's philosophical and </w:t>
      </w:r>
      <w:r w:rsidR="0036099C" w:rsidRPr="00B924A8">
        <w:rPr>
          <w:rFonts w:cs="Times New Roman"/>
        </w:rPr>
        <w:lastRenderedPageBreak/>
        <w:t>theological perspective.”</w:t>
      </w:r>
      <w:r w:rsidR="0036099C" w:rsidRPr="005D4C21">
        <w:rPr>
          <w:rStyle w:val="FootnoteReference"/>
        </w:rPr>
        <w:footnoteReference w:id="26"/>
      </w:r>
      <w:r w:rsidR="00C779F7">
        <w:rPr>
          <w:rFonts w:cs="Times New Roman"/>
        </w:rPr>
        <w:t xml:space="preserve"> Central to this for Taylor is the critical line that “</w:t>
      </w:r>
      <w:r w:rsidR="00BA54A4">
        <w:rPr>
          <w:rFonts w:cs="Times New Roman"/>
        </w:rPr>
        <w:t>[i]</w:t>
      </w:r>
      <w:r w:rsidR="00C779F7" w:rsidRPr="00C779F7">
        <w:rPr>
          <w:rFonts w:cs="Times New Roman"/>
        </w:rPr>
        <w:t>ndividual selfhood is most completely actualized in the isolation from other persons and the opposition to the natural realm</w:t>
      </w:r>
      <w:r w:rsidR="00C779F7">
        <w:rPr>
          <w:rFonts w:cs="Times New Roman"/>
        </w:rPr>
        <w:t xml:space="preserve"> established by total devotion</w:t>
      </w:r>
      <w:r w:rsidR="00C779F7" w:rsidRPr="00C779F7">
        <w:rPr>
          <w:rFonts w:cs="Times New Roman"/>
        </w:rPr>
        <w:t xml:space="preserve"> to the transcendent Lord over against whom the i</w:t>
      </w:r>
      <w:r w:rsidR="00A334AA">
        <w:rPr>
          <w:rFonts w:cs="Times New Roman"/>
        </w:rPr>
        <w:t xml:space="preserve">ndividual always stands. </w:t>
      </w:r>
      <w:r w:rsidR="00C779F7">
        <w:rPr>
          <w:rFonts w:cs="Times New Roman"/>
        </w:rPr>
        <w:t>”</w:t>
      </w:r>
      <w:r w:rsidR="00C779F7" w:rsidRPr="005D4C21">
        <w:rPr>
          <w:rStyle w:val="FootnoteReference"/>
        </w:rPr>
        <w:footnoteReference w:id="27"/>
      </w:r>
      <w:r w:rsidR="00C779F7">
        <w:rPr>
          <w:rFonts w:cs="Times New Roman"/>
        </w:rPr>
        <w:t xml:space="preserve"> In a different article, </w:t>
      </w:r>
      <w:r w:rsidR="00C779F7" w:rsidRPr="00B924A8">
        <w:rPr>
          <w:rFonts w:cs="Times New Roman"/>
        </w:rPr>
        <w:t xml:space="preserve">Taylor </w:t>
      </w:r>
      <w:r w:rsidR="00A334AA">
        <w:rPr>
          <w:rFonts w:cs="Times New Roman"/>
        </w:rPr>
        <w:t xml:space="preserve">states </w:t>
      </w:r>
      <w:r w:rsidR="00C779F7" w:rsidRPr="00B924A8">
        <w:rPr>
          <w:rFonts w:cs="Times New Roman"/>
        </w:rPr>
        <w:t>that “Kierkegaard’s vision of authentic selfhood or realized spirit is fundamentally non-social” and contrasts this with the claim “for Hegel selfhood or spirit is inherently social.”</w:t>
      </w:r>
      <w:r w:rsidR="00C779F7" w:rsidRPr="005D4C21">
        <w:rPr>
          <w:rStyle w:val="FootnoteReference"/>
        </w:rPr>
        <w:footnoteReference w:id="28"/>
      </w:r>
    </w:p>
    <w:p w14:paraId="09BB146D" w14:textId="23BB2FC1" w:rsidR="007A3B5D" w:rsidRDefault="00C779F7" w:rsidP="00A334AA">
      <w:pPr>
        <w:ind w:firstLine="720"/>
        <w:rPr>
          <w:rFonts w:cs="Times New Roman"/>
        </w:rPr>
      </w:pPr>
      <w:r>
        <w:rPr>
          <w:rFonts w:cs="Times New Roman"/>
        </w:rPr>
        <w:t xml:space="preserve">I believe Taylor has misunderstood the point de Silentio is making. </w:t>
      </w:r>
      <w:r w:rsidR="0072342B">
        <w:rPr>
          <w:rFonts w:cs="Times New Roman"/>
        </w:rPr>
        <w:t>Taylor’s critique here hinges on a failure to</w:t>
      </w:r>
      <w:r w:rsidR="00A334AA">
        <w:rPr>
          <w:rFonts w:cs="Times New Roman"/>
        </w:rPr>
        <w:t xml:space="preserve"> distinguish between sources of moral obligation and recipients o</w:t>
      </w:r>
      <w:r w:rsidR="0072342B">
        <w:rPr>
          <w:rFonts w:cs="Times New Roman"/>
        </w:rPr>
        <w:t xml:space="preserve">f moral obligation captured in the two senses of sentences like this: </w:t>
      </w:r>
      <w:r w:rsidR="00A334AA">
        <w:rPr>
          <w:rFonts w:cs="Times New Roman"/>
        </w:rPr>
        <w:t>“</w:t>
      </w:r>
      <w:r w:rsidR="00A334AA" w:rsidRPr="00A334AA">
        <w:rPr>
          <w:rFonts w:cs="Times New Roman"/>
        </w:rPr>
        <w:t>Abraham's type of faith exacerbates the opposition between the individual a</w:t>
      </w:r>
      <w:r w:rsidR="0072342B">
        <w:rPr>
          <w:rFonts w:cs="Times New Roman"/>
        </w:rPr>
        <w:t>nd his social and natural world.</w:t>
      </w:r>
      <w:r w:rsidR="00A334AA">
        <w:rPr>
          <w:rFonts w:cs="Times New Roman"/>
        </w:rPr>
        <w:t>”</w:t>
      </w:r>
      <w:r w:rsidR="00A334AA" w:rsidRPr="005D4C21">
        <w:rPr>
          <w:rStyle w:val="FootnoteReference"/>
        </w:rPr>
        <w:footnoteReference w:id="29"/>
      </w:r>
      <w:r w:rsidR="0072342B">
        <w:rPr>
          <w:rFonts w:cs="Times New Roman"/>
        </w:rPr>
        <w:t xml:space="preserve"> This</w:t>
      </w:r>
      <w:r w:rsidR="007A3B5D">
        <w:rPr>
          <w:rFonts w:cs="Times New Roman"/>
        </w:rPr>
        <w:t xml:space="preserve"> could refer either to an Abraham who has moral beliefs that stands opposed to everything in nature or an Abraham whose sourc</w:t>
      </w:r>
      <w:r w:rsidR="008F1EA6">
        <w:rPr>
          <w:rFonts w:cs="Times New Roman"/>
        </w:rPr>
        <w:t xml:space="preserve">e of moral obligation is neither found in </w:t>
      </w:r>
      <w:r w:rsidR="007A3B5D">
        <w:rPr>
          <w:rFonts w:cs="Times New Roman"/>
        </w:rPr>
        <w:t xml:space="preserve">natural law </w:t>
      </w:r>
      <w:r w:rsidR="008F1EA6">
        <w:rPr>
          <w:rFonts w:cs="Times New Roman"/>
        </w:rPr>
        <w:t>n</w:t>
      </w:r>
      <w:r w:rsidR="00A207D8">
        <w:rPr>
          <w:rFonts w:cs="Times New Roman"/>
        </w:rPr>
        <w:t>or</w:t>
      </w:r>
      <w:r w:rsidR="007A3B5D">
        <w:rPr>
          <w:rFonts w:cs="Times New Roman"/>
        </w:rPr>
        <w:t xml:space="preserve"> social convention.</w:t>
      </w:r>
    </w:p>
    <w:p w14:paraId="24278480" w14:textId="02ACA7F2" w:rsidR="0072342B" w:rsidRPr="0072212E" w:rsidRDefault="0072342B" w:rsidP="00570838">
      <w:pPr>
        <w:ind w:firstLine="720"/>
        <w:rPr>
          <w:rStyle w:val="QuoteChar"/>
          <w:rFonts w:ascii="Times New Roman" w:hAnsi="Times New Roman" w:cs="Times New Roman"/>
          <w:iCs w:val="0"/>
        </w:rPr>
      </w:pPr>
      <w:r>
        <w:rPr>
          <w:rFonts w:cs="Times New Roman"/>
        </w:rPr>
        <w:t>My position is that faith-in, as presented Kierkegaard and his pseudonyms,</w:t>
      </w:r>
      <w:r w:rsidRPr="005D4C21">
        <w:rPr>
          <w:rStyle w:val="FootnoteReference"/>
        </w:rPr>
        <w:footnoteReference w:id="30"/>
      </w:r>
      <w:r>
        <w:rPr>
          <w:rFonts w:cs="Times New Roman"/>
        </w:rPr>
        <w:t xml:space="preserve"> only implies the latter</w:t>
      </w:r>
      <w:r w:rsidR="00656AA7">
        <w:rPr>
          <w:rFonts w:cs="Times New Roman"/>
        </w:rPr>
        <w:t xml:space="preserve"> but does not contain the former</w:t>
      </w:r>
      <w:r>
        <w:rPr>
          <w:rFonts w:cs="Times New Roman"/>
        </w:rPr>
        <w:t>.</w:t>
      </w:r>
      <w:r w:rsidR="006B41C0">
        <w:rPr>
          <w:rFonts w:cs="Times New Roman"/>
        </w:rPr>
        <w:t xml:space="preserve"> First off, </w:t>
      </w:r>
      <w:r w:rsidR="006B41C0">
        <w:rPr>
          <w:rFonts w:cs="Times New Roman"/>
          <w:i/>
        </w:rPr>
        <w:t>Fear and Trembling</w:t>
      </w:r>
      <w:r w:rsidR="006B41C0">
        <w:rPr>
          <w:rFonts w:cs="Times New Roman"/>
        </w:rPr>
        <w:t xml:space="preserve"> is about learning to follow Abraham in faith – not murder, and Abraham’s example of faith-in is used to </w:t>
      </w:r>
      <w:r w:rsidRPr="00B924A8">
        <w:rPr>
          <w:rFonts w:cs="Times New Roman"/>
        </w:rPr>
        <w:t xml:space="preserve">“jack up the price [at skrue Prisen op]” </w:t>
      </w:r>
      <w:r w:rsidR="006B41C0">
        <w:rPr>
          <w:rFonts w:cs="Times New Roman"/>
        </w:rPr>
        <w:t xml:space="preserve">of faith </w:t>
      </w:r>
      <w:r w:rsidRPr="00B924A8">
        <w:rPr>
          <w:rFonts w:cs="Times New Roman"/>
        </w:rPr>
        <w:t>in the realm of spirit (</w:t>
      </w:r>
      <w:r w:rsidRPr="00B924A8">
        <w:rPr>
          <w:rFonts w:cs="Times New Roman"/>
          <w:i/>
        </w:rPr>
        <w:t>FT</w:t>
      </w:r>
      <w:r w:rsidRPr="00B924A8">
        <w:rPr>
          <w:rFonts w:cs="Times New Roman"/>
        </w:rPr>
        <w:t xml:space="preserve"> 121 / 4:208). </w:t>
      </w:r>
      <w:r w:rsidR="00D3472F">
        <w:rPr>
          <w:rFonts w:cs="Times New Roman"/>
        </w:rPr>
        <w:t xml:space="preserve">Here, </w:t>
      </w:r>
      <w:r w:rsidR="00D3472F">
        <w:rPr>
          <w:rFonts w:cs="Times New Roman"/>
        </w:rPr>
        <w:lastRenderedPageBreak/>
        <w:t>th</w:t>
      </w:r>
      <w:r w:rsidR="00FB448C">
        <w:rPr>
          <w:rFonts w:cs="Times New Roman"/>
        </w:rPr>
        <w:t>e central demonstration of Abr</w:t>
      </w:r>
      <w:r w:rsidR="00D3472F">
        <w:rPr>
          <w:rFonts w:cs="Times New Roman"/>
        </w:rPr>
        <w:t xml:space="preserve">am’s faith-in is </w:t>
      </w:r>
      <w:r w:rsidR="00FB448C">
        <w:rPr>
          <w:rFonts w:cs="Times New Roman"/>
        </w:rPr>
        <w:t xml:space="preserve">as Kvanvig describes for faith in: </w:t>
      </w:r>
      <w:r w:rsidR="00D3472F">
        <w:rPr>
          <w:rFonts w:cs="Times New Roman"/>
        </w:rPr>
        <w:t>“when God says go, Abraham goes.</w:t>
      </w:r>
      <w:r w:rsidR="00D3472F" w:rsidRPr="00B924A8">
        <w:rPr>
          <w:rFonts w:cs="Times New Roman"/>
        </w:rPr>
        <w:t>”</w:t>
      </w:r>
      <w:r w:rsidR="00D3472F" w:rsidRPr="005D4C21">
        <w:rPr>
          <w:rStyle w:val="FootnoteReference"/>
        </w:rPr>
        <w:footnoteReference w:id="31"/>
      </w:r>
      <w:r w:rsidR="00D3472F">
        <w:rPr>
          <w:rFonts w:cs="Times New Roman"/>
        </w:rPr>
        <w:t xml:space="preserve"> Thus, this is primarily obedien</w:t>
      </w:r>
      <w:r w:rsidR="00656AA7">
        <w:rPr>
          <w:rFonts w:cs="Times New Roman"/>
        </w:rPr>
        <w:t>c</w:t>
      </w:r>
      <w:r w:rsidR="00D3472F">
        <w:rPr>
          <w:rFonts w:cs="Times New Roman"/>
        </w:rPr>
        <w:t>e to these commands in Abraham’s action in the world. and this is primarily about “following the command of God” in this world.</w:t>
      </w:r>
      <w:r w:rsidR="00570838">
        <w:rPr>
          <w:rFonts w:cs="Times New Roman"/>
        </w:rPr>
        <w:t xml:space="preserve"> </w:t>
      </w:r>
      <w:r w:rsidR="00FB448C">
        <w:rPr>
          <w:rFonts w:cs="Times New Roman"/>
        </w:rPr>
        <w:t>Worded another way, Abr</w:t>
      </w:r>
      <w:r w:rsidRPr="00B924A8">
        <w:rPr>
          <w:rFonts w:cs="Times New Roman"/>
        </w:rPr>
        <w:t xml:space="preserve">am singlehandedly rejects a social command theory approach and acts from a special relation with transcendence. </w:t>
      </w:r>
      <w:r w:rsidR="00FB448C">
        <w:rPr>
          <w:rFonts w:cs="Times New Roman"/>
        </w:rPr>
        <w:t xml:space="preserve">Through this, </w:t>
      </w:r>
      <w:r w:rsidRPr="00B924A8">
        <w:rPr>
          <w:rFonts w:cs="Times New Roman"/>
        </w:rPr>
        <w:t>Abraham functions as an exemplar</w:t>
      </w:r>
      <w:r w:rsidR="00FB448C">
        <w:rPr>
          <w:rFonts w:cs="Times New Roman"/>
        </w:rPr>
        <w:t xml:space="preserve"> of faith</w:t>
      </w:r>
      <w:r w:rsidRPr="00B924A8">
        <w:rPr>
          <w:rFonts w:cs="Times New Roman"/>
        </w:rPr>
        <w:t xml:space="preserve"> because he recognizes faith-in as a source of moral knowledge that teleologically suspends the ethical.</w:t>
      </w:r>
    </w:p>
    <w:p w14:paraId="34B39AAC" w14:textId="77777777" w:rsidR="008B7D80" w:rsidRDefault="003906AF" w:rsidP="00F01A0F">
      <w:pPr>
        <w:ind w:firstLine="720"/>
        <w:rPr>
          <w:rFonts w:cs="Times New Roman"/>
        </w:rPr>
      </w:pPr>
      <w:r>
        <w:rPr>
          <w:rFonts w:cs="Times New Roman"/>
        </w:rPr>
        <w:t xml:space="preserve">Second, </w:t>
      </w:r>
      <w:r>
        <w:rPr>
          <w:rFonts w:cs="Times New Roman"/>
          <w:i/>
        </w:rPr>
        <w:t>Works of Love</w:t>
      </w:r>
      <w:r>
        <w:rPr>
          <w:rFonts w:cs="Times New Roman"/>
        </w:rPr>
        <w:t xml:space="preserve"> does not present a theory where the self has no social responsibility or obligations to others. </w:t>
      </w:r>
      <w:r w:rsidR="0072342B" w:rsidRPr="00B924A8">
        <w:rPr>
          <w:rFonts w:cs="Times New Roman"/>
        </w:rPr>
        <w:t>As C. Stephen Evans, building on Robert Merrihew Adams,</w:t>
      </w:r>
      <w:r w:rsidR="0072342B" w:rsidRPr="005D4C21">
        <w:rPr>
          <w:rStyle w:val="FootnoteReference"/>
        </w:rPr>
        <w:footnoteReference w:id="32"/>
      </w:r>
      <w:r w:rsidR="0072342B" w:rsidRPr="00B924A8">
        <w:rPr>
          <w:rFonts w:cs="Times New Roman"/>
        </w:rPr>
        <w:t xml:space="preserve"> has convincingly argued, despite the gory case of the </w:t>
      </w:r>
      <w:r w:rsidR="0072342B" w:rsidRPr="00B924A8">
        <w:rPr>
          <w:rFonts w:cs="Times New Roman"/>
          <w:i/>
        </w:rPr>
        <w:t>Akedah</w:t>
      </w:r>
      <w:r w:rsidR="0072342B" w:rsidRPr="00B924A8">
        <w:rPr>
          <w:rFonts w:cs="Times New Roman"/>
        </w:rPr>
        <w:t>, Kierkegaard’s point need not be seen as advocating voluntaristic divine command theory (i.e., the sort of view that maintains God could command anyone at any time to commit atrocities).</w:t>
      </w:r>
      <w:r w:rsidR="0072342B" w:rsidRPr="005D4C21">
        <w:rPr>
          <w:rStyle w:val="FootnoteReference"/>
        </w:rPr>
        <w:footnoteReference w:id="33"/>
      </w:r>
      <w:r w:rsidR="0072342B" w:rsidRPr="00B924A8">
        <w:rPr>
          <w:rFonts w:cs="Times New Roman"/>
        </w:rPr>
        <w:t xml:space="preserve"> Instead, it can be seen as an intermediate divine command theory where something becomes obligatory when God commands.</w:t>
      </w:r>
      <w:r w:rsidR="0072342B" w:rsidRPr="005D4C21">
        <w:rPr>
          <w:rStyle w:val="FootnoteReference"/>
        </w:rPr>
        <w:footnoteReference w:id="34"/>
      </w:r>
      <w:r w:rsidR="0072342B" w:rsidRPr="00B924A8">
        <w:rPr>
          <w:rFonts w:cs="Times New Roman"/>
        </w:rPr>
        <w:t xml:space="preserve"> This </w:t>
      </w:r>
      <w:r w:rsidR="00FB448C">
        <w:rPr>
          <w:rFonts w:cs="Times New Roman"/>
        </w:rPr>
        <w:t xml:space="preserve">can be done without figuring out why God picks to </w:t>
      </w:r>
      <w:r w:rsidR="008B7D80">
        <w:rPr>
          <w:rFonts w:cs="Times New Roman"/>
        </w:rPr>
        <w:t xml:space="preserve">command </w:t>
      </w:r>
      <w:r w:rsidR="008B7D80">
        <w:rPr>
          <w:rFonts w:cs="Times New Roman"/>
        </w:rPr>
        <w:lastRenderedPageBreak/>
        <w:t xml:space="preserve">something and thereby </w:t>
      </w:r>
      <w:r w:rsidR="00FB448C">
        <w:rPr>
          <w:rFonts w:cs="Times New Roman"/>
        </w:rPr>
        <w:t xml:space="preserve">make </w:t>
      </w:r>
      <w:r w:rsidR="008B7D80">
        <w:rPr>
          <w:rFonts w:cs="Times New Roman"/>
        </w:rPr>
        <w:t>it</w:t>
      </w:r>
      <w:r w:rsidR="00FB448C">
        <w:rPr>
          <w:rFonts w:cs="Times New Roman"/>
        </w:rPr>
        <w:t xml:space="preserve"> obligatory</w:t>
      </w:r>
      <w:r w:rsidR="0072342B" w:rsidRPr="00B924A8">
        <w:rPr>
          <w:rFonts w:cs="Times New Roman"/>
        </w:rPr>
        <w:t>, because the issue in question for faith-in is that the one who has faith-in sees the object of faith as a source of moral knowledge or obligation.</w:t>
      </w:r>
      <w:r w:rsidR="00F01A0F">
        <w:rPr>
          <w:rFonts w:cs="Times New Roman"/>
        </w:rPr>
        <w:t xml:space="preserve"> </w:t>
      </w:r>
    </w:p>
    <w:p w14:paraId="4F9995D9" w14:textId="1EFAD910" w:rsidR="00A334AA" w:rsidRDefault="008B7D80" w:rsidP="008B7D80">
      <w:pPr>
        <w:ind w:firstLine="720"/>
        <w:rPr>
          <w:rFonts w:cs="Times New Roman"/>
        </w:rPr>
      </w:pPr>
      <w:r>
        <w:rPr>
          <w:rFonts w:cs="Times New Roman"/>
        </w:rPr>
        <w:t>This arrangement</w:t>
      </w:r>
      <w:r w:rsidR="007A3B5D">
        <w:rPr>
          <w:rFonts w:cs="Times New Roman"/>
        </w:rPr>
        <w:t xml:space="preserve"> does, however, validate the second charge, that </w:t>
      </w:r>
      <w:r w:rsidR="00C779F7">
        <w:rPr>
          <w:rFonts w:cs="Times New Roman"/>
        </w:rPr>
        <w:t>the self has a source of moral obligation</w:t>
      </w:r>
      <w:r w:rsidR="00A334AA">
        <w:rPr>
          <w:rFonts w:cs="Times New Roman"/>
        </w:rPr>
        <w:t xml:space="preserve"> in divine commands that are</w:t>
      </w:r>
      <w:r w:rsidR="00C779F7">
        <w:rPr>
          <w:rFonts w:cs="Times New Roman"/>
        </w:rPr>
        <w:t xml:space="preserve"> not social</w:t>
      </w:r>
      <w:r w:rsidR="00A334AA">
        <w:rPr>
          <w:rFonts w:cs="Times New Roman"/>
        </w:rPr>
        <w:t xml:space="preserve"> commands (here meaning commands or obligations that issue from the self’s community to the self)</w:t>
      </w:r>
      <w:r w:rsidR="00C779F7">
        <w:rPr>
          <w:rFonts w:cs="Times New Roman"/>
        </w:rPr>
        <w:t>.</w:t>
      </w:r>
      <w:r w:rsidR="00A334AA">
        <w:rPr>
          <w:rFonts w:cs="Times New Roman"/>
        </w:rPr>
        <w:t xml:space="preserve"> </w:t>
      </w:r>
      <w:r>
        <w:rPr>
          <w:rFonts w:cs="Times New Roman"/>
        </w:rPr>
        <w:t>This defense of Kierkegaard is not the singular domain of partisan</w:t>
      </w:r>
      <w:r w:rsidR="00656AA7">
        <w:rPr>
          <w:rFonts w:cs="Times New Roman"/>
        </w:rPr>
        <w:t xml:space="preserve"> Kierkegaard scholars. </w:t>
      </w:r>
      <w:r w:rsidR="00A334AA">
        <w:rPr>
          <w:rFonts w:cs="Times New Roman"/>
        </w:rPr>
        <w:t xml:space="preserve">Stern </w:t>
      </w:r>
      <w:r w:rsidR="00656AA7">
        <w:rPr>
          <w:rFonts w:cs="Times New Roman"/>
        </w:rPr>
        <w:t xml:space="preserve">rightly </w:t>
      </w:r>
      <w:r w:rsidR="00A334AA">
        <w:rPr>
          <w:rFonts w:cs="Times New Roman"/>
        </w:rPr>
        <w:t xml:space="preserve">captures </w:t>
      </w:r>
      <w:r w:rsidR="00656AA7">
        <w:rPr>
          <w:rFonts w:cs="Times New Roman"/>
        </w:rPr>
        <w:t>that this is a debate about legitimate sources of obligation – not whether moral selves have obligations to others in society:</w:t>
      </w:r>
    </w:p>
    <w:p w14:paraId="469F5EF7" w14:textId="4E897F7D" w:rsidR="00A334AA" w:rsidRDefault="00A334AA" w:rsidP="007A3B5D">
      <w:pPr>
        <w:pStyle w:val="Quote"/>
        <w:rPr>
          <w:rFonts w:cs="Times New Roman"/>
        </w:rPr>
      </w:pPr>
      <w:r>
        <w:t>The root of Kierkegaard's concern here, I will argue, has to do with the relation between ethics and faith: on Hegel's social theory of obligation, there is a huge cost in religious terms, as such a theory cannot treat the good and the right as transcendent and thus beyond our· full comprehension, while for· Kierkegaard it is precisely this transcendence which it is necessary· to acknowledge if we are to stand in the proper relation to the divine.</w:t>
      </w:r>
      <w:r w:rsidRPr="005D4C21">
        <w:rPr>
          <w:rStyle w:val="FootnoteReference"/>
        </w:rPr>
        <w:footnoteReference w:id="35"/>
      </w:r>
    </w:p>
    <w:p w14:paraId="23271F63" w14:textId="2EEBE88A" w:rsidR="008B7D80" w:rsidRDefault="00A334AA" w:rsidP="00A334AA">
      <w:pPr>
        <w:rPr>
          <w:rFonts w:cs="Times New Roman"/>
        </w:rPr>
      </w:pPr>
      <w:r>
        <w:rPr>
          <w:rFonts w:cs="Times New Roman"/>
        </w:rPr>
        <w:t>In other words, the disagreement between Hegel and Kierkegaard is whether transcendence can trump immanence as a source of moral knowledge or whether all sources of moral knowledge must be subject to upheaval [</w:t>
      </w:r>
      <w:r>
        <w:rPr>
          <w:rFonts w:cs="Times New Roman"/>
          <w:i/>
        </w:rPr>
        <w:t>Aufgebung</w:t>
      </w:r>
      <w:r>
        <w:rPr>
          <w:rFonts w:cs="Times New Roman"/>
        </w:rPr>
        <w:t>] and brought into a unif</w:t>
      </w:r>
      <w:r w:rsidR="008B7D80">
        <w:rPr>
          <w:rFonts w:cs="Times New Roman"/>
        </w:rPr>
        <w:t>ied picture of moral knowledge.</w:t>
      </w:r>
    </w:p>
    <w:p w14:paraId="7A7257C9" w14:textId="3BB824E6" w:rsidR="00C779F7" w:rsidRPr="003906AF" w:rsidRDefault="008B7D80" w:rsidP="003906AF">
      <w:pPr>
        <w:ind w:firstLine="720"/>
        <w:rPr>
          <w:rFonts w:cs="Times New Roman"/>
        </w:rPr>
      </w:pPr>
      <w:r>
        <w:rPr>
          <w:rFonts w:cs="Times New Roman"/>
        </w:rPr>
        <w:t>A further factor in support of this reading is that while some recent and contemporary belittlers seem to fail to grasp this distinction, it is not clear that Hegel also failed to</w:t>
      </w:r>
      <w:r w:rsidR="003906AF">
        <w:rPr>
          <w:rFonts w:cs="Times New Roman"/>
        </w:rPr>
        <w:t xml:space="preserve"> grasp the distinction between sources of moral obligation and recipients of moral obligation. </w:t>
      </w:r>
      <w:r w:rsidR="00A334AA">
        <w:rPr>
          <w:rFonts w:cs="Times New Roman"/>
        </w:rPr>
        <w:t xml:space="preserve">My sense is that </w:t>
      </w:r>
      <w:r w:rsidR="003906AF">
        <w:rPr>
          <w:rFonts w:cs="Times New Roman"/>
        </w:rPr>
        <w:t xml:space="preserve">part of </w:t>
      </w:r>
      <w:r w:rsidR="00A334AA">
        <w:rPr>
          <w:rFonts w:cs="Times New Roman"/>
        </w:rPr>
        <w:t xml:space="preserve">what belittlers find troubling is the very idea of faith-in as a source of moral </w:t>
      </w:r>
      <w:r w:rsidR="00A334AA">
        <w:rPr>
          <w:rFonts w:cs="Times New Roman"/>
        </w:rPr>
        <w:lastRenderedPageBreak/>
        <w:t>obligation regardless of whether it can and does supply obligations that equal those of social commands; it is the very idea that is odious.</w:t>
      </w:r>
      <w:r w:rsidR="009F2EBF">
        <w:rPr>
          <w:rFonts w:cs="Times New Roman"/>
        </w:rPr>
        <w:t xml:space="preserve"> Thus, while I’m critical of the precision of Taylor’s objection above, I think he expresses clearly the belittlers conclusion about Abraham and faith-in when he describes Abraham’s </w:t>
      </w:r>
      <w:r w:rsidR="009F2EBF" w:rsidRPr="00B924A8">
        <w:rPr>
          <w:rFonts w:cs="Times New Roman"/>
        </w:rPr>
        <w:t>relation with transcendence</w:t>
      </w:r>
      <w:r w:rsidR="009F2EBF">
        <w:rPr>
          <w:rFonts w:cs="Times New Roman"/>
        </w:rPr>
        <w:t xml:space="preserve"> </w:t>
      </w:r>
      <w:r w:rsidR="0025685A">
        <w:rPr>
          <w:rFonts w:cs="Times New Roman"/>
        </w:rPr>
        <w:t>plops the self into</w:t>
      </w:r>
      <w:r w:rsidR="009F2EBF" w:rsidRPr="00B924A8">
        <w:rPr>
          <w:rFonts w:cs="Times New Roman"/>
        </w:rPr>
        <w:t xml:space="preserve"> “a more profound servitude.”</w:t>
      </w:r>
      <w:r w:rsidR="009F2EBF" w:rsidRPr="005D4C21">
        <w:rPr>
          <w:rStyle w:val="FootnoteReference"/>
        </w:rPr>
        <w:footnoteReference w:id="36"/>
      </w:r>
    </w:p>
    <w:p w14:paraId="6212B5CA" w14:textId="135F5312" w:rsidR="00AF0368" w:rsidRDefault="008A1946" w:rsidP="00097D6B">
      <w:pPr>
        <w:pStyle w:val="Heading2"/>
        <w:numPr>
          <w:ilvl w:val="0"/>
          <w:numId w:val="1"/>
        </w:numPr>
        <w:ind w:left="720"/>
      </w:pPr>
      <w:r>
        <w:t>Conclusion</w:t>
      </w:r>
    </w:p>
    <w:p w14:paraId="590E0907" w14:textId="07976927" w:rsidR="00C10F4E" w:rsidRPr="00B924A8" w:rsidRDefault="00C10F4E" w:rsidP="00AC62F4">
      <w:pPr>
        <w:ind w:firstLine="720"/>
        <w:rPr>
          <w:rFonts w:cs="Times New Roman"/>
        </w:rPr>
      </w:pPr>
      <w:r w:rsidRPr="00B924A8">
        <w:rPr>
          <w:rFonts w:cs="Times New Roman"/>
        </w:rPr>
        <w:t>The actors change, but the play remain</w:t>
      </w:r>
      <w:r w:rsidR="008B7D80">
        <w:rPr>
          <w:rFonts w:cs="Times New Roman"/>
        </w:rPr>
        <w:t>s the same. As Thulstrup remarked</w:t>
      </w:r>
      <w:r w:rsidRPr="00B924A8">
        <w:rPr>
          <w:rFonts w:cs="Times New Roman"/>
        </w:rPr>
        <w:t xml:space="preserve">, Kierkegaard </w:t>
      </w:r>
      <w:r w:rsidR="008B7D80">
        <w:rPr>
          <w:rFonts w:cs="Times New Roman"/>
        </w:rPr>
        <w:t xml:space="preserve">once </w:t>
      </w:r>
      <w:r w:rsidRPr="00B924A8">
        <w:rPr>
          <w:rFonts w:cs="Times New Roman"/>
        </w:rPr>
        <w:t>used “modern science” as a synonym for the “speculative whole” that is Hegelian philosophy.</w:t>
      </w:r>
      <w:r w:rsidRPr="005D4C21">
        <w:rPr>
          <w:rStyle w:val="FootnoteReference"/>
        </w:rPr>
        <w:footnoteReference w:id="37"/>
      </w:r>
      <w:r w:rsidRPr="00B924A8">
        <w:rPr>
          <w:rFonts w:cs="Times New Roman"/>
        </w:rPr>
        <w:t xml:space="preserve"> This word choice is felicitous for our</w:t>
      </w:r>
      <w:r w:rsidR="008B7D80">
        <w:rPr>
          <w:rFonts w:cs="Times New Roman"/>
        </w:rPr>
        <w:t xml:space="preserve"> age – since by keeping the phrase</w:t>
      </w:r>
      <w:r w:rsidRPr="00B924A8">
        <w:rPr>
          <w:rFonts w:cs="Times New Roman"/>
        </w:rPr>
        <w:t xml:space="preserve"> and substituting in the contemporary meaning, the critique remains roughly the same. </w:t>
      </w:r>
      <w:r w:rsidR="002D2ED1" w:rsidRPr="00B924A8">
        <w:rPr>
          <w:rFonts w:cs="Times New Roman"/>
        </w:rPr>
        <w:t>For both Hegel and Kierkegaard, faith</w:t>
      </w:r>
      <w:r w:rsidR="0056553F" w:rsidRPr="00B924A8">
        <w:rPr>
          <w:rFonts w:cs="Times New Roman"/>
        </w:rPr>
        <w:t>-in</w:t>
      </w:r>
      <w:r w:rsidR="002D2ED1" w:rsidRPr="00B924A8">
        <w:rPr>
          <w:rFonts w:cs="Times New Roman"/>
        </w:rPr>
        <w:t xml:space="preserve"> is to have just the sort of relation where God serves as an independent source of obligations to act, to believe, and to think. </w:t>
      </w:r>
      <w:r w:rsidR="0056553F" w:rsidRPr="00B924A8">
        <w:rPr>
          <w:rFonts w:cs="Times New Roman"/>
        </w:rPr>
        <w:t>Both</w:t>
      </w:r>
      <w:r w:rsidR="002D2ED1" w:rsidRPr="00B924A8">
        <w:rPr>
          <w:rFonts w:cs="Times New Roman"/>
        </w:rPr>
        <w:t xml:space="preserve"> understand faith as a faith-in-a-person (trust), something that provides the self with a subjective source of knowledge outside of the objective community. </w:t>
      </w:r>
      <w:r w:rsidR="0056553F" w:rsidRPr="00B924A8">
        <w:rPr>
          <w:rFonts w:cs="Times New Roman"/>
        </w:rPr>
        <w:t>Both</w:t>
      </w:r>
      <w:r w:rsidR="002D2ED1" w:rsidRPr="00B924A8">
        <w:rPr>
          <w:rFonts w:cs="Times New Roman"/>
        </w:rPr>
        <w:t xml:space="preserve"> agree that faith-in threatens the holism of the epistemic community</w:t>
      </w:r>
      <w:r w:rsidR="00980EAB" w:rsidRPr="00B924A8">
        <w:rPr>
          <w:rFonts w:cs="Times New Roman"/>
        </w:rPr>
        <w:t xml:space="preserve"> which provides social commands</w:t>
      </w:r>
      <w:r w:rsidR="002D2ED1" w:rsidRPr="00B924A8">
        <w:rPr>
          <w:rFonts w:cs="Times New Roman"/>
        </w:rPr>
        <w:t>.</w:t>
      </w:r>
      <w:r w:rsidR="006B60C7" w:rsidRPr="00B924A8">
        <w:rPr>
          <w:rFonts w:cs="Times New Roman"/>
        </w:rPr>
        <w:t xml:space="preserve"> </w:t>
      </w:r>
    </w:p>
    <w:p w14:paraId="1020C7FE" w14:textId="417C3007" w:rsidR="00C10F4E" w:rsidRPr="00B924A8" w:rsidRDefault="00435E7C" w:rsidP="00AC62F4">
      <w:pPr>
        <w:ind w:firstLine="720"/>
        <w:rPr>
          <w:rFonts w:cs="Times New Roman"/>
        </w:rPr>
      </w:pPr>
      <w:r w:rsidRPr="00B924A8">
        <w:rPr>
          <w:rFonts w:cs="Times New Roman"/>
        </w:rPr>
        <w:t xml:space="preserve">Their disagreement is thus concentrated in their assessments of Abraham and his faith-in and whether this could provide </w:t>
      </w:r>
      <w:r w:rsidR="00C10F4E" w:rsidRPr="00B924A8">
        <w:rPr>
          <w:rFonts w:cs="Times New Roman"/>
        </w:rPr>
        <w:t>a higher immedia</w:t>
      </w:r>
      <w:r w:rsidRPr="00B924A8">
        <w:rPr>
          <w:rFonts w:cs="Times New Roman"/>
        </w:rPr>
        <w:t>cy or source of moral knowledge.</w:t>
      </w:r>
      <w:r w:rsidR="00C10F4E" w:rsidRPr="00B924A8">
        <w:rPr>
          <w:rFonts w:cs="Times New Roman"/>
        </w:rPr>
        <w:t xml:space="preserve"> For Hegel, it appears to be impossible and undesirable. It is impossible for Hegel, because the entire project of human thinking culminates in realizing it is a project where human thinking is both the subject doing the thinking and the primary content of the thinking. Simultaneously, it is undesirable, because it would prevent a holistic social command theory and leave differences unreconciled</w:t>
      </w:r>
      <w:r w:rsidR="0056553F" w:rsidRPr="00B924A8">
        <w:rPr>
          <w:rFonts w:cs="Times New Roman"/>
        </w:rPr>
        <w:t xml:space="preserve">. </w:t>
      </w:r>
      <w:r w:rsidR="00C10F4E" w:rsidRPr="00B924A8">
        <w:rPr>
          <w:rFonts w:cs="Times New Roman"/>
        </w:rPr>
        <w:t xml:space="preserve">Consequently, Hegel belittles Abraham and his faith-in without even </w:t>
      </w:r>
      <w:r w:rsidR="00C10F4E" w:rsidRPr="00B924A8">
        <w:rPr>
          <w:rFonts w:cs="Times New Roman"/>
        </w:rPr>
        <w:lastRenderedPageBreak/>
        <w:t xml:space="preserve">focusing on the troubling </w:t>
      </w:r>
      <w:r w:rsidR="00C10F4E" w:rsidRPr="00B924A8">
        <w:rPr>
          <w:rFonts w:cs="Times New Roman"/>
          <w:i/>
        </w:rPr>
        <w:t>Akedah</w:t>
      </w:r>
      <w:r w:rsidR="00C10F4E" w:rsidRPr="00B924A8">
        <w:rPr>
          <w:rFonts w:cs="Times New Roman"/>
        </w:rPr>
        <w:t>.</w:t>
      </w:r>
    </w:p>
    <w:p w14:paraId="33EBDD7B" w14:textId="6270F140" w:rsidR="002D2ED1" w:rsidRPr="00B924A8" w:rsidRDefault="0056553F" w:rsidP="00AC62F4">
      <w:pPr>
        <w:ind w:firstLine="720"/>
        <w:rPr>
          <w:rFonts w:cs="Times New Roman"/>
        </w:rPr>
      </w:pPr>
      <w:r w:rsidRPr="00B924A8">
        <w:rPr>
          <w:rFonts w:cs="Times New Roman"/>
        </w:rPr>
        <w:t>For Kierkegaard, it is much the opposite</w:t>
      </w:r>
      <w:r w:rsidR="00C10F4E" w:rsidRPr="00B924A8">
        <w:rPr>
          <w:rFonts w:cs="Times New Roman"/>
        </w:rPr>
        <w:t>. For de Silentio, a world without faith is a banal shell, and the goal of totalizing knowledge whether expressed as the project of “modern science” or the Hegelian system is an empty promise. For Kierkegaard, both in his eponymous works and his pseudonymous works, faith-in God supplies a source of moral knowledge outside of community and the universally accessible.</w:t>
      </w:r>
    </w:p>
    <w:p w14:paraId="7EEA8C37" w14:textId="56A9AE2C" w:rsidR="00BC7869" w:rsidRPr="00B924A8" w:rsidRDefault="00BC7869" w:rsidP="00AC62F4">
      <w:pPr>
        <w:ind w:firstLine="720"/>
        <w:rPr>
          <w:rFonts w:cs="Times New Roman"/>
        </w:rPr>
      </w:pPr>
      <w:r w:rsidRPr="00B924A8">
        <w:rPr>
          <w:rFonts w:cs="Times New Roman"/>
        </w:rPr>
        <w:t>The above considerations now enable us to see why the belittlers of today (like the belittlers of yesterday) will not be calmed</w:t>
      </w:r>
      <w:r w:rsidR="003906AF">
        <w:rPr>
          <w:rFonts w:cs="Times New Roman"/>
        </w:rPr>
        <w:t>, but perhaps their argument has one less tooth than some think</w:t>
      </w:r>
      <w:r w:rsidRPr="00B924A8">
        <w:rPr>
          <w:rFonts w:cs="Times New Roman"/>
        </w:rPr>
        <w:t>. When Kvanvig identifies faith in the following manner: “Religious faith thus aims at the full integration of a life in relation to an all-encompassing ideal, even if the actual situation for a given individual falls short of that ideal (i.e., even if their faith is weak with respect to the ideal in question),”</w:t>
      </w:r>
      <w:r w:rsidRPr="005D4C21">
        <w:rPr>
          <w:rStyle w:val="FootnoteReference"/>
        </w:rPr>
        <w:footnoteReference w:id="38"/>
      </w:r>
      <w:r w:rsidRPr="00B924A8">
        <w:rPr>
          <w:rFonts w:cs="Times New Roman"/>
        </w:rPr>
        <w:t xml:space="preserve"> he is already highlighting the faith-in relation with transcendence that the belittlers have always found so troubling. Moreover, the retreat into affectiveness provides no protection from the squall of the belittlers, because they only accept affective differences that can be reduced out rather than those which lead to independent sources of moral knowledge.</w:t>
      </w:r>
      <w:r w:rsidRPr="005D4C21">
        <w:rPr>
          <w:rStyle w:val="FootnoteReference"/>
        </w:rPr>
        <w:footnoteReference w:id="39"/>
      </w:r>
    </w:p>
    <w:p w14:paraId="0AA8F107" w14:textId="21E41EC0" w:rsidR="002D2ED1" w:rsidRPr="00B924A8" w:rsidRDefault="00BC7869" w:rsidP="00AC62F4">
      <w:pPr>
        <w:ind w:firstLine="720"/>
        <w:rPr>
          <w:rFonts w:cs="Times New Roman"/>
        </w:rPr>
      </w:pPr>
      <w:r w:rsidRPr="00B924A8">
        <w:rPr>
          <w:rFonts w:cs="Times New Roman"/>
        </w:rPr>
        <w:t xml:space="preserve">The reason is that what is at stake for the belittlers is the question of whether all sources of moral knowledge are universally accessible. The idea of faith as a source of moral knowledge threatens this social whole. And, echoing the Athenian response to Socrates, the belittlers answer faith an opprobrium that does not apply to </w:t>
      </w:r>
      <w:r w:rsidR="002D2ED1" w:rsidRPr="00B924A8">
        <w:rPr>
          <w:rFonts w:cs="Times New Roman"/>
        </w:rPr>
        <w:t>civilly-integrated religion (or non-religion).</w:t>
      </w:r>
      <w:r w:rsidRPr="00B924A8">
        <w:rPr>
          <w:rFonts w:cs="Times New Roman"/>
        </w:rPr>
        <w:t xml:space="preserve"> </w:t>
      </w:r>
      <w:r w:rsidR="005713A7" w:rsidRPr="00B924A8">
        <w:rPr>
          <w:rFonts w:cs="Times New Roman"/>
        </w:rPr>
        <w:t xml:space="preserve">Consequently, it is unsurprising when thinkers like Adorno are </w:t>
      </w:r>
      <w:r w:rsidR="002D2ED1" w:rsidRPr="00B924A8">
        <w:rPr>
          <w:rFonts w:cs="Times New Roman"/>
        </w:rPr>
        <w:t xml:space="preserve">unmoved by sophisticated versions of faith, because their objection is not really to the moral knowledge </w:t>
      </w:r>
      <w:r w:rsidR="002D2ED1" w:rsidRPr="00B924A8">
        <w:rPr>
          <w:rFonts w:cs="Times New Roman"/>
        </w:rPr>
        <w:lastRenderedPageBreak/>
        <w:t>that comes from faith-in but the very possibility of its modality wherein some individual has access to a source of moral knowledge that is not shared by the community as a whole.</w:t>
      </w:r>
      <w:r w:rsidR="002D2ED1" w:rsidRPr="005D4C21">
        <w:rPr>
          <w:rStyle w:val="FootnoteReference"/>
        </w:rPr>
        <w:footnoteReference w:id="40"/>
      </w:r>
    </w:p>
    <w:p w14:paraId="4CC8ACA1" w14:textId="77777777" w:rsidR="00B41B20" w:rsidRPr="00B924A8" w:rsidRDefault="00B41B20" w:rsidP="00B41B20">
      <w:pPr>
        <w:rPr>
          <w:rFonts w:cs="Times New Roman"/>
        </w:rPr>
      </w:pPr>
    </w:p>
    <w:p w14:paraId="49937594" w14:textId="16E455EC" w:rsidR="00B41B20" w:rsidRPr="00B924A8" w:rsidRDefault="00B41B20" w:rsidP="00B41B20">
      <w:pPr>
        <w:rPr>
          <w:rFonts w:cs="Times New Roman"/>
          <w:i/>
        </w:rPr>
      </w:pPr>
      <w:r w:rsidRPr="00B924A8">
        <w:rPr>
          <w:rFonts w:cs="Times New Roman"/>
          <w:i/>
        </w:rPr>
        <w:t>Hokkaido University of Education</w:t>
      </w:r>
    </w:p>
    <w:p w14:paraId="3912877B" w14:textId="35A3828C" w:rsidR="00B41B20" w:rsidRPr="00B924A8" w:rsidRDefault="00B41B20" w:rsidP="00B41B20">
      <w:pPr>
        <w:rPr>
          <w:rFonts w:cs="Times New Roman"/>
          <w:i/>
        </w:rPr>
      </w:pPr>
      <w:r w:rsidRPr="00B924A8">
        <w:rPr>
          <w:rFonts w:cs="Times New Roman"/>
          <w:i/>
        </w:rPr>
        <w:t xml:space="preserve">Asahikawa, </w:t>
      </w:r>
      <w:r w:rsidR="006E4C56" w:rsidRPr="00B924A8">
        <w:rPr>
          <w:rFonts w:cs="Times New Roman"/>
          <w:i/>
        </w:rPr>
        <w:t xml:space="preserve">Hokkaido, </w:t>
      </w:r>
      <w:r w:rsidRPr="00B924A8">
        <w:rPr>
          <w:rFonts w:cs="Times New Roman"/>
          <w:i/>
        </w:rPr>
        <w:t>JAPAN</w:t>
      </w:r>
    </w:p>
    <w:sectPr w:rsidR="00B41B20" w:rsidRPr="00B924A8" w:rsidSect="00BE481F">
      <w:pgSz w:w="11906" w:h="16838"/>
      <w:pgMar w:top="1418" w:right="1418" w:bottom="1418" w:left="1418" w:header="720" w:footer="720" w:gutter="0"/>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99C5" w14:textId="77777777" w:rsidR="006F2CEA" w:rsidRDefault="006F2CEA" w:rsidP="00462EF2">
      <w:r>
        <w:separator/>
      </w:r>
    </w:p>
  </w:endnote>
  <w:endnote w:type="continuationSeparator" w:id="0">
    <w:p w14:paraId="62821F2A" w14:textId="77777777" w:rsidR="006F2CEA" w:rsidRDefault="006F2CEA" w:rsidP="0046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Gabriola">
    <w:panose1 w:val="04040605051002020D02"/>
    <w:charset w:val="00"/>
    <w:family w:val="auto"/>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E0D9" w14:textId="77777777" w:rsidR="006F2CEA" w:rsidRDefault="006F2CEA" w:rsidP="00462EF2">
      <w:r>
        <w:separator/>
      </w:r>
    </w:p>
  </w:footnote>
  <w:footnote w:type="continuationSeparator" w:id="0">
    <w:p w14:paraId="704859B3" w14:textId="77777777" w:rsidR="006F2CEA" w:rsidRDefault="006F2CEA" w:rsidP="00462EF2">
      <w:r>
        <w:continuationSeparator/>
      </w:r>
    </w:p>
  </w:footnote>
  <w:footnote w:id="1">
    <w:p w14:paraId="5F3BFCC6" w14:textId="2B4E7AE3" w:rsidR="000944AD" w:rsidRDefault="000944AD" w:rsidP="005E1CD4">
      <w:pPr>
        <w:pStyle w:val="FootnoteText"/>
      </w:pPr>
      <w:r w:rsidRPr="005D4C21">
        <w:rPr>
          <w:rStyle w:val="FootnoteReference"/>
        </w:rPr>
        <w:footnoteRef/>
      </w:r>
      <w:r>
        <w:t xml:space="preserve"> </w:t>
      </w:r>
      <w:r w:rsidRPr="000944AD">
        <w:fldChar w:fldCharType="begin"/>
      </w:r>
      <w:r w:rsidRPr="000944AD">
        <w:instrText xml:space="preserve"> ADDIN ZOTERO_ITEM CSL_CITATION {"citationID":"wCqp6z65","properties":{"formattedCitation":"{\\rtf Jonathan L. Kvanvig, \\uc0\\u8220{}Affective Theism and People of Faith: Affective Theism and People of Faith,\\uc0\\u8221{} {\\i{}Midwest Studies In Philosophy} 37, no. 1 (September 2013): 109, doi:10.1111/misp.12003.}","plainCitation":"Jonathan L. Kvanvig, “Affective Theism and People of Faith: Affective Theism and People of Faith,” Midwest Studies In Philosophy 37, no. 1 (September 2013): 109, doi:10.1111/misp.12003."},"citationItems":[{"id":189,"uris":["http://zotero.org/users/192298/items/64IWTMPF"],"uri":["http://zotero.org/users/192298/items/64IWTMPF"],"itemData":{"id":189,"type":"article-journal","title":"Affective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L."}],"issued":{"date-parts":[["2013",9]]}},"locator":"109"}],"schema":"https://github.com/citation-style-language/schema/raw/master/csl-citation.json"} </w:instrText>
      </w:r>
      <w:r w:rsidRPr="000944AD">
        <w:fldChar w:fldCharType="separate"/>
      </w:r>
      <w:r w:rsidRPr="000944AD">
        <w:rPr>
          <w:rFonts w:cs="Times New Roman"/>
        </w:rPr>
        <w:t xml:space="preserve">Jonathan L. Kvanvig, "Affective Theism and People of Faith" </w:t>
      </w:r>
      <w:r w:rsidRPr="000944AD">
        <w:rPr>
          <w:rFonts w:cs="Times New Roman"/>
          <w:i/>
          <w:iCs/>
        </w:rPr>
        <w:t xml:space="preserve">Midwest Studies </w:t>
      </w:r>
      <w:r w:rsidR="00E3303D">
        <w:rPr>
          <w:rFonts w:cs="Times New Roman"/>
          <w:i/>
          <w:iCs/>
        </w:rPr>
        <w:t>i</w:t>
      </w:r>
      <w:r w:rsidRPr="000944AD">
        <w:rPr>
          <w:rFonts w:cs="Times New Roman"/>
          <w:i/>
          <w:iCs/>
        </w:rPr>
        <w:t>n Philosophy</w:t>
      </w:r>
      <w:r w:rsidRPr="000944AD">
        <w:rPr>
          <w:rFonts w:cs="Times New Roman"/>
        </w:rPr>
        <w:t xml:space="preserve"> 37, no. 1 (September 2013): 109-28, at 109.</w:t>
      </w:r>
      <w:r w:rsidRPr="000944AD">
        <w:fldChar w:fldCharType="end"/>
      </w:r>
    </w:p>
  </w:footnote>
  <w:footnote w:id="2">
    <w:p w14:paraId="19975A51" w14:textId="7024D636" w:rsidR="000944AD" w:rsidRPr="00345C34" w:rsidRDefault="000944AD" w:rsidP="005752D0">
      <w:pPr>
        <w:pStyle w:val="FootnoteText"/>
      </w:pPr>
      <w:r w:rsidRPr="005D4C21">
        <w:rPr>
          <w:rStyle w:val="FootnoteReference"/>
        </w:rPr>
        <w:footnoteRef/>
      </w:r>
      <w:r w:rsidRPr="00870187">
        <w:t xml:space="preserve"> </w:t>
      </w:r>
      <w:r w:rsidRPr="00E3303D">
        <w:rPr>
          <w:i/>
        </w:rPr>
        <w:t>Spirit of Christianity and its Fate</w:t>
      </w:r>
      <w:r w:rsidRPr="00E3303D">
        <w:t xml:space="preserve"> in </w:t>
      </w:r>
      <w:r w:rsidRPr="00E3303D">
        <w:fldChar w:fldCharType="begin"/>
      </w:r>
      <w:r w:rsidRPr="00E3303D">
        <w:instrText xml:space="preserve"> ADDIN ZOTERO_ITEM CSL_CITATION {"citationID":"DVFzOZvE","properties":{"formattedCitation":"{\\rtf Georg Wilhelm Friedrich Hegel, {\\i{}Early Theological Writings}, trans. T. M. Knox and Richard Kroner (Philadelphia: University of Pennsylvania Press, 1971), 182\\uc0\\u8211{}301.}","plainCitation":"Georg Wilhelm Friedrich Hegel, Early Theological Writings, trans. T. M. Knox and Richard Kroner (Philadelphia: University of Pennsylvania Press, 1971), 182–301."},"citationItems":[{"id":145,"uris":["http://zotero.org/users/192298/items/4P95DTNI"],"uri":["http://zotero.org/users/192298/items/4P95DTNI"],"itemData":{"id":145,"type":"book","title":"Early theological writings","publisher":"University of Pennsylvania Press","publisher-place":"Philadelphia","number-of-pages":"339","source":"Library of Congress ISBN","event-place":"Philadelphia","ISBN":"978-0-8122-1022-4","call-number":"B2908 1988","language":"English","author":[{"family":"Hegel","given":"Georg Wilhelm Friedrich"}],"translator":[{"family":"Knox","given":"T. M."},{"family":"Kroner","given":"Richard"}],"issued":{"date-parts":[["1971"]]}},"locator":"182-301"}],"schema":"https://github.com/citation-style-language/schema/raw/master/csl-citation.json"} </w:instrText>
      </w:r>
      <w:r w:rsidRPr="00E3303D">
        <w:fldChar w:fldCharType="separate"/>
      </w:r>
      <w:r w:rsidRPr="00E3303D">
        <w:t xml:space="preserve">Georg Wilhelm Friedrich Hegel, </w:t>
      </w:r>
      <w:r w:rsidRPr="00E3303D">
        <w:rPr>
          <w:i/>
          <w:iCs/>
        </w:rPr>
        <w:t>Early Theological Writings</w:t>
      </w:r>
      <w:r w:rsidRPr="00E3303D">
        <w:t>, trans. T. M. Knox and Richard Kroner (Philadelphia: University of Pennsylvania Press, 1971), 182–301.</w:t>
      </w:r>
      <w:r w:rsidRPr="00E3303D">
        <w:fldChar w:fldCharType="end"/>
      </w:r>
      <w:r w:rsidRPr="00E3303D">
        <w:t xml:space="preserve"> Siglum: </w:t>
      </w:r>
      <w:r w:rsidRPr="00E3303D">
        <w:rPr>
          <w:i/>
        </w:rPr>
        <w:t>Spirit of Christianity</w:t>
      </w:r>
      <w:r w:rsidRPr="00E3303D">
        <w:t xml:space="preserve"> or </w:t>
      </w:r>
      <w:r w:rsidRPr="00E3303D">
        <w:rPr>
          <w:i/>
        </w:rPr>
        <w:t>SC</w:t>
      </w:r>
      <w:r w:rsidRPr="00E3303D">
        <w:t>.</w:t>
      </w:r>
    </w:p>
  </w:footnote>
  <w:footnote w:id="3">
    <w:p w14:paraId="584B291F" w14:textId="13397E3C" w:rsidR="000944AD" w:rsidRPr="00F63AD3" w:rsidRDefault="000944AD" w:rsidP="001E46A4">
      <w:pPr>
        <w:pStyle w:val="FootnoteText"/>
      </w:pPr>
      <w:r w:rsidRPr="005D4C21">
        <w:rPr>
          <w:rStyle w:val="FootnoteReference"/>
        </w:rPr>
        <w:footnoteRef/>
      </w:r>
      <w:r>
        <w:t xml:space="preserve"> </w:t>
      </w:r>
      <w:r>
        <w:fldChar w:fldCharType="begin"/>
      </w:r>
      <w:r>
        <w:instrText xml:space="preserve"> ADDIN ZOTERO_ITEM CSL_CITATION {"citationID":"wf2WanpS","properties":{"formattedCitation":"{\\rtf S\\uc0\\u248{}ren Kierkegaard, {\\i{}Fear and Trembling: Repetition}, trans. Howard V Hong and Edna H Hong (Princeton, N.J.: Princeton University Press, 1983).}","plainCitation":"Søren Kierkegaard, Fear and Trembling: Repetition, trans. Howard V Hong and Edna H Hong (Princeton, N.J.: Princeton University Press, 1983)."},"citationItems":[{"id":271,"uris":["http://zotero.org/users/192298/items/D9CZGK8D"],"uri":["http://zotero.org/users/192298/items/D9CZGK8D"],"itemData":{"id":271,"type":"book","title":"Fear and trembling: Repetition","publisher":"Princeton University Press","publisher-place":"Princeton, N.J.","source":"Open WorldCat","event-place":"Princeton, N.J.","abstract":"[This text is] an exploration of the faith that transcends the ethical, as in Abraham;s willingness to sacrifice his son Isaac at God's command. This faith, which persists in the face of the absurd, is rewarded finally by the return of all that the faithful one is willing to sacrifice. In [the text, the author] discusses the most profound implications of the unity of personhood and of identity within change - the repetition that creates the rebirth of God in the heart of man, brings the eternal into the present, and allows the past to retain its meaning.-Back cover.","note":"OCLC: 56493401","shortTitle":"Fear and trembling","language":"English","author":[{"family":"Kierkegaard","given":"Søren"}],"translator":[{"family":"Hong","given":"Howard V"},{"family":"Hong","given":"Edna H"}],"issued":{"date-parts":[["1983"]]}}}],"schema":"https://github.com/citation-style-language/schema/raw/master/csl-citation.json"} </w:instrText>
      </w:r>
      <w:r>
        <w:fldChar w:fldCharType="separate"/>
      </w:r>
      <w:r w:rsidRPr="0043052A">
        <w:rPr>
          <w:rFonts w:cs="Times New Roman"/>
        </w:rPr>
        <w:t xml:space="preserve">Søren Kierkegaard, </w:t>
      </w:r>
      <w:r w:rsidRPr="0043052A">
        <w:rPr>
          <w:rFonts w:cs="Times New Roman"/>
          <w:i/>
          <w:iCs/>
        </w:rPr>
        <w:t>Fear and Trembling</w:t>
      </w:r>
      <w:r>
        <w:rPr>
          <w:rFonts w:cs="Times New Roman"/>
          <w:i/>
          <w:iCs/>
        </w:rPr>
        <w:t xml:space="preserve"> /</w:t>
      </w:r>
      <w:r w:rsidRPr="0043052A">
        <w:rPr>
          <w:rFonts w:cs="Times New Roman"/>
          <w:i/>
          <w:iCs/>
        </w:rPr>
        <w:t xml:space="preserve"> Repetition</w:t>
      </w:r>
      <w:r w:rsidRPr="0043052A">
        <w:rPr>
          <w:rFonts w:cs="Times New Roman"/>
        </w:rPr>
        <w:t xml:space="preserve">, trans. </w:t>
      </w:r>
      <w:r w:rsidR="002D65E2">
        <w:rPr>
          <w:rFonts w:cs="Times New Roman"/>
        </w:rPr>
        <w:t xml:space="preserve">and ed. </w:t>
      </w:r>
      <w:r w:rsidRPr="0043052A">
        <w:rPr>
          <w:rFonts w:cs="Times New Roman"/>
        </w:rPr>
        <w:t>Howard V</w:t>
      </w:r>
      <w:r>
        <w:rPr>
          <w:rFonts w:cs="Times New Roman"/>
        </w:rPr>
        <w:t>.</w:t>
      </w:r>
      <w:r w:rsidRPr="0043052A">
        <w:rPr>
          <w:rFonts w:cs="Times New Roman"/>
        </w:rPr>
        <w:t xml:space="preserve"> Hong and Edna H</w:t>
      </w:r>
      <w:r>
        <w:rPr>
          <w:rFonts w:cs="Times New Roman"/>
        </w:rPr>
        <w:t>. Hong (Princeton, NJ</w:t>
      </w:r>
      <w:r w:rsidRPr="0043052A">
        <w:rPr>
          <w:rFonts w:cs="Times New Roman"/>
        </w:rPr>
        <w:t>: Princeton University Press, 1983).</w:t>
      </w:r>
      <w:r>
        <w:fldChar w:fldCharType="end"/>
      </w:r>
      <w:r>
        <w:t xml:space="preserve"> Siglum: </w:t>
      </w:r>
      <w:r>
        <w:rPr>
          <w:i/>
        </w:rPr>
        <w:t>FT</w:t>
      </w:r>
      <w:r>
        <w:t xml:space="preserve">; and </w:t>
      </w:r>
      <w:r>
        <w:fldChar w:fldCharType="begin"/>
      </w:r>
      <w:r>
        <w:instrText xml:space="preserve"> ADDIN ZOTERO_ITEM CSL_CITATION {"citationID":"OSZgBESr","properties":{"formattedCitation":"{\\rtf S\\uc0\\u248{}ren Kierkegaard, {\\i{}Works of Love}, trans. Howard V Hong and Edna H Hong (Princeton, New Jersey: Princeton University Press, 1995).}","plainCitation":"Søren Kierkegaard, Works of Love, trans. Howard V Hong and Edna H Hong (Princeton, New Jersey: Princeton University Press, 1995)."},"citationItems":[{"id":272,"uris":["http://zotero.org/users/192298/items/4M5CMSQI"],"uri":["http://zotero.org/users/192298/items/4M5CMSQI"],"itemData":{"id":272,"type":"book","title":"Works of love","publisher":"Princeton University Press","publisher-place":"Princeton, New Jersey","source":"Open WorldCat","event-place":"Princeton, New Jersey","ISBN":"978-0-691-05916-7","note":"OCLC: 801122513","language":"English","author":[{"family":"Kierkegaard","given":"Søren"}],"translator":[{"family":"Hong","given":"Howard V"},{"family":"Hong","given":"Edna H"}],"issued":{"date-parts":[["1995"]]}}}],"schema":"https://github.com/citation-style-language/schema/raw/master/csl-citation.json"} </w:instrText>
      </w:r>
      <w:r>
        <w:fldChar w:fldCharType="separate"/>
      </w:r>
      <w:r w:rsidRPr="00F96294">
        <w:rPr>
          <w:rFonts w:cs="Times New Roman"/>
        </w:rPr>
        <w:t xml:space="preserve">Søren Kierkegaard, </w:t>
      </w:r>
      <w:r w:rsidRPr="00F96294">
        <w:rPr>
          <w:rFonts w:cs="Times New Roman"/>
          <w:i/>
          <w:iCs/>
        </w:rPr>
        <w:t>Works of Love</w:t>
      </w:r>
      <w:r w:rsidRPr="00F96294">
        <w:rPr>
          <w:rFonts w:cs="Times New Roman"/>
        </w:rPr>
        <w:t xml:space="preserve">, trans. </w:t>
      </w:r>
      <w:r w:rsidR="002D65E2">
        <w:rPr>
          <w:rFonts w:cs="Times New Roman"/>
        </w:rPr>
        <w:t xml:space="preserve">and ed. </w:t>
      </w:r>
      <w:r w:rsidRPr="00F96294">
        <w:rPr>
          <w:rFonts w:cs="Times New Roman"/>
        </w:rPr>
        <w:t>Howard V</w:t>
      </w:r>
      <w:r>
        <w:rPr>
          <w:rFonts w:cs="Times New Roman"/>
        </w:rPr>
        <w:t>.</w:t>
      </w:r>
      <w:r w:rsidRPr="00F96294">
        <w:rPr>
          <w:rFonts w:cs="Times New Roman"/>
        </w:rPr>
        <w:t xml:space="preserve"> Hong and Edna H</w:t>
      </w:r>
      <w:r>
        <w:rPr>
          <w:rFonts w:cs="Times New Roman"/>
        </w:rPr>
        <w:t>.</w:t>
      </w:r>
      <w:r w:rsidRPr="00F96294">
        <w:rPr>
          <w:rFonts w:cs="Times New Roman"/>
        </w:rPr>
        <w:t xml:space="preserve"> Hong (Princeton, N</w:t>
      </w:r>
      <w:r>
        <w:rPr>
          <w:rFonts w:cs="Times New Roman"/>
        </w:rPr>
        <w:t>J</w:t>
      </w:r>
      <w:r w:rsidRPr="00F96294">
        <w:rPr>
          <w:rFonts w:cs="Times New Roman"/>
        </w:rPr>
        <w:t>: Princeton University Press, 1995).</w:t>
      </w:r>
      <w:r>
        <w:fldChar w:fldCharType="end"/>
      </w:r>
      <w:r>
        <w:t xml:space="preserve"> Siglum: </w:t>
      </w:r>
      <w:r>
        <w:rPr>
          <w:i/>
        </w:rPr>
        <w:t>WL</w:t>
      </w:r>
      <w:r>
        <w:t xml:space="preserve">. Pagination after the slash is from </w:t>
      </w:r>
      <w:r>
        <w:rPr>
          <w:i/>
        </w:rPr>
        <w:t xml:space="preserve">Søren Kierkegaard Skrifter </w:t>
      </w:r>
      <w:r>
        <w:t>available at http://sks.dk.</w:t>
      </w:r>
    </w:p>
  </w:footnote>
  <w:footnote w:id="4">
    <w:p w14:paraId="698FA5BB" w14:textId="6461EA72" w:rsidR="000944AD" w:rsidRPr="00870187" w:rsidRDefault="000944AD" w:rsidP="005A169B">
      <w:pPr>
        <w:pStyle w:val="FootnoteText"/>
      </w:pPr>
      <w:r w:rsidRPr="005D4C21">
        <w:rPr>
          <w:rStyle w:val="FootnoteReference"/>
        </w:rPr>
        <w:footnoteRef/>
      </w:r>
      <w:r w:rsidRPr="00870187">
        <w:t xml:space="preserve"> </w:t>
      </w:r>
      <w:r>
        <w:t xml:space="preserve">The literature on faith-in is substantial. See </w:t>
      </w:r>
      <w:r>
        <w:fldChar w:fldCharType="begin"/>
      </w:r>
      <w:r>
        <w:instrText xml:space="preserve"> ADDIN ZOTERO_ITEM CSL_CITATION {"citationID":"00zZlqGr","properties":{"formattedCitation":"{\\rtf Robert Audi, \\uc0\\u8220{}Faith, Belief, and Rationality,\\uc0\\u8221{} {\\i{}Philosophical Perspectives} 5 (1991): 215.}","plainCitation":"Robert Audi, “Faith, Belief, and Rationality,” Philosophical Perspectives 5 (1991): 215."},"citationItems":[{"id":185,"uris":["http://zotero.org/users/192298/items/7ZVRT3W2"],"uri":["http://zotero.org/users/192298/items/7ZVRT3W2"],"itemData":{"id":185,"type":"article-journal","title":"Faith, Belief, and Rationality","container-title":"Philosophical Perspectives","page":"213-239","volume":"5","author":[{"family":"Audi","given":"Robert"}],"issued":{"date-parts":[["1991"]]}},"locator":"215"}],"schema":"https://github.com/citation-style-language/schema/raw/master/csl-citation.json"} </w:instrText>
      </w:r>
      <w:r>
        <w:fldChar w:fldCharType="separate"/>
      </w:r>
      <w:r w:rsidRPr="00C44FD1">
        <w:t>Robert Audi, “Faith, Belief, and Rationality,”</w:t>
      </w:r>
      <w:r>
        <w:t xml:space="preserve"> in</w:t>
      </w:r>
      <w:r w:rsidRPr="00C44FD1">
        <w:t xml:space="preserve"> </w:t>
      </w:r>
      <w:r w:rsidRPr="00C44FD1">
        <w:rPr>
          <w:i/>
          <w:iCs/>
        </w:rPr>
        <w:t>Philosophical Perspectives</w:t>
      </w:r>
      <w:r w:rsidRPr="00C44FD1">
        <w:t xml:space="preserve"> 5 (1991): </w:t>
      </w:r>
      <w:r>
        <w:t xml:space="preserve">213-39, at </w:t>
      </w:r>
      <w:r w:rsidRPr="00C44FD1">
        <w:t>215</w:t>
      </w:r>
      <w:r>
        <w:t>;</w:t>
      </w:r>
      <w:r>
        <w:fldChar w:fldCharType="end"/>
      </w:r>
      <w:r>
        <w:t xml:space="preserve"> </w:t>
      </w:r>
      <w:r w:rsidRPr="00115473">
        <w:rPr>
          <w:highlight w:val="yellow"/>
        </w:rPr>
        <w:fldChar w:fldCharType="begin"/>
      </w:r>
      <w:r>
        <w:rPr>
          <w:highlight w:val="yellow"/>
        </w:rPr>
        <w:instrText xml:space="preserve"> ADDIN ZOTERO_ITEM CSL_CITATION {"citationID":"CWf9nw34","properties":{"formattedCitation":"{\\rtf William Alston, \\uc0\\u8220{}Belief, Acceptance, and Religious Faith,\\uc0\\u8221{} in {\\i{}Faith, Freedom, and Rationality: Philosophy of Religion Today}, ed. Jeff Jordan and Daniel Howard-Snyder (Lanham, Md: Rowman &amp; Littlefield, 1996), 12\\uc0\\u8211{}13.}","plainCitation":"William Alston, “Belief, Acceptance, and Religious Faith,” in Faith, Freedom, and Rationality: Philosophy of Religion Today, ed. Jeff Jordan and Daniel Howard-Snyder (Lanham, Md: Rowman &amp; Littlefield, 1996), 12–13."},"citationItems":[{"id":203,"uris":["http://zotero.org/users/192298/items/QN6MI2QW"],"uri":["http://zotero.org/users/192298/items/QN6MI2QW"],"itemData":{"id":203,"type":"chapter","title":"Belief, Acceptance, and Religious Faith","container-title":"Faith, freedom, and rationality: philosophy of religion today","publisher":"Rowman &amp; Littlefield","publisher-place":"Lanham, Md","source":"Library of Congress ISBN","event-place":"Lanham, Md","ISBN":"978-0-8476-8152-5","call-number":"BL51 .F315 1996","editor":[{"family":"Jordan","given":"Jeff"},{"family":"Howard-Snyder","given":"Daniel"}],"author":[{"family":"Alston","given":"William"}],"issued":{"date-parts":[["1996"]]}},"locator":"12-13"}],"schema":"https://github.com/citation-style-language/schema/raw/master/csl-citation.json"} </w:instrText>
      </w:r>
      <w:r w:rsidRPr="00115473">
        <w:rPr>
          <w:highlight w:val="yellow"/>
        </w:rPr>
        <w:fldChar w:fldCharType="separate"/>
      </w:r>
      <w:r w:rsidRPr="000A50A5">
        <w:t>William Alston, “Belief, Acceptance,</w:t>
      </w:r>
      <w:r>
        <w:t xml:space="preserve"> </w:t>
      </w:r>
      <w:r w:rsidRPr="000A50A5">
        <w:t xml:space="preserve">and Religious Faith,” in </w:t>
      </w:r>
      <w:r w:rsidRPr="000A50A5">
        <w:rPr>
          <w:i/>
          <w:iCs/>
        </w:rPr>
        <w:t>Faith, Freedom, and Rationality: Philosophy of Religion Today</w:t>
      </w:r>
      <w:r w:rsidRPr="000A50A5">
        <w:t xml:space="preserve">, </w:t>
      </w:r>
      <w:r w:rsidRPr="002D65E2">
        <w:t>ed.</w:t>
      </w:r>
      <w:r w:rsidRPr="000A50A5">
        <w:t xml:space="preserve"> Jeff Jordan and Daniel Howard-Snyder (Lanham, M</w:t>
      </w:r>
      <w:r>
        <w:t>D</w:t>
      </w:r>
      <w:r w:rsidRPr="000A50A5">
        <w:t xml:space="preserve">: Rowman &amp; Littlefield, 1996), </w:t>
      </w:r>
      <w:r>
        <w:t xml:space="preserve">3-29, at </w:t>
      </w:r>
      <w:r w:rsidRPr="000A50A5">
        <w:t>12–13;</w:t>
      </w:r>
      <w:r w:rsidRPr="00115473">
        <w:rPr>
          <w:highlight w:val="yellow"/>
        </w:rPr>
        <w:fldChar w:fldCharType="end"/>
      </w:r>
      <w:r w:rsidRPr="00870187">
        <w:t xml:space="preserve"> </w:t>
      </w:r>
      <w:r>
        <w:fldChar w:fldCharType="begin"/>
      </w:r>
      <w:r>
        <w:instrText xml:space="preserve"> ADDIN ZOTERO_ITEM CSL_CITATION {"citationID":"6dgsKdRy","properties":{"formattedCitation":"{\\rtf Benjamin W. McCraw, \\uc0\\u8220{}Faith and Trust,\\uc0\\u8221{} {\\i{}International Journal for Philosophy of Religion} 77, no. 2 (April 2015): 145\\uc0\\u8211{}46, doi:10.1007/s11153-014-9481-2.}","plainCitation":"Benjamin W. McCraw, “Faith and Trust,” International Journal for Philosophy of Religion 77, no. 2 (April 2015): 145–46, doi:10.1007/s11153-014-9481-2."},"citationItems":[{"id":264,"uris":["http://zotero.org/users/192298/items/X983ZFBW"],"uri":["http://zotero.org/users/192298/items/X983ZFBW"],"itemData":{"id":264,"type":"article-journal","title":"Faith and Trust","container-title":"International Journal for Philosophy of Religion","page":"141-158","volume":"77","issue":"2","source":"CrossRef","DOI":"10.1007/s11153-014-9481-2","ISSN":"0020-7047, 1572-8684","language":"en","author":[{"family":"McCraw","given":"Benjamin W."}],"issued":{"date-parts":[["2015",4]]}},"locator":"145-146"}],"schema":"https://github.com/citation-style-language/schema/raw/master/csl-citation.json"} </w:instrText>
      </w:r>
      <w:r>
        <w:fldChar w:fldCharType="separate"/>
      </w:r>
      <w:r w:rsidRPr="00FD2DEF">
        <w:t xml:space="preserve">Benjamin W. McCraw, “Faith and Trust,” </w:t>
      </w:r>
      <w:r w:rsidRPr="00FD2DEF">
        <w:rPr>
          <w:i/>
          <w:iCs/>
        </w:rPr>
        <w:t>International Journal for Philosophy of Religion</w:t>
      </w:r>
      <w:r w:rsidRPr="00FD2DEF">
        <w:t xml:space="preserve"> 7</w:t>
      </w:r>
      <w:r>
        <w:t>7, no. 2 (April 2015): 141-58, at 145–6</w:t>
      </w:r>
      <w:r>
        <w:fldChar w:fldCharType="end"/>
      </w:r>
      <w:r>
        <w:t xml:space="preserve">; </w:t>
      </w:r>
      <w:r>
        <w:fldChar w:fldCharType="begin"/>
      </w:r>
      <w:r>
        <w:instrText xml:space="preserve"> ADDIN ZOTERO_ITEM CSL_CITATION {"citationID":"BFnRI2JL","properties":{"formattedCitation":"{\\rtf Trent Dougherty, \\uc0\\u8220{}Zagzebski, Authority, and Faith,\\uc0\\u8221{} {\\i{}European Journal for Philosophy of Religion} 6, no. 4 (December 22, 2014): 58, doi:10.24204/ejpr.v6i4.144.}","plainCitation":"Trent Dougherty, “Zagzebski, Authority, and Faith,” European Journal for Philosophy of Religion 6, no. 4 (December 22, 2014): 58, doi:10.24204/ejpr.v6i4.144."},"citationItems":[{"id":265,"uris":["http://zotero.org/users/192298/items/7EC64GFN"],"uri":["http://zotero.org/users/192298/items/7EC64GFN"],"itemData":{"id":265,"type":"article-journal","title":"Zagzebski, Authority, and Faith","container-title":"European Journal for Philosophy of Religion","page":"47-59","volume":"6","issue":"4","source":"CrossRef","DOI":"10.24204/ejpr.v6i4.144","ISSN":"1689-8311","author":[{"family":"Dougherty","given":"Trent"}],"issued":{"date-parts":[["2014",12,22]]}},"locator":"58"}],"schema":"https://github.com/citation-style-language/schema/raw/master/csl-citation.json"} </w:instrText>
      </w:r>
      <w:r>
        <w:fldChar w:fldCharType="separate"/>
      </w:r>
      <w:r w:rsidRPr="000A50A5">
        <w:t xml:space="preserve">Trent Dougherty, “Zagzebski, Authority, and Faith,” </w:t>
      </w:r>
      <w:r w:rsidRPr="000A50A5">
        <w:rPr>
          <w:i/>
          <w:iCs/>
        </w:rPr>
        <w:t>European Journal for Philosophy of Religion</w:t>
      </w:r>
      <w:r w:rsidRPr="000A50A5">
        <w:t xml:space="preserve"> 6, no. 4 (December 22, 2014): </w:t>
      </w:r>
      <w:r>
        <w:t xml:space="preserve">47-59, at </w:t>
      </w:r>
      <w:r w:rsidRPr="000A50A5">
        <w:t>58.</w:t>
      </w:r>
      <w:r>
        <w:fldChar w:fldCharType="end"/>
      </w:r>
    </w:p>
  </w:footnote>
  <w:footnote w:id="5">
    <w:p w14:paraId="40456846" w14:textId="2AD8C65B" w:rsidR="000944AD" w:rsidRDefault="000944AD" w:rsidP="005A169B">
      <w:pPr>
        <w:pStyle w:val="FootnoteText"/>
      </w:pPr>
      <w:r w:rsidRPr="005D4C21">
        <w:rPr>
          <w:rStyle w:val="FootnoteReference"/>
        </w:rPr>
        <w:footnoteRef/>
      </w:r>
      <w:r>
        <w:t xml:space="preserve"> </w:t>
      </w:r>
      <w:r>
        <w:fldChar w:fldCharType="begin"/>
      </w:r>
      <w:r>
        <w:instrText xml:space="preserve"> ADDIN ZOTERO_ITEM CSL_CITATION {"citationID":"2iKvohjy","properties":{"formattedCitation":"{\\rtf Audi, \\uc0\\u8220{}Faith, Belief, and Rationality,\\uc0\\u8221{} 218.}","plainCitation":"Audi, “Faith, Belief, and Rationality,” 218."},"citationItems":[{"id":185,"uris":["http://zotero.org/users/192298/items/7ZVRT3W2"],"uri":["http://zotero.org/users/192298/items/7ZVRT3W2"],"itemData":{"id":185,"type":"article-journal","title":"Faith, Belief, and Rationality","container-title":"Philosophical Perspectives","page":"213-239","volume":"5","author":[{"family":"Audi","given":"Robert"}],"issued":{"date-parts":[["1991"]]}},"locator":"218"}],"schema":"https://github.com/citation-style-language/schema/raw/master/csl-citation.json"} </w:instrText>
      </w:r>
      <w:r>
        <w:fldChar w:fldCharType="separate"/>
      </w:r>
      <w:r w:rsidRPr="00D407DE">
        <w:t>Audi, “Faith, Belief, and Rationality,” 218.</w:t>
      </w:r>
      <w:r>
        <w:fldChar w:fldCharType="end"/>
      </w:r>
      <w:r>
        <w:t xml:space="preserve"> See also </w:t>
      </w:r>
      <w:r>
        <w:fldChar w:fldCharType="begin"/>
      </w:r>
      <w:r>
        <w:instrText xml:space="preserve"> ADDIN ZOTERO_ITEM CSL_CITATION {"citationID":"RZBfJ16F","properties":{"formattedCitation":"{\\rtf Daniel J. Mckaughan, \\uc0\\u8220{}Authentic Faith and Acknowledged Risk: Dissolving the Problem of Faith and Reason,\\uc0\\u8221{} {\\i{}Religious Studies} 49, no. 1 (March 2013): 104, doi:10.1017/S0034412512000200.}","plainCitation":"Daniel J. Mckaughan, “Authentic Faith and Acknowledged Risk: Dissolving the Problem of Faith and Reason,” Religious Studies 49, no. 1 (March 2013): 104, doi:10.1017/S0034412512000200.","dontUpdate":true},"citationItems":[{"id":182,"uris":["http://zotero.org/users/192298/items/5QPKJCPQ"],"uri":["http://zotero.org/users/192298/items/5QPKJCPQ"],"itemData":{"id":182,"type":"article-journal","title":"Authentic faith and acknowledged risk: dissolving the problem of faith and reason","container-title":"Religious Studies","page":"101-124","volume":"49","issue":"01","source":"CrossRef","DOI":"10.1017/S0034412512000200","ISSN":"0034-4125, 1469-901X","shortTitle":"Authentic faith and acknowledged risk","language":"en","author":[{"family":"McKaughan","given":"Daniel J."}],"issued":{"date-parts":[["2013",3]]}},"locator":"104"}],"schema":"https://github.com/citation-style-language/schema/raw/master/csl-citation.json"} </w:instrText>
      </w:r>
      <w:r>
        <w:fldChar w:fldCharType="separate"/>
      </w:r>
      <w:r>
        <w:t>Daniel J. McK</w:t>
      </w:r>
      <w:r w:rsidRPr="00041CF1">
        <w:t xml:space="preserve">aughan, “Authentic Faith and Acknowledged Risk: Dissolving the Problem of Faith and Reason,” </w:t>
      </w:r>
      <w:r w:rsidRPr="00041CF1">
        <w:rPr>
          <w:i/>
          <w:iCs/>
        </w:rPr>
        <w:t>Religious Studies</w:t>
      </w:r>
      <w:r w:rsidRPr="00041CF1">
        <w:t xml:space="preserve"> 4</w:t>
      </w:r>
      <w:r>
        <w:t>9, no. 1 (March 2013): 101-24, at 104</w:t>
      </w:r>
      <w:r w:rsidRPr="00041CF1">
        <w:t>.</w:t>
      </w:r>
      <w:r>
        <w:fldChar w:fldCharType="end"/>
      </w:r>
    </w:p>
  </w:footnote>
  <w:footnote w:id="6">
    <w:p w14:paraId="41BE262A" w14:textId="6EAFBBC7" w:rsidR="000944AD" w:rsidRDefault="000944AD" w:rsidP="005A169B">
      <w:pPr>
        <w:pStyle w:val="FootnoteText"/>
      </w:pPr>
      <w:r w:rsidRPr="005D4C21">
        <w:rPr>
          <w:rStyle w:val="FootnoteReference"/>
        </w:rPr>
        <w:footnoteRef/>
      </w:r>
      <w:r>
        <w:t xml:space="preserve"> See </w:t>
      </w:r>
      <w:r>
        <w:fldChar w:fldCharType="begin"/>
      </w:r>
      <w:r>
        <w:instrText xml:space="preserve"> ADDIN ZOTERO_ITEM CSL_CITATION {"citationID":"lFwneYVt","properties":{"formattedCitation":"{\\rtf Audi, \\uc0\\u8220{}Faith, Belief, and Rationality,\\uc0\\u8221{} 232\\uc0\\u8211{}33.}","plainCitation":"Audi, “Faith, Belief, and Rationality,” 232–33."},"citationItems":[{"id":185,"uris":["http://zotero.org/users/192298/items/7ZVRT3W2"],"uri":["http://zotero.org/users/192298/items/7ZVRT3W2"],"itemData":{"id":185,"type":"article-journal","title":"Faith, Belief, and Rationality","container-title":"Philosophical Perspectives","page":"213-239","volume":"5","author":[{"family":"Audi","given":"Robert"}],"issued":{"date-parts":[["1991"]]}},"locator":"232-233"}],"schema":"https://github.com/citation-style-language/schema/raw/master/csl-citation.json"} </w:instrText>
      </w:r>
      <w:r>
        <w:fldChar w:fldCharType="separate"/>
      </w:r>
      <w:r w:rsidRPr="00041CF1">
        <w:t>Audi, “Faith, Belief, and Rationality,” 232–33</w:t>
      </w:r>
      <w:r>
        <w:fldChar w:fldCharType="end"/>
      </w:r>
      <w:r>
        <w:t xml:space="preserve"> and </w:t>
      </w:r>
      <w:r>
        <w:fldChar w:fldCharType="begin"/>
      </w:r>
      <w:r>
        <w:instrText xml:space="preserve"> ADDIN ZOTERO_ITEM CSL_CITATION {"citationID":"k4mqkZOy","properties":{"formattedCitation":"{\\rtf Daniel J. McKaughan, \\uc0\\u8220{}Action-Centered Faith, Doubt, and Rationality:,\\uc0\\u8221{} {\\i{}Journal of Philosophical Research} 41, no. Supplement (2016): 75, doi:10.5840/jpr20165364.}","plainCitation":"Daniel J. McKaughan, “Action-Centered Faith, Doubt, and Rationality:,” Journal of Philosophical Research 41, no. Supplement (2016): 75, doi:10.5840/jpr20165364."},"citationItems":[{"id":269,"uris":["http://zotero.org/users/192298/items/ESWV9977"],"uri":["http://zotero.org/users/192298/items/ESWV9977"],"itemData":{"id":269,"type":"article-journal","title":"Action-Centered Faith, Doubt, and Rationality:","container-title":"Journal of Philosophical Research","page":"71-90","volume":"41","issue":"Supplement","source":"CrossRef","DOI":"10.5840/jpr20165364","ISSN":"1053-8364","shortTitle":"Action-Centered Faith, Doubt, and Rationality","author":[{"family":"McKaughan","given":"Daniel J."}],"issued":{"date-parts":[["2016"]]}},"locator":"75"}],"schema":"https://github.com/citation-style-language/schema/raw/master/csl-citation.json"} </w:instrText>
      </w:r>
      <w:r>
        <w:fldChar w:fldCharType="separate"/>
      </w:r>
      <w:r w:rsidRPr="003D118D">
        <w:rPr>
          <w:rFonts w:ascii="Times" w:hAnsi="Times"/>
        </w:rPr>
        <w:t xml:space="preserve">Daniel J. McKaughan, “Action-Centered Faith, Doubt, and Rationality,” </w:t>
      </w:r>
      <w:r w:rsidRPr="003D118D">
        <w:rPr>
          <w:rFonts w:ascii="Times" w:hAnsi="Times"/>
          <w:i/>
          <w:iCs/>
        </w:rPr>
        <w:t>Journal of Philosophical Research</w:t>
      </w:r>
      <w:r>
        <w:rPr>
          <w:rFonts w:ascii="Times" w:hAnsi="Times"/>
        </w:rPr>
        <w:t xml:space="preserve"> 41, no. Supplement (2016): 71-90, at 75</w:t>
      </w:r>
      <w:r w:rsidRPr="003D118D">
        <w:rPr>
          <w:rFonts w:ascii="Times" w:hAnsi="Times"/>
        </w:rPr>
        <w:t>.</w:t>
      </w:r>
      <w:r>
        <w:fldChar w:fldCharType="end"/>
      </w:r>
    </w:p>
  </w:footnote>
  <w:footnote w:id="7">
    <w:p w14:paraId="38ED5A33" w14:textId="3BF26380" w:rsidR="000944AD" w:rsidRDefault="000944AD" w:rsidP="005A169B">
      <w:pPr>
        <w:pStyle w:val="FootnoteText"/>
      </w:pPr>
      <w:r w:rsidRPr="005D4C21">
        <w:rPr>
          <w:rStyle w:val="FootnoteReference"/>
        </w:rPr>
        <w:footnoteRef/>
      </w:r>
      <w:r>
        <w:t xml:space="preserve"> </w:t>
      </w:r>
      <w:r>
        <w:fldChar w:fldCharType="begin"/>
      </w:r>
      <w:r>
        <w:instrText xml:space="preserve"> ADDIN ZOTERO_ITEM CSL_CITATION {"citationID":"3OJyGOHh","properties":{"formattedCitation":"{\\rtf Kvanvig, \\uc0\\u8220{}Affective Theism and People of Faith,\\uc0\\u8221{} 121.}","plainCitation":"Kvanvig, “Affective Theism and People of Faith,” 121."},"citationItems":[{"id":189,"uris":["http://zotero.org/users/192298/items/64IWTMPF"],"uri":["http://zotero.org/users/192298/items/64IWTMPF"],"itemData":{"id":189,"type":"article-journal","title":"Affective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L."}],"issued":{"date-parts":[["2013",9]]}},"locator":"121"}],"schema":"https://github.com/citation-style-language/schema/raw/master/csl-citation.json"} </w:instrText>
      </w:r>
      <w:r>
        <w:fldChar w:fldCharType="separate"/>
      </w:r>
      <w:r w:rsidRPr="001B5FC2">
        <w:rPr>
          <w:rFonts w:cs="Times New Roman"/>
        </w:rPr>
        <w:t>Kvanvig, “Affective Theism and People of Faith,” 121.</w:t>
      </w:r>
      <w:r>
        <w:fldChar w:fldCharType="end"/>
      </w:r>
    </w:p>
  </w:footnote>
  <w:footnote w:id="8">
    <w:p w14:paraId="5CA829A6" w14:textId="705B9D7D" w:rsidR="000944AD" w:rsidRPr="00870187" w:rsidRDefault="000944AD" w:rsidP="0065281F">
      <w:pPr>
        <w:pStyle w:val="FootnoteText"/>
      </w:pPr>
      <w:r w:rsidRPr="005D4C21">
        <w:rPr>
          <w:rStyle w:val="FootnoteReference"/>
        </w:rPr>
        <w:footnoteRef/>
      </w:r>
      <w:r w:rsidRPr="00870187">
        <w:t xml:space="preserve"> See </w:t>
      </w:r>
      <w:r w:rsidRPr="00870187">
        <w:fldChar w:fldCharType="begin"/>
      </w:r>
      <w:r>
        <w:instrText xml:space="preserve"> ADDIN ZOTERO_ITEM CSL_CITATION {"citationID":"UJ6wcnim","properties":{"formattedCitation":"Ibid., 109.","plainCitation":"Ibid., 109."},"citationItems":[{"id":189,"uris":["http://zotero.org/users/192298/items/64IWTMPF"],"uri":["http://zotero.org/users/192298/items/64IWTMPF"],"itemData":{"id":189,"type":"article-journal","title":"Affective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L."}],"issued":{"date-parts":[["2013",9]]}},"locator":"109"}],"schema":"https://github.com/citation-style-language/schema/raw/master/csl-citation.json"} </w:instrText>
      </w:r>
      <w:r w:rsidRPr="00870187">
        <w:fldChar w:fldCharType="separate"/>
      </w:r>
      <w:r>
        <w:t>Ibid., 109.</w:t>
      </w:r>
      <w:r w:rsidRPr="00870187">
        <w:fldChar w:fldCharType="end"/>
      </w:r>
    </w:p>
  </w:footnote>
  <w:footnote w:id="9">
    <w:p w14:paraId="23B5FEF7" w14:textId="30B2513C" w:rsidR="000944AD" w:rsidRPr="00345C34" w:rsidRDefault="000944AD">
      <w:pPr>
        <w:pStyle w:val="FootnoteText"/>
      </w:pPr>
      <w:r w:rsidRPr="005D4C21">
        <w:rPr>
          <w:rStyle w:val="FootnoteReference"/>
        </w:rPr>
        <w:footnoteRef/>
      </w:r>
      <w:r>
        <w:t xml:space="preserve"> </w:t>
      </w:r>
      <w:r>
        <w:fldChar w:fldCharType="begin"/>
      </w:r>
      <w:r>
        <w:instrText xml:space="preserve"> ADDIN ZOTERO_ITEM CSL_CITATION {"citationID":"E5F1ppYf","properties":{"formattedCitation":"{\\rtf G.W.F. Hegel, {\\i{}Elements of the Philosophy of Right}, trans. Nisbet, H.B. (Cambridge: Cambridge University Press, 1991).}","plainCitation":"G.W.F. Hegel, Elements of the Philosophy of Right, trans. Nisbet, H.B. (Cambridge: Cambridge University Press, 1991)."},"citationItems":[{"id":25,"uris":["http://zotero.org/users/192298/items/M6UZT45R"],"uri":["http://zotero.org/users/192298/items/M6UZT45R"],"itemData":{"id":25,"type":"book","title":"Elements of the Philosophy of Right","publisher":"Cambridge University Press","publisher-place":"Cambridge","event-place":"Cambridge","ISBN":"978-0-521-34888-1","shortTitle":"PR","author":[{"family":"Hegel","given":"G.W.F."}],"translator":[{"family":"Nisbet, H.B.","given":""}],"issued":{"date-parts":[["1991"]]}}}],"schema":"https://github.com/citation-style-language/schema/raw/master/csl-citation.json"} </w:instrText>
      </w:r>
      <w:r>
        <w:fldChar w:fldCharType="separate"/>
      </w:r>
      <w:r w:rsidRPr="002B4135">
        <w:rPr>
          <w:rFonts w:cs="Times New Roman"/>
        </w:rPr>
        <w:t xml:space="preserve">G.W.F. Hegel, </w:t>
      </w:r>
      <w:r w:rsidRPr="002B4135">
        <w:rPr>
          <w:rFonts w:cs="Times New Roman"/>
          <w:i/>
          <w:iCs/>
        </w:rPr>
        <w:t>Elements of the Philosophy of Right</w:t>
      </w:r>
      <w:r w:rsidRPr="002B4135">
        <w:rPr>
          <w:rFonts w:cs="Times New Roman"/>
        </w:rPr>
        <w:t>, trans. Nisbet, H.B. (Cambridge: Cambridge University Press, 1991).</w:t>
      </w:r>
      <w:r>
        <w:fldChar w:fldCharType="end"/>
      </w:r>
      <w:r>
        <w:t xml:space="preserve"> </w:t>
      </w:r>
      <w:r w:rsidRPr="00074681">
        <w:t>Siglum</w:t>
      </w:r>
      <w:r>
        <w:t xml:space="preserve">: </w:t>
      </w:r>
      <w:r>
        <w:rPr>
          <w:i/>
        </w:rPr>
        <w:t>PR</w:t>
      </w:r>
      <w:r>
        <w:t>.</w:t>
      </w:r>
    </w:p>
  </w:footnote>
  <w:footnote w:id="10">
    <w:p w14:paraId="52EC9A4A" w14:textId="57928BAF" w:rsidR="000944AD" w:rsidRDefault="000944AD">
      <w:pPr>
        <w:pStyle w:val="FootnoteText"/>
      </w:pPr>
      <w:r w:rsidRPr="005D4C21">
        <w:rPr>
          <w:rStyle w:val="FootnoteReference"/>
        </w:rPr>
        <w:footnoteRef/>
      </w:r>
      <w:r>
        <w:t xml:space="preserve"> </w:t>
      </w:r>
      <w:r w:rsidRPr="00903058">
        <w:t xml:space="preserve"> </w:t>
      </w:r>
      <w:r>
        <w:fldChar w:fldCharType="begin"/>
      </w:r>
      <w:r>
        <w:instrText xml:space="preserve"> ADDIN ZOTERO_ITEM CSL_CITATION {"citationID":"49Q8Qzft","properties":{"formattedCitation":"{\\rtf G.W.F. Hegel, {\\i{}Lectures on the Philosophy of Religion}, trans. Speirs, E.B. and Sanderson, J. Burdon, vol. 1 (Kagan Paul Trench Trubner &amp; Co, 1895), https://play.google.com/books/reader?printsec=frontcover&amp;output=reader&amp;id=OdFBAQAAMAAJ&amp;pg=GBS.PA132.}","plainCitation":"G.W.F. Hegel, Lectures on the Philosophy of Religion, trans. Speirs, E.B. and Sanderson, J. Burdon, vol. 1 (Kagan Paul Trench Trubner &amp; Co, 1895), https://play.google.com/books/reader?printsec=frontcover&amp;output=reader&amp;id=OdFBAQAAMAAJ&amp;pg=GBS.PA132."},"citationItems":[{"id":226,"uris":["http://zotero.org/users/192298/items/DRASM2GR"],"uri":["http://zotero.org/users/192298/items/DRASM2GR"],"itemData":{"id":226,"type":"book","title":"Lectures on the Philosophy of Religion","publisher":"Kagan Paul Trench Trubner &amp; Co","volume":"1","URL":"https://play.google.com/books/reader?printsec=frontcover&amp;output=reader&amp;id=OdFBAQAAMAAJ&amp;pg=GBS.PA132","author":[{"family":"Hegel","given":"G.W.F."}],"translator":[{"family":"Speirs, E.B.","given":""},{"family":"Sanderson, J. Burdon","given":""}],"issued":{"date-parts":[["1895"]]}}}],"schema":"https://github.com/citation-style-language/schema/raw/master/csl-citation.json"} </w:instrText>
      </w:r>
      <w:r>
        <w:fldChar w:fldCharType="separate"/>
      </w:r>
      <w:r w:rsidRPr="00903058">
        <w:rPr>
          <w:rFonts w:cs="Times New Roman"/>
        </w:rPr>
        <w:t xml:space="preserve">G.W.F. Hegel, </w:t>
      </w:r>
      <w:r w:rsidRPr="00903058">
        <w:rPr>
          <w:rFonts w:cs="Times New Roman"/>
          <w:i/>
          <w:iCs/>
        </w:rPr>
        <w:t>Lectures on the Philosophy of Religion</w:t>
      </w:r>
      <w:r w:rsidRPr="00903058">
        <w:rPr>
          <w:rFonts w:cs="Times New Roman"/>
        </w:rPr>
        <w:t>, trans. Speirs, E.B. and Sanderson, J. Burdon, vol. 1</w:t>
      </w:r>
      <w:r>
        <w:rPr>
          <w:rFonts w:cs="Times New Roman"/>
        </w:rPr>
        <w:t>, 2, and 3</w:t>
      </w:r>
      <w:r w:rsidRPr="00903058">
        <w:rPr>
          <w:rFonts w:cs="Times New Roman"/>
        </w:rPr>
        <w:t xml:space="preserve"> (Kagan </w:t>
      </w:r>
      <w:r>
        <w:rPr>
          <w:rFonts w:cs="Times New Roman"/>
        </w:rPr>
        <w:t>Paul Trench Trubner &amp; Co, 1895)</w:t>
      </w:r>
      <w:r w:rsidRPr="00903058">
        <w:rPr>
          <w:rFonts w:cs="Times New Roman"/>
        </w:rPr>
        <w:t>.</w:t>
      </w:r>
      <w:r>
        <w:fldChar w:fldCharType="end"/>
      </w:r>
      <w:r>
        <w:t xml:space="preserve"> </w:t>
      </w:r>
      <w:r w:rsidRPr="00074681">
        <w:t>Sigla</w:t>
      </w:r>
      <w:r>
        <w:t xml:space="preserve">: </w:t>
      </w:r>
      <w:r>
        <w:rPr>
          <w:i/>
        </w:rPr>
        <w:t xml:space="preserve">Rel </w:t>
      </w:r>
      <w:r>
        <w:t xml:space="preserve">I, </w:t>
      </w:r>
      <w:r w:rsidRPr="00345C34">
        <w:rPr>
          <w:i/>
        </w:rPr>
        <w:t>Rel</w:t>
      </w:r>
      <w:r>
        <w:t xml:space="preserve"> II, </w:t>
      </w:r>
      <w:r>
        <w:rPr>
          <w:i/>
        </w:rPr>
        <w:t>Rel</w:t>
      </w:r>
      <w:r>
        <w:t xml:space="preserve"> III.</w:t>
      </w:r>
    </w:p>
  </w:footnote>
  <w:footnote w:id="11">
    <w:p w14:paraId="5D54E21F" w14:textId="358CB933" w:rsidR="000944AD" w:rsidRPr="00870187" w:rsidRDefault="000944AD" w:rsidP="00F458AE">
      <w:pPr>
        <w:pStyle w:val="FootnoteText"/>
      </w:pPr>
      <w:r w:rsidRPr="005D4C21">
        <w:rPr>
          <w:rStyle w:val="FootnoteReference"/>
        </w:rPr>
        <w:footnoteRef/>
      </w:r>
      <w:r w:rsidRPr="00870187">
        <w:t xml:space="preserve"> See </w:t>
      </w:r>
      <w:r w:rsidRPr="00903058">
        <w:rPr>
          <w:i/>
        </w:rPr>
        <w:t>Religion within the Bounds of Reason Alone</w:t>
      </w:r>
      <w:r w:rsidRPr="00903058">
        <w:t xml:space="preserve"> 6:87, 186-7 and </w:t>
      </w:r>
      <w:r w:rsidRPr="00903058">
        <w:rPr>
          <w:i/>
        </w:rPr>
        <w:t>The Conflict of the Faculties</w:t>
      </w:r>
      <w:r>
        <w:t xml:space="preserve"> 7:62-</w:t>
      </w:r>
      <w:r w:rsidRPr="00903058">
        <w:t>5.</w:t>
      </w:r>
    </w:p>
  </w:footnote>
  <w:footnote w:id="12">
    <w:p w14:paraId="15CB251A" w14:textId="70399283" w:rsidR="000944AD" w:rsidRDefault="000944AD" w:rsidP="0036099C">
      <w:pPr>
        <w:pStyle w:val="FootnoteText"/>
      </w:pPr>
      <w:r w:rsidRPr="005D4C21">
        <w:rPr>
          <w:rStyle w:val="FootnoteReference"/>
        </w:rPr>
        <w:footnoteRef/>
      </w:r>
      <w:r>
        <w:t xml:space="preserve"> </w:t>
      </w:r>
      <w:r>
        <w:fldChar w:fldCharType="begin"/>
      </w:r>
      <w:r>
        <w:instrText xml:space="preserve"> ADDIN ZOTERO_ITEM CSL_CITATION {"citationID":"JPEgFal2","properties":{"formattedCitation":"{\\rtf Mark C. Taylor, \\uc0\\u8220{}Journeys to Moriah: Hegel vs. Kierkegaard,\\uc0\\u8221{} {\\i{}Harvard Theological Review} 70, no. 3\\uc0\\u8211{}4 (October 1977): 306, doi:10.1017/S0017816000019957.}","plainCitation":"Mark C. Taylor, “Journeys to Moriah: Hegel vs. Kierkegaard,” Harvard Theological Review 70, no. 3–4 (October 1977): 306, doi:10.1017/S0017816000019957."},"citationItems":[{"id":270,"uris":["http://zotero.org/users/192298/items/VD7SFW2M"],"uri":["http://zotero.org/users/192298/items/VD7SFW2M"],"itemData":{"id":270,"type":"article-journal","title":"Journeys to Moriah: Hegel vs. Kierkegaard","container-title":"Harvard Theological Review","page":"305-326","volume":"70","issue":"3-4","source":"CrossRef","DOI":"10.1017/S0017816000019957","ISSN":"0017-8160, 1475-4517","shortTitle":"Journeys to Moriah","language":"en","author":[{"family":"Taylor","given":"Mark C."}],"issued":{"date-parts":[["1977",10]]}},"locator":"306"}],"schema":"https://github.com/citation-style-language/schema/raw/master/csl-citation.json"} </w:instrText>
      </w:r>
      <w:r>
        <w:fldChar w:fldCharType="separate"/>
      </w:r>
      <w:r w:rsidRPr="0058407C">
        <w:t xml:space="preserve">Mark C. Taylor, “Journeys to Moriah: Hegel vs. Kierkegaard,” </w:t>
      </w:r>
      <w:r w:rsidRPr="0058407C">
        <w:rPr>
          <w:i/>
          <w:iCs/>
        </w:rPr>
        <w:t>Harvard Theological Review</w:t>
      </w:r>
      <w:r w:rsidRPr="0058407C">
        <w:t xml:space="preserve"> </w:t>
      </w:r>
      <w:r>
        <w:t>70, no. 3–4 (October 1977): 305-26, at 306</w:t>
      </w:r>
      <w:r w:rsidRPr="0058407C">
        <w:t>.</w:t>
      </w:r>
      <w:r>
        <w:fldChar w:fldCharType="end"/>
      </w:r>
    </w:p>
  </w:footnote>
  <w:footnote w:id="13">
    <w:p w14:paraId="3020BC62" w14:textId="657258BF" w:rsidR="000944AD" w:rsidRPr="00870187" w:rsidRDefault="000944AD" w:rsidP="009C35BF">
      <w:pPr>
        <w:pStyle w:val="FootnoteText"/>
      </w:pPr>
      <w:r w:rsidRPr="005D4C21">
        <w:rPr>
          <w:rStyle w:val="FootnoteReference"/>
        </w:rPr>
        <w:footnoteRef/>
      </w:r>
      <w:r w:rsidRPr="00870187">
        <w:t xml:space="preserve"> This is mostly worked out in </w:t>
      </w:r>
      <w:r w:rsidRPr="009F2EBF">
        <w:rPr>
          <w:i/>
        </w:rPr>
        <w:t>Phenomenology of Spirit</w:t>
      </w:r>
      <w:r w:rsidRPr="00870187">
        <w:t xml:space="preserve"> and </w:t>
      </w:r>
      <w:r w:rsidRPr="009F2EBF">
        <w:rPr>
          <w:i/>
        </w:rPr>
        <w:t>Philosophy of Right</w:t>
      </w:r>
      <w:r w:rsidRPr="009F2EBF">
        <w:t>.</w:t>
      </w:r>
      <w:r w:rsidRPr="00870187">
        <w:t xml:space="preserve"> See also </w:t>
      </w:r>
      <w:r w:rsidRPr="00870187">
        <w:fldChar w:fldCharType="begin"/>
      </w:r>
      <w:r>
        <w:instrText xml:space="preserve"> ADDIN ZOTERO_ITEM CSL_CITATION {"citationID":"yyG5vUHj","properties":{"formattedCitation":"{\\rtf Robert B. Pippin, \\uc0\\u8220{}What Is the Question for Which Hegel\\uc0\\u8217{}s Theory of Recognition Is the Answer?,\\uc0\\u8221{} {\\i{}European Journal of Philosophy} 8, no. 2 (August 2000): 158, doi:10.1111/1468-0378.00106.}","plainCitation":"Robert B. Pippin, “What Is the Question for Which Hegel’s Theory of Recognition Is the Answer?,” European Journal of Philosophy 8, no. 2 (August 2000): 158, doi:10.1111/1468-0378.00106."},"citationItems":[{"id":197,"uris":["http://zotero.org/users/192298/items/GM3MUUNQ"],"uri":["http://zotero.org/users/192298/items/GM3MUUNQ"],"itemData":{"id":197,"type":"article-journal","title":"What is the Question for which Hegel's Theory of Recognition is the Answer?","container-title":"European Journal of Philosophy","page":"155-172","volume":"8","issue":"2","source":"CrossRef","DOI":"10.1111/1468-0378.00106","ISSN":"0966-8373, 1468-0378","language":"en","author":[{"family":"Pippin","given":"Robert B."}],"issued":{"date-parts":[["2000",8]]}},"locator":"158"}],"schema":"https://github.com/citation-style-language/schema/raw/master/csl-citation.json"} </w:instrText>
      </w:r>
      <w:r w:rsidRPr="00870187">
        <w:fldChar w:fldCharType="separate"/>
      </w:r>
      <w:r w:rsidRPr="00870187">
        <w:t xml:space="preserve">Robert B. Pippin, “What Is the Question for Which Hegel’s Theory of Recognition Is the Answer?,” </w:t>
      </w:r>
      <w:r w:rsidRPr="00870187">
        <w:rPr>
          <w:i/>
          <w:iCs/>
        </w:rPr>
        <w:t>European Journal of Philosophy</w:t>
      </w:r>
      <w:r>
        <w:t xml:space="preserve"> 8, no. 2 (August 2000): 155-72, at 158</w:t>
      </w:r>
      <w:r w:rsidRPr="00870187">
        <w:t>.</w:t>
      </w:r>
      <w:r w:rsidRPr="00870187">
        <w:fldChar w:fldCharType="end"/>
      </w:r>
      <w:r w:rsidRPr="00870187">
        <w:t xml:space="preserve"> Also note that this is not a relativistic system.</w:t>
      </w:r>
    </w:p>
  </w:footnote>
  <w:footnote w:id="14">
    <w:p w14:paraId="25A5C7F0" w14:textId="3E10F360" w:rsidR="000944AD" w:rsidRPr="00504FD0" w:rsidRDefault="000944AD">
      <w:pPr>
        <w:pStyle w:val="FootnoteText"/>
      </w:pPr>
      <w:r>
        <w:rPr>
          <w:rStyle w:val="FootnoteReference"/>
        </w:rPr>
        <w:footnoteRef/>
      </w:r>
      <w:r>
        <w:t xml:space="preserve"> To construct this definition, I am merely consulting the table of contents of the </w:t>
      </w:r>
      <w:r>
        <w:rPr>
          <w:i/>
        </w:rPr>
        <w:t>Phenomenology of Spirit</w:t>
      </w:r>
      <w:r>
        <w:t xml:space="preserve"> and incorporating the major headings which reflect the development of Spirit’s in its comprehension of itself.</w:t>
      </w:r>
    </w:p>
  </w:footnote>
  <w:footnote w:id="15">
    <w:p w14:paraId="07441AD0" w14:textId="2BF61A19" w:rsidR="000944AD" w:rsidRPr="00870187" w:rsidRDefault="000944AD">
      <w:pPr>
        <w:pStyle w:val="FootnoteText"/>
      </w:pPr>
      <w:r w:rsidRPr="005D4C21">
        <w:rPr>
          <w:rStyle w:val="FootnoteReference"/>
        </w:rPr>
        <w:footnoteRef/>
      </w:r>
      <w:r w:rsidRPr="00870187">
        <w:t xml:space="preserve"> See </w:t>
      </w:r>
      <w:r w:rsidRPr="00870187">
        <w:fldChar w:fldCharType="begin"/>
      </w:r>
      <w:r>
        <w:instrText xml:space="preserve"> ADDIN ZOTERO_ITEM CSL_CITATION {"citationID":"NhnvXWJN","properties":{"formattedCitation":"{\\rtf H.B. Acton, \\uc0\\u8220{}Introduction,\\uc0\\u8221{} in {\\i{}Natural Law: The Scientific Ways of Treating Natural Law, Its Place in Moral Philosophy, and Its Relation to the Positive Science of Law} (University of Pennsylvania Press, 1975), 23.}","plainCitation":"H.B. Acton, “Introduction,” in Natural Law: The Scientific Ways of Treating Natural Law, Its Place in Moral Philosophy, and Its Relation to the Positive Science of Law (University of Pennsylvania Press, 1975), 23."},"citationItems":[{"id":221,"uris":["http://zotero.org/users/192298/items/MF44WNKJ"],"uri":["http://zotero.org/users/192298/items/MF44WNKJ"],"itemData":{"id":221,"type":"chapter","title":"Introduction","container-title":"Natural Law: The Scientific Ways of Treating Natural Law, Its Place in Moral Philosophy, and its Relation to the Positive Science of Law","publisher":"University of Pennsylvania Press","page":"9-47","author":[{"family":"Acton","given":"H.B."}],"issued":{"date-parts":[["1975"]]}},"locator":"23"}],"schema":"https://github.com/citation-style-language/schema/raw/master/csl-citation.json"} </w:instrText>
      </w:r>
      <w:r w:rsidRPr="00870187">
        <w:fldChar w:fldCharType="separate"/>
      </w:r>
      <w:r w:rsidRPr="00870187">
        <w:t xml:space="preserve">H.B. Acton, “Introduction,” in </w:t>
      </w:r>
      <w:r w:rsidRPr="00870187">
        <w:rPr>
          <w:i/>
          <w:iCs/>
        </w:rPr>
        <w:t>Natural Law: The Scientific Ways of Treating Natural Law, Its Place in Moral Philosophy, and Its Relation to the Positive Science of Law</w:t>
      </w:r>
      <w:r w:rsidRPr="00870187">
        <w:t xml:space="preserve"> (</w:t>
      </w:r>
      <w:r w:rsidRPr="00990A7E">
        <w:t>Philadelphia, PA</w:t>
      </w:r>
      <w:r>
        <w:t>:</w:t>
      </w:r>
      <w:r w:rsidRPr="00990A7E">
        <w:t xml:space="preserve"> </w:t>
      </w:r>
      <w:r w:rsidRPr="00870187">
        <w:t>University of Pennsylvania Press, 1975), 23.</w:t>
      </w:r>
      <w:r w:rsidRPr="00870187">
        <w:fldChar w:fldCharType="end"/>
      </w:r>
    </w:p>
  </w:footnote>
  <w:footnote w:id="16">
    <w:p w14:paraId="06BDF36B" w14:textId="354C2109" w:rsidR="000944AD" w:rsidRDefault="000944AD">
      <w:pPr>
        <w:pStyle w:val="FootnoteText"/>
      </w:pPr>
      <w:r w:rsidRPr="005D4C21">
        <w:rPr>
          <w:rStyle w:val="FootnoteReference"/>
        </w:rPr>
        <w:footnoteRef/>
      </w:r>
      <w:r>
        <w:t xml:space="preserve"> </w:t>
      </w:r>
      <w:r>
        <w:fldChar w:fldCharType="begin"/>
      </w:r>
      <w:r>
        <w:instrText xml:space="preserve"> ADDIN ZOTERO_ITEM CSL_CITATION {"citationID":"tSWGqXfN","properties":{"formattedCitation":"{\\rtf Kvanvig, \\uc0\\u8220{}Affective Theism and People of Faith,\\uc0\\u8221{} 124.}","plainCitation":"Kvanvig, “Affective Theism and People of Faith,” 124."},"citationItems":[{"id":189,"uris":["http://zotero.org/users/192298/items/64IWTMPF"],"uri":["http://zotero.org/users/192298/items/64IWTMPF"],"itemData":{"id":189,"type":"article-journal","title":"Affective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L."}],"issued":{"date-parts":[["2013",9]]}},"locator":"124"}],"schema":"https://github.com/citation-style-language/schema/raw/master/csl-citation.json"} </w:instrText>
      </w:r>
      <w:r>
        <w:fldChar w:fldCharType="separate"/>
      </w:r>
      <w:r w:rsidRPr="007B0D5B">
        <w:t>Kvanvig, “Affective Theism and People of Faith,” 124.</w:t>
      </w:r>
      <w:r>
        <w:fldChar w:fldCharType="end"/>
      </w:r>
    </w:p>
  </w:footnote>
  <w:footnote w:id="17">
    <w:p w14:paraId="01C6096D" w14:textId="6CA8DEB0" w:rsidR="000944AD" w:rsidRPr="00870187" w:rsidRDefault="000944AD" w:rsidP="00914301">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{"citationID":"DvZw8mN1","properties":{"formattedCitation":"{\\rtf Robert Stern, {\\i{}Understanding Moral Obligation: Kant, Hegel, Kierkegaard}, Modern European Philosophy (Cambridge\\uc0\\u8239{}; New York: Cambridge University Press, 2012), 156.}","plainCitation":"Robert Stern, Understanding Moral Obligation: Kant, Hegel, Kierkegaard, Modern European Philosophy (Cambridge</w:instrText>
      </w:r>
      <w:r>
        <w:rPr>
          <w:rFonts w:ascii="Calibri" w:eastAsia="Calibri" w:hAnsi="Calibri" w:cs="Calibri"/>
        </w:rPr>
        <w:instrText> </w:instrText>
      </w:r>
      <w:r>
        <w:instrText xml:space="preserve">; New York: Cambridge University Press, 2012), 156."},"citationItems":[{"id":256,"uris":["http://zotero.org/users/192298/items/KFD3F5W2"],"uri":["http://zotero.org/users/192298/items/KFD3F5W2"],"itemData":{"id":256,"type":"book","title":"Understanding moral obligation: Kant, Hegel, Kierkegaard","collection-title":"Modern European philosophy","publisher":"Cambridge University Press","publisher-place":"Cambridge ; New York","number-of-pages":"277","source":"Library of Congress ISBN","event-place":"Cambridge ; New York","abstract":"\"In many histories of modern ethics, Kant is supposed to have ushered in an anti-realist or constructivist turn by holding that unless we ourselves 'author' or lay down moral norms and values for ourselves, our autonomy as agents will be threatened. In this book, Robert Stern challenges the cogency of this 'argument from autonomy', and claims that Kant never subscribed to it. Rather, it is not value realism but the apparent obligatoriness of morality that really poses a challenge to our autonomy: how can this be accounted for without taking away our freedom? The debate the book focuses on therefore concerns whether this obligatoriness should be located in ourselves (Kant), in others (Hegel) or in God (Kierkegaard). Stern traces the historical dialectic that drove the development of these respective theories, and clearly and sympathetically considers their merits and disadvantages; he concludes by arguing that the choice between them remains open\"--","ISBN":"978-1-107-01207-3","call-number":"BJ1451 .S69 2012","shortTitle":"Understanding moral obligation","author":[{"family":"Stern","given":"Robert"}],"issued":{"date-parts":[["2012"]]}},"locator":"156"}],"schema":"https://github.com/citation-style-language/schema/raw/master/csl-citation.json"} </w:instrText>
      </w:r>
      <w:r w:rsidRPr="00870187">
        <w:fldChar w:fldCharType="separate"/>
      </w:r>
      <w:r w:rsidRPr="00870187">
        <w:t xml:space="preserve">Robert Stern, </w:t>
      </w:r>
      <w:r w:rsidRPr="00870187">
        <w:rPr>
          <w:i/>
          <w:iCs/>
        </w:rPr>
        <w:t>Understanding Moral Obligation: Kant, Hegel, Kierkegaard</w:t>
      </w:r>
      <w:r w:rsidRPr="00870187">
        <w:t>, Modern European Philosophy (Cambridge</w:t>
      </w:r>
      <w:r>
        <w:t>, UK</w:t>
      </w:r>
      <w:r w:rsidRPr="00870187">
        <w:t>; New York</w:t>
      </w:r>
      <w:r>
        <w:t>, NY</w:t>
      </w:r>
      <w:r w:rsidRPr="00870187">
        <w:t>: Cambridge University Press, 2012), 156.</w:t>
      </w:r>
      <w:r w:rsidRPr="00870187">
        <w:fldChar w:fldCharType="end"/>
      </w:r>
    </w:p>
  </w:footnote>
  <w:footnote w:id="18">
    <w:p w14:paraId="1C2AA11A" w14:textId="72215DA2" w:rsidR="000944AD" w:rsidRPr="00870187" w:rsidRDefault="000944AD" w:rsidP="003D5A02">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{"citationID":"GdRtPxTz","properties":{"formattedCitation":"{\\rtf Westphal, Merold, \\uc0\\u8220{}Kierkegaard and Hegel,\\uc0\\u8221{} in {\\i{}The Cambridge Companion to Kierkegaard}, ed. Alastair Hannay and Gordon Daniel Marino (Cambridge\\uc0\\u8239{}; New York: Cambridge University Press, 1998), 106.}","plainCitation":"Westphal, Merold, “Kierkegaard and Hegel,” in The Cambridge Companion to Kierkegaard, ed. Alastair Hannay and Gordon Daniel Marino (Cambridge</w:instrText>
      </w:r>
      <w:r>
        <w:rPr>
          <w:rFonts w:ascii="Calibri" w:eastAsia="Calibri" w:hAnsi="Calibri" w:cs="Calibri"/>
        </w:rPr>
        <w:instrText> </w:instrText>
      </w:r>
      <w:r>
        <w:instrText xml:space="preserve">; New York: Cambridge University Press, 1998), 106."},"citationItems":[{"id":191,"uris":["http://zotero.org/users/192298/items/NGG4MZQI"],"uri":["http://zotero.org/users/192298/items/NGG4MZQI"],"itemData":{"id":191,"type":"chapter","title":"Kierkegaard and Hegel","container-title":"The Cambridge companion to Kierkegaard","publisher":"Cambridge University Press","publisher-place":"Cambridge ; New York","page":"101-124","source":"Library of Congress ISBN","event-place":"Cambridge ; New York","ISBN":"978-0-521-47151-0","call-number":"B4377 .C29 1998","editor":[{"family":"Hannay","given":"Alastair"},{"family":"Marino","given":"Gordon Daniel"}],"author":[{"family":"Westphal, Merold","given":""}],"issued":{"date-parts":[["1998"]]}},"locator":"106"}],"schema":"https://github.com/citation-style-language/schema/raw/master/csl-citation.json"} </w:instrText>
      </w:r>
      <w:r w:rsidRPr="00870187">
        <w:fldChar w:fldCharType="separate"/>
      </w:r>
      <w:r w:rsidRPr="00870187">
        <w:t xml:space="preserve">Westphal, Merold, “Kierkegaard and Hegel,” in </w:t>
      </w:r>
      <w:r w:rsidRPr="00870187">
        <w:rPr>
          <w:i/>
          <w:iCs/>
        </w:rPr>
        <w:t>The Cambridge Companion to Kierkegaard</w:t>
      </w:r>
      <w:r w:rsidRPr="00870187">
        <w:t>, ed. Alastair Hannay and Gordon Daniel Marino (Cambridge</w:t>
      </w:r>
      <w:r>
        <w:t>, UK</w:t>
      </w:r>
      <w:r w:rsidRPr="00870187">
        <w:t>; New York</w:t>
      </w:r>
      <w:r>
        <w:t>, NY</w:t>
      </w:r>
      <w:r w:rsidRPr="00870187">
        <w:t xml:space="preserve">: Cambridge University Press, 1998), </w:t>
      </w:r>
      <w:r>
        <w:t xml:space="preserve">101-24, at </w:t>
      </w:r>
      <w:r w:rsidRPr="00870187">
        <w:t>106.</w:t>
      </w:r>
      <w:r w:rsidRPr="00870187">
        <w:fldChar w:fldCharType="end"/>
      </w:r>
      <w:r w:rsidRPr="00870187">
        <w:t xml:space="preserve"> For our purposes, we can view this narrowly as a claim about </w:t>
      </w:r>
      <w:r w:rsidRPr="00870187">
        <w:rPr>
          <w:i/>
        </w:rPr>
        <w:t>how</w:t>
      </w:r>
      <w:r w:rsidRPr="00870187">
        <w:t xml:space="preserve"> the self comes to know, rather than any deeper communitarian claim about the metaphysics of knowledge.</w:t>
      </w:r>
    </w:p>
  </w:footnote>
  <w:footnote w:id="19">
    <w:p w14:paraId="4C1D0AE9" w14:textId="3E97581C" w:rsidR="000944AD" w:rsidRPr="00870187" w:rsidRDefault="000944AD">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{"citationID":"tOGiTGzP","properties":{"formattedCitation":"{\\rtf Kvanvig, \\uc0\\u8220{}Affective Theism and People of Faith,\\uc0\\u8221{} 116.}","plainCitation":"Kvanvig, “Affective Theism and People of Faith,” 116."},"citationItems":[{"id":189,"uris":["http://zotero.org/users/192298/items/64IWTMPF"],"uri":["http://zotero.org/users/192298/items/64IWTMPF"],"itemData":{"id":189,"type":"article-journal","title":"Affective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L."}],"issued":{"date-parts":[["2013",9]]}},"locator":"116"}],"schema":"https://github.com/citation-style-language/schema/raw/master/csl-citation.json"} </w:instrText>
      </w:r>
      <w:r w:rsidRPr="00870187">
        <w:fldChar w:fldCharType="separate"/>
      </w:r>
      <w:r w:rsidRPr="00870187">
        <w:t>Kvanvig, “Affective Theism and People of Faith,” 116.</w:t>
      </w:r>
      <w:r w:rsidRPr="00870187">
        <w:fldChar w:fldCharType="end"/>
      </w:r>
    </w:p>
  </w:footnote>
  <w:footnote w:id="20">
    <w:p w14:paraId="47E1D157" w14:textId="7DC858DF" w:rsidR="000944AD" w:rsidRDefault="000944AD">
      <w:pPr>
        <w:pStyle w:val="FootnoteText"/>
      </w:pPr>
      <w:r w:rsidRPr="005D4C21">
        <w:rPr>
          <w:rStyle w:val="FootnoteReference"/>
        </w:rPr>
        <w:footnoteRef/>
      </w:r>
      <w:r>
        <w:t xml:space="preserve"> </w:t>
      </w:r>
      <w:r>
        <w:fldChar w:fldCharType="begin"/>
      </w:r>
      <w:r>
        <w:instrText xml:space="preserve"> ADDIN ZOTERO_ITEM CSL_CITATION {"citationID":"HsVgfMQi","properties":{"formattedCitation":"{\\rtf Georg Wilhelm Friedrich Hegel, {\\i{}Faith and Knowledge} (Albany: State University of New York Press, 1977), 55.}","plainCitation":"Georg Wilhelm Friedrich Hegel, Faith and Knowledge (Albany: State University of New York Press, 1977), 55."},"citationItems":[{"id":267,"uris":["http://zotero.org/users/192298/items/ZXFWZKMC"],"uri":["http://zotero.org/users/192298/items/ZXFWZKMC"],"itemData":{"id":267,"type":"book","title":"Faith and knowledge","publisher":"State University of New York Press","publisher-place":"Albany","source":"Open WorldCat","event-place":"Albany","ISBN":"978-0-87395-338-2","note":"OCLC: 731639338","language":"English","author":[{"family":"Hegel","given":"Georg Wilhelm Friedrich"}],"issued":{"date-parts":[["1977"]]}},"locator":"55"}],"schema":"https://github.com/citation-style-language/schema/raw/master/csl-citation.json"} </w:instrText>
      </w:r>
      <w:r>
        <w:fldChar w:fldCharType="separate"/>
      </w:r>
      <w:r w:rsidRPr="00C76092">
        <w:rPr>
          <w:rFonts w:eastAsia="Times New Roman" w:cs="Times New Roman"/>
        </w:rPr>
        <w:t xml:space="preserve">Georg Wilhelm Friedrich Hegel, </w:t>
      </w:r>
      <w:r w:rsidRPr="00C76092">
        <w:rPr>
          <w:rFonts w:eastAsia="Times New Roman" w:cs="Times New Roman"/>
          <w:i/>
          <w:iCs/>
        </w:rPr>
        <w:t>Faith and Knowledge</w:t>
      </w:r>
      <w:r w:rsidRPr="00C76092">
        <w:rPr>
          <w:rFonts w:eastAsia="Times New Roman" w:cs="Times New Roman"/>
        </w:rPr>
        <w:t xml:space="preserve"> (Albany</w:t>
      </w:r>
      <w:r>
        <w:rPr>
          <w:rFonts w:eastAsia="Times New Roman" w:cs="Times New Roman"/>
        </w:rPr>
        <w:t>, NY</w:t>
      </w:r>
      <w:r w:rsidRPr="00C76092">
        <w:rPr>
          <w:rFonts w:eastAsia="Times New Roman" w:cs="Times New Roman"/>
        </w:rPr>
        <w:t>: State University of New York Press, 1977), 55.</w:t>
      </w:r>
      <w:r>
        <w:fldChar w:fldCharType="end"/>
      </w:r>
    </w:p>
  </w:footnote>
  <w:footnote w:id="21">
    <w:p w14:paraId="63F4B173" w14:textId="4E311D19" w:rsidR="000944AD" w:rsidRDefault="000944AD">
      <w:pPr>
        <w:pStyle w:val="FootnoteText"/>
      </w:pPr>
      <w:r w:rsidRPr="005D4C21">
        <w:rPr>
          <w:rStyle w:val="FootnoteReference"/>
        </w:rPr>
        <w:footnoteRef/>
      </w:r>
      <w:r>
        <w:t xml:space="preserve"> This paper strives to honor Kierkegaard’s wishes in attributing the works to their respective pseudonyms, but takes no ultimate position on their significance.</w:t>
      </w:r>
    </w:p>
  </w:footnote>
  <w:footnote w:id="22">
    <w:p w14:paraId="39232EE9" w14:textId="7F1E2369" w:rsidR="000944AD" w:rsidRDefault="000944AD">
      <w:pPr>
        <w:pStyle w:val="FootnoteText"/>
      </w:pPr>
      <w:r w:rsidRPr="005D4C21">
        <w:rPr>
          <w:rStyle w:val="FootnoteReference"/>
        </w:rPr>
        <w:footnoteRef/>
      </w:r>
      <w:r>
        <w:t xml:space="preserve"> For our purposes, it does not matter whether de Silentio has in mind Hegel himself or Danish Hegelians. For the greatly interested, read </w:t>
      </w:r>
      <w:r>
        <w:fldChar w:fldCharType="begin"/>
      </w:r>
      <w:r>
        <w:instrText xml:space="preserve"> ADDIN ZOTERO_ITEM CSL_CITATION {"citationID":"5UnKiVRA","properties":{"formattedCitation":"{\\rtf Niels Thulstrup, {\\i{}Kierkegaard\\uc0\\u8217{}s Relation to Hegel.} (Princeton: Princeton University Press, 1979).}","plainCitation":"Niels Thulstrup, Kierkegaard’s Relation to Hegel. (Princeton: Princeton University Press, 1979)."},"citationItems":[{"id":251,"uris":["http://zotero.org/users/192298/items/6JG3THI5"],"uri":["http://zotero.org/users/192298/items/6JG3THI5"],"itemData":{"id":251,"type":"book","title":"Kierkegaard's relation to hegel.","publisher":"Princeton University Press","publisher-place":"Princeton","source":"Open WorldCat","event-place":"Princeton","ISBN":"978-0-691-64350-2","note":"OCLC: 938373132","language":"English","author":[{"family":"Thulstrup","given":"Niels"}],"issued":{"date-parts":[["1979"]]}}}],"schema":"https://github.com/citation-style-language/schema/raw/master/csl-citation.json"} </w:instrText>
      </w:r>
      <w:r>
        <w:fldChar w:fldCharType="separate"/>
      </w:r>
      <w:r w:rsidRPr="00B8306B">
        <w:rPr>
          <w:rFonts w:eastAsia="Times New Roman" w:cs="Times New Roman"/>
        </w:rPr>
        <w:t xml:space="preserve">Niels Thulstrup, </w:t>
      </w:r>
      <w:r w:rsidRPr="00B8306B">
        <w:rPr>
          <w:rFonts w:eastAsia="Times New Roman" w:cs="Times New Roman"/>
          <w:i/>
          <w:iCs/>
        </w:rPr>
        <w:t>Kierkegaard’s Relation to Hegel</w:t>
      </w:r>
      <w:r>
        <w:rPr>
          <w:rFonts w:eastAsia="Times New Roman" w:cs="Times New Roman"/>
          <w:i/>
          <w:iCs/>
        </w:rPr>
        <w:t>,</w:t>
      </w:r>
      <w:r w:rsidRPr="00B8306B">
        <w:rPr>
          <w:rFonts w:eastAsia="Times New Roman" w:cs="Times New Roman"/>
        </w:rPr>
        <w:t xml:space="preserve"> (Princeton</w:t>
      </w:r>
      <w:r>
        <w:rPr>
          <w:rFonts w:eastAsia="Times New Roman" w:cs="Times New Roman"/>
        </w:rPr>
        <w:t>, NJ</w:t>
      </w:r>
      <w:r w:rsidRPr="00B8306B">
        <w:rPr>
          <w:rFonts w:eastAsia="Times New Roman" w:cs="Times New Roman"/>
        </w:rPr>
        <w:t>: Princeton University Press, 1979)</w:t>
      </w:r>
      <w:r>
        <w:fldChar w:fldCharType="end"/>
      </w:r>
      <w:r>
        <w:t xml:space="preserve"> and </w:t>
      </w:r>
      <w:r>
        <w:fldChar w:fldCharType="begin"/>
      </w:r>
      <w:r>
        <w:instrText xml:space="preserve"> ADDIN ZOTERO_ITEM CSL_CITATION {"citationID":"EefD0ZGk","properties":{"formattedCitation":"{\\rtf Jon Stewart, {\\i{}Kierkegaard\\uc0\\u8217{}s Relations to Hegel Reconsidered}, Modern European Philosophy (Cambridge, UK\\uc0\\u8239{}; New York: Cambridge University Press, 2003).}","plainCitation":"Jon Stewart, Kierkegaard’s Relations to Hegel Reconsidered, Modern European Philosophy (Cambridge, UK</w:instrText>
      </w:r>
      <w:r>
        <w:rPr>
          <w:rFonts w:ascii="Calibri" w:eastAsia="Calibri" w:hAnsi="Calibri" w:cs="Calibri"/>
        </w:rPr>
        <w:instrText> </w:instrText>
      </w:r>
      <w:r>
        <w:instrText xml:space="preserve">; New York: Cambridge University Press, 2003)."},"citationItems":[{"id":253,"uris":["http://zotero.org/users/192298/items/CX3B4XEB"],"uri":["http://zotero.org/users/192298/items/CX3B4XEB"],"itemData":{"id":253,"type":"book","title":"Kierkegaard's relations to Hegel reconsidered","collection-title":"Modern European philosophy","publisher":"Cambridge University Press","publisher-place":"Cambridge, UK ; New York","number-of-pages":"695","source":"Library of Congress ISBN","event-place":"Cambridge, UK ; New York","ISBN":"978-0-521-82838-3","call-number":"B4377 .S74 2003","author":[{"family":"Stewart","given":"Jon"}],"issued":{"date-parts":[["2003"]]}}}],"schema":"https://github.com/citation-style-language/schema/raw/master/csl-citation.json"} </w:instrText>
      </w:r>
      <w:r>
        <w:fldChar w:fldCharType="separate"/>
      </w:r>
      <w:r w:rsidRPr="00270457">
        <w:rPr>
          <w:rFonts w:eastAsia="Times New Roman" w:cs="Times New Roman"/>
        </w:rPr>
        <w:t xml:space="preserve">Jon Stewart, </w:t>
      </w:r>
      <w:r w:rsidRPr="00270457">
        <w:rPr>
          <w:rFonts w:eastAsia="Times New Roman" w:cs="Times New Roman"/>
          <w:i/>
          <w:iCs/>
        </w:rPr>
        <w:t>Kierkegaard’s Relations to Hegel Reconsidered</w:t>
      </w:r>
      <w:r w:rsidRPr="00270457">
        <w:rPr>
          <w:rFonts w:eastAsia="Times New Roman" w:cs="Times New Roman"/>
        </w:rPr>
        <w:t>, Modern European Philosophy (Cambridge, UK; New York</w:t>
      </w:r>
      <w:r>
        <w:rPr>
          <w:rFonts w:eastAsia="Times New Roman" w:cs="Times New Roman"/>
        </w:rPr>
        <w:t>, NY</w:t>
      </w:r>
      <w:r w:rsidRPr="00270457">
        <w:rPr>
          <w:rFonts w:eastAsia="Times New Roman" w:cs="Times New Roman"/>
        </w:rPr>
        <w:t>: Cambridge University Press, 2003)</w:t>
      </w:r>
      <w:r>
        <w:fldChar w:fldCharType="end"/>
      </w:r>
      <w:r>
        <w:t xml:space="preserve"> for two contrasting views on this issue. </w:t>
      </w:r>
    </w:p>
  </w:footnote>
  <w:footnote w:id="23">
    <w:p w14:paraId="57461059" w14:textId="5D7B988D" w:rsidR="000944AD" w:rsidRPr="00870187" w:rsidRDefault="000944AD" w:rsidP="002D551D">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{"citationID":"J1lHQjpq","properties":{"formattedCitation":"{\\rtf Westphal, Merold, \\uc0\\u8220{}Kierkegaard and Hegel,\\uc0\\u8221{} 110.}","plainCitation":"Westphal, Merold, “Kierkegaard and Hegel,” 110."},"citationItems":[{"id":191,"uris":["http://zotero.org/users/192298/items/NGG4MZQI"],"uri":["http://zotero.org/users/192298/items/NGG4MZQI"],"itemData":{"id":191,"type":"chapter","title":"Kierkegaard and Hegel","container-title":"The Cambridge companion to Kierkegaard","publisher":"Cambridge University Press","publisher-place":"Cambridge ; New York","page":"101-124","source":"Library of Congress ISBN","event-place":"Cambridge ; New York","ISBN":"978-0-521-47151-0","call-number":"B4377 .C29 1998","editor":[{"family":"Hannay","given":"Alastair"},{"family":"Marino","given":"Gordon Daniel"}],"author":[{"family":"Westphal, Merold","given":""}],"issued":{"date-parts":[["1998"]]}},"locator":"110"}],"schema":"https://github.com/citation-style-language/schema/raw/master/csl-citation.json"} </w:instrText>
      </w:r>
      <w:r w:rsidRPr="00870187">
        <w:fldChar w:fldCharType="separate"/>
      </w:r>
      <w:r w:rsidRPr="00870187">
        <w:t>Westphal, Merold, “Kierkegaard and Hegel,” 110.</w:t>
      </w:r>
      <w:r w:rsidRPr="00870187">
        <w:fldChar w:fldCharType="end"/>
      </w:r>
    </w:p>
  </w:footnote>
  <w:footnote w:id="24">
    <w:p w14:paraId="03F2BCA0" w14:textId="77777777" w:rsidR="000944AD" w:rsidRPr="00870187" w:rsidRDefault="000944AD" w:rsidP="009C548C">
      <w:pPr>
        <w:pStyle w:val="FootnoteText"/>
      </w:pPr>
      <w:r w:rsidRPr="005D4C21">
        <w:rPr>
          <w:rStyle w:val="FootnoteReference"/>
        </w:rPr>
        <w:footnoteRef/>
      </w:r>
      <w:r w:rsidRPr="00870187">
        <w:t xml:space="preserve"> </w:t>
      </w:r>
      <w:r w:rsidRPr="00870187">
        <w:fldChar w:fldCharType="begin"/>
      </w:r>
      <w:r w:rsidRPr="00870187">
        <w:instrText xml:space="preserve"> ADDIN ZOTERO_ITEM CSL_CITATION {"citationID":"fNPcNfKB","properties":{"formattedCitation":"{\\rtf C. Stephen Evans, {\\i{}Kierkegaard on Faith and the Self: Collected Essays}, Provost Series (Waco, Tex: Baylor University Press, 2006), 128.}","plainCitation":"C. Stephen Evans, Kierkegaard on Faith and the Self: Collected Essays, Provost Series (Waco, Tex: Baylor University Press, 2006), 128."},"citationItems":[{"id":187,"uris":["http://zotero.org/users/192298/items/DGP58RFS"],"uri":["http://zotero.org/users/192298/items/DGP58RFS"],"itemData":{"id":187,"type":"book","title":"Kierkegaard on faith and the self: collected essays","collection-title":"Provost series","publisher":"Baylor University Press","publisher-place":"Waco, Tex","number-of-pages":"385","source":"Library of Congress ISBN","event-place":"Waco, Tex","ISBN":"978-1-932792-35-5","call-number":"B4378.R44 E82 2006","shortTitle":"Kierkegaard on faith and the self","author":[{"family":"Evans","given":"C. Stephen"}],"issued":{"date-parts":[["2006"]]}},"locator":"128"}],"schema":"https://github.com/citation-style-language/schema/raw/master/csl-citation.json"} </w:instrText>
      </w:r>
      <w:r w:rsidRPr="00870187">
        <w:fldChar w:fldCharType="separate"/>
      </w:r>
      <w:r w:rsidRPr="00870187">
        <w:t xml:space="preserve">C. Stephen Evans, </w:t>
      </w:r>
      <w:r w:rsidRPr="00870187">
        <w:rPr>
          <w:i/>
          <w:iCs/>
        </w:rPr>
        <w:t>Kierkegaard on Faith and the Self: Collected Essays</w:t>
      </w:r>
      <w:r w:rsidRPr="00870187">
        <w:t>, Provost Series (Waco, Tex: Baylor University Press, 2006), 128.</w:t>
      </w:r>
      <w:r w:rsidRPr="00870187">
        <w:fldChar w:fldCharType="end"/>
      </w:r>
    </w:p>
  </w:footnote>
  <w:footnote w:id="25">
    <w:p w14:paraId="7D8B5060" w14:textId="77777777" w:rsidR="000944AD" w:rsidRDefault="000944AD" w:rsidP="006D3BE8">
      <w:r w:rsidRPr="005D4C21">
        <w:rPr>
          <w:rStyle w:val="FootnoteReference"/>
        </w:rPr>
        <w:footnoteRef/>
      </w:r>
      <w:r>
        <w:t xml:space="preserve"> </w:t>
      </w:r>
      <w:r w:rsidRPr="00870187">
        <w:t xml:space="preserve">As translated at </w:t>
      </w:r>
      <w:r w:rsidRPr="00870187">
        <w:fldChar w:fldCharType="begin"/>
      </w:r>
      <w:r w:rsidRPr="00870187">
        <w:instrText xml:space="preserve"> ADDIN ZOTERO_ITEM CSL_CITATION {"citationID":"MmqVBErF","properties":{"formattedCitation":"{\\rtf Evans, {\\i{}Kierkegaard on Faith and the Self}, 212.}","plainCitation":"Evans, Kierkegaard on Faith and the Self, 212."},"citationItems":[{"id":187,"uris":["http://zotero.org/users/192298/items/DGP58RFS"],"uri":["http://zotero.org/users/192298/items/DGP58RFS"],"itemData":{"id":187,"type":"book","title":"Kierkegaard on faith and the self: collected essays","collection-title":"Provost series","publisher":"Baylor University Press","publisher-place":"Waco, Tex","number-of-pages":"385","source":"Library of Congress ISBN","event-place":"Waco, Tex","ISBN":"978-1-932792-35-5","call-number":"B4378.R44 E82 2006","shortTitle":"Kierkegaard on faith and the self","author":[{"family":"Evans","given":"C. Stephen"}],"issued":{"date-parts":[["2006"]]}},"locator":"212"}],"schema":"https://github.com/citation-style-language/schema/raw/master/csl-citation.json"} </w:instrText>
      </w:r>
      <w:r w:rsidRPr="00870187">
        <w:fldChar w:fldCharType="separate"/>
      </w:r>
      <w:r w:rsidRPr="00870187">
        <w:t xml:space="preserve">Evans, </w:t>
      </w:r>
      <w:r w:rsidRPr="00870187">
        <w:rPr>
          <w:i/>
          <w:iCs/>
        </w:rPr>
        <w:t>Kierkegaard on Faith and the Self</w:t>
      </w:r>
      <w:r w:rsidRPr="00870187">
        <w:t>, 212.</w:t>
      </w:r>
      <w:r w:rsidRPr="00870187">
        <w:fldChar w:fldCharType="end"/>
      </w:r>
    </w:p>
  </w:footnote>
  <w:footnote w:id="26">
    <w:p w14:paraId="40750E4A" w14:textId="151D86E7" w:rsidR="000944AD" w:rsidRDefault="000944AD" w:rsidP="0036099C">
      <w:pPr>
        <w:pStyle w:val="FootnoteText"/>
      </w:pPr>
      <w:r w:rsidRPr="005D4C21">
        <w:rPr>
          <w:rStyle w:val="FootnoteReference"/>
        </w:rPr>
        <w:footnoteRef/>
      </w:r>
      <w:r>
        <w:t xml:space="preserve"> </w:t>
      </w:r>
      <w:r>
        <w:fldChar w:fldCharType="begin"/>
      </w:r>
      <w:r>
        <w:instrText xml:space="preserve"> ADDIN ZOTERO_ITEM CSL_CITATION {"citationID":"kVCYKXQc","properties":{"formattedCitation":"{\\rtf Taylor, \\uc0\\u8220{}Journeys to Moriah,\\uc0\\u8221{} 306.}","plainCitation":"Taylor, “Journeys to Moriah,” 306."},"citationItems":[{"id":270,"uris":["http://zotero.org/users/192298/items/VD7SFW2M"],"uri":["http://zotero.org/users/192298/items/VD7SFW2M"],"itemData":{"id":270,"type":"article-journal","title":"Journeys to Moriah: Hegel vs. Kierkegaard","container-title":"Harvard Theological Review","page":"305-326","volume":"70","issue":"3-4","source":"CrossRef","DOI":"10.1017/S0017816000019957","ISSN":"0017-8160, 1475-4517","shortTitle":"Journeys to Moriah","language":"en","author":[{"family":"Taylor","given":"Mark C."}],"issued":{"date-parts":[["1977",10]]}},"locator":"306"}],"schema":"https://github.com/citation-style-language/schema/raw/master/csl-citation.json"} </w:instrText>
      </w:r>
      <w:r>
        <w:fldChar w:fldCharType="separate"/>
      </w:r>
      <w:r w:rsidRPr="0058407C">
        <w:rPr>
          <w:rFonts w:ascii="Times" w:hAnsi="Times"/>
        </w:rPr>
        <w:t>Taylor, “Journeys to Moriah,” 306.</w:t>
      </w:r>
      <w:r>
        <w:fldChar w:fldCharType="end"/>
      </w:r>
    </w:p>
  </w:footnote>
  <w:footnote w:id="27">
    <w:p w14:paraId="36F064A1" w14:textId="095E0673" w:rsidR="000944AD" w:rsidRDefault="000944AD">
      <w:pPr>
        <w:pStyle w:val="FootnoteText"/>
      </w:pPr>
      <w:r w:rsidRPr="005D4C21">
        <w:rPr>
          <w:rStyle w:val="FootnoteReference"/>
        </w:rPr>
        <w:footnoteRef/>
      </w:r>
      <w:r>
        <w:t xml:space="preserve"> </w:t>
      </w:r>
      <w:r>
        <w:fldChar w:fldCharType="begin"/>
      </w:r>
      <w:r>
        <w:instrText xml:space="preserve"> ADDIN ZOTERO_ITEM CSL_CITATION {"citationID":"1lqGsMuC","properties":{"formattedCitation":"Ibid., 311.","plainCitation":"Ibid., 311."},"citationItems":[{"id":270,"uris":["http://zotero.org/users/192298/items/VD7SFW2M"],"uri":["http://zotero.org/users/192298/items/VD7SFW2M"],"itemData":{"id":270,"type":"article-journal","title":"Journeys to Moriah: Hegel vs. Kierkegaard","container-title":"Harvard Theological Review","page":"305-326","volume":"70","issue":"3-4","source":"CrossRef","DOI":"10.1017/S0017816000019957","ISSN":"0017-8160, 1475-4517","shortTitle":"Journeys to Moriah","language":"en","author":[{"family":"Taylor","given":"Mark C."}],"issued":{"date-parts":[["1977",10]]}},"locator":"311"}],"schema":"https://github.com/citation-style-language/schema/raw/master/csl-citation.json"} </w:instrText>
      </w:r>
      <w:r>
        <w:fldChar w:fldCharType="separate"/>
      </w:r>
      <w:r>
        <w:rPr>
          <w:noProof/>
        </w:rPr>
        <w:t>Ibid., 311.</w:t>
      </w:r>
      <w:r>
        <w:fldChar w:fldCharType="end"/>
      </w:r>
    </w:p>
  </w:footnote>
  <w:footnote w:id="28">
    <w:p w14:paraId="590AE740" w14:textId="44F33DC8" w:rsidR="000944AD" w:rsidRDefault="000944AD" w:rsidP="00C779F7">
      <w:pPr>
        <w:pStyle w:val="FootnoteText"/>
      </w:pPr>
      <w:r w:rsidRPr="005D4C21">
        <w:rPr>
          <w:rStyle w:val="FootnoteReference"/>
        </w:rPr>
        <w:footnoteRef/>
      </w:r>
      <w:r>
        <w:t xml:space="preserve"> </w:t>
      </w:r>
      <w:r>
        <w:fldChar w:fldCharType="begin"/>
      </w:r>
      <w:r>
        <w:instrText xml:space="preserve"> ADDIN ZOTERO_ITEM CSL_CITATION {"citationID":"C2shDZKG","properties":{"formattedCitation":"{\\rtf Mark C. Taylor, \\uc0\\u8220{}Love and Forms of Spirit: Kierkegaard vs. Hegel,\\uc0\\u8221{} {\\i{}Kierkegaardania} 10 (1977): 111\\uc0\\u8211{}13.}","plainCitation":"Mark C. Taylor, “Love and Forms of Spirit: Kierkegaard vs. Hegel,” Kierkegaardania 10 (1977): 111–13."},"citationItems":[{"id":263,"uris":["http://zotero.org/users/192298/items/7GKXKF2U"],"uri":["http://zotero.org/users/192298/items/7GKXKF2U"],"itemData":{"id":263,"type":"article-journal","title":"Love and Forms of Spirit: Kierkegaard vs. Hegel","container-title":"Kierkegaardania","page":"95-116","volume":"10","author":[{"family":"Taylor","given":"Mark C."}],"issued":{"date-parts":[["1977"]]}},"locator":"111-113"}],"schema":"https://github.com/citation-style-language/schema/raw/master/csl-citation.json"} </w:instrText>
      </w:r>
      <w:r>
        <w:fldChar w:fldCharType="separate"/>
      </w:r>
      <w:r w:rsidRPr="005443EF">
        <w:t xml:space="preserve">Mark C. Taylor, “Love and Forms of Spirit: Kierkegaard vs. Hegel,” </w:t>
      </w:r>
      <w:r w:rsidRPr="005443EF">
        <w:rPr>
          <w:i/>
          <w:iCs/>
        </w:rPr>
        <w:t>Kierkegaardania</w:t>
      </w:r>
      <w:r w:rsidRPr="005443EF">
        <w:t xml:space="preserve"> 10 (1977):</w:t>
      </w:r>
      <w:r>
        <w:t xml:space="preserve"> 95-116, at 111–</w:t>
      </w:r>
      <w:r w:rsidRPr="005443EF">
        <w:t>3.</w:t>
      </w:r>
      <w:r>
        <w:fldChar w:fldCharType="end"/>
      </w:r>
    </w:p>
  </w:footnote>
  <w:footnote w:id="29">
    <w:p w14:paraId="0A70D34B" w14:textId="4CFEBA6B" w:rsidR="000944AD" w:rsidRDefault="000944AD">
      <w:pPr>
        <w:pStyle w:val="FootnoteText"/>
      </w:pPr>
      <w:r w:rsidRPr="005D4C21">
        <w:rPr>
          <w:rStyle w:val="FootnoteReference"/>
        </w:rPr>
        <w:footnoteRef/>
      </w:r>
      <w:r>
        <w:t xml:space="preserve"> </w:t>
      </w:r>
      <w:r>
        <w:fldChar w:fldCharType="begin"/>
      </w:r>
      <w:r>
        <w:instrText xml:space="preserve"> ADDIN ZOTERO_ITEM CSL_CITATION {"citationID":"8cWXxRJc","properties":{"formattedCitation":"{\\rtf Taylor, \\uc0\\u8220{}Journeys to Moriah,\\uc0\\u8221{} 311.}","plainCitation":"Taylor, “Journeys to Moriah,” 311."},"citationItems":[{"id":270,"uris":["http://zotero.org/users/192298/items/VD7SFW2M"],"uri":["http://zotero.org/users/192298/items/VD7SFW2M"],"itemData":{"id":270,"type":"article-journal","title":"Journeys to Moriah: Hegel vs. Kierkegaard","container-title":"Harvard Theological Review","page":"305-326","volume":"70","issue":"3-4","source":"CrossRef","DOI":"10.1017/S0017816000019957","ISSN":"0017-8160, 1475-4517","shortTitle":"Journeys to Moriah","language":"en","author":[{"family":"Taylor","given":"Mark C."}],"issued":{"date-parts":[["1977",10]]}},"locator":"311"}],"schema":"https://github.com/citation-style-language/schema/raw/master/csl-citation.json"} </w:instrText>
      </w:r>
      <w:r>
        <w:fldChar w:fldCharType="separate"/>
      </w:r>
      <w:r w:rsidRPr="007A3B5D">
        <w:rPr>
          <w:rFonts w:cs="Times New Roman"/>
        </w:rPr>
        <w:t>Taylor, “Journeys to Moriah,” 311.</w:t>
      </w:r>
      <w:r>
        <w:fldChar w:fldCharType="end"/>
      </w:r>
    </w:p>
  </w:footnote>
  <w:footnote w:id="30">
    <w:p w14:paraId="0A60A685" w14:textId="15209EBC" w:rsidR="000944AD" w:rsidRPr="006B41C0" w:rsidRDefault="000944AD">
      <w:pPr>
        <w:pStyle w:val="FootnoteText"/>
      </w:pPr>
      <w:r w:rsidRPr="005D4C21">
        <w:rPr>
          <w:rStyle w:val="FootnoteReference"/>
        </w:rPr>
        <w:footnoteRef/>
      </w:r>
      <w:r>
        <w:t xml:space="preserve"> A similar analysis could be raised for Johannes Climacus which I have not included for space and clarity reasons.</w:t>
      </w:r>
    </w:p>
  </w:footnote>
  <w:footnote w:id="31">
    <w:p w14:paraId="33326AC3" w14:textId="4E5B43E3" w:rsidR="000944AD" w:rsidRDefault="000944AD" w:rsidP="00D3472F">
      <w:pPr>
        <w:pStyle w:val="FootnoteText"/>
      </w:pPr>
      <w:r w:rsidRPr="005D4C21">
        <w:rPr>
          <w:rStyle w:val="FootnoteReference"/>
        </w:rPr>
        <w:footnoteRef/>
      </w:r>
      <w:r>
        <w:t xml:space="preserve"> </w:t>
      </w:r>
      <w:r>
        <w:fldChar w:fldCharType="begin"/>
      </w:r>
      <w:r>
        <w:instrText xml:space="preserve"> ADDIN ZOTERO_ITEM CSL_CITATION {"citationID":"CWREyrEw","properties":{"formattedCitation":"{\\rtf Jonathan L. Kvanvig, \\uc0\\u8220{}The Idea of Faith as Trust: Lessons in Noncognitivist Approaches to Faith,\\uc0\\u8221{} in {\\i{}Reason and Faith: Themes from Richard Swinburne}, ed. Michael Bergmann and Jeffrey E. Brower (Oxford: Oxford University Press, 2016), 17.}","plainCitation":"Jonathan L. Kvanvig, “The Idea of Faith as Trust: Lessons in Noncognitivist Approaches to Faith,” in Reason and Faith: Themes from Richard Swinburne, ed. Michael Bergmann and Jeffrey E. Brower (Oxford: Oxford University Press, 2016), 17."},"citationItems":[{"id":262,"uris":["http://zotero.org/users/192298/items/W7S7MJGX"],"uri":["http://zotero.org/users/192298/items/W7S7MJGX"],"itemData":{"id":262,"type":"chapter","title":"The Idea of Faith as Trust: Lessons in Noncognitivist Approaches to Faith","container-title":"Reason and Faith: Themes from Richard Swinburne","publisher":"Oxford University Press","publisher-place":"Oxford","event-place":"Oxford","ISBN":"Reason and Faith: Themes from Richard Swinburne","author":[{"family":"Kvanvig","given":"Jonathan L."}],"editor":[{"family":"Bergmann","given":"Michael"},{"family":"Brower","given":"Jeffrey E."}],"issued":{"date-parts":[["2016"]]}},"locator":"17"}],"schema":"https://github.com/citation-style-language/schema/raw/master/csl-citation.json"} </w:instrText>
      </w:r>
      <w:r>
        <w:fldChar w:fldCharType="separate"/>
      </w:r>
      <w:r w:rsidRPr="00903058">
        <w:rPr>
          <w:rFonts w:cs="Times New Roman"/>
        </w:rPr>
        <w:t xml:space="preserve">Jonathan L. Kvanvig, “The Idea of Faith as Trust: Lessons in Noncognitivist Approaches to Faith,” in </w:t>
      </w:r>
      <w:r w:rsidRPr="00903058">
        <w:rPr>
          <w:rFonts w:cs="Times New Roman"/>
          <w:i/>
          <w:iCs/>
        </w:rPr>
        <w:t>Reason and Faith: Themes from Richard Swinburne</w:t>
      </w:r>
      <w:r w:rsidRPr="00903058">
        <w:rPr>
          <w:rFonts w:cs="Times New Roman"/>
        </w:rPr>
        <w:t xml:space="preserve">, ed. Michael Bergmann and Jeffrey E. Brower (Oxford: Oxford University Press, 2016), </w:t>
      </w:r>
      <w:r>
        <w:rPr>
          <w:rFonts w:cs="Times New Roman"/>
        </w:rPr>
        <w:t xml:space="preserve">4-26, at </w:t>
      </w:r>
      <w:r w:rsidRPr="00903058">
        <w:rPr>
          <w:rFonts w:cs="Times New Roman"/>
        </w:rPr>
        <w:t>17.</w:t>
      </w:r>
      <w:r>
        <w:fldChar w:fldCharType="end"/>
      </w:r>
    </w:p>
  </w:footnote>
  <w:footnote w:id="32">
    <w:p w14:paraId="08732622" w14:textId="77777777" w:rsidR="000944AD" w:rsidRDefault="000944AD" w:rsidP="0072342B">
      <w:pPr>
        <w:pStyle w:val="FootnoteText"/>
      </w:pPr>
      <w:r w:rsidRPr="005D4C21">
        <w:rPr>
          <w:rStyle w:val="FootnoteReference"/>
        </w:rPr>
        <w:footnoteRef/>
      </w:r>
      <w:r>
        <w:t xml:space="preserve"> </w:t>
      </w:r>
      <w:r>
        <w:fldChar w:fldCharType="begin"/>
      </w:r>
      <w:r>
        <w:instrText xml:space="preserve"> ADDIN ZOTERO_ITEM CSL_CITATION {"citationID":"NayZIqoJ","properties":{"formattedCitation":"{\\rtf Robert Merrihew Adams, {\\i{}Finite and Infinite Goods: A Framework for Ethics} (Oxford: Oxford University Press, 1999).}","plainCitation":"Robert Merrihew Adams, Finite and Infinite Goods: A Framework for Ethics (Oxford: Oxford University Press, 1999)."},"citationItems":[{"id":15,"uris":["http://zotero.org/users/192298/items/DRW2FXMA"],"uri":["http://zotero.org/users/192298/items/DRW2FXMA"],"itemData":{"id":15,"type":"book","title":"Finite and Infinite Goods: A Framework for Ethics","publisher":"Oxford University Press","publisher-place":"Oxford","event-place":"Oxford","author":[{"family":"Adams","given":"Robert Merrihew"}],"issued":{"date-parts":[["1999"]]}}}],"schema":"https://github.com/citation-style-language/schema/raw/master/csl-citation.json"} </w:instrText>
      </w:r>
      <w:r>
        <w:fldChar w:fldCharType="separate"/>
      </w:r>
      <w:r w:rsidRPr="00BD7389">
        <w:rPr>
          <w:rFonts w:eastAsia="Times New Roman" w:cs="Times New Roman"/>
        </w:rPr>
        <w:t xml:space="preserve">Robert Merrihew Adams, </w:t>
      </w:r>
      <w:r w:rsidRPr="00BD7389">
        <w:rPr>
          <w:rFonts w:eastAsia="Times New Roman" w:cs="Times New Roman"/>
          <w:i/>
          <w:iCs/>
        </w:rPr>
        <w:t>Finite and Infinite Goods: A Framework for Ethics</w:t>
      </w:r>
      <w:r w:rsidRPr="00BD7389">
        <w:rPr>
          <w:rFonts w:eastAsia="Times New Roman" w:cs="Times New Roman"/>
        </w:rPr>
        <w:t xml:space="preserve"> (Oxford: Oxford University Press, 1999).</w:t>
      </w:r>
      <w:r>
        <w:fldChar w:fldCharType="end"/>
      </w:r>
    </w:p>
  </w:footnote>
  <w:footnote w:id="33">
    <w:p w14:paraId="448A9748" w14:textId="77777777" w:rsidR="000944AD" w:rsidRPr="00721546" w:rsidRDefault="000944AD" w:rsidP="0072342B">
      <w:pPr>
        <w:pStyle w:val="FootnoteText"/>
      </w:pPr>
      <w:r w:rsidRPr="005D4C21">
        <w:rPr>
          <w:rStyle w:val="FootnoteReference"/>
        </w:rPr>
        <w:footnoteRef/>
      </w:r>
      <w:r>
        <w:t xml:space="preserve"> </w:t>
      </w:r>
      <w:r w:rsidRPr="00870187">
        <w:fldChar w:fldCharType="begin"/>
      </w:r>
      <w:r w:rsidRPr="00870187">
        <w:instrText xml:space="preserve"> ADDIN ZOTERO_ITEM CSL_CITATION {"citationID":"IJ3dTB9F","properties":{"formattedCitation":"{\\rtf Evans, {\\i{}Kierkegaard on Faith and the Self}, 230.}","plainCitation":"Evans, Kierkegaard on Faith and the Self, 230."},"citationItems":[{"id":187,"uris":["http://zotero.org/users/192298/items/DGP58RFS"],"uri":["http://zotero.org/users/192298/items/DGP58RFS"],"itemData":{"id":187,"type":"book","title":"Kierkegaard on faith and the self: collected essays","collection-title":"Provost series","publisher":"Baylor University Press","publisher-place":"Waco, Tex","number-of-pages":"385","source":"Library of Congress ISBN","event-place":"Waco, Tex","ISBN":"978-1-932792-35-5","call-number":"B4378.R44 E82 2006","shortTitle":"Kierkegaard on faith and the self","author":[{"family":"Evans","given":"C. Stephen"}],"issued":{"date-parts":[["2006"]]}},"locator":"230"}],"schema":"https://github.com/citation-style-language/schema/raw/master/csl-citation.json"} </w:instrText>
      </w:r>
      <w:r w:rsidRPr="00870187">
        <w:fldChar w:fldCharType="separate"/>
      </w:r>
      <w:r w:rsidRPr="00870187">
        <w:t xml:space="preserve">Evans, </w:t>
      </w:r>
      <w:r w:rsidRPr="00870187">
        <w:rPr>
          <w:i/>
          <w:iCs/>
        </w:rPr>
        <w:t>Kierkegaard on Faith and the Self</w:t>
      </w:r>
      <w:r w:rsidRPr="00870187">
        <w:t>, 230.</w:t>
      </w:r>
      <w:r w:rsidRPr="00870187">
        <w:fldChar w:fldCharType="end"/>
      </w:r>
      <w:r>
        <w:t xml:space="preserve"> and </w:t>
      </w:r>
      <w:r>
        <w:fldChar w:fldCharType="begin"/>
      </w:r>
      <w:r>
        <w:instrText xml:space="preserve"> ADDIN ZOTERO_ITEM CSL_CITATION {"citationID":"Bwu1IYta","properties":{"formattedCitation":"{\\rtf C. Stephen Evans, {\\i{}Kierkegaard\\uc0\\u8217{}s Ethic of Love: Divine Commands and Moral Obligations} (Oxford\\uc0\\u8239{}; New York: Oxford University Press, 2004).}","plainCitation":"C. Stephen Evans, Kierkegaard’s Ethic of Love: Divine Commands and Moral Obligations (Oxford</w:instrText>
      </w:r>
      <w:r>
        <w:rPr>
          <w:rFonts w:ascii="Calibri" w:eastAsia="Calibri" w:hAnsi="Calibri" w:cs="Calibri"/>
        </w:rPr>
        <w:instrText> </w:instrText>
      </w:r>
      <w:r>
        <w:instrText xml:space="preserve">; New York: Oxford University Press, 2004)."},"citationItems":[{"id":266,"uris":["http://zotero.org/users/192298/items/RPPCF7TX"],"uri":["http://zotero.org/users/192298/items/RPPCF7TX"],"itemData":{"id":266,"type":"book","title":"Kierkegaard's ethic of love: divine commands and moral obligations","publisher":"Oxford University Press","publisher-place":"Oxford ; New York","number-of-pages":"366","source":"Library of Congress ISBN","event-place":"Oxford ; New York","ISBN":"978-0-19-927217-4","call-number":"B4378.L6 E93 2004","shortTitle":"Kierkegaard's ethic of love","author":[{"family":"Evans","given":"C. Stephen"}],"issued":{"date-parts":[["2004"]]}}}],"schema":"https://github.com/citation-style-language/schema/raw/master/csl-citation.json"} </w:instrText>
      </w:r>
      <w:r>
        <w:fldChar w:fldCharType="separate"/>
      </w:r>
      <w:r w:rsidRPr="00BD7389">
        <w:rPr>
          <w:rFonts w:eastAsia="Times New Roman" w:cs="Times New Roman"/>
        </w:rPr>
        <w:t xml:space="preserve">C. Stephen Evans, </w:t>
      </w:r>
      <w:r w:rsidRPr="00BD7389">
        <w:rPr>
          <w:rFonts w:eastAsia="Times New Roman" w:cs="Times New Roman"/>
          <w:i/>
          <w:iCs/>
        </w:rPr>
        <w:t>Kierkegaard’s Ethic of Love: Divine Commands and Moral Obligations</w:t>
      </w:r>
      <w:r w:rsidRPr="00BD7389">
        <w:rPr>
          <w:rFonts w:eastAsia="Times New Roman" w:cs="Times New Roman"/>
        </w:rPr>
        <w:t xml:space="preserve"> (Oxford</w:t>
      </w:r>
      <w:r w:rsidRPr="00BD7389">
        <w:rPr>
          <w:rFonts w:ascii="Calibri" w:eastAsia="Calibri" w:hAnsi="Calibri" w:cs="Calibri"/>
        </w:rPr>
        <w:t> </w:t>
      </w:r>
      <w:r w:rsidRPr="00BD7389">
        <w:rPr>
          <w:rFonts w:eastAsia="Times New Roman" w:cs="Times New Roman"/>
        </w:rPr>
        <w:t>; New York: Oxford University Press, 2004).</w:t>
      </w:r>
      <w:r>
        <w:fldChar w:fldCharType="end"/>
      </w:r>
      <w:r>
        <w:t xml:space="preserve"> See also </w:t>
      </w:r>
      <w:r>
        <w:rPr>
          <w:i/>
        </w:rPr>
        <w:t>FT</w:t>
      </w:r>
      <w:r>
        <w:t xml:space="preserve"> 31 / 4:126: “it is only by faith that one achieves any resemblance to Abraham, not by murder.”</w:t>
      </w:r>
    </w:p>
  </w:footnote>
  <w:footnote w:id="34">
    <w:p w14:paraId="13DA7016" w14:textId="77777777" w:rsidR="000944AD" w:rsidRPr="00870187" w:rsidRDefault="000944AD" w:rsidP="0072342B">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{"citationID":"PBwSFvoO","properties":{"formattedCitation":"{\\rtf Stern, {\\i{}Understanding Moral Obligation}, 153.}","plainCitation":"Stern, Understanding Moral Obligation, 153."},"citationItems":[{"id":256,"uris":["http://zotero.org/users/192298/items/KFD3F5W2"],"uri":["http://zotero.org/users/192298/items/KFD3F5W2"],"itemData":{"id":256,"type":"book","title":"Understanding moral obligation: Kant, Hegel, Kierkegaard","collection-title":"Modern European philosophy","publisher":"Cambridge University Press","publisher-place":"Cambridge ; New York","number-of-pages":"277","source":"Library of Congress ISBN","event-place":"Cambridge ; New York","abstract":"\"In many histories of modern ethics, Kant is supposed to have ushered in an anti-realist or constructivist turn by holding that unless we ourselves 'author' or lay down moral norms and values for ourselves, our autonomy as agents will be threatened. In this book, Robert Stern challenges the cogency of this 'argument from autonomy', and claims that Kant never subscribed to it. Rather, it is not value realism but the apparent obligatoriness of morality that really poses a challenge to our autonomy: how can this be accounted for without taking away our freedom? The debate the book focuses on therefore concerns whether this obligatoriness should be located in ourselves (Kant), in others (Hegel) or in God (Kierkegaard). Stern traces the historical dialectic that drove the development of these respective theories, and clearly and sympathetically considers their merits and disadvantages; he concludes by arguing that the choice between them remains open\"--","ISBN":"978-1-107-01207-3","call-number":"BJ1451 .S69 2012","shortTitle":"Understanding moral obligation","author":[{"family":"Stern","given":"Robert"}],"issued":{"date-parts":[["2012"]]}},"locator":"153"}],"schema":"https://github.com/citation-style-language/schema/raw/master/csl-citation.json"} </w:instrText>
      </w:r>
      <w:r w:rsidRPr="00870187">
        <w:fldChar w:fldCharType="separate"/>
      </w:r>
      <w:r w:rsidRPr="00870187">
        <w:t xml:space="preserve">Stern, </w:t>
      </w:r>
      <w:r w:rsidRPr="00870187">
        <w:rPr>
          <w:i/>
          <w:iCs/>
        </w:rPr>
        <w:t>Understanding Moral Obligation</w:t>
      </w:r>
      <w:r w:rsidRPr="00870187">
        <w:t>, 153.</w:t>
      </w:r>
      <w:r w:rsidRPr="00870187">
        <w:fldChar w:fldCharType="end"/>
      </w:r>
    </w:p>
  </w:footnote>
  <w:footnote w:id="35">
    <w:p w14:paraId="428824B6" w14:textId="77777777" w:rsidR="000944AD" w:rsidRPr="00870187" w:rsidRDefault="000944AD" w:rsidP="00A334AA">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{"citationID":"M7LSsTjF","properties":{"formattedCitation":"{\\rtf Stern, {\\i{}Understanding Moral Obligation}, 175.}","plainCitation":"Stern, Understanding Moral Obligation, 175."},"citationItems":[{"id":256,"uris":["http://zotero.org/users/192298/items/KFD3F5W2"],"uri":["http://zotero.org/users/192298/items/KFD3F5W2"],"itemData":{"id":256,"type":"book","title":"Understanding moral obligation: Kant, Hegel, Kierkegaard","collection-title":"Modern European philosophy","publisher":"Cambridge University Press","publisher-place":"Cambridge ; New York","number-of-pages":"277","source":"Library of Congress ISBN","event-place":"Cambridge ; New York","abstract":"\"In many histories of modern ethics, Kant is supposed to have ushered in an anti-realist or constructivist turn by holding that unless we ourselves 'author' or lay down moral norms and values for ourselves, our autonomy as agents will be threatened. In this book, Robert Stern challenges the cogency of this 'argument from autonomy', and claims that Kant never subscribed to it. Rather, it is not value realism but the apparent obligatoriness of morality that really poses a challenge to our autonomy: how can this be accounted for without taking away our freedom? The debate the book focuses on therefore concerns whether this obligatoriness should be located in ourselves (Kant), in others (Hegel) or in God (Kierkegaard). Stern traces the historical dialectic that drove the development of these respective theories, and clearly and sympathetically considers their merits and disadvantages; he concludes by arguing that the choice between them remains open\"--","ISBN":"978-1-107-01207-3","call-number":"BJ1451 .S69 2012","shortTitle":"Understanding moral obligation","author":[{"family":"Stern","given":"Robert"}],"issued":{"date-parts":[["2012"]]}},"locator":"175"}],"schema":"https://github.com/citation-style-language/schema/raw/master/csl-citation.json"} </w:instrText>
      </w:r>
      <w:r w:rsidRPr="00870187">
        <w:fldChar w:fldCharType="separate"/>
      </w:r>
      <w:r w:rsidRPr="00870187">
        <w:t xml:space="preserve">Stern, </w:t>
      </w:r>
      <w:r w:rsidRPr="00870187">
        <w:rPr>
          <w:i/>
          <w:iCs/>
        </w:rPr>
        <w:t>Understanding Moral Obligation</w:t>
      </w:r>
      <w:r w:rsidRPr="00870187">
        <w:t>, 175.</w:t>
      </w:r>
      <w:r w:rsidRPr="00870187">
        <w:fldChar w:fldCharType="end"/>
      </w:r>
    </w:p>
  </w:footnote>
  <w:footnote w:id="36">
    <w:p w14:paraId="6A7B66CC" w14:textId="77777777" w:rsidR="000944AD" w:rsidRDefault="000944AD" w:rsidP="009F2EBF">
      <w:pPr>
        <w:pStyle w:val="FootnoteText"/>
      </w:pPr>
      <w:r w:rsidRPr="005D4C21">
        <w:rPr>
          <w:rStyle w:val="FootnoteReference"/>
        </w:rPr>
        <w:footnoteRef/>
      </w:r>
      <w:r>
        <w:t xml:space="preserve"> </w:t>
      </w:r>
      <w:r>
        <w:fldChar w:fldCharType="begin"/>
      </w:r>
      <w:r>
        <w:instrText xml:space="preserve"> ADDIN ZOTERO_ITEM CSL_CITATION {"citationID":"vxwWIu0J","properties":{"formattedCitation":"{\\rtf Taylor, \\uc0\\u8220{}Journeys to Moriah,\\uc0\\u8221{} 310.}","plainCitation":"Taylor, “Journeys to Moriah,” 310."},"citationItems":[{"id":270,"uris":["http://zotero.org/users/192298/items/VD7SFW2M"],"uri":["http://zotero.org/users/192298/items/VD7SFW2M"],"itemData":{"id":270,"type":"article-journal","title":"Journeys to Moriah: Hegel vs. Kierkegaard","container-title":"Harvard Theological Review","page":"305-326","volume":"70","issue":"3-4","source":"CrossRef","DOI":"10.1017/S0017816000019957","ISSN":"0017-8160, 1475-4517","shortTitle":"Journeys to Moriah","language":"en","author":[{"family":"Taylor","given":"Mark C."}],"issued":{"date-parts":[["1977",10]]}},"locator":"310"}],"schema":"https://github.com/citation-style-language/schema/raw/master/csl-citation.json"} </w:instrText>
      </w:r>
      <w:r>
        <w:fldChar w:fldCharType="separate"/>
      </w:r>
      <w:r w:rsidRPr="0058407C">
        <w:t>Taylor, “Journeys to Moriah,” 310.</w:t>
      </w:r>
      <w:r>
        <w:fldChar w:fldCharType="end"/>
      </w:r>
    </w:p>
  </w:footnote>
  <w:footnote w:id="37">
    <w:p w14:paraId="5BEDA298" w14:textId="1A64EBCB" w:rsidR="000944AD" w:rsidRPr="00870187" w:rsidRDefault="000944AD" w:rsidP="00C10F4E">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{"citationID":"vnnfAJKE","properties":{"formattedCitation":"{\\rtf Thulstrup, {\\i{}Kierkegaard\\uc0\\u8217{}s Relation to Hegel.}, 374.}","plainCitation":"Thulstrup, Kierkegaard’s Relation to Hegel., 374."},"citationItems":[{"id":251,"uris":["http://zotero.org/users/192298/items/6JG3THI5"],"uri":["http://zotero.org/users/192298/items/6JG3THI5"],"itemData":{"id":251,"type":"book","title":"Kierkegaard's relation to hegel.","publisher":"Princeton University Press","publisher-place":"Princeton","source":"Open WorldCat","event-place":"Princeton","ISBN":"978-0-691-64350-2","note":"OCLC: 938373132","language":"English","author":[{"family":"Thulstrup","given":"Niels"}],"issued":{"date-parts":[["1979"]]}},"locator":"374"}],"schema":"https://github.com/citation-style-language/schema/raw/master/csl-citation.json"} </w:instrText>
      </w:r>
      <w:r w:rsidRPr="00870187">
        <w:fldChar w:fldCharType="separate"/>
      </w:r>
      <w:r w:rsidRPr="00270457">
        <w:rPr>
          <w:rFonts w:eastAsia="Times New Roman" w:cs="Times New Roman"/>
        </w:rPr>
        <w:t xml:space="preserve">Thulstrup, </w:t>
      </w:r>
      <w:r w:rsidRPr="00270457">
        <w:rPr>
          <w:rFonts w:eastAsia="Times New Roman" w:cs="Times New Roman"/>
          <w:i/>
          <w:iCs/>
        </w:rPr>
        <w:t>Kierkegaard’s Relation to Hegel.</w:t>
      </w:r>
      <w:r w:rsidRPr="00270457">
        <w:rPr>
          <w:rFonts w:eastAsia="Times New Roman" w:cs="Times New Roman"/>
        </w:rPr>
        <w:t>, 374.</w:t>
      </w:r>
      <w:r w:rsidRPr="00870187">
        <w:fldChar w:fldCharType="end"/>
      </w:r>
    </w:p>
  </w:footnote>
  <w:footnote w:id="38">
    <w:p w14:paraId="67D21A1E" w14:textId="1C85472A" w:rsidR="000944AD" w:rsidRPr="00870187" w:rsidRDefault="000944AD" w:rsidP="00BC7869">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{"citationID":"vfyb5beq","properties":{"formattedCitation":"{\\rtf Kvanvig, \\uc0\\u8220{}Affective Theism and People of Faith,\\uc0\\u8221{} 116.}","plainCitation":"Kvanvig, “Affective Theism and People of Faith,” 116."},"citationItems":[{"id":189,"uris":["http://zotero.org/users/192298/items/64IWTMPF"],"uri":["http://zotero.org/users/192298/items/64IWTMPF"],"itemData":{"id":189,"type":"article-journal","title":"Affective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L."}],"issued":{"date-parts":[["2013",9]]}},"locator":"116"}],"schema":"https://github.com/citation-style-language/schema/raw/master/csl-citation.json"} </w:instrText>
      </w:r>
      <w:r w:rsidRPr="00870187">
        <w:fldChar w:fldCharType="separate"/>
      </w:r>
      <w:r w:rsidRPr="00870187">
        <w:t>Kvanvig, “Affective Theism and People of Faith,” 116.</w:t>
      </w:r>
      <w:r w:rsidRPr="00870187">
        <w:fldChar w:fldCharType="end"/>
      </w:r>
    </w:p>
  </w:footnote>
  <w:footnote w:id="39">
    <w:p w14:paraId="07120821" w14:textId="135727CC" w:rsidR="000944AD" w:rsidRPr="00870187" w:rsidRDefault="000944AD" w:rsidP="00BC7869">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{"citationID":"LMlTX0lT","properties":{"formattedCitation":"{\\rtf Ibid., 119\\uc0\\u8211{}20.}","plainCitation":"Ibid., 119–20."},"citationItems":[{"id":189,"uris":["http://zotero.org/users/192298/items/64IWTMPF"],"uri":["http://zotero.org/users/192298/items/64IWTMPF"],"itemData":{"id":189,"type":"article-journal","title":"Affective Theism and People of Faith: Affective Theism and People of Faith","container-title":"Midwest Studies In Philosophy","page":"109-128","volume":"37","issue":"1","source":"CrossRef","DOI":"10.1111/misp.12003","ISSN":"03636550","shortTitle":"Affective Theism and People of Faith","language":"en","author":[{"family":"Kvanvig","given":"Jonathan L."}],"issued":{"date-parts":[["2013",9]]}},"locator":"119-120"}],"schema":"https://github.com/citation-style-language/schema/raw/master/csl-citation.json"} </w:instrText>
      </w:r>
      <w:r w:rsidRPr="00870187">
        <w:fldChar w:fldCharType="separate"/>
      </w:r>
      <w:r w:rsidRPr="00870187">
        <w:t>Ibid., 119–20.</w:t>
      </w:r>
      <w:r w:rsidRPr="00870187">
        <w:fldChar w:fldCharType="end"/>
      </w:r>
    </w:p>
  </w:footnote>
  <w:footnote w:id="40">
    <w:p w14:paraId="59208678" w14:textId="0FF7BC23" w:rsidR="000944AD" w:rsidRPr="00870187" w:rsidRDefault="000944AD" w:rsidP="002D2ED1">
      <w:pPr>
        <w:pStyle w:val="FootnoteText"/>
      </w:pPr>
      <w:r w:rsidRPr="005D4C21">
        <w:rPr>
          <w:rStyle w:val="FootnoteReference"/>
        </w:rPr>
        <w:footnoteRef/>
      </w:r>
      <w:r w:rsidRPr="00870187">
        <w:t xml:space="preserve"> </w:t>
      </w:r>
      <w:r w:rsidRPr="00870187">
        <w:fldChar w:fldCharType="begin"/>
      </w:r>
      <w:r>
        <w:instrText xml:space="preserve"> ADDIN ZOTERO_ITEM CSL_CITATION {"citationID":"v3IGrtsz","properties":{"formattedCitation":"{\\rtf Theodor W. Adorno, {\\i{}Kierkegaard: Construction of the Aesthetic}, trans. Robert Hullot-Kentor, Theory and History of Literature, v. 61 (Minneapolis: University of Minnesota Press, 1989), 21\\uc0\\u8211{}22.}","plainCitation":"Theodor W. Adorno, Kierkegaard: Construction of the Aesthetic, trans. Robert Hullot-Kentor, Theory and History of Literature, v. 61 (Minneapolis: University of Minnesota Press, 1989), 21–22."},"citationItems":[{"id":192,"uris":["http://zotero.org/users/192298/items/P9P5WNFR"],"uri":["http://zotero.org/users/192298/items/P9P5WNFR"],"itemData":{"id":192,"type":"book","title":"Kierkegaard: construction of the aesthetic","collection-title":"Theory and history of literature","collection-number":"v. 61","publisher":"University of Minnesota Press","publisher-place":"Minneapolis","number-of-pages":"166","source":"Library of Congress ISBN","event-place":"Minneapolis","ISBN":"978-0-8166-1186-7","call-number":"B3199.A33 K5413 1989","shortTitle":"Kierkegaard","language":"engger","author":[{"family":"Adorno","given":"Theodor W."}],"translator":[{"family":"Hullot-Kentor","given":"Robert"}],"issued":{"date-parts":[["1989"]]}},"locator":"21-22"}],"schema":"https://github.com/citation-style-language/schema/raw/master/csl-citation.json"} </w:instrText>
      </w:r>
      <w:r w:rsidRPr="00870187">
        <w:fldChar w:fldCharType="separate"/>
      </w:r>
      <w:r w:rsidRPr="00870187">
        <w:t xml:space="preserve">Theodor W. Adorno, </w:t>
      </w:r>
      <w:r w:rsidRPr="00870187">
        <w:rPr>
          <w:i/>
          <w:iCs/>
        </w:rPr>
        <w:t>Kierkegaard: Construction of the Aesthetic</w:t>
      </w:r>
      <w:r w:rsidRPr="00870187">
        <w:t>, trans. Robert Hullot-Kentor, Theory and History of Literature, v. 61 (Minneapolis: University</w:t>
      </w:r>
      <w:r>
        <w:t xml:space="preserve"> of Minnesota Press, 1989), 21–</w:t>
      </w:r>
      <w:r w:rsidRPr="00870187">
        <w:t>2.</w:t>
      </w:r>
      <w:r w:rsidRPr="00870187">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B3B"/>
    <w:multiLevelType w:val="multilevel"/>
    <w:tmpl w:val="7DAEFCB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BBA1DA1"/>
    <w:multiLevelType w:val="multilevel"/>
    <w:tmpl w:val="A7E69EF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141B1343"/>
    <w:multiLevelType w:val="hybridMultilevel"/>
    <w:tmpl w:val="F12A7B82"/>
    <w:lvl w:ilvl="0" w:tplc="680C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34458"/>
    <w:multiLevelType w:val="hybridMultilevel"/>
    <w:tmpl w:val="2A987A9E"/>
    <w:lvl w:ilvl="0" w:tplc="F07C8B18">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90AF5"/>
    <w:multiLevelType w:val="multilevel"/>
    <w:tmpl w:val="A7E69EFA"/>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6A2F66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8C4619"/>
    <w:multiLevelType w:val="hybridMultilevel"/>
    <w:tmpl w:val="4E662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F7"/>
    <w:rsid w:val="00001960"/>
    <w:rsid w:val="00004F35"/>
    <w:rsid w:val="000067BD"/>
    <w:rsid w:val="00007DE8"/>
    <w:rsid w:val="00020C9B"/>
    <w:rsid w:val="00027596"/>
    <w:rsid w:val="000321E4"/>
    <w:rsid w:val="000334A7"/>
    <w:rsid w:val="00041CF1"/>
    <w:rsid w:val="00042885"/>
    <w:rsid w:val="00042F48"/>
    <w:rsid w:val="000431E3"/>
    <w:rsid w:val="00063516"/>
    <w:rsid w:val="000647AF"/>
    <w:rsid w:val="00067988"/>
    <w:rsid w:val="00074681"/>
    <w:rsid w:val="00082A2B"/>
    <w:rsid w:val="0009299E"/>
    <w:rsid w:val="000944AD"/>
    <w:rsid w:val="00097D6B"/>
    <w:rsid w:val="000A50A5"/>
    <w:rsid w:val="000C1C68"/>
    <w:rsid w:val="000D7174"/>
    <w:rsid w:val="000E03C5"/>
    <w:rsid w:val="000E4DB3"/>
    <w:rsid w:val="000E7112"/>
    <w:rsid w:val="000F1EC4"/>
    <w:rsid w:val="000F4844"/>
    <w:rsid w:val="000F65B1"/>
    <w:rsid w:val="000F6FAD"/>
    <w:rsid w:val="00100EC6"/>
    <w:rsid w:val="00112394"/>
    <w:rsid w:val="00115473"/>
    <w:rsid w:val="001155AA"/>
    <w:rsid w:val="00116EDF"/>
    <w:rsid w:val="00120F0B"/>
    <w:rsid w:val="00121231"/>
    <w:rsid w:val="00122E13"/>
    <w:rsid w:val="00135C5A"/>
    <w:rsid w:val="001430CA"/>
    <w:rsid w:val="00144355"/>
    <w:rsid w:val="001456CF"/>
    <w:rsid w:val="001457A4"/>
    <w:rsid w:val="00145F2F"/>
    <w:rsid w:val="00152D00"/>
    <w:rsid w:val="00155AF2"/>
    <w:rsid w:val="0016297E"/>
    <w:rsid w:val="00171CF4"/>
    <w:rsid w:val="00182A92"/>
    <w:rsid w:val="00187628"/>
    <w:rsid w:val="00191BD0"/>
    <w:rsid w:val="001958A9"/>
    <w:rsid w:val="001A2CE9"/>
    <w:rsid w:val="001B5FC2"/>
    <w:rsid w:val="001C1511"/>
    <w:rsid w:val="001C4D65"/>
    <w:rsid w:val="001D0840"/>
    <w:rsid w:val="001D2116"/>
    <w:rsid w:val="001D7FCB"/>
    <w:rsid w:val="001E46A4"/>
    <w:rsid w:val="00200AE2"/>
    <w:rsid w:val="00203051"/>
    <w:rsid w:val="00203389"/>
    <w:rsid w:val="002057EF"/>
    <w:rsid w:val="00212BD4"/>
    <w:rsid w:val="00223394"/>
    <w:rsid w:val="002432D6"/>
    <w:rsid w:val="00246B42"/>
    <w:rsid w:val="002531D6"/>
    <w:rsid w:val="0025685A"/>
    <w:rsid w:val="0025727E"/>
    <w:rsid w:val="002608DE"/>
    <w:rsid w:val="002670D9"/>
    <w:rsid w:val="00270457"/>
    <w:rsid w:val="0027625A"/>
    <w:rsid w:val="00292EDD"/>
    <w:rsid w:val="00296A89"/>
    <w:rsid w:val="002A75FB"/>
    <w:rsid w:val="002A7993"/>
    <w:rsid w:val="002A7E19"/>
    <w:rsid w:val="002B358A"/>
    <w:rsid w:val="002B4135"/>
    <w:rsid w:val="002B499D"/>
    <w:rsid w:val="002B74B9"/>
    <w:rsid w:val="002D0A5F"/>
    <w:rsid w:val="002D2ED1"/>
    <w:rsid w:val="002D54C8"/>
    <w:rsid w:val="002D551D"/>
    <w:rsid w:val="002D65E2"/>
    <w:rsid w:val="002E24F5"/>
    <w:rsid w:val="002F0B4C"/>
    <w:rsid w:val="002F0D72"/>
    <w:rsid w:val="002F6628"/>
    <w:rsid w:val="002F66CD"/>
    <w:rsid w:val="00302818"/>
    <w:rsid w:val="00305DA7"/>
    <w:rsid w:val="003213E0"/>
    <w:rsid w:val="00321CD1"/>
    <w:rsid w:val="00321D98"/>
    <w:rsid w:val="003222A3"/>
    <w:rsid w:val="0032477F"/>
    <w:rsid w:val="003277B3"/>
    <w:rsid w:val="00332437"/>
    <w:rsid w:val="00335CA8"/>
    <w:rsid w:val="00335D3B"/>
    <w:rsid w:val="003361A1"/>
    <w:rsid w:val="003402B7"/>
    <w:rsid w:val="003443FF"/>
    <w:rsid w:val="00344AD9"/>
    <w:rsid w:val="00345C34"/>
    <w:rsid w:val="003502F6"/>
    <w:rsid w:val="0035781B"/>
    <w:rsid w:val="00357CBB"/>
    <w:rsid w:val="0036099C"/>
    <w:rsid w:val="00365FF4"/>
    <w:rsid w:val="00367C60"/>
    <w:rsid w:val="00370595"/>
    <w:rsid w:val="00374398"/>
    <w:rsid w:val="00384FD2"/>
    <w:rsid w:val="0038694B"/>
    <w:rsid w:val="003906AF"/>
    <w:rsid w:val="003946E9"/>
    <w:rsid w:val="003A009B"/>
    <w:rsid w:val="003A0EBA"/>
    <w:rsid w:val="003A46C2"/>
    <w:rsid w:val="003A7EF5"/>
    <w:rsid w:val="003B337C"/>
    <w:rsid w:val="003C3C9C"/>
    <w:rsid w:val="003C68C2"/>
    <w:rsid w:val="003D118D"/>
    <w:rsid w:val="003D205F"/>
    <w:rsid w:val="003D5A02"/>
    <w:rsid w:val="003E5441"/>
    <w:rsid w:val="003F1400"/>
    <w:rsid w:val="00404800"/>
    <w:rsid w:val="004063AF"/>
    <w:rsid w:val="00411B4C"/>
    <w:rsid w:val="00415127"/>
    <w:rsid w:val="0042340C"/>
    <w:rsid w:val="0043052A"/>
    <w:rsid w:val="0043298A"/>
    <w:rsid w:val="00435E7C"/>
    <w:rsid w:val="00441294"/>
    <w:rsid w:val="004467D2"/>
    <w:rsid w:val="00447A7B"/>
    <w:rsid w:val="004543D6"/>
    <w:rsid w:val="00462EF2"/>
    <w:rsid w:val="00463529"/>
    <w:rsid w:val="00467BD0"/>
    <w:rsid w:val="00474F5D"/>
    <w:rsid w:val="00476CEE"/>
    <w:rsid w:val="00476FA7"/>
    <w:rsid w:val="00497563"/>
    <w:rsid w:val="004A3F9D"/>
    <w:rsid w:val="004A6ECD"/>
    <w:rsid w:val="004B063B"/>
    <w:rsid w:val="004B3566"/>
    <w:rsid w:val="004B422E"/>
    <w:rsid w:val="004B4D8D"/>
    <w:rsid w:val="004B630C"/>
    <w:rsid w:val="004D28C9"/>
    <w:rsid w:val="004D651A"/>
    <w:rsid w:val="004E22D2"/>
    <w:rsid w:val="004E3904"/>
    <w:rsid w:val="004E5EE2"/>
    <w:rsid w:val="004F12F7"/>
    <w:rsid w:val="004F3C08"/>
    <w:rsid w:val="0050072B"/>
    <w:rsid w:val="0050096F"/>
    <w:rsid w:val="00501250"/>
    <w:rsid w:val="00504FD0"/>
    <w:rsid w:val="00512E0A"/>
    <w:rsid w:val="005143DA"/>
    <w:rsid w:val="00525454"/>
    <w:rsid w:val="00530C14"/>
    <w:rsid w:val="005443EF"/>
    <w:rsid w:val="0054566A"/>
    <w:rsid w:val="0056553F"/>
    <w:rsid w:val="00567FB7"/>
    <w:rsid w:val="00570838"/>
    <w:rsid w:val="005713A7"/>
    <w:rsid w:val="005749F8"/>
    <w:rsid w:val="005752D0"/>
    <w:rsid w:val="00575905"/>
    <w:rsid w:val="00575A00"/>
    <w:rsid w:val="00583B8E"/>
    <w:rsid w:val="0058407C"/>
    <w:rsid w:val="00585192"/>
    <w:rsid w:val="00590264"/>
    <w:rsid w:val="00592B4C"/>
    <w:rsid w:val="00595F8D"/>
    <w:rsid w:val="005A0E46"/>
    <w:rsid w:val="005A169B"/>
    <w:rsid w:val="005A382A"/>
    <w:rsid w:val="005A5B5E"/>
    <w:rsid w:val="005B6F73"/>
    <w:rsid w:val="005C4167"/>
    <w:rsid w:val="005C4519"/>
    <w:rsid w:val="005D1D18"/>
    <w:rsid w:val="005D2197"/>
    <w:rsid w:val="005D4C21"/>
    <w:rsid w:val="005D515A"/>
    <w:rsid w:val="005E1CD4"/>
    <w:rsid w:val="005E3042"/>
    <w:rsid w:val="005E56D7"/>
    <w:rsid w:val="005F4A2B"/>
    <w:rsid w:val="00604425"/>
    <w:rsid w:val="00624067"/>
    <w:rsid w:val="006260BC"/>
    <w:rsid w:val="00631384"/>
    <w:rsid w:val="00631B47"/>
    <w:rsid w:val="00631EC3"/>
    <w:rsid w:val="006326B6"/>
    <w:rsid w:val="006451F5"/>
    <w:rsid w:val="00645C5C"/>
    <w:rsid w:val="0065281F"/>
    <w:rsid w:val="00652E6F"/>
    <w:rsid w:val="00653B9D"/>
    <w:rsid w:val="00656AA7"/>
    <w:rsid w:val="00663EF8"/>
    <w:rsid w:val="00673D08"/>
    <w:rsid w:val="00676416"/>
    <w:rsid w:val="0068032D"/>
    <w:rsid w:val="00680B6B"/>
    <w:rsid w:val="00680C71"/>
    <w:rsid w:val="0068208D"/>
    <w:rsid w:val="006837FC"/>
    <w:rsid w:val="00693CD5"/>
    <w:rsid w:val="006A5136"/>
    <w:rsid w:val="006B3AA1"/>
    <w:rsid w:val="006B41C0"/>
    <w:rsid w:val="006B5ED7"/>
    <w:rsid w:val="006B60C7"/>
    <w:rsid w:val="006D3BE8"/>
    <w:rsid w:val="006D5360"/>
    <w:rsid w:val="006E4C56"/>
    <w:rsid w:val="006E64B1"/>
    <w:rsid w:val="006F08CB"/>
    <w:rsid w:val="006F23ED"/>
    <w:rsid w:val="006F2CEA"/>
    <w:rsid w:val="006F3515"/>
    <w:rsid w:val="006F4BEC"/>
    <w:rsid w:val="006F4CD6"/>
    <w:rsid w:val="006F6489"/>
    <w:rsid w:val="00704311"/>
    <w:rsid w:val="00721546"/>
    <w:rsid w:val="0072212E"/>
    <w:rsid w:val="0072342B"/>
    <w:rsid w:val="00724D2C"/>
    <w:rsid w:val="00740551"/>
    <w:rsid w:val="00747B69"/>
    <w:rsid w:val="0075052B"/>
    <w:rsid w:val="00750D82"/>
    <w:rsid w:val="007617FB"/>
    <w:rsid w:val="00764BF5"/>
    <w:rsid w:val="00772DAF"/>
    <w:rsid w:val="00781AB5"/>
    <w:rsid w:val="00781CE9"/>
    <w:rsid w:val="00786476"/>
    <w:rsid w:val="00787A1C"/>
    <w:rsid w:val="0079025A"/>
    <w:rsid w:val="007A1B3E"/>
    <w:rsid w:val="007A37D5"/>
    <w:rsid w:val="007A3B5D"/>
    <w:rsid w:val="007B0D5B"/>
    <w:rsid w:val="007B4643"/>
    <w:rsid w:val="007B561D"/>
    <w:rsid w:val="007B594D"/>
    <w:rsid w:val="007C1617"/>
    <w:rsid w:val="007D6EC3"/>
    <w:rsid w:val="007F0E60"/>
    <w:rsid w:val="007F18F1"/>
    <w:rsid w:val="007F19D7"/>
    <w:rsid w:val="007F209B"/>
    <w:rsid w:val="007F38A7"/>
    <w:rsid w:val="007F6031"/>
    <w:rsid w:val="00800CBE"/>
    <w:rsid w:val="00802DCC"/>
    <w:rsid w:val="00803DA9"/>
    <w:rsid w:val="008139CD"/>
    <w:rsid w:val="008237F4"/>
    <w:rsid w:val="00826FDB"/>
    <w:rsid w:val="0084297D"/>
    <w:rsid w:val="00843848"/>
    <w:rsid w:val="008573D7"/>
    <w:rsid w:val="0086318A"/>
    <w:rsid w:val="00863BEC"/>
    <w:rsid w:val="00867CE7"/>
    <w:rsid w:val="00870187"/>
    <w:rsid w:val="00876152"/>
    <w:rsid w:val="0087791D"/>
    <w:rsid w:val="00882584"/>
    <w:rsid w:val="00883E8F"/>
    <w:rsid w:val="008915EC"/>
    <w:rsid w:val="008922CF"/>
    <w:rsid w:val="00892911"/>
    <w:rsid w:val="008A1946"/>
    <w:rsid w:val="008A5C47"/>
    <w:rsid w:val="008B14FD"/>
    <w:rsid w:val="008B6938"/>
    <w:rsid w:val="008B7D80"/>
    <w:rsid w:val="008C5D0D"/>
    <w:rsid w:val="008C65AA"/>
    <w:rsid w:val="008E3775"/>
    <w:rsid w:val="008F1EA6"/>
    <w:rsid w:val="00903058"/>
    <w:rsid w:val="00911E36"/>
    <w:rsid w:val="00913129"/>
    <w:rsid w:val="00914301"/>
    <w:rsid w:val="0092149F"/>
    <w:rsid w:val="00921507"/>
    <w:rsid w:val="00946688"/>
    <w:rsid w:val="0095415D"/>
    <w:rsid w:val="00962F3E"/>
    <w:rsid w:val="00973B79"/>
    <w:rsid w:val="00974F2D"/>
    <w:rsid w:val="0097795E"/>
    <w:rsid w:val="00980EAB"/>
    <w:rsid w:val="009815CA"/>
    <w:rsid w:val="00990A7E"/>
    <w:rsid w:val="00994A62"/>
    <w:rsid w:val="00994C88"/>
    <w:rsid w:val="009974DA"/>
    <w:rsid w:val="009A1367"/>
    <w:rsid w:val="009A3438"/>
    <w:rsid w:val="009A7188"/>
    <w:rsid w:val="009A71D9"/>
    <w:rsid w:val="009A7726"/>
    <w:rsid w:val="009B1138"/>
    <w:rsid w:val="009B3DE2"/>
    <w:rsid w:val="009B665B"/>
    <w:rsid w:val="009C2A6D"/>
    <w:rsid w:val="009C35BF"/>
    <w:rsid w:val="009C548C"/>
    <w:rsid w:val="009C6BD0"/>
    <w:rsid w:val="009D0CB0"/>
    <w:rsid w:val="009E5895"/>
    <w:rsid w:val="009E6031"/>
    <w:rsid w:val="009F08E4"/>
    <w:rsid w:val="009F0B51"/>
    <w:rsid w:val="009F2452"/>
    <w:rsid w:val="009F2EBF"/>
    <w:rsid w:val="009F723B"/>
    <w:rsid w:val="009F7495"/>
    <w:rsid w:val="00A0102E"/>
    <w:rsid w:val="00A12E37"/>
    <w:rsid w:val="00A15587"/>
    <w:rsid w:val="00A207D8"/>
    <w:rsid w:val="00A25737"/>
    <w:rsid w:val="00A3172C"/>
    <w:rsid w:val="00A334AA"/>
    <w:rsid w:val="00A34AD0"/>
    <w:rsid w:val="00A354AB"/>
    <w:rsid w:val="00A426A3"/>
    <w:rsid w:val="00A44C54"/>
    <w:rsid w:val="00A47041"/>
    <w:rsid w:val="00A55D1A"/>
    <w:rsid w:val="00A631EA"/>
    <w:rsid w:val="00A647E0"/>
    <w:rsid w:val="00A6507E"/>
    <w:rsid w:val="00A65829"/>
    <w:rsid w:val="00A708E3"/>
    <w:rsid w:val="00A779EB"/>
    <w:rsid w:val="00A80161"/>
    <w:rsid w:val="00A87A97"/>
    <w:rsid w:val="00A90CDA"/>
    <w:rsid w:val="00A9593E"/>
    <w:rsid w:val="00AA3B0E"/>
    <w:rsid w:val="00AA681A"/>
    <w:rsid w:val="00AB0669"/>
    <w:rsid w:val="00AB4AE9"/>
    <w:rsid w:val="00AB634E"/>
    <w:rsid w:val="00AB696A"/>
    <w:rsid w:val="00AC3679"/>
    <w:rsid w:val="00AC62F4"/>
    <w:rsid w:val="00AC69B7"/>
    <w:rsid w:val="00AD0A6E"/>
    <w:rsid w:val="00AD3A81"/>
    <w:rsid w:val="00AD4867"/>
    <w:rsid w:val="00AD6B4F"/>
    <w:rsid w:val="00AE4FD8"/>
    <w:rsid w:val="00AE6101"/>
    <w:rsid w:val="00AF0368"/>
    <w:rsid w:val="00AF0BDF"/>
    <w:rsid w:val="00AF1CB6"/>
    <w:rsid w:val="00AF1DEE"/>
    <w:rsid w:val="00AF4293"/>
    <w:rsid w:val="00AF5AA4"/>
    <w:rsid w:val="00B00C17"/>
    <w:rsid w:val="00B139EB"/>
    <w:rsid w:val="00B1678C"/>
    <w:rsid w:val="00B20E91"/>
    <w:rsid w:val="00B31607"/>
    <w:rsid w:val="00B372D6"/>
    <w:rsid w:val="00B4052F"/>
    <w:rsid w:val="00B41B20"/>
    <w:rsid w:val="00B41C44"/>
    <w:rsid w:val="00B43868"/>
    <w:rsid w:val="00B44DC8"/>
    <w:rsid w:val="00B642E9"/>
    <w:rsid w:val="00B643EF"/>
    <w:rsid w:val="00B67322"/>
    <w:rsid w:val="00B75E96"/>
    <w:rsid w:val="00B8306B"/>
    <w:rsid w:val="00B8477C"/>
    <w:rsid w:val="00B924A8"/>
    <w:rsid w:val="00B975DD"/>
    <w:rsid w:val="00BA4F28"/>
    <w:rsid w:val="00BA54A4"/>
    <w:rsid w:val="00BA66A7"/>
    <w:rsid w:val="00BA6A6A"/>
    <w:rsid w:val="00BB0796"/>
    <w:rsid w:val="00BB20B9"/>
    <w:rsid w:val="00BB42FD"/>
    <w:rsid w:val="00BB7465"/>
    <w:rsid w:val="00BC328B"/>
    <w:rsid w:val="00BC65AA"/>
    <w:rsid w:val="00BC6B59"/>
    <w:rsid w:val="00BC7869"/>
    <w:rsid w:val="00BD506A"/>
    <w:rsid w:val="00BD50DE"/>
    <w:rsid w:val="00BD7389"/>
    <w:rsid w:val="00BD7974"/>
    <w:rsid w:val="00BE3E46"/>
    <w:rsid w:val="00BE481F"/>
    <w:rsid w:val="00BE4ECC"/>
    <w:rsid w:val="00BF1264"/>
    <w:rsid w:val="00BF4DC7"/>
    <w:rsid w:val="00BF6140"/>
    <w:rsid w:val="00C00934"/>
    <w:rsid w:val="00C0226C"/>
    <w:rsid w:val="00C04F5A"/>
    <w:rsid w:val="00C10F4E"/>
    <w:rsid w:val="00C12C2B"/>
    <w:rsid w:val="00C20128"/>
    <w:rsid w:val="00C24D96"/>
    <w:rsid w:val="00C42941"/>
    <w:rsid w:val="00C44FD1"/>
    <w:rsid w:val="00C50777"/>
    <w:rsid w:val="00C52468"/>
    <w:rsid w:val="00C53C5C"/>
    <w:rsid w:val="00C57EDA"/>
    <w:rsid w:val="00C6010B"/>
    <w:rsid w:val="00C656E4"/>
    <w:rsid w:val="00C76092"/>
    <w:rsid w:val="00C779F7"/>
    <w:rsid w:val="00C928E3"/>
    <w:rsid w:val="00C97C14"/>
    <w:rsid w:val="00CA084F"/>
    <w:rsid w:val="00CA1450"/>
    <w:rsid w:val="00CA2911"/>
    <w:rsid w:val="00CB0098"/>
    <w:rsid w:val="00CB0E3F"/>
    <w:rsid w:val="00CB3C81"/>
    <w:rsid w:val="00CC4259"/>
    <w:rsid w:val="00CC6C49"/>
    <w:rsid w:val="00CC7E8E"/>
    <w:rsid w:val="00CD028C"/>
    <w:rsid w:val="00CD2831"/>
    <w:rsid w:val="00CD333F"/>
    <w:rsid w:val="00D017FA"/>
    <w:rsid w:val="00D06D45"/>
    <w:rsid w:val="00D12B8C"/>
    <w:rsid w:val="00D25AF7"/>
    <w:rsid w:val="00D3098C"/>
    <w:rsid w:val="00D331CE"/>
    <w:rsid w:val="00D3456A"/>
    <w:rsid w:val="00D3472F"/>
    <w:rsid w:val="00D359E6"/>
    <w:rsid w:val="00D37935"/>
    <w:rsid w:val="00D407DE"/>
    <w:rsid w:val="00D40A5A"/>
    <w:rsid w:val="00D55E11"/>
    <w:rsid w:val="00D67736"/>
    <w:rsid w:val="00D67D65"/>
    <w:rsid w:val="00D72B08"/>
    <w:rsid w:val="00D733C8"/>
    <w:rsid w:val="00D80AA0"/>
    <w:rsid w:val="00D87E61"/>
    <w:rsid w:val="00DA19DC"/>
    <w:rsid w:val="00DA3A84"/>
    <w:rsid w:val="00DA5C6D"/>
    <w:rsid w:val="00DB4B8D"/>
    <w:rsid w:val="00DB68C7"/>
    <w:rsid w:val="00DC033B"/>
    <w:rsid w:val="00DC69AD"/>
    <w:rsid w:val="00DD1AB8"/>
    <w:rsid w:val="00DD4F3A"/>
    <w:rsid w:val="00DE0405"/>
    <w:rsid w:val="00DE4162"/>
    <w:rsid w:val="00DE4C2D"/>
    <w:rsid w:val="00DF0502"/>
    <w:rsid w:val="00DF4345"/>
    <w:rsid w:val="00E01D11"/>
    <w:rsid w:val="00E01D14"/>
    <w:rsid w:val="00E02D72"/>
    <w:rsid w:val="00E14A2F"/>
    <w:rsid w:val="00E22E18"/>
    <w:rsid w:val="00E23E2C"/>
    <w:rsid w:val="00E24190"/>
    <w:rsid w:val="00E261CE"/>
    <w:rsid w:val="00E3303D"/>
    <w:rsid w:val="00E34101"/>
    <w:rsid w:val="00E37377"/>
    <w:rsid w:val="00E40A7E"/>
    <w:rsid w:val="00E4121B"/>
    <w:rsid w:val="00E44A39"/>
    <w:rsid w:val="00E464AC"/>
    <w:rsid w:val="00E656AD"/>
    <w:rsid w:val="00E724FB"/>
    <w:rsid w:val="00E7713E"/>
    <w:rsid w:val="00E8357E"/>
    <w:rsid w:val="00E842D9"/>
    <w:rsid w:val="00E84AB2"/>
    <w:rsid w:val="00EA4AF7"/>
    <w:rsid w:val="00EA66F1"/>
    <w:rsid w:val="00EB41BF"/>
    <w:rsid w:val="00EB6865"/>
    <w:rsid w:val="00EB6E4D"/>
    <w:rsid w:val="00EC0745"/>
    <w:rsid w:val="00EC084D"/>
    <w:rsid w:val="00EC0F49"/>
    <w:rsid w:val="00EC38B1"/>
    <w:rsid w:val="00EC4420"/>
    <w:rsid w:val="00EC4ED9"/>
    <w:rsid w:val="00EC6D35"/>
    <w:rsid w:val="00ED00FA"/>
    <w:rsid w:val="00ED18F9"/>
    <w:rsid w:val="00EE02F9"/>
    <w:rsid w:val="00EE051C"/>
    <w:rsid w:val="00EE0BC2"/>
    <w:rsid w:val="00EE51CC"/>
    <w:rsid w:val="00EF2D5C"/>
    <w:rsid w:val="00EF6A95"/>
    <w:rsid w:val="00F01A0F"/>
    <w:rsid w:val="00F01DAE"/>
    <w:rsid w:val="00F1384E"/>
    <w:rsid w:val="00F20DC7"/>
    <w:rsid w:val="00F24FC6"/>
    <w:rsid w:val="00F3177F"/>
    <w:rsid w:val="00F33648"/>
    <w:rsid w:val="00F33708"/>
    <w:rsid w:val="00F34978"/>
    <w:rsid w:val="00F3615B"/>
    <w:rsid w:val="00F3752D"/>
    <w:rsid w:val="00F42443"/>
    <w:rsid w:val="00F45219"/>
    <w:rsid w:val="00F458AE"/>
    <w:rsid w:val="00F476DF"/>
    <w:rsid w:val="00F50009"/>
    <w:rsid w:val="00F50E68"/>
    <w:rsid w:val="00F50F5F"/>
    <w:rsid w:val="00F548D5"/>
    <w:rsid w:val="00F613CC"/>
    <w:rsid w:val="00F63AD3"/>
    <w:rsid w:val="00F75C4D"/>
    <w:rsid w:val="00F77442"/>
    <w:rsid w:val="00F96071"/>
    <w:rsid w:val="00F96294"/>
    <w:rsid w:val="00FA0575"/>
    <w:rsid w:val="00FA2ACE"/>
    <w:rsid w:val="00FB38BE"/>
    <w:rsid w:val="00FB448C"/>
    <w:rsid w:val="00FB5185"/>
    <w:rsid w:val="00FC48F9"/>
    <w:rsid w:val="00FC785C"/>
    <w:rsid w:val="00FD071C"/>
    <w:rsid w:val="00FD26BB"/>
    <w:rsid w:val="00FD2DEF"/>
    <w:rsid w:val="00FD4FA5"/>
    <w:rsid w:val="00FD5066"/>
    <w:rsid w:val="00FE0B5F"/>
    <w:rsid w:val="00FE30C4"/>
    <w:rsid w:val="00FE3F2D"/>
    <w:rsid w:val="00FF02A0"/>
    <w:rsid w:val="00FF3115"/>
    <w:rsid w:val="00FF387F"/>
    <w:rsid w:val="00FF5A3C"/>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2BD9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24A8"/>
    <w:pPr>
      <w:widowControl w:val="0"/>
      <w:adjustRightInd w:val="0"/>
      <w:snapToGrid w:val="0"/>
      <w:spacing w:line="480" w:lineRule="auto"/>
    </w:pPr>
    <w:rPr>
      <w:rFonts w:ascii="Times New Roman" w:eastAsia="Gabriola" w:hAnsi="Times New Roman"/>
    </w:rPr>
  </w:style>
  <w:style w:type="paragraph" w:styleId="Heading1">
    <w:name w:val="heading 1"/>
    <w:basedOn w:val="Normal"/>
    <w:next w:val="Normal"/>
    <w:link w:val="Heading1Char"/>
    <w:uiPriority w:val="9"/>
    <w:qFormat/>
    <w:rsid w:val="0065281F"/>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370595"/>
    <w:pPr>
      <w:keepNext/>
      <w:keepLines/>
      <w:numPr>
        <w:ilvl w:val="1"/>
        <w:numId w:val="3"/>
      </w:numPr>
      <w:jc w:val="center"/>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7B594D"/>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370595"/>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70595"/>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0595"/>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70595"/>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059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59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0187"/>
    <w:rPr>
      <w:rFonts w:eastAsia="Garamond"/>
    </w:rPr>
  </w:style>
  <w:style w:type="character" w:customStyle="1" w:styleId="FootnoteTextChar">
    <w:name w:val="Footnote Text Char"/>
    <w:basedOn w:val="DefaultParagraphFont"/>
    <w:link w:val="FootnoteText"/>
    <w:uiPriority w:val="99"/>
    <w:rsid w:val="00870187"/>
    <w:rPr>
      <w:rFonts w:ascii="Times" w:eastAsia="Garamond" w:hAnsi="Times"/>
    </w:rPr>
  </w:style>
  <w:style w:type="character" w:styleId="FootnoteReference">
    <w:name w:val="footnote reference"/>
    <w:basedOn w:val="DefaultParagraphFont"/>
    <w:uiPriority w:val="99"/>
    <w:unhideWhenUsed/>
    <w:rsid w:val="00462EF2"/>
    <w:rPr>
      <w:vertAlign w:val="superscript"/>
    </w:rPr>
  </w:style>
  <w:style w:type="character" w:styleId="Hyperlink">
    <w:name w:val="Hyperlink"/>
    <w:basedOn w:val="DefaultParagraphFont"/>
    <w:uiPriority w:val="99"/>
    <w:unhideWhenUsed/>
    <w:rsid w:val="00462EF2"/>
    <w:rPr>
      <w:color w:val="0000FF" w:themeColor="hyperlink"/>
      <w:u w:val="single"/>
    </w:rPr>
  </w:style>
  <w:style w:type="character" w:customStyle="1" w:styleId="Heading1Char">
    <w:name w:val="Heading 1 Char"/>
    <w:basedOn w:val="DefaultParagraphFont"/>
    <w:link w:val="Heading1"/>
    <w:uiPriority w:val="9"/>
    <w:rsid w:val="00826FDB"/>
    <w:rPr>
      <w:rFonts w:asciiTheme="majorHAnsi" w:eastAsiaTheme="majorEastAsia" w:hAnsiTheme="majorHAnsi" w:cstheme="majorBidi"/>
      <w:sz w:val="28"/>
      <w:szCs w:val="28"/>
    </w:rPr>
  </w:style>
  <w:style w:type="character" w:styleId="EndnoteReference">
    <w:name w:val="endnote reference"/>
    <w:basedOn w:val="DefaultParagraphFont"/>
    <w:uiPriority w:val="99"/>
    <w:semiHidden/>
    <w:unhideWhenUsed/>
    <w:rsid w:val="00DE4162"/>
    <w:rPr>
      <w:vertAlign w:val="superscript"/>
    </w:rPr>
  </w:style>
  <w:style w:type="paragraph" w:customStyle="1" w:styleId="1">
    <w:name w:val="文献目録1"/>
    <w:basedOn w:val="Normal"/>
    <w:rsid w:val="00384FD2"/>
    <w:pPr>
      <w:ind w:left="720" w:hanging="720"/>
    </w:pPr>
  </w:style>
  <w:style w:type="paragraph" w:styleId="BalloonText">
    <w:name w:val="Balloon Text"/>
    <w:basedOn w:val="Normal"/>
    <w:link w:val="BalloonTextChar"/>
    <w:uiPriority w:val="99"/>
    <w:semiHidden/>
    <w:unhideWhenUsed/>
    <w:rsid w:val="00E72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4FB"/>
    <w:rPr>
      <w:rFonts w:ascii="Lucida Grande" w:eastAsia="Gabriola" w:hAnsi="Lucida Grande" w:cs="Lucida Grande"/>
      <w:sz w:val="18"/>
      <w:szCs w:val="18"/>
    </w:rPr>
  </w:style>
  <w:style w:type="character" w:styleId="CommentReference">
    <w:name w:val="annotation reference"/>
    <w:basedOn w:val="DefaultParagraphFont"/>
    <w:uiPriority w:val="99"/>
    <w:semiHidden/>
    <w:unhideWhenUsed/>
    <w:rsid w:val="00E724FB"/>
    <w:rPr>
      <w:sz w:val="18"/>
      <w:szCs w:val="18"/>
    </w:rPr>
  </w:style>
  <w:style w:type="paragraph" w:styleId="CommentText">
    <w:name w:val="annotation text"/>
    <w:basedOn w:val="Normal"/>
    <w:link w:val="CommentTextChar"/>
    <w:uiPriority w:val="99"/>
    <w:unhideWhenUsed/>
    <w:rsid w:val="00E724FB"/>
  </w:style>
  <w:style w:type="character" w:customStyle="1" w:styleId="CommentTextChar">
    <w:name w:val="Comment Text Char"/>
    <w:basedOn w:val="DefaultParagraphFont"/>
    <w:link w:val="CommentText"/>
    <w:uiPriority w:val="99"/>
    <w:rsid w:val="00E724FB"/>
    <w:rPr>
      <w:rFonts w:eastAsia="Gabriola"/>
    </w:rPr>
  </w:style>
  <w:style w:type="paragraph" w:styleId="CommentSubject">
    <w:name w:val="annotation subject"/>
    <w:basedOn w:val="CommentText"/>
    <w:next w:val="CommentText"/>
    <w:link w:val="CommentSubjectChar"/>
    <w:uiPriority w:val="99"/>
    <w:semiHidden/>
    <w:unhideWhenUsed/>
    <w:rsid w:val="00E724FB"/>
    <w:rPr>
      <w:b/>
      <w:bCs/>
    </w:rPr>
  </w:style>
  <w:style w:type="character" w:customStyle="1" w:styleId="CommentSubjectChar">
    <w:name w:val="Comment Subject Char"/>
    <w:basedOn w:val="CommentTextChar"/>
    <w:link w:val="CommentSubject"/>
    <w:uiPriority w:val="99"/>
    <w:semiHidden/>
    <w:rsid w:val="00E724FB"/>
    <w:rPr>
      <w:rFonts w:eastAsia="Gabriola"/>
      <w:b/>
      <w:bCs/>
    </w:rPr>
  </w:style>
  <w:style w:type="character" w:customStyle="1" w:styleId="Heading2Char">
    <w:name w:val="Heading 2 Char"/>
    <w:basedOn w:val="DefaultParagraphFont"/>
    <w:link w:val="Heading2"/>
    <w:uiPriority w:val="9"/>
    <w:rsid w:val="00AF0368"/>
    <w:rPr>
      <w:rFonts w:ascii="Times" w:eastAsiaTheme="majorEastAsia" w:hAnsi="Times" w:cstheme="majorBidi"/>
      <w:color w:val="000000" w:themeColor="text1"/>
      <w:szCs w:val="26"/>
    </w:rPr>
  </w:style>
  <w:style w:type="paragraph" w:styleId="ListParagraph">
    <w:name w:val="List Paragraph"/>
    <w:basedOn w:val="Normal"/>
    <w:uiPriority w:val="34"/>
    <w:qFormat/>
    <w:rsid w:val="00AF0368"/>
    <w:pPr>
      <w:ind w:left="720"/>
      <w:contextualSpacing/>
    </w:pPr>
  </w:style>
  <w:style w:type="paragraph" w:styleId="Quote">
    <w:name w:val="Quote"/>
    <w:basedOn w:val="Normal"/>
    <w:next w:val="Normal"/>
    <w:link w:val="QuoteChar"/>
    <w:uiPriority w:val="29"/>
    <w:qFormat/>
    <w:rsid w:val="00121231"/>
    <w:pPr>
      <w:ind w:left="862" w:right="862"/>
    </w:pPr>
    <w:rPr>
      <w:iCs/>
    </w:rPr>
  </w:style>
  <w:style w:type="character" w:customStyle="1" w:styleId="QuoteChar">
    <w:name w:val="Quote Char"/>
    <w:basedOn w:val="DefaultParagraphFont"/>
    <w:link w:val="Quote"/>
    <w:uiPriority w:val="29"/>
    <w:rsid w:val="00121231"/>
    <w:rPr>
      <w:rFonts w:ascii="Times" w:eastAsia="Gabriola" w:hAnsi="Times"/>
      <w:iCs/>
    </w:rPr>
  </w:style>
  <w:style w:type="paragraph" w:customStyle="1" w:styleId="p1">
    <w:name w:val="p1"/>
    <w:basedOn w:val="Normal"/>
    <w:rsid w:val="0068032D"/>
    <w:pPr>
      <w:widowControl/>
      <w:adjustRightInd/>
      <w:snapToGrid/>
      <w:spacing w:line="240" w:lineRule="auto"/>
    </w:pPr>
    <w:rPr>
      <w:rFonts w:ascii="Helvetica" w:eastAsiaTheme="minorEastAsia" w:hAnsi="Helvetica"/>
      <w:kern w:val="0"/>
      <w:sz w:val="21"/>
      <w:szCs w:val="21"/>
    </w:rPr>
  </w:style>
  <w:style w:type="character" w:customStyle="1" w:styleId="Heading3Char">
    <w:name w:val="Heading 3 Char"/>
    <w:basedOn w:val="DefaultParagraphFont"/>
    <w:link w:val="Heading3"/>
    <w:uiPriority w:val="9"/>
    <w:rsid w:val="00370595"/>
    <w:rPr>
      <w:rFonts w:ascii="Times" w:eastAsiaTheme="majorEastAsia" w:hAnsi="Times" w:cstheme="majorBidi"/>
      <w:i/>
    </w:rPr>
  </w:style>
  <w:style w:type="character" w:customStyle="1" w:styleId="Heading4Char">
    <w:name w:val="Heading 4 Char"/>
    <w:basedOn w:val="DefaultParagraphFont"/>
    <w:link w:val="Heading4"/>
    <w:uiPriority w:val="9"/>
    <w:semiHidden/>
    <w:rsid w:val="003705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7059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7059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7059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705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0595"/>
    <w:rPr>
      <w:rFonts w:asciiTheme="majorHAnsi" w:eastAsiaTheme="majorEastAsia" w:hAnsiTheme="majorHAnsi" w:cstheme="majorBidi"/>
      <w:i/>
      <w:iCs/>
      <w:color w:val="272727" w:themeColor="text1" w:themeTint="D8"/>
      <w:sz w:val="21"/>
      <w:szCs w:val="21"/>
    </w:rPr>
  </w:style>
  <w:style w:type="paragraph" w:customStyle="1" w:styleId="p2">
    <w:name w:val="p2"/>
    <w:basedOn w:val="Normal"/>
    <w:rsid w:val="001D2116"/>
    <w:pPr>
      <w:widowControl/>
      <w:adjustRightInd/>
      <w:snapToGrid/>
      <w:spacing w:line="240" w:lineRule="auto"/>
    </w:pPr>
    <w:rPr>
      <w:rFonts w:eastAsiaTheme="minorEastAsia"/>
      <w:kern w:val="0"/>
      <w:sz w:val="18"/>
      <w:szCs w:val="18"/>
    </w:rPr>
  </w:style>
  <w:style w:type="paragraph" w:customStyle="1" w:styleId="p3">
    <w:name w:val="p3"/>
    <w:basedOn w:val="Normal"/>
    <w:rsid w:val="001D2116"/>
    <w:pPr>
      <w:widowControl/>
      <w:adjustRightInd/>
      <w:snapToGrid/>
      <w:spacing w:line="240" w:lineRule="auto"/>
    </w:pPr>
    <w:rPr>
      <w:rFonts w:eastAsiaTheme="minorEastAsia"/>
      <w:kern w:val="0"/>
      <w:sz w:val="17"/>
      <w:szCs w:val="17"/>
    </w:rPr>
  </w:style>
  <w:style w:type="character" w:customStyle="1" w:styleId="apple-converted-space">
    <w:name w:val="apple-converted-space"/>
    <w:basedOn w:val="DefaultParagraphFont"/>
    <w:rsid w:val="00802DCC"/>
  </w:style>
  <w:style w:type="paragraph" w:styleId="DocumentMap">
    <w:name w:val="Document Map"/>
    <w:basedOn w:val="Normal"/>
    <w:link w:val="DocumentMapChar"/>
    <w:uiPriority w:val="99"/>
    <w:semiHidden/>
    <w:unhideWhenUsed/>
    <w:rsid w:val="00973B79"/>
    <w:pPr>
      <w:spacing w:line="240" w:lineRule="auto"/>
    </w:pPr>
  </w:style>
  <w:style w:type="character" w:customStyle="1" w:styleId="DocumentMapChar">
    <w:name w:val="Document Map Char"/>
    <w:basedOn w:val="DefaultParagraphFont"/>
    <w:link w:val="DocumentMap"/>
    <w:uiPriority w:val="99"/>
    <w:semiHidden/>
    <w:rsid w:val="00973B79"/>
    <w:rPr>
      <w:rFonts w:ascii="Times New Roman" w:eastAsia="Gabriol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4582">
      <w:bodyDiv w:val="1"/>
      <w:marLeft w:val="0"/>
      <w:marRight w:val="0"/>
      <w:marTop w:val="0"/>
      <w:marBottom w:val="0"/>
      <w:divBdr>
        <w:top w:val="none" w:sz="0" w:space="0" w:color="auto"/>
        <w:left w:val="none" w:sz="0" w:space="0" w:color="auto"/>
        <w:bottom w:val="none" w:sz="0" w:space="0" w:color="auto"/>
        <w:right w:val="none" w:sz="0" w:space="0" w:color="auto"/>
      </w:divBdr>
    </w:div>
    <w:div w:id="60763121">
      <w:bodyDiv w:val="1"/>
      <w:marLeft w:val="0"/>
      <w:marRight w:val="0"/>
      <w:marTop w:val="0"/>
      <w:marBottom w:val="0"/>
      <w:divBdr>
        <w:top w:val="none" w:sz="0" w:space="0" w:color="auto"/>
        <w:left w:val="none" w:sz="0" w:space="0" w:color="auto"/>
        <w:bottom w:val="none" w:sz="0" w:space="0" w:color="auto"/>
        <w:right w:val="none" w:sz="0" w:space="0" w:color="auto"/>
      </w:divBdr>
    </w:div>
    <w:div w:id="96411302">
      <w:bodyDiv w:val="1"/>
      <w:marLeft w:val="0"/>
      <w:marRight w:val="0"/>
      <w:marTop w:val="0"/>
      <w:marBottom w:val="0"/>
      <w:divBdr>
        <w:top w:val="none" w:sz="0" w:space="0" w:color="auto"/>
        <w:left w:val="none" w:sz="0" w:space="0" w:color="auto"/>
        <w:bottom w:val="none" w:sz="0" w:space="0" w:color="auto"/>
        <w:right w:val="none" w:sz="0" w:space="0" w:color="auto"/>
      </w:divBdr>
    </w:div>
    <w:div w:id="143083612">
      <w:bodyDiv w:val="1"/>
      <w:marLeft w:val="0"/>
      <w:marRight w:val="0"/>
      <w:marTop w:val="0"/>
      <w:marBottom w:val="0"/>
      <w:divBdr>
        <w:top w:val="none" w:sz="0" w:space="0" w:color="auto"/>
        <w:left w:val="none" w:sz="0" w:space="0" w:color="auto"/>
        <w:bottom w:val="none" w:sz="0" w:space="0" w:color="auto"/>
        <w:right w:val="none" w:sz="0" w:space="0" w:color="auto"/>
      </w:divBdr>
    </w:div>
    <w:div w:id="144905815">
      <w:bodyDiv w:val="1"/>
      <w:marLeft w:val="0"/>
      <w:marRight w:val="0"/>
      <w:marTop w:val="0"/>
      <w:marBottom w:val="0"/>
      <w:divBdr>
        <w:top w:val="none" w:sz="0" w:space="0" w:color="auto"/>
        <w:left w:val="none" w:sz="0" w:space="0" w:color="auto"/>
        <w:bottom w:val="none" w:sz="0" w:space="0" w:color="auto"/>
        <w:right w:val="none" w:sz="0" w:space="0" w:color="auto"/>
      </w:divBdr>
    </w:div>
    <w:div w:id="286010520">
      <w:bodyDiv w:val="1"/>
      <w:marLeft w:val="0"/>
      <w:marRight w:val="0"/>
      <w:marTop w:val="0"/>
      <w:marBottom w:val="0"/>
      <w:divBdr>
        <w:top w:val="none" w:sz="0" w:space="0" w:color="auto"/>
        <w:left w:val="none" w:sz="0" w:space="0" w:color="auto"/>
        <w:bottom w:val="none" w:sz="0" w:space="0" w:color="auto"/>
        <w:right w:val="none" w:sz="0" w:space="0" w:color="auto"/>
      </w:divBdr>
    </w:div>
    <w:div w:id="287057124">
      <w:bodyDiv w:val="1"/>
      <w:marLeft w:val="0"/>
      <w:marRight w:val="0"/>
      <w:marTop w:val="0"/>
      <w:marBottom w:val="0"/>
      <w:divBdr>
        <w:top w:val="none" w:sz="0" w:space="0" w:color="auto"/>
        <w:left w:val="none" w:sz="0" w:space="0" w:color="auto"/>
        <w:bottom w:val="none" w:sz="0" w:space="0" w:color="auto"/>
        <w:right w:val="none" w:sz="0" w:space="0" w:color="auto"/>
      </w:divBdr>
    </w:div>
    <w:div w:id="317418392">
      <w:bodyDiv w:val="1"/>
      <w:marLeft w:val="0"/>
      <w:marRight w:val="0"/>
      <w:marTop w:val="0"/>
      <w:marBottom w:val="0"/>
      <w:divBdr>
        <w:top w:val="none" w:sz="0" w:space="0" w:color="auto"/>
        <w:left w:val="none" w:sz="0" w:space="0" w:color="auto"/>
        <w:bottom w:val="none" w:sz="0" w:space="0" w:color="auto"/>
        <w:right w:val="none" w:sz="0" w:space="0" w:color="auto"/>
      </w:divBdr>
    </w:div>
    <w:div w:id="334695147">
      <w:bodyDiv w:val="1"/>
      <w:marLeft w:val="0"/>
      <w:marRight w:val="0"/>
      <w:marTop w:val="0"/>
      <w:marBottom w:val="0"/>
      <w:divBdr>
        <w:top w:val="none" w:sz="0" w:space="0" w:color="auto"/>
        <w:left w:val="none" w:sz="0" w:space="0" w:color="auto"/>
        <w:bottom w:val="none" w:sz="0" w:space="0" w:color="auto"/>
        <w:right w:val="none" w:sz="0" w:space="0" w:color="auto"/>
      </w:divBdr>
    </w:div>
    <w:div w:id="411507641">
      <w:bodyDiv w:val="1"/>
      <w:marLeft w:val="0"/>
      <w:marRight w:val="0"/>
      <w:marTop w:val="0"/>
      <w:marBottom w:val="0"/>
      <w:divBdr>
        <w:top w:val="none" w:sz="0" w:space="0" w:color="auto"/>
        <w:left w:val="none" w:sz="0" w:space="0" w:color="auto"/>
        <w:bottom w:val="none" w:sz="0" w:space="0" w:color="auto"/>
        <w:right w:val="none" w:sz="0" w:space="0" w:color="auto"/>
      </w:divBdr>
    </w:div>
    <w:div w:id="586577883">
      <w:bodyDiv w:val="1"/>
      <w:marLeft w:val="0"/>
      <w:marRight w:val="0"/>
      <w:marTop w:val="0"/>
      <w:marBottom w:val="0"/>
      <w:divBdr>
        <w:top w:val="none" w:sz="0" w:space="0" w:color="auto"/>
        <w:left w:val="none" w:sz="0" w:space="0" w:color="auto"/>
        <w:bottom w:val="none" w:sz="0" w:space="0" w:color="auto"/>
        <w:right w:val="none" w:sz="0" w:space="0" w:color="auto"/>
      </w:divBdr>
    </w:div>
    <w:div w:id="592207571">
      <w:bodyDiv w:val="1"/>
      <w:marLeft w:val="0"/>
      <w:marRight w:val="0"/>
      <w:marTop w:val="0"/>
      <w:marBottom w:val="0"/>
      <w:divBdr>
        <w:top w:val="none" w:sz="0" w:space="0" w:color="auto"/>
        <w:left w:val="none" w:sz="0" w:space="0" w:color="auto"/>
        <w:bottom w:val="none" w:sz="0" w:space="0" w:color="auto"/>
        <w:right w:val="none" w:sz="0" w:space="0" w:color="auto"/>
      </w:divBdr>
    </w:div>
    <w:div w:id="682243344">
      <w:bodyDiv w:val="1"/>
      <w:marLeft w:val="0"/>
      <w:marRight w:val="0"/>
      <w:marTop w:val="0"/>
      <w:marBottom w:val="0"/>
      <w:divBdr>
        <w:top w:val="none" w:sz="0" w:space="0" w:color="auto"/>
        <w:left w:val="none" w:sz="0" w:space="0" w:color="auto"/>
        <w:bottom w:val="none" w:sz="0" w:space="0" w:color="auto"/>
        <w:right w:val="none" w:sz="0" w:space="0" w:color="auto"/>
      </w:divBdr>
    </w:div>
    <w:div w:id="825367133">
      <w:bodyDiv w:val="1"/>
      <w:marLeft w:val="0"/>
      <w:marRight w:val="0"/>
      <w:marTop w:val="0"/>
      <w:marBottom w:val="0"/>
      <w:divBdr>
        <w:top w:val="none" w:sz="0" w:space="0" w:color="auto"/>
        <w:left w:val="none" w:sz="0" w:space="0" w:color="auto"/>
        <w:bottom w:val="none" w:sz="0" w:space="0" w:color="auto"/>
        <w:right w:val="none" w:sz="0" w:space="0" w:color="auto"/>
      </w:divBdr>
    </w:div>
    <w:div w:id="998314565">
      <w:bodyDiv w:val="1"/>
      <w:marLeft w:val="0"/>
      <w:marRight w:val="0"/>
      <w:marTop w:val="0"/>
      <w:marBottom w:val="0"/>
      <w:divBdr>
        <w:top w:val="none" w:sz="0" w:space="0" w:color="auto"/>
        <w:left w:val="none" w:sz="0" w:space="0" w:color="auto"/>
        <w:bottom w:val="none" w:sz="0" w:space="0" w:color="auto"/>
        <w:right w:val="none" w:sz="0" w:space="0" w:color="auto"/>
      </w:divBdr>
    </w:div>
    <w:div w:id="1013456421">
      <w:bodyDiv w:val="1"/>
      <w:marLeft w:val="0"/>
      <w:marRight w:val="0"/>
      <w:marTop w:val="0"/>
      <w:marBottom w:val="0"/>
      <w:divBdr>
        <w:top w:val="none" w:sz="0" w:space="0" w:color="auto"/>
        <w:left w:val="none" w:sz="0" w:space="0" w:color="auto"/>
        <w:bottom w:val="none" w:sz="0" w:space="0" w:color="auto"/>
        <w:right w:val="none" w:sz="0" w:space="0" w:color="auto"/>
      </w:divBdr>
    </w:div>
    <w:div w:id="1096051818">
      <w:bodyDiv w:val="1"/>
      <w:marLeft w:val="0"/>
      <w:marRight w:val="0"/>
      <w:marTop w:val="0"/>
      <w:marBottom w:val="0"/>
      <w:divBdr>
        <w:top w:val="none" w:sz="0" w:space="0" w:color="auto"/>
        <w:left w:val="none" w:sz="0" w:space="0" w:color="auto"/>
        <w:bottom w:val="none" w:sz="0" w:space="0" w:color="auto"/>
        <w:right w:val="none" w:sz="0" w:space="0" w:color="auto"/>
      </w:divBdr>
    </w:div>
    <w:div w:id="1136919252">
      <w:bodyDiv w:val="1"/>
      <w:marLeft w:val="0"/>
      <w:marRight w:val="0"/>
      <w:marTop w:val="0"/>
      <w:marBottom w:val="0"/>
      <w:divBdr>
        <w:top w:val="none" w:sz="0" w:space="0" w:color="auto"/>
        <w:left w:val="none" w:sz="0" w:space="0" w:color="auto"/>
        <w:bottom w:val="none" w:sz="0" w:space="0" w:color="auto"/>
        <w:right w:val="none" w:sz="0" w:space="0" w:color="auto"/>
      </w:divBdr>
    </w:div>
    <w:div w:id="1139347633">
      <w:bodyDiv w:val="1"/>
      <w:marLeft w:val="0"/>
      <w:marRight w:val="0"/>
      <w:marTop w:val="0"/>
      <w:marBottom w:val="0"/>
      <w:divBdr>
        <w:top w:val="none" w:sz="0" w:space="0" w:color="auto"/>
        <w:left w:val="none" w:sz="0" w:space="0" w:color="auto"/>
        <w:bottom w:val="none" w:sz="0" w:space="0" w:color="auto"/>
        <w:right w:val="none" w:sz="0" w:space="0" w:color="auto"/>
      </w:divBdr>
    </w:div>
    <w:div w:id="1468814064">
      <w:bodyDiv w:val="1"/>
      <w:marLeft w:val="0"/>
      <w:marRight w:val="0"/>
      <w:marTop w:val="0"/>
      <w:marBottom w:val="0"/>
      <w:divBdr>
        <w:top w:val="none" w:sz="0" w:space="0" w:color="auto"/>
        <w:left w:val="none" w:sz="0" w:space="0" w:color="auto"/>
        <w:bottom w:val="none" w:sz="0" w:space="0" w:color="auto"/>
        <w:right w:val="none" w:sz="0" w:space="0" w:color="auto"/>
      </w:divBdr>
    </w:div>
    <w:div w:id="1646665325">
      <w:bodyDiv w:val="1"/>
      <w:marLeft w:val="0"/>
      <w:marRight w:val="0"/>
      <w:marTop w:val="0"/>
      <w:marBottom w:val="0"/>
      <w:divBdr>
        <w:top w:val="none" w:sz="0" w:space="0" w:color="auto"/>
        <w:left w:val="none" w:sz="0" w:space="0" w:color="auto"/>
        <w:bottom w:val="none" w:sz="0" w:space="0" w:color="auto"/>
        <w:right w:val="none" w:sz="0" w:space="0" w:color="auto"/>
      </w:divBdr>
    </w:div>
    <w:div w:id="1717122964">
      <w:bodyDiv w:val="1"/>
      <w:marLeft w:val="0"/>
      <w:marRight w:val="0"/>
      <w:marTop w:val="0"/>
      <w:marBottom w:val="0"/>
      <w:divBdr>
        <w:top w:val="none" w:sz="0" w:space="0" w:color="auto"/>
        <w:left w:val="none" w:sz="0" w:space="0" w:color="auto"/>
        <w:bottom w:val="none" w:sz="0" w:space="0" w:color="auto"/>
        <w:right w:val="none" w:sz="0" w:space="0" w:color="auto"/>
      </w:divBdr>
    </w:div>
    <w:div w:id="1754202723">
      <w:bodyDiv w:val="1"/>
      <w:marLeft w:val="0"/>
      <w:marRight w:val="0"/>
      <w:marTop w:val="0"/>
      <w:marBottom w:val="0"/>
      <w:divBdr>
        <w:top w:val="none" w:sz="0" w:space="0" w:color="auto"/>
        <w:left w:val="none" w:sz="0" w:space="0" w:color="auto"/>
        <w:bottom w:val="none" w:sz="0" w:space="0" w:color="auto"/>
        <w:right w:val="none" w:sz="0" w:space="0" w:color="auto"/>
      </w:divBdr>
    </w:div>
    <w:div w:id="1764718250">
      <w:bodyDiv w:val="1"/>
      <w:marLeft w:val="0"/>
      <w:marRight w:val="0"/>
      <w:marTop w:val="0"/>
      <w:marBottom w:val="0"/>
      <w:divBdr>
        <w:top w:val="none" w:sz="0" w:space="0" w:color="auto"/>
        <w:left w:val="none" w:sz="0" w:space="0" w:color="auto"/>
        <w:bottom w:val="none" w:sz="0" w:space="0" w:color="auto"/>
        <w:right w:val="none" w:sz="0" w:space="0" w:color="auto"/>
      </w:divBdr>
    </w:div>
    <w:div w:id="1808012069">
      <w:bodyDiv w:val="1"/>
      <w:marLeft w:val="0"/>
      <w:marRight w:val="0"/>
      <w:marTop w:val="0"/>
      <w:marBottom w:val="0"/>
      <w:divBdr>
        <w:top w:val="none" w:sz="0" w:space="0" w:color="auto"/>
        <w:left w:val="none" w:sz="0" w:space="0" w:color="auto"/>
        <w:bottom w:val="none" w:sz="0" w:space="0" w:color="auto"/>
        <w:right w:val="none" w:sz="0" w:space="0" w:color="auto"/>
      </w:divBdr>
    </w:div>
    <w:div w:id="1813403744">
      <w:bodyDiv w:val="1"/>
      <w:marLeft w:val="0"/>
      <w:marRight w:val="0"/>
      <w:marTop w:val="0"/>
      <w:marBottom w:val="0"/>
      <w:divBdr>
        <w:top w:val="none" w:sz="0" w:space="0" w:color="auto"/>
        <w:left w:val="none" w:sz="0" w:space="0" w:color="auto"/>
        <w:bottom w:val="none" w:sz="0" w:space="0" w:color="auto"/>
        <w:right w:val="none" w:sz="0" w:space="0" w:color="auto"/>
      </w:divBdr>
    </w:div>
    <w:div w:id="1884172471">
      <w:bodyDiv w:val="1"/>
      <w:marLeft w:val="0"/>
      <w:marRight w:val="0"/>
      <w:marTop w:val="0"/>
      <w:marBottom w:val="0"/>
      <w:divBdr>
        <w:top w:val="none" w:sz="0" w:space="0" w:color="auto"/>
        <w:left w:val="none" w:sz="0" w:space="0" w:color="auto"/>
        <w:bottom w:val="none" w:sz="0" w:space="0" w:color="auto"/>
        <w:right w:val="none" w:sz="0" w:space="0" w:color="auto"/>
      </w:divBdr>
    </w:div>
    <w:div w:id="1905407813">
      <w:bodyDiv w:val="1"/>
      <w:marLeft w:val="0"/>
      <w:marRight w:val="0"/>
      <w:marTop w:val="0"/>
      <w:marBottom w:val="0"/>
      <w:divBdr>
        <w:top w:val="none" w:sz="0" w:space="0" w:color="auto"/>
        <w:left w:val="none" w:sz="0" w:space="0" w:color="auto"/>
        <w:bottom w:val="none" w:sz="0" w:space="0" w:color="auto"/>
        <w:right w:val="none" w:sz="0" w:space="0" w:color="auto"/>
      </w:divBdr>
    </w:div>
    <w:div w:id="2022470074">
      <w:bodyDiv w:val="1"/>
      <w:marLeft w:val="0"/>
      <w:marRight w:val="0"/>
      <w:marTop w:val="0"/>
      <w:marBottom w:val="0"/>
      <w:divBdr>
        <w:top w:val="none" w:sz="0" w:space="0" w:color="auto"/>
        <w:left w:val="none" w:sz="0" w:space="0" w:color="auto"/>
        <w:bottom w:val="none" w:sz="0" w:space="0" w:color="auto"/>
        <w:right w:val="none" w:sz="0" w:space="0" w:color="auto"/>
      </w:divBdr>
    </w:div>
    <w:div w:id="2027974710">
      <w:bodyDiv w:val="1"/>
      <w:marLeft w:val="0"/>
      <w:marRight w:val="0"/>
      <w:marTop w:val="0"/>
      <w:marBottom w:val="0"/>
      <w:divBdr>
        <w:top w:val="none" w:sz="0" w:space="0" w:color="auto"/>
        <w:left w:val="none" w:sz="0" w:space="0" w:color="auto"/>
        <w:bottom w:val="none" w:sz="0" w:space="0" w:color="auto"/>
        <w:right w:val="none" w:sz="0" w:space="0" w:color="auto"/>
      </w:divBdr>
    </w:div>
    <w:div w:id="2046320939">
      <w:bodyDiv w:val="1"/>
      <w:marLeft w:val="0"/>
      <w:marRight w:val="0"/>
      <w:marTop w:val="0"/>
      <w:marBottom w:val="0"/>
      <w:divBdr>
        <w:top w:val="none" w:sz="0" w:space="0" w:color="auto"/>
        <w:left w:val="none" w:sz="0" w:space="0" w:color="auto"/>
        <w:bottom w:val="none" w:sz="0" w:space="0" w:color="auto"/>
        <w:right w:val="none" w:sz="0" w:space="0" w:color="auto"/>
      </w:divBdr>
    </w:div>
    <w:div w:id="2077896646">
      <w:bodyDiv w:val="1"/>
      <w:marLeft w:val="0"/>
      <w:marRight w:val="0"/>
      <w:marTop w:val="0"/>
      <w:marBottom w:val="0"/>
      <w:divBdr>
        <w:top w:val="none" w:sz="0" w:space="0" w:color="auto"/>
        <w:left w:val="none" w:sz="0" w:space="0" w:color="auto"/>
        <w:bottom w:val="none" w:sz="0" w:space="0" w:color="auto"/>
        <w:right w:val="none" w:sz="0" w:space="0" w:color="auto"/>
      </w:divBdr>
    </w:div>
    <w:div w:id="2103797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53C246-C7A8-CC4C-B5E9-DCD5FD0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6961</Words>
  <Characters>39680</Characters>
  <Application>Microsoft Macintosh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Hokkaido University of Education</Company>
  <LinksUpToDate>false</LinksUpToDate>
  <CharactersWithSpaces>46548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Komasinski Andrew</dc:creator>
  <cp:keywords/>
  <dc:description/>
  <cp:lastModifiedBy>Komasinski Andrew</cp:lastModifiedBy>
  <cp:revision>21</cp:revision>
  <dcterms:created xsi:type="dcterms:W3CDTF">2017-07-03T07:51:00Z</dcterms:created>
  <dcterms:modified xsi:type="dcterms:W3CDTF">2017-07-03T08:23:00Z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id="K5RoJKD3"/&gt;&lt;style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