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7A55FF" w14:textId="317EEFE7" w:rsidR="00AF06E6" w:rsidRDefault="00F5061B" w:rsidP="00E45BFD">
      <w:pPr>
        <w:ind w:firstLine="432"/>
        <w:jc w:val="center"/>
        <w:rPr>
          <w:sz w:val="32"/>
          <w:szCs w:val="32"/>
        </w:rPr>
      </w:pPr>
      <w:r>
        <w:rPr>
          <w:sz w:val="32"/>
          <w:szCs w:val="32"/>
        </w:rPr>
        <w:t>Essence, Grounding, and</w:t>
      </w:r>
      <w:r w:rsidR="00E45BFD" w:rsidRPr="00E45BFD">
        <w:rPr>
          <w:sz w:val="32"/>
          <w:szCs w:val="32"/>
        </w:rPr>
        <w:t xml:space="preserve"> Explanation</w:t>
      </w:r>
    </w:p>
    <w:p w14:paraId="33870D2D" w14:textId="77777777" w:rsidR="00E347F0" w:rsidRPr="00E45BFD" w:rsidRDefault="00E347F0" w:rsidP="00E45BFD">
      <w:pPr>
        <w:ind w:firstLine="432"/>
        <w:jc w:val="center"/>
        <w:rPr>
          <w:sz w:val="32"/>
          <w:szCs w:val="32"/>
        </w:rPr>
      </w:pPr>
    </w:p>
    <w:p w14:paraId="1501D7FE" w14:textId="080CCB92" w:rsidR="00E45BFD" w:rsidRPr="00E45BFD" w:rsidRDefault="00E45BFD" w:rsidP="00E45BFD">
      <w:pPr>
        <w:ind w:firstLine="432"/>
        <w:jc w:val="center"/>
        <w:rPr>
          <w:b/>
          <w:bCs/>
        </w:rPr>
      </w:pPr>
      <w:r w:rsidRPr="00E45BFD">
        <w:rPr>
          <w:b/>
          <w:bCs/>
        </w:rPr>
        <w:t>David Mark Kovacs</w:t>
      </w:r>
    </w:p>
    <w:p w14:paraId="6DEA52C3" w14:textId="3FDF8DC9" w:rsidR="00E45BFD" w:rsidRPr="00E45BFD" w:rsidRDefault="00E45BFD" w:rsidP="00E45BFD">
      <w:pPr>
        <w:ind w:firstLine="432"/>
        <w:jc w:val="center"/>
        <w:rPr>
          <w:i/>
          <w:iCs/>
        </w:rPr>
      </w:pPr>
      <w:r w:rsidRPr="00E45BFD">
        <w:rPr>
          <w:i/>
          <w:iCs/>
        </w:rPr>
        <w:t>Tel Aviv University</w:t>
      </w:r>
    </w:p>
    <w:p w14:paraId="0141EA83" w14:textId="56DB3C64" w:rsidR="001C4642" w:rsidRDefault="001C4642" w:rsidP="00E45BFD">
      <w:pPr>
        <w:ind w:firstLine="432"/>
        <w:jc w:val="both"/>
      </w:pPr>
    </w:p>
    <w:p w14:paraId="33A89B93" w14:textId="77777777" w:rsidR="00E347F0" w:rsidRDefault="00E347F0" w:rsidP="00E45BFD">
      <w:pPr>
        <w:ind w:firstLine="432"/>
        <w:jc w:val="both"/>
      </w:pPr>
    </w:p>
    <w:p w14:paraId="17D736B0" w14:textId="77777777" w:rsidR="00AC3E32" w:rsidRDefault="00AC18FC" w:rsidP="00E45BFD">
      <w:pPr>
        <w:ind w:firstLine="432"/>
        <w:jc w:val="both"/>
        <w:rPr>
          <w:b/>
        </w:rPr>
      </w:pPr>
      <w:r w:rsidRPr="00AC18FC">
        <w:rPr>
          <w:b/>
        </w:rPr>
        <w:t>Introduction</w:t>
      </w:r>
    </w:p>
    <w:p w14:paraId="473B4FA2" w14:textId="67698F75" w:rsidR="00435012" w:rsidRPr="00FA0D70" w:rsidRDefault="004A66FA">
      <w:pPr>
        <w:jc w:val="both"/>
      </w:pPr>
      <w:r>
        <w:t xml:space="preserve">How is essence related to laws and </w:t>
      </w:r>
      <w:r w:rsidR="001C4642">
        <w:t xml:space="preserve">explanation? </w:t>
      </w:r>
      <w:r>
        <w:t xml:space="preserve">A number of things could be meant by this question. One issue concerns the role of essences </w:t>
      </w:r>
      <w:r w:rsidR="00F30023" w:rsidRPr="00E93800">
        <w:rPr>
          <w:i/>
        </w:rPr>
        <w:t xml:space="preserve">qua </w:t>
      </w:r>
      <w:proofErr w:type="spellStart"/>
      <w:r>
        <w:t>explanantia</w:t>
      </w:r>
      <w:proofErr w:type="spellEnd"/>
      <w:r>
        <w:t xml:space="preserve">, i.e. </w:t>
      </w:r>
      <w:r w:rsidR="00387ABF">
        <w:t>the ability of facts about essence to explain certain other facts</w:t>
      </w:r>
      <w:r>
        <w:t xml:space="preserve">. </w:t>
      </w:r>
      <w:r w:rsidR="00D43732">
        <w:t>This potential role of esse</w:t>
      </w:r>
      <w:r w:rsidR="00422105">
        <w:t>n</w:t>
      </w:r>
      <w:r w:rsidR="00D43732">
        <w:t xml:space="preserve">ce </w:t>
      </w:r>
      <w:r w:rsidR="00BD7252">
        <w:t xml:space="preserve">is </w:t>
      </w:r>
      <w:r w:rsidR="00741FC6">
        <w:t xml:space="preserve">discussed </w:t>
      </w:r>
      <w:r>
        <w:t xml:space="preserve">in </w:t>
      </w:r>
      <w:r w:rsidR="00CE5047">
        <w:t xml:space="preserve">many </w:t>
      </w:r>
      <w:r>
        <w:t>other chapters of this collection</w:t>
      </w:r>
      <w:r w:rsidR="00CE5047">
        <w:t xml:space="preserve"> (see, for example, the contributions of Scarpati on persistence and individuations, Nye on persons, </w:t>
      </w:r>
      <w:proofErr w:type="spellStart"/>
      <w:r w:rsidR="00CE5047">
        <w:t>Brigandt</w:t>
      </w:r>
      <w:proofErr w:type="spellEnd"/>
      <w:r w:rsidR="00CE5047">
        <w:t xml:space="preserve"> on </w:t>
      </w:r>
      <w:r w:rsidR="00676C04">
        <w:t xml:space="preserve">biological </w:t>
      </w:r>
      <w:r w:rsidR="00CE5047">
        <w:t xml:space="preserve">species, and </w:t>
      </w:r>
      <w:r w:rsidR="000B2068">
        <w:t xml:space="preserve">Vaidya and Wallner, </w:t>
      </w:r>
      <w:r w:rsidR="00CE5047">
        <w:t xml:space="preserve">Griffith, </w:t>
      </w:r>
      <w:proofErr w:type="spellStart"/>
      <w:r w:rsidR="00CE5047">
        <w:t>Passinsky</w:t>
      </w:r>
      <w:proofErr w:type="spellEnd"/>
      <w:r w:rsidR="00CE5047">
        <w:t>, Rosario</w:t>
      </w:r>
      <w:r w:rsidR="00F324C2">
        <w:t>,</w:t>
      </w:r>
      <w:r w:rsidR="00CE5047">
        <w:t xml:space="preserve"> and Mallon on various aspects of social ontology)</w:t>
      </w:r>
      <w:r>
        <w:t xml:space="preserve">. A different question is whether essences </w:t>
      </w:r>
      <w:r w:rsidRPr="00FA0D70">
        <w:rPr>
          <w:i/>
          <w:iCs/>
        </w:rPr>
        <w:t>underlie</w:t>
      </w:r>
      <w:r>
        <w:t xml:space="preserve"> any </w:t>
      </w:r>
      <w:r w:rsidR="003208F3">
        <w:t>distinctive type</w:t>
      </w:r>
      <w:r w:rsidR="00FA0D70">
        <w:t xml:space="preserve"> of explanation. That is, do essences play any role in explanations not </w:t>
      </w:r>
      <w:r w:rsidR="00FA0D70" w:rsidRPr="008E3940">
        <w:rPr>
          <w:i/>
          <w:iCs/>
        </w:rPr>
        <w:t>qua</w:t>
      </w:r>
      <w:r w:rsidR="00FA0D70">
        <w:t xml:space="preserve"> </w:t>
      </w:r>
      <w:proofErr w:type="spellStart"/>
      <w:r w:rsidR="00FA0D70">
        <w:t>explanantia</w:t>
      </w:r>
      <w:proofErr w:type="spellEnd"/>
      <w:r w:rsidR="00FA0D70">
        <w:t xml:space="preserve"> (that which explains) but as the link that connects some </w:t>
      </w:r>
      <w:proofErr w:type="spellStart"/>
      <w:r w:rsidR="00FA0D70">
        <w:t>explanantia</w:t>
      </w:r>
      <w:proofErr w:type="spellEnd"/>
      <w:r w:rsidR="00FA0D70">
        <w:t xml:space="preserve"> to an explanandum (see Schaffer 2017 and Kappes 2021 for this distinction</w:t>
      </w:r>
      <w:r w:rsidR="006A2067">
        <w:t xml:space="preserve">)? </w:t>
      </w:r>
      <w:r w:rsidR="00723A3B">
        <w:t>But h</w:t>
      </w:r>
      <w:r w:rsidR="00676C04">
        <w:t xml:space="preserve">ere, too, we can ask at least two different questions. One concerns the role of essences in </w:t>
      </w:r>
      <w:r w:rsidR="00676C04" w:rsidRPr="00B9783D">
        <w:rPr>
          <w:i/>
          <w:iCs/>
        </w:rPr>
        <w:t>scientific</w:t>
      </w:r>
      <w:r w:rsidR="00676C04">
        <w:t xml:space="preserve"> explanation. Various aspects of this issue occupy other chapters </w:t>
      </w:r>
      <w:r w:rsidR="00B9783D">
        <w:t>of</w:t>
      </w:r>
      <w:r w:rsidR="00676C04">
        <w:t xml:space="preserve"> this volume (see the contributions of </w:t>
      </w:r>
      <w:proofErr w:type="spellStart"/>
      <w:r w:rsidR="00676C04">
        <w:t>Tahko</w:t>
      </w:r>
      <w:proofErr w:type="spellEnd"/>
      <w:r w:rsidR="00676C04">
        <w:t xml:space="preserve"> on natural kinds essentialism, </w:t>
      </w:r>
      <w:proofErr w:type="spellStart"/>
      <w:r w:rsidR="00676C04">
        <w:t>Dumsday</w:t>
      </w:r>
      <w:proofErr w:type="spellEnd"/>
      <w:r w:rsidR="00676C04">
        <w:t xml:space="preserve"> on scientific essentialism, and Lam on dispositional essentialism</w:t>
      </w:r>
      <w:r w:rsidR="00B9783D">
        <w:t>;</w:t>
      </w:r>
      <w:r w:rsidR="00676C04">
        <w:t xml:space="preserve"> and in the special sciences, </w:t>
      </w:r>
      <w:proofErr w:type="spellStart"/>
      <w:r w:rsidR="00676C04">
        <w:t>Brigandt</w:t>
      </w:r>
      <w:proofErr w:type="spellEnd"/>
      <w:r w:rsidR="00676C04">
        <w:t xml:space="preserve"> on biological species and Brown on psychology and psychiatry). </w:t>
      </w:r>
      <w:r w:rsidR="00FA0D70">
        <w:t>T</w:t>
      </w:r>
      <w:r>
        <w:t>he present chapter</w:t>
      </w:r>
      <w:r w:rsidR="00FA0D70">
        <w:t>’s main focus will be</w:t>
      </w:r>
      <w:r w:rsidR="00C21A73">
        <w:t xml:space="preserve"> the role of essence in</w:t>
      </w:r>
      <w:r w:rsidR="00FA0D70">
        <w:t xml:space="preserve"> </w:t>
      </w:r>
      <w:r w:rsidR="00F77DBC" w:rsidRPr="00C21A73">
        <w:rPr>
          <w:i/>
          <w:iCs/>
        </w:rPr>
        <w:t>metaphysical</w:t>
      </w:r>
      <w:r w:rsidR="00C21A73">
        <w:t xml:space="preserve"> explanation</w:t>
      </w:r>
      <w:r w:rsidR="00FB16A2">
        <w:t xml:space="preserve">: the kind of explanation that philosophers often </w:t>
      </w:r>
      <w:r w:rsidR="00074A1B">
        <w:t>appeal</w:t>
      </w:r>
      <w:r w:rsidR="00FB16A2">
        <w:t xml:space="preserve"> to when making non-causal “in virtue of” and “because”-claims.</w:t>
      </w:r>
    </w:p>
    <w:p w14:paraId="2EA8A73B" w14:textId="57B16E25" w:rsidR="00CF5247" w:rsidRDefault="00435012">
      <w:pPr>
        <w:ind w:firstLine="432"/>
        <w:jc w:val="both"/>
      </w:pPr>
      <w:r>
        <w:t xml:space="preserve">Before proceeding, </w:t>
      </w:r>
      <w:r w:rsidR="0053239C">
        <w:t xml:space="preserve">let me state a few assumptions that </w:t>
      </w:r>
      <w:r w:rsidR="00A22110">
        <w:t xml:space="preserve">I will take for granted throughout the chapter, unless noted otherwise. First, I will </w:t>
      </w:r>
      <w:r w:rsidR="00074A1B">
        <w:t xml:space="preserve">generally assume </w:t>
      </w:r>
      <w:r w:rsidR="00A22110">
        <w:t>a non-modal (“Fine</w:t>
      </w:r>
      <w:r w:rsidR="00E370C2">
        <w:t>”</w:t>
      </w:r>
      <w:r w:rsidR="00A22110">
        <w:t>-grained) notion of essence, for the simple reason that this is what most contributors in the relevant literature presuppose (one exception, as we will see</w:t>
      </w:r>
      <w:r w:rsidR="004C25D8">
        <w:t xml:space="preserve"> in section 1.2</w:t>
      </w:r>
      <w:r w:rsidR="00A22110">
        <w:t xml:space="preserve">, is </w:t>
      </w:r>
      <w:r w:rsidR="00FD5577">
        <w:t xml:space="preserve">Meghan </w:t>
      </w:r>
      <w:r w:rsidR="00A22110">
        <w:t xml:space="preserve">Sullivan’s context-sensitive explanatory analysis of essence). </w:t>
      </w:r>
      <w:r w:rsidR="00523D33">
        <w:t>However, I won’t make further choices at this stage of the inquiry</w:t>
      </w:r>
      <w:r w:rsidR="00076549">
        <w:t>, for example</w:t>
      </w:r>
      <w:r w:rsidR="00523D33">
        <w:t xml:space="preserve"> between</w:t>
      </w:r>
      <w:r w:rsidR="00076549">
        <w:t xml:space="preserve"> </w:t>
      </w:r>
      <w:r w:rsidR="00523D33">
        <w:t xml:space="preserve">constitutive and consequential </w:t>
      </w:r>
      <w:r w:rsidR="00076549">
        <w:t>essence (Fine</w:t>
      </w:r>
      <w:r w:rsidR="00A75F3B">
        <w:t xml:space="preserve"> 1994</w:t>
      </w:r>
      <w:r w:rsidR="00076549">
        <w:t xml:space="preserve">) </w:t>
      </w:r>
      <w:r w:rsidR="00523D33">
        <w:t>or objectual and generic essence</w:t>
      </w:r>
      <w:r w:rsidR="00076549">
        <w:t xml:space="preserve"> (</w:t>
      </w:r>
      <w:r w:rsidR="004F100B">
        <w:t>Correia 2006</w:t>
      </w:r>
      <w:r w:rsidR="00076549">
        <w:t>)</w:t>
      </w:r>
      <w:r w:rsidR="00523D33">
        <w:t xml:space="preserve">. I will take note of these differences </w:t>
      </w:r>
      <w:r w:rsidR="00320756">
        <w:t>where</w:t>
      </w:r>
      <w:r w:rsidR="00523D33">
        <w:t xml:space="preserve"> appropriate</w:t>
      </w:r>
      <w:r w:rsidR="00EC72A0">
        <w:t>.</w:t>
      </w:r>
    </w:p>
    <w:p w14:paraId="703B044F" w14:textId="3C92118F" w:rsidR="009273BF" w:rsidRDefault="00CF5247" w:rsidP="00E45BFD">
      <w:pPr>
        <w:ind w:firstLine="432"/>
        <w:jc w:val="both"/>
      </w:pPr>
      <w:r>
        <w:t xml:space="preserve">Second, and again </w:t>
      </w:r>
      <w:r w:rsidR="000F5EC7">
        <w:t xml:space="preserve">in line with </w:t>
      </w:r>
      <w:r>
        <w:t xml:space="preserve">most of </w:t>
      </w:r>
      <w:r w:rsidR="002A1FA1">
        <w:t>th</w:t>
      </w:r>
      <w:r w:rsidR="000F5EC7">
        <w:t xml:space="preserve">e </w:t>
      </w:r>
      <w:r>
        <w:t xml:space="preserve">literature, I won’t worry much about the relation between metaphysical explanation and grounding. I will </w:t>
      </w:r>
      <w:r w:rsidR="00BF5C8D">
        <w:t>usually</w:t>
      </w:r>
      <w:r w:rsidR="00FC1DA7">
        <w:t xml:space="preserve"> talk as a unionist: i.e., </w:t>
      </w:r>
      <w:r>
        <w:t xml:space="preserve">for brevity of expression </w:t>
      </w:r>
      <w:r w:rsidR="009C7776">
        <w:t xml:space="preserve">I will </w:t>
      </w:r>
      <w:r>
        <w:t>often use the word ‘grounding’ interchangeably with ‘metaphysical explanation’. In the few places where the difference is relevant (e.g. Glazier’s distinction between grounding-based and essence-based metaphysical explanation</w:t>
      </w:r>
      <w:r w:rsidR="00470986">
        <w:t xml:space="preserve"> in section 3</w:t>
      </w:r>
      <w:r>
        <w:t>), I will explicitly flag the distinction.</w:t>
      </w:r>
    </w:p>
    <w:p w14:paraId="4EE27C47" w14:textId="013709C4" w:rsidR="00EA173E" w:rsidRDefault="009273BF" w:rsidP="00E45BFD">
      <w:pPr>
        <w:ind w:firstLine="432"/>
        <w:jc w:val="both"/>
      </w:pPr>
      <w:r>
        <w:t xml:space="preserve">With these qualifications </w:t>
      </w:r>
      <w:r w:rsidR="00590A6A">
        <w:t xml:space="preserve">in mind, we can </w:t>
      </w:r>
      <w:r w:rsidR="00BB0567">
        <w:t xml:space="preserve">distinguish </w:t>
      </w:r>
      <w:r w:rsidR="00EA173E">
        <w:t>four</w:t>
      </w:r>
      <w:r w:rsidR="00BB0567">
        <w:t xml:space="preserve"> </w:t>
      </w:r>
      <w:r w:rsidR="005F31D0">
        <w:t>possible</w:t>
      </w:r>
      <w:r w:rsidR="00BB0567">
        <w:t xml:space="preserve"> appro</w:t>
      </w:r>
      <w:r w:rsidR="00EA173E">
        <w:t>aches to essence and grounding:</w:t>
      </w:r>
    </w:p>
    <w:p w14:paraId="1A91E6E5" w14:textId="77777777" w:rsidR="00EA173E" w:rsidRDefault="00EA173E" w:rsidP="00E45BFD">
      <w:pPr>
        <w:ind w:firstLine="432"/>
        <w:jc w:val="both"/>
      </w:pPr>
    </w:p>
    <w:p w14:paraId="067E7FFA" w14:textId="40054E6A" w:rsidR="00EA173E" w:rsidRDefault="00BB0567" w:rsidP="00E45BFD">
      <w:pPr>
        <w:tabs>
          <w:tab w:val="left" w:pos="90"/>
        </w:tabs>
        <w:ind w:left="864" w:firstLine="36"/>
        <w:jc w:val="both"/>
      </w:pPr>
      <w:r>
        <w:t>(1)</w:t>
      </w:r>
      <w:r w:rsidR="00F500C1">
        <w:t xml:space="preserve"> </w:t>
      </w:r>
      <w:r w:rsidR="00F500C1" w:rsidRPr="00F500C1">
        <w:rPr>
          <w:i/>
        </w:rPr>
        <w:t>Unity</w:t>
      </w:r>
      <w:r w:rsidR="00EA173E">
        <w:t>.</w:t>
      </w:r>
      <w:r>
        <w:t xml:space="preserve"> </w:t>
      </w:r>
      <w:r w:rsidR="00EA173E">
        <w:t>E</w:t>
      </w:r>
      <w:r>
        <w:t>ssence and grounding belong to a unified set of explanatory concepts</w:t>
      </w:r>
      <w:r w:rsidR="00923104">
        <w:t>.</w:t>
      </w:r>
    </w:p>
    <w:p w14:paraId="75A3AD3D" w14:textId="751CE64A" w:rsidR="00470986" w:rsidRDefault="00470986" w:rsidP="00E45BFD">
      <w:pPr>
        <w:tabs>
          <w:tab w:val="left" w:pos="90"/>
        </w:tabs>
        <w:ind w:left="864" w:firstLine="36"/>
        <w:jc w:val="both"/>
      </w:pPr>
      <w:r>
        <w:t xml:space="preserve">(2) </w:t>
      </w:r>
      <w:r w:rsidRPr="00EA173E">
        <w:rPr>
          <w:i/>
        </w:rPr>
        <w:t>Supplementation</w:t>
      </w:r>
      <w:r w:rsidR="00EA173E">
        <w:t xml:space="preserve">. </w:t>
      </w:r>
      <w:r w:rsidR="00147601">
        <w:t>E</w:t>
      </w:r>
      <w:r>
        <w:t xml:space="preserve">ssence and grounding </w:t>
      </w:r>
      <w:r w:rsidR="00147601">
        <w:t xml:space="preserve">don’t mark </w:t>
      </w:r>
      <w:r w:rsidR="007069A6">
        <w:t xml:space="preserve">two separate </w:t>
      </w:r>
      <w:r w:rsidR="00147601">
        <w:t xml:space="preserve">distinctive types of explanation. Rather, they both contribute </w:t>
      </w:r>
      <w:r w:rsidR="007069A6">
        <w:t xml:space="preserve">(in their own way) </w:t>
      </w:r>
      <w:r w:rsidR="00147601">
        <w:t>to the same one d</w:t>
      </w:r>
      <w:r w:rsidR="00635B91">
        <w:t>istinctive type of explanation.</w:t>
      </w:r>
    </w:p>
    <w:p w14:paraId="2832AA77" w14:textId="1A9FC195" w:rsidR="00476FEE" w:rsidRDefault="00BB0567" w:rsidP="00E45BFD">
      <w:pPr>
        <w:tabs>
          <w:tab w:val="left" w:pos="90"/>
        </w:tabs>
        <w:ind w:left="864" w:firstLine="36"/>
        <w:jc w:val="both"/>
      </w:pPr>
      <w:r>
        <w:t>(</w:t>
      </w:r>
      <w:r w:rsidR="00470986">
        <w:t>3</w:t>
      </w:r>
      <w:r>
        <w:t xml:space="preserve">) </w:t>
      </w:r>
      <w:r w:rsidR="005F2647">
        <w:rPr>
          <w:i/>
        </w:rPr>
        <w:t>Independence</w:t>
      </w:r>
      <w:r w:rsidR="00EA173E">
        <w:t>.</w:t>
      </w:r>
      <w:r w:rsidR="00F500C1">
        <w:t xml:space="preserve"> </w:t>
      </w:r>
      <w:r w:rsidR="00EA173E">
        <w:t>E</w:t>
      </w:r>
      <w:r w:rsidR="009D1D8D">
        <w:t xml:space="preserve">ssence is explanatory, but it’s a </w:t>
      </w:r>
      <w:r w:rsidR="009D1D8D" w:rsidRPr="00F500C1">
        <w:rPr>
          <w:i/>
        </w:rPr>
        <w:t>sui generis</w:t>
      </w:r>
      <w:r w:rsidR="009D1D8D">
        <w:t xml:space="preserve"> notion with no straightforward conceptual links to grounding</w:t>
      </w:r>
      <w:r w:rsidR="00923104">
        <w:t>.</w:t>
      </w:r>
    </w:p>
    <w:p w14:paraId="7F1BF976" w14:textId="0E4D1352" w:rsidR="00636457" w:rsidRPr="00923104" w:rsidRDefault="009D1D8D" w:rsidP="00E45BFD">
      <w:pPr>
        <w:tabs>
          <w:tab w:val="left" w:pos="90"/>
        </w:tabs>
        <w:ind w:left="864" w:firstLine="36"/>
        <w:jc w:val="both"/>
      </w:pPr>
      <w:r>
        <w:lastRenderedPageBreak/>
        <w:t>(</w:t>
      </w:r>
      <w:r w:rsidR="00470986">
        <w:t>4</w:t>
      </w:r>
      <w:r>
        <w:t xml:space="preserve">) </w:t>
      </w:r>
      <w:r w:rsidR="00F500C1" w:rsidRPr="00F500C1">
        <w:rPr>
          <w:i/>
        </w:rPr>
        <w:t>Irrelevance</w:t>
      </w:r>
      <w:r w:rsidR="00476FEE">
        <w:t>.</w:t>
      </w:r>
      <w:r w:rsidR="00F500C1">
        <w:t xml:space="preserve"> </w:t>
      </w:r>
      <w:r w:rsidR="00476FEE">
        <w:t>E</w:t>
      </w:r>
      <w:r>
        <w:t>ssence isn’t explanatory at all and lumping it together with e</w:t>
      </w:r>
      <w:r w:rsidR="00923104">
        <w:t xml:space="preserve">xplanatory notions is </w:t>
      </w:r>
      <w:r w:rsidR="001517F8">
        <w:t>a mistake</w:t>
      </w:r>
      <w:r w:rsidR="00923104">
        <w:t>.</w:t>
      </w:r>
    </w:p>
    <w:p w14:paraId="32C38DAB" w14:textId="77777777" w:rsidR="00BB0567" w:rsidRDefault="00BB0567" w:rsidP="00E45BFD">
      <w:pPr>
        <w:ind w:firstLine="432"/>
        <w:jc w:val="both"/>
      </w:pPr>
    </w:p>
    <w:p w14:paraId="6C41E9C0" w14:textId="1FD1AB22" w:rsidR="00AC3E32" w:rsidRDefault="00F500C1" w:rsidP="00BA46C5">
      <w:pPr>
        <w:jc w:val="both"/>
      </w:pPr>
      <w:r w:rsidRPr="00F500C1">
        <w:rPr>
          <w:i/>
        </w:rPr>
        <w:t xml:space="preserve">Irrelevance </w:t>
      </w:r>
      <w:r w:rsidR="009D1D8D">
        <w:t xml:space="preserve">has </w:t>
      </w:r>
      <w:r w:rsidR="009B0FC0">
        <w:t>few adherents</w:t>
      </w:r>
      <w:r w:rsidR="009D1D8D">
        <w:t xml:space="preserve"> in the contemporary literature on essence</w:t>
      </w:r>
      <w:r w:rsidR="009B0FC0">
        <w:t>. One recent exception is the trio of Duncan, Miller and Norton (2021: 398–9)</w:t>
      </w:r>
      <w:r w:rsidR="009D1D8D">
        <w:t xml:space="preserve">, </w:t>
      </w:r>
      <w:r w:rsidR="009B0FC0">
        <w:t xml:space="preserve">who suggest that our intuitions </w:t>
      </w:r>
      <w:r w:rsidR="00645ED5">
        <w:t xml:space="preserve">about </w:t>
      </w:r>
      <w:r w:rsidR="009B0FC0">
        <w:t xml:space="preserve">asymmetric dependence and determination are explained away by asymmetries about essence – which, however, doesn’t itself imply any kind of determination or dependence (nor, presumably, explanation). </w:t>
      </w:r>
      <w:r w:rsidR="00645ED5">
        <w:t>If we take for granted</w:t>
      </w:r>
      <w:r w:rsidR="009B0FC0">
        <w:t xml:space="preserve"> the standard assumption </w:t>
      </w:r>
      <w:r w:rsidR="009D1D8D">
        <w:t xml:space="preserve">that modal notions aren’t by themselves explanatory, </w:t>
      </w:r>
      <w:r w:rsidR="009B0FC0">
        <w:t xml:space="preserve">it’s plausible </w:t>
      </w:r>
      <w:r w:rsidR="002B1028">
        <w:t xml:space="preserve">to think </w:t>
      </w:r>
      <w:r w:rsidR="009B0FC0">
        <w:t xml:space="preserve">that </w:t>
      </w:r>
      <w:r w:rsidR="009D1D8D">
        <w:t xml:space="preserve">many advocates of the modal conception of essence </w:t>
      </w:r>
      <w:r w:rsidR="00F5061B">
        <w:t xml:space="preserve">(on which see </w:t>
      </w:r>
      <w:proofErr w:type="spellStart"/>
      <w:r w:rsidR="00BA46C5">
        <w:t>Torza</w:t>
      </w:r>
      <w:r w:rsidR="00F5061B">
        <w:t>’s</w:t>
      </w:r>
      <w:proofErr w:type="spellEnd"/>
      <w:r w:rsidR="00F5061B">
        <w:t xml:space="preserve"> entry to his volume) </w:t>
      </w:r>
      <w:r w:rsidR="009B0FC0">
        <w:t xml:space="preserve">also </w:t>
      </w:r>
      <w:r w:rsidR="009D1D8D">
        <w:t xml:space="preserve">tacitly </w:t>
      </w:r>
      <w:r w:rsidR="009B0FC0">
        <w:t xml:space="preserve">subscribe to </w:t>
      </w:r>
      <w:r w:rsidR="009B0FC0" w:rsidRPr="009B0FC0">
        <w:rPr>
          <w:i/>
          <w:iCs/>
        </w:rPr>
        <w:t>Irrelevance</w:t>
      </w:r>
      <w:r w:rsidR="009D1D8D">
        <w:t xml:space="preserve">. </w:t>
      </w:r>
      <w:r w:rsidR="00043FF2">
        <w:t>Moreover, in the present taxonomy we can count anti-essentialists who deny that there are non-trivial essences as adherent</w:t>
      </w:r>
      <w:r w:rsidR="00934273">
        <w:t>s</w:t>
      </w:r>
      <w:r w:rsidR="00043FF2">
        <w:t xml:space="preserve"> of Irrelevance, too. </w:t>
      </w:r>
      <w:r w:rsidR="00F865EE">
        <w:t xml:space="preserve">For the rest of this entry, however, I will focus on </w:t>
      </w:r>
      <w:r w:rsidR="006751F9">
        <w:t xml:space="preserve">Unity, Supplementation, </w:t>
      </w:r>
      <w:r w:rsidR="005F2647">
        <w:t>and Independence</w:t>
      </w:r>
      <w:r w:rsidR="00F865EE">
        <w:t xml:space="preserve">, which have been far more prevalent in the literature over the past </w:t>
      </w:r>
      <w:r w:rsidR="00371CBB">
        <w:t>couple of</w:t>
      </w:r>
      <w:r w:rsidR="00F865EE">
        <w:t xml:space="preserve"> decades.</w:t>
      </w:r>
    </w:p>
    <w:p w14:paraId="37B16003" w14:textId="77777777" w:rsidR="00AC3E32" w:rsidRDefault="00AC3E32" w:rsidP="00E45BFD">
      <w:pPr>
        <w:ind w:firstLine="432"/>
        <w:jc w:val="both"/>
      </w:pPr>
    </w:p>
    <w:p w14:paraId="6ECC57CC" w14:textId="2ABD3745" w:rsidR="0060607C" w:rsidRPr="00AC3E32" w:rsidRDefault="0056078A" w:rsidP="00E45BFD">
      <w:pPr>
        <w:ind w:firstLine="432"/>
        <w:jc w:val="both"/>
        <w:rPr>
          <w:b/>
        </w:rPr>
      </w:pPr>
      <w:r>
        <w:rPr>
          <w:b/>
        </w:rPr>
        <w:t>1</w:t>
      </w:r>
      <w:r w:rsidR="002D244C" w:rsidRPr="0060607C">
        <w:rPr>
          <w:b/>
        </w:rPr>
        <w:t xml:space="preserve">. </w:t>
      </w:r>
      <w:r w:rsidR="005F2647">
        <w:rPr>
          <w:b/>
        </w:rPr>
        <w:t>Unity: e</w:t>
      </w:r>
      <w:r w:rsidR="0060607C" w:rsidRPr="0060607C">
        <w:rPr>
          <w:b/>
        </w:rPr>
        <w:t xml:space="preserve">ssence and grounding as </w:t>
      </w:r>
      <w:r w:rsidR="005F2647">
        <w:rPr>
          <w:b/>
        </w:rPr>
        <w:t>clo</w:t>
      </w:r>
      <w:r w:rsidR="001F02E7">
        <w:rPr>
          <w:b/>
        </w:rPr>
        <w:t>s</w:t>
      </w:r>
      <w:r w:rsidR="005F2647">
        <w:rPr>
          <w:b/>
        </w:rPr>
        <w:t xml:space="preserve">ely </w:t>
      </w:r>
      <w:r w:rsidR="0060607C" w:rsidRPr="0060607C">
        <w:rPr>
          <w:b/>
        </w:rPr>
        <w:t>unified</w:t>
      </w:r>
    </w:p>
    <w:p w14:paraId="2B04029B" w14:textId="4B470298" w:rsidR="00110605" w:rsidRDefault="00110605">
      <w:pPr>
        <w:jc w:val="both"/>
      </w:pPr>
      <w:r>
        <w:t xml:space="preserve">Unity can be understood broadly as the view that there is a systematic link between essence and grounding, which </w:t>
      </w:r>
      <w:r w:rsidR="00934273">
        <w:t>is strong enough to count</w:t>
      </w:r>
      <w:r>
        <w:t xml:space="preserve"> them </w:t>
      </w:r>
      <w:r w:rsidR="00934273">
        <w:t xml:space="preserve">as </w:t>
      </w:r>
      <w:r>
        <w:t>belong</w:t>
      </w:r>
      <w:r w:rsidR="00934273">
        <w:t>ing</w:t>
      </w:r>
      <w:r>
        <w:t xml:space="preserve"> to the same family of concepts. The link may be reducibility (of one of these notions to the other), or it may be something weaker, such as deep structural similarities between essence and grounding.</w:t>
      </w:r>
    </w:p>
    <w:p w14:paraId="30AC7CC8" w14:textId="4CDB57D5" w:rsidR="0060607C" w:rsidRDefault="00F500C1" w:rsidP="008E3940">
      <w:pPr>
        <w:ind w:firstLine="426"/>
        <w:jc w:val="both"/>
      </w:pPr>
      <w:r>
        <w:t xml:space="preserve">It’s </w:t>
      </w:r>
      <w:r w:rsidR="001F02E7">
        <w:t xml:space="preserve">safe to say that in </w:t>
      </w:r>
      <w:r w:rsidR="00CC12CF">
        <w:t xml:space="preserve">the </w:t>
      </w:r>
      <w:r w:rsidR="001F02E7">
        <w:t xml:space="preserve">contemporary </w:t>
      </w:r>
      <w:r w:rsidR="00CC12CF">
        <w:t xml:space="preserve">literature </w:t>
      </w:r>
      <w:r w:rsidR="009957D9">
        <w:t>on grounding and essence</w:t>
      </w:r>
      <w:r w:rsidR="001F02E7">
        <w:t xml:space="preserve">, Unity has been the </w:t>
      </w:r>
      <w:r w:rsidR="006F7CAC">
        <w:t xml:space="preserve">most commonly adopted </w:t>
      </w:r>
      <w:r w:rsidR="001F02E7">
        <w:t xml:space="preserve">position. </w:t>
      </w:r>
      <w:r w:rsidR="008C3F23">
        <w:t>S</w:t>
      </w:r>
      <w:r w:rsidR="00AD6973">
        <w:t xml:space="preserve">everal authors </w:t>
      </w:r>
      <w:r w:rsidR="009957D9">
        <w:t xml:space="preserve">have endorsed </w:t>
      </w:r>
      <w:r w:rsidR="00AD6973">
        <w:t xml:space="preserve">weaker versions of it </w:t>
      </w:r>
      <w:r w:rsidR="009957D9">
        <w:t xml:space="preserve">since the early days of the grounding literature. These authors don’t propose definitions of either essence or grounding in terms of the other (or of both notions via the same vocabulary), but they nonetheless posit systematic and informative links between them. </w:t>
      </w:r>
      <w:r w:rsidR="00707463">
        <w:t>One</w:t>
      </w:r>
      <w:r w:rsidR="00C75728">
        <w:t xml:space="preserve"> thesis</w:t>
      </w:r>
      <w:r w:rsidR="00707463">
        <w:t xml:space="preserve"> that has been particularly influential is Gideon Rosen’s “grounding-reduction link”, which goes as follows</w:t>
      </w:r>
      <w:r w:rsidR="00285673">
        <w:t xml:space="preserve"> (here and </w:t>
      </w:r>
      <w:r w:rsidR="00BE5591">
        <w:t>in</w:t>
      </w:r>
      <w:r w:rsidR="00285673">
        <w:t xml:space="preserve"> what follows, I use the ‘[‘, ‘]‘ notation as a device to form names of facts</w:t>
      </w:r>
      <w:r w:rsidR="000C2B2D">
        <w:t>, so that</w:t>
      </w:r>
      <w:r w:rsidR="00285673">
        <w:t xml:space="preserve"> ‘[p]’ means ‘the fact that p’)</w:t>
      </w:r>
      <w:r w:rsidR="00707463">
        <w:t>:</w:t>
      </w:r>
    </w:p>
    <w:p w14:paraId="79AE5D47" w14:textId="157FF137" w:rsidR="00C61537" w:rsidRDefault="00C61537" w:rsidP="00E45BFD">
      <w:pPr>
        <w:ind w:firstLine="432"/>
        <w:jc w:val="both"/>
      </w:pPr>
    </w:p>
    <w:p w14:paraId="1E516FF4" w14:textId="0ED02B70" w:rsidR="00C61537" w:rsidRDefault="00707463" w:rsidP="00E45BFD">
      <w:pPr>
        <w:ind w:left="720" w:firstLine="432"/>
        <w:jc w:val="both"/>
      </w:pPr>
      <w:r w:rsidRPr="00707463">
        <w:rPr>
          <w:i/>
        </w:rPr>
        <w:t>Grounding-Reduction Link</w:t>
      </w:r>
      <w:r>
        <w:t xml:space="preserve">: </w:t>
      </w:r>
      <w:r w:rsidR="00451955" w:rsidRPr="00451955">
        <w:rPr>
          <w:rFonts w:hint="eastAsia"/>
        </w:rPr>
        <w:t xml:space="preserve">If p reduces to q and p is true, then </w:t>
      </w:r>
      <w:r w:rsidR="00285673">
        <w:t xml:space="preserve">[q] grounds </w:t>
      </w:r>
      <w:r w:rsidR="00451955" w:rsidRPr="00451955">
        <w:rPr>
          <w:rFonts w:hint="eastAsia"/>
        </w:rPr>
        <w:t xml:space="preserve">[p] </w:t>
      </w:r>
      <w:r w:rsidR="00451955">
        <w:rPr>
          <w:rFonts w:hint="eastAsia"/>
        </w:rPr>
        <w:t>(122)</w:t>
      </w:r>
    </w:p>
    <w:p w14:paraId="059444AC" w14:textId="77777777" w:rsidR="00451955" w:rsidRDefault="00451955" w:rsidP="00E45BFD">
      <w:pPr>
        <w:ind w:firstLine="432"/>
        <w:jc w:val="both"/>
      </w:pPr>
    </w:p>
    <w:p w14:paraId="6C835611" w14:textId="35B242D2" w:rsidR="00DC5F54" w:rsidRDefault="00484284" w:rsidP="00E45BFD">
      <w:pPr>
        <w:jc w:val="both"/>
      </w:pPr>
      <w:r>
        <w:t xml:space="preserve">Rosen understands reduction in a distinctively metaphysical sense: the phrase ‘p reduces to q’ means that for it to be the case that p is for it to be the case that q. </w:t>
      </w:r>
      <w:r w:rsidR="00CA048D">
        <w:t xml:space="preserve">And </w:t>
      </w:r>
      <w:r w:rsidR="00466A66">
        <w:t>in</w:t>
      </w:r>
      <w:r w:rsidR="00CA048D">
        <w:t xml:space="preserve"> turn, the expression ‘is for’ expresses real definition: </w:t>
      </w:r>
      <w:r w:rsidR="005C00DD">
        <w:t>for p to be the case (partly) consists in q’s being the case; or, q’s essence is part of p’s.</w:t>
      </w:r>
      <w:r w:rsidR="00EE1427">
        <w:t xml:space="preserve"> Although in later work Rosen (201</w:t>
      </w:r>
      <w:r w:rsidR="00203C14">
        <w:t>5</w:t>
      </w:r>
      <w:r w:rsidR="00EE1427">
        <w:t>) offers a ground-theoretic account of real definition, by default we can treat it as an essentialist locution</w:t>
      </w:r>
      <w:r w:rsidR="007B126E">
        <w:t>.</w:t>
      </w:r>
    </w:p>
    <w:p w14:paraId="37F8FF70" w14:textId="6C5D81E0" w:rsidR="00AF60AE" w:rsidRDefault="00DC5F54">
      <w:pPr>
        <w:ind w:firstLine="432"/>
        <w:jc w:val="both"/>
      </w:pPr>
      <w:r>
        <w:t xml:space="preserve">Some authors who reject the Grounding-Reduction Link </w:t>
      </w:r>
      <w:r w:rsidR="002B1346">
        <w:t>still</w:t>
      </w:r>
      <w:r>
        <w:t xml:space="preserve"> posit a tight link between essence and grounding. </w:t>
      </w:r>
      <w:r w:rsidR="0051789F">
        <w:t xml:space="preserve">Audi (2012), for example, rejects the link on the basis that grounding is an irreflexive relation between coarse-grained facts, and </w:t>
      </w:r>
      <w:r w:rsidR="002B1346">
        <w:t>that</w:t>
      </w:r>
      <w:r w:rsidR="0051789F">
        <w:t xml:space="preserve"> p could reduce to q only if </w:t>
      </w:r>
      <w:r w:rsidR="00B77941">
        <w:t>[</w:t>
      </w:r>
      <w:r w:rsidR="0051789F">
        <w:t>p</w:t>
      </w:r>
      <w:r w:rsidR="00B77941">
        <w:t xml:space="preserve">] </w:t>
      </w:r>
      <w:r w:rsidR="0051789F">
        <w:t>=</w:t>
      </w:r>
      <w:r w:rsidR="00B77941">
        <w:t xml:space="preserve"> [</w:t>
      </w:r>
      <w:r w:rsidR="0051789F">
        <w:t>q</w:t>
      </w:r>
      <w:r w:rsidR="00B77941">
        <w:t>]</w:t>
      </w:r>
      <w:r w:rsidR="0051789F">
        <w:t xml:space="preserve">, which </w:t>
      </w:r>
      <w:r w:rsidR="00A4748D">
        <w:t xml:space="preserve">is inconsistent with </w:t>
      </w:r>
      <w:proofErr w:type="spellStart"/>
      <w:r w:rsidR="00A4748D">
        <w:t>irreflexivity</w:t>
      </w:r>
      <w:proofErr w:type="spellEnd"/>
      <w:r w:rsidR="0051789F">
        <w:t xml:space="preserve">. </w:t>
      </w:r>
      <w:r w:rsidR="00110605">
        <w:t>H</w:t>
      </w:r>
      <w:r w:rsidR="001C582E">
        <w:t xml:space="preserve">owever, </w:t>
      </w:r>
      <w:r w:rsidR="00110605">
        <w:t>he still believes that there is a tight link</w:t>
      </w:r>
      <w:r w:rsidR="00F5061B">
        <w:t xml:space="preserve"> between essence and </w:t>
      </w:r>
      <w:r w:rsidR="001C582E">
        <w:t>grounding</w:t>
      </w:r>
      <w:r w:rsidR="00F5061B">
        <w:t xml:space="preserve">: </w:t>
      </w:r>
      <w:r w:rsidR="001C582E">
        <w:t>relations of grounding obtain because of the essence of properties involved in the grounding relata</w:t>
      </w:r>
      <w:r w:rsidR="00D12A50">
        <w:t xml:space="preserve">. That </w:t>
      </w:r>
      <w:r w:rsidR="001C582E">
        <w:t xml:space="preserve">is, if [Fa] grounds [Gb], this is because it’s in the nature of F that if </w:t>
      </w:r>
      <w:r w:rsidR="002B1346">
        <w:t>F</w:t>
      </w:r>
      <w:r w:rsidR="006E62BB">
        <w:t xml:space="preserve"> instantiated, then something also instantiates G.</w:t>
      </w:r>
      <w:r w:rsidR="000A551B">
        <w:t xml:space="preserve"> </w:t>
      </w:r>
      <w:r w:rsidR="003D0F57">
        <w:t>Dasgupta (2014</w:t>
      </w:r>
      <w:r w:rsidR="00AF60AE">
        <w:t>: 568</w:t>
      </w:r>
      <w:r w:rsidR="003D0F57">
        <w:t xml:space="preserve">) </w:t>
      </w:r>
      <w:r w:rsidR="000055AA">
        <w:t>floats</w:t>
      </w:r>
      <w:r w:rsidR="003D0F57">
        <w:t xml:space="preserve"> a similar idea </w:t>
      </w:r>
      <w:r w:rsidR="000055AA">
        <w:t xml:space="preserve">(although without committing himself to it) </w:t>
      </w:r>
      <w:r w:rsidR="003D0F57">
        <w:t>to answer the question of what grounds the grounding fact</w:t>
      </w:r>
      <w:r w:rsidR="009706EB">
        <w:t>s.</w:t>
      </w:r>
      <w:r w:rsidR="000A551B">
        <w:t xml:space="preserve"> </w:t>
      </w:r>
      <w:r w:rsidR="009706EB">
        <w:t xml:space="preserve">For instance, he </w:t>
      </w:r>
      <w:r w:rsidR="000A551B">
        <w:t xml:space="preserve">suggests that if the fact that </w:t>
      </w:r>
      <w:r w:rsidR="000A551B" w:rsidRPr="000A551B">
        <w:t xml:space="preserve">e contains people engaged in C-activities grounds </w:t>
      </w:r>
      <w:r w:rsidR="000A551B">
        <w:t xml:space="preserve">the fact that e is a conference, then this complex fact is in turn </w:t>
      </w:r>
      <w:r w:rsidR="000A551B">
        <w:lastRenderedPageBreak/>
        <w:t xml:space="preserve">grounded by e’s containing people engaged in certain activities </w:t>
      </w:r>
      <w:r w:rsidR="000A551B" w:rsidRPr="00A26757">
        <w:rPr>
          <w:i/>
        </w:rPr>
        <w:t>and its being essential to a conference</w:t>
      </w:r>
      <w:r w:rsidR="000A551B">
        <w:t xml:space="preserve"> </w:t>
      </w:r>
      <w:r w:rsidR="00BA7163">
        <w:t>that if an event contains people engaged in such and such activities, it’</w:t>
      </w:r>
      <w:r w:rsidR="00C82D10">
        <w:t>s a conference</w:t>
      </w:r>
      <w:r w:rsidR="00AF60AE">
        <w:t>.</w:t>
      </w:r>
      <w:r w:rsidR="00483DD8">
        <w:t xml:space="preserve"> In short, </w:t>
      </w:r>
      <w:r w:rsidR="007B0912">
        <w:t xml:space="preserve">grounding facts (facts of the form, [Fa] grounds [Gb]) </w:t>
      </w:r>
      <w:r w:rsidR="00483DD8">
        <w:t xml:space="preserve">are grounded in facts about the essences of the </w:t>
      </w:r>
      <w:r w:rsidR="00586E99">
        <w:t xml:space="preserve">individuals that occur in the </w:t>
      </w:r>
      <w:r w:rsidR="00483DD8">
        <w:t>grou</w:t>
      </w:r>
      <w:r w:rsidR="00127E76">
        <w:t>n</w:t>
      </w:r>
      <w:r w:rsidR="00483DD8">
        <w:t>ding relata</w:t>
      </w:r>
      <w:r w:rsidR="007B0912">
        <w:t xml:space="preserve"> (a and b)</w:t>
      </w:r>
      <w:r w:rsidR="00D8180C">
        <w:t>.</w:t>
      </w:r>
      <w:r w:rsidR="00E81D95">
        <w:rPr>
          <w:rStyle w:val="FootnoteReference"/>
        </w:rPr>
        <w:footnoteReference w:id="1"/>
      </w:r>
    </w:p>
    <w:p w14:paraId="37C24757" w14:textId="677D984C" w:rsidR="009B2D84" w:rsidRDefault="00514B99">
      <w:pPr>
        <w:ind w:firstLine="432"/>
        <w:jc w:val="both"/>
      </w:pPr>
      <w:r>
        <w:t xml:space="preserve">The primary objection to </w:t>
      </w:r>
      <w:r w:rsidR="0060064B">
        <w:t>this</w:t>
      </w:r>
      <w:r>
        <w:t xml:space="preserve"> proposal isn’t specific to the relation between essence and grounding, but rather affects </w:t>
      </w:r>
      <w:r w:rsidR="0060064B">
        <w:t xml:space="preserve">its general </w:t>
      </w:r>
      <w:r>
        <w:t>structure: why do facts about essence explain fact</w:t>
      </w:r>
      <w:r w:rsidR="004C5401">
        <w:t>s</w:t>
      </w:r>
      <w:r>
        <w:t xml:space="preserve"> about grounding? </w:t>
      </w:r>
      <w:r w:rsidR="006704C5">
        <w:t xml:space="preserve">Dasgupta argues that </w:t>
      </w:r>
      <w:r w:rsidR="006704C5" w:rsidRPr="00E76872">
        <w:rPr>
          <w:i/>
        </w:rPr>
        <w:t>this</w:t>
      </w:r>
      <w:r w:rsidR="006704C5">
        <w:t xml:space="preserve"> connection </w:t>
      </w:r>
      <w:r w:rsidR="000A42A5">
        <w:t>(</w:t>
      </w:r>
      <w:r w:rsidR="006704C5">
        <w:t>between essences and grounding fact</w:t>
      </w:r>
      <w:r w:rsidR="000A42A5">
        <w:t>s)</w:t>
      </w:r>
      <w:r w:rsidR="006704C5">
        <w:t xml:space="preserve"> isn’</w:t>
      </w:r>
      <w:r w:rsidR="00124640">
        <w:t>t apt to be grounded,</w:t>
      </w:r>
      <w:r w:rsidR="00E76872">
        <w:t xml:space="preserve"> whereas Audi seeks to avoid the regress by claiming that the relevant connection between the essences of properties and </w:t>
      </w:r>
      <w:r w:rsidR="00636DF0">
        <w:t xml:space="preserve">a </w:t>
      </w:r>
      <w:r w:rsidR="00E76872">
        <w:t xml:space="preserve">grounding fact isn’t itself the grounding relation. </w:t>
      </w:r>
      <w:r w:rsidR="00343BBF">
        <w:t xml:space="preserve">Dasgupta, and less explicitly Audi too, appeal </w:t>
      </w:r>
      <w:r w:rsidR="00340B43">
        <w:t xml:space="preserve">here </w:t>
      </w:r>
      <w:r w:rsidR="00343BBF">
        <w:t xml:space="preserve">to the widely shared intuition that essentialist facts are in some sense “rock-bottom”: we cannot sensibly ask why something is essentially so-and-so, or why </w:t>
      </w:r>
      <w:r w:rsidR="00340B43">
        <w:t xml:space="preserve">what it is </w:t>
      </w:r>
      <w:r w:rsidR="00343BBF">
        <w:t>for something to be the case is for something to be so-and-so.</w:t>
      </w:r>
      <w:r w:rsidR="00340B43">
        <w:rPr>
          <w:rStyle w:val="FootnoteReference"/>
        </w:rPr>
        <w:footnoteReference w:id="2"/>
      </w:r>
    </w:p>
    <w:p w14:paraId="5D079D77" w14:textId="58489956" w:rsidR="0056078A" w:rsidRDefault="001C2925">
      <w:pPr>
        <w:ind w:firstLine="432"/>
        <w:jc w:val="both"/>
      </w:pPr>
      <w:r>
        <w:t xml:space="preserve">A further example of a </w:t>
      </w:r>
      <w:r w:rsidR="00110605">
        <w:t xml:space="preserve">hypothesized </w:t>
      </w:r>
      <w:r>
        <w:t xml:space="preserve">close connection between essence and grounding can be found in Trogdon’s (2013) defense </w:t>
      </w:r>
      <w:r w:rsidR="005714AA">
        <w:t xml:space="preserve">of Grounding Necessitarianism, the view that if </w:t>
      </w:r>
      <w:r w:rsidR="00292DC5">
        <w:t>[p</w:t>
      </w:r>
      <w:r w:rsidR="00292DC5" w:rsidRPr="00B21A36">
        <w:rPr>
          <w:vertAlign w:val="subscript"/>
        </w:rPr>
        <w:t>1</w:t>
      </w:r>
      <w:r w:rsidR="00292DC5">
        <w:t>]…[</w:t>
      </w:r>
      <w:proofErr w:type="spellStart"/>
      <w:r w:rsidR="00292DC5">
        <w:t>p</w:t>
      </w:r>
      <w:r w:rsidR="00292DC5" w:rsidRPr="00B21A36">
        <w:rPr>
          <w:vertAlign w:val="subscript"/>
        </w:rPr>
        <w:t>n</w:t>
      </w:r>
      <w:proofErr w:type="spellEnd"/>
      <w:r w:rsidR="00292DC5">
        <w:t>] ground [q], then necessarily, if p</w:t>
      </w:r>
      <w:r w:rsidR="00292DC5" w:rsidRPr="00B21A36">
        <w:rPr>
          <w:vertAlign w:val="subscript"/>
        </w:rPr>
        <w:t>1</w:t>
      </w:r>
      <w:r w:rsidR="00292DC5">
        <w:t>…</w:t>
      </w:r>
      <w:proofErr w:type="spellStart"/>
      <w:r w:rsidR="00292DC5">
        <w:t>p</w:t>
      </w:r>
      <w:r w:rsidR="00292DC5" w:rsidRPr="00B21A36">
        <w:rPr>
          <w:vertAlign w:val="subscript"/>
        </w:rPr>
        <w:t>n</w:t>
      </w:r>
      <w:proofErr w:type="spellEnd"/>
      <w:r w:rsidR="00292DC5">
        <w:t xml:space="preserve"> then q.</w:t>
      </w:r>
      <w:r w:rsidR="006B1201">
        <w:t xml:space="preserve"> According to Trogdon, </w:t>
      </w:r>
      <w:r w:rsidR="006109A2">
        <w:t>grounding implies lack of cognitive significance with respect to connection questions about the ground and the grounded. That is, if [p</w:t>
      </w:r>
      <w:r w:rsidR="006109A2" w:rsidRPr="00B21A36">
        <w:rPr>
          <w:vertAlign w:val="subscript"/>
        </w:rPr>
        <w:t>1</w:t>
      </w:r>
      <w:r w:rsidR="006109A2">
        <w:t>]…[</w:t>
      </w:r>
      <w:proofErr w:type="spellStart"/>
      <w:r w:rsidR="006109A2">
        <w:t>p</w:t>
      </w:r>
      <w:r w:rsidR="006109A2" w:rsidRPr="00B21A36">
        <w:rPr>
          <w:vertAlign w:val="subscript"/>
        </w:rPr>
        <w:t>n</w:t>
      </w:r>
      <w:proofErr w:type="spellEnd"/>
      <w:r w:rsidR="006109A2">
        <w:t xml:space="preserve">] ground [q] then </w:t>
      </w:r>
      <w:r w:rsidR="002F77D3">
        <w:t>the question of why they do so lacks cognitive significance; and this, in turn, is possible only if there are essential truths about p</w:t>
      </w:r>
      <w:r w:rsidR="002F77D3" w:rsidRPr="00B21A36">
        <w:rPr>
          <w:vertAlign w:val="subscript"/>
        </w:rPr>
        <w:t>1</w:t>
      </w:r>
      <w:r w:rsidR="002F77D3">
        <w:t>…</w:t>
      </w:r>
      <w:proofErr w:type="spellStart"/>
      <w:r w:rsidR="002F77D3">
        <w:t>p</w:t>
      </w:r>
      <w:r w:rsidR="002F77D3" w:rsidRPr="00B21A36">
        <w:rPr>
          <w:vertAlign w:val="subscript"/>
        </w:rPr>
        <w:t>n</w:t>
      </w:r>
      <w:proofErr w:type="spellEnd"/>
      <w:r w:rsidR="002F77D3">
        <w:t xml:space="preserve">, q </w:t>
      </w:r>
      <w:r w:rsidR="0098209E">
        <w:t>or the entities they involve according to which if p</w:t>
      </w:r>
      <w:r w:rsidR="0098209E" w:rsidRPr="00B21A36">
        <w:rPr>
          <w:vertAlign w:val="subscript"/>
        </w:rPr>
        <w:t>1</w:t>
      </w:r>
      <w:r w:rsidR="0098209E">
        <w:t>…</w:t>
      </w:r>
      <w:proofErr w:type="spellStart"/>
      <w:r w:rsidR="00786924">
        <w:t>p</w:t>
      </w:r>
      <w:r w:rsidR="00786924" w:rsidRPr="00B21A36">
        <w:rPr>
          <w:vertAlign w:val="subscript"/>
        </w:rPr>
        <w:t>n</w:t>
      </w:r>
      <w:proofErr w:type="spellEnd"/>
      <w:r w:rsidR="00786924">
        <w:t xml:space="preserve"> then q (2013: 467). </w:t>
      </w:r>
      <w:r w:rsidR="00BB1FDC">
        <w:t xml:space="preserve">Similarly to the essentialist account of what grounds the grounding facts, Grounding Necessitarianism (as well as Trogdon’s defense of it) </w:t>
      </w:r>
      <w:r w:rsidR="0056078A">
        <w:t>remains a controversial thesis.</w:t>
      </w:r>
      <w:r w:rsidR="00124640">
        <w:rPr>
          <w:rStyle w:val="FootnoteReference"/>
        </w:rPr>
        <w:footnoteReference w:id="3"/>
      </w:r>
    </w:p>
    <w:p w14:paraId="45B51137" w14:textId="194DD7ED" w:rsidR="00C13090" w:rsidRDefault="0056078A" w:rsidP="00E45BFD">
      <w:pPr>
        <w:ind w:firstLine="432"/>
        <w:jc w:val="both"/>
        <w:rPr>
          <w:rtl/>
          <w:lang w:bidi="he-IL"/>
        </w:rPr>
      </w:pPr>
      <w:r>
        <w:t xml:space="preserve">As we can already see from this quick overview, some form of Unity is widely assumed in much of the grounding literature. However, even stronger forms have been defended in the specialized literature on essence, </w:t>
      </w:r>
      <w:r w:rsidR="003A2545">
        <w:t xml:space="preserve">to </w:t>
      </w:r>
      <w:r>
        <w:t xml:space="preserve">which we will turn now. I will consider three possibilities: (1.1) grounding can be defined in terms of essence; (1.2) essence can be defined in terms of grounding; and (1.3) both grounding and essence can be defined </w:t>
      </w:r>
      <w:r w:rsidR="00D47D31">
        <w:t>using the same primitive concepts.</w:t>
      </w:r>
    </w:p>
    <w:p w14:paraId="51E479A2" w14:textId="77777777" w:rsidR="00980952" w:rsidRDefault="00980952" w:rsidP="00E45BFD">
      <w:pPr>
        <w:ind w:firstLine="432"/>
        <w:jc w:val="both"/>
      </w:pPr>
    </w:p>
    <w:p w14:paraId="75262AB6" w14:textId="180D83C5" w:rsidR="000571E5" w:rsidRPr="000C595C" w:rsidRDefault="000C595C" w:rsidP="00E45BFD">
      <w:pPr>
        <w:ind w:firstLine="432"/>
        <w:jc w:val="both"/>
        <w:rPr>
          <w:b/>
        </w:rPr>
      </w:pPr>
      <w:r w:rsidRPr="000C595C">
        <w:rPr>
          <w:b/>
        </w:rPr>
        <w:t xml:space="preserve">1.1. </w:t>
      </w:r>
      <w:r w:rsidR="0036539E">
        <w:rPr>
          <w:b/>
        </w:rPr>
        <w:t>Essentialist</w:t>
      </w:r>
      <w:r w:rsidRPr="000C595C">
        <w:rPr>
          <w:b/>
        </w:rPr>
        <w:t xml:space="preserve"> </w:t>
      </w:r>
      <w:r w:rsidR="00453D9F">
        <w:rPr>
          <w:b/>
        </w:rPr>
        <w:t>definition</w:t>
      </w:r>
      <w:r w:rsidR="0001573D">
        <w:rPr>
          <w:b/>
        </w:rPr>
        <w:t>s</w:t>
      </w:r>
      <w:r w:rsidRPr="000C595C">
        <w:rPr>
          <w:b/>
        </w:rPr>
        <w:t xml:space="preserve"> of </w:t>
      </w:r>
      <w:r w:rsidR="0001573D">
        <w:rPr>
          <w:b/>
        </w:rPr>
        <w:t>grounding</w:t>
      </w:r>
    </w:p>
    <w:p w14:paraId="18FE87D0" w14:textId="5AFBCCCB" w:rsidR="00C75E55" w:rsidRDefault="00453D9F">
      <w:pPr>
        <w:jc w:val="both"/>
      </w:pPr>
      <w:r>
        <w:t>Perhaps nobody did as much to explore the logical space of possibilities regarding the conceptual connections between grounding and essence as Fabrice Correia</w:t>
      </w:r>
      <w:r w:rsidR="009B7620">
        <w:t xml:space="preserve"> (see also </w:t>
      </w:r>
      <w:r w:rsidR="006030E3">
        <w:t>1.3</w:t>
      </w:r>
      <w:r w:rsidR="009B7620">
        <w:t>)</w:t>
      </w:r>
      <w:r w:rsidR="006030E3">
        <w:t>.</w:t>
      </w:r>
      <w:r w:rsidR="00DA03E0">
        <w:t xml:space="preserve"> Correia’s preferred approach is to express </w:t>
      </w:r>
      <w:r w:rsidR="00DA03E0" w:rsidRPr="008E3940">
        <w:rPr>
          <w:iCs/>
        </w:rPr>
        <w:t>both</w:t>
      </w:r>
      <w:r w:rsidR="00DA03E0">
        <w:t xml:space="preserve"> grounding and essence</w:t>
      </w:r>
      <w:r w:rsidR="00FF3037">
        <w:t xml:space="preserve"> </w:t>
      </w:r>
      <w:r w:rsidR="00DA03E0">
        <w:t xml:space="preserve">via an operator rather than a predicate. That is, instead of construing </w:t>
      </w:r>
      <w:r w:rsidR="00C75E55">
        <w:t>grounding a</w:t>
      </w:r>
      <w:r w:rsidR="00DA03E0">
        <w:t xml:space="preserve">s a relation between facts, he uses the sentential connective ‘because’ </w:t>
      </w:r>
      <w:r w:rsidR="00C75E55">
        <w:t>to express connections of ground. Similarly, he uses the already familiar phrase ‘it is part of what it is to be the case’ to express essence. After considering a number of proposals (using different combinations of predicational vs. operational views of grounding and essence, and the notions of objectual vs. generic essence</w:t>
      </w:r>
      <w:r w:rsidR="00602413">
        <w:t xml:space="preserve"> – see </w:t>
      </w:r>
      <w:proofErr w:type="spellStart"/>
      <w:r w:rsidR="00602413">
        <w:t>Koslicki</w:t>
      </w:r>
      <w:proofErr w:type="spellEnd"/>
      <w:r w:rsidR="00602413">
        <w:t xml:space="preserve"> and Raven’s Introduction to this volume</w:t>
      </w:r>
      <w:r w:rsidR="00C75E55">
        <w:t xml:space="preserve">), he </w:t>
      </w:r>
      <w:r w:rsidR="004C366C">
        <w:t xml:space="preserve">tentatively </w:t>
      </w:r>
      <w:r w:rsidR="00C75E55">
        <w:t>comes down in favor of the following definition:</w:t>
      </w:r>
    </w:p>
    <w:p w14:paraId="42BD4F39" w14:textId="77777777" w:rsidR="00C75E55" w:rsidRDefault="00C75E55" w:rsidP="00E45BFD">
      <w:pPr>
        <w:ind w:left="720" w:firstLine="432"/>
        <w:jc w:val="both"/>
      </w:pPr>
    </w:p>
    <w:p w14:paraId="2FB63311" w14:textId="350861A7" w:rsidR="00792BDA" w:rsidRDefault="00797747" w:rsidP="00E45BFD">
      <w:pPr>
        <w:ind w:left="720"/>
        <w:jc w:val="both"/>
      </w:pPr>
      <w:r>
        <w:t>(</w:t>
      </w:r>
      <w:r w:rsidRPr="008A735C">
        <w:rPr>
          <w:i/>
        </w:rPr>
        <w:t>Grounding-to-</w:t>
      </w:r>
      <w:proofErr w:type="spellStart"/>
      <w:r w:rsidRPr="008A735C">
        <w:rPr>
          <w:i/>
        </w:rPr>
        <w:t>essence</w:t>
      </w:r>
      <w:r w:rsidRPr="008A735C">
        <w:rPr>
          <w:i/>
          <w:vertAlign w:val="subscript"/>
        </w:rPr>
        <w:t>Correia</w:t>
      </w:r>
      <w:proofErr w:type="spellEnd"/>
      <w:r>
        <w:t xml:space="preserve">) </w:t>
      </w:r>
      <w:r w:rsidR="00792BDA">
        <w:t>P because p</w:t>
      </w:r>
      <w:r w:rsidR="00792BDA" w:rsidRPr="00071064">
        <w:rPr>
          <w:vertAlign w:val="subscript"/>
        </w:rPr>
        <w:t>1</w:t>
      </w:r>
      <w:r w:rsidR="00792BDA">
        <w:t>, p</w:t>
      </w:r>
      <w:r w:rsidR="00792BDA" w:rsidRPr="00071064">
        <w:rPr>
          <w:vertAlign w:val="subscript"/>
        </w:rPr>
        <w:t>2</w:t>
      </w:r>
      <w:r w:rsidR="00792BDA">
        <w:t xml:space="preserve">, … because </w:t>
      </w:r>
      <w:r w:rsidR="00792BDA" w:rsidRPr="00B036B9">
        <w:rPr>
          <w:vertAlign w:val="subscript"/>
        </w:rPr>
        <w:t>def</w:t>
      </w:r>
    </w:p>
    <w:p w14:paraId="3EEBEAB9" w14:textId="77777777" w:rsidR="00792BDA" w:rsidRDefault="00792BDA" w:rsidP="00E45BFD">
      <w:pPr>
        <w:ind w:left="720"/>
        <w:jc w:val="both"/>
      </w:pPr>
    </w:p>
    <w:p w14:paraId="248CE236" w14:textId="7D44DB24" w:rsidR="00792BDA" w:rsidRDefault="00792BDA" w:rsidP="00E45BFD">
      <w:pPr>
        <w:ind w:left="720"/>
        <w:jc w:val="both"/>
      </w:pPr>
      <w:r>
        <w:lastRenderedPageBreak/>
        <w:t>(</w:t>
      </w:r>
      <w:proofErr w:type="spellStart"/>
      <w:r>
        <w:t>i</w:t>
      </w:r>
      <w:proofErr w:type="spellEnd"/>
      <w:r>
        <w:t>) p</w:t>
      </w:r>
      <w:r w:rsidRPr="00071064">
        <w:rPr>
          <w:vertAlign w:val="subscript"/>
        </w:rPr>
        <w:t>1</w:t>
      </w:r>
      <w:r>
        <w:t>&amp;p</w:t>
      </w:r>
      <w:r w:rsidRPr="00071064">
        <w:rPr>
          <w:vertAlign w:val="subscript"/>
        </w:rPr>
        <w:t>2</w:t>
      </w:r>
      <w:r>
        <w:t>&amp;…, and</w:t>
      </w:r>
    </w:p>
    <w:p w14:paraId="4B2C4AF8" w14:textId="08EC6FFA" w:rsidR="00792BDA" w:rsidRDefault="00792BDA">
      <w:pPr>
        <w:ind w:left="720"/>
        <w:jc w:val="both"/>
      </w:pPr>
      <w:r>
        <w:t xml:space="preserve">(ii) It is part of what it is for it to be the case that </w:t>
      </w:r>
      <w:r w:rsidR="003465F3">
        <w:t xml:space="preserve">P </w:t>
      </w:r>
      <w:r>
        <w:t>that if p</w:t>
      </w:r>
      <w:r w:rsidRPr="00071064">
        <w:rPr>
          <w:vertAlign w:val="subscript"/>
        </w:rPr>
        <w:t>1</w:t>
      </w:r>
      <w:r>
        <w:t>, p</w:t>
      </w:r>
      <w:r w:rsidRPr="00071064">
        <w:rPr>
          <w:vertAlign w:val="subscript"/>
        </w:rPr>
        <w:t>2</w:t>
      </w:r>
      <w:r>
        <w:t>, …, then p</w:t>
      </w:r>
      <w:r w:rsidR="004C366C">
        <w:t xml:space="preserve"> (2013: 292)</w:t>
      </w:r>
    </w:p>
    <w:p w14:paraId="0A4C36B9" w14:textId="7BD1E931" w:rsidR="00DA03E0" w:rsidRDefault="00C75E55" w:rsidP="00E45BFD">
      <w:pPr>
        <w:ind w:firstLine="432"/>
        <w:jc w:val="both"/>
      </w:pPr>
      <w:r>
        <w:t xml:space="preserve"> </w:t>
      </w:r>
    </w:p>
    <w:p w14:paraId="6A7039EA" w14:textId="089F885D" w:rsidR="009F1437" w:rsidRDefault="00925135">
      <w:pPr>
        <w:jc w:val="both"/>
      </w:pPr>
      <w:r>
        <w:t>Correia’s account is not without predecessor</w:t>
      </w:r>
      <w:r w:rsidR="00B24090">
        <w:t>s</w:t>
      </w:r>
      <w:r>
        <w:t>; Fine (2012) considers and rejects a similar definition. One worry, he argues, is that the account cannot distinguish between conjunctive and plural grounds, since there’s no difference between its being the case that p</w:t>
      </w:r>
      <w:r w:rsidRPr="00071064">
        <w:rPr>
          <w:vertAlign w:val="subscript"/>
        </w:rPr>
        <w:t>1</w:t>
      </w:r>
      <w:r>
        <w:t>, p</w:t>
      </w:r>
      <w:r w:rsidRPr="00071064">
        <w:rPr>
          <w:vertAlign w:val="subscript"/>
        </w:rPr>
        <w:t>2</w:t>
      </w:r>
      <w:r>
        <w:t>, … and its being the case that p</w:t>
      </w:r>
      <w:r w:rsidRPr="00071064">
        <w:rPr>
          <w:vertAlign w:val="subscript"/>
        </w:rPr>
        <w:t>1</w:t>
      </w:r>
      <w:r>
        <w:t>&amp;p</w:t>
      </w:r>
      <w:r w:rsidRPr="00071064">
        <w:rPr>
          <w:vertAlign w:val="subscript"/>
        </w:rPr>
        <w:t>2</w:t>
      </w:r>
      <w:r>
        <w:t xml:space="preserve">&amp;… (2012: 78). In response, Correia </w:t>
      </w:r>
      <w:r w:rsidR="00622687">
        <w:t>argues</w:t>
      </w:r>
      <w:r>
        <w:t xml:space="preserve"> that </w:t>
      </w:r>
      <w:r w:rsidR="00622687">
        <w:t xml:space="preserve">the operator ‘it is </w:t>
      </w:r>
      <w:r w:rsidR="002F45E0">
        <w:t xml:space="preserve">the </w:t>
      </w:r>
      <w:r w:rsidR="00622687">
        <w:t>case that’ makes all the difference</w:t>
      </w:r>
      <w:r w:rsidR="00B036B9">
        <w:t xml:space="preserve"> here</w:t>
      </w:r>
      <w:r w:rsidR="00622687">
        <w:t>: although the plurality of p</w:t>
      </w:r>
      <w:r w:rsidR="00622687" w:rsidRPr="00071064">
        <w:rPr>
          <w:vertAlign w:val="subscript"/>
        </w:rPr>
        <w:t>1</w:t>
      </w:r>
      <w:r w:rsidR="00622687">
        <w:t>, p</w:t>
      </w:r>
      <w:r w:rsidR="00622687" w:rsidRPr="00071064">
        <w:rPr>
          <w:vertAlign w:val="subscript"/>
        </w:rPr>
        <w:t>2</w:t>
      </w:r>
      <w:r w:rsidR="00622687">
        <w:t>… and the conjunction p</w:t>
      </w:r>
      <w:r w:rsidR="00622687" w:rsidRPr="00071064">
        <w:rPr>
          <w:vertAlign w:val="subscript"/>
        </w:rPr>
        <w:t>1</w:t>
      </w:r>
      <w:r w:rsidR="00622687">
        <w:t>&amp;p</w:t>
      </w:r>
      <w:r w:rsidR="00622687" w:rsidRPr="00071064">
        <w:rPr>
          <w:vertAlign w:val="subscript"/>
        </w:rPr>
        <w:t>2</w:t>
      </w:r>
      <w:r w:rsidR="00622687">
        <w:t xml:space="preserve">&amp;… are </w:t>
      </w:r>
      <w:proofErr w:type="spellStart"/>
      <w:r w:rsidR="00622687">
        <w:t>intensionally</w:t>
      </w:r>
      <w:proofErr w:type="spellEnd"/>
      <w:r w:rsidR="00622687">
        <w:t xml:space="preserve"> equivalent, they aren’t substitutable </w:t>
      </w:r>
      <w:r w:rsidR="00622687" w:rsidRPr="00622687">
        <w:rPr>
          <w:i/>
        </w:rPr>
        <w:t xml:space="preserve">salve </w:t>
      </w:r>
      <w:proofErr w:type="spellStart"/>
      <w:r w:rsidR="00622687" w:rsidRPr="00622687">
        <w:rPr>
          <w:i/>
        </w:rPr>
        <w:t>veritate</w:t>
      </w:r>
      <w:proofErr w:type="spellEnd"/>
      <w:r w:rsidR="00622687">
        <w:t xml:space="preserve"> in the definition</w:t>
      </w:r>
      <w:r w:rsidR="005A7BAD">
        <w:t xml:space="preserve"> (290–1)</w:t>
      </w:r>
      <w:r w:rsidR="00622687">
        <w:t xml:space="preserve">. </w:t>
      </w:r>
      <w:r w:rsidR="009F1437">
        <w:t>Another potential problem is that (</w:t>
      </w:r>
      <w:r w:rsidR="009F1437" w:rsidRPr="008A735C">
        <w:rPr>
          <w:i/>
        </w:rPr>
        <w:t>Grounding-to-</w:t>
      </w:r>
      <w:proofErr w:type="spellStart"/>
      <w:r w:rsidR="009F1437" w:rsidRPr="008A735C">
        <w:rPr>
          <w:i/>
        </w:rPr>
        <w:t>essence</w:t>
      </w:r>
      <w:r w:rsidR="009F1437" w:rsidRPr="008A735C">
        <w:rPr>
          <w:i/>
          <w:vertAlign w:val="subscript"/>
        </w:rPr>
        <w:t>Correia</w:t>
      </w:r>
      <w:proofErr w:type="spellEnd"/>
      <w:r w:rsidR="009F1437">
        <w:t>) has implausible consequences about ontological dependence. Suppose, for example, that existentially quantified facts are grounded in their witnesses. Then [Someone is a philosopher] is grounded in [Socrates is a philosopher]. By (</w:t>
      </w:r>
      <w:r w:rsidR="009F1437" w:rsidRPr="008A735C">
        <w:rPr>
          <w:i/>
        </w:rPr>
        <w:t>Grounding-to-</w:t>
      </w:r>
      <w:proofErr w:type="spellStart"/>
      <w:r w:rsidR="009F1437" w:rsidRPr="008A735C">
        <w:rPr>
          <w:i/>
        </w:rPr>
        <w:t>essence</w:t>
      </w:r>
      <w:r w:rsidR="009F1437" w:rsidRPr="008A735C">
        <w:rPr>
          <w:i/>
          <w:vertAlign w:val="subscript"/>
        </w:rPr>
        <w:t>Correia</w:t>
      </w:r>
      <w:proofErr w:type="spellEnd"/>
      <w:r w:rsidR="009F1437">
        <w:t xml:space="preserve">), part of what it is for it to be the case that someone is a philosopher is for it to be the case that Socrates is a philosopher. However, essential connections of this sort are often thought to imply a kind of ontological dependence, essential dependence: that is, [Someone is a philosopher] essentially depends on [Socrates is a philosopher]. </w:t>
      </w:r>
      <w:r w:rsidR="004E0AEA">
        <w:t xml:space="preserve">Fine </w:t>
      </w:r>
      <w:r w:rsidR="009F1437">
        <w:t>find</w:t>
      </w:r>
      <w:r w:rsidR="00C36F4F">
        <w:t>s</w:t>
      </w:r>
      <w:r w:rsidR="009F1437">
        <w:t xml:space="preserve"> this implausible; </w:t>
      </w:r>
      <w:r w:rsidR="00C36F4F">
        <w:t xml:space="preserve">the fact that someone is a philosopher “knows nothing”, as he puts it, of Socrates (2012: 75). </w:t>
      </w:r>
      <w:r w:rsidR="00375138">
        <w:t>However, Correia argues that the dependence claim is in fact quite intuitive. For it simply follows from th</w:t>
      </w:r>
      <w:r w:rsidR="005D5E57">
        <w:rPr>
          <w:lang w:bidi="he-IL"/>
        </w:rPr>
        <w:t>is</w:t>
      </w:r>
      <w:r w:rsidR="00375138">
        <w:t xml:space="preserve"> claim that the nature of the fact that someone is a philosopher involves that </w:t>
      </w:r>
      <w:r w:rsidR="00375138" w:rsidRPr="00375138">
        <w:rPr>
          <w:i/>
        </w:rPr>
        <w:t>if</w:t>
      </w:r>
      <w:r w:rsidR="00375138">
        <w:t xml:space="preserve"> Socrates is a philosopher, then someone is; it doesn’t have the implausible consequence that nobody is a philosopher unless Socrates is</w:t>
      </w:r>
      <w:r w:rsidR="001D193C">
        <w:t xml:space="preserve"> (292– 3)</w:t>
      </w:r>
      <w:r w:rsidR="001D245D">
        <w:t xml:space="preserve">. </w:t>
      </w:r>
      <w:r w:rsidR="00375138">
        <w:t>That is, essential dependence as Correia understands it doesn’t imply existential dependence.</w:t>
      </w:r>
    </w:p>
    <w:p w14:paraId="78BFC497" w14:textId="5996E1C6" w:rsidR="00902C37" w:rsidRDefault="00CD1422" w:rsidP="00E45BFD">
      <w:pPr>
        <w:ind w:firstLine="432"/>
        <w:jc w:val="both"/>
      </w:pPr>
      <w:r>
        <w:t>T</w:t>
      </w:r>
      <w:r w:rsidR="00B115B2">
        <w:t>his isn’t the last word on (</w:t>
      </w:r>
      <w:r w:rsidR="00B115B2" w:rsidRPr="008A735C">
        <w:rPr>
          <w:i/>
        </w:rPr>
        <w:t>Grounding-to-</w:t>
      </w:r>
      <w:proofErr w:type="spellStart"/>
      <w:r w:rsidR="00B115B2" w:rsidRPr="008A735C">
        <w:rPr>
          <w:i/>
        </w:rPr>
        <w:t>essence</w:t>
      </w:r>
      <w:r w:rsidR="00B115B2" w:rsidRPr="008A735C">
        <w:rPr>
          <w:i/>
          <w:vertAlign w:val="subscript"/>
        </w:rPr>
        <w:t>Correia</w:t>
      </w:r>
      <w:proofErr w:type="spellEnd"/>
      <w:r w:rsidR="00B115B2">
        <w:t xml:space="preserve">). For example, </w:t>
      </w:r>
      <w:proofErr w:type="spellStart"/>
      <w:r w:rsidR="00B115B2">
        <w:t>Carnino</w:t>
      </w:r>
      <w:proofErr w:type="spellEnd"/>
      <w:r w:rsidR="00B115B2">
        <w:t xml:space="preserve"> (201</w:t>
      </w:r>
      <w:r w:rsidR="00C92C02">
        <w:t>4</w:t>
      </w:r>
      <w:r w:rsidR="00B115B2">
        <w:t xml:space="preserve">) offers a reassessment of Fine’s objections and also offers additional ones, </w:t>
      </w:r>
      <w:r>
        <w:t xml:space="preserve">which, he argues, </w:t>
      </w:r>
      <w:r w:rsidR="00E2724D">
        <w:t xml:space="preserve">overall strengthen </w:t>
      </w:r>
      <w:r>
        <w:t>(</w:t>
      </w:r>
      <w:r w:rsidRPr="008A735C">
        <w:rPr>
          <w:i/>
        </w:rPr>
        <w:t>Grounding-to-</w:t>
      </w:r>
      <w:proofErr w:type="spellStart"/>
      <w:r w:rsidRPr="008A735C">
        <w:rPr>
          <w:i/>
        </w:rPr>
        <w:t>essence</w:t>
      </w:r>
      <w:r w:rsidRPr="008A735C">
        <w:rPr>
          <w:i/>
          <w:vertAlign w:val="subscript"/>
        </w:rPr>
        <w:t>Correia</w:t>
      </w:r>
      <w:proofErr w:type="spellEnd"/>
      <w:r>
        <w:t xml:space="preserve">) as </w:t>
      </w:r>
      <w:r w:rsidR="00E2724D">
        <w:t xml:space="preserve">opposed </w:t>
      </w:r>
      <w:r w:rsidR="00CF02E7">
        <w:t xml:space="preserve">to </w:t>
      </w:r>
      <w:r w:rsidR="00E2724D">
        <w:t xml:space="preserve">alternative formulations that presuppose the </w:t>
      </w:r>
      <w:r>
        <w:t>relations-between-facts</w:t>
      </w:r>
      <w:r w:rsidR="00E2724D">
        <w:t xml:space="preserve"> view of g</w:t>
      </w:r>
      <w:r w:rsidR="00795C44">
        <w:t>rounding.</w:t>
      </w:r>
      <w:r w:rsidR="00CF5C1B">
        <w:t xml:space="preserve"> Even with the complications </w:t>
      </w:r>
      <w:proofErr w:type="spellStart"/>
      <w:r w:rsidR="00CF5C1B">
        <w:t>Carnino</w:t>
      </w:r>
      <w:proofErr w:type="spellEnd"/>
      <w:r w:rsidR="00CF5C1B">
        <w:t xml:space="preserve"> raises, (</w:t>
      </w:r>
      <w:r w:rsidR="00CF5C1B" w:rsidRPr="008A735C">
        <w:rPr>
          <w:i/>
        </w:rPr>
        <w:t>Grounding-to-</w:t>
      </w:r>
      <w:proofErr w:type="spellStart"/>
      <w:r w:rsidR="00CF5C1B" w:rsidRPr="008A735C">
        <w:rPr>
          <w:i/>
        </w:rPr>
        <w:t>essence</w:t>
      </w:r>
      <w:r w:rsidR="00CF5C1B" w:rsidRPr="008A735C">
        <w:rPr>
          <w:i/>
          <w:vertAlign w:val="subscript"/>
        </w:rPr>
        <w:t>Correia</w:t>
      </w:r>
      <w:proofErr w:type="spellEnd"/>
      <w:r w:rsidR="00CF5C1B">
        <w:t>) remains a serious contender, and critical discussion of it is sure to continue in the years to come.</w:t>
      </w:r>
    </w:p>
    <w:p w14:paraId="6FE5C326" w14:textId="5DD81B05" w:rsidR="00902C37" w:rsidRDefault="00902C37" w:rsidP="00E45BFD">
      <w:pPr>
        <w:ind w:firstLine="432"/>
        <w:jc w:val="both"/>
      </w:pPr>
      <w:r>
        <w:t xml:space="preserve">Correia is not the only one to have offered </w:t>
      </w:r>
      <w:r w:rsidR="002D489E">
        <w:t>an essence-theoretic reduction of grounding. In a recent paper, Justin Zylstra offered an alter</w:t>
      </w:r>
      <w:r w:rsidR="00EB4280">
        <w:t xml:space="preserve">native version of this approach. Zylstra operates with </w:t>
      </w:r>
      <w:r w:rsidR="00AE10CB">
        <w:t>objectual and (in Fine’s sense) constitutive essences. However, unlike Correia, he conceive</w:t>
      </w:r>
      <w:r w:rsidR="00154614">
        <w:t>s</w:t>
      </w:r>
      <w:r w:rsidR="00AE10CB">
        <w:t xml:space="preserve"> of grounding as a relation between facts.</w:t>
      </w:r>
      <w:r w:rsidR="00154614">
        <w:t xml:space="preserve"> His proposed definition of grounding in terms of essence goes as follows (</w:t>
      </w:r>
      <w:r w:rsidR="00071064">
        <w:t xml:space="preserve">lower-case </w:t>
      </w:r>
      <w:r w:rsidR="00154614">
        <w:t xml:space="preserve">letters are singular and capitalized ones are plural variables </w:t>
      </w:r>
      <w:r w:rsidR="00EA3B6D">
        <w:t xml:space="preserve">bound by quantifiers </w:t>
      </w:r>
      <w:r w:rsidR="00154614">
        <w:t>over facts):</w:t>
      </w:r>
    </w:p>
    <w:p w14:paraId="75F03A0F" w14:textId="77777777" w:rsidR="00154614" w:rsidRDefault="00154614" w:rsidP="00E45BFD">
      <w:pPr>
        <w:ind w:firstLine="432"/>
        <w:jc w:val="both"/>
      </w:pPr>
    </w:p>
    <w:p w14:paraId="6C5132A8" w14:textId="067AD322" w:rsidR="00154614" w:rsidRDefault="00154614" w:rsidP="00E45BFD">
      <w:pPr>
        <w:ind w:left="720"/>
        <w:jc w:val="both"/>
      </w:pPr>
      <w:r>
        <w:t>(</w:t>
      </w:r>
      <w:r w:rsidRPr="008A735C">
        <w:rPr>
          <w:i/>
        </w:rPr>
        <w:t>Grounding-to-</w:t>
      </w:r>
      <w:proofErr w:type="spellStart"/>
      <w:r w:rsidRPr="008A735C">
        <w:rPr>
          <w:i/>
        </w:rPr>
        <w:t>essence</w:t>
      </w:r>
      <w:r>
        <w:rPr>
          <w:i/>
          <w:vertAlign w:val="subscript"/>
        </w:rPr>
        <w:t>Zylstra</w:t>
      </w:r>
      <w:proofErr w:type="spellEnd"/>
      <w:r>
        <w:t xml:space="preserve">) </w:t>
      </w:r>
      <w:r w:rsidRPr="003164A9">
        <w:t xml:space="preserve">f is grounded in G </w:t>
      </w:r>
      <w:proofErr w:type="spellStart"/>
      <w:r w:rsidRPr="003164A9">
        <w:t>iff</w:t>
      </w:r>
      <w:r w:rsidRPr="00E60410">
        <w:rPr>
          <w:vertAlign w:val="subscript"/>
        </w:rPr>
        <w:t>df</w:t>
      </w:r>
      <w:proofErr w:type="spellEnd"/>
      <w:r w:rsidRPr="003164A9">
        <w:t xml:space="preserve"> For some R</w:t>
      </w:r>
      <w:r w:rsidR="00E64FD0">
        <w:t xml:space="preserve">, </w:t>
      </w:r>
      <w:r w:rsidR="004073FC">
        <w:t>i</w:t>
      </w:r>
      <w:r w:rsidRPr="003164A9">
        <w:t>t is essential to f that</w:t>
      </w:r>
      <w:r w:rsidR="00E64FD0">
        <w:t xml:space="preserve"> </w:t>
      </w:r>
      <w:r w:rsidRPr="003164A9">
        <w:t>(f exists</w:t>
      </w:r>
      <w:r w:rsidR="00E64FD0">
        <w:t xml:space="preserve"> </w:t>
      </w:r>
      <w:r w:rsidRPr="003164A9">
        <w:t>only</w:t>
      </w:r>
      <w:r w:rsidR="00E64FD0">
        <w:t xml:space="preserve"> </w:t>
      </w:r>
      <w:r w:rsidRPr="003164A9">
        <w:t>if</w:t>
      </w:r>
      <w:r w:rsidR="00E64FD0">
        <w:t xml:space="preserve"> </w:t>
      </w:r>
      <w:r w:rsidRPr="003164A9">
        <w:t>(For</w:t>
      </w:r>
      <w:r w:rsidR="00E64FD0">
        <w:t xml:space="preserve"> </w:t>
      </w:r>
      <w:r w:rsidRPr="003164A9">
        <w:t>some</w:t>
      </w:r>
      <w:r w:rsidR="00E64FD0">
        <w:t xml:space="preserve"> </w:t>
      </w:r>
      <w:r w:rsidRPr="003164A9">
        <w:t>F</w:t>
      </w:r>
      <w:r w:rsidR="00E64FD0">
        <w:t xml:space="preserve">, </w:t>
      </w:r>
      <w:r w:rsidRPr="003164A9">
        <w:t>R</w:t>
      </w:r>
      <w:r w:rsidR="00E64FD0">
        <w:t>(</w:t>
      </w:r>
      <w:proofErr w:type="spellStart"/>
      <w:r w:rsidRPr="003164A9">
        <w:t>fF</w:t>
      </w:r>
      <w:proofErr w:type="spellEnd"/>
      <w:r w:rsidR="00E64FD0">
        <w:t xml:space="preserve">) </w:t>
      </w:r>
      <w:r w:rsidRPr="003164A9">
        <w:t>and</w:t>
      </w:r>
      <w:r w:rsidR="00E64FD0">
        <w:t xml:space="preserve"> </w:t>
      </w:r>
      <w:r w:rsidRPr="003164A9">
        <w:t>F</w:t>
      </w:r>
      <w:r w:rsidR="00E64FD0">
        <w:t xml:space="preserve"> </w:t>
      </w:r>
      <w:r w:rsidRPr="003164A9">
        <w:t>exist)</w:t>
      </w:r>
      <w:r w:rsidR="00E64FD0">
        <w:t xml:space="preserve"> </w:t>
      </w:r>
      <w:r w:rsidRPr="003164A9">
        <w:t>and</w:t>
      </w:r>
      <w:r w:rsidR="00E64FD0">
        <w:t xml:space="preserve"> </w:t>
      </w:r>
      <w:r w:rsidRPr="003164A9">
        <w:t>R</w:t>
      </w:r>
      <w:r w:rsidR="00E64FD0">
        <w:t>(</w:t>
      </w:r>
      <w:proofErr w:type="spellStart"/>
      <w:r w:rsidRPr="003164A9">
        <w:t>fG</w:t>
      </w:r>
      <w:proofErr w:type="spellEnd"/>
      <w:r w:rsidR="00E64FD0">
        <w:t xml:space="preserve">) </w:t>
      </w:r>
      <w:r w:rsidRPr="003164A9">
        <w:t>and</w:t>
      </w:r>
      <w:r w:rsidR="00E64FD0">
        <w:t xml:space="preserve"> </w:t>
      </w:r>
      <w:r w:rsidRPr="003164A9">
        <w:t>G</w:t>
      </w:r>
      <w:r w:rsidR="00E64FD0">
        <w:t xml:space="preserve"> </w:t>
      </w:r>
      <w:r w:rsidRPr="003164A9">
        <w:t>exist</w:t>
      </w:r>
      <w:r w:rsidR="00E64FD0">
        <w:t>)</w:t>
      </w:r>
      <w:r>
        <w:t xml:space="preserve"> (Zylstra 2019: 5144)</w:t>
      </w:r>
    </w:p>
    <w:p w14:paraId="276DCD3F" w14:textId="77777777" w:rsidR="004073FC" w:rsidRDefault="004073FC" w:rsidP="00E45BFD">
      <w:pPr>
        <w:ind w:firstLine="432"/>
        <w:jc w:val="both"/>
      </w:pPr>
    </w:p>
    <w:p w14:paraId="0AD48DB1" w14:textId="360BF036" w:rsidR="00ED3EB9" w:rsidRDefault="004073FC" w:rsidP="00E45BFD">
      <w:pPr>
        <w:jc w:val="both"/>
      </w:pPr>
      <w:r>
        <w:t xml:space="preserve">To show how </w:t>
      </w:r>
      <w:r w:rsidR="002D6261">
        <w:t>the</w:t>
      </w:r>
      <w:r>
        <w:t xml:space="preserve"> account is supposed to work, Zylstra me</w:t>
      </w:r>
      <w:r w:rsidR="00DE2AE4">
        <w:t>n</w:t>
      </w:r>
      <w:r>
        <w:t xml:space="preserve">tions </w:t>
      </w:r>
      <w:r w:rsidR="00DE2AE4">
        <w:t xml:space="preserve">the case of determinates and </w:t>
      </w:r>
      <w:proofErr w:type="spellStart"/>
      <w:r w:rsidR="00DE2AE4">
        <w:t>determinables</w:t>
      </w:r>
      <w:proofErr w:type="spellEnd"/>
      <w:r w:rsidR="00DE2AE4">
        <w:t xml:space="preserve"> as an example. Suppose that </w:t>
      </w:r>
      <w:r w:rsidR="00FC6B5C">
        <w:t>[</w:t>
      </w:r>
      <w:r w:rsidR="00DE2AE4">
        <w:t>the pen is blue</w:t>
      </w:r>
      <w:r w:rsidR="00FC6B5C">
        <w:t>]</w:t>
      </w:r>
      <w:r w:rsidR="00DE2AE4">
        <w:t xml:space="preserve"> grounds </w:t>
      </w:r>
      <w:r w:rsidR="00FC6B5C">
        <w:t>[</w:t>
      </w:r>
      <w:r w:rsidR="00DE2AE4">
        <w:t>the pen is colored</w:t>
      </w:r>
      <w:r w:rsidR="00FC6B5C">
        <w:t>]</w:t>
      </w:r>
      <w:r w:rsidR="00DE2AE4">
        <w:t xml:space="preserve">. </w:t>
      </w:r>
      <w:r w:rsidR="00FC6B5C">
        <w:t xml:space="preserve">Plausibly, it’s essential to [the pen is colored] that </w:t>
      </w:r>
      <w:r w:rsidR="00DE329E">
        <w:t xml:space="preserve">if </w:t>
      </w:r>
      <w:r w:rsidR="008E38B0">
        <w:t>it</w:t>
      </w:r>
      <w:r w:rsidR="00FC6B5C">
        <w:t xml:space="preserve"> </w:t>
      </w:r>
      <w:r w:rsidR="00DE329E">
        <w:t xml:space="preserve">obtains, </w:t>
      </w:r>
      <w:r w:rsidR="00FC6B5C">
        <w:t xml:space="preserve">there are some facts that are determinates of [the pen is colored]. Moreover, indeed [the pen is blue] exists and bears the determinate-determinable relation to </w:t>
      </w:r>
      <w:r w:rsidR="008E38B0">
        <w:t>[</w:t>
      </w:r>
      <w:r w:rsidR="00FC6B5C">
        <w:t>the pen is colored</w:t>
      </w:r>
      <w:r w:rsidR="008E38B0">
        <w:t>]</w:t>
      </w:r>
      <w:r w:rsidR="00F24382">
        <w:t xml:space="preserve"> – just as the definition </w:t>
      </w:r>
      <w:r w:rsidR="00187746">
        <w:t>requires</w:t>
      </w:r>
      <w:r w:rsidR="00F24382">
        <w:t>.</w:t>
      </w:r>
    </w:p>
    <w:p w14:paraId="4A9B9F57" w14:textId="795852E0" w:rsidR="00DD5286" w:rsidRDefault="00ED3EB9" w:rsidP="00E45BFD">
      <w:pPr>
        <w:ind w:firstLine="432"/>
        <w:jc w:val="both"/>
      </w:pPr>
      <w:r>
        <w:t xml:space="preserve">Zylstra argues that his reductive account of grounding has a number of further </w:t>
      </w:r>
      <w:r w:rsidR="00B2236C">
        <w:t xml:space="preserve">advantages, such as </w:t>
      </w:r>
      <w:r w:rsidR="00035C3F">
        <w:t xml:space="preserve">explaining several principles about the interaction between grounding and the logical constants (“the impure logic of grounding”), helping </w:t>
      </w:r>
      <w:r w:rsidR="00922C59">
        <w:t>us</w:t>
      </w:r>
      <w:r w:rsidR="00035C3F">
        <w:t xml:space="preserve"> make sense of symmetric cases of </w:t>
      </w:r>
      <w:r w:rsidR="00035C3F">
        <w:lastRenderedPageBreak/>
        <w:t>metaphysical dependence, and also addressing certain worries about the coarse-</w:t>
      </w:r>
      <w:proofErr w:type="spellStart"/>
      <w:r w:rsidR="00035C3F">
        <w:t>grainedness</w:t>
      </w:r>
      <w:proofErr w:type="spellEnd"/>
      <w:r w:rsidR="00035C3F">
        <w:t xml:space="preserve"> of grounding (</w:t>
      </w:r>
      <w:r w:rsidR="006E7B51">
        <w:t xml:space="preserve">cf. </w:t>
      </w:r>
      <w:proofErr w:type="spellStart"/>
      <w:r w:rsidR="00035C3F">
        <w:t>Koslicki</w:t>
      </w:r>
      <w:proofErr w:type="spellEnd"/>
      <w:r w:rsidR="00035C3F">
        <w:t xml:space="preserve"> 2015).</w:t>
      </w:r>
      <w:r w:rsidR="009211CE">
        <w:t xml:space="preserve"> Moreover, Zylstra argues, the account is at no disadvantage compared to (</w:t>
      </w:r>
      <w:r w:rsidR="009211CE" w:rsidRPr="008A735C">
        <w:rPr>
          <w:i/>
        </w:rPr>
        <w:t>Grounding-to-</w:t>
      </w:r>
      <w:proofErr w:type="spellStart"/>
      <w:r w:rsidR="009211CE" w:rsidRPr="008A735C">
        <w:rPr>
          <w:i/>
        </w:rPr>
        <w:t>essence</w:t>
      </w:r>
      <w:r w:rsidR="009211CE" w:rsidRPr="008A735C">
        <w:rPr>
          <w:i/>
          <w:vertAlign w:val="subscript"/>
        </w:rPr>
        <w:t>Correia</w:t>
      </w:r>
      <w:proofErr w:type="spellEnd"/>
      <w:r w:rsidR="009211CE">
        <w:t>) when it comes to problem cases about ontological dependence.</w:t>
      </w:r>
    </w:p>
    <w:p w14:paraId="4F3CBBA6" w14:textId="5CD5FB98" w:rsidR="00DD5286" w:rsidRDefault="00F401B3" w:rsidP="00E45BFD">
      <w:pPr>
        <w:ind w:firstLine="432"/>
        <w:jc w:val="both"/>
      </w:pPr>
      <w:r>
        <w:t>Essentialist</w:t>
      </w:r>
      <w:r w:rsidR="000253C6">
        <w:t xml:space="preserve"> definition</w:t>
      </w:r>
      <w:r>
        <w:t>s</w:t>
      </w:r>
      <w:r w:rsidR="000253C6">
        <w:t xml:space="preserve"> of grounding</w:t>
      </w:r>
      <w:r>
        <w:t xml:space="preserve"> are of</w:t>
      </w:r>
      <w:r w:rsidR="000253C6">
        <w:t xml:space="preserve"> significant interest not only to theorists of essence but also to theorists of grounding, since grounding is standardly understood as an irreducible notion that resists definition in other terms. </w:t>
      </w:r>
      <w:r>
        <w:t xml:space="preserve">There is a lot more work to be done in this area, and the prospects of an essentialist </w:t>
      </w:r>
      <w:r w:rsidR="00E60410">
        <w:t>analysis</w:t>
      </w:r>
      <w:r>
        <w:t xml:space="preserve"> of grou</w:t>
      </w:r>
      <w:r w:rsidR="00A85BCF">
        <w:t>n</w:t>
      </w:r>
      <w:r>
        <w:t>ding are yet to be thoroughly assessed.</w:t>
      </w:r>
    </w:p>
    <w:p w14:paraId="0178FCAC" w14:textId="77777777" w:rsidR="000571E5" w:rsidRDefault="000571E5" w:rsidP="00E45BFD">
      <w:pPr>
        <w:ind w:firstLine="432"/>
        <w:jc w:val="both"/>
      </w:pPr>
    </w:p>
    <w:p w14:paraId="395EEBAE" w14:textId="5901A5DC" w:rsidR="00F558EF" w:rsidRPr="00AC3E32" w:rsidRDefault="0036539E" w:rsidP="00E45BFD">
      <w:pPr>
        <w:ind w:firstLine="432"/>
        <w:jc w:val="both"/>
        <w:rPr>
          <w:b/>
        </w:rPr>
      </w:pPr>
      <w:r w:rsidRPr="0036539E">
        <w:rPr>
          <w:b/>
        </w:rPr>
        <w:t xml:space="preserve">1.2. </w:t>
      </w:r>
      <w:r w:rsidR="00432933">
        <w:rPr>
          <w:b/>
        </w:rPr>
        <w:t>E</w:t>
      </w:r>
      <w:r w:rsidRPr="0036539E">
        <w:rPr>
          <w:b/>
        </w:rPr>
        <w:t>xplanation-theoretic definitions of essence</w:t>
      </w:r>
    </w:p>
    <w:p w14:paraId="7777F013" w14:textId="653C4030" w:rsidR="00432933" w:rsidRDefault="002E1B89" w:rsidP="00E45BFD">
      <w:pPr>
        <w:jc w:val="both"/>
      </w:pPr>
      <w:r>
        <w:t>Above we have discussed essentialist</w:t>
      </w:r>
      <w:r w:rsidR="007073DF">
        <w:t xml:space="preserve"> definitions of </w:t>
      </w:r>
      <w:r>
        <w:t xml:space="preserve">grounding. But </w:t>
      </w:r>
      <w:r w:rsidR="00805310">
        <w:t>one could also try to achieve conceptual economy by going in the other direction and attempting to reduce essence to grounding</w:t>
      </w:r>
      <w:r w:rsidR="005E4DA1">
        <w:t xml:space="preserve"> or, more broadly, explanation</w:t>
      </w:r>
      <w:r w:rsidR="00805310">
        <w:t xml:space="preserve">. </w:t>
      </w:r>
      <w:r w:rsidR="007D53DA">
        <w:t>One such recent</w:t>
      </w:r>
      <w:r w:rsidR="00B45AF5">
        <w:t xml:space="preserve"> </w:t>
      </w:r>
      <w:r w:rsidR="00796550">
        <w:t>proposal</w:t>
      </w:r>
      <w:r w:rsidR="004008BD">
        <w:t xml:space="preserve"> </w:t>
      </w:r>
      <w:r w:rsidR="007D53DA">
        <w:t xml:space="preserve">has been offered </w:t>
      </w:r>
      <w:r w:rsidR="00B45AF5">
        <w:t xml:space="preserve">by Meghan Sullivan. </w:t>
      </w:r>
      <w:r w:rsidR="001E5B90">
        <w:t xml:space="preserve">Unlike </w:t>
      </w:r>
      <w:r w:rsidR="00A07241">
        <w:t>most autho</w:t>
      </w:r>
      <w:r w:rsidR="00A32317">
        <w:t xml:space="preserve">rs in the literature, Sullivan </w:t>
      </w:r>
      <w:r w:rsidR="005E4DA1">
        <w:t xml:space="preserve">works with a modal conception of essence, i.e. she assumes that an object o has a property P essentiality just in case o has P necessarily. Her starting point </w:t>
      </w:r>
      <w:r w:rsidR="00AA3B35">
        <w:t xml:space="preserve">is </w:t>
      </w:r>
      <w:r w:rsidR="005E4DA1">
        <w:t xml:space="preserve">an antirealist view of essence, according to which </w:t>
      </w:r>
      <w:r w:rsidR="00A32317">
        <w:t>“</w:t>
      </w:r>
      <w:r w:rsidR="005E4DA1">
        <w:t xml:space="preserve">essential property ascriptions </w:t>
      </w:r>
      <w:r w:rsidR="00A32317">
        <w:t>only hold</w:t>
      </w:r>
      <w:r w:rsidR="005E4DA1">
        <w:t xml:space="preserve"> relative to </w:t>
      </w:r>
      <w:r w:rsidR="00A32317">
        <w:t xml:space="preserve">semantic or </w:t>
      </w:r>
      <w:proofErr w:type="spellStart"/>
      <w:r w:rsidR="00A32317">
        <w:t>metasemantic</w:t>
      </w:r>
      <w:proofErr w:type="spellEnd"/>
      <w:r w:rsidR="00A32317">
        <w:t xml:space="preserve"> facts” (201</w:t>
      </w:r>
      <w:r w:rsidR="00D96CB3">
        <w:t>6</w:t>
      </w:r>
      <w:r w:rsidR="00A32317">
        <w:t>: 53).</w:t>
      </w:r>
      <w:r w:rsidR="0014579D">
        <w:t xml:space="preserve"> This view, she ar</w:t>
      </w:r>
      <w:r w:rsidR="0024240B">
        <w:t>gues, is untenable; however, an</w:t>
      </w:r>
      <w:r w:rsidR="0014579D">
        <w:t>other account in its vicinity is more promising. According to this view, the ascription of essential properties is relative to explanatory frameworks, as follows:</w:t>
      </w:r>
    </w:p>
    <w:p w14:paraId="4B1261F3" w14:textId="77777777" w:rsidR="0014579D" w:rsidRDefault="0014579D" w:rsidP="00E45BFD">
      <w:pPr>
        <w:ind w:firstLine="432"/>
        <w:jc w:val="both"/>
      </w:pPr>
    </w:p>
    <w:p w14:paraId="55B22C26" w14:textId="5132F504" w:rsidR="0014579D" w:rsidRDefault="0014579D" w:rsidP="00E45BFD">
      <w:pPr>
        <w:ind w:left="720"/>
        <w:jc w:val="both"/>
        <w:rPr>
          <w:lang w:bidi="he-IL"/>
        </w:rPr>
      </w:pPr>
      <w:r>
        <w:rPr>
          <w:lang w:bidi="he-IL"/>
        </w:rPr>
        <w:t>(</w:t>
      </w:r>
      <w:r w:rsidRPr="0024240B">
        <w:rPr>
          <w:i/>
          <w:lang w:bidi="he-IL"/>
        </w:rPr>
        <w:t>Explanation-Relative Essentialism</w:t>
      </w:r>
      <w:r>
        <w:rPr>
          <w:lang w:bidi="he-IL"/>
        </w:rPr>
        <w:t xml:space="preserve">): </w:t>
      </w:r>
      <w:r w:rsidRPr="0014579D">
        <w:rPr>
          <w:lang w:bidi="he-IL"/>
        </w:rPr>
        <w:t xml:space="preserve">An object o is essentially P relative to framework E </w:t>
      </w:r>
      <w:proofErr w:type="spellStart"/>
      <w:r w:rsidRPr="0014579D">
        <w:rPr>
          <w:lang w:bidi="he-IL"/>
        </w:rPr>
        <w:t>iff</w:t>
      </w:r>
      <w:proofErr w:type="spellEnd"/>
    </w:p>
    <w:p w14:paraId="59015552" w14:textId="77777777" w:rsidR="0014579D" w:rsidRDefault="0014579D" w:rsidP="00E45BFD">
      <w:pPr>
        <w:ind w:left="720"/>
        <w:jc w:val="both"/>
        <w:rPr>
          <w:lang w:bidi="he-IL"/>
        </w:rPr>
      </w:pPr>
    </w:p>
    <w:p w14:paraId="0A9ED3F6" w14:textId="4D3254A7" w:rsidR="003911A8" w:rsidRDefault="003911A8">
      <w:pPr>
        <w:ind w:left="720"/>
        <w:jc w:val="both"/>
        <w:rPr>
          <w:lang w:bidi="he-IL"/>
        </w:rPr>
      </w:pPr>
      <w:proofErr w:type="spellStart"/>
      <w:r>
        <w:rPr>
          <w:lang w:bidi="he-IL"/>
        </w:rPr>
        <w:t>i</w:t>
      </w:r>
      <w:proofErr w:type="spellEnd"/>
      <w:r>
        <w:rPr>
          <w:lang w:bidi="he-IL"/>
        </w:rPr>
        <w:t xml:space="preserve">) </w:t>
      </w:r>
      <w:r w:rsidR="002F45E0">
        <w:rPr>
          <w:lang w:bidi="he-IL"/>
        </w:rPr>
        <w:t xml:space="preserve">o </w:t>
      </w:r>
      <w:r>
        <w:rPr>
          <w:lang w:bidi="he-IL"/>
        </w:rPr>
        <w:t>has P</w:t>
      </w:r>
    </w:p>
    <w:p w14:paraId="286397BD" w14:textId="25D973F1" w:rsidR="003911A8" w:rsidRDefault="003911A8" w:rsidP="00E45BFD">
      <w:pPr>
        <w:ind w:left="720"/>
        <w:jc w:val="both"/>
        <w:rPr>
          <w:lang w:bidi="he-IL"/>
        </w:rPr>
      </w:pPr>
      <w:r>
        <w:rPr>
          <w:lang w:bidi="he-IL"/>
        </w:rPr>
        <w:t>(ii) in any good explanation of type E which involves o, o has P, and</w:t>
      </w:r>
    </w:p>
    <w:p w14:paraId="28953046" w14:textId="260ACC60" w:rsidR="003911A8" w:rsidRDefault="003911A8" w:rsidP="00E45BFD">
      <w:pPr>
        <w:ind w:left="720"/>
        <w:jc w:val="both"/>
        <w:rPr>
          <w:lang w:bidi="he-IL"/>
        </w:rPr>
      </w:pPr>
      <w:r>
        <w:rPr>
          <w:lang w:bidi="he-IL"/>
        </w:rPr>
        <w:t>(iii) there are objective norms governing explanations of type E</w:t>
      </w:r>
      <w:r w:rsidR="00CE5423">
        <w:rPr>
          <w:lang w:bidi="he-IL"/>
        </w:rPr>
        <w:t xml:space="preserve"> (</w:t>
      </w:r>
      <w:r w:rsidR="00A72A9D">
        <w:rPr>
          <w:lang w:bidi="he-IL"/>
        </w:rPr>
        <w:t>201</w:t>
      </w:r>
      <w:r w:rsidR="00D96CB3">
        <w:rPr>
          <w:lang w:bidi="he-IL"/>
        </w:rPr>
        <w:t>6</w:t>
      </w:r>
      <w:r w:rsidR="00A72A9D">
        <w:rPr>
          <w:lang w:bidi="he-IL"/>
        </w:rPr>
        <w:t xml:space="preserve">: </w:t>
      </w:r>
      <w:r w:rsidR="00CE5423">
        <w:rPr>
          <w:lang w:bidi="he-IL"/>
        </w:rPr>
        <w:t>56)</w:t>
      </w:r>
    </w:p>
    <w:p w14:paraId="3084FF32" w14:textId="793EF3BB" w:rsidR="004567AA" w:rsidRDefault="004567AA" w:rsidP="00E45BFD">
      <w:pPr>
        <w:ind w:firstLine="432"/>
        <w:jc w:val="both"/>
        <w:rPr>
          <w:lang w:bidi="he-IL"/>
        </w:rPr>
      </w:pPr>
    </w:p>
    <w:p w14:paraId="4FA4B980" w14:textId="22434FDA" w:rsidR="00BE1F6C" w:rsidRDefault="00FF34EA">
      <w:pPr>
        <w:jc w:val="both"/>
        <w:rPr>
          <w:lang w:bidi="he-IL"/>
        </w:rPr>
      </w:pPr>
      <w:r>
        <w:rPr>
          <w:lang w:bidi="he-IL"/>
        </w:rPr>
        <w:t xml:space="preserve">That essential property ascriptions have a relativistic </w:t>
      </w:r>
      <w:r w:rsidRPr="008E3940">
        <w:rPr>
          <w:i/>
          <w:iCs/>
          <w:lang w:bidi="he-IL"/>
        </w:rPr>
        <w:t>logical form</w:t>
      </w:r>
      <w:r>
        <w:rPr>
          <w:lang w:bidi="he-IL"/>
        </w:rPr>
        <w:t xml:space="preserve"> doesn’t immediately entail that they in fact vary with the framework, but it certainly allows for such variation. </w:t>
      </w:r>
      <w:r w:rsidR="00994E87">
        <w:rPr>
          <w:lang w:bidi="he-IL"/>
        </w:rPr>
        <w:t>Sullivan’s</w:t>
      </w:r>
      <w:r w:rsidR="004567AA">
        <w:rPr>
          <w:lang w:bidi="he-IL"/>
        </w:rPr>
        <w:t xml:space="preserve"> view</w:t>
      </w:r>
      <w:r w:rsidR="00994E87">
        <w:rPr>
          <w:lang w:bidi="he-IL"/>
        </w:rPr>
        <w:t xml:space="preserve"> is only moderately antirealist</w:t>
      </w:r>
      <w:r w:rsidR="002E29AC">
        <w:rPr>
          <w:lang w:bidi="he-IL"/>
        </w:rPr>
        <w:t xml:space="preserve"> because what’s framework-relative according to it is which of a thing’s properties are essential, not what properties it has</w:t>
      </w:r>
      <w:r w:rsidR="00994E87">
        <w:rPr>
          <w:lang w:bidi="he-IL"/>
        </w:rPr>
        <w:t>.</w:t>
      </w:r>
      <w:r w:rsidR="00921B5D">
        <w:rPr>
          <w:lang w:bidi="he-IL"/>
        </w:rPr>
        <w:t xml:space="preserve"> </w:t>
      </w:r>
      <w:r w:rsidR="002E29AC">
        <w:rPr>
          <w:lang w:bidi="he-IL"/>
        </w:rPr>
        <w:t xml:space="preserve">It’s also worth noting </w:t>
      </w:r>
      <w:r w:rsidR="00921B5D">
        <w:rPr>
          <w:lang w:bidi="he-IL"/>
        </w:rPr>
        <w:t>that (</w:t>
      </w:r>
      <w:r w:rsidR="00921B5D" w:rsidRPr="0024240B">
        <w:rPr>
          <w:i/>
          <w:lang w:bidi="he-IL"/>
        </w:rPr>
        <w:t>Explanation-Relative Essentialism</w:t>
      </w:r>
      <w:r w:rsidR="00921B5D">
        <w:rPr>
          <w:lang w:bidi="he-IL"/>
        </w:rPr>
        <w:t xml:space="preserve">) is not a ground-theoretic reduction of essence </w:t>
      </w:r>
      <w:r w:rsidR="00921B5D" w:rsidRPr="00921B5D">
        <w:rPr>
          <w:i/>
          <w:lang w:bidi="he-IL"/>
        </w:rPr>
        <w:t>per se</w:t>
      </w:r>
      <w:r w:rsidR="00921B5D">
        <w:rPr>
          <w:lang w:bidi="he-IL"/>
        </w:rPr>
        <w:t xml:space="preserve">. Rather, </w:t>
      </w:r>
      <w:r w:rsidR="00BE1F6C">
        <w:rPr>
          <w:lang w:bidi="he-IL"/>
        </w:rPr>
        <w:t>the proposal is to define essence in terms of the general notion of explanation, of which grounding (or metaphysical explanation) is just one species.</w:t>
      </w:r>
    </w:p>
    <w:p w14:paraId="2875172B" w14:textId="7904E526" w:rsidR="002E1268" w:rsidRDefault="00AC3E32" w:rsidP="00E45BFD">
      <w:pPr>
        <w:ind w:firstLine="432"/>
        <w:jc w:val="both"/>
        <w:rPr>
          <w:lang w:bidi="he-IL"/>
        </w:rPr>
      </w:pPr>
      <w:r>
        <w:rPr>
          <w:lang w:bidi="he-IL"/>
        </w:rPr>
        <w:t>To illustr</w:t>
      </w:r>
      <w:r w:rsidR="00BE1F6C">
        <w:rPr>
          <w:lang w:bidi="he-IL"/>
        </w:rPr>
        <w:t xml:space="preserve">ate the account, Sullivan gives the following example. Suppose a coin has properties such as conducting electricity and being a unit of account in the financial market. There are objective norms guiding physical explanations, and according to these norms any physical explanation involving the coin (for example, that it completes an electric circle) will cite its conductivity; however, such explanations won’t cite its being a unit </w:t>
      </w:r>
      <w:r w:rsidR="002E1268">
        <w:rPr>
          <w:lang w:bidi="he-IL"/>
        </w:rPr>
        <w:t xml:space="preserve">of </w:t>
      </w:r>
      <w:r w:rsidR="00BE1F6C">
        <w:rPr>
          <w:lang w:bidi="he-IL"/>
        </w:rPr>
        <w:t>account. On the other hand, economic explanations are also guided by objective norms, and these norms require that any economic explanation involving the coin (for example why it’s worth ten cents) will have to cite the coin’s being a unit of account, but not its conductivity. Thus (</w:t>
      </w:r>
      <w:r w:rsidR="00BE1F6C" w:rsidRPr="0024240B">
        <w:rPr>
          <w:i/>
          <w:lang w:bidi="he-IL"/>
        </w:rPr>
        <w:t>Explanation-Relative Essentialism</w:t>
      </w:r>
      <w:r w:rsidR="00BE1F6C" w:rsidRPr="00BE1F6C">
        <w:rPr>
          <w:lang w:bidi="he-IL"/>
        </w:rPr>
        <w:t>)</w:t>
      </w:r>
      <w:r w:rsidR="002E1268">
        <w:rPr>
          <w:lang w:bidi="he-IL"/>
        </w:rPr>
        <w:t xml:space="preserve"> predicts that the coin is essentially conductive relative to a physical (but not </w:t>
      </w:r>
      <w:r w:rsidR="009E7D4C">
        <w:rPr>
          <w:lang w:bidi="he-IL"/>
        </w:rPr>
        <w:lastRenderedPageBreak/>
        <w:t xml:space="preserve">relative </w:t>
      </w:r>
      <w:r w:rsidR="002E1268">
        <w:rPr>
          <w:lang w:bidi="he-IL"/>
        </w:rPr>
        <w:t xml:space="preserve">to an economic) explanatory framework, and essentially a unit of account relative to an economic (but not </w:t>
      </w:r>
      <w:r w:rsidR="00933F2A">
        <w:rPr>
          <w:lang w:bidi="he-IL"/>
        </w:rPr>
        <w:t xml:space="preserve">relative </w:t>
      </w:r>
      <w:r w:rsidR="002E1268">
        <w:rPr>
          <w:lang w:bidi="he-IL"/>
        </w:rPr>
        <w:t>to a physical) explanatory framework.</w:t>
      </w:r>
      <w:r w:rsidR="00D63646">
        <w:rPr>
          <w:rStyle w:val="FootnoteReference"/>
        </w:rPr>
        <w:footnoteReference w:id="4"/>
      </w:r>
    </w:p>
    <w:p w14:paraId="394F6034" w14:textId="604CB725" w:rsidR="00BC6461" w:rsidRDefault="002E1268" w:rsidP="00E45BFD">
      <w:pPr>
        <w:ind w:firstLine="432"/>
        <w:jc w:val="both"/>
        <w:rPr>
          <w:lang w:bidi="he-IL"/>
        </w:rPr>
      </w:pPr>
      <w:r>
        <w:rPr>
          <w:lang w:bidi="he-IL"/>
        </w:rPr>
        <w:t>The view also leaves room for properties that are essential in a distinctively metaphysical sense: for example, the fact that an object has proper parts is metaphysically explained partly by its being extended in space and time but not by its being an automobile. Accordingly, relative to a metaphysical-explanatory framework the object is essentially extended in space but not essentially an automobile.</w:t>
      </w:r>
    </w:p>
    <w:p w14:paraId="4CCED78A" w14:textId="356894FC" w:rsidR="005C56C2" w:rsidRDefault="00BC6461" w:rsidP="00AD37E4">
      <w:pPr>
        <w:ind w:firstLine="432"/>
        <w:jc w:val="both"/>
        <w:rPr>
          <w:lang w:bidi="he-IL"/>
        </w:rPr>
      </w:pPr>
      <w:r>
        <w:rPr>
          <w:lang w:bidi="he-IL"/>
        </w:rPr>
        <w:t xml:space="preserve">Sullivan’s explanation-relative essentialism is intriguing, but it has also been subject to criticism. </w:t>
      </w:r>
      <w:r w:rsidR="001C1FD0">
        <w:rPr>
          <w:lang w:bidi="he-IL"/>
        </w:rPr>
        <w:t xml:space="preserve">Kris </w:t>
      </w:r>
      <w:r>
        <w:rPr>
          <w:lang w:bidi="he-IL"/>
        </w:rPr>
        <w:t xml:space="preserve">McDaniel and </w:t>
      </w:r>
      <w:r w:rsidR="001C1FD0">
        <w:rPr>
          <w:lang w:bidi="he-IL"/>
        </w:rPr>
        <w:t xml:space="preserve">Steve </w:t>
      </w:r>
      <w:r>
        <w:rPr>
          <w:lang w:bidi="he-IL"/>
        </w:rPr>
        <w:t>Steward (201</w:t>
      </w:r>
      <w:r w:rsidR="00D96CB3">
        <w:rPr>
          <w:lang w:bidi="he-IL"/>
        </w:rPr>
        <w:t>6</w:t>
      </w:r>
      <w:r>
        <w:rPr>
          <w:lang w:bidi="he-IL"/>
        </w:rPr>
        <w:t xml:space="preserve">) argue that the account </w:t>
      </w:r>
      <w:r w:rsidR="00AD37E4">
        <w:rPr>
          <w:lang w:bidi="he-IL"/>
        </w:rPr>
        <w:t>is</w:t>
      </w:r>
      <w:r>
        <w:rPr>
          <w:lang w:bidi="he-IL"/>
        </w:rPr>
        <w:t xml:space="preserve"> extensionally inadequate: there are properties that are indispensable relative to an explanatory framework, but which intuitively aren’t essential. </w:t>
      </w:r>
      <w:r w:rsidR="005C56C2">
        <w:rPr>
          <w:lang w:bidi="he-IL"/>
        </w:rPr>
        <w:t>For example, relative to a framework that explains educational attainments, the fact that Jasmine studies very hard will be a part of any explanation of her 4.0 GPA; yet even relative to that framework, she could stop studying hard without ceasing to exist. So, (ii) isn’t sufficient for a property’s being essential. Moreover, not being a poached egg is an essential property of mine</w:t>
      </w:r>
      <w:r w:rsidR="00FD18ED">
        <w:rPr>
          <w:lang w:bidi="he-IL"/>
        </w:rPr>
        <w:t xml:space="preserve"> (at least according to the modal view of essence that Sullivan presupposes)</w:t>
      </w:r>
      <w:r w:rsidR="005C56C2">
        <w:rPr>
          <w:lang w:bidi="he-IL"/>
        </w:rPr>
        <w:t>, yet it doesn’t seem to play an indispensable role in all explanations that involve me relative to any explanatory framework. So, (ii) isn’t necessary for a property’s being essential either (</w:t>
      </w:r>
      <w:r w:rsidR="00D44440">
        <w:rPr>
          <w:lang w:bidi="he-IL"/>
        </w:rPr>
        <w:t>201</w:t>
      </w:r>
      <w:r w:rsidR="00D96CB3">
        <w:rPr>
          <w:lang w:bidi="he-IL"/>
        </w:rPr>
        <w:t>6</w:t>
      </w:r>
      <w:r w:rsidR="00D44440">
        <w:rPr>
          <w:lang w:bidi="he-IL"/>
        </w:rPr>
        <w:t>: 73–74)</w:t>
      </w:r>
      <w:r w:rsidR="007246F7">
        <w:rPr>
          <w:lang w:bidi="he-IL"/>
        </w:rPr>
        <w:t>.</w:t>
      </w:r>
    </w:p>
    <w:p w14:paraId="0BC7576B" w14:textId="2798D051" w:rsidR="000A7FF1" w:rsidRDefault="005E7992" w:rsidP="00AD37E4">
      <w:pPr>
        <w:ind w:firstLine="432"/>
        <w:jc w:val="both"/>
        <w:rPr>
          <w:lang w:bidi="he-IL"/>
        </w:rPr>
      </w:pPr>
      <w:r>
        <w:rPr>
          <w:lang w:bidi="he-IL"/>
        </w:rPr>
        <w:t xml:space="preserve">Aaron </w:t>
      </w:r>
      <w:r w:rsidR="001C1FD0">
        <w:rPr>
          <w:lang w:bidi="he-IL"/>
        </w:rPr>
        <w:t xml:space="preserve">Segal and </w:t>
      </w:r>
      <w:r>
        <w:rPr>
          <w:lang w:bidi="he-IL"/>
        </w:rPr>
        <w:t xml:space="preserve">Noga </w:t>
      </w:r>
      <w:proofErr w:type="spellStart"/>
      <w:r w:rsidR="001C1FD0">
        <w:rPr>
          <w:lang w:bidi="he-IL"/>
        </w:rPr>
        <w:t>Gratvol</w:t>
      </w:r>
      <w:proofErr w:type="spellEnd"/>
      <w:r w:rsidR="001C1FD0">
        <w:rPr>
          <w:lang w:bidi="he-IL"/>
        </w:rPr>
        <w:t xml:space="preserve"> </w:t>
      </w:r>
      <w:r>
        <w:rPr>
          <w:lang w:bidi="he-IL"/>
        </w:rPr>
        <w:t>(</w:t>
      </w:r>
      <w:r w:rsidR="00ED0D03">
        <w:rPr>
          <w:lang w:bidi="he-IL"/>
        </w:rPr>
        <w:t>2021</w:t>
      </w:r>
      <w:r>
        <w:rPr>
          <w:lang w:bidi="he-IL"/>
        </w:rPr>
        <w:t xml:space="preserve">) raise a different </w:t>
      </w:r>
      <w:r w:rsidR="006743AB">
        <w:rPr>
          <w:lang w:bidi="he-IL"/>
        </w:rPr>
        <w:t xml:space="preserve">kind of </w:t>
      </w:r>
      <w:r>
        <w:rPr>
          <w:lang w:bidi="he-IL"/>
        </w:rPr>
        <w:t xml:space="preserve">objection to Sullivan’s explanatory analysis: </w:t>
      </w:r>
      <w:r w:rsidR="002263BE">
        <w:rPr>
          <w:lang w:bidi="he-IL"/>
        </w:rPr>
        <w:t xml:space="preserve">the view implies an objectionable mismatch between the logic of essence and the logic of explanation. </w:t>
      </w:r>
      <w:r w:rsidR="00A2268B">
        <w:rPr>
          <w:lang w:bidi="he-IL"/>
        </w:rPr>
        <w:t xml:space="preserve">For (at least on the modal view of essence, which Sullivan presupposes) being an essential property is closed under entailment: if </w:t>
      </w:r>
      <w:r w:rsidR="00A8577C">
        <w:rPr>
          <w:lang w:bidi="he-IL"/>
        </w:rPr>
        <w:t>F</w:t>
      </w:r>
      <w:r w:rsidR="00A2268B">
        <w:rPr>
          <w:lang w:bidi="he-IL"/>
        </w:rPr>
        <w:t xml:space="preserve">a is essentially F and Fa entails Ga, then a is </w:t>
      </w:r>
      <w:r w:rsidR="00510718">
        <w:rPr>
          <w:lang w:bidi="he-IL"/>
        </w:rPr>
        <w:t>essentially G, too. Explanation, however, doesn’t work this way: it’s not the case that if F is indispensably mention</w:t>
      </w:r>
      <w:r w:rsidR="00413C1F">
        <w:rPr>
          <w:lang w:bidi="he-IL"/>
        </w:rPr>
        <w:t>ed</w:t>
      </w:r>
      <w:r w:rsidR="00510718">
        <w:rPr>
          <w:lang w:bidi="he-IL"/>
        </w:rPr>
        <w:t xml:space="preserve"> in every explanation </w:t>
      </w:r>
      <w:r w:rsidR="00AD37E4">
        <w:rPr>
          <w:lang w:bidi="he-IL"/>
        </w:rPr>
        <w:t xml:space="preserve">of a certain type </w:t>
      </w:r>
      <w:r w:rsidR="00510718">
        <w:rPr>
          <w:lang w:bidi="he-IL"/>
        </w:rPr>
        <w:t xml:space="preserve">relative to a framework, and Fa entails Ga, then G is also indispensably mentioned </w:t>
      </w:r>
      <w:r w:rsidR="00E864BF">
        <w:rPr>
          <w:lang w:bidi="he-IL"/>
        </w:rPr>
        <w:t xml:space="preserve">in </w:t>
      </w:r>
      <w:r w:rsidR="00510718">
        <w:rPr>
          <w:lang w:bidi="he-IL"/>
        </w:rPr>
        <w:t xml:space="preserve">every explanation involving </w:t>
      </w:r>
      <w:r w:rsidR="00E864BF">
        <w:rPr>
          <w:lang w:bidi="he-IL"/>
        </w:rPr>
        <w:t>F</w:t>
      </w:r>
      <w:r w:rsidR="00510718">
        <w:rPr>
          <w:lang w:bidi="he-IL"/>
        </w:rPr>
        <w:t xml:space="preserve"> </w:t>
      </w:r>
      <w:r w:rsidR="00BF3A5D">
        <w:rPr>
          <w:lang w:bidi="he-IL"/>
        </w:rPr>
        <w:t xml:space="preserve">relative to the same framework. In response, Sullivan could switch from the modal conception of essence to a “Fine-grained” one. However, Segal and </w:t>
      </w:r>
      <w:proofErr w:type="spellStart"/>
      <w:r w:rsidR="00BF3A5D">
        <w:rPr>
          <w:lang w:bidi="he-IL"/>
        </w:rPr>
        <w:t>Gratvol</w:t>
      </w:r>
      <w:proofErr w:type="spellEnd"/>
      <w:r w:rsidR="00BF3A5D">
        <w:rPr>
          <w:lang w:bidi="he-IL"/>
        </w:rPr>
        <w:t xml:space="preserve"> argue that such a heavy-weight view would not sit comfortably with Sullivan’s framework-relative approach. On the other hand, more sophisticated modal accounts (which define essence in terms of necessity and some further condition, such as sparseness or intrinsicality) don’t solve the problem they raise for Explanation-Relative Essentialism, since </w:t>
      </w:r>
      <w:r w:rsidR="00854CBA">
        <w:rPr>
          <w:lang w:bidi="he-IL"/>
        </w:rPr>
        <w:t xml:space="preserve">these views don’t deny that </w:t>
      </w:r>
      <w:r w:rsidR="00BF3A5D">
        <w:rPr>
          <w:lang w:bidi="he-IL"/>
        </w:rPr>
        <w:t>essence is closed under entailment.</w:t>
      </w:r>
    </w:p>
    <w:p w14:paraId="64C4C975" w14:textId="3502743A" w:rsidR="002E7689" w:rsidRDefault="005A7237">
      <w:pPr>
        <w:ind w:firstLine="432"/>
        <w:jc w:val="both"/>
        <w:rPr>
          <w:lang w:bidi="he-IL"/>
        </w:rPr>
      </w:pPr>
      <w:r>
        <w:rPr>
          <w:lang w:bidi="he-IL"/>
        </w:rPr>
        <w:t xml:space="preserve">An explanation-based account of essence that (unlike Sullivan’s) isn’t context-relative is Michael Gorman’s </w:t>
      </w:r>
      <w:r w:rsidRPr="005A7237">
        <w:rPr>
          <w:i/>
          <w:lang w:bidi="he-IL"/>
        </w:rPr>
        <w:t>foundational account</w:t>
      </w:r>
      <w:r>
        <w:rPr>
          <w:lang w:bidi="he-IL"/>
        </w:rPr>
        <w:t xml:space="preserve">. </w:t>
      </w:r>
      <w:r w:rsidR="002B4DCD">
        <w:rPr>
          <w:lang w:bidi="he-IL"/>
        </w:rPr>
        <w:t xml:space="preserve">In formulating this view, </w:t>
      </w:r>
      <w:r w:rsidR="00C25602">
        <w:rPr>
          <w:lang w:bidi="he-IL"/>
        </w:rPr>
        <w:t>Gorma</w:t>
      </w:r>
      <w:r w:rsidR="00DD6BF1">
        <w:rPr>
          <w:lang w:bidi="he-IL"/>
        </w:rPr>
        <w:t>n</w:t>
      </w:r>
      <w:r w:rsidR="00C25602">
        <w:rPr>
          <w:lang w:bidi="he-IL"/>
        </w:rPr>
        <w:t xml:space="preserve"> </w:t>
      </w:r>
      <w:r w:rsidR="00DD6BF1">
        <w:rPr>
          <w:lang w:bidi="he-IL"/>
        </w:rPr>
        <w:t xml:space="preserve">relies on a pre-theoretical notion of essence that encompasses a thing’s most central, most crucial features, where, however, this notion of centrality is emphatically not interest-relative (Gorman 2014: 121). </w:t>
      </w:r>
      <w:r w:rsidR="00AF41FD">
        <w:rPr>
          <w:lang w:bidi="he-IL"/>
        </w:rPr>
        <w:t xml:space="preserve">In laying out his account of essence, Gorman relies on the purportedly explanatory notion of </w:t>
      </w:r>
      <w:r w:rsidR="00AF41FD" w:rsidRPr="00AF41FD">
        <w:rPr>
          <w:i/>
          <w:lang w:bidi="he-IL"/>
        </w:rPr>
        <w:t>support</w:t>
      </w:r>
      <w:r w:rsidR="00AF41FD">
        <w:rPr>
          <w:lang w:bidi="he-IL"/>
        </w:rPr>
        <w:t xml:space="preserve">. As far as I can </w:t>
      </w:r>
      <w:r w:rsidR="00E1469D">
        <w:rPr>
          <w:lang w:bidi="he-IL"/>
        </w:rPr>
        <w:t>tell</w:t>
      </w:r>
      <w:r w:rsidR="00AF41FD">
        <w:rPr>
          <w:lang w:bidi="he-IL"/>
        </w:rPr>
        <w:t xml:space="preserve">, this isn’t different from </w:t>
      </w:r>
      <w:r w:rsidR="007E0319">
        <w:rPr>
          <w:lang w:bidi="he-IL"/>
        </w:rPr>
        <w:t>what</w:t>
      </w:r>
      <w:r w:rsidR="00AF41FD">
        <w:rPr>
          <w:lang w:bidi="he-IL"/>
        </w:rPr>
        <w:t xml:space="preserve"> most authors call ‘grounding’, and </w:t>
      </w:r>
      <w:r w:rsidR="00AF41FD">
        <w:rPr>
          <w:lang w:bidi="he-IL"/>
        </w:rPr>
        <w:lastRenderedPageBreak/>
        <w:t xml:space="preserve">Gorman indeed says as much </w:t>
      </w:r>
      <w:r w:rsidR="00907185">
        <w:rPr>
          <w:lang w:bidi="he-IL"/>
        </w:rPr>
        <w:t xml:space="preserve">(2014: 134 n1). </w:t>
      </w:r>
      <w:r w:rsidR="00E8138B">
        <w:rPr>
          <w:lang w:bidi="he-IL"/>
        </w:rPr>
        <w:t xml:space="preserve">Another important concept in Gorman’s account is that </w:t>
      </w:r>
      <w:r w:rsidR="002E7689">
        <w:rPr>
          <w:lang w:bidi="he-IL"/>
        </w:rPr>
        <w:t>of a foundational feature</w:t>
      </w:r>
      <w:r w:rsidR="003B2308">
        <w:rPr>
          <w:lang w:bidi="he-IL"/>
        </w:rPr>
        <w:t>, which he defines as follows</w:t>
      </w:r>
      <w:r w:rsidR="002E7689">
        <w:rPr>
          <w:lang w:bidi="he-IL"/>
        </w:rPr>
        <w:t>:</w:t>
      </w:r>
    </w:p>
    <w:p w14:paraId="5590ACE6" w14:textId="77777777" w:rsidR="002E7689" w:rsidRDefault="002E7689" w:rsidP="00E45BFD">
      <w:pPr>
        <w:ind w:firstLine="432"/>
        <w:jc w:val="both"/>
        <w:rPr>
          <w:lang w:bidi="he-IL"/>
        </w:rPr>
      </w:pPr>
    </w:p>
    <w:p w14:paraId="5EA3206B" w14:textId="578C4295" w:rsidR="002E7689" w:rsidRDefault="00FF347A" w:rsidP="00E45BFD">
      <w:pPr>
        <w:ind w:left="720"/>
        <w:jc w:val="both"/>
        <w:rPr>
          <w:lang w:bidi="he-IL"/>
        </w:rPr>
      </w:pPr>
      <w:r>
        <w:rPr>
          <w:lang w:bidi="he-IL"/>
        </w:rPr>
        <w:t>“</w:t>
      </w:r>
      <w:r w:rsidR="002E7689">
        <w:rPr>
          <w:lang w:bidi="he-IL"/>
        </w:rPr>
        <w:t xml:space="preserve">F is a foundational feature of a </w:t>
      </w:r>
      <w:proofErr w:type="spellStart"/>
      <w:r w:rsidR="002E7689">
        <w:rPr>
          <w:lang w:bidi="he-IL"/>
        </w:rPr>
        <w:t>iff</w:t>
      </w:r>
      <w:proofErr w:type="spellEnd"/>
      <w:r w:rsidR="002E7689">
        <w:rPr>
          <w:lang w:bidi="he-IL"/>
        </w:rPr>
        <w:t xml:space="preserve"> a is F and there is no G such that a’s being G supports a’s being F</w:t>
      </w:r>
    </w:p>
    <w:p w14:paraId="414082AF" w14:textId="3F3AEF49" w:rsidR="00274F9F" w:rsidRDefault="002E7689" w:rsidP="00E45BFD">
      <w:pPr>
        <w:ind w:left="720"/>
        <w:jc w:val="both"/>
        <w:rPr>
          <w:lang w:bidi="he-IL"/>
        </w:rPr>
      </w:pPr>
      <w:r>
        <w:rPr>
          <w:lang w:bidi="he-IL"/>
        </w:rPr>
        <w:t xml:space="preserve">F is a non-foundational feature of a </w:t>
      </w:r>
      <w:proofErr w:type="spellStart"/>
      <w:r>
        <w:rPr>
          <w:lang w:bidi="he-IL"/>
        </w:rPr>
        <w:t>iff</w:t>
      </w:r>
      <w:proofErr w:type="spellEnd"/>
      <w:r>
        <w:rPr>
          <w:lang w:bidi="he-IL"/>
        </w:rPr>
        <w:t xml:space="preserve"> a is F and F is not a foundational feature of a.</w:t>
      </w:r>
      <w:r w:rsidR="00FF347A">
        <w:rPr>
          <w:lang w:bidi="he-IL"/>
        </w:rPr>
        <w:t>”</w:t>
      </w:r>
      <w:r w:rsidR="00274F9F">
        <w:rPr>
          <w:lang w:bidi="he-IL"/>
        </w:rPr>
        <w:t xml:space="preserve"> </w:t>
      </w:r>
      <w:r>
        <w:rPr>
          <w:lang w:bidi="he-IL"/>
        </w:rPr>
        <w:t>(2014: 129)</w:t>
      </w:r>
    </w:p>
    <w:p w14:paraId="7B7BF205" w14:textId="77777777" w:rsidR="00FF347A" w:rsidRDefault="00FF347A" w:rsidP="00E45BFD">
      <w:pPr>
        <w:ind w:firstLine="432"/>
        <w:jc w:val="both"/>
        <w:rPr>
          <w:lang w:bidi="he-IL"/>
        </w:rPr>
      </w:pPr>
    </w:p>
    <w:p w14:paraId="5D00B422" w14:textId="0DE22794" w:rsidR="00FF347A" w:rsidRDefault="00FF347A" w:rsidP="00E45BFD">
      <w:pPr>
        <w:jc w:val="both"/>
        <w:rPr>
          <w:lang w:bidi="he-IL"/>
        </w:rPr>
      </w:pPr>
      <w:r>
        <w:rPr>
          <w:lang w:bidi="he-IL"/>
        </w:rPr>
        <w:t>Finally, essence is defined in terms of foundational features, as follows:</w:t>
      </w:r>
    </w:p>
    <w:p w14:paraId="2FD8091B" w14:textId="77777777" w:rsidR="00FF347A" w:rsidRDefault="00FF347A" w:rsidP="00E45BFD">
      <w:pPr>
        <w:ind w:firstLine="432"/>
        <w:jc w:val="both"/>
        <w:rPr>
          <w:lang w:bidi="he-IL"/>
        </w:rPr>
      </w:pPr>
    </w:p>
    <w:p w14:paraId="38E2AD0E" w14:textId="0743DF87" w:rsidR="00FF347A" w:rsidRDefault="00FF347A" w:rsidP="00E45BFD">
      <w:pPr>
        <w:ind w:left="720"/>
        <w:jc w:val="both"/>
        <w:rPr>
          <w:lang w:bidi="he-IL"/>
        </w:rPr>
      </w:pPr>
      <w:r>
        <w:rPr>
          <w:lang w:bidi="he-IL"/>
        </w:rPr>
        <w:t>“To be an essential feature of a is to be a foundational feature of a.</w:t>
      </w:r>
    </w:p>
    <w:p w14:paraId="38151948" w14:textId="51E2F62A" w:rsidR="00FF347A" w:rsidRDefault="00FF347A" w:rsidP="00E45BFD">
      <w:pPr>
        <w:ind w:left="720"/>
        <w:jc w:val="both"/>
        <w:rPr>
          <w:lang w:bidi="he-IL"/>
        </w:rPr>
      </w:pPr>
      <w:r>
        <w:rPr>
          <w:lang w:bidi="he-IL"/>
        </w:rPr>
        <w:t>To be an accidental feature of a is to be a non-foundational feature of a.” (2014: 130)</w:t>
      </w:r>
    </w:p>
    <w:p w14:paraId="4BFD6D55" w14:textId="77777777" w:rsidR="00654FDB" w:rsidRDefault="00654FDB" w:rsidP="00E45BFD">
      <w:pPr>
        <w:ind w:firstLine="432"/>
        <w:jc w:val="both"/>
        <w:rPr>
          <w:lang w:bidi="he-IL"/>
        </w:rPr>
      </w:pPr>
    </w:p>
    <w:p w14:paraId="427E2E35" w14:textId="1029947F" w:rsidR="002B4DCD" w:rsidRDefault="00654FDB" w:rsidP="00E45BFD">
      <w:pPr>
        <w:jc w:val="both"/>
        <w:rPr>
          <w:lang w:bidi="he-IL"/>
        </w:rPr>
      </w:pPr>
      <w:r>
        <w:rPr>
          <w:lang w:bidi="he-IL"/>
        </w:rPr>
        <w:t xml:space="preserve">When we put together these definitions and interpret ‘support’ as grounding, we get that F is an essential feature of a </w:t>
      </w:r>
      <w:proofErr w:type="spellStart"/>
      <w:r>
        <w:rPr>
          <w:lang w:bidi="he-IL"/>
        </w:rPr>
        <w:t>iff</w:t>
      </w:r>
      <w:proofErr w:type="spellEnd"/>
      <w:r>
        <w:rPr>
          <w:lang w:bidi="he-IL"/>
        </w:rPr>
        <w:t xml:space="preserve"> </w:t>
      </w:r>
      <w:r w:rsidR="007239BE">
        <w:rPr>
          <w:lang w:bidi="he-IL"/>
        </w:rPr>
        <w:t xml:space="preserve">there’s no G such that a’s being G grounds a’s being F. </w:t>
      </w:r>
      <w:r w:rsidR="0072291E">
        <w:rPr>
          <w:lang w:bidi="he-IL"/>
        </w:rPr>
        <w:t>Importantly, this definition doesn’t demand that a’s being G be fundamental in the grounding-theoretic sense. It may well be that there is a further fact that grounds and explains why a has some essential property, G; it</w:t>
      </w:r>
      <w:r w:rsidR="004A09D2">
        <w:rPr>
          <w:lang w:bidi="he-IL"/>
        </w:rPr>
        <w:t>’s</w:t>
      </w:r>
      <w:r w:rsidR="0072291E">
        <w:rPr>
          <w:lang w:bidi="he-IL"/>
        </w:rPr>
        <w:t xml:space="preserve"> just </w:t>
      </w:r>
      <w:r w:rsidR="004A09D2">
        <w:rPr>
          <w:lang w:bidi="he-IL"/>
        </w:rPr>
        <w:t xml:space="preserve">that this fact </w:t>
      </w:r>
      <w:r w:rsidR="0072291E">
        <w:rPr>
          <w:lang w:bidi="he-IL"/>
        </w:rPr>
        <w:t xml:space="preserve">cannot </w:t>
      </w:r>
      <w:r w:rsidR="004A09D2">
        <w:rPr>
          <w:lang w:bidi="he-IL"/>
        </w:rPr>
        <w:t>consist</w:t>
      </w:r>
      <w:r w:rsidR="0072291E">
        <w:rPr>
          <w:lang w:bidi="he-IL"/>
        </w:rPr>
        <w:t xml:space="preserve"> in the same property-bearer</w:t>
      </w:r>
      <w:r w:rsidR="00932DC1">
        <w:rPr>
          <w:lang w:bidi="he-IL"/>
        </w:rPr>
        <w:t>, a, having some other property (2014: 129)</w:t>
      </w:r>
      <w:r w:rsidR="009D3BF3">
        <w:rPr>
          <w:lang w:bidi="he-IL"/>
        </w:rPr>
        <w:t>.</w:t>
      </w:r>
      <w:r w:rsidR="00D23FCB">
        <w:rPr>
          <w:lang w:bidi="he-IL"/>
        </w:rPr>
        <w:t xml:space="preserve"> Another important qualification is that by ‘support’ Gorman means only partial support, i.e. partial grounding. That is, for the feature of an entity to be accidental (non-essential), it suffices if it has a partial ground in terms of the same entity’s having some other feature.</w:t>
      </w:r>
      <w:r w:rsidR="00F00A29">
        <w:rPr>
          <w:rStyle w:val="FootnoteReference"/>
          <w:lang w:bidi="he-IL"/>
        </w:rPr>
        <w:footnoteReference w:id="5"/>
      </w:r>
    </w:p>
    <w:p w14:paraId="19FAB435" w14:textId="5AB221F6" w:rsidR="00726F8B" w:rsidRDefault="002B4DCD">
      <w:pPr>
        <w:ind w:firstLine="432"/>
        <w:jc w:val="both"/>
        <w:rPr>
          <w:lang w:bidi="he-IL"/>
        </w:rPr>
      </w:pPr>
      <w:r>
        <w:rPr>
          <w:lang w:bidi="he-IL"/>
        </w:rPr>
        <w:t xml:space="preserve">Unlike Sullivan, Gorman works with a non-modal notion of essence. However, as he himself notes, his account doesn’t even require </w:t>
      </w:r>
      <w:r w:rsidR="00DA0F22">
        <w:rPr>
          <w:lang w:bidi="he-IL"/>
        </w:rPr>
        <w:t xml:space="preserve">the necessity of essential properties as a necessary condition. After all, nothing in the notion of a foundational property demands that things have their foundational properties necessarily. This means that </w:t>
      </w:r>
      <w:r>
        <w:rPr>
          <w:lang w:bidi="he-IL"/>
        </w:rPr>
        <w:t xml:space="preserve">(in a traditional Aristotelian vein) Gorman maintains that the distinction between essential and accidental properties is orthogonal to that between necessary and contingent ones: </w:t>
      </w:r>
      <w:r w:rsidR="00DA0F22">
        <w:rPr>
          <w:lang w:bidi="he-IL"/>
        </w:rPr>
        <w:t xml:space="preserve">at least so far as the definitions go, </w:t>
      </w:r>
      <w:r>
        <w:rPr>
          <w:lang w:bidi="he-IL"/>
        </w:rPr>
        <w:t xml:space="preserve">not only could there be necessary accidental properties (as the Fine-inspired literature has it), but </w:t>
      </w:r>
      <w:r w:rsidR="00DA0F22">
        <w:rPr>
          <w:lang w:bidi="he-IL"/>
        </w:rPr>
        <w:t>also contingent essential ones</w:t>
      </w:r>
      <w:r w:rsidR="00CF01C3">
        <w:rPr>
          <w:lang w:bidi="he-IL"/>
        </w:rPr>
        <w:t xml:space="preserve">. </w:t>
      </w:r>
      <w:r w:rsidR="005D7923">
        <w:rPr>
          <w:lang w:bidi="he-IL"/>
        </w:rPr>
        <w:t xml:space="preserve">As an example, </w:t>
      </w:r>
      <w:r w:rsidR="00CF01C3">
        <w:rPr>
          <w:lang w:bidi="he-IL"/>
        </w:rPr>
        <w:t xml:space="preserve">Gorman offers </w:t>
      </w:r>
      <w:r w:rsidR="00726F8B">
        <w:rPr>
          <w:lang w:bidi="he-IL"/>
        </w:rPr>
        <w:t xml:space="preserve">a </w:t>
      </w:r>
      <w:r w:rsidR="005D7923">
        <w:rPr>
          <w:lang w:bidi="he-IL"/>
        </w:rPr>
        <w:t xml:space="preserve">certain </w:t>
      </w:r>
      <w:r w:rsidR="00726F8B">
        <w:rPr>
          <w:lang w:bidi="he-IL"/>
        </w:rPr>
        <w:t xml:space="preserve">conception of Jesus Christ </w:t>
      </w:r>
      <w:r w:rsidR="005D7923">
        <w:rPr>
          <w:lang w:bidi="he-IL"/>
        </w:rPr>
        <w:t xml:space="preserve">that has been popular </w:t>
      </w:r>
      <w:r w:rsidR="00726F8B">
        <w:rPr>
          <w:lang w:bidi="he-IL"/>
        </w:rPr>
        <w:t xml:space="preserve">in the </w:t>
      </w:r>
      <w:r w:rsidR="00CF01C3">
        <w:rPr>
          <w:lang w:bidi="he-IL"/>
        </w:rPr>
        <w:t>scholastic tradition</w:t>
      </w:r>
      <w:r w:rsidR="00726F8B">
        <w:rPr>
          <w:lang w:bidi="he-IL"/>
        </w:rPr>
        <w:t xml:space="preserve">, according to which he has two natures, human and divine, but only one of them </w:t>
      </w:r>
      <w:r w:rsidR="0080425D">
        <w:rPr>
          <w:lang w:bidi="he-IL"/>
        </w:rPr>
        <w:t>necessarily</w:t>
      </w:r>
      <w:r w:rsidR="00726F8B">
        <w:rPr>
          <w:lang w:bidi="he-IL"/>
        </w:rPr>
        <w:t xml:space="preserve"> </w:t>
      </w:r>
      <w:r w:rsidR="00DA0F22">
        <w:rPr>
          <w:lang w:bidi="he-IL"/>
        </w:rPr>
        <w:t>(2014: 131</w:t>
      </w:r>
      <w:r w:rsidR="00726F8B">
        <w:rPr>
          <w:lang w:bidi="he-IL"/>
        </w:rPr>
        <w:t xml:space="preserve">). More prosaically, if an object contingently has a certain microstructure, that may </w:t>
      </w:r>
      <w:r w:rsidR="00C12133">
        <w:rPr>
          <w:lang w:bidi="he-IL"/>
        </w:rPr>
        <w:t xml:space="preserve">also </w:t>
      </w:r>
      <w:r w:rsidR="00726F8B">
        <w:rPr>
          <w:lang w:bidi="he-IL"/>
        </w:rPr>
        <w:t>be a contingent essential property on Gorman’s view</w:t>
      </w:r>
      <w:r w:rsidR="00DA0F22">
        <w:rPr>
          <w:lang w:bidi="he-IL"/>
        </w:rPr>
        <w:t>.</w:t>
      </w:r>
    </w:p>
    <w:p w14:paraId="3A3199C8" w14:textId="7017ACE8" w:rsidR="00816369" w:rsidRDefault="00816369" w:rsidP="00816369">
      <w:pPr>
        <w:ind w:firstLine="432"/>
        <w:jc w:val="both"/>
        <w:rPr>
          <w:lang w:bidi="he-IL"/>
        </w:rPr>
      </w:pPr>
      <w:r>
        <w:rPr>
          <w:lang w:bidi="he-IL"/>
        </w:rPr>
        <w:t xml:space="preserve">What are the prospects of an explanation- or grounding-based analysis of a non-modal, context-insensitive notion of essence that nonetheless accepts that essentiality is sufficient (even if not necessary) for necessity? </w:t>
      </w:r>
      <w:r>
        <w:rPr>
          <w:lang w:bidi="he-IL"/>
        </w:rPr>
        <w:t xml:space="preserve">Julio De Rizzo (2022) has recently offered </w:t>
      </w:r>
      <w:r>
        <w:rPr>
          <w:lang w:bidi="he-IL"/>
        </w:rPr>
        <w:t xml:space="preserve">an account of essence that attempts to do just that. </w:t>
      </w:r>
      <w:r w:rsidR="00280E23">
        <w:rPr>
          <w:lang w:bidi="he-IL"/>
        </w:rPr>
        <w:t>His</w:t>
      </w:r>
      <w:r>
        <w:rPr>
          <w:lang w:bidi="he-IL"/>
        </w:rPr>
        <w:t xml:space="preserve"> </w:t>
      </w:r>
      <w:r>
        <w:rPr>
          <w:lang w:bidi="he-IL"/>
        </w:rPr>
        <w:t>analysis</w:t>
      </w:r>
      <w:r w:rsidR="00280E23">
        <w:rPr>
          <w:lang w:bidi="he-IL"/>
        </w:rPr>
        <w:t xml:space="preserve"> has two stages. </w:t>
      </w:r>
      <w:r>
        <w:rPr>
          <w:lang w:bidi="he-IL"/>
        </w:rPr>
        <w:t xml:space="preserve">First, he adopts Correia’s ground-theoretic analysis of (rigid) ontological dependence: </w:t>
      </w:r>
      <w:r>
        <w:rPr>
          <w:rFonts w:ascii="Cambria Math" w:hAnsi="Cambria Math" w:cs="Cambria Math"/>
          <w:color w:val="202122"/>
          <w:sz w:val="25"/>
          <w:szCs w:val="25"/>
          <w:shd w:val="clear" w:color="auto" w:fill="FFFFFF"/>
        </w:rPr>
        <w:t>∀</w:t>
      </w:r>
      <w:proofErr w:type="spellStart"/>
      <w:r>
        <w:rPr>
          <w:lang w:bidi="he-IL"/>
        </w:rPr>
        <w:t>x</w:t>
      </w:r>
      <w:r>
        <w:rPr>
          <w:rFonts w:ascii="Cambria Math" w:hAnsi="Cambria Math" w:cs="Cambria Math"/>
          <w:color w:val="202122"/>
          <w:sz w:val="25"/>
          <w:szCs w:val="25"/>
          <w:shd w:val="clear" w:color="auto" w:fill="FFFFFF"/>
        </w:rPr>
        <w:t>∀</w:t>
      </w:r>
      <w:r>
        <w:rPr>
          <w:lang w:bidi="he-IL"/>
        </w:rPr>
        <w:t>y</w:t>
      </w:r>
      <w:proofErr w:type="spellEnd"/>
      <w:r>
        <w:rPr>
          <w:lang w:bidi="he-IL"/>
        </w:rPr>
        <w:t xml:space="preserve"> (x depends ontologically on y </w:t>
      </w:r>
      <w:r>
        <w:rPr>
          <w:lang w:bidi="he-IL"/>
        </w:rPr>
        <w:sym w:font="Wingdings" w:char="F0DF"/>
      </w:r>
      <w:r>
        <w:rPr>
          <w:lang w:bidi="he-IL"/>
        </w:rPr>
        <w:sym w:font="Wingdings" w:char="F0E0"/>
      </w:r>
      <w:r>
        <w:rPr>
          <w:lang w:bidi="he-IL"/>
        </w:rPr>
        <w:t xml:space="preserve"> </w:t>
      </w:r>
      <w:r w:rsidRPr="00B15243">
        <w:rPr>
          <w:rFonts w:ascii="Cambria Math" w:hAnsi="Cambria Math" w:cs="Cambria Math" w:hint="eastAsia"/>
          <w:color w:val="202122"/>
          <w:sz w:val="25"/>
          <w:szCs w:val="25"/>
          <w:shd w:val="clear" w:color="auto" w:fill="FFFFFF"/>
        </w:rPr>
        <w:t>∃</w:t>
      </w:r>
      <w:r w:rsidRPr="00B15243">
        <w:rPr>
          <w:rFonts w:ascii="Cambria Math" w:hAnsi="Cambria Math" w:cs="Cambria Math"/>
          <w:color w:val="202122"/>
          <w:sz w:val="25"/>
          <w:szCs w:val="25"/>
          <w:shd w:val="clear" w:color="auto" w:fill="FFFFFF"/>
          <w:lang w:bidi="he-IL"/>
        </w:rPr>
        <w:t>F</w:t>
      </w:r>
      <w:r>
        <w:rPr>
          <w:rFonts w:ascii="MJXc-TeX-ams-Rw" w:eastAsia="Times New Roman" w:hAnsi="MJXc-TeX-ams-Rw"/>
          <w:color w:val="1A1A1A"/>
          <w:sz w:val="25"/>
          <w:szCs w:val="25"/>
          <w:shd w:val="clear" w:color="auto" w:fill="FFFFFF"/>
        </w:rPr>
        <w:t>□</w:t>
      </w:r>
      <w:r>
        <w:rPr>
          <w:lang w:bidi="he-IL"/>
        </w:rPr>
        <w:t xml:space="preserve">(x exists </w:t>
      </w:r>
      <w:r>
        <w:rPr>
          <w:lang w:bidi="he-IL"/>
        </w:rPr>
        <w:sym w:font="Wingdings" w:char="F0E0"/>
      </w:r>
      <w:r>
        <w:rPr>
          <w:lang w:bidi="he-IL"/>
        </w:rPr>
        <w:t xml:space="preserve"> (x exists because y is F))), where ‘because’ is to be understood in the ground-theoretic sense (Correia 2005: 66). In the second stage, he offers a multi-clause definition that states the essence of a proposition according to its logical form. Going through each clause would be too involved</w:t>
      </w:r>
      <w:r w:rsidR="009B1926">
        <w:rPr>
          <w:lang w:bidi="he-IL"/>
        </w:rPr>
        <w:t xml:space="preserve"> for a short article like this</w:t>
      </w:r>
      <w:r>
        <w:rPr>
          <w:lang w:bidi="he-IL"/>
        </w:rPr>
        <w:t xml:space="preserve">, but the basic idea is that a truth about a certain </w:t>
      </w:r>
      <w:r>
        <w:rPr>
          <w:lang w:bidi="he-IL"/>
        </w:rPr>
        <w:lastRenderedPageBreak/>
        <w:t>entity E is essential to that entity just in case it is a necessary truth that is either atomic or the negation an atomic truth, and it contains reference solely to that E or entities on which E ontologically depends. De Rizzo gives the following simple example: it’s essential to {Socrates} that Socrates is a member of {Socrates}. {Socrates} ontologically depends of Socrates, which is as it should be given De Rizzo’s rule for atomic essentialist statements (2022: 36–37).</w:t>
      </w:r>
    </w:p>
    <w:p w14:paraId="169902AB" w14:textId="6420F7D1" w:rsidR="00742370" w:rsidRDefault="00742370" w:rsidP="00DA28BD">
      <w:pPr>
        <w:ind w:firstLine="432"/>
        <w:jc w:val="both"/>
      </w:pPr>
      <w:r>
        <w:rPr>
          <w:lang w:bidi="he-IL"/>
        </w:rPr>
        <w:t xml:space="preserve">One question that arises about De Rizzo’s account concerns the notion of ontological dependence it presupposes. De Rizzo </w:t>
      </w:r>
      <w:r w:rsidR="000A6B0A">
        <w:rPr>
          <w:lang w:bidi="he-IL"/>
        </w:rPr>
        <w:t>bases his analysis on what</w:t>
      </w:r>
      <w:r>
        <w:rPr>
          <w:lang w:bidi="he-IL"/>
        </w:rPr>
        <w:t xml:space="preserve"> Correia</w:t>
      </w:r>
      <w:r w:rsidR="000A6B0A">
        <w:rPr>
          <w:lang w:bidi="he-IL"/>
        </w:rPr>
        <w:t xml:space="preserve"> calls</w:t>
      </w:r>
      <w:r>
        <w:rPr>
          <w:lang w:bidi="he-IL"/>
        </w:rPr>
        <w:t xml:space="preserve"> </w:t>
      </w:r>
      <w:r w:rsidRPr="000A6B0A">
        <w:rPr>
          <w:i/>
          <w:iCs/>
          <w:lang w:bidi="he-IL"/>
        </w:rPr>
        <w:t>rigid</w:t>
      </w:r>
      <w:r>
        <w:rPr>
          <w:lang w:bidi="he-IL"/>
        </w:rPr>
        <w:t xml:space="preserve"> </w:t>
      </w:r>
      <w:r w:rsidR="000A6B0A">
        <w:rPr>
          <w:lang w:bidi="he-IL"/>
        </w:rPr>
        <w:t xml:space="preserve">ontological </w:t>
      </w:r>
      <w:r>
        <w:rPr>
          <w:lang w:bidi="he-IL"/>
        </w:rPr>
        <w:t>dependence, which Correia distinguishes from essential dependence. The distinction, recall, is crucial for Correia’s response to Fine’s objection to an essentialist account of grounding: it’s part of the nature of [</w:t>
      </w:r>
      <w:r>
        <w:t>S</w:t>
      </w:r>
      <w:r>
        <w:t>omeone is a philosopher</w:t>
      </w:r>
      <w:r>
        <w:t>]</w:t>
      </w:r>
      <w:r>
        <w:t xml:space="preserve"> that </w:t>
      </w:r>
      <w:r w:rsidRPr="00375138">
        <w:rPr>
          <w:i/>
        </w:rPr>
        <w:t>if</w:t>
      </w:r>
      <w:r>
        <w:t xml:space="preserve"> Socrates is a philosopher, then someone is; </w:t>
      </w:r>
      <w:r>
        <w:t xml:space="preserve">but this doesn’t </w:t>
      </w:r>
      <w:r w:rsidR="00DA28BD">
        <w:t xml:space="preserve">mean </w:t>
      </w:r>
      <w:r>
        <w:t xml:space="preserve">that Socrates himself is part of the nature of the quantified proposition. </w:t>
      </w:r>
      <w:r w:rsidR="00DA28BD">
        <w:t>However, De Rizzo defines essence in terms of simple rigid dependence rather than essential dependence. Such a definition threatens to conflate two different two notions of ontological dependence; whereas using essential rather than rigid dependence in the analysans would make De Rizzo’s analysis look circular.</w:t>
      </w:r>
    </w:p>
    <w:p w14:paraId="4158C6E5" w14:textId="32B83656" w:rsidR="009E3F22" w:rsidRDefault="00262EE7" w:rsidP="00262EE7">
      <w:pPr>
        <w:ind w:firstLine="432"/>
        <w:jc w:val="both"/>
        <w:rPr>
          <w:lang w:bidi="he-IL"/>
        </w:rPr>
      </w:pPr>
      <w:r>
        <w:t xml:space="preserve">This is certainly not the last word on De Rizzo’s account, </w:t>
      </w:r>
      <w:r w:rsidR="00D82BFD">
        <w:t xml:space="preserve">which is </w:t>
      </w:r>
      <w:r>
        <w:t>too recent to have generated much discussion yet. Either way</w:t>
      </w:r>
      <w:r w:rsidR="00E02575">
        <w:t>,</w:t>
      </w:r>
      <w:r>
        <w:t xml:space="preserve"> </w:t>
      </w:r>
      <w:r w:rsidR="00422C6A">
        <w:t>it</w:t>
      </w:r>
      <w:r w:rsidR="00E02575">
        <w:t xml:space="preserve"> is </w:t>
      </w:r>
      <w:r>
        <w:t xml:space="preserve">an important addition to ground-theoretic accounts of essence, especially since of the three accounts considered in this section, it is the one that remains most faithful to the </w:t>
      </w:r>
      <w:proofErr w:type="spellStart"/>
      <w:r>
        <w:t>Finean</w:t>
      </w:r>
      <w:proofErr w:type="spellEnd"/>
      <w:r>
        <w:t xml:space="preserve"> tradition.</w:t>
      </w:r>
    </w:p>
    <w:p w14:paraId="3F7FCDEE" w14:textId="77777777" w:rsidR="009E3F22" w:rsidRPr="00816369" w:rsidRDefault="009E3F22" w:rsidP="00816369">
      <w:pPr>
        <w:ind w:firstLine="432"/>
        <w:jc w:val="both"/>
        <w:rPr>
          <w:lang w:bidi="he-IL"/>
        </w:rPr>
      </w:pPr>
    </w:p>
    <w:p w14:paraId="4C72373A" w14:textId="765B557E" w:rsidR="00F22117" w:rsidRDefault="00F22117" w:rsidP="00E45BFD">
      <w:pPr>
        <w:jc w:val="both"/>
        <w:rPr>
          <w:lang w:bidi="he-IL"/>
        </w:rPr>
      </w:pPr>
    </w:p>
    <w:p w14:paraId="21824A57" w14:textId="256EAF8B" w:rsidR="006D330D" w:rsidRPr="00E45268" w:rsidRDefault="00330461" w:rsidP="00E45BFD">
      <w:pPr>
        <w:ind w:firstLine="432"/>
        <w:jc w:val="both"/>
        <w:rPr>
          <w:b/>
          <w:bCs/>
        </w:rPr>
      </w:pPr>
      <w:r w:rsidRPr="00E45268">
        <w:rPr>
          <w:b/>
          <w:bCs/>
        </w:rPr>
        <w:t>1.3 Shared-basis definitions of essence and grounding</w:t>
      </w:r>
    </w:p>
    <w:p w14:paraId="30F72952" w14:textId="31C3235E" w:rsidR="00330461" w:rsidRDefault="00330461">
      <w:pPr>
        <w:jc w:val="both"/>
      </w:pPr>
      <w:r>
        <w:t xml:space="preserve">A third possible way to increase ideological parsimony is to give reductive definitions of </w:t>
      </w:r>
      <w:r w:rsidR="00E45268">
        <w:t xml:space="preserve">both </w:t>
      </w:r>
      <w:r>
        <w:t xml:space="preserve">essence and grounding in terms of the same </w:t>
      </w:r>
      <w:r w:rsidR="001A2A79">
        <w:t xml:space="preserve">primitive </w:t>
      </w:r>
      <w:r>
        <w:t>concepts.</w:t>
      </w:r>
      <w:r w:rsidR="00771189">
        <w:t xml:space="preserve"> This is </w:t>
      </w:r>
      <w:r w:rsidR="00C950D6">
        <w:t xml:space="preserve">exactly </w:t>
      </w:r>
      <w:r w:rsidR="00771189">
        <w:t>what Fabrice Correia and Alexander Skiles attempt to do in a recent paper</w:t>
      </w:r>
      <w:r w:rsidR="00C950D6">
        <w:t xml:space="preserve">. A basic concept that plays </w:t>
      </w:r>
      <w:r w:rsidR="00781762">
        <w:t xml:space="preserve">a </w:t>
      </w:r>
      <w:r w:rsidR="00C950D6">
        <w:t>central role in their account is what they call “generalized identity”</w:t>
      </w:r>
      <w:r w:rsidR="008259C3">
        <w:t>. The notion is perspicuously expressed by the locution ‘For… is for</w:t>
      </w:r>
      <w:r w:rsidR="00083F12">
        <w:t>…</w:t>
      </w:r>
      <w:r w:rsidR="008259C3">
        <w:t>’ (Correia and Skiles 201</w:t>
      </w:r>
      <w:r w:rsidR="00472F96">
        <w:t>9</w:t>
      </w:r>
      <w:r w:rsidR="008259C3">
        <w:t xml:space="preserve">: 643). </w:t>
      </w:r>
      <w:r w:rsidR="009A5714">
        <w:t xml:space="preserve">Sometimes this phrase functions as an essentialist locution itself, and this is how I read Correia’s earlier work in section 1.1. However, in this more recent paper Correia and Skiles understand the phrase as expressing identity: for example, </w:t>
      </w:r>
      <w:r w:rsidR="000E4D20">
        <w:t xml:space="preserve">for something </w:t>
      </w:r>
      <w:r w:rsidR="008259C3">
        <w:t xml:space="preserve">to be a water molecule is </w:t>
      </w:r>
      <w:r w:rsidR="00406D42">
        <w:t>(</w:t>
      </w:r>
      <w:r w:rsidR="009A5714">
        <w:t>the same thing as</w:t>
      </w:r>
      <w:r w:rsidR="00406D42">
        <w:t>)</w:t>
      </w:r>
      <w:r w:rsidR="009A5714">
        <w:t xml:space="preserve"> </w:t>
      </w:r>
      <w:r w:rsidR="008259C3">
        <w:t>for it to be a</w:t>
      </w:r>
      <w:r w:rsidR="00BA7F32">
        <w:t>n H2O molecule</w:t>
      </w:r>
      <w:r w:rsidR="008259C3">
        <w:t xml:space="preserve">; for something to be a bachelor is </w:t>
      </w:r>
      <w:r w:rsidR="00406D42">
        <w:t>(</w:t>
      </w:r>
      <w:r w:rsidR="009A5714">
        <w:t>the same thing as</w:t>
      </w:r>
      <w:r w:rsidR="00406D42">
        <w:t>)</w:t>
      </w:r>
      <w:r w:rsidR="009A5714">
        <w:t xml:space="preserve"> </w:t>
      </w:r>
      <w:r w:rsidR="008259C3">
        <w:t xml:space="preserve">for it to be an unmarried man; and for me to have knowledge is </w:t>
      </w:r>
      <w:r w:rsidR="00406D42">
        <w:t>(</w:t>
      </w:r>
      <w:r w:rsidR="009A5714">
        <w:t>the same thing as</w:t>
      </w:r>
      <w:r w:rsidR="00406D42">
        <w:t>)</w:t>
      </w:r>
      <w:r w:rsidR="009A5714">
        <w:t xml:space="preserve"> </w:t>
      </w:r>
      <w:r w:rsidR="008259C3">
        <w:t>for me to have true, justified, non-</w:t>
      </w:r>
      <w:proofErr w:type="spellStart"/>
      <w:r w:rsidR="008259C3">
        <w:t>Gettiered</w:t>
      </w:r>
      <w:proofErr w:type="spellEnd"/>
      <w:r w:rsidR="008259C3">
        <w:t xml:space="preserve"> belief. </w:t>
      </w:r>
      <w:r w:rsidR="009A5714">
        <w:t xml:space="preserve">Importantly, </w:t>
      </w:r>
      <w:r w:rsidR="00F54E54">
        <w:t>these identity statements are generalized. That is, Correia and Skiles ask us to understand them as being clear enough to speak for themselves, without the need to paraphrase them into objectual identities that would commit us to entities in the world that serve as the relata of the identity relation (as in ‘The property of being water is identical to the property of being H</w:t>
      </w:r>
      <w:r w:rsidR="00F54E54" w:rsidRPr="00E63637">
        <w:rPr>
          <w:vertAlign w:val="subscript"/>
        </w:rPr>
        <w:t>2</w:t>
      </w:r>
      <w:r w:rsidR="00F54E54">
        <w:t>O’, a sentence about properties, or ‘Every bachelor is identical to an unmarried man, and every unmarried man is identical to a bachelor’, a sentence about people).</w:t>
      </w:r>
    </w:p>
    <w:p w14:paraId="5096BCCD" w14:textId="7A1E6AE0" w:rsidR="00915040" w:rsidRDefault="00BB5693" w:rsidP="00E45BFD">
      <w:pPr>
        <w:ind w:firstLine="432"/>
        <w:jc w:val="both"/>
      </w:pPr>
      <w:r>
        <w:t xml:space="preserve">Correia and Skiles’ analyses rely on the </w:t>
      </w:r>
      <w:r w:rsidR="00AC0F3E">
        <w:t>idea</w:t>
      </w:r>
      <w:r>
        <w:t xml:space="preserve"> that generalized identity can be partial. They distinguish </w:t>
      </w:r>
      <w:r w:rsidR="00385C33">
        <w:t xml:space="preserve">between </w:t>
      </w:r>
      <w:r>
        <w:t>two types of parthood. Conjunctive parthood (the notion we would normally identify with parthood</w:t>
      </w:r>
      <w:r w:rsidR="00BC1800">
        <w:t xml:space="preserve"> </w:t>
      </w:r>
      <w:r w:rsidR="00BC1800" w:rsidRPr="00BC1800">
        <w:rPr>
          <w:i/>
        </w:rPr>
        <w:t>simpliciter</w:t>
      </w:r>
      <w:r>
        <w:t xml:space="preserve">) </w:t>
      </w:r>
      <w:r w:rsidR="007307E6">
        <w:t>corresponds to</w:t>
      </w:r>
      <w:r>
        <w:t xml:space="preserve"> merely necessary conditions in a</w:t>
      </w:r>
      <w:r w:rsidR="00CC37AE">
        <w:t xml:space="preserve"> generalized identity statement</w:t>
      </w:r>
      <w:r>
        <w:t>. For example, part of what it is for someone to be a bachelor is for him to be a man</w:t>
      </w:r>
      <w:r w:rsidR="0022782A">
        <w:t>, and part of what it is to be Socrates is to be human. Disjunctive parthood is less familiar. Intuitively, we could say that a disjunc</w:t>
      </w:r>
      <w:r w:rsidR="00CC37AE">
        <w:t>tive partial identity statement</w:t>
      </w:r>
      <w:r w:rsidR="0022782A">
        <w:t xml:space="preserve"> specifies a merely sufficient </w:t>
      </w:r>
      <w:r w:rsidR="00CC37AE">
        <w:t>condition of the right-hand side of that statement</w:t>
      </w:r>
      <w:r w:rsidR="004D68B4">
        <w:t>. For example, for it to be rainy is a disjunctive part of what it is to be rainy or snowy</w:t>
      </w:r>
      <w:r w:rsidR="001807E0">
        <w:t>.</w:t>
      </w:r>
    </w:p>
    <w:p w14:paraId="46A15F02" w14:textId="2D64869A" w:rsidR="00915040" w:rsidRDefault="009500E5" w:rsidP="00E45BFD">
      <w:pPr>
        <w:ind w:firstLine="432"/>
        <w:jc w:val="both"/>
      </w:pPr>
      <w:r>
        <w:lastRenderedPageBreak/>
        <w:t xml:space="preserve">It’s not hard to see why </w:t>
      </w:r>
      <w:r w:rsidR="00184373">
        <w:t xml:space="preserve">conjunctive </w:t>
      </w:r>
      <w:r>
        <w:t xml:space="preserve">parthood will be relevant to essence and </w:t>
      </w:r>
      <w:r w:rsidR="00184373">
        <w:t xml:space="preserve">disjunctive parthood </w:t>
      </w:r>
      <w:r>
        <w:t xml:space="preserve">to grounding. Intuitively, </w:t>
      </w:r>
      <w:r w:rsidR="00865DC0">
        <w:t xml:space="preserve">each part of the full essence of something is itself essential. On the other hand, not each ground of a fact is a necessary condition of that fact; a fact can be “grounding-overdetermined” so that any </w:t>
      </w:r>
      <w:r w:rsidR="00A61912">
        <w:t xml:space="preserve">set </w:t>
      </w:r>
      <w:r w:rsidR="00935C93">
        <w:t>within a set</w:t>
      </w:r>
      <w:r w:rsidR="00865DC0">
        <w:t xml:space="preserve"> of sets of full grounds is sufficient for its obtaining.</w:t>
      </w:r>
      <w:r w:rsidR="000B10E2">
        <w:t xml:space="preserve"> The details of Correia a</w:t>
      </w:r>
      <w:r w:rsidR="00967EC3">
        <w:t>nd Skiles’ full proposal resist</w:t>
      </w:r>
      <w:r w:rsidR="000B10E2">
        <w:t xml:space="preserve"> economic presentation because they distinguish several different notions of essence (full and partial; generic, objectual and factual). Here, I just mention the most basic pair of definitions they provide, for generic essence:</w:t>
      </w:r>
    </w:p>
    <w:p w14:paraId="031BF0AB" w14:textId="61EC75F5" w:rsidR="000B10E2" w:rsidRDefault="000B10E2" w:rsidP="00E45BFD">
      <w:pPr>
        <w:ind w:firstLine="432"/>
        <w:jc w:val="both"/>
      </w:pPr>
    </w:p>
    <w:p w14:paraId="47762DCB" w14:textId="3938B2FB" w:rsidR="000B10E2" w:rsidRDefault="000B10E2" w:rsidP="00E45BFD">
      <w:pPr>
        <w:ind w:left="720"/>
        <w:jc w:val="both"/>
      </w:pPr>
      <w:r>
        <w:t>(</w:t>
      </w:r>
      <w:r w:rsidRPr="003E2427">
        <w:rPr>
          <w:i/>
          <w:iCs/>
        </w:rPr>
        <w:t>Full Generic Essence</w:t>
      </w:r>
      <w:r>
        <w:t xml:space="preserve">) Being F is what it is to be G in full </w:t>
      </w:r>
      <w:proofErr w:type="spellStart"/>
      <w:r>
        <w:t>iff</w:t>
      </w:r>
      <w:proofErr w:type="spellEnd"/>
      <w:r>
        <w:t>: for a thing to be G is</w:t>
      </w:r>
      <w:r w:rsidR="00EF0F1D">
        <w:t xml:space="preserve"> </w:t>
      </w:r>
      <w:r>
        <w:t>for it to be F (648)</w:t>
      </w:r>
    </w:p>
    <w:p w14:paraId="06622AF4" w14:textId="7F167DDF" w:rsidR="000B10E2" w:rsidRDefault="000B10E2" w:rsidP="00E45BFD">
      <w:pPr>
        <w:ind w:left="720"/>
        <w:jc w:val="both"/>
      </w:pPr>
    </w:p>
    <w:p w14:paraId="1CE7CCCC" w14:textId="25C96852" w:rsidR="000B10E2" w:rsidRDefault="000B10E2" w:rsidP="00E45BFD">
      <w:pPr>
        <w:ind w:left="720"/>
        <w:jc w:val="both"/>
      </w:pPr>
      <w:r>
        <w:t>(</w:t>
      </w:r>
      <w:r w:rsidRPr="003E2427">
        <w:rPr>
          <w:i/>
          <w:iCs/>
        </w:rPr>
        <w:t xml:space="preserve">Partial Generic </w:t>
      </w:r>
      <w:proofErr w:type="spellStart"/>
      <w:r w:rsidRPr="003E2427">
        <w:rPr>
          <w:i/>
          <w:iCs/>
        </w:rPr>
        <w:t>Essence</w:t>
      </w:r>
      <w:r w:rsidR="00233311" w:rsidRPr="00233311">
        <w:rPr>
          <w:i/>
          <w:iCs/>
          <w:vertAlign w:val="subscript"/>
        </w:rPr>
        <w:t>C&amp;S</w:t>
      </w:r>
      <w:proofErr w:type="spellEnd"/>
      <w:r>
        <w:t xml:space="preserve">) Being F is partially what it is to be G </w:t>
      </w:r>
      <w:proofErr w:type="spellStart"/>
      <w:r>
        <w:t>iff</w:t>
      </w:r>
      <w:proofErr w:type="spellEnd"/>
      <w:r>
        <w:t>: there is some</w:t>
      </w:r>
      <w:r w:rsidR="00EF0F1D">
        <w:t xml:space="preserve"> </w:t>
      </w:r>
      <w:r>
        <w:t>H such that for a thing to be G is for it to be both F and</w:t>
      </w:r>
      <w:r w:rsidR="003E2427">
        <w:t xml:space="preserve"> </w:t>
      </w:r>
      <w:r>
        <w:t>H (649)</w:t>
      </w:r>
    </w:p>
    <w:p w14:paraId="6F768916" w14:textId="3176019C" w:rsidR="003E2427" w:rsidRDefault="003E2427" w:rsidP="00E45BFD">
      <w:pPr>
        <w:ind w:firstLine="432"/>
        <w:jc w:val="both"/>
      </w:pPr>
    </w:p>
    <w:p w14:paraId="1C7CC7C0" w14:textId="441BF688" w:rsidR="00F853C2" w:rsidRDefault="003E2427" w:rsidP="00E45BFD">
      <w:pPr>
        <w:jc w:val="both"/>
        <w:rPr>
          <w:rtl/>
        </w:rPr>
      </w:pPr>
      <w:r>
        <w:t xml:space="preserve">A short clarification is in order here. As is clear from the definition, Correia and Skiles identify full generic essence with generalized identity itself. </w:t>
      </w:r>
      <w:r w:rsidR="002945FB">
        <w:t>However, they don’t propose (</w:t>
      </w:r>
      <w:r w:rsidR="002945FB" w:rsidRPr="00EF0F1D">
        <w:rPr>
          <w:i/>
        </w:rPr>
        <w:t>Full Generic Essence</w:t>
      </w:r>
      <w:r w:rsidR="002945FB">
        <w:t xml:space="preserve">) as an analytic truth that holds simply in virtue of stipulation. </w:t>
      </w:r>
      <w:r w:rsidR="00771A30">
        <w:t xml:space="preserve">Rather, </w:t>
      </w:r>
      <w:r w:rsidR="004B3BD9">
        <w:t xml:space="preserve">the idea is that </w:t>
      </w:r>
      <w:r w:rsidR="00771A30">
        <w:t xml:space="preserve">we have some antecedent understanding of both essence and generalized identity, and the definition captures the core cases of the former well enough to be plausible. </w:t>
      </w:r>
      <w:r w:rsidR="008463E9">
        <w:t>(</w:t>
      </w:r>
      <w:r w:rsidR="00771A30">
        <w:t xml:space="preserve">This is why </w:t>
      </w:r>
      <w:r w:rsidR="008463E9">
        <w:t>I classified Correia and Skiles’ approach as one that reduces both grounding and essence to the same primitive notion, rather than</w:t>
      </w:r>
      <w:r w:rsidR="00EF0F1D">
        <w:t xml:space="preserve"> as a reduction of </w:t>
      </w:r>
      <w:r w:rsidR="008463E9">
        <w:t xml:space="preserve">grounding to essence </w:t>
      </w:r>
      <w:r w:rsidR="00F76473">
        <w:t xml:space="preserve">taken </w:t>
      </w:r>
      <w:r w:rsidR="008463E9">
        <w:t>as primitive.)</w:t>
      </w:r>
    </w:p>
    <w:p w14:paraId="1B66840D" w14:textId="1CC46231" w:rsidR="00F853C2" w:rsidRDefault="002E29EE" w:rsidP="00E45BFD">
      <w:pPr>
        <w:ind w:firstLine="432"/>
        <w:jc w:val="both"/>
      </w:pPr>
      <w:r>
        <w:t xml:space="preserve">What about grounding? </w:t>
      </w:r>
      <w:r w:rsidR="00C15CD1">
        <w:t>Here, we need to use the notions of both conju</w:t>
      </w:r>
      <w:r w:rsidR="0069649E">
        <w:t>nctive and disjunctive parthood. When grounding is understood as a relation between facts or propositions, the definition goes</w:t>
      </w:r>
      <w:r w:rsidR="00C15CD1">
        <w:t xml:space="preserve"> as follows:</w:t>
      </w:r>
    </w:p>
    <w:p w14:paraId="4E19CA59" w14:textId="4E748D13" w:rsidR="00C15CD1" w:rsidRDefault="00C15CD1" w:rsidP="00E45BFD">
      <w:pPr>
        <w:ind w:firstLine="432"/>
        <w:jc w:val="both"/>
      </w:pPr>
    </w:p>
    <w:p w14:paraId="6854FC73" w14:textId="7097124F" w:rsidR="00C15CD1" w:rsidRDefault="00233311" w:rsidP="00E45BFD">
      <w:pPr>
        <w:ind w:left="720"/>
        <w:jc w:val="both"/>
      </w:pPr>
      <w:r>
        <w:t>(</w:t>
      </w:r>
      <w:proofErr w:type="spellStart"/>
      <w:r w:rsidRPr="00233311">
        <w:rPr>
          <w:i/>
          <w:iCs/>
        </w:rPr>
        <w:t>Grounding</w:t>
      </w:r>
      <w:r w:rsidRPr="00233311">
        <w:rPr>
          <w:i/>
          <w:iCs/>
          <w:vertAlign w:val="subscript"/>
        </w:rPr>
        <w:t>C&amp;S</w:t>
      </w:r>
      <w:proofErr w:type="spellEnd"/>
      <w:r>
        <w:t xml:space="preserve">) </w:t>
      </w:r>
      <w:r w:rsidR="00C15CD1">
        <w:t>p</w:t>
      </w:r>
      <w:r w:rsidR="00C15CD1" w:rsidRPr="00D346CF">
        <w:rPr>
          <w:vertAlign w:val="subscript"/>
        </w:rPr>
        <w:t>1</w:t>
      </w:r>
      <w:r w:rsidR="00C15CD1">
        <w:t>, p</w:t>
      </w:r>
      <w:r w:rsidR="00C15CD1" w:rsidRPr="00D346CF">
        <w:rPr>
          <w:vertAlign w:val="subscript"/>
        </w:rPr>
        <w:t>2</w:t>
      </w:r>
      <w:r w:rsidR="00C15CD1">
        <w:t xml:space="preserve">, … ground q </w:t>
      </w:r>
      <w:proofErr w:type="spellStart"/>
      <w:r w:rsidR="00C15CD1">
        <w:t>iff</w:t>
      </w:r>
      <w:proofErr w:type="spellEnd"/>
      <w:r w:rsidR="00C15CD1">
        <w:t>: (</w:t>
      </w:r>
      <w:proofErr w:type="spellStart"/>
      <w:r w:rsidR="00C15CD1">
        <w:t>i</w:t>
      </w:r>
      <w:proofErr w:type="spellEnd"/>
      <w:r w:rsidR="00C15CD1">
        <w:t>) p</w:t>
      </w:r>
      <w:r w:rsidR="00C15CD1" w:rsidRPr="00D346CF">
        <w:rPr>
          <w:vertAlign w:val="subscript"/>
        </w:rPr>
        <w:t>1</w:t>
      </w:r>
      <w:r w:rsidR="00C15CD1">
        <w:t>, p</w:t>
      </w:r>
      <w:r w:rsidR="00C15CD1" w:rsidRPr="00D346CF">
        <w:rPr>
          <w:vertAlign w:val="subscript"/>
        </w:rPr>
        <w:t>2</w:t>
      </w:r>
      <w:r w:rsidR="00C15CD1">
        <w:t>, … are disjunctive parts of q and (ii) q is not a conjunctive part of a disjunctive part of any of p</w:t>
      </w:r>
      <w:r w:rsidR="00C15CD1" w:rsidRPr="00D346CF">
        <w:rPr>
          <w:vertAlign w:val="subscript"/>
        </w:rPr>
        <w:t>1</w:t>
      </w:r>
      <w:r w:rsidR="00C15CD1">
        <w:t>, p</w:t>
      </w:r>
      <w:r w:rsidR="00C15CD1" w:rsidRPr="00D346CF">
        <w:rPr>
          <w:vertAlign w:val="subscript"/>
        </w:rPr>
        <w:t>2</w:t>
      </w:r>
      <w:r w:rsidR="00C15CD1">
        <w:t>, …</w:t>
      </w:r>
    </w:p>
    <w:p w14:paraId="61D0CEE1" w14:textId="229D778A" w:rsidR="003501E6" w:rsidRDefault="003501E6" w:rsidP="00E45BFD">
      <w:pPr>
        <w:ind w:firstLine="432"/>
        <w:jc w:val="both"/>
      </w:pPr>
    </w:p>
    <w:p w14:paraId="2429E13A" w14:textId="1D16B345" w:rsidR="00664377" w:rsidRDefault="003501E6" w:rsidP="00E45BFD">
      <w:pPr>
        <w:jc w:val="both"/>
      </w:pPr>
      <w:r>
        <w:t>Clause (ii) is less straightforward to understand than clause (</w:t>
      </w:r>
      <w:proofErr w:type="spellStart"/>
      <w:r>
        <w:t>i</w:t>
      </w:r>
      <w:proofErr w:type="spellEnd"/>
      <w:r>
        <w:t xml:space="preserve">); we can better grasp it by considering an example Correia and Skiles provide. </w:t>
      </w:r>
      <w:r w:rsidR="00233311">
        <w:t xml:space="preserve">Suppose the facts [a is red] and [a is round] jointly ground [a is red and round]. </w:t>
      </w:r>
      <w:r w:rsidR="00F1456C">
        <w:t>Now, for the disjunctive fact [</w:t>
      </w:r>
      <w:r w:rsidR="00FF53B2">
        <w:t>a is red and round</w:t>
      </w:r>
      <w:r w:rsidR="00F1456C">
        <w:t xml:space="preserve"> </w:t>
      </w:r>
      <w:r w:rsidR="00FF53B2">
        <w:t>or a is red and round</w:t>
      </w:r>
      <w:r w:rsidR="003B1A8D">
        <w:t>]</w:t>
      </w:r>
      <w:r w:rsidR="00FF53B2">
        <w:t xml:space="preserve"> has [a is red and round] as a disjunctive part; and so it has [a is red] and [a is round] as disjunctive parts too. </w:t>
      </w:r>
      <w:r w:rsidR="00F91D9F">
        <w:t>However, the conjunctive fact [a is red and round] is obviously not a conjunctive part of any (disjunctive part of) either [a is red] or [a is round]. So, according to the definition, [a is red] and [a is round] indeed ground their conjunction, as they should.</w:t>
      </w:r>
    </w:p>
    <w:p w14:paraId="0DFFAEE5" w14:textId="58772C58" w:rsidR="003501E6" w:rsidRDefault="00664377" w:rsidP="00E45BFD">
      <w:pPr>
        <w:ind w:firstLine="432"/>
        <w:jc w:val="both"/>
      </w:pPr>
      <w:r>
        <w:t>Correia and Skiles give a number of further variations on this definition. As they note, the notion of grounding so defined is non-</w:t>
      </w:r>
      <w:proofErr w:type="spellStart"/>
      <w:r>
        <w:t>factive</w:t>
      </w:r>
      <w:proofErr w:type="spellEnd"/>
      <w:r>
        <w:t xml:space="preserve"> (a non-</w:t>
      </w:r>
      <w:proofErr w:type="spellStart"/>
      <w:r>
        <w:t>factive</w:t>
      </w:r>
      <w:proofErr w:type="spellEnd"/>
      <w:r>
        <w:t xml:space="preserve"> grounding sentence can be true even if the sentence </w:t>
      </w:r>
      <w:r w:rsidR="00D346CF">
        <w:t xml:space="preserve">on the left side of the ‘because’, i.e. the one </w:t>
      </w:r>
      <w:r>
        <w:t>expressing the grounded fact</w:t>
      </w:r>
      <w:r w:rsidR="00D346CF">
        <w:t>,</w:t>
      </w:r>
      <w:r>
        <w:t xml:space="preserve"> is false); </w:t>
      </w:r>
      <w:r w:rsidR="00D346CF">
        <w:t>but, they argue,</w:t>
      </w:r>
      <w:r>
        <w:t xml:space="preserve"> the view could be </w:t>
      </w:r>
      <w:r w:rsidR="00D346CF">
        <w:t xml:space="preserve">easily </w:t>
      </w:r>
      <w:r>
        <w:t xml:space="preserve">extended to the more familiar notion of </w:t>
      </w:r>
      <w:proofErr w:type="spellStart"/>
      <w:r>
        <w:t>factive</w:t>
      </w:r>
      <w:proofErr w:type="spellEnd"/>
      <w:r>
        <w:t xml:space="preserve"> grounding. </w:t>
      </w:r>
      <w:r w:rsidR="00FD3341">
        <w:t xml:space="preserve">They also develop a parallel set of definitions for those who find the </w:t>
      </w:r>
      <w:r w:rsidR="004509B5">
        <w:t>notions of conjunctive and disjunctive parthood insufficiently clear in terms of “subsumption”, where p</w:t>
      </w:r>
      <w:r w:rsidR="004509B5" w:rsidRPr="00140D26">
        <w:rPr>
          <w:vertAlign w:val="subscript"/>
        </w:rPr>
        <w:t>1</w:t>
      </w:r>
      <w:r w:rsidR="004509B5">
        <w:t>, p</w:t>
      </w:r>
      <w:r w:rsidR="004509B5" w:rsidRPr="00140D26">
        <w:rPr>
          <w:vertAlign w:val="subscript"/>
        </w:rPr>
        <w:t>2</w:t>
      </w:r>
      <w:r w:rsidR="004509B5">
        <w:t>, … are subsumed by q just in case p</w:t>
      </w:r>
      <w:r w:rsidR="004509B5" w:rsidRPr="00140D26">
        <w:rPr>
          <w:vertAlign w:val="subscript"/>
        </w:rPr>
        <w:t>1</w:t>
      </w:r>
      <w:r w:rsidR="004509B5">
        <w:t>, p</w:t>
      </w:r>
      <w:r w:rsidR="004509B5" w:rsidRPr="00140D26">
        <w:rPr>
          <w:vertAlign w:val="subscript"/>
        </w:rPr>
        <w:t>2</w:t>
      </w:r>
      <w:r w:rsidR="004509B5">
        <w:t xml:space="preserve">… are ways for q to hold. </w:t>
      </w:r>
      <w:r w:rsidR="00D14FF0">
        <w:t xml:space="preserve">In the present chapter I will forgo discussing these complications. </w:t>
      </w:r>
      <w:r w:rsidR="007D6D76">
        <w:t>Clearly, the concept of generalized identity has a wide range of applications, and its use in reductive accounts of grounding and essence is yet to receive the critical attention that it deserves.</w:t>
      </w:r>
    </w:p>
    <w:p w14:paraId="6CB54098" w14:textId="77777777" w:rsidR="000E376F" w:rsidRDefault="000E376F" w:rsidP="00E45BFD">
      <w:pPr>
        <w:ind w:firstLine="432"/>
        <w:jc w:val="both"/>
      </w:pPr>
    </w:p>
    <w:p w14:paraId="5A75DA7A" w14:textId="1188A1FD" w:rsidR="00B05078" w:rsidRPr="00097BC9" w:rsidRDefault="008437B3" w:rsidP="00E45BFD">
      <w:pPr>
        <w:ind w:firstLine="432"/>
        <w:jc w:val="both"/>
        <w:rPr>
          <w:b/>
        </w:rPr>
      </w:pPr>
      <w:r w:rsidRPr="00B05078">
        <w:rPr>
          <w:b/>
        </w:rPr>
        <w:lastRenderedPageBreak/>
        <w:t xml:space="preserve">2. </w:t>
      </w:r>
      <w:r w:rsidR="00B05078" w:rsidRPr="00B05078">
        <w:rPr>
          <w:b/>
        </w:rPr>
        <w:t>Supplementation</w:t>
      </w:r>
    </w:p>
    <w:p w14:paraId="2C432D99" w14:textId="2630A1AB" w:rsidR="00AF0BAA" w:rsidRDefault="00AF0BAA">
      <w:pPr>
        <w:jc w:val="both"/>
      </w:pPr>
      <w:r>
        <w:t xml:space="preserve">Some authors think that there is an intimate relation between grounding and essence in that they both play roles, albeit distinct ones, in the same kind of explanation. </w:t>
      </w:r>
      <w:r w:rsidR="00B77A0C">
        <w:t>This is Boris Kment’s view</w:t>
      </w:r>
      <w:r w:rsidR="000F49A7">
        <w:t xml:space="preserve">. Kment (2014) develops his account of metaphysical explanation in the context of an ambitious general </w:t>
      </w:r>
      <w:r w:rsidR="00ED356F">
        <w:t>theory</w:t>
      </w:r>
      <w:r w:rsidR="000F49A7">
        <w:t xml:space="preserve"> of modality. According to this view our modal </w:t>
      </w:r>
      <w:r w:rsidR="00963127">
        <w:t>concepts</w:t>
      </w:r>
      <w:r w:rsidR="000F49A7">
        <w:t xml:space="preserve"> are rooted in counterfactual reasoning, and they are derivative from explanatory notions, which can be used to analyze them. Accordingly, metaphysical necessity can be analyzed in terms of grounding. The relation between grounding and </w:t>
      </w:r>
      <w:r w:rsidR="000F49A7" w:rsidRPr="008E3940">
        <w:rPr>
          <w:i/>
          <w:iCs/>
        </w:rPr>
        <w:t>essence</w:t>
      </w:r>
      <w:r w:rsidR="000F49A7">
        <w:t xml:space="preserve">, which (in line with the neo-Aristotelian / </w:t>
      </w:r>
      <w:proofErr w:type="spellStart"/>
      <w:r w:rsidR="000F49A7">
        <w:t>Finean</w:t>
      </w:r>
      <w:proofErr w:type="spellEnd"/>
      <w:r w:rsidR="000F49A7">
        <w:t xml:space="preserve"> tradition) Kment distinguishes from necessity, is less straightforward. Kment </w:t>
      </w:r>
      <w:r w:rsidR="00B77A0C">
        <w:t>maintains that metaphysical explanations have both a grounding component and an essence component (</w:t>
      </w:r>
      <w:r w:rsidR="008E0A4B">
        <w:t xml:space="preserve">note that this also implies that on his view, </w:t>
      </w:r>
      <w:r w:rsidR="00B77A0C">
        <w:t xml:space="preserve">grounding </w:t>
      </w:r>
      <w:r w:rsidR="008E0A4B">
        <w:t xml:space="preserve">is distinct from </w:t>
      </w:r>
      <w:r w:rsidR="00B77A0C">
        <w:t xml:space="preserve">metaphysical </w:t>
      </w:r>
      <w:r w:rsidR="00D678B3">
        <w:t>explanation). He conceives of the role of essence in metaphysical explanations as analogous to the role of the laws of nature in scientific explanations; indeed, he identifies metaphysical laws with e</w:t>
      </w:r>
      <w:r w:rsidR="00727BEE">
        <w:t>ssentialist truths. Take, for example, the following case:</w:t>
      </w:r>
    </w:p>
    <w:p w14:paraId="370670A6" w14:textId="77777777" w:rsidR="00727BEE" w:rsidRDefault="00727BEE" w:rsidP="00E45BFD">
      <w:pPr>
        <w:ind w:firstLine="432"/>
        <w:jc w:val="both"/>
      </w:pPr>
    </w:p>
    <w:p w14:paraId="2C745C30" w14:textId="419F4168" w:rsidR="00727BEE" w:rsidRDefault="00727BEE" w:rsidP="00E45BFD">
      <w:pPr>
        <w:ind w:left="720"/>
        <w:jc w:val="both"/>
      </w:pPr>
      <w:r>
        <w:t>(1) It’s essential to being a gold atom that all atoms with atomic number 79 are gold atoms</w:t>
      </w:r>
    </w:p>
    <w:p w14:paraId="07015749" w14:textId="30387111" w:rsidR="00727BEE" w:rsidRDefault="00727BEE" w:rsidP="00E45BFD">
      <w:pPr>
        <w:ind w:left="720"/>
        <w:jc w:val="both"/>
      </w:pPr>
      <w:r>
        <w:t>(2) a is an atom with atomic number 79.</w:t>
      </w:r>
    </w:p>
    <w:p w14:paraId="5AE39184" w14:textId="21755AB7" w:rsidR="00727BEE" w:rsidRDefault="00727BEE" w:rsidP="00E45BFD">
      <w:pPr>
        <w:ind w:left="720"/>
        <w:jc w:val="both"/>
      </w:pPr>
      <w:r>
        <w:rPr>
          <w:rFonts w:ascii="STIXGeneral-Regular" w:hAnsi="STIXGeneral-Regular" w:cs="STIXGeneral-Regular"/>
        </w:rPr>
        <w:t>(3)</w:t>
      </w:r>
      <w:r>
        <w:t xml:space="preserve"> a is a gold atom. (Kment 2014: 163)</w:t>
      </w:r>
    </w:p>
    <w:p w14:paraId="19CFB810" w14:textId="77777777" w:rsidR="00643DBF" w:rsidRDefault="00643DBF" w:rsidP="00E45BFD">
      <w:pPr>
        <w:ind w:firstLine="432"/>
        <w:jc w:val="both"/>
      </w:pPr>
    </w:p>
    <w:p w14:paraId="231A7664" w14:textId="1F9EF87E" w:rsidR="001B6B6A" w:rsidRDefault="00643DBF" w:rsidP="00E45BFD">
      <w:pPr>
        <w:jc w:val="both"/>
      </w:pPr>
      <w:r>
        <w:t xml:space="preserve">According to Kment, (1)-(2) are both among the metaphysical </w:t>
      </w:r>
      <w:proofErr w:type="spellStart"/>
      <w:r>
        <w:t>explanantia</w:t>
      </w:r>
      <w:proofErr w:type="spellEnd"/>
      <w:r>
        <w:t xml:space="preserve"> of (3). However, only (2) is a ground of it; (1) is a metaphysical law that states an essential truth about the object of the metaphysical explanation. This example points </w:t>
      </w:r>
      <w:r w:rsidR="002B1595">
        <w:t>to</w:t>
      </w:r>
      <w:r>
        <w:t xml:space="preserve"> an important difference Kment sees between the laws of nature and the laws of metaphysics: </w:t>
      </w:r>
      <w:r w:rsidR="003E6220">
        <w:t>while the former are general in nature, the latter concern particular entities</w:t>
      </w:r>
      <w:r w:rsidR="00642129">
        <w:t>.</w:t>
      </w:r>
    </w:p>
    <w:p w14:paraId="70442172" w14:textId="287059BB" w:rsidR="00B0056F" w:rsidRDefault="009B2D84" w:rsidP="00E45BFD">
      <w:pPr>
        <w:ind w:firstLine="432"/>
        <w:jc w:val="both"/>
      </w:pPr>
      <w:r>
        <w:t>Kevin Richardson also assigns a distinctive role to essence, albeit</w:t>
      </w:r>
      <w:r w:rsidR="00FC16F5">
        <w:t xml:space="preserve"> only</w:t>
      </w:r>
      <w:r>
        <w:t xml:space="preserve"> in a restricted </w:t>
      </w:r>
      <w:r w:rsidR="00BA1A8D">
        <w:t xml:space="preserve">set of </w:t>
      </w:r>
      <w:r w:rsidR="00A07CA8">
        <w:t xml:space="preserve">metaphysical </w:t>
      </w:r>
      <w:r w:rsidR="00BA1A8D">
        <w:t>explanations. His main focus is on generic grounding claims, which he argues we should understand as generics rather than as universally quantified sentences. For example, ‘</w:t>
      </w:r>
      <w:r w:rsidR="00DE1C24" w:rsidRPr="00DE1C24">
        <w:t>An act is right in</w:t>
      </w:r>
      <w:r w:rsidR="00DE1C24">
        <w:t xml:space="preserve"> virtue of maximizing happiness’ shouldn’t simply be understood as universal</w:t>
      </w:r>
      <w:r w:rsidR="00FB7B01">
        <w:t>ly quantifying</w:t>
      </w:r>
      <w:r w:rsidR="00DE1C24">
        <w:t xml:space="preserve"> over all acts. This is because universal generalizations are usually taken to be (at least partially) grounded in their instances, yet one could coherently hold that the generic is true but has the status of a primitive moral law</w:t>
      </w:r>
      <w:r w:rsidR="00B0056F">
        <w:t xml:space="preserve"> (Richardson 2020: 79)</w:t>
      </w:r>
      <w:r w:rsidR="00B3295F">
        <w:t>.</w:t>
      </w:r>
    </w:p>
    <w:p w14:paraId="00C415E1" w14:textId="67957F56" w:rsidR="00B0056F" w:rsidRDefault="00B0056F" w:rsidP="00E45BFD">
      <w:pPr>
        <w:ind w:firstLine="432"/>
        <w:jc w:val="both"/>
      </w:pPr>
      <w:r>
        <w:t>Instead of understanding generic grounding in terms of universal quantification, Richardson offers the following definition in terms of (particular) grounding and essence</w:t>
      </w:r>
      <w:r w:rsidR="00EE533B">
        <w:t xml:space="preserve"> (I slightly reformulated it to fit the rest of this chapter)</w:t>
      </w:r>
      <w:r>
        <w:t>:</w:t>
      </w:r>
    </w:p>
    <w:p w14:paraId="396A12EB" w14:textId="77777777" w:rsidR="00B0056F" w:rsidRDefault="00B0056F" w:rsidP="00E45BFD">
      <w:pPr>
        <w:ind w:firstLine="432"/>
        <w:jc w:val="both"/>
      </w:pPr>
    </w:p>
    <w:p w14:paraId="7796FAD4" w14:textId="2D8B1740" w:rsidR="009B2D84" w:rsidRDefault="00632EC5" w:rsidP="00E45BFD">
      <w:pPr>
        <w:ind w:left="720"/>
        <w:jc w:val="both"/>
      </w:pPr>
      <w:r>
        <w:t>(</w:t>
      </w:r>
      <w:r w:rsidR="00363E2B" w:rsidRPr="00BC0A32">
        <w:rPr>
          <w:i/>
        </w:rPr>
        <w:t>General Grounding</w:t>
      </w:r>
      <w:r>
        <w:t xml:space="preserve">) </w:t>
      </w:r>
      <w:r w:rsidR="00EE533B">
        <w:t>[</w:t>
      </w:r>
      <w:r w:rsidR="00EE533B" w:rsidRPr="00FE4600">
        <w:rPr>
          <w:i/>
          <w:iCs/>
        </w:rPr>
        <w:t>x</w:t>
      </w:r>
      <w:r w:rsidR="00EE533B">
        <w:t xml:space="preserve"> is G]</w:t>
      </w:r>
      <w:r>
        <w:t xml:space="preserve"> </w:t>
      </w:r>
      <w:r w:rsidR="002B1595">
        <w:t>is genericall</w:t>
      </w:r>
      <w:r w:rsidR="00EE533B">
        <w:t xml:space="preserve">y </w:t>
      </w:r>
      <w:r>
        <w:t xml:space="preserve">grounded in </w:t>
      </w:r>
      <w:r w:rsidR="00EE533B">
        <w:t>[</w:t>
      </w:r>
      <w:r w:rsidR="00EE533B" w:rsidRPr="00FE4600">
        <w:rPr>
          <w:i/>
          <w:iCs/>
        </w:rPr>
        <w:t>x</w:t>
      </w:r>
      <w:r w:rsidR="00EE533B">
        <w:t xml:space="preserve"> is </w:t>
      </w:r>
      <w:r>
        <w:t>F</w:t>
      </w:r>
      <w:r w:rsidR="00EE533B">
        <w:t>]</w:t>
      </w:r>
      <w:r>
        <w:t xml:space="preserve"> </w:t>
      </w:r>
      <w:proofErr w:type="spellStart"/>
      <w:r>
        <w:t>iff</w:t>
      </w:r>
      <w:proofErr w:type="spellEnd"/>
      <w:r w:rsidR="00150ACF">
        <w:t xml:space="preserve"> it’s in the nature of </w:t>
      </w:r>
      <w:r w:rsidR="00581953">
        <w:t xml:space="preserve">being G that if </w:t>
      </w:r>
      <w:r w:rsidR="00581953" w:rsidRPr="00FE4600">
        <w:rPr>
          <w:i/>
          <w:iCs/>
        </w:rPr>
        <w:t>x</w:t>
      </w:r>
      <w:r w:rsidR="00581953">
        <w:t xml:space="preserve"> is G or F, then </w:t>
      </w:r>
      <w:r w:rsidR="00581953" w:rsidRPr="00581953">
        <w:t xml:space="preserve">the fact that </w:t>
      </w:r>
      <w:r w:rsidR="00581953" w:rsidRPr="00FE4600">
        <w:rPr>
          <w:i/>
          <w:iCs/>
        </w:rPr>
        <w:t>x</w:t>
      </w:r>
      <w:r w:rsidR="00581953" w:rsidRPr="00581953">
        <w:t xml:space="preserve"> is G is fully grounded in the fact that </w:t>
      </w:r>
      <w:r w:rsidR="00581953" w:rsidRPr="00FE4600">
        <w:rPr>
          <w:i/>
          <w:iCs/>
        </w:rPr>
        <w:t>x</w:t>
      </w:r>
      <w:r w:rsidR="00581953" w:rsidRPr="00581953">
        <w:t xml:space="preserve"> is F) (2020: 82)</w:t>
      </w:r>
    </w:p>
    <w:p w14:paraId="717B5B5C" w14:textId="77777777" w:rsidR="00D55001" w:rsidRDefault="00D55001" w:rsidP="00E45BFD">
      <w:pPr>
        <w:ind w:firstLine="432"/>
        <w:jc w:val="both"/>
      </w:pPr>
    </w:p>
    <w:p w14:paraId="246CC18C" w14:textId="726E9CE1" w:rsidR="00D55001" w:rsidRDefault="00485DE3" w:rsidP="00E45BFD">
      <w:pPr>
        <w:jc w:val="both"/>
      </w:pPr>
      <w:r>
        <w:t xml:space="preserve">Richardson notes as an advantage of his account that it doesn’t posit primitive metaphysical laws (2020: 84). But someone who seeks to keep this notion could plausibly identify them with essentialist claims, as </w:t>
      </w:r>
      <w:r w:rsidR="00EE300A">
        <w:t xml:space="preserve">we have seen </w:t>
      </w:r>
      <w:r>
        <w:t>does Kment.</w:t>
      </w:r>
      <w:r w:rsidR="008A1F34">
        <w:t xml:space="preserve"> Richardson argues that his proposal has a number of further advantages: it explains the semantics of generic grounding; it gives us the conceptual tool to distinguish betwee</w:t>
      </w:r>
      <w:r w:rsidR="00387074">
        <w:t>n</w:t>
      </w:r>
      <w:r w:rsidR="008A1F34">
        <w:t xml:space="preserve"> reductive and </w:t>
      </w:r>
      <w:r w:rsidR="00387074">
        <w:t xml:space="preserve">non-reductive theories, where the former </w:t>
      </w:r>
      <w:r w:rsidR="00387074">
        <w:lastRenderedPageBreak/>
        <w:t>express generics while the latter express mere regularities about grounding; moreover, the view allows us to stay neutral about several substantive disputes about grounding.</w:t>
      </w:r>
    </w:p>
    <w:p w14:paraId="272C1CC9" w14:textId="77777777" w:rsidR="00B77A0C" w:rsidRDefault="00B77A0C" w:rsidP="00E45BFD">
      <w:pPr>
        <w:ind w:firstLine="432"/>
        <w:jc w:val="both"/>
      </w:pPr>
    </w:p>
    <w:p w14:paraId="11C7D850" w14:textId="62BB6792" w:rsidR="00BB5693" w:rsidRPr="00304FDA" w:rsidRDefault="008437B3" w:rsidP="00E45BFD">
      <w:pPr>
        <w:ind w:firstLine="432"/>
        <w:jc w:val="both"/>
        <w:rPr>
          <w:b/>
          <w:bCs/>
        </w:rPr>
      </w:pPr>
      <w:r>
        <w:rPr>
          <w:b/>
          <w:bCs/>
        </w:rPr>
        <w:t>3</w:t>
      </w:r>
      <w:r w:rsidR="000E376F" w:rsidRPr="000E376F">
        <w:rPr>
          <w:b/>
          <w:bCs/>
        </w:rPr>
        <w:t>. Independence</w:t>
      </w:r>
      <w:r>
        <w:rPr>
          <w:b/>
          <w:bCs/>
        </w:rPr>
        <w:t xml:space="preserve">: grounding and essence as two distinct modes of explanation </w:t>
      </w:r>
    </w:p>
    <w:p w14:paraId="454B0835" w14:textId="4A812B6C" w:rsidR="00927762" w:rsidRDefault="00587B11" w:rsidP="00E45BFD">
      <w:pPr>
        <w:jc w:val="both"/>
      </w:pPr>
      <w:r>
        <w:t xml:space="preserve">Perhaps the attempt to </w:t>
      </w:r>
      <w:r w:rsidR="00D20CEA">
        <w:t>find deep, systematic connections between</w:t>
      </w:r>
      <w:r>
        <w:t xml:space="preserve"> grounding and essence is a futile exercise. Perhaps these are two fundamentally different explanatory notions that show important similarities and may even show a certain level of unity, but which should nonetheless be understood in their own right. </w:t>
      </w:r>
      <w:r w:rsidR="00DD169C">
        <w:t xml:space="preserve">Several authors take this view. They all agree that both grounding and essence are </w:t>
      </w:r>
      <w:r w:rsidR="00DD169C" w:rsidRPr="00F61ECA">
        <w:rPr>
          <w:i/>
        </w:rPr>
        <w:t>sui generis</w:t>
      </w:r>
      <w:r w:rsidR="00DD169C">
        <w:t xml:space="preserve"> explanatory notions, but they differ in the extent to which they think they lend themselves to parallel treatment.</w:t>
      </w:r>
    </w:p>
    <w:p w14:paraId="676FB736" w14:textId="586BB0D7" w:rsidR="00587B11" w:rsidRPr="00E06EB9" w:rsidRDefault="00927762" w:rsidP="00E45BFD">
      <w:pPr>
        <w:ind w:firstLine="432"/>
        <w:jc w:val="both"/>
        <w:rPr>
          <w:rFonts w:asciiTheme="majorBidi" w:hAnsiTheme="majorBidi" w:cstheme="majorBidi"/>
          <w:lang w:bidi="he-IL"/>
        </w:rPr>
      </w:pPr>
      <w:r>
        <w:t xml:space="preserve">Fine (2012), as </w:t>
      </w:r>
      <w:r w:rsidR="008C72BF">
        <w:t>mentioned in section 1.1</w:t>
      </w:r>
      <w:r>
        <w:t xml:space="preserve">, raised a number of objections to </w:t>
      </w:r>
      <w:r w:rsidR="008C72BF">
        <w:t xml:space="preserve">the view that grounding could be understood in terms of essence. </w:t>
      </w:r>
      <w:r w:rsidR="004B57D8">
        <w:t>But i</w:t>
      </w:r>
      <w:r w:rsidR="00492921">
        <w:t xml:space="preserve">n his later </w:t>
      </w:r>
      <w:r w:rsidR="004B57D8">
        <w:t xml:space="preserve">work, Fine </w:t>
      </w:r>
      <w:r w:rsidR="00E06EB9">
        <w:t xml:space="preserve">(2015) </w:t>
      </w:r>
      <w:r w:rsidR="004B57D8">
        <w:t>has come to think of essence and grounding as two fundamentally different but nonetheless complementary explanatory concep</w:t>
      </w:r>
      <w:r w:rsidR="00125429">
        <w:t xml:space="preserve">ts, corresponding to </w:t>
      </w:r>
      <w:r w:rsidR="00875A23">
        <w:t xml:space="preserve">constitutively </w:t>
      </w:r>
      <w:r w:rsidR="00125429">
        <w:t xml:space="preserve">necessary and </w:t>
      </w:r>
      <w:r w:rsidR="00875A23">
        <w:t xml:space="preserve">constitutively </w:t>
      </w:r>
      <w:r w:rsidR="00125429">
        <w:t xml:space="preserve">sufficient conditions, respectively. </w:t>
      </w:r>
      <w:r w:rsidR="002B3E58">
        <w:t>That is, the essence of A consists of its constitutively necessary conditions, while A’s grounds are its constitutively sufficient conditions.</w:t>
      </w:r>
      <w:r w:rsidR="00A220C5">
        <w:t xml:space="preserve"> Fine expresses some optimism that essence and </w:t>
      </w:r>
      <w:r w:rsidR="00A220C5" w:rsidRPr="00E06EB9">
        <w:rPr>
          <w:rFonts w:asciiTheme="majorBidi" w:hAnsiTheme="majorBidi" w:cstheme="majorBidi"/>
        </w:rPr>
        <w:t>grounding so understood would lend themselves to parallel formal treatments, possibly also shedding some light on the logic of grounding.</w:t>
      </w:r>
    </w:p>
    <w:p w14:paraId="3B8A425E" w14:textId="2BF2E826" w:rsidR="00842F7D" w:rsidRDefault="00E06EB9">
      <w:pPr>
        <w:ind w:firstLine="432"/>
        <w:jc w:val="both"/>
        <w:rPr>
          <w:rFonts w:asciiTheme="majorBidi" w:hAnsiTheme="majorBidi" w:cstheme="majorBidi"/>
          <w:lang w:bidi="he-IL"/>
        </w:rPr>
      </w:pPr>
      <w:r>
        <w:rPr>
          <w:rFonts w:asciiTheme="majorBidi" w:hAnsiTheme="majorBidi" w:cstheme="majorBidi"/>
          <w:lang w:bidi="he-IL"/>
        </w:rPr>
        <w:t>Yet Fine’s approach has been subject to criticism. Correia and Skiles (201</w:t>
      </w:r>
      <w:r w:rsidR="00472F96">
        <w:rPr>
          <w:rFonts w:asciiTheme="majorBidi" w:hAnsiTheme="majorBidi" w:cstheme="majorBidi"/>
          <w:lang w:bidi="he-IL"/>
        </w:rPr>
        <w:t>9</w:t>
      </w:r>
      <w:r>
        <w:rPr>
          <w:rFonts w:asciiTheme="majorBidi" w:hAnsiTheme="majorBidi" w:cstheme="majorBidi"/>
          <w:lang w:bidi="he-IL"/>
        </w:rPr>
        <w:t xml:space="preserve">) ask in what sense we can say that </w:t>
      </w:r>
      <w:r w:rsidR="001429DE">
        <w:rPr>
          <w:rFonts w:asciiTheme="majorBidi" w:hAnsiTheme="majorBidi" w:cstheme="majorBidi"/>
          <w:lang w:bidi="he-IL"/>
        </w:rPr>
        <w:t>the</w:t>
      </w:r>
      <w:r>
        <w:rPr>
          <w:rFonts w:asciiTheme="majorBidi" w:hAnsiTheme="majorBidi" w:cstheme="majorBidi"/>
          <w:lang w:bidi="he-IL"/>
        </w:rPr>
        <w:t xml:space="preserve"> necessary conditions </w:t>
      </w:r>
      <w:r w:rsidR="001429DE">
        <w:rPr>
          <w:rFonts w:asciiTheme="majorBidi" w:hAnsiTheme="majorBidi" w:cstheme="majorBidi"/>
          <w:lang w:bidi="he-IL"/>
        </w:rPr>
        <w:t xml:space="preserve">that essence involves and the </w:t>
      </w:r>
      <w:r>
        <w:rPr>
          <w:rFonts w:asciiTheme="majorBidi" w:hAnsiTheme="majorBidi" w:cstheme="majorBidi"/>
          <w:lang w:bidi="he-IL"/>
        </w:rPr>
        <w:t>sufficient ones</w:t>
      </w:r>
      <w:r w:rsidR="001429DE">
        <w:rPr>
          <w:rFonts w:asciiTheme="majorBidi" w:hAnsiTheme="majorBidi" w:cstheme="majorBidi"/>
          <w:lang w:bidi="he-IL"/>
        </w:rPr>
        <w:t xml:space="preserve"> that grounding does are </w:t>
      </w:r>
      <w:r w:rsidR="00875A23">
        <w:rPr>
          <w:rFonts w:asciiTheme="majorBidi" w:hAnsiTheme="majorBidi" w:cstheme="majorBidi"/>
          <w:lang w:bidi="he-IL"/>
        </w:rPr>
        <w:t>“</w:t>
      </w:r>
      <w:r w:rsidR="001429DE">
        <w:rPr>
          <w:rFonts w:asciiTheme="majorBidi" w:hAnsiTheme="majorBidi" w:cstheme="majorBidi"/>
          <w:lang w:bidi="he-IL"/>
        </w:rPr>
        <w:t>constitutive</w:t>
      </w:r>
      <w:r w:rsidR="00875A23">
        <w:rPr>
          <w:rFonts w:asciiTheme="majorBidi" w:hAnsiTheme="majorBidi" w:cstheme="majorBidi"/>
          <w:lang w:bidi="he-IL"/>
        </w:rPr>
        <w:t>”</w:t>
      </w:r>
      <w:r w:rsidR="001429DE">
        <w:rPr>
          <w:rFonts w:asciiTheme="majorBidi" w:hAnsiTheme="majorBidi" w:cstheme="majorBidi"/>
          <w:lang w:bidi="he-IL"/>
        </w:rPr>
        <w:t xml:space="preserve">. Fine cannot simply have in mind necessary and sufficient conditions in the modal sense, since </w:t>
      </w:r>
      <w:r w:rsidR="00C363D7">
        <w:rPr>
          <w:rFonts w:asciiTheme="majorBidi" w:hAnsiTheme="majorBidi" w:cstheme="majorBidi"/>
          <w:lang w:bidi="he-IL"/>
        </w:rPr>
        <w:t>this interpretation leads to absurd results</w:t>
      </w:r>
      <w:r w:rsidR="00FD5C07">
        <w:rPr>
          <w:rFonts w:asciiTheme="majorBidi" w:hAnsiTheme="majorBidi" w:cstheme="majorBidi"/>
          <w:lang w:bidi="he-IL"/>
        </w:rPr>
        <w:t xml:space="preserve"> (for example that something’s being a number </w:t>
      </w:r>
      <w:r w:rsidR="00CF78C2">
        <w:rPr>
          <w:rFonts w:asciiTheme="majorBidi" w:hAnsiTheme="majorBidi" w:cstheme="majorBidi"/>
          <w:lang w:bidi="he-IL"/>
        </w:rPr>
        <w:t xml:space="preserve">is what it is for it to be </w:t>
      </w:r>
      <w:r w:rsidR="00FD5C07">
        <w:rPr>
          <w:rFonts w:asciiTheme="majorBidi" w:hAnsiTheme="majorBidi" w:cstheme="majorBidi"/>
          <w:lang w:bidi="he-IL"/>
        </w:rPr>
        <w:t>a number and being blue-or-not-blue)</w:t>
      </w:r>
      <w:r w:rsidR="00C363D7">
        <w:rPr>
          <w:rFonts w:asciiTheme="majorBidi" w:hAnsiTheme="majorBidi" w:cstheme="majorBidi"/>
          <w:lang w:bidi="he-IL"/>
        </w:rPr>
        <w:t xml:space="preserve">. </w:t>
      </w:r>
      <w:r w:rsidR="00866162">
        <w:rPr>
          <w:rFonts w:asciiTheme="majorBidi" w:hAnsiTheme="majorBidi" w:cstheme="majorBidi"/>
          <w:lang w:bidi="he-IL"/>
        </w:rPr>
        <w:t>Alternatively, constitutively necessary and sufficient conditions could be understood non-modally</w:t>
      </w:r>
      <w:r w:rsidR="00130FDA">
        <w:rPr>
          <w:rFonts w:asciiTheme="majorBidi" w:hAnsiTheme="majorBidi" w:cstheme="majorBidi"/>
          <w:lang w:bidi="he-IL"/>
        </w:rPr>
        <w:t xml:space="preserve">, as </w:t>
      </w:r>
      <w:r w:rsidR="00130FDA" w:rsidRPr="00B05529">
        <w:rPr>
          <w:rFonts w:asciiTheme="majorBidi" w:hAnsiTheme="majorBidi" w:cstheme="majorBidi"/>
          <w:i/>
          <w:iCs/>
          <w:lang w:bidi="he-IL"/>
        </w:rPr>
        <w:t>sui generis</w:t>
      </w:r>
      <w:r w:rsidR="00130FDA">
        <w:rPr>
          <w:rFonts w:asciiTheme="majorBidi" w:hAnsiTheme="majorBidi" w:cstheme="majorBidi"/>
          <w:lang w:bidi="he-IL"/>
        </w:rPr>
        <w:t xml:space="preserve"> notions. Indeed, this is what Fine has in mind, as he claims that these concepts cannot be defined in terms of each other (2015: 307). But in that case, it’s unclear that Fine’s treatment of essence and grounding is unified in anything other than </w:t>
      </w:r>
      <w:r w:rsidR="0069655A">
        <w:rPr>
          <w:rFonts w:asciiTheme="majorBidi" w:hAnsiTheme="majorBidi" w:cstheme="majorBidi"/>
          <w:lang w:bidi="he-IL"/>
        </w:rPr>
        <w:t xml:space="preserve">name. This is one of the motivations Correia and Skiles offer to prefer their account </w:t>
      </w:r>
      <w:r w:rsidR="00442751">
        <w:rPr>
          <w:rFonts w:asciiTheme="majorBidi" w:hAnsiTheme="majorBidi" w:cstheme="majorBidi"/>
          <w:lang w:bidi="he-IL"/>
        </w:rPr>
        <w:t>to</w:t>
      </w:r>
      <w:r w:rsidR="0069655A">
        <w:rPr>
          <w:rFonts w:asciiTheme="majorBidi" w:hAnsiTheme="majorBidi" w:cstheme="majorBidi"/>
          <w:lang w:bidi="he-IL"/>
        </w:rPr>
        <w:t xml:space="preserve"> Fine’s (2017: 664)</w:t>
      </w:r>
    </w:p>
    <w:p w14:paraId="095DB4CB" w14:textId="0780AA58" w:rsidR="00EF525F" w:rsidRDefault="00430B52">
      <w:pPr>
        <w:ind w:firstLine="432"/>
        <w:jc w:val="both"/>
        <w:rPr>
          <w:rFonts w:asciiTheme="majorBidi" w:hAnsiTheme="majorBidi" w:cstheme="majorBidi"/>
          <w:lang w:bidi="he-IL"/>
        </w:rPr>
      </w:pPr>
      <w:r>
        <w:rPr>
          <w:rFonts w:asciiTheme="majorBidi" w:hAnsiTheme="majorBidi" w:cstheme="majorBidi"/>
          <w:lang w:bidi="he-IL"/>
        </w:rPr>
        <w:t xml:space="preserve">Fine considers essence and grounding separate explanatory notions that are nonetheless strongly unified (as we have seen above, whether his account lives up to this ambition remains controversial). Some authors go further and </w:t>
      </w:r>
      <w:r w:rsidR="00150E5D">
        <w:rPr>
          <w:rFonts w:asciiTheme="majorBidi" w:hAnsiTheme="majorBidi" w:cstheme="majorBidi"/>
          <w:lang w:bidi="he-IL"/>
        </w:rPr>
        <w:t>maintain</w:t>
      </w:r>
      <w:r w:rsidR="002B3746">
        <w:rPr>
          <w:rFonts w:asciiTheme="majorBidi" w:hAnsiTheme="majorBidi" w:cstheme="majorBidi"/>
          <w:lang w:bidi="he-IL"/>
        </w:rPr>
        <w:t xml:space="preserve"> that grounding and essence provide two entirely different types of explanation, with no attempt to place them in a unified framework. Thus, </w:t>
      </w:r>
      <w:r w:rsidR="00150E5D">
        <w:rPr>
          <w:rFonts w:asciiTheme="majorBidi" w:hAnsiTheme="majorBidi" w:cstheme="majorBidi"/>
          <w:lang w:bidi="he-IL"/>
        </w:rPr>
        <w:t xml:space="preserve">Martin Glazier argues that there are two fundamentally different kinds of metaphysical explanation: grounding explanations and essentialist explanations. In Glazier’s use of the phrase, an explanation counts as essentialist only if it’s of the form “A because </w:t>
      </w:r>
      <w:proofErr w:type="spellStart"/>
      <w:r w:rsidR="00150E5D">
        <w:rPr>
          <w:rFonts w:asciiTheme="majorBidi" w:hAnsiTheme="majorBidi" w:cstheme="majorBidi"/>
          <w:lang w:bidi="he-IL"/>
        </w:rPr>
        <w:t>t</w:t>
      </w:r>
      <w:proofErr w:type="spellEnd"/>
      <w:r w:rsidR="00150E5D">
        <w:rPr>
          <w:rFonts w:asciiTheme="majorBidi" w:hAnsiTheme="majorBidi" w:cstheme="majorBidi"/>
          <w:lang w:bidi="he-IL"/>
        </w:rPr>
        <w:t xml:space="preserve"> is essentially such that A” (2017: 2873). </w:t>
      </w:r>
      <w:r w:rsidR="00580702">
        <w:rPr>
          <w:rFonts w:asciiTheme="majorBidi" w:hAnsiTheme="majorBidi" w:cstheme="majorBidi"/>
          <w:lang w:bidi="he-IL"/>
        </w:rPr>
        <w:t xml:space="preserve">So, not every explanation that appeals to an essentialist fact is an essentialist explanation in Glazier’s sense. </w:t>
      </w:r>
      <w:r w:rsidR="002A4D18">
        <w:rPr>
          <w:rFonts w:asciiTheme="majorBidi" w:hAnsiTheme="majorBidi" w:cstheme="majorBidi"/>
          <w:lang w:bidi="he-IL"/>
        </w:rPr>
        <w:t>Explanations of this sort, he argues, are ultimate in the sense that the explanans in an essentialist explanation cannot be the explanandum of a further essentialist explanation (although it might still be explainable in some other way). For example, the singleton set of Socrates contains Socrates because it’s in the nature of the singleton set to contain Socrates. Then by the ultimacy</w:t>
      </w:r>
      <w:r w:rsidR="00580702">
        <w:rPr>
          <w:rFonts w:asciiTheme="majorBidi" w:hAnsiTheme="majorBidi" w:cstheme="majorBidi"/>
          <w:lang w:bidi="he-IL"/>
        </w:rPr>
        <w:t xml:space="preserve"> </w:t>
      </w:r>
      <w:r w:rsidR="002A4D18">
        <w:rPr>
          <w:rFonts w:asciiTheme="majorBidi" w:hAnsiTheme="majorBidi" w:cstheme="majorBidi"/>
          <w:lang w:bidi="he-IL"/>
        </w:rPr>
        <w:t>principle, there is no essentialist explanation of why it’s in the nature of the singleton set to contain Socrates.</w:t>
      </w:r>
    </w:p>
    <w:p w14:paraId="0452D9DC" w14:textId="5473D29F" w:rsidR="00842F7D" w:rsidRPr="00304FDA" w:rsidRDefault="00EF525F" w:rsidP="00E45BFD">
      <w:pPr>
        <w:ind w:firstLine="432"/>
        <w:jc w:val="both"/>
        <w:rPr>
          <w:rFonts w:asciiTheme="majorBidi" w:hAnsiTheme="majorBidi" w:cstheme="majorBidi"/>
          <w:rtl/>
          <w:lang w:bidi="he-IL"/>
        </w:rPr>
      </w:pPr>
      <w:r>
        <w:rPr>
          <w:rFonts w:asciiTheme="majorBidi" w:hAnsiTheme="majorBidi" w:cstheme="majorBidi"/>
          <w:lang w:bidi="he-IL"/>
        </w:rPr>
        <w:t xml:space="preserve">Glazier offers two </w:t>
      </w:r>
      <w:r w:rsidR="00337258">
        <w:rPr>
          <w:rFonts w:asciiTheme="majorBidi" w:hAnsiTheme="majorBidi" w:cstheme="majorBidi"/>
          <w:lang w:bidi="he-IL"/>
        </w:rPr>
        <w:t xml:space="preserve">arguments for why essentialist explanations cannot be thought of as a kind of grounding explanation. First, a fact could be ungrounded but essential; what’s in the nature of a thing might lack grounds altogether. For example, perhaps it’s a fundamental (in the sense ‘ungrounded’) fact about electrons that they have negative charge. This fact could still </w:t>
      </w:r>
      <w:r w:rsidR="00337258">
        <w:rPr>
          <w:rFonts w:asciiTheme="majorBidi" w:hAnsiTheme="majorBidi" w:cstheme="majorBidi"/>
          <w:lang w:bidi="he-IL"/>
        </w:rPr>
        <w:lastRenderedPageBreak/>
        <w:t>have an essentialist explanation if it’s in the nature of electrons to have negative cha</w:t>
      </w:r>
      <w:r w:rsidR="007409C4">
        <w:rPr>
          <w:rFonts w:asciiTheme="majorBidi" w:hAnsiTheme="majorBidi" w:cstheme="majorBidi"/>
          <w:lang w:bidi="he-IL"/>
        </w:rPr>
        <w:t>r</w:t>
      </w:r>
      <w:r w:rsidR="00337258">
        <w:rPr>
          <w:rFonts w:asciiTheme="majorBidi" w:hAnsiTheme="majorBidi" w:cstheme="majorBidi"/>
          <w:lang w:bidi="he-IL"/>
        </w:rPr>
        <w:t>ge.</w:t>
      </w:r>
      <w:r w:rsidR="007409C4">
        <w:rPr>
          <w:rFonts w:asciiTheme="majorBidi" w:hAnsiTheme="majorBidi" w:cstheme="majorBidi"/>
          <w:lang w:bidi="he-IL"/>
        </w:rPr>
        <w:t xml:space="preserve"> Second, the hypothesis that essentialist explanation is just a form of grounding explanation sits ill with </w:t>
      </w:r>
      <w:r w:rsidR="007D47C1">
        <w:rPr>
          <w:rFonts w:asciiTheme="majorBidi" w:hAnsiTheme="majorBidi" w:cstheme="majorBidi"/>
          <w:lang w:bidi="he-IL"/>
        </w:rPr>
        <w:t xml:space="preserve">some popular principles of the impure logic of grounding, for example that disjunctions are grounded in their </w:t>
      </w:r>
      <w:r w:rsidR="00826FF0">
        <w:rPr>
          <w:rFonts w:asciiTheme="majorBidi" w:hAnsiTheme="majorBidi" w:cstheme="majorBidi"/>
          <w:lang w:bidi="he-IL"/>
        </w:rPr>
        <w:t xml:space="preserve">true </w:t>
      </w:r>
      <w:r w:rsidR="007D47C1">
        <w:rPr>
          <w:rFonts w:asciiTheme="majorBidi" w:hAnsiTheme="majorBidi" w:cstheme="majorBidi"/>
          <w:lang w:bidi="he-IL"/>
        </w:rPr>
        <w:t xml:space="preserve">disjuncts. For example, it may be that a Boolean variable in a computer program essentially has either the value 0 or the value 1. But it’s false that the variable essentially has the value 0, and it’s also false that the variable essentially has the value 1. </w:t>
      </w:r>
      <w:r w:rsidR="0005792F">
        <w:rPr>
          <w:rFonts w:asciiTheme="majorBidi" w:hAnsiTheme="majorBidi" w:cstheme="majorBidi"/>
          <w:lang w:bidi="he-IL"/>
        </w:rPr>
        <w:t xml:space="preserve">Nonetheless, it could be that it has either the value 0 or the value 1 because it’s essentially such that it has one of those two values. </w:t>
      </w:r>
      <w:r w:rsidR="00227BB1">
        <w:rPr>
          <w:rFonts w:asciiTheme="majorBidi" w:hAnsiTheme="majorBidi" w:cstheme="majorBidi"/>
          <w:lang w:bidi="he-IL"/>
        </w:rPr>
        <w:t xml:space="preserve">The problem is that </w:t>
      </w:r>
      <w:r w:rsidR="00425F1D">
        <w:rPr>
          <w:rFonts w:asciiTheme="majorBidi" w:hAnsiTheme="majorBidi" w:cstheme="majorBidi"/>
          <w:lang w:bidi="he-IL"/>
        </w:rPr>
        <w:t xml:space="preserve">“a fact can ground a disjunction only if it does the grounding work of a true disjunct” </w:t>
      </w:r>
      <w:r w:rsidR="00E470A2">
        <w:rPr>
          <w:rFonts w:asciiTheme="majorBidi" w:hAnsiTheme="majorBidi" w:cstheme="majorBidi"/>
          <w:lang w:bidi="he-IL"/>
        </w:rPr>
        <w:t xml:space="preserve">(Glazier 2017: 2877), and this condition isn’t satisfied. For while the contingent fact that the variable has the value 1 grounds the disjunction that the variable has the value 1 or grass is green, the essential (and thus necessary) fact that it’s in the nature of the variable to have the value 0 or the value 1 cannot ground it. </w:t>
      </w:r>
      <w:r w:rsidR="00B22368">
        <w:rPr>
          <w:rFonts w:asciiTheme="majorBidi" w:hAnsiTheme="majorBidi" w:cstheme="majorBidi"/>
          <w:lang w:bidi="he-IL"/>
        </w:rPr>
        <w:t xml:space="preserve">According to the widely accepted thesis of Grounding Necessitarianism, grounds necessitate what they ground. If so, </w:t>
      </w:r>
      <w:r w:rsidR="00CC654D">
        <w:rPr>
          <w:rFonts w:asciiTheme="majorBidi" w:hAnsiTheme="majorBidi" w:cstheme="majorBidi"/>
          <w:lang w:bidi="he-IL"/>
        </w:rPr>
        <w:t xml:space="preserve">then </w:t>
      </w:r>
      <w:r w:rsidR="00413D05">
        <w:rPr>
          <w:rFonts w:asciiTheme="majorBidi" w:hAnsiTheme="majorBidi" w:cstheme="majorBidi"/>
          <w:lang w:bidi="he-IL"/>
        </w:rPr>
        <w:t xml:space="preserve">necessary facts </w:t>
      </w:r>
      <w:r w:rsidR="00B22368">
        <w:rPr>
          <w:rFonts w:asciiTheme="majorBidi" w:hAnsiTheme="majorBidi" w:cstheme="majorBidi"/>
          <w:lang w:bidi="he-IL"/>
        </w:rPr>
        <w:t xml:space="preserve">cannot ground </w:t>
      </w:r>
      <w:r w:rsidR="00413D05">
        <w:rPr>
          <w:rFonts w:asciiTheme="majorBidi" w:hAnsiTheme="majorBidi" w:cstheme="majorBidi"/>
          <w:lang w:bidi="he-IL"/>
        </w:rPr>
        <w:t>contingent ones</w:t>
      </w:r>
      <w:r w:rsidR="00B22368">
        <w:rPr>
          <w:rFonts w:asciiTheme="majorBidi" w:hAnsiTheme="majorBidi" w:cstheme="majorBidi"/>
          <w:lang w:bidi="he-IL"/>
        </w:rPr>
        <w:t xml:space="preserve">, as they don’t </w:t>
      </w:r>
      <w:r w:rsidR="00D42D53">
        <w:rPr>
          <w:rFonts w:asciiTheme="majorBidi" w:hAnsiTheme="majorBidi" w:cstheme="majorBidi"/>
          <w:lang w:bidi="he-IL"/>
        </w:rPr>
        <w:t>entail them</w:t>
      </w:r>
      <w:r w:rsidR="00413D05">
        <w:rPr>
          <w:rFonts w:asciiTheme="majorBidi" w:hAnsiTheme="majorBidi" w:cstheme="majorBidi"/>
          <w:lang w:bidi="he-IL"/>
        </w:rPr>
        <w:t>.</w:t>
      </w:r>
    </w:p>
    <w:p w14:paraId="63B94EE3" w14:textId="4FAC55C9" w:rsidR="00B22368" w:rsidRDefault="00B22368" w:rsidP="00E45BFD">
      <w:pPr>
        <w:ind w:firstLine="432"/>
        <w:jc w:val="both"/>
        <w:rPr>
          <w:lang w:bidi="he-IL"/>
        </w:rPr>
      </w:pPr>
      <w:r>
        <w:rPr>
          <w:lang w:bidi="he-IL"/>
        </w:rPr>
        <w:t xml:space="preserve">Richardson </w:t>
      </w:r>
      <w:r w:rsidR="009964B6">
        <w:rPr>
          <w:lang w:bidi="he-IL"/>
        </w:rPr>
        <w:t>(</w:t>
      </w:r>
      <w:r w:rsidR="00824C82">
        <w:rPr>
          <w:lang w:bidi="he-IL"/>
        </w:rPr>
        <w:t>2021</w:t>
      </w:r>
      <w:r w:rsidR="009964B6">
        <w:rPr>
          <w:lang w:bidi="he-IL"/>
        </w:rPr>
        <w:t xml:space="preserve">) </w:t>
      </w:r>
      <w:r>
        <w:rPr>
          <w:lang w:bidi="he-IL"/>
        </w:rPr>
        <w:t xml:space="preserve">takes a similar approach, although his taxonomy is different from Glazier’s. Instead of distinguishing grounding-based </w:t>
      </w:r>
      <w:r w:rsidR="00F37BFE">
        <w:rPr>
          <w:lang w:bidi="he-IL"/>
        </w:rPr>
        <w:t xml:space="preserve">from </w:t>
      </w:r>
      <w:r>
        <w:rPr>
          <w:lang w:bidi="he-IL"/>
        </w:rPr>
        <w:t xml:space="preserve">essentialist metaphysical explanations, he differentiates </w:t>
      </w:r>
      <w:r w:rsidR="00F37BFE">
        <w:rPr>
          <w:lang w:bidi="he-IL"/>
        </w:rPr>
        <w:t xml:space="preserve">between </w:t>
      </w:r>
      <w:r>
        <w:rPr>
          <w:lang w:bidi="he-IL"/>
        </w:rPr>
        <w:t xml:space="preserve">two types of grounding: “why-grounding”, which is what most people (including Glazier) usually mean by ‘grounding’ without any qualification, and “what-grounding’, which seems similar to essentialist explanation. </w:t>
      </w:r>
      <w:r w:rsidR="00AE3FF7">
        <w:rPr>
          <w:lang w:bidi="he-IL"/>
        </w:rPr>
        <w:t>(Skiles [201</w:t>
      </w:r>
      <w:r w:rsidR="001B757A">
        <w:rPr>
          <w:lang w:bidi="he-IL"/>
        </w:rPr>
        <w:t>9</w:t>
      </w:r>
      <w:r w:rsidR="00AE3FF7">
        <w:rPr>
          <w:lang w:bidi="he-IL"/>
        </w:rPr>
        <w:t>] also draws a similar distinction between two different types of metaphysical explanation.)</w:t>
      </w:r>
    </w:p>
    <w:p w14:paraId="40028CD0" w14:textId="4FA1EEEA" w:rsidR="00B22368" w:rsidRDefault="00B22368" w:rsidP="00C40807">
      <w:pPr>
        <w:ind w:firstLine="432"/>
        <w:jc w:val="both"/>
        <w:rPr>
          <w:lang w:bidi="he-IL"/>
        </w:rPr>
      </w:pPr>
      <w:r>
        <w:rPr>
          <w:lang w:bidi="he-IL"/>
        </w:rPr>
        <w:t xml:space="preserve">Despite the (rough) pairwise correspondence between why-grounding and grounding on the one hand, and what-grounding and essentialist explanation on the other, some of the differences between Glazier’s and Richardson’s views seem substantive. For while Glazier presupposes Grounding Necessitarianism (see </w:t>
      </w:r>
      <w:r w:rsidR="0081065D">
        <w:rPr>
          <w:lang w:bidi="he-IL"/>
        </w:rPr>
        <w:t>two</w:t>
      </w:r>
      <w:r>
        <w:rPr>
          <w:lang w:bidi="he-IL"/>
        </w:rPr>
        <w:t xml:space="preserve"> paragraph</w:t>
      </w:r>
      <w:r w:rsidR="0081065D">
        <w:rPr>
          <w:lang w:bidi="he-IL"/>
        </w:rPr>
        <w:t xml:space="preserve">s </w:t>
      </w:r>
      <w:r w:rsidR="00C40807">
        <w:rPr>
          <w:lang w:bidi="he-IL"/>
        </w:rPr>
        <w:t>above</w:t>
      </w:r>
      <w:r>
        <w:rPr>
          <w:lang w:bidi="he-IL"/>
        </w:rPr>
        <w:t xml:space="preserve">), Richardson thinks that the distinction can help adjudicate an ongoing debate over this thesis. Namely, he argues that </w:t>
      </w:r>
      <w:r w:rsidR="0081065D">
        <w:rPr>
          <w:lang w:bidi="he-IL"/>
        </w:rPr>
        <w:t>Grounding Necessitarianism is true of what-grounding (precisely du</w:t>
      </w:r>
      <w:r w:rsidR="00331910">
        <w:rPr>
          <w:lang w:bidi="he-IL"/>
        </w:rPr>
        <w:t>e to its connection to essence)</w:t>
      </w:r>
      <w:r w:rsidR="0081065D">
        <w:rPr>
          <w:lang w:bidi="he-IL"/>
        </w:rPr>
        <w:t xml:space="preserve"> but not of why-grounding. The latter relation, he argues, should be understood in terms of difference-making and bears no interesting connections to essence.</w:t>
      </w:r>
    </w:p>
    <w:p w14:paraId="7E0EDDA7" w14:textId="7F844481" w:rsidR="00B542BA" w:rsidRDefault="0049230D" w:rsidP="00E45BFD">
      <w:pPr>
        <w:ind w:firstLine="432"/>
        <w:jc w:val="both"/>
      </w:pPr>
      <w:r>
        <w:t xml:space="preserve">As we have seen in section 1, reducing either grounding or essence to the other (or both of them to a third primitive) is a formidable task. By contrast, </w:t>
      </w:r>
      <w:r w:rsidR="00B258AC">
        <w:t>a non-reductive approach that doesn’t attempt to offer such definitions is presumably the default approach that has many possible variants other than those offered by Glazier and Richardson.</w:t>
      </w:r>
    </w:p>
    <w:p w14:paraId="1044F5D0" w14:textId="4096E43C" w:rsidR="00241A6A" w:rsidRDefault="00241A6A" w:rsidP="00E45BFD">
      <w:pPr>
        <w:ind w:firstLine="432"/>
        <w:jc w:val="both"/>
      </w:pPr>
    </w:p>
    <w:p w14:paraId="77BEAA0F" w14:textId="46FDA985" w:rsidR="00241A6A" w:rsidRPr="00241A6A" w:rsidRDefault="00241A6A" w:rsidP="00E45BFD">
      <w:pPr>
        <w:ind w:firstLine="432"/>
        <w:jc w:val="both"/>
        <w:rPr>
          <w:b/>
          <w:bCs/>
        </w:rPr>
      </w:pPr>
      <w:r w:rsidRPr="00241A6A">
        <w:rPr>
          <w:b/>
          <w:bCs/>
        </w:rPr>
        <w:t>4. Conclusion</w:t>
      </w:r>
    </w:p>
    <w:p w14:paraId="582CD784" w14:textId="77777777" w:rsidR="00646E8D" w:rsidRDefault="00936719">
      <w:pPr>
        <w:jc w:val="both"/>
      </w:pPr>
      <w:r>
        <w:t xml:space="preserve">Research on the relation between essence on the one hand and metaphysical explanation and laws on the other hand </w:t>
      </w:r>
      <w:r w:rsidR="006D13D5">
        <w:t xml:space="preserve">is still in its early stages. </w:t>
      </w:r>
      <w:r w:rsidR="001C0DFF">
        <w:t xml:space="preserve">But from the budding literature it can already be gathered that there is a wide variety of options concerning the explanatory nature of essence: whether it’s explanatory at all; if so, whether its explanatory role is distinctive or similar to that of grounding; and </w:t>
      </w:r>
      <w:r w:rsidR="00462BA7">
        <w:t xml:space="preserve">moreover, whether essence and grounding or metaphysical explanation can be analyzed either in terms of each other or in terms of the same primitive notions. </w:t>
      </w:r>
      <w:r w:rsidR="00EC6008">
        <w:t xml:space="preserve">Beside the intrinsic interest that these questions hold, they </w:t>
      </w:r>
      <w:r w:rsidR="00C320E5">
        <w:t xml:space="preserve">may </w:t>
      </w:r>
      <w:r w:rsidR="00A8367C">
        <w:t>shed light</w:t>
      </w:r>
      <w:r w:rsidR="00C320E5">
        <w:t xml:space="preserve"> </w:t>
      </w:r>
      <w:r w:rsidR="00A8367C">
        <w:t xml:space="preserve">on more </w:t>
      </w:r>
      <w:r w:rsidR="00C320E5">
        <w:t xml:space="preserve">general </w:t>
      </w:r>
      <w:r w:rsidR="00A8367C">
        <w:t>themes about metaphysical methodology.</w:t>
      </w:r>
    </w:p>
    <w:p w14:paraId="26F35586" w14:textId="467EB2B9" w:rsidR="00EC6008" w:rsidRDefault="00646E8D" w:rsidP="008E3940">
      <w:pPr>
        <w:ind w:firstLine="426"/>
        <w:jc w:val="both"/>
      </w:pPr>
      <w:r>
        <w:t>In the contemporary literature, grounding and (non-modal notions of) essence came to the forefront around the same time, between the mid-90s and the mid-2000s, in the context of the “</w:t>
      </w:r>
      <w:proofErr w:type="spellStart"/>
      <w:r>
        <w:t>hyperintensional</w:t>
      </w:r>
      <w:proofErr w:type="spellEnd"/>
      <w:r>
        <w:t xml:space="preserve"> revolution”</w:t>
      </w:r>
      <w:r w:rsidR="00445CC8">
        <w:t xml:space="preserve"> (Nolan 2014)</w:t>
      </w:r>
      <w:r>
        <w:t xml:space="preserve">.  </w:t>
      </w:r>
      <w:r w:rsidR="00C95919">
        <w:t>B</w:t>
      </w:r>
      <w:r w:rsidR="00BD2D2A">
        <w:t xml:space="preserve">oth </w:t>
      </w:r>
      <w:r w:rsidR="00C95919">
        <w:t xml:space="preserve">are </w:t>
      </w:r>
      <w:r w:rsidR="00BD2D2A">
        <w:t xml:space="preserve">often seen as useful conceptual tools that can be invoked to fill theoretical roles for which modal concepts are inadequate. They </w:t>
      </w:r>
      <w:r w:rsidR="0027015B">
        <w:t xml:space="preserve">are </w:t>
      </w:r>
      <w:r w:rsidR="00BD2D2A">
        <w:t xml:space="preserve">also </w:t>
      </w:r>
      <w:r w:rsidR="0027015B">
        <w:lastRenderedPageBreak/>
        <w:t>often considered “partners in crime”</w:t>
      </w:r>
      <w:r w:rsidR="00CF0615">
        <w:t>:</w:t>
      </w:r>
      <w:r w:rsidR="0027015B">
        <w:t xml:space="preserve"> </w:t>
      </w:r>
      <w:r w:rsidR="00445CC8">
        <w:t xml:space="preserve">for </w:t>
      </w:r>
      <w:r w:rsidR="0027015B">
        <w:t xml:space="preserve">philosophers who harbor suspicion about one of these notions </w:t>
      </w:r>
      <w:r w:rsidR="00445CC8">
        <w:t>it’s natural to</w:t>
      </w:r>
      <w:r w:rsidR="0027015B">
        <w:t xml:space="preserve"> </w:t>
      </w:r>
      <w:r w:rsidR="00445CC8">
        <w:t xml:space="preserve">be </w:t>
      </w:r>
      <w:r w:rsidR="0027015B">
        <w:t xml:space="preserve">skeptical about the other as well. </w:t>
      </w:r>
      <w:r w:rsidR="00CF0615">
        <w:t xml:space="preserve">However, a closer look reveals that </w:t>
      </w:r>
      <w:r w:rsidR="00E94EA6">
        <w:t xml:space="preserve">even philosophers who see the </w:t>
      </w:r>
      <w:proofErr w:type="spellStart"/>
      <w:r w:rsidR="00E94EA6">
        <w:t>hyperintensional</w:t>
      </w:r>
      <w:proofErr w:type="spellEnd"/>
      <w:r w:rsidR="00E94EA6">
        <w:t xml:space="preserve"> revolution </w:t>
      </w:r>
      <w:r w:rsidR="00EF1AB7">
        <w:t xml:space="preserve">as progress </w:t>
      </w:r>
      <w:r w:rsidR="00E94EA6">
        <w:t xml:space="preserve">have </w:t>
      </w:r>
      <w:r w:rsidR="00F10C69">
        <w:t xml:space="preserve">a variety of </w:t>
      </w:r>
      <w:r w:rsidR="00E94EA6">
        <w:t>attitudes to what such progress consists in. Some, for example E.J. Lowe</w:t>
      </w:r>
      <w:r w:rsidR="00445CC8">
        <w:t xml:space="preserve"> (2018)</w:t>
      </w:r>
      <w:r w:rsidR="00E94EA6">
        <w:t>, have been working toward a very robust rehabilitation of neo-Aristotelian metaphysics, conceiving of metaphysics as the “science of essence”. Others are considerably more reserved</w:t>
      </w:r>
      <w:r w:rsidR="00832983">
        <w:t>.</w:t>
      </w:r>
      <w:r w:rsidR="00E94EA6">
        <w:t xml:space="preserve"> </w:t>
      </w:r>
      <w:r w:rsidR="00832983">
        <w:t>F</w:t>
      </w:r>
      <w:r w:rsidR="00E94EA6">
        <w:t xml:space="preserve">or example, despite also being inspired by Aristotle, Schaffer sees questions of what grounds what </w:t>
      </w:r>
      <w:r w:rsidR="00E75F5A">
        <w:t xml:space="preserve">central to metaphysics (2009) but seeks to give an account of grounding that doesn’t rely on the notion of essence, which he considers </w:t>
      </w:r>
      <w:r w:rsidR="0021574E">
        <w:t>suspect</w:t>
      </w:r>
      <w:r w:rsidR="00E75F5A">
        <w:t xml:space="preserve"> (2016</w:t>
      </w:r>
      <w:r w:rsidR="00CB288B">
        <w:t>: 83</w:t>
      </w:r>
      <w:r w:rsidR="00E75F5A">
        <w:t>).</w:t>
      </w:r>
      <w:r w:rsidR="008A6704">
        <w:t xml:space="preserve"> </w:t>
      </w:r>
      <w:proofErr w:type="spellStart"/>
      <w:r w:rsidR="008A6704">
        <w:t>Koslicki</w:t>
      </w:r>
      <w:proofErr w:type="spellEnd"/>
      <w:r w:rsidR="008A6704">
        <w:t xml:space="preserve">, by contrast, sees essence as valuable and even central </w:t>
      </w:r>
      <w:r w:rsidR="00D731C9">
        <w:t>to</w:t>
      </w:r>
      <w:r w:rsidR="008A6704">
        <w:t xml:space="preserve"> metaphysics (2012) but considers grounding too coarse-grained to do useful theoretical work (2015).</w:t>
      </w:r>
    </w:p>
    <w:p w14:paraId="74639998" w14:textId="06FC5DBE" w:rsidR="00730EF8" w:rsidRDefault="0099010B" w:rsidP="008E3940">
      <w:pPr>
        <w:ind w:firstLine="426"/>
        <w:jc w:val="both"/>
      </w:pPr>
      <w:r>
        <w:t xml:space="preserve">These different attitudes are often reflected in one’s </w:t>
      </w:r>
      <w:r w:rsidR="00D75029">
        <w:t>view</w:t>
      </w:r>
      <w:r>
        <w:t xml:space="preserve"> </w:t>
      </w:r>
      <w:r w:rsidR="00D75029">
        <w:t xml:space="preserve">about </w:t>
      </w:r>
      <w:r>
        <w:t xml:space="preserve">the relation between grounding and essence. It can be said that </w:t>
      </w:r>
      <w:r w:rsidR="00B06584">
        <w:t xml:space="preserve">almost </w:t>
      </w:r>
      <w:r>
        <w:t xml:space="preserve">all (although not only) advocates of Unity and Supplementation are full-throated advocates of the </w:t>
      </w:r>
      <w:proofErr w:type="spellStart"/>
      <w:r>
        <w:t>hyperintensional</w:t>
      </w:r>
      <w:proofErr w:type="spellEnd"/>
      <w:r>
        <w:t xml:space="preserve"> revolution. </w:t>
      </w:r>
      <w:r w:rsidR="007B1AE2">
        <w:t xml:space="preserve">Offering an account of either essence of grounding that substantively relies on one’s account of the other notion is a risky endeavor unless one is highly confident that both notions are in good standing. Independence and Irrelevance are much more congenial to theorists </w:t>
      </w:r>
      <w:r w:rsidR="0039270A">
        <w:t xml:space="preserve">like </w:t>
      </w:r>
      <w:proofErr w:type="spellStart"/>
      <w:r w:rsidR="00D75029">
        <w:t>Koslicki</w:t>
      </w:r>
      <w:proofErr w:type="spellEnd"/>
      <w:r w:rsidR="00D75029">
        <w:t xml:space="preserve"> and </w:t>
      </w:r>
      <w:r w:rsidR="0039270A">
        <w:t xml:space="preserve">Schaffer, </w:t>
      </w:r>
      <w:r w:rsidR="007B1AE2">
        <w:t xml:space="preserve">who embrace certain aspects of the </w:t>
      </w:r>
      <w:proofErr w:type="spellStart"/>
      <w:r w:rsidR="007B1AE2">
        <w:t>hyperintensional</w:t>
      </w:r>
      <w:proofErr w:type="spellEnd"/>
      <w:r w:rsidR="007B1AE2">
        <w:t xml:space="preserve"> revolution but have reservations about others. </w:t>
      </w:r>
      <w:r w:rsidR="00730EF8">
        <w:t xml:space="preserve">The author of this chapter counts himself among these </w:t>
      </w:r>
      <w:r w:rsidR="00A31009">
        <w:t xml:space="preserve">more reserved </w:t>
      </w:r>
      <w:r w:rsidR="00730EF8">
        <w:t>theorists, having worked extensively on grounding and metaphysical explanation but remaining sympathetic to a purely modal, pre-</w:t>
      </w:r>
      <w:proofErr w:type="spellStart"/>
      <w:r w:rsidR="00730EF8">
        <w:t>Finean</w:t>
      </w:r>
      <w:proofErr w:type="spellEnd"/>
      <w:r w:rsidR="00730EF8">
        <w:t xml:space="preserve"> account of essence.</w:t>
      </w:r>
    </w:p>
    <w:p w14:paraId="0C5D1E9F" w14:textId="3EF17F43" w:rsidR="00241A6A" w:rsidRDefault="00730EF8" w:rsidP="008E3940">
      <w:pPr>
        <w:ind w:firstLine="426"/>
        <w:jc w:val="both"/>
      </w:pPr>
      <w:r>
        <w:t>Either way, m</w:t>
      </w:r>
      <w:r w:rsidR="002B135C">
        <w:t xml:space="preserve">uch work is yet to be done </w:t>
      </w:r>
      <w:r w:rsidR="00F216F8">
        <w:t xml:space="preserve">on </w:t>
      </w:r>
      <w:r>
        <w:t>both on the general question of proper methodology and on what analytic connections, if any, there are between essence and explanation. Further d</w:t>
      </w:r>
      <w:r w:rsidR="00CE36A2">
        <w:t xml:space="preserve">evelopments in </w:t>
      </w:r>
      <w:r>
        <w:t xml:space="preserve">these debates </w:t>
      </w:r>
      <w:r w:rsidR="00CE36A2">
        <w:t xml:space="preserve">will be crucial </w:t>
      </w:r>
      <w:r w:rsidR="005456D2">
        <w:t>to</w:t>
      </w:r>
      <w:r w:rsidR="00CE36A2">
        <w:t xml:space="preserve"> our understanding of the role of essence in </w:t>
      </w:r>
      <w:r w:rsidR="007D7CA1">
        <w:t>post-modal</w:t>
      </w:r>
      <w:r w:rsidR="00CE36A2">
        <w:t xml:space="preserve"> metaphysics.</w:t>
      </w:r>
    </w:p>
    <w:p w14:paraId="1E20DC60" w14:textId="6DB32291" w:rsidR="00D83B1C" w:rsidRDefault="00D83B1C" w:rsidP="00E45BFD">
      <w:pPr>
        <w:jc w:val="both"/>
      </w:pPr>
    </w:p>
    <w:p w14:paraId="0C4210C3" w14:textId="7B4CBAE6" w:rsidR="00D83B1C" w:rsidRPr="00D83B1C" w:rsidRDefault="00D83B1C" w:rsidP="00E45BFD">
      <w:pPr>
        <w:ind w:left="426"/>
        <w:jc w:val="both"/>
        <w:rPr>
          <w:b/>
          <w:bCs/>
        </w:rPr>
      </w:pPr>
      <w:r w:rsidRPr="00D83B1C">
        <w:rPr>
          <w:b/>
          <w:bCs/>
        </w:rPr>
        <w:t>References</w:t>
      </w:r>
    </w:p>
    <w:p w14:paraId="2F99194A" w14:textId="1A03AC30" w:rsidR="00AE02FC" w:rsidRPr="00751AD8" w:rsidRDefault="00AE02FC" w:rsidP="00E45BFD">
      <w:pPr>
        <w:suppressAutoHyphens/>
        <w:autoSpaceDE w:val="0"/>
        <w:ind w:left="425" w:hanging="425"/>
        <w:jc w:val="both"/>
        <w:rPr>
          <w:rtl/>
          <w:lang w:eastAsia="ar-SA" w:bidi="he-IL"/>
        </w:rPr>
      </w:pPr>
      <w:r>
        <w:rPr>
          <w:lang w:eastAsia="ar-SA"/>
        </w:rPr>
        <w:t>Audi, Paul (2012</w:t>
      </w:r>
      <w:r w:rsidRPr="00751AD8">
        <w:rPr>
          <w:lang w:eastAsia="ar-SA"/>
        </w:rPr>
        <w:t xml:space="preserve">), “Grounding: Toward a theory of the </w:t>
      </w:r>
      <w:r w:rsidRPr="00751AD8">
        <w:rPr>
          <w:i/>
          <w:lang w:eastAsia="ar-SA"/>
        </w:rPr>
        <w:t>in-virtue-of</w:t>
      </w:r>
      <w:r w:rsidRPr="00751AD8">
        <w:rPr>
          <w:lang w:eastAsia="ar-SA"/>
        </w:rPr>
        <w:t xml:space="preserve"> relation,” </w:t>
      </w:r>
      <w:r w:rsidRPr="00751AD8">
        <w:rPr>
          <w:i/>
          <w:lang w:eastAsia="ar-SA"/>
        </w:rPr>
        <w:t>Journal of Philosophy</w:t>
      </w:r>
      <w:r w:rsidRPr="00751AD8">
        <w:rPr>
          <w:lang w:eastAsia="ar-SA"/>
        </w:rPr>
        <w:t>, 109: 685–711</w:t>
      </w:r>
    </w:p>
    <w:p w14:paraId="17E2F8CD" w14:textId="7D703821" w:rsidR="0059384E" w:rsidRDefault="00C92C02" w:rsidP="00E45BFD">
      <w:pPr>
        <w:ind w:left="425" w:hanging="425"/>
        <w:jc w:val="both"/>
      </w:pPr>
      <w:proofErr w:type="spellStart"/>
      <w:r>
        <w:t>Carnino</w:t>
      </w:r>
      <w:proofErr w:type="spellEnd"/>
      <w:r>
        <w:t>, Pablo (</w:t>
      </w:r>
      <w:r w:rsidR="0059384E">
        <w:t>201</w:t>
      </w:r>
      <w:r>
        <w:t xml:space="preserve">4), “On the Reduction of Grounding to Essence,” </w:t>
      </w:r>
      <w:r w:rsidRPr="00C92C02">
        <w:rPr>
          <w:i/>
          <w:iCs/>
        </w:rPr>
        <w:t xml:space="preserve">Studia </w:t>
      </w:r>
      <w:proofErr w:type="spellStart"/>
      <w:r w:rsidRPr="00C92C02">
        <w:rPr>
          <w:i/>
          <w:iCs/>
        </w:rPr>
        <w:t>Philosophica</w:t>
      </w:r>
      <w:proofErr w:type="spellEnd"/>
      <w:r w:rsidRPr="00C92C02">
        <w:rPr>
          <w:i/>
          <w:iCs/>
        </w:rPr>
        <w:t xml:space="preserve"> </w:t>
      </w:r>
      <w:proofErr w:type="spellStart"/>
      <w:r w:rsidRPr="00C92C02">
        <w:rPr>
          <w:i/>
          <w:iCs/>
        </w:rPr>
        <w:t>Estonica</w:t>
      </w:r>
      <w:proofErr w:type="spellEnd"/>
      <w:r>
        <w:t>,</w:t>
      </w:r>
      <w:r w:rsidRPr="00C92C02">
        <w:t xml:space="preserve"> 7:56-71</w:t>
      </w:r>
    </w:p>
    <w:p w14:paraId="33BFE613" w14:textId="03E53C9D" w:rsidR="00E13796" w:rsidRDefault="00E13796" w:rsidP="00E45BFD">
      <w:pPr>
        <w:ind w:left="425" w:hanging="425"/>
        <w:jc w:val="both"/>
      </w:pPr>
      <w:r>
        <w:t>Correia</w:t>
      </w:r>
      <w:r w:rsidR="009C2243">
        <w:t>, Fabrice</w:t>
      </w:r>
      <w:r>
        <w:t xml:space="preserve"> </w:t>
      </w:r>
      <w:r w:rsidR="009C2243">
        <w:t>(</w:t>
      </w:r>
      <w:r>
        <w:t>2006</w:t>
      </w:r>
      <w:r w:rsidR="009C2243">
        <w:t xml:space="preserve">), “Generic </w:t>
      </w:r>
      <w:r w:rsidR="00937263">
        <w:t>E</w:t>
      </w:r>
      <w:r w:rsidR="009C2243">
        <w:t xml:space="preserve">ssence, </w:t>
      </w:r>
      <w:r w:rsidR="00937263">
        <w:t>O</w:t>
      </w:r>
      <w:r w:rsidR="009C2243">
        <w:t xml:space="preserve">bjectual </w:t>
      </w:r>
      <w:r w:rsidR="00937263">
        <w:t>E</w:t>
      </w:r>
      <w:r w:rsidR="009C2243">
        <w:t xml:space="preserve">ssence, and </w:t>
      </w:r>
      <w:r w:rsidR="00937263">
        <w:t>M</w:t>
      </w:r>
      <w:r w:rsidR="009C2243">
        <w:t xml:space="preserve">odality,” </w:t>
      </w:r>
      <w:r w:rsidR="009C2243" w:rsidRPr="009C2243">
        <w:rPr>
          <w:i/>
          <w:iCs/>
        </w:rPr>
        <w:t>Nous</w:t>
      </w:r>
      <w:r w:rsidR="009C2243">
        <w:t>, 40: 753–67</w:t>
      </w:r>
    </w:p>
    <w:p w14:paraId="165E8185" w14:textId="33880C2B" w:rsidR="0059384E" w:rsidRPr="00E20BA6" w:rsidRDefault="000A6272" w:rsidP="00E45BFD">
      <w:pPr>
        <w:ind w:left="425" w:hanging="425"/>
        <w:jc w:val="both"/>
      </w:pPr>
      <w:r w:rsidRPr="009A1238">
        <w:rPr>
          <w:color w:val="000000"/>
        </w:rPr>
        <w:t>-----</w:t>
      </w:r>
      <w:r w:rsidRPr="00472F96">
        <w:t xml:space="preserve"> </w:t>
      </w:r>
      <w:r w:rsidR="00472F96" w:rsidRPr="00472F96">
        <w:t>(</w:t>
      </w:r>
      <w:r w:rsidR="0059384E" w:rsidRPr="00472F96">
        <w:t>2013</w:t>
      </w:r>
      <w:r w:rsidR="00472F96" w:rsidRPr="00472F96">
        <w:t>), “Me</w:t>
      </w:r>
      <w:r w:rsidR="00472F96">
        <w:t xml:space="preserve">taphysical Grounds and Essence,” </w:t>
      </w:r>
      <w:r w:rsidR="00472F96" w:rsidRPr="00472F96">
        <w:t xml:space="preserve">M. </w:t>
      </w:r>
      <w:proofErr w:type="spellStart"/>
      <w:r w:rsidR="00472F96" w:rsidRPr="00472F96">
        <w:t>Hoeltje</w:t>
      </w:r>
      <w:proofErr w:type="spellEnd"/>
      <w:r w:rsidR="00472F96" w:rsidRPr="00472F96">
        <w:t xml:space="preserve">, B. Schnieder and A. Steinberg (eds.), </w:t>
      </w:r>
      <w:r w:rsidR="00472F96" w:rsidRPr="00472F96">
        <w:rPr>
          <w:i/>
          <w:iCs/>
        </w:rPr>
        <w:t>Varieties of Dependence: Ontological Dependence, Grounding, Supervenience, Response-Dependence</w:t>
      </w:r>
      <w:r w:rsidR="00472F96" w:rsidRPr="00472F96">
        <w:t xml:space="preserve">, </w:t>
      </w:r>
      <w:r w:rsidR="00472F96">
        <w:t xml:space="preserve">Munich: </w:t>
      </w:r>
      <w:r w:rsidR="00472F96" w:rsidRPr="00472F96">
        <w:t>Philosophia, 271—96.</w:t>
      </w:r>
    </w:p>
    <w:p w14:paraId="48132145" w14:textId="70EE0256" w:rsidR="00E00B51" w:rsidRPr="00472F96" w:rsidRDefault="000A6272" w:rsidP="00E45BFD">
      <w:pPr>
        <w:ind w:left="425" w:hanging="425"/>
        <w:jc w:val="both"/>
      </w:pPr>
      <w:r w:rsidRPr="009A1238">
        <w:rPr>
          <w:color w:val="000000"/>
        </w:rPr>
        <w:t>-----</w:t>
      </w:r>
      <w:r w:rsidR="00E00B51" w:rsidRPr="00472F96">
        <w:t xml:space="preserve">and </w:t>
      </w:r>
      <w:r w:rsidR="00472F96" w:rsidRPr="00472F96">
        <w:t xml:space="preserve">Alex </w:t>
      </w:r>
      <w:r w:rsidR="00E00B51" w:rsidRPr="00472F96">
        <w:t xml:space="preserve">Skiles </w:t>
      </w:r>
      <w:r w:rsidR="00472F96" w:rsidRPr="00472F96">
        <w:t xml:space="preserve">(2019), “Grounding, Essence, and Identity,” </w:t>
      </w:r>
      <w:r w:rsidR="00472F96" w:rsidRPr="00472F96">
        <w:rPr>
          <w:i/>
          <w:iCs/>
        </w:rPr>
        <w:t>Philosophy and Phenomenological</w:t>
      </w:r>
      <w:r w:rsidR="00472F96" w:rsidRPr="00472F96">
        <w:t xml:space="preserve"> Research, 98: 642–70</w:t>
      </w:r>
    </w:p>
    <w:p w14:paraId="41F67BCE" w14:textId="77777777" w:rsidR="00AE02FC" w:rsidRDefault="00AE02FC" w:rsidP="00E45BFD">
      <w:pPr>
        <w:ind w:left="425" w:hanging="425"/>
        <w:jc w:val="both"/>
      </w:pPr>
      <w:r w:rsidRPr="00751AD8">
        <w:t xml:space="preserve">Dasgupta, Shamik (2014), “The possibility of physicalism,” </w:t>
      </w:r>
      <w:r w:rsidRPr="00751AD8">
        <w:rPr>
          <w:i/>
        </w:rPr>
        <w:t>Journal of Philosophy</w:t>
      </w:r>
      <w:r w:rsidRPr="00751AD8">
        <w:t>, 111: 557–592</w:t>
      </w:r>
    </w:p>
    <w:p w14:paraId="6FB1416B" w14:textId="57C2A321" w:rsidR="009A3539" w:rsidRPr="00751AD8" w:rsidRDefault="009A3539" w:rsidP="00E45BFD">
      <w:pPr>
        <w:ind w:left="425" w:hanging="425"/>
        <w:jc w:val="both"/>
      </w:pPr>
      <w:r>
        <w:t xml:space="preserve">De Rizzo, Julio (2022), “A ground-theoretical modal definition of essence,” </w:t>
      </w:r>
      <w:r w:rsidRPr="009A3539">
        <w:rPr>
          <w:i/>
          <w:iCs/>
        </w:rPr>
        <w:t>Analysis</w:t>
      </w:r>
      <w:r>
        <w:t>, 82: 32–41</w:t>
      </w:r>
    </w:p>
    <w:p w14:paraId="028C7EC3" w14:textId="758BA06F" w:rsidR="00E13796" w:rsidRDefault="00E13796" w:rsidP="00E45BFD">
      <w:pPr>
        <w:ind w:left="425" w:hanging="425"/>
        <w:jc w:val="both"/>
      </w:pPr>
      <w:r>
        <w:t xml:space="preserve">Duncan, </w:t>
      </w:r>
      <w:r w:rsidR="00E6795C">
        <w:t xml:space="preserve">M., K. </w:t>
      </w:r>
      <w:r>
        <w:t xml:space="preserve">Miller and </w:t>
      </w:r>
      <w:r w:rsidR="00E6795C">
        <w:t xml:space="preserve">J. </w:t>
      </w:r>
      <w:r>
        <w:t xml:space="preserve">Norton </w:t>
      </w:r>
      <w:r w:rsidR="00E6795C">
        <w:t>(</w:t>
      </w:r>
      <w:r>
        <w:t>2021</w:t>
      </w:r>
      <w:r w:rsidR="00E6795C">
        <w:t xml:space="preserve">), “Ditching determination and dependence: or, how to wear the crazy trousers,” </w:t>
      </w:r>
      <w:proofErr w:type="spellStart"/>
      <w:r w:rsidR="00E6795C" w:rsidRPr="00E6795C">
        <w:rPr>
          <w:i/>
          <w:iCs/>
        </w:rPr>
        <w:t>Synthese</w:t>
      </w:r>
      <w:proofErr w:type="spellEnd"/>
      <w:r w:rsidR="00E6795C">
        <w:t>, 198: 395–418</w:t>
      </w:r>
    </w:p>
    <w:p w14:paraId="5A48B982" w14:textId="186D63A4" w:rsidR="00E13796" w:rsidRPr="002072D3" w:rsidRDefault="00E13796" w:rsidP="00E45BFD">
      <w:pPr>
        <w:ind w:left="425" w:hanging="425"/>
        <w:jc w:val="both"/>
      </w:pPr>
      <w:r w:rsidRPr="002072D3">
        <w:t>Fine</w:t>
      </w:r>
      <w:r w:rsidR="002072D3" w:rsidRPr="002072D3">
        <w:t>, Kit</w:t>
      </w:r>
      <w:r w:rsidRPr="002072D3">
        <w:t xml:space="preserve"> </w:t>
      </w:r>
      <w:r w:rsidR="002072D3" w:rsidRPr="002072D3">
        <w:t>(</w:t>
      </w:r>
      <w:r w:rsidRPr="002072D3">
        <w:t>1994</w:t>
      </w:r>
      <w:r w:rsidR="002072D3" w:rsidRPr="002072D3">
        <w:t xml:space="preserve">), “Essence and Modality,” </w:t>
      </w:r>
      <w:r w:rsidR="002072D3" w:rsidRPr="002072D3">
        <w:rPr>
          <w:i/>
          <w:iCs/>
        </w:rPr>
        <w:t>Philosophical Perspectives</w:t>
      </w:r>
      <w:r w:rsidR="002072D3" w:rsidRPr="002072D3">
        <w:t>, 8: 1–16</w:t>
      </w:r>
    </w:p>
    <w:p w14:paraId="2646C8BF" w14:textId="5203BB92" w:rsidR="00AE02FC" w:rsidRPr="00751AD8" w:rsidRDefault="000A6272" w:rsidP="00E45BFD">
      <w:pPr>
        <w:ind w:left="425" w:hanging="425"/>
        <w:jc w:val="both"/>
      </w:pPr>
      <w:r w:rsidRPr="009A1238">
        <w:rPr>
          <w:color w:val="000000"/>
        </w:rPr>
        <w:t>-----</w:t>
      </w:r>
      <w:r w:rsidRPr="00751AD8">
        <w:t xml:space="preserve"> </w:t>
      </w:r>
      <w:r w:rsidR="00AE02FC" w:rsidRPr="00751AD8">
        <w:t>(2012), “Guide to ground,” In Fabrice Correia and Benjamin Schnieder (eds.),</w:t>
      </w:r>
      <w:r w:rsidR="00AE02FC" w:rsidRPr="00751AD8">
        <w:rPr>
          <w:i/>
        </w:rPr>
        <w:t xml:space="preserve"> Metaphysical Grounding: Understanding the Structure of Reality</w:t>
      </w:r>
      <w:r w:rsidR="00AE02FC" w:rsidRPr="00751AD8">
        <w:t>, 37–80, Cambridge: Cambridge University Press</w:t>
      </w:r>
    </w:p>
    <w:p w14:paraId="21F2FB48" w14:textId="7D424D79" w:rsidR="00E13796" w:rsidRPr="002072D3" w:rsidRDefault="000A6272" w:rsidP="00E45BFD">
      <w:pPr>
        <w:ind w:left="425" w:hanging="425"/>
        <w:jc w:val="both"/>
      </w:pPr>
      <w:r w:rsidRPr="009A1238">
        <w:rPr>
          <w:color w:val="000000"/>
        </w:rPr>
        <w:lastRenderedPageBreak/>
        <w:t>-----</w:t>
      </w:r>
      <w:r w:rsidRPr="002072D3">
        <w:t xml:space="preserve"> </w:t>
      </w:r>
      <w:r w:rsidR="002072D3" w:rsidRPr="002072D3">
        <w:t xml:space="preserve">(2015), “Unified Foundations for Essence and Ground,” </w:t>
      </w:r>
      <w:r w:rsidR="002072D3">
        <w:rPr>
          <w:i/>
          <w:iCs/>
        </w:rPr>
        <w:t xml:space="preserve">Journal of the American </w:t>
      </w:r>
      <w:r w:rsidR="002072D3" w:rsidRPr="002072D3">
        <w:rPr>
          <w:i/>
          <w:iCs/>
        </w:rPr>
        <w:t>Philosophical Association</w:t>
      </w:r>
      <w:r w:rsidR="002072D3" w:rsidRPr="002072D3">
        <w:t>, 1: 296–311</w:t>
      </w:r>
    </w:p>
    <w:p w14:paraId="620D39D6" w14:textId="77777777" w:rsidR="00AE02FC" w:rsidRPr="00751AD8" w:rsidRDefault="00AE02FC" w:rsidP="00E45BFD">
      <w:pPr>
        <w:ind w:left="425" w:hanging="425"/>
        <w:jc w:val="both"/>
      </w:pPr>
      <w:r w:rsidRPr="00751AD8">
        <w:t xml:space="preserve">Glazier, Martin (2017), “Essentialist Explanation,” </w:t>
      </w:r>
      <w:r w:rsidRPr="00751AD8">
        <w:rPr>
          <w:i/>
        </w:rPr>
        <w:t>Philosophical Studies</w:t>
      </w:r>
      <w:r w:rsidRPr="00751AD8">
        <w:t>, 174: 2871–89</w:t>
      </w:r>
    </w:p>
    <w:p w14:paraId="0BCA7F68" w14:textId="7F28BBEC" w:rsidR="002D7B43" w:rsidRDefault="002D7B43" w:rsidP="00E45BFD">
      <w:pPr>
        <w:ind w:left="425" w:hanging="425"/>
        <w:jc w:val="both"/>
      </w:pPr>
      <w:r>
        <w:t xml:space="preserve">Gorman, Michael (2005), “The Essential and the Accidental,” </w:t>
      </w:r>
      <w:r w:rsidRPr="002D7B43">
        <w:rPr>
          <w:i/>
          <w:iCs/>
        </w:rPr>
        <w:t>Ratio</w:t>
      </w:r>
      <w:r>
        <w:t>, 18: 276–89</w:t>
      </w:r>
    </w:p>
    <w:p w14:paraId="4E484394" w14:textId="5A212D93" w:rsidR="00E00B51" w:rsidRDefault="000A6272" w:rsidP="00E45BFD">
      <w:pPr>
        <w:ind w:left="425" w:hanging="425"/>
        <w:jc w:val="both"/>
      </w:pPr>
      <w:r w:rsidRPr="009A1238">
        <w:rPr>
          <w:color w:val="000000"/>
        </w:rPr>
        <w:t>-----</w:t>
      </w:r>
      <w:r>
        <w:t xml:space="preserve"> </w:t>
      </w:r>
      <w:r w:rsidR="002D7B43">
        <w:t>(</w:t>
      </w:r>
      <w:r w:rsidR="00E00B51">
        <w:t>2014</w:t>
      </w:r>
      <w:r w:rsidR="002D7B43">
        <w:t xml:space="preserve">), “Essentiality as </w:t>
      </w:r>
      <w:proofErr w:type="spellStart"/>
      <w:r w:rsidR="002D7B43">
        <w:t>Foundationality</w:t>
      </w:r>
      <w:proofErr w:type="spellEnd"/>
      <w:r w:rsidR="002D7B43">
        <w:t xml:space="preserve">,” in </w:t>
      </w:r>
      <w:r w:rsidR="002D7B43" w:rsidRPr="002D7B43">
        <w:t xml:space="preserve">Novotný, </w:t>
      </w:r>
      <w:r w:rsidR="002D7B43">
        <w:t xml:space="preserve">Daniel B. and </w:t>
      </w:r>
      <w:r w:rsidR="002D7B43" w:rsidRPr="002D7B43">
        <w:t>Lukáš Novák</w:t>
      </w:r>
      <w:r w:rsidR="002D7B43">
        <w:t xml:space="preserve"> (eds.), </w:t>
      </w:r>
      <w:r w:rsidR="002D7B43" w:rsidRPr="002D7B43">
        <w:rPr>
          <w:i/>
          <w:iCs/>
        </w:rPr>
        <w:t>Neo-Aristotelian Perspectives in Metaphysics</w:t>
      </w:r>
      <w:r w:rsidR="002D7B43">
        <w:t xml:space="preserve">, pp. 129–47, New York: Routledge, </w:t>
      </w:r>
    </w:p>
    <w:p w14:paraId="333DD6D1" w14:textId="2999F78E" w:rsidR="00AE02FC" w:rsidRPr="002072D3" w:rsidRDefault="00AE02FC" w:rsidP="00E45BFD">
      <w:pPr>
        <w:ind w:left="425" w:hanging="425"/>
        <w:jc w:val="both"/>
      </w:pPr>
      <w:r w:rsidRPr="002072D3">
        <w:t>Kappes</w:t>
      </w:r>
      <w:r w:rsidR="002072D3" w:rsidRPr="002072D3">
        <w:t>, Yannic</w:t>
      </w:r>
      <w:r w:rsidRPr="002072D3">
        <w:t xml:space="preserve"> </w:t>
      </w:r>
      <w:r w:rsidR="002072D3" w:rsidRPr="002072D3">
        <w:t>(</w:t>
      </w:r>
      <w:r w:rsidRPr="002072D3">
        <w:t>2021</w:t>
      </w:r>
      <w:r w:rsidR="002072D3" w:rsidRPr="002072D3">
        <w:t xml:space="preserve">), “Explanation by status as empty-base explanation,” </w:t>
      </w:r>
      <w:proofErr w:type="spellStart"/>
      <w:r w:rsidR="002072D3" w:rsidRPr="008E3940">
        <w:rPr>
          <w:i/>
          <w:iCs/>
        </w:rPr>
        <w:t>Synthese</w:t>
      </w:r>
      <w:proofErr w:type="spellEnd"/>
      <w:r w:rsidR="002072D3" w:rsidRPr="002072D3">
        <w:t>, 199: 2575–95</w:t>
      </w:r>
    </w:p>
    <w:p w14:paraId="5D9EF4B4" w14:textId="0C181651" w:rsidR="00E00B51" w:rsidRDefault="00E00B51" w:rsidP="00E45BFD">
      <w:pPr>
        <w:ind w:left="425" w:hanging="425"/>
        <w:jc w:val="both"/>
      </w:pPr>
      <w:r w:rsidRPr="00632128">
        <w:t>Kment</w:t>
      </w:r>
      <w:r w:rsidR="00632128" w:rsidRPr="00632128">
        <w:t>, Boris (</w:t>
      </w:r>
      <w:r w:rsidRPr="00632128">
        <w:t>2014</w:t>
      </w:r>
      <w:r w:rsidR="00632128" w:rsidRPr="00632128">
        <w:t>), Modality and Explanatory Reasoning, Oxford: Oxford University Press</w:t>
      </w:r>
    </w:p>
    <w:p w14:paraId="131CDA00" w14:textId="4CC493C4" w:rsidR="009B5616" w:rsidRPr="00632128" w:rsidRDefault="008A15E3">
      <w:pPr>
        <w:ind w:left="425" w:hanging="425"/>
        <w:jc w:val="both"/>
        <w:rPr>
          <w:rtl/>
          <w:lang w:bidi="he-IL"/>
        </w:rPr>
      </w:pPr>
      <w:proofErr w:type="spellStart"/>
      <w:r>
        <w:rPr>
          <w:rFonts w:hint="cs"/>
        </w:rPr>
        <w:t>K</w:t>
      </w:r>
      <w:r>
        <w:rPr>
          <w:lang w:bidi="he-IL"/>
        </w:rPr>
        <w:t>oslicki</w:t>
      </w:r>
      <w:proofErr w:type="spellEnd"/>
      <w:r>
        <w:rPr>
          <w:lang w:bidi="he-IL"/>
        </w:rPr>
        <w:t>, Kathrin</w:t>
      </w:r>
      <w:r w:rsidR="009B5616">
        <w:t xml:space="preserve"> </w:t>
      </w:r>
      <w:r>
        <w:t>(</w:t>
      </w:r>
      <w:r w:rsidR="009B5616">
        <w:t>2012</w:t>
      </w:r>
      <w:r>
        <w:t xml:space="preserve">), “Essence, Necessity, and Explanation,” in </w:t>
      </w:r>
      <w:r w:rsidRPr="008A15E3">
        <w:t xml:space="preserve">Tuomas E. </w:t>
      </w:r>
      <w:proofErr w:type="spellStart"/>
      <w:r w:rsidRPr="008A15E3">
        <w:t>Tahko</w:t>
      </w:r>
      <w:proofErr w:type="spellEnd"/>
      <w:r w:rsidRPr="008A15E3">
        <w:t xml:space="preserve"> (ed.), </w:t>
      </w:r>
      <w:r w:rsidRPr="008E3940">
        <w:rPr>
          <w:i/>
          <w:iCs/>
        </w:rPr>
        <w:t>Contemporary Aristotelian Metaphysics</w:t>
      </w:r>
      <w:r w:rsidRPr="008A15E3">
        <w:t xml:space="preserve">, </w:t>
      </w:r>
      <w:r>
        <w:t xml:space="preserve">Cambridge: </w:t>
      </w:r>
      <w:r w:rsidRPr="008A15E3">
        <w:t>Cambridge University Press</w:t>
      </w:r>
      <w:r>
        <w:t>,</w:t>
      </w:r>
      <w:r w:rsidRPr="008A15E3">
        <w:t xml:space="preserve"> pp. 187</w:t>
      </w:r>
      <w:r>
        <w:t>–206</w:t>
      </w:r>
    </w:p>
    <w:p w14:paraId="0453F1A6" w14:textId="62AD20C5" w:rsidR="00AE02FC" w:rsidRPr="00751AD8" w:rsidRDefault="000A6272" w:rsidP="00E45BFD">
      <w:pPr>
        <w:ind w:left="425" w:hanging="425"/>
        <w:jc w:val="both"/>
      </w:pPr>
      <w:r w:rsidRPr="009A1238">
        <w:rPr>
          <w:color w:val="000000"/>
        </w:rPr>
        <w:t>-----</w:t>
      </w:r>
      <w:r w:rsidRPr="00751AD8">
        <w:t xml:space="preserve"> </w:t>
      </w:r>
      <w:r w:rsidR="00AE02FC" w:rsidRPr="00751AD8">
        <w:t>(2015), “The Coarse-</w:t>
      </w:r>
      <w:proofErr w:type="spellStart"/>
      <w:r w:rsidR="00AE02FC" w:rsidRPr="00751AD8">
        <w:t>grainedness</w:t>
      </w:r>
      <w:proofErr w:type="spellEnd"/>
      <w:r w:rsidR="00AE02FC" w:rsidRPr="00751AD8">
        <w:t xml:space="preserve"> of grounding,” </w:t>
      </w:r>
      <w:r w:rsidR="00AE02FC" w:rsidRPr="00751AD8">
        <w:rPr>
          <w:i/>
        </w:rPr>
        <w:t>Oxford Studies in Metaphysics</w:t>
      </w:r>
      <w:r w:rsidR="00AE02FC" w:rsidRPr="00751AD8">
        <w:t>, 9: 306–344</w:t>
      </w:r>
    </w:p>
    <w:p w14:paraId="3A7FE84E" w14:textId="0D5C1179" w:rsidR="0059384E" w:rsidRDefault="000B06E3" w:rsidP="00E45BFD">
      <w:pPr>
        <w:ind w:left="425" w:hanging="425"/>
        <w:jc w:val="both"/>
      </w:pPr>
      <w:r w:rsidRPr="000B06E3">
        <w:t xml:space="preserve">Leuenberger, Stephan (2014), “Grounding and Necessity,” </w:t>
      </w:r>
      <w:r w:rsidRPr="000B06E3">
        <w:rPr>
          <w:i/>
          <w:iCs/>
        </w:rPr>
        <w:t>Inquiry</w:t>
      </w:r>
      <w:r w:rsidRPr="000B06E3">
        <w:t>, 57: 151–74</w:t>
      </w:r>
    </w:p>
    <w:p w14:paraId="201719D0" w14:textId="2255F4E3" w:rsidR="00445CC8" w:rsidRPr="000B06E3" w:rsidRDefault="00445CC8">
      <w:pPr>
        <w:ind w:left="425" w:hanging="425"/>
        <w:jc w:val="both"/>
      </w:pPr>
      <w:r>
        <w:t xml:space="preserve">Lowe, E.J. (2018), “Metaphysics as the Science of Essence,” </w:t>
      </w:r>
      <w:r w:rsidRPr="00445CC8">
        <w:t xml:space="preserve">In Alexander Carruth, Sophie Gibb &amp; John Heil (eds.), </w:t>
      </w:r>
      <w:r w:rsidRPr="008E3940">
        <w:rPr>
          <w:i/>
          <w:iCs/>
        </w:rPr>
        <w:t>Ontology, Modality, and Mind: Themes from the Metaphysics of E. J. Lowe</w:t>
      </w:r>
      <w:r>
        <w:t>, Oxford</w:t>
      </w:r>
      <w:r w:rsidRPr="00445CC8">
        <w:t>: Oxford University Press</w:t>
      </w:r>
      <w:r>
        <w:t>,</w:t>
      </w:r>
      <w:r w:rsidRPr="00445CC8">
        <w:t xml:space="preserve"> </w:t>
      </w:r>
      <w:r>
        <w:t xml:space="preserve">pp. </w:t>
      </w:r>
      <w:r w:rsidRPr="00445CC8">
        <w:t>14</w:t>
      </w:r>
      <w:r>
        <w:t>–34</w:t>
      </w:r>
    </w:p>
    <w:p w14:paraId="6B169B6A" w14:textId="70FF2E3D" w:rsidR="0059384E" w:rsidRDefault="0059384E" w:rsidP="00E45BFD">
      <w:pPr>
        <w:ind w:left="425" w:hanging="425"/>
        <w:jc w:val="both"/>
      </w:pPr>
      <w:r>
        <w:t>McDaniel</w:t>
      </w:r>
      <w:r w:rsidR="00D96CB3">
        <w:t>, Kris</w:t>
      </w:r>
      <w:r>
        <w:t xml:space="preserve"> and </w:t>
      </w:r>
      <w:r w:rsidR="00D96CB3">
        <w:t xml:space="preserve">Steve </w:t>
      </w:r>
      <w:r>
        <w:t xml:space="preserve">Steward </w:t>
      </w:r>
      <w:r w:rsidR="00D96CB3">
        <w:t>(</w:t>
      </w:r>
      <w:r>
        <w:t>201</w:t>
      </w:r>
      <w:r w:rsidR="00D96CB3">
        <w:t xml:space="preserve">6), “Are there essential properties? Yes”, in Elizabeth Barnes (ed.), </w:t>
      </w:r>
      <w:r w:rsidR="00D96CB3" w:rsidRPr="00D96CB3">
        <w:rPr>
          <w:i/>
          <w:iCs/>
        </w:rPr>
        <w:t>Current Controversies in Metaphysics</w:t>
      </w:r>
      <w:r w:rsidR="00D96CB3">
        <w:t>, London: Routledge, 62–78</w:t>
      </w:r>
    </w:p>
    <w:p w14:paraId="089DC310" w14:textId="126BF922" w:rsidR="00445CC8" w:rsidRDefault="00445CC8" w:rsidP="00E45BFD">
      <w:pPr>
        <w:ind w:left="425" w:hanging="425"/>
        <w:jc w:val="both"/>
      </w:pPr>
      <w:r>
        <w:t>Nolan, Daniel (2014), “</w:t>
      </w:r>
      <w:proofErr w:type="spellStart"/>
      <w:r>
        <w:t>Hyperintensional</w:t>
      </w:r>
      <w:proofErr w:type="spellEnd"/>
      <w:r>
        <w:t xml:space="preserve"> metaphysics,” </w:t>
      </w:r>
      <w:r w:rsidRPr="00445CC8">
        <w:t>Philosophical Studies 171 (1):149-160</w:t>
      </w:r>
    </w:p>
    <w:p w14:paraId="68E8F439" w14:textId="4539BC54" w:rsidR="0059384E" w:rsidRDefault="0059384E" w:rsidP="00E45BFD">
      <w:pPr>
        <w:ind w:left="425" w:hanging="425"/>
        <w:jc w:val="both"/>
      </w:pPr>
      <w:proofErr w:type="spellStart"/>
      <w:r>
        <w:t>O’Conaill</w:t>
      </w:r>
      <w:proofErr w:type="spellEnd"/>
      <w:r w:rsidR="00EF2A43">
        <w:t>, Donnchadh</w:t>
      </w:r>
      <w:r>
        <w:t xml:space="preserve"> </w:t>
      </w:r>
      <w:r w:rsidR="00EF2A43">
        <w:t>(</w:t>
      </w:r>
      <w:r>
        <w:t>2018</w:t>
      </w:r>
      <w:r w:rsidR="00EF2A43">
        <w:t xml:space="preserve">), “Grounding, physicalism, and necessity,” </w:t>
      </w:r>
      <w:r w:rsidR="00EF2A43" w:rsidRPr="00EF2A43">
        <w:rPr>
          <w:i/>
          <w:iCs/>
        </w:rPr>
        <w:t>Inquiry</w:t>
      </w:r>
      <w:r w:rsidR="00EF2A43">
        <w:t>, 61</w:t>
      </w:r>
      <w:r w:rsidR="00EF2A43" w:rsidRPr="00EF2A43">
        <w:t>:713</w:t>
      </w:r>
      <w:r w:rsidR="00EF2A43">
        <w:t>–30</w:t>
      </w:r>
    </w:p>
    <w:p w14:paraId="52FAB131" w14:textId="5F6D93C2" w:rsidR="001548F3" w:rsidRPr="000D02A1" w:rsidRDefault="001548F3">
      <w:pPr>
        <w:ind w:left="425" w:hanging="425"/>
        <w:jc w:val="both"/>
      </w:pPr>
      <w:r>
        <w:t xml:space="preserve">Raven, Michael (2020), </w:t>
      </w:r>
      <w:r w:rsidR="000D02A1">
        <w:t xml:space="preserve">“Explaining essences,” </w:t>
      </w:r>
      <w:r w:rsidR="000D02A1" w:rsidRPr="008E3940">
        <w:rPr>
          <w:i/>
          <w:iCs/>
        </w:rPr>
        <w:t>Philosophical Studies</w:t>
      </w:r>
      <w:r w:rsidR="000D02A1">
        <w:t>,</w:t>
      </w:r>
      <w:r w:rsidR="000D02A1" w:rsidRPr="000D02A1">
        <w:t xml:space="preserve"> 178:</w:t>
      </w:r>
      <w:r w:rsidR="000D02A1">
        <w:t xml:space="preserve"> </w:t>
      </w:r>
      <w:r w:rsidR="000D02A1" w:rsidRPr="000D02A1">
        <w:t>1043</w:t>
      </w:r>
      <w:r w:rsidR="000D02A1">
        <w:t>–64</w:t>
      </w:r>
    </w:p>
    <w:p w14:paraId="55C3F0B6" w14:textId="095A67EB" w:rsidR="00E00B51" w:rsidRDefault="00E00B51" w:rsidP="00E45BFD">
      <w:pPr>
        <w:ind w:left="425" w:hanging="425"/>
        <w:jc w:val="both"/>
      </w:pPr>
      <w:r>
        <w:t>Richardson</w:t>
      </w:r>
      <w:r w:rsidR="00824C82">
        <w:t>, Kevin</w:t>
      </w:r>
      <w:r>
        <w:t xml:space="preserve"> </w:t>
      </w:r>
      <w:r w:rsidR="00824C82">
        <w:t>(</w:t>
      </w:r>
      <w:r>
        <w:t>2020</w:t>
      </w:r>
      <w:r w:rsidR="00824C82">
        <w:t xml:space="preserve">), “On What (In General) Grounds What,” </w:t>
      </w:r>
      <w:r w:rsidR="00824C82" w:rsidRPr="00824C82">
        <w:rPr>
          <w:i/>
          <w:iCs/>
        </w:rPr>
        <w:t>Metaphysics</w:t>
      </w:r>
      <w:r w:rsidR="00824C82">
        <w:t>, 2: 73–87</w:t>
      </w:r>
    </w:p>
    <w:p w14:paraId="2076106A" w14:textId="28E4110E" w:rsidR="00E00B51" w:rsidRDefault="000A6272" w:rsidP="00E45BFD">
      <w:pPr>
        <w:ind w:left="425" w:hanging="425"/>
        <w:jc w:val="both"/>
      </w:pPr>
      <w:r w:rsidRPr="009A1238">
        <w:rPr>
          <w:color w:val="000000"/>
        </w:rPr>
        <w:t>-----</w:t>
      </w:r>
      <w:r>
        <w:t xml:space="preserve"> </w:t>
      </w:r>
      <w:r w:rsidR="0020274C">
        <w:t>(</w:t>
      </w:r>
      <w:r w:rsidR="00E00B51">
        <w:t>2021</w:t>
      </w:r>
      <w:r w:rsidR="0020274C">
        <w:t xml:space="preserve">), “Grounding is necessary and contingent,” </w:t>
      </w:r>
      <w:r w:rsidR="0020274C" w:rsidRPr="0020274C">
        <w:rPr>
          <w:i/>
          <w:iCs/>
        </w:rPr>
        <w:t>Inquiry</w:t>
      </w:r>
      <w:r w:rsidR="0020274C">
        <w:t>, 64: 453–80</w:t>
      </w:r>
    </w:p>
    <w:p w14:paraId="38D58D7A" w14:textId="51AC0707" w:rsidR="00B003F3" w:rsidRPr="00751AD8" w:rsidRDefault="00AE02FC" w:rsidP="00E45BFD">
      <w:pPr>
        <w:ind w:left="425" w:hanging="425"/>
        <w:jc w:val="both"/>
      </w:pPr>
      <w:r w:rsidRPr="00751AD8">
        <w:t xml:space="preserve">Rosen, Gideon (2010), “Metaphysical dependence: grounding and reduction,” in Bob Hale and Aviv Hoffman (eds.), </w:t>
      </w:r>
      <w:r w:rsidRPr="00751AD8">
        <w:rPr>
          <w:i/>
        </w:rPr>
        <w:t>Modality: Metaphysics, Logic, and Epistemology</w:t>
      </w:r>
      <w:r w:rsidRPr="00751AD8">
        <w:t>, 109–36, Oxford: Oxford University Press</w:t>
      </w:r>
    </w:p>
    <w:p w14:paraId="35C16394" w14:textId="77777777" w:rsidR="00B003F3" w:rsidRDefault="00E13796">
      <w:pPr>
        <w:ind w:left="425" w:hanging="425"/>
        <w:jc w:val="both"/>
      </w:pPr>
      <w:r>
        <w:t>Rosen</w:t>
      </w:r>
      <w:r w:rsidR="00203C14">
        <w:t>, Gideon</w:t>
      </w:r>
      <w:r>
        <w:t xml:space="preserve"> </w:t>
      </w:r>
      <w:r w:rsidR="00203C14">
        <w:t>(</w:t>
      </w:r>
      <w:r>
        <w:t>201</w:t>
      </w:r>
      <w:r w:rsidR="00203C14">
        <w:t xml:space="preserve">5), “Real Definition,” </w:t>
      </w:r>
      <w:r w:rsidR="00203C14" w:rsidRPr="00203C14">
        <w:rPr>
          <w:i/>
          <w:iCs/>
        </w:rPr>
        <w:t>Analytic Philosophy</w:t>
      </w:r>
      <w:r w:rsidR="00203C14">
        <w:t>,</w:t>
      </w:r>
      <w:r w:rsidR="00203C14" w:rsidRPr="00203C14">
        <w:t xml:space="preserve"> </w:t>
      </w:r>
      <w:r w:rsidR="00203C14">
        <w:t xml:space="preserve">56: </w:t>
      </w:r>
      <w:r w:rsidR="00203C14" w:rsidRPr="00203C14">
        <w:t>189–209</w:t>
      </w:r>
    </w:p>
    <w:p w14:paraId="3D3D2893" w14:textId="77777777" w:rsidR="00B003F3" w:rsidRDefault="00B003F3" w:rsidP="008E3940">
      <w:pPr>
        <w:autoSpaceDE w:val="0"/>
        <w:autoSpaceDN w:val="0"/>
        <w:adjustRightInd w:val="0"/>
        <w:spacing w:after="120"/>
        <w:ind w:left="426" w:hanging="426"/>
        <w:jc w:val="both"/>
      </w:pPr>
      <w:r w:rsidRPr="00751AD8">
        <w:t xml:space="preserve">Schaffer, Jonathan (2009), “On what grounds what,” D. Manley, D. Chalmers &amp; R. Wasserman (eds.), </w:t>
      </w:r>
      <w:proofErr w:type="spellStart"/>
      <w:r w:rsidRPr="00751AD8">
        <w:rPr>
          <w:i/>
        </w:rPr>
        <w:t>Metametaphysics</w:t>
      </w:r>
      <w:proofErr w:type="spellEnd"/>
      <w:r w:rsidRPr="00751AD8">
        <w:rPr>
          <w:i/>
        </w:rPr>
        <w:t>: New Essays on the Foundations of Ontology</w:t>
      </w:r>
      <w:r w:rsidRPr="00751AD8">
        <w:t>, Oxford University Press. pp. 347-383</w:t>
      </w:r>
    </w:p>
    <w:p w14:paraId="7B5BC2FA" w14:textId="06DB585A" w:rsidR="00B003F3" w:rsidRDefault="000A6272" w:rsidP="008E3940">
      <w:pPr>
        <w:autoSpaceDE w:val="0"/>
        <w:autoSpaceDN w:val="0"/>
        <w:adjustRightInd w:val="0"/>
        <w:spacing w:after="120"/>
        <w:ind w:left="426" w:hanging="426"/>
        <w:jc w:val="both"/>
      </w:pPr>
      <w:r w:rsidRPr="009A1238">
        <w:rPr>
          <w:color w:val="000000"/>
        </w:rPr>
        <w:t>-----</w:t>
      </w:r>
      <w:r w:rsidRPr="00751AD8">
        <w:t xml:space="preserve"> </w:t>
      </w:r>
      <w:r w:rsidR="00B003F3" w:rsidRPr="00751AD8">
        <w:t xml:space="preserve">(2016a), “Grounding in the Image of Causation,” </w:t>
      </w:r>
      <w:r w:rsidR="00B003F3" w:rsidRPr="00751AD8">
        <w:rPr>
          <w:i/>
        </w:rPr>
        <w:t>Philosophical Studies</w:t>
      </w:r>
      <w:r w:rsidR="00B003F3" w:rsidRPr="00751AD8">
        <w:t>,</w:t>
      </w:r>
      <w:r w:rsidR="00B003F3" w:rsidRPr="00751AD8">
        <w:rPr>
          <w:i/>
        </w:rPr>
        <w:t xml:space="preserve"> </w:t>
      </w:r>
      <w:r w:rsidR="00B003F3">
        <w:t xml:space="preserve">173: </w:t>
      </w:r>
      <w:r w:rsidR="00B003F3" w:rsidRPr="00751AD8">
        <w:t>49–100</w:t>
      </w:r>
    </w:p>
    <w:p w14:paraId="0C66B3D3" w14:textId="731880D2" w:rsidR="00AE02FC" w:rsidRPr="001B757A" w:rsidRDefault="000A6272" w:rsidP="008E3940">
      <w:pPr>
        <w:autoSpaceDE w:val="0"/>
        <w:autoSpaceDN w:val="0"/>
        <w:adjustRightInd w:val="0"/>
        <w:spacing w:after="120"/>
        <w:ind w:left="426" w:hanging="426"/>
        <w:jc w:val="both"/>
      </w:pPr>
      <w:r w:rsidRPr="009A1238">
        <w:rPr>
          <w:color w:val="000000"/>
        </w:rPr>
        <w:t>-----</w:t>
      </w:r>
      <w:r w:rsidRPr="001B757A">
        <w:t xml:space="preserve"> </w:t>
      </w:r>
      <w:r w:rsidR="001B757A" w:rsidRPr="001B757A">
        <w:t>(</w:t>
      </w:r>
      <w:r w:rsidR="00AE02FC" w:rsidRPr="001B757A">
        <w:t>2017</w:t>
      </w:r>
      <w:r w:rsidR="001B757A" w:rsidRPr="001B757A">
        <w:t xml:space="preserve">), “The Ground between the Gaps,” </w:t>
      </w:r>
      <w:r w:rsidR="001B757A" w:rsidRPr="001B757A">
        <w:rPr>
          <w:i/>
          <w:iCs/>
        </w:rPr>
        <w:t>Philosophers’ Imprint</w:t>
      </w:r>
      <w:r w:rsidR="001B757A" w:rsidRPr="001B757A">
        <w:t>, 17</w:t>
      </w:r>
      <w:r w:rsidR="00E71EB6">
        <w:t xml:space="preserve"> (11): 1–26</w:t>
      </w:r>
    </w:p>
    <w:p w14:paraId="224C48A4" w14:textId="79033DCC" w:rsidR="00E00B51" w:rsidRDefault="00E00B51" w:rsidP="00E45BFD">
      <w:pPr>
        <w:ind w:left="425" w:hanging="425"/>
        <w:jc w:val="both"/>
      </w:pPr>
      <w:r>
        <w:t xml:space="preserve">Segal, Aaron and Noga </w:t>
      </w:r>
      <w:proofErr w:type="spellStart"/>
      <w:r>
        <w:t>Gratvol</w:t>
      </w:r>
      <w:proofErr w:type="spellEnd"/>
      <w:r>
        <w:t xml:space="preserve"> (2021), “Essence and explanation: A logical mismatch,” </w:t>
      </w:r>
      <w:r w:rsidRPr="0020274C">
        <w:rPr>
          <w:i/>
          <w:iCs/>
        </w:rPr>
        <w:t>Inquiry</w:t>
      </w:r>
      <w:r>
        <w:t>, 64: 1038–50</w:t>
      </w:r>
    </w:p>
    <w:p w14:paraId="64F6CBD0" w14:textId="285F8F38" w:rsidR="0059384E" w:rsidRPr="00D524B4" w:rsidRDefault="0059384E" w:rsidP="00E45BFD">
      <w:pPr>
        <w:ind w:left="425" w:hanging="425"/>
        <w:jc w:val="both"/>
      </w:pPr>
      <w:r w:rsidRPr="00D524B4">
        <w:t>Skiles</w:t>
      </w:r>
      <w:r w:rsidR="00D524B4" w:rsidRPr="00D524B4">
        <w:t>, Alexander</w:t>
      </w:r>
      <w:r w:rsidRPr="00D524B4">
        <w:t xml:space="preserve"> </w:t>
      </w:r>
      <w:r w:rsidR="00D524B4" w:rsidRPr="00D524B4">
        <w:t>(</w:t>
      </w:r>
      <w:r w:rsidRPr="00D524B4">
        <w:t>2015</w:t>
      </w:r>
      <w:r w:rsidR="00D524B4" w:rsidRPr="00D524B4">
        <w:t xml:space="preserve">), “Against grounding necessitarianism,” </w:t>
      </w:r>
      <w:proofErr w:type="spellStart"/>
      <w:r w:rsidR="00D524B4" w:rsidRPr="00D524B4">
        <w:rPr>
          <w:i/>
          <w:iCs/>
        </w:rPr>
        <w:t>Erkenntnis</w:t>
      </w:r>
      <w:proofErr w:type="spellEnd"/>
      <w:r w:rsidR="00D524B4" w:rsidRPr="00D524B4">
        <w:t>, 80: 717–51</w:t>
      </w:r>
    </w:p>
    <w:p w14:paraId="39AEFDFA" w14:textId="29EE477E" w:rsidR="0059384E" w:rsidRPr="00D524B4" w:rsidRDefault="000A6272" w:rsidP="00E45BFD">
      <w:pPr>
        <w:ind w:left="425" w:hanging="425"/>
        <w:jc w:val="both"/>
      </w:pPr>
      <w:r w:rsidRPr="009A1238">
        <w:rPr>
          <w:color w:val="000000"/>
        </w:rPr>
        <w:t>-----</w:t>
      </w:r>
      <w:r w:rsidRPr="00D524B4">
        <w:t xml:space="preserve"> </w:t>
      </w:r>
      <w:r w:rsidR="00D524B4" w:rsidRPr="00D524B4">
        <w:t>(</w:t>
      </w:r>
      <w:r w:rsidR="0059384E" w:rsidRPr="00D524B4">
        <w:t>201</w:t>
      </w:r>
      <w:r w:rsidR="00D524B4" w:rsidRPr="00D524B4">
        <w:t xml:space="preserve">9) “There is no </w:t>
      </w:r>
      <w:proofErr w:type="spellStart"/>
      <w:r w:rsidR="00D524B4" w:rsidRPr="00D524B4">
        <w:t>Haeccitistic</w:t>
      </w:r>
      <w:proofErr w:type="spellEnd"/>
      <w:r w:rsidR="00D524B4" w:rsidRPr="00D524B4">
        <w:t xml:space="preserve"> </w:t>
      </w:r>
      <w:proofErr w:type="spellStart"/>
      <w:r w:rsidR="00D524B4" w:rsidRPr="00D524B4">
        <w:t>Euthryphro</w:t>
      </w:r>
      <w:proofErr w:type="spellEnd"/>
      <w:r w:rsidR="00D524B4" w:rsidRPr="00D524B4">
        <w:t xml:space="preserve"> problem,” </w:t>
      </w:r>
      <w:r w:rsidR="00D524B4" w:rsidRPr="00D524B4">
        <w:rPr>
          <w:i/>
          <w:iCs/>
        </w:rPr>
        <w:t>Analysis</w:t>
      </w:r>
      <w:r w:rsidR="00D524B4">
        <w:t>,</w:t>
      </w:r>
      <w:r w:rsidR="00D524B4" w:rsidRPr="00D524B4">
        <w:t xml:space="preserve"> 79:</w:t>
      </w:r>
      <w:r w:rsidR="00D524B4">
        <w:t xml:space="preserve"> </w:t>
      </w:r>
      <w:r w:rsidR="00D524B4" w:rsidRPr="00D524B4">
        <w:t>477</w:t>
      </w:r>
      <w:r w:rsidR="00D524B4">
        <w:t>–84</w:t>
      </w:r>
    </w:p>
    <w:p w14:paraId="0BDDFB80" w14:textId="6DCA8702" w:rsidR="00D83B1C" w:rsidRDefault="00E13796" w:rsidP="00E45BFD">
      <w:pPr>
        <w:ind w:left="425" w:hanging="425"/>
        <w:jc w:val="both"/>
      </w:pPr>
      <w:r>
        <w:t>Sullivan</w:t>
      </w:r>
      <w:r w:rsidR="00D96CB3">
        <w:t>, Meghan</w:t>
      </w:r>
      <w:r>
        <w:t xml:space="preserve"> </w:t>
      </w:r>
      <w:r w:rsidR="00D96CB3">
        <w:t>(</w:t>
      </w:r>
      <w:r>
        <w:t>201</w:t>
      </w:r>
      <w:r w:rsidR="00D96CB3">
        <w:t xml:space="preserve">6), “Are there essential properties? No”, in Elizabeth Barnes (ed.), </w:t>
      </w:r>
      <w:r w:rsidR="00D96CB3" w:rsidRPr="00D96CB3">
        <w:rPr>
          <w:i/>
          <w:iCs/>
        </w:rPr>
        <w:t>Current Controversies in Metaphysics</w:t>
      </w:r>
      <w:r w:rsidR="00D96CB3">
        <w:t>, New York: Routledge, 45–61</w:t>
      </w:r>
    </w:p>
    <w:p w14:paraId="6F89C967" w14:textId="2F9E1746" w:rsidR="0059384E" w:rsidRPr="00AE02FC" w:rsidRDefault="0059384E" w:rsidP="00E45BFD">
      <w:pPr>
        <w:ind w:left="425" w:hanging="425"/>
        <w:jc w:val="both"/>
      </w:pPr>
      <w:r w:rsidRPr="00AE02FC">
        <w:t>Trogdon</w:t>
      </w:r>
      <w:r w:rsidR="00AE02FC" w:rsidRPr="00AE02FC">
        <w:t>, Kelly</w:t>
      </w:r>
      <w:r w:rsidRPr="00AE02FC">
        <w:t xml:space="preserve"> </w:t>
      </w:r>
      <w:r w:rsidR="00AE02FC" w:rsidRPr="00AE02FC">
        <w:t>(</w:t>
      </w:r>
      <w:r w:rsidRPr="00AE02FC">
        <w:t>2013</w:t>
      </w:r>
      <w:r w:rsidR="00AE02FC" w:rsidRPr="00AE02FC">
        <w:t xml:space="preserve">), “Grounding: necessary or contingent,” </w:t>
      </w:r>
      <w:r w:rsidR="00AE02FC" w:rsidRPr="00297CFA">
        <w:rPr>
          <w:i/>
          <w:iCs/>
        </w:rPr>
        <w:t>Pacific Philosophical Quarterly</w:t>
      </w:r>
      <w:r w:rsidR="00297CFA">
        <w:t>,</w:t>
      </w:r>
      <w:r w:rsidR="00AE02FC" w:rsidRPr="00AE02FC">
        <w:t xml:space="preserve"> 94:</w:t>
      </w:r>
      <w:r w:rsidR="00297CFA">
        <w:t xml:space="preserve"> </w:t>
      </w:r>
      <w:r w:rsidR="00AE02FC" w:rsidRPr="00AE02FC">
        <w:t>465</w:t>
      </w:r>
      <w:r w:rsidR="00297CFA">
        <w:t>–85</w:t>
      </w:r>
    </w:p>
    <w:p w14:paraId="46A5DF3A" w14:textId="5CE3889F" w:rsidR="0059384E" w:rsidRDefault="0059384E" w:rsidP="00E45BFD">
      <w:pPr>
        <w:ind w:left="425" w:hanging="425"/>
        <w:jc w:val="both"/>
      </w:pPr>
      <w:r>
        <w:t>Wallner</w:t>
      </w:r>
      <w:r w:rsidR="00203C14">
        <w:t>, Michael</w:t>
      </w:r>
      <w:r>
        <w:t xml:space="preserve"> </w:t>
      </w:r>
      <w:r w:rsidR="00203C14">
        <w:t>(</w:t>
      </w:r>
      <w:r>
        <w:t>2018</w:t>
      </w:r>
      <w:r w:rsidR="00203C14">
        <w:t xml:space="preserve">), “The ground of ground, essence, and explanation,” </w:t>
      </w:r>
      <w:proofErr w:type="spellStart"/>
      <w:r w:rsidR="00203C14" w:rsidRPr="00203C14">
        <w:t>Synthese</w:t>
      </w:r>
      <w:proofErr w:type="spellEnd"/>
      <w:r w:rsidR="00203C14" w:rsidRPr="00203C14">
        <w:t xml:space="preserve"> 198 (Suppl 6):</w:t>
      </w:r>
      <w:r w:rsidR="00203C14">
        <w:t xml:space="preserve"> </w:t>
      </w:r>
      <w:r w:rsidR="00203C14" w:rsidRPr="00203C14">
        <w:t>1257</w:t>
      </w:r>
      <w:r w:rsidR="00203C14">
        <w:t>–77</w:t>
      </w:r>
    </w:p>
    <w:p w14:paraId="69F3EF57" w14:textId="34602285" w:rsidR="0059384E" w:rsidRDefault="0059384E" w:rsidP="00E45BFD">
      <w:pPr>
        <w:ind w:left="425" w:hanging="425"/>
        <w:jc w:val="both"/>
      </w:pPr>
      <w:r>
        <w:t>Zylstra</w:t>
      </w:r>
      <w:r w:rsidR="007B691C">
        <w:t>, Justin</w:t>
      </w:r>
      <w:r>
        <w:t xml:space="preserve"> </w:t>
      </w:r>
      <w:r w:rsidR="007B691C">
        <w:t>(</w:t>
      </w:r>
      <w:r>
        <w:t>2019</w:t>
      </w:r>
      <w:r w:rsidR="007B691C">
        <w:t xml:space="preserve">), “The essence of grounding,” </w:t>
      </w:r>
      <w:proofErr w:type="spellStart"/>
      <w:r w:rsidR="007B691C" w:rsidRPr="007B691C">
        <w:rPr>
          <w:i/>
          <w:iCs/>
        </w:rPr>
        <w:t>Synthese</w:t>
      </w:r>
      <w:proofErr w:type="spellEnd"/>
      <w:r w:rsidR="007B691C">
        <w:t>,</w:t>
      </w:r>
      <w:r w:rsidR="007B691C" w:rsidRPr="007B691C">
        <w:t xml:space="preserve"> 196:</w:t>
      </w:r>
      <w:r w:rsidR="007B691C">
        <w:t xml:space="preserve"> </w:t>
      </w:r>
      <w:r w:rsidR="007B691C" w:rsidRPr="007B691C">
        <w:t>5137</w:t>
      </w:r>
      <w:r w:rsidR="007B691C">
        <w:t>–52</w:t>
      </w:r>
    </w:p>
    <w:p w14:paraId="64E9271A" w14:textId="2854B087" w:rsidR="00C577CD" w:rsidRDefault="00C577CD" w:rsidP="00E45BFD">
      <w:pPr>
        <w:jc w:val="both"/>
      </w:pPr>
    </w:p>
    <w:p w14:paraId="1A309645" w14:textId="4577C629" w:rsidR="00C577CD" w:rsidRPr="00E20BA6" w:rsidRDefault="00E20BA6" w:rsidP="00E45BFD">
      <w:pPr>
        <w:ind w:firstLine="432"/>
        <w:jc w:val="both"/>
        <w:rPr>
          <w:b/>
          <w:bCs/>
        </w:rPr>
      </w:pPr>
      <w:r>
        <w:rPr>
          <w:b/>
          <w:bCs/>
        </w:rPr>
        <w:lastRenderedPageBreak/>
        <w:t>References to other chapter of this volume</w:t>
      </w:r>
    </w:p>
    <w:p w14:paraId="35E65923" w14:textId="1F99E8AF" w:rsidR="008C4CF8" w:rsidRDefault="00E20BA6" w:rsidP="00F97172">
      <w:pPr>
        <w:jc w:val="both"/>
      </w:pPr>
      <w:r>
        <w:t xml:space="preserve">For connections to explanation and laws in the philosophy of science, see </w:t>
      </w:r>
      <w:r w:rsidR="00F97172">
        <w:t>Ch. II.7 by</w:t>
      </w:r>
      <w:r>
        <w:t xml:space="preserve"> </w:t>
      </w:r>
      <w:r w:rsidR="00C577CD">
        <w:t>Ka-Ho Lam</w:t>
      </w:r>
      <w:r>
        <w:t xml:space="preserve"> </w:t>
      </w:r>
      <w:r w:rsidR="00F97172">
        <w:t>(“D</w:t>
      </w:r>
      <w:r w:rsidR="00C577CD">
        <w:t xml:space="preserve">ispositional </w:t>
      </w:r>
      <w:r w:rsidR="00F97172">
        <w:t>E</w:t>
      </w:r>
      <w:r w:rsidR="00C577CD">
        <w:t>ssentialism</w:t>
      </w:r>
      <w:r w:rsidR="00F97172">
        <w:t>”)</w:t>
      </w:r>
      <w:r>
        <w:t xml:space="preserve">, </w:t>
      </w:r>
      <w:r w:rsidR="00F97172">
        <w:t xml:space="preserve">Ch. II.4. by </w:t>
      </w:r>
      <w:r>
        <w:t xml:space="preserve">Tuomas </w:t>
      </w:r>
      <w:proofErr w:type="spellStart"/>
      <w:r>
        <w:t>Tahko</w:t>
      </w:r>
      <w:proofErr w:type="spellEnd"/>
      <w:r>
        <w:t xml:space="preserve"> </w:t>
      </w:r>
      <w:r w:rsidR="00F97172">
        <w:t>(“N</w:t>
      </w:r>
      <w:r w:rsidR="00C577CD">
        <w:t xml:space="preserve">atural </w:t>
      </w:r>
      <w:r w:rsidR="00F97172">
        <w:t>Kind E</w:t>
      </w:r>
      <w:r w:rsidR="00C577CD">
        <w:t>ssentialism</w:t>
      </w:r>
      <w:r w:rsidR="00F97172">
        <w:t>”)</w:t>
      </w:r>
      <w:r>
        <w:t xml:space="preserve">, and </w:t>
      </w:r>
      <w:r w:rsidR="00F97172">
        <w:t xml:space="preserve">Ch. II. 6 by </w:t>
      </w:r>
      <w:r>
        <w:t xml:space="preserve">Travis </w:t>
      </w:r>
      <w:proofErr w:type="spellStart"/>
      <w:r>
        <w:t>Dumsday</w:t>
      </w:r>
      <w:proofErr w:type="spellEnd"/>
      <w:r>
        <w:t xml:space="preserve"> </w:t>
      </w:r>
      <w:r w:rsidR="00F97172">
        <w:t>(“S</w:t>
      </w:r>
      <w:r>
        <w:t xml:space="preserve">cientific </w:t>
      </w:r>
      <w:r w:rsidR="00F97172">
        <w:t>E</w:t>
      </w:r>
      <w:r>
        <w:t>ssentialism</w:t>
      </w:r>
      <w:r w:rsidR="00F97172">
        <w:t>”)</w:t>
      </w:r>
      <w:r>
        <w:t xml:space="preserve">. </w:t>
      </w:r>
      <w:r w:rsidR="00F97172">
        <w:t xml:space="preserve">See also Ch. II. 1 by Alessandro </w:t>
      </w:r>
      <w:proofErr w:type="spellStart"/>
      <w:r w:rsidR="00F97172">
        <w:t>Torza</w:t>
      </w:r>
      <w:proofErr w:type="spellEnd"/>
      <w:r w:rsidR="00F97172">
        <w:t xml:space="preserve"> (“Modal Conceptions of Essence”) and Ch. II. 2 by </w:t>
      </w:r>
      <w:r>
        <w:t xml:space="preserve">Fabrice </w:t>
      </w:r>
      <w:r w:rsidR="008C4CF8">
        <w:t>Correia</w:t>
      </w:r>
      <w:r>
        <w:t xml:space="preserve"> </w:t>
      </w:r>
      <w:r w:rsidR="00F97172">
        <w:t>(“Non-modal Conceptions of Essence”)</w:t>
      </w:r>
      <w:r>
        <w:t>.</w:t>
      </w:r>
    </w:p>
    <w:sectPr w:rsidR="008C4CF8" w:rsidSect="00DD1C21">
      <w:footerReference w:type="defaul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90A08A" w14:textId="77777777" w:rsidR="003E0E01" w:rsidRDefault="003E0E01" w:rsidP="00F00A29">
      <w:r>
        <w:separator/>
      </w:r>
    </w:p>
  </w:endnote>
  <w:endnote w:type="continuationSeparator" w:id="0">
    <w:p w14:paraId="13AA6689" w14:textId="77777777" w:rsidR="003E0E01" w:rsidRDefault="003E0E01" w:rsidP="00F00A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MJXc-TeX-ams-Rw">
    <w:altName w:val="Times New Roman"/>
    <w:panose1 w:val="00000000000000000000"/>
    <w:charset w:val="00"/>
    <w:family w:val="roman"/>
    <w:notTrueType/>
    <w:pitch w:val="default"/>
  </w:font>
  <w:font w:name="STIXGeneral-Regular">
    <w:altName w:val="Times New Roman"/>
    <w:charset w:val="00"/>
    <w:family w:val="auto"/>
    <w:pitch w:val="variable"/>
    <w:sig w:usb0="00000000" w:usb1="4203FDFF" w:usb2="02000020" w:usb3="00000000" w:csb0="8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6637226"/>
      <w:docPartObj>
        <w:docPartGallery w:val="Page Numbers (Bottom of Page)"/>
        <w:docPartUnique/>
      </w:docPartObj>
    </w:sdtPr>
    <w:sdtEndPr>
      <w:rPr>
        <w:noProof/>
      </w:rPr>
    </w:sdtEndPr>
    <w:sdtContent>
      <w:p w14:paraId="51235599" w14:textId="63C37098" w:rsidR="00FE7A9A" w:rsidRDefault="00FE7A9A">
        <w:pPr>
          <w:pStyle w:val="Footer"/>
          <w:jc w:val="center"/>
        </w:pPr>
        <w:r>
          <w:fldChar w:fldCharType="begin"/>
        </w:r>
        <w:r>
          <w:instrText xml:space="preserve"> PAGE   \* MERGEFORMAT </w:instrText>
        </w:r>
        <w:r>
          <w:fldChar w:fldCharType="separate"/>
        </w:r>
        <w:r w:rsidR="00C02131">
          <w:rPr>
            <w:noProof/>
          </w:rPr>
          <w:t>7</w:t>
        </w:r>
        <w:r>
          <w:rPr>
            <w:noProof/>
          </w:rPr>
          <w:fldChar w:fldCharType="end"/>
        </w:r>
      </w:p>
    </w:sdtContent>
  </w:sdt>
  <w:p w14:paraId="7B535B53" w14:textId="77777777" w:rsidR="00FE7A9A" w:rsidRDefault="00FE7A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4347A4" w14:textId="77777777" w:rsidR="003E0E01" w:rsidRDefault="003E0E01" w:rsidP="00F00A29">
      <w:r>
        <w:separator/>
      </w:r>
    </w:p>
  </w:footnote>
  <w:footnote w:type="continuationSeparator" w:id="0">
    <w:p w14:paraId="7565D87E" w14:textId="77777777" w:rsidR="003E0E01" w:rsidRDefault="003E0E01" w:rsidP="00F00A29">
      <w:r>
        <w:continuationSeparator/>
      </w:r>
    </w:p>
  </w:footnote>
  <w:footnote w:id="1">
    <w:p w14:paraId="6E2831D0" w14:textId="5D04AC36" w:rsidR="00FE7A9A" w:rsidRPr="00E81D95" w:rsidRDefault="00FE7A9A" w:rsidP="00D63646">
      <w:pPr>
        <w:pStyle w:val="FootnoteText"/>
        <w:jc w:val="both"/>
        <w:rPr>
          <w:sz w:val="20"/>
          <w:szCs w:val="20"/>
        </w:rPr>
      </w:pPr>
      <w:r w:rsidRPr="00E81D95">
        <w:rPr>
          <w:rStyle w:val="FootnoteReference"/>
          <w:sz w:val="20"/>
          <w:szCs w:val="20"/>
        </w:rPr>
        <w:footnoteRef/>
      </w:r>
      <w:r w:rsidRPr="00E81D95">
        <w:rPr>
          <w:sz w:val="20"/>
          <w:szCs w:val="20"/>
        </w:rPr>
        <w:t xml:space="preserve"> </w:t>
      </w:r>
      <w:r w:rsidRPr="00E81D95">
        <w:rPr>
          <w:sz w:val="20"/>
          <w:szCs w:val="20"/>
          <w:lang w:val="hu-HU"/>
        </w:rPr>
        <w:t xml:space="preserve">See also </w:t>
      </w:r>
      <w:r>
        <w:rPr>
          <w:sz w:val="20"/>
          <w:szCs w:val="20"/>
          <w:lang w:val="hu-HU"/>
        </w:rPr>
        <w:t>O</w:t>
      </w:r>
      <w:r>
        <w:rPr>
          <w:sz w:val="20"/>
          <w:szCs w:val="20"/>
        </w:rPr>
        <w:t xml:space="preserve">’Conaill 2018 and </w:t>
      </w:r>
      <w:r w:rsidRPr="00E81D95">
        <w:rPr>
          <w:sz w:val="20"/>
          <w:szCs w:val="20"/>
          <w:lang w:val="hu-HU"/>
        </w:rPr>
        <w:t xml:space="preserve">Wallner </w:t>
      </w:r>
      <w:r>
        <w:rPr>
          <w:sz w:val="20"/>
          <w:szCs w:val="20"/>
          <w:lang w:val="hu-HU"/>
        </w:rPr>
        <w:t>2018</w:t>
      </w:r>
      <w:r w:rsidRPr="00E81D95">
        <w:rPr>
          <w:sz w:val="20"/>
          <w:szCs w:val="20"/>
        </w:rPr>
        <w:t xml:space="preserve"> for similar view</w:t>
      </w:r>
      <w:r>
        <w:rPr>
          <w:sz w:val="20"/>
          <w:szCs w:val="20"/>
        </w:rPr>
        <w:t>s</w:t>
      </w:r>
      <w:r w:rsidRPr="00E81D95">
        <w:rPr>
          <w:sz w:val="20"/>
          <w:szCs w:val="20"/>
        </w:rPr>
        <w:t>.</w:t>
      </w:r>
    </w:p>
  </w:footnote>
  <w:footnote w:id="2">
    <w:p w14:paraId="79E4093B" w14:textId="2B779B26" w:rsidR="00FE7A9A" w:rsidRPr="00E81D95" w:rsidRDefault="00FE7A9A" w:rsidP="00D63646">
      <w:pPr>
        <w:pStyle w:val="FootnoteText"/>
        <w:jc w:val="both"/>
        <w:rPr>
          <w:sz w:val="20"/>
          <w:szCs w:val="20"/>
        </w:rPr>
      </w:pPr>
      <w:r w:rsidRPr="00E81D95">
        <w:rPr>
          <w:rStyle w:val="FootnoteReference"/>
          <w:sz w:val="20"/>
          <w:szCs w:val="20"/>
        </w:rPr>
        <w:footnoteRef/>
      </w:r>
      <w:r w:rsidRPr="00E81D95">
        <w:rPr>
          <w:sz w:val="20"/>
          <w:szCs w:val="20"/>
        </w:rPr>
        <w:t xml:space="preserve"> </w:t>
      </w:r>
      <w:r>
        <w:rPr>
          <w:sz w:val="20"/>
          <w:szCs w:val="20"/>
          <w:lang w:val="hu-HU"/>
        </w:rPr>
        <w:t>Cf. also</w:t>
      </w:r>
      <w:r w:rsidRPr="00E81D95">
        <w:rPr>
          <w:sz w:val="20"/>
          <w:szCs w:val="20"/>
          <w:lang w:val="hu-HU"/>
        </w:rPr>
        <w:t xml:space="preserve"> </w:t>
      </w:r>
      <w:r>
        <w:rPr>
          <w:sz w:val="20"/>
          <w:szCs w:val="20"/>
          <w:lang w:val="hu-HU"/>
        </w:rPr>
        <w:t>Glazier 2017 and Raven 2020 as well as section 3 of this chapter on the ultimacy of essentialist explanations</w:t>
      </w:r>
      <w:r w:rsidRPr="00E81D95">
        <w:rPr>
          <w:sz w:val="20"/>
          <w:szCs w:val="20"/>
        </w:rPr>
        <w:t>.</w:t>
      </w:r>
    </w:p>
  </w:footnote>
  <w:footnote w:id="3">
    <w:p w14:paraId="5B737833" w14:textId="1DD53D67" w:rsidR="00FE7A9A" w:rsidRPr="00E81D95" w:rsidRDefault="00FE7A9A" w:rsidP="00D63646">
      <w:pPr>
        <w:pStyle w:val="FootnoteText"/>
        <w:jc w:val="both"/>
        <w:rPr>
          <w:sz w:val="20"/>
          <w:szCs w:val="20"/>
        </w:rPr>
      </w:pPr>
      <w:r w:rsidRPr="00E81D95">
        <w:rPr>
          <w:rStyle w:val="FootnoteReference"/>
          <w:sz w:val="20"/>
          <w:szCs w:val="20"/>
        </w:rPr>
        <w:footnoteRef/>
      </w:r>
      <w:r w:rsidRPr="00E81D95">
        <w:rPr>
          <w:sz w:val="20"/>
          <w:szCs w:val="20"/>
        </w:rPr>
        <w:t xml:space="preserve"> </w:t>
      </w:r>
      <w:r w:rsidRPr="00E81D95">
        <w:rPr>
          <w:sz w:val="20"/>
          <w:szCs w:val="20"/>
          <w:lang w:val="hu-HU"/>
        </w:rPr>
        <w:t xml:space="preserve">See </w:t>
      </w:r>
      <w:r>
        <w:rPr>
          <w:sz w:val="20"/>
          <w:szCs w:val="20"/>
          <w:lang w:val="hu-HU"/>
        </w:rPr>
        <w:t>Leuenberger 2014 and Skiles 2015 for criticism and O’Conaill 2018 for some pushback</w:t>
      </w:r>
      <w:r w:rsidRPr="00E81D95">
        <w:rPr>
          <w:sz w:val="20"/>
          <w:szCs w:val="20"/>
        </w:rPr>
        <w:t>.</w:t>
      </w:r>
    </w:p>
  </w:footnote>
  <w:footnote w:id="4">
    <w:p w14:paraId="31DC3ED2" w14:textId="307FB912" w:rsidR="00FE7A9A" w:rsidRPr="00150B31" w:rsidRDefault="00FE7A9A" w:rsidP="00BF1EAF">
      <w:pPr>
        <w:pStyle w:val="FootnoteText"/>
        <w:jc w:val="both"/>
        <w:rPr>
          <w:sz w:val="20"/>
          <w:szCs w:val="20"/>
        </w:rPr>
      </w:pPr>
      <w:r w:rsidRPr="00E81D95">
        <w:rPr>
          <w:rStyle w:val="FootnoteReference"/>
          <w:sz w:val="20"/>
          <w:szCs w:val="20"/>
        </w:rPr>
        <w:footnoteRef/>
      </w:r>
      <w:r w:rsidRPr="00E81D95">
        <w:rPr>
          <w:sz w:val="20"/>
          <w:szCs w:val="20"/>
        </w:rPr>
        <w:t xml:space="preserve"> </w:t>
      </w:r>
      <w:r>
        <w:rPr>
          <w:sz w:val="20"/>
          <w:szCs w:val="20"/>
          <w:lang w:val="hu-HU"/>
        </w:rPr>
        <w:t xml:space="preserve">This is Sullivan’s own example. One might worry that it’s not plausible that the coin essentially conducts electricity even according to a physical framework; rather, it’s merely (non-essentially) constituted by a piece of metal that essentially conducts electricity according to a physical framework. However, I think this is an artifact of this particular example. For example, we can replace conducivity with the property of having an effigy on the obverse. Intuitively, any numismatic explanation involving the coin must appeal to this feature, but not to the coin’s being a unit of account (coins of numismatic interest are typically no longer units of account); whereas any economic explanation involving the coin must appeal to its being a unit of account, but not to there being an effigy on its obverse </w:t>
      </w:r>
      <w:r>
        <w:rPr>
          <w:sz w:val="20"/>
          <w:szCs w:val="20"/>
        </w:rPr>
        <w:t xml:space="preserve">(the Central Bank may well have issued the same coins with the same face value but with State Arms rather than an effigy on their obverse). Thanks to Kathrin </w:t>
      </w:r>
      <w:proofErr w:type="spellStart"/>
      <w:r>
        <w:rPr>
          <w:sz w:val="20"/>
          <w:szCs w:val="20"/>
        </w:rPr>
        <w:t>Koslicki</w:t>
      </w:r>
      <w:proofErr w:type="spellEnd"/>
      <w:r>
        <w:rPr>
          <w:sz w:val="20"/>
          <w:szCs w:val="20"/>
        </w:rPr>
        <w:t xml:space="preserve"> and Mike Raven for raising this concern.</w:t>
      </w:r>
    </w:p>
  </w:footnote>
  <w:footnote w:id="5">
    <w:p w14:paraId="486A043F" w14:textId="56B419F9" w:rsidR="00FE7A9A" w:rsidRPr="00E81D95" w:rsidRDefault="00FE7A9A" w:rsidP="00D63646">
      <w:pPr>
        <w:pStyle w:val="FootnoteText"/>
        <w:jc w:val="both"/>
        <w:rPr>
          <w:sz w:val="20"/>
          <w:szCs w:val="20"/>
        </w:rPr>
      </w:pPr>
      <w:r w:rsidRPr="00E81D95">
        <w:rPr>
          <w:rStyle w:val="FootnoteReference"/>
          <w:sz w:val="20"/>
          <w:szCs w:val="20"/>
        </w:rPr>
        <w:footnoteRef/>
      </w:r>
      <w:r w:rsidRPr="00E81D95">
        <w:rPr>
          <w:sz w:val="20"/>
          <w:szCs w:val="20"/>
        </w:rPr>
        <w:t xml:space="preserve"> Another aspect of Gorman’ view is that its essential properties explain many of an entity’s other properties. As Gorman notes, this is not new with his account but is in line with the Aristotelian tradition. For further references, see Gorman 2014: 135 n27.</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C20C7B"/>
    <w:multiLevelType w:val="hybridMultilevel"/>
    <w:tmpl w:val="5644DED4"/>
    <w:lvl w:ilvl="0" w:tplc="8BD272F4">
      <w:start w:val="5"/>
      <w:numFmt w:val="bullet"/>
      <w:lvlText w:val="-"/>
      <w:lvlJc w:val="left"/>
      <w:pPr>
        <w:ind w:left="792" w:hanging="360"/>
      </w:pPr>
      <w:rPr>
        <w:rFonts w:ascii="Times New Roman" w:eastAsiaTheme="minorEastAsia" w:hAnsi="Times New Roman" w:cs="Times New Roman"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num w:numId="1" w16cid:durableId="10141884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D1C21"/>
    <w:rsid w:val="000019C7"/>
    <w:rsid w:val="000055AA"/>
    <w:rsid w:val="0001118C"/>
    <w:rsid w:val="0001573D"/>
    <w:rsid w:val="00021C48"/>
    <w:rsid w:val="00023FC1"/>
    <w:rsid w:val="000253C6"/>
    <w:rsid w:val="00026BB5"/>
    <w:rsid w:val="0003008E"/>
    <w:rsid w:val="000324AE"/>
    <w:rsid w:val="00035C3F"/>
    <w:rsid w:val="00043AA9"/>
    <w:rsid w:val="00043FF2"/>
    <w:rsid w:val="000571E5"/>
    <w:rsid w:val="0005792F"/>
    <w:rsid w:val="00071064"/>
    <w:rsid w:val="000714F7"/>
    <w:rsid w:val="00074A1B"/>
    <w:rsid w:val="00076462"/>
    <w:rsid w:val="00076549"/>
    <w:rsid w:val="00083F12"/>
    <w:rsid w:val="000879C8"/>
    <w:rsid w:val="00092945"/>
    <w:rsid w:val="000961C2"/>
    <w:rsid w:val="00097BC9"/>
    <w:rsid w:val="000A0FC6"/>
    <w:rsid w:val="000A42A5"/>
    <w:rsid w:val="000A551B"/>
    <w:rsid w:val="000A6272"/>
    <w:rsid w:val="000A6B0A"/>
    <w:rsid w:val="000A7FF1"/>
    <w:rsid w:val="000B06E3"/>
    <w:rsid w:val="000B10E2"/>
    <w:rsid w:val="000B2068"/>
    <w:rsid w:val="000C2B2D"/>
    <w:rsid w:val="000C595C"/>
    <w:rsid w:val="000D02A1"/>
    <w:rsid w:val="000D607C"/>
    <w:rsid w:val="000D7108"/>
    <w:rsid w:val="000E217A"/>
    <w:rsid w:val="000E376F"/>
    <w:rsid w:val="000E4D20"/>
    <w:rsid w:val="000F0E28"/>
    <w:rsid w:val="000F49A7"/>
    <w:rsid w:val="000F5EC7"/>
    <w:rsid w:val="000F72BE"/>
    <w:rsid w:val="0010057B"/>
    <w:rsid w:val="001040C0"/>
    <w:rsid w:val="00106FD4"/>
    <w:rsid w:val="00110605"/>
    <w:rsid w:val="00124640"/>
    <w:rsid w:val="00124B35"/>
    <w:rsid w:val="00124C79"/>
    <w:rsid w:val="00125429"/>
    <w:rsid w:val="00126B41"/>
    <w:rsid w:val="00127E76"/>
    <w:rsid w:val="00130FDA"/>
    <w:rsid w:val="001408B5"/>
    <w:rsid w:val="00140D26"/>
    <w:rsid w:val="001429DE"/>
    <w:rsid w:val="0014579D"/>
    <w:rsid w:val="00147601"/>
    <w:rsid w:val="00150ACF"/>
    <w:rsid w:val="00150B31"/>
    <w:rsid w:val="00150E5D"/>
    <w:rsid w:val="001517F8"/>
    <w:rsid w:val="00154614"/>
    <w:rsid w:val="001548F3"/>
    <w:rsid w:val="001563AF"/>
    <w:rsid w:val="001807E0"/>
    <w:rsid w:val="001829C8"/>
    <w:rsid w:val="00184373"/>
    <w:rsid w:val="00186E61"/>
    <w:rsid w:val="00187746"/>
    <w:rsid w:val="001959B3"/>
    <w:rsid w:val="0019738C"/>
    <w:rsid w:val="001A2A79"/>
    <w:rsid w:val="001A624C"/>
    <w:rsid w:val="001B6B6A"/>
    <w:rsid w:val="001B757A"/>
    <w:rsid w:val="001C0DFF"/>
    <w:rsid w:val="001C1FD0"/>
    <w:rsid w:val="001C2925"/>
    <w:rsid w:val="001C4642"/>
    <w:rsid w:val="001C5043"/>
    <w:rsid w:val="001C582E"/>
    <w:rsid w:val="001D134A"/>
    <w:rsid w:val="001D193C"/>
    <w:rsid w:val="001D245D"/>
    <w:rsid w:val="001D64FD"/>
    <w:rsid w:val="001E5549"/>
    <w:rsid w:val="001E5B90"/>
    <w:rsid w:val="001F02E7"/>
    <w:rsid w:val="001F0752"/>
    <w:rsid w:val="001F7477"/>
    <w:rsid w:val="001F75D8"/>
    <w:rsid w:val="002017E3"/>
    <w:rsid w:val="0020274C"/>
    <w:rsid w:val="00203C14"/>
    <w:rsid w:val="002072D3"/>
    <w:rsid w:val="0021574E"/>
    <w:rsid w:val="0022512E"/>
    <w:rsid w:val="002263BE"/>
    <w:rsid w:val="0022782A"/>
    <w:rsid w:val="00227BB1"/>
    <w:rsid w:val="00233311"/>
    <w:rsid w:val="00235ED9"/>
    <w:rsid w:val="00237880"/>
    <w:rsid w:val="00241A6A"/>
    <w:rsid w:val="0024240B"/>
    <w:rsid w:val="002523C7"/>
    <w:rsid w:val="00262EE7"/>
    <w:rsid w:val="00265A62"/>
    <w:rsid w:val="0027015B"/>
    <w:rsid w:val="00274428"/>
    <w:rsid w:val="00274F9F"/>
    <w:rsid w:val="00280E23"/>
    <w:rsid w:val="00285673"/>
    <w:rsid w:val="0028623C"/>
    <w:rsid w:val="002867BA"/>
    <w:rsid w:val="00292DC5"/>
    <w:rsid w:val="002945FB"/>
    <w:rsid w:val="00297CFA"/>
    <w:rsid w:val="002A1FA1"/>
    <w:rsid w:val="002A4D18"/>
    <w:rsid w:val="002B1028"/>
    <w:rsid w:val="002B1346"/>
    <w:rsid w:val="002B135C"/>
    <w:rsid w:val="002B1595"/>
    <w:rsid w:val="002B3746"/>
    <w:rsid w:val="002B3E58"/>
    <w:rsid w:val="002B4CB8"/>
    <w:rsid w:val="002B4DCD"/>
    <w:rsid w:val="002B6C3C"/>
    <w:rsid w:val="002C0286"/>
    <w:rsid w:val="002C7E30"/>
    <w:rsid w:val="002D244C"/>
    <w:rsid w:val="002D489E"/>
    <w:rsid w:val="002D542E"/>
    <w:rsid w:val="002D6261"/>
    <w:rsid w:val="002D7B43"/>
    <w:rsid w:val="002E1268"/>
    <w:rsid w:val="002E1B89"/>
    <w:rsid w:val="002E29AC"/>
    <w:rsid w:val="002E29EE"/>
    <w:rsid w:val="002E2D38"/>
    <w:rsid w:val="002E5D00"/>
    <w:rsid w:val="002E7689"/>
    <w:rsid w:val="002F45E0"/>
    <w:rsid w:val="002F77D3"/>
    <w:rsid w:val="00302C88"/>
    <w:rsid w:val="00304FDA"/>
    <w:rsid w:val="003140F4"/>
    <w:rsid w:val="003164A9"/>
    <w:rsid w:val="00320756"/>
    <w:rsid w:val="003208F3"/>
    <w:rsid w:val="00320FC8"/>
    <w:rsid w:val="00330461"/>
    <w:rsid w:val="00331910"/>
    <w:rsid w:val="0033446C"/>
    <w:rsid w:val="0033460F"/>
    <w:rsid w:val="0033512C"/>
    <w:rsid w:val="003359B7"/>
    <w:rsid w:val="00337258"/>
    <w:rsid w:val="00337AED"/>
    <w:rsid w:val="00340B43"/>
    <w:rsid w:val="00343BBF"/>
    <w:rsid w:val="00344537"/>
    <w:rsid w:val="003465F3"/>
    <w:rsid w:val="003501E6"/>
    <w:rsid w:val="00351901"/>
    <w:rsid w:val="003531BE"/>
    <w:rsid w:val="00357A03"/>
    <w:rsid w:val="00360EB5"/>
    <w:rsid w:val="003636D8"/>
    <w:rsid w:val="00363E2B"/>
    <w:rsid w:val="0036539E"/>
    <w:rsid w:val="00371CBB"/>
    <w:rsid w:val="00375138"/>
    <w:rsid w:val="003768CC"/>
    <w:rsid w:val="00384BBB"/>
    <w:rsid w:val="00385C33"/>
    <w:rsid w:val="00387074"/>
    <w:rsid w:val="00387ABF"/>
    <w:rsid w:val="003911A8"/>
    <w:rsid w:val="0039270A"/>
    <w:rsid w:val="0039692F"/>
    <w:rsid w:val="003A032E"/>
    <w:rsid w:val="003A0C83"/>
    <w:rsid w:val="003A2545"/>
    <w:rsid w:val="003B1A8D"/>
    <w:rsid w:val="003B2308"/>
    <w:rsid w:val="003C7AFD"/>
    <w:rsid w:val="003D0F57"/>
    <w:rsid w:val="003E0E01"/>
    <w:rsid w:val="003E2427"/>
    <w:rsid w:val="003E6220"/>
    <w:rsid w:val="003F78B4"/>
    <w:rsid w:val="004008BD"/>
    <w:rsid w:val="00406D42"/>
    <w:rsid w:val="004073FC"/>
    <w:rsid w:val="00413C1F"/>
    <w:rsid w:val="00413D05"/>
    <w:rsid w:val="00420104"/>
    <w:rsid w:val="00420527"/>
    <w:rsid w:val="00422105"/>
    <w:rsid w:val="00422C6A"/>
    <w:rsid w:val="004252A3"/>
    <w:rsid w:val="00425F1D"/>
    <w:rsid w:val="00430B52"/>
    <w:rsid w:val="0043262E"/>
    <w:rsid w:val="00432933"/>
    <w:rsid w:val="00434AFB"/>
    <w:rsid w:val="00435012"/>
    <w:rsid w:val="00442751"/>
    <w:rsid w:val="00445221"/>
    <w:rsid w:val="00445CC8"/>
    <w:rsid w:val="00447850"/>
    <w:rsid w:val="004509B5"/>
    <w:rsid w:val="00451955"/>
    <w:rsid w:val="00453D9F"/>
    <w:rsid w:val="00455504"/>
    <w:rsid w:val="004567AA"/>
    <w:rsid w:val="00462BA7"/>
    <w:rsid w:val="00466A66"/>
    <w:rsid w:val="00470986"/>
    <w:rsid w:val="00472F96"/>
    <w:rsid w:val="00473205"/>
    <w:rsid w:val="0047480F"/>
    <w:rsid w:val="00476FEE"/>
    <w:rsid w:val="00483DD8"/>
    <w:rsid w:val="00484284"/>
    <w:rsid w:val="004843BC"/>
    <w:rsid w:val="00485DE3"/>
    <w:rsid w:val="0049230D"/>
    <w:rsid w:val="0049243A"/>
    <w:rsid w:val="00492921"/>
    <w:rsid w:val="00494E53"/>
    <w:rsid w:val="0049577B"/>
    <w:rsid w:val="004960B1"/>
    <w:rsid w:val="004A09D2"/>
    <w:rsid w:val="004A1E3E"/>
    <w:rsid w:val="004A417E"/>
    <w:rsid w:val="004A66FA"/>
    <w:rsid w:val="004B28BB"/>
    <w:rsid w:val="004B3BD9"/>
    <w:rsid w:val="004B44FB"/>
    <w:rsid w:val="004B57D8"/>
    <w:rsid w:val="004C25D8"/>
    <w:rsid w:val="004C366C"/>
    <w:rsid w:val="004C3F98"/>
    <w:rsid w:val="004C5401"/>
    <w:rsid w:val="004C7BFE"/>
    <w:rsid w:val="004D68B4"/>
    <w:rsid w:val="004D72A5"/>
    <w:rsid w:val="004E0AEA"/>
    <w:rsid w:val="004F100B"/>
    <w:rsid w:val="00504102"/>
    <w:rsid w:val="005045AD"/>
    <w:rsid w:val="00510718"/>
    <w:rsid w:val="00511E8E"/>
    <w:rsid w:val="00514B99"/>
    <w:rsid w:val="0051789F"/>
    <w:rsid w:val="00521C5F"/>
    <w:rsid w:val="00523D33"/>
    <w:rsid w:val="0053239C"/>
    <w:rsid w:val="00544DCD"/>
    <w:rsid w:val="005456D2"/>
    <w:rsid w:val="0055038D"/>
    <w:rsid w:val="00553F1B"/>
    <w:rsid w:val="00554D39"/>
    <w:rsid w:val="00556689"/>
    <w:rsid w:val="0056078A"/>
    <w:rsid w:val="00566E20"/>
    <w:rsid w:val="005714AA"/>
    <w:rsid w:val="0057279D"/>
    <w:rsid w:val="0057467E"/>
    <w:rsid w:val="00580702"/>
    <w:rsid w:val="00581953"/>
    <w:rsid w:val="00584BB9"/>
    <w:rsid w:val="00586E99"/>
    <w:rsid w:val="00587B11"/>
    <w:rsid w:val="00590A6A"/>
    <w:rsid w:val="0059384E"/>
    <w:rsid w:val="005A5CBC"/>
    <w:rsid w:val="005A7237"/>
    <w:rsid w:val="005A7BAD"/>
    <w:rsid w:val="005B35FD"/>
    <w:rsid w:val="005C00DD"/>
    <w:rsid w:val="005C56C2"/>
    <w:rsid w:val="005D10F6"/>
    <w:rsid w:val="005D45BC"/>
    <w:rsid w:val="005D5E57"/>
    <w:rsid w:val="005D69FF"/>
    <w:rsid w:val="005D7923"/>
    <w:rsid w:val="005E112A"/>
    <w:rsid w:val="005E2EB5"/>
    <w:rsid w:val="005E4DA1"/>
    <w:rsid w:val="005E6006"/>
    <w:rsid w:val="005E7992"/>
    <w:rsid w:val="005F2647"/>
    <w:rsid w:val="005F31D0"/>
    <w:rsid w:val="0060064B"/>
    <w:rsid w:val="00602413"/>
    <w:rsid w:val="006030E3"/>
    <w:rsid w:val="0060607C"/>
    <w:rsid w:val="006109A2"/>
    <w:rsid w:val="00615404"/>
    <w:rsid w:val="00622687"/>
    <w:rsid w:val="00627294"/>
    <w:rsid w:val="00632128"/>
    <w:rsid w:val="00632EC5"/>
    <w:rsid w:val="00635B91"/>
    <w:rsid w:val="00636457"/>
    <w:rsid w:val="00636DF0"/>
    <w:rsid w:val="00642129"/>
    <w:rsid w:val="00642DDC"/>
    <w:rsid w:val="00643DBF"/>
    <w:rsid w:val="00645ED5"/>
    <w:rsid w:val="00646E8D"/>
    <w:rsid w:val="00651CD6"/>
    <w:rsid w:val="00654E01"/>
    <w:rsid w:val="00654FDB"/>
    <w:rsid w:val="0065636E"/>
    <w:rsid w:val="00656E00"/>
    <w:rsid w:val="006578C9"/>
    <w:rsid w:val="00664377"/>
    <w:rsid w:val="006704C5"/>
    <w:rsid w:val="006743AB"/>
    <w:rsid w:val="006751F9"/>
    <w:rsid w:val="00676C04"/>
    <w:rsid w:val="0068599B"/>
    <w:rsid w:val="006916C0"/>
    <w:rsid w:val="0069649E"/>
    <w:rsid w:val="0069655A"/>
    <w:rsid w:val="006A2067"/>
    <w:rsid w:val="006B1201"/>
    <w:rsid w:val="006C2769"/>
    <w:rsid w:val="006C5E71"/>
    <w:rsid w:val="006D13D5"/>
    <w:rsid w:val="006D1B08"/>
    <w:rsid w:val="006D330D"/>
    <w:rsid w:val="006D3474"/>
    <w:rsid w:val="006D3781"/>
    <w:rsid w:val="006E0748"/>
    <w:rsid w:val="006E62BB"/>
    <w:rsid w:val="006E7B51"/>
    <w:rsid w:val="006F7CAC"/>
    <w:rsid w:val="007034AC"/>
    <w:rsid w:val="007069A6"/>
    <w:rsid w:val="007073DF"/>
    <w:rsid w:val="00707463"/>
    <w:rsid w:val="007075E7"/>
    <w:rsid w:val="00713FB7"/>
    <w:rsid w:val="00714667"/>
    <w:rsid w:val="0071705C"/>
    <w:rsid w:val="00721623"/>
    <w:rsid w:val="0072291E"/>
    <w:rsid w:val="007239BE"/>
    <w:rsid w:val="00723A3B"/>
    <w:rsid w:val="007246F7"/>
    <w:rsid w:val="007259FC"/>
    <w:rsid w:val="00726F8B"/>
    <w:rsid w:val="00727BEE"/>
    <w:rsid w:val="007307E6"/>
    <w:rsid w:val="00730EF8"/>
    <w:rsid w:val="007331B3"/>
    <w:rsid w:val="007409C4"/>
    <w:rsid w:val="00741FC6"/>
    <w:rsid w:val="00742370"/>
    <w:rsid w:val="00756E46"/>
    <w:rsid w:val="00763641"/>
    <w:rsid w:val="00766317"/>
    <w:rsid w:val="00767728"/>
    <w:rsid w:val="00771189"/>
    <w:rsid w:val="00771A30"/>
    <w:rsid w:val="00781762"/>
    <w:rsid w:val="00786924"/>
    <w:rsid w:val="00792BDA"/>
    <w:rsid w:val="00795C44"/>
    <w:rsid w:val="00796550"/>
    <w:rsid w:val="00797747"/>
    <w:rsid w:val="007B0912"/>
    <w:rsid w:val="007B126E"/>
    <w:rsid w:val="007B1AE2"/>
    <w:rsid w:val="007B3656"/>
    <w:rsid w:val="007B3B79"/>
    <w:rsid w:val="007B691C"/>
    <w:rsid w:val="007B7D93"/>
    <w:rsid w:val="007C00D7"/>
    <w:rsid w:val="007C6E19"/>
    <w:rsid w:val="007D2886"/>
    <w:rsid w:val="007D40D3"/>
    <w:rsid w:val="007D47C1"/>
    <w:rsid w:val="007D53DA"/>
    <w:rsid w:val="007D6D76"/>
    <w:rsid w:val="007D7CA1"/>
    <w:rsid w:val="007E0319"/>
    <w:rsid w:val="007E096E"/>
    <w:rsid w:val="007E1F8A"/>
    <w:rsid w:val="007F23BB"/>
    <w:rsid w:val="00802C06"/>
    <w:rsid w:val="0080425D"/>
    <w:rsid w:val="00805310"/>
    <w:rsid w:val="0081065D"/>
    <w:rsid w:val="008125C8"/>
    <w:rsid w:val="008156C6"/>
    <w:rsid w:val="00816369"/>
    <w:rsid w:val="00817903"/>
    <w:rsid w:val="00820771"/>
    <w:rsid w:val="008213F2"/>
    <w:rsid w:val="0082279B"/>
    <w:rsid w:val="00824C82"/>
    <w:rsid w:val="008259C3"/>
    <w:rsid w:val="00826FF0"/>
    <w:rsid w:val="00827425"/>
    <w:rsid w:val="00830602"/>
    <w:rsid w:val="008312D6"/>
    <w:rsid w:val="008325BB"/>
    <w:rsid w:val="00832983"/>
    <w:rsid w:val="008421D4"/>
    <w:rsid w:val="00842F7D"/>
    <w:rsid w:val="008437B3"/>
    <w:rsid w:val="00844DFA"/>
    <w:rsid w:val="008463E9"/>
    <w:rsid w:val="00853881"/>
    <w:rsid w:val="00854CBA"/>
    <w:rsid w:val="008657B8"/>
    <w:rsid w:val="00865DC0"/>
    <w:rsid w:val="00865ECD"/>
    <w:rsid w:val="00866162"/>
    <w:rsid w:val="00875A23"/>
    <w:rsid w:val="008A15E3"/>
    <w:rsid w:val="008A1800"/>
    <w:rsid w:val="008A1F34"/>
    <w:rsid w:val="008A4275"/>
    <w:rsid w:val="008A508F"/>
    <w:rsid w:val="008A6704"/>
    <w:rsid w:val="008A735C"/>
    <w:rsid w:val="008A73AF"/>
    <w:rsid w:val="008C048F"/>
    <w:rsid w:val="008C3F23"/>
    <w:rsid w:val="008C4CF8"/>
    <w:rsid w:val="008C7131"/>
    <w:rsid w:val="008C72BF"/>
    <w:rsid w:val="008D2803"/>
    <w:rsid w:val="008E0A4B"/>
    <w:rsid w:val="008E38B0"/>
    <w:rsid w:val="008E3940"/>
    <w:rsid w:val="008E67E2"/>
    <w:rsid w:val="008E6C3E"/>
    <w:rsid w:val="00902C37"/>
    <w:rsid w:val="00907185"/>
    <w:rsid w:val="0091369B"/>
    <w:rsid w:val="00915040"/>
    <w:rsid w:val="009211CE"/>
    <w:rsid w:val="00921B5D"/>
    <w:rsid w:val="00922C59"/>
    <w:rsid w:val="00923104"/>
    <w:rsid w:val="00924915"/>
    <w:rsid w:val="00925135"/>
    <w:rsid w:val="009273BF"/>
    <w:rsid w:val="00927762"/>
    <w:rsid w:val="00932DC1"/>
    <w:rsid w:val="00933F2A"/>
    <w:rsid w:val="00934273"/>
    <w:rsid w:val="00934AED"/>
    <w:rsid w:val="00935C93"/>
    <w:rsid w:val="00936719"/>
    <w:rsid w:val="00937263"/>
    <w:rsid w:val="009500E5"/>
    <w:rsid w:val="00950B44"/>
    <w:rsid w:val="00954BAA"/>
    <w:rsid w:val="00956FB1"/>
    <w:rsid w:val="00963127"/>
    <w:rsid w:val="0096706A"/>
    <w:rsid w:val="00967B64"/>
    <w:rsid w:val="00967EC3"/>
    <w:rsid w:val="009706EB"/>
    <w:rsid w:val="009724B5"/>
    <w:rsid w:val="00976732"/>
    <w:rsid w:val="00980952"/>
    <w:rsid w:val="0098209E"/>
    <w:rsid w:val="009867E5"/>
    <w:rsid w:val="00987AC2"/>
    <w:rsid w:val="0099010B"/>
    <w:rsid w:val="00994E87"/>
    <w:rsid w:val="009957D9"/>
    <w:rsid w:val="009964B6"/>
    <w:rsid w:val="009A3539"/>
    <w:rsid w:val="009A3C20"/>
    <w:rsid w:val="009A4DD7"/>
    <w:rsid w:val="009A5714"/>
    <w:rsid w:val="009B0FC0"/>
    <w:rsid w:val="009B1926"/>
    <w:rsid w:val="009B2D84"/>
    <w:rsid w:val="009B5616"/>
    <w:rsid w:val="009B61FA"/>
    <w:rsid w:val="009B7620"/>
    <w:rsid w:val="009C2243"/>
    <w:rsid w:val="009C7776"/>
    <w:rsid w:val="009D01CB"/>
    <w:rsid w:val="009D1D8D"/>
    <w:rsid w:val="009D37FA"/>
    <w:rsid w:val="009D3BF3"/>
    <w:rsid w:val="009E08BF"/>
    <w:rsid w:val="009E3F22"/>
    <w:rsid w:val="009E7D4C"/>
    <w:rsid w:val="009F1437"/>
    <w:rsid w:val="009F288E"/>
    <w:rsid w:val="00A00026"/>
    <w:rsid w:val="00A000A9"/>
    <w:rsid w:val="00A07241"/>
    <w:rsid w:val="00A07CA8"/>
    <w:rsid w:val="00A10891"/>
    <w:rsid w:val="00A117B9"/>
    <w:rsid w:val="00A149A0"/>
    <w:rsid w:val="00A220C5"/>
    <w:rsid w:val="00A22110"/>
    <w:rsid w:val="00A2268B"/>
    <w:rsid w:val="00A26757"/>
    <w:rsid w:val="00A31009"/>
    <w:rsid w:val="00A32317"/>
    <w:rsid w:val="00A35D39"/>
    <w:rsid w:val="00A41DE9"/>
    <w:rsid w:val="00A43F2C"/>
    <w:rsid w:val="00A4748D"/>
    <w:rsid w:val="00A6052A"/>
    <w:rsid w:val="00A61912"/>
    <w:rsid w:val="00A67F6B"/>
    <w:rsid w:val="00A72A9D"/>
    <w:rsid w:val="00A75F3B"/>
    <w:rsid w:val="00A77FF7"/>
    <w:rsid w:val="00A8367C"/>
    <w:rsid w:val="00A8577C"/>
    <w:rsid w:val="00A85B90"/>
    <w:rsid w:val="00A85BCF"/>
    <w:rsid w:val="00A95FDF"/>
    <w:rsid w:val="00A966CB"/>
    <w:rsid w:val="00AA3B35"/>
    <w:rsid w:val="00AA6DCC"/>
    <w:rsid w:val="00AB42F5"/>
    <w:rsid w:val="00AC0F3E"/>
    <w:rsid w:val="00AC18FC"/>
    <w:rsid w:val="00AC2BC4"/>
    <w:rsid w:val="00AC2FC4"/>
    <w:rsid w:val="00AC3E32"/>
    <w:rsid w:val="00AC7EC1"/>
    <w:rsid w:val="00AD37E4"/>
    <w:rsid w:val="00AD65DF"/>
    <w:rsid w:val="00AD6973"/>
    <w:rsid w:val="00AE02FC"/>
    <w:rsid w:val="00AE0A5B"/>
    <w:rsid w:val="00AE10CB"/>
    <w:rsid w:val="00AE3FF7"/>
    <w:rsid w:val="00AF06E6"/>
    <w:rsid w:val="00AF0BAA"/>
    <w:rsid w:val="00AF41FD"/>
    <w:rsid w:val="00AF60AE"/>
    <w:rsid w:val="00B003F3"/>
    <w:rsid w:val="00B0056F"/>
    <w:rsid w:val="00B036B9"/>
    <w:rsid w:val="00B05078"/>
    <w:rsid w:val="00B05529"/>
    <w:rsid w:val="00B06584"/>
    <w:rsid w:val="00B115B2"/>
    <w:rsid w:val="00B15243"/>
    <w:rsid w:val="00B21A36"/>
    <w:rsid w:val="00B22368"/>
    <w:rsid w:val="00B2236C"/>
    <w:rsid w:val="00B24090"/>
    <w:rsid w:val="00B258AC"/>
    <w:rsid w:val="00B26876"/>
    <w:rsid w:val="00B3295F"/>
    <w:rsid w:val="00B35D04"/>
    <w:rsid w:val="00B400FE"/>
    <w:rsid w:val="00B4581D"/>
    <w:rsid w:val="00B45AF5"/>
    <w:rsid w:val="00B542BA"/>
    <w:rsid w:val="00B5754D"/>
    <w:rsid w:val="00B672A6"/>
    <w:rsid w:val="00B71607"/>
    <w:rsid w:val="00B77941"/>
    <w:rsid w:val="00B77A0C"/>
    <w:rsid w:val="00B87D35"/>
    <w:rsid w:val="00B91505"/>
    <w:rsid w:val="00B947D8"/>
    <w:rsid w:val="00B96796"/>
    <w:rsid w:val="00B9783D"/>
    <w:rsid w:val="00BA1A8D"/>
    <w:rsid w:val="00BA1B95"/>
    <w:rsid w:val="00BA2FC6"/>
    <w:rsid w:val="00BA46C5"/>
    <w:rsid w:val="00BA549B"/>
    <w:rsid w:val="00BA7163"/>
    <w:rsid w:val="00BA7F32"/>
    <w:rsid w:val="00BA7F3D"/>
    <w:rsid w:val="00BB0567"/>
    <w:rsid w:val="00BB1FDC"/>
    <w:rsid w:val="00BB49C0"/>
    <w:rsid w:val="00BB5693"/>
    <w:rsid w:val="00BC0A32"/>
    <w:rsid w:val="00BC1800"/>
    <w:rsid w:val="00BC4652"/>
    <w:rsid w:val="00BC6461"/>
    <w:rsid w:val="00BD2D2A"/>
    <w:rsid w:val="00BD351C"/>
    <w:rsid w:val="00BD7252"/>
    <w:rsid w:val="00BE1F6C"/>
    <w:rsid w:val="00BE5591"/>
    <w:rsid w:val="00BE6A7F"/>
    <w:rsid w:val="00BF1707"/>
    <w:rsid w:val="00BF1B27"/>
    <w:rsid w:val="00BF1EAF"/>
    <w:rsid w:val="00BF3A5D"/>
    <w:rsid w:val="00BF5C8D"/>
    <w:rsid w:val="00C02131"/>
    <w:rsid w:val="00C05FC7"/>
    <w:rsid w:val="00C06776"/>
    <w:rsid w:val="00C12133"/>
    <w:rsid w:val="00C13090"/>
    <w:rsid w:val="00C15CD1"/>
    <w:rsid w:val="00C204E7"/>
    <w:rsid w:val="00C21A73"/>
    <w:rsid w:val="00C232AE"/>
    <w:rsid w:val="00C25602"/>
    <w:rsid w:val="00C27A25"/>
    <w:rsid w:val="00C320E5"/>
    <w:rsid w:val="00C336B1"/>
    <w:rsid w:val="00C363D7"/>
    <w:rsid w:val="00C36F4F"/>
    <w:rsid w:val="00C40807"/>
    <w:rsid w:val="00C44913"/>
    <w:rsid w:val="00C51559"/>
    <w:rsid w:val="00C577CD"/>
    <w:rsid w:val="00C61537"/>
    <w:rsid w:val="00C653A0"/>
    <w:rsid w:val="00C65A26"/>
    <w:rsid w:val="00C663B8"/>
    <w:rsid w:val="00C75728"/>
    <w:rsid w:val="00C75E55"/>
    <w:rsid w:val="00C765E5"/>
    <w:rsid w:val="00C7718D"/>
    <w:rsid w:val="00C81CF8"/>
    <w:rsid w:val="00C82D10"/>
    <w:rsid w:val="00C84F35"/>
    <w:rsid w:val="00C86445"/>
    <w:rsid w:val="00C92C02"/>
    <w:rsid w:val="00C950D6"/>
    <w:rsid w:val="00C95919"/>
    <w:rsid w:val="00C973D7"/>
    <w:rsid w:val="00CA048D"/>
    <w:rsid w:val="00CB288B"/>
    <w:rsid w:val="00CB5FF9"/>
    <w:rsid w:val="00CC12CF"/>
    <w:rsid w:val="00CC2A50"/>
    <w:rsid w:val="00CC37AE"/>
    <w:rsid w:val="00CC553B"/>
    <w:rsid w:val="00CC654D"/>
    <w:rsid w:val="00CD1422"/>
    <w:rsid w:val="00CD76E4"/>
    <w:rsid w:val="00CE36A2"/>
    <w:rsid w:val="00CE5047"/>
    <w:rsid w:val="00CE5423"/>
    <w:rsid w:val="00CF01C3"/>
    <w:rsid w:val="00CF02E7"/>
    <w:rsid w:val="00CF0615"/>
    <w:rsid w:val="00CF0FF2"/>
    <w:rsid w:val="00CF2296"/>
    <w:rsid w:val="00CF4232"/>
    <w:rsid w:val="00CF5247"/>
    <w:rsid w:val="00CF5C1B"/>
    <w:rsid w:val="00CF78C2"/>
    <w:rsid w:val="00D119B2"/>
    <w:rsid w:val="00D12A50"/>
    <w:rsid w:val="00D14FF0"/>
    <w:rsid w:val="00D20CEA"/>
    <w:rsid w:val="00D22402"/>
    <w:rsid w:val="00D23FCB"/>
    <w:rsid w:val="00D346CF"/>
    <w:rsid w:val="00D40001"/>
    <w:rsid w:val="00D42581"/>
    <w:rsid w:val="00D42D53"/>
    <w:rsid w:val="00D43732"/>
    <w:rsid w:val="00D44440"/>
    <w:rsid w:val="00D447AC"/>
    <w:rsid w:val="00D461C0"/>
    <w:rsid w:val="00D47D31"/>
    <w:rsid w:val="00D524B4"/>
    <w:rsid w:val="00D55001"/>
    <w:rsid w:val="00D56442"/>
    <w:rsid w:val="00D63646"/>
    <w:rsid w:val="00D65A1A"/>
    <w:rsid w:val="00D678B3"/>
    <w:rsid w:val="00D731C9"/>
    <w:rsid w:val="00D75029"/>
    <w:rsid w:val="00D76BB2"/>
    <w:rsid w:val="00D8180C"/>
    <w:rsid w:val="00D82BFD"/>
    <w:rsid w:val="00D83B1C"/>
    <w:rsid w:val="00D83C12"/>
    <w:rsid w:val="00D92B7E"/>
    <w:rsid w:val="00D93BCA"/>
    <w:rsid w:val="00D96CB3"/>
    <w:rsid w:val="00DA03E0"/>
    <w:rsid w:val="00DA0F22"/>
    <w:rsid w:val="00DA28BD"/>
    <w:rsid w:val="00DC5F54"/>
    <w:rsid w:val="00DD169C"/>
    <w:rsid w:val="00DD1C21"/>
    <w:rsid w:val="00DD5286"/>
    <w:rsid w:val="00DD6BF1"/>
    <w:rsid w:val="00DE1C24"/>
    <w:rsid w:val="00DE2AE4"/>
    <w:rsid w:val="00DE329E"/>
    <w:rsid w:val="00DF6E82"/>
    <w:rsid w:val="00E00B51"/>
    <w:rsid w:val="00E02575"/>
    <w:rsid w:val="00E0305B"/>
    <w:rsid w:val="00E06EB9"/>
    <w:rsid w:val="00E13796"/>
    <w:rsid w:val="00E1469D"/>
    <w:rsid w:val="00E17233"/>
    <w:rsid w:val="00E20BA6"/>
    <w:rsid w:val="00E2724D"/>
    <w:rsid w:val="00E347A6"/>
    <w:rsid w:val="00E347F0"/>
    <w:rsid w:val="00E370C2"/>
    <w:rsid w:val="00E45268"/>
    <w:rsid w:val="00E45BFD"/>
    <w:rsid w:val="00E470A2"/>
    <w:rsid w:val="00E47B8C"/>
    <w:rsid w:val="00E60410"/>
    <w:rsid w:val="00E63637"/>
    <w:rsid w:val="00E64FD0"/>
    <w:rsid w:val="00E6795C"/>
    <w:rsid w:val="00E71EB6"/>
    <w:rsid w:val="00E75F5A"/>
    <w:rsid w:val="00E76872"/>
    <w:rsid w:val="00E8138B"/>
    <w:rsid w:val="00E81D95"/>
    <w:rsid w:val="00E81E97"/>
    <w:rsid w:val="00E81EDB"/>
    <w:rsid w:val="00E83AB3"/>
    <w:rsid w:val="00E858AB"/>
    <w:rsid w:val="00E864BF"/>
    <w:rsid w:val="00E87B0B"/>
    <w:rsid w:val="00E93800"/>
    <w:rsid w:val="00E94EA6"/>
    <w:rsid w:val="00EA173E"/>
    <w:rsid w:val="00EA3B6D"/>
    <w:rsid w:val="00EA3BDE"/>
    <w:rsid w:val="00EA5401"/>
    <w:rsid w:val="00EA6281"/>
    <w:rsid w:val="00EB4280"/>
    <w:rsid w:val="00EB65CD"/>
    <w:rsid w:val="00EB6D1F"/>
    <w:rsid w:val="00EC0F1C"/>
    <w:rsid w:val="00EC141B"/>
    <w:rsid w:val="00EC42D1"/>
    <w:rsid w:val="00EC6008"/>
    <w:rsid w:val="00EC72A0"/>
    <w:rsid w:val="00ED0D03"/>
    <w:rsid w:val="00ED356F"/>
    <w:rsid w:val="00ED3EB9"/>
    <w:rsid w:val="00ED458F"/>
    <w:rsid w:val="00EE1427"/>
    <w:rsid w:val="00EE300A"/>
    <w:rsid w:val="00EE533B"/>
    <w:rsid w:val="00EF0F1D"/>
    <w:rsid w:val="00EF1AB7"/>
    <w:rsid w:val="00EF2A43"/>
    <w:rsid w:val="00EF525F"/>
    <w:rsid w:val="00F00A29"/>
    <w:rsid w:val="00F10C69"/>
    <w:rsid w:val="00F1456C"/>
    <w:rsid w:val="00F1648D"/>
    <w:rsid w:val="00F216F8"/>
    <w:rsid w:val="00F22117"/>
    <w:rsid w:val="00F24382"/>
    <w:rsid w:val="00F30023"/>
    <w:rsid w:val="00F315A9"/>
    <w:rsid w:val="00F324C2"/>
    <w:rsid w:val="00F34A19"/>
    <w:rsid w:val="00F37BFE"/>
    <w:rsid w:val="00F401B3"/>
    <w:rsid w:val="00F412D5"/>
    <w:rsid w:val="00F500C1"/>
    <w:rsid w:val="00F5061B"/>
    <w:rsid w:val="00F53AA1"/>
    <w:rsid w:val="00F53FD1"/>
    <w:rsid w:val="00F54E54"/>
    <w:rsid w:val="00F558EF"/>
    <w:rsid w:val="00F61DCD"/>
    <w:rsid w:val="00F61ECA"/>
    <w:rsid w:val="00F635C8"/>
    <w:rsid w:val="00F6434B"/>
    <w:rsid w:val="00F76473"/>
    <w:rsid w:val="00F768D9"/>
    <w:rsid w:val="00F77DBC"/>
    <w:rsid w:val="00F853C2"/>
    <w:rsid w:val="00F865EE"/>
    <w:rsid w:val="00F91D9F"/>
    <w:rsid w:val="00F97172"/>
    <w:rsid w:val="00FA0D70"/>
    <w:rsid w:val="00FA19F7"/>
    <w:rsid w:val="00FB16A2"/>
    <w:rsid w:val="00FB35A2"/>
    <w:rsid w:val="00FB79C0"/>
    <w:rsid w:val="00FB7B01"/>
    <w:rsid w:val="00FC16F5"/>
    <w:rsid w:val="00FC1DA7"/>
    <w:rsid w:val="00FC4F1D"/>
    <w:rsid w:val="00FC567F"/>
    <w:rsid w:val="00FC6B5C"/>
    <w:rsid w:val="00FD18ED"/>
    <w:rsid w:val="00FD3341"/>
    <w:rsid w:val="00FD3797"/>
    <w:rsid w:val="00FD5577"/>
    <w:rsid w:val="00FD5C07"/>
    <w:rsid w:val="00FE4600"/>
    <w:rsid w:val="00FE7A9A"/>
    <w:rsid w:val="00FF3037"/>
    <w:rsid w:val="00FF347A"/>
    <w:rsid w:val="00FF34EA"/>
    <w:rsid w:val="00FF53B2"/>
  </w:rsids>
  <m:mathPr>
    <m:mathFont m:val="Cambria Math"/>
    <m:brkBin m:val="before"/>
    <m:brkBinSub m:val="--"/>
    <m:smallFrac m:val="0"/>
    <m:dispDef/>
    <m:lMargin m:val="0"/>
    <m:rMargin m:val="0"/>
    <m:defJc m:val="centerGroup"/>
    <m:wrapIndent m:val="1440"/>
    <m:intLim m:val="subSup"/>
    <m:naryLim m:val="undOvr"/>
  </m:mathPr>
  <w:themeFontLang w:val="en-US"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A991600"/>
  <w14:defaultImageDpi w14:val="300"/>
  <w15:docId w15:val="{F832FE7A-EBF5-463E-BBCC-0E3C928D0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911A8"/>
    <w:pPr>
      <w:ind w:left="720"/>
      <w:contextualSpacing/>
    </w:pPr>
  </w:style>
  <w:style w:type="paragraph" w:styleId="FootnoteText">
    <w:name w:val="footnote text"/>
    <w:basedOn w:val="Normal"/>
    <w:link w:val="FootnoteTextChar"/>
    <w:uiPriority w:val="99"/>
    <w:unhideWhenUsed/>
    <w:rsid w:val="00F00A29"/>
  </w:style>
  <w:style w:type="character" w:customStyle="1" w:styleId="FootnoteTextChar">
    <w:name w:val="Footnote Text Char"/>
    <w:basedOn w:val="DefaultParagraphFont"/>
    <w:link w:val="FootnoteText"/>
    <w:uiPriority w:val="99"/>
    <w:rsid w:val="00F00A29"/>
  </w:style>
  <w:style w:type="character" w:styleId="FootnoteReference">
    <w:name w:val="footnote reference"/>
    <w:basedOn w:val="DefaultParagraphFont"/>
    <w:uiPriority w:val="99"/>
    <w:unhideWhenUsed/>
    <w:rsid w:val="00F00A29"/>
    <w:rPr>
      <w:vertAlign w:val="superscript"/>
    </w:rPr>
  </w:style>
  <w:style w:type="paragraph" w:styleId="Header">
    <w:name w:val="header"/>
    <w:basedOn w:val="Normal"/>
    <w:link w:val="HeaderChar"/>
    <w:uiPriority w:val="99"/>
    <w:unhideWhenUsed/>
    <w:rsid w:val="00AC3E32"/>
    <w:pPr>
      <w:tabs>
        <w:tab w:val="center" w:pos="4320"/>
        <w:tab w:val="right" w:pos="8640"/>
      </w:tabs>
    </w:pPr>
  </w:style>
  <w:style w:type="character" w:customStyle="1" w:styleId="HeaderChar">
    <w:name w:val="Header Char"/>
    <w:basedOn w:val="DefaultParagraphFont"/>
    <w:link w:val="Header"/>
    <w:uiPriority w:val="99"/>
    <w:rsid w:val="00AC3E32"/>
  </w:style>
  <w:style w:type="paragraph" w:styleId="Footer">
    <w:name w:val="footer"/>
    <w:basedOn w:val="Normal"/>
    <w:link w:val="FooterChar"/>
    <w:uiPriority w:val="99"/>
    <w:unhideWhenUsed/>
    <w:rsid w:val="00AC3E32"/>
    <w:pPr>
      <w:tabs>
        <w:tab w:val="center" w:pos="4320"/>
        <w:tab w:val="right" w:pos="8640"/>
      </w:tabs>
    </w:pPr>
  </w:style>
  <w:style w:type="character" w:customStyle="1" w:styleId="FooterChar">
    <w:name w:val="Footer Char"/>
    <w:basedOn w:val="DefaultParagraphFont"/>
    <w:link w:val="Footer"/>
    <w:uiPriority w:val="99"/>
    <w:rsid w:val="00AC3E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3864413">
      <w:bodyDiv w:val="1"/>
      <w:marLeft w:val="0"/>
      <w:marRight w:val="0"/>
      <w:marTop w:val="0"/>
      <w:marBottom w:val="0"/>
      <w:divBdr>
        <w:top w:val="none" w:sz="0" w:space="0" w:color="auto"/>
        <w:left w:val="none" w:sz="0" w:space="0" w:color="auto"/>
        <w:bottom w:val="none" w:sz="0" w:space="0" w:color="auto"/>
        <w:right w:val="none" w:sz="0" w:space="0" w:color="auto"/>
      </w:divBdr>
      <w:divsChild>
        <w:div w:id="1092630125">
          <w:marLeft w:val="0"/>
          <w:marRight w:val="0"/>
          <w:marTop w:val="75"/>
          <w:marBottom w:val="75"/>
          <w:divBdr>
            <w:top w:val="none" w:sz="0" w:space="0" w:color="auto"/>
            <w:left w:val="none" w:sz="0" w:space="0" w:color="auto"/>
            <w:bottom w:val="none" w:sz="0" w:space="0" w:color="auto"/>
            <w:right w:val="none" w:sz="0" w:space="0" w:color="auto"/>
          </w:divBdr>
        </w:div>
        <w:div w:id="84083860">
          <w:marLeft w:val="0"/>
          <w:marRight w:val="0"/>
          <w:marTop w:val="0"/>
          <w:marBottom w:val="0"/>
          <w:divBdr>
            <w:top w:val="none" w:sz="0" w:space="0" w:color="auto"/>
            <w:left w:val="none" w:sz="0" w:space="0" w:color="auto"/>
            <w:bottom w:val="none" w:sz="0" w:space="0" w:color="auto"/>
            <w:right w:val="none" w:sz="0" w:space="0" w:color="auto"/>
          </w:divBdr>
          <w:divsChild>
            <w:div w:id="47083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6508182">
      <w:bodyDiv w:val="1"/>
      <w:marLeft w:val="0"/>
      <w:marRight w:val="0"/>
      <w:marTop w:val="0"/>
      <w:marBottom w:val="0"/>
      <w:divBdr>
        <w:top w:val="none" w:sz="0" w:space="0" w:color="auto"/>
        <w:left w:val="none" w:sz="0" w:space="0" w:color="auto"/>
        <w:bottom w:val="none" w:sz="0" w:space="0" w:color="auto"/>
        <w:right w:val="none" w:sz="0" w:space="0" w:color="auto"/>
      </w:divBdr>
      <w:divsChild>
        <w:div w:id="1357847813">
          <w:marLeft w:val="0"/>
          <w:marRight w:val="0"/>
          <w:marTop w:val="150"/>
          <w:marBottom w:val="150"/>
          <w:divBdr>
            <w:top w:val="none" w:sz="0" w:space="0" w:color="auto"/>
            <w:left w:val="none" w:sz="0" w:space="0" w:color="auto"/>
            <w:bottom w:val="none" w:sz="0" w:space="0" w:color="auto"/>
            <w:right w:val="none" w:sz="0" w:space="0" w:color="auto"/>
          </w:divBdr>
        </w:div>
      </w:divsChild>
    </w:div>
    <w:div w:id="871310494">
      <w:bodyDiv w:val="1"/>
      <w:marLeft w:val="0"/>
      <w:marRight w:val="0"/>
      <w:marTop w:val="0"/>
      <w:marBottom w:val="0"/>
      <w:divBdr>
        <w:top w:val="none" w:sz="0" w:space="0" w:color="auto"/>
        <w:left w:val="none" w:sz="0" w:space="0" w:color="auto"/>
        <w:bottom w:val="none" w:sz="0" w:space="0" w:color="auto"/>
        <w:right w:val="none" w:sz="0" w:space="0" w:color="auto"/>
      </w:divBdr>
    </w:div>
    <w:div w:id="1466966596">
      <w:bodyDiv w:val="1"/>
      <w:marLeft w:val="0"/>
      <w:marRight w:val="0"/>
      <w:marTop w:val="0"/>
      <w:marBottom w:val="0"/>
      <w:divBdr>
        <w:top w:val="none" w:sz="0" w:space="0" w:color="auto"/>
        <w:left w:val="none" w:sz="0" w:space="0" w:color="auto"/>
        <w:bottom w:val="none" w:sz="0" w:space="0" w:color="auto"/>
        <w:right w:val="none" w:sz="0" w:space="0" w:color="auto"/>
      </w:divBdr>
    </w:div>
    <w:div w:id="1642424604">
      <w:bodyDiv w:val="1"/>
      <w:marLeft w:val="0"/>
      <w:marRight w:val="0"/>
      <w:marTop w:val="0"/>
      <w:marBottom w:val="0"/>
      <w:divBdr>
        <w:top w:val="none" w:sz="0" w:space="0" w:color="auto"/>
        <w:left w:val="none" w:sz="0" w:space="0" w:color="auto"/>
        <w:bottom w:val="none" w:sz="0" w:space="0" w:color="auto"/>
        <w:right w:val="none" w:sz="0" w:space="0" w:color="auto"/>
      </w:divBdr>
    </w:div>
    <w:div w:id="1712728070">
      <w:bodyDiv w:val="1"/>
      <w:marLeft w:val="0"/>
      <w:marRight w:val="0"/>
      <w:marTop w:val="0"/>
      <w:marBottom w:val="0"/>
      <w:divBdr>
        <w:top w:val="none" w:sz="0" w:space="0" w:color="auto"/>
        <w:left w:val="none" w:sz="0" w:space="0" w:color="auto"/>
        <w:bottom w:val="none" w:sz="0" w:space="0" w:color="auto"/>
        <w:right w:val="none" w:sz="0" w:space="0" w:color="auto"/>
      </w:divBdr>
    </w:div>
    <w:div w:id="2094012965">
      <w:bodyDiv w:val="1"/>
      <w:marLeft w:val="0"/>
      <w:marRight w:val="0"/>
      <w:marTop w:val="0"/>
      <w:marBottom w:val="0"/>
      <w:divBdr>
        <w:top w:val="none" w:sz="0" w:space="0" w:color="auto"/>
        <w:left w:val="none" w:sz="0" w:space="0" w:color="auto"/>
        <w:bottom w:val="none" w:sz="0" w:space="0" w:color="auto"/>
        <w:right w:val="none" w:sz="0" w:space="0" w:color="auto"/>
      </w:divBdr>
      <w:divsChild>
        <w:div w:id="335352382">
          <w:marLeft w:val="0"/>
          <w:marRight w:val="0"/>
          <w:marTop w:val="0"/>
          <w:marBottom w:val="0"/>
          <w:divBdr>
            <w:top w:val="none" w:sz="0" w:space="0" w:color="auto"/>
            <w:left w:val="none" w:sz="0" w:space="0" w:color="auto"/>
            <w:bottom w:val="none" w:sz="0" w:space="0" w:color="auto"/>
            <w:right w:val="none" w:sz="0" w:space="0" w:color="auto"/>
          </w:divBdr>
        </w:div>
        <w:div w:id="1778795961">
          <w:marLeft w:val="0"/>
          <w:marRight w:val="0"/>
          <w:marTop w:val="0"/>
          <w:marBottom w:val="0"/>
          <w:divBdr>
            <w:top w:val="none" w:sz="0" w:space="0" w:color="auto"/>
            <w:left w:val="none" w:sz="0" w:space="0" w:color="auto"/>
            <w:bottom w:val="none" w:sz="0" w:space="0" w:color="auto"/>
            <w:right w:val="none" w:sz="0" w:space="0" w:color="auto"/>
          </w:divBdr>
        </w:div>
        <w:div w:id="1705668385">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5651</TotalTime>
  <Pages>15</Pages>
  <Words>7495</Words>
  <Characters>42724</Characters>
  <Application>Microsoft Office Word</Application>
  <DocSecurity>0</DocSecurity>
  <Lines>356</Lines>
  <Paragraphs>100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Kovacs</dc:creator>
  <cp:keywords/>
  <dc:description/>
  <cp:lastModifiedBy>David Kovacs</cp:lastModifiedBy>
  <cp:revision>747</cp:revision>
  <dcterms:created xsi:type="dcterms:W3CDTF">2021-04-24T16:18:00Z</dcterms:created>
  <dcterms:modified xsi:type="dcterms:W3CDTF">2023-09-02T12:00:00Z</dcterms:modified>
</cp:coreProperties>
</file>