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62" w:rsidRPr="007A7A62" w:rsidRDefault="007A7A62" w:rsidP="00A849A9">
      <w:pPr>
        <w:spacing w:after="0" w:line="360" w:lineRule="auto"/>
        <w:ind w:right="567" w:firstLine="284"/>
        <w:jc w:val="center"/>
        <w:rPr>
          <w:b/>
          <w:bCs/>
          <w:i/>
          <w:color w:val="FF0000"/>
          <w:lang w:val="en-US"/>
        </w:rPr>
      </w:pPr>
      <w:bookmarkStart w:id="0" w:name="_GoBack"/>
      <w:bookmarkEnd w:id="0"/>
      <w:r w:rsidRPr="007A7A62">
        <w:rPr>
          <w:b/>
          <w:bCs/>
          <w:i/>
          <w:color w:val="FF0000"/>
          <w:lang w:val="en-US"/>
        </w:rPr>
        <w:t>Penultimate Draft</w:t>
      </w:r>
    </w:p>
    <w:p w:rsidR="007A7A62" w:rsidRDefault="007A7A62" w:rsidP="00A849A9">
      <w:pPr>
        <w:spacing w:after="0" w:line="360" w:lineRule="auto"/>
        <w:ind w:right="567" w:firstLine="284"/>
        <w:jc w:val="center"/>
        <w:rPr>
          <w:i/>
          <w:lang w:val="en-US"/>
        </w:rPr>
      </w:pPr>
    </w:p>
    <w:p w:rsidR="00ED0F12" w:rsidRPr="00DD0BD7" w:rsidRDefault="00ED0F12" w:rsidP="00A849A9">
      <w:pPr>
        <w:spacing w:after="0" w:line="360" w:lineRule="auto"/>
        <w:ind w:right="567" w:firstLine="284"/>
        <w:jc w:val="center"/>
        <w:rPr>
          <w:i/>
          <w:lang w:val="en-US"/>
        </w:rPr>
      </w:pPr>
      <w:r w:rsidRPr="00DD0BD7">
        <w:rPr>
          <w:i/>
          <w:lang w:val="en-US"/>
        </w:rPr>
        <w:t xml:space="preserve">Summa </w:t>
      </w:r>
      <w:r w:rsidR="00524AD3" w:rsidRPr="00DD0BD7">
        <w:rPr>
          <w:i/>
          <w:lang w:val="en-US"/>
        </w:rPr>
        <w:t xml:space="preserve">Contra </w:t>
      </w:r>
      <w:proofErr w:type="spellStart"/>
      <w:r w:rsidR="00524AD3" w:rsidRPr="00DD0BD7">
        <w:rPr>
          <w:i/>
          <w:lang w:val="en-US"/>
        </w:rPr>
        <w:t>Scepticos</w:t>
      </w:r>
      <w:proofErr w:type="spellEnd"/>
    </w:p>
    <w:p w:rsidR="00ED0F12" w:rsidRDefault="00ED0F12" w:rsidP="00A849A9">
      <w:pPr>
        <w:spacing w:after="0" w:line="360" w:lineRule="auto"/>
        <w:ind w:right="567" w:firstLine="284"/>
        <w:rPr>
          <w:lang w:val="en-US"/>
        </w:rPr>
      </w:pPr>
    </w:p>
    <w:p w:rsidR="00DD0BD7" w:rsidRDefault="00DD0BD7" w:rsidP="00D051B7">
      <w:pPr>
        <w:spacing w:after="0" w:line="360" w:lineRule="auto"/>
        <w:ind w:right="567"/>
        <w:rPr>
          <w:lang w:val="en-US"/>
        </w:rPr>
      </w:pPr>
      <w:r w:rsidRPr="00A375E1">
        <w:rPr>
          <w:lang w:val="en-US"/>
        </w:rPr>
        <w:t xml:space="preserve">Critical Notice of: Duncan Pritchard, </w:t>
      </w:r>
      <w:r w:rsidRPr="00DD0BD7">
        <w:rPr>
          <w:i/>
          <w:lang w:val="en-US"/>
        </w:rPr>
        <w:t>Epistemic Angst: Radical Skepticism and the Groundlessness of Our Believing</w:t>
      </w:r>
      <w:r w:rsidRPr="00A375E1">
        <w:rPr>
          <w:lang w:val="en-US"/>
        </w:rPr>
        <w:t xml:space="preserve"> (Soochow University Lectures in Philosophy), Princeton and Oxford: Princeton University Press, 2016. ISBN 978-0-691-16723-7. 239pp. </w:t>
      </w:r>
    </w:p>
    <w:p w:rsidR="00DD0BD7" w:rsidRDefault="00DD0BD7" w:rsidP="00D051B7">
      <w:pPr>
        <w:spacing w:after="0" w:line="360" w:lineRule="auto"/>
        <w:ind w:right="567"/>
        <w:rPr>
          <w:lang w:val="en-US"/>
        </w:rPr>
      </w:pPr>
    </w:p>
    <w:p w:rsidR="00D051B7" w:rsidRDefault="00D051B7" w:rsidP="00D051B7">
      <w:pPr>
        <w:spacing w:after="0" w:line="360" w:lineRule="auto"/>
        <w:ind w:right="567"/>
        <w:rPr>
          <w:lang w:val="en-US"/>
        </w:rPr>
      </w:pPr>
      <w:r w:rsidRPr="00DD0BD7">
        <w:rPr>
          <w:i/>
          <w:lang w:val="en-US"/>
        </w:rPr>
        <w:t>Keywords</w:t>
      </w:r>
      <w:r>
        <w:rPr>
          <w:lang w:val="en-US"/>
        </w:rPr>
        <w:t xml:space="preserve">: epistemic skepticism, hinge epistemology, epistemic </w:t>
      </w:r>
      <w:proofErr w:type="spellStart"/>
      <w:r>
        <w:rPr>
          <w:lang w:val="en-US"/>
        </w:rPr>
        <w:t>disjunctivism</w:t>
      </w:r>
      <w:proofErr w:type="spellEnd"/>
      <w:r>
        <w:rPr>
          <w:lang w:val="en-US"/>
        </w:rPr>
        <w:t>, Duncan Pritchard, Ludwig Wittgenstein</w:t>
      </w:r>
    </w:p>
    <w:p w:rsidR="00D051B7" w:rsidRDefault="00D051B7" w:rsidP="00D051B7">
      <w:pPr>
        <w:spacing w:after="0" w:line="360" w:lineRule="auto"/>
        <w:ind w:right="567"/>
        <w:rPr>
          <w:lang w:val="en-US"/>
        </w:rPr>
      </w:pPr>
    </w:p>
    <w:p w:rsidR="006D0B65" w:rsidRDefault="00D051B7" w:rsidP="00D051B7">
      <w:pPr>
        <w:spacing w:after="0" w:line="360" w:lineRule="auto"/>
        <w:ind w:right="567"/>
        <w:rPr>
          <w:lang w:val="en-US"/>
        </w:rPr>
      </w:pPr>
      <w:r w:rsidRPr="00DD0BD7">
        <w:rPr>
          <w:i/>
          <w:lang w:val="en-US"/>
        </w:rPr>
        <w:t>Abstract</w:t>
      </w:r>
      <w:r>
        <w:rPr>
          <w:lang w:val="en-US"/>
        </w:rPr>
        <w:t xml:space="preserve">: This </w:t>
      </w:r>
      <w:r w:rsidR="00DD0BD7">
        <w:rPr>
          <w:lang w:val="en-US"/>
        </w:rPr>
        <w:t>critical notice</w:t>
      </w:r>
      <w:r>
        <w:rPr>
          <w:lang w:val="en-US"/>
        </w:rPr>
        <w:t xml:space="preserve"> </w:t>
      </w:r>
      <w:r w:rsidR="00DD0BD7">
        <w:rPr>
          <w:lang w:val="en-US"/>
        </w:rPr>
        <w:t>concerns</w:t>
      </w:r>
      <w:r>
        <w:rPr>
          <w:lang w:val="en-US"/>
        </w:rPr>
        <w:t xml:space="preserve"> Duncan Pritchard’s </w:t>
      </w:r>
      <w:r w:rsidRPr="00DD0BD7">
        <w:rPr>
          <w:i/>
          <w:lang w:val="en-US"/>
        </w:rPr>
        <w:t>Epistemic Angst</w:t>
      </w:r>
      <w:r>
        <w:rPr>
          <w:lang w:val="en-US"/>
        </w:rPr>
        <w:t xml:space="preserve"> (2016). After a summary of the book, I offer some brief critical comments on five issues: the distinction between overriding and undercutting strategies against skepticism, epistemic relativism, foundationalist hinge epistemology, the relationship between hinge propositions and evidence, and the universality of rational evaluation.</w:t>
      </w:r>
    </w:p>
    <w:p w:rsidR="006D0B65" w:rsidRDefault="006D0B65" w:rsidP="00A849A9">
      <w:pPr>
        <w:spacing w:after="0" w:line="360" w:lineRule="auto"/>
        <w:ind w:right="567" w:firstLine="284"/>
        <w:rPr>
          <w:lang w:val="en-US"/>
        </w:rPr>
      </w:pPr>
    </w:p>
    <w:p w:rsidR="005F7158" w:rsidRPr="00A375E1" w:rsidRDefault="006C247F" w:rsidP="00777F87">
      <w:pPr>
        <w:spacing w:after="0" w:line="360" w:lineRule="auto"/>
        <w:ind w:right="567"/>
        <w:rPr>
          <w:lang w:val="en-US"/>
        </w:rPr>
      </w:pPr>
      <w:r w:rsidRPr="00DD0BD7">
        <w:rPr>
          <w:i/>
          <w:lang w:val="en-US"/>
        </w:rPr>
        <w:t>Epistemic Angst</w:t>
      </w:r>
      <w:r w:rsidRPr="00A375E1">
        <w:rPr>
          <w:i/>
          <w:lang w:val="en-US"/>
        </w:rPr>
        <w:t xml:space="preserve"> </w:t>
      </w:r>
      <w:r w:rsidRPr="00A375E1">
        <w:rPr>
          <w:lang w:val="en-US"/>
        </w:rPr>
        <w:t>is Duncan Pritchard</w:t>
      </w:r>
      <w:r w:rsidR="001339D1" w:rsidRPr="00A375E1">
        <w:rPr>
          <w:lang w:val="en-US"/>
        </w:rPr>
        <w:t>’s</w:t>
      </w:r>
      <w:r w:rsidRPr="00A375E1">
        <w:rPr>
          <w:lang w:val="en-US"/>
        </w:rPr>
        <w:t xml:space="preserve"> </w:t>
      </w:r>
      <w:r w:rsidR="008264E1" w:rsidRPr="00A375E1">
        <w:rPr>
          <w:lang w:val="en-US"/>
        </w:rPr>
        <w:t>to</w:t>
      </w:r>
      <w:r w:rsidR="001339D1" w:rsidRPr="00A375E1">
        <w:rPr>
          <w:lang w:val="en-US"/>
        </w:rPr>
        <w:t>-</w:t>
      </w:r>
      <w:r w:rsidR="008264E1" w:rsidRPr="00A375E1">
        <w:rPr>
          <w:lang w:val="en-US"/>
        </w:rPr>
        <w:t xml:space="preserve">date most </w:t>
      </w:r>
      <w:r w:rsidR="00777F87" w:rsidRPr="00A375E1">
        <w:rPr>
          <w:lang w:val="en-US"/>
        </w:rPr>
        <w:t xml:space="preserve">comprehensive </w:t>
      </w:r>
      <w:r w:rsidRPr="00A375E1">
        <w:rPr>
          <w:lang w:val="en-US"/>
        </w:rPr>
        <w:t xml:space="preserve">attempt to </w:t>
      </w:r>
      <w:r w:rsidR="00777F87" w:rsidRPr="00A375E1">
        <w:rPr>
          <w:lang w:val="en-US"/>
        </w:rPr>
        <w:t>def</w:t>
      </w:r>
      <w:r w:rsidR="003862E8" w:rsidRPr="00A375E1">
        <w:rPr>
          <w:lang w:val="en-US"/>
        </w:rPr>
        <w:t>use</w:t>
      </w:r>
      <w:r w:rsidR="006C1376" w:rsidRPr="00A375E1">
        <w:rPr>
          <w:lang w:val="en-US"/>
        </w:rPr>
        <w:t xml:space="preserve"> </w:t>
      </w:r>
      <w:r w:rsidRPr="00A375E1">
        <w:rPr>
          <w:lang w:val="en-US"/>
        </w:rPr>
        <w:t>Cartesian epistemic skepticism</w:t>
      </w:r>
      <w:r w:rsidR="00777F87" w:rsidRPr="00A375E1">
        <w:rPr>
          <w:lang w:val="en-US"/>
        </w:rPr>
        <w:t xml:space="preserve"> (=</w:t>
      </w:r>
      <w:r w:rsidR="00777F87" w:rsidRPr="00DD0BD7">
        <w:rPr>
          <w:i/>
          <w:lang w:val="en-US"/>
        </w:rPr>
        <w:t>ES</w:t>
      </w:r>
      <w:r w:rsidR="00777F87" w:rsidRPr="00A375E1">
        <w:rPr>
          <w:lang w:val="en-US"/>
        </w:rPr>
        <w:t>)</w:t>
      </w:r>
      <w:r w:rsidRPr="00A375E1">
        <w:rPr>
          <w:lang w:val="en-US"/>
        </w:rPr>
        <w:t xml:space="preserve">. The argument builds on </w:t>
      </w:r>
      <w:r w:rsidR="00F45DDF" w:rsidRPr="00A375E1">
        <w:rPr>
          <w:lang w:val="en-US"/>
        </w:rPr>
        <w:t xml:space="preserve">Pritchard’s </w:t>
      </w:r>
      <w:r w:rsidRPr="00A375E1">
        <w:rPr>
          <w:lang w:val="en-US"/>
        </w:rPr>
        <w:t xml:space="preserve">more than sixty previous publications on the same </w:t>
      </w:r>
      <w:r w:rsidR="00F45DDF" w:rsidRPr="00A375E1">
        <w:rPr>
          <w:lang w:val="en-US"/>
        </w:rPr>
        <w:t xml:space="preserve">general </w:t>
      </w:r>
      <w:r w:rsidRPr="00A375E1">
        <w:rPr>
          <w:lang w:val="en-US"/>
        </w:rPr>
        <w:t>topic</w:t>
      </w:r>
      <w:r w:rsidR="00091ED7" w:rsidRPr="00A375E1">
        <w:rPr>
          <w:lang w:val="en-US"/>
        </w:rPr>
        <w:t>.</w:t>
      </w:r>
      <w:r w:rsidRPr="00A375E1">
        <w:rPr>
          <w:lang w:val="en-US"/>
        </w:rPr>
        <w:t xml:space="preserve"> </w:t>
      </w:r>
      <w:r w:rsidR="005F7158" w:rsidRPr="00A375E1">
        <w:rPr>
          <w:lang w:val="en-US"/>
        </w:rPr>
        <w:t xml:space="preserve">Given limitations of space, this critical notice will </w:t>
      </w:r>
      <w:r w:rsidR="00777F87" w:rsidRPr="00A375E1">
        <w:rPr>
          <w:lang w:val="en-US"/>
        </w:rPr>
        <w:t xml:space="preserve">nevertheless </w:t>
      </w:r>
      <w:r w:rsidR="005F7158" w:rsidRPr="00A375E1">
        <w:rPr>
          <w:lang w:val="en-US"/>
        </w:rPr>
        <w:t xml:space="preserve">focus on </w:t>
      </w:r>
      <w:r w:rsidR="005F7158" w:rsidRPr="00DD0BD7">
        <w:rPr>
          <w:i/>
          <w:lang w:val="en-US"/>
        </w:rPr>
        <w:t>E</w:t>
      </w:r>
      <w:r w:rsidR="0055693E" w:rsidRPr="00DD0BD7">
        <w:rPr>
          <w:i/>
          <w:lang w:val="en-US"/>
        </w:rPr>
        <w:t xml:space="preserve">pistemic </w:t>
      </w:r>
      <w:r w:rsidR="005F7158" w:rsidRPr="00DD0BD7">
        <w:rPr>
          <w:i/>
          <w:lang w:val="en-US"/>
        </w:rPr>
        <w:t>A</w:t>
      </w:r>
      <w:r w:rsidR="0055693E" w:rsidRPr="00DD0BD7">
        <w:rPr>
          <w:i/>
          <w:lang w:val="en-US"/>
        </w:rPr>
        <w:t>ngst</w:t>
      </w:r>
      <w:r w:rsidR="005F7158" w:rsidRPr="00A375E1">
        <w:rPr>
          <w:lang w:val="en-US"/>
        </w:rPr>
        <w:t xml:space="preserve"> alone. I shall also confine myself to a discussion of Pritchard’s own </w:t>
      </w:r>
      <w:r w:rsidR="00191244" w:rsidRPr="00A375E1">
        <w:rPr>
          <w:lang w:val="en-US"/>
        </w:rPr>
        <w:t>position</w:t>
      </w:r>
      <w:r w:rsidR="005F7158" w:rsidRPr="00A375E1">
        <w:rPr>
          <w:lang w:val="en-US"/>
        </w:rPr>
        <w:t>, leav</w:t>
      </w:r>
      <w:r w:rsidR="00777F87" w:rsidRPr="00A375E1">
        <w:rPr>
          <w:lang w:val="en-US"/>
        </w:rPr>
        <w:t>ing</w:t>
      </w:r>
      <w:r w:rsidR="005F7158" w:rsidRPr="00A375E1">
        <w:rPr>
          <w:lang w:val="en-US"/>
        </w:rPr>
        <w:t xml:space="preserve"> aside his criticisms of other </w:t>
      </w:r>
      <w:r w:rsidR="006C1376" w:rsidRPr="00A375E1">
        <w:rPr>
          <w:lang w:val="en-US"/>
        </w:rPr>
        <w:t>view</w:t>
      </w:r>
      <w:r w:rsidR="005F7158" w:rsidRPr="00A375E1">
        <w:rPr>
          <w:lang w:val="en-US"/>
        </w:rPr>
        <w:t>s.</w:t>
      </w:r>
    </w:p>
    <w:p w:rsidR="00777F87" w:rsidRPr="00A375E1" w:rsidRDefault="00777F87" w:rsidP="00777F87">
      <w:pPr>
        <w:spacing w:after="0" w:line="360" w:lineRule="auto"/>
        <w:ind w:right="567"/>
        <w:rPr>
          <w:lang w:val="en-US"/>
        </w:rPr>
      </w:pPr>
    </w:p>
    <w:p w:rsidR="00777F87" w:rsidRPr="00DD0BD7" w:rsidRDefault="00777F87" w:rsidP="00F86877">
      <w:pPr>
        <w:pStyle w:val="ListParagraph"/>
        <w:numPr>
          <w:ilvl w:val="0"/>
          <w:numId w:val="4"/>
        </w:numPr>
        <w:spacing w:after="0" w:line="360" w:lineRule="auto"/>
        <w:ind w:right="567"/>
        <w:jc w:val="center"/>
        <w:rPr>
          <w:i/>
          <w:lang w:val="en-US"/>
        </w:rPr>
      </w:pPr>
      <w:r w:rsidRPr="00DD0BD7">
        <w:rPr>
          <w:i/>
          <w:lang w:val="en-US"/>
        </w:rPr>
        <w:t>Two Kinds of External-World Skepticism</w:t>
      </w:r>
    </w:p>
    <w:p w:rsidR="00777F87" w:rsidRPr="00A375E1" w:rsidRDefault="00777F87" w:rsidP="00777F87">
      <w:pPr>
        <w:spacing w:after="0" w:line="360" w:lineRule="auto"/>
        <w:ind w:right="567"/>
        <w:rPr>
          <w:lang w:val="en-US"/>
        </w:rPr>
      </w:pPr>
    </w:p>
    <w:p w:rsidR="00091ED7" w:rsidRPr="00A375E1" w:rsidRDefault="00C37619" w:rsidP="00BB1621">
      <w:pPr>
        <w:spacing w:after="0" w:line="360" w:lineRule="auto"/>
        <w:ind w:right="567"/>
        <w:rPr>
          <w:lang w:val="en-US"/>
        </w:rPr>
      </w:pPr>
      <w:r w:rsidRPr="00A375E1">
        <w:rPr>
          <w:lang w:val="en-US"/>
        </w:rPr>
        <w:t xml:space="preserve">The argument of </w:t>
      </w:r>
      <w:r w:rsidR="0055693E" w:rsidRPr="00DD0BD7">
        <w:rPr>
          <w:i/>
          <w:lang w:val="en-US"/>
        </w:rPr>
        <w:t>Epistemic Angst</w:t>
      </w:r>
      <w:r w:rsidRPr="00A375E1">
        <w:rPr>
          <w:lang w:val="en-US"/>
        </w:rPr>
        <w:t xml:space="preserve"> is structured around a number of </w:t>
      </w:r>
      <w:r w:rsidR="00110F67" w:rsidRPr="00A375E1">
        <w:rPr>
          <w:lang w:val="en-US"/>
        </w:rPr>
        <w:t xml:space="preserve">binary distinctions. The first </w:t>
      </w:r>
      <w:r w:rsidR="008264E1" w:rsidRPr="00A375E1">
        <w:rPr>
          <w:lang w:val="en-US"/>
        </w:rPr>
        <w:t xml:space="preserve">contrasts </w:t>
      </w:r>
      <w:r w:rsidR="00110F67" w:rsidRPr="00A375E1">
        <w:rPr>
          <w:lang w:val="en-US"/>
        </w:rPr>
        <w:t xml:space="preserve">two types of </w:t>
      </w:r>
      <w:r w:rsidR="00524AD3" w:rsidRPr="00A375E1">
        <w:rPr>
          <w:lang w:val="en-US"/>
        </w:rPr>
        <w:t>e</w:t>
      </w:r>
      <w:r w:rsidR="00110F67" w:rsidRPr="00A375E1">
        <w:rPr>
          <w:lang w:val="en-US"/>
        </w:rPr>
        <w:t>xternal-world</w:t>
      </w:r>
      <w:r w:rsidR="003862E8" w:rsidRPr="00A375E1">
        <w:rPr>
          <w:lang w:val="en-US"/>
        </w:rPr>
        <w:t xml:space="preserve"> </w:t>
      </w:r>
      <w:r w:rsidR="003862E8" w:rsidRPr="00DD0BD7">
        <w:rPr>
          <w:i/>
          <w:lang w:val="en-US"/>
        </w:rPr>
        <w:t>ES</w:t>
      </w:r>
      <w:r w:rsidR="00777F87" w:rsidRPr="00A375E1">
        <w:rPr>
          <w:lang w:val="en-US"/>
        </w:rPr>
        <w:t xml:space="preserve">, </w:t>
      </w:r>
      <w:r w:rsidR="008264E1" w:rsidRPr="00A375E1">
        <w:rPr>
          <w:lang w:val="en-US"/>
        </w:rPr>
        <w:t xml:space="preserve">or </w:t>
      </w:r>
      <w:r w:rsidR="00DD0BD7">
        <w:rPr>
          <w:lang w:val="en-US"/>
        </w:rPr>
        <w:t>‘</w:t>
      </w:r>
      <w:r w:rsidR="00110F67" w:rsidRPr="00A375E1">
        <w:rPr>
          <w:lang w:val="en-US"/>
        </w:rPr>
        <w:t>brain-in-a-vat</w:t>
      </w:r>
      <w:r w:rsidR="00DD0BD7">
        <w:rPr>
          <w:lang w:val="en-US"/>
        </w:rPr>
        <w:t>’</w:t>
      </w:r>
      <w:r w:rsidR="00110F67" w:rsidRPr="00A375E1">
        <w:rPr>
          <w:lang w:val="en-US"/>
        </w:rPr>
        <w:t xml:space="preserve"> (=</w:t>
      </w:r>
      <w:r w:rsidR="00110F67" w:rsidRPr="00DD0BD7">
        <w:rPr>
          <w:i/>
          <w:lang w:val="en-US"/>
        </w:rPr>
        <w:t>BIV</w:t>
      </w:r>
      <w:r w:rsidR="00110F67" w:rsidRPr="00A375E1">
        <w:rPr>
          <w:lang w:val="en-US"/>
        </w:rPr>
        <w:t>)</w:t>
      </w:r>
      <w:r w:rsidR="003862E8" w:rsidRPr="00A375E1">
        <w:rPr>
          <w:lang w:val="en-US"/>
        </w:rPr>
        <w:t xml:space="preserve"> </w:t>
      </w:r>
      <w:r w:rsidR="00777F87" w:rsidRPr="00DD0BD7">
        <w:rPr>
          <w:i/>
          <w:lang w:val="en-US"/>
        </w:rPr>
        <w:t>ES</w:t>
      </w:r>
      <w:r w:rsidR="00110F67" w:rsidRPr="00A375E1">
        <w:rPr>
          <w:lang w:val="en-US"/>
        </w:rPr>
        <w:t xml:space="preserve">: </w:t>
      </w:r>
      <w:r w:rsidR="00DD0BD7">
        <w:rPr>
          <w:lang w:val="en-US"/>
        </w:rPr>
        <w:t>‘</w:t>
      </w:r>
      <w:r w:rsidR="00110F67" w:rsidRPr="00A375E1">
        <w:rPr>
          <w:lang w:val="en-US"/>
        </w:rPr>
        <w:t>closure-based</w:t>
      </w:r>
      <w:r w:rsidR="00DD0BD7">
        <w:rPr>
          <w:lang w:val="en-US"/>
        </w:rPr>
        <w:t>’</w:t>
      </w:r>
      <w:r w:rsidR="00110F67" w:rsidRPr="00A375E1">
        <w:rPr>
          <w:lang w:val="en-US"/>
        </w:rPr>
        <w:t xml:space="preserve"> and </w:t>
      </w:r>
      <w:r w:rsidR="00DD0BD7">
        <w:rPr>
          <w:lang w:val="en-US"/>
        </w:rPr>
        <w:t>‘</w:t>
      </w:r>
      <w:r w:rsidR="00110F67" w:rsidRPr="00A375E1">
        <w:rPr>
          <w:lang w:val="en-US"/>
        </w:rPr>
        <w:t>underdetermin</w:t>
      </w:r>
      <w:r w:rsidR="0032687B" w:rsidRPr="00A375E1">
        <w:rPr>
          <w:lang w:val="en-US"/>
        </w:rPr>
        <w:t>a</w:t>
      </w:r>
      <w:r w:rsidR="00110F67" w:rsidRPr="00A375E1">
        <w:rPr>
          <w:lang w:val="en-US"/>
        </w:rPr>
        <w:t>tion-based</w:t>
      </w:r>
      <w:r w:rsidR="00DD0BD7">
        <w:rPr>
          <w:lang w:val="en-US"/>
        </w:rPr>
        <w:t>’</w:t>
      </w:r>
      <w:r w:rsidR="00110F67" w:rsidRPr="00A375E1">
        <w:rPr>
          <w:lang w:val="en-US"/>
        </w:rPr>
        <w:t xml:space="preserve"> </w:t>
      </w:r>
      <w:r w:rsidR="00777F87" w:rsidRPr="00DD0BD7">
        <w:rPr>
          <w:i/>
          <w:lang w:val="en-US"/>
        </w:rPr>
        <w:t>ES</w:t>
      </w:r>
      <w:r w:rsidR="00110F67" w:rsidRPr="00A375E1">
        <w:rPr>
          <w:lang w:val="en-US"/>
        </w:rPr>
        <w:t xml:space="preserve">. </w:t>
      </w:r>
      <w:r w:rsidR="00191244" w:rsidRPr="00A375E1">
        <w:rPr>
          <w:lang w:val="en-US"/>
        </w:rPr>
        <w:t>R</w:t>
      </w:r>
      <w:r w:rsidR="0032687B" w:rsidRPr="00A375E1">
        <w:rPr>
          <w:lang w:val="en-US"/>
        </w:rPr>
        <w:t>oughly, the former insists that</w:t>
      </w:r>
      <w:r w:rsidR="00091ED7" w:rsidRPr="00A375E1">
        <w:rPr>
          <w:lang w:val="en-US"/>
        </w:rPr>
        <w:t>,</w:t>
      </w:r>
      <w:r w:rsidR="0032687B" w:rsidRPr="00A375E1">
        <w:rPr>
          <w:lang w:val="en-US"/>
        </w:rPr>
        <w:t xml:space="preserve"> since knowledge is closed under </w:t>
      </w:r>
      <w:r w:rsidR="00B73A00" w:rsidRPr="00A375E1">
        <w:rPr>
          <w:lang w:val="en-US"/>
        </w:rPr>
        <w:t xml:space="preserve">(known) </w:t>
      </w:r>
      <w:r w:rsidR="0032687B" w:rsidRPr="00A375E1">
        <w:rPr>
          <w:lang w:val="en-US"/>
        </w:rPr>
        <w:t xml:space="preserve">entailment, you </w:t>
      </w:r>
      <w:r w:rsidR="00110F67" w:rsidRPr="00A375E1">
        <w:rPr>
          <w:lang w:val="en-US"/>
        </w:rPr>
        <w:t xml:space="preserve">can only </w:t>
      </w:r>
      <w:r w:rsidR="008264E1" w:rsidRPr="00A375E1">
        <w:rPr>
          <w:lang w:val="en-US"/>
        </w:rPr>
        <w:t>know</w:t>
      </w:r>
      <w:r w:rsidR="00191244" w:rsidRPr="00A375E1">
        <w:rPr>
          <w:lang w:val="en-US"/>
        </w:rPr>
        <w:t>, say,</w:t>
      </w:r>
      <w:r w:rsidR="00110F67" w:rsidRPr="00A375E1">
        <w:rPr>
          <w:lang w:val="en-US"/>
        </w:rPr>
        <w:t xml:space="preserve"> </w:t>
      </w:r>
      <w:r w:rsidR="008264E1" w:rsidRPr="00A375E1">
        <w:rPr>
          <w:lang w:val="en-US"/>
        </w:rPr>
        <w:t xml:space="preserve">that you are </w:t>
      </w:r>
      <w:r w:rsidR="00110F67" w:rsidRPr="00A375E1">
        <w:rPr>
          <w:lang w:val="en-US"/>
        </w:rPr>
        <w:t xml:space="preserve">currently reading this </w:t>
      </w:r>
      <w:r w:rsidR="008264E1" w:rsidRPr="00A375E1">
        <w:rPr>
          <w:lang w:val="en-US"/>
        </w:rPr>
        <w:t>essay</w:t>
      </w:r>
      <w:r w:rsidR="00110F67" w:rsidRPr="00A375E1">
        <w:rPr>
          <w:lang w:val="en-US"/>
        </w:rPr>
        <w:t xml:space="preserve"> </w:t>
      </w:r>
      <w:r w:rsidR="0032687B" w:rsidRPr="00A375E1">
        <w:rPr>
          <w:lang w:val="en-US"/>
        </w:rPr>
        <w:t>(=</w:t>
      </w:r>
      <w:r w:rsidR="0032687B" w:rsidRPr="00DD0BD7">
        <w:rPr>
          <w:i/>
          <w:lang w:val="en-US"/>
        </w:rPr>
        <w:t>p</w:t>
      </w:r>
      <w:r w:rsidR="0032687B" w:rsidRPr="00A375E1">
        <w:rPr>
          <w:lang w:val="en-US"/>
        </w:rPr>
        <w:t>)</w:t>
      </w:r>
      <w:r w:rsidR="003B6EE1" w:rsidRPr="00A375E1">
        <w:rPr>
          <w:lang w:val="en-US"/>
        </w:rPr>
        <w:t>,</w:t>
      </w:r>
      <w:r w:rsidR="0032687B" w:rsidRPr="00A375E1">
        <w:rPr>
          <w:lang w:val="en-US"/>
        </w:rPr>
        <w:t xml:space="preserve"> </w:t>
      </w:r>
      <w:r w:rsidR="00110F67" w:rsidRPr="00A375E1">
        <w:rPr>
          <w:lang w:val="en-US"/>
        </w:rPr>
        <w:t xml:space="preserve">if you also know that you are not a </w:t>
      </w:r>
      <w:r w:rsidR="00091ED7" w:rsidRPr="00DD0BD7">
        <w:rPr>
          <w:i/>
          <w:lang w:val="en-US"/>
        </w:rPr>
        <w:t>BIV</w:t>
      </w:r>
      <w:r w:rsidR="00110F67" w:rsidRPr="00A375E1">
        <w:rPr>
          <w:lang w:val="en-US"/>
        </w:rPr>
        <w:t xml:space="preserve">. </w:t>
      </w:r>
      <w:r w:rsidR="00091ED7" w:rsidRPr="00A375E1">
        <w:rPr>
          <w:lang w:val="en-US"/>
        </w:rPr>
        <w:t xml:space="preserve">Alas, you cannot know that you are not a </w:t>
      </w:r>
      <w:r w:rsidR="00091ED7" w:rsidRPr="00DD0BD7">
        <w:rPr>
          <w:i/>
          <w:lang w:val="en-US"/>
        </w:rPr>
        <w:t>BIV</w:t>
      </w:r>
      <w:r w:rsidR="008264E1" w:rsidRPr="00A375E1">
        <w:rPr>
          <w:lang w:val="en-US"/>
        </w:rPr>
        <w:t>;</w:t>
      </w:r>
      <w:r w:rsidR="006C1376" w:rsidRPr="00A375E1">
        <w:rPr>
          <w:lang w:val="en-US"/>
        </w:rPr>
        <w:t xml:space="preserve"> ergo you cannot know </w:t>
      </w:r>
      <w:r w:rsidR="00777F87" w:rsidRPr="00A375E1">
        <w:rPr>
          <w:lang w:val="en-US"/>
        </w:rPr>
        <w:t xml:space="preserve">that </w:t>
      </w:r>
      <w:r w:rsidR="006C1376" w:rsidRPr="00DD0BD7">
        <w:rPr>
          <w:i/>
          <w:lang w:val="en-US"/>
        </w:rPr>
        <w:t>p</w:t>
      </w:r>
      <w:r w:rsidR="006C1376" w:rsidRPr="00A375E1">
        <w:rPr>
          <w:lang w:val="en-US"/>
        </w:rPr>
        <w:t>.</w:t>
      </w:r>
      <w:r w:rsidR="00BB1621" w:rsidRPr="00A375E1">
        <w:rPr>
          <w:lang w:val="en-US"/>
        </w:rPr>
        <w:t xml:space="preserve"> </w:t>
      </w:r>
      <w:r w:rsidR="00091ED7" w:rsidRPr="00A375E1">
        <w:rPr>
          <w:lang w:val="en-US"/>
        </w:rPr>
        <w:t xml:space="preserve">Underdetermination-based skepticism </w:t>
      </w:r>
      <w:r w:rsidR="0032687B" w:rsidRPr="00A375E1">
        <w:rPr>
          <w:lang w:val="en-US"/>
        </w:rPr>
        <w:t xml:space="preserve">holds that you can only </w:t>
      </w:r>
      <w:r w:rsidR="003862E8" w:rsidRPr="00A375E1">
        <w:rPr>
          <w:lang w:val="en-US"/>
        </w:rPr>
        <w:t xml:space="preserve">know </w:t>
      </w:r>
      <w:r w:rsidR="00BB1621" w:rsidRPr="00A375E1">
        <w:rPr>
          <w:lang w:val="en-US"/>
        </w:rPr>
        <w:t xml:space="preserve">that </w:t>
      </w:r>
      <w:r w:rsidR="0032687B" w:rsidRPr="00DD0BD7">
        <w:rPr>
          <w:i/>
          <w:lang w:val="en-US"/>
        </w:rPr>
        <w:t>p</w:t>
      </w:r>
      <w:r w:rsidR="003B6EE1" w:rsidRPr="00A375E1">
        <w:rPr>
          <w:lang w:val="en-US"/>
        </w:rPr>
        <w:t>,</w:t>
      </w:r>
      <w:r w:rsidR="0032687B" w:rsidRPr="00A375E1">
        <w:rPr>
          <w:lang w:val="en-US"/>
        </w:rPr>
        <w:t xml:space="preserve"> if you</w:t>
      </w:r>
      <w:r w:rsidR="005F7158" w:rsidRPr="00A375E1">
        <w:rPr>
          <w:lang w:val="en-US"/>
        </w:rPr>
        <w:t>r</w:t>
      </w:r>
      <w:r w:rsidR="0032687B" w:rsidRPr="00A375E1">
        <w:rPr>
          <w:lang w:val="en-US"/>
        </w:rPr>
        <w:t xml:space="preserve"> evidence for </w:t>
      </w:r>
      <w:r w:rsidR="0032687B" w:rsidRPr="00DD0BD7">
        <w:rPr>
          <w:i/>
          <w:lang w:val="en-US"/>
        </w:rPr>
        <w:t>p</w:t>
      </w:r>
      <w:r w:rsidR="0032687B" w:rsidRPr="00A375E1">
        <w:rPr>
          <w:lang w:val="en-US"/>
        </w:rPr>
        <w:t xml:space="preserve"> is stronger than you</w:t>
      </w:r>
      <w:r w:rsidR="00BD44CB" w:rsidRPr="00A375E1">
        <w:rPr>
          <w:lang w:val="en-US"/>
        </w:rPr>
        <w:t>r</w:t>
      </w:r>
      <w:r w:rsidR="0032687B" w:rsidRPr="00A375E1">
        <w:rPr>
          <w:lang w:val="en-US"/>
        </w:rPr>
        <w:t xml:space="preserve"> evidence for the corresponding </w:t>
      </w:r>
      <w:r w:rsidR="0032687B" w:rsidRPr="00DD0BD7">
        <w:rPr>
          <w:i/>
          <w:lang w:val="en-US"/>
        </w:rPr>
        <w:t>BIV</w:t>
      </w:r>
      <w:r w:rsidR="0032687B" w:rsidRPr="00A375E1">
        <w:rPr>
          <w:lang w:val="en-US"/>
        </w:rPr>
        <w:t xml:space="preserve"> scenario. </w:t>
      </w:r>
      <w:r w:rsidR="00091ED7" w:rsidRPr="00A375E1">
        <w:rPr>
          <w:lang w:val="en-US"/>
        </w:rPr>
        <w:t xml:space="preserve">Alas, your evidence </w:t>
      </w:r>
      <w:r w:rsidR="003B6EE1" w:rsidRPr="00A375E1">
        <w:rPr>
          <w:lang w:val="en-US"/>
        </w:rPr>
        <w:t xml:space="preserve">in both cases is the same; </w:t>
      </w:r>
      <w:r w:rsidR="00091ED7" w:rsidRPr="00A375E1">
        <w:rPr>
          <w:lang w:val="en-US"/>
        </w:rPr>
        <w:t>ergo</w:t>
      </w:r>
      <w:r w:rsidR="006C1376" w:rsidRPr="00A375E1">
        <w:rPr>
          <w:lang w:val="en-US"/>
        </w:rPr>
        <w:t>,</w:t>
      </w:r>
      <w:r w:rsidR="00091ED7" w:rsidRPr="00A375E1">
        <w:rPr>
          <w:lang w:val="en-US"/>
        </w:rPr>
        <w:t xml:space="preserve"> you do not know </w:t>
      </w:r>
      <w:r w:rsidR="003862E8" w:rsidRPr="00A375E1">
        <w:rPr>
          <w:lang w:val="en-US"/>
        </w:rPr>
        <w:t xml:space="preserve">that </w:t>
      </w:r>
      <w:r w:rsidR="00091ED7" w:rsidRPr="00DD0BD7">
        <w:rPr>
          <w:i/>
          <w:lang w:val="en-US"/>
        </w:rPr>
        <w:t>p</w:t>
      </w:r>
      <w:r w:rsidR="00091ED7" w:rsidRPr="00A375E1">
        <w:rPr>
          <w:lang w:val="en-US"/>
        </w:rPr>
        <w:t>.</w:t>
      </w:r>
      <w:r w:rsidR="003B6EE1" w:rsidRPr="00A375E1">
        <w:rPr>
          <w:lang w:val="en-US"/>
        </w:rPr>
        <w:t xml:space="preserve"> </w:t>
      </w:r>
    </w:p>
    <w:p w:rsidR="00957F42" w:rsidRPr="00A375E1" w:rsidRDefault="00957F42" w:rsidP="00A375E1">
      <w:pPr>
        <w:spacing w:after="0" w:line="360" w:lineRule="auto"/>
        <w:ind w:right="567" w:firstLine="284"/>
        <w:rPr>
          <w:lang w:val="en-US"/>
        </w:rPr>
      </w:pPr>
      <w:r w:rsidRPr="00A375E1">
        <w:rPr>
          <w:lang w:val="en-US"/>
        </w:rPr>
        <w:t xml:space="preserve">Pritchard suggests that the two kinds of </w:t>
      </w:r>
      <w:r w:rsidR="003B6EE1" w:rsidRPr="00DD0BD7">
        <w:rPr>
          <w:i/>
          <w:lang w:val="en-US"/>
        </w:rPr>
        <w:t>ES</w:t>
      </w:r>
      <w:r w:rsidRPr="00A375E1">
        <w:rPr>
          <w:lang w:val="en-US"/>
        </w:rPr>
        <w:t xml:space="preserve"> each come with a specific </w:t>
      </w:r>
      <w:r w:rsidR="00BB1621" w:rsidRPr="00A375E1">
        <w:rPr>
          <w:lang w:val="en-US"/>
        </w:rPr>
        <w:t>view</w:t>
      </w:r>
      <w:r w:rsidRPr="00A375E1">
        <w:rPr>
          <w:lang w:val="en-US"/>
        </w:rPr>
        <w:t xml:space="preserve"> about reason and rationality. Closure-based </w:t>
      </w:r>
      <w:r w:rsidR="003B6EE1" w:rsidRPr="00DD0BD7">
        <w:rPr>
          <w:i/>
          <w:lang w:val="en-US"/>
        </w:rPr>
        <w:t>ES</w:t>
      </w:r>
      <w:r w:rsidRPr="00A375E1">
        <w:rPr>
          <w:lang w:val="en-US"/>
        </w:rPr>
        <w:t xml:space="preserve"> is tied to the </w:t>
      </w:r>
      <w:r w:rsidR="00DD0BD7">
        <w:rPr>
          <w:lang w:val="en-US"/>
        </w:rPr>
        <w:t>‘</w:t>
      </w:r>
      <w:r w:rsidRPr="00A375E1">
        <w:rPr>
          <w:lang w:val="en-US"/>
        </w:rPr>
        <w:t>universality of rational evaluation</w:t>
      </w:r>
      <w:r w:rsidR="00DD0BD7">
        <w:rPr>
          <w:lang w:val="en-US"/>
        </w:rPr>
        <w:t>’</w:t>
      </w:r>
      <w:r w:rsidR="00BB1621" w:rsidRPr="00A375E1">
        <w:rPr>
          <w:lang w:val="en-US"/>
        </w:rPr>
        <w:t xml:space="preserve"> thesis</w:t>
      </w:r>
      <w:r w:rsidR="003B6EE1" w:rsidRPr="00A375E1">
        <w:rPr>
          <w:lang w:val="en-US"/>
        </w:rPr>
        <w:t xml:space="preserve">: </w:t>
      </w:r>
      <w:r w:rsidR="00DD0BD7">
        <w:rPr>
          <w:lang w:val="en-US"/>
        </w:rPr>
        <w:t>‘</w:t>
      </w:r>
      <w:r w:rsidRPr="00A375E1">
        <w:rPr>
          <w:lang w:val="en-US"/>
        </w:rPr>
        <w:t xml:space="preserve">there </w:t>
      </w:r>
      <w:r w:rsidRPr="00A375E1">
        <w:rPr>
          <w:lang w:val="en-US"/>
        </w:rPr>
        <w:lastRenderedPageBreak/>
        <w:t>are no in</w:t>
      </w:r>
      <w:r w:rsidR="00932E57" w:rsidRPr="00A375E1">
        <w:rPr>
          <w:lang w:val="en-US"/>
        </w:rPr>
        <w:t>-</w:t>
      </w:r>
      <w:r w:rsidRPr="00A375E1">
        <w:rPr>
          <w:lang w:val="en-US"/>
        </w:rPr>
        <w:t>principle limits on the extent to which our beliefs can be rationally evaluated</w:t>
      </w:r>
      <w:r w:rsidR="00DD0BD7">
        <w:rPr>
          <w:lang w:val="en-US"/>
        </w:rPr>
        <w:t>’</w:t>
      </w:r>
      <w:r w:rsidRPr="00A375E1">
        <w:rPr>
          <w:lang w:val="en-US"/>
        </w:rPr>
        <w:t xml:space="preserve"> (</w:t>
      </w:r>
      <w:r w:rsidR="00D051B7">
        <w:rPr>
          <w:lang w:val="en-US"/>
        </w:rPr>
        <w:t xml:space="preserve">2016: </w:t>
      </w:r>
      <w:r w:rsidR="003B6EE1" w:rsidRPr="00A375E1">
        <w:rPr>
          <w:lang w:val="en-US"/>
        </w:rPr>
        <w:t>3</w:t>
      </w:r>
      <w:r w:rsidRPr="00A375E1">
        <w:rPr>
          <w:lang w:val="en-US"/>
        </w:rPr>
        <w:t xml:space="preserve">). Underdetermination-based skepticism </w:t>
      </w:r>
      <w:r w:rsidR="00BB1621" w:rsidRPr="00A375E1">
        <w:rPr>
          <w:lang w:val="en-US"/>
        </w:rPr>
        <w:t xml:space="preserve">again </w:t>
      </w:r>
      <w:r w:rsidRPr="00A375E1">
        <w:rPr>
          <w:lang w:val="en-US"/>
        </w:rPr>
        <w:t xml:space="preserve">is inseparable from </w:t>
      </w:r>
      <w:r w:rsidR="003862E8" w:rsidRPr="00A375E1">
        <w:rPr>
          <w:lang w:val="en-US"/>
        </w:rPr>
        <w:t xml:space="preserve">the </w:t>
      </w:r>
      <w:r w:rsidR="00DD0BD7">
        <w:rPr>
          <w:lang w:val="en-US"/>
        </w:rPr>
        <w:t>‘</w:t>
      </w:r>
      <w:r w:rsidRPr="00A375E1">
        <w:rPr>
          <w:lang w:val="en-US"/>
        </w:rPr>
        <w:t>insularity of reasons</w:t>
      </w:r>
      <w:r w:rsidR="00DD0BD7">
        <w:rPr>
          <w:lang w:val="en-US"/>
        </w:rPr>
        <w:t>’</w:t>
      </w:r>
      <w:r w:rsidRPr="00A375E1">
        <w:rPr>
          <w:lang w:val="en-US"/>
        </w:rPr>
        <w:t xml:space="preserve"> </w:t>
      </w:r>
      <w:r w:rsidR="00BB1621" w:rsidRPr="00A375E1">
        <w:rPr>
          <w:lang w:val="en-US"/>
        </w:rPr>
        <w:t>idea</w:t>
      </w:r>
      <w:r w:rsidRPr="00A375E1">
        <w:rPr>
          <w:lang w:val="en-US"/>
        </w:rPr>
        <w:t xml:space="preserve">: </w:t>
      </w:r>
      <w:r w:rsidR="003B6EE1" w:rsidRPr="00A375E1">
        <w:rPr>
          <w:lang w:val="en-US"/>
        </w:rPr>
        <w:t xml:space="preserve">the evidence available to us is insufficient </w:t>
      </w:r>
      <w:r w:rsidR="00A375E1">
        <w:rPr>
          <w:lang w:val="en-US"/>
        </w:rPr>
        <w:t xml:space="preserve">to distinguish between non-skeptical and skeptical scenarios </w:t>
      </w:r>
      <w:r w:rsidR="00BB1621" w:rsidRPr="00A375E1">
        <w:rPr>
          <w:lang w:val="en-US"/>
        </w:rPr>
        <w:t>(</w:t>
      </w:r>
      <w:r w:rsidR="00D051B7">
        <w:rPr>
          <w:lang w:val="en-US"/>
        </w:rPr>
        <w:t xml:space="preserve">2016: </w:t>
      </w:r>
      <w:r w:rsidR="00BB1621" w:rsidRPr="00A375E1">
        <w:rPr>
          <w:lang w:val="en-US"/>
        </w:rPr>
        <w:t>55)</w:t>
      </w:r>
      <w:r w:rsidRPr="00A375E1">
        <w:rPr>
          <w:lang w:val="en-US"/>
        </w:rPr>
        <w:t xml:space="preserve">. </w:t>
      </w:r>
    </w:p>
    <w:p w:rsidR="00932E57" w:rsidRPr="00A375E1" w:rsidRDefault="0032687B" w:rsidP="00A849A9">
      <w:pPr>
        <w:spacing w:after="0" w:line="360" w:lineRule="auto"/>
        <w:ind w:right="567" w:firstLine="284"/>
        <w:rPr>
          <w:lang w:val="en-US"/>
        </w:rPr>
      </w:pPr>
      <w:r w:rsidRPr="00A375E1">
        <w:rPr>
          <w:lang w:val="en-US"/>
        </w:rPr>
        <w:t xml:space="preserve">A skeptical challenge based on closure is more demanding than a skeptical </w:t>
      </w:r>
      <w:r w:rsidR="00BD44CB" w:rsidRPr="00A375E1">
        <w:rPr>
          <w:lang w:val="en-US"/>
        </w:rPr>
        <w:t xml:space="preserve">challenge </w:t>
      </w:r>
      <w:r w:rsidRPr="00A375E1">
        <w:rPr>
          <w:lang w:val="en-US"/>
        </w:rPr>
        <w:t xml:space="preserve">based on underdetermination. </w:t>
      </w:r>
      <w:r w:rsidR="00B73A00" w:rsidRPr="00A375E1">
        <w:rPr>
          <w:lang w:val="en-US"/>
        </w:rPr>
        <w:t>To defeat closure-</w:t>
      </w:r>
      <w:r w:rsidR="003B6EE1" w:rsidRPr="00DD0BD7">
        <w:rPr>
          <w:i/>
          <w:lang w:val="en-US"/>
        </w:rPr>
        <w:t>ES</w:t>
      </w:r>
      <w:r w:rsidR="00B73A00" w:rsidRPr="00A375E1">
        <w:rPr>
          <w:lang w:val="en-US"/>
        </w:rPr>
        <w:t xml:space="preserve"> you need to know that the skeptical hypothesis is false. To rule out underdetermination-</w:t>
      </w:r>
      <w:r w:rsidR="003B6EE1" w:rsidRPr="00DD0BD7">
        <w:rPr>
          <w:i/>
          <w:lang w:val="en-US"/>
        </w:rPr>
        <w:t>ES</w:t>
      </w:r>
      <w:r w:rsidR="00B73A00" w:rsidRPr="00A375E1">
        <w:rPr>
          <w:lang w:val="en-US"/>
        </w:rPr>
        <w:t xml:space="preserve"> your balance of evidence needs to </w:t>
      </w:r>
      <w:r w:rsidR="003B6EE1" w:rsidRPr="00A375E1">
        <w:rPr>
          <w:lang w:val="en-US"/>
        </w:rPr>
        <w:t xml:space="preserve">favor </w:t>
      </w:r>
      <w:r w:rsidR="0042405F" w:rsidRPr="00A375E1">
        <w:rPr>
          <w:lang w:val="en-US"/>
        </w:rPr>
        <w:t>y</w:t>
      </w:r>
      <w:r w:rsidR="003B6EE1" w:rsidRPr="00A375E1">
        <w:rPr>
          <w:lang w:val="en-US"/>
        </w:rPr>
        <w:t xml:space="preserve">our ordinary beliefs over </w:t>
      </w:r>
      <w:r w:rsidR="00B73A00" w:rsidRPr="00A375E1">
        <w:rPr>
          <w:lang w:val="en-US"/>
        </w:rPr>
        <w:t xml:space="preserve">skeptical </w:t>
      </w:r>
      <w:r w:rsidR="003B6EE1" w:rsidRPr="00A375E1">
        <w:rPr>
          <w:lang w:val="en-US"/>
        </w:rPr>
        <w:t xml:space="preserve">scenarios. But this is </w:t>
      </w:r>
      <w:r w:rsidR="00B73A00" w:rsidRPr="00A375E1">
        <w:rPr>
          <w:lang w:val="en-US"/>
        </w:rPr>
        <w:t>compatible with not knowing the skeptical hypothesis t</w:t>
      </w:r>
      <w:r w:rsidR="00BD44CB" w:rsidRPr="00A375E1">
        <w:rPr>
          <w:lang w:val="en-US"/>
        </w:rPr>
        <w:t xml:space="preserve">o be false. </w:t>
      </w:r>
    </w:p>
    <w:p w:rsidR="0032687B" w:rsidRPr="00A375E1" w:rsidRDefault="00932E57" w:rsidP="00A849A9">
      <w:pPr>
        <w:spacing w:after="0" w:line="360" w:lineRule="auto"/>
        <w:ind w:right="567" w:firstLine="284"/>
        <w:rPr>
          <w:lang w:val="en-US"/>
        </w:rPr>
      </w:pPr>
      <w:r w:rsidRPr="00A375E1">
        <w:rPr>
          <w:lang w:val="en-US"/>
        </w:rPr>
        <w:t>Distinguishing between</w:t>
      </w:r>
      <w:r w:rsidR="00B73A00" w:rsidRPr="00A375E1">
        <w:rPr>
          <w:lang w:val="en-US"/>
        </w:rPr>
        <w:t xml:space="preserve"> the two types of </w:t>
      </w:r>
      <w:r w:rsidR="00B73A00" w:rsidRPr="00DD0BD7">
        <w:rPr>
          <w:i/>
          <w:lang w:val="en-US"/>
        </w:rPr>
        <w:t>BIV</w:t>
      </w:r>
      <w:r w:rsidR="00B73A00" w:rsidRPr="00A375E1">
        <w:rPr>
          <w:lang w:val="en-US"/>
        </w:rPr>
        <w:t xml:space="preserve">-skepticism is the </w:t>
      </w:r>
      <w:r w:rsidR="00DD0BD7">
        <w:rPr>
          <w:lang w:val="en-US"/>
        </w:rPr>
        <w:t>‘</w:t>
      </w:r>
      <w:r w:rsidR="00B73A00" w:rsidRPr="00A375E1">
        <w:rPr>
          <w:lang w:val="en-US"/>
        </w:rPr>
        <w:t>hinge</w:t>
      </w:r>
      <w:r w:rsidR="00DD0BD7">
        <w:rPr>
          <w:lang w:val="en-US"/>
        </w:rPr>
        <w:t>’</w:t>
      </w:r>
      <w:r w:rsidR="00B73A00" w:rsidRPr="00A375E1">
        <w:rPr>
          <w:lang w:val="en-US"/>
        </w:rPr>
        <w:t xml:space="preserve"> on which Pritchard’s whole book turns</w:t>
      </w:r>
      <w:r w:rsidRPr="00A375E1">
        <w:rPr>
          <w:lang w:val="en-US"/>
        </w:rPr>
        <w:t>;</w:t>
      </w:r>
      <w:r w:rsidR="00B73A00" w:rsidRPr="00A375E1">
        <w:rPr>
          <w:lang w:val="en-US"/>
        </w:rPr>
        <w:t xml:space="preserve"> </w:t>
      </w:r>
      <w:r w:rsidR="00191244" w:rsidRPr="00A375E1">
        <w:rPr>
          <w:lang w:val="en-US"/>
        </w:rPr>
        <w:t>this bifurcation</w:t>
      </w:r>
      <w:r w:rsidR="00B73A00" w:rsidRPr="00A375E1">
        <w:rPr>
          <w:lang w:val="en-US"/>
        </w:rPr>
        <w:t xml:space="preserve"> </w:t>
      </w:r>
      <w:r w:rsidR="00FF32EC" w:rsidRPr="00A375E1">
        <w:rPr>
          <w:lang w:val="en-US"/>
        </w:rPr>
        <w:t xml:space="preserve">motivates his </w:t>
      </w:r>
      <w:r w:rsidR="00DD0BD7">
        <w:rPr>
          <w:lang w:val="en-US"/>
        </w:rPr>
        <w:t>‘</w:t>
      </w:r>
      <w:proofErr w:type="spellStart"/>
      <w:r w:rsidR="00FF32EC" w:rsidRPr="00A375E1">
        <w:rPr>
          <w:lang w:val="en-US"/>
        </w:rPr>
        <w:t>biscopic</w:t>
      </w:r>
      <w:proofErr w:type="spellEnd"/>
      <w:r w:rsidR="00DD0BD7">
        <w:rPr>
          <w:lang w:val="en-US"/>
        </w:rPr>
        <w:t>’</w:t>
      </w:r>
      <w:r w:rsidR="00FF32EC" w:rsidRPr="00A375E1">
        <w:rPr>
          <w:lang w:val="en-US"/>
        </w:rPr>
        <w:t xml:space="preserve"> </w:t>
      </w:r>
      <w:r w:rsidR="00B73A00" w:rsidRPr="00A375E1">
        <w:rPr>
          <w:lang w:val="en-US"/>
        </w:rPr>
        <w:t>answer</w:t>
      </w:r>
      <w:r w:rsidR="00191244" w:rsidRPr="00A375E1">
        <w:rPr>
          <w:lang w:val="en-US"/>
        </w:rPr>
        <w:t xml:space="preserve"> to </w:t>
      </w:r>
      <w:r w:rsidR="00914F54" w:rsidRPr="000C50A1">
        <w:rPr>
          <w:i/>
          <w:lang w:val="en-US"/>
        </w:rPr>
        <w:t>ES</w:t>
      </w:r>
      <w:r w:rsidR="003B6EE1" w:rsidRPr="00A375E1">
        <w:rPr>
          <w:lang w:val="en-US"/>
        </w:rPr>
        <w:t xml:space="preserve"> (</w:t>
      </w:r>
      <w:r w:rsidR="00D051B7">
        <w:rPr>
          <w:lang w:val="en-US"/>
        </w:rPr>
        <w:t xml:space="preserve">2016: </w:t>
      </w:r>
      <w:r w:rsidR="003B6EE1" w:rsidRPr="00A375E1">
        <w:rPr>
          <w:lang w:val="en-US"/>
        </w:rPr>
        <w:t>173)</w:t>
      </w:r>
      <w:r w:rsidR="00B73A00" w:rsidRPr="00A375E1">
        <w:rPr>
          <w:lang w:val="en-US"/>
        </w:rPr>
        <w:t xml:space="preserve">. </w:t>
      </w:r>
      <w:r w:rsidR="00091ED7" w:rsidRPr="00A375E1">
        <w:rPr>
          <w:lang w:val="en-US"/>
        </w:rPr>
        <w:t xml:space="preserve">Epistemic </w:t>
      </w:r>
      <w:proofErr w:type="spellStart"/>
      <w:r w:rsidR="00091ED7" w:rsidRPr="00A375E1">
        <w:rPr>
          <w:lang w:val="en-US"/>
        </w:rPr>
        <w:t>biscopism</w:t>
      </w:r>
      <w:proofErr w:type="spellEnd"/>
      <w:r w:rsidR="00091ED7" w:rsidRPr="00A375E1">
        <w:rPr>
          <w:lang w:val="en-US"/>
        </w:rPr>
        <w:t xml:space="preserve"> is the view that we need two distinct</w:t>
      </w:r>
      <w:r w:rsidRPr="00A375E1">
        <w:rPr>
          <w:lang w:val="en-US"/>
        </w:rPr>
        <w:t xml:space="preserve"> </w:t>
      </w:r>
      <w:r w:rsidR="00091ED7" w:rsidRPr="00A375E1">
        <w:rPr>
          <w:lang w:val="en-US"/>
        </w:rPr>
        <w:t xml:space="preserve">ways </w:t>
      </w:r>
      <w:r w:rsidRPr="00A375E1">
        <w:rPr>
          <w:lang w:val="en-US"/>
        </w:rPr>
        <w:t>of</w:t>
      </w:r>
      <w:r w:rsidR="00091ED7" w:rsidRPr="00A375E1">
        <w:rPr>
          <w:lang w:val="en-US"/>
        </w:rPr>
        <w:t xml:space="preserve"> disarm</w:t>
      </w:r>
      <w:r w:rsidRPr="00A375E1">
        <w:rPr>
          <w:lang w:val="en-US"/>
        </w:rPr>
        <w:t>ing</w:t>
      </w:r>
      <w:r w:rsidR="00091ED7" w:rsidRPr="00A375E1">
        <w:rPr>
          <w:lang w:val="en-US"/>
        </w:rPr>
        <w:t xml:space="preserve"> </w:t>
      </w:r>
      <w:r w:rsidR="00091ED7" w:rsidRPr="000C50A1">
        <w:rPr>
          <w:i/>
          <w:lang w:val="en-US"/>
        </w:rPr>
        <w:t>BIV-</w:t>
      </w:r>
      <w:r w:rsidR="00914F54" w:rsidRPr="000C50A1">
        <w:rPr>
          <w:i/>
          <w:lang w:val="en-US"/>
        </w:rPr>
        <w:t>ES</w:t>
      </w:r>
      <w:r w:rsidR="00091ED7" w:rsidRPr="00A375E1">
        <w:rPr>
          <w:lang w:val="en-US"/>
        </w:rPr>
        <w:t xml:space="preserve">: one </w:t>
      </w:r>
      <w:r w:rsidR="00914F54" w:rsidRPr="00A375E1">
        <w:rPr>
          <w:lang w:val="en-US"/>
        </w:rPr>
        <w:t xml:space="preserve">way </w:t>
      </w:r>
      <w:r w:rsidR="00091ED7" w:rsidRPr="00A375E1">
        <w:rPr>
          <w:lang w:val="en-US"/>
        </w:rPr>
        <w:t xml:space="preserve">addressing </w:t>
      </w:r>
      <w:r w:rsidR="00914F54" w:rsidRPr="00A375E1">
        <w:rPr>
          <w:lang w:val="en-US"/>
        </w:rPr>
        <w:t xml:space="preserve">the </w:t>
      </w:r>
      <w:r w:rsidR="00091ED7" w:rsidRPr="00A375E1">
        <w:rPr>
          <w:lang w:val="en-US"/>
        </w:rPr>
        <w:t>closure-</w:t>
      </w:r>
      <w:r w:rsidR="00914F54" w:rsidRPr="00A375E1">
        <w:rPr>
          <w:lang w:val="en-US"/>
        </w:rPr>
        <w:t>variant</w:t>
      </w:r>
      <w:r w:rsidR="00091ED7" w:rsidRPr="00A375E1">
        <w:rPr>
          <w:lang w:val="en-US"/>
        </w:rPr>
        <w:t xml:space="preserve">, the other tackling </w:t>
      </w:r>
      <w:r w:rsidR="00914F54" w:rsidRPr="00A375E1">
        <w:rPr>
          <w:lang w:val="en-US"/>
        </w:rPr>
        <w:t xml:space="preserve">the </w:t>
      </w:r>
      <w:r w:rsidR="00091ED7" w:rsidRPr="00A375E1">
        <w:rPr>
          <w:lang w:val="en-US"/>
        </w:rPr>
        <w:t>underdetermination-</w:t>
      </w:r>
      <w:r w:rsidR="00914F54" w:rsidRPr="00A375E1">
        <w:rPr>
          <w:lang w:val="en-US"/>
        </w:rPr>
        <w:t>version</w:t>
      </w:r>
      <w:r w:rsidR="00091ED7" w:rsidRPr="00A375E1">
        <w:rPr>
          <w:lang w:val="en-US"/>
        </w:rPr>
        <w:t>.</w:t>
      </w:r>
    </w:p>
    <w:p w:rsidR="003B6EE1" w:rsidRPr="00A375E1" w:rsidRDefault="003B6EE1" w:rsidP="003B6EE1">
      <w:pPr>
        <w:spacing w:after="0" w:line="360" w:lineRule="auto"/>
        <w:ind w:right="567"/>
        <w:rPr>
          <w:lang w:val="en-US"/>
        </w:rPr>
      </w:pPr>
    </w:p>
    <w:p w:rsidR="003B6EE1" w:rsidRPr="000C50A1" w:rsidRDefault="003B6EE1" w:rsidP="00F86877">
      <w:pPr>
        <w:pStyle w:val="ListParagraph"/>
        <w:numPr>
          <w:ilvl w:val="0"/>
          <w:numId w:val="4"/>
        </w:numPr>
        <w:spacing w:after="0" w:line="360" w:lineRule="auto"/>
        <w:ind w:right="567"/>
        <w:jc w:val="center"/>
        <w:rPr>
          <w:i/>
          <w:lang w:val="en-US"/>
        </w:rPr>
      </w:pPr>
      <w:r w:rsidRPr="000C50A1">
        <w:rPr>
          <w:i/>
          <w:lang w:val="en-US"/>
        </w:rPr>
        <w:t>Overriding and Undercutting Strategies against ES</w:t>
      </w:r>
    </w:p>
    <w:p w:rsidR="003B6EE1" w:rsidRPr="00A375E1" w:rsidRDefault="003B6EE1" w:rsidP="00A849A9">
      <w:pPr>
        <w:spacing w:after="0" w:line="360" w:lineRule="auto"/>
        <w:ind w:right="567" w:firstLine="284"/>
        <w:rPr>
          <w:lang w:val="en-US"/>
        </w:rPr>
      </w:pPr>
    </w:p>
    <w:p w:rsidR="00914F54" w:rsidRPr="00A375E1" w:rsidRDefault="00BD44CB" w:rsidP="00914F54">
      <w:pPr>
        <w:spacing w:after="0" w:line="360" w:lineRule="auto"/>
        <w:ind w:right="567"/>
        <w:rPr>
          <w:lang w:val="en-US"/>
        </w:rPr>
      </w:pPr>
      <w:r w:rsidRPr="00A375E1">
        <w:rPr>
          <w:lang w:val="en-US"/>
        </w:rPr>
        <w:t xml:space="preserve">The second </w:t>
      </w:r>
      <w:r w:rsidR="00191244" w:rsidRPr="00A375E1">
        <w:rPr>
          <w:lang w:val="en-US"/>
        </w:rPr>
        <w:t xml:space="preserve">major </w:t>
      </w:r>
      <w:r w:rsidRPr="00A375E1">
        <w:rPr>
          <w:lang w:val="en-US"/>
        </w:rPr>
        <w:t xml:space="preserve">binary opposition </w:t>
      </w:r>
      <w:r w:rsidR="006C1376" w:rsidRPr="00A375E1">
        <w:rPr>
          <w:lang w:val="en-US"/>
        </w:rPr>
        <w:t xml:space="preserve">of </w:t>
      </w:r>
      <w:r w:rsidR="0055693E" w:rsidRPr="000C50A1">
        <w:rPr>
          <w:i/>
          <w:lang w:val="en-US"/>
        </w:rPr>
        <w:t>Epistemic Angst</w:t>
      </w:r>
      <w:r w:rsidR="006C1376" w:rsidRPr="00A375E1">
        <w:rPr>
          <w:lang w:val="en-US"/>
        </w:rPr>
        <w:t xml:space="preserve"> </w:t>
      </w:r>
      <w:r w:rsidRPr="00A375E1">
        <w:rPr>
          <w:lang w:val="en-US"/>
        </w:rPr>
        <w:t>concerns general strategies</w:t>
      </w:r>
      <w:r w:rsidR="0027196E" w:rsidRPr="00A375E1">
        <w:rPr>
          <w:lang w:val="en-US"/>
        </w:rPr>
        <w:t xml:space="preserve"> for </w:t>
      </w:r>
      <w:r w:rsidR="006C1376" w:rsidRPr="00A375E1">
        <w:rPr>
          <w:lang w:val="en-US"/>
        </w:rPr>
        <w:t xml:space="preserve">defusing </w:t>
      </w:r>
      <w:r w:rsidR="0027196E" w:rsidRPr="000C50A1">
        <w:rPr>
          <w:i/>
          <w:lang w:val="en-US"/>
        </w:rPr>
        <w:t>BIV-</w:t>
      </w:r>
      <w:r w:rsidR="00914F54" w:rsidRPr="000C50A1">
        <w:rPr>
          <w:i/>
          <w:lang w:val="en-US"/>
        </w:rPr>
        <w:t>ES</w:t>
      </w:r>
      <w:r w:rsidR="0027196E" w:rsidRPr="00A375E1">
        <w:rPr>
          <w:lang w:val="en-US"/>
        </w:rPr>
        <w:t xml:space="preserve">. </w:t>
      </w:r>
      <w:r w:rsidRPr="00A375E1">
        <w:rPr>
          <w:lang w:val="en-US"/>
        </w:rPr>
        <w:t>Philosophers us</w:t>
      </w:r>
      <w:r w:rsidR="007D29DE" w:rsidRPr="00A375E1">
        <w:rPr>
          <w:lang w:val="en-US"/>
        </w:rPr>
        <w:t>ing</w:t>
      </w:r>
      <w:r w:rsidRPr="00A375E1">
        <w:rPr>
          <w:lang w:val="en-US"/>
        </w:rPr>
        <w:t xml:space="preserve"> the </w:t>
      </w:r>
      <w:r w:rsidR="00DD0BD7">
        <w:rPr>
          <w:lang w:val="en-US"/>
        </w:rPr>
        <w:t>‘</w:t>
      </w:r>
      <w:r w:rsidRPr="00A375E1">
        <w:rPr>
          <w:lang w:val="en-US"/>
        </w:rPr>
        <w:t>overriding</w:t>
      </w:r>
      <w:r w:rsidR="00DD0BD7">
        <w:rPr>
          <w:lang w:val="en-US"/>
        </w:rPr>
        <w:t>’</w:t>
      </w:r>
      <w:r w:rsidRPr="00A375E1">
        <w:rPr>
          <w:lang w:val="en-US"/>
        </w:rPr>
        <w:t xml:space="preserve"> strategy </w:t>
      </w:r>
      <w:r w:rsidR="007D29DE" w:rsidRPr="00A375E1">
        <w:rPr>
          <w:lang w:val="en-US"/>
        </w:rPr>
        <w:t xml:space="preserve">combine concession with revision: they agree with the skeptic that our </w:t>
      </w:r>
      <w:r w:rsidR="00DD0BD7">
        <w:rPr>
          <w:lang w:val="en-US"/>
        </w:rPr>
        <w:t>‘</w:t>
      </w:r>
      <w:r w:rsidR="007D29DE" w:rsidRPr="00A375E1">
        <w:rPr>
          <w:lang w:val="en-US"/>
        </w:rPr>
        <w:t>folk-epistemic concepts</w:t>
      </w:r>
      <w:r w:rsidR="00DD0BD7">
        <w:rPr>
          <w:lang w:val="en-US"/>
        </w:rPr>
        <w:t>’</w:t>
      </w:r>
      <w:r w:rsidR="007D29DE" w:rsidRPr="00A375E1">
        <w:rPr>
          <w:lang w:val="en-US"/>
        </w:rPr>
        <w:t xml:space="preserve"> leave room for </w:t>
      </w:r>
      <w:r w:rsidR="00D22CEF" w:rsidRPr="00A375E1">
        <w:rPr>
          <w:lang w:val="en-US"/>
        </w:rPr>
        <w:t>skeptical challenges</w:t>
      </w:r>
      <w:r w:rsidR="006C1376" w:rsidRPr="00A375E1">
        <w:rPr>
          <w:lang w:val="en-US"/>
        </w:rPr>
        <w:t xml:space="preserve">; but they then go on to </w:t>
      </w:r>
      <w:r w:rsidR="00D22CEF" w:rsidRPr="00A375E1">
        <w:rPr>
          <w:lang w:val="en-US"/>
        </w:rPr>
        <w:t xml:space="preserve">introduce (independently-motivated) revised concepts </w:t>
      </w:r>
      <w:r w:rsidR="00BB1621" w:rsidRPr="00A375E1">
        <w:rPr>
          <w:lang w:val="en-US"/>
        </w:rPr>
        <w:t xml:space="preserve">in the hope of thereby blocking </w:t>
      </w:r>
      <w:r w:rsidR="00914F54" w:rsidRPr="000C50A1">
        <w:rPr>
          <w:i/>
          <w:lang w:val="en-US"/>
        </w:rPr>
        <w:t>ES</w:t>
      </w:r>
      <w:r w:rsidR="00D22CEF" w:rsidRPr="00A375E1">
        <w:rPr>
          <w:lang w:val="en-US"/>
        </w:rPr>
        <w:t xml:space="preserve">. </w:t>
      </w:r>
      <w:r w:rsidR="00AE622E" w:rsidRPr="00A375E1">
        <w:rPr>
          <w:lang w:val="en-US"/>
        </w:rPr>
        <w:t>Epistemic externalism or the rejectio</w:t>
      </w:r>
      <w:r w:rsidR="00D22CEF" w:rsidRPr="00A375E1">
        <w:rPr>
          <w:lang w:val="en-US"/>
        </w:rPr>
        <w:t>n of closure are cases in point (</w:t>
      </w:r>
      <w:r w:rsidR="00D051B7">
        <w:rPr>
          <w:lang w:val="en-US"/>
        </w:rPr>
        <w:t xml:space="preserve">2016: </w:t>
      </w:r>
      <w:r w:rsidR="00914F54" w:rsidRPr="00A375E1">
        <w:rPr>
          <w:lang w:val="en-US"/>
        </w:rPr>
        <w:t>67</w:t>
      </w:r>
      <w:r w:rsidR="00D22CEF" w:rsidRPr="00A375E1">
        <w:rPr>
          <w:lang w:val="en-US"/>
        </w:rPr>
        <w:t xml:space="preserve">). </w:t>
      </w:r>
      <w:r w:rsidR="0027196E" w:rsidRPr="00A375E1">
        <w:rPr>
          <w:lang w:val="en-US"/>
        </w:rPr>
        <w:t>Philosophers</w:t>
      </w:r>
      <w:r w:rsidR="00AE622E" w:rsidRPr="00A375E1">
        <w:rPr>
          <w:lang w:val="en-US"/>
        </w:rPr>
        <w:t xml:space="preserve"> relying on the </w:t>
      </w:r>
      <w:r w:rsidR="00DD0BD7">
        <w:rPr>
          <w:lang w:val="en-US"/>
        </w:rPr>
        <w:t>‘</w:t>
      </w:r>
      <w:r w:rsidR="00AE622E" w:rsidRPr="00A375E1">
        <w:rPr>
          <w:lang w:val="en-US"/>
        </w:rPr>
        <w:t>undercutting</w:t>
      </w:r>
      <w:r w:rsidR="00DD0BD7">
        <w:rPr>
          <w:lang w:val="en-US"/>
        </w:rPr>
        <w:t>’</w:t>
      </w:r>
      <w:r w:rsidR="00AE622E" w:rsidRPr="00A375E1">
        <w:rPr>
          <w:lang w:val="en-US"/>
        </w:rPr>
        <w:t xml:space="preserve"> strategy </w:t>
      </w:r>
      <w:r w:rsidR="00D22CEF" w:rsidRPr="00A375E1">
        <w:rPr>
          <w:lang w:val="en-US"/>
        </w:rPr>
        <w:t xml:space="preserve">make no concessions to the sceptic. </w:t>
      </w:r>
      <w:r w:rsidR="00914F54" w:rsidRPr="00A375E1">
        <w:rPr>
          <w:lang w:val="en-US"/>
        </w:rPr>
        <w:t xml:space="preserve">Instead they </w:t>
      </w:r>
      <w:r w:rsidR="00191244" w:rsidRPr="00A375E1">
        <w:rPr>
          <w:lang w:val="en-US"/>
        </w:rPr>
        <w:t>maintain that</w:t>
      </w:r>
      <w:r w:rsidR="00914F54" w:rsidRPr="00A375E1">
        <w:rPr>
          <w:lang w:val="en-US"/>
        </w:rPr>
        <w:t>,</w:t>
      </w:r>
      <w:r w:rsidR="00191244" w:rsidRPr="00A375E1">
        <w:rPr>
          <w:lang w:val="en-US"/>
        </w:rPr>
        <w:t xml:space="preserve"> i</w:t>
      </w:r>
      <w:r w:rsidR="00D22CEF" w:rsidRPr="00A375E1">
        <w:rPr>
          <w:lang w:val="en-US"/>
        </w:rPr>
        <w:t xml:space="preserve">n light of our correctly-understood folk-epistemic concepts, the legitimacy of skeptical challenges is wholly </w:t>
      </w:r>
      <w:r w:rsidR="00DD0BD7">
        <w:rPr>
          <w:lang w:val="en-US"/>
        </w:rPr>
        <w:t>‘</w:t>
      </w:r>
      <w:r w:rsidR="00D22CEF" w:rsidRPr="00A375E1">
        <w:rPr>
          <w:lang w:val="en-US"/>
        </w:rPr>
        <w:t>illusory</w:t>
      </w:r>
      <w:r w:rsidR="00DD0BD7">
        <w:rPr>
          <w:lang w:val="en-US"/>
        </w:rPr>
        <w:t>’</w:t>
      </w:r>
      <w:r w:rsidR="00D22CEF" w:rsidRPr="00A375E1">
        <w:rPr>
          <w:lang w:val="en-US"/>
        </w:rPr>
        <w:t>. The initial semblance of legitimacy is due to misunderstandings of our folk</w:t>
      </w:r>
      <w:r w:rsidR="00BB1621" w:rsidRPr="00A375E1">
        <w:rPr>
          <w:lang w:val="en-US"/>
        </w:rPr>
        <w:t>-</w:t>
      </w:r>
      <w:r w:rsidR="00D22CEF" w:rsidRPr="00A375E1">
        <w:rPr>
          <w:lang w:val="en-US"/>
        </w:rPr>
        <w:t xml:space="preserve">epistemic concepts and practices. </w:t>
      </w:r>
      <w:r w:rsidR="00E34CC6" w:rsidRPr="00A375E1">
        <w:rPr>
          <w:lang w:val="en-US"/>
        </w:rPr>
        <w:t>Two such misunderstandings are especially important here</w:t>
      </w:r>
      <w:r w:rsidR="006C1376" w:rsidRPr="00A375E1">
        <w:rPr>
          <w:lang w:val="en-US"/>
        </w:rPr>
        <w:t xml:space="preserve">: </w:t>
      </w:r>
      <w:r w:rsidR="00BB1621" w:rsidRPr="00A375E1">
        <w:rPr>
          <w:lang w:val="en-US"/>
        </w:rPr>
        <w:t xml:space="preserve">the already-mentioned </w:t>
      </w:r>
      <w:r w:rsidR="00957F42" w:rsidRPr="00A375E1">
        <w:rPr>
          <w:lang w:val="en-US"/>
        </w:rPr>
        <w:t>universality of rational evaluation and insularity of reasons (</w:t>
      </w:r>
      <w:r w:rsidR="00D051B7">
        <w:rPr>
          <w:lang w:val="en-US"/>
        </w:rPr>
        <w:t xml:space="preserve">2016: </w:t>
      </w:r>
      <w:r w:rsidR="00914F54" w:rsidRPr="00A375E1">
        <w:rPr>
          <w:lang w:val="en-US"/>
        </w:rPr>
        <w:t>59).</w:t>
      </w:r>
    </w:p>
    <w:p w:rsidR="00914F54" w:rsidRPr="00A375E1" w:rsidRDefault="00914F54" w:rsidP="003B6EE1">
      <w:pPr>
        <w:spacing w:after="0" w:line="360" w:lineRule="auto"/>
        <w:ind w:right="567"/>
        <w:rPr>
          <w:lang w:val="en-US"/>
        </w:rPr>
      </w:pPr>
    </w:p>
    <w:p w:rsidR="00EF11B7" w:rsidRPr="000C50A1" w:rsidRDefault="00914F54" w:rsidP="00F86877">
      <w:pPr>
        <w:pStyle w:val="ListParagraph"/>
        <w:numPr>
          <w:ilvl w:val="0"/>
          <w:numId w:val="4"/>
        </w:numPr>
        <w:spacing w:after="0" w:line="360" w:lineRule="auto"/>
        <w:ind w:right="567"/>
        <w:jc w:val="center"/>
        <w:rPr>
          <w:i/>
          <w:lang w:val="en-US"/>
        </w:rPr>
      </w:pPr>
      <w:r w:rsidRPr="000C50A1">
        <w:rPr>
          <w:i/>
          <w:lang w:val="en-US"/>
        </w:rPr>
        <w:t>Hinge Epistemology and Closure-ES</w:t>
      </w:r>
    </w:p>
    <w:p w:rsidR="00EF11B7" w:rsidRPr="00A375E1" w:rsidRDefault="00EF11B7" w:rsidP="00914F54">
      <w:pPr>
        <w:spacing w:after="0" w:line="360" w:lineRule="auto"/>
        <w:ind w:right="567"/>
        <w:rPr>
          <w:lang w:val="en-US"/>
        </w:rPr>
      </w:pPr>
    </w:p>
    <w:p w:rsidR="00110F67" w:rsidRPr="00A375E1" w:rsidRDefault="00914F54" w:rsidP="00914F54">
      <w:pPr>
        <w:spacing w:after="0" w:line="360" w:lineRule="auto"/>
        <w:ind w:right="567"/>
        <w:rPr>
          <w:lang w:val="en-US"/>
        </w:rPr>
      </w:pPr>
      <w:r w:rsidRPr="00A375E1">
        <w:rPr>
          <w:lang w:val="en-US"/>
        </w:rPr>
        <w:t xml:space="preserve">This brings us to Pritchard’s two anti-skeptical proposals: </w:t>
      </w:r>
      <w:r w:rsidR="00DD0BD7">
        <w:rPr>
          <w:lang w:val="en-US"/>
        </w:rPr>
        <w:t>‘</w:t>
      </w:r>
      <w:r w:rsidRPr="00A375E1">
        <w:rPr>
          <w:lang w:val="en-US"/>
        </w:rPr>
        <w:t>hinge epistemology</w:t>
      </w:r>
      <w:r w:rsidR="00DD0BD7">
        <w:rPr>
          <w:lang w:val="en-US"/>
        </w:rPr>
        <w:t>’</w:t>
      </w:r>
      <w:r w:rsidRPr="00A375E1">
        <w:rPr>
          <w:lang w:val="en-US"/>
        </w:rPr>
        <w:t xml:space="preserve"> as the undercutting antidote to closure-</w:t>
      </w:r>
      <w:r w:rsidR="0042405F" w:rsidRPr="000C50A1">
        <w:rPr>
          <w:i/>
          <w:lang w:val="en-US"/>
        </w:rPr>
        <w:t>ES</w:t>
      </w:r>
      <w:r w:rsidRPr="00A375E1">
        <w:rPr>
          <w:lang w:val="en-US"/>
        </w:rPr>
        <w:t xml:space="preserve">, and </w:t>
      </w:r>
      <w:r w:rsidR="00DD0BD7">
        <w:rPr>
          <w:lang w:val="en-US"/>
        </w:rPr>
        <w:t>‘</w:t>
      </w:r>
      <w:r w:rsidRPr="00A375E1">
        <w:rPr>
          <w:lang w:val="en-US"/>
        </w:rPr>
        <w:t xml:space="preserve">epistemic </w:t>
      </w:r>
      <w:proofErr w:type="spellStart"/>
      <w:r w:rsidRPr="00A375E1">
        <w:rPr>
          <w:lang w:val="en-US"/>
        </w:rPr>
        <w:t>disjunctivism</w:t>
      </w:r>
      <w:proofErr w:type="spellEnd"/>
      <w:r w:rsidR="00DD0BD7">
        <w:rPr>
          <w:lang w:val="en-US"/>
        </w:rPr>
        <w:t>’</w:t>
      </w:r>
      <w:r w:rsidRPr="00A375E1">
        <w:rPr>
          <w:lang w:val="en-US"/>
        </w:rPr>
        <w:t xml:space="preserve"> as the undercutting weapon against underdetermination-</w:t>
      </w:r>
      <w:r w:rsidR="0042405F" w:rsidRPr="000C50A1">
        <w:rPr>
          <w:i/>
          <w:lang w:val="en-US"/>
        </w:rPr>
        <w:t>ES</w:t>
      </w:r>
      <w:r w:rsidRPr="00A375E1">
        <w:rPr>
          <w:lang w:val="en-US"/>
        </w:rPr>
        <w:t>.</w:t>
      </w:r>
      <w:r w:rsidR="0042405F" w:rsidRPr="00A375E1">
        <w:rPr>
          <w:lang w:val="en-US"/>
        </w:rPr>
        <w:t xml:space="preserve"> This section summarizes the former; the next section the latter.</w:t>
      </w:r>
    </w:p>
    <w:p w:rsidR="00A9034D" w:rsidRPr="00A375E1" w:rsidRDefault="00665753" w:rsidP="00492AE9">
      <w:pPr>
        <w:spacing w:after="0" w:line="360" w:lineRule="auto"/>
        <w:ind w:right="567" w:firstLine="284"/>
        <w:rPr>
          <w:lang w:val="en-US"/>
        </w:rPr>
      </w:pPr>
      <w:r w:rsidRPr="00A375E1">
        <w:rPr>
          <w:lang w:val="en-US"/>
        </w:rPr>
        <w:lastRenderedPageBreak/>
        <w:t xml:space="preserve">Pritchard’s hinge epistemology </w:t>
      </w:r>
      <w:r w:rsidR="00A967D9">
        <w:rPr>
          <w:lang w:val="en-US"/>
        </w:rPr>
        <w:t xml:space="preserve">develops </w:t>
      </w:r>
      <w:r w:rsidRPr="00A375E1">
        <w:rPr>
          <w:lang w:val="en-US"/>
        </w:rPr>
        <w:t xml:space="preserve">themes </w:t>
      </w:r>
      <w:r w:rsidR="00A967D9">
        <w:rPr>
          <w:lang w:val="en-US"/>
        </w:rPr>
        <w:t>from</w:t>
      </w:r>
      <w:r w:rsidRPr="00A375E1">
        <w:rPr>
          <w:lang w:val="en-US"/>
        </w:rPr>
        <w:t xml:space="preserve"> </w:t>
      </w:r>
      <w:r w:rsidR="00932E57" w:rsidRPr="00A375E1">
        <w:rPr>
          <w:lang w:val="en-US"/>
        </w:rPr>
        <w:t xml:space="preserve">Wittgenstein’s </w:t>
      </w:r>
      <w:r w:rsidR="00932E57" w:rsidRPr="000C50A1">
        <w:rPr>
          <w:i/>
          <w:lang w:val="en-US"/>
        </w:rPr>
        <w:t>On Certainty</w:t>
      </w:r>
      <w:r w:rsidR="00932E57" w:rsidRPr="00A375E1">
        <w:rPr>
          <w:i/>
          <w:lang w:val="en-US"/>
        </w:rPr>
        <w:t xml:space="preserve"> </w:t>
      </w:r>
      <w:r w:rsidR="00932E57" w:rsidRPr="00A375E1">
        <w:rPr>
          <w:lang w:val="en-US"/>
        </w:rPr>
        <w:t xml:space="preserve">(1969). </w:t>
      </w:r>
      <w:r w:rsidR="0095353B" w:rsidRPr="00A375E1">
        <w:rPr>
          <w:lang w:val="en-US"/>
        </w:rPr>
        <w:t xml:space="preserve">The term </w:t>
      </w:r>
      <w:r w:rsidR="00DD0BD7">
        <w:rPr>
          <w:lang w:val="en-US"/>
        </w:rPr>
        <w:t>‘</w:t>
      </w:r>
      <w:r w:rsidR="0095353B" w:rsidRPr="00A375E1">
        <w:rPr>
          <w:lang w:val="en-US"/>
        </w:rPr>
        <w:t>hinge</w:t>
      </w:r>
      <w:r w:rsidR="00DD0BD7">
        <w:rPr>
          <w:lang w:val="en-US"/>
        </w:rPr>
        <w:t>’</w:t>
      </w:r>
      <w:r w:rsidR="0095353B" w:rsidRPr="00A375E1">
        <w:rPr>
          <w:lang w:val="en-US"/>
        </w:rPr>
        <w:t xml:space="preserve"> derives from </w:t>
      </w:r>
      <w:r w:rsidR="005E30B6" w:rsidRPr="00A375E1">
        <w:rPr>
          <w:lang w:val="en-US"/>
        </w:rPr>
        <w:t xml:space="preserve">Wittgenstein’s remark that </w:t>
      </w:r>
      <w:r w:rsidR="00DD0BD7">
        <w:rPr>
          <w:lang w:val="en-US"/>
        </w:rPr>
        <w:t>‘</w:t>
      </w:r>
      <w:r w:rsidR="0095353B" w:rsidRPr="00A375E1">
        <w:rPr>
          <w:lang w:val="en-US"/>
        </w:rPr>
        <w:t xml:space="preserve">our </w:t>
      </w:r>
      <w:r w:rsidR="0095353B" w:rsidRPr="00A375E1">
        <w:rPr>
          <w:iCs/>
          <w:lang w:val="en-US"/>
        </w:rPr>
        <w:t>doubts</w:t>
      </w:r>
      <w:r w:rsidR="0095353B" w:rsidRPr="00A375E1">
        <w:rPr>
          <w:lang w:val="en-US"/>
        </w:rPr>
        <w:t xml:space="preserve"> depend on the fact that some propositions are exempt from doubt, are as it were li</w:t>
      </w:r>
      <w:r w:rsidR="005E30B6" w:rsidRPr="00A375E1">
        <w:rPr>
          <w:lang w:val="en-US"/>
        </w:rPr>
        <w:t xml:space="preserve">ke </w:t>
      </w:r>
      <w:r w:rsidR="005E30B6" w:rsidRPr="00A967D9">
        <w:rPr>
          <w:lang w:val="en-US"/>
        </w:rPr>
        <w:t>hinges</w:t>
      </w:r>
      <w:r w:rsidR="005E30B6" w:rsidRPr="00A375E1">
        <w:rPr>
          <w:lang w:val="en-US"/>
        </w:rPr>
        <w:t xml:space="preserve"> on which those turn</w:t>
      </w:r>
      <w:r w:rsidR="00DD0BD7">
        <w:rPr>
          <w:lang w:val="en-US"/>
        </w:rPr>
        <w:t>’</w:t>
      </w:r>
      <w:r w:rsidR="005E30B6" w:rsidRPr="00A375E1">
        <w:rPr>
          <w:lang w:val="en-US"/>
        </w:rPr>
        <w:t xml:space="preserve"> (1969: §341).</w:t>
      </w:r>
      <w:r w:rsidR="00A9034D" w:rsidRPr="00A375E1">
        <w:rPr>
          <w:lang w:val="en-US"/>
        </w:rPr>
        <w:t xml:space="preserve"> </w:t>
      </w:r>
      <w:r w:rsidR="00A967D9">
        <w:rPr>
          <w:lang w:val="en-US"/>
        </w:rPr>
        <w:t>F</w:t>
      </w:r>
      <w:r w:rsidR="00A9034D" w:rsidRPr="00A375E1">
        <w:rPr>
          <w:lang w:val="en-US"/>
        </w:rPr>
        <w:t xml:space="preserve">or </w:t>
      </w:r>
      <w:r w:rsidR="0055693E" w:rsidRPr="000C50A1">
        <w:rPr>
          <w:i/>
          <w:lang w:val="en-US"/>
        </w:rPr>
        <w:t>Epistemic Angst</w:t>
      </w:r>
      <w:r w:rsidR="00A9034D" w:rsidRPr="00A375E1">
        <w:rPr>
          <w:lang w:val="en-US"/>
        </w:rPr>
        <w:t xml:space="preserve"> a hinge is a combination of a specific propositional attitude with a </w:t>
      </w:r>
      <w:r w:rsidR="00123412" w:rsidRPr="00A375E1">
        <w:rPr>
          <w:lang w:val="en-US"/>
        </w:rPr>
        <w:t>particular</w:t>
      </w:r>
      <w:r w:rsidR="00A9034D" w:rsidRPr="00A375E1">
        <w:rPr>
          <w:lang w:val="en-US"/>
        </w:rPr>
        <w:t xml:space="preserve"> kind of proposition. A hinge </w:t>
      </w:r>
      <w:r w:rsidR="00492AE9" w:rsidRPr="00A375E1">
        <w:rPr>
          <w:lang w:val="en-US"/>
        </w:rPr>
        <w:t>attitude is the attitude of taking a proposition to be maximally certain, and thus as beyond justification or doubt. A hinge proposition is any proposition so taken by a subject.</w:t>
      </w:r>
    </w:p>
    <w:p w:rsidR="0024686D" w:rsidRDefault="005E30B6" w:rsidP="00A9034D">
      <w:pPr>
        <w:spacing w:after="0" w:line="360" w:lineRule="auto"/>
        <w:ind w:right="567" w:firstLine="284"/>
        <w:rPr>
          <w:lang w:val="en-US"/>
        </w:rPr>
      </w:pPr>
      <w:r w:rsidRPr="00A375E1">
        <w:rPr>
          <w:lang w:val="en-US"/>
        </w:rPr>
        <w:t>Pritchard</w:t>
      </w:r>
      <w:r w:rsidR="00665753" w:rsidRPr="00A375E1">
        <w:rPr>
          <w:lang w:val="en-US"/>
        </w:rPr>
        <w:t xml:space="preserve"> divides hinges in</w:t>
      </w:r>
      <w:r w:rsidR="00123412" w:rsidRPr="00A375E1">
        <w:rPr>
          <w:lang w:val="en-US"/>
        </w:rPr>
        <w:t>to</w:t>
      </w:r>
      <w:r w:rsidR="00665753" w:rsidRPr="00A375E1">
        <w:rPr>
          <w:lang w:val="en-US"/>
        </w:rPr>
        <w:t xml:space="preserve"> three kinds. The first </w:t>
      </w:r>
      <w:r w:rsidR="0042405F" w:rsidRPr="00A375E1">
        <w:rPr>
          <w:lang w:val="en-US"/>
        </w:rPr>
        <w:t xml:space="preserve">kind </w:t>
      </w:r>
      <w:r w:rsidR="00A967D9">
        <w:rPr>
          <w:lang w:val="en-US"/>
        </w:rPr>
        <w:t xml:space="preserve">consist of </w:t>
      </w:r>
      <w:r w:rsidR="0042405F" w:rsidRPr="00A375E1">
        <w:rPr>
          <w:lang w:val="en-US"/>
        </w:rPr>
        <w:t xml:space="preserve">the </w:t>
      </w:r>
      <w:r w:rsidR="00A9034D" w:rsidRPr="00A375E1">
        <w:rPr>
          <w:lang w:val="en-US"/>
        </w:rPr>
        <w:t xml:space="preserve">so-called </w:t>
      </w:r>
      <w:r w:rsidR="00DD0BD7">
        <w:rPr>
          <w:lang w:val="en-US"/>
        </w:rPr>
        <w:t>‘</w:t>
      </w:r>
      <w:proofErr w:type="spellStart"/>
      <w:r w:rsidRPr="000C50A1">
        <w:rPr>
          <w:i/>
          <w:lang w:val="en-US"/>
        </w:rPr>
        <w:t>über</w:t>
      </w:r>
      <w:proofErr w:type="spellEnd"/>
      <w:r w:rsidRPr="00A375E1">
        <w:rPr>
          <w:lang w:val="en-US"/>
        </w:rPr>
        <w:t xml:space="preserve"> hinge</w:t>
      </w:r>
      <w:r w:rsidR="00DD0BD7">
        <w:rPr>
          <w:lang w:val="en-US"/>
        </w:rPr>
        <w:t>’</w:t>
      </w:r>
      <w:r w:rsidR="00A9034D" w:rsidRPr="00A375E1">
        <w:rPr>
          <w:lang w:val="en-US"/>
        </w:rPr>
        <w:t xml:space="preserve">. </w:t>
      </w:r>
      <w:r w:rsidR="00A967D9">
        <w:rPr>
          <w:lang w:val="en-US"/>
        </w:rPr>
        <w:t>Its</w:t>
      </w:r>
      <w:r w:rsidR="00A9034D" w:rsidRPr="00A375E1">
        <w:rPr>
          <w:lang w:val="en-US"/>
        </w:rPr>
        <w:t xml:space="preserve"> propositional content </w:t>
      </w:r>
      <w:r w:rsidR="00665753" w:rsidRPr="00A375E1">
        <w:rPr>
          <w:lang w:val="en-US"/>
        </w:rPr>
        <w:t xml:space="preserve">is that one is </w:t>
      </w:r>
      <w:r w:rsidR="00DD0BD7">
        <w:rPr>
          <w:lang w:val="en-US"/>
        </w:rPr>
        <w:t>‘</w:t>
      </w:r>
      <w:r w:rsidR="00665753" w:rsidRPr="00A375E1">
        <w:rPr>
          <w:lang w:val="en-US"/>
        </w:rPr>
        <w:t xml:space="preserve">not </w:t>
      </w:r>
      <w:r w:rsidR="00B41483" w:rsidRPr="00A375E1">
        <w:rPr>
          <w:lang w:val="en-US"/>
        </w:rPr>
        <w:t>radically and fundamentally mistaken</w:t>
      </w:r>
      <w:r w:rsidR="00DD0BD7">
        <w:rPr>
          <w:lang w:val="en-US"/>
        </w:rPr>
        <w:t>’</w:t>
      </w:r>
      <w:r w:rsidR="00B41483" w:rsidRPr="00A375E1">
        <w:rPr>
          <w:lang w:val="en-US"/>
        </w:rPr>
        <w:t xml:space="preserve"> in </w:t>
      </w:r>
      <w:r w:rsidR="00665753" w:rsidRPr="00A375E1">
        <w:rPr>
          <w:lang w:val="en-US"/>
        </w:rPr>
        <w:t>one</w:t>
      </w:r>
      <w:r w:rsidR="00D57DCC" w:rsidRPr="00A375E1">
        <w:rPr>
          <w:lang w:val="en-US"/>
        </w:rPr>
        <w:t>’</w:t>
      </w:r>
      <w:r w:rsidR="00665753" w:rsidRPr="00A375E1">
        <w:rPr>
          <w:lang w:val="en-US"/>
        </w:rPr>
        <w:t>s</w:t>
      </w:r>
      <w:r w:rsidR="00B41483" w:rsidRPr="00A375E1">
        <w:rPr>
          <w:lang w:val="en-US"/>
        </w:rPr>
        <w:t xml:space="preserve"> beliefs (</w:t>
      </w:r>
      <w:r w:rsidR="00D051B7">
        <w:rPr>
          <w:lang w:val="en-US"/>
        </w:rPr>
        <w:t xml:space="preserve">2016: </w:t>
      </w:r>
      <w:r w:rsidR="0042405F" w:rsidRPr="00A375E1">
        <w:rPr>
          <w:lang w:val="en-US"/>
        </w:rPr>
        <w:t>86</w:t>
      </w:r>
      <w:r w:rsidR="00B41483" w:rsidRPr="00A375E1">
        <w:rPr>
          <w:lang w:val="en-US"/>
        </w:rPr>
        <w:t xml:space="preserve">). The </w:t>
      </w:r>
      <w:proofErr w:type="spellStart"/>
      <w:r w:rsidR="00B41483" w:rsidRPr="000C50A1">
        <w:rPr>
          <w:i/>
          <w:lang w:val="en-US"/>
        </w:rPr>
        <w:t>über</w:t>
      </w:r>
      <w:proofErr w:type="spellEnd"/>
      <w:r w:rsidR="00B41483" w:rsidRPr="00A375E1">
        <w:rPr>
          <w:lang w:val="en-US"/>
        </w:rPr>
        <w:t xml:space="preserve"> hinge is </w:t>
      </w:r>
      <w:r w:rsidR="00DD0BD7">
        <w:rPr>
          <w:lang w:val="en-US"/>
        </w:rPr>
        <w:t>‘</w:t>
      </w:r>
      <w:r w:rsidR="00B41483" w:rsidRPr="00A375E1">
        <w:rPr>
          <w:lang w:val="en-US"/>
        </w:rPr>
        <w:t>codified</w:t>
      </w:r>
      <w:r w:rsidR="00DD0BD7">
        <w:rPr>
          <w:lang w:val="en-US"/>
        </w:rPr>
        <w:t>’</w:t>
      </w:r>
      <w:r w:rsidR="00B41483" w:rsidRPr="00A375E1">
        <w:rPr>
          <w:lang w:val="en-US"/>
        </w:rPr>
        <w:t xml:space="preserve"> </w:t>
      </w:r>
      <w:r w:rsidR="00191244" w:rsidRPr="00A375E1">
        <w:rPr>
          <w:lang w:val="en-US"/>
        </w:rPr>
        <w:t xml:space="preserve">in </w:t>
      </w:r>
      <w:r w:rsidR="00B41483" w:rsidRPr="00A375E1">
        <w:rPr>
          <w:lang w:val="en-US"/>
        </w:rPr>
        <w:t xml:space="preserve">different </w:t>
      </w:r>
      <w:r w:rsidR="00DD0BD7">
        <w:rPr>
          <w:lang w:val="en-US"/>
        </w:rPr>
        <w:t>‘</w:t>
      </w:r>
      <w:r w:rsidR="00B41483" w:rsidRPr="000C50A1">
        <w:rPr>
          <w:i/>
          <w:lang w:val="en-US"/>
        </w:rPr>
        <w:t>personal</w:t>
      </w:r>
      <w:r w:rsidR="00B41483" w:rsidRPr="00A375E1">
        <w:rPr>
          <w:lang w:val="en-US"/>
        </w:rPr>
        <w:t xml:space="preserve"> hinges</w:t>
      </w:r>
      <w:r w:rsidR="00DD0BD7">
        <w:rPr>
          <w:lang w:val="en-US"/>
        </w:rPr>
        <w:t>’</w:t>
      </w:r>
      <w:r w:rsidR="00B41483" w:rsidRPr="00A375E1">
        <w:rPr>
          <w:lang w:val="en-US"/>
        </w:rPr>
        <w:t xml:space="preserve">. </w:t>
      </w:r>
      <w:r w:rsidR="00A9034D" w:rsidRPr="00A375E1">
        <w:rPr>
          <w:lang w:val="en-US"/>
        </w:rPr>
        <w:t xml:space="preserve">These include hinges about one’s </w:t>
      </w:r>
      <w:r w:rsidR="00B41483" w:rsidRPr="00A375E1">
        <w:rPr>
          <w:lang w:val="en-US"/>
        </w:rPr>
        <w:t xml:space="preserve">autobiography (e.g. one’s date of birth); about one’s body (e.g. one’s </w:t>
      </w:r>
      <w:r w:rsidR="00A9034D" w:rsidRPr="00A375E1">
        <w:rPr>
          <w:lang w:val="en-US"/>
        </w:rPr>
        <w:t>having two hands</w:t>
      </w:r>
      <w:r w:rsidR="00B41483" w:rsidRPr="00A375E1">
        <w:rPr>
          <w:lang w:val="en-US"/>
        </w:rPr>
        <w:t xml:space="preserve">); or hinges widely shared in </w:t>
      </w:r>
      <w:r w:rsidR="00A9034D" w:rsidRPr="00A375E1">
        <w:rPr>
          <w:lang w:val="en-US"/>
        </w:rPr>
        <w:t>a given</w:t>
      </w:r>
      <w:r w:rsidR="00B41483" w:rsidRPr="00A375E1">
        <w:rPr>
          <w:lang w:val="en-US"/>
        </w:rPr>
        <w:t xml:space="preserve"> culture. </w:t>
      </w:r>
      <w:r w:rsidR="00DD350B" w:rsidRPr="00A375E1">
        <w:rPr>
          <w:lang w:val="en-US"/>
        </w:rPr>
        <w:t xml:space="preserve">Finally, </w:t>
      </w:r>
      <w:r w:rsidR="00DD0BD7">
        <w:rPr>
          <w:lang w:val="en-US"/>
        </w:rPr>
        <w:t>‘</w:t>
      </w:r>
      <w:r w:rsidR="00DD350B" w:rsidRPr="00A375E1">
        <w:rPr>
          <w:lang w:val="en-US"/>
        </w:rPr>
        <w:t>anti-skeptical hinges</w:t>
      </w:r>
      <w:r w:rsidR="00DD0BD7">
        <w:rPr>
          <w:lang w:val="en-US"/>
        </w:rPr>
        <w:t>’</w:t>
      </w:r>
      <w:r w:rsidR="00DD350B" w:rsidRPr="00A375E1">
        <w:rPr>
          <w:lang w:val="en-US"/>
        </w:rPr>
        <w:t xml:space="preserve"> are the denial</w:t>
      </w:r>
      <w:r w:rsidR="00665753" w:rsidRPr="00A375E1">
        <w:rPr>
          <w:lang w:val="en-US"/>
        </w:rPr>
        <w:t>s</w:t>
      </w:r>
      <w:r w:rsidR="00DD350B" w:rsidRPr="00A375E1">
        <w:rPr>
          <w:lang w:val="en-US"/>
        </w:rPr>
        <w:t xml:space="preserve"> of radical skeptical positions</w:t>
      </w:r>
      <w:r w:rsidR="00665753" w:rsidRPr="00A375E1">
        <w:rPr>
          <w:lang w:val="en-US"/>
        </w:rPr>
        <w:t xml:space="preserve">: </w:t>
      </w:r>
      <w:r w:rsidR="00A9034D" w:rsidRPr="00A375E1">
        <w:rPr>
          <w:lang w:val="en-US"/>
        </w:rPr>
        <w:t>for instance,</w:t>
      </w:r>
      <w:r w:rsidR="00B37E7B" w:rsidRPr="00A375E1">
        <w:rPr>
          <w:lang w:val="en-US"/>
        </w:rPr>
        <w:t xml:space="preserve"> that I am not a </w:t>
      </w:r>
      <w:r w:rsidR="00B37E7B" w:rsidRPr="00A967D9">
        <w:rPr>
          <w:i/>
          <w:lang w:val="en-US"/>
        </w:rPr>
        <w:t>BIV</w:t>
      </w:r>
      <w:r w:rsidR="00DD350B" w:rsidRPr="00A375E1">
        <w:rPr>
          <w:lang w:val="en-US"/>
        </w:rPr>
        <w:t xml:space="preserve">. The </w:t>
      </w:r>
      <w:proofErr w:type="spellStart"/>
      <w:r w:rsidR="00DD350B" w:rsidRPr="000C50A1">
        <w:rPr>
          <w:i/>
          <w:lang w:val="en-US"/>
        </w:rPr>
        <w:t>über</w:t>
      </w:r>
      <w:proofErr w:type="spellEnd"/>
      <w:r w:rsidR="00DD350B" w:rsidRPr="00A375E1">
        <w:rPr>
          <w:lang w:val="en-US"/>
        </w:rPr>
        <w:t xml:space="preserve"> hinge is the </w:t>
      </w:r>
      <w:r w:rsidR="00DD0BD7">
        <w:rPr>
          <w:lang w:val="en-US"/>
        </w:rPr>
        <w:t>‘</w:t>
      </w:r>
      <w:r w:rsidR="00DD350B" w:rsidRPr="00A375E1">
        <w:rPr>
          <w:lang w:val="en-US"/>
        </w:rPr>
        <w:t>common core</w:t>
      </w:r>
      <w:r w:rsidR="00DD0BD7">
        <w:rPr>
          <w:lang w:val="en-US"/>
        </w:rPr>
        <w:t>’</w:t>
      </w:r>
      <w:r w:rsidR="00DD350B" w:rsidRPr="00A375E1">
        <w:rPr>
          <w:lang w:val="en-US"/>
        </w:rPr>
        <w:t xml:space="preserve"> of all hinges and gives them unity (</w:t>
      </w:r>
      <w:r w:rsidR="00D051B7">
        <w:rPr>
          <w:lang w:val="en-US"/>
        </w:rPr>
        <w:t xml:space="preserve">2016: </w:t>
      </w:r>
      <w:r w:rsidR="00A9034D" w:rsidRPr="00A375E1">
        <w:rPr>
          <w:lang w:val="en-US"/>
        </w:rPr>
        <w:t>96</w:t>
      </w:r>
      <w:r w:rsidR="00DD350B" w:rsidRPr="00A375E1">
        <w:rPr>
          <w:lang w:val="en-US"/>
        </w:rPr>
        <w:t>).</w:t>
      </w:r>
    </w:p>
    <w:p w:rsidR="0050155D" w:rsidRPr="0050155D" w:rsidRDefault="0050155D" w:rsidP="00A9034D">
      <w:pPr>
        <w:spacing w:after="0" w:line="360" w:lineRule="auto"/>
        <w:ind w:right="567" w:firstLine="284"/>
        <w:rPr>
          <w:lang w:val="en-US"/>
        </w:rPr>
      </w:pPr>
      <w:r w:rsidRPr="000C50A1">
        <w:rPr>
          <w:i/>
          <w:lang w:val="en-US"/>
        </w:rPr>
        <w:t>Epistemic Angst</w:t>
      </w:r>
      <w:r>
        <w:rPr>
          <w:lang w:val="en-US"/>
        </w:rPr>
        <w:t xml:space="preserve"> rejects what Pritchard calls </w:t>
      </w:r>
      <w:r w:rsidR="00DD0BD7">
        <w:rPr>
          <w:lang w:val="en-US"/>
        </w:rPr>
        <w:t>‘</w:t>
      </w:r>
      <w:r>
        <w:rPr>
          <w:lang w:val="en-US"/>
        </w:rPr>
        <w:t xml:space="preserve">a highly context-sensitive account of hinge commitments. Hinges do not change radically from person to person, and from one situation to another. Hinge proposition are </w:t>
      </w:r>
      <w:r w:rsidR="00DD0BD7">
        <w:rPr>
          <w:lang w:val="en-US"/>
        </w:rPr>
        <w:t>‘</w:t>
      </w:r>
      <w:r>
        <w:rPr>
          <w:lang w:val="en-US"/>
        </w:rPr>
        <w:t>specific … to particular people (within cultures, epochs, and so on)</w:t>
      </w:r>
      <w:r w:rsidR="00DD0BD7">
        <w:rPr>
          <w:lang w:val="en-US"/>
        </w:rPr>
        <w:t>’</w:t>
      </w:r>
      <w:r>
        <w:rPr>
          <w:lang w:val="en-US"/>
        </w:rPr>
        <w:t xml:space="preserve"> (</w:t>
      </w:r>
      <w:r w:rsidR="00D051B7">
        <w:rPr>
          <w:lang w:val="en-US"/>
        </w:rPr>
        <w:t xml:space="preserve">2016: </w:t>
      </w:r>
      <w:r>
        <w:rPr>
          <w:lang w:val="en-US"/>
        </w:rPr>
        <w:t xml:space="preserve">95). Although hinges can change over time, </w:t>
      </w:r>
      <w:r w:rsidR="00DD0BD7">
        <w:rPr>
          <w:lang w:val="en-US"/>
        </w:rPr>
        <w:t>‘</w:t>
      </w:r>
      <w:r>
        <w:rPr>
          <w:lang w:val="en-US"/>
        </w:rPr>
        <w:t>these changes are entirely at the periphery and the rate of change is inevitably slow</w:t>
      </w:r>
      <w:r w:rsidR="00DD0BD7">
        <w:rPr>
          <w:lang w:val="en-US"/>
        </w:rPr>
        <w:t>’</w:t>
      </w:r>
      <w:r>
        <w:rPr>
          <w:lang w:val="en-US"/>
        </w:rPr>
        <w:t xml:space="preserve"> (</w:t>
      </w:r>
      <w:r w:rsidR="00D051B7">
        <w:rPr>
          <w:lang w:val="en-US"/>
        </w:rPr>
        <w:t xml:space="preserve">2016: </w:t>
      </w:r>
      <w:r>
        <w:rPr>
          <w:lang w:val="en-US"/>
        </w:rPr>
        <w:t xml:space="preserve">97). </w:t>
      </w:r>
    </w:p>
    <w:p w:rsidR="005B0D94" w:rsidRPr="00A375E1" w:rsidRDefault="0024686D" w:rsidP="00994562">
      <w:pPr>
        <w:spacing w:after="0" w:line="360" w:lineRule="auto"/>
        <w:ind w:right="567" w:firstLine="284"/>
        <w:rPr>
          <w:lang w:val="en-US"/>
        </w:rPr>
      </w:pPr>
      <w:r w:rsidRPr="00A375E1">
        <w:rPr>
          <w:lang w:val="en-US"/>
        </w:rPr>
        <w:t xml:space="preserve">Pritchard insists that </w:t>
      </w:r>
      <w:r w:rsidR="00D57DCC" w:rsidRPr="00A375E1">
        <w:rPr>
          <w:lang w:val="en-US"/>
        </w:rPr>
        <w:t xml:space="preserve">the propositional attitude characteristic of hinges is not </w:t>
      </w:r>
      <w:r w:rsidRPr="00A375E1">
        <w:rPr>
          <w:lang w:val="en-US"/>
        </w:rPr>
        <w:t>belief</w:t>
      </w:r>
      <w:r w:rsidR="005B0D94" w:rsidRPr="00A375E1">
        <w:rPr>
          <w:lang w:val="en-US"/>
        </w:rPr>
        <w:t xml:space="preserve"> or knowing</w:t>
      </w:r>
      <w:r w:rsidRPr="00A375E1">
        <w:rPr>
          <w:lang w:val="en-US"/>
        </w:rPr>
        <w:t xml:space="preserve">. </w:t>
      </w:r>
      <w:r w:rsidR="00994562" w:rsidRPr="00A375E1">
        <w:rPr>
          <w:lang w:val="en-US"/>
        </w:rPr>
        <w:t xml:space="preserve">Belief or knowledge (that </w:t>
      </w:r>
      <w:r w:rsidR="00994562" w:rsidRPr="000C50A1">
        <w:rPr>
          <w:i/>
          <w:lang w:val="en-US"/>
        </w:rPr>
        <w:t>p</w:t>
      </w:r>
      <w:r w:rsidR="00994562" w:rsidRPr="00A375E1">
        <w:rPr>
          <w:lang w:val="en-US"/>
        </w:rPr>
        <w:t xml:space="preserve">) are propositional attitudes that one gives up the moment one recognizes that one has no rational basis for taking </w:t>
      </w:r>
      <w:r w:rsidR="00994562" w:rsidRPr="00C2337C">
        <w:rPr>
          <w:i/>
          <w:lang w:val="en-US"/>
        </w:rPr>
        <w:t>p</w:t>
      </w:r>
      <w:r w:rsidR="00994562" w:rsidRPr="00A375E1">
        <w:rPr>
          <w:lang w:val="en-US"/>
        </w:rPr>
        <w:t xml:space="preserve"> to be true. For </w:t>
      </w:r>
      <w:r w:rsidR="0055693E" w:rsidRPr="00A375E1">
        <w:rPr>
          <w:lang w:val="en-US"/>
        </w:rPr>
        <w:t xml:space="preserve">our </w:t>
      </w:r>
      <w:r w:rsidR="00994562" w:rsidRPr="00A375E1">
        <w:rPr>
          <w:lang w:val="en-US"/>
        </w:rPr>
        <w:t>hinge propositions</w:t>
      </w:r>
      <w:r w:rsidR="0055693E" w:rsidRPr="00A375E1">
        <w:rPr>
          <w:lang w:val="en-US"/>
        </w:rPr>
        <w:t>,</w:t>
      </w:r>
      <w:r w:rsidR="00994562" w:rsidRPr="00A375E1">
        <w:rPr>
          <w:lang w:val="en-US"/>
        </w:rPr>
        <w:t xml:space="preserve"> </w:t>
      </w:r>
      <w:r w:rsidR="0055693E" w:rsidRPr="00A375E1">
        <w:rPr>
          <w:lang w:val="en-US"/>
        </w:rPr>
        <w:t xml:space="preserve">however, </w:t>
      </w:r>
      <w:r w:rsidR="00994562" w:rsidRPr="00A375E1">
        <w:rPr>
          <w:lang w:val="en-US"/>
        </w:rPr>
        <w:t xml:space="preserve">we do not have any evidence; and yet, this is no reason for us not to take them to be true. </w:t>
      </w:r>
      <w:r w:rsidR="0055693E" w:rsidRPr="00A375E1">
        <w:rPr>
          <w:lang w:val="en-US"/>
        </w:rPr>
        <w:t xml:space="preserve">Pritchard explains the special role of hinges vis-à-vis evidence as follows. </w:t>
      </w:r>
      <w:r w:rsidR="0096576A" w:rsidRPr="00A375E1">
        <w:rPr>
          <w:lang w:val="en-US"/>
        </w:rPr>
        <w:t>In order for one proposition or experience (=</w:t>
      </w:r>
      <w:r w:rsidR="0096576A" w:rsidRPr="000C50A1">
        <w:rPr>
          <w:i/>
          <w:lang w:val="en-US"/>
        </w:rPr>
        <w:t>a</w:t>
      </w:r>
      <w:r w:rsidR="0096576A" w:rsidRPr="00A375E1">
        <w:rPr>
          <w:lang w:val="en-US"/>
        </w:rPr>
        <w:t>) to be rational support for another proposition (=</w:t>
      </w:r>
      <w:r w:rsidR="0096576A" w:rsidRPr="000C50A1">
        <w:rPr>
          <w:i/>
          <w:lang w:val="en-US"/>
        </w:rPr>
        <w:t>b</w:t>
      </w:r>
      <w:r w:rsidR="0096576A" w:rsidRPr="00A375E1">
        <w:rPr>
          <w:lang w:val="en-US"/>
        </w:rPr>
        <w:t xml:space="preserve">), </w:t>
      </w:r>
      <w:r w:rsidR="0096576A" w:rsidRPr="000C50A1">
        <w:rPr>
          <w:i/>
          <w:lang w:val="en-US"/>
        </w:rPr>
        <w:t>a</w:t>
      </w:r>
      <w:r w:rsidR="0096576A" w:rsidRPr="00A375E1">
        <w:rPr>
          <w:lang w:val="en-US"/>
        </w:rPr>
        <w:t xml:space="preserve"> must be more certain than </w:t>
      </w:r>
      <w:r w:rsidR="0096576A" w:rsidRPr="000C50A1">
        <w:rPr>
          <w:i/>
          <w:lang w:val="en-US"/>
        </w:rPr>
        <w:t>b</w:t>
      </w:r>
      <w:r w:rsidR="0096576A" w:rsidRPr="00A375E1">
        <w:rPr>
          <w:lang w:val="en-US"/>
        </w:rPr>
        <w:t xml:space="preserve">. But hinge propositions are maximally certain. </w:t>
      </w:r>
      <w:r w:rsidR="005B0D94" w:rsidRPr="00A375E1">
        <w:rPr>
          <w:lang w:val="en-US"/>
        </w:rPr>
        <w:t xml:space="preserve">Hence there is no </w:t>
      </w:r>
      <w:r w:rsidR="00753DD0" w:rsidRPr="00A375E1">
        <w:rPr>
          <w:lang w:val="en-US"/>
        </w:rPr>
        <w:t xml:space="preserve">evidence for the truth of hinge propositions. Pritchard draws this lesson from §125 where Wittgenstein suggests that it would not make sense for him to check by looking whether he has got two hands: </w:t>
      </w:r>
      <w:r w:rsidR="00DD0BD7">
        <w:rPr>
          <w:lang w:val="en-US"/>
        </w:rPr>
        <w:t>‘</w:t>
      </w:r>
      <w:r w:rsidR="00753DD0" w:rsidRPr="00A375E1">
        <w:rPr>
          <w:lang w:val="en-US"/>
        </w:rPr>
        <w:t xml:space="preserve">For why shouldn't I test my </w:t>
      </w:r>
      <w:r w:rsidR="00753DD0" w:rsidRPr="000C50A1">
        <w:rPr>
          <w:i/>
          <w:iCs/>
          <w:lang w:val="en-US"/>
        </w:rPr>
        <w:t>eyes</w:t>
      </w:r>
      <w:r w:rsidR="00753DD0" w:rsidRPr="00A375E1">
        <w:rPr>
          <w:lang w:val="en-US"/>
        </w:rPr>
        <w:t xml:space="preserve"> by looking to find out whether I see my two hands?</w:t>
      </w:r>
      <w:r w:rsidR="00DD0BD7">
        <w:rPr>
          <w:lang w:val="en-US"/>
        </w:rPr>
        <w:t>’</w:t>
      </w:r>
    </w:p>
    <w:p w:rsidR="00DD1D32" w:rsidRPr="00A375E1" w:rsidRDefault="00DD1D32" w:rsidP="00BB4DE0">
      <w:pPr>
        <w:spacing w:after="0" w:line="360" w:lineRule="auto"/>
        <w:ind w:right="567" w:firstLine="284"/>
        <w:rPr>
          <w:lang w:val="en-US"/>
        </w:rPr>
      </w:pPr>
      <w:r w:rsidRPr="00A375E1">
        <w:rPr>
          <w:lang w:val="en-US"/>
        </w:rPr>
        <w:t xml:space="preserve">Pritchard recognizes </w:t>
      </w:r>
      <w:r w:rsidR="00123412" w:rsidRPr="00A375E1">
        <w:rPr>
          <w:lang w:val="en-US"/>
        </w:rPr>
        <w:t xml:space="preserve">two </w:t>
      </w:r>
      <w:r w:rsidRPr="000C50A1">
        <w:rPr>
          <w:i/>
          <w:lang w:val="en-US"/>
        </w:rPr>
        <w:t>prima facie</w:t>
      </w:r>
      <w:r w:rsidRPr="00A375E1">
        <w:rPr>
          <w:lang w:val="en-US"/>
        </w:rPr>
        <w:t xml:space="preserve"> problems for h</w:t>
      </w:r>
      <w:r w:rsidR="00BB4DE0" w:rsidRPr="00A375E1">
        <w:rPr>
          <w:lang w:val="en-US"/>
        </w:rPr>
        <w:t xml:space="preserve">is view of hinge </w:t>
      </w:r>
      <w:r w:rsidRPr="00A375E1">
        <w:rPr>
          <w:lang w:val="en-US"/>
        </w:rPr>
        <w:t>commitments. Take the following propositions:</w:t>
      </w:r>
    </w:p>
    <w:p w:rsidR="00DD1D32" w:rsidRPr="00A375E1" w:rsidRDefault="00DD1D32" w:rsidP="00A849A9">
      <w:pPr>
        <w:spacing w:after="0" w:line="360" w:lineRule="auto"/>
        <w:ind w:right="567" w:firstLine="284"/>
        <w:rPr>
          <w:lang w:val="en-US"/>
        </w:rPr>
      </w:pPr>
    </w:p>
    <w:p w:rsidR="00DD1D32" w:rsidRPr="00A375E1" w:rsidRDefault="00DD1D32" w:rsidP="00A849A9">
      <w:pPr>
        <w:spacing w:after="0" w:line="360" w:lineRule="auto"/>
        <w:ind w:right="567" w:firstLine="284"/>
        <w:rPr>
          <w:lang w:val="en-US"/>
        </w:rPr>
      </w:pPr>
      <w:r w:rsidRPr="00A375E1">
        <w:rPr>
          <w:lang w:val="en-US"/>
        </w:rPr>
        <w:t>(*) Napoleon died in 1821.</w:t>
      </w:r>
    </w:p>
    <w:p w:rsidR="00DD1D32" w:rsidRPr="00A375E1" w:rsidRDefault="00DD1D32" w:rsidP="00A849A9">
      <w:pPr>
        <w:spacing w:after="0" w:line="360" w:lineRule="auto"/>
        <w:ind w:right="567" w:firstLine="284"/>
        <w:rPr>
          <w:lang w:val="en-US"/>
        </w:rPr>
      </w:pPr>
      <w:r w:rsidRPr="00A375E1">
        <w:rPr>
          <w:lang w:val="en-US"/>
        </w:rPr>
        <w:t>(+) The Earth has existed for a long time.</w:t>
      </w:r>
    </w:p>
    <w:p w:rsidR="005B0D94" w:rsidRPr="00A375E1" w:rsidRDefault="00DD1D32" w:rsidP="00A849A9">
      <w:pPr>
        <w:spacing w:after="0" w:line="360" w:lineRule="auto"/>
        <w:ind w:right="567" w:firstLine="284"/>
        <w:rPr>
          <w:lang w:val="en-US"/>
        </w:rPr>
      </w:pPr>
      <w:r w:rsidRPr="00A375E1">
        <w:rPr>
          <w:lang w:val="en-US"/>
        </w:rPr>
        <w:lastRenderedPageBreak/>
        <w:tab/>
      </w:r>
    </w:p>
    <w:p w:rsidR="00554818" w:rsidRPr="00A375E1" w:rsidRDefault="00A849A9" w:rsidP="00D57DCC">
      <w:pPr>
        <w:spacing w:after="0" w:line="360" w:lineRule="auto"/>
        <w:ind w:right="567"/>
        <w:rPr>
          <w:lang w:val="en-US"/>
        </w:rPr>
      </w:pPr>
      <w:r w:rsidRPr="00A375E1">
        <w:rPr>
          <w:rStyle w:val="st"/>
          <w:lang w:val="en-US"/>
        </w:rPr>
        <w:t xml:space="preserve">(*) is meant to be some ordinary, uncontroversial piece of knowledge. (+) is a hinge proposition. (*) </w:t>
      </w:r>
      <w:r w:rsidR="00123412" w:rsidRPr="00A375E1">
        <w:rPr>
          <w:rStyle w:val="st"/>
          <w:lang w:val="en-US"/>
        </w:rPr>
        <w:t xml:space="preserve">seems to </w:t>
      </w:r>
      <w:r w:rsidR="00702F3F">
        <w:rPr>
          <w:rStyle w:val="st"/>
          <w:lang w:val="en-US"/>
        </w:rPr>
        <w:t>entail</w:t>
      </w:r>
      <w:r w:rsidRPr="00A375E1">
        <w:rPr>
          <w:rStyle w:val="st"/>
          <w:lang w:val="en-US"/>
        </w:rPr>
        <w:t xml:space="preserve"> (+). But then, why can’t I treat this entailment as giving me a rational ground for believing (+)? </w:t>
      </w:r>
      <w:r w:rsidR="00554818" w:rsidRPr="00A375E1">
        <w:rPr>
          <w:rStyle w:val="st"/>
          <w:lang w:val="en-US"/>
        </w:rPr>
        <w:t xml:space="preserve">Call this </w:t>
      </w:r>
      <w:r w:rsidR="00DD0BD7">
        <w:rPr>
          <w:rStyle w:val="st"/>
          <w:lang w:val="en-US"/>
        </w:rPr>
        <w:t>‘</w:t>
      </w:r>
      <w:r w:rsidR="00554818" w:rsidRPr="00A375E1">
        <w:rPr>
          <w:rStyle w:val="st"/>
          <w:lang w:val="en-US"/>
        </w:rPr>
        <w:t>Problem</w:t>
      </w:r>
      <w:r w:rsidR="00554818" w:rsidRPr="00A375E1">
        <w:rPr>
          <w:rStyle w:val="st"/>
          <w:vertAlign w:val="subscript"/>
          <w:lang w:val="en-US"/>
        </w:rPr>
        <w:t>1</w:t>
      </w:r>
      <w:r w:rsidR="00DD0BD7">
        <w:rPr>
          <w:rStyle w:val="st"/>
          <w:lang w:val="en-US"/>
        </w:rPr>
        <w:t>’</w:t>
      </w:r>
      <w:r w:rsidR="00554818" w:rsidRPr="00A375E1">
        <w:rPr>
          <w:rStyle w:val="st"/>
          <w:lang w:val="en-US"/>
        </w:rPr>
        <w:t xml:space="preserve">. </w:t>
      </w:r>
      <w:r w:rsidRPr="00A375E1">
        <w:rPr>
          <w:lang w:val="en-US"/>
        </w:rPr>
        <w:t xml:space="preserve">Or recall the closure principle. </w:t>
      </w:r>
      <w:r w:rsidR="005B0D94" w:rsidRPr="00A375E1">
        <w:rPr>
          <w:rStyle w:val="st"/>
          <w:lang w:val="en-US"/>
        </w:rPr>
        <w:t>(*) entails (+)</w:t>
      </w:r>
      <w:r w:rsidRPr="00A375E1">
        <w:rPr>
          <w:rStyle w:val="st"/>
          <w:lang w:val="en-US"/>
        </w:rPr>
        <w:t>, and I know (</w:t>
      </w:r>
      <w:r w:rsidR="00BB4DE0" w:rsidRPr="00A375E1">
        <w:rPr>
          <w:rStyle w:val="st"/>
          <w:lang w:val="en-US"/>
        </w:rPr>
        <w:t>*</w:t>
      </w:r>
      <w:r w:rsidRPr="00A375E1">
        <w:rPr>
          <w:rStyle w:val="st"/>
          <w:lang w:val="en-US"/>
        </w:rPr>
        <w:t>). But then to know (*) I have to know (+). But Pritchard says that we cannot know (+).</w:t>
      </w:r>
      <w:r w:rsidR="00BB4DE0" w:rsidRPr="00A375E1">
        <w:rPr>
          <w:rStyle w:val="st"/>
          <w:lang w:val="en-US"/>
        </w:rPr>
        <w:t xml:space="preserve"> Does this not invite the skeptical </w:t>
      </w:r>
      <w:r w:rsidR="00D57DCC" w:rsidRPr="00A375E1">
        <w:rPr>
          <w:rStyle w:val="st"/>
          <w:lang w:val="en-US"/>
        </w:rPr>
        <w:t>conclusion</w:t>
      </w:r>
      <w:r w:rsidR="00BB4DE0" w:rsidRPr="00A375E1">
        <w:rPr>
          <w:rStyle w:val="st"/>
          <w:lang w:val="en-US"/>
        </w:rPr>
        <w:t xml:space="preserve">? </w:t>
      </w:r>
      <w:r w:rsidR="00554818" w:rsidRPr="00A375E1">
        <w:rPr>
          <w:rStyle w:val="st"/>
          <w:lang w:val="en-US"/>
        </w:rPr>
        <w:t xml:space="preserve">Call this </w:t>
      </w:r>
      <w:r w:rsidR="00DD0BD7">
        <w:rPr>
          <w:rStyle w:val="st"/>
          <w:lang w:val="en-US"/>
        </w:rPr>
        <w:t>‘</w:t>
      </w:r>
      <w:r w:rsidR="00554818" w:rsidRPr="00A375E1">
        <w:rPr>
          <w:rStyle w:val="st"/>
          <w:lang w:val="en-US"/>
        </w:rPr>
        <w:t>Problem</w:t>
      </w:r>
      <w:r w:rsidR="00554818" w:rsidRPr="00A375E1">
        <w:rPr>
          <w:rStyle w:val="st"/>
          <w:vertAlign w:val="subscript"/>
          <w:lang w:val="en-US"/>
        </w:rPr>
        <w:t>2</w:t>
      </w:r>
      <w:r w:rsidR="00DD0BD7">
        <w:rPr>
          <w:rStyle w:val="st"/>
          <w:lang w:val="en-US"/>
        </w:rPr>
        <w:t>’</w:t>
      </w:r>
      <w:r w:rsidR="00554818" w:rsidRPr="00A375E1">
        <w:rPr>
          <w:rStyle w:val="st"/>
          <w:lang w:val="en-US"/>
        </w:rPr>
        <w:t>.</w:t>
      </w:r>
      <w:r w:rsidR="00D57DCC" w:rsidRPr="00A375E1">
        <w:rPr>
          <w:rStyle w:val="st"/>
          <w:lang w:val="en-US"/>
        </w:rPr>
        <w:t xml:space="preserve"> </w:t>
      </w:r>
      <w:r w:rsidR="00DD1D32" w:rsidRPr="00A375E1">
        <w:rPr>
          <w:rStyle w:val="st"/>
          <w:lang w:val="en-US"/>
        </w:rPr>
        <w:t>Pritchard’s solution</w:t>
      </w:r>
      <w:r w:rsidRPr="00A375E1">
        <w:rPr>
          <w:rStyle w:val="st"/>
          <w:lang w:val="en-US"/>
        </w:rPr>
        <w:t xml:space="preserve"> </w:t>
      </w:r>
      <w:r w:rsidR="00554818" w:rsidRPr="00A375E1">
        <w:rPr>
          <w:rStyle w:val="st"/>
          <w:lang w:val="en-US"/>
        </w:rPr>
        <w:t>to Problem</w:t>
      </w:r>
      <w:r w:rsidR="00554818" w:rsidRPr="00A375E1">
        <w:rPr>
          <w:rStyle w:val="st"/>
          <w:vertAlign w:val="subscript"/>
          <w:lang w:val="en-US"/>
        </w:rPr>
        <w:t>1</w:t>
      </w:r>
      <w:r w:rsidR="00554818" w:rsidRPr="00A375E1">
        <w:rPr>
          <w:rStyle w:val="st"/>
          <w:lang w:val="en-US"/>
        </w:rPr>
        <w:t xml:space="preserve"> </w:t>
      </w:r>
      <w:r w:rsidRPr="00A375E1">
        <w:rPr>
          <w:rStyle w:val="st"/>
          <w:lang w:val="en-US"/>
        </w:rPr>
        <w:t xml:space="preserve">is to insist that </w:t>
      </w:r>
      <w:r w:rsidR="00554818" w:rsidRPr="00A375E1">
        <w:rPr>
          <w:rStyle w:val="st"/>
          <w:lang w:val="en-US"/>
        </w:rPr>
        <w:t xml:space="preserve">although (+) can be deduced from </w:t>
      </w:r>
      <w:r w:rsidRPr="00A375E1">
        <w:rPr>
          <w:rStyle w:val="st"/>
          <w:lang w:val="en-US"/>
        </w:rPr>
        <w:t>(*)</w:t>
      </w:r>
      <w:r w:rsidR="00554818" w:rsidRPr="00A375E1">
        <w:rPr>
          <w:rStyle w:val="st"/>
          <w:lang w:val="en-US"/>
        </w:rPr>
        <w:t>,</w:t>
      </w:r>
      <w:r w:rsidRPr="00A375E1">
        <w:rPr>
          <w:rStyle w:val="st"/>
          <w:lang w:val="en-US"/>
        </w:rPr>
        <w:t xml:space="preserve"> </w:t>
      </w:r>
      <w:r w:rsidR="00DD0BD7">
        <w:rPr>
          <w:lang w:val="en-US"/>
        </w:rPr>
        <w:t>‘</w:t>
      </w:r>
      <w:r w:rsidR="00554818" w:rsidRPr="00A375E1">
        <w:rPr>
          <w:lang w:val="en-US"/>
        </w:rPr>
        <w:t xml:space="preserve">… the propositional attitude that results from such deductions … cannot be a genuine (knowledge-apt) believing, but is instead a mere codification of the prior </w:t>
      </w:r>
      <w:proofErr w:type="spellStart"/>
      <w:r w:rsidR="00554818" w:rsidRPr="00A375E1">
        <w:rPr>
          <w:lang w:val="en-US"/>
        </w:rPr>
        <w:t>über</w:t>
      </w:r>
      <w:proofErr w:type="spellEnd"/>
      <w:r w:rsidR="00554818" w:rsidRPr="00A375E1">
        <w:rPr>
          <w:lang w:val="en-US"/>
        </w:rPr>
        <w:t xml:space="preserve"> hinge commitment …</w:t>
      </w:r>
      <w:r w:rsidR="00DD0BD7">
        <w:rPr>
          <w:lang w:val="en-US"/>
        </w:rPr>
        <w:t>’</w:t>
      </w:r>
      <w:r w:rsidR="00554818" w:rsidRPr="00A375E1">
        <w:rPr>
          <w:lang w:val="en-US"/>
        </w:rPr>
        <w:t xml:space="preserve"> (</w:t>
      </w:r>
      <w:r w:rsidR="00D051B7">
        <w:rPr>
          <w:lang w:val="en-US"/>
        </w:rPr>
        <w:t xml:space="preserve">2016: </w:t>
      </w:r>
      <w:r w:rsidR="00554818" w:rsidRPr="00A375E1">
        <w:rPr>
          <w:lang w:val="en-US"/>
        </w:rPr>
        <w:t xml:space="preserve">102). And Pritchard deals with </w:t>
      </w:r>
      <w:r w:rsidR="00554818" w:rsidRPr="00A375E1">
        <w:rPr>
          <w:rStyle w:val="st"/>
          <w:lang w:val="en-US"/>
        </w:rPr>
        <w:t>Problem</w:t>
      </w:r>
      <w:r w:rsidR="00554818" w:rsidRPr="00A375E1">
        <w:rPr>
          <w:rStyle w:val="st"/>
          <w:vertAlign w:val="subscript"/>
          <w:lang w:val="en-US"/>
        </w:rPr>
        <w:t>2</w:t>
      </w:r>
      <w:r w:rsidR="00554818" w:rsidRPr="00A375E1">
        <w:rPr>
          <w:rStyle w:val="st"/>
          <w:lang w:val="en-US"/>
        </w:rPr>
        <w:t xml:space="preserve"> simply by restricting the </w:t>
      </w:r>
      <w:r w:rsidR="00D57DCC" w:rsidRPr="00A375E1">
        <w:rPr>
          <w:rStyle w:val="st"/>
          <w:lang w:val="en-US"/>
        </w:rPr>
        <w:t>applicability</w:t>
      </w:r>
      <w:r w:rsidR="00554818" w:rsidRPr="00A375E1">
        <w:rPr>
          <w:rStyle w:val="st"/>
          <w:lang w:val="en-US"/>
        </w:rPr>
        <w:t xml:space="preserve"> of </w:t>
      </w:r>
      <w:r w:rsidR="00554818" w:rsidRPr="00A375E1">
        <w:rPr>
          <w:lang w:val="en-US"/>
        </w:rPr>
        <w:t xml:space="preserve">closure to beliefs. </w:t>
      </w:r>
    </w:p>
    <w:p w:rsidR="004E7EE5" w:rsidRPr="00A375E1" w:rsidRDefault="00BB4DE0" w:rsidP="00D57DCC">
      <w:pPr>
        <w:spacing w:after="0" w:line="360" w:lineRule="auto"/>
        <w:ind w:right="567" w:firstLine="284"/>
        <w:rPr>
          <w:lang w:val="en-US"/>
        </w:rPr>
      </w:pPr>
      <w:r w:rsidRPr="00A375E1">
        <w:rPr>
          <w:lang w:val="en-US"/>
        </w:rPr>
        <w:t xml:space="preserve">In </w:t>
      </w:r>
      <w:r w:rsidR="00D57DCC" w:rsidRPr="00A375E1">
        <w:rPr>
          <w:lang w:val="en-US"/>
        </w:rPr>
        <w:t>contend</w:t>
      </w:r>
      <w:r w:rsidRPr="00A375E1">
        <w:rPr>
          <w:lang w:val="en-US"/>
        </w:rPr>
        <w:t xml:space="preserve">ing that hinges are not rationally grounded, Pritchard is not just opposing internalist notions of justification. He also </w:t>
      </w:r>
      <w:r w:rsidR="00D57DCC" w:rsidRPr="00A375E1">
        <w:rPr>
          <w:lang w:val="en-US"/>
        </w:rPr>
        <w:t>means to exclude</w:t>
      </w:r>
      <w:r w:rsidRPr="00A375E1">
        <w:rPr>
          <w:lang w:val="en-US"/>
        </w:rPr>
        <w:t xml:space="preserve"> externalist renderings. </w:t>
      </w:r>
      <w:r w:rsidR="00933B1E" w:rsidRPr="00A375E1">
        <w:rPr>
          <w:lang w:val="en-US"/>
        </w:rPr>
        <w:t xml:space="preserve">Focusing on a process </w:t>
      </w:r>
      <w:proofErr w:type="spellStart"/>
      <w:r w:rsidR="00933B1E" w:rsidRPr="00A375E1">
        <w:rPr>
          <w:lang w:val="en-US"/>
        </w:rPr>
        <w:t>reliabilist</w:t>
      </w:r>
      <w:proofErr w:type="spellEnd"/>
      <w:r w:rsidR="00933B1E" w:rsidRPr="00A375E1">
        <w:rPr>
          <w:lang w:val="en-US"/>
        </w:rPr>
        <w:t xml:space="preserve"> version of externalism, he </w:t>
      </w:r>
      <w:r w:rsidR="00D57DCC" w:rsidRPr="00A375E1">
        <w:rPr>
          <w:lang w:val="en-US"/>
        </w:rPr>
        <w:t>maintains</w:t>
      </w:r>
      <w:r w:rsidR="00933B1E" w:rsidRPr="00A375E1">
        <w:rPr>
          <w:lang w:val="en-US"/>
        </w:rPr>
        <w:t xml:space="preserve"> that hinge commitments are not </w:t>
      </w:r>
      <w:r w:rsidR="00DD0BD7">
        <w:rPr>
          <w:lang w:val="en-US"/>
        </w:rPr>
        <w:t>‘</w:t>
      </w:r>
      <w:r w:rsidRPr="00A375E1">
        <w:rPr>
          <w:lang w:val="en-US"/>
        </w:rPr>
        <w:t>the produce of any specific kind of belief-forming process</w:t>
      </w:r>
      <w:r w:rsidR="00DD0BD7">
        <w:rPr>
          <w:lang w:val="en-US"/>
        </w:rPr>
        <w:t>’</w:t>
      </w:r>
      <w:r w:rsidRPr="00A375E1">
        <w:rPr>
          <w:lang w:val="en-US"/>
        </w:rPr>
        <w:t xml:space="preserve"> (</w:t>
      </w:r>
      <w:r w:rsidR="00D051B7">
        <w:rPr>
          <w:lang w:val="en-US"/>
        </w:rPr>
        <w:t xml:space="preserve">2016: </w:t>
      </w:r>
      <w:r w:rsidR="00D57DCC" w:rsidRPr="00A375E1">
        <w:rPr>
          <w:lang w:val="en-US"/>
        </w:rPr>
        <w:t>76</w:t>
      </w:r>
      <w:r w:rsidRPr="00A375E1">
        <w:rPr>
          <w:lang w:val="en-US"/>
        </w:rPr>
        <w:t>)</w:t>
      </w:r>
      <w:r w:rsidR="00933B1E" w:rsidRPr="00A375E1">
        <w:rPr>
          <w:lang w:val="en-US"/>
        </w:rPr>
        <w:t xml:space="preserve">. Hinges are </w:t>
      </w:r>
      <w:r w:rsidR="00DD0BD7">
        <w:rPr>
          <w:lang w:val="en-US"/>
        </w:rPr>
        <w:t>‘</w:t>
      </w:r>
      <w:r w:rsidR="00933B1E" w:rsidRPr="00A375E1">
        <w:rPr>
          <w:lang w:val="en-US"/>
        </w:rPr>
        <w:t>utterly visceral—or ‘animal’</w:t>
      </w:r>
      <w:r w:rsidR="00DD0BD7">
        <w:rPr>
          <w:lang w:val="en-US"/>
        </w:rPr>
        <w:t>’</w:t>
      </w:r>
      <w:r w:rsidR="00933B1E" w:rsidRPr="00A375E1">
        <w:rPr>
          <w:lang w:val="en-US"/>
        </w:rPr>
        <w:t xml:space="preserve"> (</w:t>
      </w:r>
      <w:r w:rsidR="00D051B7">
        <w:rPr>
          <w:lang w:val="en-US"/>
        </w:rPr>
        <w:t xml:space="preserve">2016: </w:t>
      </w:r>
      <w:r w:rsidR="00D57DCC" w:rsidRPr="00A375E1">
        <w:rPr>
          <w:lang w:val="en-US"/>
        </w:rPr>
        <w:t>84</w:t>
      </w:r>
      <w:r w:rsidR="00933B1E" w:rsidRPr="00A375E1">
        <w:rPr>
          <w:lang w:val="en-US"/>
        </w:rPr>
        <w:t>).</w:t>
      </w:r>
    </w:p>
    <w:p w:rsidR="002F64B3" w:rsidRPr="00A375E1" w:rsidRDefault="004E7EE5" w:rsidP="002F64B3">
      <w:pPr>
        <w:spacing w:after="0" w:line="360" w:lineRule="auto"/>
        <w:ind w:right="567" w:firstLine="284"/>
        <w:rPr>
          <w:lang w:val="en-US"/>
        </w:rPr>
      </w:pPr>
      <w:r w:rsidRPr="00A375E1">
        <w:rPr>
          <w:lang w:val="en-US"/>
        </w:rPr>
        <w:t xml:space="preserve">Before turning to hinge epistemology’s anti-skeptical import, it is worth mentioning how Pritchard handles its potential to veer towards epistemic </w:t>
      </w:r>
      <w:r w:rsidRPr="000C50A1">
        <w:rPr>
          <w:i/>
          <w:lang w:val="en-US"/>
        </w:rPr>
        <w:t>relativism</w:t>
      </w:r>
      <w:r w:rsidRPr="00A375E1">
        <w:rPr>
          <w:lang w:val="en-US"/>
        </w:rPr>
        <w:t xml:space="preserve">. If hinges can differ from one culture – or even one person – to the next, and if challenges to hinges are impossible to earn, what </w:t>
      </w:r>
      <w:r w:rsidR="002F64B3" w:rsidRPr="00A375E1">
        <w:rPr>
          <w:lang w:val="en-US"/>
        </w:rPr>
        <w:t xml:space="preserve">should we say about disagreements involving hinges? Are such disagreements faultless and irresolvable? Pritchard responds by proposing that such hinge-disagreements would be irresolvable only in a </w:t>
      </w:r>
      <w:r w:rsidRPr="00A375E1">
        <w:rPr>
          <w:lang w:val="en-US"/>
        </w:rPr>
        <w:t>s</w:t>
      </w:r>
      <w:r w:rsidR="002F64B3" w:rsidRPr="00A375E1">
        <w:rPr>
          <w:lang w:val="en-US"/>
        </w:rPr>
        <w:t>ituation</w:t>
      </w:r>
      <w:r w:rsidRPr="00A375E1">
        <w:rPr>
          <w:lang w:val="en-US"/>
        </w:rPr>
        <w:t xml:space="preserve"> of </w:t>
      </w:r>
      <w:r w:rsidR="00DD0BD7">
        <w:rPr>
          <w:lang w:val="en-US"/>
        </w:rPr>
        <w:t>‘</w:t>
      </w:r>
      <w:r w:rsidRPr="00A375E1">
        <w:rPr>
          <w:lang w:val="en-US"/>
        </w:rPr>
        <w:t>epistemic incommensurability</w:t>
      </w:r>
      <w:r w:rsidR="00DD0BD7">
        <w:rPr>
          <w:lang w:val="en-US"/>
        </w:rPr>
        <w:t>’</w:t>
      </w:r>
      <w:r w:rsidRPr="00A375E1">
        <w:rPr>
          <w:lang w:val="en-US"/>
        </w:rPr>
        <w:t xml:space="preserve"> whe</w:t>
      </w:r>
      <w:r w:rsidR="009D124A" w:rsidRPr="00A375E1">
        <w:rPr>
          <w:lang w:val="en-US"/>
        </w:rPr>
        <w:t>re</w:t>
      </w:r>
      <w:r w:rsidRPr="00A375E1">
        <w:rPr>
          <w:lang w:val="en-US"/>
        </w:rPr>
        <w:t xml:space="preserve"> </w:t>
      </w:r>
      <w:r w:rsidR="002F64B3" w:rsidRPr="00A375E1">
        <w:rPr>
          <w:lang w:val="en-US"/>
        </w:rPr>
        <w:t>not a single hinge is shared. And Pritchard sides with Wittgenstein in deeming such scenario highly dubious; it is unclear whether we could even begin to understand a person that differs so completely from us (</w:t>
      </w:r>
      <w:r w:rsidR="00D051B7">
        <w:rPr>
          <w:lang w:val="en-US"/>
        </w:rPr>
        <w:t xml:space="preserve">2016: </w:t>
      </w:r>
      <w:r w:rsidR="002F64B3" w:rsidRPr="00A375E1">
        <w:rPr>
          <w:lang w:val="en-US"/>
        </w:rPr>
        <w:t>110).</w:t>
      </w:r>
    </w:p>
    <w:p w:rsidR="007D5220" w:rsidRPr="00A375E1" w:rsidRDefault="00C2337C" w:rsidP="009D124A">
      <w:pPr>
        <w:spacing w:after="0" w:line="360" w:lineRule="auto"/>
        <w:ind w:right="567" w:firstLine="284"/>
        <w:rPr>
          <w:lang w:val="en-US"/>
        </w:rPr>
      </w:pPr>
      <w:r>
        <w:rPr>
          <w:lang w:val="en-US"/>
        </w:rPr>
        <w:t>H</w:t>
      </w:r>
      <w:r w:rsidR="00F00AFC" w:rsidRPr="00A375E1">
        <w:rPr>
          <w:lang w:val="en-US"/>
        </w:rPr>
        <w:t xml:space="preserve">ow </w:t>
      </w:r>
      <w:r w:rsidR="009D124A" w:rsidRPr="00A375E1">
        <w:rPr>
          <w:lang w:val="en-US"/>
        </w:rPr>
        <w:t xml:space="preserve">does </w:t>
      </w:r>
      <w:r w:rsidR="00F00AFC" w:rsidRPr="00A375E1">
        <w:rPr>
          <w:lang w:val="en-US"/>
        </w:rPr>
        <w:t xml:space="preserve">hinge epistemology undermine </w:t>
      </w:r>
      <w:r w:rsidR="00F00AFC" w:rsidRPr="00C2337C">
        <w:rPr>
          <w:i/>
          <w:lang w:val="en-US"/>
        </w:rPr>
        <w:t>ES</w:t>
      </w:r>
      <w:r w:rsidR="00F00AFC" w:rsidRPr="00A375E1">
        <w:rPr>
          <w:lang w:val="en-US"/>
        </w:rPr>
        <w:t xml:space="preserve">? </w:t>
      </w:r>
      <w:r w:rsidR="00933B1E" w:rsidRPr="00A375E1">
        <w:rPr>
          <w:lang w:val="en-US"/>
        </w:rPr>
        <w:t xml:space="preserve">The key thought is that since hinges are maximally certain, there cannot be grounds from which they can be challenged. Challenges must be </w:t>
      </w:r>
      <w:r w:rsidR="00AD6F94" w:rsidRPr="00A375E1">
        <w:rPr>
          <w:lang w:val="en-US"/>
        </w:rPr>
        <w:t>earned</w:t>
      </w:r>
      <w:r w:rsidR="00933B1E" w:rsidRPr="00A375E1">
        <w:rPr>
          <w:lang w:val="en-US"/>
        </w:rPr>
        <w:t xml:space="preserve">; </w:t>
      </w:r>
      <w:r w:rsidR="009D124A" w:rsidRPr="00A375E1">
        <w:rPr>
          <w:lang w:val="en-US"/>
        </w:rPr>
        <w:t>and</w:t>
      </w:r>
      <w:r w:rsidR="00D43514" w:rsidRPr="00A375E1">
        <w:rPr>
          <w:lang w:val="en-US"/>
        </w:rPr>
        <w:t>,</w:t>
      </w:r>
      <w:r w:rsidR="009D124A" w:rsidRPr="00A375E1">
        <w:rPr>
          <w:lang w:val="en-US"/>
        </w:rPr>
        <w:t xml:space="preserve"> to be earned</w:t>
      </w:r>
      <w:r w:rsidR="00D43514" w:rsidRPr="00A375E1">
        <w:rPr>
          <w:lang w:val="en-US"/>
        </w:rPr>
        <w:t>,</w:t>
      </w:r>
      <w:r w:rsidR="009D124A" w:rsidRPr="00A375E1">
        <w:rPr>
          <w:lang w:val="en-US"/>
        </w:rPr>
        <w:t xml:space="preserve"> a challenge must have a degree of certainty higher than the challenged proposition. </w:t>
      </w:r>
      <w:r w:rsidR="00AD6F94" w:rsidRPr="00A375E1">
        <w:rPr>
          <w:lang w:val="en-US"/>
        </w:rPr>
        <w:t>Moreover, to challenge or doubt any one certainty is to challenge or doubt all (</w:t>
      </w:r>
      <w:r w:rsidR="00D051B7">
        <w:rPr>
          <w:lang w:val="en-US"/>
        </w:rPr>
        <w:t xml:space="preserve">2016: </w:t>
      </w:r>
      <w:r w:rsidR="009D124A" w:rsidRPr="00A375E1">
        <w:rPr>
          <w:lang w:val="en-US"/>
        </w:rPr>
        <w:t>66</w:t>
      </w:r>
      <w:r w:rsidR="00AD6F94" w:rsidRPr="00A375E1">
        <w:rPr>
          <w:lang w:val="en-US"/>
        </w:rPr>
        <w:t xml:space="preserve">). As Wittgenstein puts the point: </w:t>
      </w:r>
      <w:r w:rsidR="00DD0BD7">
        <w:rPr>
          <w:lang w:val="en-US"/>
        </w:rPr>
        <w:t>‘</w:t>
      </w:r>
      <w:r w:rsidR="007D5220" w:rsidRPr="00A375E1">
        <w:rPr>
          <w:lang w:val="en-US"/>
        </w:rPr>
        <w:t>But what could make me doubt whether this person here is N.N., whom I have known for years? Here a doubt would seem to drag everything with it and plunge it into chaos.</w:t>
      </w:r>
      <w:r w:rsidR="00DD0BD7">
        <w:rPr>
          <w:lang w:val="en-US"/>
        </w:rPr>
        <w:t>’</w:t>
      </w:r>
      <w:r w:rsidR="007D5220" w:rsidRPr="00A375E1">
        <w:rPr>
          <w:lang w:val="en-US"/>
        </w:rPr>
        <w:t xml:space="preserve"> </w:t>
      </w:r>
      <w:r>
        <w:rPr>
          <w:lang w:val="en-US"/>
        </w:rPr>
        <w:t>(1969: §§613</w:t>
      </w:r>
      <w:r w:rsidR="009D124A" w:rsidRPr="00A375E1">
        <w:rPr>
          <w:lang w:val="en-US"/>
        </w:rPr>
        <w:t>-4)</w:t>
      </w:r>
    </w:p>
    <w:p w:rsidR="004305AA" w:rsidRPr="00A375E1" w:rsidRDefault="00AD6F94" w:rsidP="00C2337C">
      <w:pPr>
        <w:spacing w:after="0" w:line="360" w:lineRule="auto"/>
        <w:ind w:right="567" w:firstLine="284"/>
        <w:rPr>
          <w:lang w:val="en-US"/>
        </w:rPr>
      </w:pPr>
      <w:r w:rsidRPr="00A375E1">
        <w:rPr>
          <w:lang w:val="en-US"/>
        </w:rPr>
        <w:t xml:space="preserve">Pritchard </w:t>
      </w:r>
      <w:r w:rsidR="009D124A" w:rsidRPr="00A375E1">
        <w:rPr>
          <w:lang w:val="en-US"/>
        </w:rPr>
        <w:t xml:space="preserve">advertises hinge epistemology as giving us </w:t>
      </w:r>
      <w:r w:rsidRPr="00A375E1">
        <w:rPr>
          <w:lang w:val="en-US"/>
        </w:rPr>
        <w:t xml:space="preserve">a </w:t>
      </w:r>
      <w:r w:rsidR="00DD0BD7">
        <w:rPr>
          <w:lang w:val="en-US"/>
        </w:rPr>
        <w:t>‘</w:t>
      </w:r>
      <w:r w:rsidRPr="00A375E1">
        <w:rPr>
          <w:lang w:val="en-US"/>
        </w:rPr>
        <w:t>radically new conception of the structure of rational evaluation</w:t>
      </w:r>
      <w:r w:rsidR="00DD0BD7">
        <w:rPr>
          <w:lang w:val="en-US"/>
        </w:rPr>
        <w:t>’</w:t>
      </w:r>
      <w:r w:rsidRPr="00A375E1">
        <w:rPr>
          <w:lang w:val="en-US"/>
        </w:rPr>
        <w:t xml:space="preserve"> (</w:t>
      </w:r>
      <w:r w:rsidR="00D051B7">
        <w:rPr>
          <w:lang w:val="en-US"/>
        </w:rPr>
        <w:t xml:space="preserve">2016: </w:t>
      </w:r>
      <w:r w:rsidR="009D124A" w:rsidRPr="00A375E1">
        <w:rPr>
          <w:lang w:val="en-US"/>
        </w:rPr>
        <w:t>66</w:t>
      </w:r>
      <w:r w:rsidRPr="00A375E1">
        <w:rPr>
          <w:lang w:val="en-US"/>
        </w:rPr>
        <w:t xml:space="preserve">). </w:t>
      </w:r>
      <w:r w:rsidR="008F798C" w:rsidRPr="00A375E1">
        <w:rPr>
          <w:lang w:val="en-US"/>
        </w:rPr>
        <w:t>It shows that the key presupposition of closure-</w:t>
      </w:r>
      <w:r w:rsidR="009D124A" w:rsidRPr="000C50A1">
        <w:rPr>
          <w:i/>
          <w:lang w:val="en-US"/>
        </w:rPr>
        <w:t>ES</w:t>
      </w:r>
      <w:r w:rsidR="008F798C" w:rsidRPr="00A375E1">
        <w:rPr>
          <w:lang w:val="en-US"/>
        </w:rPr>
        <w:t>, that is</w:t>
      </w:r>
      <w:r w:rsidR="00D43514" w:rsidRPr="00A375E1">
        <w:rPr>
          <w:lang w:val="en-US"/>
        </w:rPr>
        <w:t>,</w:t>
      </w:r>
      <w:r w:rsidR="00110D17" w:rsidRPr="00A375E1">
        <w:rPr>
          <w:lang w:val="en-US"/>
        </w:rPr>
        <w:t xml:space="preserve"> the </w:t>
      </w:r>
      <w:r w:rsidR="00DD0BD7">
        <w:rPr>
          <w:lang w:val="en-US"/>
        </w:rPr>
        <w:t>‘</w:t>
      </w:r>
      <w:r w:rsidR="008F798C" w:rsidRPr="00A375E1">
        <w:rPr>
          <w:lang w:val="en-US"/>
        </w:rPr>
        <w:t>universality of rational evaluation</w:t>
      </w:r>
      <w:r w:rsidR="00DD0BD7">
        <w:rPr>
          <w:lang w:val="en-US"/>
        </w:rPr>
        <w:t>’</w:t>
      </w:r>
      <w:r w:rsidR="00110D17" w:rsidRPr="00A375E1">
        <w:rPr>
          <w:lang w:val="en-US"/>
        </w:rPr>
        <w:t xml:space="preserve"> thesis,</w:t>
      </w:r>
      <w:r w:rsidR="008F798C" w:rsidRPr="00A375E1">
        <w:rPr>
          <w:lang w:val="en-US"/>
        </w:rPr>
        <w:t xml:space="preserve"> is false: there are </w:t>
      </w:r>
      <w:r w:rsidR="00DD0BD7">
        <w:rPr>
          <w:lang w:val="en-US"/>
        </w:rPr>
        <w:t>‘</w:t>
      </w:r>
      <w:r w:rsidR="008F798C" w:rsidRPr="00A375E1">
        <w:rPr>
          <w:lang w:val="en-US"/>
        </w:rPr>
        <w:t>in-principle limits on the extent to which our beliefs can be rationally evaluated</w:t>
      </w:r>
      <w:r w:rsidR="00DD0BD7">
        <w:rPr>
          <w:lang w:val="en-US"/>
        </w:rPr>
        <w:t>’</w:t>
      </w:r>
      <w:r w:rsidR="008F798C" w:rsidRPr="00A375E1">
        <w:rPr>
          <w:lang w:val="en-US"/>
        </w:rPr>
        <w:t xml:space="preserve"> (</w:t>
      </w:r>
      <w:r w:rsidR="00D051B7">
        <w:rPr>
          <w:lang w:val="en-US"/>
        </w:rPr>
        <w:t xml:space="preserve">2016: </w:t>
      </w:r>
      <w:r w:rsidR="009D124A" w:rsidRPr="00A375E1">
        <w:rPr>
          <w:lang w:val="en-US"/>
        </w:rPr>
        <w:t>3</w:t>
      </w:r>
      <w:r w:rsidR="008F798C" w:rsidRPr="00A375E1">
        <w:rPr>
          <w:lang w:val="en-US"/>
        </w:rPr>
        <w:t xml:space="preserve">). In other words, </w:t>
      </w:r>
      <w:r w:rsidR="00DD0BD7">
        <w:rPr>
          <w:lang w:val="en-US"/>
        </w:rPr>
        <w:t>‘</w:t>
      </w:r>
      <w:r w:rsidR="00A61567" w:rsidRPr="00A375E1">
        <w:rPr>
          <w:lang w:val="en-US"/>
        </w:rPr>
        <w:t xml:space="preserve">all </w:t>
      </w:r>
      <w:r w:rsidR="00A61567" w:rsidRPr="00A375E1">
        <w:rPr>
          <w:lang w:val="en-US"/>
        </w:rPr>
        <w:lastRenderedPageBreak/>
        <w:t>rational evaluation is essentially local</w:t>
      </w:r>
      <w:r w:rsidR="00DD0BD7">
        <w:rPr>
          <w:lang w:val="en-US"/>
        </w:rPr>
        <w:t>’</w:t>
      </w:r>
      <w:r w:rsidR="00A61567" w:rsidRPr="00A375E1">
        <w:rPr>
          <w:lang w:val="en-US"/>
        </w:rPr>
        <w:t xml:space="preserve"> (</w:t>
      </w:r>
      <w:r w:rsidR="00D051B7">
        <w:rPr>
          <w:lang w:val="en-US"/>
        </w:rPr>
        <w:t xml:space="preserve">2016: </w:t>
      </w:r>
      <w:r w:rsidR="009D124A" w:rsidRPr="00A375E1">
        <w:rPr>
          <w:lang w:val="en-US"/>
        </w:rPr>
        <w:t>66</w:t>
      </w:r>
      <w:r w:rsidR="00A61567" w:rsidRPr="00A375E1">
        <w:rPr>
          <w:lang w:val="en-US"/>
        </w:rPr>
        <w:t>)</w:t>
      </w:r>
      <w:r w:rsidR="008F798C" w:rsidRPr="00A375E1">
        <w:rPr>
          <w:lang w:val="en-US"/>
        </w:rPr>
        <w:t xml:space="preserve">. Skeptical wholesale evaluation of all of our beliefs and commitments is not a more radical version of our everyday local evaluations. Skeptical wholesale evaluation is an incoherent version: to doubt everything is to doubt nothing; and to doubt without a reason is doubt irrationally. </w:t>
      </w:r>
      <w:r w:rsidR="00110D17" w:rsidRPr="00A375E1">
        <w:rPr>
          <w:lang w:val="en-US"/>
        </w:rPr>
        <w:t>Put differently, closure-</w:t>
      </w:r>
      <w:r w:rsidR="00110D17" w:rsidRPr="000C50A1">
        <w:rPr>
          <w:i/>
          <w:lang w:val="en-US"/>
        </w:rPr>
        <w:t>ES</w:t>
      </w:r>
      <w:r w:rsidR="00110D17" w:rsidRPr="00A375E1">
        <w:rPr>
          <w:lang w:val="en-US"/>
        </w:rPr>
        <w:t xml:space="preserve"> </w:t>
      </w:r>
      <w:r w:rsidR="0006563B" w:rsidRPr="00A375E1">
        <w:rPr>
          <w:lang w:val="en-US"/>
        </w:rPr>
        <w:t xml:space="preserve">is wrong to </w:t>
      </w:r>
      <w:r w:rsidR="00110D17" w:rsidRPr="00A375E1">
        <w:rPr>
          <w:lang w:val="en-US"/>
        </w:rPr>
        <w:t>maintain</w:t>
      </w:r>
      <w:r w:rsidR="0006563B" w:rsidRPr="00A375E1">
        <w:rPr>
          <w:lang w:val="en-US"/>
        </w:rPr>
        <w:t xml:space="preserve"> that, in order to know ordinary things, we need to </w:t>
      </w:r>
      <w:r w:rsidR="0006563B" w:rsidRPr="000C50A1">
        <w:rPr>
          <w:i/>
          <w:lang w:val="en-US"/>
        </w:rPr>
        <w:t>know</w:t>
      </w:r>
      <w:r w:rsidR="0006563B" w:rsidRPr="00A375E1">
        <w:rPr>
          <w:lang w:val="en-US"/>
        </w:rPr>
        <w:t xml:space="preserve"> that we are not in skeptical scenarios. We cannot know the denials of skeptical hypotheses. But this is not for a lack of certainty; it is because our certainty concerning the denials of skeptical hypotheses is </w:t>
      </w:r>
      <w:r w:rsidR="00110D17" w:rsidRPr="00A375E1">
        <w:rPr>
          <w:lang w:val="en-US"/>
        </w:rPr>
        <w:t xml:space="preserve">at its </w:t>
      </w:r>
      <w:r w:rsidR="0006563B" w:rsidRPr="00A375E1">
        <w:rPr>
          <w:lang w:val="en-US"/>
        </w:rPr>
        <w:t>maxim</w:t>
      </w:r>
      <w:r w:rsidR="00110D17" w:rsidRPr="00A375E1">
        <w:rPr>
          <w:lang w:val="en-US"/>
        </w:rPr>
        <w:t>um</w:t>
      </w:r>
      <w:r w:rsidR="0006563B" w:rsidRPr="00A375E1">
        <w:rPr>
          <w:lang w:val="en-US"/>
        </w:rPr>
        <w:t>.</w:t>
      </w:r>
    </w:p>
    <w:p w:rsidR="00110D17" w:rsidRDefault="00110D17" w:rsidP="00110D17">
      <w:pPr>
        <w:spacing w:after="0" w:line="360" w:lineRule="auto"/>
        <w:ind w:right="567"/>
        <w:rPr>
          <w:lang w:val="en-US"/>
        </w:rPr>
      </w:pPr>
    </w:p>
    <w:p w:rsidR="00110D17" w:rsidRPr="000C50A1" w:rsidRDefault="00110D17" w:rsidP="00F86877">
      <w:pPr>
        <w:pStyle w:val="ListParagraph"/>
        <w:numPr>
          <w:ilvl w:val="0"/>
          <w:numId w:val="4"/>
        </w:numPr>
        <w:spacing w:after="0" w:line="360" w:lineRule="auto"/>
        <w:ind w:right="567"/>
        <w:jc w:val="center"/>
        <w:rPr>
          <w:i/>
          <w:lang w:val="en-US"/>
        </w:rPr>
      </w:pPr>
      <w:r w:rsidRPr="000C50A1">
        <w:rPr>
          <w:i/>
          <w:lang w:val="en-US"/>
        </w:rPr>
        <w:t xml:space="preserve">Epistemic </w:t>
      </w:r>
      <w:proofErr w:type="spellStart"/>
      <w:r w:rsidRPr="000C50A1">
        <w:rPr>
          <w:i/>
          <w:lang w:val="en-US"/>
        </w:rPr>
        <w:t>Disjunctivism</w:t>
      </w:r>
      <w:proofErr w:type="spellEnd"/>
      <w:r w:rsidRPr="000C50A1">
        <w:rPr>
          <w:i/>
          <w:lang w:val="en-US"/>
        </w:rPr>
        <w:t xml:space="preserve"> and Underdetermination-ES</w:t>
      </w:r>
    </w:p>
    <w:p w:rsidR="00110D17" w:rsidRPr="00A375E1" w:rsidRDefault="00110D17" w:rsidP="00110D17">
      <w:pPr>
        <w:spacing w:after="0" w:line="360" w:lineRule="auto"/>
        <w:ind w:right="567"/>
        <w:rPr>
          <w:lang w:val="en-US"/>
        </w:rPr>
      </w:pPr>
    </w:p>
    <w:p w:rsidR="00110D17" w:rsidRPr="00A375E1" w:rsidRDefault="00110D17" w:rsidP="00110D17">
      <w:pPr>
        <w:spacing w:after="0" w:line="360" w:lineRule="auto"/>
        <w:ind w:right="567"/>
        <w:rPr>
          <w:lang w:val="en-US"/>
        </w:rPr>
      </w:pPr>
      <w:r w:rsidRPr="00A375E1">
        <w:rPr>
          <w:lang w:val="en-US"/>
        </w:rPr>
        <w:t>D</w:t>
      </w:r>
      <w:r w:rsidR="0006563B" w:rsidRPr="00A375E1">
        <w:rPr>
          <w:lang w:val="en-US"/>
        </w:rPr>
        <w:t>espite its success in disposing of closure-</w:t>
      </w:r>
      <w:r w:rsidRPr="000C50A1">
        <w:rPr>
          <w:i/>
          <w:lang w:val="en-US"/>
        </w:rPr>
        <w:t>ES</w:t>
      </w:r>
      <w:r w:rsidR="0006563B" w:rsidRPr="00A375E1">
        <w:rPr>
          <w:lang w:val="en-US"/>
        </w:rPr>
        <w:t xml:space="preserve">, </w:t>
      </w:r>
      <w:r w:rsidRPr="00A375E1">
        <w:rPr>
          <w:lang w:val="en-US"/>
        </w:rPr>
        <w:t xml:space="preserve">Pritchard claims that </w:t>
      </w:r>
      <w:r w:rsidR="0006563B" w:rsidRPr="00A375E1">
        <w:rPr>
          <w:lang w:val="en-US"/>
        </w:rPr>
        <w:t xml:space="preserve">hinge epistemology does a poor job </w:t>
      </w:r>
      <w:r w:rsidRPr="00A375E1">
        <w:rPr>
          <w:lang w:val="en-US"/>
        </w:rPr>
        <w:t>vis-à-vis</w:t>
      </w:r>
      <w:r w:rsidR="0006563B" w:rsidRPr="00A375E1">
        <w:rPr>
          <w:lang w:val="en-US"/>
        </w:rPr>
        <w:t xml:space="preserve"> underdetermination</w:t>
      </w:r>
      <w:r w:rsidRPr="00A375E1">
        <w:rPr>
          <w:lang w:val="en-US"/>
        </w:rPr>
        <w:t>-</w:t>
      </w:r>
      <w:r w:rsidRPr="000C50A1">
        <w:rPr>
          <w:i/>
          <w:lang w:val="en-US"/>
        </w:rPr>
        <w:t>ES</w:t>
      </w:r>
      <w:r w:rsidR="0006563B" w:rsidRPr="00A375E1">
        <w:rPr>
          <w:lang w:val="en-US"/>
        </w:rPr>
        <w:t xml:space="preserve">. </w:t>
      </w:r>
      <w:r w:rsidRPr="00A375E1">
        <w:rPr>
          <w:lang w:val="en-US"/>
        </w:rPr>
        <w:t xml:space="preserve">The latter is based on the </w:t>
      </w:r>
      <w:r w:rsidR="00DD0BD7">
        <w:rPr>
          <w:lang w:val="en-US"/>
        </w:rPr>
        <w:t>‘</w:t>
      </w:r>
      <w:r w:rsidRPr="00A375E1">
        <w:rPr>
          <w:lang w:val="en-US"/>
        </w:rPr>
        <w:t>new evil demon</w:t>
      </w:r>
      <w:r w:rsidR="00DD0BD7">
        <w:rPr>
          <w:lang w:val="en-US"/>
        </w:rPr>
        <w:t>’</w:t>
      </w:r>
      <w:r w:rsidRPr="00A375E1">
        <w:rPr>
          <w:lang w:val="en-US"/>
        </w:rPr>
        <w:t xml:space="preserve"> intuition, to wit, that the evidence available to us is incapable of distinguishing between skeptical (</w:t>
      </w:r>
      <w:r w:rsidR="00DD0BD7">
        <w:rPr>
          <w:lang w:val="en-US"/>
        </w:rPr>
        <w:t>‘</w:t>
      </w:r>
      <w:r w:rsidRPr="00A375E1">
        <w:rPr>
          <w:lang w:val="en-US"/>
        </w:rPr>
        <w:t>bad</w:t>
      </w:r>
      <w:r w:rsidR="00DD0BD7">
        <w:rPr>
          <w:lang w:val="en-US"/>
        </w:rPr>
        <w:t>’</w:t>
      </w:r>
      <w:r w:rsidRPr="00A375E1">
        <w:rPr>
          <w:lang w:val="en-US"/>
        </w:rPr>
        <w:t>) and non-skeptical (</w:t>
      </w:r>
      <w:r w:rsidR="00DD0BD7">
        <w:rPr>
          <w:lang w:val="en-US"/>
        </w:rPr>
        <w:t>‘</w:t>
      </w:r>
      <w:r w:rsidRPr="00A375E1">
        <w:rPr>
          <w:lang w:val="en-US"/>
        </w:rPr>
        <w:t>good</w:t>
      </w:r>
      <w:r w:rsidR="00DD0BD7">
        <w:rPr>
          <w:lang w:val="en-US"/>
        </w:rPr>
        <w:t>’</w:t>
      </w:r>
      <w:r w:rsidRPr="00A375E1">
        <w:rPr>
          <w:lang w:val="en-US"/>
        </w:rPr>
        <w:t xml:space="preserve">) scenarios. Hinge epistemology does not dislodge this intuition. </w:t>
      </w:r>
    </w:p>
    <w:p w:rsidR="00597587" w:rsidRPr="00A375E1" w:rsidRDefault="00AD59C2" w:rsidP="00597587">
      <w:pPr>
        <w:spacing w:after="0" w:line="360" w:lineRule="auto"/>
        <w:ind w:right="567" w:firstLine="284"/>
        <w:rPr>
          <w:rFonts w:ascii="Calibri" w:eastAsia="Times New Roman" w:hAnsi="Calibri" w:cs="Times New Roman"/>
          <w:color w:val="000000" w:themeColor="text1"/>
          <w:lang w:val="en-US" w:eastAsia="de-AT"/>
        </w:rPr>
      </w:pPr>
      <w:r w:rsidRPr="00A375E1">
        <w:rPr>
          <w:lang w:val="en-US"/>
        </w:rPr>
        <w:t xml:space="preserve">This brings us to epistemic </w:t>
      </w:r>
      <w:proofErr w:type="spellStart"/>
      <w:r w:rsidRPr="00A375E1">
        <w:rPr>
          <w:lang w:val="en-US"/>
        </w:rPr>
        <w:t>disjunctivism</w:t>
      </w:r>
      <w:proofErr w:type="spellEnd"/>
      <w:r w:rsidR="00D43514" w:rsidRPr="00A375E1">
        <w:rPr>
          <w:lang w:val="en-US"/>
        </w:rPr>
        <w:t xml:space="preserve"> or </w:t>
      </w:r>
      <w:r w:rsidRPr="00A375E1">
        <w:rPr>
          <w:lang w:val="en-US"/>
        </w:rPr>
        <w:t xml:space="preserve">the view </w:t>
      </w:r>
      <w:r w:rsidR="00DD0BD7">
        <w:rPr>
          <w:lang w:val="en-US"/>
        </w:rPr>
        <w:t>‘</w:t>
      </w:r>
      <w:r w:rsidR="005811C5" w:rsidRPr="00A375E1">
        <w:rPr>
          <w:rFonts w:ascii="Calibri" w:eastAsia="Times New Roman" w:hAnsi="Calibri" w:cs="Times New Roman"/>
          <w:color w:val="000000" w:themeColor="text1"/>
          <w:lang w:val="en-US" w:eastAsia="de-AT"/>
        </w:rPr>
        <w:t xml:space="preserve">that when it comes to paradigm cases of knowledge, the rational support </w:t>
      </w:r>
      <w:r w:rsidR="005811C5" w:rsidRPr="00A375E1">
        <w:rPr>
          <w:rFonts w:ascii="Calibri" w:eastAsia="Times New Roman" w:hAnsi="Calibri" w:cs="Arial"/>
          <w:vanish/>
          <w:color w:val="000000" w:themeColor="text1"/>
          <w:lang w:val="en-US" w:eastAsia="de-AT"/>
        </w:rPr>
        <w:t>a</w:t>
      </w:r>
      <w:r w:rsidR="005811C5" w:rsidRPr="00A375E1">
        <w:rPr>
          <w:rFonts w:ascii="Calibri" w:eastAsia="Times New Roman" w:hAnsi="Calibri" w:cs="Times New Roman"/>
          <w:color w:val="000000" w:themeColor="text1"/>
          <w:lang w:val="en-US" w:eastAsia="de-AT"/>
        </w:rPr>
        <w:t xml:space="preserve">available to the subject is both reflectively accessible and </w:t>
      </w:r>
      <w:proofErr w:type="spellStart"/>
      <w:r w:rsidR="005811C5" w:rsidRPr="00A375E1">
        <w:rPr>
          <w:rFonts w:ascii="Calibri" w:eastAsia="Times New Roman" w:hAnsi="Calibri" w:cs="Times New Roman"/>
          <w:color w:val="000000" w:themeColor="text1"/>
          <w:lang w:val="en-US" w:eastAsia="de-AT"/>
        </w:rPr>
        <w:t>factive</w:t>
      </w:r>
      <w:proofErr w:type="spellEnd"/>
      <w:r w:rsidR="00DD0BD7">
        <w:rPr>
          <w:rFonts w:ascii="Calibri" w:eastAsia="Times New Roman" w:hAnsi="Calibri" w:cs="Times New Roman"/>
          <w:color w:val="000000" w:themeColor="text1"/>
          <w:lang w:val="en-US" w:eastAsia="de-AT"/>
        </w:rPr>
        <w:t>’</w:t>
      </w:r>
      <w:r w:rsidR="005811C5" w:rsidRPr="00A375E1">
        <w:rPr>
          <w:rFonts w:ascii="Calibri" w:eastAsia="Times New Roman" w:hAnsi="Calibri" w:cs="Times New Roman"/>
          <w:color w:val="000000" w:themeColor="text1"/>
          <w:lang w:val="en-US" w:eastAsia="de-AT"/>
        </w:rPr>
        <w:t xml:space="preserve"> (</w:t>
      </w:r>
      <w:r w:rsidR="00D051B7">
        <w:rPr>
          <w:lang w:val="en-US"/>
        </w:rPr>
        <w:t xml:space="preserve">2016: </w:t>
      </w:r>
      <w:r w:rsidR="00763D2B" w:rsidRPr="00A375E1">
        <w:rPr>
          <w:rFonts w:ascii="Calibri" w:eastAsia="Times New Roman" w:hAnsi="Calibri" w:cs="Times New Roman"/>
          <w:color w:val="000000" w:themeColor="text1"/>
          <w:lang w:val="en-US" w:eastAsia="de-AT"/>
        </w:rPr>
        <w:t>2</w:t>
      </w:r>
      <w:r w:rsidR="005811C5" w:rsidRPr="00A375E1">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 xml:space="preserve">. </w:t>
      </w:r>
      <w:r w:rsidR="0043356D" w:rsidRPr="00A375E1">
        <w:rPr>
          <w:rFonts w:ascii="Calibri" w:eastAsia="Times New Roman" w:hAnsi="Calibri" w:cs="Times New Roman"/>
          <w:color w:val="000000" w:themeColor="text1"/>
          <w:lang w:val="en-US" w:eastAsia="de-AT"/>
        </w:rPr>
        <w:t xml:space="preserve">I can know that </w:t>
      </w:r>
      <w:r w:rsidR="00C77013" w:rsidRPr="00A375E1">
        <w:rPr>
          <w:rFonts w:ascii="Calibri" w:eastAsia="Times New Roman" w:hAnsi="Calibri" w:cs="Times New Roman"/>
          <w:color w:val="000000" w:themeColor="text1"/>
          <w:lang w:val="en-US" w:eastAsia="de-AT"/>
        </w:rPr>
        <w:t xml:space="preserve">I am sitting in front of the computer right now since I am seeing the computer in good lighting conditions, and I am not under the influence of any drugs. Under these conditions my seeing the computer is </w:t>
      </w:r>
      <w:proofErr w:type="spellStart"/>
      <w:r w:rsidR="00C77013" w:rsidRPr="00A375E1">
        <w:rPr>
          <w:rFonts w:ascii="Calibri" w:eastAsia="Times New Roman" w:hAnsi="Calibri" w:cs="Times New Roman"/>
          <w:color w:val="000000" w:themeColor="text1"/>
          <w:lang w:val="en-US" w:eastAsia="de-AT"/>
        </w:rPr>
        <w:t>factive</w:t>
      </w:r>
      <w:proofErr w:type="spellEnd"/>
      <w:r w:rsidR="00C77013" w:rsidRPr="00A375E1">
        <w:rPr>
          <w:rFonts w:ascii="Calibri" w:eastAsia="Times New Roman" w:hAnsi="Calibri" w:cs="Times New Roman"/>
          <w:color w:val="000000" w:themeColor="text1"/>
          <w:lang w:val="en-US" w:eastAsia="de-AT"/>
        </w:rPr>
        <w:t xml:space="preserve">. That I see it, entails that it is there. </w:t>
      </w:r>
      <w:r w:rsidR="00597587" w:rsidRPr="00A375E1">
        <w:rPr>
          <w:rFonts w:ascii="Calibri" w:eastAsia="Times New Roman" w:hAnsi="Calibri" w:cs="Times New Roman"/>
          <w:color w:val="000000" w:themeColor="text1"/>
          <w:lang w:val="en-US" w:eastAsia="de-AT"/>
        </w:rPr>
        <w:t xml:space="preserve">Pritchard </w:t>
      </w:r>
      <w:r w:rsidR="00763D2B" w:rsidRPr="00A375E1">
        <w:rPr>
          <w:rFonts w:ascii="Calibri" w:eastAsia="Times New Roman" w:hAnsi="Calibri" w:cs="Times New Roman"/>
          <w:color w:val="000000" w:themeColor="text1"/>
          <w:lang w:val="en-US" w:eastAsia="de-AT"/>
        </w:rPr>
        <w:t>assumes</w:t>
      </w:r>
      <w:r w:rsidR="00597587" w:rsidRPr="00A375E1">
        <w:rPr>
          <w:rFonts w:ascii="Calibri" w:eastAsia="Times New Roman" w:hAnsi="Calibri" w:cs="Times New Roman"/>
          <w:color w:val="000000" w:themeColor="text1"/>
          <w:lang w:val="en-US" w:eastAsia="de-AT"/>
        </w:rPr>
        <w:t xml:space="preserve"> that this is in keeping with our </w:t>
      </w:r>
      <w:r w:rsidR="00DD0BD7">
        <w:rPr>
          <w:lang w:val="en-US"/>
        </w:rPr>
        <w:t>‘</w:t>
      </w:r>
      <w:r w:rsidR="00597587" w:rsidRPr="00A375E1">
        <w:rPr>
          <w:lang w:val="en-US"/>
        </w:rPr>
        <w:t>folk epistemic concepts</w:t>
      </w:r>
      <w:r w:rsidR="00DD0BD7">
        <w:rPr>
          <w:lang w:val="en-US"/>
        </w:rPr>
        <w:t>’</w:t>
      </w:r>
      <w:r w:rsidR="00597587" w:rsidRPr="00A375E1">
        <w:rPr>
          <w:lang w:val="en-US"/>
        </w:rPr>
        <w:t xml:space="preserve"> (</w:t>
      </w:r>
      <w:r w:rsidR="00DD0BD7">
        <w:rPr>
          <w:lang w:val="en-US"/>
        </w:rPr>
        <w:t xml:space="preserve">2016: </w:t>
      </w:r>
      <w:r w:rsidR="00763D2B" w:rsidRPr="00A375E1">
        <w:rPr>
          <w:lang w:val="en-US"/>
        </w:rPr>
        <w:t>134</w:t>
      </w:r>
      <w:r w:rsidR="00597587" w:rsidRPr="00A375E1">
        <w:rPr>
          <w:lang w:val="en-US"/>
        </w:rPr>
        <w:t>).</w:t>
      </w:r>
    </w:p>
    <w:p w:rsidR="00C77013" w:rsidRPr="00A375E1" w:rsidRDefault="00BD6A82" w:rsidP="00BD6A82">
      <w:pPr>
        <w:spacing w:after="0" w:line="360" w:lineRule="auto"/>
        <w:ind w:right="567" w:firstLine="284"/>
        <w:rPr>
          <w:lang w:val="en-US"/>
        </w:rPr>
      </w:pPr>
      <w:r w:rsidRPr="00A375E1">
        <w:rPr>
          <w:rFonts w:ascii="Calibri" w:eastAsia="Times New Roman" w:hAnsi="Calibri" w:cs="Times New Roman"/>
          <w:color w:val="000000" w:themeColor="text1"/>
          <w:lang w:val="en-US" w:eastAsia="de-AT"/>
        </w:rPr>
        <w:t xml:space="preserve">To turn epistemic </w:t>
      </w:r>
      <w:proofErr w:type="spellStart"/>
      <w:r w:rsidRPr="00A375E1">
        <w:rPr>
          <w:rFonts w:ascii="Calibri" w:eastAsia="Times New Roman" w:hAnsi="Calibri" w:cs="Times New Roman"/>
          <w:color w:val="000000" w:themeColor="text1"/>
          <w:lang w:val="en-US" w:eastAsia="de-AT"/>
        </w:rPr>
        <w:t>disjunctivism</w:t>
      </w:r>
      <w:proofErr w:type="spellEnd"/>
      <w:r w:rsidRPr="00A375E1">
        <w:rPr>
          <w:rFonts w:ascii="Calibri" w:eastAsia="Times New Roman" w:hAnsi="Calibri" w:cs="Times New Roman"/>
          <w:color w:val="000000" w:themeColor="text1"/>
          <w:lang w:val="en-US" w:eastAsia="de-AT"/>
        </w:rPr>
        <w:t xml:space="preserve"> into an anti-</w:t>
      </w:r>
      <w:r w:rsidRPr="000C50A1">
        <w:rPr>
          <w:rFonts w:ascii="Calibri" w:eastAsia="Times New Roman" w:hAnsi="Calibri" w:cs="Times New Roman"/>
          <w:i/>
          <w:color w:val="000000" w:themeColor="text1"/>
          <w:lang w:val="en-US" w:eastAsia="de-AT"/>
        </w:rPr>
        <w:t>ES</w:t>
      </w:r>
      <w:r w:rsidRPr="00A375E1">
        <w:rPr>
          <w:rFonts w:ascii="Calibri" w:eastAsia="Times New Roman" w:hAnsi="Calibri" w:cs="Times New Roman"/>
          <w:color w:val="000000" w:themeColor="text1"/>
          <w:lang w:val="en-US" w:eastAsia="de-AT"/>
        </w:rPr>
        <w:t xml:space="preserve"> weapon, Pritchard draws a distinction between two kinds of evidence: </w:t>
      </w:r>
      <w:r w:rsidR="00DD0BD7">
        <w:rPr>
          <w:lang w:val="en-US"/>
        </w:rPr>
        <w:t>‘</w:t>
      </w:r>
      <w:r w:rsidR="00C77013" w:rsidRPr="00A375E1">
        <w:rPr>
          <w:lang w:val="en-US"/>
        </w:rPr>
        <w:t>discriminating</w:t>
      </w:r>
      <w:r w:rsidR="00DD0BD7">
        <w:rPr>
          <w:lang w:val="en-US"/>
        </w:rPr>
        <w:t>’</w:t>
      </w:r>
      <w:r w:rsidR="00C77013" w:rsidRPr="00A375E1">
        <w:rPr>
          <w:lang w:val="en-US"/>
        </w:rPr>
        <w:t xml:space="preserve"> </w:t>
      </w:r>
      <w:r w:rsidRPr="00A375E1">
        <w:rPr>
          <w:lang w:val="en-US"/>
        </w:rPr>
        <w:t>versus</w:t>
      </w:r>
      <w:r w:rsidR="00C77013" w:rsidRPr="00A375E1">
        <w:rPr>
          <w:lang w:val="en-US"/>
        </w:rPr>
        <w:t xml:space="preserve"> </w:t>
      </w:r>
      <w:r w:rsidR="00DD0BD7">
        <w:rPr>
          <w:lang w:val="en-US"/>
        </w:rPr>
        <w:t>‘</w:t>
      </w:r>
      <w:r w:rsidR="00C77013" w:rsidRPr="00A375E1">
        <w:rPr>
          <w:lang w:val="en-US"/>
        </w:rPr>
        <w:t>favoring</w:t>
      </w:r>
      <w:r w:rsidR="00DD0BD7">
        <w:rPr>
          <w:lang w:val="en-US"/>
        </w:rPr>
        <w:t>’</w:t>
      </w:r>
      <w:r w:rsidR="00C77013" w:rsidRPr="00A375E1">
        <w:rPr>
          <w:lang w:val="en-US"/>
        </w:rPr>
        <w:t xml:space="preserve">. Consider the possibility that the animals we see </w:t>
      </w:r>
      <w:r w:rsidRPr="00A375E1">
        <w:rPr>
          <w:lang w:val="en-US"/>
        </w:rPr>
        <w:t>in one of</w:t>
      </w:r>
      <w:r w:rsidR="00C77013" w:rsidRPr="00A375E1">
        <w:rPr>
          <w:lang w:val="en-US"/>
        </w:rPr>
        <w:t xml:space="preserve"> the pen</w:t>
      </w:r>
      <w:r w:rsidRPr="00A375E1">
        <w:rPr>
          <w:lang w:val="en-US"/>
        </w:rPr>
        <w:t>s</w:t>
      </w:r>
      <w:r w:rsidR="00C77013" w:rsidRPr="00A375E1">
        <w:rPr>
          <w:lang w:val="en-US"/>
        </w:rPr>
        <w:t xml:space="preserve"> </w:t>
      </w:r>
      <w:r w:rsidRPr="00A375E1">
        <w:rPr>
          <w:lang w:val="en-US"/>
        </w:rPr>
        <w:t>in</w:t>
      </w:r>
      <w:r w:rsidR="00C77013" w:rsidRPr="00A375E1">
        <w:rPr>
          <w:lang w:val="en-US"/>
        </w:rPr>
        <w:t xml:space="preserve"> our local</w:t>
      </w:r>
      <w:r w:rsidR="00C2337C">
        <w:rPr>
          <w:lang w:val="en-US"/>
        </w:rPr>
        <w:t xml:space="preserve"> </w:t>
      </w:r>
      <w:r w:rsidR="00C77013" w:rsidRPr="00A375E1">
        <w:rPr>
          <w:lang w:val="en-US"/>
        </w:rPr>
        <w:t xml:space="preserve">zoo might not be zebras but mules painted so as to look like zebras. From where we are standing, we might not have the </w:t>
      </w:r>
      <w:r w:rsidR="00FE3170" w:rsidRPr="00A375E1">
        <w:rPr>
          <w:lang w:val="en-US"/>
        </w:rPr>
        <w:t xml:space="preserve">perceptually </w:t>
      </w:r>
      <w:r w:rsidR="00C77013" w:rsidRPr="00A375E1">
        <w:rPr>
          <w:lang w:val="en-US"/>
        </w:rPr>
        <w:t>discriminating evidence that</w:t>
      </w:r>
      <w:r w:rsidRPr="00A375E1">
        <w:rPr>
          <w:lang w:val="en-US"/>
        </w:rPr>
        <w:t xml:space="preserve"> allows us to decide between the two possibilities. </w:t>
      </w:r>
      <w:r w:rsidR="00E375F4" w:rsidRPr="00A375E1">
        <w:rPr>
          <w:lang w:val="en-US"/>
        </w:rPr>
        <w:t>And yet,</w:t>
      </w:r>
      <w:r w:rsidRPr="00A375E1">
        <w:rPr>
          <w:lang w:val="en-US"/>
        </w:rPr>
        <w:t xml:space="preserve"> in all likelihood we will have other evidence: knowledge of how likely the zoo director is to engage in such deception; knowledge of whether our local zoo has the financial means to buy zebras; or knowledge of previous visits and close-up views of the animals. This </w:t>
      </w:r>
      <w:r w:rsidR="00FE3170" w:rsidRPr="00A375E1">
        <w:rPr>
          <w:lang w:val="en-US"/>
        </w:rPr>
        <w:t xml:space="preserve">visually </w:t>
      </w:r>
      <w:r w:rsidRPr="00A375E1">
        <w:rPr>
          <w:lang w:val="en-US"/>
        </w:rPr>
        <w:t xml:space="preserve">non-discriminating evidence favors the belief that the animals are zebras rather than mules. It is </w:t>
      </w:r>
      <w:r w:rsidR="00FE3170" w:rsidRPr="00A375E1">
        <w:rPr>
          <w:lang w:val="en-US"/>
        </w:rPr>
        <w:t xml:space="preserve">(at least compared with the perceptual evidence) merely </w:t>
      </w:r>
      <w:r w:rsidR="00DD0BD7">
        <w:rPr>
          <w:lang w:val="en-US"/>
        </w:rPr>
        <w:t>‘</w:t>
      </w:r>
      <w:r w:rsidRPr="00A375E1">
        <w:rPr>
          <w:lang w:val="en-US"/>
        </w:rPr>
        <w:t>favoring</w:t>
      </w:r>
      <w:r w:rsidR="00DD0BD7">
        <w:rPr>
          <w:lang w:val="en-US"/>
        </w:rPr>
        <w:t>’</w:t>
      </w:r>
      <w:r w:rsidRPr="00A375E1">
        <w:rPr>
          <w:lang w:val="en-US"/>
        </w:rPr>
        <w:t>.</w:t>
      </w:r>
    </w:p>
    <w:p w:rsidR="00E375F4" w:rsidRPr="00A375E1" w:rsidRDefault="00C77013" w:rsidP="00E375F4">
      <w:pPr>
        <w:spacing w:after="0" w:line="360" w:lineRule="auto"/>
        <w:ind w:right="567" w:firstLine="284"/>
        <w:rPr>
          <w:rFonts w:ascii="Calibri" w:eastAsia="Times New Roman" w:hAnsi="Calibri" w:cs="Times New Roman"/>
          <w:color w:val="000000" w:themeColor="text1"/>
          <w:lang w:val="en-US" w:eastAsia="de-AT"/>
        </w:rPr>
      </w:pPr>
      <w:r w:rsidRPr="00A375E1">
        <w:rPr>
          <w:lang w:val="en-US"/>
        </w:rPr>
        <w:t xml:space="preserve">Pritchard holds that we have </w:t>
      </w:r>
      <w:proofErr w:type="spellStart"/>
      <w:r w:rsidRPr="000C50A1">
        <w:rPr>
          <w:i/>
          <w:lang w:val="en-US"/>
        </w:rPr>
        <w:t>factive</w:t>
      </w:r>
      <w:proofErr w:type="spellEnd"/>
      <w:r w:rsidRPr="000C50A1">
        <w:rPr>
          <w:i/>
          <w:lang w:val="en-US"/>
        </w:rPr>
        <w:t xml:space="preserve"> favoring</w:t>
      </w:r>
      <w:r w:rsidRPr="00A375E1">
        <w:rPr>
          <w:lang w:val="en-US"/>
        </w:rPr>
        <w:t xml:space="preserve"> evidence for the denial of BIV scenario</w:t>
      </w:r>
      <w:r w:rsidR="00E375F4" w:rsidRPr="00A375E1">
        <w:rPr>
          <w:lang w:val="en-US"/>
        </w:rPr>
        <w:t>s</w:t>
      </w:r>
      <w:r w:rsidRPr="00A375E1">
        <w:rPr>
          <w:lang w:val="en-US"/>
        </w:rPr>
        <w:t>.</w:t>
      </w:r>
      <w:r w:rsidR="0043356D" w:rsidRPr="00A375E1">
        <w:rPr>
          <w:rFonts w:ascii="Calibri" w:eastAsia="Times New Roman" w:hAnsi="Calibri" w:cs="Times New Roman"/>
          <w:color w:val="000000" w:themeColor="text1"/>
          <w:lang w:val="en-US" w:eastAsia="de-AT"/>
        </w:rPr>
        <w:t xml:space="preserve"> </w:t>
      </w:r>
      <w:r w:rsidR="00E375F4" w:rsidRPr="00A375E1">
        <w:rPr>
          <w:rFonts w:ascii="Calibri" w:eastAsia="Times New Roman" w:hAnsi="Calibri" w:cs="Times New Roman"/>
          <w:color w:val="000000" w:themeColor="text1"/>
          <w:lang w:val="en-US" w:eastAsia="de-AT"/>
        </w:rPr>
        <w:t xml:space="preserve">As in the zoo-example, here again our </w:t>
      </w:r>
      <w:r w:rsidR="00D43514" w:rsidRPr="00A375E1">
        <w:rPr>
          <w:rFonts w:ascii="Calibri" w:eastAsia="Times New Roman" w:hAnsi="Calibri" w:cs="Times New Roman"/>
          <w:color w:val="000000" w:themeColor="text1"/>
          <w:lang w:val="en-US" w:eastAsia="de-AT"/>
        </w:rPr>
        <w:t xml:space="preserve">immediate </w:t>
      </w:r>
      <w:r w:rsidR="00E375F4" w:rsidRPr="00A375E1">
        <w:rPr>
          <w:rFonts w:ascii="Calibri" w:eastAsia="Times New Roman" w:hAnsi="Calibri" w:cs="Times New Roman"/>
          <w:color w:val="000000" w:themeColor="text1"/>
          <w:lang w:val="en-US" w:eastAsia="de-AT"/>
        </w:rPr>
        <w:t xml:space="preserve">evidence is not </w:t>
      </w:r>
      <w:r w:rsidRPr="00A375E1">
        <w:rPr>
          <w:rFonts w:ascii="Calibri" w:eastAsia="Times New Roman" w:hAnsi="Calibri" w:cs="Times New Roman"/>
          <w:color w:val="000000" w:themeColor="text1"/>
          <w:lang w:val="en-US" w:eastAsia="de-AT"/>
        </w:rPr>
        <w:t xml:space="preserve">discriminating. </w:t>
      </w:r>
      <w:r w:rsidR="00E375F4" w:rsidRPr="00A375E1">
        <w:rPr>
          <w:rFonts w:ascii="Calibri" w:eastAsia="Times New Roman" w:hAnsi="Calibri" w:cs="Times New Roman"/>
          <w:color w:val="000000" w:themeColor="text1"/>
          <w:lang w:val="en-US" w:eastAsia="de-AT"/>
        </w:rPr>
        <w:t xml:space="preserve">To that extent, the </w:t>
      </w:r>
      <w:r w:rsidR="00DD0BD7">
        <w:rPr>
          <w:rFonts w:ascii="Calibri" w:eastAsia="Times New Roman" w:hAnsi="Calibri" w:cs="Times New Roman"/>
          <w:color w:val="000000" w:themeColor="text1"/>
          <w:lang w:val="en-US" w:eastAsia="de-AT"/>
        </w:rPr>
        <w:t>‘</w:t>
      </w:r>
      <w:r w:rsidR="00E375F4" w:rsidRPr="00A375E1">
        <w:rPr>
          <w:rFonts w:ascii="Calibri" w:eastAsia="Times New Roman" w:hAnsi="Calibri" w:cs="Times New Roman"/>
          <w:color w:val="000000" w:themeColor="text1"/>
          <w:lang w:val="en-US" w:eastAsia="de-AT"/>
        </w:rPr>
        <w:t>new evil demon</w:t>
      </w:r>
      <w:r w:rsidR="00DD0BD7">
        <w:rPr>
          <w:rFonts w:ascii="Calibri" w:eastAsia="Times New Roman" w:hAnsi="Calibri" w:cs="Times New Roman"/>
          <w:color w:val="000000" w:themeColor="text1"/>
          <w:lang w:val="en-US" w:eastAsia="de-AT"/>
        </w:rPr>
        <w:t>’</w:t>
      </w:r>
      <w:r w:rsidR="00E375F4" w:rsidRPr="00A375E1">
        <w:rPr>
          <w:rFonts w:ascii="Calibri" w:eastAsia="Times New Roman" w:hAnsi="Calibri" w:cs="Times New Roman"/>
          <w:color w:val="000000" w:themeColor="text1"/>
          <w:lang w:val="en-US" w:eastAsia="de-AT"/>
        </w:rPr>
        <w:t xml:space="preserve"> intuition is right. Nevertheless,</w:t>
      </w:r>
      <w:r w:rsidR="008F09D3" w:rsidRPr="00A375E1">
        <w:rPr>
          <w:rFonts w:ascii="Calibri" w:eastAsia="Times New Roman" w:hAnsi="Calibri" w:cs="Times New Roman"/>
          <w:color w:val="000000" w:themeColor="text1"/>
          <w:lang w:val="en-US" w:eastAsia="de-AT"/>
        </w:rPr>
        <w:t xml:space="preserve"> even in the absence of </w:t>
      </w:r>
      <w:r w:rsidR="00E375F4" w:rsidRPr="00A375E1">
        <w:rPr>
          <w:rFonts w:ascii="Calibri" w:eastAsia="Times New Roman" w:hAnsi="Calibri" w:cs="Times New Roman"/>
          <w:color w:val="000000" w:themeColor="text1"/>
          <w:lang w:val="en-US" w:eastAsia="de-AT"/>
        </w:rPr>
        <w:t xml:space="preserve">relevant </w:t>
      </w:r>
      <w:r w:rsidR="008F09D3" w:rsidRPr="00A375E1">
        <w:rPr>
          <w:rFonts w:ascii="Calibri" w:eastAsia="Times New Roman" w:hAnsi="Calibri" w:cs="Times New Roman"/>
          <w:color w:val="000000" w:themeColor="text1"/>
          <w:lang w:val="en-US" w:eastAsia="de-AT"/>
        </w:rPr>
        <w:t xml:space="preserve">discriminating evidence, </w:t>
      </w:r>
      <w:r w:rsidR="00E375F4" w:rsidRPr="00A375E1">
        <w:rPr>
          <w:rFonts w:ascii="Calibri" w:eastAsia="Times New Roman" w:hAnsi="Calibri" w:cs="Times New Roman"/>
          <w:color w:val="000000" w:themeColor="text1"/>
          <w:lang w:val="en-US" w:eastAsia="de-AT"/>
        </w:rPr>
        <w:t xml:space="preserve">we </w:t>
      </w:r>
      <w:r w:rsidR="00593E1F" w:rsidRPr="00A375E1">
        <w:rPr>
          <w:rFonts w:ascii="Calibri" w:eastAsia="Times New Roman" w:hAnsi="Calibri" w:cs="Times New Roman"/>
          <w:color w:val="000000" w:themeColor="text1"/>
          <w:lang w:val="en-US" w:eastAsia="de-AT"/>
        </w:rPr>
        <w:t xml:space="preserve">still </w:t>
      </w:r>
      <w:r w:rsidR="00E375F4" w:rsidRPr="00A375E1">
        <w:rPr>
          <w:rFonts w:ascii="Calibri" w:eastAsia="Times New Roman" w:hAnsi="Calibri" w:cs="Times New Roman"/>
          <w:color w:val="000000" w:themeColor="text1"/>
          <w:lang w:val="en-US" w:eastAsia="de-AT"/>
        </w:rPr>
        <w:t xml:space="preserve">have plenty of </w:t>
      </w:r>
      <w:proofErr w:type="spellStart"/>
      <w:r w:rsidR="00E375F4" w:rsidRPr="00A375E1">
        <w:rPr>
          <w:rFonts w:ascii="Calibri" w:eastAsia="Times New Roman" w:hAnsi="Calibri" w:cs="Times New Roman"/>
          <w:color w:val="000000" w:themeColor="text1"/>
          <w:lang w:val="en-US" w:eastAsia="de-AT"/>
        </w:rPr>
        <w:t>factive</w:t>
      </w:r>
      <w:proofErr w:type="spellEnd"/>
      <w:r w:rsidR="00E375F4" w:rsidRPr="00A375E1">
        <w:rPr>
          <w:rFonts w:ascii="Calibri" w:eastAsia="Times New Roman" w:hAnsi="Calibri" w:cs="Times New Roman"/>
          <w:color w:val="000000" w:themeColor="text1"/>
          <w:lang w:val="en-US" w:eastAsia="de-AT"/>
        </w:rPr>
        <w:t xml:space="preserve"> evidence for our ordinary beliefs that we are in good </w:t>
      </w:r>
      <w:r w:rsidR="00E375F4" w:rsidRPr="00A375E1">
        <w:rPr>
          <w:rFonts w:ascii="Calibri" w:eastAsia="Times New Roman" w:hAnsi="Calibri" w:cs="Times New Roman"/>
          <w:color w:val="000000" w:themeColor="text1"/>
          <w:lang w:val="en-US" w:eastAsia="de-AT"/>
        </w:rPr>
        <w:lastRenderedPageBreak/>
        <w:t xml:space="preserve">scenarios: </w:t>
      </w:r>
      <w:r w:rsidR="008F09D3" w:rsidRPr="00A375E1">
        <w:rPr>
          <w:rFonts w:ascii="Calibri" w:eastAsia="Times New Roman" w:hAnsi="Calibri" w:cs="Times New Roman"/>
          <w:color w:val="000000" w:themeColor="text1"/>
          <w:lang w:val="en-US" w:eastAsia="de-AT"/>
        </w:rPr>
        <w:t xml:space="preserve">we often find ourselves in </w:t>
      </w:r>
      <w:r w:rsidR="00DD0BD7">
        <w:rPr>
          <w:rFonts w:ascii="Calibri" w:eastAsia="Times New Roman" w:hAnsi="Calibri" w:cs="Times New Roman"/>
          <w:color w:val="000000" w:themeColor="text1"/>
          <w:lang w:val="en-US" w:eastAsia="de-AT"/>
        </w:rPr>
        <w:t>‘</w:t>
      </w:r>
      <w:r w:rsidR="008F09D3" w:rsidRPr="00A375E1">
        <w:rPr>
          <w:rFonts w:ascii="Calibri" w:eastAsia="Times New Roman" w:hAnsi="Calibri" w:cs="Times New Roman"/>
          <w:color w:val="000000" w:themeColor="text1"/>
          <w:lang w:val="en-US" w:eastAsia="de-AT"/>
        </w:rPr>
        <w:t>paradigm cases of knowledge</w:t>
      </w:r>
      <w:r w:rsidR="00DD0BD7">
        <w:rPr>
          <w:rFonts w:ascii="Calibri" w:eastAsia="Times New Roman" w:hAnsi="Calibri" w:cs="Times New Roman"/>
          <w:color w:val="000000" w:themeColor="text1"/>
          <w:lang w:val="en-US" w:eastAsia="de-AT"/>
        </w:rPr>
        <w:t>’</w:t>
      </w:r>
      <w:r w:rsidR="008F09D3" w:rsidRPr="00A375E1">
        <w:rPr>
          <w:rFonts w:ascii="Calibri" w:eastAsia="Times New Roman" w:hAnsi="Calibri" w:cs="Times New Roman"/>
          <w:color w:val="000000" w:themeColor="text1"/>
          <w:lang w:val="en-US" w:eastAsia="de-AT"/>
        </w:rPr>
        <w:t xml:space="preserve"> – </w:t>
      </w:r>
      <w:r w:rsidR="00E375F4" w:rsidRPr="00A375E1">
        <w:rPr>
          <w:rFonts w:ascii="Calibri" w:eastAsia="Times New Roman" w:hAnsi="Calibri" w:cs="Times New Roman"/>
          <w:color w:val="000000" w:themeColor="text1"/>
          <w:lang w:val="en-US" w:eastAsia="de-AT"/>
        </w:rPr>
        <w:t xml:space="preserve">I see my </w:t>
      </w:r>
      <w:r w:rsidR="008F09D3" w:rsidRPr="00A375E1">
        <w:rPr>
          <w:rFonts w:ascii="Calibri" w:eastAsia="Times New Roman" w:hAnsi="Calibri" w:cs="Times New Roman"/>
          <w:color w:val="000000" w:themeColor="text1"/>
          <w:lang w:val="en-US" w:eastAsia="de-AT"/>
        </w:rPr>
        <w:t>computer</w:t>
      </w:r>
      <w:r w:rsidR="00C2337C">
        <w:rPr>
          <w:rFonts w:ascii="Calibri" w:eastAsia="Times New Roman" w:hAnsi="Calibri" w:cs="Times New Roman"/>
          <w:color w:val="000000" w:themeColor="text1"/>
          <w:lang w:val="en-US" w:eastAsia="de-AT"/>
        </w:rPr>
        <w:t xml:space="preserve"> </w:t>
      </w:r>
      <w:r w:rsidR="008F09D3" w:rsidRPr="00A375E1">
        <w:rPr>
          <w:rFonts w:ascii="Calibri" w:eastAsia="Times New Roman" w:hAnsi="Calibri" w:cs="Times New Roman"/>
          <w:color w:val="000000" w:themeColor="text1"/>
          <w:lang w:val="en-US" w:eastAsia="de-AT"/>
        </w:rPr>
        <w:t xml:space="preserve">– and in all these cases we have reflectively accessible and </w:t>
      </w:r>
      <w:proofErr w:type="spellStart"/>
      <w:r w:rsidR="008F09D3" w:rsidRPr="00A375E1">
        <w:rPr>
          <w:rFonts w:ascii="Calibri" w:eastAsia="Times New Roman" w:hAnsi="Calibri" w:cs="Times New Roman"/>
          <w:color w:val="000000" w:themeColor="text1"/>
          <w:lang w:val="en-US" w:eastAsia="de-AT"/>
        </w:rPr>
        <w:t>factive</w:t>
      </w:r>
      <w:proofErr w:type="spellEnd"/>
      <w:r w:rsidR="008F09D3" w:rsidRPr="00A375E1">
        <w:rPr>
          <w:rFonts w:ascii="Calibri" w:eastAsia="Times New Roman" w:hAnsi="Calibri" w:cs="Times New Roman"/>
          <w:color w:val="000000" w:themeColor="text1"/>
          <w:lang w:val="en-US" w:eastAsia="de-AT"/>
        </w:rPr>
        <w:t xml:space="preserve"> rational support for our beliefs. </w:t>
      </w:r>
      <w:r w:rsidR="00E375F4" w:rsidRPr="00A375E1">
        <w:rPr>
          <w:rFonts w:ascii="Calibri" w:eastAsia="Times New Roman" w:hAnsi="Calibri" w:cs="Times New Roman"/>
          <w:color w:val="000000" w:themeColor="text1"/>
          <w:lang w:val="en-US" w:eastAsia="de-AT"/>
        </w:rPr>
        <w:t xml:space="preserve">This support </w:t>
      </w:r>
      <w:r w:rsidR="00DD0BD7">
        <w:rPr>
          <w:rFonts w:ascii="Calibri" w:eastAsia="Times New Roman" w:hAnsi="Calibri" w:cs="Times New Roman"/>
          <w:color w:val="000000" w:themeColor="text1"/>
          <w:lang w:val="en-US" w:eastAsia="de-AT"/>
        </w:rPr>
        <w:t>‘</w:t>
      </w:r>
      <w:r w:rsidR="008F09D3" w:rsidRPr="00A375E1">
        <w:rPr>
          <w:rFonts w:ascii="Calibri" w:eastAsia="Times New Roman" w:hAnsi="Calibri" w:cs="Times New Roman"/>
          <w:color w:val="000000" w:themeColor="text1"/>
          <w:lang w:val="en-US" w:eastAsia="de-AT"/>
        </w:rPr>
        <w:t>decisively favors</w:t>
      </w:r>
      <w:r w:rsidR="00DD0BD7">
        <w:rPr>
          <w:rFonts w:ascii="Calibri" w:eastAsia="Times New Roman" w:hAnsi="Calibri" w:cs="Times New Roman"/>
          <w:color w:val="000000" w:themeColor="text1"/>
          <w:lang w:val="en-US" w:eastAsia="de-AT"/>
        </w:rPr>
        <w:t>’</w:t>
      </w:r>
      <w:r w:rsidR="008F09D3" w:rsidRPr="00A375E1">
        <w:rPr>
          <w:rFonts w:ascii="Calibri" w:eastAsia="Times New Roman" w:hAnsi="Calibri" w:cs="Times New Roman"/>
          <w:color w:val="000000" w:themeColor="text1"/>
          <w:lang w:val="en-US" w:eastAsia="de-AT"/>
        </w:rPr>
        <w:t xml:space="preserve"> my ordinary beliefs over </w:t>
      </w:r>
      <w:r w:rsidR="008F09D3" w:rsidRPr="000C50A1">
        <w:rPr>
          <w:rFonts w:ascii="Calibri" w:eastAsia="Times New Roman" w:hAnsi="Calibri" w:cs="Times New Roman"/>
          <w:i/>
          <w:color w:val="000000" w:themeColor="text1"/>
          <w:lang w:val="en-US" w:eastAsia="de-AT"/>
        </w:rPr>
        <w:t>BIV</w:t>
      </w:r>
      <w:r w:rsidR="008F09D3" w:rsidRPr="00A375E1">
        <w:rPr>
          <w:rFonts w:ascii="Calibri" w:eastAsia="Times New Roman" w:hAnsi="Calibri" w:cs="Times New Roman"/>
          <w:color w:val="000000" w:themeColor="text1"/>
          <w:lang w:val="en-US" w:eastAsia="de-AT"/>
        </w:rPr>
        <w:t xml:space="preserve"> alternatives (</w:t>
      </w:r>
      <w:r w:rsidR="00DD0BD7">
        <w:rPr>
          <w:lang w:val="en-US"/>
        </w:rPr>
        <w:t xml:space="preserve">2016: </w:t>
      </w:r>
      <w:r w:rsidR="008F09D3" w:rsidRPr="00A375E1">
        <w:rPr>
          <w:rFonts w:ascii="Calibri" w:eastAsia="Times New Roman" w:hAnsi="Calibri" w:cs="Times New Roman"/>
          <w:color w:val="000000" w:themeColor="text1"/>
          <w:lang w:val="en-US" w:eastAsia="de-AT"/>
        </w:rPr>
        <w:t xml:space="preserve">138). </w:t>
      </w:r>
    </w:p>
    <w:p w:rsidR="00763D2B" w:rsidRPr="00A375E1" w:rsidRDefault="00593E1F" w:rsidP="00593E1F">
      <w:pPr>
        <w:spacing w:after="0" w:line="360" w:lineRule="auto"/>
        <w:ind w:right="567" w:firstLine="284"/>
        <w:rPr>
          <w:rFonts w:ascii="Calibri" w:eastAsia="Times New Roman" w:hAnsi="Calibri" w:cs="Times New Roman"/>
          <w:color w:val="000000" w:themeColor="text1"/>
          <w:lang w:val="en-US" w:eastAsia="de-AT"/>
        </w:rPr>
      </w:pPr>
      <w:r w:rsidRPr="00A375E1">
        <w:rPr>
          <w:rFonts w:ascii="Calibri" w:eastAsia="Times New Roman" w:hAnsi="Calibri" w:cs="Times New Roman"/>
          <w:color w:val="000000" w:themeColor="text1"/>
          <w:lang w:val="en-US" w:eastAsia="de-AT"/>
        </w:rPr>
        <w:t>Finally, we do not beg the question against the sceptic when we invoke this favoring-</w:t>
      </w:r>
      <w:proofErr w:type="spellStart"/>
      <w:r w:rsidRPr="00A375E1">
        <w:rPr>
          <w:rFonts w:ascii="Calibri" w:eastAsia="Times New Roman" w:hAnsi="Calibri" w:cs="Times New Roman"/>
          <w:color w:val="000000" w:themeColor="text1"/>
          <w:lang w:val="en-US" w:eastAsia="de-AT"/>
        </w:rPr>
        <w:t>factive</w:t>
      </w:r>
      <w:proofErr w:type="spellEnd"/>
      <w:r w:rsidRPr="00A375E1">
        <w:rPr>
          <w:rFonts w:ascii="Calibri" w:eastAsia="Times New Roman" w:hAnsi="Calibri" w:cs="Times New Roman"/>
          <w:color w:val="000000" w:themeColor="text1"/>
          <w:lang w:val="en-US" w:eastAsia="de-AT"/>
        </w:rPr>
        <w:t xml:space="preserve"> evidence. Challenges have to be earned; they have to be </w:t>
      </w:r>
      <w:r w:rsidR="00DD0BD7">
        <w:rPr>
          <w:rFonts w:ascii="Calibri" w:eastAsia="Times New Roman" w:hAnsi="Calibri" w:cs="Times New Roman"/>
          <w:color w:val="000000" w:themeColor="text1"/>
          <w:lang w:val="en-US" w:eastAsia="de-AT"/>
        </w:rPr>
        <w:t>‘</w:t>
      </w:r>
      <w:r w:rsidR="00A244E9" w:rsidRPr="00A375E1">
        <w:rPr>
          <w:rFonts w:ascii="Calibri" w:eastAsia="Times New Roman" w:hAnsi="Calibri" w:cs="Times New Roman"/>
          <w:color w:val="000000" w:themeColor="text1"/>
          <w:lang w:val="en-US" w:eastAsia="de-AT"/>
        </w:rPr>
        <w:t>rationally motivated</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 xml:space="preserve">. </w:t>
      </w:r>
      <w:r w:rsidRPr="000C50A1">
        <w:rPr>
          <w:rFonts w:ascii="Calibri" w:eastAsia="Times New Roman" w:hAnsi="Calibri" w:cs="Times New Roman"/>
          <w:i/>
          <w:color w:val="000000" w:themeColor="text1"/>
          <w:lang w:val="en-US" w:eastAsia="de-AT"/>
        </w:rPr>
        <w:t>BIV-ES</w:t>
      </w:r>
      <w:r w:rsidRPr="00A375E1">
        <w:rPr>
          <w:rFonts w:ascii="Calibri" w:eastAsia="Times New Roman" w:hAnsi="Calibri" w:cs="Times New Roman"/>
          <w:color w:val="000000" w:themeColor="text1"/>
          <w:lang w:val="en-US" w:eastAsia="de-AT"/>
        </w:rPr>
        <w:t xml:space="preserve"> lacks such rational motivation. The error possibilities raised by the sceptic are merely </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bare</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 or abstract (</w:t>
      </w:r>
      <w:r w:rsidR="00DD0BD7">
        <w:rPr>
          <w:lang w:val="en-US"/>
        </w:rPr>
        <w:t xml:space="preserve">2016: </w:t>
      </w:r>
      <w:r w:rsidRPr="00A375E1">
        <w:rPr>
          <w:rFonts w:ascii="Calibri" w:eastAsia="Times New Roman" w:hAnsi="Calibri" w:cs="Times New Roman"/>
          <w:color w:val="000000" w:themeColor="text1"/>
          <w:lang w:val="en-US" w:eastAsia="de-AT"/>
        </w:rPr>
        <w:t>139). And this gives us the right to ignore them.</w:t>
      </w:r>
    </w:p>
    <w:p w:rsidR="00BA5C07" w:rsidRDefault="00BA5C07" w:rsidP="00BA5C07">
      <w:pPr>
        <w:pStyle w:val="ListParagraph"/>
        <w:spacing w:after="0" w:line="360" w:lineRule="auto"/>
        <w:ind w:right="567"/>
        <w:rPr>
          <w:rFonts w:ascii="Calibri" w:eastAsia="Times New Roman" w:hAnsi="Calibri" w:cs="Times New Roman"/>
          <w:color w:val="000000" w:themeColor="text1"/>
          <w:u w:val="single"/>
          <w:lang w:val="en-US" w:eastAsia="de-AT"/>
        </w:rPr>
      </w:pPr>
    </w:p>
    <w:p w:rsidR="00763D2B" w:rsidRPr="000C50A1" w:rsidRDefault="00763D2B" w:rsidP="00F86877">
      <w:pPr>
        <w:pStyle w:val="ListParagraph"/>
        <w:numPr>
          <w:ilvl w:val="0"/>
          <w:numId w:val="4"/>
        </w:numPr>
        <w:spacing w:after="0" w:line="360" w:lineRule="auto"/>
        <w:ind w:right="567"/>
        <w:jc w:val="center"/>
        <w:rPr>
          <w:rFonts w:ascii="Calibri" w:eastAsia="Times New Roman" w:hAnsi="Calibri" w:cs="Times New Roman"/>
          <w:i/>
          <w:color w:val="000000" w:themeColor="text1"/>
          <w:lang w:val="en-US" w:eastAsia="de-AT"/>
        </w:rPr>
      </w:pPr>
      <w:r w:rsidRPr="000C50A1">
        <w:rPr>
          <w:rFonts w:ascii="Calibri" w:eastAsia="Times New Roman" w:hAnsi="Calibri" w:cs="Times New Roman"/>
          <w:i/>
          <w:color w:val="000000" w:themeColor="text1"/>
          <w:lang w:val="en-US" w:eastAsia="de-AT"/>
        </w:rPr>
        <w:t>Epistemic Angst and Vertigo</w:t>
      </w:r>
    </w:p>
    <w:p w:rsidR="005811C5" w:rsidRPr="00A375E1" w:rsidRDefault="00597587" w:rsidP="00A849A9">
      <w:pPr>
        <w:spacing w:after="0" w:line="360" w:lineRule="auto"/>
        <w:ind w:right="567" w:firstLine="284"/>
        <w:rPr>
          <w:lang w:val="en-US"/>
        </w:rPr>
      </w:pPr>
      <w:r w:rsidRPr="00A375E1">
        <w:rPr>
          <w:lang w:val="en-US"/>
        </w:rPr>
        <w:t xml:space="preserve"> </w:t>
      </w:r>
    </w:p>
    <w:p w:rsidR="00F86877" w:rsidRPr="00A375E1" w:rsidRDefault="00593E1F" w:rsidP="00593E1F">
      <w:pPr>
        <w:spacing w:after="0" w:line="360" w:lineRule="auto"/>
        <w:ind w:right="567"/>
        <w:rPr>
          <w:lang w:val="en-US"/>
        </w:rPr>
      </w:pPr>
      <w:r w:rsidRPr="00A375E1">
        <w:rPr>
          <w:rFonts w:ascii="Calibri" w:eastAsia="Times New Roman" w:hAnsi="Calibri" w:cs="Times New Roman"/>
          <w:color w:val="000000" w:themeColor="text1"/>
          <w:lang w:val="en-US" w:eastAsia="de-AT"/>
        </w:rPr>
        <w:t xml:space="preserve">In his </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Concluding Postscript</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 xml:space="preserve"> </w:t>
      </w:r>
      <w:r w:rsidR="00597587" w:rsidRPr="00A375E1">
        <w:rPr>
          <w:rFonts w:ascii="Calibri" w:eastAsia="Times New Roman" w:hAnsi="Calibri" w:cs="Times New Roman"/>
          <w:color w:val="000000" w:themeColor="text1"/>
          <w:lang w:val="en-US" w:eastAsia="de-AT"/>
        </w:rPr>
        <w:t xml:space="preserve">Pritchard offers a final distinction: </w:t>
      </w:r>
      <w:r w:rsidR="00DD0BD7">
        <w:rPr>
          <w:rFonts w:ascii="Calibri" w:eastAsia="Times New Roman" w:hAnsi="Calibri" w:cs="Times New Roman"/>
          <w:color w:val="000000" w:themeColor="text1"/>
          <w:lang w:val="en-US" w:eastAsia="de-AT"/>
        </w:rPr>
        <w:t>‘</w:t>
      </w:r>
      <w:r w:rsidR="00597587" w:rsidRPr="00A375E1">
        <w:rPr>
          <w:rFonts w:ascii="Calibri" w:eastAsia="Times New Roman" w:hAnsi="Calibri" w:cs="Times New Roman"/>
          <w:color w:val="000000" w:themeColor="text1"/>
          <w:lang w:val="en-US" w:eastAsia="de-AT"/>
        </w:rPr>
        <w:t>epistemic angst</w:t>
      </w:r>
      <w:r w:rsidR="00DD0BD7">
        <w:rPr>
          <w:rFonts w:ascii="Calibri" w:eastAsia="Times New Roman" w:hAnsi="Calibri" w:cs="Times New Roman"/>
          <w:color w:val="000000" w:themeColor="text1"/>
          <w:lang w:val="en-US" w:eastAsia="de-AT"/>
        </w:rPr>
        <w:t>’</w:t>
      </w:r>
      <w:r w:rsidR="00597587" w:rsidRPr="00A375E1">
        <w:rPr>
          <w:rFonts w:ascii="Calibri" w:eastAsia="Times New Roman" w:hAnsi="Calibri" w:cs="Times New Roman"/>
          <w:color w:val="000000" w:themeColor="text1"/>
          <w:lang w:val="en-US" w:eastAsia="de-AT"/>
        </w:rPr>
        <w:t xml:space="preserve"> versus </w:t>
      </w:r>
      <w:r w:rsidR="00DD0BD7">
        <w:rPr>
          <w:rFonts w:ascii="Calibri" w:eastAsia="Times New Roman" w:hAnsi="Calibri" w:cs="Times New Roman"/>
          <w:color w:val="000000" w:themeColor="text1"/>
          <w:lang w:val="en-US" w:eastAsia="de-AT"/>
        </w:rPr>
        <w:t>‘</w:t>
      </w:r>
      <w:r w:rsidR="00597587" w:rsidRPr="00A375E1">
        <w:rPr>
          <w:rFonts w:ascii="Calibri" w:eastAsia="Times New Roman" w:hAnsi="Calibri" w:cs="Times New Roman"/>
          <w:color w:val="000000" w:themeColor="text1"/>
          <w:lang w:val="en-US" w:eastAsia="de-AT"/>
        </w:rPr>
        <w:t>epistemic vertigo</w:t>
      </w:r>
      <w:r w:rsidR="00DD0BD7">
        <w:rPr>
          <w:rFonts w:ascii="Calibri" w:eastAsia="Times New Roman" w:hAnsi="Calibri" w:cs="Times New Roman"/>
          <w:color w:val="000000" w:themeColor="text1"/>
          <w:lang w:val="en-US" w:eastAsia="de-AT"/>
        </w:rPr>
        <w:t>’</w:t>
      </w:r>
      <w:r w:rsidR="00597587" w:rsidRPr="00A375E1">
        <w:rPr>
          <w:rFonts w:ascii="Calibri" w:eastAsia="Times New Roman" w:hAnsi="Calibri" w:cs="Times New Roman"/>
          <w:color w:val="000000" w:themeColor="text1"/>
          <w:lang w:val="en-US" w:eastAsia="de-AT"/>
        </w:rPr>
        <w:t xml:space="preserve">.  </w:t>
      </w:r>
      <w:r w:rsidRPr="00A375E1">
        <w:rPr>
          <w:rFonts w:ascii="Calibri" w:eastAsia="Times New Roman" w:hAnsi="Calibri" w:cs="Times New Roman"/>
          <w:color w:val="000000" w:themeColor="text1"/>
          <w:lang w:val="en-US" w:eastAsia="de-AT"/>
        </w:rPr>
        <w:t>We experience e</w:t>
      </w:r>
      <w:r w:rsidR="00597587" w:rsidRPr="00A375E1">
        <w:rPr>
          <w:rFonts w:ascii="Calibri" w:eastAsia="Times New Roman" w:hAnsi="Calibri" w:cs="Times New Roman"/>
          <w:color w:val="000000" w:themeColor="text1"/>
          <w:lang w:val="en-US" w:eastAsia="de-AT"/>
        </w:rPr>
        <w:t xml:space="preserve">pistemic angst </w:t>
      </w:r>
      <w:r w:rsidRPr="00A375E1">
        <w:rPr>
          <w:rFonts w:ascii="Calibri" w:eastAsia="Times New Roman" w:hAnsi="Calibri" w:cs="Times New Roman"/>
          <w:color w:val="000000" w:themeColor="text1"/>
          <w:lang w:val="en-US" w:eastAsia="de-AT"/>
        </w:rPr>
        <w:t xml:space="preserve">as long as we are unable to defeat various versions of </w:t>
      </w:r>
      <w:r w:rsidRPr="000C50A1">
        <w:rPr>
          <w:rFonts w:ascii="Calibri" w:eastAsia="Times New Roman" w:hAnsi="Calibri" w:cs="Times New Roman"/>
          <w:i/>
          <w:color w:val="000000" w:themeColor="text1"/>
          <w:lang w:val="en-US" w:eastAsia="de-AT"/>
        </w:rPr>
        <w:t>ES</w:t>
      </w:r>
      <w:r w:rsidRPr="00A375E1">
        <w:rPr>
          <w:rFonts w:ascii="Calibri" w:eastAsia="Times New Roman" w:hAnsi="Calibri" w:cs="Times New Roman"/>
          <w:color w:val="000000" w:themeColor="text1"/>
          <w:lang w:val="en-US" w:eastAsia="de-AT"/>
        </w:rPr>
        <w:t xml:space="preserve">. </w:t>
      </w:r>
      <w:r w:rsidR="00A375E1" w:rsidRPr="00A375E1">
        <w:rPr>
          <w:rFonts w:ascii="Calibri" w:eastAsia="Times New Roman" w:hAnsi="Calibri" w:cs="Times New Roman"/>
          <w:color w:val="000000" w:themeColor="text1"/>
          <w:lang w:val="en-US" w:eastAsia="de-AT"/>
        </w:rPr>
        <w:t xml:space="preserve">Pritchard’s </w:t>
      </w:r>
      <w:r w:rsidR="00A375E1">
        <w:rPr>
          <w:rFonts w:ascii="Calibri" w:eastAsia="Times New Roman" w:hAnsi="Calibri" w:cs="Times New Roman"/>
          <w:color w:val="000000" w:themeColor="text1"/>
          <w:lang w:val="en-US" w:eastAsia="de-AT"/>
        </w:rPr>
        <w:t>book,</w:t>
      </w:r>
      <w:r w:rsidRPr="00A375E1">
        <w:rPr>
          <w:rFonts w:ascii="Calibri" w:eastAsia="Times New Roman" w:hAnsi="Calibri" w:cs="Times New Roman"/>
          <w:color w:val="000000" w:themeColor="text1"/>
          <w:lang w:val="en-US" w:eastAsia="de-AT"/>
        </w:rPr>
        <w:t xml:space="preserve"> is meant to provide the decisive cure. Alas, </w:t>
      </w:r>
      <w:r w:rsidR="00A375E1" w:rsidRPr="000C50A1">
        <w:rPr>
          <w:rFonts w:ascii="Calibri" w:eastAsia="Times New Roman" w:hAnsi="Calibri" w:cs="Times New Roman"/>
          <w:i/>
          <w:color w:val="000000" w:themeColor="text1"/>
          <w:lang w:val="en-US" w:eastAsia="de-AT"/>
        </w:rPr>
        <w:t>Epistemic Angst</w:t>
      </w:r>
      <w:r w:rsidRPr="00A375E1">
        <w:rPr>
          <w:rFonts w:ascii="Calibri" w:eastAsia="Times New Roman" w:hAnsi="Calibri" w:cs="Times New Roman"/>
          <w:color w:val="000000" w:themeColor="text1"/>
          <w:lang w:val="en-US" w:eastAsia="de-AT"/>
        </w:rPr>
        <w:t xml:space="preserve"> warns that a residual </w:t>
      </w:r>
      <w:r w:rsidR="00DD0BD7">
        <w:rPr>
          <w:rFonts w:ascii="Calibri" w:eastAsia="Times New Roman" w:hAnsi="Calibri" w:cs="Times New Roman"/>
          <w:color w:val="000000" w:themeColor="text1"/>
          <w:lang w:val="en-US" w:eastAsia="de-AT"/>
        </w:rPr>
        <w:t>‘</w:t>
      </w:r>
      <w:r w:rsidRPr="00A375E1">
        <w:rPr>
          <w:rFonts w:ascii="Calibri" w:eastAsia="Times New Roman" w:hAnsi="Calibri" w:cs="Times New Roman"/>
          <w:color w:val="000000" w:themeColor="text1"/>
          <w:lang w:val="en-US" w:eastAsia="de-AT"/>
        </w:rPr>
        <w:t>epistemic v</w:t>
      </w:r>
      <w:r w:rsidR="00D43514" w:rsidRPr="00A375E1">
        <w:rPr>
          <w:rFonts w:ascii="Calibri" w:eastAsia="Times New Roman" w:hAnsi="Calibri" w:cs="Times New Roman"/>
          <w:color w:val="000000" w:themeColor="text1"/>
          <w:lang w:val="en-US" w:eastAsia="de-AT"/>
        </w:rPr>
        <w:t>ertigo</w:t>
      </w:r>
      <w:r w:rsidR="00DD0BD7">
        <w:rPr>
          <w:rFonts w:ascii="Calibri" w:eastAsia="Times New Roman" w:hAnsi="Calibri" w:cs="Times New Roman"/>
          <w:color w:val="000000" w:themeColor="text1"/>
          <w:lang w:val="en-US" w:eastAsia="de-AT"/>
        </w:rPr>
        <w:t>’</w:t>
      </w:r>
      <w:r w:rsidR="00D43514" w:rsidRPr="00A375E1">
        <w:rPr>
          <w:rFonts w:ascii="Calibri" w:eastAsia="Times New Roman" w:hAnsi="Calibri" w:cs="Times New Roman"/>
          <w:color w:val="000000" w:themeColor="text1"/>
          <w:lang w:val="en-US" w:eastAsia="de-AT"/>
        </w:rPr>
        <w:t xml:space="preserve"> is likely to remain: an </w:t>
      </w:r>
      <w:r w:rsidRPr="00A375E1">
        <w:rPr>
          <w:rFonts w:ascii="Calibri" w:eastAsia="Times New Roman" w:hAnsi="Calibri" w:cs="Times New Roman"/>
          <w:color w:val="000000" w:themeColor="text1"/>
          <w:lang w:val="en-US" w:eastAsia="de-AT"/>
        </w:rPr>
        <w:t xml:space="preserve">irrational </w:t>
      </w:r>
      <w:r w:rsidR="00DD0BD7">
        <w:rPr>
          <w:rFonts w:ascii="Calibri" w:eastAsia="Times New Roman" w:hAnsi="Calibri" w:cs="Times New Roman"/>
          <w:color w:val="000000" w:themeColor="text1"/>
          <w:lang w:val="en-US" w:eastAsia="de-AT"/>
        </w:rPr>
        <w:t>‘</w:t>
      </w:r>
      <w:r w:rsidR="002636E2" w:rsidRPr="00A375E1">
        <w:rPr>
          <w:rFonts w:ascii="Calibri" w:eastAsia="Times New Roman" w:hAnsi="Calibri" w:cs="Times New Roman"/>
          <w:color w:val="000000" w:themeColor="text1"/>
          <w:lang w:val="en-US" w:eastAsia="de-AT"/>
        </w:rPr>
        <w:t>intellectual anxiety</w:t>
      </w:r>
      <w:r w:rsidR="00DD0BD7">
        <w:rPr>
          <w:rFonts w:ascii="Calibri" w:eastAsia="Times New Roman" w:hAnsi="Calibri" w:cs="Times New Roman"/>
          <w:color w:val="000000" w:themeColor="text1"/>
          <w:lang w:val="en-US" w:eastAsia="de-AT"/>
        </w:rPr>
        <w:t>’</w:t>
      </w:r>
      <w:r w:rsidR="002636E2" w:rsidRPr="00A375E1">
        <w:rPr>
          <w:rFonts w:ascii="Calibri" w:eastAsia="Times New Roman" w:hAnsi="Calibri" w:cs="Times New Roman"/>
          <w:color w:val="000000" w:themeColor="text1"/>
          <w:lang w:val="en-US" w:eastAsia="de-AT"/>
        </w:rPr>
        <w:t xml:space="preserve"> </w:t>
      </w:r>
      <w:r w:rsidRPr="00A375E1">
        <w:rPr>
          <w:rFonts w:ascii="Calibri" w:eastAsia="Times New Roman" w:hAnsi="Calibri" w:cs="Times New Roman"/>
          <w:color w:val="000000" w:themeColor="text1"/>
          <w:lang w:val="en-US" w:eastAsia="de-AT"/>
        </w:rPr>
        <w:t xml:space="preserve">triggered by reflecting on the </w:t>
      </w:r>
      <w:r w:rsidR="00DD0BD7">
        <w:rPr>
          <w:lang w:val="en-US"/>
        </w:rPr>
        <w:t>‘</w:t>
      </w:r>
      <w:r w:rsidR="006C1376" w:rsidRPr="00A375E1">
        <w:rPr>
          <w:lang w:val="en-US"/>
        </w:rPr>
        <w:t>groundlessness of our believing</w:t>
      </w:r>
      <w:r w:rsidR="00DD0BD7">
        <w:rPr>
          <w:lang w:val="en-US"/>
        </w:rPr>
        <w:t>’</w:t>
      </w:r>
      <w:r w:rsidR="006C1376" w:rsidRPr="00A375E1">
        <w:rPr>
          <w:lang w:val="en-US"/>
        </w:rPr>
        <w:t xml:space="preserve"> </w:t>
      </w:r>
      <w:r w:rsidR="00A375E1" w:rsidRPr="00A375E1">
        <w:rPr>
          <w:rFonts w:ascii="Calibri" w:eastAsia="Times New Roman" w:hAnsi="Calibri" w:cs="Times New Roman"/>
          <w:color w:val="000000" w:themeColor="text1"/>
          <w:lang w:val="en-US" w:eastAsia="de-AT"/>
        </w:rPr>
        <w:t>(</w:t>
      </w:r>
      <w:r w:rsidR="00DD0BD7">
        <w:rPr>
          <w:lang w:val="en-US"/>
        </w:rPr>
        <w:t xml:space="preserve">2016: </w:t>
      </w:r>
      <w:r w:rsidR="00A375E1" w:rsidRPr="00A375E1">
        <w:rPr>
          <w:rFonts w:ascii="Calibri" w:eastAsia="Times New Roman" w:hAnsi="Calibri" w:cs="Times New Roman"/>
          <w:color w:val="000000" w:themeColor="text1"/>
          <w:lang w:val="en-US" w:eastAsia="de-AT"/>
        </w:rPr>
        <w:t>185)</w:t>
      </w:r>
      <w:r w:rsidR="006C1376" w:rsidRPr="00A375E1">
        <w:rPr>
          <w:lang w:val="en-US"/>
        </w:rPr>
        <w:t>.</w:t>
      </w:r>
    </w:p>
    <w:p w:rsidR="00F86877" w:rsidRPr="00A375E1" w:rsidRDefault="00F86877" w:rsidP="00593E1F">
      <w:pPr>
        <w:spacing w:after="0" w:line="360" w:lineRule="auto"/>
        <w:ind w:right="567"/>
        <w:rPr>
          <w:lang w:val="en-US"/>
        </w:rPr>
      </w:pPr>
    </w:p>
    <w:p w:rsidR="00F86877" w:rsidRPr="000C50A1" w:rsidRDefault="0050155D" w:rsidP="00F86877">
      <w:pPr>
        <w:pStyle w:val="ListParagraph"/>
        <w:numPr>
          <w:ilvl w:val="0"/>
          <w:numId w:val="4"/>
        </w:numPr>
        <w:spacing w:after="0" w:line="360" w:lineRule="auto"/>
        <w:ind w:right="567"/>
        <w:jc w:val="center"/>
        <w:rPr>
          <w:rFonts w:ascii="Calibri" w:eastAsia="Times New Roman" w:hAnsi="Calibri" w:cs="Times New Roman"/>
          <w:i/>
          <w:color w:val="000000" w:themeColor="text1"/>
          <w:lang w:val="en-US" w:eastAsia="de-AT"/>
        </w:rPr>
      </w:pPr>
      <w:r w:rsidRPr="000C50A1">
        <w:rPr>
          <w:rFonts w:ascii="Calibri" w:eastAsia="Times New Roman" w:hAnsi="Calibri" w:cs="Times New Roman"/>
          <w:i/>
          <w:color w:val="000000" w:themeColor="text1"/>
          <w:lang w:val="en-US" w:eastAsia="de-AT"/>
        </w:rPr>
        <w:t>Overriding and Undercutting Strategies</w:t>
      </w:r>
      <w:r w:rsidR="00F86877" w:rsidRPr="000C50A1">
        <w:rPr>
          <w:rFonts w:ascii="Calibri" w:eastAsia="Times New Roman" w:hAnsi="Calibri" w:cs="Times New Roman"/>
          <w:i/>
          <w:color w:val="000000" w:themeColor="text1"/>
          <w:lang w:val="en-US" w:eastAsia="de-AT"/>
        </w:rPr>
        <w:t>?</w:t>
      </w:r>
    </w:p>
    <w:p w:rsidR="00F86877" w:rsidRPr="00A375E1" w:rsidRDefault="00F86877" w:rsidP="00F86877">
      <w:pPr>
        <w:spacing w:after="0" w:line="360" w:lineRule="auto"/>
        <w:ind w:right="567"/>
        <w:rPr>
          <w:rFonts w:ascii="Calibri" w:eastAsia="Times New Roman" w:hAnsi="Calibri" w:cs="Times New Roman"/>
          <w:color w:val="000000" w:themeColor="text1"/>
          <w:u w:val="single"/>
          <w:lang w:val="en-US" w:eastAsia="de-AT"/>
        </w:rPr>
      </w:pPr>
    </w:p>
    <w:p w:rsidR="00B321EE" w:rsidRDefault="00F86877" w:rsidP="00B321EE">
      <w:pPr>
        <w:spacing w:after="0" w:line="360" w:lineRule="auto"/>
        <w:ind w:right="567"/>
        <w:rPr>
          <w:lang w:val="en-US"/>
        </w:rPr>
      </w:pPr>
      <w:r w:rsidRPr="00A375E1">
        <w:rPr>
          <w:rFonts w:ascii="Calibri" w:eastAsia="Times New Roman" w:hAnsi="Calibri" w:cs="Times New Roman"/>
          <w:color w:val="000000" w:themeColor="text1"/>
          <w:lang w:val="en-US" w:eastAsia="de-AT"/>
        </w:rPr>
        <w:t xml:space="preserve">I now turn to a critical assessment. I begin with a comment on </w:t>
      </w:r>
      <w:r w:rsidR="00981941" w:rsidRPr="00A375E1">
        <w:rPr>
          <w:lang w:val="en-US"/>
        </w:rPr>
        <w:t>the dis</w:t>
      </w:r>
      <w:r w:rsidR="0050155D">
        <w:rPr>
          <w:lang w:val="en-US"/>
        </w:rPr>
        <w:t xml:space="preserve">tinction between overriding and </w:t>
      </w:r>
      <w:r w:rsidR="00981941" w:rsidRPr="00A375E1">
        <w:rPr>
          <w:lang w:val="en-US"/>
        </w:rPr>
        <w:t xml:space="preserve">undercutting anti-skeptical strategies. </w:t>
      </w:r>
      <w:r w:rsidR="002227F5" w:rsidRPr="00A375E1">
        <w:rPr>
          <w:lang w:val="en-US"/>
        </w:rPr>
        <w:t xml:space="preserve">I find the idea insightful, but remain uncomfortable with the way it is employed in </w:t>
      </w:r>
      <w:r w:rsidR="0055693E" w:rsidRPr="000C50A1">
        <w:rPr>
          <w:i/>
          <w:lang w:val="en-US"/>
        </w:rPr>
        <w:t>Epistemic Angst</w:t>
      </w:r>
      <w:r w:rsidR="002227F5" w:rsidRPr="00A375E1">
        <w:rPr>
          <w:lang w:val="en-US"/>
        </w:rPr>
        <w:t xml:space="preserve">. </w:t>
      </w:r>
      <w:r w:rsidR="00C2337C">
        <w:rPr>
          <w:lang w:val="en-US"/>
        </w:rPr>
        <w:t>Recall</w:t>
      </w:r>
      <w:r w:rsidR="005809F9" w:rsidRPr="00A375E1">
        <w:rPr>
          <w:lang w:val="en-US"/>
        </w:rPr>
        <w:t xml:space="preserve">: on the overriding strategy we grant that our epistemic folk-concepts and practices allow for </w:t>
      </w:r>
      <w:r w:rsidR="005809F9" w:rsidRPr="000C50A1">
        <w:rPr>
          <w:i/>
          <w:lang w:val="en-US"/>
        </w:rPr>
        <w:t>E</w:t>
      </w:r>
      <w:r w:rsidR="0028630D" w:rsidRPr="000C50A1">
        <w:rPr>
          <w:i/>
          <w:lang w:val="en-US"/>
        </w:rPr>
        <w:t>S</w:t>
      </w:r>
      <w:r w:rsidR="005809F9" w:rsidRPr="00A375E1">
        <w:rPr>
          <w:lang w:val="en-US"/>
        </w:rPr>
        <w:t xml:space="preserve">, but then go on to block </w:t>
      </w:r>
      <w:r w:rsidR="005809F9" w:rsidRPr="000C50A1">
        <w:rPr>
          <w:i/>
          <w:lang w:val="en-US"/>
        </w:rPr>
        <w:t>ES</w:t>
      </w:r>
      <w:r w:rsidR="005809F9" w:rsidRPr="00A375E1">
        <w:rPr>
          <w:lang w:val="en-US"/>
        </w:rPr>
        <w:t xml:space="preserve"> via a</w:t>
      </w:r>
      <w:r w:rsidR="002E5A85" w:rsidRPr="00A375E1">
        <w:rPr>
          <w:lang w:val="en-US"/>
        </w:rPr>
        <w:t>n</w:t>
      </w:r>
      <w:r w:rsidR="005809F9" w:rsidRPr="00A375E1">
        <w:rPr>
          <w:lang w:val="en-US"/>
        </w:rPr>
        <w:t xml:space="preserve"> independently-motivated revision of our epistemic concepts. On the undercutting strategy we deny that our epistemic folk-concepts allow for </w:t>
      </w:r>
      <w:r w:rsidR="005809F9" w:rsidRPr="000C50A1">
        <w:rPr>
          <w:i/>
          <w:lang w:val="en-US"/>
        </w:rPr>
        <w:t>ES</w:t>
      </w:r>
      <w:r w:rsidR="005809F9" w:rsidRPr="00A375E1">
        <w:rPr>
          <w:lang w:val="en-US"/>
        </w:rPr>
        <w:t xml:space="preserve">, and we put the blame for the appearance of plausibility of </w:t>
      </w:r>
      <w:r w:rsidR="005809F9" w:rsidRPr="000C50A1">
        <w:rPr>
          <w:i/>
          <w:lang w:val="en-US"/>
        </w:rPr>
        <w:t>ES</w:t>
      </w:r>
      <w:r w:rsidR="005809F9" w:rsidRPr="00A375E1">
        <w:rPr>
          <w:lang w:val="en-US"/>
        </w:rPr>
        <w:t xml:space="preserve"> squarely at the door of philosophical misunderstandings. Pritchard takes himself to be an undercutter, and </w:t>
      </w:r>
      <w:r w:rsidR="00F677DF" w:rsidRPr="00A375E1">
        <w:rPr>
          <w:lang w:val="en-US"/>
        </w:rPr>
        <w:t xml:space="preserve">Fred </w:t>
      </w:r>
      <w:proofErr w:type="spellStart"/>
      <w:r w:rsidR="00F677DF" w:rsidRPr="00A375E1">
        <w:rPr>
          <w:lang w:val="en-US"/>
        </w:rPr>
        <w:t>Dretske</w:t>
      </w:r>
      <w:proofErr w:type="spellEnd"/>
      <w:r w:rsidR="00F677DF" w:rsidRPr="00A375E1">
        <w:rPr>
          <w:lang w:val="en-US"/>
        </w:rPr>
        <w:t xml:space="preserve"> </w:t>
      </w:r>
      <w:r w:rsidR="000B0033">
        <w:rPr>
          <w:lang w:val="en-US"/>
        </w:rPr>
        <w:t xml:space="preserve">(2005) </w:t>
      </w:r>
      <w:r w:rsidR="002227F5" w:rsidRPr="00A375E1">
        <w:rPr>
          <w:lang w:val="en-US"/>
        </w:rPr>
        <w:t>or</w:t>
      </w:r>
      <w:r w:rsidR="00F677DF" w:rsidRPr="00A375E1">
        <w:rPr>
          <w:lang w:val="en-US"/>
        </w:rPr>
        <w:t xml:space="preserve"> </w:t>
      </w:r>
      <w:r w:rsidR="005809F9" w:rsidRPr="00A375E1">
        <w:rPr>
          <w:lang w:val="en-US"/>
        </w:rPr>
        <w:t xml:space="preserve">Robert Nozick </w:t>
      </w:r>
      <w:r w:rsidR="000B0033">
        <w:rPr>
          <w:lang w:val="en-US"/>
        </w:rPr>
        <w:t xml:space="preserve">(1981) </w:t>
      </w:r>
      <w:r w:rsidR="005809F9" w:rsidRPr="00A375E1">
        <w:rPr>
          <w:lang w:val="en-US"/>
        </w:rPr>
        <w:t xml:space="preserve">to be </w:t>
      </w:r>
      <w:proofErr w:type="spellStart"/>
      <w:r w:rsidR="005809F9" w:rsidRPr="00A375E1">
        <w:rPr>
          <w:lang w:val="en-US"/>
        </w:rPr>
        <w:t>overrider</w:t>
      </w:r>
      <w:r w:rsidR="00F677DF" w:rsidRPr="00A375E1">
        <w:rPr>
          <w:lang w:val="en-US"/>
        </w:rPr>
        <w:t>s</w:t>
      </w:r>
      <w:proofErr w:type="spellEnd"/>
      <w:r w:rsidR="005809F9" w:rsidRPr="00A375E1">
        <w:rPr>
          <w:lang w:val="en-US"/>
        </w:rPr>
        <w:t>.</w:t>
      </w:r>
      <w:r w:rsidR="0050155D">
        <w:rPr>
          <w:lang w:val="en-US"/>
        </w:rPr>
        <w:t xml:space="preserve"> </w:t>
      </w:r>
      <w:r w:rsidR="005809F9" w:rsidRPr="00A375E1">
        <w:rPr>
          <w:lang w:val="en-US"/>
        </w:rPr>
        <w:t xml:space="preserve">I </w:t>
      </w:r>
      <w:r w:rsidR="0050155D">
        <w:rPr>
          <w:lang w:val="en-US"/>
        </w:rPr>
        <w:t>find both attributions implausible</w:t>
      </w:r>
      <w:r w:rsidR="005809F9" w:rsidRPr="00A375E1">
        <w:rPr>
          <w:lang w:val="en-US"/>
        </w:rPr>
        <w:t xml:space="preserve">. Pritchard allows that </w:t>
      </w:r>
      <w:r w:rsidR="005809F9" w:rsidRPr="000C50A1">
        <w:rPr>
          <w:i/>
          <w:lang w:val="en-US"/>
        </w:rPr>
        <w:t>ES</w:t>
      </w:r>
      <w:r w:rsidR="005809F9" w:rsidRPr="00A375E1">
        <w:rPr>
          <w:lang w:val="en-US"/>
        </w:rPr>
        <w:t xml:space="preserve"> </w:t>
      </w:r>
      <w:r w:rsidR="00B321EE">
        <w:rPr>
          <w:lang w:val="en-US"/>
        </w:rPr>
        <w:t>…</w:t>
      </w:r>
    </w:p>
    <w:p w:rsidR="00B321EE" w:rsidRDefault="00B321EE" w:rsidP="005809F9">
      <w:pPr>
        <w:spacing w:after="0" w:line="360" w:lineRule="auto"/>
        <w:ind w:right="851" w:firstLine="284"/>
        <w:rPr>
          <w:lang w:val="en-US"/>
        </w:rPr>
      </w:pPr>
    </w:p>
    <w:p w:rsidR="00B321EE" w:rsidRPr="00B321EE" w:rsidRDefault="00B321EE" w:rsidP="00B321EE">
      <w:pPr>
        <w:spacing w:after="0" w:line="360" w:lineRule="auto"/>
        <w:ind w:left="709" w:right="851"/>
        <w:rPr>
          <w:lang w:val="en-US"/>
        </w:rPr>
      </w:pPr>
      <w:r>
        <w:rPr>
          <w:lang w:val="en-US"/>
        </w:rPr>
        <w:t>… a</w:t>
      </w:r>
      <w:r w:rsidRPr="00B321EE">
        <w:rPr>
          <w:lang w:val="en-US"/>
        </w:rPr>
        <w:t xml:space="preserve">rises out of very natural intellectual inclinations and aspirations. </w:t>
      </w:r>
      <w:r w:rsidRPr="00B321EE">
        <w:rPr>
          <w:rFonts w:eastAsia="Times New Roman" w:cs="Times New Roman"/>
          <w:color w:val="000000" w:themeColor="text1"/>
          <w:lang w:val="en-US" w:eastAsia="de-AT"/>
        </w:rPr>
        <w:t xml:space="preserve">The drive to step out of one’s ordinary ways of believing and reasoning … </w:t>
      </w:r>
      <w:r w:rsidRPr="00B321EE">
        <w:rPr>
          <w:lang w:val="en-US"/>
        </w:rPr>
        <w:t>Moreover, once we have adopted this perspective, the aspiration to go on to discover the universal rational</w:t>
      </w:r>
      <w:r>
        <w:rPr>
          <w:lang w:val="en-US"/>
        </w:rPr>
        <w:t xml:space="preserve"> </w:t>
      </w:r>
      <w:r w:rsidRPr="00B321EE">
        <w:rPr>
          <w:lang w:val="en-US"/>
        </w:rPr>
        <w:t xml:space="preserve">foundations of our beliefs—and thereby adopt a </w:t>
      </w:r>
      <w:r w:rsidRPr="000C50A1">
        <w:rPr>
          <w:i/>
          <w:lang w:val="en-US"/>
        </w:rPr>
        <w:t>completely</w:t>
      </w:r>
      <w:r w:rsidRPr="00B321EE">
        <w:rPr>
          <w:lang w:val="en-US"/>
        </w:rPr>
        <w:t xml:space="preserve"> detached perspective—is very natural too. ... </w:t>
      </w:r>
      <w:r>
        <w:rPr>
          <w:lang w:val="en-US"/>
        </w:rPr>
        <w:t>(</w:t>
      </w:r>
      <w:r w:rsidR="00DD0BD7">
        <w:rPr>
          <w:lang w:val="en-US"/>
        </w:rPr>
        <w:t xml:space="preserve">2016: </w:t>
      </w:r>
      <w:r>
        <w:rPr>
          <w:lang w:val="en-US"/>
        </w:rPr>
        <w:t>186-7)</w:t>
      </w:r>
    </w:p>
    <w:p w:rsidR="00B321EE" w:rsidRDefault="00B321EE" w:rsidP="005809F9">
      <w:pPr>
        <w:spacing w:after="0" w:line="360" w:lineRule="auto"/>
        <w:ind w:right="851" w:firstLine="284"/>
        <w:rPr>
          <w:lang w:val="en-US"/>
        </w:rPr>
      </w:pPr>
    </w:p>
    <w:p w:rsidR="00981941" w:rsidRPr="00A375E1" w:rsidRDefault="005809F9" w:rsidP="00B321EE">
      <w:pPr>
        <w:spacing w:after="0" w:line="360" w:lineRule="auto"/>
        <w:ind w:right="851"/>
        <w:rPr>
          <w:lang w:val="en-US"/>
        </w:rPr>
      </w:pPr>
      <w:r w:rsidRPr="00A375E1">
        <w:rPr>
          <w:lang w:val="en-US"/>
        </w:rPr>
        <w:lastRenderedPageBreak/>
        <w:t xml:space="preserve">Presumably such </w:t>
      </w:r>
      <w:r w:rsidR="00DD0BD7">
        <w:rPr>
          <w:lang w:val="en-US"/>
        </w:rPr>
        <w:t>‘</w:t>
      </w:r>
      <w:r w:rsidRPr="00A375E1">
        <w:rPr>
          <w:lang w:val="en-US"/>
        </w:rPr>
        <w:t>very natural intellectual inclinations and aspiration</w:t>
      </w:r>
      <w:r w:rsidR="00DD0BD7">
        <w:rPr>
          <w:lang w:val="en-US"/>
        </w:rPr>
        <w:t>’</w:t>
      </w:r>
      <w:r w:rsidRPr="00A375E1">
        <w:rPr>
          <w:lang w:val="en-US"/>
        </w:rPr>
        <w:t xml:space="preserve"> have something to do with our epistemic folk-concepts and practices. For how could they be </w:t>
      </w:r>
      <w:r w:rsidR="00DD0BD7">
        <w:rPr>
          <w:lang w:val="en-US"/>
        </w:rPr>
        <w:t>‘</w:t>
      </w:r>
      <w:r w:rsidRPr="00A375E1">
        <w:rPr>
          <w:lang w:val="en-US"/>
        </w:rPr>
        <w:t>very natural</w:t>
      </w:r>
      <w:r w:rsidR="00DD0BD7">
        <w:rPr>
          <w:lang w:val="en-US"/>
        </w:rPr>
        <w:t>’</w:t>
      </w:r>
      <w:r w:rsidRPr="00A375E1">
        <w:rPr>
          <w:lang w:val="en-US"/>
        </w:rPr>
        <w:t xml:space="preserve"> otherwise? Moreover, is not Pritchard offering a revision of our folk-epistemic concepts when he introduces the category of hinges, with their so-far overlooked, peculiar propositional attitude? And </w:t>
      </w:r>
      <w:proofErr w:type="gramStart"/>
      <w:r w:rsidRPr="00A375E1">
        <w:rPr>
          <w:lang w:val="en-US"/>
        </w:rPr>
        <w:t>surely</w:t>
      </w:r>
      <w:proofErr w:type="gramEnd"/>
      <w:r w:rsidRPr="00A375E1">
        <w:rPr>
          <w:lang w:val="en-US"/>
        </w:rPr>
        <w:t xml:space="preserve"> he too thinks of this category as independently motivated.</w:t>
      </w:r>
    </w:p>
    <w:p w:rsidR="006629D7" w:rsidRPr="00A375E1" w:rsidRDefault="00F677DF" w:rsidP="00F677DF">
      <w:pPr>
        <w:spacing w:after="0" w:line="360" w:lineRule="auto"/>
        <w:ind w:right="851" w:firstLine="284"/>
        <w:rPr>
          <w:lang w:val="en-US"/>
        </w:rPr>
      </w:pPr>
      <w:proofErr w:type="spellStart"/>
      <w:r w:rsidRPr="00A375E1">
        <w:rPr>
          <w:lang w:val="en-US"/>
        </w:rPr>
        <w:t>Dretske</w:t>
      </w:r>
      <w:proofErr w:type="spellEnd"/>
      <w:r w:rsidRPr="00A375E1">
        <w:rPr>
          <w:lang w:val="en-US"/>
        </w:rPr>
        <w:t xml:space="preserve"> and </w:t>
      </w:r>
      <w:r w:rsidR="005809F9" w:rsidRPr="00A375E1">
        <w:rPr>
          <w:lang w:val="en-US"/>
        </w:rPr>
        <w:t>Nozick den</w:t>
      </w:r>
      <w:r w:rsidRPr="00A375E1">
        <w:rPr>
          <w:lang w:val="en-US"/>
        </w:rPr>
        <w:t>y</w:t>
      </w:r>
      <w:r w:rsidR="005809F9" w:rsidRPr="00A375E1">
        <w:rPr>
          <w:lang w:val="en-US"/>
        </w:rPr>
        <w:t xml:space="preserve"> closure. But </w:t>
      </w:r>
      <w:r w:rsidRPr="00A375E1">
        <w:rPr>
          <w:lang w:val="en-US"/>
        </w:rPr>
        <w:t xml:space="preserve">they do not do so in an effort to revise our folk-epistemic ways. They rather take us to have been committed to the denying of closure all along. That is after all what </w:t>
      </w:r>
      <w:proofErr w:type="spellStart"/>
      <w:r w:rsidRPr="00A375E1">
        <w:rPr>
          <w:lang w:val="en-US"/>
        </w:rPr>
        <w:t>Dretske</w:t>
      </w:r>
      <w:proofErr w:type="spellEnd"/>
      <w:r w:rsidRPr="00A375E1">
        <w:rPr>
          <w:lang w:val="en-US"/>
        </w:rPr>
        <w:t xml:space="preserve"> tries to argue in terms of relevant alternatives and little Mary </w:t>
      </w:r>
      <w:r w:rsidR="002E5A85" w:rsidRPr="00A375E1">
        <w:rPr>
          <w:lang w:val="en-US"/>
        </w:rPr>
        <w:t>at</w:t>
      </w:r>
      <w:r w:rsidRPr="00A375E1">
        <w:rPr>
          <w:lang w:val="en-US"/>
        </w:rPr>
        <w:t xml:space="preserve"> the zoo. And </w:t>
      </w:r>
      <w:r w:rsidR="002227F5" w:rsidRPr="00A375E1">
        <w:rPr>
          <w:lang w:val="en-US"/>
        </w:rPr>
        <w:t>both authors</w:t>
      </w:r>
      <w:r w:rsidRPr="00A375E1">
        <w:rPr>
          <w:lang w:val="en-US"/>
        </w:rPr>
        <w:t xml:space="preserve"> </w:t>
      </w:r>
      <w:r w:rsidR="002227F5" w:rsidRPr="00A375E1">
        <w:rPr>
          <w:lang w:val="en-US"/>
        </w:rPr>
        <w:t>agree with Pritchard</w:t>
      </w:r>
      <w:r w:rsidRPr="00A375E1">
        <w:rPr>
          <w:lang w:val="en-US"/>
        </w:rPr>
        <w:t xml:space="preserve"> that </w:t>
      </w:r>
      <w:r w:rsidRPr="000C50A1">
        <w:rPr>
          <w:i/>
          <w:lang w:val="en-US"/>
        </w:rPr>
        <w:t>ES</w:t>
      </w:r>
      <w:r w:rsidRPr="00A375E1">
        <w:rPr>
          <w:lang w:val="en-US"/>
        </w:rPr>
        <w:t xml:space="preserve"> owes its existence first and foremost to philosophical misunderstandings of our everyday concepts and practices.</w:t>
      </w:r>
      <w:r w:rsidR="00981941" w:rsidRPr="00A375E1">
        <w:rPr>
          <w:lang w:val="en-US"/>
        </w:rPr>
        <w:t xml:space="preserve"> </w:t>
      </w:r>
    </w:p>
    <w:p w:rsidR="00F677DF" w:rsidRPr="00A375E1" w:rsidRDefault="00F677DF" w:rsidP="00F677DF">
      <w:pPr>
        <w:spacing w:after="0" w:line="360" w:lineRule="auto"/>
        <w:ind w:right="851"/>
        <w:rPr>
          <w:lang w:val="en-US"/>
        </w:rPr>
      </w:pPr>
    </w:p>
    <w:p w:rsidR="00F677DF" w:rsidRPr="000C50A1" w:rsidRDefault="00F677DF" w:rsidP="00F677DF">
      <w:pPr>
        <w:pStyle w:val="ListParagraph"/>
        <w:numPr>
          <w:ilvl w:val="0"/>
          <w:numId w:val="4"/>
        </w:numPr>
        <w:spacing w:after="0" w:line="360" w:lineRule="auto"/>
        <w:ind w:right="851"/>
        <w:jc w:val="center"/>
        <w:rPr>
          <w:i/>
          <w:lang w:val="en-US"/>
        </w:rPr>
      </w:pPr>
      <w:r w:rsidRPr="000C50A1">
        <w:rPr>
          <w:i/>
          <w:lang w:val="en-US"/>
        </w:rPr>
        <w:t>Epistemic Relativism?</w:t>
      </w:r>
    </w:p>
    <w:p w:rsidR="00F677DF" w:rsidRPr="00A375E1" w:rsidRDefault="00F677DF" w:rsidP="00F677DF">
      <w:pPr>
        <w:spacing w:after="0" w:line="360" w:lineRule="auto"/>
        <w:ind w:right="851"/>
        <w:rPr>
          <w:lang w:val="en-US"/>
        </w:rPr>
      </w:pPr>
    </w:p>
    <w:p w:rsidR="002227F5" w:rsidRPr="00A375E1" w:rsidRDefault="00F677DF" w:rsidP="00F677DF">
      <w:pPr>
        <w:spacing w:after="0" w:line="360" w:lineRule="auto"/>
        <w:ind w:right="851"/>
        <w:rPr>
          <w:lang w:val="en-US"/>
        </w:rPr>
      </w:pPr>
      <w:r w:rsidRPr="00A375E1">
        <w:rPr>
          <w:lang w:val="en-US"/>
        </w:rPr>
        <w:t>The re</w:t>
      </w:r>
      <w:r w:rsidR="002227F5" w:rsidRPr="00A375E1">
        <w:rPr>
          <w:lang w:val="en-US"/>
        </w:rPr>
        <w:t>st</w:t>
      </w:r>
      <w:r w:rsidRPr="00A375E1">
        <w:rPr>
          <w:lang w:val="en-US"/>
        </w:rPr>
        <w:t xml:space="preserve"> of my critical comments all concern hinge epistemology</w:t>
      </w:r>
      <w:r w:rsidR="002227F5" w:rsidRPr="00A375E1">
        <w:rPr>
          <w:lang w:val="en-US"/>
        </w:rPr>
        <w:t xml:space="preserve"> – this should be taken as considerable agreement with Pritchard’s development of epistemic </w:t>
      </w:r>
      <w:proofErr w:type="spellStart"/>
      <w:r w:rsidR="002227F5" w:rsidRPr="00A375E1">
        <w:rPr>
          <w:lang w:val="en-US"/>
        </w:rPr>
        <w:t>disjunctivism</w:t>
      </w:r>
      <w:proofErr w:type="spellEnd"/>
      <w:r w:rsidR="002227F5" w:rsidRPr="00A375E1">
        <w:rPr>
          <w:lang w:val="en-US"/>
        </w:rPr>
        <w:t>.</w:t>
      </w:r>
    </w:p>
    <w:p w:rsidR="00F677DF" w:rsidRPr="00A375E1" w:rsidRDefault="00F677DF" w:rsidP="00E60E7E">
      <w:pPr>
        <w:spacing w:after="0" w:line="360" w:lineRule="auto"/>
        <w:ind w:right="851" w:firstLine="360"/>
        <w:rPr>
          <w:lang w:val="en-US"/>
        </w:rPr>
      </w:pPr>
      <w:r w:rsidRPr="00A375E1">
        <w:rPr>
          <w:lang w:val="en-US"/>
        </w:rPr>
        <w:t xml:space="preserve">I begin with a comment on </w:t>
      </w:r>
      <w:r w:rsidR="0055693E" w:rsidRPr="00A375E1">
        <w:rPr>
          <w:lang w:val="en-US"/>
        </w:rPr>
        <w:t xml:space="preserve">the </w:t>
      </w:r>
      <w:r w:rsidRPr="00A375E1">
        <w:rPr>
          <w:lang w:val="en-US"/>
        </w:rPr>
        <w:t>handling of epistemic relativism</w:t>
      </w:r>
      <w:r w:rsidR="0055693E" w:rsidRPr="00A375E1">
        <w:rPr>
          <w:lang w:val="en-US"/>
        </w:rPr>
        <w:t xml:space="preserve"> in </w:t>
      </w:r>
      <w:r w:rsidR="0055693E" w:rsidRPr="000C50A1">
        <w:rPr>
          <w:i/>
          <w:lang w:val="en-US"/>
        </w:rPr>
        <w:t>Epistemic Angst</w:t>
      </w:r>
      <w:r w:rsidRPr="00A375E1">
        <w:rPr>
          <w:lang w:val="en-US"/>
        </w:rPr>
        <w:t xml:space="preserve">. </w:t>
      </w:r>
      <w:r w:rsidR="00B321EE">
        <w:rPr>
          <w:lang w:val="en-US"/>
        </w:rPr>
        <w:t xml:space="preserve">The issue is important in the context of </w:t>
      </w:r>
      <w:r w:rsidR="00B321EE" w:rsidRPr="000C50A1">
        <w:rPr>
          <w:i/>
          <w:lang w:val="en-US"/>
        </w:rPr>
        <w:t>ES</w:t>
      </w:r>
      <w:r w:rsidR="00B321EE">
        <w:rPr>
          <w:lang w:val="en-US"/>
        </w:rPr>
        <w:t xml:space="preserve"> since Pritchard (2009) regards </w:t>
      </w:r>
      <w:r w:rsidR="000C50A1">
        <w:rPr>
          <w:lang w:val="en-US"/>
        </w:rPr>
        <w:t xml:space="preserve">epistemic relativism </w:t>
      </w:r>
      <w:r w:rsidR="00B321EE">
        <w:rPr>
          <w:lang w:val="en-US"/>
        </w:rPr>
        <w:t xml:space="preserve">as a form of </w:t>
      </w:r>
      <w:r w:rsidR="00B321EE" w:rsidRPr="000C50A1">
        <w:rPr>
          <w:i/>
          <w:lang w:val="en-US"/>
        </w:rPr>
        <w:t>ES</w:t>
      </w:r>
      <w:r w:rsidR="00B321EE" w:rsidRPr="00B321EE">
        <w:rPr>
          <w:lang w:val="en-US"/>
        </w:rPr>
        <w:t xml:space="preserve">. </w:t>
      </w:r>
      <w:r w:rsidR="002227F5" w:rsidRPr="00A375E1">
        <w:rPr>
          <w:lang w:val="en-US"/>
        </w:rPr>
        <w:t xml:space="preserve">Recall that Pritchard defines epistemic relativism in terms of epistemic incommensurability, that is, a situation where two seemingly disagreeing parties have not a single hinge in common. </w:t>
      </w:r>
      <w:r w:rsidR="00E60E7E" w:rsidRPr="00A375E1">
        <w:rPr>
          <w:lang w:val="en-US"/>
        </w:rPr>
        <w:t xml:space="preserve">This makes epistemic relativism so absurdly strong that it is all too easy to avoid the charge. It is also completely out of step with much contemporary theorizing about epistemic relativism. Think for instance of how the </w:t>
      </w:r>
      <w:r w:rsidR="00690179" w:rsidRPr="00A375E1">
        <w:rPr>
          <w:lang w:val="en-US"/>
        </w:rPr>
        <w:t xml:space="preserve">view </w:t>
      </w:r>
      <w:r w:rsidR="002E5A85" w:rsidRPr="00A375E1">
        <w:rPr>
          <w:lang w:val="en-US"/>
        </w:rPr>
        <w:t xml:space="preserve">is </w:t>
      </w:r>
      <w:r w:rsidR="00E60E7E" w:rsidRPr="00A375E1">
        <w:rPr>
          <w:lang w:val="en-US"/>
        </w:rPr>
        <w:t>presented</w:t>
      </w:r>
      <w:r w:rsidR="00690179" w:rsidRPr="00A375E1">
        <w:rPr>
          <w:lang w:val="en-US"/>
        </w:rPr>
        <w:t xml:space="preserve"> in </w:t>
      </w:r>
      <w:r w:rsidR="00E60E7E" w:rsidRPr="00A375E1">
        <w:rPr>
          <w:lang w:val="en-US"/>
        </w:rPr>
        <w:t xml:space="preserve">such </w:t>
      </w:r>
      <w:r w:rsidR="00690179" w:rsidRPr="00A375E1">
        <w:rPr>
          <w:lang w:val="en-US"/>
        </w:rPr>
        <w:t xml:space="preserve">key texts as Richard </w:t>
      </w:r>
      <w:proofErr w:type="spellStart"/>
      <w:r w:rsidR="00690179" w:rsidRPr="00A375E1">
        <w:rPr>
          <w:lang w:val="en-US"/>
        </w:rPr>
        <w:t>Rorty</w:t>
      </w:r>
      <w:proofErr w:type="spellEnd"/>
      <w:r w:rsidR="00690179" w:rsidRPr="00A375E1">
        <w:rPr>
          <w:lang w:val="en-US"/>
        </w:rPr>
        <w:t xml:space="preserve"> (1980) or Paul Boghossian (2006). </w:t>
      </w:r>
      <w:r w:rsidR="00E60E7E" w:rsidRPr="00A375E1">
        <w:rPr>
          <w:lang w:val="en-US"/>
        </w:rPr>
        <w:t xml:space="preserve">Building on </w:t>
      </w:r>
      <w:proofErr w:type="spellStart"/>
      <w:r w:rsidR="00E60E7E" w:rsidRPr="00A375E1">
        <w:rPr>
          <w:lang w:val="en-US"/>
        </w:rPr>
        <w:t>Rorty</w:t>
      </w:r>
      <w:proofErr w:type="spellEnd"/>
      <w:r w:rsidR="00E60E7E" w:rsidRPr="00A375E1">
        <w:rPr>
          <w:lang w:val="en-US"/>
        </w:rPr>
        <w:t xml:space="preserve">, </w:t>
      </w:r>
      <w:r w:rsidR="00690179" w:rsidRPr="00A375E1">
        <w:rPr>
          <w:lang w:val="en-US"/>
        </w:rPr>
        <w:t xml:space="preserve">Boghossian </w:t>
      </w:r>
      <w:r w:rsidR="00E60E7E" w:rsidRPr="00A375E1">
        <w:rPr>
          <w:lang w:val="en-US"/>
        </w:rPr>
        <w:t>construes</w:t>
      </w:r>
      <w:r w:rsidR="00690179" w:rsidRPr="00A375E1">
        <w:rPr>
          <w:lang w:val="en-US"/>
        </w:rPr>
        <w:t xml:space="preserve"> epistemic relativism as an interpretation of a situation of irresolvable disagreement between </w:t>
      </w:r>
      <w:r w:rsidR="00DD0BD7">
        <w:rPr>
          <w:lang w:val="en-US"/>
        </w:rPr>
        <w:t>‘</w:t>
      </w:r>
      <w:r w:rsidR="00690179" w:rsidRPr="00A375E1">
        <w:rPr>
          <w:lang w:val="en-US"/>
        </w:rPr>
        <w:t xml:space="preserve">fundamentally different epistemic </w:t>
      </w:r>
      <w:proofErr w:type="gramStart"/>
      <w:r w:rsidR="00690179" w:rsidRPr="00A375E1">
        <w:rPr>
          <w:lang w:val="en-US"/>
        </w:rPr>
        <w:t>system</w:t>
      </w:r>
      <w:r w:rsidR="00E60E7E" w:rsidRPr="00A375E1">
        <w:rPr>
          <w:lang w:val="en-US"/>
        </w:rPr>
        <w:t>s</w:t>
      </w:r>
      <w:r w:rsidR="00DD0BD7">
        <w:rPr>
          <w:lang w:val="en-US"/>
        </w:rPr>
        <w:t>’</w:t>
      </w:r>
      <w:proofErr w:type="gramEnd"/>
      <w:r w:rsidR="00690179" w:rsidRPr="00A375E1">
        <w:rPr>
          <w:lang w:val="en-US"/>
        </w:rPr>
        <w:t xml:space="preserve">. Two epistemic systems differ fundamentally when they differ </w:t>
      </w:r>
      <w:r w:rsidR="00690179" w:rsidRPr="000C50A1">
        <w:rPr>
          <w:i/>
          <w:lang w:val="en-US"/>
        </w:rPr>
        <w:t>in at least one</w:t>
      </w:r>
      <w:r w:rsidR="00E60E7E" w:rsidRPr="000C50A1">
        <w:rPr>
          <w:i/>
          <w:lang w:val="en-US"/>
        </w:rPr>
        <w:t xml:space="preserve"> (not all!)</w:t>
      </w:r>
      <w:r w:rsidR="00690179" w:rsidRPr="00A375E1">
        <w:rPr>
          <w:lang w:val="en-US"/>
        </w:rPr>
        <w:t xml:space="preserve"> </w:t>
      </w:r>
      <w:r w:rsidR="00DD0BD7">
        <w:rPr>
          <w:lang w:val="en-US"/>
        </w:rPr>
        <w:t>‘</w:t>
      </w:r>
      <w:r w:rsidR="00690179" w:rsidRPr="00A375E1">
        <w:rPr>
          <w:lang w:val="en-US"/>
        </w:rPr>
        <w:t>fundamental (i.e. underived) epistemic principle</w:t>
      </w:r>
      <w:r w:rsidR="00DD0BD7">
        <w:rPr>
          <w:lang w:val="en-US"/>
        </w:rPr>
        <w:t>’</w:t>
      </w:r>
      <w:r w:rsidR="00690179" w:rsidRPr="00A375E1">
        <w:rPr>
          <w:lang w:val="en-US"/>
        </w:rPr>
        <w:t xml:space="preserve"> that is key to the dispute in question. </w:t>
      </w:r>
      <w:r w:rsidR="00E60E7E" w:rsidRPr="00A375E1">
        <w:rPr>
          <w:lang w:val="en-US"/>
        </w:rPr>
        <w:t>Moreover, n</w:t>
      </w:r>
      <w:r w:rsidR="00690179" w:rsidRPr="00A375E1">
        <w:rPr>
          <w:lang w:val="en-US"/>
        </w:rPr>
        <w:t>either friends (</w:t>
      </w:r>
      <w:r w:rsidR="00E60E7E" w:rsidRPr="00A375E1">
        <w:rPr>
          <w:lang w:val="en-US"/>
        </w:rPr>
        <w:t xml:space="preserve">like </w:t>
      </w:r>
      <w:proofErr w:type="spellStart"/>
      <w:r w:rsidR="00690179" w:rsidRPr="00A375E1">
        <w:rPr>
          <w:lang w:val="en-US"/>
        </w:rPr>
        <w:t>Rorty</w:t>
      </w:r>
      <w:proofErr w:type="spellEnd"/>
      <w:r w:rsidR="00690179" w:rsidRPr="00A375E1">
        <w:rPr>
          <w:lang w:val="en-US"/>
        </w:rPr>
        <w:t>) nor foes (</w:t>
      </w:r>
      <w:r w:rsidR="00E60E7E" w:rsidRPr="00A375E1">
        <w:rPr>
          <w:lang w:val="en-US"/>
        </w:rPr>
        <w:t>like</w:t>
      </w:r>
      <w:r w:rsidR="00690179" w:rsidRPr="00A375E1">
        <w:rPr>
          <w:lang w:val="en-US"/>
        </w:rPr>
        <w:t xml:space="preserve"> Boghossian) of epistemic relativism assume </w:t>
      </w:r>
      <w:r w:rsidR="00E60E7E" w:rsidRPr="00A375E1">
        <w:rPr>
          <w:lang w:val="en-US"/>
        </w:rPr>
        <w:t xml:space="preserve">that – mutatis mutandis – hinge-disagreements can be rationally resolved just as long as enough hinges are shared. </w:t>
      </w:r>
      <w:r w:rsidR="00690179" w:rsidRPr="00A375E1">
        <w:rPr>
          <w:lang w:val="en-US"/>
        </w:rPr>
        <w:t xml:space="preserve">Pritchard </w:t>
      </w:r>
      <w:r w:rsidR="00E60E7E" w:rsidRPr="00A375E1">
        <w:rPr>
          <w:lang w:val="en-US"/>
        </w:rPr>
        <w:t xml:space="preserve">obviously thinks otherwise, but he offers </w:t>
      </w:r>
      <w:r w:rsidR="00C2337C">
        <w:rPr>
          <w:lang w:val="en-US"/>
        </w:rPr>
        <w:t>no</w:t>
      </w:r>
      <w:r w:rsidR="00E60E7E" w:rsidRPr="00A375E1">
        <w:rPr>
          <w:lang w:val="en-US"/>
        </w:rPr>
        <w:t xml:space="preserve"> argument for his view</w:t>
      </w:r>
      <w:r w:rsidR="00690179" w:rsidRPr="00A375E1">
        <w:rPr>
          <w:lang w:val="en-US"/>
        </w:rPr>
        <w:t>.</w:t>
      </w:r>
    </w:p>
    <w:p w:rsidR="00690179" w:rsidRPr="00A375E1" w:rsidRDefault="00690179" w:rsidP="00F677DF">
      <w:pPr>
        <w:spacing w:after="0" w:line="360" w:lineRule="auto"/>
        <w:ind w:right="851"/>
        <w:rPr>
          <w:lang w:val="en-US"/>
        </w:rPr>
      </w:pPr>
    </w:p>
    <w:p w:rsidR="00690179" w:rsidRPr="000C50A1" w:rsidRDefault="00690179" w:rsidP="00690179">
      <w:pPr>
        <w:pStyle w:val="ListParagraph"/>
        <w:numPr>
          <w:ilvl w:val="0"/>
          <w:numId w:val="4"/>
        </w:numPr>
        <w:spacing w:after="0" w:line="360" w:lineRule="auto"/>
        <w:ind w:right="851"/>
        <w:jc w:val="center"/>
        <w:rPr>
          <w:i/>
          <w:lang w:val="en-US"/>
        </w:rPr>
      </w:pPr>
      <w:r w:rsidRPr="000C50A1">
        <w:rPr>
          <w:i/>
          <w:u w:val="single"/>
          <w:lang w:val="en-US"/>
        </w:rPr>
        <w:t>Hinge Foundationalism or Contextualism</w:t>
      </w:r>
      <w:r w:rsidRPr="000C50A1">
        <w:rPr>
          <w:i/>
          <w:lang w:val="en-US"/>
        </w:rPr>
        <w:t>?</w:t>
      </w:r>
    </w:p>
    <w:p w:rsidR="00690179" w:rsidRPr="00A375E1" w:rsidRDefault="00690179" w:rsidP="00690179">
      <w:pPr>
        <w:spacing w:after="0" w:line="360" w:lineRule="auto"/>
        <w:ind w:right="851"/>
        <w:rPr>
          <w:lang w:val="en-US"/>
        </w:rPr>
      </w:pPr>
    </w:p>
    <w:p w:rsidR="00246FC1" w:rsidRPr="00A375E1" w:rsidRDefault="00994562" w:rsidP="00F677DF">
      <w:pPr>
        <w:spacing w:after="0" w:line="360" w:lineRule="auto"/>
        <w:ind w:right="851"/>
        <w:rPr>
          <w:lang w:val="en-US"/>
        </w:rPr>
      </w:pPr>
      <w:r w:rsidRPr="00A375E1">
        <w:rPr>
          <w:lang w:val="en-US"/>
        </w:rPr>
        <w:lastRenderedPageBreak/>
        <w:t xml:space="preserve">Pritchard’s Wittgenstein and </w:t>
      </w:r>
      <w:r w:rsidR="00690179" w:rsidRPr="00A375E1">
        <w:rPr>
          <w:lang w:val="en-US"/>
        </w:rPr>
        <w:t xml:space="preserve">Pritchard </w:t>
      </w:r>
      <w:r w:rsidRPr="00A375E1">
        <w:rPr>
          <w:lang w:val="en-US"/>
        </w:rPr>
        <w:t xml:space="preserve">himself </w:t>
      </w:r>
      <w:r w:rsidR="00690179" w:rsidRPr="00A375E1">
        <w:rPr>
          <w:lang w:val="en-US"/>
        </w:rPr>
        <w:t xml:space="preserve">are foundationalists </w:t>
      </w:r>
      <w:r w:rsidR="00E60E7E" w:rsidRPr="00A375E1">
        <w:rPr>
          <w:lang w:val="en-US"/>
        </w:rPr>
        <w:t>about</w:t>
      </w:r>
      <w:r w:rsidR="00690179" w:rsidRPr="00A375E1">
        <w:rPr>
          <w:lang w:val="en-US"/>
        </w:rPr>
        <w:t xml:space="preserve"> hinges. </w:t>
      </w:r>
      <w:r w:rsidR="00362E7D">
        <w:rPr>
          <w:lang w:val="en-US"/>
        </w:rPr>
        <w:t xml:space="preserve">Pritchard </w:t>
      </w:r>
      <w:r w:rsidR="00C2337C">
        <w:rPr>
          <w:lang w:val="en-US"/>
        </w:rPr>
        <w:t xml:space="preserve">does not think </w:t>
      </w:r>
      <w:r w:rsidR="00362E7D">
        <w:rPr>
          <w:lang w:val="en-US"/>
        </w:rPr>
        <w:t>that hinges vary considerably with context or person. Hinges are specific to cultures and epochs and their rate of change is very slow (</w:t>
      </w:r>
      <w:r w:rsidR="00DD0BD7">
        <w:rPr>
          <w:lang w:val="en-US"/>
        </w:rPr>
        <w:t xml:space="preserve">2016: </w:t>
      </w:r>
      <w:r w:rsidR="00362E7D">
        <w:rPr>
          <w:lang w:val="en-US"/>
        </w:rPr>
        <w:t xml:space="preserve">95-7). </w:t>
      </w:r>
      <w:r w:rsidR="00690179" w:rsidRPr="00A375E1">
        <w:rPr>
          <w:lang w:val="en-US"/>
        </w:rPr>
        <w:t xml:space="preserve">All rational evaluations </w:t>
      </w:r>
      <w:r w:rsidR="00246FC1" w:rsidRPr="00A375E1">
        <w:rPr>
          <w:lang w:val="en-US"/>
        </w:rPr>
        <w:t xml:space="preserve">of propositions </w:t>
      </w:r>
      <w:r w:rsidR="00690179" w:rsidRPr="00A375E1">
        <w:rPr>
          <w:lang w:val="en-US"/>
        </w:rPr>
        <w:t xml:space="preserve">presuppose </w:t>
      </w:r>
      <w:r w:rsidR="00246FC1" w:rsidRPr="00A375E1">
        <w:rPr>
          <w:lang w:val="en-US"/>
        </w:rPr>
        <w:t xml:space="preserve">other </w:t>
      </w:r>
      <w:r w:rsidR="00690179" w:rsidRPr="00A375E1">
        <w:rPr>
          <w:lang w:val="en-US"/>
        </w:rPr>
        <w:t>propositions that remain unquestioned</w:t>
      </w:r>
      <w:r w:rsidR="00E60E7E" w:rsidRPr="00A375E1">
        <w:rPr>
          <w:lang w:val="en-US"/>
        </w:rPr>
        <w:t xml:space="preserve"> in the </w:t>
      </w:r>
      <w:r w:rsidR="0019685B" w:rsidRPr="00A375E1">
        <w:rPr>
          <w:lang w:val="en-US"/>
        </w:rPr>
        <w:t xml:space="preserve">given </w:t>
      </w:r>
      <w:r w:rsidR="00E60E7E" w:rsidRPr="00A375E1">
        <w:rPr>
          <w:lang w:val="en-US"/>
        </w:rPr>
        <w:t>context of evaluation</w:t>
      </w:r>
      <w:r w:rsidR="00246FC1" w:rsidRPr="00A375E1">
        <w:rPr>
          <w:lang w:val="en-US"/>
        </w:rPr>
        <w:t xml:space="preserve">; and for each epistemic subject we can </w:t>
      </w:r>
      <w:r w:rsidR="00E60E7E" w:rsidRPr="00A375E1">
        <w:rPr>
          <w:lang w:val="en-US"/>
        </w:rPr>
        <w:t xml:space="preserve">(in principle) </w:t>
      </w:r>
      <w:r w:rsidR="00246FC1" w:rsidRPr="00A375E1">
        <w:rPr>
          <w:lang w:val="en-US"/>
        </w:rPr>
        <w:t xml:space="preserve">identify the set of hinge propositions that underwrite all of their epistemic practices. </w:t>
      </w:r>
      <w:r w:rsidR="0019685B" w:rsidRPr="00A375E1">
        <w:rPr>
          <w:lang w:val="en-US"/>
        </w:rPr>
        <w:t xml:space="preserve">Note that one can agree </w:t>
      </w:r>
      <w:r w:rsidR="00246FC1" w:rsidRPr="00A375E1">
        <w:rPr>
          <w:lang w:val="en-US"/>
        </w:rPr>
        <w:t>w</w:t>
      </w:r>
      <w:r w:rsidR="0019685B" w:rsidRPr="00A375E1">
        <w:rPr>
          <w:lang w:val="en-US"/>
        </w:rPr>
        <w:t xml:space="preserve">ith </w:t>
      </w:r>
      <w:r w:rsidR="00246FC1" w:rsidRPr="00A375E1">
        <w:rPr>
          <w:lang w:val="en-US"/>
        </w:rPr>
        <w:t xml:space="preserve">the first half of the last sentence, without committing to the second. </w:t>
      </w:r>
      <w:r w:rsidR="0019685B" w:rsidRPr="00A375E1">
        <w:rPr>
          <w:lang w:val="en-US"/>
        </w:rPr>
        <w:t xml:space="preserve">To do so </w:t>
      </w:r>
      <w:r w:rsidR="00246FC1" w:rsidRPr="00A375E1">
        <w:rPr>
          <w:lang w:val="en-US"/>
        </w:rPr>
        <w:t>make</w:t>
      </w:r>
      <w:r w:rsidR="0019685B" w:rsidRPr="00A375E1">
        <w:rPr>
          <w:lang w:val="en-US"/>
        </w:rPr>
        <w:t>s</w:t>
      </w:r>
      <w:r w:rsidR="00246FC1" w:rsidRPr="00A375E1">
        <w:rPr>
          <w:lang w:val="en-US"/>
        </w:rPr>
        <w:t xml:space="preserve"> one something a </w:t>
      </w:r>
      <w:r w:rsidR="00DD0BD7">
        <w:rPr>
          <w:lang w:val="en-US"/>
        </w:rPr>
        <w:t>‘</w:t>
      </w:r>
      <w:r w:rsidR="00246FC1" w:rsidRPr="00A375E1">
        <w:rPr>
          <w:lang w:val="en-US"/>
        </w:rPr>
        <w:t>hinge contextualist</w:t>
      </w:r>
      <w:r w:rsidR="00DD0BD7">
        <w:rPr>
          <w:lang w:val="en-US"/>
        </w:rPr>
        <w:t>’</w:t>
      </w:r>
      <w:r w:rsidR="00246FC1" w:rsidRPr="00A375E1">
        <w:rPr>
          <w:lang w:val="en-US"/>
        </w:rPr>
        <w:t xml:space="preserve">. I find the clearest formulation of this view in William Alston’s little classic </w:t>
      </w:r>
      <w:r w:rsidR="00DD0BD7">
        <w:rPr>
          <w:lang w:val="en-US"/>
        </w:rPr>
        <w:t>‘</w:t>
      </w:r>
      <w:r w:rsidR="00246FC1" w:rsidRPr="00A375E1">
        <w:rPr>
          <w:lang w:val="en-US"/>
        </w:rPr>
        <w:t>Epistemic Circularity</w:t>
      </w:r>
      <w:r w:rsidR="00DD0BD7">
        <w:rPr>
          <w:lang w:val="en-US"/>
        </w:rPr>
        <w:t>’</w:t>
      </w:r>
      <w:r w:rsidR="00246FC1" w:rsidRPr="00A375E1">
        <w:rPr>
          <w:lang w:val="en-US"/>
        </w:rPr>
        <w:t xml:space="preserve"> (1986):</w:t>
      </w:r>
    </w:p>
    <w:p w:rsidR="00246FC1" w:rsidRPr="00A375E1" w:rsidRDefault="00246FC1" w:rsidP="00F677DF">
      <w:pPr>
        <w:spacing w:after="0" w:line="360" w:lineRule="auto"/>
        <w:ind w:right="851"/>
        <w:rPr>
          <w:lang w:val="en-US"/>
        </w:rPr>
      </w:pPr>
    </w:p>
    <w:p w:rsidR="00246FC1" w:rsidRPr="00A375E1" w:rsidRDefault="00DD0BD7" w:rsidP="00246FC1">
      <w:pPr>
        <w:spacing w:after="0" w:line="360" w:lineRule="auto"/>
        <w:ind w:left="708" w:right="851"/>
        <w:rPr>
          <w:lang w:val="en-US"/>
        </w:rPr>
      </w:pPr>
      <w:r>
        <w:rPr>
          <w:lang w:val="en-US"/>
        </w:rPr>
        <w:t>‘</w:t>
      </w:r>
      <w:r w:rsidR="00246FC1" w:rsidRPr="00A375E1">
        <w:rPr>
          <w:lang w:val="en-US"/>
        </w:rPr>
        <w:t>Not everything can be subjected to the test of critical examination, or else we shall be bereft of all belief. We can establish some conclusions only by assuming other propositions, not all of which can themselves be established. There is, perhaps, no particular assumption that cannot be disengaged and successfully argued for, but we cannot turn the trick with the whole lot all at once. We can make some justifications explicit only at the cost of leaving others implicit. (</w:t>
      </w:r>
      <w:r>
        <w:rPr>
          <w:lang w:val="en-US"/>
        </w:rPr>
        <w:t xml:space="preserve">Alston </w:t>
      </w:r>
      <w:r w:rsidR="00246FC1" w:rsidRPr="00A375E1">
        <w:rPr>
          <w:lang w:val="en-US"/>
        </w:rPr>
        <w:t>1986: 28)</w:t>
      </w:r>
    </w:p>
    <w:p w:rsidR="00246FC1" w:rsidRPr="00A375E1" w:rsidRDefault="00246FC1" w:rsidP="00F677DF">
      <w:pPr>
        <w:spacing w:after="0" w:line="360" w:lineRule="auto"/>
        <w:ind w:right="851"/>
        <w:rPr>
          <w:lang w:val="en-US"/>
        </w:rPr>
      </w:pPr>
    </w:p>
    <w:p w:rsidR="00246FC1" w:rsidRPr="00A375E1" w:rsidRDefault="00246FC1" w:rsidP="00F677DF">
      <w:pPr>
        <w:spacing w:after="0" w:line="360" w:lineRule="auto"/>
        <w:ind w:right="851"/>
        <w:rPr>
          <w:lang w:val="en-US"/>
        </w:rPr>
      </w:pPr>
      <w:r w:rsidRPr="00A375E1">
        <w:rPr>
          <w:lang w:val="en-US"/>
        </w:rPr>
        <w:t>Interestingly enough, Alston finds resonances of this view in Wittgenstein, Peirce and Dewey (1986: 28</w:t>
      </w:r>
      <w:r w:rsidR="00DD0BD7">
        <w:rPr>
          <w:lang w:val="en-US"/>
        </w:rPr>
        <w:t>-</w:t>
      </w:r>
      <w:r w:rsidRPr="00A375E1">
        <w:rPr>
          <w:lang w:val="en-US"/>
        </w:rPr>
        <w:t xml:space="preserve">9). This is not the occasion to enter into a fully-fledged defense of Alston’s view. </w:t>
      </w:r>
      <w:r w:rsidR="00852EAF" w:rsidRPr="00A375E1">
        <w:rPr>
          <w:lang w:val="en-US"/>
        </w:rPr>
        <w:t>I flag it here only to emphasize that Pritchard provides no arguments as to why we should prefer his hinge foundationalism to Alston’s hinge contextualism.</w:t>
      </w:r>
    </w:p>
    <w:p w:rsidR="00852EAF" w:rsidRPr="00A375E1" w:rsidRDefault="00852EAF" w:rsidP="00852EAF">
      <w:pPr>
        <w:spacing w:after="0" w:line="360" w:lineRule="auto"/>
        <w:ind w:right="851"/>
        <w:rPr>
          <w:lang w:val="en-US"/>
        </w:rPr>
      </w:pPr>
    </w:p>
    <w:p w:rsidR="00852EAF" w:rsidRPr="00A375E1" w:rsidRDefault="00FD19B6" w:rsidP="00852EAF">
      <w:pPr>
        <w:pStyle w:val="ListParagraph"/>
        <w:numPr>
          <w:ilvl w:val="0"/>
          <w:numId w:val="4"/>
        </w:numPr>
        <w:spacing w:after="0" w:line="360" w:lineRule="auto"/>
        <w:ind w:right="851"/>
        <w:jc w:val="center"/>
        <w:rPr>
          <w:lang w:val="en-US"/>
        </w:rPr>
      </w:pPr>
      <w:r w:rsidRPr="00A375E1">
        <w:rPr>
          <w:u w:val="single"/>
          <w:lang w:val="en-US"/>
        </w:rPr>
        <w:t xml:space="preserve">Are </w:t>
      </w:r>
      <w:r w:rsidR="00852EAF" w:rsidRPr="00A375E1">
        <w:rPr>
          <w:u w:val="single"/>
          <w:lang w:val="en-US"/>
        </w:rPr>
        <w:t xml:space="preserve">Hinges </w:t>
      </w:r>
      <w:r w:rsidRPr="00A375E1">
        <w:rPr>
          <w:u w:val="single"/>
          <w:lang w:val="en-US"/>
        </w:rPr>
        <w:t>without</w:t>
      </w:r>
      <w:r w:rsidR="00852EAF" w:rsidRPr="00A375E1">
        <w:rPr>
          <w:u w:val="single"/>
          <w:lang w:val="en-US"/>
        </w:rPr>
        <w:t xml:space="preserve"> Rational Support</w:t>
      </w:r>
      <w:r w:rsidR="00852EAF" w:rsidRPr="00A375E1">
        <w:rPr>
          <w:lang w:val="en-US"/>
        </w:rPr>
        <w:t>?</w:t>
      </w:r>
    </w:p>
    <w:p w:rsidR="00852EAF" w:rsidRPr="00A375E1" w:rsidRDefault="00852EAF" w:rsidP="00852EAF">
      <w:pPr>
        <w:spacing w:after="0" w:line="360" w:lineRule="auto"/>
        <w:ind w:right="851"/>
        <w:rPr>
          <w:lang w:val="en-US"/>
        </w:rPr>
      </w:pPr>
    </w:p>
    <w:p w:rsidR="00852EAF" w:rsidRPr="00A375E1" w:rsidRDefault="0019685B" w:rsidP="00852EAF">
      <w:pPr>
        <w:spacing w:after="0" w:line="360" w:lineRule="auto"/>
        <w:ind w:right="851"/>
        <w:rPr>
          <w:lang w:val="en-US"/>
        </w:rPr>
      </w:pPr>
      <w:r w:rsidRPr="00A375E1">
        <w:rPr>
          <w:lang w:val="en-US"/>
        </w:rPr>
        <w:t xml:space="preserve">After much soul-searching as to what I might be missing, I have to confess myself unable to </w:t>
      </w:r>
      <w:r w:rsidR="00852EAF" w:rsidRPr="00A375E1">
        <w:rPr>
          <w:lang w:val="en-US"/>
        </w:rPr>
        <w:t>agree with Pritchard’s claim that hinges are principally without any rational support</w:t>
      </w:r>
      <w:r w:rsidR="00362E7D">
        <w:rPr>
          <w:lang w:val="en-US"/>
        </w:rPr>
        <w:t xml:space="preserve">. This is of course the heart of Pritchard’s interpretation of hinges. It underwrites the claim that hinges are not knowledge-apt and that the closure does not apply in their case. </w:t>
      </w:r>
      <w:r w:rsidR="00852EAF" w:rsidRPr="00A375E1">
        <w:rPr>
          <w:lang w:val="en-US"/>
        </w:rPr>
        <w:t xml:space="preserve">Pritchard </w:t>
      </w:r>
      <w:r w:rsidRPr="00A375E1">
        <w:rPr>
          <w:lang w:val="en-US"/>
        </w:rPr>
        <w:t xml:space="preserve">finds support for his view in the following </w:t>
      </w:r>
      <w:r w:rsidR="00852EAF" w:rsidRPr="00A375E1">
        <w:rPr>
          <w:lang w:val="en-US"/>
        </w:rPr>
        <w:t xml:space="preserve">remark by Wittgenstein: </w:t>
      </w:r>
    </w:p>
    <w:p w:rsidR="00852EAF" w:rsidRPr="00A375E1" w:rsidRDefault="00852EAF" w:rsidP="00852EAF">
      <w:pPr>
        <w:spacing w:after="0" w:line="360" w:lineRule="auto"/>
        <w:ind w:right="851"/>
        <w:rPr>
          <w:lang w:val="en-US"/>
        </w:rPr>
      </w:pPr>
    </w:p>
    <w:p w:rsidR="00852EAF" w:rsidRPr="00A375E1" w:rsidRDefault="00DD0BD7" w:rsidP="00852EAF">
      <w:pPr>
        <w:spacing w:after="0" w:line="360" w:lineRule="auto"/>
        <w:ind w:left="708" w:right="851"/>
        <w:rPr>
          <w:lang w:val="en-US"/>
        </w:rPr>
      </w:pPr>
      <w:r>
        <w:rPr>
          <w:lang w:val="en-US"/>
        </w:rPr>
        <w:t>‘</w:t>
      </w:r>
      <w:r w:rsidR="00852EAF" w:rsidRPr="00A375E1">
        <w:rPr>
          <w:lang w:val="en-US"/>
        </w:rPr>
        <w:t xml:space="preserve">If a blind man were to ask me </w:t>
      </w:r>
      <w:r w:rsidR="000C50A1">
        <w:rPr>
          <w:lang w:val="en-US"/>
        </w:rPr>
        <w:t>“</w:t>
      </w:r>
      <w:r w:rsidR="00852EAF" w:rsidRPr="00A375E1">
        <w:rPr>
          <w:lang w:val="en-US"/>
        </w:rPr>
        <w:t>Have you got two hands?</w:t>
      </w:r>
      <w:r w:rsidR="000C50A1">
        <w:rPr>
          <w:lang w:val="en-US"/>
        </w:rPr>
        <w:t>”</w:t>
      </w:r>
      <w:r w:rsidR="00852EAF" w:rsidRPr="00A375E1">
        <w:rPr>
          <w:lang w:val="en-US"/>
        </w:rPr>
        <w:t xml:space="preserve"> I should not make sure by looking. If I were to have any doubt of it, then I don't know why I should trust my eyes. For why shouldn't I test my </w:t>
      </w:r>
      <w:r w:rsidR="00852EAF" w:rsidRPr="000C50A1">
        <w:rPr>
          <w:i/>
          <w:iCs/>
          <w:lang w:val="en-US"/>
        </w:rPr>
        <w:t>eyes</w:t>
      </w:r>
      <w:r w:rsidR="00852EAF" w:rsidRPr="00A375E1">
        <w:rPr>
          <w:lang w:val="en-US"/>
        </w:rPr>
        <w:t xml:space="preserve"> by looking to find out whether I see my two hands? </w:t>
      </w:r>
      <w:r w:rsidR="00852EAF" w:rsidRPr="000C50A1">
        <w:rPr>
          <w:i/>
          <w:iCs/>
          <w:lang w:val="en-US"/>
        </w:rPr>
        <w:t>What</w:t>
      </w:r>
      <w:r w:rsidR="00852EAF" w:rsidRPr="00A375E1">
        <w:rPr>
          <w:lang w:val="en-US"/>
        </w:rPr>
        <w:t xml:space="preserve"> is to be tested by </w:t>
      </w:r>
      <w:r w:rsidR="00852EAF" w:rsidRPr="000C50A1">
        <w:rPr>
          <w:i/>
          <w:iCs/>
          <w:lang w:val="en-US"/>
        </w:rPr>
        <w:t>what</w:t>
      </w:r>
      <w:r w:rsidR="00852EAF" w:rsidRPr="00A375E1">
        <w:rPr>
          <w:lang w:val="en-US"/>
        </w:rPr>
        <w:t xml:space="preserve">? (Who decides </w:t>
      </w:r>
      <w:r w:rsidR="00852EAF" w:rsidRPr="000C50A1">
        <w:rPr>
          <w:i/>
          <w:iCs/>
          <w:lang w:val="en-US"/>
        </w:rPr>
        <w:t>what</w:t>
      </w:r>
      <w:r w:rsidR="00852EAF" w:rsidRPr="00A375E1">
        <w:rPr>
          <w:lang w:val="en-US"/>
        </w:rPr>
        <w:t xml:space="preserve"> stands fast?) And what does it mean to say that such and such stands fast?</w:t>
      </w:r>
      <w:r>
        <w:rPr>
          <w:lang w:val="en-US"/>
        </w:rPr>
        <w:t>’</w:t>
      </w:r>
      <w:r w:rsidR="00852EAF" w:rsidRPr="00A375E1">
        <w:rPr>
          <w:lang w:val="en-US"/>
        </w:rPr>
        <w:t xml:space="preserve"> (1969: §125)</w:t>
      </w:r>
    </w:p>
    <w:p w:rsidR="00852EAF" w:rsidRPr="00A375E1" w:rsidRDefault="00852EAF" w:rsidP="00852EAF">
      <w:pPr>
        <w:spacing w:after="0" w:line="360" w:lineRule="auto"/>
        <w:ind w:right="851"/>
        <w:rPr>
          <w:lang w:val="en-US"/>
        </w:rPr>
      </w:pPr>
    </w:p>
    <w:p w:rsidR="00852EAF" w:rsidRPr="00A375E1" w:rsidRDefault="00852EAF" w:rsidP="00852EAF">
      <w:pPr>
        <w:spacing w:after="0" w:line="360" w:lineRule="auto"/>
        <w:ind w:right="851"/>
        <w:rPr>
          <w:lang w:val="en-US"/>
        </w:rPr>
      </w:pPr>
      <w:r w:rsidRPr="00A375E1">
        <w:rPr>
          <w:lang w:val="en-US"/>
        </w:rPr>
        <w:t xml:space="preserve">I fail to see this </w:t>
      </w:r>
      <w:r w:rsidR="0019685B" w:rsidRPr="00A375E1">
        <w:rPr>
          <w:lang w:val="en-US"/>
        </w:rPr>
        <w:t>passage as offering</w:t>
      </w:r>
      <w:r w:rsidRPr="00A375E1">
        <w:rPr>
          <w:lang w:val="en-US"/>
        </w:rPr>
        <w:t xml:space="preserve"> an argument </w:t>
      </w:r>
      <w:r w:rsidR="0019685B" w:rsidRPr="00A375E1">
        <w:rPr>
          <w:lang w:val="en-US"/>
        </w:rPr>
        <w:t>for</w:t>
      </w:r>
      <w:r w:rsidRPr="00A375E1">
        <w:rPr>
          <w:lang w:val="en-US"/>
        </w:rPr>
        <w:t xml:space="preserve"> </w:t>
      </w:r>
      <w:r w:rsidR="0028630D">
        <w:rPr>
          <w:lang w:val="en-US"/>
        </w:rPr>
        <w:t xml:space="preserve">the </w:t>
      </w:r>
      <w:r w:rsidRPr="00A375E1">
        <w:rPr>
          <w:lang w:val="en-US"/>
        </w:rPr>
        <w:t>idea that Wittgenstein has no evidence whatsoever for having two hands. I rather read this passage as saying that</w:t>
      </w:r>
      <w:r w:rsidR="0019685B" w:rsidRPr="00A375E1">
        <w:rPr>
          <w:lang w:val="en-US"/>
        </w:rPr>
        <w:t>,</w:t>
      </w:r>
      <w:r w:rsidRPr="00A375E1">
        <w:rPr>
          <w:lang w:val="en-US"/>
        </w:rPr>
        <w:t xml:space="preserve"> as things stand for Wittgenstein at the time of the blind man’s asking, his (i.e. Wittgenstein’s) credence in his eyesight is no stronger than his credence in his handedness. And </w:t>
      </w:r>
      <w:r w:rsidR="0019685B" w:rsidRPr="00A375E1">
        <w:rPr>
          <w:lang w:val="en-US"/>
        </w:rPr>
        <w:t>t</w:t>
      </w:r>
      <w:r w:rsidRPr="00A375E1">
        <w:rPr>
          <w:lang w:val="en-US"/>
        </w:rPr>
        <w:t xml:space="preserve">he </w:t>
      </w:r>
      <w:r w:rsidR="0019685B" w:rsidRPr="00A375E1">
        <w:rPr>
          <w:lang w:val="en-US"/>
        </w:rPr>
        <w:t xml:space="preserve">remarks </w:t>
      </w:r>
      <w:proofErr w:type="gramStart"/>
      <w:r w:rsidRPr="00A375E1">
        <w:rPr>
          <w:lang w:val="en-US"/>
        </w:rPr>
        <w:t>goes</w:t>
      </w:r>
      <w:proofErr w:type="gramEnd"/>
      <w:r w:rsidRPr="00A375E1">
        <w:rPr>
          <w:lang w:val="en-US"/>
        </w:rPr>
        <w:t xml:space="preserve"> on to suggest that it is a contextual matter whether </w:t>
      </w:r>
      <w:r w:rsidR="0019685B" w:rsidRPr="00A375E1">
        <w:rPr>
          <w:lang w:val="en-US"/>
        </w:rPr>
        <w:t>Wittgenstein’s</w:t>
      </w:r>
      <w:r w:rsidRPr="00A375E1">
        <w:rPr>
          <w:lang w:val="en-US"/>
        </w:rPr>
        <w:t xml:space="preserve"> hands are </w:t>
      </w:r>
      <w:r w:rsidR="002F355B" w:rsidRPr="00A375E1">
        <w:rPr>
          <w:lang w:val="en-US"/>
        </w:rPr>
        <w:t xml:space="preserve">a </w:t>
      </w:r>
      <w:r w:rsidRPr="00A375E1">
        <w:rPr>
          <w:lang w:val="en-US"/>
        </w:rPr>
        <w:t xml:space="preserve">touchstone for the reliability of </w:t>
      </w:r>
      <w:r w:rsidR="002F355B" w:rsidRPr="00A375E1">
        <w:rPr>
          <w:lang w:val="en-US"/>
        </w:rPr>
        <w:t>his</w:t>
      </w:r>
      <w:r w:rsidRPr="00A375E1">
        <w:rPr>
          <w:lang w:val="en-US"/>
        </w:rPr>
        <w:t xml:space="preserve"> perception, or whether </w:t>
      </w:r>
      <w:r w:rsidR="002F355B" w:rsidRPr="00A375E1">
        <w:rPr>
          <w:lang w:val="en-US"/>
        </w:rPr>
        <w:t xml:space="preserve">his </w:t>
      </w:r>
      <w:r w:rsidRPr="00A375E1">
        <w:rPr>
          <w:lang w:val="en-US"/>
        </w:rPr>
        <w:t xml:space="preserve">perception is the touchstone for the reality of </w:t>
      </w:r>
      <w:r w:rsidR="002F355B" w:rsidRPr="00A375E1">
        <w:rPr>
          <w:lang w:val="en-US"/>
        </w:rPr>
        <w:t>his hands.</w:t>
      </w:r>
    </w:p>
    <w:p w:rsidR="002F355B" w:rsidRPr="00A375E1" w:rsidRDefault="002F355B" w:rsidP="002F355B">
      <w:pPr>
        <w:spacing w:after="0" w:line="360" w:lineRule="auto"/>
        <w:ind w:right="851" w:firstLine="284"/>
        <w:rPr>
          <w:lang w:val="en-US"/>
        </w:rPr>
      </w:pPr>
      <w:r w:rsidRPr="00A375E1">
        <w:rPr>
          <w:lang w:val="en-US"/>
        </w:rPr>
        <w:t xml:space="preserve">This train of thought leaves open the possibility of, first, </w:t>
      </w:r>
      <w:r w:rsidR="00852EAF" w:rsidRPr="00A375E1">
        <w:rPr>
          <w:lang w:val="en-US"/>
        </w:rPr>
        <w:t xml:space="preserve">a </w:t>
      </w:r>
      <w:r w:rsidRPr="00A375E1">
        <w:rPr>
          <w:lang w:val="en-US"/>
        </w:rPr>
        <w:t xml:space="preserve">history </w:t>
      </w:r>
      <w:r w:rsidR="00852EAF" w:rsidRPr="00A375E1">
        <w:rPr>
          <w:lang w:val="en-US"/>
        </w:rPr>
        <w:t xml:space="preserve">of </w:t>
      </w:r>
      <w:r w:rsidRPr="00A375E1">
        <w:rPr>
          <w:lang w:val="en-US"/>
        </w:rPr>
        <w:t>Wittgenstein</w:t>
      </w:r>
      <w:r w:rsidR="00852EAF" w:rsidRPr="00A375E1">
        <w:rPr>
          <w:lang w:val="en-US"/>
        </w:rPr>
        <w:t xml:space="preserve"> amassing evidence for his hand</w:t>
      </w:r>
      <w:r w:rsidRPr="00A375E1">
        <w:rPr>
          <w:lang w:val="en-US"/>
        </w:rPr>
        <w:t>edness</w:t>
      </w:r>
      <w:r w:rsidR="00852EAF" w:rsidRPr="00A375E1">
        <w:rPr>
          <w:lang w:val="en-US"/>
        </w:rPr>
        <w:t xml:space="preserve"> via perception and proprioception; and </w:t>
      </w:r>
      <w:r w:rsidRPr="00A375E1">
        <w:rPr>
          <w:lang w:val="en-US"/>
        </w:rPr>
        <w:t>second,</w:t>
      </w:r>
      <w:r w:rsidR="00852EAF" w:rsidRPr="00A375E1">
        <w:rPr>
          <w:lang w:val="en-US"/>
        </w:rPr>
        <w:t xml:space="preserve"> a history of his amassing evidence for the reliability of his perception and proprioception involving</w:t>
      </w:r>
      <w:r w:rsidR="0019685B" w:rsidRPr="00A375E1">
        <w:rPr>
          <w:lang w:val="en-US"/>
        </w:rPr>
        <w:t xml:space="preserve"> as touchstones</w:t>
      </w:r>
      <w:r w:rsidR="00852EAF" w:rsidRPr="00A375E1">
        <w:rPr>
          <w:lang w:val="en-US"/>
        </w:rPr>
        <w:t xml:space="preserve">, amongst many other things, his hands. Of course, most of this </w:t>
      </w:r>
      <w:r w:rsidRPr="00A375E1">
        <w:rPr>
          <w:lang w:val="en-US"/>
        </w:rPr>
        <w:t xml:space="preserve">historical </w:t>
      </w:r>
      <w:r w:rsidR="00852EAF" w:rsidRPr="00A375E1">
        <w:rPr>
          <w:lang w:val="en-US"/>
        </w:rPr>
        <w:t xml:space="preserve">evidence </w:t>
      </w:r>
      <w:r w:rsidRPr="00A375E1">
        <w:rPr>
          <w:lang w:val="en-US"/>
        </w:rPr>
        <w:t>will</w:t>
      </w:r>
      <w:r w:rsidR="00852EAF" w:rsidRPr="00A375E1">
        <w:rPr>
          <w:lang w:val="en-US"/>
        </w:rPr>
        <w:t xml:space="preserve"> no longer </w:t>
      </w:r>
      <w:r w:rsidRPr="00A375E1">
        <w:rPr>
          <w:lang w:val="en-US"/>
        </w:rPr>
        <w:t xml:space="preserve">be available to him </w:t>
      </w:r>
      <w:r w:rsidR="0019685B" w:rsidRPr="00A375E1">
        <w:rPr>
          <w:lang w:val="en-US"/>
        </w:rPr>
        <w:t>at</w:t>
      </w:r>
      <w:r w:rsidRPr="00A375E1">
        <w:rPr>
          <w:lang w:val="en-US"/>
        </w:rPr>
        <w:t xml:space="preserve"> the </w:t>
      </w:r>
      <w:r w:rsidR="0019685B" w:rsidRPr="00A375E1">
        <w:rPr>
          <w:lang w:val="en-US"/>
        </w:rPr>
        <w:t>time when he meets the blind person</w:t>
      </w:r>
      <w:r w:rsidR="00CC3699" w:rsidRPr="00A375E1">
        <w:rPr>
          <w:lang w:val="en-US"/>
        </w:rPr>
        <w:t>; most of it is forgotten. And yet, what remains is surely more than enough to justify his belief in the presence.</w:t>
      </w:r>
    </w:p>
    <w:p w:rsidR="00FD19B6" w:rsidRPr="00A375E1" w:rsidRDefault="002F355B" w:rsidP="00322CF0">
      <w:pPr>
        <w:spacing w:line="360" w:lineRule="auto"/>
        <w:ind w:right="851" w:firstLine="284"/>
        <w:rPr>
          <w:lang w:val="en-GB"/>
        </w:rPr>
      </w:pPr>
      <w:r w:rsidRPr="00A375E1">
        <w:rPr>
          <w:lang w:val="en-US"/>
        </w:rPr>
        <w:t xml:space="preserve">It should also be remembered that amongst the </w:t>
      </w:r>
      <w:r w:rsidR="00FD19B6" w:rsidRPr="00A375E1">
        <w:rPr>
          <w:lang w:val="en-US"/>
        </w:rPr>
        <w:t xml:space="preserve">hinges -- or as he prefers to say </w:t>
      </w:r>
      <w:r w:rsidR="00DD0BD7">
        <w:rPr>
          <w:lang w:val="en-US"/>
        </w:rPr>
        <w:t>‘</w:t>
      </w:r>
      <w:r w:rsidR="00FD19B6" w:rsidRPr="00A375E1">
        <w:rPr>
          <w:lang w:val="en-US"/>
        </w:rPr>
        <w:t>cases in which I rightly say I cannot be making a mistake</w:t>
      </w:r>
      <w:r w:rsidR="00DD0BD7">
        <w:rPr>
          <w:lang w:val="en-US"/>
        </w:rPr>
        <w:t>’</w:t>
      </w:r>
      <w:r w:rsidR="00FD19B6" w:rsidRPr="00A375E1">
        <w:rPr>
          <w:lang w:val="en-US"/>
        </w:rPr>
        <w:t xml:space="preserve"> (§674) -- </w:t>
      </w:r>
      <w:r w:rsidRPr="00A375E1">
        <w:rPr>
          <w:lang w:val="en-US"/>
        </w:rPr>
        <w:t xml:space="preserve">Wittgenstein counts </w:t>
      </w:r>
      <w:r w:rsidR="00DD0BD7">
        <w:rPr>
          <w:lang w:val="en-US"/>
        </w:rPr>
        <w:t>‘</w:t>
      </w:r>
      <w:r w:rsidRPr="00A375E1">
        <w:rPr>
          <w:lang w:val="en-US"/>
        </w:rPr>
        <w:t>propositions o</w:t>
      </w:r>
      <w:r w:rsidR="0019685B" w:rsidRPr="00A375E1">
        <w:rPr>
          <w:lang w:val="en-US"/>
        </w:rPr>
        <w:t>f</w:t>
      </w:r>
      <w:r w:rsidRPr="00A375E1">
        <w:rPr>
          <w:lang w:val="en-US"/>
        </w:rPr>
        <w:t xml:space="preserve"> arithmetic</w:t>
      </w:r>
      <w:r w:rsidR="00DD0BD7">
        <w:rPr>
          <w:lang w:val="en-US"/>
        </w:rPr>
        <w:t>’</w:t>
      </w:r>
      <w:r w:rsidRPr="00A375E1">
        <w:rPr>
          <w:lang w:val="en-US"/>
        </w:rPr>
        <w:t xml:space="preserve"> (§448) as well </w:t>
      </w:r>
      <w:r w:rsidR="00DD0BD7">
        <w:rPr>
          <w:bCs/>
          <w:lang w:val="en-GB"/>
        </w:rPr>
        <w:t>‘</w:t>
      </w:r>
      <w:r w:rsidRPr="00A375E1">
        <w:rPr>
          <w:bCs/>
          <w:lang w:val="en-GB"/>
        </w:rPr>
        <w:t>the earth is round</w:t>
      </w:r>
      <w:r w:rsidR="00DD0BD7">
        <w:rPr>
          <w:bCs/>
          <w:lang w:val="en-GB"/>
        </w:rPr>
        <w:t>’</w:t>
      </w:r>
      <w:r w:rsidRPr="00A375E1">
        <w:rPr>
          <w:lang w:val="en-GB"/>
        </w:rPr>
        <w:t xml:space="preserve"> or </w:t>
      </w:r>
      <w:r w:rsidR="00DD0BD7">
        <w:rPr>
          <w:bCs/>
          <w:lang w:val="en-GB"/>
        </w:rPr>
        <w:t>‘</w:t>
      </w:r>
      <w:r w:rsidRPr="00A375E1">
        <w:rPr>
          <w:bCs/>
          <w:lang w:val="en-GB"/>
        </w:rPr>
        <w:t>water boils at 100°C</w:t>
      </w:r>
      <w:r w:rsidR="00DD0BD7">
        <w:rPr>
          <w:bCs/>
          <w:lang w:val="en-GB"/>
        </w:rPr>
        <w:t>’</w:t>
      </w:r>
      <w:r w:rsidRPr="00A375E1">
        <w:rPr>
          <w:lang w:val="en-GB"/>
        </w:rPr>
        <w:t xml:space="preserve"> (§§291-299). </w:t>
      </w:r>
      <w:r w:rsidR="00FD19B6" w:rsidRPr="00A375E1">
        <w:rPr>
          <w:lang w:val="en-GB"/>
        </w:rPr>
        <w:t xml:space="preserve">I am not sure </w:t>
      </w:r>
      <w:r w:rsidR="0019685B" w:rsidRPr="00A375E1">
        <w:rPr>
          <w:lang w:val="en-GB"/>
        </w:rPr>
        <w:t xml:space="preserve">I understand the claim that such </w:t>
      </w:r>
      <w:r w:rsidRPr="00A375E1">
        <w:rPr>
          <w:lang w:val="en-US"/>
        </w:rPr>
        <w:t xml:space="preserve">propositions are </w:t>
      </w:r>
      <w:r w:rsidR="00DD0BD7">
        <w:rPr>
          <w:lang w:val="en-US"/>
        </w:rPr>
        <w:t>‘</w:t>
      </w:r>
      <w:r w:rsidRPr="00A375E1">
        <w:rPr>
          <w:lang w:val="en-US"/>
        </w:rPr>
        <w:t xml:space="preserve">by their </w:t>
      </w:r>
      <w:r w:rsidRPr="00A375E1">
        <w:rPr>
          <w:lang w:val="en-GB"/>
        </w:rPr>
        <w:t>nature never the result of rational processes nor responsive to rational processes</w:t>
      </w:r>
      <w:r w:rsidR="00DD0BD7">
        <w:rPr>
          <w:lang w:val="en-GB"/>
        </w:rPr>
        <w:t>’</w:t>
      </w:r>
      <w:r w:rsidR="00FD19B6" w:rsidRPr="00A375E1">
        <w:rPr>
          <w:lang w:val="en-GB"/>
        </w:rPr>
        <w:t xml:space="preserve"> (</w:t>
      </w:r>
      <w:r w:rsidR="00DD0BD7" w:rsidRPr="00DD0BD7">
        <w:rPr>
          <w:lang w:val="en-US"/>
        </w:rPr>
        <w:t xml:space="preserve">2016: </w:t>
      </w:r>
      <w:r w:rsidR="00FD19B6" w:rsidRPr="00A375E1">
        <w:rPr>
          <w:lang w:val="en-GB"/>
        </w:rPr>
        <w:t>90).</w:t>
      </w:r>
    </w:p>
    <w:p w:rsidR="00322CF0" w:rsidRPr="00A375E1" w:rsidRDefault="00322CF0" w:rsidP="00322CF0">
      <w:pPr>
        <w:spacing w:line="360" w:lineRule="auto"/>
        <w:ind w:right="851" w:firstLine="284"/>
        <w:rPr>
          <w:lang w:val="en-GB"/>
        </w:rPr>
      </w:pPr>
    </w:p>
    <w:p w:rsidR="00FD19B6" w:rsidRPr="000C50A1" w:rsidRDefault="00FD19B6" w:rsidP="00FD19B6">
      <w:pPr>
        <w:pStyle w:val="ListParagraph"/>
        <w:numPr>
          <w:ilvl w:val="0"/>
          <w:numId w:val="4"/>
        </w:numPr>
        <w:spacing w:after="0" w:line="360" w:lineRule="auto"/>
        <w:ind w:right="851"/>
        <w:jc w:val="center"/>
        <w:rPr>
          <w:i/>
          <w:lang w:val="en-US"/>
        </w:rPr>
      </w:pPr>
      <w:r w:rsidRPr="000C50A1">
        <w:rPr>
          <w:i/>
          <w:lang w:val="en-US"/>
        </w:rPr>
        <w:t>On the Universality of Rational Evaluation</w:t>
      </w:r>
    </w:p>
    <w:p w:rsidR="00FD19B6" w:rsidRPr="00A375E1" w:rsidRDefault="00FD19B6" w:rsidP="00FD19B6">
      <w:pPr>
        <w:spacing w:after="0" w:line="360" w:lineRule="auto"/>
        <w:ind w:right="851"/>
        <w:rPr>
          <w:lang w:val="en-US"/>
        </w:rPr>
      </w:pPr>
    </w:p>
    <w:p w:rsidR="00FD19B6" w:rsidRPr="00A375E1" w:rsidRDefault="00FD19B6" w:rsidP="00FD19B6">
      <w:pPr>
        <w:spacing w:after="0" w:line="360" w:lineRule="auto"/>
        <w:ind w:right="851"/>
        <w:rPr>
          <w:lang w:val="en-US"/>
        </w:rPr>
      </w:pPr>
      <w:r w:rsidRPr="00A375E1">
        <w:rPr>
          <w:lang w:val="en-US"/>
        </w:rPr>
        <w:t xml:space="preserve">Much of the force of Pritchard’s hinge-epistemological, anti-skeptical considerations comes from his committing the sceptic to the idea of the </w:t>
      </w:r>
      <w:r w:rsidR="00DD0BD7">
        <w:rPr>
          <w:lang w:val="en-US"/>
        </w:rPr>
        <w:t>‘</w:t>
      </w:r>
      <w:r w:rsidRPr="00A375E1">
        <w:rPr>
          <w:lang w:val="en-US"/>
        </w:rPr>
        <w:t>universality of rational evaluation</w:t>
      </w:r>
      <w:r w:rsidR="00DD0BD7">
        <w:rPr>
          <w:lang w:val="en-US"/>
        </w:rPr>
        <w:t>’</w:t>
      </w:r>
      <w:r w:rsidRPr="00A375E1">
        <w:rPr>
          <w:lang w:val="en-US"/>
        </w:rPr>
        <w:t xml:space="preserve">. That is to say, according to </w:t>
      </w:r>
      <w:r w:rsidR="0055693E" w:rsidRPr="000C50A1">
        <w:rPr>
          <w:i/>
          <w:lang w:val="en-US"/>
        </w:rPr>
        <w:t>Epistemic Angst</w:t>
      </w:r>
      <w:r w:rsidRPr="00A375E1">
        <w:rPr>
          <w:lang w:val="en-US"/>
        </w:rPr>
        <w:t xml:space="preserve">, the epistemic sceptic aims for a </w:t>
      </w:r>
      <w:r w:rsidR="00DD0BD7">
        <w:rPr>
          <w:lang w:val="en-US"/>
        </w:rPr>
        <w:t>‘</w:t>
      </w:r>
      <w:r w:rsidRPr="00A375E1">
        <w:rPr>
          <w:lang w:val="en-US"/>
        </w:rPr>
        <w:t>wholesale</w:t>
      </w:r>
      <w:r w:rsidR="00DD0BD7">
        <w:rPr>
          <w:lang w:val="en-US"/>
        </w:rPr>
        <w:t>’</w:t>
      </w:r>
      <w:r w:rsidRPr="00A375E1">
        <w:rPr>
          <w:lang w:val="en-US"/>
        </w:rPr>
        <w:t xml:space="preserve"> evaluation of our beliefs. Clearly, such wholesale evaluation is incoherent. Every investigation must be based on some presuppositions that remain </w:t>
      </w:r>
      <w:r w:rsidR="0019685B" w:rsidRPr="00A375E1">
        <w:rPr>
          <w:lang w:val="en-US"/>
        </w:rPr>
        <w:t xml:space="preserve">unquestioned and uninvestigated in the background. </w:t>
      </w:r>
    </w:p>
    <w:p w:rsidR="004C3704" w:rsidRPr="006D0B65" w:rsidRDefault="00FD19B6" w:rsidP="006D0B65">
      <w:pPr>
        <w:spacing w:after="0" w:line="360" w:lineRule="auto"/>
        <w:ind w:right="851" w:firstLine="284"/>
        <w:rPr>
          <w:u w:val="single"/>
          <w:lang w:val="en-US"/>
        </w:rPr>
      </w:pPr>
      <w:r w:rsidRPr="00A375E1">
        <w:rPr>
          <w:lang w:val="en-US"/>
        </w:rPr>
        <w:t xml:space="preserve">But is the </w:t>
      </w:r>
      <w:r w:rsidRPr="000C50A1">
        <w:rPr>
          <w:i/>
          <w:lang w:val="en-US"/>
        </w:rPr>
        <w:t>BIV</w:t>
      </w:r>
      <w:r w:rsidRPr="00A375E1">
        <w:rPr>
          <w:lang w:val="en-US"/>
        </w:rPr>
        <w:t>-s</w:t>
      </w:r>
      <w:r w:rsidR="004C3704" w:rsidRPr="00A375E1">
        <w:rPr>
          <w:lang w:val="en-US"/>
        </w:rPr>
        <w:t>k</w:t>
      </w:r>
      <w:r w:rsidRPr="00A375E1">
        <w:rPr>
          <w:lang w:val="en-US"/>
        </w:rPr>
        <w:t xml:space="preserve">eptic really committed to a rational evaluation of all our beliefs at once? </w:t>
      </w:r>
      <w:r w:rsidR="006D0B65">
        <w:rPr>
          <w:lang w:val="en-US"/>
        </w:rPr>
        <w:t xml:space="preserve">Does </w:t>
      </w:r>
      <w:r w:rsidR="00362E7D">
        <w:rPr>
          <w:lang w:val="en-US"/>
        </w:rPr>
        <w:t xml:space="preserve">Pritchard </w:t>
      </w:r>
      <w:r w:rsidR="006D0B65">
        <w:rPr>
          <w:lang w:val="en-US"/>
        </w:rPr>
        <w:t>offer</w:t>
      </w:r>
      <w:r w:rsidR="00362E7D">
        <w:rPr>
          <w:lang w:val="en-US"/>
        </w:rPr>
        <w:t xml:space="preserve"> a convincing argument to this effect? </w:t>
      </w:r>
      <w:r w:rsidR="006D0B65">
        <w:rPr>
          <w:lang w:val="en-US"/>
        </w:rPr>
        <w:t xml:space="preserve">Or can the </w:t>
      </w:r>
      <w:r w:rsidR="004C3704" w:rsidRPr="000C50A1">
        <w:rPr>
          <w:i/>
          <w:lang w:val="en-US"/>
        </w:rPr>
        <w:t>BIV</w:t>
      </w:r>
      <w:r w:rsidR="004C3704" w:rsidRPr="00A375E1">
        <w:rPr>
          <w:lang w:val="en-US"/>
        </w:rPr>
        <w:t xml:space="preserve">-sceptic </w:t>
      </w:r>
      <w:r w:rsidR="006D0B65">
        <w:rPr>
          <w:lang w:val="en-US"/>
        </w:rPr>
        <w:t xml:space="preserve">argue that she leaves </w:t>
      </w:r>
      <w:r w:rsidR="004C3704" w:rsidRPr="00A375E1">
        <w:rPr>
          <w:lang w:val="en-US"/>
        </w:rPr>
        <w:t>an enormous amount of our beliefs (and hinges) unquestioned</w:t>
      </w:r>
      <w:r w:rsidR="006D0B65">
        <w:rPr>
          <w:lang w:val="en-US"/>
        </w:rPr>
        <w:t>?</w:t>
      </w:r>
      <w:r w:rsidR="004C3704" w:rsidRPr="00A375E1">
        <w:rPr>
          <w:lang w:val="en-US"/>
        </w:rPr>
        <w:t xml:space="preserve"> </w:t>
      </w:r>
      <w:r w:rsidR="006D0B65">
        <w:rPr>
          <w:lang w:val="en-US"/>
        </w:rPr>
        <w:t xml:space="preserve">She might insist for example that </w:t>
      </w:r>
      <w:r w:rsidR="004C3704" w:rsidRPr="00A375E1">
        <w:rPr>
          <w:lang w:val="en-US"/>
        </w:rPr>
        <w:t xml:space="preserve">she does not deny anything about our perceptual experiences and beliefs – except that these allow us to conclude that we are in a good scenario and that external-world skepticism is wrong. </w:t>
      </w:r>
    </w:p>
    <w:p w:rsidR="00F7621C" w:rsidRPr="00A375E1" w:rsidRDefault="004C3704" w:rsidP="00F7621C">
      <w:pPr>
        <w:spacing w:after="0" w:line="360" w:lineRule="auto"/>
        <w:ind w:right="851" w:firstLine="284"/>
        <w:rPr>
          <w:lang w:val="en-US"/>
        </w:rPr>
      </w:pPr>
      <w:r w:rsidRPr="00A375E1">
        <w:rPr>
          <w:lang w:val="en-US"/>
        </w:rPr>
        <w:lastRenderedPageBreak/>
        <w:t xml:space="preserve">Pritchard tries to build a bridge from this limited skepticism to a skepticism about everything by </w:t>
      </w:r>
      <w:r w:rsidR="00C85E8D" w:rsidRPr="00A375E1">
        <w:rPr>
          <w:lang w:val="en-US"/>
        </w:rPr>
        <w:t xml:space="preserve">suggesting that a thorough doubt about one hinge quickly inflates into a doubt about all hinges. </w:t>
      </w:r>
      <w:r w:rsidR="00F7621C" w:rsidRPr="00A375E1">
        <w:rPr>
          <w:lang w:val="en-US"/>
        </w:rPr>
        <w:t xml:space="preserve">Here is a passage from §613 that speaks to that idea: </w:t>
      </w:r>
      <w:r w:rsidR="00DD0BD7">
        <w:rPr>
          <w:lang w:val="en-US"/>
        </w:rPr>
        <w:t>‘</w:t>
      </w:r>
      <w:r w:rsidR="00F7621C" w:rsidRPr="00A375E1">
        <w:rPr>
          <w:lang w:val="en-US"/>
        </w:rPr>
        <w:t>what could make me doubt whether this person here is N.N., whom I have known for years? Here a doubt would seem to drag everything with it and plunge it into chaos.</w:t>
      </w:r>
      <w:r w:rsidR="00DD0BD7">
        <w:rPr>
          <w:lang w:val="en-US"/>
        </w:rPr>
        <w:t>’</w:t>
      </w:r>
      <w:r w:rsidR="00F7621C" w:rsidRPr="00A375E1">
        <w:rPr>
          <w:lang w:val="en-US"/>
        </w:rPr>
        <w:t xml:space="preserve"> Note however that these sentences come at the end of passage that distinguishes between different cases:</w:t>
      </w:r>
    </w:p>
    <w:p w:rsidR="00F7621C" w:rsidRPr="00A375E1" w:rsidRDefault="00F7621C" w:rsidP="00F7621C">
      <w:pPr>
        <w:spacing w:after="0" w:line="360" w:lineRule="auto"/>
        <w:ind w:right="851" w:firstLine="284"/>
        <w:rPr>
          <w:lang w:val="en-US"/>
        </w:rPr>
      </w:pPr>
    </w:p>
    <w:p w:rsidR="00C85E8D" w:rsidRPr="00A375E1" w:rsidRDefault="00DD0BD7" w:rsidP="00F7621C">
      <w:pPr>
        <w:spacing w:after="0" w:line="360" w:lineRule="auto"/>
        <w:ind w:left="709" w:right="851"/>
        <w:rPr>
          <w:lang w:val="en-US"/>
        </w:rPr>
      </w:pPr>
      <w:r>
        <w:rPr>
          <w:lang w:val="en-US"/>
        </w:rPr>
        <w:t>‘</w:t>
      </w:r>
      <w:r w:rsidR="00C85E8D" w:rsidRPr="00A375E1">
        <w:rPr>
          <w:lang w:val="en-US"/>
        </w:rPr>
        <w:t xml:space="preserve">If I now say </w:t>
      </w:r>
      <w:r w:rsidR="000C50A1">
        <w:rPr>
          <w:lang w:val="en-US"/>
        </w:rPr>
        <w:t>“</w:t>
      </w:r>
      <w:r w:rsidR="00C85E8D" w:rsidRPr="00A375E1">
        <w:rPr>
          <w:lang w:val="en-US"/>
        </w:rPr>
        <w:t>I know that the water in the kettle in the gas-flame will not freeze but boil</w:t>
      </w:r>
      <w:r w:rsidR="000C50A1">
        <w:rPr>
          <w:lang w:val="en-US"/>
        </w:rPr>
        <w:t>”</w:t>
      </w:r>
      <w:r w:rsidR="00C85E8D" w:rsidRPr="00A375E1">
        <w:rPr>
          <w:lang w:val="en-US"/>
        </w:rPr>
        <w:t xml:space="preserve">, I seem to be as justified in this </w:t>
      </w:r>
      <w:r w:rsidR="000C50A1">
        <w:rPr>
          <w:lang w:val="en-US"/>
        </w:rPr>
        <w:t>“</w:t>
      </w:r>
      <w:r w:rsidR="00C85E8D" w:rsidRPr="00A375E1">
        <w:rPr>
          <w:lang w:val="en-US"/>
        </w:rPr>
        <w:t>I know</w:t>
      </w:r>
      <w:r w:rsidR="000C50A1">
        <w:rPr>
          <w:lang w:val="en-US"/>
        </w:rPr>
        <w:t>”</w:t>
      </w:r>
      <w:r w:rsidR="00C85E8D" w:rsidRPr="00A375E1">
        <w:rPr>
          <w:lang w:val="en-US"/>
        </w:rPr>
        <w:t xml:space="preserve"> as I am in </w:t>
      </w:r>
      <w:r w:rsidR="00C85E8D" w:rsidRPr="000C50A1">
        <w:rPr>
          <w:i/>
          <w:iCs/>
          <w:lang w:val="en-US"/>
        </w:rPr>
        <w:t>any</w:t>
      </w:r>
      <w:r w:rsidR="00322CF0" w:rsidRPr="00A375E1">
        <w:rPr>
          <w:lang w:val="en-US"/>
        </w:rPr>
        <w:t xml:space="preserve">. </w:t>
      </w:r>
      <w:r w:rsidR="000C50A1">
        <w:rPr>
          <w:lang w:val="en-US"/>
        </w:rPr>
        <w:t>“</w:t>
      </w:r>
      <w:r w:rsidR="00C85E8D" w:rsidRPr="00A375E1">
        <w:rPr>
          <w:lang w:val="en-US"/>
        </w:rPr>
        <w:t xml:space="preserve">If I know </w:t>
      </w:r>
      <w:proofErr w:type="gramStart"/>
      <w:r w:rsidR="00C85E8D" w:rsidRPr="00A375E1">
        <w:rPr>
          <w:lang w:val="en-US"/>
        </w:rPr>
        <w:t>anything</w:t>
      </w:r>
      <w:proofErr w:type="gramEnd"/>
      <w:r w:rsidR="00C85E8D" w:rsidRPr="00A375E1">
        <w:rPr>
          <w:lang w:val="en-US"/>
        </w:rPr>
        <w:t xml:space="preserve"> I know </w:t>
      </w:r>
      <w:r w:rsidR="00C85E8D" w:rsidRPr="000C50A1">
        <w:rPr>
          <w:i/>
          <w:iCs/>
          <w:lang w:val="en-US"/>
        </w:rPr>
        <w:t>this</w:t>
      </w:r>
      <w:r w:rsidR="000C50A1">
        <w:rPr>
          <w:lang w:val="en-US"/>
        </w:rPr>
        <w:t>”</w:t>
      </w:r>
      <w:r w:rsidR="00C85E8D" w:rsidRPr="00A375E1">
        <w:rPr>
          <w:lang w:val="en-US"/>
        </w:rPr>
        <w:t xml:space="preserve">. - Or do I know with still </w:t>
      </w:r>
      <w:r w:rsidR="00C85E8D" w:rsidRPr="000C50A1">
        <w:rPr>
          <w:i/>
          <w:iCs/>
          <w:lang w:val="en-US"/>
        </w:rPr>
        <w:t>greater</w:t>
      </w:r>
      <w:r w:rsidR="00C85E8D" w:rsidRPr="00A375E1">
        <w:rPr>
          <w:lang w:val="en-US"/>
        </w:rPr>
        <w:t xml:space="preserve"> certainty that the person opposite me is my old friend so-and-so? And how does that compare with the proposition that I am seeing with two </w:t>
      </w:r>
      <w:r w:rsidR="00C85E8D" w:rsidRPr="000C50A1">
        <w:rPr>
          <w:i/>
          <w:iCs/>
          <w:lang w:val="en-US"/>
        </w:rPr>
        <w:t>eyes</w:t>
      </w:r>
      <w:r w:rsidR="00C85E8D" w:rsidRPr="00A375E1">
        <w:rPr>
          <w:lang w:val="en-US"/>
        </w:rPr>
        <w:t xml:space="preserve"> and shall see them if I look in the glass? </w:t>
      </w:r>
      <w:r w:rsidR="000C50A1">
        <w:rPr>
          <w:lang w:val="en-US"/>
        </w:rPr>
        <w:t>–</w:t>
      </w:r>
      <w:r w:rsidR="00C85E8D" w:rsidRPr="00A375E1">
        <w:rPr>
          <w:lang w:val="en-US"/>
        </w:rPr>
        <w:t xml:space="preserve"> I don't know confidently what I am to answer here. </w:t>
      </w:r>
      <w:r w:rsidR="000C50A1">
        <w:rPr>
          <w:lang w:val="en-US"/>
        </w:rPr>
        <w:t>–</w:t>
      </w:r>
      <w:r w:rsidR="00C85E8D" w:rsidRPr="00A375E1">
        <w:rPr>
          <w:lang w:val="en-US"/>
        </w:rPr>
        <w:t xml:space="preserve"> But still there is a difference between cases. If the water over the gas freezes, of course I shall be as astonished as can be, but I shall assume some factor I don't know of, and perhaps leave the matter to physicists to judge. But what could make me doubt whether this person here is N.N., whom I have known for years? Here a doubt would seem to drag everything with it and plunge it into chaos.</w:t>
      </w:r>
      <w:r>
        <w:rPr>
          <w:lang w:val="en-US"/>
        </w:rPr>
        <w:t>’</w:t>
      </w:r>
    </w:p>
    <w:p w:rsidR="00F7621C" w:rsidRPr="00A375E1" w:rsidRDefault="00F7621C" w:rsidP="00F7621C">
      <w:pPr>
        <w:spacing w:after="0" w:line="360" w:lineRule="auto"/>
        <w:ind w:left="709" w:right="851"/>
        <w:rPr>
          <w:lang w:val="en-US"/>
        </w:rPr>
      </w:pPr>
    </w:p>
    <w:p w:rsidR="00F7621C" w:rsidRPr="00A375E1" w:rsidRDefault="00F7621C" w:rsidP="00F7621C">
      <w:pPr>
        <w:spacing w:after="0" w:line="360" w:lineRule="auto"/>
        <w:ind w:right="851"/>
        <w:rPr>
          <w:lang w:val="en-US"/>
        </w:rPr>
      </w:pPr>
      <w:r w:rsidRPr="00A375E1">
        <w:rPr>
          <w:lang w:val="en-US"/>
        </w:rPr>
        <w:t xml:space="preserve">I read this as saying that while doubting some hinges quickly inflates into global doubt and thus chaos, the doubting of other hinges does not. And Wittgenstein expresses his own lack of confidence on how best to distinguish these cases. If Pritchard has a good criterion here – and a criterion that counts the denial of knowledge of the external world as akin to denial of knowing his friend – then </w:t>
      </w:r>
      <w:r w:rsidR="00322CF0" w:rsidRPr="00A375E1">
        <w:rPr>
          <w:lang w:val="en-US"/>
        </w:rPr>
        <w:t>we deserve to be told</w:t>
      </w:r>
      <w:r w:rsidRPr="00A375E1">
        <w:rPr>
          <w:lang w:val="en-US"/>
        </w:rPr>
        <w:t>.</w:t>
      </w:r>
    </w:p>
    <w:p w:rsidR="00F7621C" w:rsidRPr="00A375E1" w:rsidRDefault="00F7621C" w:rsidP="00F7621C">
      <w:pPr>
        <w:spacing w:after="0" w:line="360" w:lineRule="auto"/>
        <w:ind w:left="284" w:right="851"/>
        <w:rPr>
          <w:lang w:val="en-US"/>
        </w:rPr>
      </w:pPr>
    </w:p>
    <w:p w:rsidR="00F7621C" w:rsidRPr="000C50A1" w:rsidRDefault="00322CF0" w:rsidP="00322CF0">
      <w:pPr>
        <w:pStyle w:val="ListParagraph"/>
        <w:numPr>
          <w:ilvl w:val="0"/>
          <w:numId w:val="4"/>
        </w:numPr>
        <w:spacing w:after="0" w:line="360" w:lineRule="auto"/>
        <w:ind w:right="851"/>
        <w:jc w:val="center"/>
        <w:rPr>
          <w:i/>
          <w:lang w:val="en-US"/>
        </w:rPr>
      </w:pPr>
      <w:r w:rsidRPr="000C50A1">
        <w:rPr>
          <w:i/>
          <w:lang w:val="en-US"/>
        </w:rPr>
        <w:t>Conclusion</w:t>
      </w:r>
    </w:p>
    <w:p w:rsidR="00A375E1" w:rsidRPr="00A375E1" w:rsidRDefault="00A375E1" w:rsidP="000B0033">
      <w:pPr>
        <w:spacing w:after="0" w:line="360" w:lineRule="auto"/>
        <w:ind w:right="851"/>
        <w:rPr>
          <w:lang w:val="en-US"/>
        </w:rPr>
      </w:pPr>
    </w:p>
    <w:p w:rsidR="00F7621C" w:rsidRPr="00A375E1" w:rsidRDefault="00322CF0" w:rsidP="00322CF0">
      <w:pPr>
        <w:spacing w:after="0" w:line="360" w:lineRule="auto"/>
        <w:ind w:right="851"/>
        <w:rPr>
          <w:lang w:val="en-US"/>
        </w:rPr>
      </w:pPr>
      <w:r w:rsidRPr="00A375E1">
        <w:rPr>
          <w:lang w:val="en-US"/>
        </w:rPr>
        <w:t xml:space="preserve">As befits the genre of the critical notice, I have here focused primarily on disagreements and quibbles. Lest this distracts from my appreciation of the book, I hurry to emphasize that I am enthusiastic about ways in which </w:t>
      </w:r>
      <w:r w:rsidR="0055693E" w:rsidRPr="000C50A1">
        <w:rPr>
          <w:i/>
          <w:lang w:val="en-US"/>
        </w:rPr>
        <w:t>Epistemic Angst</w:t>
      </w:r>
      <w:r w:rsidRPr="00A375E1">
        <w:rPr>
          <w:lang w:val="en-US"/>
        </w:rPr>
        <w:t xml:space="preserve"> seeks to bring Wittgenstein’s reflections on hinges into the epistemological mainstream. I am not fully convinced that </w:t>
      </w:r>
      <w:r w:rsidRPr="00A375E1">
        <w:rPr>
          <w:lang w:val="en-US"/>
        </w:rPr>
        <w:lastRenderedPageBreak/>
        <w:t xml:space="preserve">Wittgenstein is quite as radical as Pritchard makes him out to be. But that is a </w:t>
      </w:r>
      <w:r w:rsidR="0055693E" w:rsidRPr="00A375E1">
        <w:rPr>
          <w:lang w:val="en-US"/>
        </w:rPr>
        <w:t xml:space="preserve">family </w:t>
      </w:r>
      <w:r w:rsidRPr="00A375E1">
        <w:rPr>
          <w:lang w:val="en-US"/>
        </w:rPr>
        <w:t>quarrel.</w:t>
      </w:r>
      <w:r w:rsidR="00BA5C07">
        <w:rPr>
          <w:rStyle w:val="FootnoteReference"/>
          <w:lang w:val="en-US"/>
        </w:rPr>
        <w:footnoteReference w:id="1"/>
      </w:r>
    </w:p>
    <w:p w:rsidR="00C85E8D" w:rsidRPr="00A375E1" w:rsidRDefault="00C85E8D" w:rsidP="004C3704">
      <w:pPr>
        <w:spacing w:after="0" w:line="360" w:lineRule="auto"/>
        <w:ind w:right="851" w:firstLine="284"/>
        <w:rPr>
          <w:lang w:val="en-US"/>
        </w:rPr>
      </w:pPr>
    </w:p>
    <w:p w:rsidR="004C3704" w:rsidRPr="00A375E1" w:rsidRDefault="00FD19B6" w:rsidP="004C3704">
      <w:pPr>
        <w:spacing w:after="0" w:line="360" w:lineRule="auto"/>
        <w:ind w:right="851"/>
        <w:rPr>
          <w:lang w:val="en-US"/>
        </w:rPr>
      </w:pPr>
      <w:r w:rsidRPr="00A375E1">
        <w:rPr>
          <w:lang w:val="en-US"/>
        </w:rPr>
        <w:tab/>
      </w:r>
    </w:p>
    <w:p w:rsidR="00852EAF" w:rsidRPr="00A967D9" w:rsidRDefault="000B0033" w:rsidP="000B0033">
      <w:pPr>
        <w:spacing w:line="360" w:lineRule="auto"/>
        <w:ind w:right="851"/>
        <w:jc w:val="center"/>
        <w:rPr>
          <w:i/>
          <w:lang w:val="en-US"/>
        </w:rPr>
      </w:pPr>
      <w:r w:rsidRPr="00A967D9">
        <w:rPr>
          <w:i/>
          <w:lang w:val="en-US"/>
        </w:rPr>
        <w:t>Bibliography</w:t>
      </w:r>
    </w:p>
    <w:p w:rsidR="0042405F" w:rsidRPr="00A375E1" w:rsidRDefault="0042405F" w:rsidP="00BA5C07">
      <w:pPr>
        <w:spacing w:after="0" w:line="360" w:lineRule="auto"/>
        <w:ind w:right="567"/>
        <w:rPr>
          <w:lang w:val="en-US"/>
        </w:rPr>
      </w:pPr>
    </w:p>
    <w:p w:rsidR="000B0033" w:rsidRPr="000B0033" w:rsidRDefault="000B0033" w:rsidP="00852EAF">
      <w:pPr>
        <w:pStyle w:val="FootnoteText"/>
        <w:spacing w:line="360" w:lineRule="auto"/>
        <w:ind w:right="386"/>
        <w:rPr>
          <w:rFonts w:asciiTheme="minorHAnsi" w:hAnsiTheme="minorHAnsi"/>
          <w:bCs/>
          <w:sz w:val="22"/>
          <w:szCs w:val="22"/>
          <w:lang w:val="en-US"/>
        </w:rPr>
      </w:pPr>
      <w:r w:rsidRPr="000B0033">
        <w:rPr>
          <w:rFonts w:asciiTheme="minorHAnsi" w:hAnsiTheme="minorHAnsi"/>
          <w:sz w:val="22"/>
          <w:szCs w:val="22"/>
        </w:rPr>
        <w:t>Alston, W</w:t>
      </w:r>
      <w:r>
        <w:rPr>
          <w:rFonts w:asciiTheme="minorHAnsi" w:hAnsiTheme="minorHAnsi"/>
          <w:sz w:val="22"/>
          <w:szCs w:val="22"/>
        </w:rPr>
        <w:t>.</w:t>
      </w:r>
      <w:r w:rsidRPr="000B0033">
        <w:rPr>
          <w:rFonts w:asciiTheme="minorHAnsi" w:hAnsiTheme="minorHAnsi"/>
          <w:sz w:val="22"/>
          <w:szCs w:val="22"/>
        </w:rPr>
        <w:t xml:space="preserve"> P. </w:t>
      </w:r>
      <w:r>
        <w:rPr>
          <w:rFonts w:asciiTheme="minorHAnsi" w:hAnsiTheme="minorHAnsi"/>
          <w:sz w:val="22"/>
          <w:szCs w:val="22"/>
        </w:rPr>
        <w:t xml:space="preserve">(1986) </w:t>
      </w:r>
      <w:r w:rsidR="00DD0BD7">
        <w:rPr>
          <w:rFonts w:asciiTheme="minorHAnsi" w:hAnsiTheme="minorHAnsi"/>
          <w:sz w:val="22"/>
          <w:szCs w:val="22"/>
        </w:rPr>
        <w:t>‘</w:t>
      </w:r>
      <w:r w:rsidRPr="000B0033">
        <w:rPr>
          <w:rFonts w:asciiTheme="minorHAnsi" w:hAnsiTheme="minorHAnsi"/>
          <w:sz w:val="22"/>
          <w:szCs w:val="22"/>
        </w:rPr>
        <w:t>Epistemic Circularity</w:t>
      </w:r>
      <w:r w:rsidR="00DD0BD7">
        <w:rPr>
          <w:rFonts w:asciiTheme="minorHAnsi" w:hAnsiTheme="minorHAnsi"/>
          <w:sz w:val="22"/>
          <w:szCs w:val="22"/>
        </w:rPr>
        <w:t>’</w:t>
      </w:r>
      <w:r>
        <w:rPr>
          <w:rFonts w:asciiTheme="minorHAnsi" w:hAnsiTheme="minorHAnsi"/>
          <w:sz w:val="22"/>
          <w:szCs w:val="22"/>
        </w:rPr>
        <w:t xml:space="preserve">, </w:t>
      </w:r>
      <w:r w:rsidRPr="00DD0BD7">
        <w:rPr>
          <w:rStyle w:val="Emphasis"/>
          <w:rFonts w:asciiTheme="minorHAnsi" w:hAnsiTheme="minorHAnsi"/>
          <w:sz w:val="22"/>
          <w:szCs w:val="22"/>
        </w:rPr>
        <w:t>Philosophy and Phenomenological Research</w:t>
      </w:r>
      <w:r w:rsidRPr="000B0033">
        <w:rPr>
          <w:rFonts w:asciiTheme="minorHAnsi" w:hAnsiTheme="minorHAnsi"/>
          <w:sz w:val="22"/>
          <w:szCs w:val="22"/>
        </w:rPr>
        <w:t xml:space="preserve"> 47</w:t>
      </w:r>
      <w:r w:rsidR="00DD0BD7">
        <w:rPr>
          <w:rFonts w:asciiTheme="minorHAnsi" w:hAnsiTheme="minorHAnsi"/>
          <w:sz w:val="22"/>
          <w:szCs w:val="22"/>
        </w:rPr>
        <w:t>/1:</w:t>
      </w:r>
      <w:r>
        <w:rPr>
          <w:rFonts w:asciiTheme="minorHAnsi" w:hAnsiTheme="minorHAnsi"/>
          <w:sz w:val="22"/>
          <w:szCs w:val="22"/>
        </w:rPr>
        <w:t xml:space="preserve"> 1-30</w:t>
      </w:r>
      <w:r w:rsidRPr="000B0033">
        <w:rPr>
          <w:rFonts w:asciiTheme="minorHAnsi" w:hAnsiTheme="minorHAnsi"/>
          <w:sz w:val="22"/>
          <w:szCs w:val="22"/>
        </w:rPr>
        <w:t>.</w:t>
      </w:r>
    </w:p>
    <w:p w:rsidR="009C3A9A" w:rsidRDefault="00DD0BD7" w:rsidP="00852EAF">
      <w:pPr>
        <w:pStyle w:val="FootnoteText"/>
        <w:spacing w:line="360" w:lineRule="auto"/>
        <w:ind w:right="386"/>
        <w:rPr>
          <w:rFonts w:asciiTheme="minorHAnsi" w:hAnsiTheme="minorHAnsi"/>
          <w:bCs/>
          <w:sz w:val="22"/>
          <w:szCs w:val="22"/>
          <w:lang w:val="en-US"/>
        </w:rPr>
      </w:pPr>
      <w:r>
        <w:rPr>
          <w:rFonts w:asciiTheme="minorHAnsi" w:hAnsiTheme="minorHAnsi"/>
          <w:bCs/>
          <w:sz w:val="22"/>
          <w:szCs w:val="22"/>
          <w:lang w:val="en-US"/>
        </w:rPr>
        <w:t>Boghossian, P. (2006)</w:t>
      </w:r>
      <w:r w:rsidR="009C3A9A" w:rsidRPr="000B0033">
        <w:rPr>
          <w:rFonts w:asciiTheme="minorHAnsi" w:hAnsiTheme="minorHAnsi"/>
          <w:bCs/>
          <w:sz w:val="22"/>
          <w:szCs w:val="22"/>
          <w:lang w:val="en-US"/>
        </w:rPr>
        <w:t xml:space="preserve"> </w:t>
      </w:r>
      <w:r w:rsidR="009C3A9A" w:rsidRPr="00DD0BD7">
        <w:rPr>
          <w:rFonts w:asciiTheme="minorHAnsi" w:hAnsiTheme="minorHAnsi"/>
          <w:bCs/>
          <w:i/>
          <w:sz w:val="22"/>
          <w:szCs w:val="22"/>
          <w:lang w:val="en-US"/>
        </w:rPr>
        <w:t>Fear of Knowledge: Against Relativism and Constructivism</w:t>
      </w:r>
      <w:r w:rsidR="009C3A9A" w:rsidRPr="000B0033">
        <w:rPr>
          <w:rFonts w:asciiTheme="minorHAnsi" w:hAnsiTheme="minorHAnsi"/>
          <w:bCs/>
          <w:sz w:val="22"/>
          <w:szCs w:val="22"/>
          <w:lang w:val="en-US"/>
        </w:rPr>
        <w:t xml:space="preserve">, Oxford: </w:t>
      </w:r>
      <w:r w:rsidR="009C3A9A">
        <w:rPr>
          <w:rFonts w:asciiTheme="minorHAnsi" w:hAnsiTheme="minorHAnsi"/>
          <w:bCs/>
          <w:sz w:val="22"/>
          <w:szCs w:val="22"/>
          <w:lang w:val="en-US"/>
        </w:rPr>
        <w:t>Clarendon Press.</w:t>
      </w:r>
    </w:p>
    <w:p w:rsidR="009C3A9A" w:rsidRPr="009C3A9A" w:rsidRDefault="009C3A9A" w:rsidP="00852EAF">
      <w:pPr>
        <w:pStyle w:val="FootnoteText"/>
        <w:spacing w:line="360" w:lineRule="auto"/>
        <w:ind w:right="386"/>
        <w:rPr>
          <w:rFonts w:asciiTheme="minorHAnsi" w:hAnsiTheme="minorHAnsi"/>
          <w:bCs/>
          <w:sz w:val="22"/>
          <w:szCs w:val="22"/>
          <w:lang w:val="en-US"/>
        </w:rPr>
      </w:pPr>
      <w:proofErr w:type="spellStart"/>
      <w:r w:rsidRPr="009C3A9A">
        <w:rPr>
          <w:rFonts w:asciiTheme="minorHAnsi" w:hAnsiTheme="minorHAnsi"/>
          <w:bCs/>
          <w:sz w:val="22"/>
          <w:szCs w:val="22"/>
          <w:lang w:val="en-US"/>
        </w:rPr>
        <w:t>Dretske</w:t>
      </w:r>
      <w:proofErr w:type="spellEnd"/>
      <w:r>
        <w:rPr>
          <w:rFonts w:asciiTheme="minorHAnsi" w:hAnsiTheme="minorHAnsi"/>
          <w:bCs/>
          <w:sz w:val="22"/>
          <w:szCs w:val="22"/>
          <w:lang w:val="en-US"/>
        </w:rPr>
        <w:t xml:space="preserve">, F. (2005) </w:t>
      </w:r>
      <w:r w:rsidR="00DD0BD7">
        <w:rPr>
          <w:rFonts w:asciiTheme="minorHAnsi" w:hAnsiTheme="minorHAnsi"/>
          <w:bCs/>
          <w:sz w:val="22"/>
          <w:szCs w:val="22"/>
          <w:lang w:val="en-US"/>
        </w:rPr>
        <w:t>‘</w:t>
      </w:r>
      <w:r>
        <w:rPr>
          <w:rFonts w:asciiTheme="minorHAnsi" w:hAnsiTheme="minorHAnsi"/>
          <w:bCs/>
          <w:sz w:val="22"/>
          <w:szCs w:val="22"/>
          <w:lang w:val="en-US"/>
        </w:rPr>
        <w:t>The Case Against Closure</w:t>
      </w:r>
      <w:r w:rsidR="00DD0BD7">
        <w:rPr>
          <w:rFonts w:asciiTheme="minorHAnsi" w:hAnsiTheme="minorHAnsi"/>
          <w:bCs/>
          <w:sz w:val="22"/>
          <w:szCs w:val="22"/>
          <w:lang w:val="en-US"/>
        </w:rPr>
        <w:t>’</w:t>
      </w:r>
      <w:r>
        <w:rPr>
          <w:rFonts w:asciiTheme="minorHAnsi" w:hAnsiTheme="minorHAnsi"/>
          <w:bCs/>
          <w:sz w:val="22"/>
          <w:szCs w:val="22"/>
          <w:lang w:val="en-US"/>
        </w:rPr>
        <w:t xml:space="preserve">, in E. Sosa and M. </w:t>
      </w:r>
      <w:proofErr w:type="spellStart"/>
      <w:r>
        <w:rPr>
          <w:rFonts w:asciiTheme="minorHAnsi" w:hAnsiTheme="minorHAnsi"/>
          <w:bCs/>
          <w:sz w:val="22"/>
          <w:szCs w:val="22"/>
          <w:lang w:val="en-US"/>
        </w:rPr>
        <w:t>Steup</w:t>
      </w:r>
      <w:proofErr w:type="spellEnd"/>
      <w:r>
        <w:rPr>
          <w:rFonts w:asciiTheme="minorHAnsi" w:hAnsiTheme="minorHAnsi"/>
          <w:bCs/>
          <w:sz w:val="22"/>
          <w:szCs w:val="22"/>
          <w:lang w:val="en-US"/>
        </w:rPr>
        <w:t xml:space="preserve"> (eds.), </w:t>
      </w:r>
      <w:r w:rsidRPr="00DD0BD7">
        <w:rPr>
          <w:rFonts w:asciiTheme="minorHAnsi" w:hAnsiTheme="minorHAnsi"/>
          <w:bCs/>
          <w:i/>
          <w:sz w:val="22"/>
          <w:szCs w:val="22"/>
          <w:lang w:val="en-US"/>
        </w:rPr>
        <w:t>Contemporary Debates in Epistemology</w:t>
      </w:r>
      <w:r>
        <w:rPr>
          <w:rFonts w:asciiTheme="minorHAnsi" w:hAnsiTheme="minorHAnsi"/>
          <w:bCs/>
          <w:sz w:val="22"/>
          <w:szCs w:val="22"/>
          <w:lang w:val="en-US"/>
        </w:rPr>
        <w:t xml:space="preserve">, </w:t>
      </w:r>
      <w:r w:rsidR="00DD0BD7">
        <w:rPr>
          <w:rFonts w:asciiTheme="minorHAnsi" w:hAnsiTheme="minorHAnsi"/>
          <w:bCs/>
          <w:sz w:val="22"/>
          <w:szCs w:val="22"/>
          <w:lang w:val="en-US"/>
        </w:rPr>
        <w:t xml:space="preserve">12-26. </w:t>
      </w:r>
      <w:r>
        <w:rPr>
          <w:rFonts w:asciiTheme="minorHAnsi" w:hAnsiTheme="minorHAnsi"/>
          <w:bCs/>
          <w:sz w:val="22"/>
          <w:szCs w:val="22"/>
          <w:lang w:val="en-US"/>
        </w:rPr>
        <w:t>Oxford: Blackwell.</w:t>
      </w:r>
    </w:p>
    <w:p w:rsidR="009C3A9A" w:rsidRDefault="009C3A9A" w:rsidP="00852EAF">
      <w:pPr>
        <w:pStyle w:val="FootnoteText"/>
        <w:spacing w:line="360" w:lineRule="auto"/>
        <w:ind w:right="386"/>
        <w:rPr>
          <w:rFonts w:asciiTheme="minorHAnsi" w:hAnsiTheme="minorHAnsi"/>
          <w:bCs/>
          <w:sz w:val="22"/>
          <w:szCs w:val="22"/>
          <w:lang w:val="en-US"/>
        </w:rPr>
      </w:pPr>
      <w:r>
        <w:rPr>
          <w:rFonts w:asciiTheme="minorHAnsi" w:hAnsiTheme="minorHAnsi"/>
          <w:bCs/>
          <w:sz w:val="22"/>
          <w:szCs w:val="22"/>
          <w:lang w:val="en-US"/>
        </w:rPr>
        <w:t xml:space="preserve">Nozick, R. (1981) </w:t>
      </w:r>
      <w:r w:rsidRPr="00DD0BD7">
        <w:rPr>
          <w:rFonts w:asciiTheme="minorHAnsi" w:hAnsiTheme="minorHAnsi"/>
          <w:bCs/>
          <w:i/>
          <w:sz w:val="22"/>
          <w:szCs w:val="22"/>
          <w:lang w:val="en-US"/>
        </w:rPr>
        <w:t>Philosophical Explanations</w:t>
      </w:r>
      <w:r>
        <w:rPr>
          <w:rFonts w:asciiTheme="minorHAnsi" w:hAnsiTheme="minorHAnsi"/>
          <w:bCs/>
          <w:sz w:val="22"/>
          <w:szCs w:val="22"/>
          <w:lang w:val="en-US"/>
        </w:rPr>
        <w:t xml:space="preserve">, </w:t>
      </w:r>
      <w:r w:rsidR="00B321EE">
        <w:rPr>
          <w:rFonts w:asciiTheme="minorHAnsi" w:hAnsiTheme="minorHAnsi"/>
          <w:bCs/>
          <w:sz w:val="22"/>
          <w:szCs w:val="22"/>
          <w:lang w:val="en-US"/>
        </w:rPr>
        <w:t>Oxford: Oxford University Press.</w:t>
      </w:r>
    </w:p>
    <w:p w:rsidR="00B321EE" w:rsidRPr="009C3A9A" w:rsidRDefault="00B321EE" w:rsidP="00852EAF">
      <w:pPr>
        <w:pStyle w:val="FootnoteText"/>
        <w:spacing w:line="360" w:lineRule="auto"/>
        <w:ind w:right="386"/>
        <w:rPr>
          <w:rFonts w:asciiTheme="minorHAnsi" w:hAnsiTheme="minorHAnsi"/>
          <w:bCs/>
          <w:sz w:val="22"/>
          <w:szCs w:val="22"/>
          <w:lang w:val="en-US"/>
        </w:rPr>
      </w:pPr>
      <w:r>
        <w:rPr>
          <w:rFonts w:asciiTheme="minorHAnsi" w:hAnsiTheme="minorHAnsi"/>
          <w:bCs/>
          <w:sz w:val="22"/>
          <w:szCs w:val="22"/>
          <w:lang w:val="en-US"/>
        </w:rPr>
        <w:t xml:space="preserve">Pritchard, D. (2009) </w:t>
      </w:r>
      <w:r w:rsidR="00DD0BD7">
        <w:rPr>
          <w:rFonts w:asciiTheme="minorHAnsi" w:hAnsiTheme="minorHAnsi"/>
          <w:bCs/>
          <w:sz w:val="22"/>
          <w:szCs w:val="22"/>
          <w:lang w:val="en-US"/>
        </w:rPr>
        <w:t>‘</w:t>
      </w:r>
      <w:r>
        <w:rPr>
          <w:rFonts w:asciiTheme="minorHAnsi" w:hAnsiTheme="minorHAnsi"/>
          <w:bCs/>
          <w:sz w:val="22"/>
          <w:szCs w:val="22"/>
          <w:lang w:val="en-US"/>
        </w:rPr>
        <w:t>Defusing Epistemic Relativism</w:t>
      </w:r>
      <w:r w:rsidR="00DD0BD7">
        <w:rPr>
          <w:rFonts w:asciiTheme="minorHAnsi" w:hAnsiTheme="minorHAnsi"/>
          <w:bCs/>
          <w:sz w:val="22"/>
          <w:szCs w:val="22"/>
          <w:lang w:val="en-US"/>
        </w:rPr>
        <w:t>’</w:t>
      </w:r>
      <w:r>
        <w:rPr>
          <w:rFonts w:asciiTheme="minorHAnsi" w:hAnsiTheme="minorHAnsi"/>
          <w:bCs/>
          <w:sz w:val="22"/>
          <w:szCs w:val="22"/>
          <w:lang w:val="en-US"/>
        </w:rPr>
        <w:t xml:space="preserve">, </w:t>
      </w:r>
      <w:proofErr w:type="spellStart"/>
      <w:r w:rsidRPr="00DD0BD7">
        <w:rPr>
          <w:rFonts w:asciiTheme="minorHAnsi" w:hAnsiTheme="minorHAnsi"/>
          <w:bCs/>
          <w:i/>
          <w:sz w:val="22"/>
          <w:szCs w:val="22"/>
          <w:u w:val="single"/>
          <w:lang w:val="en-US"/>
        </w:rPr>
        <w:t>Synthese</w:t>
      </w:r>
      <w:proofErr w:type="spellEnd"/>
      <w:r>
        <w:rPr>
          <w:rFonts w:asciiTheme="minorHAnsi" w:hAnsiTheme="minorHAnsi"/>
          <w:bCs/>
          <w:sz w:val="22"/>
          <w:szCs w:val="22"/>
          <w:lang w:val="en-US"/>
        </w:rPr>
        <w:t xml:space="preserve"> 166</w:t>
      </w:r>
      <w:r w:rsidR="00DD0BD7">
        <w:rPr>
          <w:rFonts w:asciiTheme="minorHAnsi" w:hAnsiTheme="minorHAnsi"/>
          <w:bCs/>
          <w:sz w:val="22"/>
          <w:szCs w:val="22"/>
          <w:lang w:val="en-US"/>
        </w:rPr>
        <w:t>/4</w:t>
      </w:r>
      <w:r>
        <w:rPr>
          <w:rFonts w:asciiTheme="minorHAnsi" w:hAnsiTheme="minorHAnsi"/>
          <w:bCs/>
          <w:sz w:val="22"/>
          <w:szCs w:val="22"/>
          <w:lang w:val="en-US"/>
        </w:rPr>
        <w:t>: 397-412.</w:t>
      </w:r>
    </w:p>
    <w:p w:rsidR="009C3A9A" w:rsidRPr="009C3A9A" w:rsidRDefault="009C3A9A" w:rsidP="00852EAF">
      <w:pPr>
        <w:pStyle w:val="FootnoteText"/>
        <w:spacing w:line="360" w:lineRule="auto"/>
        <w:ind w:right="386"/>
        <w:rPr>
          <w:rFonts w:asciiTheme="minorHAnsi" w:hAnsiTheme="minorHAnsi"/>
          <w:bCs/>
          <w:sz w:val="22"/>
          <w:szCs w:val="22"/>
          <w:lang w:val="en-US"/>
        </w:rPr>
      </w:pPr>
      <w:proofErr w:type="spellStart"/>
      <w:r>
        <w:rPr>
          <w:rFonts w:asciiTheme="minorHAnsi" w:hAnsiTheme="minorHAnsi"/>
          <w:bCs/>
          <w:sz w:val="22"/>
          <w:szCs w:val="22"/>
          <w:lang w:val="en-US"/>
        </w:rPr>
        <w:t>Rorty</w:t>
      </w:r>
      <w:proofErr w:type="spellEnd"/>
      <w:r>
        <w:rPr>
          <w:rFonts w:asciiTheme="minorHAnsi" w:hAnsiTheme="minorHAnsi"/>
          <w:bCs/>
          <w:sz w:val="22"/>
          <w:szCs w:val="22"/>
          <w:lang w:val="en-US"/>
        </w:rPr>
        <w:t xml:space="preserve">, R. (1981) </w:t>
      </w:r>
      <w:r w:rsidRPr="00DD0BD7">
        <w:rPr>
          <w:rFonts w:asciiTheme="minorHAnsi" w:hAnsiTheme="minorHAnsi"/>
          <w:bCs/>
          <w:i/>
          <w:sz w:val="22"/>
          <w:szCs w:val="22"/>
          <w:lang w:val="en-US"/>
        </w:rPr>
        <w:t>Philosophy and the Mirror of Nature</w:t>
      </w:r>
      <w:r>
        <w:rPr>
          <w:rFonts w:asciiTheme="minorHAnsi" w:hAnsiTheme="minorHAnsi"/>
          <w:bCs/>
          <w:sz w:val="22"/>
          <w:szCs w:val="22"/>
          <w:lang w:val="en-US"/>
        </w:rPr>
        <w:t>, Princeton, N.J.: Princeton University Press.</w:t>
      </w:r>
    </w:p>
    <w:p w:rsidR="0042405F" w:rsidRDefault="00DD0BD7" w:rsidP="00852EAF">
      <w:pPr>
        <w:pStyle w:val="FootnoteText"/>
        <w:spacing w:line="360" w:lineRule="auto"/>
        <w:ind w:right="386"/>
        <w:rPr>
          <w:rFonts w:asciiTheme="minorHAnsi" w:hAnsiTheme="minorHAnsi"/>
          <w:bCs/>
          <w:sz w:val="22"/>
          <w:szCs w:val="22"/>
          <w:lang w:val="en-US"/>
        </w:rPr>
      </w:pPr>
      <w:r>
        <w:rPr>
          <w:rFonts w:asciiTheme="minorHAnsi" w:hAnsiTheme="minorHAnsi"/>
          <w:bCs/>
          <w:sz w:val="22"/>
          <w:szCs w:val="22"/>
          <w:lang w:val="en-US"/>
        </w:rPr>
        <w:t>Wittgenstein, L. (1969)</w:t>
      </w:r>
      <w:r w:rsidR="0042405F" w:rsidRPr="00A375E1">
        <w:rPr>
          <w:rFonts w:asciiTheme="minorHAnsi" w:hAnsiTheme="minorHAnsi"/>
          <w:bCs/>
          <w:sz w:val="22"/>
          <w:szCs w:val="22"/>
          <w:lang w:val="en-US"/>
        </w:rPr>
        <w:t xml:space="preserve"> </w:t>
      </w:r>
      <w:r w:rsidR="0042405F" w:rsidRPr="00DD0BD7">
        <w:rPr>
          <w:rFonts w:asciiTheme="minorHAnsi" w:hAnsiTheme="minorHAnsi"/>
          <w:bCs/>
          <w:i/>
          <w:iCs/>
          <w:sz w:val="22"/>
          <w:szCs w:val="22"/>
          <w:lang w:val="en-US"/>
        </w:rPr>
        <w:t>On Certainty</w:t>
      </w:r>
      <w:r w:rsidR="0042405F" w:rsidRPr="00A375E1">
        <w:rPr>
          <w:rFonts w:asciiTheme="minorHAnsi" w:hAnsiTheme="minorHAnsi"/>
          <w:bCs/>
          <w:sz w:val="22"/>
          <w:szCs w:val="22"/>
          <w:lang w:val="en-US"/>
        </w:rPr>
        <w:t xml:space="preserve">, Oxford: Blackwell. </w:t>
      </w:r>
    </w:p>
    <w:p w:rsidR="00D051B7" w:rsidRDefault="00D051B7" w:rsidP="00852EAF">
      <w:pPr>
        <w:pStyle w:val="FootnoteText"/>
        <w:spacing w:line="360" w:lineRule="auto"/>
        <w:ind w:right="386"/>
        <w:rPr>
          <w:rFonts w:asciiTheme="minorHAnsi" w:hAnsiTheme="minorHAnsi"/>
          <w:bCs/>
          <w:sz w:val="22"/>
          <w:szCs w:val="22"/>
          <w:lang w:val="en-US"/>
        </w:rPr>
      </w:pPr>
    </w:p>
    <w:p w:rsidR="00D051B7" w:rsidRDefault="00D051B7" w:rsidP="00D051B7">
      <w:pPr>
        <w:spacing w:after="0" w:line="360" w:lineRule="auto"/>
        <w:ind w:right="567" w:firstLine="284"/>
        <w:jc w:val="center"/>
        <w:rPr>
          <w:lang w:val="en-US"/>
        </w:rPr>
      </w:pPr>
    </w:p>
    <w:p w:rsidR="00D051B7" w:rsidRPr="00D051B7" w:rsidRDefault="00D051B7" w:rsidP="00D051B7">
      <w:pPr>
        <w:spacing w:after="0" w:line="360" w:lineRule="auto"/>
        <w:ind w:right="567" w:firstLine="284"/>
        <w:jc w:val="center"/>
        <w:rPr>
          <w:i/>
          <w:lang w:val="en-US"/>
        </w:rPr>
      </w:pPr>
      <w:r w:rsidRPr="00D051B7">
        <w:rPr>
          <w:i/>
          <w:lang w:val="en-US"/>
        </w:rPr>
        <w:t xml:space="preserve">Martin Kusch </w:t>
      </w:r>
    </w:p>
    <w:p w:rsidR="00D051B7" w:rsidRPr="00D051B7" w:rsidRDefault="00D051B7" w:rsidP="00D051B7">
      <w:pPr>
        <w:spacing w:after="0" w:line="360" w:lineRule="auto"/>
        <w:ind w:right="567" w:firstLine="284"/>
        <w:jc w:val="center"/>
        <w:rPr>
          <w:i/>
          <w:lang w:val="en-US"/>
        </w:rPr>
      </w:pPr>
      <w:r w:rsidRPr="00D051B7">
        <w:rPr>
          <w:i/>
          <w:lang w:val="en-US"/>
        </w:rPr>
        <w:t>University of Vienna, Austria</w:t>
      </w:r>
    </w:p>
    <w:p w:rsidR="00D051B7" w:rsidRDefault="00D051B7" w:rsidP="00D051B7">
      <w:pPr>
        <w:pStyle w:val="FootnoteText"/>
        <w:spacing w:line="360" w:lineRule="auto"/>
        <w:ind w:left="708" w:right="386"/>
        <w:rPr>
          <w:rFonts w:asciiTheme="minorHAnsi" w:hAnsiTheme="minorHAnsi"/>
          <w:bCs/>
          <w:sz w:val="22"/>
          <w:szCs w:val="22"/>
          <w:lang w:val="en-US"/>
        </w:rPr>
      </w:pPr>
    </w:p>
    <w:p w:rsidR="00D051B7" w:rsidRPr="00A375E1" w:rsidRDefault="00D051B7" w:rsidP="00852EAF">
      <w:pPr>
        <w:pStyle w:val="FootnoteText"/>
        <w:spacing w:line="360" w:lineRule="auto"/>
        <w:ind w:right="386"/>
        <w:rPr>
          <w:rFonts w:asciiTheme="minorHAnsi" w:hAnsiTheme="minorHAnsi"/>
          <w:bCs/>
          <w:sz w:val="22"/>
          <w:szCs w:val="22"/>
          <w:lang w:val="en-US"/>
        </w:rPr>
      </w:pPr>
    </w:p>
    <w:p w:rsidR="0042405F" w:rsidRPr="00A375E1" w:rsidRDefault="0042405F" w:rsidP="00852EAF">
      <w:pPr>
        <w:spacing w:after="0" w:line="360" w:lineRule="auto"/>
        <w:ind w:right="567" w:firstLine="284"/>
        <w:rPr>
          <w:lang w:val="en-US"/>
        </w:rPr>
      </w:pPr>
    </w:p>
    <w:sectPr w:rsidR="0042405F" w:rsidRPr="00A375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5B0" w:rsidRDefault="00D705B0" w:rsidP="00CC3699">
      <w:pPr>
        <w:spacing w:after="0" w:line="240" w:lineRule="auto"/>
      </w:pPr>
      <w:r>
        <w:separator/>
      </w:r>
    </w:p>
  </w:endnote>
  <w:endnote w:type="continuationSeparator" w:id="0">
    <w:p w:rsidR="00D705B0" w:rsidRDefault="00D705B0" w:rsidP="00CC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5B0" w:rsidRDefault="00D705B0" w:rsidP="00CC3699">
      <w:pPr>
        <w:spacing w:after="0" w:line="240" w:lineRule="auto"/>
      </w:pPr>
      <w:r>
        <w:separator/>
      </w:r>
    </w:p>
  </w:footnote>
  <w:footnote w:type="continuationSeparator" w:id="0">
    <w:p w:rsidR="00D705B0" w:rsidRDefault="00D705B0" w:rsidP="00CC3699">
      <w:pPr>
        <w:spacing w:after="0" w:line="240" w:lineRule="auto"/>
      </w:pPr>
      <w:r>
        <w:continuationSeparator/>
      </w:r>
    </w:p>
  </w:footnote>
  <w:footnote w:id="1">
    <w:p w:rsidR="00BA5C07" w:rsidRPr="00BA5C07" w:rsidRDefault="00BA5C07">
      <w:pPr>
        <w:pStyle w:val="FootnoteText"/>
        <w:rPr>
          <w:rFonts w:asciiTheme="minorHAnsi" w:hAnsiTheme="minorHAnsi"/>
          <w:lang w:val="en-US"/>
        </w:rPr>
      </w:pPr>
      <w:r>
        <w:rPr>
          <w:rStyle w:val="FootnoteReference"/>
        </w:rPr>
        <w:footnoteRef/>
      </w:r>
      <w:r>
        <w:t xml:space="preserve"> </w:t>
      </w:r>
      <w:r w:rsidR="000C50A1">
        <w:rPr>
          <w:rFonts w:asciiTheme="minorHAnsi" w:hAnsiTheme="minorHAnsi"/>
          <w:lang w:val="en-US"/>
        </w:rPr>
        <w:t xml:space="preserve">For comments on a first draft or related discussions </w:t>
      </w:r>
      <w:r w:rsidRPr="00BA5C07">
        <w:rPr>
          <w:rFonts w:asciiTheme="minorHAnsi" w:hAnsiTheme="minorHAnsi"/>
          <w:lang w:val="en-US"/>
        </w:rPr>
        <w:t>I am</w:t>
      </w:r>
      <w:r>
        <w:rPr>
          <w:rFonts w:asciiTheme="minorHAnsi" w:hAnsiTheme="minorHAnsi"/>
          <w:lang w:val="en-US"/>
        </w:rPr>
        <w:t xml:space="preserve"> grateful to</w:t>
      </w:r>
      <w:r w:rsidR="000C50A1">
        <w:rPr>
          <w:rFonts w:asciiTheme="minorHAnsi" w:hAnsiTheme="minorHAnsi"/>
          <w:lang w:val="en-US"/>
        </w:rPr>
        <w:t xml:space="preserve"> Natalie Ashton, Robin McKenna, Duncan Pritchard, Maggie Rössler, and a referee for the journal</w:t>
      </w:r>
      <w:r>
        <w:rPr>
          <w:rFonts w:asciiTheme="minorHAnsi" w:hAnsiTheme="minorHAnsi"/>
          <w:lang w:val="en-US"/>
        </w:rPr>
        <w:t>.</w:t>
      </w:r>
      <w:r w:rsidR="000C50A1">
        <w:rPr>
          <w:rFonts w:asciiTheme="minorHAnsi" w:hAnsiTheme="minorHAnsi"/>
          <w:lang w:val="en-US"/>
        </w:rPr>
        <w:t xml:space="preserve"> </w:t>
      </w:r>
      <w:r w:rsidR="009E71D7">
        <w:rPr>
          <w:rFonts w:asciiTheme="minorHAnsi" w:hAnsiTheme="minorHAnsi"/>
          <w:lang w:val="en-US"/>
        </w:rPr>
        <w:t xml:space="preserve">Research on this review was supported by ERC Advanced Grant No. 339382 (‘The Emergence of Relativism’).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403E"/>
    <w:multiLevelType w:val="hybridMultilevel"/>
    <w:tmpl w:val="745C7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872DAC"/>
    <w:multiLevelType w:val="hybridMultilevel"/>
    <w:tmpl w:val="50506858"/>
    <w:lvl w:ilvl="0" w:tplc="0D2EDAE0">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7C04751"/>
    <w:multiLevelType w:val="hybridMultilevel"/>
    <w:tmpl w:val="745C7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B8A2B69"/>
    <w:multiLevelType w:val="hybridMultilevel"/>
    <w:tmpl w:val="7B2822EA"/>
    <w:lvl w:ilvl="0" w:tplc="E3F01F76">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D674129"/>
    <w:multiLevelType w:val="hybridMultilevel"/>
    <w:tmpl w:val="745C7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A27829"/>
    <w:multiLevelType w:val="hybridMultilevel"/>
    <w:tmpl w:val="E452CC36"/>
    <w:lvl w:ilvl="0" w:tplc="12EE7E26">
      <w:start w:val="239"/>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2526A0"/>
    <w:multiLevelType w:val="hybridMultilevel"/>
    <w:tmpl w:val="B802DD06"/>
    <w:lvl w:ilvl="0" w:tplc="721E58F8">
      <w:start w:val="239"/>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E32E0D"/>
    <w:multiLevelType w:val="hybridMultilevel"/>
    <w:tmpl w:val="0736F7AE"/>
    <w:lvl w:ilvl="0" w:tplc="ACB2B9F8">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8" w15:restartNumberingAfterBreak="0">
    <w:nsid w:val="48EA723B"/>
    <w:multiLevelType w:val="hybridMultilevel"/>
    <w:tmpl w:val="745C7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3CD6B63"/>
    <w:multiLevelType w:val="hybridMultilevel"/>
    <w:tmpl w:val="745C7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12"/>
    <w:rsid w:val="00015F31"/>
    <w:rsid w:val="0006563B"/>
    <w:rsid w:val="00075682"/>
    <w:rsid w:val="00091ED7"/>
    <w:rsid w:val="000B0033"/>
    <w:rsid w:val="000C50A1"/>
    <w:rsid w:val="000E41E9"/>
    <w:rsid w:val="00110D17"/>
    <w:rsid w:val="00110F67"/>
    <w:rsid w:val="00123412"/>
    <w:rsid w:val="001339D1"/>
    <w:rsid w:val="00191244"/>
    <w:rsid w:val="0019685B"/>
    <w:rsid w:val="001C5739"/>
    <w:rsid w:val="001F4AAC"/>
    <w:rsid w:val="002227F5"/>
    <w:rsid w:val="0024686D"/>
    <w:rsid w:val="00246FC1"/>
    <w:rsid w:val="002636E2"/>
    <w:rsid w:val="0027196E"/>
    <w:rsid w:val="0028630D"/>
    <w:rsid w:val="002C07E2"/>
    <w:rsid w:val="002E5A85"/>
    <w:rsid w:val="002F355B"/>
    <w:rsid w:val="002F64B3"/>
    <w:rsid w:val="00322CF0"/>
    <w:rsid w:val="0032687B"/>
    <w:rsid w:val="00362E7D"/>
    <w:rsid w:val="003862E8"/>
    <w:rsid w:val="003A32DC"/>
    <w:rsid w:val="003B6EE1"/>
    <w:rsid w:val="0042405F"/>
    <w:rsid w:val="004305AA"/>
    <w:rsid w:val="0043356D"/>
    <w:rsid w:val="00492AE9"/>
    <w:rsid w:val="004C3704"/>
    <w:rsid w:val="004E7EE5"/>
    <w:rsid w:val="0050155D"/>
    <w:rsid w:val="00524AD3"/>
    <w:rsid w:val="00554818"/>
    <w:rsid w:val="0055693E"/>
    <w:rsid w:val="005809F9"/>
    <w:rsid w:val="005811C5"/>
    <w:rsid w:val="00593E1F"/>
    <w:rsid w:val="00597587"/>
    <w:rsid w:val="005B0D94"/>
    <w:rsid w:val="005C7B29"/>
    <w:rsid w:val="005E30B6"/>
    <w:rsid w:val="005F7158"/>
    <w:rsid w:val="006629D7"/>
    <w:rsid w:val="00665753"/>
    <w:rsid w:val="00690179"/>
    <w:rsid w:val="006C1376"/>
    <w:rsid w:val="006C247F"/>
    <w:rsid w:val="006D0B65"/>
    <w:rsid w:val="00702F3F"/>
    <w:rsid w:val="00753DD0"/>
    <w:rsid w:val="00763D2B"/>
    <w:rsid w:val="00777F87"/>
    <w:rsid w:val="007A7A62"/>
    <w:rsid w:val="007D29DE"/>
    <w:rsid w:val="007D5220"/>
    <w:rsid w:val="008264E1"/>
    <w:rsid w:val="00852EAF"/>
    <w:rsid w:val="008F09D3"/>
    <w:rsid w:val="008F0DDD"/>
    <w:rsid w:val="008F798C"/>
    <w:rsid w:val="00901DAC"/>
    <w:rsid w:val="00914F54"/>
    <w:rsid w:val="00932E57"/>
    <w:rsid w:val="00933B1E"/>
    <w:rsid w:val="0095353B"/>
    <w:rsid w:val="00957F42"/>
    <w:rsid w:val="0096576A"/>
    <w:rsid w:val="00981941"/>
    <w:rsid w:val="00994562"/>
    <w:rsid w:val="009C3A9A"/>
    <w:rsid w:val="009D124A"/>
    <w:rsid w:val="009E71D7"/>
    <w:rsid w:val="00A244E9"/>
    <w:rsid w:val="00A375E1"/>
    <w:rsid w:val="00A61567"/>
    <w:rsid w:val="00A803BE"/>
    <w:rsid w:val="00A80DB7"/>
    <w:rsid w:val="00A849A9"/>
    <w:rsid w:val="00A9034D"/>
    <w:rsid w:val="00A967D9"/>
    <w:rsid w:val="00AD59C2"/>
    <w:rsid w:val="00AD6F94"/>
    <w:rsid w:val="00AE622E"/>
    <w:rsid w:val="00B264AF"/>
    <w:rsid w:val="00B321EE"/>
    <w:rsid w:val="00B37E7B"/>
    <w:rsid w:val="00B41483"/>
    <w:rsid w:val="00B73A00"/>
    <w:rsid w:val="00B92837"/>
    <w:rsid w:val="00BA5C07"/>
    <w:rsid w:val="00BB1621"/>
    <w:rsid w:val="00BB4DE0"/>
    <w:rsid w:val="00BD44CB"/>
    <w:rsid w:val="00BD6A82"/>
    <w:rsid w:val="00C2337C"/>
    <w:rsid w:val="00C37619"/>
    <w:rsid w:val="00C77013"/>
    <w:rsid w:val="00C85E8D"/>
    <w:rsid w:val="00C97C56"/>
    <w:rsid w:val="00CB77CB"/>
    <w:rsid w:val="00CC3699"/>
    <w:rsid w:val="00D051B7"/>
    <w:rsid w:val="00D0745F"/>
    <w:rsid w:val="00D22CEF"/>
    <w:rsid w:val="00D43514"/>
    <w:rsid w:val="00D57DCC"/>
    <w:rsid w:val="00D6372B"/>
    <w:rsid w:val="00D705B0"/>
    <w:rsid w:val="00DD0BD7"/>
    <w:rsid w:val="00DD1D32"/>
    <w:rsid w:val="00DD350B"/>
    <w:rsid w:val="00E34CC6"/>
    <w:rsid w:val="00E375F4"/>
    <w:rsid w:val="00E60E7E"/>
    <w:rsid w:val="00E80725"/>
    <w:rsid w:val="00E86C30"/>
    <w:rsid w:val="00ED0F12"/>
    <w:rsid w:val="00ED3B51"/>
    <w:rsid w:val="00EF11B7"/>
    <w:rsid w:val="00F00AFC"/>
    <w:rsid w:val="00F052D6"/>
    <w:rsid w:val="00F45DDF"/>
    <w:rsid w:val="00F677DF"/>
    <w:rsid w:val="00F7621C"/>
    <w:rsid w:val="00F86877"/>
    <w:rsid w:val="00FC34BE"/>
    <w:rsid w:val="00FD19B6"/>
    <w:rsid w:val="00FE3170"/>
    <w:rsid w:val="00FF32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8094B-7F7A-4621-AC53-5344D18D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19"/>
    <w:pPr>
      <w:ind w:left="720"/>
      <w:contextualSpacing/>
    </w:pPr>
  </w:style>
  <w:style w:type="character" w:customStyle="1" w:styleId="st">
    <w:name w:val="st"/>
    <w:basedOn w:val="DefaultParagraphFont"/>
    <w:rsid w:val="005B0D94"/>
  </w:style>
  <w:style w:type="paragraph" w:styleId="FootnoteText">
    <w:name w:val="footnote text"/>
    <w:basedOn w:val="Normal"/>
    <w:link w:val="FootnoteTextChar"/>
    <w:semiHidden/>
    <w:rsid w:val="0042405F"/>
    <w:pPr>
      <w:spacing w:after="0" w:line="240" w:lineRule="auto"/>
    </w:pPr>
    <w:rPr>
      <w:rFonts w:ascii="Cambria" w:eastAsia="Times New Roman" w:hAnsi="Cambria" w:cs="Times New Roman"/>
      <w:sz w:val="20"/>
      <w:szCs w:val="20"/>
      <w:lang w:val="en-GB" w:eastAsia="en-GB"/>
    </w:rPr>
  </w:style>
  <w:style w:type="character" w:customStyle="1" w:styleId="FootnoteTextChar">
    <w:name w:val="Footnote Text Char"/>
    <w:basedOn w:val="DefaultParagraphFont"/>
    <w:link w:val="FootnoteText"/>
    <w:semiHidden/>
    <w:rsid w:val="0042405F"/>
    <w:rPr>
      <w:rFonts w:ascii="Cambria" w:eastAsia="Times New Roman" w:hAnsi="Cambria" w:cs="Times New Roman"/>
      <w:sz w:val="20"/>
      <w:szCs w:val="20"/>
      <w:lang w:val="en-GB" w:eastAsia="en-GB"/>
    </w:rPr>
  </w:style>
  <w:style w:type="paragraph" w:styleId="NormalWeb">
    <w:name w:val="Normal (Web)"/>
    <w:basedOn w:val="Normal"/>
    <w:uiPriority w:val="99"/>
    <w:semiHidden/>
    <w:unhideWhenUsed/>
    <w:rsid w:val="00FD19B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ootnoteReference">
    <w:name w:val="footnote reference"/>
    <w:basedOn w:val="DefaultParagraphFont"/>
    <w:uiPriority w:val="99"/>
    <w:semiHidden/>
    <w:unhideWhenUsed/>
    <w:rsid w:val="00CC3699"/>
    <w:rPr>
      <w:vertAlign w:val="superscript"/>
    </w:rPr>
  </w:style>
  <w:style w:type="character" w:styleId="Emphasis">
    <w:name w:val="Emphasis"/>
    <w:basedOn w:val="DefaultParagraphFont"/>
    <w:uiPriority w:val="20"/>
    <w:qFormat/>
    <w:rsid w:val="000B0033"/>
    <w:rPr>
      <w:i/>
      <w:iCs/>
    </w:rPr>
  </w:style>
  <w:style w:type="paragraph" w:styleId="EndnoteText">
    <w:name w:val="endnote text"/>
    <w:basedOn w:val="Normal"/>
    <w:link w:val="EndnoteTextChar"/>
    <w:uiPriority w:val="99"/>
    <w:semiHidden/>
    <w:unhideWhenUsed/>
    <w:rsid w:val="00BA5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C07"/>
    <w:rPr>
      <w:sz w:val="20"/>
      <w:szCs w:val="20"/>
    </w:rPr>
  </w:style>
  <w:style w:type="character" w:styleId="EndnoteReference">
    <w:name w:val="endnote reference"/>
    <w:basedOn w:val="DefaultParagraphFont"/>
    <w:uiPriority w:val="99"/>
    <w:semiHidden/>
    <w:unhideWhenUsed/>
    <w:rsid w:val="00BA5C07"/>
    <w:rPr>
      <w:vertAlign w:val="superscript"/>
    </w:rPr>
  </w:style>
  <w:style w:type="paragraph" w:styleId="BalloonText">
    <w:name w:val="Balloon Text"/>
    <w:basedOn w:val="Normal"/>
    <w:link w:val="BalloonTextChar"/>
    <w:uiPriority w:val="99"/>
    <w:semiHidden/>
    <w:unhideWhenUsed/>
    <w:rsid w:val="0028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0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994D-9CA7-2D4B-9DCD-F2D05DE9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3924</Words>
  <Characters>22367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Kusch</dc:creator>
  <cp:keywords/>
  <dc:description/>
  <cp:lastModifiedBy>Microsoft Office User</cp:lastModifiedBy>
  <cp:revision>2</cp:revision>
  <cp:lastPrinted>2017-02-25T10:13:00Z</cp:lastPrinted>
  <dcterms:created xsi:type="dcterms:W3CDTF">2019-09-05T09:37:00Z</dcterms:created>
  <dcterms:modified xsi:type="dcterms:W3CDTF">2019-09-05T09:37:00Z</dcterms:modified>
</cp:coreProperties>
</file>