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9FB714" w14:textId="003ECD94" w:rsidR="00C4751C" w:rsidRPr="00C4751C" w:rsidRDefault="00A858B3" w:rsidP="00C4751C">
      <w:pPr>
        <w:rPr>
          <w:sz w:val="20"/>
          <w:szCs w:val="20"/>
        </w:rPr>
      </w:pPr>
      <w:r>
        <w:rPr>
          <w:sz w:val="20"/>
          <w:szCs w:val="20"/>
        </w:rPr>
        <w:t>A final version of this paper entitled “Philosophical Foundations of Judicial Review” is f</w:t>
      </w:r>
      <w:r w:rsidR="00C4751C" w:rsidRPr="00C4751C">
        <w:rPr>
          <w:sz w:val="20"/>
          <w:szCs w:val="20"/>
        </w:rPr>
        <w:t>orthcoming in D. Dyzenhaus</w:t>
      </w:r>
      <w:r w:rsidR="00C4751C">
        <w:rPr>
          <w:sz w:val="20"/>
          <w:szCs w:val="20"/>
        </w:rPr>
        <w:t xml:space="preserve"> and M. Thorburn</w:t>
      </w:r>
      <w:r w:rsidR="00C4751C" w:rsidRPr="00C4751C">
        <w:rPr>
          <w:sz w:val="20"/>
          <w:szCs w:val="20"/>
        </w:rPr>
        <w:t xml:space="preserve">, ed., </w:t>
      </w:r>
      <w:r w:rsidR="00C4751C" w:rsidRPr="00C4751C">
        <w:rPr>
          <w:i/>
          <w:sz w:val="20"/>
          <w:szCs w:val="20"/>
        </w:rPr>
        <w:t>Philosophical Foundations of Constitutional Law</w:t>
      </w:r>
      <w:r w:rsidR="00C4751C" w:rsidRPr="00C4751C">
        <w:rPr>
          <w:sz w:val="20"/>
          <w:szCs w:val="20"/>
        </w:rPr>
        <w:t>, Oxford University Press</w:t>
      </w:r>
      <w:r w:rsidR="002D797C">
        <w:rPr>
          <w:sz w:val="20"/>
          <w:szCs w:val="20"/>
        </w:rPr>
        <w:t>, 2016</w:t>
      </w:r>
      <w:r w:rsidR="00C4751C" w:rsidRPr="00C4751C">
        <w:rPr>
          <w:sz w:val="20"/>
          <w:szCs w:val="20"/>
        </w:rPr>
        <w:t>.</w:t>
      </w:r>
      <w:r>
        <w:rPr>
          <w:sz w:val="20"/>
          <w:szCs w:val="20"/>
        </w:rPr>
        <w:t xml:space="preserve"> Please cite the published version.</w:t>
      </w:r>
    </w:p>
    <w:p w14:paraId="0C3F58D4" w14:textId="77777777" w:rsidR="00C4751C" w:rsidRDefault="00C4751C" w:rsidP="00CF00BF">
      <w:pPr>
        <w:spacing w:line="360" w:lineRule="auto"/>
        <w:jc w:val="center"/>
        <w:rPr>
          <w:b/>
        </w:rPr>
      </w:pPr>
    </w:p>
    <w:p w14:paraId="22AB052B" w14:textId="77777777" w:rsidR="00C4751C" w:rsidRDefault="00C4751C" w:rsidP="00CF00BF">
      <w:pPr>
        <w:spacing w:line="360" w:lineRule="auto"/>
        <w:jc w:val="center"/>
        <w:rPr>
          <w:b/>
        </w:rPr>
      </w:pPr>
    </w:p>
    <w:p w14:paraId="45B8FF48" w14:textId="6D8740BB" w:rsidR="007D0484" w:rsidRPr="00CE2FB6" w:rsidRDefault="00A858B3" w:rsidP="00CF00BF">
      <w:pPr>
        <w:spacing w:line="360" w:lineRule="auto"/>
        <w:jc w:val="center"/>
        <w:rPr>
          <w:b/>
        </w:rPr>
      </w:pPr>
      <w:r>
        <w:rPr>
          <w:b/>
        </w:rPr>
        <w:t>The Democratic Case for Judicial Review</w:t>
      </w:r>
    </w:p>
    <w:p w14:paraId="5499287D" w14:textId="2012F2F1" w:rsidR="00CE2FB6" w:rsidRDefault="00CE2FB6" w:rsidP="00CF00BF">
      <w:pPr>
        <w:spacing w:line="360" w:lineRule="auto"/>
        <w:jc w:val="center"/>
      </w:pPr>
      <w:r>
        <w:t>Cristina Lafont</w:t>
      </w:r>
      <w:r w:rsidR="00AC5A23">
        <w:rPr>
          <w:rStyle w:val="FootnoteReference"/>
        </w:rPr>
        <w:footnoteReference w:customMarkFollows="1" w:id="1"/>
        <w:t>*</w:t>
      </w:r>
    </w:p>
    <w:p w14:paraId="748215AE" w14:textId="77777777" w:rsidR="00E250CC" w:rsidRDefault="00E250CC" w:rsidP="00B84418">
      <w:pPr>
        <w:spacing w:line="360" w:lineRule="auto"/>
        <w:jc w:val="both"/>
        <w:rPr>
          <w:i/>
        </w:rPr>
      </w:pPr>
    </w:p>
    <w:p w14:paraId="15F21379" w14:textId="77777777" w:rsidR="00C4751C" w:rsidRPr="00C4751C" w:rsidRDefault="00C4751C" w:rsidP="00B84418">
      <w:pPr>
        <w:spacing w:line="360" w:lineRule="auto"/>
        <w:jc w:val="both"/>
      </w:pPr>
    </w:p>
    <w:p w14:paraId="7FFB49BD" w14:textId="128B56AD" w:rsidR="00CF00BF" w:rsidRPr="00CF00BF" w:rsidRDefault="00CF00BF" w:rsidP="00B84418">
      <w:pPr>
        <w:spacing w:line="360" w:lineRule="auto"/>
        <w:jc w:val="both"/>
        <w:rPr>
          <w:i/>
        </w:rPr>
      </w:pPr>
      <w:r w:rsidRPr="00CF00BF">
        <w:rPr>
          <w:i/>
        </w:rPr>
        <w:t>Introduction</w:t>
      </w:r>
    </w:p>
    <w:p w14:paraId="0688D81C" w14:textId="77777777" w:rsidR="00CF00BF" w:rsidRDefault="00CF00BF" w:rsidP="00CE2FB6">
      <w:pPr>
        <w:spacing w:line="360" w:lineRule="auto"/>
        <w:jc w:val="both"/>
      </w:pPr>
    </w:p>
    <w:p w14:paraId="079880A9" w14:textId="301B743B" w:rsidR="007139D2" w:rsidRDefault="00C01B2E" w:rsidP="00CE2FB6">
      <w:pPr>
        <w:spacing w:line="360" w:lineRule="auto"/>
        <w:jc w:val="both"/>
      </w:pPr>
      <w:r>
        <w:t>Most philosophical debates concerning judicial review</w:t>
      </w:r>
      <w:r w:rsidR="000A09DB">
        <w:t xml:space="preserve"> </w:t>
      </w:r>
      <w:r w:rsidR="002F0ABF">
        <w:t>stem</w:t>
      </w:r>
      <w:r>
        <w:t xml:space="preserve"> from the problem of indeterminacy</w:t>
      </w:r>
      <w:r w:rsidR="00824D87">
        <w:t>—</w:t>
      </w:r>
      <w:r w:rsidR="005B6196">
        <w:t>and</w:t>
      </w:r>
      <w:r w:rsidR="00824D87">
        <w:t xml:space="preserve"> </w:t>
      </w:r>
      <w:r w:rsidR="005B6196">
        <w:t xml:space="preserve">the disagreements </w:t>
      </w:r>
      <w:r w:rsidR="00824D87">
        <w:t xml:space="preserve">it </w:t>
      </w:r>
      <w:r w:rsidR="00601843">
        <w:t>generates</w:t>
      </w:r>
      <w:r w:rsidR="002F0ABF">
        <w:t xml:space="preserve">. </w:t>
      </w:r>
      <w:r w:rsidR="005B6CA9">
        <w:t>Even written c</w:t>
      </w:r>
      <w:r w:rsidR="002F0ABF">
        <w:t>onstitutions</w:t>
      </w:r>
      <w:r w:rsidR="00E916A8">
        <w:t xml:space="preserve"> contain</w:t>
      </w:r>
      <w:r w:rsidR="002F0ABF">
        <w:t xml:space="preserve"> </w:t>
      </w:r>
      <w:r w:rsidR="00F427D3">
        <w:t>abstract and</w:t>
      </w:r>
      <w:r>
        <w:t xml:space="preserve"> open-textured</w:t>
      </w:r>
      <w:r w:rsidR="002F0ABF">
        <w:t xml:space="preserve"> provisions that require</w:t>
      </w:r>
      <w:r>
        <w:t xml:space="preserve"> fu</w:t>
      </w:r>
      <w:r w:rsidR="00F337DF">
        <w:t xml:space="preserve">rther specification </w:t>
      </w:r>
      <w:r w:rsidR="002F0ABF">
        <w:t xml:space="preserve">when </w:t>
      </w:r>
      <w:r w:rsidR="003351B1">
        <w:t>applied to specific cases</w:t>
      </w:r>
      <w:r w:rsidR="00F337DF">
        <w:t xml:space="preserve"> </w:t>
      </w:r>
      <w:r>
        <w:t>and in</w:t>
      </w:r>
      <w:r w:rsidR="002F0ABF">
        <w:t xml:space="preserve"> the face of</w:t>
      </w:r>
      <w:r>
        <w:t xml:space="preserve"> societal changes. The inherent indeterminacy of many constitutional provisions makes </w:t>
      </w:r>
      <w:r w:rsidRPr="000964AB">
        <w:rPr>
          <w:i/>
        </w:rPr>
        <w:t>constitutional review both unavoidable and problematic</w:t>
      </w:r>
      <w:r>
        <w:t xml:space="preserve">. </w:t>
      </w:r>
      <w:r w:rsidR="00197F51">
        <w:t xml:space="preserve">In </w:t>
      </w:r>
      <w:r w:rsidR="002F0ABF">
        <w:t>a democratic society the practice of const</w:t>
      </w:r>
      <w:r w:rsidR="00197F51">
        <w:t xml:space="preserve">itutional review </w:t>
      </w:r>
      <w:r>
        <w:t>raises question</w:t>
      </w:r>
      <w:r w:rsidR="002F0ABF">
        <w:t xml:space="preserve">s about </w:t>
      </w:r>
      <w:r>
        <w:t>wh</w:t>
      </w:r>
      <w:r w:rsidR="009868D2">
        <w:t>o should</w:t>
      </w:r>
      <w:r w:rsidR="00D47D5F">
        <w:t xml:space="preserve"> </w:t>
      </w:r>
      <w:r w:rsidR="002F0ABF">
        <w:t>conduct s</w:t>
      </w:r>
      <w:r w:rsidR="00D47D5F">
        <w:t>u</w:t>
      </w:r>
      <w:r>
        <w:t>ch</w:t>
      </w:r>
      <w:r w:rsidR="00D47D5F">
        <w:t xml:space="preserve"> a</w:t>
      </w:r>
      <w:r>
        <w:t xml:space="preserve"> review while </w:t>
      </w:r>
      <w:r w:rsidR="002F0ABF">
        <w:t xml:space="preserve">also tacitly </w:t>
      </w:r>
      <w:r>
        <w:t xml:space="preserve">acknowledging the difficulty </w:t>
      </w:r>
      <w:r w:rsidR="002F0ABF">
        <w:t>of</w:t>
      </w:r>
      <w:r>
        <w:t xml:space="preserve"> justifying </w:t>
      </w:r>
      <w:r w:rsidR="002F0ABF">
        <w:t>any such delegation by bestowing</w:t>
      </w:r>
      <w:r w:rsidR="001E4F65">
        <w:t xml:space="preserve"> final authority</w:t>
      </w:r>
      <w:r>
        <w:t xml:space="preserve"> </w:t>
      </w:r>
      <w:r w:rsidR="002F0ABF">
        <w:t>upon</w:t>
      </w:r>
      <w:r>
        <w:t xml:space="preserve"> </w:t>
      </w:r>
      <w:r w:rsidR="00197F51">
        <w:t>a</w:t>
      </w:r>
      <w:r w:rsidR="0019488E">
        <w:t xml:space="preserve"> specific</w:t>
      </w:r>
      <w:r w:rsidR="00C37E78">
        <w:t xml:space="preserve"> actor or institution</w:t>
      </w:r>
      <w:r w:rsidR="0019488E">
        <w:t xml:space="preserve"> at the expense of others</w:t>
      </w:r>
      <w:r w:rsidR="00197F51">
        <w:t>. P</w:t>
      </w:r>
      <w:r w:rsidR="00C37E78">
        <w:t xml:space="preserve">hilosophical debates </w:t>
      </w:r>
      <w:r w:rsidR="00197F51">
        <w:t>on judicial review therefore can</w:t>
      </w:r>
      <w:r w:rsidR="002F0ABF">
        <w:t>not</w:t>
      </w:r>
      <w:r w:rsidR="00197F51">
        <w:t xml:space="preserve"> simply</w:t>
      </w:r>
      <w:r w:rsidR="002F0ABF">
        <w:t xml:space="preserve"> focus up</w:t>
      </w:r>
      <w:r w:rsidR="00C37E78">
        <w:t xml:space="preserve">on narrow </w:t>
      </w:r>
      <w:r w:rsidR="00A94AB4">
        <w:t xml:space="preserve">issues of jurisprudential </w:t>
      </w:r>
      <w:r w:rsidR="00C37E78">
        <w:t>methodolog</w:t>
      </w:r>
      <w:r w:rsidR="00A94AB4">
        <w:t>y (e.g.</w:t>
      </w:r>
      <w:r w:rsidR="002D4C24">
        <w:t xml:space="preserve"> the </w:t>
      </w:r>
      <w:r w:rsidR="002F0ABF">
        <w:t>correct</w:t>
      </w:r>
      <w:r w:rsidR="002D4C24">
        <w:t xml:space="preserve"> </w:t>
      </w:r>
      <w:r w:rsidR="00E2549B">
        <w:t xml:space="preserve">theory of </w:t>
      </w:r>
      <w:r w:rsidR="00040342">
        <w:t>constitutional</w:t>
      </w:r>
      <w:r w:rsidR="00B678A8">
        <w:t xml:space="preserve"> interpretation</w:t>
      </w:r>
      <w:r w:rsidR="00A94AB4">
        <w:t>)</w:t>
      </w:r>
      <w:r w:rsidR="00197F51">
        <w:t>. Instead they must</w:t>
      </w:r>
      <w:r w:rsidR="00C37E78">
        <w:t xml:space="preserve"> address </w:t>
      </w:r>
      <w:r w:rsidR="00444316">
        <w:t>two more fundamental</w:t>
      </w:r>
      <w:r w:rsidR="00C37E78">
        <w:t xml:space="preserve"> question</w:t>
      </w:r>
      <w:r w:rsidR="005A5B43">
        <w:t>s</w:t>
      </w:r>
      <w:r w:rsidR="002F0ABF">
        <w:t>. F</w:t>
      </w:r>
      <w:r w:rsidR="005A5B43">
        <w:t>irst, what is th</w:t>
      </w:r>
      <w:r w:rsidR="00C37E78">
        <w:t>e proper understanding of constitutional review</w:t>
      </w:r>
      <w:r w:rsidR="002F0ABF">
        <w:t>?</w:t>
      </w:r>
      <w:r w:rsidR="005A5B43">
        <w:t xml:space="preserve"> </w:t>
      </w:r>
      <w:r w:rsidR="000964AB">
        <w:t>Here the main issue is how to reconcile constitutionalism</w:t>
      </w:r>
      <w:r w:rsidR="009A727E">
        <w:t xml:space="preserve"> with the democratic ideal of self-government</w:t>
      </w:r>
      <w:r w:rsidR="000964AB">
        <w:t>. Answers to this question vary</w:t>
      </w:r>
      <w:r w:rsidR="009868D2">
        <w:t xml:space="preserve"> widely</w:t>
      </w:r>
      <w:r w:rsidR="000964AB">
        <w:t xml:space="preserve"> depending on </w:t>
      </w:r>
      <w:r w:rsidR="002F0ABF">
        <w:t>one’s conception</w:t>
      </w:r>
      <w:r w:rsidR="000964AB">
        <w:t xml:space="preserve"> of democrac</w:t>
      </w:r>
      <w:r w:rsidR="002F0ABF">
        <w:t>y</w:t>
      </w:r>
      <w:r w:rsidR="000964AB">
        <w:t>.</w:t>
      </w:r>
      <w:r w:rsidR="00DB1B4D">
        <w:rPr>
          <w:rStyle w:val="FootnoteReference"/>
        </w:rPr>
        <w:footnoteReference w:id="2"/>
      </w:r>
      <w:r w:rsidR="000964AB">
        <w:t xml:space="preserve"> </w:t>
      </w:r>
      <w:r w:rsidR="00444316">
        <w:t xml:space="preserve">This variation </w:t>
      </w:r>
      <w:r w:rsidR="0083400B">
        <w:t>give</w:t>
      </w:r>
      <w:r w:rsidR="00444316">
        <w:t>s</w:t>
      </w:r>
      <w:r w:rsidR="0083400B">
        <w:t xml:space="preserve"> rise to</w:t>
      </w:r>
      <w:r w:rsidR="002F0ABF">
        <w:t xml:space="preserve"> sharply </w:t>
      </w:r>
      <w:r w:rsidR="0083400B">
        <w:t>different answers to the second</w:t>
      </w:r>
      <w:r w:rsidR="002F0ABF">
        <w:t xml:space="preserve"> fundamental</w:t>
      </w:r>
      <w:r w:rsidR="003663B0">
        <w:t xml:space="preserve"> question</w:t>
      </w:r>
      <w:r w:rsidR="0083400B">
        <w:t>, namely,</w:t>
      </w:r>
      <w:r w:rsidR="003663B0">
        <w:t xml:space="preserve"> </w:t>
      </w:r>
      <w:r w:rsidR="00444316">
        <w:t>whether</w:t>
      </w:r>
      <w:r w:rsidR="009868D2">
        <w:t xml:space="preserve"> it is legitimate</w:t>
      </w:r>
      <w:r w:rsidR="005A5B43">
        <w:t xml:space="preserve"> to delegate th</w:t>
      </w:r>
      <w:r w:rsidR="00E916A8">
        <w:t>e</w:t>
      </w:r>
      <w:r w:rsidR="005A5B43">
        <w:t xml:space="preserve"> task</w:t>
      </w:r>
      <w:r w:rsidR="000964AB">
        <w:t xml:space="preserve"> of constitutional </w:t>
      </w:r>
      <w:r w:rsidR="000964AB">
        <w:lastRenderedPageBreak/>
        <w:t>review</w:t>
      </w:r>
      <w:r w:rsidR="005A5B43">
        <w:t xml:space="preserve"> to the judicial branch of government</w:t>
      </w:r>
      <w:r w:rsidR="00F337DF">
        <w:t xml:space="preserve"> in particular</w:t>
      </w:r>
      <w:r w:rsidR="005A5B43">
        <w:t>, i.e. to the courts.</w:t>
      </w:r>
      <w:r w:rsidR="000964AB">
        <w:t xml:space="preserve"> Here the main divide is between those who question the legitimacy of judicial review (</w:t>
      </w:r>
      <w:r w:rsidR="002F01B4">
        <w:t xml:space="preserve">e.g. </w:t>
      </w:r>
      <w:r w:rsidR="000964AB">
        <w:t>Waldron,</w:t>
      </w:r>
      <w:r w:rsidR="007139D2">
        <w:t xml:space="preserve"> </w:t>
      </w:r>
      <w:r w:rsidR="0004131E">
        <w:t xml:space="preserve">Kramer, </w:t>
      </w:r>
      <w:r w:rsidR="003D0548">
        <w:t xml:space="preserve">Bellamy, </w:t>
      </w:r>
      <w:r w:rsidR="00E916A8">
        <w:t>Tushnet</w:t>
      </w:r>
      <w:r w:rsidR="000964AB">
        <w:t>)</w:t>
      </w:r>
      <w:r w:rsidR="00DB1B4D">
        <w:rPr>
          <w:rStyle w:val="FootnoteReference"/>
        </w:rPr>
        <w:footnoteReference w:id="3"/>
      </w:r>
      <w:r w:rsidR="000964AB">
        <w:t xml:space="preserve"> and those who </w:t>
      </w:r>
      <w:r w:rsidR="00D47D5F">
        <w:t>endorse</w:t>
      </w:r>
      <w:r w:rsidR="000964AB">
        <w:t xml:space="preserve"> it (</w:t>
      </w:r>
      <w:r w:rsidR="002F01B4">
        <w:t xml:space="preserve">e.g. </w:t>
      </w:r>
      <w:r w:rsidR="007139D2">
        <w:t>Ely, Dworkin,</w:t>
      </w:r>
      <w:r w:rsidR="003D0548">
        <w:t xml:space="preserve"> </w:t>
      </w:r>
      <w:r w:rsidR="00EB2EE5">
        <w:t xml:space="preserve">Eisgruber, </w:t>
      </w:r>
      <w:r w:rsidR="007139D2">
        <w:t>Ra</w:t>
      </w:r>
      <w:r w:rsidR="000964AB">
        <w:t>w</w:t>
      </w:r>
      <w:r w:rsidR="007139D2">
        <w:t>l</w:t>
      </w:r>
      <w:r w:rsidR="000964AB">
        <w:t>s, Habermas,</w:t>
      </w:r>
      <w:r w:rsidR="002D4C24">
        <w:t xml:space="preserve"> </w:t>
      </w:r>
      <w:r w:rsidR="00EB2EE5">
        <w:t>Sunstein</w:t>
      </w:r>
      <w:r w:rsidR="007139D2">
        <w:t>)</w:t>
      </w:r>
      <w:r w:rsidR="003663B0">
        <w:t>.</w:t>
      </w:r>
      <w:r w:rsidR="009F6605">
        <w:rPr>
          <w:rStyle w:val="FootnoteReference"/>
        </w:rPr>
        <w:footnoteReference w:id="4"/>
      </w:r>
      <w:r w:rsidR="003663B0">
        <w:t xml:space="preserve"> </w:t>
      </w:r>
      <w:r w:rsidR="00D47D5F">
        <w:t>However, w</w:t>
      </w:r>
      <w:r w:rsidR="003663B0">
        <w:t xml:space="preserve">ithin both camps </w:t>
      </w:r>
      <w:r w:rsidR="000964AB">
        <w:t>there are</w:t>
      </w:r>
      <w:r w:rsidR="00D47D5F">
        <w:t xml:space="preserve"> also important</w:t>
      </w:r>
      <w:r w:rsidR="000964AB">
        <w:t xml:space="preserve"> differences</w:t>
      </w:r>
      <w:r w:rsidR="00D47D5F">
        <w:t xml:space="preserve"> among</w:t>
      </w:r>
      <w:r w:rsidR="000964AB">
        <w:t xml:space="preserve"> the positive proposals that </w:t>
      </w:r>
      <w:r w:rsidR="00D47D5F">
        <w:t xml:space="preserve">each author </w:t>
      </w:r>
      <w:r w:rsidR="002A020B">
        <w:t>make</w:t>
      </w:r>
      <w:r w:rsidR="00D47D5F">
        <w:t>s</w:t>
      </w:r>
      <w:r w:rsidR="002A020B">
        <w:t xml:space="preserve"> regarding the specific</w:t>
      </w:r>
      <w:r w:rsidR="000964AB">
        <w:t xml:space="preserve"> form </w:t>
      </w:r>
      <w:r w:rsidR="002A020B">
        <w:t xml:space="preserve">that </w:t>
      </w:r>
      <w:r w:rsidR="000964AB">
        <w:t>constitutional review should take in order to be legitimate</w:t>
      </w:r>
      <w:r w:rsidR="007139D2">
        <w:t>.</w:t>
      </w:r>
    </w:p>
    <w:p w14:paraId="008C76D7" w14:textId="6745154A" w:rsidR="009B5333" w:rsidRDefault="003663B0" w:rsidP="00CE2FB6">
      <w:pPr>
        <w:spacing w:line="360" w:lineRule="auto"/>
        <w:ind w:firstLine="720"/>
        <w:jc w:val="both"/>
      </w:pPr>
      <w:r>
        <w:t xml:space="preserve">In spite of </w:t>
      </w:r>
      <w:r w:rsidR="00F90DF0">
        <w:t>such disagreement</w:t>
      </w:r>
      <w:r w:rsidR="00DE24F5">
        <w:t xml:space="preserve"> most</w:t>
      </w:r>
      <w:r w:rsidR="009B5333">
        <w:t xml:space="preserve"> </w:t>
      </w:r>
      <w:r w:rsidR="00CA4FB7">
        <w:t>critics</w:t>
      </w:r>
      <w:r w:rsidR="00F111AD">
        <w:t xml:space="preserve"> of the legitimacy of judicial review</w:t>
      </w:r>
      <w:r w:rsidR="00DE24F5">
        <w:t xml:space="preserve"> and even</w:t>
      </w:r>
      <w:r w:rsidR="00E916A8">
        <w:t xml:space="preserve"> many</w:t>
      </w:r>
      <w:r w:rsidR="00F111AD">
        <w:t xml:space="preserve"> of its</w:t>
      </w:r>
      <w:r w:rsidR="009B5333">
        <w:t xml:space="preserve"> defenders agree that</w:t>
      </w:r>
      <w:r w:rsidR="00FC736B">
        <w:t xml:space="preserve"> it is an</w:t>
      </w:r>
      <w:r w:rsidR="004D0430">
        <w:t xml:space="preserve"> un</w:t>
      </w:r>
      <w:r w:rsidR="002A020B">
        <w:t>democratic</w:t>
      </w:r>
      <w:r w:rsidR="00FC736B">
        <w:t xml:space="preserve"> practice</w:t>
      </w:r>
      <w:r w:rsidR="00DE24F5">
        <w:t>. T</w:t>
      </w:r>
      <w:r w:rsidR="009B5333">
        <w:t xml:space="preserve">hey </w:t>
      </w:r>
      <w:r w:rsidR="0075043F">
        <w:t>see judicial review</w:t>
      </w:r>
      <w:r w:rsidR="007139D2">
        <w:t xml:space="preserve"> as</w:t>
      </w:r>
      <w:r w:rsidR="00A94AB4">
        <w:t xml:space="preserve"> the result of</w:t>
      </w:r>
      <w:r>
        <w:t xml:space="preserve"> a</w:t>
      </w:r>
      <w:r w:rsidR="007139D2">
        <w:t xml:space="preserve"> compromise between two</w:t>
      </w:r>
      <w:r>
        <w:t xml:space="preserve"> potentially</w:t>
      </w:r>
      <w:r w:rsidR="007139D2">
        <w:t xml:space="preserve"> incompatible</w:t>
      </w:r>
      <w:r w:rsidR="00A23CF8">
        <w:t xml:space="preserve"> normative</w:t>
      </w:r>
      <w:r w:rsidR="007139D2">
        <w:t xml:space="preserve"> goals</w:t>
      </w:r>
      <w:r w:rsidR="00DE24F5">
        <w:t>: protection of minority</w:t>
      </w:r>
      <w:r w:rsidR="007139D2">
        <w:t xml:space="preserve"> rights and </w:t>
      </w:r>
      <w:r w:rsidR="009B5333">
        <w:t xml:space="preserve">democratic </w:t>
      </w:r>
      <w:r w:rsidR="007139D2">
        <w:t>self-government.</w:t>
      </w:r>
      <w:r w:rsidR="002C1BBF">
        <w:rPr>
          <w:rStyle w:val="FootnoteReference"/>
        </w:rPr>
        <w:footnoteReference w:id="5"/>
      </w:r>
      <w:r w:rsidR="009B5333">
        <w:t xml:space="preserve"> This is what Bickel famously referred to as “the counter-majoritarian difficulty</w:t>
      </w:r>
      <w:r w:rsidR="00DE24F5">
        <w:t>.</w:t>
      </w:r>
      <w:r w:rsidR="009B5333">
        <w:t xml:space="preserve">” </w:t>
      </w:r>
      <w:r w:rsidR="00DE24F5">
        <w:t>H</w:t>
      </w:r>
      <w:r w:rsidR="009B5333">
        <w:t>e explains</w:t>
      </w:r>
      <w:r w:rsidR="00DE24F5">
        <w:t xml:space="preserve"> this difficulty</w:t>
      </w:r>
      <w:r w:rsidR="009B5333">
        <w:t xml:space="preserve"> as follows: “judicial review is a counter-majoritarian force in our system…When </w:t>
      </w:r>
      <w:r w:rsidR="009B5333" w:rsidRPr="009B5333">
        <w:rPr>
          <w:i/>
        </w:rPr>
        <w:t>the Supreme Court</w:t>
      </w:r>
      <w:r w:rsidR="009B5333">
        <w:t xml:space="preserve"> declares unconstitutional a legislative act… it thwarts the will of representatives </w:t>
      </w:r>
      <w:r w:rsidR="009B5333" w:rsidRPr="009B5333">
        <w:rPr>
          <w:i/>
        </w:rPr>
        <w:t xml:space="preserve">of the actual people </w:t>
      </w:r>
      <w:r w:rsidR="009B5333">
        <w:t>of the here and now…”</w:t>
      </w:r>
      <w:r w:rsidR="009F6605">
        <w:rPr>
          <w:rStyle w:val="FootnoteReference"/>
        </w:rPr>
        <w:footnoteReference w:id="6"/>
      </w:r>
      <w:r w:rsidR="009B5333">
        <w:t xml:space="preserve"> </w:t>
      </w:r>
      <w:r w:rsidR="00DE24F5">
        <w:t>F</w:t>
      </w:r>
      <w:r>
        <w:t>rom this pers</w:t>
      </w:r>
      <w:r w:rsidR="00C95E71">
        <w:t>pective, the</w:t>
      </w:r>
      <w:r w:rsidR="00197F51">
        <w:t xml:space="preserve"> </w:t>
      </w:r>
      <w:r w:rsidR="00D37772">
        <w:t>question</w:t>
      </w:r>
      <w:r w:rsidR="0075043F">
        <w:t xml:space="preserve"> is</w:t>
      </w:r>
      <w:r w:rsidR="00C95E71">
        <w:t xml:space="preserve"> whether</w:t>
      </w:r>
      <w:r w:rsidR="003601E7">
        <w:t xml:space="preserve"> or not</w:t>
      </w:r>
      <w:r w:rsidR="00C95E71">
        <w:t xml:space="preserve"> judicial review is necessary for the protection of rights</w:t>
      </w:r>
      <w:r w:rsidR="003601E7">
        <w:t xml:space="preserve">. What </w:t>
      </w:r>
      <w:r w:rsidR="00C956BA">
        <w:t xml:space="preserve">is </w:t>
      </w:r>
      <w:r w:rsidR="00D37772">
        <w:t>unquestioned is the tacit assumption</w:t>
      </w:r>
      <w:r w:rsidR="00C956BA">
        <w:t xml:space="preserve"> th</w:t>
      </w:r>
      <w:r w:rsidR="003601E7">
        <w:t xml:space="preserve">at </w:t>
      </w:r>
      <w:r w:rsidR="00225194">
        <w:t>a los</w:t>
      </w:r>
      <w:r w:rsidR="00605B1D">
        <w:t>s</w:t>
      </w:r>
      <w:r w:rsidR="00225194">
        <w:t xml:space="preserve"> in </w:t>
      </w:r>
      <w:r w:rsidR="003601E7">
        <w:t>democra</w:t>
      </w:r>
      <w:r w:rsidR="00225194">
        <w:t>tic self-government</w:t>
      </w:r>
      <w:r w:rsidR="00D47D5F">
        <w:t xml:space="preserve"> is</w:t>
      </w:r>
      <w:r w:rsidR="00D37772">
        <w:t xml:space="preserve"> simply</w:t>
      </w:r>
      <w:r w:rsidR="00D47D5F">
        <w:t xml:space="preserve"> the price we</w:t>
      </w:r>
      <w:r w:rsidR="00605B1D">
        <w:t xml:space="preserve"> have to</w:t>
      </w:r>
      <w:r w:rsidR="003601E7">
        <w:t xml:space="preserve"> pay for</w:t>
      </w:r>
      <w:r w:rsidR="00605B1D">
        <w:t xml:space="preserve"> the</w:t>
      </w:r>
      <w:r w:rsidR="003601E7">
        <w:t xml:space="preserve"> institution</w:t>
      </w:r>
      <w:r w:rsidR="00605B1D">
        <w:t>s of judicial review</w:t>
      </w:r>
      <w:r w:rsidR="003601E7">
        <w:t xml:space="preserve">. </w:t>
      </w:r>
      <w:r w:rsidR="00682524">
        <w:t>For th</w:t>
      </w:r>
      <w:r w:rsidR="004B5D01">
        <w:t xml:space="preserve">ose who </w:t>
      </w:r>
      <w:r w:rsidR="00605B1D">
        <w:t>think</w:t>
      </w:r>
      <w:r w:rsidR="004B5D01">
        <w:t xml:space="preserve"> democratic procedures</w:t>
      </w:r>
      <w:r w:rsidR="00605B1D">
        <w:t xml:space="preserve"> posses</w:t>
      </w:r>
      <w:r w:rsidR="005B6CA9">
        <w:t>s</w:t>
      </w:r>
      <w:r w:rsidR="00605B1D">
        <w:t xml:space="preserve"> merely</w:t>
      </w:r>
      <w:r w:rsidR="00106918">
        <w:t xml:space="preserve"> instrumental value</w:t>
      </w:r>
      <w:r w:rsidR="004B5D01">
        <w:t xml:space="preserve"> the price is not </w:t>
      </w:r>
      <w:r w:rsidR="009F6605">
        <w:t>high at all</w:t>
      </w:r>
      <w:r w:rsidR="004B5D01">
        <w:t>, so long as judicial revie</w:t>
      </w:r>
      <w:r w:rsidR="001E4F65">
        <w:t>w delivers the expected outcome</w:t>
      </w:r>
      <w:r w:rsidR="004B5D01">
        <w:t xml:space="preserve"> of improved rights protections</w:t>
      </w:r>
      <w:r w:rsidR="009F6605">
        <w:t>.</w:t>
      </w:r>
      <w:r w:rsidR="00562B00">
        <w:rPr>
          <w:rStyle w:val="FootnoteReference"/>
        </w:rPr>
        <w:footnoteReference w:id="7"/>
      </w:r>
      <w:r w:rsidR="009F6605">
        <w:t xml:space="preserve"> By contrast, </w:t>
      </w:r>
      <w:r w:rsidR="004B5D01">
        <w:t>those who</w:t>
      </w:r>
      <w:r w:rsidR="00605B1D">
        <w:t xml:space="preserve"> </w:t>
      </w:r>
      <w:r w:rsidR="004B5D01">
        <w:t>ascribe</w:t>
      </w:r>
      <w:r w:rsidR="00605B1D">
        <w:t xml:space="preserve"> intrinsic value</w:t>
      </w:r>
      <w:r w:rsidR="004B5D01">
        <w:t xml:space="preserve"> to democr</w:t>
      </w:r>
      <w:r w:rsidR="00605B1D">
        <w:t>atic procedures</w:t>
      </w:r>
      <w:r w:rsidR="009F6605">
        <w:t xml:space="preserve"> tend to </w:t>
      </w:r>
      <w:r w:rsidR="00605B1D">
        <w:t xml:space="preserve">see this </w:t>
      </w:r>
      <w:r w:rsidR="009F6605">
        <w:t>price</w:t>
      </w:r>
      <w:r w:rsidR="00605B1D">
        <w:t xml:space="preserve"> as prohibitively</w:t>
      </w:r>
      <w:r w:rsidR="004B5D01">
        <w:t xml:space="preserve"> high, especially </w:t>
      </w:r>
      <w:r w:rsidR="00B678A8">
        <w:t xml:space="preserve">since there </w:t>
      </w:r>
      <w:r w:rsidR="00197F51">
        <w:t>is</w:t>
      </w:r>
      <w:r w:rsidR="00B678A8">
        <w:t xml:space="preserve"> no</w:t>
      </w:r>
      <w:r w:rsidR="00D47D5F">
        <w:t xml:space="preserve"> guarantee</w:t>
      </w:r>
      <w:r w:rsidR="00225194">
        <w:t xml:space="preserve"> that the courts will always deliver the right decisions. </w:t>
      </w:r>
      <w:r w:rsidR="00605B1D">
        <w:t xml:space="preserve">Waldron’s staunch </w:t>
      </w:r>
      <w:r w:rsidR="006C3B4D">
        <w:t>opposition to judicial review exemplifies t</w:t>
      </w:r>
      <w:r w:rsidR="003601E7">
        <w:t>h</w:t>
      </w:r>
      <w:r w:rsidR="004B5D01">
        <w:t>e latter</w:t>
      </w:r>
      <w:r w:rsidR="003601E7">
        <w:t xml:space="preserve"> position</w:t>
      </w:r>
      <w:r w:rsidR="00365F6D">
        <w:t>.</w:t>
      </w:r>
      <w:r w:rsidR="00D47D5F">
        <w:rPr>
          <w:rStyle w:val="FootnoteReference"/>
        </w:rPr>
        <w:footnoteReference w:id="8"/>
      </w:r>
      <w:r w:rsidR="00365F6D">
        <w:t xml:space="preserve"> </w:t>
      </w:r>
      <w:r w:rsidR="006C3B4D">
        <w:t>O</w:t>
      </w:r>
      <w:r w:rsidR="00365F6D">
        <w:t>n his view, the effectiveness of judicial review at protecting rights</w:t>
      </w:r>
      <w:r w:rsidR="006C3B4D">
        <w:t xml:space="preserve"> is at best mixed, so the outcome-</w:t>
      </w:r>
      <w:r w:rsidR="00B43206">
        <w:t>related</w:t>
      </w:r>
      <w:r w:rsidR="006C3B4D">
        <w:t xml:space="preserve"> reasons in favor of it are rather weak. However,</w:t>
      </w:r>
      <w:r w:rsidR="00FC736B">
        <w:t xml:space="preserve"> since</w:t>
      </w:r>
      <w:r w:rsidR="006C3B4D">
        <w:t xml:space="preserve"> </w:t>
      </w:r>
      <w:r w:rsidR="005B6196">
        <w:t>the loss in democratic self-government is</w:t>
      </w:r>
      <w:r w:rsidR="00E37519">
        <w:t xml:space="preserve"> an</w:t>
      </w:r>
      <w:r w:rsidR="006C3B4D">
        <w:t xml:space="preserve"> inevitable part of judicial review</w:t>
      </w:r>
      <w:r w:rsidR="00365F6D">
        <w:t xml:space="preserve">, </w:t>
      </w:r>
      <w:r w:rsidR="00600A63">
        <w:t xml:space="preserve">so the argument goes, </w:t>
      </w:r>
      <w:r w:rsidR="005B6196">
        <w:t>this gives</w:t>
      </w:r>
      <w:r w:rsidR="006C3B4D">
        <w:t xml:space="preserve"> us very strong</w:t>
      </w:r>
      <w:r w:rsidR="00365F6D">
        <w:t xml:space="preserve"> process-</w:t>
      </w:r>
      <w:r w:rsidR="00B43206">
        <w:t>related</w:t>
      </w:r>
      <w:r w:rsidR="00365F6D">
        <w:t xml:space="preserve"> reasons</w:t>
      </w:r>
      <w:r w:rsidR="006C3B4D">
        <w:t xml:space="preserve"> a</w:t>
      </w:r>
      <w:r w:rsidR="00365F6D">
        <w:t>gainst</w:t>
      </w:r>
      <w:r w:rsidR="006C3B4D">
        <w:t xml:space="preserve"> the practice</w:t>
      </w:r>
      <w:r w:rsidR="00365F6D">
        <w:t>.</w:t>
      </w:r>
      <w:r w:rsidR="00D47D5F">
        <w:rPr>
          <w:rStyle w:val="FootnoteReference"/>
        </w:rPr>
        <w:footnoteReference w:id="9"/>
      </w:r>
      <w:r w:rsidR="002A020B">
        <w:t xml:space="preserve"> </w:t>
      </w:r>
      <w:r w:rsidR="00FC736B">
        <w:t>Therefore</w:t>
      </w:r>
      <w:r w:rsidR="009E0B48">
        <w:t>,</w:t>
      </w:r>
      <w:r w:rsidR="002A020B">
        <w:t xml:space="preserve"> </w:t>
      </w:r>
      <w:r w:rsidR="0083400B">
        <w:t>from a norma</w:t>
      </w:r>
      <w:r w:rsidR="009E0B48">
        <w:t>tive perspective</w:t>
      </w:r>
      <w:r w:rsidR="00B678A8">
        <w:t>,</w:t>
      </w:r>
      <w:r w:rsidR="0083400B">
        <w:t xml:space="preserve"> </w:t>
      </w:r>
      <w:r w:rsidR="00B678A8">
        <w:t>the</w:t>
      </w:r>
      <w:r w:rsidR="001F66B8">
        <w:t>re is a compelling argument against the practice</w:t>
      </w:r>
      <w:r w:rsidR="00225194">
        <w:t xml:space="preserve"> and, consequently,</w:t>
      </w:r>
      <w:r w:rsidR="002A020B">
        <w:t xml:space="preserve"> its introduction in a particular society should be considered only</w:t>
      </w:r>
      <w:r w:rsidR="00FC736B">
        <w:t xml:space="preserve"> </w:t>
      </w:r>
      <w:r w:rsidR="00E37519">
        <w:t>in light of the presence</w:t>
      </w:r>
      <w:r w:rsidR="001F66B8">
        <w:t xml:space="preserve"> of specific institutional</w:t>
      </w:r>
      <w:r w:rsidR="002A020B">
        <w:t xml:space="preserve"> p</w:t>
      </w:r>
      <w:r w:rsidR="00B678A8">
        <w:t>athologies</w:t>
      </w:r>
      <w:r w:rsidR="002A020B">
        <w:t>.</w:t>
      </w:r>
      <w:r w:rsidR="00D47D5F">
        <w:rPr>
          <w:rStyle w:val="FootnoteReference"/>
        </w:rPr>
        <w:footnoteReference w:id="10"/>
      </w:r>
    </w:p>
    <w:p w14:paraId="57018F78" w14:textId="360427C5" w:rsidR="00F14A5A" w:rsidRDefault="001E3D62" w:rsidP="001E3D62">
      <w:pPr>
        <w:spacing w:line="360" w:lineRule="auto"/>
        <w:ind w:firstLine="720"/>
        <w:jc w:val="both"/>
      </w:pPr>
      <w:r w:rsidRPr="001E3D62">
        <w:t>I would like to question that view. In my opinion, judicial review fulfills some key democratic functions and, to the extent that it does, it should be considered democratically legitimate</w:t>
      </w:r>
      <w:r w:rsidR="003D31FC">
        <w:t>.</w:t>
      </w:r>
      <w:r w:rsidR="003D31FC">
        <w:rPr>
          <w:rStyle w:val="FootnoteReference"/>
        </w:rPr>
        <w:footnoteReference w:id="11"/>
      </w:r>
      <w:r w:rsidRPr="001E3D62">
        <w:t xml:space="preserve"> My aim is to articulate a compelling normative argument in favor of the practice that is based on democratic considerations. However, I do not defend the view that strong judicial review is preferable to weaker forms or that, from a democratic perspective, no other institutional solution could b</w:t>
      </w:r>
      <w:r>
        <w:t>e superior to such weaker forms</w:t>
      </w:r>
      <w:r w:rsidR="00300B4A">
        <w:t>.</w:t>
      </w:r>
      <w:r w:rsidR="00300B4A">
        <w:rPr>
          <w:rStyle w:val="FootnoteReference"/>
        </w:rPr>
        <w:footnoteReference w:id="12"/>
      </w:r>
      <w:r w:rsidR="00F14A5A">
        <w:t xml:space="preserve"> </w:t>
      </w:r>
      <w:r w:rsidRPr="001E3D62">
        <w:t>The answer to that question depends in large measure on empirical aspects of specific societies and their historical circumstances. Consequently, it makes little sense to assume that there is a single right answer. Rather, my more modest task in articulating the democratic case in favor of judicial review is to question the assumptions behind the framework within which the question of the legitimacy of judicial review is usually debated and which fuel the impression that, other things being equal, the democratic default speaks against judicial review, as its critics claim</w:t>
      </w:r>
      <w:r w:rsidR="00F14A5A">
        <w:t>.</w:t>
      </w:r>
      <w:r w:rsidR="00350612">
        <w:rPr>
          <w:rStyle w:val="FootnoteReference"/>
        </w:rPr>
        <w:footnoteReference w:id="13"/>
      </w:r>
      <w:r w:rsidR="00D070D2">
        <w:t xml:space="preserve"> </w:t>
      </w:r>
    </w:p>
    <w:p w14:paraId="4EA79586" w14:textId="77777777" w:rsidR="00F14A5A" w:rsidRDefault="00F14A5A" w:rsidP="00CE2FB6">
      <w:pPr>
        <w:spacing w:line="360" w:lineRule="auto"/>
        <w:ind w:firstLine="720"/>
        <w:jc w:val="both"/>
      </w:pPr>
    </w:p>
    <w:p w14:paraId="0DCAAD2A" w14:textId="68D378A1" w:rsidR="00B8669C" w:rsidRPr="00613614" w:rsidRDefault="00E03852" w:rsidP="00B8669C">
      <w:pPr>
        <w:spacing w:line="360" w:lineRule="auto"/>
        <w:jc w:val="both"/>
        <w:rPr>
          <w:i/>
        </w:rPr>
      </w:pPr>
      <w:r w:rsidRPr="00613614">
        <w:rPr>
          <w:i/>
        </w:rPr>
        <w:t>Framing the Philosophical Debate on</w:t>
      </w:r>
      <w:r w:rsidR="00613614">
        <w:rPr>
          <w:i/>
        </w:rPr>
        <w:t xml:space="preserve"> the Legitimacy of</w:t>
      </w:r>
      <w:r w:rsidRPr="00613614">
        <w:rPr>
          <w:i/>
        </w:rPr>
        <w:t xml:space="preserve"> </w:t>
      </w:r>
      <w:r w:rsidR="00B8669C" w:rsidRPr="00613614">
        <w:rPr>
          <w:i/>
        </w:rPr>
        <w:t>Judicial Re</w:t>
      </w:r>
      <w:r w:rsidRPr="00613614">
        <w:rPr>
          <w:i/>
        </w:rPr>
        <w:t>view</w:t>
      </w:r>
    </w:p>
    <w:p w14:paraId="3361CE5E" w14:textId="77777777" w:rsidR="00B8669C" w:rsidRDefault="00B8669C" w:rsidP="00B8669C">
      <w:pPr>
        <w:spacing w:line="360" w:lineRule="auto"/>
        <w:jc w:val="both"/>
      </w:pPr>
    </w:p>
    <w:p w14:paraId="4A509A3E" w14:textId="09EBDD49" w:rsidR="00151BD8" w:rsidRDefault="00B8669C" w:rsidP="00CE2FB6">
      <w:pPr>
        <w:spacing w:line="360" w:lineRule="auto"/>
        <w:ind w:firstLine="720"/>
        <w:jc w:val="both"/>
      </w:pPr>
      <w:r>
        <w:t>As</w:t>
      </w:r>
      <w:r w:rsidR="00E37519">
        <w:t xml:space="preserve"> </w:t>
      </w:r>
      <w:r w:rsidR="00C7269D">
        <w:t>indicated</w:t>
      </w:r>
      <w:r w:rsidR="00E37519">
        <w:t xml:space="preserve"> above</w:t>
      </w:r>
      <w:r w:rsidR="00E03852">
        <w:t xml:space="preserve">, </w:t>
      </w:r>
      <w:r w:rsidR="00CB4FE2">
        <w:t xml:space="preserve">philosophical </w:t>
      </w:r>
      <w:r w:rsidR="00E03852">
        <w:t>debate on the le</w:t>
      </w:r>
      <w:r w:rsidR="00CB4FE2">
        <w:t>gitimacy of judicial review</w:t>
      </w:r>
      <w:r w:rsidR="00F74E82">
        <w:t xml:space="preserve"> is structured by several framing assumptions</w:t>
      </w:r>
      <w:r w:rsidR="009F469D">
        <w:t>,</w:t>
      </w:r>
      <w:r w:rsidR="00F74E82">
        <w:t xml:space="preserve"> which create </w:t>
      </w:r>
      <w:r w:rsidR="00CB4FE2">
        <w:t>the impression that</w:t>
      </w:r>
      <w:r w:rsidR="00C7269D">
        <w:t xml:space="preserve">, </w:t>
      </w:r>
      <w:r w:rsidR="00F74E82">
        <w:t xml:space="preserve">all </w:t>
      </w:r>
      <w:r w:rsidR="00C7269D">
        <w:t>other things being equal,</w:t>
      </w:r>
      <w:r w:rsidR="00CB4FE2">
        <w:t xml:space="preserve"> constitutional democracies with judicial review</w:t>
      </w:r>
      <w:r w:rsidR="00C7269D">
        <w:t xml:space="preserve"> of legislation</w:t>
      </w:r>
      <w:r w:rsidR="00CB4FE2">
        <w:t xml:space="preserve"> are less democratic </w:t>
      </w:r>
      <w:r w:rsidR="00CB4FE2" w:rsidRPr="002D6B5A">
        <w:rPr>
          <w:i/>
        </w:rPr>
        <w:t>for that reason</w:t>
      </w:r>
      <w:r w:rsidR="00E03AAA" w:rsidRPr="002D6B5A">
        <w:rPr>
          <w:i/>
        </w:rPr>
        <w:t xml:space="preserve"> alone</w:t>
      </w:r>
      <w:r w:rsidR="00CB4FE2">
        <w:t xml:space="preserve">. </w:t>
      </w:r>
      <w:r w:rsidR="00C7269D">
        <w:t>Participants in th</w:t>
      </w:r>
      <w:r w:rsidR="00F74E82">
        <w:t>is</w:t>
      </w:r>
      <w:r w:rsidR="00C7269D">
        <w:t xml:space="preserve"> debate often</w:t>
      </w:r>
      <w:r w:rsidR="00CB4FE2">
        <w:t xml:space="preserve"> adopt a narrow </w:t>
      </w:r>
      <w:r w:rsidR="007578F8">
        <w:rPr>
          <w:i/>
        </w:rPr>
        <w:t>juri</w:t>
      </w:r>
      <w:r w:rsidR="00CB4FE2" w:rsidRPr="00EA7D15">
        <w:rPr>
          <w:i/>
        </w:rPr>
        <w:t>centric</w:t>
      </w:r>
      <w:r w:rsidR="00CB4FE2">
        <w:t xml:space="preserve"> perspective that</w:t>
      </w:r>
      <w:r w:rsidR="00A27A54">
        <w:t xml:space="preserve"> exclusively</w:t>
      </w:r>
      <w:r w:rsidR="00F74E82">
        <w:t xml:space="preserve"> focuses</w:t>
      </w:r>
      <w:r w:rsidR="00CB4FE2">
        <w:t xml:space="preserve"> on </w:t>
      </w:r>
      <w:r w:rsidR="00A27A54">
        <w:t>the internal workings of courts</w:t>
      </w:r>
      <w:r w:rsidR="00CB4FE2">
        <w:t xml:space="preserve"> without paying sufficient attention to </w:t>
      </w:r>
      <w:r w:rsidR="00F74E82">
        <w:t>the political system with</w:t>
      </w:r>
      <w:r w:rsidR="00C7269D">
        <w:t xml:space="preserve">in which </w:t>
      </w:r>
      <w:r w:rsidR="00F74E82">
        <w:t xml:space="preserve">the </w:t>
      </w:r>
      <w:r w:rsidR="00C7269D">
        <w:t>courts</w:t>
      </w:r>
      <w:r w:rsidR="00A27A54">
        <w:t xml:space="preserve"> operate and</w:t>
      </w:r>
      <w:r w:rsidR="00C7269D">
        <w:t xml:space="preserve"> </w:t>
      </w:r>
      <w:r w:rsidR="00F74E82">
        <w:t xml:space="preserve">where they </w:t>
      </w:r>
      <w:r w:rsidR="00C7269D">
        <w:t>play their specific</w:t>
      </w:r>
      <w:r w:rsidR="00151BD8">
        <w:t xml:space="preserve"> institutional</w:t>
      </w:r>
      <w:r w:rsidR="00C7269D">
        <w:t xml:space="preserve"> role.</w:t>
      </w:r>
      <w:r w:rsidR="00562B00">
        <w:rPr>
          <w:rStyle w:val="FootnoteReference"/>
        </w:rPr>
        <w:footnoteReference w:id="14"/>
      </w:r>
      <w:r w:rsidR="00C7269D">
        <w:t xml:space="preserve"> </w:t>
      </w:r>
      <w:r w:rsidR="00F74E82">
        <w:t>Moreover, this narrowness is not only</w:t>
      </w:r>
      <w:r w:rsidR="00B078D8">
        <w:t xml:space="preserve"> institutional</w:t>
      </w:r>
      <w:r w:rsidR="00F74E82">
        <w:t xml:space="preserve"> but</w:t>
      </w:r>
      <w:r w:rsidR="00473EF8">
        <w:t xml:space="preserve"> temporal </w:t>
      </w:r>
      <w:r w:rsidR="00F74E82">
        <w:t xml:space="preserve">as well: participants often </w:t>
      </w:r>
      <w:r w:rsidR="00A27A54">
        <w:t>adopt a</w:t>
      </w:r>
      <w:r w:rsidR="00473EF8">
        <w:t xml:space="preserve"> </w:t>
      </w:r>
      <w:r w:rsidR="00473EF8" w:rsidRPr="00EA7D15">
        <w:rPr>
          <w:i/>
        </w:rPr>
        <w:t>synchronic</w:t>
      </w:r>
      <w:r w:rsidR="00473EF8">
        <w:t xml:space="preserve"> perspective that</w:t>
      </w:r>
      <w:r w:rsidR="00F74E82">
        <w:t xml:space="preserve"> exclusively</w:t>
      </w:r>
      <w:r w:rsidR="00473EF8">
        <w:t xml:space="preserve"> focuses</w:t>
      </w:r>
      <w:r w:rsidR="00F74E82">
        <w:t xml:space="preserve"> </w:t>
      </w:r>
      <w:r w:rsidR="00473EF8">
        <w:t xml:space="preserve">on how </w:t>
      </w:r>
      <w:r w:rsidR="00B078D8">
        <w:t xml:space="preserve">the courts can </w:t>
      </w:r>
      <w:r w:rsidR="00473EF8">
        <w:t>uphold or str</w:t>
      </w:r>
      <w:r w:rsidR="00F74E82">
        <w:t>ike</w:t>
      </w:r>
      <w:r w:rsidR="00473EF8">
        <w:t xml:space="preserve"> down</w:t>
      </w:r>
      <w:r w:rsidR="00B078D8">
        <w:t xml:space="preserve"> a piece of legislation as unconstitutional at </w:t>
      </w:r>
      <w:r w:rsidR="001E4F65">
        <w:t>a</w:t>
      </w:r>
      <w:r w:rsidR="00B078D8">
        <w:t xml:space="preserve"> </w:t>
      </w:r>
      <w:r w:rsidR="00F55D06">
        <w:t>particular</w:t>
      </w:r>
      <w:r w:rsidR="00F74E82">
        <w:t xml:space="preserve"> point in</w:t>
      </w:r>
      <w:r w:rsidR="00B078D8">
        <w:t xml:space="preserve"> time. </w:t>
      </w:r>
      <w:r w:rsidR="00EA7D15">
        <w:t xml:space="preserve">This perspective is too </w:t>
      </w:r>
      <w:r w:rsidR="00B078D8">
        <w:t>shortsighted</w:t>
      </w:r>
      <w:r w:rsidR="00F74E82">
        <w:t>. T</w:t>
      </w:r>
      <w:r w:rsidR="00B078D8">
        <w:t>he</w:t>
      </w:r>
      <w:r w:rsidR="00EA7D15">
        <w:t xml:space="preserve"> </w:t>
      </w:r>
      <w:r w:rsidR="009F6605">
        <w:t>full</w:t>
      </w:r>
      <w:r w:rsidR="00B078D8">
        <w:t xml:space="preserve"> significance</w:t>
      </w:r>
      <w:r w:rsidR="00A27A54">
        <w:t xml:space="preserve"> and </w:t>
      </w:r>
      <w:r w:rsidR="00E37519">
        <w:t xml:space="preserve">implications </w:t>
      </w:r>
      <w:r w:rsidR="00A27A54">
        <w:t>of judicial review</w:t>
      </w:r>
      <w:r w:rsidR="00F74E82">
        <w:t xml:space="preserve"> can only be appreciated</w:t>
      </w:r>
      <w:r w:rsidR="00A27A54">
        <w:t xml:space="preserve"> from a </w:t>
      </w:r>
      <w:r w:rsidR="00A27A54" w:rsidRPr="00F55D06">
        <w:rPr>
          <w:i/>
        </w:rPr>
        <w:t>diachronic</w:t>
      </w:r>
      <w:r w:rsidR="00A27A54">
        <w:t xml:space="preserve"> perspective</w:t>
      </w:r>
      <w:r w:rsidR="00EA7D15">
        <w:t xml:space="preserve">. </w:t>
      </w:r>
      <w:r w:rsidR="000E3D07">
        <w:t>For, when institutional and temporal narrowness are combine</w:t>
      </w:r>
      <w:r w:rsidR="0024346B">
        <w:t>d</w:t>
      </w:r>
      <w:r w:rsidR="002D6B5A">
        <w:t>,</w:t>
      </w:r>
      <w:r w:rsidR="00F02E1E">
        <w:t xml:space="preserve"> </w:t>
      </w:r>
      <w:r w:rsidR="00F02E1E" w:rsidRPr="00F02E1E">
        <w:rPr>
          <w:i/>
        </w:rPr>
        <w:t>the role of citizens</w:t>
      </w:r>
      <w:r w:rsidR="00F02E1E">
        <w:t xml:space="preserve"> in the process of constitutional review drops </w:t>
      </w:r>
      <w:r w:rsidR="000E3D07">
        <w:t xml:space="preserve">out of the picture </w:t>
      </w:r>
      <w:r w:rsidR="00F02E1E">
        <w:t>ent</w:t>
      </w:r>
      <w:r w:rsidR="000E3D07">
        <w:t>irely</w:t>
      </w:r>
      <w:r w:rsidR="002B45AD">
        <w:t xml:space="preserve">. The </w:t>
      </w:r>
      <w:r w:rsidR="00BB7064">
        <w:t xml:space="preserve">only </w:t>
      </w:r>
      <w:r w:rsidR="000100DA">
        <w:t>choice</w:t>
      </w:r>
      <w:r w:rsidR="000E3D07">
        <w:t xml:space="preserve"> </w:t>
      </w:r>
      <w:r w:rsidR="00F02E1E">
        <w:t xml:space="preserve">citizens </w:t>
      </w:r>
      <w:r w:rsidR="002B45AD">
        <w:t>are</w:t>
      </w:r>
      <w:r w:rsidR="000E3D07">
        <w:t xml:space="preserve"> left with </w:t>
      </w:r>
      <w:r w:rsidR="000100DA">
        <w:t>is</w:t>
      </w:r>
      <w:r w:rsidR="00F02E1E">
        <w:t xml:space="preserve"> to delegate the task of constitutional review </w:t>
      </w:r>
      <w:r w:rsidR="000E3D07">
        <w:t xml:space="preserve">to </w:t>
      </w:r>
      <w:r w:rsidR="00BB7064">
        <w:t xml:space="preserve">either </w:t>
      </w:r>
      <w:r w:rsidR="00F02E1E">
        <w:t>the judic</w:t>
      </w:r>
      <w:r w:rsidR="000E3D07">
        <w:t xml:space="preserve">iary or </w:t>
      </w:r>
      <w:r w:rsidR="00F02E1E">
        <w:t xml:space="preserve">the legislature. </w:t>
      </w:r>
      <w:r w:rsidR="000E3D07">
        <w:t>Either way,</w:t>
      </w:r>
      <w:r w:rsidR="00BB7064">
        <w:t xml:space="preserve"> </w:t>
      </w:r>
      <w:r w:rsidR="009F6605">
        <w:t xml:space="preserve">the </w:t>
      </w:r>
      <w:r w:rsidR="00BB7064">
        <w:t>citizenry</w:t>
      </w:r>
      <w:r w:rsidR="007578F8">
        <w:t xml:space="preserve"> </w:t>
      </w:r>
      <w:r w:rsidR="002B45AD">
        <w:t>play</w:t>
      </w:r>
      <w:r w:rsidR="0075043F">
        <w:t>s a</w:t>
      </w:r>
      <w:r w:rsidR="00E37519">
        <w:t xml:space="preserve"> rather</w:t>
      </w:r>
      <w:r w:rsidR="0075043F">
        <w:t xml:space="preserve"> marginal </w:t>
      </w:r>
      <w:r w:rsidR="000E3D07">
        <w:t>role</w:t>
      </w:r>
      <w:r w:rsidR="002B45AD">
        <w:t xml:space="preserve"> in the process of constitutional review</w:t>
      </w:r>
      <w:r w:rsidR="007578F8">
        <w:t xml:space="preserve"> of legislation</w:t>
      </w:r>
      <w:r w:rsidR="002B45AD">
        <w:t xml:space="preserve">. </w:t>
      </w:r>
      <w:r w:rsidR="000E3D07">
        <w:t xml:space="preserve">Even </w:t>
      </w:r>
      <w:r w:rsidR="00151BD8">
        <w:t xml:space="preserve">defenders of popular constitutionalism who oppose the marginalization of the citizenry </w:t>
      </w:r>
      <w:r w:rsidR="000E3D07">
        <w:t>within</w:t>
      </w:r>
      <w:r w:rsidR="00151BD8">
        <w:t xml:space="preserve"> process</w:t>
      </w:r>
      <w:r w:rsidR="000E3D07">
        <w:t>es</w:t>
      </w:r>
      <w:r w:rsidR="00151BD8">
        <w:t xml:space="preserve"> of constitutional review</w:t>
      </w:r>
      <w:r w:rsidR="000E3D07">
        <w:t xml:space="preserve"> seem to share these framing assumptions</w:t>
      </w:r>
      <w:r w:rsidR="00151BD8">
        <w:t>.</w:t>
      </w:r>
      <w:r w:rsidR="00CF7036">
        <w:rPr>
          <w:rStyle w:val="FootnoteReference"/>
        </w:rPr>
        <w:footnoteReference w:id="15"/>
      </w:r>
      <w:r w:rsidR="00151BD8">
        <w:t xml:space="preserve"> For they </w:t>
      </w:r>
      <w:r w:rsidR="00CF7036">
        <w:t xml:space="preserve">assume </w:t>
      </w:r>
      <w:r w:rsidR="00151BD8">
        <w:t>that</w:t>
      </w:r>
      <w:r w:rsidR="000E3D07">
        <w:t xml:space="preserve"> </w:t>
      </w:r>
      <w:r w:rsidR="00CC2C5B">
        <w:t>the practice of</w:t>
      </w:r>
      <w:r w:rsidR="000E3D07">
        <w:t xml:space="preserve"> judicial review</w:t>
      </w:r>
      <w:r w:rsidR="00CC2C5B">
        <w:t xml:space="preserve"> is incompatible with</w:t>
      </w:r>
      <w:r w:rsidR="00151BD8">
        <w:t xml:space="preserve"> </w:t>
      </w:r>
      <w:r w:rsidR="00CF7036">
        <w:t>citizens tak</w:t>
      </w:r>
      <w:r w:rsidR="00CC2C5B">
        <w:t>ing</w:t>
      </w:r>
      <w:r w:rsidR="00CF7036">
        <w:t xml:space="preserve"> </w:t>
      </w:r>
      <w:r w:rsidR="00151BD8">
        <w:t>ownership o</w:t>
      </w:r>
      <w:r w:rsidR="00CC2C5B">
        <w:t>ver</w:t>
      </w:r>
      <w:r w:rsidR="00151BD8">
        <w:t xml:space="preserve"> their constitution.</w:t>
      </w:r>
      <w:r w:rsidR="00CF7036">
        <w:rPr>
          <w:rStyle w:val="FootnoteReference"/>
        </w:rPr>
        <w:footnoteReference w:id="16"/>
      </w:r>
    </w:p>
    <w:p w14:paraId="56BD2452" w14:textId="75B173D7" w:rsidR="002B45AD" w:rsidRDefault="002C5D83" w:rsidP="00CE2FB6">
      <w:pPr>
        <w:spacing w:line="360" w:lineRule="auto"/>
        <w:ind w:firstLine="720"/>
        <w:jc w:val="both"/>
      </w:pPr>
      <w:r>
        <w:t>No</w:t>
      </w:r>
      <w:r w:rsidR="00CF7036">
        <w:t xml:space="preserve">w, </w:t>
      </w:r>
      <w:r w:rsidR="00CC2C5B">
        <w:t>regardless of the</w:t>
      </w:r>
      <w:r>
        <w:t xml:space="preserve"> particular conception</w:t>
      </w:r>
      <w:r w:rsidR="002B45AD">
        <w:t xml:space="preserve"> of democracy </w:t>
      </w:r>
      <w:r w:rsidR="00CC2C5B">
        <w:t xml:space="preserve">that </w:t>
      </w:r>
      <w:r>
        <w:t xml:space="preserve">one endorses, a central element of the democratic ideal of </w:t>
      </w:r>
      <w:r w:rsidR="002B45AD">
        <w:t>self-government</w:t>
      </w:r>
      <w:r>
        <w:t xml:space="preserve"> is that citizens must be able to see themselves </w:t>
      </w:r>
      <w:r w:rsidR="00CC2C5B">
        <w:t xml:space="preserve">as not only </w:t>
      </w:r>
      <w:r>
        <w:t>subject to the law but</w:t>
      </w:r>
      <w:r w:rsidR="00CC2C5B">
        <w:t xml:space="preserve"> </w:t>
      </w:r>
      <w:r>
        <w:t xml:space="preserve">also as authors of the laws </w:t>
      </w:r>
      <w:r w:rsidR="00D74FBF">
        <w:t>that</w:t>
      </w:r>
      <w:r w:rsidR="00F55D06">
        <w:t xml:space="preserve"> they are bound</w:t>
      </w:r>
      <w:r w:rsidR="00D74FBF">
        <w:t xml:space="preserve"> by</w:t>
      </w:r>
      <w:r>
        <w:t xml:space="preserve">. They must be able to </w:t>
      </w:r>
      <w:r w:rsidR="00CC2C5B">
        <w:t xml:space="preserve">take </w:t>
      </w:r>
      <w:r>
        <w:t>own</w:t>
      </w:r>
      <w:r w:rsidR="00CC2C5B">
        <w:t>ership over the law and see that it</w:t>
      </w:r>
      <w:r>
        <w:t xml:space="preserve"> track</w:t>
      </w:r>
      <w:r w:rsidR="00CC2C5B">
        <w:t>s</w:t>
      </w:r>
      <w:r>
        <w:t xml:space="preserve"> their interests and ideas.</w:t>
      </w:r>
      <w:r w:rsidR="00CC2C5B">
        <w:rPr>
          <w:rStyle w:val="FootnoteReference"/>
        </w:rPr>
        <w:footnoteReference w:id="17"/>
      </w:r>
      <w:r>
        <w:t xml:space="preserve"> This </w:t>
      </w:r>
      <w:r w:rsidR="00CC2C5B">
        <w:t xml:space="preserve">core feature of the </w:t>
      </w:r>
      <w:r>
        <w:t xml:space="preserve">democratic ideal suggests that constitutional review cannot be permanently delegated. Rather, it must be a process in which all sources of legitimate power, </w:t>
      </w:r>
      <w:r w:rsidR="00D74FBF">
        <w:t>including the</w:t>
      </w:r>
      <w:r w:rsidR="00174A41">
        <w:t xml:space="preserve"> constituent power</w:t>
      </w:r>
      <w:r w:rsidR="00D74FBF">
        <w:t xml:space="preserve"> of citizens</w:t>
      </w:r>
      <w:r w:rsidR="00174A41">
        <w:t>,</w:t>
      </w:r>
      <w:r w:rsidR="00D43886">
        <w:t xml:space="preserve"> </w:t>
      </w:r>
      <w:r w:rsidR="00265436">
        <w:t xml:space="preserve">can be genuinely </w:t>
      </w:r>
      <w:r w:rsidR="007578F8">
        <w:t>engaged</w:t>
      </w:r>
      <w:r>
        <w:t xml:space="preserve">. </w:t>
      </w:r>
      <w:r w:rsidR="00860FA1">
        <w:t>However, there is no reason to accept the widespread assumption that citi</w:t>
      </w:r>
      <w:r w:rsidR="009F6605">
        <w:t xml:space="preserve">zens cannot </w:t>
      </w:r>
      <w:r w:rsidR="00CC2C5B">
        <w:t xml:space="preserve">take </w:t>
      </w:r>
      <w:r w:rsidR="009F6605">
        <w:t>own</w:t>
      </w:r>
      <w:r w:rsidR="00CC2C5B">
        <w:t>ership over</w:t>
      </w:r>
      <w:r w:rsidR="009F6605">
        <w:t xml:space="preserve"> </w:t>
      </w:r>
      <w:r w:rsidR="00174A41">
        <w:t>constitutional review</w:t>
      </w:r>
      <w:r w:rsidR="00860FA1">
        <w:t xml:space="preserve"> s</w:t>
      </w:r>
      <w:r w:rsidR="00CC2C5B">
        <w:t xml:space="preserve">uch </w:t>
      </w:r>
      <w:r w:rsidR="00860FA1">
        <w:t xml:space="preserve">that once </w:t>
      </w:r>
      <w:r w:rsidR="00CC2C5B">
        <w:t xml:space="preserve">it is </w:t>
      </w:r>
      <w:r w:rsidR="00562B00">
        <w:t>set up they can only</w:t>
      </w:r>
      <w:r w:rsidR="00860FA1">
        <w:t xml:space="preserve"> </w:t>
      </w:r>
      <w:r w:rsidR="009F6605">
        <w:t>become</w:t>
      </w:r>
      <w:r w:rsidR="00860FA1">
        <w:t xml:space="preserve"> passive recipients who play no relevant role in </w:t>
      </w:r>
      <w:r w:rsidR="00CC2C5B">
        <w:t>the process</w:t>
      </w:r>
      <w:r w:rsidR="00860FA1">
        <w:t xml:space="preserve">. </w:t>
      </w:r>
      <w:r w:rsidR="00BD5058">
        <w:t>In order to frame</w:t>
      </w:r>
      <w:r w:rsidR="00860FA1">
        <w:t xml:space="preserve"> the </w:t>
      </w:r>
      <w:r>
        <w:t>question of the legitimacy of judicial review</w:t>
      </w:r>
      <w:r w:rsidR="00BD5058">
        <w:t xml:space="preserve"> in the right way we need to ask </w:t>
      </w:r>
      <w:r w:rsidR="00E03AAA">
        <w:t>a</w:t>
      </w:r>
      <w:r w:rsidR="00562B00">
        <w:t xml:space="preserve"> broader question, namely, </w:t>
      </w:r>
      <w:r>
        <w:t>which</w:t>
      </w:r>
      <w:r w:rsidR="00761FB1">
        <w:t xml:space="preserve"> set of</w:t>
      </w:r>
      <w:r>
        <w:t xml:space="preserve"> institution</w:t>
      </w:r>
      <w:r w:rsidR="00761FB1">
        <w:t>al arrangement</w:t>
      </w:r>
      <w:r>
        <w:t>s</w:t>
      </w:r>
      <w:r w:rsidR="00BD5058">
        <w:t xml:space="preserve"> give us the</w:t>
      </w:r>
      <w:r>
        <w:t xml:space="preserve"> best </w:t>
      </w:r>
      <w:r w:rsidR="00BD5058">
        <w:t>assurance</w:t>
      </w:r>
      <w:r>
        <w:t xml:space="preserve"> that </w:t>
      </w:r>
      <w:r w:rsidR="00DD30F1">
        <w:t>the citizenry as a whole can be</w:t>
      </w:r>
      <w:r w:rsidR="00983E18">
        <w:t xml:space="preserve"> actively </w:t>
      </w:r>
      <w:r w:rsidR="007578F8">
        <w:t>engaged</w:t>
      </w:r>
      <w:r w:rsidR="00983E18">
        <w:t xml:space="preserve"> in developing the meaning of their own constitution</w:t>
      </w:r>
      <w:r w:rsidR="00F91FDC">
        <w:t xml:space="preserve"> over time</w:t>
      </w:r>
      <w:r w:rsidR="00BD5058">
        <w:t>?</w:t>
      </w:r>
      <w:r w:rsidR="00D43886">
        <w:t xml:space="preserve"> </w:t>
      </w:r>
    </w:p>
    <w:p w14:paraId="6FAB5FC3" w14:textId="77777777" w:rsidR="00265436" w:rsidRDefault="00265436" w:rsidP="00BC11FC">
      <w:pPr>
        <w:spacing w:line="360" w:lineRule="auto"/>
        <w:jc w:val="both"/>
      </w:pPr>
    </w:p>
    <w:p w14:paraId="05BF0D95" w14:textId="089D05C5" w:rsidR="00BC11FC" w:rsidRPr="00BB06AC" w:rsidRDefault="007B7A4A" w:rsidP="00BC11FC">
      <w:pPr>
        <w:spacing w:line="360" w:lineRule="auto"/>
        <w:jc w:val="both"/>
        <w:rPr>
          <w:i/>
        </w:rPr>
      </w:pPr>
      <w:r w:rsidRPr="00BB06AC">
        <w:rPr>
          <w:i/>
        </w:rPr>
        <w:t>Juri</w:t>
      </w:r>
      <w:r w:rsidR="00BC11FC" w:rsidRPr="00BB06AC">
        <w:rPr>
          <w:i/>
        </w:rPr>
        <w:t>centric vs. Holistic Perspective</w:t>
      </w:r>
    </w:p>
    <w:p w14:paraId="2AA48CEC" w14:textId="77777777" w:rsidR="00BC11FC" w:rsidRDefault="00BC11FC" w:rsidP="00BC11FC">
      <w:pPr>
        <w:spacing w:line="360" w:lineRule="auto"/>
        <w:jc w:val="both"/>
      </w:pPr>
    </w:p>
    <w:p w14:paraId="2C6DC631" w14:textId="3B291B9F" w:rsidR="00E4581A" w:rsidRDefault="00F91FDC" w:rsidP="00E4581A">
      <w:pPr>
        <w:spacing w:line="360" w:lineRule="auto"/>
        <w:jc w:val="both"/>
      </w:pPr>
      <w:r>
        <w:t>As already mentioned, m</w:t>
      </w:r>
      <w:r w:rsidR="00BC11FC">
        <w:t xml:space="preserve">ost participants in the debate on the legitimacy of judicial review adopt a </w:t>
      </w:r>
      <w:r w:rsidR="007578F8" w:rsidRPr="00E4581A">
        <w:rPr>
          <w:i/>
        </w:rPr>
        <w:t>juri</w:t>
      </w:r>
      <w:r w:rsidR="00BC11FC" w:rsidRPr="00E4581A">
        <w:rPr>
          <w:i/>
        </w:rPr>
        <w:t>centric</w:t>
      </w:r>
      <w:r w:rsidR="00BD5058">
        <w:t xml:space="preserve"> perspective</w:t>
      </w:r>
      <w:r w:rsidR="00BC11FC">
        <w:t>. The</w:t>
      </w:r>
      <w:r w:rsidR="00BD5058">
        <w:t>ir</w:t>
      </w:r>
      <w:r w:rsidR="00BC11FC">
        <w:t xml:space="preserve"> analysis focuses on the internal workings of the cour</w:t>
      </w:r>
      <w:r w:rsidR="00BD5058">
        <w:t>t, the role that judges’</w:t>
      </w:r>
      <w:r w:rsidR="00BC11FC">
        <w:t xml:space="preserve"> beliefs play in their decisions</w:t>
      </w:r>
      <w:r w:rsidR="00BD5058">
        <w:t>, and</w:t>
      </w:r>
      <w:r w:rsidR="007578F8">
        <w:t xml:space="preserve"> the pros and cons of judicial v</w:t>
      </w:r>
      <w:r w:rsidR="00D74FBF">
        <w:t>ersus</w:t>
      </w:r>
      <w:r w:rsidR="00BC11FC">
        <w:t xml:space="preserve"> legislative supremacy. </w:t>
      </w:r>
      <w:r w:rsidR="00BB06AC">
        <w:t xml:space="preserve">When </w:t>
      </w:r>
      <w:r w:rsidR="007578F8">
        <w:t>th</w:t>
      </w:r>
      <w:r w:rsidR="00BD5058">
        <w:t>is last</w:t>
      </w:r>
      <w:r w:rsidR="007578F8">
        <w:t xml:space="preserve"> issue</w:t>
      </w:r>
      <w:r w:rsidR="00BB06AC">
        <w:t xml:space="preserve"> is addressed</w:t>
      </w:r>
      <w:r w:rsidR="00BD5058">
        <w:t xml:space="preserve"> the perspective </w:t>
      </w:r>
      <w:r w:rsidR="00D74FBF">
        <w:t xml:space="preserve">typically </w:t>
      </w:r>
      <w:r w:rsidR="00BC11FC">
        <w:t>get</w:t>
      </w:r>
      <w:r w:rsidR="00BD5058">
        <w:t>s</w:t>
      </w:r>
      <w:r w:rsidR="00BC11FC">
        <w:t xml:space="preserve"> broaden</w:t>
      </w:r>
      <w:r w:rsidR="00BD5058">
        <w:t>ed</w:t>
      </w:r>
      <w:r w:rsidR="00BC11FC">
        <w:t xml:space="preserve"> </w:t>
      </w:r>
      <w:r w:rsidR="00BD5058">
        <w:t xml:space="preserve">so </w:t>
      </w:r>
      <w:r w:rsidR="00BC11FC">
        <w:t xml:space="preserve">as to include the different branches of government. </w:t>
      </w:r>
      <w:r w:rsidR="00BD5058">
        <w:t>Nevertheless,</w:t>
      </w:r>
      <w:r w:rsidR="00BC11FC">
        <w:t xml:space="preserve"> the perspective of </w:t>
      </w:r>
      <w:r w:rsidR="00F55D06">
        <w:t xml:space="preserve">the </w:t>
      </w:r>
      <w:r w:rsidR="00BC11FC">
        <w:t>citizen</w:t>
      </w:r>
      <w:r w:rsidR="00F55D06">
        <w:t>ry</w:t>
      </w:r>
      <w:r w:rsidR="00BD5058">
        <w:t xml:space="preserve"> is largely missing</w:t>
      </w:r>
      <w:r w:rsidR="00BC11FC">
        <w:t xml:space="preserve">. </w:t>
      </w:r>
      <w:r w:rsidR="00BD5058">
        <w:t>This absence is striking since</w:t>
      </w:r>
      <w:r w:rsidR="00D74FBF">
        <w:t>,</w:t>
      </w:r>
      <w:r w:rsidR="00DA5AF6">
        <w:t xml:space="preserve"> for the most part</w:t>
      </w:r>
      <w:r w:rsidR="00D74FBF">
        <w:t>,</w:t>
      </w:r>
      <w:r w:rsidR="00BD5058">
        <w:t xml:space="preserve"> j</w:t>
      </w:r>
      <w:r w:rsidR="002E5F97">
        <w:t>udicial review is a process that is</w:t>
      </w:r>
      <w:r w:rsidR="00BE239E">
        <w:t xml:space="preserve"> </w:t>
      </w:r>
      <w:r w:rsidR="002E5F97">
        <w:t>triggered by citizens’ right to legal contestation.</w:t>
      </w:r>
      <w:r w:rsidR="00BB06AC">
        <w:t xml:space="preserve"> Thus, </w:t>
      </w:r>
      <w:r w:rsidR="00BD5058">
        <w:t>when</w:t>
      </w:r>
      <w:r w:rsidR="002E5F97">
        <w:t xml:space="preserve"> evaluating the legitimacy of judicial review it </w:t>
      </w:r>
      <w:r w:rsidR="00BB06AC">
        <w:t xml:space="preserve">seems </w:t>
      </w:r>
      <w:r w:rsidR="007B7A4A">
        <w:t>important</w:t>
      </w:r>
      <w:r w:rsidR="002E5F97">
        <w:t xml:space="preserve"> to</w:t>
      </w:r>
      <w:r w:rsidR="00BD5058">
        <w:t xml:space="preserve"> consider the</w:t>
      </w:r>
      <w:r w:rsidR="00021211">
        <w:t xml:space="preserve"> rationale</w:t>
      </w:r>
      <w:r w:rsidR="002E5F97">
        <w:t xml:space="preserve"> and</w:t>
      </w:r>
      <w:r w:rsidR="00BD5058">
        <w:t xml:space="preserve"> the justification</w:t>
      </w:r>
      <w:r w:rsidR="002E5F97">
        <w:t xml:space="preserve"> for </w:t>
      </w:r>
      <w:r w:rsidR="00021211">
        <w:t>this practice</w:t>
      </w:r>
      <w:r w:rsidR="002E5F97">
        <w:t xml:space="preserve"> </w:t>
      </w:r>
      <w:r w:rsidR="00021211">
        <w:rPr>
          <w:i/>
        </w:rPr>
        <w:t>as understood by the</w:t>
      </w:r>
      <w:r w:rsidR="002E5F97" w:rsidRPr="00E4581A">
        <w:rPr>
          <w:i/>
        </w:rPr>
        <w:t xml:space="preserve"> citizens </w:t>
      </w:r>
      <w:r w:rsidR="007B7A4A" w:rsidRPr="00E4581A">
        <w:rPr>
          <w:i/>
        </w:rPr>
        <w:t>who</w:t>
      </w:r>
      <w:r w:rsidR="002E5F97" w:rsidRPr="00E4581A">
        <w:rPr>
          <w:i/>
        </w:rPr>
        <w:t xml:space="preserve"> are supposed to make use of it</w:t>
      </w:r>
      <w:r w:rsidR="002E5F97">
        <w:t xml:space="preserve">. </w:t>
      </w:r>
      <w:r w:rsidR="00D90554">
        <w:t>From that perspective, judicial review can be seen as an institution of democratic control to the extent that</w:t>
      </w:r>
      <w:r w:rsidR="00D3045E">
        <w:t xml:space="preserve"> </w:t>
      </w:r>
      <w:r w:rsidR="00E4581A">
        <w:t>its justification</w:t>
      </w:r>
      <w:r w:rsidR="00F55D06">
        <w:t xml:space="preserve"> partly</w:t>
      </w:r>
      <w:r w:rsidR="00E4581A">
        <w:t xml:space="preserve"> derives from</w:t>
      </w:r>
      <w:r w:rsidR="00D90554">
        <w:t xml:space="preserve"> the right of affected citizens to effectively contest the</w:t>
      </w:r>
      <w:r w:rsidR="00E4581A">
        <w:t xml:space="preserve"> political</w:t>
      </w:r>
      <w:r w:rsidR="00D90554">
        <w:t xml:space="preserve"> decisions </w:t>
      </w:r>
      <w:r w:rsidR="00E4581A">
        <w:t>to which they are subject</w:t>
      </w:r>
      <w:r w:rsidR="00D3045E">
        <w:t xml:space="preserve">. </w:t>
      </w:r>
      <w:r w:rsidR="00F277BF">
        <w:t>As Pettit puts it, it is essential to democ</w:t>
      </w:r>
      <w:r w:rsidR="00021211">
        <w:t xml:space="preserve">racy that </w:t>
      </w:r>
      <w:r w:rsidR="00F277BF">
        <w:t>citizens “are able to contest decisions at will and, if the contestation establishes a mismatch with their relevant interests or opinions to force an amendment.”</w:t>
      </w:r>
      <w:r w:rsidR="00562B00">
        <w:rPr>
          <w:rStyle w:val="FootnoteReference"/>
        </w:rPr>
        <w:footnoteReference w:id="18"/>
      </w:r>
      <w:r w:rsidR="00F277BF">
        <w:t xml:space="preserve"> </w:t>
      </w:r>
      <w:r w:rsidR="00D3045E">
        <w:t>Th</w:t>
      </w:r>
      <w:r w:rsidR="00021211">
        <w:t>e fact th</w:t>
      </w:r>
      <w:r w:rsidR="00D3045E">
        <w:t xml:space="preserve">at </w:t>
      </w:r>
      <w:r w:rsidR="00021211">
        <w:t>judicial review</w:t>
      </w:r>
      <w:r w:rsidR="00D3045E">
        <w:t xml:space="preserve"> can be justified</w:t>
      </w:r>
      <w:r w:rsidR="00021211">
        <w:t xml:space="preserve"> in</w:t>
      </w:r>
      <w:r w:rsidR="00D3045E">
        <w:t xml:space="preserve"> this way does n</w:t>
      </w:r>
      <w:r w:rsidR="00021211">
        <w:t xml:space="preserve">ot mean that it is the only </w:t>
      </w:r>
      <w:r w:rsidR="00D3045E">
        <w:t>institution that could satisfy such a right</w:t>
      </w:r>
      <w:r w:rsidR="00600A63">
        <w:t>. O</w:t>
      </w:r>
      <w:r w:rsidR="00D3045E">
        <w:t>ther types of institution</w:t>
      </w:r>
      <w:r w:rsidR="00021211">
        <w:t>s</w:t>
      </w:r>
      <w:r w:rsidR="00D3045E">
        <w:t xml:space="preserve"> may do so as well and perhaps</w:t>
      </w:r>
      <w:r w:rsidR="00021211">
        <w:t xml:space="preserve"> even more effectively</w:t>
      </w:r>
      <w:r w:rsidR="00D3045E">
        <w:t>. The point is not to claim th</w:t>
      </w:r>
      <w:r w:rsidR="00021211">
        <w:t xml:space="preserve">at judicial review is </w:t>
      </w:r>
      <w:r w:rsidR="00D3045E">
        <w:t>uniquely legitimate</w:t>
      </w:r>
      <w:r w:rsidR="00021211">
        <w:t xml:space="preserve">, but simply that whether </w:t>
      </w:r>
      <w:r w:rsidR="00D3045E">
        <w:t>or not</w:t>
      </w:r>
      <w:r w:rsidR="00021211">
        <w:t xml:space="preserve"> it is</w:t>
      </w:r>
      <w:r w:rsidR="00D3045E">
        <w:t xml:space="preserve"> should be judged from the perspective of whether it </w:t>
      </w:r>
      <w:r w:rsidR="00654557">
        <w:t>is one of the</w:t>
      </w:r>
      <w:r w:rsidR="00F55D06">
        <w:t xml:space="preserve"> </w:t>
      </w:r>
      <w:r w:rsidR="00021211">
        <w:t>institutions</w:t>
      </w:r>
      <w:r w:rsidR="0086415E">
        <w:t xml:space="preserve"> needed to secure</w:t>
      </w:r>
      <w:r w:rsidR="00D3045E">
        <w:t xml:space="preserve"> a right</w:t>
      </w:r>
      <w:r w:rsidR="00CD4731">
        <w:t xml:space="preserve"> of citizens</w:t>
      </w:r>
      <w:r w:rsidR="00D3045E">
        <w:t xml:space="preserve"> that</w:t>
      </w:r>
      <w:r w:rsidR="00021211">
        <w:t xml:space="preserve"> essentially amounts to</w:t>
      </w:r>
      <w:r w:rsidR="00D3045E">
        <w:t xml:space="preserve"> a form of democratic control</w:t>
      </w:r>
      <w:r w:rsidR="00021211">
        <w:t>. If i</w:t>
      </w:r>
      <w:r w:rsidR="00D3045E">
        <w:t xml:space="preserve">t </w:t>
      </w:r>
      <w:r w:rsidR="00021211">
        <w:t>can be shown that judicial review is necessary for securing such a right</w:t>
      </w:r>
      <w:r w:rsidR="00E4581A">
        <w:t>,</w:t>
      </w:r>
      <w:r w:rsidR="00021211">
        <w:t xml:space="preserve"> then</w:t>
      </w:r>
      <w:r w:rsidR="00E4581A">
        <w:t xml:space="preserve"> </w:t>
      </w:r>
      <w:r>
        <w:t>the claim that it is</w:t>
      </w:r>
      <w:r w:rsidR="00E4581A">
        <w:t xml:space="preserve"> </w:t>
      </w:r>
      <w:r w:rsidR="00D3045E">
        <w:t>an anti-democratic institution</w:t>
      </w:r>
      <w:r w:rsidR="00562B00">
        <w:t xml:space="preserve"> becomes doubtf</w:t>
      </w:r>
      <w:r>
        <w:t>ul</w:t>
      </w:r>
      <w:r w:rsidR="00D3045E">
        <w:t xml:space="preserve">. </w:t>
      </w:r>
      <w:r w:rsidR="00E4581A">
        <w:t xml:space="preserve">As we saw in Bickel’s influential characterization of “the counter-majoritarian difficulty” </w:t>
      </w:r>
      <w:r w:rsidR="00021211">
        <w:t>noted a</w:t>
      </w:r>
      <w:r w:rsidR="00E4581A">
        <w:t xml:space="preserve">bove, the </w:t>
      </w:r>
      <w:r>
        <w:t>“</w:t>
      </w:r>
      <w:r w:rsidR="00E4581A">
        <w:t>difficulty</w:t>
      </w:r>
      <w:r>
        <w:t>”</w:t>
      </w:r>
      <w:r w:rsidR="00E4581A">
        <w:t xml:space="preserve"> is portrayed as a disagreement between the court’s belief </w:t>
      </w:r>
      <w:r w:rsidR="00021211">
        <w:t>i</w:t>
      </w:r>
      <w:r w:rsidR="00E4581A">
        <w:t>n the unconstitutionality of a given statute, on th</w:t>
      </w:r>
      <w:r w:rsidR="00D74FBF">
        <w:t>e one side, and the beliefs of the</w:t>
      </w:r>
      <w:r w:rsidR="00E4581A">
        <w:t xml:space="preserve"> democratically elected legislature that enacted it, on the other. S</w:t>
      </w:r>
      <w:r w:rsidR="00021211">
        <w:t>een from this perspective a</w:t>
      </w:r>
      <w:r w:rsidR="00E61007">
        <w:t xml:space="preserve"> question immediately arises</w:t>
      </w:r>
      <w:r w:rsidR="00021211">
        <w:t>:</w:t>
      </w:r>
      <w:r w:rsidR="00E61007">
        <w:t xml:space="preserve"> </w:t>
      </w:r>
      <w:r w:rsidR="00E4581A">
        <w:t>why should the beliefs of a few judges have any more moral authorit</w:t>
      </w:r>
      <w:r w:rsidR="004E3A20">
        <w:t>y than those of the people?</w:t>
      </w:r>
      <w:r w:rsidR="00E4581A">
        <w:t xml:space="preserve"> </w:t>
      </w:r>
    </w:p>
    <w:p w14:paraId="62725270" w14:textId="640698B1" w:rsidR="004576DA" w:rsidRDefault="00E4581A" w:rsidP="00E4581A">
      <w:pPr>
        <w:spacing w:line="360" w:lineRule="auto"/>
        <w:ind w:firstLine="720"/>
        <w:jc w:val="both"/>
      </w:pPr>
      <w:r>
        <w:t xml:space="preserve">However, this way of looking at the issue disregards the relevant fact that </w:t>
      </w:r>
      <w:r w:rsidRPr="009B5333">
        <w:rPr>
          <w:i/>
        </w:rPr>
        <w:t>citizens</w:t>
      </w:r>
      <w:r>
        <w:t xml:space="preserve"> </w:t>
      </w:r>
      <w:r w:rsidR="00DA5AF6">
        <w:t xml:space="preserve">who bring </w:t>
      </w:r>
      <w:r w:rsidR="004E3A20">
        <w:t xml:space="preserve">cases to the court </w:t>
      </w:r>
      <w:r>
        <w:t>are the initiators of the process. This means that these</w:t>
      </w:r>
      <w:r>
        <w:rPr>
          <w:i/>
        </w:rPr>
        <w:t xml:space="preserve"> </w:t>
      </w:r>
      <w:r w:rsidRPr="0024346B">
        <w:t xml:space="preserve">citizens </w:t>
      </w:r>
      <w:r w:rsidRPr="00717647">
        <w:rPr>
          <w:i/>
        </w:rPr>
        <w:t>believe</w:t>
      </w:r>
      <w:r w:rsidRPr="0024346B">
        <w:t xml:space="preserve"> </w:t>
      </w:r>
      <w:r>
        <w:t xml:space="preserve">that </w:t>
      </w:r>
      <w:r w:rsidR="00D74FBF">
        <w:t>a certain contested</w:t>
      </w:r>
      <w:r>
        <w:t xml:space="preserve"> statute </w:t>
      </w:r>
      <w:r w:rsidR="00944736">
        <w:t xml:space="preserve">is </w:t>
      </w:r>
      <w:r>
        <w:t xml:space="preserve">unconstitutional. </w:t>
      </w:r>
      <w:r w:rsidR="00717647">
        <w:t>Since</w:t>
      </w:r>
      <w:r>
        <w:t xml:space="preserve"> these citizens </w:t>
      </w:r>
      <w:r w:rsidR="00E61007">
        <w:t>certainly</w:t>
      </w:r>
      <w:r>
        <w:t xml:space="preserve"> belong to the people, it is</w:t>
      </w:r>
      <w:r w:rsidR="004576DA">
        <w:t xml:space="preserve"> quite</w:t>
      </w:r>
      <w:r>
        <w:t xml:space="preserve"> misleading to portray the issue as one that concerns a disagreement between a few judges, on the one hand, and </w:t>
      </w:r>
      <w:r w:rsidR="0024346B">
        <w:t>“</w:t>
      </w:r>
      <w:r>
        <w:t>the people</w:t>
      </w:r>
      <w:r w:rsidR="0024346B">
        <w:t>”</w:t>
      </w:r>
      <w:r>
        <w:t xml:space="preserve"> on the other. </w:t>
      </w:r>
      <w:r w:rsidR="00717647">
        <w:t>Granted</w:t>
      </w:r>
      <w:r w:rsidR="00E61007">
        <w:t>,</w:t>
      </w:r>
      <w:r>
        <w:t xml:space="preserve"> </w:t>
      </w:r>
      <w:r w:rsidR="004E3A20">
        <w:t>the observation that</w:t>
      </w:r>
      <w:r>
        <w:t xml:space="preserve"> the disagreement </w:t>
      </w:r>
      <w:r w:rsidR="004E3A20">
        <w:t>about</w:t>
      </w:r>
      <w:r>
        <w:t xml:space="preserve"> the constitutionalit</w:t>
      </w:r>
      <w:r w:rsidR="004E3A20">
        <w:t xml:space="preserve">y of a statute is </w:t>
      </w:r>
      <w:r w:rsidR="0024346B">
        <w:t>a</w:t>
      </w:r>
      <w:r w:rsidR="004E3A20">
        <w:t xml:space="preserve"> disagreement among citizens does not</w:t>
      </w:r>
      <w:r>
        <w:t xml:space="preserve"> justify judicial review as the best way to (temporarily) settle the disagreement. Additional arguments </w:t>
      </w:r>
      <w:r w:rsidR="00E61007">
        <w:t>would be</w:t>
      </w:r>
      <w:r>
        <w:t xml:space="preserve"> needed. However, </w:t>
      </w:r>
      <w:r w:rsidR="004E3A20">
        <w:t>this shift in perspective reveals the inadequacy of approaches that</w:t>
      </w:r>
      <w:r w:rsidR="0024346B">
        <w:t xml:space="preserve"> start by framing</w:t>
      </w:r>
      <w:r w:rsidR="004E3A20">
        <w:t xml:space="preserve"> judicial review as a disagreement between the courts and the people and then, without further argument, go on to claim that it is a</w:t>
      </w:r>
      <w:r>
        <w:t xml:space="preserve"> democratically illegitimate</w:t>
      </w:r>
      <w:r w:rsidR="004E3A20">
        <w:t xml:space="preserve"> practice. </w:t>
      </w:r>
      <w:r>
        <w:t xml:space="preserve">Judicial review </w:t>
      </w:r>
      <w:r w:rsidR="00C04ADF">
        <w:t>does indeed harbor</w:t>
      </w:r>
      <w:r>
        <w:t xml:space="preserve"> “a counter-majoritarian difficulty”, but it is important to keep in mind that this difficulty concerns a disagreement </w:t>
      </w:r>
      <w:r w:rsidRPr="007D693D">
        <w:rPr>
          <w:i/>
        </w:rPr>
        <w:t>among the people</w:t>
      </w:r>
      <w:r>
        <w:t xml:space="preserve">. So, Bickel is right </w:t>
      </w:r>
      <w:r w:rsidR="00C04ADF">
        <w:t>to claim the Supreme Court</w:t>
      </w:r>
      <w:r>
        <w:t xml:space="preserve"> t</w:t>
      </w:r>
      <w:r w:rsidR="00DA5AF6">
        <w:t>h</w:t>
      </w:r>
      <w:r>
        <w:t>warts the will of representatives of the people</w:t>
      </w:r>
      <w:r w:rsidR="00C04ADF">
        <w:t xml:space="preserve"> when it declares a legislative act unconstitutional</w:t>
      </w:r>
      <w:r>
        <w:t xml:space="preserve">, but </w:t>
      </w:r>
      <w:r w:rsidR="0089198E">
        <w:t>this is not the same as claiming that it</w:t>
      </w:r>
      <w:r w:rsidR="00C04ADF">
        <w:t xml:space="preserve"> t</w:t>
      </w:r>
      <w:r w:rsidR="00DA5AF6">
        <w:t>h</w:t>
      </w:r>
      <w:r w:rsidR="00C04ADF">
        <w:t>wart</w:t>
      </w:r>
      <w:r w:rsidR="0089198E">
        <w:t>s</w:t>
      </w:r>
      <w:r w:rsidR="00C04ADF">
        <w:t xml:space="preserve"> the will of the people—</w:t>
      </w:r>
      <w:r>
        <w:t>unless</w:t>
      </w:r>
      <w:r w:rsidR="00E363E3">
        <w:t xml:space="preserve">, </w:t>
      </w:r>
      <w:r w:rsidR="00C04ADF">
        <w:t>for some incomprehensible reason,</w:t>
      </w:r>
      <w:r>
        <w:t xml:space="preserve"> </w:t>
      </w:r>
      <w:r w:rsidR="00C04ADF">
        <w:t>the citizens</w:t>
      </w:r>
      <w:r>
        <w:t xml:space="preserve"> the Court </w:t>
      </w:r>
      <w:r w:rsidR="005B6CA9">
        <w:t>agrees</w:t>
      </w:r>
      <w:r>
        <w:t xml:space="preserve"> with are not </w:t>
      </w:r>
      <w:r w:rsidR="00C04ADF">
        <w:t>supposed to be part of</w:t>
      </w:r>
      <w:r>
        <w:t xml:space="preserve"> </w:t>
      </w:r>
      <w:r w:rsidR="00C04ADF">
        <w:t>“the people”</w:t>
      </w:r>
      <w:r w:rsidR="00B7152B">
        <w:t>.</w:t>
      </w:r>
      <w:r w:rsidR="0089198E" w:rsidRPr="0089198E">
        <w:rPr>
          <w:rStyle w:val="FootnoteReference"/>
        </w:rPr>
        <w:footnoteReference w:id="19"/>
      </w:r>
    </w:p>
    <w:p w14:paraId="43088C14" w14:textId="00037D6D" w:rsidR="00730BFE" w:rsidRDefault="00E80D6A" w:rsidP="00E80D6A">
      <w:pPr>
        <w:spacing w:line="360" w:lineRule="auto"/>
        <w:jc w:val="both"/>
      </w:pPr>
      <w:r>
        <w:tab/>
      </w:r>
      <w:r w:rsidR="002E5F97">
        <w:t>However, e</w:t>
      </w:r>
      <w:r w:rsidR="007139D2">
        <w:t xml:space="preserve">ven authors </w:t>
      </w:r>
      <w:r w:rsidR="00C04ADF">
        <w:t>like</w:t>
      </w:r>
      <w:r w:rsidR="007139D2">
        <w:t xml:space="preserve"> Pettit </w:t>
      </w:r>
      <w:r w:rsidR="00C04ADF">
        <w:t>who interpret and justify</w:t>
      </w:r>
      <w:r w:rsidR="00ED2632">
        <w:t xml:space="preserve"> </w:t>
      </w:r>
      <w:r w:rsidR="00CD4731">
        <w:t>legal contestation as a form of democratic control</w:t>
      </w:r>
      <w:r w:rsidR="00C04ADF">
        <w:t xml:space="preserve"> still conceptual</w:t>
      </w:r>
      <w:r w:rsidR="00603383">
        <w:t xml:space="preserve">ize this contestation as </w:t>
      </w:r>
      <w:r w:rsidR="00C04ADF">
        <w:t>an</w:t>
      </w:r>
      <w:r w:rsidR="00D53EAB">
        <w:t xml:space="preserve"> a</w:t>
      </w:r>
      <w:r w:rsidR="00CD4731">
        <w:t>political</w:t>
      </w:r>
      <w:r w:rsidR="00C04ADF">
        <w:t xml:space="preserve"> </w:t>
      </w:r>
      <w:r w:rsidR="00603383">
        <w:t>affair,</w:t>
      </w:r>
      <w:r w:rsidR="00CD4731">
        <w:t xml:space="preserve"> as a </w:t>
      </w:r>
      <w:r w:rsidR="00603383">
        <w:t>depoliti</w:t>
      </w:r>
      <w:r w:rsidR="00600A63">
        <w:t>ci</w:t>
      </w:r>
      <w:r w:rsidR="00603383">
        <w:t>zed venue</w:t>
      </w:r>
      <w:r w:rsidR="00CD4731">
        <w:t xml:space="preserve"> that removes the issue from politi</w:t>
      </w:r>
      <w:r w:rsidR="008F5AB5">
        <w:t>cal debate among citizen</w:t>
      </w:r>
      <w:r w:rsidR="00E26E87">
        <w:t>s.</w:t>
      </w:r>
      <w:r w:rsidR="00562B00">
        <w:rPr>
          <w:rStyle w:val="FootnoteReference"/>
        </w:rPr>
        <w:footnoteReference w:id="20"/>
      </w:r>
      <w:r w:rsidR="006276C4">
        <w:t xml:space="preserve"> </w:t>
      </w:r>
      <w:r w:rsidR="00717647">
        <w:t xml:space="preserve">Legal contestation is </w:t>
      </w:r>
      <w:r w:rsidR="00603383">
        <w:t>portrayed as</w:t>
      </w:r>
      <w:r w:rsidR="00717647">
        <w:t xml:space="preserve"> an</w:t>
      </w:r>
      <w:r w:rsidR="00D53EAB">
        <w:t xml:space="preserve"> a</w:t>
      </w:r>
      <w:r w:rsidR="006276C4">
        <w:t>political</w:t>
      </w:r>
      <w:r w:rsidR="007139D2">
        <w:t xml:space="preserve"> mechanism that individuals have at their disposal in or</w:t>
      </w:r>
      <w:r w:rsidR="00603383">
        <w:t xml:space="preserve">der to counteract </w:t>
      </w:r>
      <w:r w:rsidR="007139D2">
        <w:t>the tyranny of the majority</w:t>
      </w:r>
      <w:r w:rsidR="001E319F">
        <w:t>.</w:t>
      </w:r>
      <w:r w:rsidR="00A830D3">
        <w:t xml:space="preserve"> </w:t>
      </w:r>
      <w:r w:rsidR="002B3381">
        <w:t>This</w:t>
      </w:r>
      <w:r w:rsidR="00ED2632">
        <w:t xml:space="preserve"> is precisely what justifies judicial review over legislative supremacy</w:t>
      </w:r>
      <w:r w:rsidR="00B12A5A">
        <w:t>, according to this view</w:t>
      </w:r>
      <w:r w:rsidR="00ED2632">
        <w:t xml:space="preserve">. </w:t>
      </w:r>
      <w:r w:rsidR="006276C4">
        <w:t xml:space="preserve">As </w:t>
      </w:r>
      <w:r w:rsidR="002B3381">
        <w:t>Pettit notes</w:t>
      </w:r>
      <w:r w:rsidR="006276C4">
        <w:t>, the</w:t>
      </w:r>
      <w:r w:rsidR="00ED2632">
        <w:t xml:space="preserve"> legal c</w:t>
      </w:r>
      <w:r w:rsidR="006276C4">
        <w:t>omplaints</w:t>
      </w:r>
      <w:r w:rsidR="00ED2632">
        <w:t xml:space="preserve"> of individuals</w:t>
      </w:r>
      <w:r w:rsidR="006276C4">
        <w:t xml:space="preserve"> </w:t>
      </w:r>
      <w:r w:rsidR="006276C4" w:rsidRPr="006D1066">
        <w:t>“should be heard away from the tumult of popular discussion and away, even, from the theater o</w:t>
      </w:r>
      <w:r w:rsidR="006276C4">
        <w:t>f parliamentary debate.”</w:t>
      </w:r>
      <w:r w:rsidR="00344626" w:rsidRPr="00344626">
        <w:rPr>
          <w:rStyle w:val="FootnoteReference"/>
        </w:rPr>
        <w:t xml:space="preserve"> </w:t>
      </w:r>
      <w:r w:rsidR="00344626">
        <w:rPr>
          <w:rStyle w:val="FootnoteReference"/>
        </w:rPr>
        <w:footnoteReference w:id="21"/>
      </w:r>
      <w:r w:rsidR="00344626">
        <w:t xml:space="preserve"> </w:t>
      </w:r>
      <w:r w:rsidR="006276C4">
        <w:t xml:space="preserve"> </w:t>
      </w:r>
      <w:r w:rsidR="00603383">
        <w:t>In this same vein</w:t>
      </w:r>
      <w:r w:rsidR="00B56C02">
        <w:t xml:space="preserve">, Dworkin characterizes </w:t>
      </w:r>
      <w:r w:rsidR="006276C4">
        <w:t xml:space="preserve">judicial </w:t>
      </w:r>
      <w:r w:rsidR="00B56C02">
        <w:t>review</w:t>
      </w:r>
      <w:r w:rsidR="006276C4">
        <w:t xml:space="preserve"> as</w:t>
      </w:r>
      <w:r w:rsidR="00B56C02">
        <w:t xml:space="preserve"> a</w:t>
      </w:r>
      <w:r w:rsidR="00D53EAB">
        <w:t>n ap</w:t>
      </w:r>
      <w:r w:rsidR="006276C4">
        <w:t>olitical</w:t>
      </w:r>
      <w:r w:rsidR="00B56C02">
        <w:t xml:space="preserve"> process</w:t>
      </w:r>
      <w:r w:rsidR="006276C4">
        <w:t xml:space="preserve"> and ties the legitimacy of the institution to the fact that it enables reasoned debate on</w:t>
      </w:r>
      <w:r w:rsidR="00DE16EA">
        <w:t xml:space="preserve"> issues of</w:t>
      </w:r>
      <w:r w:rsidR="006276C4">
        <w:t xml:space="preserve"> principle that </w:t>
      </w:r>
      <w:r w:rsidR="00603383">
        <w:t>are</w:t>
      </w:r>
      <w:r w:rsidR="006276C4">
        <w:t xml:space="preserve"> “</w:t>
      </w:r>
      <w:r w:rsidR="00CB4D6A">
        <w:t>removed</w:t>
      </w:r>
      <w:r w:rsidR="006276C4">
        <w:t xml:space="preserve"> from </w:t>
      </w:r>
      <w:r w:rsidR="00CB4D6A">
        <w:t xml:space="preserve">ordinary </w:t>
      </w:r>
      <w:r w:rsidR="006276C4">
        <w:t>politic</w:t>
      </w:r>
      <w:r w:rsidR="00CB4D6A">
        <w:t>s</w:t>
      </w:r>
      <w:r w:rsidR="00E363E3">
        <w:t>.</w:t>
      </w:r>
      <w:r w:rsidR="006276C4">
        <w:t>”</w:t>
      </w:r>
      <w:r w:rsidR="003950F6">
        <w:rPr>
          <w:rStyle w:val="FootnoteReference"/>
        </w:rPr>
        <w:footnoteReference w:id="22"/>
      </w:r>
      <w:r w:rsidR="003950F6">
        <w:t xml:space="preserve"> </w:t>
      </w:r>
      <w:r w:rsidR="00B56C02">
        <w:t>Unsurprisingly,</w:t>
      </w:r>
      <w:r w:rsidR="006276C4">
        <w:t xml:space="preserve"> this picture of </w:t>
      </w:r>
      <w:r w:rsidR="00791202">
        <w:t>judicial review</w:t>
      </w:r>
      <w:r w:rsidR="006276C4">
        <w:t xml:space="preserve"> immediately r</w:t>
      </w:r>
      <w:r w:rsidR="00603383">
        <w:t>a</w:t>
      </w:r>
      <w:r w:rsidR="006276C4">
        <w:t>ise</w:t>
      </w:r>
      <w:r w:rsidR="00603383">
        <w:t>s</w:t>
      </w:r>
      <w:r w:rsidR="006276C4">
        <w:t xml:space="preserve"> the anti-democratic objection</w:t>
      </w:r>
      <w:r w:rsidR="00603383">
        <w:t>. Indeed, if the</w:t>
      </w:r>
      <w:r w:rsidR="00ED2632">
        <w:t xml:space="preserve"> purpose</w:t>
      </w:r>
      <w:r w:rsidR="00603383">
        <w:t xml:space="preserve"> of judicial review</w:t>
      </w:r>
      <w:r w:rsidR="00D74FBF">
        <w:t xml:space="preserve"> </w:t>
      </w:r>
      <w:r w:rsidR="00C67C84">
        <w:t>were</w:t>
      </w:r>
      <w:r w:rsidR="006276C4">
        <w:t xml:space="preserve"> to successfully isolate the revision</w:t>
      </w:r>
      <w:r w:rsidR="00791202">
        <w:t xml:space="preserve"> of democratic legislation</w:t>
      </w:r>
      <w:r w:rsidR="006276C4">
        <w:t xml:space="preserve"> from public political debate it would jeopardize the equal</w:t>
      </w:r>
      <w:r w:rsidR="00791202">
        <w:t xml:space="preserve"> political</w:t>
      </w:r>
      <w:r w:rsidR="006276C4">
        <w:t xml:space="preserve"> rights </w:t>
      </w:r>
      <w:r w:rsidR="006276C4" w:rsidRPr="00E03AAA">
        <w:rPr>
          <w:i/>
        </w:rPr>
        <w:t xml:space="preserve">of </w:t>
      </w:r>
      <w:r w:rsidR="00791202" w:rsidRPr="00E03AAA">
        <w:rPr>
          <w:i/>
        </w:rPr>
        <w:t>the rest of the citizenry</w:t>
      </w:r>
      <w:r w:rsidR="006276C4">
        <w:t xml:space="preserve"> to</w:t>
      </w:r>
      <w:r w:rsidR="00791202">
        <w:t xml:space="preserve"> engage and</w:t>
      </w:r>
      <w:r w:rsidR="00ED2632">
        <w:t xml:space="preserve"> shape the process of constitutional review</w:t>
      </w:r>
      <w:r w:rsidR="00791202">
        <w:t>.</w:t>
      </w:r>
      <w:r w:rsidR="006C027A">
        <w:rPr>
          <w:rStyle w:val="FootnoteReference"/>
        </w:rPr>
        <w:footnoteReference w:id="23"/>
      </w:r>
      <w:r w:rsidR="00791202">
        <w:t xml:space="preserve"> </w:t>
      </w:r>
      <w:r w:rsidR="00603383">
        <w:t xml:space="preserve">If this picture were accurate, then </w:t>
      </w:r>
      <w:r w:rsidR="00791202">
        <w:t>Waldron would</w:t>
      </w:r>
      <w:r w:rsidR="00603383">
        <w:t xml:space="preserve"> </w:t>
      </w:r>
      <w:r w:rsidR="00791202">
        <w:t xml:space="preserve">be right </w:t>
      </w:r>
      <w:r w:rsidR="00603383">
        <w:t xml:space="preserve">to characterize such a legal practice </w:t>
      </w:r>
      <w:r>
        <w:t>as “a mode of citizen involvement that is undisciplined by the principles of political equality</w:t>
      </w:r>
      <w:r w:rsidR="00E03AAA">
        <w:t>.</w:t>
      </w:r>
      <w:r>
        <w:t>”</w:t>
      </w:r>
      <w:r w:rsidR="003950F6">
        <w:rPr>
          <w:rStyle w:val="FootnoteReference"/>
        </w:rPr>
        <w:footnoteReference w:id="24"/>
      </w:r>
    </w:p>
    <w:p w14:paraId="30AA2C81" w14:textId="77777777" w:rsidR="00730BFE" w:rsidRDefault="00730BFE" w:rsidP="00E80D6A">
      <w:pPr>
        <w:spacing w:line="360" w:lineRule="auto"/>
        <w:jc w:val="both"/>
      </w:pPr>
    </w:p>
    <w:p w14:paraId="0B7A2CE1" w14:textId="343485F1" w:rsidR="00730BFE" w:rsidRPr="00730BFE" w:rsidRDefault="00730BFE" w:rsidP="00E80D6A">
      <w:pPr>
        <w:spacing w:line="360" w:lineRule="auto"/>
        <w:jc w:val="both"/>
        <w:rPr>
          <w:i/>
        </w:rPr>
      </w:pPr>
      <w:r w:rsidRPr="00730BFE">
        <w:rPr>
          <w:i/>
        </w:rPr>
        <w:t>Judicial Revi</w:t>
      </w:r>
      <w:r w:rsidR="00603383">
        <w:rPr>
          <w:i/>
        </w:rPr>
        <w:t>ew as Conversation Init</w:t>
      </w:r>
      <w:r w:rsidRPr="00730BFE">
        <w:rPr>
          <w:i/>
        </w:rPr>
        <w:t>iator</w:t>
      </w:r>
    </w:p>
    <w:p w14:paraId="310B0085" w14:textId="39F2BF85" w:rsidR="0082541E" w:rsidRDefault="00E80D6A" w:rsidP="00E80D6A">
      <w:pPr>
        <w:spacing w:line="360" w:lineRule="auto"/>
        <w:jc w:val="both"/>
      </w:pPr>
      <w:r>
        <w:t xml:space="preserve"> </w:t>
      </w:r>
    </w:p>
    <w:p w14:paraId="1A219DE2" w14:textId="2683EC80" w:rsidR="00624945" w:rsidRDefault="00E03AAA" w:rsidP="00624945">
      <w:pPr>
        <w:spacing w:line="360" w:lineRule="auto"/>
        <w:ind w:firstLine="720"/>
        <w:jc w:val="both"/>
      </w:pPr>
      <w:r>
        <w:t>There is no obvious</w:t>
      </w:r>
      <w:r w:rsidR="00730BFE">
        <w:t xml:space="preserve"> reason why </w:t>
      </w:r>
      <w:r w:rsidR="0082541E">
        <w:t>individuals</w:t>
      </w:r>
      <w:r w:rsidR="00ED2632">
        <w:t xml:space="preserve"> or groups who make use of the</w:t>
      </w:r>
      <w:r w:rsidR="0082541E">
        <w:t xml:space="preserve"> right to legal contestation</w:t>
      </w:r>
      <w:r w:rsidR="00730BFE">
        <w:t xml:space="preserve"> should </w:t>
      </w:r>
      <w:r w:rsidR="00B56C02">
        <w:t xml:space="preserve">merely </w:t>
      </w:r>
      <w:r w:rsidR="00603383">
        <w:t xml:space="preserve">be taken </w:t>
      </w:r>
      <w:r w:rsidR="00B56C02">
        <w:t xml:space="preserve">in their role as private </w:t>
      </w:r>
      <w:r w:rsidR="00603383">
        <w:t>persons</w:t>
      </w:r>
      <w:r w:rsidR="00B56C02">
        <w:t xml:space="preserve"> subject</w:t>
      </w:r>
      <w:r w:rsidR="0082541E">
        <w:t xml:space="preserve"> to the law</w:t>
      </w:r>
      <w:r w:rsidR="003950F6">
        <w:t>,</w:t>
      </w:r>
      <w:r w:rsidR="0082541E">
        <w:t xml:space="preserve"> and not </w:t>
      </w:r>
      <w:r w:rsidR="0082541E" w:rsidRPr="00046F9A">
        <w:rPr>
          <w:i/>
        </w:rPr>
        <w:t>also</w:t>
      </w:r>
      <w:r w:rsidR="00B56C02">
        <w:t xml:space="preserve"> in their role</w:t>
      </w:r>
      <w:r w:rsidR="0082541E">
        <w:t xml:space="preserve"> </w:t>
      </w:r>
      <w:r w:rsidR="00B56C02">
        <w:t>as</w:t>
      </w:r>
      <w:r w:rsidR="0082541E">
        <w:t xml:space="preserve"> citizens</w:t>
      </w:r>
      <w:r w:rsidR="00B56C02">
        <w:t xml:space="preserve"> who are co-authors of the law</w:t>
      </w:r>
      <w:r w:rsidR="0082541E">
        <w:t>.</w:t>
      </w:r>
      <w:r w:rsidR="00046F9A">
        <w:rPr>
          <w:rStyle w:val="FootnoteReference"/>
        </w:rPr>
        <w:footnoteReference w:id="25"/>
      </w:r>
      <w:r w:rsidR="0082541E">
        <w:t xml:space="preserve"> </w:t>
      </w:r>
      <w:r w:rsidR="00136392">
        <w:t xml:space="preserve">On such a limited </w:t>
      </w:r>
      <w:r w:rsidR="0082541E">
        <w:t>perspective</w:t>
      </w:r>
      <w:r w:rsidR="00136392">
        <w:t xml:space="preserve"> </w:t>
      </w:r>
      <w:r w:rsidR="00B56C02">
        <w:t>the</w:t>
      </w:r>
      <w:r w:rsidR="0082541E" w:rsidRPr="0082541E">
        <w:t xml:space="preserve"> act of questioning the constitutionality of legislation</w:t>
      </w:r>
      <w:r w:rsidR="00136392">
        <w:t xml:space="preserve"> is not</w:t>
      </w:r>
      <w:r w:rsidR="0082541E">
        <w:t xml:space="preserve"> politica</w:t>
      </w:r>
      <w:r w:rsidR="00136392">
        <w:t>lly</w:t>
      </w:r>
      <w:r w:rsidR="008A7EDF">
        <w:t xml:space="preserve"> significan</w:t>
      </w:r>
      <w:r w:rsidR="00136392">
        <w:t>t</w:t>
      </w:r>
      <w:r w:rsidR="008A7EDF">
        <w:t xml:space="preserve">. </w:t>
      </w:r>
      <w:r w:rsidR="00D74FBF">
        <w:t xml:space="preserve">Even </w:t>
      </w:r>
      <w:r w:rsidR="00136392">
        <w:t>Waldron questions the</w:t>
      </w:r>
      <w:r w:rsidR="00D74FBF">
        <w:t xml:space="preserve"> view (although with a different argumentative aim)</w:t>
      </w:r>
      <w:r w:rsidR="00136392">
        <w:t xml:space="preserve"> that citizens who </w:t>
      </w:r>
      <w:r w:rsidR="00D74FBF">
        <w:t>utilize</w:t>
      </w:r>
      <w:r w:rsidR="00136392">
        <w:t xml:space="preserve"> their </w:t>
      </w:r>
      <w:r w:rsidR="00B56C02">
        <w:t xml:space="preserve">right to legal contestation </w:t>
      </w:r>
      <w:r w:rsidR="00BC7640">
        <w:t xml:space="preserve">are </w:t>
      </w:r>
      <w:r w:rsidR="0082541E">
        <w:t>simply exercising a private right</w:t>
      </w:r>
      <w:r w:rsidR="00136392">
        <w:t xml:space="preserve"> as individual persons</w:t>
      </w:r>
      <w:r w:rsidR="0082541E">
        <w:t xml:space="preserve"> </w:t>
      </w:r>
      <w:r w:rsidR="00B56C02">
        <w:t>and not a political right as citizens</w:t>
      </w:r>
      <w:r w:rsidR="0082541E">
        <w:t xml:space="preserve">. </w:t>
      </w:r>
      <w:r w:rsidR="008C6BCF">
        <w:t>As h</w:t>
      </w:r>
      <w:r w:rsidR="0082541E">
        <w:t xml:space="preserve">e </w:t>
      </w:r>
      <w:r w:rsidR="00BC7640">
        <w:t>note</w:t>
      </w:r>
      <w:r w:rsidR="0082541E">
        <w:t>s</w:t>
      </w:r>
      <w:r w:rsidR="00986863">
        <w:t>,</w:t>
      </w:r>
      <w:r w:rsidR="0082541E">
        <w:t xml:space="preserve"> “plaintiffs or petitioners are selected by advocacy groups precisely in order to embody the abstract</w:t>
      </w:r>
      <w:r w:rsidR="00986863">
        <w:t xml:space="preserve"> characteristics that the groups want to emphasize as part of a general public policy argument. The particular idiosyncrasies of the individual litigants have usually dropped out of sight by the time the U.S. Supreme Court addresses the issue, and the Court almost always addresses the issue in general</w:t>
      </w:r>
      <w:r w:rsidR="0082541E">
        <w:t xml:space="preserve"> terms.”</w:t>
      </w:r>
      <w:r w:rsidR="00B56C02">
        <w:rPr>
          <w:rStyle w:val="FootnoteReference"/>
        </w:rPr>
        <w:footnoteReference w:id="26"/>
      </w:r>
      <w:r w:rsidR="0082541E">
        <w:t xml:space="preserve"> </w:t>
      </w:r>
      <w:r w:rsidR="00BC7640">
        <w:t>Given</w:t>
      </w:r>
      <w:r w:rsidR="00986863">
        <w:t xml:space="preserve"> that the aim of the process is to review the constitutionality of a piece of legislation, it is </w:t>
      </w:r>
      <w:r w:rsidR="00E50FC3">
        <w:t>hardly</w:t>
      </w:r>
      <w:r w:rsidR="00986863">
        <w:t xml:space="preserve"> surprising that litigants</w:t>
      </w:r>
      <w:r w:rsidR="00E50FC3">
        <w:t xml:space="preserve"> see the process as one that concerns not just their </w:t>
      </w:r>
      <w:r w:rsidR="004A7678">
        <w:t>specific</w:t>
      </w:r>
      <w:r w:rsidR="00E50FC3">
        <w:t xml:space="preserve"> private interests—as in other forms of litigation—but one that is</w:t>
      </w:r>
      <w:r w:rsidR="002B3381">
        <w:t xml:space="preserve"> essentially</w:t>
      </w:r>
      <w:r w:rsidR="00E50FC3">
        <w:t xml:space="preserve"> about the appropriateness of some general public policy.</w:t>
      </w:r>
      <w:r w:rsidR="00986863">
        <w:t xml:space="preserve"> </w:t>
      </w:r>
      <w:r w:rsidR="00E50FC3">
        <w:t xml:space="preserve">This </w:t>
      </w:r>
      <w:r w:rsidR="00A067E4">
        <w:t>observation</w:t>
      </w:r>
      <w:r w:rsidR="00E50FC3">
        <w:t xml:space="preserve"> can only be seen as an objection to judicial review or an embarrassment for</w:t>
      </w:r>
      <w:r w:rsidR="00A067E4">
        <w:t xml:space="preserve"> its defenders</w:t>
      </w:r>
      <w:r w:rsidR="00BC7640">
        <w:t xml:space="preserve"> if we assume, as</w:t>
      </w:r>
      <w:r w:rsidR="00A067E4">
        <w:t xml:space="preserve"> authors </w:t>
      </w:r>
      <w:r w:rsidR="00BC7640">
        <w:t>across</w:t>
      </w:r>
      <w:r w:rsidR="00E50FC3">
        <w:t xml:space="preserve"> both camps </w:t>
      </w:r>
      <w:r w:rsidR="00BC7640">
        <w:t xml:space="preserve">commonly do, </w:t>
      </w:r>
      <w:r w:rsidR="00E50FC3">
        <w:t>that initiating the legal process of const</w:t>
      </w:r>
      <w:r w:rsidR="004C04B7">
        <w:t>itutional review is not a</w:t>
      </w:r>
      <w:r w:rsidR="00E50FC3">
        <w:t xml:space="preserve"> task</w:t>
      </w:r>
      <w:r w:rsidR="004C04B7">
        <w:t xml:space="preserve"> to be undertaken by</w:t>
      </w:r>
      <w:r w:rsidR="00E50FC3">
        <w:t xml:space="preserve"> </w:t>
      </w:r>
      <w:r w:rsidR="00E50FC3" w:rsidRPr="00A067E4">
        <w:rPr>
          <w:i/>
        </w:rPr>
        <w:t>citizens</w:t>
      </w:r>
      <w:r w:rsidR="00547324">
        <w:t xml:space="preserve"> with political </w:t>
      </w:r>
      <w:r w:rsidR="002663CA">
        <w:t>aims</w:t>
      </w:r>
      <w:r w:rsidR="00547324">
        <w:t>,</w:t>
      </w:r>
      <w:r w:rsidR="00A067E4">
        <w:t xml:space="preserve"> but </w:t>
      </w:r>
      <w:r w:rsidR="00BC7640">
        <w:t xml:space="preserve">rather </w:t>
      </w:r>
      <w:r w:rsidR="002663CA">
        <w:t>a task</w:t>
      </w:r>
      <w:r w:rsidR="004C04B7">
        <w:t xml:space="preserve"> to be</w:t>
      </w:r>
      <w:r w:rsidR="002663CA">
        <w:t xml:space="preserve"> delegated to the courts</w:t>
      </w:r>
      <w:r w:rsidR="003950F6">
        <w:t xml:space="preserve"> </w:t>
      </w:r>
      <w:r w:rsidR="00344626">
        <w:t>that is</w:t>
      </w:r>
      <w:r w:rsidR="003950F6">
        <w:t xml:space="preserve"> triggered</w:t>
      </w:r>
      <w:r w:rsidR="002663CA">
        <w:t xml:space="preserve"> by </w:t>
      </w:r>
      <w:r w:rsidR="00547324">
        <w:t xml:space="preserve">private </w:t>
      </w:r>
      <w:r w:rsidR="00A067E4">
        <w:t>subjects</w:t>
      </w:r>
      <w:r w:rsidR="002663CA">
        <w:t xml:space="preserve"> </w:t>
      </w:r>
      <w:r w:rsidR="00B56C02">
        <w:t>pursuing exclusively</w:t>
      </w:r>
      <w:r w:rsidR="002663CA">
        <w:t xml:space="preserve"> personal aims</w:t>
      </w:r>
      <w:r w:rsidR="00A067E4">
        <w:t>.</w:t>
      </w:r>
      <w:r w:rsidR="00624945">
        <w:t xml:space="preserve"> </w:t>
      </w:r>
      <w:r w:rsidR="00BC7640">
        <w:t xml:space="preserve">However, once </w:t>
      </w:r>
      <w:r w:rsidR="002663CA">
        <w:t xml:space="preserve">legal contestation </w:t>
      </w:r>
      <w:r w:rsidR="00B40BF3">
        <w:t>is</w:t>
      </w:r>
      <w:r w:rsidR="00BC7640">
        <w:t xml:space="preserve"> seen as</w:t>
      </w:r>
      <w:r w:rsidR="002663CA">
        <w:t xml:space="preserve"> a</w:t>
      </w:r>
      <w:r w:rsidR="00E05B86">
        <w:t xml:space="preserve"> political</w:t>
      </w:r>
      <w:r w:rsidR="002663CA">
        <w:t xml:space="preserve"> form of citizen involvement, </w:t>
      </w:r>
      <w:r w:rsidR="00B40BF3">
        <w:t>Waldron</w:t>
      </w:r>
      <w:r w:rsidR="00BC7640">
        <w:t>’s characterization of the process as</w:t>
      </w:r>
      <w:r w:rsidR="00A067E4">
        <w:t xml:space="preserve"> “a mode of citizen involvement that is undisciplined by the principles of political equality”</w:t>
      </w:r>
      <w:r w:rsidR="00B578CF">
        <w:rPr>
          <w:rStyle w:val="FootnoteReference"/>
        </w:rPr>
        <w:footnoteReference w:id="27"/>
      </w:r>
      <w:r w:rsidR="00A067E4">
        <w:t xml:space="preserve"> </w:t>
      </w:r>
      <w:r w:rsidR="00BC7640">
        <w:t xml:space="preserve">doesn’t seem quite right. </w:t>
      </w:r>
      <w:r w:rsidR="008A7EDF">
        <w:t>Waldron portra</w:t>
      </w:r>
      <w:r w:rsidR="00D74FBF">
        <w:t>y</w:t>
      </w:r>
      <w:r w:rsidR="008A7EDF">
        <w:t xml:space="preserve">s </w:t>
      </w:r>
      <w:r w:rsidR="003950F6">
        <w:t>citizens’</w:t>
      </w:r>
      <w:r w:rsidR="00BC7640">
        <w:t xml:space="preserve"> use of</w:t>
      </w:r>
      <w:r w:rsidR="00B40BF3">
        <w:t xml:space="preserve"> </w:t>
      </w:r>
      <w:r w:rsidR="003950F6">
        <w:t>legal contestation</w:t>
      </w:r>
      <w:r w:rsidR="00290C73">
        <w:t xml:space="preserve"> </w:t>
      </w:r>
      <w:r w:rsidR="00B40BF3">
        <w:t>as an attempt to obtai</w:t>
      </w:r>
      <w:r w:rsidR="00E363E3">
        <w:t xml:space="preserve">n an unfair advantage over other </w:t>
      </w:r>
      <w:r w:rsidR="00B40BF3">
        <w:t xml:space="preserve">citizens who </w:t>
      </w:r>
      <w:r w:rsidR="003453F4">
        <w:t>limit their participation to</w:t>
      </w:r>
      <w:r w:rsidR="00B40BF3">
        <w:t xml:space="preserve"> the normal political process. </w:t>
      </w:r>
      <w:r w:rsidR="008A7EDF">
        <w:t xml:space="preserve">The idea is </w:t>
      </w:r>
      <w:r w:rsidR="00E05B86">
        <w:t xml:space="preserve">that </w:t>
      </w:r>
      <w:r w:rsidR="00B40BF3">
        <w:t xml:space="preserve">citizens </w:t>
      </w:r>
      <w:r w:rsidR="00AB40E6">
        <w:t>are political</w:t>
      </w:r>
      <w:r w:rsidR="00E05B86">
        <w:t xml:space="preserve"> equals to the extent that they </w:t>
      </w:r>
      <w:r w:rsidR="00B40BF3">
        <w:t>have an equal right to vote</w:t>
      </w:r>
      <w:r w:rsidR="00290C73">
        <w:t>,</w:t>
      </w:r>
      <w:r w:rsidR="00B40BF3">
        <w:t xml:space="preserve"> and </w:t>
      </w:r>
      <w:r w:rsidR="00290C73">
        <w:t xml:space="preserve">that </w:t>
      </w:r>
      <w:r w:rsidR="00B40BF3">
        <w:t>those who</w:t>
      </w:r>
      <w:r w:rsidR="008A7EDF">
        <w:t xml:space="preserve"> </w:t>
      </w:r>
      <w:r w:rsidR="001B2041">
        <w:t xml:space="preserve">look to judicial review </w:t>
      </w:r>
      <w:r w:rsidR="00B40BF3">
        <w:t>af</w:t>
      </w:r>
      <w:r w:rsidR="00D80CED">
        <w:t>ter</w:t>
      </w:r>
      <w:r w:rsidR="008A7EDF">
        <w:t xml:space="preserve"> </w:t>
      </w:r>
      <w:r w:rsidR="00D80CED">
        <w:t>having been outvoted</w:t>
      </w:r>
      <w:r w:rsidR="008A7EDF">
        <w:t xml:space="preserve"> in the political process are</w:t>
      </w:r>
      <w:r w:rsidR="00D80CED">
        <w:t xml:space="preserve"> simply</w:t>
      </w:r>
      <w:r w:rsidR="003A663F">
        <w:t xml:space="preserve"> trying to get “greater weight for their opinions than electoral politics will give them.” Therefore, “the attitudes towards one’s fellow citizens that judicial review conveys are not respectable.”</w:t>
      </w:r>
      <w:r w:rsidR="00E05B86">
        <w:rPr>
          <w:rStyle w:val="FootnoteReference"/>
        </w:rPr>
        <w:footnoteReference w:id="28"/>
      </w:r>
      <w:r w:rsidR="00624945">
        <w:t xml:space="preserve"> </w:t>
      </w:r>
    </w:p>
    <w:p w14:paraId="5223538F" w14:textId="7A48DAFA" w:rsidR="00624945" w:rsidRDefault="00D80CED" w:rsidP="001C4837">
      <w:pPr>
        <w:spacing w:line="360" w:lineRule="auto"/>
        <w:ind w:firstLine="450"/>
        <w:jc w:val="both"/>
      </w:pPr>
      <w:r>
        <w:t>There are several problems with this picture.</w:t>
      </w:r>
      <w:r w:rsidR="00B578CF">
        <w:rPr>
          <w:rStyle w:val="FootnoteReference"/>
        </w:rPr>
        <w:footnoteReference w:id="29"/>
      </w:r>
      <w:r>
        <w:t xml:space="preserve"> </w:t>
      </w:r>
      <w:r w:rsidR="00E80D6A">
        <w:t xml:space="preserve">First of all, </w:t>
      </w:r>
      <w:r w:rsidR="00CE488D">
        <w:t>citizens have equal rights to</w:t>
      </w:r>
      <w:r>
        <w:t xml:space="preserve"> legal contestation</w:t>
      </w:r>
      <w:r w:rsidR="00290C73">
        <w:t>. F</w:t>
      </w:r>
      <w:r w:rsidR="00E80D6A">
        <w:t>rom a</w:t>
      </w:r>
      <w:r>
        <w:t xml:space="preserve"> purely </w:t>
      </w:r>
      <w:r w:rsidR="00344626">
        <w:t>process-relat</w:t>
      </w:r>
      <w:r w:rsidR="00E80D6A">
        <w:t>ed perspective</w:t>
      </w:r>
      <w:r w:rsidR="00290C73">
        <w:t>,</w:t>
      </w:r>
      <w:r w:rsidR="00E80D6A">
        <w:t xml:space="preserve"> </w:t>
      </w:r>
      <w:r w:rsidR="003A663F">
        <w:t>exercising th</w:t>
      </w:r>
      <w:r w:rsidR="00290C73">
        <w:t>e</w:t>
      </w:r>
      <w:r w:rsidR="003A663F">
        <w:t xml:space="preserve"> right</w:t>
      </w:r>
      <w:r w:rsidR="00290C73">
        <w:t xml:space="preserve"> to legal contestation</w:t>
      </w:r>
      <w:r>
        <w:t xml:space="preserve"> is not obviously </w:t>
      </w:r>
      <w:r w:rsidR="00CC1E09">
        <w:t>“</w:t>
      </w:r>
      <w:r w:rsidR="00E80D6A">
        <w:t>undisciplined by</w:t>
      </w:r>
      <w:r>
        <w:t xml:space="preserve"> the principles of</w:t>
      </w:r>
      <w:r w:rsidR="00E80D6A">
        <w:t xml:space="preserve"> political equality</w:t>
      </w:r>
      <w:r>
        <w:t>.</w:t>
      </w:r>
      <w:r w:rsidR="00CC1E09">
        <w:t>”</w:t>
      </w:r>
      <w:r w:rsidR="00E80D6A">
        <w:t xml:space="preserve"> </w:t>
      </w:r>
      <w:r w:rsidR="00CE488D">
        <w:t>The path to legal contestation is</w:t>
      </w:r>
      <w:r w:rsidR="00AB40E6">
        <w:t xml:space="preserve"> in principle</w:t>
      </w:r>
      <w:r w:rsidR="00CE488D">
        <w:t xml:space="preserve"> open to all citizens.</w:t>
      </w:r>
      <w:r w:rsidR="00AB40E6">
        <w:rPr>
          <w:rStyle w:val="FootnoteReference"/>
        </w:rPr>
        <w:footnoteReference w:id="30"/>
      </w:r>
      <w:r w:rsidR="00CE488D">
        <w:t xml:space="preserve"> </w:t>
      </w:r>
      <w:r>
        <w:t>Th</w:t>
      </w:r>
      <w:r w:rsidR="00290C73">
        <w:t>e mere fact that certain citizens initiate</w:t>
      </w:r>
      <w:r>
        <w:t xml:space="preserve"> a legal process to contest </w:t>
      </w:r>
      <w:r w:rsidR="00290C73">
        <w:t>a</w:t>
      </w:r>
      <w:r>
        <w:t xml:space="preserve"> piece of legislation does not pre</w:t>
      </w:r>
      <w:r w:rsidR="00290C73">
        <w:t>clude</w:t>
      </w:r>
      <w:r>
        <w:t xml:space="preserve"> other</w:t>
      </w:r>
      <w:r w:rsidR="00CE488D">
        <w:t xml:space="preserve"> citizens </w:t>
      </w:r>
      <w:r w:rsidR="00290C73">
        <w:t>from</w:t>
      </w:r>
      <w:r w:rsidR="00CE488D">
        <w:t xml:space="preserve"> litigat</w:t>
      </w:r>
      <w:r w:rsidR="00290C73">
        <w:t>ing</w:t>
      </w:r>
      <w:r w:rsidR="00CE488D">
        <w:t xml:space="preserve"> their case</w:t>
      </w:r>
      <w:r w:rsidR="00290C73">
        <w:t>s</w:t>
      </w:r>
      <w:r>
        <w:t>, present</w:t>
      </w:r>
      <w:r w:rsidR="00290C73">
        <w:t>ing</w:t>
      </w:r>
      <w:r>
        <w:t xml:space="preserve"> their own</w:t>
      </w:r>
      <w:r w:rsidR="00CE488D">
        <w:t xml:space="preserve"> legal arguments, pick</w:t>
      </w:r>
      <w:r w:rsidR="00290C73">
        <w:t>ing</w:t>
      </w:r>
      <w:r w:rsidR="00CE488D">
        <w:t xml:space="preserve"> the</w:t>
      </w:r>
      <w:r w:rsidR="003453F4">
        <w:t xml:space="preserve">ir preferred venues, </w:t>
      </w:r>
      <w:r w:rsidR="00290C73">
        <w:t>and so forth</w:t>
      </w:r>
      <w:r w:rsidR="00CE488D">
        <w:t xml:space="preserve">. Even after the process has reached a final verdict </w:t>
      </w:r>
      <w:r w:rsidR="00290C73">
        <w:t>in</w:t>
      </w:r>
      <w:r w:rsidR="00CE488D">
        <w:t xml:space="preserve"> the Supreme Court, nothing prevents citizens from mobilizing for a referendum on an amendment proposal</w:t>
      </w:r>
      <w:r w:rsidR="00290C73">
        <w:t xml:space="preserve"> or similar political measures</w:t>
      </w:r>
      <w:r w:rsidR="00CE488D">
        <w:t xml:space="preserve">. </w:t>
      </w:r>
      <w:r w:rsidR="0064734C">
        <w:t>More to the point,</w:t>
      </w:r>
      <w:r w:rsidR="00CE488D">
        <w:t xml:space="preserve"> the reference to political equality</w:t>
      </w:r>
      <w:r w:rsidR="00290C73">
        <w:t xml:space="preserve"> in Waldron’s</w:t>
      </w:r>
      <w:r w:rsidR="00CE488D">
        <w:t xml:space="preserve"> </w:t>
      </w:r>
      <w:r w:rsidR="00290C73">
        <w:t xml:space="preserve">characterization of judicial review </w:t>
      </w:r>
      <w:r w:rsidR="00CE488D">
        <w:t>suggests</w:t>
      </w:r>
      <w:r w:rsidR="0064734C">
        <w:t xml:space="preserve"> a misleading</w:t>
      </w:r>
      <w:r w:rsidR="00CE488D">
        <w:t xml:space="preserve"> analogy between the right to legal contestation and the right to vote.</w:t>
      </w:r>
      <w:r w:rsidR="0064734C">
        <w:t xml:space="preserve"> Whereas the latter g</w:t>
      </w:r>
      <w:r w:rsidR="003453F4">
        <w:t xml:space="preserve">ives </w:t>
      </w:r>
      <w:r w:rsidR="0064734C">
        <w:t>citizen</w:t>
      </w:r>
      <w:r w:rsidR="003453F4">
        <w:t>s</w:t>
      </w:r>
      <w:r w:rsidR="0064734C">
        <w:t xml:space="preserve"> decision-making authority, the former does not give citizens any</w:t>
      </w:r>
      <w:r w:rsidR="00290C73">
        <w:t xml:space="preserve"> such</w:t>
      </w:r>
      <w:r w:rsidR="0064734C">
        <w:t xml:space="preserve"> right</w:t>
      </w:r>
      <w:r w:rsidR="00290C73">
        <w:t xml:space="preserve">. The right to legal contestation does not give citizens any right whatsoever to </w:t>
      </w:r>
      <w:r w:rsidR="00290C73" w:rsidRPr="00290C73">
        <w:rPr>
          <w:i/>
        </w:rPr>
        <w:t>decide</w:t>
      </w:r>
      <w:r w:rsidR="00290C73">
        <w:t xml:space="preserve"> a case. What i</w:t>
      </w:r>
      <w:r w:rsidR="0064734C">
        <w:t>t gives them is the power to request a fair revi</w:t>
      </w:r>
      <w:r w:rsidR="00290C73">
        <w:t>ew</w:t>
      </w:r>
      <w:r w:rsidR="00D74FBF">
        <w:t xml:space="preserve"> of a</w:t>
      </w:r>
      <w:r w:rsidR="0064734C">
        <w:t xml:space="preserve"> case </w:t>
      </w:r>
      <w:r w:rsidR="00F12759">
        <w:t xml:space="preserve">on the basis of </w:t>
      </w:r>
      <w:r w:rsidR="00290C73">
        <w:t xml:space="preserve">reasoned </w:t>
      </w:r>
      <w:r w:rsidR="00F12759">
        <w:t xml:space="preserve">arguments. </w:t>
      </w:r>
      <w:r w:rsidR="00290C73">
        <w:t>The right to legal contestation</w:t>
      </w:r>
      <w:r w:rsidR="00F12759">
        <w:t xml:space="preserve"> is a right to</w:t>
      </w:r>
      <w:r w:rsidR="007D7D66">
        <w:t xml:space="preserve"> a fair hearing of </w:t>
      </w:r>
      <w:r w:rsidR="0064734C">
        <w:t>arguments and objections</w:t>
      </w:r>
      <w:r w:rsidR="007D7D66">
        <w:t xml:space="preserve"> against a statute that </w:t>
      </w:r>
      <w:r w:rsidR="00290C73">
        <w:t>purportedly</w:t>
      </w:r>
      <w:r w:rsidR="007D7D66">
        <w:t xml:space="preserve"> violates </w:t>
      </w:r>
      <w:r w:rsidR="00CF7B33">
        <w:t>the constitution</w:t>
      </w:r>
      <w:r w:rsidR="007D7D66">
        <w:t xml:space="preserve">. It </w:t>
      </w:r>
      <w:r w:rsidR="00305C62">
        <w:t>gives citizens the opportunity</w:t>
      </w:r>
      <w:r w:rsidR="007D7D66">
        <w:t xml:space="preserve"> to try to convince the court and other citizens of the merits of the</w:t>
      </w:r>
      <w:r w:rsidR="00290C73">
        <w:t>ir</w:t>
      </w:r>
      <w:r w:rsidR="007D7D66">
        <w:t xml:space="preserve"> case. </w:t>
      </w:r>
      <w:r w:rsidR="00305C62">
        <w:t>But precisely because the</w:t>
      </w:r>
      <w:r w:rsidR="007D7D66">
        <w:t xml:space="preserve"> process is </w:t>
      </w:r>
      <w:r w:rsidR="003A663F">
        <w:t>driven by the merits</w:t>
      </w:r>
      <w:r w:rsidR="007D7D66">
        <w:t xml:space="preserve">, </w:t>
      </w:r>
      <w:r w:rsidR="00305C62">
        <w:t xml:space="preserve">there is no sense in which the litigants are getting some extra or unfair political </w:t>
      </w:r>
      <w:r w:rsidR="00590664">
        <w:t>influence</w:t>
      </w:r>
      <w:r w:rsidR="00305C62">
        <w:t>.</w:t>
      </w:r>
      <w:r w:rsidR="00590664">
        <w:rPr>
          <w:rStyle w:val="FootnoteReference"/>
        </w:rPr>
        <w:footnoteReference w:id="31"/>
      </w:r>
      <w:r w:rsidR="00243496">
        <w:t xml:space="preserve"> By using the legal venue</w:t>
      </w:r>
      <w:r w:rsidR="00087D80">
        <w:t>,</w:t>
      </w:r>
      <w:r w:rsidR="00243496">
        <w:t xml:space="preserve"> litigants do not acquire any power to make their views and arguments any more or less </w:t>
      </w:r>
      <w:r w:rsidR="0044268F">
        <w:t>convincing</w:t>
      </w:r>
      <w:r w:rsidR="00243496">
        <w:t xml:space="preserve"> than they actually are.</w:t>
      </w:r>
      <w:r w:rsidR="00F12759">
        <w:t xml:space="preserve"> </w:t>
      </w:r>
      <w:r w:rsidR="0044268F">
        <w:t>The right to legal contestation</w:t>
      </w:r>
      <w:r w:rsidR="00513DF9">
        <w:t xml:space="preserve"> is more modes</w:t>
      </w:r>
      <w:r w:rsidR="00BB375A">
        <w:t>t</w:t>
      </w:r>
      <w:r w:rsidR="00513DF9">
        <w:t>. It</w:t>
      </w:r>
      <w:r w:rsidR="0044268F">
        <w:t xml:space="preserve"> gives citizens a right to be listened to, to open or reopen a conversation based on arguments </w:t>
      </w:r>
      <w:r w:rsidR="00087D80">
        <w:t>about</w:t>
      </w:r>
      <w:r w:rsidR="0044268F">
        <w:t xml:space="preserve"> the constitutionality of a statute, so that explicit </w:t>
      </w:r>
      <w:r w:rsidR="00087D80">
        <w:t xml:space="preserve">and </w:t>
      </w:r>
      <w:r w:rsidR="0044268F">
        <w:t>reasoned justifications for and against the statute in question become available for public deliberation.</w:t>
      </w:r>
    </w:p>
    <w:p w14:paraId="261C3E09" w14:textId="44106212" w:rsidR="003C1E99" w:rsidRDefault="00B578CF" w:rsidP="00B578CF">
      <w:pPr>
        <w:spacing w:line="360" w:lineRule="auto"/>
        <w:ind w:firstLine="450"/>
        <w:jc w:val="both"/>
      </w:pPr>
      <w:r>
        <w:t>Granted,</w:t>
      </w:r>
      <w:r w:rsidR="00A950A0">
        <w:t xml:space="preserve"> the political </w:t>
      </w:r>
      <w:r w:rsidR="00117EC6">
        <w:t>process</w:t>
      </w:r>
      <w:r w:rsidR="00A950A0">
        <w:t xml:space="preserve"> </w:t>
      </w:r>
      <w:r w:rsidR="00087D80">
        <w:t xml:space="preserve">also </w:t>
      </w:r>
      <w:r w:rsidR="00A950A0">
        <w:t>allows for that kind of reasoned</w:t>
      </w:r>
      <w:r w:rsidR="003A663F">
        <w:t xml:space="preserve"> </w:t>
      </w:r>
      <w:r w:rsidR="00087D80">
        <w:t xml:space="preserve">deliberation in both the legislature and </w:t>
      </w:r>
      <w:r w:rsidR="00A950A0">
        <w:t xml:space="preserve">the public sphere. However, it cannot guarantee it. </w:t>
      </w:r>
      <w:r w:rsidR="00087D80">
        <w:t>Even with</w:t>
      </w:r>
      <w:r w:rsidR="00117EC6">
        <w:t xml:space="preserve"> minimally complex pieces of legislation </w:t>
      </w:r>
      <w:r w:rsidR="00A950A0">
        <w:t xml:space="preserve">it is not possible to </w:t>
      </w:r>
      <w:r w:rsidR="00117EC6">
        <w:t xml:space="preserve">anticipate all the </w:t>
      </w:r>
      <w:r w:rsidR="00A950A0">
        <w:t xml:space="preserve">repercussions </w:t>
      </w:r>
      <w:r w:rsidR="00117EC6">
        <w:t>and differential impact</w:t>
      </w:r>
      <w:r w:rsidR="00087D80">
        <w:t>s</w:t>
      </w:r>
      <w:r w:rsidR="00117EC6">
        <w:t xml:space="preserve"> that they </w:t>
      </w:r>
      <w:r w:rsidR="00A950A0">
        <w:t>may have on the fundamental rights of different citizens and groups</w:t>
      </w:r>
      <w:r w:rsidR="00B15F93">
        <w:t xml:space="preserve"> as a result of their application</w:t>
      </w:r>
      <w:r w:rsidR="00A950A0">
        <w:t xml:space="preserve"> under changing social</w:t>
      </w:r>
      <w:r w:rsidR="00117EC6">
        <w:t xml:space="preserve"> and historical circumstances. Statutes and policies </w:t>
      </w:r>
      <w:r w:rsidR="008D4CFF">
        <w:t xml:space="preserve">often </w:t>
      </w:r>
      <w:r w:rsidR="00117EC6">
        <w:t>do not we</w:t>
      </w:r>
      <w:r w:rsidR="00087D80">
        <w:t>ar</w:t>
      </w:r>
      <w:r w:rsidR="00117EC6">
        <w:t xml:space="preserve"> their potential unconstitutionality on their sleeves, so to speak. </w:t>
      </w:r>
      <w:r w:rsidR="00087D80">
        <w:t>Consequently,</w:t>
      </w:r>
      <w:r w:rsidR="00117EC6">
        <w:t xml:space="preserve"> there is no way to guarantee that</w:t>
      </w:r>
      <w:r w:rsidR="00087D80">
        <w:t>, for each piece of legislation,</w:t>
      </w:r>
      <w:r w:rsidR="00117EC6">
        <w:t xml:space="preserve"> the political process will reliably identify </w:t>
      </w:r>
      <w:r w:rsidR="0058018C">
        <w:t xml:space="preserve">all </w:t>
      </w:r>
      <w:r w:rsidR="00117EC6">
        <w:t xml:space="preserve">potential collisions </w:t>
      </w:r>
      <w:r w:rsidR="00087D80">
        <w:t>with</w:t>
      </w:r>
      <w:r w:rsidR="0058018C">
        <w:t xml:space="preserve"> the fundamental rights of different</w:t>
      </w:r>
      <w:r w:rsidR="00117EC6">
        <w:t xml:space="preserve"> citizens and groups, s</w:t>
      </w:r>
      <w:r w:rsidR="00087D80">
        <w:t>uch</w:t>
      </w:r>
      <w:r w:rsidR="0058018C">
        <w:t xml:space="preserve"> that they can </w:t>
      </w:r>
      <w:r w:rsidR="00A87C4C">
        <w:t xml:space="preserve">be </w:t>
      </w:r>
      <w:r w:rsidR="00087D80">
        <w:t xml:space="preserve">preemptively </w:t>
      </w:r>
      <w:r w:rsidR="00A87C4C">
        <w:t>subject</w:t>
      </w:r>
      <w:r w:rsidR="00087D80">
        <w:t>ed</w:t>
      </w:r>
      <w:r w:rsidR="00A87C4C">
        <w:t xml:space="preserve"> to</w:t>
      </w:r>
      <w:r w:rsidR="00117EC6">
        <w:t xml:space="preserve"> proper </w:t>
      </w:r>
      <w:r w:rsidR="00A87C4C">
        <w:t xml:space="preserve">political deliberation and ruled out with convincing arguments. </w:t>
      </w:r>
      <w:r w:rsidR="0058018C">
        <w:t xml:space="preserve">Indeed, as Waldron himself recognizes, </w:t>
      </w:r>
      <w:r w:rsidR="00624945">
        <w:t>those</w:t>
      </w:r>
      <w:r w:rsidR="007D7D66">
        <w:t xml:space="preserve"> citizens</w:t>
      </w:r>
      <w:r w:rsidR="00624945">
        <w:t xml:space="preserve"> directly affe</w:t>
      </w:r>
      <w:r w:rsidR="007D7D66">
        <w:t>cted</w:t>
      </w:r>
      <w:r w:rsidR="0058018C">
        <w:t xml:space="preserve"> by the</w:t>
      </w:r>
      <w:r w:rsidR="00087D80">
        <w:t xml:space="preserve"> contested</w:t>
      </w:r>
      <w:r w:rsidR="0058018C">
        <w:t xml:space="preserve"> statutes</w:t>
      </w:r>
      <w:r w:rsidR="00897993">
        <w:t xml:space="preserve"> or policies</w:t>
      </w:r>
      <w:r w:rsidR="00087D80">
        <w:t xml:space="preserve"> </w:t>
      </w:r>
      <w:r w:rsidR="007D7D66">
        <w:t xml:space="preserve">are more likely to </w:t>
      </w:r>
      <w:r w:rsidR="0058018C">
        <w:t>detect the specific</w:t>
      </w:r>
      <w:r w:rsidR="007D7D66">
        <w:t xml:space="preserve"> ways in which the</w:t>
      </w:r>
      <w:r w:rsidR="0058018C">
        <w:t>y</w:t>
      </w:r>
      <w:r w:rsidR="00624945">
        <w:t xml:space="preserve"> </w:t>
      </w:r>
      <w:r w:rsidR="007D7D66">
        <w:t>i</w:t>
      </w:r>
      <w:r w:rsidR="00624945">
        <w:t>nfringe upon their rights th</w:t>
      </w:r>
      <w:r w:rsidR="00087D80">
        <w:t>a</w:t>
      </w:r>
      <w:r w:rsidR="00624945">
        <w:t>n other citizens or politicians</w:t>
      </w:r>
      <w:r w:rsidR="0058018C">
        <w:t xml:space="preserve">. Moreover, since there </w:t>
      </w:r>
      <w:r w:rsidR="003C1E99">
        <w:t>are</w:t>
      </w:r>
      <w:r w:rsidR="0058018C">
        <w:t xml:space="preserve"> bound to be disagreements among citizens </w:t>
      </w:r>
      <w:r w:rsidR="00D74FBF">
        <w:t>regarding</w:t>
      </w:r>
      <w:r w:rsidR="0058018C">
        <w:t xml:space="preserve"> whether or not the statute in question violates rights, it is unlikely that those who </w:t>
      </w:r>
      <w:r w:rsidR="00D74FBF">
        <w:t>fail to</w:t>
      </w:r>
      <w:r w:rsidR="00897993">
        <w:t xml:space="preserve"> see any merits in the case will engage in</w:t>
      </w:r>
      <w:r w:rsidR="00AA54E2">
        <w:t xml:space="preserve"> a reasoned revision o</w:t>
      </w:r>
      <w:r w:rsidR="00087D80">
        <w:t>f</w:t>
      </w:r>
      <w:r w:rsidR="00AA54E2">
        <w:t xml:space="preserve"> their own accord, since,</w:t>
      </w:r>
      <w:r w:rsidR="00897993">
        <w:t xml:space="preserve"> from their perspective, there is nothing</w:t>
      </w:r>
      <w:r w:rsidR="00AA54E2">
        <w:t xml:space="preserve"> in particular</w:t>
      </w:r>
      <w:r w:rsidR="00087D80">
        <w:t xml:space="preserve"> to </w:t>
      </w:r>
      <w:r w:rsidR="00897993">
        <w:t>deliberate about</w:t>
      </w:r>
      <w:r w:rsidR="00087D80">
        <w:t xml:space="preserve"> or revise</w:t>
      </w:r>
      <w:r w:rsidR="00897993">
        <w:t>.</w:t>
      </w:r>
      <w:r w:rsidR="00C60C32">
        <w:rPr>
          <w:rStyle w:val="FootnoteReference"/>
        </w:rPr>
        <w:footnoteReference w:id="32"/>
      </w:r>
      <w:r w:rsidR="00624945">
        <w:t xml:space="preserve"> </w:t>
      </w:r>
    </w:p>
    <w:p w14:paraId="0E4BEC0F" w14:textId="77777777" w:rsidR="003C1E99" w:rsidRDefault="00087D80" w:rsidP="00B578CF">
      <w:pPr>
        <w:spacing w:line="360" w:lineRule="auto"/>
        <w:ind w:firstLine="450"/>
        <w:jc w:val="both"/>
      </w:pPr>
      <w:r>
        <w:t xml:space="preserve">While </w:t>
      </w:r>
      <w:r w:rsidR="00897993">
        <w:t xml:space="preserve">Waldron recognizes this point, he treats it as </w:t>
      </w:r>
      <w:r w:rsidR="00624945">
        <w:t>a purely</w:t>
      </w:r>
      <w:r w:rsidR="00723AF7">
        <w:t xml:space="preserve"> outcome-</w:t>
      </w:r>
      <w:r w:rsidR="00CC1E09">
        <w:t>related</w:t>
      </w:r>
      <w:r w:rsidR="00723AF7">
        <w:t xml:space="preserve"> consideration</w:t>
      </w:r>
      <w:r w:rsidR="00897993">
        <w:t xml:space="preserve">. </w:t>
      </w:r>
      <w:r w:rsidR="008605EE">
        <w:t>He conceptualizes th</w:t>
      </w:r>
      <w:r w:rsidR="00897993">
        <w:t>e instrumental value of</w:t>
      </w:r>
      <w:r w:rsidR="00723AF7">
        <w:t xml:space="preserve"> judicial review from </w:t>
      </w:r>
      <w:r w:rsidR="008605EE">
        <w:t>an</w:t>
      </w:r>
      <w:r w:rsidR="00723AF7">
        <w:t xml:space="preserve"> epistemic perspective </w:t>
      </w:r>
      <w:r w:rsidR="008605EE">
        <w:t>that sees those affected as more reliable</w:t>
      </w:r>
      <w:r w:rsidR="00723AF7">
        <w:t xml:space="preserve"> </w:t>
      </w:r>
      <w:r w:rsidR="00C95129">
        <w:t>at</w:t>
      </w:r>
      <w:r w:rsidR="00723AF7">
        <w:t xml:space="preserve"> identifying potential rights violations</w:t>
      </w:r>
      <w:r w:rsidR="008605EE">
        <w:t>,</w:t>
      </w:r>
      <w:r w:rsidR="00C95129">
        <w:t xml:space="preserve"> and </w:t>
      </w:r>
      <w:r w:rsidR="008605EE">
        <w:t xml:space="preserve">he </w:t>
      </w:r>
      <w:r w:rsidR="00C95129">
        <w:t>recognizes that “it is useful to have a mechanis</w:t>
      </w:r>
      <w:r w:rsidR="008605EE">
        <w:t>m that allows citizens to bring</w:t>
      </w:r>
      <w:r w:rsidR="00C95129">
        <w:t xml:space="preserve"> these issues to everyone’s attention as they arise.”</w:t>
      </w:r>
      <w:r w:rsidR="00114863">
        <w:rPr>
          <w:rStyle w:val="FootnoteReference"/>
        </w:rPr>
        <w:footnoteReference w:id="33"/>
      </w:r>
      <w:r w:rsidR="00C95129">
        <w:t xml:space="preserve"> However, he argues that there are other mechanisms that can fulfill th</w:t>
      </w:r>
      <w:r w:rsidR="008605EE">
        <w:t>is</w:t>
      </w:r>
      <w:r w:rsidR="00C95129">
        <w:t xml:space="preserve"> same epistemic function such as charging the general attorney with a </w:t>
      </w:r>
      <w:r w:rsidR="003C1E99">
        <w:t>“</w:t>
      </w:r>
      <w:r w:rsidR="00C95129">
        <w:t>duty to scrutinize legislative proposals and publically identify any issues of rights as they arise.”</w:t>
      </w:r>
      <w:r w:rsidR="00114863">
        <w:rPr>
          <w:rStyle w:val="FootnoteReference"/>
        </w:rPr>
        <w:footnoteReference w:id="34"/>
      </w:r>
      <w:r w:rsidR="00C95129">
        <w:t xml:space="preserve"> </w:t>
      </w:r>
      <w:r w:rsidR="008605EE">
        <w:t>From a purely epistemic perspective, such</w:t>
      </w:r>
      <w:r w:rsidR="006B7762">
        <w:t xml:space="preserve"> an </w:t>
      </w:r>
      <w:r w:rsidR="00960DAF">
        <w:t>alternative</w:t>
      </w:r>
      <w:r w:rsidR="00513DF9">
        <w:t xml:space="preserve"> procedure</w:t>
      </w:r>
      <w:r w:rsidR="008605EE">
        <w:t xml:space="preserve"> has major weaknesses: rights issues</w:t>
      </w:r>
      <w:r w:rsidR="00960DAF">
        <w:t xml:space="preserve"> may become visible </w:t>
      </w:r>
      <w:r w:rsidR="006B7762">
        <w:t>only after the subsequent application of the law</w:t>
      </w:r>
      <w:r w:rsidR="008F74E6">
        <w:t xml:space="preserve">, and </w:t>
      </w:r>
      <w:r w:rsidR="006B7762">
        <w:t xml:space="preserve">they </w:t>
      </w:r>
      <w:r w:rsidR="00960DAF">
        <w:t>may</w:t>
      </w:r>
      <w:r w:rsidR="008F74E6">
        <w:t xml:space="preserve"> only</w:t>
      </w:r>
      <w:r w:rsidR="00960DAF">
        <w:t xml:space="preserve"> </w:t>
      </w:r>
      <w:r w:rsidR="00CC1E09">
        <w:t>be “visible”</w:t>
      </w:r>
      <w:r w:rsidR="008F74E6">
        <w:t xml:space="preserve"> </w:t>
      </w:r>
      <w:r w:rsidR="00960DAF">
        <w:t xml:space="preserve">to </w:t>
      </w:r>
      <w:r w:rsidR="006B7762">
        <w:t>the</w:t>
      </w:r>
      <w:r w:rsidR="00960DAF">
        <w:t xml:space="preserve"> affected individuals </w:t>
      </w:r>
      <w:r w:rsidR="006B7762">
        <w:t>while the rest of the citizenry</w:t>
      </w:r>
      <w:r w:rsidR="008F74E6">
        <w:t xml:space="preserve"> </w:t>
      </w:r>
      <w:r w:rsidR="007B37F7">
        <w:t xml:space="preserve">continues to be </w:t>
      </w:r>
      <w:r w:rsidR="006B7762">
        <w:t>blind</w:t>
      </w:r>
      <w:r w:rsidR="008F74E6">
        <w:t xml:space="preserve"> to them. However, leaving these weaknesses aside,</w:t>
      </w:r>
      <w:r w:rsidR="00960DAF">
        <w:t xml:space="preserve"> </w:t>
      </w:r>
      <w:r w:rsidR="006B7762">
        <w:t xml:space="preserve">the main problem </w:t>
      </w:r>
      <w:r w:rsidR="008F74E6">
        <w:t>with</w:t>
      </w:r>
      <w:r w:rsidR="006B7762">
        <w:t xml:space="preserve"> assessing the right to legal contestation from a purely instrumental perspective</w:t>
      </w:r>
      <w:r w:rsidR="00C95129">
        <w:t xml:space="preserve"> </w:t>
      </w:r>
      <w:r w:rsidR="006B7762">
        <w:t xml:space="preserve">is that it fails to </w:t>
      </w:r>
      <w:r w:rsidR="00624945">
        <w:t xml:space="preserve">recognize </w:t>
      </w:r>
      <w:r w:rsidR="008F74E6">
        <w:t>the right’s</w:t>
      </w:r>
      <w:r w:rsidR="006B7762">
        <w:t xml:space="preserve"> </w:t>
      </w:r>
      <w:r w:rsidR="00624945">
        <w:t xml:space="preserve">intrinsic </w:t>
      </w:r>
      <w:r w:rsidR="00897993">
        <w:t xml:space="preserve">political </w:t>
      </w:r>
      <w:r w:rsidR="00624945">
        <w:t>value</w:t>
      </w:r>
      <w:r w:rsidR="00FA51E5">
        <w:t xml:space="preserve">. </w:t>
      </w:r>
    </w:p>
    <w:p w14:paraId="37C9444B" w14:textId="77777777" w:rsidR="001B2041" w:rsidRDefault="00FA51E5" w:rsidP="00B578CF">
      <w:pPr>
        <w:spacing w:line="360" w:lineRule="auto"/>
        <w:ind w:firstLine="450"/>
        <w:jc w:val="both"/>
      </w:pPr>
      <w:r>
        <w:t>Perhaps the best way to hi</w:t>
      </w:r>
      <w:r w:rsidR="00466754">
        <w:t>ghlight th</w:t>
      </w:r>
      <w:r w:rsidR="008F74E6">
        <w:t>is</w:t>
      </w:r>
      <w:r w:rsidR="00466754">
        <w:t xml:space="preserve"> intrinsic political</w:t>
      </w:r>
      <w:r w:rsidR="008F74E6">
        <w:t xml:space="preserve"> value</w:t>
      </w:r>
      <w:r>
        <w:t xml:space="preserve"> is by thinking of </w:t>
      </w:r>
      <w:r w:rsidR="00C70091">
        <w:t xml:space="preserve">a case where </w:t>
      </w:r>
      <w:r w:rsidR="00C70091">
        <w:rPr>
          <w:i/>
        </w:rPr>
        <w:t>per</w:t>
      </w:r>
      <w:r w:rsidR="00C70091" w:rsidRPr="00C70091">
        <w:rPr>
          <w:i/>
        </w:rPr>
        <w:t xml:space="preserve"> hypothesi</w:t>
      </w:r>
      <w:r w:rsidR="00C70091">
        <w:rPr>
          <w:i/>
        </w:rPr>
        <w:t>s</w:t>
      </w:r>
      <w:r w:rsidR="00466754">
        <w:t xml:space="preserve"> </w:t>
      </w:r>
      <w:r w:rsidR="00C70091">
        <w:t xml:space="preserve">we can rule </w:t>
      </w:r>
      <w:r w:rsidR="00466754">
        <w:t>out any</w:t>
      </w:r>
      <w:r>
        <w:t xml:space="preserve"> instrumental</w:t>
      </w:r>
      <w:r w:rsidR="00466754">
        <w:t xml:space="preserve"> value</w:t>
      </w:r>
      <w:r w:rsidR="008F74E6">
        <w:t xml:space="preserve">. Let’s imagine </w:t>
      </w:r>
      <w:r>
        <w:t>a</w:t>
      </w:r>
      <w:r w:rsidR="00C70091">
        <w:t xml:space="preserve"> small</w:t>
      </w:r>
      <w:r w:rsidR="008F74E6">
        <w:t xml:space="preserve"> group of citizens</w:t>
      </w:r>
      <w:r>
        <w:t xml:space="preserve"> is convinced that a particular statute violates some</w:t>
      </w:r>
      <w:r w:rsidR="009D3DEC">
        <w:t xml:space="preserve"> of their</w:t>
      </w:r>
      <w:r>
        <w:t xml:space="preserve"> fundamental right</w:t>
      </w:r>
      <w:r w:rsidR="00C70091">
        <w:t>s, but</w:t>
      </w:r>
      <w:r w:rsidR="008F74E6">
        <w:t xml:space="preserve"> </w:t>
      </w:r>
      <w:r w:rsidR="00C70091">
        <w:t xml:space="preserve">that </w:t>
      </w:r>
      <w:r w:rsidR="009D3DEC">
        <w:t>the rest of the citizenry can</w:t>
      </w:r>
      <w:r w:rsidR="008F74E6">
        <w:t>not see any merit</w:t>
      </w:r>
      <w:r w:rsidR="009D3DEC">
        <w:t xml:space="preserve"> in the case</w:t>
      </w:r>
      <w:r w:rsidR="00C70091">
        <w:t xml:space="preserve"> at all</w:t>
      </w:r>
      <w:r w:rsidR="009D3DEC">
        <w:t xml:space="preserve">. Since </w:t>
      </w:r>
      <w:r w:rsidR="008F74E6">
        <w:t xml:space="preserve">the constitutionality of </w:t>
      </w:r>
      <w:r w:rsidR="009D3DEC">
        <w:t xml:space="preserve">statutes </w:t>
      </w:r>
      <w:r w:rsidR="008F74E6">
        <w:t xml:space="preserve">is often difficult to discern </w:t>
      </w:r>
      <w:r w:rsidR="009D3DEC">
        <w:t>and disagreements are pervasive in politics, chances are that</w:t>
      </w:r>
      <w:r w:rsidR="008F74E6">
        <w:t xml:space="preserve"> a contested statute</w:t>
      </w:r>
      <w:r w:rsidR="00C70091">
        <w:t xml:space="preserve"> is constitutional if </w:t>
      </w:r>
      <w:r w:rsidR="00D74FBF">
        <w:t xml:space="preserve">an overwhelming majority of citizens </w:t>
      </w:r>
      <w:r w:rsidR="009D3DEC">
        <w:t>think</w:t>
      </w:r>
      <w:r w:rsidR="00D74FBF">
        <w:t xml:space="preserve"> that</w:t>
      </w:r>
      <w:r w:rsidR="009D3DEC">
        <w:t xml:space="preserve"> it is. </w:t>
      </w:r>
      <w:r w:rsidR="00487C6D">
        <w:t>In such</w:t>
      </w:r>
      <w:r w:rsidR="00601843">
        <w:t xml:space="preserve"> an</w:t>
      </w:r>
      <w:r w:rsidR="00487C6D">
        <w:t xml:space="preserve"> imagined scenario,</w:t>
      </w:r>
      <w:r w:rsidR="009D3DEC">
        <w:t xml:space="preserve"> the citizenry</w:t>
      </w:r>
      <w:r w:rsidR="009D3520">
        <w:t xml:space="preserve"> is</w:t>
      </w:r>
      <w:r w:rsidR="00487C6D">
        <w:t xml:space="preserve"> very unlikely to engage</w:t>
      </w:r>
      <w:r w:rsidR="009D3DEC">
        <w:t xml:space="preserve"> in a thorough</w:t>
      </w:r>
      <w:r w:rsidR="00487C6D">
        <w:t xml:space="preserve"> and</w:t>
      </w:r>
      <w:r w:rsidR="009D3DEC">
        <w:t xml:space="preserve"> reasoned debate</w:t>
      </w:r>
      <w:r w:rsidR="00487C6D">
        <w:t xml:space="preserve"> where all the necessary evidence</w:t>
      </w:r>
      <w:r w:rsidR="00B22FDC">
        <w:t xml:space="preserve"> and</w:t>
      </w:r>
      <w:r w:rsidR="009D3DEC">
        <w:t xml:space="preserve"> arguments</w:t>
      </w:r>
      <w:r w:rsidR="00487C6D">
        <w:t xml:space="preserve"> are provided so as to convincingly rebut </w:t>
      </w:r>
      <w:r w:rsidR="009D3DEC">
        <w:t xml:space="preserve">the opinion of </w:t>
      </w:r>
      <w:r w:rsidR="00487C6D">
        <w:t>the dissenting group of citizens. B</w:t>
      </w:r>
      <w:r w:rsidR="00513DF9">
        <w:t xml:space="preserve">ut this does not have to be an indication that they do not care about rights or that they are acting in bad faith. </w:t>
      </w:r>
      <w:r w:rsidR="009D3DEC">
        <w:t xml:space="preserve">After all, there are only so many wrong views that citizens can </w:t>
      </w:r>
      <w:r w:rsidR="00487C6D">
        <w:t>devote</w:t>
      </w:r>
      <w:r w:rsidR="009D3DEC">
        <w:t xml:space="preserve"> time and e</w:t>
      </w:r>
      <w:r w:rsidR="00487C6D">
        <w:t>nergy towards trying to</w:t>
      </w:r>
      <w:r w:rsidR="009D3DEC">
        <w:t xml:space="preserve"> </w:t>
      </w:r>
      <w:r w:rsidR="00A211D4">
        <w:t>disprove</w:t>
      </w:r>
      <w:r w:rsidR="009D3DEC">
        <w:t xml:space="preserve"> by collecting the needed</w:t>
      </w:r>
      <w:r w:rsidR="00487C6D">
        <w:t xml:space="preserve"> evidence, providing </w:t>
      </w:r>
      <w:r w:rsidR="00A211D4">
        <w:t>suitable</w:t>
      </w:r>
      <w:r w:rsidR="009D3DEC">
        <w:t xml:space="preserve"> </w:t>
      </w:r>
      <w:r w:rsidR="00B22FDC">
        <w:t>reasons and justifications, respond</w:t>
      </w:r>
      <w:r w:rsidR="00487C6D">
        <w:t>ing</w:t>
      </w:r>
      <w:r w:rsidR="00B22FDC">
        <w:t xml:space="preserve"> to </w:t>
      </w:r>
      <w:r w:rsidR="00466754">
        <w:t xml:space="preserve">all kinds of </w:t>
      </w:r>
      <w:r w:rsidR="00B22FDC">
        <w:t>counterarguments</w:t>
      </w:r>
      <w:r w:rsidR="009D3DEC">
        <w:t xml:space="preserve">, </w:t>
      </w:r>
      <w:r w:rsidR="00487C6D">
        <w:t>and so on</w:t>
      </w:r>
      <w:r w:rsidR="009D3DEC">
        <w:t xml:space="preserve">. </w:t>
      </w:r>
      <w:r w:rsidR="00487C6D">
        <w:t>S</w:t>
      </w:r>
      <w:r w:rsidR="00466754">
        <w:t>urely</w:t>
      </w:r>
      <w:r w:rsidR="00487C6D">
        <w:t xml:space="preserve"> it cannot be the</w:t>
      </w:r>
      <w:r w:rsidR="00466754">
        <w:t xml:space="preserve"> obligation</w:t>
      </w:r>
      <w:r w:rsidR="00487C6D">
        <w:t xml:space="preserve"> of citizens or</w:t>
      </w:r>
      <w:r w:rsidR="00466754">
        <w:t xml:space="preserve"> the legislature to address</w:t>
      </w:r>
      <w:r w:rsidR="003C1E99">
        <w:t xml:space="preserve"> every</w:t>
      </w:r>
      <w:r w:rsidR="00466754">
        <w:t xml:space="preserve"> complaint</w:t>
      </w:r>
      <w:r w:rsidR="00513DF9">
        <w:t xml:space="preserve"> </w:t>
      </w:r>
      <w:r w:rsidR="00466754">
        <w:t>that cit</w:t>
      </w:r>
      <w:r w:rsidR="00BB375A">
        <w:t>izens m</w:t>
      </w:r>
      <w:r w:rsidR="00487C6D">
        <w:t>ight</w:t>
      </w:r>
      <w:r w:rsidR="00BB375A">
        <w:t xml:space="preserve"> have regardless of </w:t>
      </w:r>
      <w:r w:rsidR="009C354F">
        <w:t>how plausible they appear</w:t>
      </w:r>
      <w:r w:rsidR="00D16C5A">
        <w:t>.</w:t>
      </w:r>
      <w:r w:rsidR="00466754">
        <w:t xml:space="preserve"> </w:t>
      </w:r>
      <w:r w:rsidR="00A211D4">
        <w:t>But t</w:t>
      </w:r>
      <w:r w:rsidR="00D16C5A">
        <w:t xml:space="preserve">his is precisely the kind of obligation that the courts </w:t>
      </w:r>
      <w:r w:rsidR="00A211D4">
        <w:t xml:space="preserve">are </w:t>
      </w:r>
      <w:r w:rsidR="00487C6D">
        <w:t>well</w:t>
      </w:r>
      <w:r w:rsidR="00A211D4">
        <w:t xml:space="preserve"> suited to </w:t>
      </w:r>
      <w:r w:rsidR="00D16C5A">
        <w:t xml:space="preserve">discharge. </w:t>
      </w:r>
    </w:p>
    <w:p w14:paraId="274F394A" w14:textId="0E2BDEA0" w:rsidR="00D82F34" w:rsidRDefault="00A211D4" w:rsidP="00B578CF">
      <w:pPr>
        <w:spacing w:line="360" w:lineRule="auto"/>
        <w:ind w:firstLine="450"/>
        <w:jc w:val="both"/>
      </w:pPr>
      <w:r>
        <w:t>W</w:t>
      </w:r>
      <w:r w:rsidR="00D16C5A">
        <w:t>hat the political</w:t>
      </w:r>
      <w:r w:rsidR="00466754">
        <w:t xml:space="preserve"> process</w:t>
      </w:r>
      <w:r w:rsidR="00513DF9">
        <w:t xml:space="preserve"> cannot</w:t>
      </w:r>
      <w:r w:rsidR="00D16C5A">
        <w:t xml:space="preserve"> possibly</w:t>
      </w:r>
      <w:r w:rsidR="00513DF9">
        <w:t xml:space="preserve"> </w:t>
      </w:r>
      <w:r w:rsidR="00513DF9" w:rsidRPr="00513DF9">
        <w:rPr>
          <w:i/>
        </w:rPr>
        <w:t>guarantee</w:t>
      </w:r>
      <w:r>
        <w:t>,</w:t>
      </w:r>
      <w:r w:rsidR="00D16C5A">
        <w:t xml:space="preserve"> </w:t>
      </w:r>
      <w:r w:rsidR="00513DF9">
        <w:t>the legal</w:t>
      </w:r>
      <w:r w:rsidR="00D16C5A">
        <w:t xml:space="preserve"> process typically</w:t>
      </w:r>
      <w:r w:rsidR="00513DF9">
        <w:t xml:space="preserve"> does</w:t>
      </w:r>
      <w:r w:rsidR="00487C6D">
        <w:t xml:space="preserve">: </w:t>
      </w:r>
      <w:r w:rsidR="00513DF9">
        <w:t>the</w:t>
      </w:r>
      <w:r w:rsidR="00D16C5A">
        <w:t xml:space="preserve"> individual</w:t>
      </w:r>
      <w:r w:rsidR="00513DF9">
        <w:t xml:space="preserve"> right to</w:t>
      </w:r>
      <w:r w:rsidR="00BB375A">
        <w:t xml:space="preserve"> a fair hearing in which explicit</w:t>
      </w:r>
      <w:r w:rsidR="00487C6D">
        <w:t>,</w:t>
      </w:r>
      <w:r w:rsidR="00BB375A">
        <w:t xml:space="preserve"> reasoned justifications for and against </w:t>
      </w:r>
      <w:r w:rsidR="00D16C5A">
        <w:t>a contested</w:t>
      </w:r>
      <w:r w:rsidR="00BB375A">
        <w:t xml:space="preserve"> s</w:t>
      </w:r>
      <w:r w:rsidR="00D16C5A">
        <w:t>tatute</w:t>
      </w:r>
      <w:r w:rsidR="00BB375A">
        <w:t xml:space="preserve"> become</w:t>
      </w:r>
      <w:r w:rsidR="001B2041">
        <w:t xml:space="preserve"> public</w:t>
      </w:r>
      <w:r w:rsidR="00D16C5A">
        <w:t>ly available for political</w:t>
      </w:r>
      <w:r w:rsidR="00BB375A">
        <w:t xml:space="preserve"> deliberation. </w:t>
      </w:r>
      <w:r w:rsidR="0021052C">
        <w:t>I</w:t>
      </w:r>
      <w:r w:rsidR="00487C6D">
        <w:t xml:space="preserve">n the hypothetical situation </w:t>
      </w:r>
      <w:r w:rsidR="0021052C">
        <w:t>just considered, the right to leg</w:t>
      </w:r>
      <w:r w:rsidR="00487C6D">
        <w:t>al contestation did not have any</w:t>
      </w:r>
      <w:r w:rsidR="0021052C">
        <w:t xml:space="preserve"> instrumental value from an outcome-</w:t>
      </w:r>
      <w:r w:rsidR="00CC1E09">
        <w:t>relate</w:t>
      </w:r>
      <w:r w:rsidR="0021052C">
        <w:t>d perspective</w:t>
      </w:r>
      <w:r w:rsidR="009D3520">
        <w:t>. It was not useful at all</w:t>
      </w:r>
      <w:r>
        <w:t xml:space="preserve"> since </w:t>
      </w:r>
      <w:r w:rsidRPr="00A211D4">
        <w:rPr>
          <w:i/>
        </w:rPr>
        <w:t>per hypothesis</w:t>
      </w:r>
      <w:r>
        <w:t xml:space="preserve"> the</w:t>
      </w:r>
      <w:r w:rsidR="0021052C">
        <w:t xml:space="preserve"> </w:t>
      </w:r>
      <w:r w:rsidR="00AE72ED">
        <w:t>statute did not violate the rights of the litigants</w:t>
      </w:r>
      <w:r w:rsidR="0021052C">
        <w:t xml:space="preserve"> and</w:t>
      </w:r>
      <w:r>
        <w:t>, consequently,</w:t>
      </w:r>
      <w:r w:rsidR="0021052C">
        <w:t xml:space="preserve"> their political equality </w:t>
      </w:r>
      <w:r w:rsidR="0005411F">
        <w:t xml:space="preserve">had in fact </w:t>
      </w:r>
      <w:r w:rsidR="00E9489F">
        <w:t xml:space="preserve">been </w:t>
      </w:r>
      <w:r w:rsidR="0005411F">
        <w:t xml:space="preserve">preserved </w:t>
      </w:r>
      <w:r w:rsidR="0021052C">
        <w:t>alongside the political equality of the rest of the citizenry. But even if</w:t>
      </w:r>
      <w:r w:rsidR="00BB375A">
        <w:t xml:space="preserve"> the litigants los</w:t>
      </w:r>
      <w:r w:rsidR="0021052C">
        <w:t>t</w:t>
      </w:r>
      <w:r w:rsidR="00BB375A">
        <w:t xml:space="preserve"> their case, </w:t>
      </w:r>
      <w:r w:rsidR="0021052C">
        <w:t>exercising their right to legal contestation had the intrinsic, expressive value of reinforcing the political community’s commitment to treating all citizens as free and equal. Given the ubiquity of political disagreement in democratic societies, it is not enough that a</w:t>
      </w:r>
      <w:r w:rsidR="003453F4">
        <w:t xml:space="preserve"> political</w:t>
      </w:r>
      <w:r w:rsidR="0021052C">
        <w:t xml:space="preserve"> community does not</w:t>
      </w:r>
      <w:r w:rsidR="00B84418">
        <w:t xml:space="preserve"> in fact</w:t>
      </w:r>
      <w:r w:rsidR="0021052C">
        <w:t xml:space="preserve"> violate the fundamental rights of its citizens</w:t>
      </w:r>
      <w:r w:rsidR="00E9489F">
        <w:t xml:space="preserve">. It </w:t>
      </w:r>
      <w:r w:rsidR="00CB0079">
        <w:t xml:space="preserve">must </w:t>
      </w:r>
      <w:r w:rsidR="00E9489F">
        <w:t xml:space="preserve">also </w:t>
      </w:r>
      <w:r w:rsidR="00CB0079">
        <w:t xml:space="preserve">be willing to show </w:t>
      </w:r>
      <w:r w:rsidR="00E9489F">
        <w:t>that it r</w:t>
      </w:r>
      <w:r w:rsidR="00E363E3">
        <w:t>espects</w:t>
      </w:r>
      <w:r w:rsidR="00C70091">
        <w:t xml:space="preserve"> them</w:t>
      </w:r>
      <w:r w:rsidR="00E363E3">
        <w:t xml:space="preserve"> </w:t>
      </w:r>
      <w:r w:rsidR="00E9489F">
        <w:t>when challenged by</w:t>
      </w:r>
      <w:r>
        <w:t xml:space="preserve"> citizens</w:t>
      </w:r>
      <w:r w:rsidR="00E363E3">
        <w:t xml:space="preserve">’ </w:t>
      </w:r>
      <w:r>
        <w:t>objections</w:t>
      </w:r>
      <w:r w:rsidR="00E9489F">
        <w:t xml:space="preserve"> to the contrary</w:t>
      </w:r>
      <w:r w:rsidR="00CB0079">
        <w:t>.</w:t>
      </w:r>
      <w:r w:rsidR="00BB375A">
        <w:t xml:space="preserve"> </w:t>
      </w:r>
      <w:r w:rsidR="00CB0079">
        <w:t>The right to legal contestation guarantees t</w:t>
      </w:r>
      <w:r w:rsidR="00E9489F">
        <w:t>hat all citizens</w:t>
      </w:r>
      <w:r w:rsidR="00CB0079">
        <w:t xml:space="preserve"> can</w:t>
      </w:r>
      <w:r w:rsidR="00E9489F">
        <w:t>,</w:t>
      </w:r>
      <w:r w:rsidR="00CB0079">
        <w:t xml:space="preserve"> on</w:t>
      </w:r>
      <w:r w:rsidR="00624945">
        <w:t xml:space="preserve"> their own</w:t>
      </w:r>
      <w:r w:rsidR="00CB0079">
        <w:t xml:space="preserve"> initiative</w:t>
      </w:r>
      <w:r w:rsidR="00E9489F">
        <w:t>,</w:t>
      </w:r>
      <w:r w:rsidR="00CB0079">
        <w:t xml:space="preserve"> open or reopen </w:t>
      </w:r>
      <w:r w:rsidR="00AE343F">
        <w:t xml:space="preserve">a deliberative process </w:t>
      </w:r>
      <w:r w:rsidR="00CB0079">
        <w:t xml:space="preserve">in which </w:t>
      </w:r>
      <w:r w:rsidR="00624945">
        <w:t xml:space="preserve">reasons and justifications </w:t>
      </w:r>
      <w:r w:rsidR="00CB0079">
        <w:t>in support of</w:t>
      </w:r>
      <w:r w:rsidR="00624945">
        <w:t xml:space="preserve"> the</w:t>
      </w:r>
      <w:r w:rsidR="00CB0079">
        <w:t xml:space="preserve"> contested</w:t>
      </w:r>
      <w:r w:rsidR="00624945">
        <w:t xml:space="preserve"> statute are </w:t>
      </w:r>
      <w:r w:rsidR="00E9489F">
        <w:t>m</w:t>
      </w:r>
      <w:r>
        <w:t xml:space="preserve">ade </w:t>
      </w:r>
      <w:r w:rsidR="00624945">
        <w:t>publically</w:t>
      </w:r>
      <w:r>
        <w:t xml:space="preserve"> available</w:t>
      </w:r>
      <w:r w:rsidR="00AE343F">
        <w:t>, s</w:t>
      </w:r>
      <w:r w:rsidR="00E9489F">
        <w:t>uch</w:t>
      </w:r>
      <w:r w:rsidR="00AE343F">
        <w:t xml:space="preserve"> that they can</w:t>
      </w:r>
      <w:r w:rsidR="00CB0079">
        <w:t xml:space="preserve"> be inspected and challenged</w:t>
      </w:r>
      <w:r w:rsidR="00AE343F">
        <w:t xml:space="preserve"> with counterarguments that may eventually lead to a change in public opinion</w:t>
      </w:r>
      <w:r w:rsidR="00CB0079">
        <w:t>.</w:t>
      </w:r>
      <w:r w:rsidR="00D82F34">
        <w:t xml:space="preserve"> If </w:t>
      </w:r>
      <w:r w:rsidR="006D3A3E">
        <w:t xml:space="preserve">citizens </w:t>
      </w:r>
      <w:r w:rsidR="00D82F34">
        <w:t xml:space="preserve">owe one another justifications for the </w:t>
      </w:r>
      <w:r w:rsidR="006D3A3E">
        <w:t xml:space="preserve">laws they </w:t>
      </w:r>
      <w:r w:rsidR="00E9489F">
        <w:t>collectively</w:t>
      </w:r>
      <w:r w:rsidR="00D82F34">
        <w:t xml:space="preserve"> impose on</w:t>
      </w:r>
      <w:r w:rsidR="006D3A3E">
        <w:t xml:space="preserve"> one another</w:t>
      </w:r>
      <w:r w:rsidR="00D82F34">
        <w:t>,</w:t>
      </w:r>
      <w:r w:rsidR="006F20A5" w:rsidRPr="006F20A5">
        <w:rPr>
          <w:vertAlign w:val="superscript"/>
        </w:rPr>
        <w:footnoteReference w:id="35"/>
      </w:r>
      <w:r w:rsidR="00D82F34">
        <w:t xml:space="preserve"> then</w:t>
      </w:r>
      <w:r w:rsidR="00E9489F">
        <w:t xml:space="preserve"> it seems to be a necessary component of legislative legitimacy that citizens have</w:t>
      </w:r>
      <w:r w:rsidR="00D82F34">
        <w:t xml:space="preserve"> the ability to </w:t>
      </w:r>
      <w:r w:rsidR="009B4BE7">
        <w:t>initiate</w:t>
      </w:r>
      <w:r w:rsidR="00D82F34">
        <w:t xml:space="preserve"> the process o</w:t>
      </w:r>
      <w:r w:rsidR="00E9489F">
        <w:t xml:space="preserve">f </w:t>
      </w:r>
      <w:r w:rsidR="009D3520">
        <w:t xml:space="preserve">public </w:t>
      </w:r>
      <w:r w:rsidR="00E9489F">
        <w:t>reasoned justification when they</w:t>
      </w:r>
      <w:r w:rsidR="00D82F34">
        <w:t xml:space="preserve"> believe their fundamental right</w:t>
      </w:r>
      <w:r w:rsidR="00E9489F">
        <w:t>s are</w:t>
      </w:r>
      <w:r w:rsidR="00D82F34">
        <w:t xml:space="preserve"> violated </w:t>
      </w:r>
      <w:r w:rsidR="00E9489F">
        <w:t>by some statute or policy</w:t>
      </w:r>
      <w:r w:rsidR="00D82F34">
        <w:t>.</w:t>
      </w:r>
    </w:p>
    <w:p w14:paraId="30E75F2D" w14:textId="4CEA3283" w:rsidR="0073775F" w:rsidRDefault="00E80D6A" w:rsidP="001C4837">
      <w:pPr>
        <w:spacing w:line="360" w:lineRule="auto"/>
        <w:ind w:firstLine="450"/>
        <w:jc w:val="both"/>
      </w:pPr>
      <w:r>
        <w:t xml:space="preserve"> </w:t>
      </w:r>
      <w:r w:rsidR="0073775F">
        <w:t>From this perspective, the right to legal contestation</w:t>
      </w:r>
      <w:r>
        <w:t xml:space="preserve"> </w:t>
      </w:r>
      <w:r w:rsidR="0073775F">
        <w:t>guarantees</w:t>
      </w:r>
      <w:r w:rsidR="00F73B90">
        <w:t xml:space="preserve"> </w:t>
      </w:r>
      <w:r w:rsidR="00A211D4">
        <w:t>all</w:t>
      </w:r>
      <w:r w:rsidR="0073775F">
        <w:t xml:space="preserve"> citizens that their</w:t>
      </w:r>
      <w:r>
        <w:t xml:space="preserve"> communicative power</w:t>
      </w:r>
      <w:r w:rsidR="00957D5C">
        <w:t>,</w:t>
      </w:r>
      <w:r w:rsidR="003E70B2" w:rsidRPr="003E70B2">
        <w:rPr>
          <w:rStyle w:val="FootnoteReference"/>
        </w:rPr>
        <w:t xml:space="preserve"> </w:t>
      </w:r>
      <w:r w:rsidR="009D6C83">
        <w:t xml:space="preserve">their ability to </w:t>
      </w:r>
      <w:r w:rsidR="009B4BE7">
        <w:t>trigger</w:t>
      </w:r>
      <w:r w:rsidR="009D6C83">
        <w:t xml:space="preserve"> political deliberation</w:t>
      </w:r>
      <w:r w:rsidR="00957D5C">
        <w:t xml:space="preserve"> on issues of </w:t>
      </w:r>
      <w:r w:rsidR="00C70091">
        <w:t xml:space="preserve">fundamental </w:t>
      </w:r>
      <w:r w:rsidR="00957D5C">
        <w:t>rights</w:t>
      </w:r>
      <w:r w:rsidR="009D6C83">
        <w:t>,</w:t>
      </w:r>
      <w:r w:rsidR="0073775F">
        <w:t xml:space="preserve"> won’t fall below some </w:t>
      </w:r>
      <w:r w:rsidR="003453F4">
        <w:t>un</w:t>
      </w:r>
      <w:r w:rsidR="0073775F">
        <w:t xml:space="preserve">acceptable minimum regardless of how </w:t>
      </w:r>
      <w:r w:rsidR="009D3520">
        <w:t>implausible, un</w:t>
      </w:r>
      <w:r w:rsidR="0073775F">
        <w:t xml:space="preserve">popular or idiosyncratic their </w:t>
      </w:r>
      <w:r w:rsidR="0005411F">
        <w:t>beliefs</w:t>
      </w:r>
      <w:r w:rsidR="0073775F">
        <w:t xml:space="preserve"> may happen to be.</w:t>
      </w:r>
      <w:r w:rsidR="0089735D">
        <w:rPr>
          <w:rStyle w:val="FootnoteReference"/>
        </w:rPr>
        <w:footnoteReference w:id="36"/>
      </w:r>
      <w:r w:rsidR="0089735D">
        <w:t xml:space="preserve"> </w:t>
      </w:r>
      <w:r w:rsidR="0073775F">
        <w:t xml:space="preserve">If citizens are strongly convinced that their rights are violated, </w:t>
      </w:r>
      <w:r w:rsidR="00E9489F">
        <w:t xml:space="preserve">then they </w:t>
      </w:r>
      <w:r w:rsidR="0073775F">
        <w:t>have the power to make themselves heard, to reignite the conversation</w:t>
      </w:r>
      <w:r w:rsidR="00E9489F">
        <w:t>,</w:t>
      </w:r>
      <w:r w:rsidR="0073775F">
        <w:t xml:space="preserve"> and to </w:t>
      </w:r>
      <w:r w:rsidR="00011232">
        <w:t xml:space="preserve">receive upon </w:t>
      </w:r>
      <w:r w:rsidR="0073775F">
        <w:t xml:space="preserve">request proper answers to their argumentative challenges independently of </w:t>
      </w:r>
      <w:r w:rsidR="00011232">
        <w:t xml:space="preserve">the epistemic merits of their views </w:t>
      </w:r>
      <w:r w:rsidR="00011232" w:rsidRPr="00A211D4">
        <w:rPr>
          <w:i/>
        </w:rPr>
        <w:t>as judged by other citizens</w:t>
      </w:r>
      <w:r w:rsidR="00011232">
        <w:t xml:space="preserve">. </w:t>
      </w:r>
      <w:r w:rsidR="00E9489F">
        <w:t xml:space="preserve">As </w:t>
      </w:r>
      <w:r w:rsidR="00011232">
        <w:t>indicated</w:t>
      </w:r>
      <w:r w:rsidR="0073775F">
        <w:t xml:space="preserve"> </w:t>
      </w:r>
      <w:r w:rsidR="00E9489F">
        <w:t>above</w:t>
      </w:r>
      <w:r w:rsidR="0073775F">
        <w:t xml:space="preserve">, </w:t>
      </w:r>
      <w:r w:rsidR="00A8625C">
        <w:t xml:space="preserve">the </w:t>
      </w:r>
      <w:r w:rsidR="0073775F">
        <w:t>political process cannot guarantee such a</w:t>
      </w:r>
      <w:r w:rsidR="00011232">
        <w:t xml:space="preserve"> communicative</w:t>
      </w:r>
      <w:r w:rsidR="0073775F">
        <w:t xml:space="preserve"> minimum</w:t>
      </w:r>
      <w:r w:rsidR="00011232">
        <w:t xml:space="preserve"> </w:t>
      </w:r>
      <w:r w:rsidR="00A211D4">
        <w:t>in the</w:t>
      </w:r>
      <w:r w:rsidR="00E9489F">
        <w:t xml:space="preserve"> same</w:t>
      </w:r>
      <w:r w:rsidR="00A211D4">
        <w:t xml:space="preserve"> way</w:t>
      </w:r>
      <w:r w:rsidR="00E9489F">
        <w:t xml:space="preserve"> that</w:t>
      </w:r>
      <w:r w:rsidR="00011232">
        <w:t xml:space="preserve"> legal</w:t>
      </w:r>
      <w:r w:rsidR="00D05109">
        <w:t xml:space="preserve"> venue</w:t>
      </w:r>
      <w:r w:rsidR="009D3520">
        <w:t>s</w:t>
      </w:r>
      <w:r w:rsidR="00E9489F">
        <w:t xml:space="preserve"> can, but this has</w:t>
      </w:r>
      <w:r w:rsidR="00011232">
        <w:t xml:space="preserve"> nothing to do with </w:t>
      </w:r>
      <w:r w:rsidR="0073775F" w:rsidRPr="00011232">
        <w:rPr>
          <w:i/>
        </w:rPr>
        <w:t>pathological</w:t>
      </w:r>
      <w:r w:rsidR="00D82F34">
        <w:t xml:space="preserve"> circumstances</w:t>
      </w:r>
      <w:r w:rsidR="00C70091">
        <w:t xml:space="preserve"> that may afflict </w:t>
      </w:r>
      <w:r w:rsidR="009C055C">
        <w:t>the legislature and impede</w:t>
      </w:r>
      <w:r w:rsidR="00C70091">
        <w:t xml:space="preserve"> </w:t>
      </w:r>
      <w:r w:rsidR="009C055C">
        <w:t>its</w:t>
      </w:r>
      <w:r w:rsidR="00C70091">
        <w:t xml:space="preserve"> proper functioning</w:t>
      </w:r>
      <w:r w:rsidR="00E9489F">
        <w:t xml:space="preserve">. It </w:t>
      </w:r>
      <w:r w:rsidR="004F73C6">
        <w:t>simp</w:t>
      </w:r>
      <w:r w:rsidR="00E9489F">
        <w:t xml:space="preserve">ly follows from </w:t>
      </w:r>
      <w:r w:rsidR="004F73C6">
        <w:t xml:space="preserve">the </w:t>
      </w:r>
      <w:r w:rsidR="009C4283">
        <w:t>“circumstances of politics”</w:t>
      </w:r>
      <w:r w:rsidR="00D82F34">
        <w:t xml:space="preserve"> </w:t>
      </w:r>
      <w:r w:rsidR="00E9489F">
        <w:t>that</w:t>
      </w:r>
      <w:r w:rsidR="00D82F34">
        <w:t xml:space="preserve"> Waldron himself</w:t>
      </w:r>
      <w:r w:rsidR="00E9489F">
        <w:t xml:space="preserve"> highlights</w:t>
      </w:r>
      <w:r w:rsidR="00D82F34">
        <w:t>.</w:t>
      </w:r>
      <w:r w:rsidR="009C4283">
        <w:rPr>
          <w:rStyle w:val="FootnoteReference"/>
        </w:rPr>
        <w:footnoteReference w:id="37"/>
      </w:r>
    </w:p>
    <w:p w14:paraId="2539D2DF" w14:textId="77777777" w:rsidR="00A42BFB" w:rsidRDefault="00A42BFB" w:rsidP="00A42BFB">
      <w:pPr>
        <w:spacing w:line="360" w:lineRule="auto"/>
        <w:jc w:val="both"/>
      </w:pPr>
    </w:p>
    <w:p w14:paraId="6D51033C" w14:textId="285B5B40" w:rsidR="00A42BFB" w:rsidRPr="003453F4" w:rsidRDefault="003453F4" w:rsidP="00A42BFB">
      <w:pPr>
        <w:spacing w:line="360" w:lineRule="auto"/>
        <w:jc w:val="both"/>
        <w:rPr>
          <w:i/>
        </w:rPr>
      </w:pPr>
      <w:r>
        <w:rPr>
          <w:i/>
        </w:rPr>
        <w:t>T</w:t>
      </w:r>
      <w:r w:rsidR="00A42BFB" w:rsidRPr="003453F4">
        <w:rPr>
          <w:i/>
        </w:rPr>
        <w:t>he fact of disagreement</w:t>
      </w:r>
      <w:r>
        <w:rPr>
          <w:i/>
        </w:rPr>
        <w:t xml:space="preserve"> and its predictable consequences</w:t>
      </w:r>
    </w:p>
    <w:p w14:paraId="365B72D4" w14:textId="77777777" w:rsidR="00A42BFB" w:rsidRDefault="00A42BFB" w:rsidP="00A42BFB">
      <w:pPr>
        <w:spacing w:line="360" w:lineRule="auto"/>
        <w:jc w:val="both"/>
      </w:pPr>
    </w:p>
    <w:p w14:paraId="5041905D" w14:textId="1056D6D7" w:rsidR="001E319F" w:rsidRDefault="00E80D6A" w:rsidP="006A49A3">
      <w:pPr>
        <w:spacing w:line="360" w:lineRule="auto"/>
        <w:ind w:firstLine="450"/>
        <w:jc w:val="both"/>
      </w:pPr>
      <w:r>
        <w:t xml:space="preserve"> </w:t>
      </w:r>
      <w:r w:rsidR="00BA3431">
        <w:t>Giv</w:t>
      </w:r>
      <w:r w:rsidR="00E9489F">
        <w:t xml:space="preserve">en </w:t>
      </w:r>
      <w:r w:rsidR="00BA3431">
        <w:t>the majoritarian mechanism of political decision-making</w:t>
      </w:r>
      <w:r w:rsidR="003A3E4F">
        <w:t xml:space="preserve"> and the enduring presence of disagreement</w:t>
      </w:r>
      <w:r w:rsidR="00BA3431">
        <w:t xml:space="preserve"> it is </w:t>
      </w:r>
      <w:r w:rsidR="003A3E4F">
        <w:t>inevitable</w:t>
      </w:r>
      <w:r w:rsidR="00BA3431">
        <w:t xml:space="preserve"> that</w:t>
      </w:r>
      <w:r w:rsidR="00BA15D1">
        <w:t xml:space="preserve"> majoritarian decisions</w:t>
      </w:r>
      <w:r w:rsidR="00BA3431">
        <w:t xml:space="preserve"> on particular statute</w:t>
      </w:r>
      <w:r w:rsidR="00BA15D1">
        <w:t>s or policies</w:t>
      </w:r>
      <w:r w:rsidR="00BA3431">
        <w:t xml:space="preserve"> will </w:t>
      </w:r>
      <w:r w:rsidR="003A3E4F">
        <w:t>align</w:t>
      </w:r>
      <w:r w:rsidR="00BA3431">
        <w:t xml:space="preserve"> with </w:t>
      </w:r>
      <w:r w:rsidR="003A3E4F">
        <w:t xml:space="preserve">the views of some citizens but not </w:t>
      </w:r>
      <w:r w:rsidR="004F73C6">
        <w:t xml:space="preserve">with </w:t>
      </w:r>
      <w:r w:rsidR="009D3520">
        <w:t xml:space="preserve">those of </w:t>
      </w:r>
      <w:r w:rsidR="003A3E4F">
        <w:t>others</w:t>
      </w:r>
      <w:r w:rsidR="00BA3431">
        <w:t xml:space="preserve">. </w:t>
      </w:r>
      <w:r w:rsidR="003A3E4F">
        <w:t>E</w:t>
      </w:r>
      <w:r w:rsidR="00BA3431">
        <w:t xml:space="preserve">lectoral politics will </w:t>
      </w:r>
      <w:r w:rsidR="00A42BFB">
        <w:t xml:space="preserve">predictably </w:t>
      </w:r>
      <w:r w:rsidR="00BA3431">
        <w:t xml:space="preserve">give citizens “greater weight for their opinions” </w:t>
      </w:r>
      <w:r w:rsidR="003A3E4F">
        <w:t xml:space="preserve">if their views happen to align with </w:t>
      </w:r>
      <w:r w:rsidR="00BA3431">
        <w:t>those of the</w:t>
      </w:r>
      <w:r w:rsidR="003A3E4F">
        <w:t xml:space="preserve"> decisional majority</w:t>
      </w:r>
      <w:r w:rsidR="00BA3431">
        <w:t xml:space="preserve">. </w:t>
      </w:r>
      <w:r w:rsidR="00A42BFB">
        <w:t>Indeed, t</w:t>
      </w:r>
      <w:r w:rsidR="00BA3431">
        <w:t xml:space="preserve">he more </w:t>
      </w:r>
      <w:r w:rsidR="0005411F">
        <w:t>unpopular</w:t>
      </w:r>
      <w:r w:rsidR="00BA3431">
        <w:t xml:space="preserve"> the views the less weight</w:t>
      </w:r>
      <w:r w:rsidR="00A42BFB">
        <w:t xml:space="preserve"> they will have</w:t>
      </w:r>
      <w:r w:rsidR="00BA3431">
        <w:t xml:space="preserve"> in the electoral process. Thus, </w:t>
      </w:r>
      <w:r w:rsidR="007B54AF">
        <w:t>when it comes to</w:t>
      </w:r>
      <w:r w:rsidR="00BA3431">
        <w:t xml:space="preserve"> highly id</w:t>
      </w:r>
      <w:r w:rsidR="00A55D6A">
        <w:t>iosy</w:t>
      </w:r>
      <w:r w:rsidR="00BA3431">
        <w:t>ncratic views</w:t>
      </w:r>
      <w:r w:rsidR="007B54AF">
        <w:t>,</w:t>
      </w:r>
      <w:r w:rsidR="00BA3431">
        <w:t xml:space="preserve"> it is perfectly</w:t>
      </w:r>
      <w:r w:rsidR="007B54AF">
        <w:t xml:space="preserve"> possible that the weight of the</w:t>
      </w:r>
      <w:r w:rsidR="00BA3431">
        <w:t>se opinions</w:t>
      </w:r>
      <w:r w:rsidR="007B54AF">
        <w:t xml:space="preserve"> </w:t>
      </w:r>
      <w:r w:rsidR="00BA3431">
        <w:t>falls below some minimal threshold</w:t>
      </w:r>
      <w:r w:rsidR="007B54AF">
        <w:t xml:space="preserve"> within the electoral process</w:t>
      </w:r>
      <w:r w:rsidR="00BA3431">
        <w:t>. Again, this</w:t>
      </w:r>
      <w:r w:rsidR="00C41687">
        <w:t xml:space="preserve"> predictable circumstance</w:t>
      </w:r>
      <w:r w:rsidR="00BA3431">
        <w:t xml:space="preserve"> has nothing to do with </w:t>
      </w:r>
      <w:r w:rsidR="007B54AF">
        <w:t>a</w:t>
      </w:r>
      <w:r w:rsidR="00BA3431">
        <w:t xml:space="preserve"> majority </w:t>
      </w:r>
      <w:r w:rsidR="007B54AF">
        <w:t xml:space="preserve">that either </w:t>
      </w:r>
      <w:r w:rsidR="00BA3431">
        <w:t>does not care a</w:t>
      </w:r>
      <w:r w:rsidR="00A55D6A">
        <w:t>bout rights or is acting in bad</w:t>
      </w:r>
      <w:r w:rsidR="00BA3431">
        <w:t xml:space="preserve"> faith. It is simply a</w:t>
      </w:r>
      <w:r w:rsidR="00C41687">
        <w:t xml:space="preserve"> consequence</w:t>
      </w:r>
      <w:r w:rsidR="00BA3431">
        <w:t xml:space="preserve"> of the fact</w:t>
      </w:r>
      <w:r w:rsidR="007B54AF">
        <w:t xml:space="preserve"> that</w:t>
      </w:r>
      <w:r w:rsidR="00BA3431">
        <w:t xml:space="preserve"> </w:t>
      </w:r>
      <w:r w:rsidR="0005411F">
        <w:t xml:space="preserve">(1) </w:t>
      </w:r>
      <w:r w:rsidR="00EA2D64">
        <w:t xml:space="preserve">ordinary </w:t>
      </w:r>
      <w:r w:rsidR="00BA3431">
        <w:t>citizens</w:t>
      </w:r>
      <w:r w:rsidR="00EA2D64">
        <w:t xml:space="preserve"> as well as </w:t>
      </w:r>
      <w:r w:rsidR="00BA3431">
        <w:t>politicians</w:t>
      </w:r>
      <w:r w:rsidR="003453F4">
        <w:t xml:space="preserve"> have </w:t>
      </w:r>
      <w:r w:rsidR="0005411F">
        <w:t>strong moral and po</w:t>
      </w:r>
      <w:r w:rsidR="007B54AF">
        <w:t xml:space="preserve">litical disagreements, (2) </w:t>
      </w:r>
      <w:r w:rsidR="0005411F">
        <w:t>they are supposed to judge the appropriateness of legislation strictly on its merits,</w:t>
      </w:r>
      <w:r w:rsidR="003453F4">
        <w:t xml:space="preserve"> and</w:t>
      </w:r>
      <w:r w:rsidR="00EA2D64">
        <w:t xml:space="preserve"> </w:t>
      </w:r>
      <w:r w:rsidR="007B54AF">
        <w:t xml:space="preserve">(3) </w:t>
      </w:r>
      <w:r w:rsidR="00EA2D64">
        <w:t>they</w:t>
      </w:r>
      <w:r w:rsidR="00BA3431">
        <w:t xml:space="preserve"> cannot have the obligation to properl</w:t>
      </w:r>
      <w:r w:rsidR="009D3520">
        <w:t>y address and debunk every</w:t>
      </w:r>
      <w:r w:rsidR="00BA3431">
        <w:t xml:space="preserve"> idiosyncratic belief that </w:t>
      </w:r>
      <w:r w:rsidR="00BA15D1">
        <w:t xml:space="preserve">each </w:t>
      </w:r>
      <w:r w:rsidR="00A55D6A">
        <w:t xml:space="preserve">individual </w:t>
      </w:r>
      <w:r w:rsidR="00C67C84">
        <w:t>citizen</w:t>
      </w:r>
      <w:r w:rsidR="00BA15D1">
        <w:t xml:space="preserve"> or group</w:t>
      </w:r>
      <w:r w:rsidR="00BA3431">
        <w:t xml:space="preserve"> may have.</w:t>
      </w:r>
      <w:r w:rsidR="00A55D6A">
        <w:t xml:space="preserve"> Given th</w:t>
      </w:r>
      <w:r w:rsidR="009D3520">
        <w:t>ese</w:t>
      </w:r>
      <w:r w:rsidR="00A55D6A">
        <w:t xml:space="preserve"> predictable circumstance</w:t>
      </w:r>
      <w:r w:rsidR="009D3520">
        <w:t>s</w:t>
      </w:r>
      <w:r w:rsidR="00A55D6A">
        <w:t xml:space="preserve">, the right to legal contestation </w:t>
      </w:r>
      <w:r w:rsidR="007B54AF">
        <w:t>helps</w:t>
      </w:r>
      <w:r w:rsidR="00EA2D64">
        <w:t xml:space="preserve"> ensure the fair value of the</w:t>
      </w:r>
      <w:r w:rsidR="00494286">
        <w:t xml:space="preserve"> right to political equality</w:t>
      </w:r>
      <w:r w:rsidR="00EA2D64">
        <w:t xml:space="preserve"> </w:t>
      </w:r>
      <w:r w:rsidR="007B54AF">
        <w:t>for</w:t>
      </w:r>
      <w:r w:rsidR="0005411F">
        <w:t xml:space="preserve"> all</w:t>
      </w:r>
      <w:r w:rsidR="00EA2D64">
        <w:t xml:space="preserve"> citizens.</w:t>
      </w:r>
      <w:r w:rsidR="004F73C6">
        <w:rPr>
          <w:rStyle w:val="FootnoteReference"/>
        </w:rPr>
        <w:footnoteReference w:id="38"/>
      </w:r>
      <w:r w:rsidR="00EA2D64">
        <w:t xml:space="preserve"> </w:t>
      </w:r>
      <w:r w:rsidR="007B54AF">
        <w:t>I</w:t>
      </w:r>
      <w:r w:rsidR="00EA2D64">
        <w:t>t</w:t>
      </w:r>
      <w:r w:rsidR="00494286">
        <w:t xml:space="preserve"> mak</w:t>
      </w:r>
      <w:r w:rsidR="00EA2D64">
        <w:t>es</w:t>
      </w:r>
      <w:r w:rsidR="00494286">
        <w:t xml:space="preserve"> sure that their communicative power won’t f</w:t>
      </w:r>
      <w:r w:rsidR="007B54AF">
        <w:t>all below an acceptable minimum—</w:t>
      </w:r>
      <w:r w:rsidR="00494286">
        <w:t>as it m</w:t>
      </w:r>
      <w:r w:rsidR="007B54AF">
        <w:t>ight,</w:t>
      </w:r>
      <w:r w:rsidR="00494286">
        <w:t xml:space="preserve"> if it</w:t>
      </w:r>
      <w:r w:rsidR="007B54AF">
        <w:t xml:space="preserve"> were</w:t>
      </w:r>
      <w:r w:rsidR="00494286">
        <w:t xml:space="preserve"> made </w:t>
      </w:r>
      <w:r w:rsidR="007B54AF">
        <w:t>to exclusively depend</w:t>
      </w:r>
      <w:r w:rsidR="00494286">
        <w:t xml:space="preserve"> </w:t>
      </w:r>
      <w:r w:rsidR="007B54AF">
        <w:t xml:space="preserve">upon </w:t>
      </w:r>
      <w:r w:rsidR="0023508E">
        <w:t xml:space="preserve">the </w:t>
      </w:r>
      <w:r w:rsidR="00494286">
        <w:t>substantive merits of their opinions</w:t>
      </w:r>
      <w:r w:rsidR="0023508E">
        <w:t xml:space="preserve"> </w:t>
      </w:r>
      <w:r w:rsidR="007B54AF" w:rsidRPr="004F73C6">
        <w:rPr>
          <w:i/>
        </w:rPr>
        <w:t>as judged</w:t>
      </w:r>
      <w:r w:rsidR="00494286" w:rsidRPr="0023508E">
        <w:t xml:space="preserve"> </w:t>
      </w:r>
      <w:r w:rsidR="00494286" w:rsidRPr="0023508E">
        <w:rPr>
          <w:i/>
        </w:rPr>
        <w:t xml:space="preserve">by </w:t>
      </w:r>
      <w:r w:rsidR="00EA2D64" w:rsidRPr="0023508E">
        <w:rPr>
          <w:i/>
        </w:rPr>
        <w:t>other</w:t>
      </w:r>
      <w:r w:rsidR="007B54AF">
        <w:rPr>
          <w:i/>
        </w:rPr>
        <w:t xml:space="preserve"> citizen</w:t>
      </w:r>
      <w:r w:rsidR="00EA2D64" w:rsidRPr="0023508E">
        <w:rPr>
          <w:i/>
        </w:rPr>
        <w:t>s</w:t>
      </w:r>
      <w:r w:rsidR="00494286">
        <w:t>. Judges have a legal obligation to examine the complaints of litigants</w:t>
      </w:r>
      <w:r w:rsidR="00C41687">
        <w:t>, to listen to their arguments</w:t>
      </w:r>
      <w:r w:rsidR="007B54AF">
        <w:t>,</w:t>
      </w:r>
      <w:r w:rsidR="00C41687">
        <w:t xml:space="preserve"> and to provide a reasoned answer even if they ultimately find </w:t>
      </w:r>
      <w:r w:rsidR="007B54AF">
        <w:t>that the opinion</w:t>
      </w:r>
      <w:r w:rsidR="00C41687">
        <w:t xml:space="preserve"> in question </w:t>
      </w:r>
      <w:r w:rsidR="007B54AF">
        <w:t xml:space="preserve">has little merit </w:t>
      </w:r>
      <w:r w:rsidR="00C41687">
        <w:t xml:space="preserve">and </w:t>
      </w:r>
      <w:r w:rsidR="007B54AF">
        <w:t>they therefore</w:t>
      </w:r>
      <w:r w:rsidR="00C41687">
        <w:t xml:space="preserve"> rule against the litigants. </w:t>
      </w:r>
      <w:r w:rsidR="007B54AF">
        <w:t>C</w:t>
      </w:r>
      <w:r w:rsidR="00C41687">
        <w:t xml:space="preserve">itizens cannot know </w:t>
      </w:r>
      <w:r w:rsidR="007B54AF">
        <w:t>in advance whether decisional majorities will</w:t>
      </w:r>
      <w:r w:rsidR="002A0D47">
        <w:t xml:space="preserve"> tend to</w:t>
      </w:r>
      <w:r w:rsidR="007B54AF">
        <w:t xml:space="preserve"> agree with their views about fundamental rights or whether their views will be seen as marginal and</w:t>
      </w:r>
      <w:r w:rsidR="00C41687">
        <w:t xml:space="preserve"> idiosyncratic</w:t>
      </w:r>
      <w:r w:rsidR="007B54AF">
        <w:t>. They therefore have</w:t>
      </w:r>
      <w:r w:rsidR="00C41687">
        <w:t xml:space="preserve"> good </w:t>
      </w:r>
      <w:r w:rsidR="00C41687" w:rsidRPr="0023508E">
        <w:rPr>
          <w:i/>
        </w:rPr>
        <w:t>prospective</w:t>
      </w:r>
      <w:r w:rsidR="00C41687">
        <w:t xml:space="preserve"> reasons to insist </w:t>
      </w:r>
      <w:r w:rsidR="006A49A3">
        <w:t>up</w:t>
      </w:r>
      <w:r w:rsidR="00C41687">
        <w:t xml:space="preserve">on an equal right to legal contestation that </w:t>
      </w:r>
      <w:r w:rsidR="006A49A3">
        <w:t>assures</w:t>
      </w:r>
      <w:r w:rsidR="00494286">
        <w:t xml:space="preserve"> each citizen</w:t>
      </w:r>
      <w:r w:rsidR="006A49A3">
        <w:t xml:space="preserve"> will have</w:t>
      </w:r>
      <w:r w:rsidR="0023508E">
        <w:t xml:space="preserve"> a</w:t>
      </w:r>
      <w:r w:rsidR="00364C3C">
        <w:t xml:space="preserve"> minimum</w:t>
      </w:r>
      <w:r w:rsidR="006A49A3">
        <w:t xml:space="preserve"> level</w:t>
      </w:r>
      <w:r w:rsidR="00364C3C">
        <w:t xml:space="preserve"> of communicative power</w:t>
      </w:r>
      <w:r w:rsidR="0023508E">
        <w:t xml:space="preserve"> </w:t>
      </w:r>
      <w:r w:rsidR="006A49A3">
        <w:t>whenever</w:t>
      </w:r>
      <w:r w:rsidR="0023508E">
        <w:t xml:space="preserve"> questions of </w:t>
      </w:r>
      <w:r w:rsidR="006A49A3">
        <w:t xml:space="preserve">fundamental </w:t>
      </w:r>
      <w:r w:rsidR="0023508E">
        <w:t xml:space="preserve">rights are at stake. </w:t>
      </w:r>
      <w:r w:rsidR="006A49A3">
        <w:t>Such a right</w:t>
      </w:r>
      <w:r w:rsidR="0023508E">
        <w:t xml:space="preserve"> provides</w:t>
      </w:r>
      <w:r w:rsidR="007715F2">
        <w:t xml:space="preserve"> the power</w:t>
      </w:r>
      <w:r w:rsidR="00364C3C">
        <w:t xml:space="preserve"> to</w:t>
      </w:r>
      <w:r w:rsidR="00A66921">
        <w:t xml:space="preserve"> make oneself heard and to</w:t>
      </w:r>
      <w:r w:rsidR="00364C3C">
        <w:t xml:space="preserve"> influence public opinion, to have the opposing majority listen to </w:t>
      </w:r>
      <w:r w:rsidR="006A49A3">
        <w:t>one’s</w:t>
      </w:r>
      <w:r w:rsidR="00364C3C">
        <w:t xml:space="preserve"> co</w:t>
      </w:r>
      <w:r w:rsidR="00A42BFB">
        <w:t>unterarguments and</w:t>
      </w:r>
      <w:r w:rsidR="006A49A3">
        <w:t xml:space="preserve"> to have them addressed.</w:t>
      </w:r>
      <w:r w:rsidR="00EA2D64">
        <w:t xml:space="preserve"> Even if </w:t>
      </w:r>
      <w:r w:rsidR="006A49A3">
        <w:t xml:space="preserve">they lose, the process of </w:t>
      </w:r>
      <w:r w:rsidR="007715F2">
        <w:t>reasoned debate</w:t>
      </w:r>
      <w:r w:rsidR="006A49A3">
        <w:t xml:space="preserve"> allows</w:t>
      </w:r>
      <w:r w:rsidR="00592D64">
        <w:t xml:space="preserve"> </w:t>
      </w:r>
      <w:r w:rsidR="0023508E">
        <w:t xml:space="preserve">litigants </w:t>
      </w:r>
      <w:r w:rsidR="00364C3C">
        <w:t>to</w:t>
      </w:r>
      <w:r w:rsidR="00EA2D64">
        <w:t xml:space="preserve"> examine the specifi</w:t>
      </w:r>
      <w:r w:rsidR="006A49A3">
        <w:t>c reasoning behind the decision</w:t>
      </w:r>
      <w:r w:rsidR="00577031">
        <w:t>, so that if they continue to disagree they can</w:t>
      </w:r>
      <w:r w:rsidR="006A49A3">
        <w:t xml:space="preserve"> look for counterarguments</w:t>
      </w:r>
      <w:r w:rsidR="00AE1D32">
        <w:t xml:space="preserve"> and </w:t>
      </w:r>
      <w:r w:rsidR="00577031">
        <w:t xml:space="preserve">gather </w:t>
      </w:r>
      <w:r w:rsidR="00AE1D32">
        <w:t>factual evidence</w:t>
      </w:r>
      <w:r w:rsidR="006A49A3">
        <w:t xml:space="preserve"> that might </w:t>
      </w:r>
      <w:r w:rsidR="00A8625C">
        <w:t>lead to a change of</w:t>
      </w:r>
      <w:r w:rsidR="006A49A3">
        <w:t xml:space="preserve"> public opinion in the future.</w:t>
      </w:r>
      <w:r w:rsidR="00AE1D32">
        <w:rPr>
          <w:rStyle w:val="FootnoteReference"/>
        </w:rPr>
        <w:footnoteReference w:id="39"/>
      </w:r>
      <w:r w:rsidR="00C41687">
        <w:t xml:space="preserve"> Granted, the argument for a ri</w:t>
      </w:r>
      <w:r w:rsidR="00592D64">
        <w:t xml:space="preserve">ght to legal contestation does not </w:t>
      </w:r>
      <w:r w:rsidR="00DB5759">
        <w:t>address</w:t>
      </w:r>
      <w:r w:rsidR="00592D64">
        <w:t xml:space="preserve"> the question of whether </w:t>
      </w:r>
      <w:r w:rsidR="00DB5759">
        <w:t xml:space="preserve">we should prefer </w:t>
      </w:r>
      <w:r w:rsidR="00592D64">
        <w:t>weak</w:t>
      </w:r>
      <w:r w:rsidR="00BA15D1">
        <w:t>er</w:t>
      </w:r>
      <w:r w:rsidR="00592D64">
        <w:t xml:space="preserve"> or strong</w:t>
      </w:r>
      <w:r w:rsidR="00BA15D1">
        <w:t>er forms of</w:t>
      </w:r>
      <w:r w:rsidR="00592D64">
        <w:t xml:space="preserve"> judicial review</w:t>
      </w:r>
      <w:r w:rsidR="00DB5759">
        <w:t xml:space="preserve">. </w:t>
      </w:r>
      <w:r w:rsidR="00592D64">
        <w:t xml:space="preserve">But it should </w:t>
      </w:r>
      <w:r w:rsidR="00DB5759">
        <w:t>cast some serious doubt</w:t>
      </w:r>
      <w:r w:rsidR="00592D64">
        <w:t xml:space="preserve"> </w:t>
      </w:r>
      <w:r w:rsidR="00DB5759">
        <w:t>up</w:t>
      </w:r>
      <w:r w:rsidR="00592D64">
        <w:t xml:space="preserve">on the view that democratic concerns about political equality speak against any form of judicial review. </w:t>
      </w:r>
      <w:r w:rsidR="00DB5759">
        <w:t>If we</w:t>
      </w:r>
      <w:r w:rsidR="00592D64">
        <w:t xml:space="preserve"> broaden the perspective from the individual citizen to </w:t>
      </w:r>
      <w:r w:rsidR="00DB5759">
        <w:t>the political system as a whole we can identify additional reasons to doubt such a view.</w:t>
      </w:r>
    </w:p>
    <w:p w14:paraId="2987474C" w14:textId="77777777" w:rsidR="00EA2D64" w:rsidRDefault="00EA2D64" w:rsidP="00EA2D64">
      <w:pPr>
        <w:spacing w:line="360" w:lineRule="auto"/>
        <w:jc w:val="both"/>
      </w:pPr>
    </w:p>
    <w:p w14:paraId="58AC7A06" w14:textId="2A7B626E" w:rsidR="00BA525A" w:rsidRPr="00A42BFB" w:rsidRDefault="00BA525A" w:rsidP="00011232">
      <w:pPr>
        <w:spacing w:line="360" w:lineRule="auto"/>
        <w:jc w:val="both"/>
        <w:rPr>
          <w:i/>
        </w:rPr>
      </w:pPr>
      <w:r w:rsidRPr="00A42BFB">
        <w:rPr>
          <w:i/>
        </w:rPr>
        <w:t>The</w:t>
      </w:r>
      <w:r w:rsidR="00F2651A">
        <w:rPr>
          <w:i/>
        </w:rPr>
        <w:t xml:space="preserve"> democratic significance</w:t>
      </w:r>
      <w:r w:rsidRPr="00A42BFB">
        <w:rPr>
          <w:i/>
        </w:rPr>
        <w:t xml:space="preserve"> of the forum of principle</w:t>
      </w:r>
    </w:p>
    <w:p w14:paraId="7EB7033B" w14:textId="77777777" w:rsidR="00592D64" w:rsidRDefault="00592D64" w:rsidP="00011232">
      <w:pPr>
        <w:spacing w:line="360" w:lineRule="auto"/>
        <w:jc w:val="both"/>
      </w:pPr>
    </w:p>
    <w:p w14:paraId="65E7755E" w14:textId="78ABA5D2" w:rsidR="001A7F10" w:rsidRDefault="005B6196" w:rsidP="00011232">
      <w:pPr>
        <w:spacing w:line="360" w:lineRule="auto"/>
        <w:jc w:val="both"/>
      </w:pPr>
      <w:r>
        <w:t>When I</w:t>
      </w:r>
      <w:r w:rsidR="00592D64">
        <w:t xml:space="preserve"> </w:t>
      </w:r>
      <w:r w:rsidR="00DB5759">
        <w:t>surveyed</w:t>
      </w:r>
      <w:r w:rsidR="00592D64">
        <w:t xml:space="preserve"> the arguments</w:t>
      </w:r>
      <w:r w:rsidR="00DB5759">
        <w:t xml:space="preserve"> in favor of judicial review</w:t>
      </w:r>
      <w:r w:rsidR="00592D64">
        <w:t xml:space="preserve"> offere</w:t>
      </w:r>
      <w:r w:rsidR="00DB5759">
        <w:t xml:space="preserve">d by authors such as </w:t>
      </w:r>
      <w:r w:rsidR="00592D64">
        <w:t>Dworkin</w:t>
      </w:r>
      <w:r w:rsidR="00DB5759">
        <w:t xml:space="preserve"> and Pet</w:t>
      </w:r>
      <w:r w:rsidR="00A8625C">
        <w:t>tit</w:t>
      </w:r>
      <w:r w:rsidR="00592D64">
        <w:t xml:space="preserve"> </w:t>
      </w:r>
      <w:r>
        <w:t>I</w:t>
      </w:r>
      <w:r w:rsidR="00C60DE9">
        <w:t xml:space="preserve"> rejected their characterization of the process as being non-political. </w:t>
      </w:r>
      <w:r>
        <w:t>I</w:t>
      </w:r>
      <w:r w:rsidR="00C60DE9">
        <w:t xml:space="preserve"> did</w:t>
      </w:r>
      <w:r w:rsidR="002A0D47">
        <w:t xml:space="preserve"> so from the perspective of </w:t>
      </w:r>
      <w:r w:rsidR="00C60DE9">
        <w:t xml:space="preserve">citizens who make use of the institution. However, </w:t>
      </w:r>
      <w:r w:rsidR="00DB5759">
        <w:t xml:space="preserve">these authors </w:t>
      </w:r>
      <w:r w:rsidR="009D3520">
        <w:t>highlight an</w:t>
      </w:r>
      <w:r w:rsidR="00C60DE9">
        <w:t xml:space="preserve"> important difference between the legal and the political process</w:t>
      </w:r>
      <w:r w:rsidR="00DB5759">
        <w:t>es</w:t>
      </w:r>
      <w:r w:rsidR="00C60DE9">
        <w:t xml:space="preserve"> that needs to be taken into consideration. </w:t>
      </w:r>
      <w:r w:rsidR="008D6BFE">
        <w:t>In his</w:t>
      </w:r>
      <w:r w:rsidR="00C60DE9">
        <w:t xml:space="preserve"> defense of the legitimacy of judicial review</w:t>
      </w:r>
      <w:r w:rsidR="008D6BFE">
        <w:t xml:space="preserve"> Dworkin draws an important </w:t>
      </w:r>
      <w:r w:rsidR="00DB5759">
        <w:t>distinction</w:t>
      </w:r>
      <w:r w:rsidR="008D6BFE">
        <w:t xml:space="preserve"> between </w:t>
      </w:r>
      <w:r w:rsidR="00C60DE9">
        <w:t xml:space="preserve">the </w:t>
      </w:r>
      <w:r w:rsidR="00F02F74">
        <w:t>judicial and the political process</w:t>
      </w:r>
      <w:r w:rsidR="008D6BFE">
        <w:t xml:space="preserve">. Whereas the former </w:t>
      </w:r>
      <w:r w:rsidR="00DE16EA">
        <w:t>takes place in the</w:t>
      </w:r>
      <w:r w:rsidR="008D6BFE">
        <w:t xml:space="preserve"> “forum of principle”</w:t>
      </w:r>
      <w:r w:rsidR="00C60DE9">
        <w:t xml:space="preserve"> the latter </w:t>
      </w:r>
      <w:r w:rsidR="008D6BFE">
        <w:t xml:space="preserve">is a majoritarian process that </w:t>
      </w:r>
      <w:r w:rsidR="00C60DE9">
        <w:t>“encourages compromises that may subordinate important issues of principle</w:t>
      </w:r>
      <w:r w:rsidR="008D6BFE">
        <w:t>.</w:t>
      </w:r>
      <w:r w:rsidR="00C60DE9">
        <w:t>”</w:t>
      </w:r>
      <w:r w:rsidR="00114863">
        <w:rPr>
          <w:rStyle w:val="FootnoteReference"/>
        </w:rPr>
        <w:footnoteReference w:id="40"/>
      </w:r>
      <w:r w:rsidR="00114863">
        <w:t xml:space="preserve"> </w:t>
      </w:r>
      <w:r w:rsidR="008D6BFE">
        <w:t xml:space="preserve">Waldron criticizes this contrast </w:t>
      </w:r>
      <w:r w:rsidR="00DB5759">
        <w:t>by arguing</w:t>
      </w:r>
      <w:r w:rsidR="008D6BFE">
        <w:t xml:space="preserve"> that it presupposes pathological circumstances and </w:t>
      </w:r>
      <w:r w:rsidR="00DB5759">
        <w:t>that</w:t>
      </w:r>
      <w:r w:rsidR="008D6BFE">
        <w:t xml:space="preserve"> it </w:t>
      </w:r>
      <w:r w:rsidR="00DB5759">
        <w:t xml:space="preserve">therefore </w:t>
      </w:r>
      <w:r w:rsidR="008D6BFE">
        <w:t xml:space="preserve">has no place in a normative theory about the normal functioning of the judicial and legislative branches of government </w:t>
      </w:r>
      <w:r w:rsidR="00DB5759">
        <w:t>with</w:t>
      </w:r>
      <w:r w:rsidR="008D6BFE">
        <w:t xml:space="preserve">in democratic societies. </w:t>
      </w:r>
      <w:r w:rsidR="001A7F10">
        <w:t>T</w:t>
      </w:r>
      <w:r w:rsidR="008D6BFE">
        <w:t>he legitimacy of judicial review</w:t>
      </w:r>
      <w:r w:rsidR="001A7F10">
        <w:t xml:space="preserve"> must be judged</w:t>
      </w:r>
      <w:r w:rsidR="00DC5068">
        <w:t xml:space="preserve"> under the normative assumption that all branches of government are</w:t>
      </w:r>
      <w:r w:rsidR="00C67B39">
        <w:t xml:space="preserve"> equally</w:t>
      </w:r>
      <w:r w:rsidR="00DC5068">
        <w:t xml:space="preserve"> capable of doing what they are set up to do. Since the legislature i</w:t>
      </w:r>
      <w:r w:rsidR="00DB5759">
        <w:t xml:space="preserve">s supposed to take </w:t>
      </w:r>
      <w:r w:rsidR="00DC5068">
        <w:t xml:space="preserve">the constitutionality of the legislation it passes </w:t>
      </w:r>
      <w:r w:rsidR="00DB5759">
        <w:t>into account, it</w:t>
      </w:r>
      <w:r w:rsidR="00DC5068">
        <w:t xml:space="preserve"> should be as concerned about protecting rights as any other branch of government</w:t>
      </w:r>
      <w:r w:rsidR="00DB5759">
        <w:t>. Therefore,</w:t>
      </w:r>
      <w:r w:rsidR="00DC5068">
        <w:t xml:space="preserve"> it </w:t>
      </w:r>
      <w:r w:rsidR="00DB5759">
        <w:t>would beg</w:t>
      </w:r>
      <w:r w:rsidR="00DC5068">
        <w:t xml:space="preserve"> the question to characterize the judic</w:t>
      </w:r>
      <w:r w:rsidR="00DB5759">
        <w:t>iary</w:t>
      </w:r>
      <w:r w:rsidR="00DC5068">
        <w:t xml:space="preserve"> as the only branch of government that is properly sensitive to principle and </w:t>
      </w:r>
      <w:r w:rsidR="00DB5759">
        <w:t xml:space="preserve">to </w:t>
      </w:r>
      <w:r w:rsidR="00DC5068">
        <w:t xml:space="preserve">dismiss the legislature as incapable of meeting its own obligations. </w:t>
      </w:r>
      <w:r w:rsidR="00DB5759">
        <w:t>A legislature in a society</w:t>
      </w:r>
      <w:r w:rsidR="00DC5068">
        <w:t xml:space="preserve"> under particularly pathological circumstances </w:t>
      </w:r>
      <w:r w:rsidR="00DB5759">
        <w:t xml:space="preserve">might be unable to meet these obligations </w:t>
      </w:r>
      <w:r w:rsidR="00DC5068">
        <w:t xml:space="preserve">and </w:t>
      </w:r>
      <w:r w:rsidR="00F52254">
        <w:t>therefore setting up special institutions</w:t>
      </w:r>
      <w:r w:rsidR="00DC5068">
        <w:t xml:space="preserve"> to compensate for </w:t>
      </w:r>
      <w:r w:rsidR="001A7F10">
        <w:t>such pathologies</w:t>
      </w:r>
      <w:r w:rsidR="00F52254">
        <w:t xml:space="preserve"> might be an appropriate step. B</w:t>
      </w:r>
      <w:r w:rsidR="00F02F74">
        <w:t>ut this</w:t>
      </w:r>
      <w:r w:rsidR="00F52254">
        <w:t xml:space="preserve"> hypothetical scenario</w:t>
      </w:r>
      <w:r w:rsidR="00F02F74">
        <w:t xml:space="preserve"> is not</w:t>
      </w:r>
      <w:r w:rsidR="00DC5068">
        <w:t xml:space="preserve"> a</w:t>
      </w:r>
      <w:r w:rsidR="00F02F74">
        <w:t xml:space="preserve"> </w:t>
      </w:r>
      <w:r w:rsidR="00DC5068">
        <w:t>n</w:t>
      </w:r>
      <w:r w:rsidR="00F02F74">
        <w:t>ormative</w:t>
      </w:r>
      <w:r w:rsidR="00DC5068">
        <w:t xml:space="preserve"> argument in favor of judi</w:t>
      </w:r>
      <w:r w:rsidR="00F02F74">
        <w:t xml:space="preserve">cial review that would </w:t>
      </w:r>
      <w:r w:rsidR="00F52254">
        <w:t>apply to</w:t>
      </w:r>
      <w:r w:rsidR="001A7F10">
        <w:t xml:space="preserve"> societies </w:t>
      </w:r>
      <w:r w:rsidR="00F02F74">
        <w:t>without</w:t>
      </w:r>
      <w:r w:rsidR="001A7F10">
        <w:t xml:space="preserve"> such pathologies or</w:t>
      </w:r>
      <w:r w:rsidR="00F52254">
        <w:t xml:space="preserve"> in societies attempting to set up new </w:t>
      </w:r>
      <w:r w:rsidR="001A7F10">
        <w:t>democra</w:t>
      </w:r>
      <w:r w:rsidR="00F52254">
        <w:t>cies</w:t>
      </w:r>
      <w:r w:rsidR="001A7F10">
        <w:t xml:space="preserve">. </w:t>
      </w:r>
    </w:p>
    <w:p w14:paraId="66ACF2EA" w14:textId="25C47D42" w:rsidR="00BC7280" w:rsidRDefault="00F02F74" w:rsidP="00F02F74">
      <w:pPr>
        <w:spacing w:line="360" w:lineRule="auto"/>
        <w:ind w:firstLine="720"/>
        <w:jc w:val="both"/>
      </w:pPr>
      <w:r>
        <w:t xml:space="preserve">Waldron’s argument </w:t>
      </w:r>
      <w:r w:rsidR="00C67B39">
        <w:t>suggests that</w:t>
      </w:r>
      <w:r w:rsidR="0023508E">
        <w:t>, based on what they are ideally set up to do,</w:t>
      </w:r>
      <w:r>
        <w:t xml:space="preserve"> the judiciary and the legislature are both equally </w:t>
      </w:r>
      <w:r w:rsidR="002D206C">
        <w:t>‘</w:t>
      </w:r>
      <w:r w:rsidR="00DE16EA">
        <w:t>forum</w:t>
      </w:r>
      <w:r w:rsidR="00F52254">
        <w:t>s</w:t>
      </w:r>
      <w:r>
        <w:t xml:space="preserve"> of principle</w:t>
      </w:r>
      <w:r w:rsidR="002D206C">
        <w:t>’</w:t>
      </w:r>
      <w:r>
        <w:t xml:space="preserve">. However, </w:t>
      </w:r>
      <w:r w:rsidR="002D206C">
        <w:t xml:space="preserve">this assumption </w:t>
      </w:r>
      <w:r w:rsidR="00C67B39">
        <w:t>seems to give no</w:t>
      </w:r>
      <w:r w:rsidR="002D206C">
        <w:t xml:space="preserve"> consideration to the obvious fact that each of these institutions is set up to do very different things. It is hard to deny that the political process encourages compromises as part of what it is set up to do, namely, to reach agreements among different parties in order to </w:t>
      </w:r>
      <w:r w:rsidR="003066AF">
        <w:t xml:space="preserve">achieve </w:t>
      </w:r>
      <w:r w:rsidR="002D206C">
        <w:t>specific political goals. Passing legislati</w:t>
      </w:r>
      <w:r w:rsidR="003066AF">
        <w:t xml:space="preserve">on requires a good faith effort </w:t>
      </w:r>
      <w:r w:rsidR="002D206C">
        <w:t xml:space="preserve">to reach </w:t>
      </w:r>
      <w:r w:rsidR="003066AF">
        <w:t xml:space="preserve">fair </w:t>
      </w:r>
      <w:r w:rsidR="002D206C">
        <w:t>compromises across different political</w:t>
      </w:r>
      <w:r w:rsidR="00DE16EA">
        <w:t xml:space="preserve"> parties</w:t>
      </w:r>
      <w:r w:rsidR="00490D75">
        <w:t>, interests,</w:t>
      </w:r>
      <w:r w:rsidR="00DE16EA">
        <w:t xml:space="preserve"> and views</w:t>
      </w:r>
      <w:r w:rsidR="002D206C">
        <w:t xml:space="preserve">. </w:t>
      </w:r>
      <w:r w:rsidR="00C67B39">
        <w:t>Now</w:t>
      </w:r>
      <w:r w:rsidR="002D206C">
        <w:t>,</w:t>
      </w:r>
      <w:r w:rsidR="000D54D6">
        <w:t xml:space="preserve"> if</w:t>
      </w:r>
      <w:r w:rsidR="002D206C">
        <w:t xml:space="preserve"> statutes and policies do</w:t>
      </w:r>
      <w:r w:rsidR="00BA525A">
        <w:t xml:space="preserve"> not wear </w:t>
      </w:r>
      <w:r w:rsidR="00F52254">
        <w:t>their</w:t>
      </w:r>
      <w:r w:rsidR="00BA525A">
        <w:t xml:space="preserve"> potential unconstitutionality </w:t>
      </w:r>
      <w:r w:rsidR="00F52254">
        <w:t>“on their</w:t>
      </w:r>
      <w:r w:rsidR="00BA525A">
        <w:t xml:space="preserve"> sleeves</w:t>
      </w:r>
      <w:r w:rsidR="00F52254">
        <w:t>”, so to speak</w:t>
      </w:r>
      <w:r w:rsidR="00BA525A">
        <w:t xml:space="preserve">, then it </w:t>
      </w:r>
      <w:r w:rsidR="00F52254">
        <w:t xml:space="preserve">won’t </w:t>
      </w:r>
      <w:r w:rsidR="000D54D6">
        <w:t xml:space="preserve">always be </w:t>
      </w:r>
      <w:r w:rsidR="00BA525A">
        <w:t>clear</w:t>
      </w:r>
      <w:r w:rsidR="000D54D6">
        <w:t xml:space="preserve"> in advance</w:t>
      </w:r>
      <w:r w:rsidR="00BA525A">
        <w:t xml:space="preserve"> </w:t>
      </w:r>
      <w:r w:rsidR="000D54D6">
        <w:t xml:space="preserve">whether </w:t>
      </w:r>
      <w:r w:rsidR="00F52254">
        <w:t xml:space="preserve">the </w:t>
      </w:r>
      <w:r w:rsidR="000D54D6">
        <w:t>outcomes of</w:t>
      </w:r>
      <w:r w:rsidR="00BA525A">
        <w:t xml:space="preserve"> political compromise</w:t>
      </w:r>
      <w:r w:rsidR="000D54D6">
        <w:t>s are</w:t>
      </w:r>
      <w:r w:rsidR="00F52254">
        <w:t xml:space="preserve"> problematic</w:t>
      </w:r>
      <w:r w:rsidR="003066AF">
        <w:t xml:space="preserve">. It </w:t>
      </w:r>
      <w:r w:rsidR="000D54D6">
        <w:t xml:space="preserve">is always possible that some of these compromises may have subordinated important issues of principle. </w:t>
      </w:r>
      <w:r w:rsidR="003066AF">
        <w:t>T</w:t>
      </w:r>
      <w:r w:rsidR="008232B7">
        <w:t>his is</w:t>
      </w:r>
      <w:r w:rsidR="00C715B1">
        <w:t xml:space="preserve"> so,</w:t>
      </w:r>
      <w:r w:rsidR="008232B7">
        <w:t xml:space="preserve"> not because l</w:t>
      </w:r>
      <w:r w:rsidR="00A137F8">
        <w:t xml:space="preserve">egislatures </w:t>
      </w:r>
      <w:r w:rsidR="008232B7">
        <w:t xml:space="preserve">are </w:t>
      </w:r>
      <w:r w:rsidR="008E51BD">
        <w:t>more susceptible to pathologies</w:t>
      </w:r>
      <w:r w:rsidR="008232B7">
        <w:t xml:space="preserve"> than other institutions, but </w:t>
      </w:r>
      <w:r w:rsidR="00F52254">
        <w:t xml:space="preserve">rather </w:t>
      </w:r>
      <w:r w:rsidR="008232B7">
        <w:t xml:space="preserve">because they are in charge of making all </w:t>
      </w:r>
      <w:r w:rsidR="008E51BD">
        <w:t>kinds of political decisions</w:t>
      </w:r>
      <w:r w:rsidR="00F52254">
        <w:t>—</w:t>
      </w:r>
      <w:r w:rsidR="008232B7">
        <w:t>most of which are</w:t>
      </w:r>
      <w:r w:rsidR="008E51BD">
        <w:t xml:space="preserve"> </w:t>
      </w:r>
      <w:r w:rsidR="00F52254">
        <w:t xml:space="preserve">not </w:t>
      </w:r>
      <w:r w:rsidR="00A137F8">
        <w:t>matter</w:t>
      </w:r>
      <w:r w:rsidR="00F52254">
        <w:t>s</w:t>
      </w:r>
      <w:r w:rsidR="00A137F8">
        <w:t xml:space="preserve"> of principle</w:t>
      </w:r>
      <w:r w:rsidR="00F52254">
        <w:t>. Indeed, if</w:t>
      </w:r>
      <w:r w:rsidR="00A137F8">
        <w:t xml:space="preserve"> political compromises</w:t>
      </w:r>
      <w:r w:rsidR="008E51BD">
        <w:t xml:space="preserve"> among different parties </w:t>
      </w:r>
      <w:r w:rsidR="00A137F8">
        <w:t>are</w:t>
      </w:r>
      <w:r w:rsidR="009D664B">
        <w:t xml:space="preserve"> </w:t>
      </w:r>
      <w:r w:rsidR="009D3520">
        <w:t>needed</w:t>
      </w:r>
      <w:r w:rsidR="0075043F">
        <w:t xml:space="preserve"> </w:t>
      </w:r>
      <w:r w:rsidR="009D664B">
        <w:t>in order to achieve</w:t>
      </w:r>
      <w:r w:rsidR="00F52254">
        <w:t xml:space="preserve"> </w:t>
      </w:r>
      <w:r w:rsidR="008E51BD">
        <w:t xml:space="preserve">important political goals </w:t>
      </w:r>
      <w:r w:rsidR="009D3520">
        <w:t>for a</w:t>
      </w:r>
      <w:r w:rsidR="008E51BD">
        <w:t xml:space="preserve"> community</w:t>
      </w:r>
      <w:r w:rsidR="009D664B">
        <w:t>,</w:t>
      </w:r>
      <w:r w:rsidR="00F52254">
        <w:t xml:space="preserve"> then it woul</w:t>
      </w:r>
      <w:r w:rsidR="009D664B">
        <w:t xml:space="preserve">d be </w:t>
      </w:r>
      <w:r w:rsidR="0075043F">
        <w:t>quite</w:t>
      </w:r>
      <w:r w:rsidR="009D664B">
        <w:t xml:space="preserve"> harmful if parties treat</w:t>
      </w:r>
      <w:r w:rsidR="0075043F">
        <w:t>ed every</w:t>
      </w:r>
      <w:r w:rsidR="009D664B">
        <w:t xml:space="preserve"> political decision </w:t>
      </w:r>
      <w:r w:rsidR="00F52254">
        <w:t>as</w:t>
      </w:r>
      <w:r w:rsidR="009D664B">
        <w:t xml:space="preserve"> a matter</w:t>
      </w:r>
      <w:r w:rsidR="00F52254">
        <w:t xml:space="preserve"> of principle</w:t>
      </w:r>
      <w:r w:rsidR="00A137F8">
        <w:t>.</w:t>
      </w:r>
      <w:r w:rsidR="00E30260">
        <w:t xml:space="preserve"> </w:t>
      </w:r>
      <w:r w:rsidR="00C715B1">
        <w:t>The legislature</w:t>
      </w:r>
      <w:r w:rsidR="008232B7">
        <w:t xml:space="preserve"> should not </w:t>
      </w:r>
      <w:r w:rsidR="00C715B1">
        <w:t>be the</w:t>
      </w:r>
      <w:r w:rsidR="003066AF">
        <w:t xml:space="preserve"> forum o</w:t>
      </w:r>
      <w:r w:rsidR="008232B7">
        <w:t xml:space="preserve">f principle </w:t>
      </w:r>
      <w:r w:rsidR="00C67B39">
        <w:t>because</w:t>
      </w:r>
      <w:r w:rsidR="00C715B1">
        <w:t xml:space="preserve"> </w:t>
      </w:r>
      <w:r w:rsidR="00C715B1" w:rsidRPr="00C715B1">
        <w:rPr>
          <w:i/>
        </w:rPr>
        <w:t>per design</w:t>
      </w:r>
      <w:r w:rsidR="00C715B1">
        <w:t xml:space="preserve"> it</w:t>
      </w:r>
      <w:r w:rsidR="00C67B39">
        <w:t xml:space="preserve"> should be</w:t>
      </w:r>
      <w:r w:rsidR="00E30260">
        <w:t xml:space="preserve"> </w:t>
      </w:r>
      <w:r w:rsidR="009D664B">
        <w:t>a</w:t>
      </w:r>
      <w:r w:rsidR="00C715B1">
        <w:t xml:space="preserve"> </w:t>
      </w:r>
      <w:r w:rsidR="00E30260">
        <w:t>genuine</w:t>
      </w:r>
      <w:r w:rsidR="009D664B">
        <w:t>ly</w:t>
      </w:r>
      <w:r w:rsidR="00C715B1">
        <w:t xml:space="preserve"> </w:t>
      </w:r>
      <w:r w:rsidR="00E30260">
        <w:t>po</w:t>
      </w:r>
      <w:r w:rsidR="008232B7">
        <w:t>litical forum</w:t>
      </w:r>
      <w:r w:rsidR="00E30260">
        <w:t>.</w:t>
      </w:r>
      <w:r w:rsidR="00A137F8">
        <w:t xml:space="preserve"> </w:t>
      </w:r>
      <w:r w:rsidR="008E51BD">
        <w:t>Similarly, the public sphere should not</w:t>
      </w:r>
      <w:r w:rsidR="00F342DA">
        <w:t xml:space="preserve"> simply</w:t>
      </w:r>
      <w:r w:rsidR="008E51BD">
        <w:t xml:space="preserve"> </w:t>
      </w:r>
      <w:r w:rsidR="009D664B">
        <w:t xml:space="preserve">be </w:t>
      </w:r>
      <w:r w:rsidR="008E51BD">
        <w:t xml:space="preserve">a forum of principle, since </w:t>
      </w:r>
      <w:r w:rsidR="009D664B">
        <w:t xml:space="preserve">a great deal </w:t>
      </w:r>
      <w:r w:rsidR="008E51BD">
        <w:t xml:space="preserve">of political deliberation is not about matters of principle, but </w:t>
      </w:r>
      <w:r w:rsidR="009D664B">
        <w:t xml:space="preserve">rather </w:t>
      </w:r>
      <w:r w:rsidR="008E51BD">
        <w:t xml:space="preserve">about </w:t>
      </w:r>
      <w:r w:rsidR="009D664B">
        <w:t>the various</w:t>
      </w:r>
      <w:r w:rsidR="008E51BD">
        <w:t xml:space="preserve"> kinds of political goals that the political community would like to achieve, the most efficient </w:t>
      </w:r>
      <w:r w:rsidR="009D664B">
        <w:t>ways</w:t>
      </w:r>
      <w:r w:rsidR="008E51BD">
        <w:t xml:space="preserve"> to reach them, etc. And, since</w:t>
      </w:r>
      <w:r w:rsidR="003066AF">
        <w:t xml:space="preserve"> it is</w:t>
      </w:r>
      <w:r w:rsidR="009D664B">
        <w:t xml:space="preserve"> often</w:t>
      </w:r>
      <w:r w:rsidR="003066AF">
        <w:t xml:space="preserve"> </w:t>
      </w:r>
      <w:r w:rsidR="009D664B">
        <w:t>not obvious</w:t>
      </w:r>
      <w:r w:rsidR="008E51BD">
        <w:t xml:space="preserve"> </w:t>
      </w:r>
      <w:r w:rsidR="003066AF">
        <w:t xml:space="preserve">which political decisions may </w:t>
      </w:r>
      <w:r w:rsidR="00490D75">
        <w:t>have</w:t>
      </w:r>
      <w:r w:rsidR="003066AF">
        <w:t xml:space="preserve"> constitutional implications</w:t>
      </w:r>
      <w:r w:rsidR="009D664B">
        <w:t>,</w:t>
      </w:r>
      <w:r w:rsidR="003066AF">
        <w:t xml:space="preserve"> </w:t>
      </w:r>
      <w:r w:rsidR="008E51BD">
        <w:t>p</w:t>
      </w:r>
      <w:r w:rsidR="009D664B">
        <w:t>olitical deliberation</w:t>
      </w:r>
      <w:r w:rsidR="00BA15D1">
        <w:t xml:space="preserve"> </w:t>
      </w:r>
      <w:r w:rsidR="00BA15D1" w:rsidRPr="009D25E8">
        <w:rPr>
          <w:i/>
        </w:rPr>
        <w:t>in general</w:t>
      </w:r>
      <w:r w:rsidR="008E51BD">
        <w:t xml:space="preserve"> </w:t>
      </w:r>
      <w:r w:rsidR="00E30260">
        <w:t>should not</w:t>
      </w:r>
      <w:r w:rsidR="008E51BD">
        <w:t xml:space="preserve"> be conceived</w:t>
      </w:r>
      <w:r w:rsidR="009D664B">
        <w:t xml:space="preserve"> of</w:t>
      </w:r>
      <w:r w:rsidR="008E51BD">
        <w:t xml:space="preserve"> </w:t>
      </w:r>
      <w:r w:rsidR="00112534">
        <w:t xml:space="preserve">on the model of </w:t>
      </w:r>
      <w:r w:rsidR="008E51BD">
        <w:t>a forum of principle.</w:t>
      </w:r>
      <w:r w:rsidR="009D25E8">
        <w:rPr>
          <w:rStyle w:val="FootnoteReference"/>
        </w:rPr>
        <w:footnoteReference w:id="41"/>
      </w:r>
      <w:r w:rsidR="008E51BD">
        <w:t xml:space="preserve"> By contrast, an institution in charge of checking the constitutionality of statutes is </w:t>
      </w:r>
      <w:r w:rsidR="008E51BD" w:rsidRPr="00011232">
        <w:rPr>
          <w:i/>
        </w:rPr>
        <w:t>per design</w:t>
      </w:r>
      <w:r w:rsidR="008E51BD">
        <w:t xml:space="preserve"> a forum of principle</w:t>
      </w:r>
      <w:r w:rsidR="00A81BC2">
        <w:t>. But this is only possible</w:t>
      </w:r>
      <w:r w:rsidR="008E51BD">
        <w:t xml:space="preserve"> precisely because </w:t>
      </w:r>
      <w:r w:rsidR="008E51BD" w:rsidRPr="00011232">
        <w:rPr>
          <w:i/>
        </w:rPr>
        <w:t>per design</w:t>
      </w:r>
      <w:r w:rsidR="008E51BD">
        <w:t xml:space="preserve"> </w:t>
      </w:r>
      <w:r w:rsidR="00AD4270">
        <w:t xml:space="preserve">it is not </w:t>
      </w:r>
      <w:r w:rsidR="008E51BD">
        <w:t>an institution in charge of making political decisions</w:t>
      </w:r>
      <w:r w:rsidR="009B632A">
        <w:t xml:space="preserve"> of all kinds like legislatures</w:t>
      </w:r>
      <w:r w:rsidR="008E51BD">
        <w:t>.</w:t>
      </w:r>
      <w:r w:rsidR="00AD4270">
        <w:t xml:space="preserve"> This has nothing to do with the moral character of their respective members, but with an institutional division of labor.</w:t>
      </w:r>
      <w:r w:rsidR="00E30260">
        <w:t xml:space="preserve"> From this perspective</w:t>
      </w:r>
      <w:r w:rsidR="009B632A">
        <w:t xml:space="preserve">, </w:t>
      </w:r>
      <w:r w:rsidR="00E30260">
        <w:t>Dworkin</w:t>
      </w:r>
      <w:r w:rsidR="009B632A">
        <w:t>’s observation</w:t>
      </w:r>
      <w:r w:rsidR="00E30260">
        <w:t xml:space="preserve"> that “the majoritarian process encourages compromises that may subordinate important iss</w:t>
      </w:r>
      <w:r w:rsidR="009B632A">
        <w:t>ues of principle”</w:t>
      </w:r>
      <w:r w:rsidR="00114863">
        <w:rPr>
          <w:rStyle w:val="FootnoteReference"/>
        </w:rPr>
        <w:footnoteReference w:id="42"/>
      </w:r>
      <w:r w:rsidR="009B632A">
        <w:t xml:space="preserve"> </w:t>
      </w:r>
      <w:r w:rsidR="00E30260">
        <w:t xml:space="preserve">should not be read as commentary on the pathological </w:t>
      </w:r>
      <w:r w:rsidR="00112534">
        <w:t>character</w:t>
      </w:r>
      <w:r w:rsidR="00E30260">
        <w:t xml:space="preserve"> of politicians, but </w:t>
      </w:r>
      <w:r w:rsidR="009B632A">
        <w:t xml:space="preserve">instead </w:t>
      </w:r>
      <w:r w:rsidR="00E30260">
        <w:t>as an obvious consequence of the fact that the</w:t>
      </w:r>
      <w:r w:rsidR="001C6095">
        <w:t>re is no way to know</w:t>
      </w:r>
      <w:r w:rsidR="00490D75">
        <w:t xml:space="preserve"> in advance</w:t>
      </w:r>
      <w:r w:rsidR="009B632A">
        <w:t xml:space="preserve"> </w:t>
      </w:r>
      <w:r w:rsidR="001C6095">
        <w:t>all the</w:t>
      </w:r>
      <w:r w:rsidR="00E30260">
        <w:t xml:space="preserve"> potential issues of principle (</w:t>
      </w:r>
      <w:r w:rsidR="00490D75">
        <w:t>e.g.</w:t>
      </w:r>
      <w:r w:rsidR="00E30260">
        <w:t xml:space="preserve"> the infringement of some fundamental right) that</w:t>
      </w:r>
      <w:r w:rsidR="001C6095">
        <w:t xml:space="preserve"> </w:t>
      </w:r>
      <w:r w:rsidR="00112534">
        <w:t>any piece</w:t>
      </w:r>
      <w:r w:rsidR="001C6095">
        <w:t xml:space="preserve"> of legislation may </w:t>
      </w:r>
      <w:r w:rsidR="009D3520">
        <w:t>bring about</w:t>
      </w:r>
      <w:r w:rsidR="001C6095">
        <w:t xml:space="preserve">. </w:t>
      </w:r>
      <w:r w:rsidR="00A8625C">
        <w:t>However, t</w:t>
      </w:r>
      <w:r w:rsidR="001C6095">
        <w:t>his</w:t>
      </w:r>
      <w:r w:rsidR="009B632A">
        <w:t xml:space="preserve"> fact</w:t>
      </w:r>
      <w:r w:rsidR="001C6095">
        <w:t xml:space="preserve"> does not undermine the legitimacy of </w:t>
      </w:r>
      <w:r w:rsidR="002774A5">
        <w:t>a democratic</w:t>
      </w:r>
      <w:r w:rsidR="001C6095">
        <w:t xml:space="preserve"> political system, so long as</w:t>
      </w:r>
      <w:r w:rsidR="009B632A">
        <w:t xml:space="preserve"> citizens</w:t>
      </w:r>
      <w:r w:rsidR="001C6095">
        <w:t xml:space="preserve"> </w:t>
      </w:r>
      <w:r w:rsidR="002774A5">
        <w:t>in that system</w:t>
      </w:r>
      <w:r w:rsidR="009B632A">
        <w:t xml:space="preserve"> </w:t>
      </w:r>
      <w:r w:rsidR="001C6095">
        <w:t>have the right to legal contestat</w:t>
      </w:r>
      <w:r w:rsidR="002774A5">
        <w:t xml:space="preserve">ion, </w:t>
      </w:r>
      <w:r w:rsidR="00A81BC2">
        <w:t>that is, the right</w:t>
      </w:r>
      <w:r w:rsidR="002774A5">
        <w:t xml:space="preserve"> to </w:t>
      </w:r>
      <w:r w:rsidR="009B632A">
        <w:t>receive</w:t>
      </w:r>
      <w:r w:rsidR="002774A5">
        <w:t xml:space="preserve"> a fair examination of their claim</w:t>
      </w:r>
      <w:r w:rsidR="001C6095">
        <w:t xml:space="preserve"> that a specific </w:t>
      </w:r>
      <w:r w:rsidR="00A81BC2">
        <w:t>statute or policy</w:t>
      </w:r>
      <w:r w:rsidR="002774A5">
        <w:t xml:space="preserve"> infringe</w:t>
      </w:r>
      <w:r w:rsidR="009B632A">
        <w:t>s</w:t>
      </w:r>
      <w:r w:rsidR="001C6095">
        <w:t xml:space="preserve"> upon their fundamental rights. </w:t>
      </w:r>
      <w:r w:rsidR="0031414F">
        <w:t>As</w:t>
      </w:r>
      <w:r w:rsidR="001C6095">
        <w:t xml:space="preserve"> long as citizens </w:t>
      </w:r>
      <w:r w:rsidR="009B632A">
        <w:t>may question the constitutionality of any</w:t>
      </w:r>
      <w:r w:rsidR="002774A5">
        <w:t xml:space="preserve"> statute</w:t>
      </w:r>
      <w:r w:rsidR="009B632A">
        <w:t xml:space="preserve"> by initiating a legal challenge</w:t>
      </w:r>
      <w:r w:rsidR="001C6095">
        <w:t>, they can</w:t>
      </w:r>
      <w:r w:rsidR="00A8625C">
        <w:t xml:space="preserve"> </w:t>
      </w:r>
      <w:r w:rsidR="0034578D" w:rsidRPr="0034578D">
        <w:rPr>
          <w:i/>
        </w:rPr>
        <w:t>structure</w:t>
      </w:r>
      <w:r w:rsidR="00A8625C">
        <w:t xml:space="preserve"> </w:t>
      </w:r>
      <w:r w:rsidR="001C6095">
        <w:t>p</w:t>
      </w:r>
      <w:r w:rsidR="00B578CF">
        <w:t>ublic</w:t>
      </w:r>
      <w:r w:rsidR="001C6095">
        <w:t xml:space="preserve"> debate</w:t>
      </w:r>
      <w:r w:rsidR="002A0D47">
        <w:t xml:space="preserve"> on the statute in question</w:t>
      </w:r>
      <w:r w:rsidR="00A8625C">
        <w:t xml:space="preserve"> </w:t>
      </w:r>
      <w:r w:rsidR="009370B5">
        <w:t xml:space="preserve">as </w:t>
      </w:r>
      <w:r w:rsidR="0034578D">
        <w:t>a debate</w:t>
      </w:r>
      <w:r w:rsidR="009370B5">
        <w:t xml:space="preserve"> about fundamental</w:t>
      </w:r>
      <w:r w:rsidR="009B632A">
        <w:t xml:space="preserve"> rights</w:t>
      </w:r>
      <w:r w:rsidR="0034578D">
        <w:t>,</w:t>
      </w:r>
      <w:r w:rsidR="004A3CB6">
        <w:t xml:space="preserve"> and therefore</w:t>
      </w:r>
      <w:r w:rsidR="0034578D">
        <w:t xml:space="preserve"> a debate in </w:t>
      </w:r>
      <w:r w:rsidR="009B632A">
        <w:t>which the priority of public reasons</w:t>
      </w:r>
      <w:r w:rsidR="0075043F">
        <w:t xml:space="preserve"> (to use Rawlsian terms) must be respected.</w:t>
      </w:r>
      <w:r w:rsidR="0075043F" w:rsidRPr="0075043F">
        <w:rPr>
          <w:rStyle w:val="FootnoteReference"/>
        </w:rPr>
        <w:t xml:space="preserve"> </w:t>
      </w:r>
      <w:r w:rsidR="0075043F">
        <w:rPr>
          <w:rStyle w:val="FootnoteReference"/>
        </w:rPr>
        <w:footnoteReference w:id="43"/>
      </w:r>
      <w:r w:rsidR="002774A5">
        <w:t xml:space="preserve"> </w:t>
      </w:r>
      <w:r w:rsidR="00A81BC2">
        <w:t xml:space="preserve">From this perspective the political significance of the process of judicial review is that it functions as a </w:t>
      </w:r>
      <w:r w:rsidR="00A81BC2" w:rsidRPr="00EF443E">
        <w:rPr>
          <w:i/>
        </w:rPr>
        <w:t>conversation initiator</w:t>
      </w:r>
      <w:r w:rsidR="00A81BC2">
        <w:t xml:space="preserve"> on the constitutionality of any specific policy or statute. </w:t>
      </w:r>
      <w:r w:rsidR="00165DA7">
        <w:t>In so doing, it facilitates the constitutionalization of political debate in the public sphere.</w:t>
      </w:r>
    </w:p>
    <w:p w14:paraId="746EC75C" w14:textId="77777777" w:rsidR="00BC7280" w:rsidRDefault="00BC7280" w:rsidP="00F02F74">
      <w:pPr>
        <w:spacing w:line="360" w:lineRule="auto"/>
        <w:ind w:firstLine="720"/>
        <w:jc w:val="both"/>
      </w:pPr>
    </w:p>
    <w:p w14:paraId="27378880" w14:textId="77777777" w:rsidR="00BC7280" w:rsidRPr="00BC7280" w:rsidRDefault="00BC7280" w:rsidP="00BC7280">
      <w:pPr>
        <w:spacing w:line="360" w:lineRule="auto"/>
        <w:jc w:val="both"/>
        <w:rPr>
          <w:i/>
        </w:rPr>
      </w:pPr>
      <w:r w:rsidRPr="00BC7280">
        <w:rPr>
          <w:i/>
        </w:rPr>
        <w:t>Citizens in Robes: The Public Sphere as a Forum of Principle</w:t>
      </w:r>
    </w:p>
    <w:p w14:paraId="58E31812" w14:textId="77777777" w:rsidR="00BC7280" w:rsidRDefault="00BC7280" w:rsidP="00F02F74">
      <w:pPr>
        <w:spacing w:line="360" w:lineRule="auto"/>
        <w:ind w:firstLine="720"/>
        <w:jc w:val="both"/>
      </w:pPr>
    </w:p>
    <w:p w14:paraId="786AB448" w14:textId="36A0D82F" w:rsidR="005252ED" w:rsidRDefault="008566A8" w:rsidP="00F02F74">
      <w:pPr>
        <w:spacing w:line="360" w:lineRule="auto"/>
        <w:ind w:firstLine="720"/>
        <w:jc w:val="both"/>
      </w:pPr>
      <w:r>
        <w:t>The right to legal contestation</w:t>
      </w:r>
      <w:r w:rsidR="00A81BC2">
        <w:t xml:space="preserve"> allows citizens to structure the</w:t>
      </w:r>
      <w:r w:rsidR="0090470C">
        <w:t xml:space="preserve"> public</w:t>
      </w:r>
      <w:r w:rsidR="00A81BC2">
        <w:t xml:space="preserve"> debate on a particular statute or policy </w:t>
      </w:r>
      <w:r w:rsidR="004A3CB6">
        <w:t>as one about fundamental rights—</w:t>
      </w:r>
      <w:r w:rsidR="00A81BC2">
        <w:t xml:space="preserve">even if other </w:t>
      </w:r>
      <w:r>
        <w:t>citizens or the legisl</w:t>
      </w:r>
      <w:r w:rsidR="0090470C">
        <w:t xml:space="preserve">ature had not framed the </w:t>
      </w:r>
      <w:r>
        <w:t xml:space="preserve">debate in those terms or had failed to </w:t>
      </w:r>
      <w:r w:rsidR="004A3CB6">
        <w:t>fore</w:t>
      </w:r>
      <w:r>
        <w:t>see the</w:t>
      </w:r>
      <w:r w:rsidR="00A81BC2">
        <w:t xml:space="preserve"> </w:t>
      </w:r>
      <w:r w:rsidR="009B19C2">
        <w:t>impact of</w:t>
      </w:r>
      <w:r w:rsidR="004A3CB6">
        <w:t xml:space="preserve"> </w:t>
      </w:r>
      <w:r w:rsidR="009B19C2">
        <w:t xml:space="preserve">the </w:t>
      </w:r>
      <w:r w:rsidR="004A3CB6">
        <w:t xml:space="preserve">statute </w:t>
      </w:r>
      <w:r w:rsidR="009B19C2">
        <w:t>on</w:t>
      </w:r>
      <w:r w:rsidR="004A3CB6">
        <w:t xml:space="preserve"> the</w:t>
      </w:r>
      <w:r>
        <w:t xml:space="preserve"> fundamental right</w:t>
      </w:r>
      <w:r w:rsidR="004A3CB6">
        <w:t>s</w:t>
      </w:r>
      <w:r>
        <w:t xml:space="preserve"> of </w:t>
      </w:r>
      <w:r w:rsidR="004A3CB6">
        <w:t>certain</w:t>
      </w:r>
      <w:r>
        <w:t xml:space="preserve"> citizens</w:t>
      </w:r>
      <w:r w:rsidR="00A81BC2">
        <w:t xml:space="preserve">. </w:t>
      </w:r>
      <w:r>
        <w:t>This in turn has important implications for the question of political e</w:t>
      </w:r>
      <w:r w:rsidR="004A3CB6">
        <w:t>quality</w:t>
      </w:r>
      <w:r>
        <w:t>. Given the fact of pluralism, citizens</w:t>
      </w:r>
      <w:r w:rsidR="00EF443E">
        <w:t xml:space="preserve"> are bound to </w:t>
      </w:r>
      <w:r>
        <w:t xml:space="preserve">disagree </w:t>
      </w:r>
      <w:r w:rsidR="004A3CB6">
        <w:t>about</w:t>
      </w:r>
      <w:r>
        <w:t xml:space="preserve"> the right way to frame a political debate. However, other things being equal, </w:t>
      </w:r>
      <w:r w:rsidR="00EF443E">
        <w:t>democratic societies should err on the side of making sure that fundamental rights are not violated. But how</w:t>
      </w:r>
      <w:r w:rsidR="00F2651A">
        <w:t xml:space="preserve"> can this </w:t>
      </w:r>
      <w:r w:rsidR="002116AB">
        <w:t>be achieved</w:t>
      </w:r>
      <w:r w:rsidR="00F2651A">
        <w:t>? How</w:t>
      </w:r>
      <w:r w:rsidR="00066B65">
        <w:t xml:space="preserve"> can political debate be bent in </w:t>
      </w:r>
      <w:r w:rsidR="00F2651A">
        <w:t>such a</w:t>
      </w:r>
      <w:r w:rsidR="00066B65">
        <w:t xml:space="preserve"> way without giving preferential treatment or superior authority to anyone’s views or beliefs? If participants in political debate are supposed to judge the issues on their merits</w:t>
      </w:r>
      <w:r w:rsidR="009A7B74">
        <w:t xml:space="preserve">, that is, on the basis of their own convictions, there is no particular reason to assume that </w:t>
      </w:r>
      <w:r w:rsidR="002116AB">
        <w:t>unfettered</w:t>
      </w:r>
      <w:r w:rsidR="009A7B74">
        <w:t xml:space="preserve"> pol</w:t>
      </w:r>
      <w:r w:rsidR="002116AB">
        <w:t>itical debate</w:t>
      </w:r>
      <w:r w:rsidR="009A7B74">
        <w:t xml:space="preserve"> would allow citizens with unpopular or idiosyncratic beliefs to </w:t>
      </w:r>
      <w:r w:rsidR="00066B65">
        <w:t>structure</w:t>
      </w:r>
      <w:r w:rsidR="009A7B74">
        <w:t xml:space="preserve"> the debate in a way that </w:t>
      </w:r>
      <w:r w:rsidR="00B26527">
        <w:t>goes against what the majority of</w:t>
      </w:r>
      <w:r w:rsidR="009A7B74">
        <w:t xml:space="preserve"> citizens genu</w:t>
      </w:r>
      <w:r w:rsidR="00B26527">
        <w:t>inely</w:t>
      </w:r>
      <w:r w:rsidR="00F2651A">
        <w:t xml:space="preserve"> find persuasive</w:t>
      </w:r>
      <w:r w:rsidR="009A7B74">
        <w:t>.</w:t>
      </w:r>
      <w:r w:rsidR="009B2DA9">
        <w:t xml:space="preserve"> If </w:t>
      </w:r>
      <w:r w:rsidR="002116AB">
        <w:t>this analysis is correct, then</w:t>
      </w:r>
      <w:r w:rsidR="009B2DA9">
        <w:t xml:space="preserve"> </w:t>
      </w:r>
      <w:r w:rsidR="002116AB">
        <w:t>an</w:t>
      </w:r>
      <w:r w:rsidR="009B2DA9">
        <w:t xml:space="preserve"> extra device would be needed in order to </w:t>
      </w:r>
      <w:r w:rsidR="009B2DA9" w:rsidRPr="009B2DA9">
        <w:rPr>
          <w:i/>
        </w:rPr>
        <w:t>err</w:t>
      </w:r>
      <w:r w:rsidR="009B2DA9">
        <w:t xml:space="preserve"> on the side of </w:t>
      </w:r>
      <w:r w:rsidR="00DA2840">
        <w:t xml:space="preserve">making sure that </w:t>
      </w:r>
      <w:r w:rsidR="009B2DA9">
        <w:t>those who believe that some fundamental rights are violated</w:t>
      </w:r>
      <w:r w:rsidR="00DA2840">
        <w:t xml:space="preserve"> </w:t>
      </w:r>
      <w:r w:rsidR="002116AB">
        <w:t>have their claims</w:t>
      </w:r>
      <w:r w:rsidR="00DA2840">
        <w:t xml:space="preserve"> proper</w:t>
      </w:r>
      <w:r w:rsidR="002116AB">
        <w:t>ly</w:t>
      </w:r>
      <w:r w:rsidR="00DA2840">
        <w:t xml:space="preserve"> scrutin</w:t>
      </w:r>
      <w:r w:rsidR="002116AB">
        <w:t>ized</w:t>
      </w:r>
      <w:r w:rsidR="00DA2840">
        <w:t xml:space="preserve"> and appropriately</w:t>
      </w:r>
      <w:r w:rsidR="002116AB">
        <w:t xml:space="preserve"> answered</w:t>
      </w:r>
      <w:r w:rsidR="009B2DA9">
        <w:t xml:space="preserve">, even if </w:t>
      </w:r>
      <w:r w:rsidR="00C67B39">
        <w:t>most people are</w:t>
      </w:r>
      <w:r w:rsidR="009B2DA9">
        <w:t xml:space="preserve"> convinced that </w:t>
      </w:r>
      <w:r w:rsidR="0031414F">
        <w:t>such</w:t>
      </w:r>
      <w:r w:rsidR="00B26527">
        <w:t xml:space="preserve"> claims</w:t>
      </w:r>
      <w:r w:rsidR="009B2DA9">
        <w:t xml:space="preserve"> are wrong</w:t>
      </w:r>
      <w:r w:rsidR="002116AB">
        <w:t xml:space="preserve"> on their merits</w:t>
      </w:r>
      <w:r w:rsidR="009B2DA9">
        <w:t>.</w:t>
      </w:r>
      <w:r w:rsidR="009A7B74">
        <w:t xml:space="preserve"> </w:t>
      </w:r>
      <w:r w:rsidR="009B2DA9">
        <w:t xml:space="preserve">The right to legal contestation allows citizens to structure the public political debate in such a way that </w:t>
      </w:r>
      <w:r w:rsidR="00A81BC2">
        <w:t>priority</w:t>
      </w:r>
      <w:r w:rsidR="009B2DA9">
        <w:t xml:space="preserve"> is given</w:t>
      </w:r>
      <w:r w:rsidR="00A81BC2">
        <w:t xml:space="preserve"> to the</w:t>
      </w:r>
      <w:r w:rsidR="00DA2840">
        <w:t xml:space="preserve"> question</w:t>
      </w:r>
      <w:r w:rsidR="002116AB">
        <w:t xml:space="preserve"> of whether or not a</w:t>
      </w:r>
      <w:r w:rsidR="00A81BC2">
        <w:t xml:space="preserve"> contested statute violates some </w:t>
      </w:r>
      <w:r w:rsidR="00561945">
        <w:t>fundamental</w:t>
      </w:r>
      <w:r w:rsidR="00A81BC2">
        <w:t xml:space="preserve"> right</w:t>
      </w:r>
      <w:r w:rsidR="002116AB">
        <w:t>, even if such structuring does</w:t>
      </w:r>
      <w:r w:rsidR="00DA2840">
        <w:t xml:space="preserve"> not</w:t>
      </w:r>
      <w:r w:rsidR="002116AB">
        <w:t xml:space="preserve"> seem</w:t>
      </w:r>
      <w:r w:rsidR="009B2DA9">
        <w:t xml:space="preserve"> antecedently plausible to the </w:t>
      </w:r>
      <w:r w:rsidR="00EA0821">
        <w:t>rest of</w:t>
      </w:r>
      <w:r w:rsidR="009B2DA9">
        <w:t xml:space="preserve"> the citizenry</w:t>
      </w:r>
      <w:r w:rsidR="00E27178">
        <w:t>. In that sense, we can say</w:t>
      </w:r>
      <w:r w:rsidR="00CA6D5C">
        <w:t xml:space="preserve"> with Waldron</w:t>
      </w:r>
      <w:r w:rsidR="00E27178">
        <w:t xml:space="preserve"> that these citizens are trying to get “greater weight for their opinions than electoral politics will give them.” However, </w:t>
      </w:r>
      <w:r w:rsidR="00CA6D5C">
        <w:t xml:space="preserve">we need to be more specific about the </w:t>
      </w:r>
      <w:r w:rsidR="00CA6D5C" w:rsidRPr="00CA6D5C">
        <w:rPr>
          <w:i/>
        </w:rPr>
        <w:t>aspect</w:t>
      </w:r>
      <w:r w:rsidR="00CA6D5C">
        <w:t xml:space="preserve"> of their opinions that is getting</w:t>
      </w:r>
      <w:r w:rsidR="00E27178">
        <w:t xml:space="preserve"> greater weight</w:t>
      </w:r>
      <w:r w:rsidR="00CA6D5C">
        <w:t xml:space="preserve"> by virtue of their right to legal contestation.</w:t>
      </w:r>
      <w:r w:rsidR="00E27178">
        <w:t xml:space="preserve"> </w:t>
      </w:r>
      <w:r w:rsidR="00CA6D5C">
        <w:t xml:space="preserve">The </w:t>
      </w:r>
      <w:r w:rsidR="00B26527">
        <w:t>“</w:t>
      </w:r>
      <w:r w:rsidR="00CA6D5C">
        <w:t>greater weight</w:t>
      </w:r>
      <w:r w:rsidR="00B26527">
        <w:t>” in question</w:t>
      </w:r>
      <w:r w:rsidR="00CA6D5C">
        <w:t xml:space="preserve"> </w:t>
      </w:r>
      <w:r w:rsidR="00E27178">
        <w:t xml:space="preserve">is not about </w:t>
      </w:r>
      <w:r w:rsidR="00E27178" w:rsidRPr="00C67B39">
        <w:rPr>
          <w:i/>
        </w:rPr>
        <w:t>getting the</w:t>
      </w:r>
      <w:r w:rsidR="00E27178">
        <w:t xml:space="preserve"> </w:t>
      </w:r>
      <w:r w:rsidR="00E27178" w:rsidRPr="00CA6D5C">
        <w:rPr>
          <w:i/>
        </w:rPr>
        <w:t>outcome</w:t>
      </w:r>
      <w:r w:rsidR="00CA6D5C">
        <w:t xml:space="preserve"> that</w:t>
      </w:r>
      <w:r w:rsidR="00E27178">
        <w:t xml:space="preserve"> they think is right. </w:t>
      </w:r>
      <w:r w:rsidR="002116AB">
        <w:t>If we assume that a democratic system is</w:t>
      </w:r>
      <w:r w:rsidR="00CA6D5C">
        <w:t xml:space="preserve"> functioning</w:t>
      </w:r>
      <w:r w:rsidR="002116AB">
        <w:t xml:space="preserve"> normally</w:t>
      </w:r>
      <w:r w:rsidR="00CA6D5C">
        <w:t xml:space="preserve">, </w:t>
      </w:r>
      <w:r w:rsidR="002116AB">
        <w:t xml:space="preserve">then </w:t>
      </w:r>
      <w:r w:rsidR="00CA6D5C">
        <w:t>t</w:t>
      </w:r>
      <w:r w:rsidR="00E27178">
        <w:t xml:space="preserve">here is nothing they can do to force judges to rule in their favor. </w:t>
      </w:r>
      <w:r w:rsidR="00B26527">
        <w:t xml:space="preserve">Rather, </w:t>
      </w:r>
      <w:r w:rsidR="00016925">
        <w:t>the ‘greater weight’ they are seeking</w:t>
      </w:r>
      <w:r w:rsidR="00E27178">
        <w:t xml:space="preserve"> is about </w:t>
      </w:r>
      <w:r w:rsidR="00016925">
        <w:rPr>
          <w:i/>
        </w:rPr>
        <w:t>receiv</w:t>
      </w:r>
      <w:r w:rsidR="00E27178" w:rsidRPr="00C67B39">
        <w:rPr>
          <w:i/>
        </w:rPr>
        <w:t>ing</w:t>
      </w:r>
      <w:r w:rsidR="00E27178">
        <w:t xml:space="preserve"> </w:t>
      </w:r>
      <w:r w:rsidR="00016925">
        <w:rPr>
          <w:i/>
        </w:rPr>
        <w:t>the kind</w:t>
      </w:r>
      <w:r w:rsidR="00E27178" w:rsidRPr="00CA6D5C">
        <w:rPr>
          <w:i/>
        </w:rPr>
        <w:t xml:space="preserve"> of scrutiny</w:t>
      </w:r>
      <w:r w:rsidR="00016925">
        <w:t xml:space="preserve"> </w:t>
      </w:r>
      <w:r w:rsidR="0031414F">
        <w:t xml:space="preserve">that </w:t>
      </w:r>
      <w:r w:rsidR="00E27178">
        <w:t xml:space="preserve">they think is appropriate and </w:t>
      </w:r>
      <w:r w:rsidR="00016925">
        <w:t xml:space="preserve">we all agree </w:t>
      </w:r>
      <w:r w:rsidR="003F5766">
        <w:t>they deserve, as free and equal citizens</w:t>
      </w:r>
      <w:r w:rsidR="00C67B39">
        <w:t xml:space="preserve">, even </w:t>
      </w:r>
      <w:r w:rsidR="003F5766">
        <w:t>if</w:t>
      </w:r>
      <w:r w:rsidR="00C67B39">
        <w:t xml:space="preserve"> we think that they are plainly wrong</w:t>
      </w:r>
      <w:r w:rsidR="00561945">
        <w:t xml:space="preserve"> about the</w:t>
      </w:r>
      <w:r w:rsidR="00EA0821">
        <w:t xml:space="preserve"> particular case</w:t>
      </w:r>
      <w:r w:rsidR="00E27178">
        <w:t>.</w:t>
      </w:r>
      <w:r w:rsidR="001F66B8">
        <w:rPr>
          <w:rStyle w:val="FootnoteReference"/>
        </w:rPr>
        <w:footnoteReference w:id="44"/>
      </w:r>
      <w:r w:rsidR="00E27178">
        <w:t xml:space="preserve"> </w:t>
      </w:r>
      <w:r w:rsidR="00A6576C">
        <w:t>Indeed, t</w:t>
      </w:r>
      <w:r w:rsidR="00016925">
        <w:t>he</w:t>
      </w:r>
      <w:r w:rsidR="002774A5">
        <w:t xml:space="preserve"> claim </w:t>
      </w:r>
      <w:r w:rsidR="00016925">
        <w:t xml:space="preserve">that </w:t>
      </w:r>
      <w:r w:rsidR="00601843">
        <w:t>the contested statute violates a fundamental right</w:t>
      </w:r>
      <w:r w:rsidR="004E5C21">
        <w:t xml:space="preserve"> </w:t>
      </w:r>
      <w:r w:rsidR="002774A5">
        <w:t>may turn out to be wrong</w:t>
      </w:r>
      <w:r w:rsidR="0034578D">
        <w:t>,</w:t>
      </w:r>
      <w:r w:rsidR="002774A5">
        <w:t xml:space="preserve"> and </w:t>
      </w:r>
      <w:r w:rsidR="00016925">
        <w:t>litigants</w:t>
      </w:r>
      <w:r w:rsidR="002774A5">
        <w:t xml:space="preserve"> may not be able to change public op</w:t>
      </w:r>
      <w:r w:rsidR="004E5C21">
        <w:t>inion</w:t>
      </w:r>
      <w:r w:rsidR="00016925">
        <w:t>. B</w:t>
      </w:r>
      <w:r w:rsidR="004E5C21">
        <w:t xml:space="preserve">ut even in such a case </w:t>
      </w:r>
      <w:r w:rsidR="00016925">
        <w:t>they still have the right to receive</w:t>
      </w:r>
      <w:r w:rsidR="00041B84">
        <w:t xml:space="preserve"> an explicit</w:t>
      </w:r>
      <w:r w:rsidR="004E5C21">
        <w:t xml:space="preserve"> reasoned</w:t>
      </w:r>
      <w:r w:rsidR="00041B84">
        <w:t xml:space="preserve"> justification </w:t>
      </w:r>
      <w:r w:rsidR="00016925">
        <w:t>about</w:t>
      </w:r>
      <w:r w:rsidR="00041B84">
        <w:t xml:space="preserve"> why th</w:t>
      </w:r>
      <w:r w:rsidR="00016925">
        <w:t>e</w:t>
      </w:r>
      <w:r w:rsidR="00B87578">
        <w:t xml:space="preserve"> </w:t>
      </w:r>
      <w:r w:rsidR="00041B84">
        <w:t xml:space="preserve">statute </w:t>
      </w:r>
      <w:r w:rsidR="004E5C21">
        <w:t>does not</w:t>
      </w:r>
      <w:r w:rsidR="002860E4">
        <w:t xml:space="preserve"> in fact</w:t>
      </w:r>
      <w:r w:rsidR="004E5C21">
        <w:t xml:space="preserve"> violate their rights and </w:t>
      </w:r>
      <w:r w:rsidR="00041B84">
        <w:t xml:space="preserve">is </w:t>
      </w:r>
      <w:r w:rsidR="004E5C21">
        <w:t xml:space="preserve">therefore </w:t>
      </w:r>
      <w:r w:rsidR="00041B84">
        <w:t>compatible with treating them as free and equal.</w:t>
      </w:r>
      <w:r w:rsidR="00950F85">
        <w:t xml:space="preserve"> </w:t>
      </w:r>
    </w:p>
    <w:p w14:paraId="4CB93D21" w14:textId="77777777" w:rsidR="006513F8" w:rsidRDefault="00950F85" w:rsidP="00960083">
      <w:pPr>
        <w:spacing w:line="360" w:lineRule="auto"/>
        <w:ind w:firstLine="720"/>
        <w:jc w:val="both"/>
      </w:pPr>
      <w:r>
        <w:t>Moreover, f</w:t>
      </w:r>
      <w:r w:rsidRPr="00293C4C">
        <w:t>or those who continue to disagree, this reasoned justification in turn highlights the reasons, arguments, and</w:t>
      </w:r>
      <w:r>
        <w:t xml:space="preserve"> </w:t>
      </w:r>
      <w:r w:rsidRPr="00293C4C">
        <w:t xml:space="preserve">evidence that they would need to more effectively undermine in order to </w:t>
      </w:r>
      <w:r>
        <w:t>change public</w:t>
      </w:r>
      <w:r w:rsidRPr="00293C4C">
        <w:t xml:space="preserve"> opinion on the matt</w:t>
      </w:r>
      <w:r>
        <w:t>er.</w:t>
      </w:r>
      <w:r w:rsidR="00B87578">
        <w:t xml:space="preserve"> Although examples are always problematic, the debate on same-sex marriage in</w:t>
      </w:r>
      <w:r w:rsidR="001071E0">
        <w:t xml:space="preserve"> the US</w:t>
      </w:r>
      <w:r w:rsidR="00B87578">
        <w:t xml:space="preserve"> offers a good i</w:t>
      </w:r>
      <w:r w:rsidR="00B26527">
        <w:t xml:space="preserve">llustration here. For </w:t>
      </w:r>
      <w:r w:rsidR="000860B8">
        <w:t>decades</w:t>
      </w:r>
      <w:r w:rsidR="00B26527">
        <w:t xml:space="preserve"> </w:t>
      </w:r>
      <w:r w:rsidR="008B7CEF">
        <w:t xml:space="preserve">the issue was treated in </w:t>
      </w:r>
      <w:r w:rsidR="00B87578">
        <w:t>public debate</w:t>
      </w:r>
      <w:r w:rsidR="008B7CEF">
        <w:t xml:space="preserve"> as turning on</w:t>
      </w:r>
      <w:r w:rsidR="00B87578">
        <w:t xml:space="preserve"> the meaning of marriage</w:t>
      </w:r>
      <w:r w:rsidR="00016925">
        <w:t>. O</w:t>
      </w:r>
      <w:r w:rsidR="00B87578">
        <w:t xml:space="preserve">n that </w:t>
      </w:r>
      <w:r w:rsidR="00B26527">
        <w:t>question</w:t>
      </w:r>
      <w:r w:rsidR="00B87578">
        <w:t>, there was w</w:t>
      </w:r>
      <w:r w:rsidR="00016925">
        <w:t xml:space="preserve">idespread agreement </w:t>
      </w:r>
      <w:r w:rsidR="00B87578">
        <w:t>that marriage is between a man and a woman.</w:t>
      </w:r>
      <w:r w:rsidR="000860B8">
        <w:rPr>
          <w:rStyle w:val="FootnoteReference"/>
        </w:rPr>
        <w:footnoteReference w:id="45"/>
      </w:r>
      <w:r w:rsidR="00B87578">
        <w:t xml:space="preserve"> However, once political i</w:t>
      </w:r>
      <w:r w:rsidR="00521B3D">
        <w:t xml:space="preserve">nitiatives for </w:t>
      </w:r>
      <w:r w:rsidR="00FA716D">
        <w:t xml:space="preserve">state </w:t>
      </w:r>
      <w:r w:rsidR="00521B3D">
        <w:t>constitutional a</w:t>
      </w:r>
      <w:r w:rsidR="00B87578">
        <w:t>mendments</w:t>
      </w:r>
      <w:r w:rsidR="00521B3D">
        <w:t xml:space="preserve"> to ban same-sex marriage </w:t>
      </w:r>
      <w:r w:rsidR="00B26527">
        <w:t>became part of</w:t>
      </w:r>
      <w:r w:rsidR="004E5C21">
        <w:t xml:space="preserve"> the </w:t>
      </w:r>
      <w:r w:rsidR="004E5C21" w:rsidRPr="00F07469">
        <w:t>political</w:t>
      </w:r>
      <w:r w:rsidR="004E5C21">
        <w:t xml:space="preserve"> agenda</w:t>
      </w:r>
      <w:r w:rsidR="002860E4">
        <w:t>,</w:t>
      </w:r>
      <w:r w:rsidR="00521B3D">
        <w:t xml:space="preserve"> and </w:t>
      </w:r>
      <w:r w:rsidR="001D59E8">
        <w:t>citizens</w:t>
      </w:r>
      <w:r w:rsidR="004E5C21">
        <w:t xml:space="preserve"> </w:t>
      </w:r>
      <w:r w:rsidR="004E5C21" w:rsidRPr="00F07469">
        <w:t>legally</w:t>
      </w:r>
      <w:r w:rsidR="00521B3D">
        <w:t xml:space="preserve"> </w:t>
      </w:r>
      <w:r w:rsidR="00B87578">
        <w:t>contest</w:t>
      </w:r>
      <w:r w:rsidR="001D59E8">
        <w:t>ed</w:t>
      </w:r>
      <w:r w:rsidR="00521B3D">
        <w:t xml:space="preserve"> such</w:t>
      </w:r>
      <w:r w:rsidR="00B87578">
        <w:t xml:space="preserve"> initiatives</w:t>
      </w:r>
      <w:r w:rsidR="004E5C21">
        <w:t xml:space="preserve"> in the courts</w:t>
      </w:r>
      <w:r w:rsidR="00016925">
        <w:t>,</w:t>
      </w:r>
      <w:r w:rsidR="00521B3D">
        <w:t xml:space="preserve"> the focus of public de</w:t>
      </w:r>
      <w:r w:rsidR="008B7CEF">
        <w:t>liberation</w:t>
      </w:r>
      <w:r w:rsidR="00521B3D">
        <w:t xml:space="preserve"> switched from an ethical and religious debate on the meaning of marriage to a constitutional debate on equal treatment and fundamental rights</w:t>
      </w:r>
      <w:r w:rsidR="002743C5">
        <w:t>.</w:t>
      </w:r>
      <w:r w:rsidR="009C09CF">
        <w:rPr>
          <w:rStyle w:val="FootnoteReference"/>
        </w:rPr>
        <w:footnoteReference w:id="46"/>
      </w:r>
      <w:r w:rsidR="00521B3D">
        <w:t xml:space="preserve"> </w:t>
      </w:r>
      <w:r w:rsidR="003D4500">
        <w:t xml:space="preserve">Judicial review on </w:t>
      </w:r>
      <w:r w:rsidR="00FA716D">
        <w:t>the constitutionality of state</w:t>
      </w:r>
      <w:r w:rsidR="003D4500">
        <w:t xml:space="preserve"> </w:t>
      </w:r>
      <w:r w:rsidR="00016925">
        <w:t>bans on same-sex marriage led</w:t>
      </w:r>
      <w:r w:rsidR="003D4500">
        <w:t xml:space="preserve"> public debate</w:t>
      </w:r>
      <w:r w:rsidR="00016925">
        <w:t xml:space="preserve"> to treat the issue</w:t>
      </w:r>
      <w:r w:rsidR="00521B3D">
        <w:t xml:space="preserve"> as a matter of principle or, to use Rawls’s expression, as a matter of constitutional essentials</w:t>
      </w:r>
      <w:r w:rsidR="003D4500">
        <w:t xml:space="preserve">. Quite surprisingly, once the debate </w:t>
      </w:r>
      <w:r w:rsidR="00F2651A">
        <w:t>became</w:t>
      </w:r>
      <w:r w:rsidR="003D4500">
        <w:t xml:space="preserve"> structured in that way,</w:t>
      </w:r>
      <w:r w:rsidR="00521B3D">
        <w:t xml:space="preserve"> an astonishing switch in public opinion</w:t>
      </w:r>
      <w:r w:rsidR="00EF0C29">
        <w:t xml:space="preserve"> took place</w:t>
      </w:r>
      <w:r w:rsidR="00521B3D">
        <w:t xml:space="preserve"> in favor o</w:t>
      </w:r>
      <w:r w:rsidR="00EF0C29">
        <w:t>f same-sex marriage</w:t>
      </w:r>
      <w:r w:rsidR="004E5C21">
        <w:t>.</w:t>
      </w:r>
      <w:r w:rsidR="0005408E">
        <w:rPr>
          <w:rStyle w:val="FootnoteReference"/>
        </w:rPr>
        <w:footnoteReference w:id="47"/>
      </w:r>
      <w:r w:rsidR="004E5C21">
        <w:t xml:space="preserve"> </w:t>
      </w:r>
    </w:p>
    <w:p w14:paraId="1E79BF49" w14:textId="796AE65D" w:rsidR="001B691A" w:rsidRDefault="003D4500" w:rsidP="00960083">
      <w:pPr>
        <w:spacing w:line="360" w:lineRule="auto"/>
        <w:ind w:firstLine="720"/>
        <w:jc w:val="both"/>
      </w:pPr>
      <w:r>
        <w:t>Although this</w:t>
      </w:r>
      <w:r w:rsidR="00561945">
        <w:t xml:space="preserve"> development</w:t>
      </w:r>
      <w:r>
        <w:t xml:space="preserve"> is a complex empirical issue, it is hard to avoid the impression that </w:t>
      </w:r>
      <w:r w:rsidR="004E5C21">
        <w:t>o</w:t>
      </w:r>
      <w:r w:rsidR="0048346B">
        <w:t xml:space="preserve">nce the debate became a constitutional debate, </w:t>
      </w:r>
      <w:r w:rsidR="00F07469">
        <w:t>many of the</w:t>
      </w:r>
      <w:r w:rsidR="0048346B">
        <w:t xml:space="preserve"> citizens who were against same-sex marriage on the basis of their </w:t>
      </w:r>
      <w:r w:rsidR="00165DA7">
        <w:t>religious or ethical</w:t>
      </w:r>
      <w:r w:rsidR="0048346B">
        <w:t xml:space="preserve"> views </w:t>
      </w:r>
      <w:r w:rsidR="00FA567A">
        <w:t>about</w:t>
      </w:r>
      <w:r w:rsidR="0048346B">
        <w:t xml:space="preserve"> the meaning of marri</w:t>
      </w:r>
      <w:r w:rsidR="004E5C21">
        <w:t xml:space="preserve">age could not find </w:t>
      </w:r>
      <w:r w:rsidR="0048346B">
        <w:t xml:space="preserve">convincing </w:t>
      </w:r>
      <w:r w:rsidR="00EF0C29">
        <w:t>reasons</w:t>
      </w:r>
      <w:r w:rsidR="0048346B">
        <w:t xml:space="preserve"> t</w:t>
      </w:r>
      <w:r>
        <w:t>o justify unequal treatment</w:t>
      </w:r>
      <w:r w:rsidR="00EF0C29">
        <w:t xml:space="preserve"> under the law,</w:t>
      </w:r>
      <w:r>
        <w:t xml:space="preserve"> and</w:t>
      </w:r>
      <w:r w:rsidR="00EF0C29">
        <w:t xml:space="preserve"> that they therefore</w:t>
      </w:r>
      <w:r w:rsidR="004E5C21">
        <w:t xml:space="preserve"> </w:t>
      </w:r>
      <w:r w:rsidR="0048346B">
        <w:t>changed their minds</w:t>
      </w:r>
      <w:r w:rsidR="00EF0C29">
        <w:t xml:space="preserve"> about </w:t>
      </w:r>
      <w:r w:rsidR="00EF0C29" w:rsidRPr="00165DA7">
        <w:rPr>
          <w:i/>
        </w:rPr>
        <w:t>whether it should be legal</w:t>
      </w:r>
      <w:r w:rsidR="003F5766">
        <w:t>.</w:t>
      </w:r>
      <w:r w:rsidR="00F07469">
        <w:rPr>
          <w:rStyle w:val="FootnoteReference"/>
        </w:rPr>
        <w:footnoteReference w:id="48"/>
      </w:r>
      <w:r w:rsidR="003F5766">
        <w:t xml:space="preserve"> Given the</w:t>
      </w:r>
      <w:r w:rsidR="0048346B">
        <w:t xml:space="preserve"> astonishingly short period of time</w:t>
      </w:r>
      <w:r w:rsidR="003F5766">
        <w:t xml:space="preserve"> </w:t>
      </w:r>
      <w:r w:rsidR="00F2651A">
        <w:t>with</w:t>
      </w:r>
      <w:r w:rsidR="003F5766">
        <w:t>in which that change</w:t>
      </w:r>
      <w:r w:rsidR="00D75B1C">
        <w:t xml:space="preserve"> in public opinion</w:t>
      </w:r>
      <w:r w:rsidR="003F5766">
        <w:t xml:space="preserve"> </w:t>
      </w:r>
      <w:r w:rsidR="00F342DA">
        <w:t xml:space="preserve">has taken </w:t>
      </w:r>
      <w:r w:rsidR="003F5766">
        <w:t>place, there is no</w:t>
      </w:r>
      <w:r w:rsidR="00FA567A">
        <w:t xml:space="preserve"> reason to assume that the majority of citizens who initially opposed same-sex marriage were all acting in bad faith</w:t>
      </w:r>
      <w:r w:rsidR="005474EC">
        <w:t xml:space="preserve"> or</w:t>
      </w:r>
      <w:r w:rsidR="003F5766">
        <w:t xml:space="preserve"> that they were unconcerned about rights </w:t>
      </w:r>
      <w:r w:rsidR="005474EC">
        <w:t>and</w:t>
      </w:r>
      <w:r w:rsidR="00FA567A">
        <w:t xml:space="preserve"> not attending to reasons. </w:t>
      </w:r>
      <w:r w:rsidR="00F342DA">
        <w:t>U</w:t>
      </w:r>
      <w:r w:rsidR="00FA567A">
        <w:t>nder</w:t>
      </w:r>
      <w:r w:rsidR="00F342DA">
        <w:t xml:space="preserve"> such an</w:t>
      </w:r>
      <w:r w:rsidR="00FA567A">
        <w:t xml:space="preserve"> assumption it would be hard to explain why they</w:t>
      </w:r>
      <w:r w:rsidR="004E5C21">
        <w:t xml:space="preserve"> </w:t>
      </w:r>
      <w:r w:rsidR="00FA567A">
        <w:t xml:space="preserve">changed their minds. </w:t>
      </w:r>
      <w:r w:rsidR="00EF0C29">
        <w:t xml:space="preserve">However, there are good </w:t>
      </w:r>
      <w:r w:rsidR="00FA567A">
        <w:t>reasons to assume that</w:t>
      </w:r>
      <w:r w:rsidR="0031414F">
        <w:t>,</w:t>
      </w:r>
      <w:r w:rsidR="00FA567A">
        <w:t xml:space="preserve"> without</w:t>
      </w:r>
      <w:r w:rsidR="000D21BF">
        <w:t xml:space="preserve"> the extra power that the right</w:t>
      </w:r>
      <w:r w:rsidR="00EF0C29">
        <w:t xml:space="preserve"> to legal contestation granted </w:t>
      </w:r>
      <w:r w:rsidR="000D21BF">
        <w:t>litigants</w:t>
      </w:r>
      <w:r w:rsidR="00EF0C29">
        <w:t xml:space="preserve"> such that they could</w:t>
      </w:r>
      <w:r w:rsidR="000D21BF">
        <w:t xml:space="preserve"> </w:t>
      </w:r>
      <w:r w:rsidR="000D21BF" w:rsidRPr="004E5C21">
        <w:rPr>
          <w:i/>
        </w:rPr>
        <w:t xml:space="preserve">structure </w:t>
      </w:r>
      <w:r w:rsidR="000D21BF">
        <w:t xml:space="preserve">the political debate </w:t>
      </w:r>
      <w:r w:rsidR="00C60C32">
        <w:t>as</w:t>
      </w:r>
      <w:r w:rsidR="000D21BF">
        <w:t xml:space="preserve"> a constitutional debate about fundamental rights</w:t>
      </w:r>
      <w:r w:rsidR="00EF0C29">
        <w:t xml:space="preserve">, </w:t>
      </w:r>
      <w:r w:rsidR="000D21BF">
        <w:t>the</w:t>
      </w:r>
      <w:r w:rsidR="00EF0C29">
        <w:t xml:space="preserve"> ‘unfettered’</w:t>
      </w:r>
      <w:r w:rsidR="003F5766">
        <w:t xml:space="preserve"> </w:t>
      </w:r>
      <w:r w:rsidR="00165DA7">
        <w:t>political</w:t>
      </w:r>
      <w:r w:rsidR="00EF0C29">
        <w:t xml:space="preserve"> debate</w:t>
      </w:r>
      <w:r w:rsidR="00165DA7">
        <w:t xml:space="preserve"> in the public sphere</w:t>
      </w:r>
      <w:r w:rsidR="000D21BF">
        <w:t xml:space="preserve"> would have continue</w:t>
      </w:r>
      <w:r w:rsidR="00EF0C29">
        <w:t>d</w:t>
      </w:r>
      <w:r w:rsidR="000D21BF">
        <w:t xml:space="preserve"> to turn on religious and ethical questions about which citizens strongly disagree.</w:t>
      </w:r>
      <w:r w:rsidR="00A37327">
        <w:rPr>
          <w:rStyle w:val="FootnoteReference"/>
        </w:rPr>
        <w:footnoteReference w:id="49"/>
      </w:r>
      <w:r w:rsidR="000D21BF">
        <w:t xml:space="preserve"> </w:t>
      </w:r>
      <w:r w:rsidR="00AE1D32">
        <w:t xml:space="preserve">As a consequence, the </w:t>
      </w:r>
      <w:r w:rsidR="00AF66AA">
        <w:t>religious and ethical</w:t>
      </w:r>
      <w:r w:rsidR="00AE1D32">
        <w:t xml:space="preserve"> views of the majority </w:t>
      </w:r>
      <w:r w:rsidR="00AF66AA">
        <w:t>about</w:t>
      </w:r>
      <w:r w:rsidR="00AE1D32">
        <w:t xml:space="preserve"> the meaning of marriage would have continued to dictate policy.</w:t>
      </w:r>
      <w:r w:rsidR="00201923">
        <w:t xml:space="preserve"> </w:t>
      </w:r>
      <w:r w:rsidR="00960083" w:rsidRPr="00960083">
        <w:t xml:space="preserve">By contrast, </w:t>
      </w:r>
      <w:r w:rsidR="001F1306">
        <w:t>once the public</w:t>
      </w:r>
      <w:r w:rsidR="00960083" w:rsidRPr="00960083">
        <w:t xml:space="preserve"> debate</w:t>
      </w:r>
      <w:r w:rsidR="001F1306">
        <w:t xml:space="preserve"> became </w:t>
      </w:r>
      <w:r w:rsidR="00F42F03">
        <w:t>framed in constitutional terms</w:t>
      </w:r>
      <w:r w:rsidR="001F1306">
        <w:t xml:space="preserve"> the</w:t>
      </w:r>
      <w:r w:rsidR="00960083" w:rsidRPr="00960083">
        <w:t xml:space="preserve"> standards of scrutiny characteristic of judicial review (e.g. identifying </w:t>
      </w:r>
      <w:r w:rsidR="00F42F03">
        <w:t>the relevant government</w:t>
      </w:r>
      <w:r w:rsidR="00960083" w:rsidRPr="00960083">
        <w:t xml:space="preserve"> interests, investigating the</w:t>
      </w:r>
      <w:r w:rsidR="00F42F03">
        <w:t xml:space="preserve"> proportionality of the</w:t>
      </w:r>
      <w:r w:rsidR="00960083" w:rsidRPr="00960083">
        <w:t xml:space="preserve"> means, weighting </w:t>
      </w:r>
      <w:r w:rsidR="009B18ED">
        <w:t xml:space="preserve">the </w:t>
      </w:r>
      <w:r w:rsidR="00960083" w:rsidRPr="00960083">
        <w:t>empirical evidence, etc.)</w:t>
      </w:r>
      <w:r w:rsidR="001F1306">
        <w:t xml:space="preserve"> </w:t>
      </w:r>
      <w:r w:rsidR="00960083" w:rsidRPr="00960083">
        <w:t xml:space="preserve">allowed litigants to </w:t>
      </w:r>
      <w:r w:rsidR="00960083">
        <w:t xml:space="preserve">get </w:t>
      </w:r>
      <w:r w:rsidR="00F42F03">
        <w:t>traction within</w:t>
      </w:r>
      <w:r w:rsidR="00960083">
        <w:t xml:space="preserve"> and </w:t>
      </w:r>
      <w:r w:rsidR="00F42F03">
        <w:t>ultimately</w:t>
      </w:r>
      <w:r w:rsidR="00960083">
        <w:t xml:space="preserve"> </w:t>
      </w:r>
      <w:r w:rsidR="00960083" w:rsidRPr="00960083">
        <w:t xml:space="preserve">transform the views of the majority. </w:t>
      </w:r>
    </w:p>
    <w:p w14:paraId="3CE892D2" w14:textId="4CA57681" w:rsidR="00B26527" w:rsidRDefault="00960083" w:rsidP="00960083">
      <w:pPr>
        <w:spacing w:line="360" w:lineRule="auto"/>
        <w:ind w:firstLine="720"/>
        <w:jc w:val="both"/>
      </w:pPr>
      <w:r>
        <w:t>Indeed, w</w:t>
      </w:r>
      <w:r w:rsidR="00F42F03">
        <w:t xml:space="preserve">hereas </w:t>
      </w:r>
      <w:r w:rsidR="006513F8">
        <w:t xml:space="preserve">it </w:t>
      </w:r>
      <w:r w:rsidRPr="00960083">
        <w:t>is unclear what standard of scrutiny could</w:t>
      </w:r>
      <w:r w:rsidR="00F42F03">
        <w:t xml:space="preserve"> be used </w:t>
      </w:r>
      <w:r w:rsidR="00995F00">
        <w:t>to resolve</w:t>
      </w:r>
      <w:r w:rsidRPr="00960083">
        <w:t xml:space="preserve"> debate</w:t>
      </w:r>
      <w:r w:rsidR="00F42F03">
        <w:t>s</w:t>
      </w:r>
      <w:r w:rsidRPr="00960083">
        <w:t xml:space="preserve"> </w:t>
      </w:r>
      <w:r w:rsidR="00F42F03">
        <w:t>over</w:t>
      </w:r>
      <w:r w:rsidRPr="00960083">
        <w:t xml:space="preserve"> the meaning of marriage among</w:t>
      </w:r>
      <w:r w:rsidR="00F42F03">
        <w:t>st</w:t>
      </w:r>
      <w:r w:rsidRPr="00960083">
        <w:t xml:space="preserve"> citizens </w:t>
      </w:r>
      <w:r w:rsidR="00F42F03">
        <w:t>holding</w:t>
      </w:r>
      <w:r w:rsidRPr="00960083">
        <w:t xml:space="preserve"> different</w:t>
      </w:r>
      <w:r w:rsidR="00995F00">
        <w:t xml:space="preserve"> religious and ethical</w:t>
      </w:r>
      <w:r w:rsidRPr="00960083">
        <w:t xml:space="preserve"> views, it is</w:t>
      </w:r>
      <w:r w:rsidR="00F42F03">
        <w:t xml:space="preserve"> quite</w:t>
      </w:r>
      <w:r w:rsidRPr="00960083">
        <w:t xml:space="preserve"> clear that the standard</w:t>
      </w:r>
      <w:r w:rsidR="00F42F03">
        <w:t>s</w:t>
      </w:r>
      <w:r w:rsidRPr="00960083">
        <w:t xml:space="preserve"> of scrutiny appropriate for a constitutional debate about fundamental rights </w:t>
      </w:r>
      <w:r w:rsidR="00C054C4">
        <w:t>gives rise to</w:t>
      </w:r>
      <w:r w:rsidRPr="00960083">
        <w:t xml:space="preserve"> forms of argumentative entanglement that allow citizens to</w:t>
      </w:r>
      <w:r w:rsidR="00F42F03">
        <w:t xml:space="preserve"> call each other to account, gather and </w:t>
      </w:r>
      <w:r w:rsidRPr="00960083">
        <w:t>weight factual evidence</w:t>
      </w:r>
      <w:r w:rsidR="00F42F03">
        <w:t xml:space="preserve"> ‘for’ and ‘against’ proposals, and transform one an</w:t>
      </w:r>
      <w:r w:rsidRPr="00960083">
        <w:t xml:space="preserve">other’s views over time as a consequence. In the </w:t>
      </w:r>
      <w:r w:rsidR="00C054C4">
        <w:t xml:space="preserve">example of the </w:t>
      </w:r>
      <w:r w:rsidR="00F42F03">
        <w:t xml:space="preserve">debate over </w:t>
      </w:r>
      <w:r w:rsidRPr="00960083">
        <w:t>same-s</w:t>
      </w:r>
      <w:r w:rsidR="00C054C4">
        <w:t>ex marriag</w:t>
      </w:r>
      <w:r w:rsidR="00F42F03">
        <w:t>e</w:t>
      </w:r>
      <w:r w:rsidRPr="00960083">
        <w:t>, the</w:t>
      </w:r>
      <w:r w:rsidR="00F42F03">
        <w:t xml:space="preserve"> review process</w:t>
      </w:r>
      <w:r w:rsidRPr="00960083">
        <w:t xml:space="preserve"> required its opponents to identify </w:t>
      </w:r>
      <w:r w:rsidR="009B18ED">
        <w:t xml:space="preserve">the </w:t>
      </w:r>
      <w:r w:rsidR="00F42F03">
        <w:t>specific government</w:t>
      </w:r>
      <w:r w:rsidRPr="00960083">
        <w:t xml:space="preserve"> interests t</w:t>
      </w:r>
      <w:r w:rsidR="009B18ED">
        <w:t>hat</w:t>
      </w:r>
      <w:r w:rsidRPr="00960083">
        <w:t xml:space="preserve"> justify the ban. Once such interests were publicly identified (e.g. protecting the health and welfare of children, fostering procreation within a marital setting, etc.) the</w:t>
      </w:r>
      <w:r w:rsidR="00F42F03">
        <w:t xml:space="preserve"> </w:t>
      </w:r>
      <w:r w:rsidRPr="00960083">
        <w:t>debate began to turn on questio</w:t>
      </w:r>
      <w:r w:rsidR="00C054C4">
        <w:t xml:space="preserve">ns for which factual evidence could </w:t>
      </w:r>
      <w:r w:rsidRPr="00960083">
        <w:t>be decisive in settling the answer (e.g. statistical evidence about the welfare of children raised in same-sex couples households, the existence of married couples unable to procreate, etc.)</w:t>
      </w:r>
      <w:r>
        <w:t>.</w:t>
      </w:r>
    </w:p>
    <w:p w14:paraId="02C00C7B" w14:textId="77777777" w:rsidR="006513F8" w:rsidRDefault="000D21BF" w:rsidP="00FB2FC6">
      <w:pPr>
        <w:spacing w:line="360" w:lineRule="auto"/>
        <w:ind w:firstLine="720"/>
        <w:jc w:val="both"/>
      </w:pPr>
      <w:r w:rsidRPr="00113047">
        <w:t>If we focus on the po</w:t>
      </w:r>
      <w:r w:rsidR="003D4500" w:rsidRPr="00113047">
        <w:t xml:space="preserve">litical empowerment </w:t>
      </w:r>
      <w:r w:rsidRPr="00113047">
        <w:t>that the right to legal contestation</w:t>
      </w:r>
      <w:r w:rsidR="003D4500" w:rsidRPr="00113047">
        <w:t xml:space="preserve"> </w:t>
      </w:r>
      <w:r w:rsidR="00113047" w:rsidRPr="00113047">
        <w:t>gives to citizens</w:t>
      </w:r>
      <w:r w:rsidRPr="00113047">
        <w:t xml:space="preserve">, </w:t>
      </w:r>
      <w:r w:rsidR="00113047" w:rsidRPr="00113047">
        <w:t xml:space="preserve">we can see </w:t>
      </w:r>
      <w:r w:rsidR="0048346B" w:rsidRPr="00113047">
        <w:t>the</w:t>
      </w:r>
      <w:r w:rsidR="00FA567A" w:rsidRPr="00113047">
        <w:t xml:space="preserve"> politically significant</w:t>
      </w:r>
      <w:r w:rsidR="0048346B" w:rsidRPr="00113047">
        <w:t xml:space="preserve"> sense in which </w:t>
      </w:r>
      <w:r w:rsidR="00FA567A" w:rsidRPr="00113047">
        <w:t xml:space="preserve">the </w:t>
      </w:r>
      <w:r w:rsidR="0048346B" w:rsidRPr="00113047">
        <w:t>courts can</w:t>
      </w:r>
      <w:r w:rsidR="00FA567A" w:rsidRPr="00113047">
        <w:t xml:space="preserve"> play the institutional role of</w:t>
      </w:r>
      <w:r w:rsidR="0048346B" w:rsidRPr="00113047">
        <w:t xml:space="preserve"> </w:t>
      </w:r>
      <w:r w:rsidR="0048346B" w:rsidRPr="00113047">
        <w:rPr>
          <w:i/>
        </w:rPr>
        <w:t>conversation initiators</w:t>
      </w:r>
      <w:r w:rsidR="0048346B" w:rsidRPr="00113047">
        <w:t xml:space="preserve">. </w:t>
      </w:r>
      <w:r w:rsidR="00113047">
        <w:t xml:space="preserve">As Bickel points out </w:t>
      </w:r>
      <w:r w:rsidR="0005408E">
        <w:rPr>
          <w:rFonts w:eastAsia="Times New Roman" w:cs="Times New Roman"/>
          <w:color w:val="000000"/>
          <w:shd w:val="clear" w:color="auto" w:fill="FFFFFF"/>
        </w:rPr>
        <w:t>“v</w:t>
      </w:r>
      <w:r w:rsidR="0048346B" w:rsidRPr="00113047">
        <w:rPr>
          <w:rFonts w:eastAsia="Times New Roman" w:cs="Times New Roman"/>
          <w:color w:val="000000"/>
          <w:shd w:val="clear" w:color="auto" w:fill="FFFFFF"/>
        </w:rPr>
        <w:t>irtually all important decisions of the Supreme Court are the beginnings of conversations between the Court and the people and their representatives.</w:t>
      </w:r>
      <w:r w:rsidR="0005408E">
        <w:rPr>
          <w:rFonts w:eastAsia="Times New Roman" w:cs="Times New Roman"/>
          <w:color w:val="000000"/>
          <w:shd w:val="clear" w:color="auto" w:fill="FFFFFF"/>
        </w:rPr>
        <w:t>”</w:t>
      </w:r>
      <w:r w:rsidR="0005408E">
        <w:rPr>
          <w:rStyle w:val="FootnoteReference"/>
          <w:rFonts w:eastAsia="Times New Roman" w:cs="Times New Roman"/>
          <w:color w:val="000000"/>
          <w:shd w:val="clear" w:color="auto" w:fill="FFFFFF"/>
        </w:rPr>
        <w:footnoteReference w:id="50"/>
      </w:r>
      <w:r w:rsidR="003F5766">
        <w:rPr>
          <w:rFonts w:eastAsia="Times New Roman" w:cs="Times New Roman"/>
          <w:color w:val="000000"/>
          <w:shd w:val="clear" w:color="auto" w:fill="FFFFFF"/>
        </w:rPr>
        <w:t xml:space="preserve"> This is certainly true in many cases, but it is important to</w:t>
      </w:r>
      <w:r w:rsidR="005474EC">
        <w:rPr>
          <w:rFonts w:eastAsia="Times New Roman" w:cs="Times New Roman"/>
          <w:color w:val="000000"/>
          <w:shd w:val="clear" w:color="auto" w:fill="FFFFFF"/>
        </w:rPr>
        <w:t xml:space="preserve"> pay attention to the specific</w:t>
      </w:r>
      <w:r w:rsidR="003F5766">
        <w:t xml:space="preserve"> sense in which</w:t>
      </w:r>
      <w:r w:rsidR="00ED4961">
        <w:t xml:space="preserve"> it is true. It</w:t>
      </w:r>
      <w:r w:rsidR="00113047">
        <w:t xml:space="preserve"> is not that the courts beg</w:t>
      </w:r>
      <w:r w:rsidR="005474EC">
        <w:t>i</w:t>
      </w:r>
      <w:r w:rsidR="00113047">
        <w:t>n the conversation</w:t>
      </w:r>
      <w:r w:rsidR="00D05109">
        <w:t xml:space="preserve"> on their own initiative</w:t>
      </w:r>
      <w:r w:rsidR="00113047">
        <w:t xml:space="preserve"> </w:t>
      </w:r>
      <w:r w:rsidR="00700B99">
        <w:t xml:space="preserve">or that they lead </w:t>
      </w:r>
      <w:r w:rsidR="00D75B1C">
        <w:t>the debate</w:t>
      </w:r>
      <w:r w:rsidR="00700B99">
        <w:t xml:space="preserve"> </w:t>
      </w:r>
      <w:r w:rsidR="00113047">
        <w:t>becau</w:t>
      </w:r>
      <w:r w:rsidR="00F217C4">
        <w:t>se judges have superior moral insight</w:t>
      </w:r>
      <w:r w:rsidR="00113047">
        <w:t xml:space="preserve"> or</w:t>
      </w:r>
      <w:r w:rsidR="00ED4961">
        <w:t xml:space="preserve"> </w:t>
      </w:r>
      <w:r w:rsidR="00C60C32">
        <w:t>are more sensitive t</w:t>
      </w:r>
      <w:r w:rsidR="00113047">
        <w:t>o</w:t>
      </w:r>
      <w:r w:rsidR="00C60C32">
        <w:t xml:space="preserve"> principle</w:t>
      </w:r>
      <w:r w:rsidR="00113047">
        <w:t>. This ju</w:t>
      </w:r>
      <w:r w:rsidR="005474EC">
        <w:t xml:space="preserve">ricentric perspective mischaracterizes the actual dynamics of political debate on important </w:t>
      </w:r>
      <w:r w:rsidR="00B90098">
        <w:t>and highly contested</w:t>
      </w:r>
      <w:r w:rsidR="005474EC">
        <w:t xml:space="preserve"> issues.</w:t>
      </w:r>
      <w:r w:rsidR="003F5766">
        <w:t xml:space="preserve"> </w:t>
      </w:r>
      <w:r w:rsidR="006D4702">
        <w:t>Mo</w:t>
      </w:r>
      <w:r w:rsidR="00D75B1C">
        <w:t>re</w:t>
      </w:r>
      <w:r w:rsidR="006D4702">
        <w:t xml:space="preserve"> often</w:t>
      </w:r>
      <w:r w:rsidR="00ED4961">
        <w:t xml:space="preserve"> </w:t>
      </w:r>
      <w:r w:rsidR="00D75B1C">
        <w:t>than not, conversations surrounding</w:t>
      </w:r>
      <w:r w:rsidR="006D4702">
        <w:t xml:space="preserve"> </w:t>
      </w:r>
      <w:r w:rsidR="00D75B1C">
        <w:t>contested</w:t>
      </w:r>
      <w:r w:rsidR="00991F0E">
        <w:t xml:space="preserve"> political</w:t>
      </w:r>
      <w:r w:rsidR="005474EC">
        <w:t xml:space="preserve"> issue</w:t>
      </w:r>
      <w:r w:rsidR="006D4702">
        <w:t>s</w:t>
      </w:r>
      <w:r w:rsidR="005474EC">
        <w:t xml:space="preserve"> </w:t>
      </w:r>
      <w:r w:rsidR="00D75B1C">
        <w:t>have</w:t>
      </w:r>
      <w:r w:rsidR="005474EC">
        <w:t xml:space="preserve"> </w:t>
      </w:r>
      <w:r w:rsidR="003600E8">
        <w:t>been present within</w:t>
      </w:r>
      <w:r w:rsidR="005474EC">
        <w:t xml:space="preserve"> the public sphere</w:t>
      </w:r>
      <w:r w:rsidR="00D75B1C">
        <w:t xml:space="preserve"> </w:t>
      </w:r>
      <w:r w:rsidR="00991F0E">
        <w:t xml:space="preserve">long before </w:t>
      </w:r>
      <w:r w:rsidR="0079101E">
        <w:t>such issues are legally contested</w:t>
      </w:r>
      <w:r w:rsidR="00ED4961">
        <w:t xml:space="preserve">. But </w:t>
      </w:r>
      <w:r w:rsidR="003600E8">
        <w:t xml:space="preserve">conversations that had been structured in a variety of disparate ways become </w:t>
      </w:r>
      <w:r w:rsidR="003600E8" w:rsidRPr="003600E8">
        <w:rPr>
          <w:i/>
        </w:rPr>
        <w:t>constitutional</w:t>
      </w:r>
      <w:r w:rsidR="003600E8">
        <w:t xml:space="preserve"> conversations by (at the latest) the time they reach </w:t>
      </w:r>
      <w:r w:rsidR="00ED4961">
        <w:t xml:space="preserve">the Supreme Court </w:t>
      </w:r>
      <w:r w:rsidR="003600E8">
        <w:t xml:space="preserve">precisely in virtue of citizens’ right to submit </w:t>
      </w:r>
      <w:r w:rsidR="0079101E">
        <w:t xml:space="preserve">contested </w:t>
      </w:r>
      <w:r w:rsidR="003600E8">
        <w:t>issue</w:t>
      </w:r>
      <w:r w:rsidR="0079101E">
        <w:t>s</w:t>
      </w:r>
      <w:r w:rsidR="003600E8">
        <w:t xml:space="preserve"> to the sluices of judicial review.</w:t>
      </w:r>
      <w:r w:rsidR="0075043F" w:rsidRPr="0075043F">
        <w:rPr>
          <w:rStyle w:val="FootnoteReference"/>
        </w:rPr>
        <w:t xml:space="preserve"> </w:t>
      </w:r>
      <w:r w:rsidR="0075043F">
        <w:rPr>
          <w:rStyle w:val="FootnoteReference"/>
        </w:rPr>
        <w:footnoteReference w:id="51"/>
      </w:r>
      <w:r w:rsidR="003600E8">
        <w:t xml:space="preserve"> </w:t>
      </w:r>
    </w:p>
    <w:p w14:paraId="56F30076" w14:textId="1CAB8774" w:rsidR="00270F22" w:rsidRDefault="006D4702" w:rsidP="00FB2FC6">
      <w:pPr>
        <w:spacing w:line="360" w:lineRule="auto"/>
        <w:ind w:firstLine="720"/>
        <w:jc w:val="both"/>
      </w:pPr>
      <w:r>
        <w:t xml:space="preserve">If </w:t>
      </w:r>
      <w:r w:rsidR="003600E8">
        <w:t>this account is plausible</w:t>
      </w:r>
      <w:r>
        <w:t>,</w:t>
      </w:r>
      <w:r w:rsidR="003600E8">
        <w:t xml:space="preserve"> then</w:t>
      </w:r>
      <w:r>
        <w:t xml:space="preserve"> the normative contribution of the institution of judicial review is not</w:t>
      </w:r>
      <w:r w:rsidR="00D05109">
        <w:t xml:space="preserve">, </w:t>
      </w:r>
      <w:r w:rsidR="003600E8">
        <w:t>as Dworkin</w:t>
      </w:r>
      <w:r w:rsidR="00D05109">
        <w:t xml:space="preserve"> and Pettit suggest,</w:t>
      </w:r>
      <w:r w:rsidR="003600E8">
        <w:t xml:space="preserve"> </w:t>
      </w:r>
      <w:r>
        <w:t xml:space="preserve">that it </w:t>
      </w:r>
      <w:r w:rsidR="00B90098">
        <w:t>makes</w:t>
      </w:r>
      <w:r w:rsidR="003600E8">
        <w:t xml:space="preserve"> it</w:t>
      </w:r>
      <w:r w:rsidR="00B90098">
        <w:t xml:space="preserve"> possible to answer</w:t>
      </w:r>
      <w:r>
        <w:t xml:space="preserve"> question</w:t>
      </w:r>
      <w:r w:rsidR="003600E8">
        <w:t>s about</w:t>
      </w:r>
      <w:r>
        <w:t xml:space="preserve"> the constitutionality of a contested statute or policy in isolation from political debat</w:t>
      </w:r>
      <w:r w:rsidR="003600E8">
        <w:t>e</w:t>
      </w:r>
      <w:r>
        <w:t xml:space="preserve">. </w:t>
      </w:r>
      <w:r w:rsidR="00F6793A">
        <w:t xml:space="preserve">To the contrary, </w:t>
      </w:r>
      <w:r>
        <w:t xml:space="preserve">the </w:t>
      </w:r>
      <w:r w:rsidR="00FB2FC6">
        <w:t xml:space="preserve">important </w:t>
      </w:r>
      <w:r>
        <w:t>contribution of the courts</w:t>
      </w:r>
      <w:r w:rsidR="00C200C2">
        <w:t>—</w:t>
      </w:r>
      <w:r w:rsidR="00B90098">
        <w:t>which</w:t>
      </w:r>
      <w:r w:rsidR="00C200C2">
        <w:t xml:space="preserve"> </w:t>
      </w:r>
      <w:r w:rsidR="00B90098">
        <w:t>are indeed</w:t>
      </w:r>
      <w:r w:rsidR="00F6793A">
        <w:t xml:space="preserve"> ‘</w:t>
      </w:r>
      <w:r w:rsidR="00C200C2">
        <w:t>depolit</w:t>
      </w:r>
      <w:r w:rsidR="00F6793A">
        <w:t>i</w:t>
      </w:r>
      <w:r w:rsidR="00155508">
        <w:t>ci</w:t>
      </w:r>
      <w:r w:rsidR="00F6793A">
        <w:t>zed’ i</w:t>
      </w:r>
      <w:r>
        <w:t xml:space="preserve">n the </w:t>
      </w:r>
      <w:r w:rsidR="00B90098">
        <w:t>sense of</w:t>
      </w:r>
      <w:r>
        <w:t xml:space="preserve"> being </w:t>
      </w:r>
      <w:r w:rsidR="00D05109">
        <w:t xml:space="preserve">a </w:t>
      </w:r>
      <w:r w:rsidR="00D245C9">
        <w:t>for</w:t>
      </w:r>
      <w:r w:rsidR="00D05109">
        <w:t>um</w:t>
      </w:r>
      <w:r w:rsidR="00B90098">
        <w:t xml:space="preserve"> of principle (</w:t>
      </w:r>
      <w:r>
        <w:t xml:space="preserve">i.e. </w:t>
      </w:r>
      <w:r w:rsidR="00D05109">
        <w:t>a forum</w:t>
      </w:r>
      <w:r w:rsidR="00610E92">
        <w:t xml:space="preserve"> that</w:t>
      </w:r>
      <w:r w:rsidR="00F6793A">
        <w:t xml:space="preserve"> </w:t>
      </w:r>
      <w:r w:rsidR="00F6793A" w:rsidRPr="006D4702">
        <w:rPr>
          <w:i/>
        </w:rPr>
        <w:t>per design</w:t>
      </w:r>
      <w:r w:rsidR="003600E8">
        <w:t xml:space="preserve"> </w:t>
      </w:r>
      <w:r w:rsidR="00F217C4">
        <w:t>specifically</w:t>
      </w:r>
      <w:r w:rsidR="003600E8">
        <w:t xml:space="preserve"> focus</w:t>
      </w:r>
      <w:r w:rsidR="00155508">
        <w:t>es</w:t>
      </w:r>
      <w:r w:rsidR="00F6793A">
        <w:t xml:space="preserve"> on the question of the </w:t>
      </w:r>
      <w:r w:rsidR="003600E8">
        <w:t xml:space="preserve">constitutionality of </w:t>
      </w:r>
      <w:r w:rsidR="00610E92">
        <w:t>statu</w:t>
      </w:r>
      <w:r>
        <w:t>t</w:t>
      </w:r>
      <w:r w:rsidR="00C200C2">
        <w:t>e</w:t>
      </w:r>
      <w:r w:rsidR="003600E8">
        <w:t>s</w:t>
      </w:r>
      <w:r w:rsidR="00C200C2">
        <w:t>)—</w:t>
      </w:r>
      <w:r w:rsidR="00610E92">
        <w:t>has</w:t>
      </w:r>
      <w:r w:rsidR="00C200C2">
        <w:t xml:space="preserve"> </w:t>
      </w:r>
      <w:r w:rsidR="00610E92">
        <w:t xml:space="preserve">nothing to do </w:t>
      </w:r>
      <w:r w:rsidR="003600E8">
        <w:t>with</w:t>
      </w:r>
      <w:r w:rsidR="00610E92" w:rsidRPr="00FB2FC6">
        <w:t xml:space="preserve"> isolating their decision from the political debate among all citizens in the public sphere</w:t>
      </w:r>
      <w:r w:rsidR="00610E92">
        <w:t xml:space="preserve">. </w:t>
      </w:r>
      <w:r w:rsidR="006D1066">
        <w:t>I</w:t>
      </w:r>
      <w:r w:rsidR="00610E92">
        <w:t>n</w:t>
      </w:r>
      <w:r w:rsidR="003600E8">
        <w:t>deed, the</w:t>
      </w:r>
      <w:r w:rsidR="00610E92">
        <w:t xml:space="preserve"> fact</w:t>
      </w:r>
      <w:r w:rsidR="003600E8">
        <w:t xml:space="preserve"> that relevant contributions to the debate from external parties can be included through</w:t>
      </w:r>
      <w:r w:rsidR="00610E92">
        <w:t xml:space="preserve"> </w:t>
      </w:r>
      <w:r w:rsidR="00B90098">
        <w:t>filing</w:t>
      </w:r>
      <w:r w:rsidR="00A23BB3">
        <w:t xml:space="preserve"> of</w:t>
      </w:r>
      <w:r w:rsidR="00B90098">
        <w:t xml:space="preserve"> </w:t>
      </w:r>
      <w:r w:rsidR="00B90098" w:rsidRPr="00B90098">
        <w:rPr>
          <w:i/>
        </w:rPr>
        <w:t>a</w:t>
      </w:r>
      <w:r w:rsidR="00610E92" w:rsidRPr="00B90098">
        <w:rPr>
          <w:i/>
        </w:rPr>
        <w:t>micus</w:t>
      </w:r>
      <w:r w:rsidR="00B90098" w:rsidRPr="00B90098">
        <w:rPr>
          <w:i/>
        </w:rPr>
        <w:t xml:space="preserve"> curiae</w:t>
      </w:r>
      <w:r w:rsidR="00B90098">
        <w:t xml:space="preserve"> briefs</w:t>
      </w:r>
      <w:r w:rsidR="00610E92">
        <w:t xml:space="preserve"> </w:t>
      </w:r>
      <w:r w:rsidR="00D53EAB">
        <w:t>speaks against th</w:t>
      </w:r>
      <w:r w:rsidR="00991F0E">
        <w:t>is</w:t>
      </w:r>
      <w:r w:rsidR="00D53EAB">
        <w:t xml:space="preserve"> isolationist view</w:t>
      </w:r>
      <w:r w:rsidR="00610E92">
        <w:t xml:space="preserve">. </w:t>
      </w:r>
      <w:r>
        <w:t>M</w:t>
      </w:r>
      <w:r w:rsidR="00610E92">
        <w:t>ost importantly, as Dworkin mentions in passing</w:t>
      </w:r>
      <w:r>
        <w:t>,</w:t>
      </w:r>
      <w:r w:rsidR="00610E92">
        <w:t xml:space="preserve"> if the issue under consideration is important enough</w:t>
      </w:r>
      <w:r w:rsidR="00560E46">
        <w:t xml:space="preserve"> </w:t>
      </w:r>
      <w:r w:rsidR="00610E92">
        <w:t xml:space="preserve">“it can be expected to be elaborated, expanded, contracted </w:t>
      </w:r>
      <w:r w:rsidR="00F6793A">
        <w:t>or</w:t>
      </w:r>
      <w:r w:rsidR="00610E92">
        <w:t xml:space="preserve"> even reversed by future decisions, a sustained national debate begins, in newspapers and other media, in law schools and classrooms, in public meetings and around dinner tables.”</w:t>
      </w:r>
      <w:r w:rsidR="004D615D">
        <w:rPr>
          <w:rStyle w:val="FootnoteReference"/>
        </w:rPr>
        <w:footnoteReference w:id="52"/>
      </w:r>
      <w:r w:rsidR="006D1066">
        <w:t xml:space="preserve"> </w:t>
      </w:r>
      <w:r w:rsidR="00621E25">
        <w:t>From a holistic and diachronic perspective</w:t>
      </w:r>
      <w:r>
        <w:t xml:space="preserve">, </w:t>
      </w:r>
      <w:r w:rsidR="00621E25">
        <w:t>the democratic co</w:t>
      </w:r>
      <w:r w:rsidR="00991F0E">
        <w:t>ntribution of</w:t>
      </w:r>
      <w:r w:rsidR="00621E25">
        <w:t xml:space="preserve"> judicial review </w:t>
      </w:r>
      <w:r>
        <w:t xml:space="preserve">is not that the courts </w:t>
      </w:r>
      <w:r w:rsidR="00D607D7">
        <w:t>undertake constitutional review</w:t>
      </w:r>
      <w:r w:rsidR="00621E25">
        <w:t xml:space="preserve"> in is</w:t>
      </w:r>
      <w:r w:rsidR="00FB2FC6">
        <w:t>olation from the political deba</w:t>
      </w:r>
      <w:r w:rsidR="00621E25">
        <w:t>te</w:t>
      </w:r>
      <w:r w:rsidR="00D607D7">
        <w:t xml:space="preserve"> in the public sphere</w:t>
      </w:r>
      <w:r w:rsidR="00621E25">
        <w:t>,</w:t>
      </w:r>
      <w:r>
        <w:t xml:space="preserve"> as if justice needs to be in robes in order to properly attend to matters of principle</w:t>
      </w:r>
      <w:r w:rsidR="00FB2FC6">
        <w:t>.</w:t>
      </w:r>
      <w:r w:rsidR="004D615D">
        <w:rPr>
          <w:rStyle w:val="FootnoteReference"/>
        </w:rPr>
        <w:footnoteReference w:id="53"/>
      </w:r>
      <w:r w:rsidR="00D607D7">
        <w:t xml:space="preserve"> </w:t>
      </w:r>
      <w:r w:rsidR="000E4DD1">
        <w:t>To the contrary, from a democratic perspective</w:t>
      </w:r>
      <w:r w:rsidR="00991F0E">
        <w:t>, the main contribution of the institution</w:t>
      </w:r>
      <w:r w:rsidR="00FB2FC6">
        <w:t xml:space="preserve"> is that it empowers</w:t>
      </w:r>
      <w:r>
        <w:t xml:space="preserve"> citizens t</w:t>
      </w:r>
      <w:r w:rsidR="00991F0E">
        <w:t>o call</w:t>
      </w:r>
      <w:r>
        <w:t xml:space="preserve"> the rest of the citizenry to put on their robes in order to</w:t>
      </w:r>
      <w:r w:rsidR="00FB2FC6">
        <w:t xml:space="preserve"> publically debate </w:t>
      </w:r>
      <w:r w:rsidR="009D25E8">
        <w:t xml:space="preserve">rights-related </w:t>
      </w:r>
      <w:r w:rsidR="000E4DD1">
        <w:t>constitutional</w:t>
      </w:r>
      <w:r w:rsidR="00FB2FC6">
        <w:t xml:space="preserve"> issues as</w:t>
      </w:r>
      <w:r>
        <w:t xml:space="preserve"> matter</w:t>
      </w:r>
      <w:r w:rsidR="00FB2FC6">
        <w:t>s</w:t>
      </w:r>
      <w:r>
        <w:t xml:space="preserve"> of principle.</w:t>
      </w:r>
      <w:r w:rsidR="004D615D">
        <w:rPr>
          <w:rStyle w:val="FootnoteReference"/>
        </w:rPr>
        <w:footnoteReference w:id="54"/>
      </w:r>
    </w:p>
    <w:sectPr w:rsidR="00270F22" w:rsidSect="00E62A52">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BD4CC3" w14:textId="77777777" w:rsidR="003B5F64" w:rsidRDefault="003B5F64" w:rsidP="000B4F51">
      <w:r>
        <w:separator/>
      </w:r>
    </w:p>
  </w:endnote>
  <w:endnote w:type="continuationSeparator" w:id="0">
    <w:p w14:paraId="1CD3AFB6" w14:textId="77777777" w:rsidR="003B5F64" w:rsidRDefault="003B5F64" w:rsidP="000B4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OpenSymbol">
    <w:altName w:val="Arial Unicode MS"/>
    <w:charset w:val="80"/>
    <w:family w:val="auto"/>
    <w:pitch w:val="default"/>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DF776" w14:textId="77777777" w:rsidR="003B5F64" w:rsidRDefault="003B5F64" w:rsidP="00C362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E76F19" w14:textId="77777777" w:rsidR="003B5F64" w:rsidRDefault="003B5F6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F7670" w14:textId="77777777" w:rsidR="003B5F64" w:rsidRDefault="003B5F64" w:rsidP="00C362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D3C6D">
      <w:rPr>
        <w:rStyle w:val="PageNumber"/>
        <w:noProof/>
      </w:rPr>
      <w:t>1</w:t>
    </w:r>
    <w:r>
      <w:rPr>
        <w:rStyle w:val="PageNumber"/>
      </w:rPr>
      <w:fldChar w:fldCharType="end"/>
    </w:r>
  </w:p>
  <w:p w14:paraId="6C6FB855" w14:textId="77777777" w:rsidR="003B5F64" w:rsidRDefault="003B5F6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9C8FC0" w14:textId="77777777" w:rsidR="003B5F64" w:rsidRDefault="003B5F64" w:rsidP="000B4F51">
      <w:r>
        <w:separator/>
      </w:r>
    </w:p>
  </w:footnote>
  <w:footnote w:type="continuationSeparator" w:id="0">
    <w:p w14:paraId="67D435BF" w14:textId="77777777" w:rsidR="003B5F64" w:rsidRDefault="003B5F64" w:rsidP="000B4F51">
      <w:r>
        <w:continuationSeparator/>
      </w:r>
    </w:p>
  </w:footnote>
  <w:footnote w:id="1">
    <w:p w14:paraId="6BD68757" w14:textId="53BA6125" w:rsidR="003B5F64" w:rsidRPr="00AC5A23" w:rsidRDefault="003B5F64" w:rsidP="0090470C">
      <w:pPr>
        <w:pStyle w:val="FootnoteText"/>
        <w:jc w:val="both"/>
        <w:rPr>
          <w:sz w:val="20"/>
          <w:szCs w:val="20"/>
        </w:rPr>
      </w:pPr>
      <w:r>
        <w:rPr>
          <w:rStyle w:val="FootnoteReference"/>
        </w:rPr>
        <w:t>*</w:t>
      </w:r>
      <w:r w:rsidRPr="00AC5A23">
        <w:rPr>
          <w:sz w:val="20"/>
          <w:szCs w:val="20"/>
        </w:rPr>
        <w:t>Professor of Philosophy, Northwestern University.</w:t>
      </w:r>
      <w:r>
        <w:rPr>
          <w:sz w:val="20"/>
          <w:szCs w:val="20"/>
        </w:rPr>
        <w:t xml:space="preserve"> I thank Karen Alter for helpful comments on an earlier version of this article.</w:t>
      </w:r>
    </w:p>
  </w:footnote>
  <w:footnote w:id="2">
    <w:p w14:paraId="72702EEB" w14:textId="50541EAD" w:rsidR="003B5F64" w:rsidRPr="00DB1B4D" w:rsidRDefault="003B5F64" w:rsidP="0090470C">
      <w:pPr>
        <w:pStyle w:val="FootnoteText"/>
        <w:jc w:val="both"/>
      </w:pPr>
      <w:r>
        <w:rPr>
          <w:rStyle w:val="FootnoteReference"/>
        </w:rPr>
        <w:footnoteRef/>
      </w:r>
      <w:r>
        <w:t xml:space="preserve"> </w:t>
      </w:r>
      <w:r w:rsidRPr="007B5ED5">
        <w:rPr>
          <w:sz w:val="20"/>
          <w:szCs w:val="20"/>
        </w:rPr>
        <w:t>For a good overview see</w:t>
      </w:r>
      <w:r>
        <w:rPr>
          <w:sz w:val="20"/>
          <w:szCs w:val="20"/>
        </w:rPr>
        <w:t xml:space="preserve"> C. Zurn, “Deliberative Democracy and Constitutional Review”, </w:t>
      </w:r>
      <w:r w:rsidRPr="007B5ED5">
        <w:rPr>
          <w:i/>
          <w:sz w:val="20"/>
          <w:szCs w:val="20"/>
        </w:rPr>
        <w:t>Law and Philosophy</w:t>
      </w:r>
      <w:r>
        <w:rPr>
          <w:i/>
          <w:sz w:val="20"/>
          <w:szCs w:val="20"/>
        </w:rPr>
        <w:t xml:space="preserve"> </w:t>
      </w:r>
      <w:r>
        <w:rPr>
          <w:sz w:val="20"/>
          <w:szCs w:val="20"/>
        </w:rPr>
        <w:t xml:space="preserve">21 (2002), 467-542, and </w:t>
      </w:r>
      <w:r w:rsidRPr="007B5ED5">
        <w:rPr>
          <w:i/>
          <w:sz w:val="20"/>
          <w:szCs w:val="20"/>
        </w:rPr>
        <w:t>Deliberative Democracy and the Institutions of Judicial Review</w:t>
      </w:r>
      <w:r>
        <w:rPr>
          <w:sz w:val="20"/>
          <w:szCs w:val="20"/>
        </w:rPr>
        <w:t>, Cambridge: Cambridge University Press, 2007.</w:t>
      </w:r>
    </w:p>
  </w:footnote>
  <w:footnote w:id="3">
    <w:p w14:paraId="4877018C" w14:textId="76F6C7A0" w:rsidR="003B5F64" w:rsidRPr="00B60931" w:rsidRDefault="003B5F64" w:rsidP="009C4283">
      <w:pPr>
        <w:pStyle w:val="FootnoteText"/>
        <w:jc w:val="both"/>
        <w:rPr>
          <w:sz w:val="20"/>
          <w:szCs w:val="20"/>
        </w:rPr>
      </w:pPr>
      <w:r w:rsidRPr="00DB1B4D">
        <w:rPr>
          <w:rStyle w:val="FootnoteReference"/>
          <w:sz w:val="20"/>
          <w:szCs w:val="20"/>
        </w:rPr>
        <w:footnoteRef/>
      </w:r>
      <w:r w:rsidRPr="00DB1B4D">
        <w:rPr>
          <w:sz w:val="20"/>
          <w:szCs w:val="20"/>
        </w:rPr>
        <w:t xml:space="preserve"> See</w:t>
      </w:r>
      <w:r>
        <w:rPr>
          <w:sz w:val="20"/>
          <w:szCs w:val="20"/>
        </w:rPr>
        <w:t xml:space="preserve"> e.g. J. Waldron, “The Core of the Case Against Judicial Review,” 115 Yale L. J. (2005), 1346-1406, also “Constitutionalism: A Skeptical View,” </w:t>
      </w:r>
      <w:r w:rsidRPr="007D3876">
        <w:rPr>
          <w:i/>
          <w:sz w:val="20"/>
          <w:szCs w:val="20"/>
        </w:rPr>
        <w:t>Georgetown Law Library</w:t>
      </w:r>
      <w:r>
        <w:rPr>
          <w:sz w:val="20"/>
          <w:szCs w:val="20"/>
        </w:rPr>
        <w:t xml:space="preserve">, available at </w:t>
      </w:r>
      <w:hyperlink r:id="rId1" w:history="1">
        <w:r w:rsidRPr="004C5551">
          <w:rPr>
            <w:rStyle w:val="Hyperlink"/>
            <w:sz w:val="20"/>
            <w:szCs w:val="20"/>
          </w:rPr>
          <w:t>http://scholarship.law.georgetown.edu./hartlecture/4</w:t>
        </w:r>
      </w:hyperlink>
      <w:r>
        <w:rPr>
          <w:sz w:val="20"/>
          <w:szCs w:val="20"/>
        </w:rPr>
        <w:t xml:space="preserve">, and </w:t>
      </w:r>
      <w:r w:rsidRPr="007D3876">
        <w:rPr>
          <w:i/>
          <w:sz w:val="20"/>
          <w:szCs w:val="20"/>
        </w:rPr>
        <w:t>Law and Disagreement</w:t>
      </w:r>
      <w:r>
        <w:rPr>
          <w:sz w:val="20"/>
          <w:szCs w:val="20"/>
        </w:rPr>
        <w:t xml:space="preserve">, Oxford: Oxford University Press, 1999; L. D. Kramer, </w:t>
      </w:r>
      <w:r w:rsidRPr="00B60931">
        <w:rPr>
          <w:i/>
          <w:sz w:val="20"/>
          <w:szCs w:val="20"/>
        </w:rPr>
        <w:t>The People Themselves: Popular Constitutionalism and Judicial Review</w:t>
      </w:r>
      <w:r>
        <w:rPr>
          <w:sz w:val="20"/>
          <w:szCs w:val="20"/>
        </w:rPr>
        <w:t xml:space="preserve">, Oxford: Oxford University Press, 2004; R. Bellamy, </w:t>
      </w:r>
      <w:r w:rsidRPr="00B60931">
        <w:rPr>
          <w:i/>
          <w:sz w:val="20"/>
          <w:szCs w:val="20"/>
        </w:rPr>
        <w:t>Political Constitutionalism</w:t>
      </w:r>
      <w:r>
        <w:rPr>
          <w:sz w:val="20"/>
          <w:szCs w:val="20"/>
        </w:rPr>
        <w:t xml:space="preserve">, Cambridge: Cambridge University Press, 2007; M. Tushnet, </w:t>
      </w:r>
      <w:r w:rsidRPr="00B60931">
        <w:rPr>
          <w:i/>
          <w:sz w:val="20"/>
          <w:szCs w:val="20"/>
        </w:rPr>
        <w:t>Taking the Constitution Away from the Courts</w:t>
      </w:r>
      <w:r>
        <w:rPr>
          <w:sz w:val="20"/>
          <w:szCs w:val="20"/>
        </w:rPr>
        <w:t xml:space="preserve">, Princeton, NJ: Princeton University Press, 1999, and </w:t>
      </w:r>
      <w:r w:rsidRPr="00B60931">
        <w:rPr>
          <w:i/>
          <w:sz w:val="20"/>
          <w:szCs w:val="20"/>
        </w:rPr>
        <w:t>Weak Courts, Strong Rights. Judicial Review and Social Welfare Rights in Comparative Constitutional Law</w:t>
      </w:r>
      <w:r>
        <w:rPr>
          <w:sz w:val="20"/>
          <w:szCs w:val="20"/>
        </w:rPr>
        <w:t>, Princeton, NJ: Princeton University Press, 2008.</w:t>
      </w:r>
    </w:p>
  </w:footnote>
  <w:footnote w:id="4">
    <w:p w14:paraId="55EF2CE6" w14:textId="4FF4EE4A" w:rsidR="003B5F64" w:rsidRPr="00B16486" w:rsidRDefault="003B5F64" w:rsidP="0090470C">
      <w:pPr>
        <w:pStyle w:val="FootnoteText"/>
        <w:jc w:val="both"/>
      </w:pPr>
      <w:r w:rsidRPr="00DB1B4D">
        <w:rPr>
          <w:rStyle w:val="FootnoteReference"/>
          <w:sz w:val="20"/>
          <w:szCs w:val="20"/>
        </w:rPr>
        <w:footnoteRef/>
      </w:r>
      <w:r w:rsidRPr="00DB1B4D">
        <w:rPr>
          <w:sz w:val="20"/>
          <w:szCs w:val="20"/>
        </w:rPr>
        <w:t xml:space="preserve"> See</w:t>
      </w:r>
      <w:r>
        <w:rPr>
          <w:sz w:val="20"/>
          <w:szCs w:val="20"/>
        </w:rPr>
        <w:t xml:space="preserve"> e.g. J. H. Ely, </w:t>
      </w:r>
      <w:r w:rsidRPr="00B60931">
        <w:rPr>
          <w:i/>
          <w:sz w:val="20"/>
          <w:szCs w:val="20"/>
        </w:rPr>
        <w:t>Democracy and Distrust. A Theory of Judicial Review</w:t>
      </w:r>
      <w:r>
        <w:rPr>
          <w:sz w:val="20"/>
          <w:szCs w:val="20"/>
        </w:rPr>
        <w:t xml:space="preserve">, Cambridge, Mass.: Harvard University Press, 1981; R. Dworkin, </w:t>
      </w:r>
      <w:r w:rsidRPr="007A68FD">
        <w:rPr>
          <w:i/>
          <w:sz w:val="20"/>
          <w:szCs w:val="20"/>
        </w:rPr>
        <w:t>A Matter of Principle</w:t>
      </w:r>
      <w:r>
        <w:rPr>
          <w:sz w:val="20"/>
          <w:szCs w:val="20"/>
        </w:rPr>
        <w:t xml:space="preserve">, Cambridge, Mass.: Harvard University Press, 1985, </w:t>
      </w:r>
      <w:r w:rsidRPr="00B16486">
        <w:rPr>
          <w:i/>
          <w:sz w:val="20"/>
          <w:szCs w:val="20"/>
        </w:rPr>
        <w:t>Law’s Empire</w:t>
      </w:r>
      <w:r>
        <w:rPr>
          <w:sz w:val="20"/>
          <w:szCs w:val="20"/>
        </w:rPr>
        <w:t xml:space="preserve">, Cambridge, Mass.: Harvard University Press, 1986, and </w:t>
      </w:r>
      <w:r w:rsidRPr="00B16486">
        <w:rPr>
          <w:i/>
          <w:sz w:val="20"/>
          <w:szCs w:val="20"/>
        </w:rPr>
        <w:t>Freedom’s Law</w:t>
      </w:r>
      <w:r>
        <w:rPr>
          <w:sz w:val="20"/>
          <w:szCs w:val="20"/>
        </w:rPr>
        <w:t xml:space="preserve">. </w:t>
      </w:r>
      <w:r w:rsidRPr="007A68FD">
        <w:rPr>
          <w:i/>
          <w:sz w:val="20"/>
          <w:szCs w:val="20"/>
        </w:rPr>
        <w:t>The Moral Reading of the Constitution</w:t>
      </w:r>
      <w:r>
        <w:rPr>
          <w:sz w:val="20"/>
          <w:szCs w:val="20"/>
        </w:rPr>
        <w:t xml:space="preserve">, Cambridge, Mass.: Harvard University Press, 1996; C. L. Eisgruber, </w:t>
      </w:r>
      <w:r w:rsidRPr="00437923">
        <w:rPr>
          <w:i/>
          <w:sz w:val="20"/>
          <w:szCs w:val="20"/>
        </w:rPr>
        <w:t>Constitutional Self-Government</w:t>
      </w:r>
      <w:r>
        <w:rPr>
          <w:sz w:val="20"/>
          <w:szCs w:val="20"/>
        </w:rPr>
        <w:t xml:space="preserve">, Cambridge, Mass.: Harvard University Press, 2001; J. Rawls, </w:t>
      </w:r>
      <w:r w:rsidRPr="00CF00BF">
        <w:rPr>
          <w:i/>
          <w:sz w:val="20"/>
          <w:szCs w:val="20"/>
        </w:rPr>
        <w:t>A Theory of Justice</w:t>
      </w:r>
      <w:r>
        <w:rPr>
          <w:sz w:val="20"/>
          <w:szCs w:val="20"/>
        </w:rPr>
        <w:t xml:space="preserve">, Cambridge, Mass.: Harvard University Press, </w:t>
      </w:r>
      <w:r w:rsidRPr="00EB2EE5">
        <w:rPr>
          <w:i/>
          <w:sz w:val="20"/>
          <w:szCs w:val="20"/>
        </w:rPr>
        <w:t>Political Liberalism</w:t>
      </w:r>
      <w:r>
        <w:rPr>
          <w:sz w:val="20"/>
          <w:szCs w:val="20"/>
        </w:rPr>
        <w:t xml:space="preserve">, Cambridge, Mass.: Harvard University Press, 1993; J. Habermas, </w:t>
      </w:r>
      <w:r w:rsidRPr="00EB2EE5">
        <w:rPr>
          <w:i/>
          <w:sz w:val="20"/>
          <w:szCs w:val="20"/>
        </w:rPr>
        <w:t>Between Facts and Norms</w:t>
      </w:r>
      <w:r>
        <w:rPr>
          <w:sz w:val="20"/>
          <w:szCs w:val="20"/>
        </w:rPr>
        <w:t xml:space="preserve">, Cambridge, Mass.: MIT Press, 1998; C. Sunstein, </w:t>
      </w:r>
      <w:r w:rsidRPr="00437923">
        <w:rPr>
          <w:i/>
          <w:sz w:val="20"/>
          <w:szCs w:val="20"/>
        </w:rPr>
        <w:t>One Case at a Time. Judicial Minimalism on the Supreme Court</w:t>
      </w:r>
      <w:r>
        <w:rPr>
          <w:sz w:val="20"/>
          <w:szCs w:val="20"/>
        </w:rPr>
        <w:t>, Cambridge, Mass.: Harvard University Press, 2001.</w:t>
      </w:r>
    </w:p>
  </w:footnote>
  <w:footnote w:id="5">
    <w:p w14:paraId="6953DACE" w14:textId="6699D3E8" w:rsidR="003B5F64" w:rsidRPr="007D523D" w:rsidRDefault="003B5F64" w:rsidP="0090470C">
      <w:pPr>
        <w:pStyle w:val="FootnoteText"/>
        <w:jc w:val="both"/>
        <w:rPr>
          <w:sz w:val="20"/>
          <w:szCs w:val="20"/>
        </w:rPr>
      </w:pPr>
      <w:r w:rsidRPr="007D523D">
        <w:rPr>
          <w:rStyle w:val="FootnoteReference"/>
          <w:sz w:val="20"/>
          <w:szCs w:val="20"/>
        </w:rPr>
        <w:footnoteRef/>
      </w:r>
      <w:r w:rsidRPr="007D523D">
        <w:rPr>
          <w:sz w:val="20"/>
          <w:szCs w:val="20"/>
        </w:rPr>
        <w:t xml:space="preserve"> For defenses of judicial review </w:t>
      </w:r>
      <w:r>
        <w:rPr>
          <w:sz w:val="20"/>
          <w:szCs w:val="20"/>
        </w:rPr>
        <w:t>that</w:t>
      </w:r>
      <w:r w:rsidRPr="007D523D">
        <w:rPr>
          <w:sz w:val="20"/>
          <w:szCs w:val="20"/>
        </w:rPr>
        <w:t xml:space="preserve"> challenge the claim that i</w:t>
      </w:r>
      <w:r>
        <w:rPr>
          <w:sz w:val="20"/>
          <w:szCs w:val="20"/>
        </w:rPr>
        <w:t xml:space="preserve">t is an inherently undemocratic practice see, e.g. Dworkin 1996, Eisgruber 2001, L. Sager, </w:t>
      </w:r>
      <w:r w:rsidRPr="00900FDB">
        <w:rPr>
          <w:i/>
          <w:sz w:val="20"/>
          <w:szCs w:val="20"/>
        </w:rPr>
        <w:t>Justice in Plainclothes</w:t>
      </w:r>
      <w:r>
        <w:rPr>
          <w:i/>
          <w:sz w:val="20"/>
          <w:szCs w:val="20"/>
        </w:rPr>
        <w:t>. A Theory of American Constitutional Practice</w:t>
      </w:r>
      <w:r>
        <w:rPr>
          <w:sz w:val="20"/>
          <w:szCs w:val="20"/>
        </w:rPr>
        <w:t xml:space="preserve">, New Heaven: Yale University Press, 2004; W. J. Waluchow, “Judicial Review,” </w:t>
      </w:r>
      <w:r w:rsidRPr="00900FDB">
        <w:rPr>
          <w:i/>
          <w:sz w:val="20"/>
          <w:szCs w:val="20"/>
        </w:rPr>
        <w:t>Philosophy Compass</w:t>
      </w:r>
      <w:r>
        <w:rPr>
          <w:sz w:val="20"/>
          <w:szCs w:val="20"/>
        </w:rPr>
        <w:t xml:space="preserve"> 2/2 (2007), 258-266. Although I agree with their criticism of Waldron’s purely majoritarian conception of democracy, their defenses of the legitimacy of judicial review fail to highlight the role of citizens in the practice and its democratic significance. This is what I aim to explore here.</w:t>
      </w:r>
    </w:p>
  </w:footnote>
  <w:footnote w:id="6">
    <w:p w14:paraId="136105EC" w14:textId="3663669D" w:rsidR="003B5F64" w:rsidRPr="009370B5" w:rsidRDefault="003B5F64" w:rsidP="0090470C">
      <w:pPr>
        <w:pStyle w:val="FootnoteText"/>
        <w:jc w:val="both"/>
        <w:rPr>
          <w:sz w:val="20"/>
          <w:szCs w:val="20"/>
        </w:rPr>
      </w:pPr>
      <w:r w:rsidRPr="009370B5">
        <w:rPr>
          <w:rStyle w:val="FootnoteReference"/>
          <w:sz w:val="20"/>
          <w:szCs w:val="20"/>
        </w:rPr>
        <w:footnoteRef/>
      </w:r>
      <w:r w:rsidRPr="009370B5">
        <w:rPr>
          <w:sz w:val="20"/>
          <w:szCs w:val="20"/>
        </w:rPr>
        <w:t xml:space="preserve"> Bickel, A., </w:t>
      </w:r>
      <w:r w:rsidRPr="009370B5">
        <w:rPr>
          <w:i/>
          <w:sz w:val="20"/>
          <w:szCs w:val="20"/>
        </w:rPr>
        <w:t>The Least Dangerous Branch</w:t>
      </w:r>
      <w:r>
        <w:rPr>
          <w:i/>
          <w:sz w:val="20"/>
          <w:szCs w:val="20"/>
        </w:rPr>
        <w:t>. The Supreme Court at the Bar of Politics</w:t>
      </w:r>
      <w:r w:rsidRPr="009370B5">
        <w:rPr>
          <w:sz w:val="20"/>
          <w:szCs w:val="20"/>
        </w:rPr>
        <w:t>,</w:t>
      </w:r>
      <w:r>
        <w:rPr>
          <w:sz w:val="20"/>
          <w:szCs w:val="20"/>
        </w:rPr>
        <w:t xml:space="preserve"> New Heaven: Yale University Press 1986,</w:t>
      </w:r>
      <w:r w:rsidRPr="009370B5">
        <w:rPr>
          <w:sz w:val="20"/>
          <w:szCs w:val="20"/>
        </w:rPr>
        <w:t xml:space="preserve"> 16-17</w:t>
      </w:r>
      <w:r>
        <w:rPr>
          <w:sz w:val="20"/>
          <w:szCs w:val="20"/>
        </w:rPr>
        <w:t>,</w:t>
      </w:r>
      <w:r w:rsidRPr="009370B5">
        <w:rPr>
          <w:sz w:val="20"/>
          <w:szCs w:val="20"/>
        </w:rPr>
        <w:t xml:space="preserve"> my italics.</w:t>
      </w:r>
    </w:p>
  </w:footnote>
  <w:footnote w:id="7">
    <w:p w14:paraId="446C01DA" w14:textId="3C4A4E01" w:rsidR="003B5F64" w:rsidRPr="00447E87" w:rsidRDefault="003B5F64" w:rsidP="003750C3">
      <w:pPr>
        <w:pStyle w:val="FootnoteText"/>
        <w:jc w:val="both"/>
        <w:rPr>
          <w:sz w:val="20"/>
          <w:szCs w:val="20"/>
        </w:rPr>
      </w:pPr>
      <w:r w:rsidRPr="00447E87">
        <w:rPr>
          <w:rStyle w:val="FootnoteReference"/>
          <w:sz w:val="20"/>
          <w:szCs w:val="20"/>
        </w:rPr>
        <w:footnoteRef/>
      </w:r>
      <w:r w:rsidRPr="00447E87">
        <w:rPr>
          <w:sz w:val="20"/>
          <w:szCs w:val="20"/>
        </w:rPr>
        <w:t xml:space="preserve"> See e.g. J. Raz, </w:t>
      </w:r>
      <w:r w:rsidRPr="00447E87">
        <w:rPr>
          <w:i/>
          <w:sz w:val="20"/>
          <w:szCs w:val="20"/>
        </w:rPr>
        <w:t>Disagreement in Politics</w:t>
      </w:r>
      <w:r w:rsidRPr="00447E87">
        <w:rPr>
          <w:sz w:val="20"/>
          <w:szCs w:val="20"/>
        </w:rPr>
        <w:t>, American J. Juris 43 (1998), 45.</w:t>
      </w:r>
    </w:p>
  </w:footnote>
  <w:footnote w:id="8">
    <w:p w14:paraId="61E368F1" w14:textId="2E50E76C" w:rsidR="003B5F64" w:rsidRPr="00447E87" w:rsidRDefault="003B5F64" w:rsidP="003750C3">
      <w:pPr>
        <w:pStyle w:val="FootnoteText"/>
        <w:jc w:val="both"/>
        <w:rPr>
          <w:sz w:val="20"/>
          <w:szCs w:val="20"/>
        </w:rPr>
      </w:pPr>
      <w:r w:rsidRPr="00447E87">
        <w:rPr>
          <w:rStyle w:val="FootnoteReference"/>
          <w:sz w:val="20"/>
          <w:szCs w:val="20"/>
        </w:rPr>
        <w:footnoteRef/>
      </w:r>
      <w:r w:rsidRPr="00447E87">
        <w:rPr>
          <w:sz w:val="20"/>
          <w:szCs w:val="20"/>
        </w:rPr>
        <w:t xml:space="preserve"> See Waldron 1999, 2005, and 2010.</w:t>
      </w:r>
    </w:p>
  </w:footnote>
  <w:footnote w:id="9">
    <w:p w14:paraId="648235FC" w14:textId="1E646E21" w:rsidR="003B5F64" w:rsidRPr="00447E87" w:rsidRDefault="003B5F64" w:rsidP="003750C3">
      <w:pPr>
        <w:pStyle w:val="FootnoteText"/>
        <w:jc w:val="both"/>
        <w:rPr>
          <w:sz w:val="20"/>
          <w:szCs w:val="20"/>
        </w:rPr>
      </w:pPr>
      <w:r w:rsidRPr="00447E87">
        <w:rPr>
          <w:rStyle w:val="FootnoteReference"/>
          <w:sz w:val="20"/>
          <w:szCs w:val="20"/>
        </w:rPr>
        <w:footnoteRef/>
      </w:r>
      <w:r w:rsidRPr="00447E87">
        <w:rPr>
          <w:sz w:val="20"/>
          <w:szCs w:val="20"/>
        </w:rPr>
        <w:t xml:space="preserve"> Waldron 2005, 1375-76.</w:t>
      </w:r>
    </w:p>
  </w:footnote>
  <w:footnote w:id="10">
    <w:p w14:paraId="2AEADE08" w14:textId="35BD6AC7" w:rsidR="003B5F64" w:rsidRPr="00447E87" w:rsidRDefault="003B5F64" w:rsidP="003750C3">
      <w:pPr>
        <w:pStyle w:val="FootnoteText"/>
        <w:jc w:val="both"/>
        <w:rPr>
          <w:sz w:val="20"/>
          <w:szCs w:val="20"/>
        </w:rPr>
      </w:pPr>
      <w:r w:rsidRPr="00447E87">
        <w:rPr>
          <w:rStyle w:val="FootnoteReference"/>
          <w:sz w:val="20"/>
          <w:szCs w:val="20"/>
        </w:rPr>
        <w:footnoteRef/>
      </w:r>
      <w:r w:rsidRPr="00447E87">
        <w:rPr>
          <w:sz w:val="20"/>
          <w:szCs w:val="20"/>
        </w:rPr>
        <w:t xml:space="preserve"> Waldron 2005, 1386.</w:t>
      </w:r>
    </w:p>
  </w:footnote>
  <w:footnote w:id="11">
    <w:p w14:paraId="774E07D9" w14:textId="1CB83A48" w:rsidR="003B5F64" w:rsidRPr="003D31FC" w:rsidRDefault="003B5F64" w:rsidP="003750C3">
      <w:pPr>
        <w:pStyle w:val="FootnoteText"/>
        <w:jc w:val="both"/>
        <w:rPr>
          <w:sz w:val="20"/>
          <w:szCs w:val="20"/>
        </w:rPr>
      </w:pPr>
      <w:r w:rsidRPr="003D31FC">
        <w:rPr>
          <w:rStyle w:val="FootnoteReference"/>
          <w:sz w:val="20"/>
          <w:szCs w:val="20"/>
        </w:rPr>
        <w:footnoteRef/>
      </w:r>
      <w:r w:rsidRPr="003D31FC">
        <w:rPr>
          <w:sz w:val="20"/>
          <w:szCs w:val="20"/>
        </w:rPr>
        <w:t xml:space="preserve"> </w:t>
      </w:r>
      <w:r w:rsidRPr="003750C3">
        <w:rPr>
          <w:sz w:val="20"/>
          <w:szCs w:val="20"/>
        </w:rPr>
        <w:t>This is a normative claim. It is therefore compatible with a variety of empirical circumstances that may make the institution of judicial review democratically illegitimate in the context of a given country. The same, of course, holds for institutions within other branches of government. The normative argument aims to answer the question of whether a specific institution serves some key democratic function</w:t>
      </w:r>
      <w:r>
        <w:rPr>
          <w:sz w:val="20"/>
          <w:szCs w:val="20"/>
        </w:rPr>
        <w:t xml:space="preserve"> and is therefore </w:t>
      </w:r>
      <w:r w:rsidRPr="003B5F64">
        <w:rPr>
          <w:sz w:val="20"/>
          <w:szCs w:val="20"/>
        </w:rPr>
        <w:t>legitimate from a democratic point of view</w:t>
      </w:r>
      <w:r w:rsidRPr="003750C3">
        <w:rPr>
          <w:sz w:val="20"/>
          <w:szCs w:val="20"/>
        </w:rPr>
        <w:t xml:space="preserve">. Once it is determined that an institution (e.g. judicial review, </w:t>
      </w:r>
      <w:r>
        <w:rPr>
          <w:sz w:val="20"/>
          <w:szCs w:val="20"/>
        </w:rPr>
        <w:t xml:space="preserve">democratic parliament, etc.) </w:t>
      </w:r>
      <w:r w:rsidRPr="003B5F64">
        <w:rPr>
          <w:sz w:val="20"/>
          <w:szCs w:val="20"/>
        </w:rPr>
        <w:t>serves a democratic function</w:t>
      </w:r>
      <w:bookmarkStart w:id="0" w:name="_GoBack"/>
      <w:bookmarkEnd w:id="0"/>
      <w:r>
        <w:rPr>
          <w:sz w:val="20"/>
          <w:szCs w:val="20"/>
        </w:rPr>
        <w:t>,</w:t>
      </w:r>
      <w:r w:rsidRPr="003750C3">
        <w:rPr>
          <w:sz w:val="20"/>
          <w:szCs w:val="20"/>
        </w:rPr>
        <w:t xml:space="preserve"> this opens up the empirical question regarding how we can ensure that the institution works as it is intended, how to best avoid its potential anti-democratic drawbacks, and so on.</w:t>
      </w:r>
    </w:p>
  </w:footnote>
  <w:footnote w:id="12">
    <w:p w14:paraId="2911E0DB" w14:textId="62A09F4A" w:rsidR="003B5F64" w:rsidRPr="00447E87" w:rsidRDefault="003B5F64" w:rsidP="00300B4A">
      <w:pPr>
        <w:pStyle w:val="FootnoteText"/>
        <w:jc w:val="both"/>
        <w:rPr>
          <w:sz w:val="20"/>
          <w:szCs w:val="20"/>
        </w:rPr>
      </w:pPr>
      <w:r w:rsidRPr="00447E87">
        <w:rPr>
          <w:rStyle w:val="FootnoteReference"/>
          <w:sz w:val="20"/>
          <w:szCs w:val="20"/>
        </w:rPr>
        <w:footnoteRef/>
      </w:r>
      <w:r w:rsidRPr="00447E87">
        <w:rPr>
          <w:sz w:val="20"/>
          <w:szCs w:val="20"/>
        </w:rPr>
        <w:t xml:space="preserve"> For an overview of stronger and weaker forms of judicial review that are adopted in different countries see Waldron 2005, 1354-57</w:t>
      </w:r>
      <w:r>
        <w:rPr>
          <w:sz w:val="20"/>
          <w:szCs w:val="20"/>
        </w:rPr>
        <w:t xml:space="preserve">; see also M. Tushnet, “Alternative Forms of Judicial Review,” </w:t>
      </w:r>
      <w:r w:rsidRPr="00247F91">
        <w:rPr>
          <w:i/>
          <w:sz w:val="20"/>
          <w:szCs w:val="20"/>
        </w:rPr>
        <w:t>Michigan Law Review</w:t>
      </w:r>
      <w:r>
        <w:rPr>
          <w:sz w:val="20"/>
          <w:szCs w:val="20"/>
        </w:rPr>
        <w:t xml:space="preserve"> 101/8 (2003), 2781-2802.</w:t>
      </w:r>
      <w:r w:rsidRPr="00447E87">
        <w:rPr>
          <w:sz w:val="20"/>
          <w:szCs w:val="20"/>
        </w:rPr>
        <w:t xml:space="preserve"> In my view, it would be wrong to claim that strong judicial rev</w:t>
      </w:r>
      <w:r>
        <w:rPr>
          <w:sz w:val="20"/>
          <w:szCs w:val="20"/>
        </w:rPr>
        <w:t>iew is always</w:t>
      </w:r>
      <w:r w:rsidRPr="00447E87">
        <w:rPr>
          <w:sz w:val="20"/>
          <w:szCs w:val="20"/>
        </w:rPr>
        <w:t xml:space="preserve"> preferable over its alternatives. But the reason this claim is wrong is not because strong judicial review is democratically illegitimate, as critics like Waldron would have it. Rather, this claim is wrong for the simple reason that constitutional democracies with weak judicial review (e.g. Canada)</w:t>
      </w:r>
      <w:r>
        <w:rPr>
          <w:sz w:val="20"/>
          <w:szCs w:val="20"/>
        </w:rPr>
        <w:t xml:space="preserve"> or without judicial review (e.g. the UK, at least before the adoption of the Human Rights Act 1998)</w:t>
      </w:r>
      <w:r w:rsidRPr="00447E87">
        <w:rPr>
          <w:sz w:val="20"/>
          <w:szCs w:val="20"/>
        </w:rPr>
        <w:t xml:space="preserve"> may also be d</w:t>
      </w:r>
      <w:r>
        <w:rPr>
          <w:sz w:val="20"/>
          <w:szCs w:val="20"/>
        </w:rPr>
        <w:t>emocratically legitimate</w:t>
      </w:r>
      <w:r w:rsidRPr="00447E87">
        <w:rPr>
          <w:sz w:val="20"/>
          <w:szCs w:val="20"/>
        </w:rPr>
        <w:t>. Whether weaker or stronger forms of judicial review should be preferable from a democratic perspective is an empirical question that can be answered in different ways depending on the historical, social, and political circumstances of each specific country.</w:t>
      </w:r>
      <w:r>
        <w:rPr>
          <w:sz w:val="20"/>
          <w:szCs w:val="20"/>
        </w:rPr>
        <w:t xml:space="preserve"> </w:t>
      </w:r>
    </w:p>
  </w:footnote>
  <w:footnote w:id="13">
    <w:p w14:paraId="4BD0A1B3" w14:textId="06F3EAA7" w:rsidR="003B5F64" w:rsidRPr="00350612" w:rsidRDefault="003B5F64" w:rsidP="009C4283">
      <w:pPr>
        <w:pStyle w:val="FootnoteText"/>
        <w:jc w:val="both"/>
        <w:rPr>
          <w:sz w:val="20"/>
          <w:szCs w:val="20"/>
        </w:rPr>
      </w:pPr>
      <w:r w:rsidRPr="00350612">
        <w:rPr>
          <w:rStyle w:val="FootnoteReference"/>
          <w:sz w:val="20"/>
          <w:szCs w:val="20"/>
        </w:rPr>
        <w:footnoteRef/>
      </w:r>
      <w:r w:rsidRPr="00350612">
        <w:rPr>
          <w:sz w:val="20"/>
          <w:szCs w:val="20"/>
        </w:rPr>
        <w:t xml:space="preserve"> Given this aim, the analysis that follows will focus on judicial review of democratic legislation and will not address issues concerning judicial review of executive action or administrative decision</w:t>
      </w:r>
      <w:r>
        <w:rPr>
          <w:sz w:val="20"/>
          <w:szCs w:val="20"/>
        </w:rPr>
        <w:t>-</w:t>
      </w:r>
      <w:r w:rsidRPr="00350612">
        <w:rPr>
          <w:sz w:val="20"/>
          <w:szCs w:val="20"/>
        </w:rPr>
        <w:t>making.</w:t>
      </w:r>
    </w:p>
  </w:footnote>
  <w:footnote w:id="14">
    <w:p w14:paraId="59E5B738" w14:textId="7EF67545" w:rsidR="003B5F64" w:rsidRPr="00562B00" w:rsidRDefault="003B5F64" w:rsidP="009C4283">
      <w:pPr>
        <w:pStyle w:val="FootnoteText"/>
        <w:jc w:val="both"/>
        <w:rPr>
          <w:sz w:val="20"/>
          <w:szCs w:val="20"/>
        </w:rPr>
      </w:pPr>
      <w:r>
        <w:rPr>
          <w:rStyle w:val="FootnoteReference"/>
        </w:rPr>
        <w:footnoteRef/>
      </w:r>
      <w:r>
        <w:t xml:space="preserve"> </w:t>
      </w:r>
      <w:r w:rsidRPr="00562B00">
        <w:rPr>
          <w:sz w:val="20"/>
          <w:szCs w:val="20"/>
        </w:rPr>
        <w:t xml:space="preserve">For a complaint along these lines see </w:t>
      </w:r>
      <w:r>
        <w:rPr>
          <w:sz w:val="20"/>
          <w:szCs w:val="20"/>
        </w:rPr>
        <w:t>R. Post and R. Siegel, “</w:t>
      </w:r>
      <w:r w:rsidRPr="00613614">
        <w:rPr>
          <w:i/>
          <w:sz w:val="20"/>
          <w:szCs w:val="20"/>
        </w:rPr>
        <w:t>Roe</w:t>
      </w:r>
      <w:r>
        <w:rPr>
          <w:sz w:val="20"/>
          <w:szCs w:val="20"/>
        </w:rPr>
        <w:t xml:space="preserve"> Rage: Democratic Constitutionalism and Backlash,” 42 Harvard C. R.- C. L. L. Rev (2007), 373-433.</w:t>
      </w:r>
    </w:p>
  </w:footnote>
  <w:footnote w:id="15">
    <w:p w14:paraId="60554CBB" w14:textId="59189257" w:rsidR="003B5F64" w:rsidRPr="00BD0C31" w:rsidRDefault="003B5F64" w:rsidP="009C4283">
      <w:pPr>
        <w:pStyle w:val="FootnoteText"/>
        <w:jc w:val="both"/>
        <w:rPr>
          <w:sz w:val="20"/>
          <w:szCs w:val="20"/>
        </w:rPr>
      </w:pPr>
      <w:r>
        <w:rPr>
          <w:rStyle w:val="FootnoteReference"/>
        </w:rPr>
        <w:footnoteRef/>
      </w:r>
      <w:r>
        <w:t xml:space="preserve"> </w:t>
      </w:r>
      <w:r w:rsidRPr="00BD0C31">
        <w:rPr>
          <w:sz w:val="20"/>
          <w:szCs w:val="20"/>
        </w:rPr>
        <w:t>See Kramer</w:t>
      </w:r>
      <w:r>
        <w:rPr>
          <w:sz w:val="20"/>
          <w:szCs w:val="20"/>
        </w:rPr>
        <w:t xml:space="preserve"> 2004</w:t>
      </w:r>
      <w:r w:rsidRPr="00BD0C31">
        <w:rPr>
          <w:sz w:val="20"/>
          <w:szCs w:val="20"/>
        </w:rPr>
        <w:t>, Bellamy</w:t>
      </w:r>
      <w:r>
        <w:rPr>
          <w:sz w:val="20"/>
          <w:szCs w:val="20"/>
        </w:rPr>
        <w:t xml:space="preserve"> 2007</w:t>
      </w:r>
      <w:r w:rsidRPr="00BD0C31">
        <w:rPr>
          <w:sz w:val="20"/>
          <w:szCs w:val="20"/>
        </w:rPr>
        <w:t>, Tushnet</w:t>
      </w:r>
      <w:r>
        <w:rPr>
          <w:sz w:val="20"/>
          <w:szCs w:val="20"/>
        </w:rPr>
        <w:t xml:space="preserve"> 1999.</w:t>
      </w:r>
    </w:p>
  </w:footnote>
  <w:footnote w:id="16">
    <w:p w14:paraId="189113EF" w14:textId="499A8017" w:rsidR="003B5F64" w:rsidRPr="00BD0C31" w:rsidRDefault="003B5F64" w:rsidP="009C4283">
      <w:pPr>
        <w:pStyle w:val="FootnoteText"/>
        <w:jc w:val="both"/>
        <w:rPr>
          <w:sz w:val="20"/>
          <w:szCs w:val="20"/>
        </w:rPr>
      </w:pPr>
      <w:r w:rsidRPr="00BD0C31">
        <w:rPr>
          <w:rStyle w:val="FootnoteReference"/>
          <w:sz w:val="20"/>
          <w:szCs w:val="20"/>
        </w:rPr>
        <w:footnoteRef/>
      </w:r>
      <w:r w:rsidRPr="00BD0C31">
        <w:rPr>
          <w:sz w:val="20"/>
          <w:szCs w:val="20"/>
        </w:rPr>
        <w:t xml:space="preserve"> For an interest</w:t>
      </w:r>
      <w:r>
        <w:rPr>
          <w:sz w:val="20"/>
          <w:szCs w:val="20"/>
        </w:rPr>
        <w:t xml:space="preserve">ing exception to this trend see </w:t>
      </w:r>
      <w:r w:rsidRPr="00BD0C31">
        <w:rPr>
          <w:sz w:val="20"/>
          <w:szCs w:val="20"/>
        </w:rPr>
        <w:t>Post and</w:t>
      </w:r>
      <w:r>
        <w:rPr>
          <w:sz w:val="20"/>
          <w:szCs w:val="20"/>
        </w:rPr>
        <w:t xml:space="preserve"> </w:t>
      </w:r>
      <w:r w:rsidRPr="00BD0C31">
        <w:rPr>
          <w:sz w:val="20"/>
          <w:szCs w:val="20"/>
        </w:rPr>
        <w:t>Siegel</w:t>
      </w:r>
      <w:r>
        <w:rPr>
          <w:sz w:val="20"/>
          <w:szCs w:val="20"/>
        </w:rPr>
        <w:t>’s</w:t>
      </w:r>
      <w:r w:rsidRPr="00BD0C31">
        <w:rPr>
          <w:sz w:val="20"/>
          <w:szCs w:val="20"/>
        </w:rPr>
        <w:t xml:space="preserve"> defense of “democratic constitutionalism”</w:t>
      </w:r>
      <w:r>
        <w:rPr>
          <w:sz w:val="20"/>
          <w:szCs w:val="20"/>
        </w:rPr>
        <w:t xml:space="preserve"> in Post and Siegel 2007, also “Popular Constitutionalism, Departamentalism and Judicial Supremacy,” </w:t>
      </w:r>
      <w:r w:rsidRPr="00B43206">
        <w:rPr>
          <w:i/>
          <w:sz w:val="20"/>
          <w:szCs w:val="20"/>
        </w:rPr>
        <w:t>Faculty Scholarship Series</w:t>
      </w:r>
      <w:r>
        <w:rPr>
          <w:sz w:val="20"/>
          <w:szCs w:val="20"/>
        </w:rPr>
        <w:t>. Paper 178, available at http://digitalcommons.law.yale.edu/fss_papers/178.</w:t>
      </w:r>
    </w:p>
  </w:footnote>
  <w:footnote w:id="17">
    <w:p w14:paraId="40CC9C86" w14:textId="0C077B4D" w:rsidR="003B5F64" w:rsidRPr="00CC2C5B" w:rsidRDefault="003B5F64" w:rsidP="009C4283">
      <w:pPr>
        <w:pStyle w:val="FootnoteText"/>
        <w:jc w:val="both"/>
        <w:rPr>
          <w:sz w:val="20"/>
          <w:szCs w:val="20"/>
        </w:rPr>
      </w:pPr>
      <w:r>
        <w:rPr>
          <w:rStyle w:val="FootnoteReference"/>
        </w:rPr>
        <w:footnoteRef/>
      </w:r>
      <w:r>
        <w:t xml:space="preserve"> </w:t>
      </w:r>
      <w:r>
        <w:rPr>
          <w:sz w:val="20"/>
          <w:szCs w:val="20"/>
        </w:rPr>
        <w:t xml:space="preserve">I take this expression from P. Pettit, </w:t>
      </w:r>
      <w:r w:rsidRPr="00BF123A">
        <w:rPr>
          <w:i/>
          <w:sz w:val="20"/>
          <w:szCs w:val="20"/>
        </w:rPr>
        <w:t>Republicanism. A Theory of Freedom and Government</w:t>
      </w:r>
      <w:r>
        <w:rPr>
          <w:sz w:val="20"/>
          <w:szCs w:val="20"/>
        </w:rPr>
        <w:t>, Oxford: Oxford University Press, 1997, 185.</w:t>
      </w:r>
    </w:p>
  </w:footnote>
  <w:footnote w:id="18">
    <w:p w14:paraId="2E03F965" w14:textId="57F993AA" w:rsidR="003B5F64" w:rsidRPr="00562B00" w:rsidRDefault="003B5F64" w:rsidP="009C4283">
      <w:pPr>
        <w:pStyle w:val="FootnoteText"/>
        <w:jc w:val="both"/>
        <w:rPr>
          <w:sz w:val="20"/>
          <w:szCs w:val="20"/>
        </w:rPr>
      </w:pPr>
      <w:r>
        <w:rPr>
          <w:rStyle w:val="FootnoteReference"/>
        </w:rPr>
        <w:footnoteRef/>
      </w:r>
      <w:r>
        <w:t xml:space="preserve"> </w:t>
      </w:r>
      <w:r w:rsidRPr="00562B00">
        <w:rPr>
          <w:sz w:val="20"/>
          <w:szCs w:val="20"/>
        </w:rPr>
        <w:t>Pettit</w:t>
      </w:r>
      <w:r>
        <w:rPr>
          <w:sz w:val="20"/>
          <w:szCs w:val="20"/>
        </w:rPr>
        <w:t xml:space="preserve"> 1997,</w:t>
      </w:r>
      <w:r w:rsidRPr="00562B00">
        <w:rPr>
          <w:sz w:val="20"/>
          <w:szCs w:val="20"/>
        </w:rPr>
        <w:t xml:space="preserve"> 186.</w:t>
      </w:r>
      <w:r>
        <w:rPr>
          <w:sz w:val="20"/>
          <w:szCs w:val="20"/>
        </w:rPr>
        <w:t xml:space="preserve"> I agree with Pettit’s emphasis on the importance of the right to legal contestation in democratic societies, but I disagree with many aspects of his interpretation. I discuss some of the differences in what follows. </w:t>
      </w:r>
    </w:p>
  </w:footnote>
  <w:footnote w:id="19">
    <w:p w14:paraId="3DD59A08" w14:textId="38D57A9F" w:rsidR="003B5F64" w:rsidRPr="0089198E" w:rsidRDefault="003B5F64" w:rsidP="009C4283">
      <w:pPr>
        <w:pStyle w:val="FootnoteText"/>
        <w:jc w:val="both"/>
        <w:rPr>
          <w:sz w:val="20"/>
          <w:szCs w:val="20"/>
        </w:rPr>
      </w:pPr>
      <w:r w:rsidRPr="0089198E">
        <w:rPr>
          <w:rStyle w:val="FootnoteReference"/>
          <w:sz w:val="20"/>
          <w:szCs w:val="20"/>
        </w:rPr>
        <w:footnoteRef/>
      </w:r>
      <w:r w:rsidRPr="0089198E">
        <w:rPr>
          <w:sz w:val="20"/>
          <w:szCs w:val="20"/>
        </w:rPr>
        <w:t xml:space="preserve"> </w:t>
      </w:r>
      <w:r>
        <w:rPr>
          <w:sz w:val="20"/>
          <w:szCs w:val="20"/>
        </w:rPr>
        <w:t>In the present context, it would be embarrassingly circular to claim that only the acts of the legislature express the will of the people even when they are in tension with those of other political venues (e.g. the executive, the judiciary, citizen initiatives, referenda, etc.). Even Waldron acknowledges that commitment to the validity of majority rule is compatible with believing that “minorities are entitled to a degree of support, recognition and insulation that is not necessarily guaranteed by their numbers or by their political weight.” (Waldron 2006, 1364)</w:t>
      </w:r>
    </w:p>
  </w:footnote>
  <w:footnote w:id="20">
    <w:p w14:paraId="301302DD" w14:textId="2136AE75" w:rsidR="003B5F64" w:rsidRPr="00B56C02" w:rsidRDefault="003B5F64" w:rsidP="009C4283">
      <w:pPr>
        <w:pStyle w:val="FootnoteText"/>
        <w:jc w:val="both"/>
        <w:rPr>
          <w:sz w:val="20"/>
          <w:szCs w:val="20"/>
        </w:rPr>
      </w:pPr>
      <w:r w:rsidRPr="00B56C02">
        <w:rPr>
          <w:rStyle w:val="FootnoteReference"/>
          <w:sz w:val="20"/>
          <w:szCs w:val="20"/>
        </w:rPr>
        <w:footnoteRef/>
      </w:r>
      <w:r w:rsidRPr="00B56C02">
        <w:rPr>
          <w:sz w:val="20"/>
          <w:szCs w:val="20"/>
        </w:rPr>
        <w:t xml:space="preserve"> See Pettit</w:t>
      </w:r>
      <w:r>
        <w:rPr>
          <w:sz w:val="20"/>
          <w:szCs w:val="20"/>
        </w:rPr>
        <w:t xml:space="preserve"> 1997,</w:t>
      </w:r>
      <w:r w:rsidRPr="00B56C02">
        <w:rPr>
          <w:sz w:val="20"/>
          <w:szCs w:val="20"/>
        </w:rPr>
        <w:t xml:space="preserve"> and “Depoliticizing Democracy</w:t>
      </w:r>
      <w:r>
        <w:rPr>
          <w:sz w:val="20"/>
          <w:szCs w:val="20"/>
        </w:rPr>
        <w:t>,</w:t>
      </w:r>
      <w:r w:rsidRPr="00B56C02">
        <w:rPr>
          <w:sz w:val="20"/>
          <w:szCs w:val="20"/>
        </w:rPr>
        <w:t>”</w:t>
      </w:r>
      <w:r>
        <w:rPr>
          <w:sz w:val="20"/>
          <w:szCs w:val="20"/>
        </w:rPr>
        <w:t xml:space="preserve"> in Besson and Mart</w:t>
      </w:r>
      <w:r>
        <w:rPr>
          <w:sz w:val="20"/>
          <w:szCs w:val="20"/>
          <w:lang w:val="es-ES_tradnl"/>
        </w:rPr>
        <w:t>í 2006</w:t>
      </w:r>
      <w:r>
        <w:rPr>
          <w:sz w:val="20"/>
          <w:szCs w:val="20"/>
        </w:rPr>
        <w:t>, 93-106.</w:t>
      </w:r>
    </w:p>
  </w:footnote>
  <w:footnote w:id="21">
    <w:p w14:paraId="61ECBAF3" w14:textId="77777777" w:rsidR="003B5F64" w:rsidRPr="00B56C02" w:rsidRDefault="003B5F64" w:rsidP="009C4283">
      <w:pPr>
        <w:pStyle w:val="FootnoteText"/>
        <w:jc w:val="both"/>
        <w:rPr>
          <w:sz w:val="20"/>
          <w:szCs w:val="20"/>
        </w:rPr>
      </w:pPr>
      <w:r w:rsidRPr="00B56C02">
        <w:rPr>
          <w:rStyle w:val="FootnoteReference"/>
          <w:sz w:val="20"/>
          <w:szCs w:val="20"/>
        </w:rPr>
        <w:footnoteRef/>
      </w:r>
      <w:r w:rsidRPr="00B56C02">
        <w:rPr>
          <w:sz w:val="20"/>
          <w:szCs w:val="20"/>
        </w:rPr>
        <w:t xml:space="preserve"> Pettit</w:t>
      </w:r>
      <w:r>
        <w:rPr>
          <w:sz w:val="20"/>
          <w:szCs w:val="20"/>
        </w:rPr>
        <w:t xml:space="preserve"> 1997</w:t>
      </w:r>
      <w:r w:rsidRPr="00B56C02">
        <w:rPr>
          <w:sz w:val="20"/>
          <w:szCs w:val="20"/>
        </w:rPr>
        <w:t xml:space="preserve"> explains: “There are a variety of </w:t>
      </w:r>
      <w:r>
        <w:rPr>
          <w:sz w:val="20"/>
          <w:szCs w:val="20"/>
        </w:rPr>
        <w:t xml:space="preserve">contestations </w:t>
      </w:r>
      <w:r w:rsidRPr="00B56C02">
        <w:rPr>
          <w:sz w:val="20"/>
          <w:szCs w:val="20"/>
        </w:rPr>
        <w:t>where popular debate</w:t>
      </w:r>
      <w:r>
        <w:rPr>
          <w:sz w:val="20"/>
          <w:szCs w:val="20"/>
        </w:rPr>
        <w:t xml:space="preserve"> would give the worst possible sort of hearing to the complaints involved. In these cases, the requirement of contestatory democracy is that the complaints should be depolitized and should be heard away from the tumult of popular discussion and away, even, from the theater of parliamentary debate. In such instances, democracy requires recourse to the relative quiet of the parliamentary, cross-party committee, or the standing appeals board or the quasi-judicial tribunal, or the autonomous, professionalized body. It is only in that sort of quiet… that the contestations in question c</w:t>
      </w:r>
      <w:r w:rsidRPr="00B56C02">
        <w:rPr>
          <w:sz w:val="20"/>
          <w:szCs w:val="20"/>
        </w:rPr>
        <w:t>an re</w:t>
      </w:r>
      <w:r>
        <w:rPr>
          <w:sz w:val="20"/>
          <w:szCs w:val="20"/>
        </w:rPr>
        <w:t>ceive a decent hearing.” 196.</w:t>
      </w:r>
    </w:p>
  </w:footnote>
  <w:footnote w:id="22">
    <w:p w14:paraId="33C7CC22" w14:textId="3B336394" w:rsidR="003B5F64" w:rsidRPr="003950F6" w:rsidRDefault="003B5F64" w:rsidP="009C4283">
      <w:pPr>
        <w:pStyle w:val="FootnoteText"/>
        <w:jc w:val="both"/>
        <w:rPr>
          <w:sz w:val="20"/>
          <w:szCs w:val="20"/>
        </w:rPr>
      </w:pPr>
      <w:r w:rsidRPr="003950F6">
        <w:rPr>
          <w:rStyle w:val="FootnoteReference"/>
          <w:sz w:val="20"/>
          <w:szCs w:val="20"/>
        </w:rPr>
        <w:footnoteRef/>
      </w:r>
      <w:r w:rsidRPr="003950F6">
        <w:rPr>
          <w:sz w:val="20"/>
          <w:szCs w:val="20"/>
        </w:rPr>
        <w:t xml:space="preserve"> </w:t>
      </w:r>
      <w:r>
        <w:rPr>
          <w:sz w:val="20"/>
          <w:szCs w:val="20"/>
        </w:rPr>
        <w:t>Dworkin 1996,</w:t>
      </w:r>
      <w:r w:rsidRPr="003950F6">
        <w:rPr>
          <w:sz w:val="20"/>
          <w:szCs w:val="20"/>
        </w:rPr>
        <w:t xml:space="preserve"> 30</w:t>
      </w:r>
      <w:r>
        <w:rPr>
          <w:sz w:val="20"/>
          <w:szCs w:val="20"/>
        </w:rPr>
        <w:t>.</w:t>
      </w:r>
    </w:p>
  </w:footnote>
  <w:footnote w:id="23">
    <w:p w14:paraId="62A1649D" w14:textId="39D899A8" w:rsidR="003B5F64" w:rsidRPr="006C027A" w:rsidRDefault="003B5F64" w:rsidP="006C027A">
      <w:pPr>
        <w:pStyle w:val="FootnoteText"/>
        <w:jc w:val="both"/>
        <w:rPr>
          <w:sz w:val="20"/>
          <w:szCs w:val="20"/>
        </w:rPr>
      </w:pPr>
      <w:r w:rsidRPr="006C027A">
        <w:rPr>
          <w:rStyle w:val="FootnoteReference"/>
          <w:sz w:val="20"/>
          <w:szCs w:val="20"/>
        </w:rPr>
        <w:footnoteRef/>
      </w:r>
      <w:r w:rsidRPr="006C027A">
        <w:rPr>
          <w:sz w:val="20"/>
          <w:szCs w:val="20"/>
        </w:rPr>
        <w:t xml:space="preserve"> The democratic</w:t>
      </w:r>
      <w:r>
        <w:rPr>
          <w:sz w:val="20"/>
          <w:szCs w:val="20"/>
        </w:rPr>
        <w:t xml:space="preserve"> antidote for</w:t>
      </w:r>
      <w:r w:rsidRPr="002C48BA">
        <w:rPr>
          <w:sz w:val="20"/>
          <w:szCs w:val="20"/>
        </w:rPr>
        <w:t xml:space="preserve"> the illicit politicization of constitutional questions is not </w:t>
      </w:r>
      <w:r w:rsidRPr="00494AEF">
        <w:rPr>
          <w:i/>
          <w:sz w:val="20"/>
          <w:szCs w:val="20"/>
        </w:rPr>
        <w:t>isolation from political debate</w:t>
      </w:r>
      <w:r w:rsidRPr="002C48BA">
        <w:rPr>
          <w:sz w:val="20"/>
          <w:szCs w:val="20"/>
        </w:rPr>
        <w:t xml:space="preserve"> but rather the </w:t>
      </w:r>
      <w:r w:rsidRPr="00494AEF">
        <w:rPr>
          <w:i/>
          <w:sz w:val="20"/>
          <w:szCs w:val="20"/>
        </w:rPr>
        <w:t>constitutionalization of political debate</w:t>
      </w:r>
      <w:r>
        <w:rPr>
          <w:sz w:val="20"/>
          <w:szCs w:val="20"/>
        </w:rPr>
        <w:t>. As I argue in what follows, judicial review plays a key role in facilitating this process and, to the extent that it does, it serves a genuinely democratic function</w:t>
      </w:r>
      <w:r w:rsidRPr="006C027A">
        <w:rPr>
          <w:sz w:val="20"/>
          <w:szCs w:val="20"/>
        </w:rPr>
        <w:t>.</w:t>
      </w:r>
    </w:p>
  </w:footnote>
  <w:footnote w:id="24">
    <w:p w14:paraId="49DF9E78" w14:textId="05DFBDCE" w:rsidR="003B5F64" w:rsidRPr="003950F6" w:rsidRDefault="003B5F64" w:rsidP="009C4283">
      <w:pPr>
        <w:pStyle w:val="FootnoteText"/>
        <w:jc w:val="both"/>
        <w:rPr>
          <w:sz w:val="20"/>
          <w:szCs w:val="20"/>
        </w:rPr>
      </w:pPr>
      <w:r w:rsidRPr="003950F6">
        <w:rPr>
          <w:rStyle w:val="FootnoteReference"/>
          <w:sz w:val="20"/>
          <w:szCs w:val="20"/>
        </w:rPr>
        <w:footnoteRef/>
      </w:r>
      <w:r w:rsidRPr="003950F6">
        <w:rPr>
          <w:sz w:val="20"/>
          <w:szCs w:val="20"/>
        </w:rPr>
        <w:t xml:space="preserve"> </w:t>
      </w:r>
      <w:r>
        <w:rPr>
          <w:sz w:val="20"/>
          <w:szCs w:val="20"/>
        </w:rPr>
        <w:t>Waldron 2005,</w:t>
      </w:r>
      <w:r w:rsidRPr="003950F6">
        <w:rPr>
          <w:sz w:val="20"/>
          <w:szCs w:val="20"/>
        </w:rPr>
        <w:t xml:space="preserve"> 1395.</w:t>
      </w:r>
    </w:p>
  </w:footnote>
  <w:footnote w:id="25">
    <w:p w14:paraId="5844C2E6" w14:textId="53BCA7D7" w:rsidR="003B5F64" w:rsidRPr="00046F9A" w:rsidRDefault="003B5F64" w:rsidP="00F07285">
      <w:pPr>
        <w:pStyle w:val="FootnoteText"/>
        <w:jc w:val="both"/>
        <w:rPr>
          <w:sz w:val="20"/>
          <w:szCs w:val="20"/>
        </w:rPr>
      </w:pPr>
      <w:r w:rsidRPr="00046F9A">
        <w:rPr>
          <w:rStyle w:val="FootnoteReference"/>
          <w:sz w:val="20"/>
          <w:szCs w:val="20"/>
        </w:rPr>
        <w:footnoteRef/>
      </w:r>
      <w:r w:rsidRPr="00046F9A">
        <w:rPr>
          <w:sz w:val="20"/>
          <w:szCs w:val="20"/>
        </w:rPr>
        <w:t xml:space="preserve"> </w:t>
      </w:r>
      <w:r w:rsidRPr="001E3D62">
        <w:rPr>
          <w:sz w:val="20"/>
          <w:szCs w:val="20"/>
        </w:rPr>
        <w:t>I do not mean to deny the standing that litigants have before the court</w:t>
      </w:r>
      <w:r>
        <w:rPr>
          <w:sz w:val="20"/>
          <w:szCs w:val="20"/>
        </w:rPr>
        <w:t>,</w:t>
      </w:r>
      <w:r w:rsidRPr="001E3D62">
        <w:rPr>
          <w:sz w:val="20"/>
          <w:szCs w:val="20"/>
        </w:rPr>
        <w:t xml:space="preserve"> which makes them subject to the law</w:t>
      </w:r>
      <w:r>
        <w:rPr>
          <w:sz w:val="20"/>
          <w:szCs w:val="20"/>
        </w:rPr>
        <w:t>,</w:t>
      </w:r>
      <w:r w:rsidRPr="001E3D62">
        <w:rPr>
          <w:sz w:val="20"/>
          <w:szCs w:val="20"/>
        </w:rPr>
        <w:t xml:space="preserve"> or the possibility that litigants might pursue purely private goals. Instead, my point is simply to question the view that it is democratically illegitimate for litigants to pursue judicial review with genuinely political aims. This remains the case for litigants who are not citizens. But, since I will not focus on the </w:t>
      </w:r>
      <w:r>
        <w:rPr>
          <w:sz w:val="20"/>
          <w:szCs w:val="20"/>
        </w:rPr>
        <w:t>specifics</w:t>
      </w:r>
      <w:r w:rsidRPr="001E3D62">
        <w:rPr>
          <w:sz w:val="20"/>
          <w:szCs w:val="20"/>
        </w:rPr>
        <w:t xml:space="preserve"> of this particular case, I speak of citizens throughout for the sake of simplicity</w:t>
      </w:r>
      <w:r>
        <w:rPr>
          <w:sz w:val="20"/>
          <w:szCs w:val="20"/>
        </w:rPr>
        <w:t>.</w:t>
      </w:r>
    </w:p>
  </w:footnote>
  <w:footnote w:id="26">
    <w:p w14:paraId="75092258" w14:textId="09E8AD47" w:rsidR="003B5F64" w:rsidRPr="002B3381" w:rsidRDefault="003B5F64" w:rsidP="009C4283">
      <w:pPr>
        <w:jc w:val="both"/>
        <w:rPr>
          <w:sz w:val="20"/>
          <w:szCs w:val="20"/>
        </w:rPr>
      </w:pPr>
      <w:r w:rsidRPr="002B3381">
        <w:rPr>
          <w:rStyle w:val="FootnoteReference"/>
          <w:sz w:val="20"/>
          <w:szCs w:val="20"/>
        </w:rPr>
        <w:footnoteRef/>
      </w:r>
      <w:r w:rsidRPr="002B3381">
        <w:rPr>
          <w:sz w:val="20"/>
          <w:szCs w:val="20"/>
        </w:rPr>
        <w:t xml:space="preserve"> Waldron</w:t>
      </w:r>
      <w:r>
        <w:rPr>
          <w:sz w:val="20"/>
          <w:szCs w:val="20"/>
        </w:rPr>
        <w:t xml:space="preserve"> 2005, </w:t>
      </w:r>
      <w:r w:rsidRPr="002B3381">
        <w:rPr>
          <w:sz w:val="20"/>
          <w:szCs w:val="20"/>
        </w:rPr>
        <w:t xml:space="preserve">1380. </w:t>
      </w:r>
    </w:p>
  </w:footnote>
  <w:footnote w:id="27">
    <w:p w14:paraId="00327CA0" w14:textId="27D7A795" w:rsidR="003B5F64" w:rsidRPr="002B3381" w:rsidRDefault="003B5F64" w:rsidP="009C4283">
      <w:pPr>
        <w:pStyle w:val="FootnoteText"/>
        <w:jc w:val="both"/>
        <w:rPr>
          <w:sz w:val="20"/>
          <w:szCs w:val="20"/>
        </w:rPr>
      </w:pPr>
      <w:r w:rsidRPr="002B3381">
        <w:rPr>
          <w:rStyle w:val="FootnoteReference"/>
          <w:sz w:val="20"/>
          <w:szCs w:val="20"/>
        </w:rPr>
        <w:footnoteRef/>
      </w:r>
      <w:r w:rsidRPr="002B3381">
        <w:rPr>
          <w:sz w:val="20"/>
          <w:szCs w:val="20"/>
        </w:rPr>
        <w:t xml:space="preserve"> Waldron</w:t>
      </w:r>
      <w:r>
        <w:rPr>
          <w:sz w:val="20"/>
          <w:szCs w:val="20"/>
        </w:rPr>
        <w:t xml:space="preserve"> 2005,</w:t>
      </w:r>
      <w:r w:rsidRPr="002B3381">
        <w:rPr>
          <w:sz w:val="20"/>
          <w:szCs w:val="20"/>
        </w:rPr>
        <w:t xml:space="preserve"> 1395</w:t>
      </w:r>
      <w:r>
        <w:rPr>
          <w:sz w:val="20"/>
          <w:szCs w:val="20"/>
        </w:rPr>
        <w:t>.</w:t>
      </w:r>
    </w:p>
  </w:footnote>
  <w:footnote w:id="28">
    <w:p w14:paraId="45DBF89E" w14:textId="08C1F955" w:rsidR="003B5F64" w:rsidRPr="002B3381" w:rsidRDefault="003B5F64" w:rsidP="009C4283">
      <w:pPr>
        <w:pStyle w:val="FootnoteText"/>
        <w:jc w:val="both"/>
        <w:rPr>
          <w:sz w:val="20"/>
          <w:szCs w:val="20"/>
        </w:rPr>
      </w:pPr>
      <w:r w:rsidRPr="002B3381">
        <w:rPr>
          <w:rStyle w:val="FootnoteReference"/>
          <w:sz w:val="20"/>
          <w:szCs w:val="20"/>
        </w:rPr>
        <w:footnoteRef/>
      </w:r>
      <w:r w:rsidRPr="002B3381">
        <w:rPr>
          <w:sz w:val="20"/>
          <w:szCs w:val="20"/>
        </w:rPr>
        <w:t xml:space="preserve"> </w:t>
      </w:r>
      <w:r>
        <w:rPr>
          <w:sz w:val="20"/>
          <w:szCs w:val="20"/>
        </w:rPr>
        <w:t>Ibid.</w:t>
      </w:r>
    </w:p>
  </w:footnote>
  <w:footnote w:id="29">
    <w:p w14:paraId="4A95C992" w14:textId="6636371C" w:rsidR="003B5F64" w:rsidRPr="00B578CF" w:rsidRDefault="003B5F64" w:rsidP="009C4283">
      <w:pPr>
        <w:pStyle w:val="FootnoteText"/>
        <w:jc w:val="both"/>
        <w:rPr>
          <w:sz w:val="20"/>
          <w:szCs w:val="20"/>
        </w:rPr>
      </w:pPr>
      <w:r w:rsidRPr="00B578CF">
        <w:rPr>
          <w:rStyle w:val="FootnoteReference"/>
          <w:sz w:val="20"/>
          <w:szCs w:val="20"/>
        </w:rPr>
        <w:footnoteRef/>
      </w:r>
      <w:r>
        <w:rPr>
          <w:sz w:val="20"/>
          <w:szCs w:val="20"/>
        </w:rPr>
        <w:t xml:space="preserve"> Here I am</w:t>
      </w:r>
      <w:r w:rsidRPr="00B578CF">
        <w:rPr>
          <w:sz w:val="20"/>
          <w:szCs w:val="20"/>
        </w:rPr>
        <w:t xml:space="preserve"> focusing only on the difficulties of Waldron’s conception of political equality as it bears on the que</w:t>
      </w:r>
      <w:r>
        <w:rPr>
          <w:sz w:val="20"/>
          <w:szCs w:val="20"/>
        </w:rPr>
        <w:t xml:space="preserve">stion of judicial review. For insightful </w:t>
      </w:r>
      <w:r w:rsidRPr="00B578CF">
        <w:rPr>
          <w:sz w:val="20"/>
          <w:szCs w:val="20"/>
        </w:rPr>
        <w:t>criticism</w:t>
      </w:r>
      <w:r>
        <w:rPr>
          <w:sz w:val="20"/>
          <w:szCs w:val="20"/>
        </w:rPr>
        <w:t>s</w:t>
      </w:r>
      <w:r w:rsidRPr="00B578CF">
        <w:rPr>
          <w:sz w:val="20"/>
          <w:szCs w:val="20"/>
        </w:rPr>
        <w:t xml:space="preserve"> of Waldron’s conception of political equality in general see</w:t>
      </w:r>
      <w:r>
        <w:rPr>
          <w:sz w:val="20"/>
          <w:szCs w:val="20"/>
        </w:rPr>
        <w:t xml:space="preserve"> T.</w:t>
      </w:r>
      <w:r w:rsidRPr="00B578CF">
        <w:rPr>
          <w:sz w:val="20"/>
          <w:szCs w:val="20"/>
        </w:rPr>
        <w:t xml:space="preserve"> Christiano</w:t>
      </w:r>
      <w:r>
        <w:rPr>
          <w:sz w:val="20"/>
          <w:szCs w:val="20"/>
        </w:rPr>
        <w:t xml:space="preserve">, “Waldron on Law and Disagreement,” </w:t>
      </w:r>
      <w:r w:rsidRPr="00CA7C4C">
        <w:rPr>
          <w:i/>
          <w:sz w:val="20"/>
          <w:szCs w:val="20"/>
        </w:rPr>
        <w:t>Law and Philosophy</w:t>
      </w:r>
      <w:r>
        <w:rPr>
          <w:sz w:val="20"/>
          <w:szCs w:val="20"/>
        </w:rPr>
        <w:t xml:space="preserve"> 19 (2000), 513-543, and D. Estlund, “Jeremy Waldron on Law and Disagreement,” </w:t>
      </w:r>
      <w:r w:rsidRPr="00CA7C4C">
        <w:rPr>
          <w:i/>
          <w:sz w:val="20"/>
          <w:szCs w:val="20"/>
        </w:rPr>
        <w:t>Philosophical Studies</w:t>
      </w:r>
      <w:r>
        <w:rPr>
          <w:i/>
          <w:sz w:val="20"/>
          <w:szCs w:val="20"/>
        </w:rPr>
        <w:t xml:space="preserve"> </w:t>
      </w:r>
      <w:r>
        <w:rPr>
          <w:sz w:val="20"/>
          <w:szCs w:val="20"/>
        </w:rPr>
        <w:t>99 (2000), 111-128.</w:t>
      </w:r>
    </w:p>
  </w:footnote>
  <w:footnote w:id="30">
    <w:p w14:paraId="33AC5FB6" w14:textId="3ACF3C3A" w:rsidR="003B5F64" w:rsidRPr="00AB40E6" w:rsidRDefault="003B5F64" w:rsidP="00AB40E6">
      <w:pPr>
        <w:pStyle w:val="FootnoteText"/>
        <w:jc w:val="both"/>
        <w:rPr>
          <w:sz w:val="20"/>
          <w:szCs w:val="20"/>
        </w:rPr>
      </w:pPr>
      <w:r w:rsidRPr="00AB40E6">
        <w:rPr>
          <w:rStyle w:val="FootnoteReference"/>
          <w:sz w:val="20"/>
          <w:szCs w:val="20"/>
        </w:rPr>
        <w:footnoteRef/>
      </w:r>
      <w:r w:rsidRPr="00AB40E6">
        <w:rPr>
          <w:sz w:val="20"/>
          <w:szCs w:val="20"/>
        </w:rPr>
        <w:t xml:space="preserve"> </w:t>
      </w:r>
      <w:r>
        <w:rPr>
          <w:sz w:val="20"/>
          <w:szCs w:val="20"/>
        </w:rPr>
        <w:t>But see next note</w:t>
      </w:r>
      <w:r w:rsidRPr="00AB40E6">
        <w:rPr>
          <w:sz w:val="20"/>
          <w:szCs w:val="20"/>
        </w:rPr>
        <w:t>.</w:t>
      </w:r>
    </w:p>
  </w:footnote>
  <w:footnote w:id="31">
    <w:p w14:paraId="55153D68" w14:textId="2979EE2A" w:rsidR="003B5F64" w:rsidRPr="00590664" w:rsidRDefault="003B5F64" w:rsidP="009C4283">
      <w:pPr>
        <w:pStyle w:val="FootnoteText"/>
        <w:jc w:val="both"/>
        <w:rPr>
          <w:sz w:val="20"/>
          <w:szCs w:val="20"/>
        </w:rPr>
      </w:pPr>
      <w:r>
        <w:rPr>
          <w:rStyle w:val="FootnoteReference"/>
        </w:rPr>
        <w:footnoteRef/>
      </w:r>
      <w:r>
        <w:t xml:space="preserve"> </w:t>
      </w:r>
      <w:r>
        <w:rPr>
          <w:sz w:val="20"/>
          <w:szCs w:val="20"/>
        </w:rPr>
        <w:t xml:space="preserve">Just in case some readers may get impatient at this point, let me note that we cannot address the issue of whether the judges are getting an unfair political influence without begging the question. Whether or not the judges’ influence is unfair depends in part on whether citizens should have a right to legal contestation in the first place, which is what we are trying to figure out. Other readers may worry that wealthier citizens are likely to get an unfair political advantage due to the easier access to the courts that wealth provides. This is indeed worrisome. However, as an empirical matter, the worry equally extends to the easier access that wealth provides to all branches of government and not just to the courts. These empirical questions fall outside the scope of a normative analysis of the legitimacy of the institutions in question, since the latter must operate under the assumption that these institutions are equally able of doing what they are set up to do if it is to avoid begging the question.  </w:t>
      </w:r>
    </w:p>
  </w:footnote>
  <w:footnote w:id="32">
    <w:p w14:paraId="4B98DABD" w14:textId="58818689" w:rsidR="003B5F64" w:rsidRPr="00C60C32" w:rsidRDefault="003B5F64" w:rsidP="009C4283">
      <w:pPr>
        <w:pStyle w:val="FootnoteText"/>
        <w:jc w:val="both"/>
        <w:rPr>
          <w:sz w:val="20"/>
          <w:szCs w:val="20"/>
        </w:rPr>
      </w:pPr>
      <w:r w:rsidRPr="00C60C32">
        <w:rPr>
          <w:rStyle w:val="FootnoteReference"/>
          <w:sz w:val="20"/>
          <w:szCs w:val="20"/>
        </w:rPr>
        <w:footnoteRef/>
      </w:r>
      <w:r w:rsidRPr="00C60C32">
        <w:rPr>
          <w:sz w:val="20"/>
          <w:szCs w:val="20"/>
        </w:rPr>
        <w:t xml:space="preserve"> </w:t>
      </w:r>
      <w:r>
        <w:rPr>
          <w:sz w:val="20"/>
          <w:szCs w:val="20"/>
        </w:rPr>
        <w:t xml:space="preserve">It is noticeable that Waldron’s argument relies on examples of issues that have already become constitutional issues, such as abortion, affirmative action or capital punishment. However, such examples are not particularly helpful for the question under discussion, since what we are asking is what set of institutions would be most conducive to ensure that questions of fundamental rights are reliably </w:t>
      </w:r>
      <w:r w:rsidRPr="008F74E6">
        <w:rPr>
          <w:i/>
          <w:sz w:val="20"/>
          <w:szCs w:val="20"/>
        </w:rPr>
        <w:t>identified</w:t>
      </w:r>
      <w:r>
        <w:rPr>
          <w:sz w:val="20"/>
          <w:szCs w:val="20"/>
        </w:rPr>
        <w:t xml:space="preserve"> as such in spite of deep moral and political disagreements among citizens. In order to assess the relative contribution that different institutions may make to </w:t>
      </w:r>
      <w:r w:rsidRPr="0048316E">
        <w:rPr>
          <w:i/>
          <w:sz w:val="20"/>
          <w:szCs w:val="20"/>
        </w:rPr>
        <w:t>that</w:t>
      </w:r>
      <w:r>
        <w:rPr>
          <w:sz w:val="20"/>
          <w:szCs w:val="20"/>
        </w:rPr>
        <w:t xml:space="preserve"> task we need to adopt a </w:t>
      </w:r>
      <w:r w:rsidRPr="008357D7">
        <w:rPr>
          <w:i/>
          <w:sz w:val="20"/>
          <w:szCs w:val="20"/>
        </w:rPr>
        <w:t>prospective</w:t>
      </w:r>
      <w:r>
        <w:rPr>
          <w:sz w:val="20"/>
          <w:szCs w:val="20"/>
        </w:rPr>
        <w:t xml:space="preserve"> perspective that does not assume the task in question has already been accomplished.</w:t>
      </w:r>
    </w:p>
  </w:footnote>
  <w:footnote w:id="33">
    <w:p w14:paraId="6DC185ED" w14:textId="06B37CC0" w:rsidR="003B5F64" w:rsidRPr="00114863" w:rsidRDefault="003B5F64" w:rsidP="009C4283">
      <w:pPr>
        <w:pStyle w:val="FootnoteText"/>
        <w:jc w:val="both"/>
        <w:rPr>
          <w:sz w:val="20"/>
          <w:szCs w:val="20"/>
        </w:rPr>
      </w:pPr>
      <w:r w:rsidRPr="00114863">
        <w:rPr>
          <w:rStyle w:val="FootnoteReference"/>
          <w:sz w:val="20"/>
          <w:szCs w:val="20"/>
        </w:rPr>
        <w:footnoteRef/>
      </w:r>
      <w:r w:rsidRPr="00114863">
        <w:rPr>
          <w:sz w:val="20"/>
          <w:szCs w:val="20"/>
        </w:rPr>
        <w:t xml:space="preserve"> </w:t>
      </w:r>
      <w:r>
        <w:rPr>
          <w:sz w:val="20"/>
          <w:szCs w:val="20"/>
        </w:rPr>
        <w:t>Waldron 2005, 1370.</w:t>
      </w:r>
    </w:p>
  </w:footnote>
  <w:footnote w:id="34">
    <w:p w14:paraId="6DDC581B" w14:textId="707FDE70" w:rsidR="003B5F64" w:rsidRPr="00114863" w:rsidRDefault="003B5F64" w:rsidP="009C4283">
      <w:pPr>
        <w:pStyle w:val="FootnoteText"/>
        <w:jc w:val="both"/>
        <w:rPr>
          <w:sz w:val="20"/>
          <w:szCs w:val="20"/>
        </w:rPr>
      </w:pPr>
      <w:r w:rsidRPr="00114863">
        <w:rPr>
          <w:rStyle w:val="FootnoteReference"/>
          <w:sz w:val="20"/>
          <w:szCs w:val="20"/>
        </w:rPr>
        <w:footnoteRef/>
      </w:r>
      <w:r w:rsidRPr="00114863">
        <w:rPr>
          <w:sz w:val="20"/>
          <w:szCs w:val="20"/>
        </w:rPr>
        <w:t xml:space="preserve"> Ibid.</w:t>
      </w:r>
    </w:p>
  </w:footnote>
  <w:footnote w:id="35">
    <w:p w14:paraId="622F559C" w14:textId="2332C009" w:rsidR="003B5F64" w:rsidRPr="006F20A5" w:rsidRDefault="003B5F64" w:rsidP="009C4283">
      <w:pPr>
        <w:pStyle w:val="FootnoteText"/>
        <w:jc w:val="both"/>
        <w:rPr>
          <w:sz w:val="20"/>
          <w:szCs w:val="20"/>
        </w:rPr>
      </w:pPr>
      <w:r w:rsidRPr="006F20A5">
        <w:rPr>
          <w:rStyle w:val="FootnoteReference"/>
          <w:sz w:val="20"/>
          <w:szCs w:val="20"/>
        </w:rPr>
        <w:footnoteRef/>
      </w:r>
      <w:r w:rsidRPr="006F20A5">
        <w:rPr>
          <w:sz w:val="20"/>
          <w:szCs w:val="20"/>
        </w:rPr>
        <w:t xml:space="preserve"> </w:t>
      </w:r>
      <w:r>
        <w:rPr>
          <w:sz w:val="20"/>
          <w:szCs w:val="20"/>
        </w:rPr>
        <w:t xml:space="preserve">I take this formulation from A. Gutmann and D. Thompson, </w:t>
      </w:r>
      <w:r w:rsidRPr="00C44F60">
        <w:rPr>
          <w:i/>
          <w:sz w:val="20"/>
          <w:szCs w:val="20"/>
        </w:rPr>
        <w:t>Why Deliberative Democracy</w:t>
      </w:r>
      <w:r>
        <w:rPr>
          <w:sz w:val="20"/>
          <w:szCs w:val="20"/>
        </w:rPr>
        <w:t xml:space="preserve">, Princeton, NJ: Princeton University Press, 2004, 133. </w:t>
      </w:r>
      <w:r w:rsidRPr="006F20A5">
        <w:rPr>
          <w:sz w:val="20"/>
          <w:szCs w:val="20"/>
        </w:rPr>
        <w:t xml:space="preserve">For </w:t>
      </w:r>
      <w:r>
        <w:rPr>
          <w:sz w:val="20"/>
          <w:szCs w:val="20"/>
        </w:rPr>
        <w:t>similar</w:t>
      </w:r>
      <w:r w:rsidRPr="006F20A5">
        <w:rPr>
          <w:sz w:val="20"/>
          <w:szCs w:val="20"/>
        </w:rPr>
        <w:t xml:space="preserve"> defenses of mutual justifiability</w:t>
      </w:r>
      <w:r>
        <w:rPr>
          <w:sz w:val="20"/>
          <w:szCs w:val="20"/>
        </w:rPr>
        <w:t xml:space="preserve"> as a criterion of democratic</w:t>
      </w:r>
      <w:r w:rsidRPr="006F20A5">
        <w:rPr>
          <w:sz w:val="20"/>
          <w:szCs w:val="20"/>
        </w:rPr>
        <w:t xml:space="preserve"> legitimacy see e.g. </w:t>
      </w:r>
      <w:r>
        <w:rPr>
          <w:sz w:val="20"/>
          <w:szCs w:val="20"/>
        </w:rPr>
        <w:t xml:space="preserve">Rawls 1993, 217-220; Habermas 1998, 107-111; J. Cohen, “Reflections on Deliberative Democracy,” in </w:t>
      </w:r>
      <w:r w:rsidRPr="0089735D">
        <w:rPr>
          <w:i/>
          <w:sz w:val="20"/>
          <w:szCs w:val="20"/>
        </w:rPr>
        <w:t>Philosophy, Politics, Democracy</w:t>
      </w:r>
      <w:r>
        <w:rPr>
          <w:sz w:val="20"/>
          <w:szCs w:val="20"/>
        </w:rPr>
        <w:t>, Cambridge, Mass.: Harvard University Press, 330; I offer a specific interpretation and defense of this criterion of democratic legitimacy in C. Lafont, “Is the Ideal of Deliberative Democracy Coherent?” in S. Besson and J. L. Mart</w:t>
      </w:r>
      <w:r>
        <w:rPr>
          <w:sz w:val="20"/>
          <w:szCs w:val="20"/>
          <w:lang w:val="es-ES_tradnl"/>
        </w:rPr>
        <w:t>í, eds.</w:t>
      </w:r>
      <w:r w:rsidRPr="00B56C02">
        <w:rPr>
          <w:sz w:val="20"/>
          <w:szCs w:val="20"/>
        </w:rPr>
        <w:t>,</w:t>
      </w:r>
      <w:r>
        <w:rPr>
          <w:sz w:val="20"/>
          <w:szCs w:val="20"/>
        </w:rPr>
        <w:t xml:space="preserve"> </w:t>
      </w:r>
      <w:r w:rsidRPr="00742DB3">
        <w:rPr>
          <w:i/>
          <w:sz w:val="20"/>
          <w:szCs w:val="20"/>
        </w:rPr>
        <w:t>Deliberative Democracy and its Discontents</w:t>
      </w:r>
      <w:r>
        <w:rPr>
          <w:sz w:val="20"/>
          <w:szCs w:val="20"/>
        </w:rPr>
        <w:t>, Aldershot: Ashgate 2006, 3-26.</w:t>
      </w:r>
    </w:p>
  </w:footnote>
  <w:footnote w:id="36">
    <w:p w14:paraId="332BB82C" w14:textId="5117A3ED" w:rsidR="003B5F64" w:rsidRPr="006F20A5" w:rsidRDefault="003B5F64" w:rsidP="009C4283">
      <w:pPr>
        <w:pStyle w:val="FootnoteText"/>
        <w:jc w:val="both"/>
        <w:rPr>
          <w:sz w:val="20"/>
          <w:szCs w:val="20"/>
        </w:rPr>
      </w:pPr>
      <w:r w:rsidRPr="006F20A5">
        <w:rPr>
          <w:rStyle w:val="FootnoteReference"/>
          <w:sz w:val="20"/>
          <w:szCs w:val="20"/>
        </w:rPr>
        <w:footnoteRef/>
      </w:r>
      <w:r w:rsidRPr="006F20A5">
        <w:rPr>
          <w:sz w:val="20"/>
          <w:szCs w:val="20"/>
        </w:rPr>
        <w:t xml:space="preserve"> </w:t>
      </w:r>
      <w:r>
        <w:rPr>
          <w:sz w:val="20"/>
          <w:szCs w:val="20"/>
        </w:rPr>
        <w:t xml:space="preserve">On the notion of </w:t>
      </w:r>
      <w:r w:rsidRPr="006F20A5">
        <w:rPr>
          <w:sz w:val="20"/>
          <w:szCs w:val="20"/>
        </w:rPr>
        <w:t xml:space="preserve">communicative power </w:t>
      </w:r>
      <w:r>
        <w:rPr>
          <w:sz w:val="20"/>
          <w:szCs w:val="20"/>
        </w:rPr>
        <w:t>see</w:t>
      </w:r>
      <w:r w:rsidRPr="006F20A5">
        <w:rPr>
          <w:sz w:val="20"/>
          <w:szCs w:val="20"/>
        </w:rPr>
        <w:t xml:space="preserve"> Habermas </w:t>
      </w:r>
      <w:r>
        <w:rPr>
          <w:sz w:val="20"/>
          <w:szCs w:val="20"/>
        </w:rPr>
        <w:t xml:space="preserve">1998, 151-167. </w:t>
      </w:r>
    </w:p>
  </w:footnote>
  <w:footnote w:id="37">
    <w:p w14:paraId="720EFFBA" w14:textId="4933AE02" w:rsidR="003B5F64" w:rsidRPr="009C4283" w:rsidRDefault="003B5F64" w:rsidP="009C4283">
      <w:pPr>
        <w:pStyle w:val="FootnoteText"/>
        <w:jc w:val="both"/>
        <w:rPr>
          <w:sz w:val="20"/>
          <w:szCs w:val="20"/>
        </w:rPr>
      </w:pPr>
      <w:r w:rsidRPr="009C4283">
        <w:rPr>
          <w:rStyle w:val="FootnoteReference"/>
          <w:sz w:val="20"/>
          <w:szCs w:val="20"/>
        </w:rPr>
        <w:footnoteRef/>
      </w:r>
      <w:r w:rsidRPr="009C4283">
        <w:rPr>
          <w:sz w:val="20"/>
          <w:szCs w:val="20"/>
        </w:rPr>
        <w:t xml:space="preserve"> </w:t>
      </w:r>
      <w:r>
        <w:rPr>
          <w:sz w:val="20"/>
          <w:szCs w:val="20"/>
        </w:rPr>
        <w:t xml:space="preserve">Adapting Rawls’s discussion of the ‘circumstances of justice,’ </w:t>
      </w:r>
      <w:r w:rsidRPr="009C4283">
        <w:rPr>
          <w:sz w:val="20"/>
          <w:szCs w:val="20"/>
        </w:rPr>
        <w:t>Waldron</w:t>
      </w:r>
      <w:r>
        <w:rPr>
          <w:sz w:val="20"/>
          <w:szCs w:val="20"/>
        </w:rPr>
        <w:t xml:space="preserve"> defines the ‘circumstances of politics’ as </w:t>
      </w:r>
      <w:r w:rsidRPr="009C055C">
        <w:rPr>
          <w:sz w:val="20"/>
          <w:szCs w:val="20"/>
        </w:rPr>
        <w:t xml:space="preserve">“the felt need among the members of a certain group for a common framework or decision or course of action on some matter, even in the face of disagreement about what that framework, decision or action should be.” </w:t>
      </w:r>
      <w:r>
        <w:rPr>
          <w:sz w:val="20"/>
          <w:szCs w:val="20"/>
        </w:rPr>
        <w:t>(Waldron 1999, 102)</w:t>
      </w:r>
    </w:p>
  </w:footnote>
  <w:footnote w:id="38">
    <w:p w14:paraId="1930BB5D" w14:textId="09B25A93" w:rsidR="003B5F64" w:rsidRPr="004F73C6" w:rsidRDefault="003B5F64">
      <w:pPr>
        <w:pStyle w:val="FootnoteText"/>
        <w:rPr>
          <w:sz w:val="20"/>
          <w:szCs w:val="20"/>
        </w:rPr>
      </w:pPr>
      <w:r w:rsidRPr="004F73C6">
        <w:rPr>
          <w:rStyle w:val="FootnoteReference"/>
          <w:sz w:val="20"/>
          <w:szCs w:val="20"/>
        </w:rPr>
        <w:footnoteRef/>
      </w:r>
      <w:r w:rsidRPr="004F73C6">
        <w:rPr>
          <w:sz w:val="20"/>
          <w:szCs w:val="20"/>
        </w:rPr>
        <w:t xml:space="preserve"> On the notion of </w:t>
      </w:r>
      <w:r>
        <w:rPr>
          <w:sz w:val="20"/>
          <w:szCs w:val="20"/>
        </w:rPr>
        <w:t>securing</w:t>
      </w:r>
      <w:r w:rsidRPr="004F73C6">
        <w:rPr>
          <w:sz w:val="20"/>
          <w:szCs w:val="20"/>
        </w:rPr>
        <w:t xml:space="preserve"> the fair value of political rights and liberties see Rawls 1993, </w:t>
      </w:r>
      <w:r>
        <w:rPr>
          <w:sz w:val="20"/>
          <w:szCs w:val="20"/>
        </w:rPr>
        <w:t>5.</w:t>
      </w:r>
    </w:p>
  </w:footnote>
  <w:footnote w:id="39">
    <w:p w14:paraId="42804EB4" w14:textId="57ECDDF7" w:rsidR="003B5F64" w:rsidRPr="00AE1D32" w:rsidRDefault="003B5F64">
      <w:pPr>
        <w:pStyle w:val="FootnoteText"/>
        <w:rPr>
          <w:sz w:val="20"/>
          <w:szCs w:val="20"/>
        </w:rPr>
      </w:pPr>
      <w:r w:rsidRPr="00AE1D32">
        <w:rPr>
          <w:rStyle w:val="FootnoteReference"/>
          <w:sz w:val="20"/>
          <w:szCs w:val="20"/>
        </w:rPr>
        <w:footnoteRef/>
      </w:r>
      <w:r w:rsidRPr="00AE1D32">
        <w:rPr>
          <w:sz w:val="20"/>
          <w:szCs w:val="20"/>
        </w:rPr>
        <w:t xml:space="preserve"> See</w:t>
      </w:r>
      <w:r>
        <w:rPr>
          <w:sz w:val="20"/>
          <w:szCs w:val="20"/>
        </w:rPr>
        <w:t xml:space="preserve"> the text surrounding </w:t>
      </w:r>
      <w:r w:rsidRPr="00AE1D32">
        <w:rPr>
          <w:sz w:val="20"/>
          <w:szCs w:val="20"/>
        </w:rPr>
        <w:t>n</w:t>
      </w:r>
      <w:r>
        <w:rPr>
          <w:sz w:val="20"/>
          <w:szCs w:val="20"/>
        </w:rPr>
        <w:t>ote 48</w:t>
      </w:r>
      <w:r w:rsidRPr="00AE1D32">
        <w:rPr>
          <w:sz w:val="20"/>
          <w:szCs w:val="20"/>
        </w:rPr>
        <w:t xml:space="preserve"> below.</w:t>
      </w:r>
    </w:p>
  </w:footnote>
  <w:footnote w:id="40">
    <w:p w14:paraId="361494BC" w14:textId="321FA03D" w:rsidR="003B5F64" w:rsidRPr="00114863" w:rsidRDefault="003B5F64" w:rsidP="009C4283">
      <w:pPr>
        <w:pStyle w:val="FootnoteText"/>
        <w:jc w:val="both"/>
        <w:rPr>
          <w:sz w:val="20"/>
          <w:szCs w:val="20"/>
        </w:rPr>
      </w:pPr>
      <w:r w:rsidRPr="00114863">
        <w:rPr>
          <w:rStyle w:val="FootnoteReference"/>
          <w:sz w:val="20"/>
          <w:szCs w:val="20"/>
        </w:rPr>
        <w:footnoteRef/>
      </w:r>
      <w:r w:rsidRPr="00114863">
        <w:rPr>
          <w:sz w:val="20"/>
          <w:szCs w:val="20"/>
        </w:rPr>
        <w:t xml:space="preserve"> Dworkin 1985, 30</w:t>
      </w:r>
      <w:r>
        <w:rPr>
          <w:sz w:val="20"/>
          <w:szCs w:val="20"/>
        </w:rPr>
        <w:t>.</w:t>
      </w:r>
    </w:p>
  </w:footnote>
  <w:footnote w:id="41">
    <w:p w14:paraId="1AD2523C" w14:textId="4D0BF199" w:rsidR="003B5F64" w:rsidRPr="009D25E8" w:rsidRDefault="003B5F64" w:rsidP="009C4283">
      <w:pPr>
        <w:pStyle w:val="FootnoteText"/>
        <w:jc w:val="both"/>
        <w:rPr>
          <w:sz w:val="20"/>
          <w:szCs w:val="20"/>
        </w:rPr>
      </w:pPr>
      <w:r w:rsidRPr="009D25E8">
        <w:rPr>
          <w:rStyle w:val="FootnoteReference"/>
          <w:sz w:val="20"/>
          <w:szCs w:val="20"/>
        </w:rPr>
        <w:footnoteRef/>
      </w:r>
      <w:r w:rsidRPr="009D25E8">
        <w:rPr>
          <w:sz w:val="20"/>
          <w:szCs w:val="20"/>
        </w:rPr>
        <w:t xml:space="preserve"> </w:t>
      </w:r>
      <w:r>
        <w:rPr>
          <w:sz w:val="20"/>
          <w:szCs w:val="20"/>
        </w:rPr>
        <w:t>This is not to deny that the public sphere ought to become a forum of principle when political deliberation focuses on policies or statutes that touch upon fundamental rights and issues of basic justice. I discuss this issue in the next section.</w:t>
      </w:r>
    </w:p>
  </w:footnote>
  <w:footnote w:id="42">
    <w:p w14:paraId="0C39624E" w14:textId="59F81BDC" w:rsidR="003B5F64" w:rsidRPr="00114863" w:rsidRDefault="003B5F64" w:rsidP="009C4283">
      <w:pPr>
        <w:pStyle w:val="FootnoteText"/>
        <w:jc w:val="both"/>
        <w:rPr>
          <w:sz w:val="20"/>
          <w:szCs w:val="20"/>
        </w:rPr>
      </w:pPr>
      <w:r w:rsidRPr="00114863">
        <w:rPr>
          <w:rStyle w:val="FootnoteReference"/>
          <w:sz w:val="20"/>
          <w:szCs w:val="20"/>
        </w:rPr>
        <w:footnoteRef/>
      </w:r>
      <w:r w:rsidRPr="00114863">
        <w:rPr>
          <w:sz w:val="20"/>
          <w:szCs w:val="20"/>
        </w:rPr>
        <w:t xml:space="preserve"> Dworkin 1985, 30.</w:t>
      </w:r>
    </w:p>
  </w:footnote>
  <w:footnote w:id="43">
    <w:p w14:paraId="404F7F2A" w14:textId="47E575B4" w:rsidR="003B5F64" w:rsidRPr="00670D12" w:rsidRDefault="003B5F64" w:rsidP="009C4283">
      <w:pPr>
        <w:pStyle w:val="FootnoteText"/>
        <w:jc w:val="both"/>
        <w:rPr>
          <w:sz w:val="20"/>
          <w:szCs w:val="20"/>
        </w:rPr>
      </w:pPr>
      <w:r w:rsidRPr="000860B8">
        <w:rPr>
          <w:rStyle w:val="FootnoteReference"/>
          <w:sz w:val="20"/>
          <w:szCs w:val="20"/>
        </w:rPr>
        <w:footnoteRef/>
      </w:r>
      <w:r w:rsidRPr="000860B8">
        <w:rPr>
          <w:sz w:val="20"/>
          <w:szCs w:val="20"/>
        </w:rPr>
        <w:t xml:space="preserve"> See J. Rawls, “The Idea of Public Reason” in</w:t>
      </w:r>
      <w:r>
        <w:rPr>
          <w:sz w:val="20"/>
          <w:szCs w:val="20"/>
        </w:rPr>
        <w:t xml:space="preserve"> Rawls 1993, 212-254, and</w:t>
      </w:r>
      <w:r w:rsidRPr="000860B8">
        <w:rPr>
          <w:sz w:val="20"/>
          <w:szCs w:val="20"/>
        </w:rPr>
        <w:t xml:space="preserve"> “The Idea of Public Reason Revisited</w:t>
      </w:r>
      <w:r>
        <w:rPr>
          <w:sz w:val="20"/>
          <w:szCs w:val="20"/>
        </w:rPr>
        <w:t>,”</w:t>
      </w:r>
      <w:r w:rsidRPr="000860B8">
        <w:rPr>
          <w:sz w:val="20"/>
          <w:szCs w:val="20"/>
        </w:rPr>
        <w:t xml:space="preserve"> in </w:t>
      </w:r>
      <w:r w:rsidRPr="000860B8">
        <w:rPr>
          <w:i/>
          <w:sz w:val="20"/>
          <w:szCs w:val="20"/>
        </w:rPr>
        <w:t>The Law of People</w:t>
      </w:r>
      <w:r>
        <w:rPr>
          <w:i/>
          <w:sz w:val="20"/>
          <w:szCs w:val="20"/>
        </w:rPr>
        <w:t>s</w:t>
      </w:r>
      <w:r>
        <w:rPr>
          <w:sz w:val="20"/>
          <w:szCs w:val="20"/>
        </w:rPr>
        <w:t>, Cambridge, Mass.: Harvard University Press, 1999, 129-180.</w:t>
      </w:r>
    </w:p>
  </w:footnote>
  <w:footnote w:id="44">
    <w:p w14:paraId="6A020346" w14:textId="7DCD6B5C" w:rsidR="003B5F64" w:rsidRPr="009E4A6D" w:rsidRDefault="003B5F64" w:rsidP="009C4283">
      <w:pPr>
        <w:pStyle w:val="FootnoteText"/>
        <w:jc w:val="both"/>
        <w:rPr>
          <w:sz w:val="20"/>
          <w:szCs w:val="20"/>
        </w:rPr>
      </w:pPr>
      <w:r w:rsidRPr="009E4A6D">
        <w:rPr>
          <w:rStyle w:val="FootnoteReference"/>
          <w:sz w:val="20"/>
          <w:szCs w:val="20"/>
        </w:rPr>
        <w:footnoteRef/>
      </w:r>
      <w:r w:rsidRPr="009E4A6D">
        <w:rPr>
          <w:sz w:val="20"/>
          <w:szCs w:val="20"/>
        </w:rPr>
        <w:t xml:space="preserve"> </w:t>
      </w:r>
      <w:r>
        <w:rPr>
          <w:sz w:val="20"/>
          <w:szCs w:val="20"/>
        </w:rPr>
        <w:t>This argument points to a</w:t>
      </w:r>
      <w:r w:rsidRPr="009E4A6D">
        <w:rPr>
          <w:sz w:val="20"/>
          <w:szCs w:val="20"/>
        </w:rPr>
        <w:t xml:space="preserve"> tension between</w:t>
      </w:r>
      <w:r>
        <w:rPr>
          <w:sz w:val="20"/>
          <w:szCs w:val="20"/>
        </w:rPr>
        <w:t xml:space="preserve"> </w:t>
      </w:r>
      <w:r w:rsidRPr="009E4A6D">
        <w:rPr>
          <w:sz w:val="20"/>
          <w:szCs w:val="20"/>
        </w:rPr>
        <w:t>Waldron’s assumption</w:t>
      </w:r>
      <w:r>
        <w:rPr>
          <w:sz w:val="20"/>
          <w:szCs w:val="20"/>
        </w:rPr>
        <w:t xml:space="preserve"> that, in the ideal normative case under consideration, there is a strong and general commitment to </w:t>
      </w:r>
      <w:r w:rsidRPr="002860E4">
        <w:rPr>
          <w:i/>
          <w:sz w:val="20"/>
          <w:szCs w:val="20"/>
        </w:rPr>
        <w:t>protecting rights</w:t>
      </w:r>
      <w:r>
        <w:rPr>
          <w:sz w:val="20"/>
          <w:szCs w:val="20"/>
        </w:rPr>
        <w:t xml:space="preserve"> in society (Waldron 2005, 1364)</w:t>
      </w:r>
      <w:r w:rsidRPr="009E4A6D">
        <w:rPr>
          <w:sz w:val="20"/>
          <w:szCs w:val="20"/>
        </w:rPr>
        <w:t xml:space="preserve"> and that </w:t>
      </w:r>
      <w:r>
        <w:rPr>
          <w:sz w:val="20"/>
          <w:szCs w:val="20"/>
        </w:rPr>
        <w:t xml:space="preserve">political equality requires </w:t>
      </w:r>
      <w:r w:rsidRPr="002860E4">
        <w:rPr>
          <w:i/>
          <w:sz w:val="20"/>
          <w:szCs w:val="20"/>
        </w:rPr>
        <w:t>giving equal weight to all opinions</w:t>
      </w:r>
      <w:r>
        <w:rPr>
          <w:sz w:val="20"/>
          <w:szCs w:val="20"/>
        </w:rPr>
        <w:t xml:space="preserve"> (Waldron 2005, 1346)</w:t>
      </w:r>
      <w:r w:rsidRPr="009E4A6D">
        <w:rPr>
          <w:sz w:val="20"/>
          <w:szCs w:val="20"/>
        </w:rPr>
        <w:t xml:space="preserve">. </w:t>
      </w:r>
      <w:r>
        <w:rPr>
          <w:sz w:val="20"/>
          <w:szCs w:val="20"/>
        </w:rPr>
        <w:t xml:space="preserve">It is not clear how the first assumption could find practical or institutional expression without any deviation from the second assumption. </w:t>
      </w:r>
    </w:p>
  </w:footnote>
  <w:footnote w:id="45">
    <w:p w14:paraId="4498163B" w14:textId="3DC08FBC" w:rsidR="003B5F64" w:rsidRPr="00F07469" w:rsidRDefault="003B5F64" w:rsidP="009C4283">
      <w:pPr>
        <w:pStyle w:val="FootnoteText"/>
        <w:jc w:val="both"/>
        <w:rPr>
          <w:sz w:val="20"/>
          <w:szCs w:val="20"/>
        </w:rPr>
      </w:pPr>
      <w:r w:rsidRPr="00F07469">
        <w:rPr>
          <w:rStyle w:val="FootnoteReference"/>
          <w:sz w:val="20"/>
          <w:szCs w:val="20"/>
        </w:rPr>
        <w:footnoteRef/>
      </w:r>
      <w:r w:rsidRPr="00F07469">
        <w:rPr>
          <w:sz w:val="20"/>
          <w:szCs w:val="20"/>
        </w:rPr>
        <w:t xml:space="preserve"> In</w:t>
      </w:r>
      <w:r>
        <w:rPr>
          <w:sz w:val="20"/>
          <w:szCs w:val="20"/>
        </w:rPr>
        <w:t>deed, in 1996</w:t>
      </w:r>
      <w:r w:rsidRPr="00F07469">
        <w:rPr>
          <w:sz w:val="20"/>
          <w:szCs w:val="20"/>
        </w:rPr>
        <w:t xml:space="preserve"> the United States Congress passe</w:t>
      </w:r>
      <w:r>
        <w:rPr>
          <w:sz w:val="20"/>
          <w:szCs w:val="20"/>
        </w:rPr>
        <w:t>d</w:t>
      </w:r>
      <w:r w:rsidRPr="00F07469">
        <w:rPr>
          <w:sz w:val="20"/>
          <w:szCs w:val="20"/>
        </w:rPr>
        <w:t xml:space="preserve"> the Defense of Marriage Act (DOMA)</w:t>
      </w:r>
      <w:r>
        <w:rPr>
          <w:sz w:val="20"/>
          <w:szCs w:val="20"/>
        </w:rPr>
        <w:t>, which President Bill Clinton subsequently signed</w:t>
      </w:r>
      <w:r w:rsidRPr="00F07469">
        <w:rPr>
          <w:sz w:val="20"/>
          <w:szCs w:val="20"/>
        </w:rPr>
        <w:t xml:space="preserve">. </w:t>
      </w:r>
      <w:r>
        <w:rPr>
          <w:sz w:val="20"/>
          <w:szCs w:val="20"/>
        </w:rPr>
        <w:t xml:space="preserve">For federal purposes, </w:t>
      </w:r>
      <w:r w:rsidRPr="00F07469">
        <w:rPr>
          <w:sz w:val="20"/>
          <w:szCs w:val="20"/>
        </w:rPr>
        <w:t>Section 3 of DOMA define</w:t>
      </w:r>
      <w:r>
        <w:rPr>
          <w:sz w:val="20"/>
          <w:szCs w:val="20"/>
        </w:rPr>
        <w:t xml:space="preserve">s marriage </w:t>
      </w:r>
      <w:r w:rsidRPr="00F07469">
        <w:rPr>
          <w:sz w:val="20"/>
          <w:szCs w:val="20"/>
        </w:rPr>
        <w:t>as the union of a man and a woman.</w:t>
      </w:r>
      <w:r>
        <w:rPr>
          <w:sz w:val="20"/>
          <w:szCs w:val="20"/>
        </w:rPr>
        <w:t xml:space="preserve"> Needless to say, the “widespread agreement” on the meaning of marriage was not shared among members of the LGTB minority. See note 48.</w:t>
      </w:r>
    </w:p>
  </w:footnote>
  <w:footnote w:id="46">
    <w:p w14:paraId="7F33A2E4" w14:textId="40440067" w:rsidR="003B5F64" w:rsidRPr="00225821" w:rsidRDefault="003B5F64" w:rsidP="009C4283">
      <w:pPr>
        <w:pStyle w:val="FootnoteText"/>
        <w:jc w:val="both"/>
        <w:rPr>
          <w:sz w:val="20"/>
          <w:szCs w:val="20"/>
        </w:rPr>
      </w:pPr>
      <w:r w:rsidRPr="00225821">
        <w:rPr>
          <w:rStyle w:val="FootnoteReference"/>
          <w:sz w:val="20"/>
          <w:szCs w:val="20"/>
        </w:rPr>
        <w:footnoteRef/>
      </w:r>
      <w:r w:rsidRPr="00225821">
        <w:rPr>
          <w:sz w:val="20"/>
          <w:szCs w:val="20"/>
        </w:rPr>
        <w:t xml:space="preserve"> </w:t>
      </w:r>
      <w:r>
        <w:rPr>
          <w:sz w:val="20"/>
          <w:szCs w:val="20"/>
        </w:rPr>
        <w:t xml:space="preserve">In 1998 </w:t>
      </w:r>
      <w:r w:rsidRPr="00225821">
        <w:rPr>
          <w:sz w:val="20"/>
          <w:szCs w:val="20"/>
        </w:rPr>
        <w:t>Hawaii</w:t>
      </w:r>
      <w:r>
        <w:rPr>
          <w:sz w:val="20"/>
          <w:szCs w:val="20"/>
        </w:rPr>
        <w:t xml:space="preserve"> and Alaska became </w:t>
      </w:r>
      <w:r w:rsidRPr="00225821">
        <w:rPr>
          <w:sz w:val="20"/>
          <w:szCs w:val="20"/>
        </w:rPr>
        <w:t>the first US states</w:t>
      </w:r>
      <w:r>
        <w:rPr>
          <w:sz w:val="20"/>
          <w:szCs w:val="20"/>
        </w:rPr>
        <w:t xml:space="preserve"> to pass </w:t>
      </w:r>
      <w:r w:rsidRPr="00225821">
        <w:rPr>
          <w:sz w:val="20"/>
          <w:szCs w:val="20"/>
        </w:rPr>
        <w:t>constitutional amendments</w:t>
      </w:r>
      <w:r>
        <w:rPr>
          <w:sz w:val="20"/>
          <w:szCs w:val="20"/>
        </w:rPr>
        <w:t xml:space="preserve"> against same-sex marriage</w:t>
      </w:r>
      <w:r w:rsidRPr="00225821">
        <w:rPr>
          <w:sz w:val="20"/>
          <w:szCs w:val="20"/>
        </w:rPr>
        <w:t>. Other U.S. states followed suit and passed similar amendments in the following years, reaching a peak of 31 in 2012.</w:t>
      </w:r>
      <w:r>
        <w:rPr>
          <w:sz w:val="20"/>
          <w:szCs w:val="20"/>
        </w:rPr>
        <w:t xml:space="preserve"> In January of 2015 the US Supreme Court</w:t>
      </w:r>
      <w:r w:rsidRPr="00681A80">
        <w:rPr>
          <w:sz w:val="20"/>
          <w:szCs w:val="20"/>
        </w:rPr>
        <w:t> agreed to </w:t>
      </w:r>
      <w:r w:rsidRPr="00681A80">
        <w:rPr>
          <w:bCs/>
          <w:sz w:val="20"/>
          <w:szCs w:val="20"/>
        </w:rPr>
        <w:t>decide</w:t>
      </w:r>
      <w:r w:rsidRPr="00681A80">
        <w:rPr>
          <w:sz w:val="20"/>
          <w:szCs w:val="20"/>
        </w:rPr>
        <w:t> whether </w:t>
      </w:r>
      <w:r w:rsidRPr="00681A80">
        <w:rPr>
          <w:bCs/>
          <w:sz w:val="20"/>
          <w:szCs w:val="20"/>
        </w:rPr>
        <w:t xml:space="preserve">the U.S. </w:t>
      </w:r>
      <w:r w:rsidRPr="00681A80">
        <w:rPr>
          <w:sz w:val="20"/>
          <w:szCs w:val="20"/>
        </w:rPr>
        <w:t>Constitution guarantees all</w:t>
      </w:r>
      <w:r>
        <w:rPr>
          <w:sz w:val="20"/>
          <w:szCs w:val="20"/>
        </w:rPr>
        <w:t xml:space="preserve"> citizens the right to enter </w:t>
      </w:r>
      <w:r w:rsidRPr="00681A80">
        <w:rPr>
          <w:sz w:val="20"/>
          <w:szCs w:val="20"/>
        </w:rPr>
        <w:t>into </w:t>
      </w:r>
      <w:r w:rsidRPr="00681A80">
        <w:rPr>
          <w:bCs/>
          <w:sz w:val="20"/>
          <w:szCs w:val="20"/>
        </w:rPr>
        <w:t>same</w:t>
      </w:r>
      <w:r w:rsidRPr="00681A80">
        <w:rPr>
          <w:sz w:val="20"/>
          <w:szCs w:val="20"/>
        </w:rPr>
        <w:t>-</w:t>
      </w:r>
      <w:r w:rsidRPr="00681A80">
        <w:rPr>
          <w:bCs/>
          <w:sz w:val="20"/>
          <w:szCs w:val="20"/>
        </w:rPr>
        <w:t>sex marriages. The rul</w:t>
      </w:r>
      <w:r>
        <w:rPr>
          <w:bCs/>
          <w:sz w:val="20"/>
          <w:szCs w:val="20"/>
        </w:rPr>
        <w:t>ing is expected in June of 2015</w:t>
      </w:r>
      <w:r>
        <w:rPr>
          <w:sz w:val="20"/>
          <w:szCs w:val="20"/>
        </w:rPr>
        <w:t>.</w:t>
      </w:r>
    </w:p>
  </w:footnote>
  <w:footnote w:id="47">
    <w:p w14:paraId="71FBF880" w14:textId="5F95D84D" w:rsidR="003B5F64" w:rsidRPr="0005408E" w:rsidRDefault="003B5F64" w:rsidP="009C4283">
      <w:pPr>
        <w:pStyle w:val="FootnoteText"/>
        <w:jc w:val="both"/>
        <w:rPr>
          <w:sz w:val="20"/>
          <w:szCs w:val="20"/>
        </w:rPr>
      </w:pPr>
      <w:r w:rsidRPr="0005408E">
        <w:rPr>
          <w:rStyle w:val="FootnoteReference"/>
          <w:sz w:val="20"/>
          <w:szCs w:val="20"/>
        </w:rPr>
        <w:footnoteRef/>
      </w:r>
      <w:r w:rsidRPr="0005408E">
        <w:rPr>
          <w:sz w:val="20"/>
          <w:szCs w:val="20"/>
        </w:rPr>
        <w:t xml:space="preserve"> </w:t>
      </w:r>
      <w:r>
        <w:rPr>
          <w:sz w:val="20"/>
          <w:szCs w:val="20"/>
        </w:rPr>
        <w:t xml:space="preserve">According to Pew Research </w:t>
      </w:r>
      <w:r w:rsidRPr="0005408E">
        <w:rPr>
          <w:sz w:val="20"/>
          <w:szCs w:val="20"/>
        </w:rPr>
        <w:t>data</w:t>
      </w:r>
      <w:r>
        <w:rPr>
          <w:sz w:val="20"/>
          <w:szCs w:val="20"/>
        </w:rPr>
        <w:t>, “</w:t>
      </w:r>
      <w:r w:rsidRPr="000860B8">
        <w:rPr>
          <w:sz w:val="20"/>
          <w:szCs w:val="20"/>
        </w:rPr>
        <w:t>In Pew Research polling in 2001, Americans opposed same-sex marriage by a 57% to 35% margin.</w:t>
      </w:r>
      <w:r>
        <w:rPr>
          <w:sz w:val="20"/>
          <w:szCs w:val="20"/>
        </w:rPr>
        <w:t xml:space="preserve"> </w:t>
      </w:r>
      <w:r w:rsidRPr="000860B8">
        <w:rPr>
          <w:sz w:val="20"/>
          <w:szCs w:val="20"/>
        </w:rPr>
        <w:t>Since then, support for same-sex marriage has steadily grown. Today, a majority of Americans (54%) support same-sex marriage, compared with 39% who oppose it.</w:t>
      </w:r>
      <w:r>
        <w:rPr>
          <w:sz w:val="20"/>
          <w:szCs w:val="20"/>
        </w:rPr>
        <w:t xml:space="preserve">” Data available at </w:t>
      </w:r>
      <w:r w:rsidRPr="000860B8">
        <w:rPr>
          <w:sz w:val="20"/>
          <w:szCs w:val="20"/>
        </w:rPr>
        <w:t>http://www.pewforum.org/2014/03/10/graphics-slideshow-cha</w:t>
      </w:r>
      <w:r>
        <w:rPr>
          <w:sz w:val="20"/>
          <w:szCs w:val="20"/>
        </w:rPr>
        <w:t>nging-attitudes-on-gay-marriage.</w:t>
      </w:r>
    </w:p>
  </w:footnote>
  <w:footnote w:id="48">
    <w:p w14:paraId="04AAD161" w14:textId="70492B29" w:rsidR="003B5F64" w:rsidRPr="00976884" w:rsidRDefault="003B5F64" w:rsidP="009C4283">
      <w:pPr>
        <w:pStyle w:val="FootnoteText"/>
        <w:jc w:val="both"/>
        <w:rPr>
          <w:sz w:val="20"/>
          <w:szCs w:val="20"/>
        </w:rPr>
      </w:pPr>
      <w:r w:rsidRPr="00976884">
        <w:rPr>
          <w:rStyle w:val="FootnoteReference"/>
          <w:sz w:val="20"/>
          <w:szCs w:val="20"/>
        </w:rPr>
        <w:footnoteRef/>
      </w:r>
      <w:r w:rsidRPr="00976884">
        <w:rPr>
          <w:sz w:val="20"/>
          <w:szCs w:val="20"/>
        </w:rPr>
        <w:t xml:space="preserve"> </w:t>
      </w:r>
      <w:r>
        <w:rPr>
          <w:sz w:val="20"/>
          <w:szCs w:val="20"/>
        </w:rPr>
        <w:t>Given the short period of time under consideration, t</w:t>
      </w:r>
      <w:r w:rsidRPr="00976884">
        <w:rPr>
          <w:sz w:val="20"/>
          <w:szCs w:val="20"/>
        </w:rPr>
        <w:t>he changes in attitude are</w:t>
      </w:r>
      <w:r>
        <w:rPr>
          <w:sz w:val="20"/>
          <w:szCs w:val="20"/>
        </w:rPr>
        <w:t xml:space="preserve"> only </w:t>
      </w:r>
      <w:r w:rsidRPr="00976884">
        <w:rPr>
          <w:sz w:val="20"/>
          <w:szCs w:val="20"/>
        </w:rPr>
        <w:t>part</w:t>
      </w:r>
      <w:r>
        <w:rPr>
          <w:sz w:val="20"/>
          <w:szCs w:val="20"/>
        </w:rPr>
        <w:t>ly</w:t>
      </w:r>
      <w:r w:rsidRPr="00976884">
        <w:rPr>
          <w:sz w:val="20"/>
          <w:szCs w:val="20"/>
        </w:rPr>
        <w:t xml:space="preserve"> due to generational change</w:t>
      </w:r>
      <w:r>
        <w:rPr>
          <w:sz w:val="20"/>
          <w:szCs w:val="20"/>
        </w:rPr>
        <w:t>. As t</w:t>
      </w:r>
      <w:r w:rsidRPr="00976884">
        <w:rPr>
          <w:sz w:val="20"/>
          <w:szCs w:val="20"/>
        </w:rPr>
        <w:t>he Pew Research Data shows</w:t>
      </w:r>
      <w:r>
        <w:rPr>
          <w:sz w:val="20"/>
          <w:szCs w:val="20"/>
        </w:rPr>
        <w:t xml:space="preserve">, </w:t>
      </w:r>
      <w:r w:rsidRPr="00976884">
        <w:rPr>
          <w:sz w:val="20"/>
          <w:szCs w:val="20"/>
        </w:rPr>
        <w:t>older generations have consistently become more supportive of same-sex marriage in recent years.</w:t>
      </w:r>
      <w:r>
        <w:rPr>
          <w:sz w:val="20"/>
          <w:szCs w:val="20"/>
        </w:rPr>
        <w:t xml:space="preserve"> It is also interesting to notice that the change in attitude concerns the narrow question of whether same-sex marriage should be legal and not necessarily the ethical or religious beliefs concerning homosexuality (e.g. 49% of Americans believe that engaging in homosexual behavior is a sin).</w:t>
      </w:r>
      <w:r w:rsidRPr="00976884">
        <w:rPr>
          <w:sz w:val="20"/>
          <w:szCs w:val="20"/>
        </w:rPr>
        <w:t xml:space="preserve"> See </w:t>
      </w:r>
      <w:r>
        <w:rPr>
          <w:sz w:val="20"/>
          <w:szCs w:val="20"/>
        </w:rPr>
        <w:t xml:space="preserve">data available at </w:t>
      </w:r>
      <w:hyperlink r:id="rId2" w:history="1">
        <w:r w:rsidRPr="00B96E7C">
          <w:rPr>
            <w:rStyle w:val="Hyperlink"/>
            <w:sz w:val="20"/>
            <w:szCs w:val="20"/>
          </w:rPr>
          <w:t>http://www.pewforum.org/2014/03/10/graphics-slideshow-changing-attitudes-on-gay-marriage</w:t>
        </w:r>
      </w:hyperlink>
      <w:r>
        <w:rPr>
          <w:sz w:val="20"/>
          <w:szCs w:val="20"/>
        </w:rPr>
        <w:t xml:space="preserve">. </w:t>
      </w:r>
    </w:p>
  </w:footnote>
  <w:footnote w:id="49">
    <w:p w14:paraId="598859A7" w14:textId="237DEE01" w:rsidR="003B5F64" w:rsidRPr="00A37327" w:rsidRDefault="003B5F64" w:rsidP="009C4283">
      <w:pPr>
        <w:pStyle w:val="FootnoteText"/>
        <w:jc w:val="both"/>
        <w:rPr>
          <w:sz w:val="20"/>
          <w:szCs w:val="20"/>
        </w:rPr>
      </w:pPr>
      <w:r w:rsidRPr="00A37327">
        <w:rPr>
          <w:rStyle w:val="FootnoteReference"/>
          <w:sz w:val="20"/>
          <w:szCs w:val="20"/>
        </w:rPr>
        <w:footnoteRef/>
      </w:r>
      <w:r>
        <w:rPr>
          <w:sz w:val="20"/>
          <w:szCs w:val="20"/>
        </w:rPr>
        <w:t xml:space="preserve"> </w:t>
      </w:r>
      <w:r w:rsidRPr="007A416A">
        <w:rPr>
          <w:i/>
          <w:sz w:val="20"/>
          <w:szCs w:val="20"/>
        </w:rPr>
        <w:t>Baehr v. Lewin</w:t>
      </w:r>
      <w:r>
        <w:rPr>
          <w:sz w:val="20"/>
          <w:szCs w:val="20"/>
        </w:rPr>
        <w:t xml:space="preserve"> (1993) was the first lawsuit seeking to have the ban on same-sex marriages declared unconstitutional that led to a positive ruling on the question. The Supreme Court of the U.S. state of Hawaii ruled that, under the state’s equal protection clause, </w:t>
      </w:r>
      <w:r w:rsidRPr="00C94357">
        <w:rPr>
          <w:sz w:val="20"/>
          <w:szCs w:val="20"/>
        </w:rPr>
        <w:t>denying marriage licenses to same-sex couples constituted discrimination based on sex that the state needed to justify under the standard known as</w:t>
      </w:r>
      <w:r>
        <w:rPr>
          <w:sz w:val="20"/>
          <w:szCs w:val="20"/>
        </w:rPr>
        <w:t xml:space="preserve"> strict scrutiny, that is, by</w:t>
      </w:r>
      <w:r w:rsidRPr="007A416A">
        <w:rPr>
          <w:sz w:val="20"/>
          <w:szCs w:val="20"/>
        </w:rPr>
        <w:t xml:space="preserve"> demonstrating that </w:t>
      </w:r>
      <w:r>
        <w:rPr>
          <w:sz w:val="20"/>
          <w:szCs w:val="20"/>
        </w:rPr>
        <w:t>it</w:t>
      </w:r>
      <w:r w:rsidRPr="007A416A">
        <w:rPr>
          <w:sz w:val="20"/>
          <w:szCs w:val="20"/>
        </w:rPr>
        <w:t xml:space="preserve"> "furthers compelling state interests and is narrowly drawn to avoid unnecessary abridgments of constitutional rights</w:t>
      </w:r>
      <w:r>
        <w:rPr>
          <w:sz w:val="20"/>
          <w:szCs w:val="20"/>
        </w:rPr>
        <w:t>.” This finding prompted Congress to pass the Defense of Marriage Act (DOMA) and many states to pass constitutional amendments to ban same-sex marriages. See notes 44 and 45.</w:t>
      </w:r>
    </w:p>
  </w:footnote>
  <w:footnote w:id="50">
    <w:p w14:paraId="502DD3F2" w14:textId="1940E6D2" w:rsidR="003B5F64" w:rsidRPr="0005408E" w:rsidRDefault="003B5F64" w:rsidP="009C4283">
      <w:pPr>
        <w:pStyle w:val="FootnoteText"/>
        <w:jc w:val="both"/>
        <w:rPr>
          <w:sz w:val="20"/>
          <w:szCs w:val="20"/>
        </w:rPr>
      </w:pPr>
      <w:r w:rsidRPr="0005408E">
        <w:rPr>
          <w:rStyle w:val="FootnoteReference"/>
          <w:sz w:val="20"/>
          <w:szCs w:val="20"/>
        </w:rPr>
        <w:footnoteRef/>
      </w:r>
      <w:r w:rsidRPr="0005408E">
        <w:rPr>
          <w:sz w:val="20"/>
          <w:szCs w:val="20"/>
        </w:rPr>
        <w:t xml:space="preserve"> </w:t>
      </w:r>
      <w:r>
        <w:rPr>
          <w:sz w:val="20"/>
          <w:szCs w:val="20"/>
        </w:rPr>
        <w:t>A</w:t>
      </w:r>
      <w:r w:rsidRPr="0005408E">
        <w:rPr>
          <w:sz w:val="20"/>
          <w:szCs w:val="20"/>
        </w:rPr>
        <w:t>. M. B</w:t>
      </w:r>
      <w:r>
        <w:rPr>
          <w:sz w:val="20"/>
          <w:szCs w:val="20"/>
        </w:rPr>
        <w:t>ickel,</w:t>
      </w:r>
      <w:r w:rsidRPr="0005408E">
        <w:rPr>
          <w:sz w:val="20"/>
          <w:szCs w:val="20"/>
        </w:rPr>
        <w:t xml:space="preserve"> </w:t>
      </w:r>
      <w:r w:rsidRPr="0005408E">
        <w:rPr>
          <w:i/>
          <w:sz w:val="20"/>
          <w:szCs w:val="20"/>
        </w:rPr>
        <w:t>The Supreme Court and the Idea of Progress</w:t>
      </w:r>
      <w:r>
        <w:rPr>
          <w:sz w:val="20"/>
          <w:szCs w:val="20"/>
        </w:rPr>
        <w:t>, Yale University</w:t>
      </w:r>
      <w:r w:rsidRPr="0005408E">
        <w:rPr>
          <w:sz w:val="20"/>
          <w:szCs w:val="20"/>
        </w:rPr>
        <w:t xml:space="preserve"> Press</w:t>
      </w:r>
      <w:r>
        <w:rPr>
          <w:sz w:val="20"/>
          <w:szCs w:val="20"/>
        </w:rPr>
        <w:t>, 1978, p. 91</w:t>
      </w:r>
      <w:r w:rsidRPr="0005408E">
        <w:rPr>
          <w:sz w:val="20"/>
          <w:szCs w:val="20"/>
        </w:rPr>
        <w:t>.</w:t>
      </w:r>
    </w:p>
  </w:footnote>
  <w:footnote w:id="51">
    <w:p w14:paraId="0CB70ACE" w14:textId="6A710E68" w:rsidR="003B5F64" w:rsidRPr="00C200C2" w:rsidRDefault="003B5F64" w:rsidP="009C4283">
      <w:pPr>
        <w:pStyle w:val="FootnoteText"/>
        <w:jc w:val="both"/>
        <w:rPr>
          <w:sz w:val="20"/>
          <w:szCs w:val="20"/>
        </w:rPr>
      </w:pPr>
      <w:r w:rsidRPr="00C200C2">
        <w:rPr>
          <w:rStyle w:val="FootnoteReference"/>
          <w:sz w:val="20"/>
          <w:szCs w:val="20"/>
        </w:rPr>
        <w:footnoteRef/>
      </w:r>
      <w:r w:rsidRPr="00C200C2">
        <w:rPr>
          <w:sz w:val="20"/>
          <w:szCs w:val="20"/>
        </w:rPr>
        <w:t xml:space="preserve"> Dworkin</w:t>
      </w:r>
      <w:r>
        <w:rPr>
          <w:sz w:val="20"/>
          <w:szCs w:val="20"/>
        </w:rPr>
        <w:t xml:space="preserve"> 1985 points at this idea when he claims that judicial review “forces political debate to include argument over principle, not only when a case comes to the Court but also long before and long after.” p. 70.</w:t>
      </w:r>
    </w:p>
  </w:footnote>
  <w:footnote w:id="52">
    <w:p w14:paraId="283F1B51" w14:textId="7FFC1C36" w:rsidR="003B5F64" w:rsidRPr="004D615D" w:rsidRDefault="003B5F64" w:rsidP="009C4283">
      <w:pPr>
        <w:pStyle w:val="FootnoteText"/>
        <w:jc w:val="both"/>
        <w:rPr>
          <w:sz w:val="20"/>
          <w:szCs w:val="20"/>
        </w:rPr>
      </w:pPr>
      <w:r w:rsidRPr="004D615D">
        <w:rPr>
          <w:rStyle w:val="FootnoteReference"/>
          <w:sz w:val="20"/>
          <w:szCs w:val="20"/>
        </w:rPr>
        <w:footnoteRef/>
      </w:r>
      <w:r>
        <w:rPr>
          <w:sz w:val="20"/>
          <w:szCs w:val="20"/>
        </w:rPr>
        <w:t xml:space="preserve"> </w:t>
      </w:r>
      <w:r w:rsidRPr="004D615D">
        <w:rPr>
          <w:sz w:val="20"/>
          <w:szCs w:val="20"/>
        </w:rPr>
        <w:t>Dworkin</w:t>
      </w:r>
      <w:r>
        <w:rPr>
          <w:sz w:val="20"/>
          <w:szCs w:val="20"/>
        </w:rPr>
        <w:t xml:space="preserve"> 1996, 345.</w:t>
      </w:r>
    </w:p>
  </w:footnote>
  <w:footnote w:id="53">
    <w:p w14:paraId="45F756B2" w14:textId="5C1AAB3C" w:rsidR="003B5F64" w:rsidRPr="00D245C9" w:rsidRDefault="003B5F64" w:rsidP="009C4283">
      <w:pPr>
        <w:pStyle w:val="FootnoteText"/>
        <w:jc w:val="both"/>
        <w:rPr>
          <w:sz w:val="20"/>
          <w:szCs w:val="20"/>
        </w:rPr>
      </w:pPr>
      <w:r w:rsidRPr="004D615D">
        <w:rPr>
          <w:rStyle w:val="FootnoteReference"/>
          <w:sz w:val="20"/>
          <w:szCs w:val="20"/>
        </w:rPr>
        <w:footnoteRef/>
      </w:r>
      <w:r w:rsidRPr="004D615D">
        <w:rPr>
          <w:sz w:val="20"/>
          <w:szCs w:val="20"/>
        </w:rPr>
        <w:t xml:space="preserve"> See R. Dworkin, </w:t>
      </w:r>
      <w:r w:rsidRPr="004D615D">
        <w:rPr>
          <w:i/>
          <w:sz w:val="20"/>
          <w:szCs w:val="20"/>
        </w:rPr>
        <w:t>Justice in Robes</w:t>
      </w:r>
      <w:r>
        <w:rPr>
          <w:i/>
          <w:sz w:val="20"/>
          <w:szCs w:val="20"/>
        </w:rPr>
        <w:t xml:space="preserve">, </w:t>
      </w:r>
      <w:r>
        <w:rPr>
          <w:sz w:val="20"/>
          <w:szCs w:val="20"/>
        </w:rPr>
        <w:t>Cambridge, Mass.: Harvard University Press, 2006.</w:t>
      </w:r>
    </w:p>
  </w:footnote>
  <w:footnote w:id="54">
    <w:p w14:paraId="20084E6C" w14:textId="17B888EB" w:rsidR="003B5F64" w:rsidRPr="00326F47" w:rsidRDefault="003B5F64" w:rsidP="009C4283">
      <w:pPr>
        <w:widowControl w:val="0"/>
        <w:tabs>
          <w:tab w:val="left" w:pos="3600"/>
        </w:tabs>
        <w:suppressAutoHyphens/>
        <w:autoSpaceDE w:val="0"/>
        <w:spacing w:line="240" w:lineRule="atLeast"/>
        <w:jc w:val="both"/>
        <w:rPr>
          <w:spacing w:val="-3"/>
          <w:sz w:val="20"/>
          <w:szCs w:val="20"/>
        </w:rPr>
      </w:pPr>
      <w:r w:rsidRPr="00761FB1">
        <w:rPr>
          <w:rStyle w:val="FootnoteReference"/>
          <w:sz w:val="20"/>
          <w:szCs w:val="20"/>
        </w:rPr>
        <w:footnoteRef/>
      </w:r>
      <w:r w:rsidRPr="00761FB1">
        <w:rPr>
          <w:sz w:val="20"/>
          <w:szCs w:val="20"/>
        </w:rPr>
        <w:t xml:space="preserve"> </w:t>
      </w:r>
      <w:r>
        <w:rPr>
          <w:sz w:val="20"/>
          <w:szCs w:val="20"/>
        </w:rPr>
        <w:t>I offer a detailed articulation of this view in</w:t>
      </w:r>
      <w:r w:rsidRPr="00761FB1">
        <w:rPr>
          <w:sz w:val="20"/>
          <w:szCs w:val="20"/>
        </w:rPr>
        <w:t xml:space="preserve"> C. Lafont, </w:t>
      </w:r>
      <w:r w:rsidRPr="00761FB1">
        <w:rPr>
          <w:spacing w:val="-3"/>
          <w:sz w:val="20"/>
          <w:szCs w:val="20"/>
        </w:rPr>
        <w:t>“</w:t>
      </w:r>
      <w:r w:rsidRPr="00761FB1">
        <w:rPr>
          <w:sz w:val="20"/>
          <w:szCs w:val="20"/>
        </w:rPr>
        <w:t>Religious Pluralism in a Deliberative Democracy</w:t>
      </w:r>
      <w:r>
        <w:rPr>
          <w:sz w:val="20"/>
          <w:szCs w:val="20"/>
        </w:rPr>
        <w:t>,</w:t>
      </w:r>
      <w:r>
        <w:rPr>
          <w:spacing w:val="-3"/>
          <w:sz w:val="20"/>
          <w:szCs w:val="20"/>
        </w:rPr>
        <w:t>”</w:t>
      </w:r>
      <w:r w:rsidRPr="00761FB1">
        <w:rPr>
          <w:spacing w:val="-3"/>
          <w:sz w:val="20"/>
          <w:szCs w:val="20"/>
        </w:rPr>
        <w:t xml:space="preserve"> in F. Requejo and C. Ungureanu</w:t>
      </w:r>
      <w:r>
        <w:rPr>
          <w:spacing w:val="-3"/>
          <w:sz w:val="20"/>
          <w:szCs w:val="20"/>
        </w:rPr>
        <w:t>, eds.</w:t>
      </w:r>
      <w:r w:rsidRPr="00761FB1">
        <w:rPr>
          <w:spacing w:val="-3"/>
          <w:sz w:val="20"/>
          <w:szCs w:val="20"/>
        </w:rPr>
        <w:t xml:space="preserve">, </w:t>
      </w:r>
      <w:r w:rsidRPr="00761FB1">
        <w:rPr>
          <w:i/>
          <w:spacing w:val="-3"/>
          <w:sz w:val="20"/>
          <w:szCs w:val="20"/>
        </w:rPr>
        <w:t>Democracy, Law and Religious Pluralism in Europe</w:t>
      </w:r>
      <w:r w:rsidRPr="00761FB1">
        <w:rPr>
          <w:spacing w:val="-3"/>
          <w:sz w:val="20"/>
          <w:szCs w:val="20"/>
        </w:rPr>
        <w:t xml:space="preserve">, London: Routledge, </w:t>
      </w:r>
      <w:r>
        <w:rPr>
          <w:spacing w:val="-3"/>
          <w:sz w:val="20"/>
          <w:szCs w:val="20"/>
        </w:rPr>
        <w:t>2014, 46-60.</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3438103F"/>
    <w:multiLevelType w:val="hybridMultilevel"/>
    <w:tmpl w:val="356A8BDC"/>
    <w:lvl w:ilvl="0" w:tplc="04090011">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B2E"/>
    <w:rsid w:val="000100DA"/>
    <w:rsid w:val="00011232"/>
    <w:rsid w:val="00016925"/>
    <w:rsid w:val="00021211"/>
    <w:rsid w:val="00030AEC"/>
    <w:rsid w:val="000378A6"/>
    <w:rsid w:val="00040342"/>
    <w:rsid w:val="0004131E"/>
    <w:rsid w:val="00041B84"/>
    <w:rsid w:val="000456FF"/>
    <w:rsid w:val="00046923"/>
    <w:rsid w:val="00046F9A"/>
    <w:rsid w:val="0005408E"/>
    <w:rsid w:val="0005411F"/>
    <w:rsid w:val="000579D7"/>
    <w:rsid w:val="00066B65"/>
    <w:rsid w:val="000860B8"/>
    <w:rsid w:val="00087D80"/>
    <w:rsid w:val="000907DA"/>
    <w:rsid w:val="00091412"/>
    <w:rsid w:val="00091DD7"/>
    <w:rsid w:val="000964AB"/>
    <w:rsid w:val="000A09DB"/>
    <w:rsid w:val="000A29DA"/>
    <w:rsid w:val="000A3804"/>
    <w:rsid w:val="000B4F51"/>
    <w:rsid w:val="000D21BF"/>
    <w:rsid w:val="000D54D6"/>
    <w:rsid w:val="000D6E88"/>
    <w:rsid w:val="000E3D07"/>
    <w:rsid w:val="000E4DD1"/>
    <w:rsid w:val="00100C7C"/>
    <w:rsid w:val="00106918"/>
    <w:rsid w:val="001071E0"/>
    <w:rsid w:val="001121EE"/>
    <w:rsid w:val="00112534"/>
    <w:rsid w:val="00113047"/>
    <w:rsid w:val="00114863"/>
    <w:rsid w:val="00117620"/>
    <w:rsid w:val="00117EC6"/>
    <w:rsid w:val="001212F1"/>
    <w:rsid w:val="00136392"/>
    <w:rsid w:val="0013698C"/>
    <w:rsid w:val="00151BD8"/>
    <w:rsid w:val="00151C21"/>
    <w:rsid w:val="00155508"/>
    <w:rsid w:val="0016358D"/>
    <w:rsid w:val="001646A4"/>
    <w:rsid w:val="0016474A"/>
    <w:rsid w:val="00165DA7"/>
    <w:rsid w:val="00166C75"/>
    <w:rsid w:val="00174A41"/>
    <w:rsid w:val="00185B76"/>
    <w:rsid w:val="0019488E"/>
    <w:rsid w:val="00197F51"/>
    <w:rsid w:val="001A7906"/>
    <w:rsid w:val="001A7F10"/>
    <w:rsid w:val="001B2041"/>
    <w:rsid w:val="001B691A"/>
    <w:rsid w:val="001C0F1B"/>
    <w:rsid w:val="001C4837"/>
    <w:rsid w:val="001C6095"/>
    <w:rsid w:val="001D59E8"/>
    <w:rsid w:val="001E00D4"/>
    <w:rsid w:val="001E319F"/>
    <w:rsid w:val="001E3D62"/>
    <w:rsid w:val="001E4657"/>
    <w:rsid w:val="001E4F65"/>
    <w:rsid w:val="001F1306"/>
    <w:rsid w:val="001F66B8"/>
    <w:rsid w:val="00201923"/>
    <w:rsid w:val="00210274"/>
    <w:rsid w:val="0021052C"/>
    <w:rsid w:val="002116AB"/>
    <w:rsid w:val="002139F3"/>
    <w:rsid w:val="0021415E"/>
    <w:rsid w:val="00217D01"/>
    <w:rsid w:val="00222903"/>
    <w:rsid w:val="00225194"/>
    <w:rsid w:val="00225821"/>
    <w:rsid w:val="0023508E"/>
    <w:rsid w:val="002413A8"/>
    <w:rsid w:val="0024346B"/>
    <w:rsid w:val="00243496"/>
    <w:rsid w:val="00247F91"/>
    <w:rsid w:val="00265436"/>
    <w:rsid w:val="002663CA"/>
    <w:rsid w:val="00270F22"/>
    <w:rsid w:val="002743C5"/>
    <w:rsid w:val="002774A5"/>
    <w:rsid w:val="002860E4"/>
    <w:rsid w:val="00290C73"/>
    <w:rsid w:val="002A020B"/>
    <w:rsid w:val="002A0D47"/>
    <w:rsid w:val="002B3381"/>
    <w:rsid w:val="002B45AD"/>
    <w:rsid w:val="002C1BBF"/>
    <w:rsid w:val="002C48BA"/>
    <w:rsid w:val="002C5D83"/>
    <w:rsid w:val="002D206C"/>
    <w:rsid w:val="002D4C24"/>
    <w:rsid w:val="002D6B5A"/>
    <w:rsid w:val="002D797C"/>
    <w:rsid w:val="002D7FAA"/>
    <w:rsid w:val="002E13A4"/>
    <w:rsid w:val="002E56EE"/>
    <w:rsid w:val="002E5F97"/>
    <w:rsid w:val="002E7072"/>
    <w:rsid w:val="002F01B4"/>
    <w:rsid w:val="002F0ABF"/>
    <w:rsid w:val="00300B4A"/>
    <w:rsid w:val="00305C62"/>
    <w:rsid w:val="003066AF"/>
    <w:rsid w:val="0031414F"/>
    <w:rsid w:val="003165CE"/>
    <w:rsid w:val="003244A0"/>
    <w:rsid w:val="00326F47"/>
    <w:rsid w:val="003351B1"/>
    <w:rsid w:val="00344626"/>
    <w:rsid w:val="003453F4"/>
    <w:rsid w:val="0034578D"/>
    <w:rsid w:val="00346678"/>
    <w:rsid w:val="00350612"/>
    <w:rsid w:val="003600E8"/>
    <w:rsid w:val="003601E7"/>
    <w:rsid w:val="003615F5"/>
    <w:rsid w:val="00364C3C"/>
    <w:rsid w:val="00365F6D"/>
    <w:rsid w:val="003663B0"/>
    <w:rsid w:val="003750C3"/>
    <w:rsid w:val="003950F6"/>
    <w:rsid w:val="003A3E4F"/>
    <w:rsid w:val="003A663F"/>
    <w:rsid w:val="003B1518"/>
    <w:rsid w:val="003B5F64"/>
    <w:rsid w:val="003C1E99"/>
    <w:rsid w:val="003C5C86"/>
    <w:rsid w:val="003D0548"/>
    <w:rsid w:val="003D31FC"/>
    <w:rsid w:val="003D4500"/>
    <w:rsid w:val="003E70B2"/>
    <w:rsid w:val="003F2398"/>
    <w:rsid w:val="003F5766"/>
    <w:rsid w:val="00437923"/>
    <w:rsid w:val="0044268F"/>
    <w:rsid w:val="00442D92"/>
    <w:rsid w:val="00444316"/>
    <w:rsid w:val="00444ACD"/>
    <w:rsid w:val="00444D5E"/>
    <w:rsid w:val="004450A7"/>
    <w:rsid w:val="00447C47"/>
    <w:rsid w:val="00447E87"/>
    <w:rsid w:val="004576DA"/>
    <w:rsid w:val="00466754"/>
    <w:rsid w:val="00473EF8"/>
    <w:rsid w:val="0048316E"/>
    <w:rsid w:val="0048346B"/>
    <w:rsid w:val="00487C6D"/>
    <w:rsid w:val="00490D75"/>
    <w:rsid w:val="00494286"/>
    <w:rsid w:val="00494AEF"/>
    <w:rsid w:val="0049607A"/>
    <w:rsid w:val="004A2E11"/>
    <w:rsid w:val="004A3CB6"/>
    <w:rsid w:val="004A7678"/>
    <w:rsid w:val="004B4321"/>
    <w:rsid w:val="004B5D01"/>
    <w:rsid w:val="004C04B7"/>
    <w:rsid w:val="004D0430"/>
    <w:rsid w:val="004D615D"/>
    <w:rsid w:val="004E3A20"/>
    <w:rsid w:val="004E5C21"/>
    <w:rsid w:val="004F0929"/>
    <w:rsid w:val="004F73C6"/>
    <w:rsid w:val="00504056"/>
    <w:rsid w:val="00513DF9"/>
    <w:rsid w:val="00513FED"/>
    <w:rsid w:val="00514D65"/>
    <w:rsid w:val="00521B3D"/>
    <w:rsid w:val="00522753"/>
    <w:rsid w:val="005252ED"/>
    <w:rsid w:val="005427DA"/>
    <w:rsid w:val="00547324"/>
    <w:rsid w:val="005474EC"/>
    <w:rsid w:val="00552BDA"/>
    <w:rsid w:val="00560E46"/>
    <w:rsid w:val="00561945"/>
    <w:rsid w:val="00562B00"/>
    <w:rsid w:val="00577031"/>
    <w:rsid w:val="0058018C"/>
    <w:rsid w:val="00590664"/>
    <w:rsid w:val="00591DC3"/>
    <w:rsid w:val="00592D64"/>
    <w:rsid w:val="005A5B43"/>
    <w:rsid w:val="005B6196"/>
    <w:rsid w:val="005B6CA9"/>
    <w:rsid w:val="00600A63"/>
    <w:rsid w:val="00601843"/>
    <w:rsid w:val="00603383"/>
    <w:rsid w:val="00605B1D"/>
    <w:rsid w:val="00610E92"/>
    <w:rsid w:val="00613614"/>
    <w:rsid w:val="00621E25"/>
    <w:rsid w:val="00624945"/>
    <w:rsid w:val="006276C4"/>
    <w:rsid w:val="0063378A"/>
    <w:rsid w:val="0064734C"/>
    <w:rsid w:val="00650B68"/>
    <w:rsid w:val="006513F8"/>
    <w:rsid w:val="00654557"/>
    <w:rsid w:val="00661C99"/>
    <w:rsid w:val="00670D12"/>
    <w:rsid w:val="00680956"/>
    <w:rsid w:val="00681A80"/>
    <w:rsid w:val="00682524"/>
    <w:rsid w:val="006A49A3"/>
    <w:rsid w:val="006B7762"/>
    <w:rsid w:val="006C027A"/>
    <w:rsid w:val="006C3B4D"/>
    <w:rsid w:val="006C4CA9"/>
    <w:rsid w:val="006D1066"/>
    <w:rsid w:val="006D3A3E"/>
    <w:rsid w:val="006D4702"/>
    <w:rsid w:val="006D5E7F"/>
    <w:rsid w:val="006F20A5"/>
    <w:rsid w:val="006F52AF"/>
    <w:rsid w:val="006F78C1"/>
    <w:rsid w:val="006F7917"/>
    <w:rsid w:val="00700B99"/>
    <w:rsid w:val="00710880"/>
    <w:rsid w:val="007139D2"/>
    <w:rsid w:val="00717647"/>
    <w:rsid w:val="00723AF7"/>
    <w:rsid w:val="00730BFE"/>
    <w:rsid w:val="0073775F"/>
    <w:rsid w:val="00742DB3"/>
    <w:rsid w:val="007437EE"/>
    <w:rsid w:val="0075043F"/>
    <w:rsid w:val="007578F8"/>
    <w:rsid w:val="00761FB1"/>
    <w:rsid w:val="007715F2"/>
    <w:rsid w:val="00776238"/>
    <w:rsid w:val="00782436"/>
    <w:rsid w:val="0079101E"/>
    <w:rsid w:val="00791202"/>
    <w:rsid w:val="007A416A"/>
    <w:rsid w:val="007A68FD"/>
    <w:rsid w:val="007B37F7"/>
    <w:rsid w:val="007B54AF"/>
    <w:rsid w:val="007B5ED5"/>
    <w:rsid w:val="007B7A4A"/>
    <w:rsid w:val="007C5685"/>
    <w:rsid w:val="007D0484"/>
    <w:rsid w:val="007D143F"/>
    <w:rsid w:val="007D3876"/>
    <w:rsid w:val="007D523D"/>
    <w:rsid w:val="007D530C"/>
    <w:rsid w:val="007D693D"/>
    <w:rsid w:val="007D7D66"/>
    <w:rsid w:val="007E215B"/>
    <w:rsid w:val="007E5925"/>
    <w:rsid w:val="007E7A6C"/>
    <w:rsid w:val="007F1218"/>
    <w:rsid w:val="00823192"/>
    <w:rsid w:val="008232B7"/>
    <w:rsid w:val="00824D87"/>
    <w:rsid w:val="0082541E"/>
    <w:rsid w:val="00832F75"/>
    <w:rsid w:val="0083400B"/>
    <w:rsid w:val="008357D7"/>
    <w:rsid w:val="008566A8"/>
    <w:rsid w:val="008605EE"/>
    <w:rsid w:val="00860FA1"/>
    <w:rsid w:val="0086415E"/>
    <w:rsid w:val="0089198E"/>
    <w:rsid w:val="0089735D"/>
    <w:rsid w:val="00897993"/>
    <w:rsid w:val="00897B34"/>
    <w:rsid w:val="008A7EDF"/>
    <w:rsid w:val="008B7CEF"/>
    <w:rsid w:val="008C6BCF"/>
    <w:rsid w:val="008D3207"/>
    <w:rsid w:val="008D4CFF"/>
    <w:rsid w:val="008D6BFE"/>
    <w:rsid w:val="008E51BD"/>
    <w:rsid w:val="008F5AB5"/>
    <w:rsid w:val="008F74E6"/>
    <w:rsid w:val="00900FDB"/>
    <w:rsid w:val="0090470C"/>
    <w:rsid w:val="009370B5"/>
    <w:rsid w:val="00937FED"/>
    <w:rsid w:val="00944736"/>
    <w:rsid w:val="00945885"/>
    <w:rsid w:val="00950F85"/>
    <w:rsid w:val="00957D5C"/>
    <w:rsid w:val="00960083"/>
    <w:rsid w:val="00960DAF"/>
    <w:rsid w:val="00976884"/>
    <w:rsid w:val="00983E18"/>
    <w:rsid w:val="00986863"/>
    <w:rsid w:val="009868D2"/>
    <w:rsid w:val="00991F0E"/>
    <w:rsid w:val="00995F00"/>
    <w:rsid w:val="009A727E"/>
    <w:rsid w:val="009A7B74"/>
    <w:rsid w:val="009B18ED"/>
    <w:rsid w:val="009B19C2"/>
    <w:rsid w:val="009B2DA9"/>
    <w:rsid w:val="009B4BE7"/>
    <w:rsid w:val="009B5333"/>
    <w:rsid w:val="009B632A"/>
    <w:rsid w:val="009C055C"/>
    <w:rsid w:val="009C09CF"/>
    <w:rsid w:val="009C354F"/>
    <w:rsid w:val="009C4283"/>
    <w:rsid w:val="009D0197"/>
    <w:rsid w:val="009D25E8"/>
    <w:rsid w:val="009D3520"/>
    <w:rsid w:val="009D3DEC"/>
    <w:rsid w:val="009D5788"/>
    <w:rsid w:val="009D664B"/>
    <w:rsid w:val="009D6C83"/>
    <w:rsid w:val="009E0B48"/>
    <w:rsid w:val="009E4A6D"/>
    <w:rsid w:val="009F469D"/>
    <w:rsid w:val="009F6605"/>
    <w:rsid w:val="00A067E4"/>
    <w:rsid w:val="00A137F8"/>
    <w:rsid w:val="00A211D4"/>
    <w:rsid w:val="00A23BB3"/>
    <w:rsid w:val="00A23CF8"/>
    <w:rsid w:val="00A27A54"/>
    <w:rsid w:val="00A37327"/>
    <w:rsid w:val="00A42BFB"/>
    <w:rsid w:val="00A5567A"/>
    <w:rsid w:val="00A55D6A"/>
    <w:rsid w:val="00A6576C"/>
    <w:rsid w:val="00A66921"/>
    <w:rsid w:val="00A8081F"/>
    <w:rsid w:val="00A81BC2"/>
    <w:rsid w:val="00A830D3"/>
    <w:rsid w:val="00A858B3"/>
    <w:rsid w:val="00A8625C"/>
    <w:rsid w:val="00A87C4C"/>
    <w:rsid w:val="00A918A7"/>
    <w:rsid w:val="00A94AB4"/>
    <w:rsid w:val="00A950A0"/>
    <w:rsid w:val="00AA54E2"/>
    <w:rsid w:val="00AB3863"/>
    <w:rsid w:val="00AB40E6"/>
    <w:rsid w:val="00AC5A23"/>
    <w:rsid w:val="00AD4270"/>
    <w:rsid w:val="00AD49F1"/>
    <w:rsid w:val="00AE1D32"/>
    <w:rsid w:val="00AE343F"/>
    <w:rsid w:val="00AE54FA"/>
    <w:rsid w:val="00AE72ED"/>
    <w:rsid w:val="00AF66AA"/>
    <w:rsid w:val="00AF7B56"/>
    <w:rsid w:val="00B078D8"/>
    <w:rsid w:val="00B12A5A"/>
    <w:rsid w:val="00B15F93"/>
    <w:rsid w:val="00B16486"/>
    <w:rsid w:val="00B2265D"/>
    <w:rsid w:val="00B22FDC"/>
    <w:rsid w:val="00B26527"/>
    <w:rsid w:val="00B2757B"/>
    <w:rsid w:val="00B409E9"/>
    <w:rsid w:val="00B40BF3"/>
    <w:rsid w:val="00B43206"/>
    <w:rsid w:val="00B50338"/>
    <w:rsid w:val="00B56C02"/>
    <w:rsid w:val="00B578CF"/>
    <w:rsid w:val="00B60931"/>
    <w:rsid w:val="00B633DF"/>
    <w:rsid w:val="00B678A8"/>
    <w:rsid w:val="00B7152B"/>
    <w:rsid w:val="00B73A04"/>
    <w:rsid w:val="00B8035F"/>
    <w:rsid w:val="00B80B36"/>
    <w:rsid w:val="00B8402E"/>
    <w:rsid w:val="00B84418"/>
    <w:rsid w:val="00B8669C"/>
    <w:rsid w:val="00B87578"/>
    <w:rsid w:val="00B90098"/>
    <w:rsid w:val="00BA01DC"/>
    <w:rsid w:val="00BA15D1"/>
    <w:rsid w:val="00BA2E70"/>
    <w:rsid w:val="00BA3431"/>
    <w:rsid w:val="00BA525A"/>
    <w:rsid w:val="00BB06AC"/>
    <w:rsid w:val="00BB375A"/>
    <w:rsid w:val="00BB3BAA"/>
    <w:rsid w:val="00BB7064"/>
    <w:rsid w:val="00BC11FC"/>
    <w:rsid w:val="00BC7280"/>
    <w:rsid w:val="00BC7640"/>
    <w:rsid w:val="00BD0C31"/>
    <w:rsid w:val="00BD5058"/>
    <w:rsid w:val="00BE239E"/>
    <w:rsid w:val="00BF123A"/>
    <w:rsid w:val="00BF1DCB"/>
    <w:rsid w:val="00BF4BBB"/>
    <w:rsid w:val="00BF6C75"/>
    <w:rsid w:val="00C01B2E"/>
    <w:rsid w:val="00C039B1"/>
    <w:rsid w:val="00C04ADF"/>
    <w:rsid w:val="00C054C4"/>
    <w:rsid w:val="00C1682E"/>
    <w:rsid w:val="00C200C2"/>
    <w:rsid w:val="00C25CAD"/>
    <w:rsid w:val="00C35446"/>
    <w:rsid w:val="00C362C5"/>
    <w:rsid w:val="00C37E78"/>
    <w:rsid w:val="00C41687"/>
    <w:rsid w:val="00C42CB1"/>
    <w:rsid w:val="00C44F60"/>
    <w:rsid w:val="00C4751C"/>
    <w:rsid w:val="00C60C32"/>
    <w:rsid w:val="00C60DE9"/>
    <w:rsid w:val="00C67B39"/>
    <w:rsid w:val="00C67C84"/>
    <w:rsid w:val="00C70091"/>
    <w:rsid w:val="00C715B1"/>
    <w:rsid w:val="00C7269D"/>
    <w:rsid w:val="00C862B8"/>
    <w:rsid w:val="00C94357"/>
    <w:rsid w:val="00C94D44"/>
    <w:rsid w:val="00C95129"/>
    <w:rsid w:val="00C956BA"/>
    <w:rsid w:val="00C95E71"/>
    <w:rsid w:val="00CA4FB7"/>
    <w:rsid w:val="00CA6D5C"/>
    <w:rsid w:val="00CA7C4C"/>
    <w:rsid w:val="00CB0079"/>
    <w:rsid w:val="00CB4D6A"/>
    <w:rsid w:val="00CB4FE2"/>
    <w:rsid w:val="00CC1E09"/>
    <w:rsid w:val="00CC2C5B"/>
    <w:rsid w:val="00CD3C6D"/>
    <w:rsid w:val="00CD4731"/>
    <w:rsid w:val="00CE2FB6"/>
    <w:rsid w:val="00CE488D"/>
    <w:rsid w:val="00CF00BF"/>
    <w:rsid w:val="00CF7036"/>
    <w:rsid w:val="00CF7B33"/>
    <w:rsid w:val="00D05109"/>
    <w:rsid w:val="00D070D2"/>
    <w:rsid w:val="00D12C90"/>
    <w:rsid w:val="00D16C5A"/>
    <w:rsid w:val="00D245C9"/>
    <w:rsid w:val="00D3045E"/>
    <w:rsid w:val="00D37772"/>
    <w:rsid w:val="00D43886"/>
    <w:rsid w:val="00D47D5F"/>
    <w:rsid w:val="00D53EAB"/>
    <w:rsid w:val="00D607D7"/>
    <w:rsid w:val="00D64B52"/>
    <w:rsid w:val="00D74FBF"/>
    <w:rsid w:val="00D75B1C"/>
    <w:rsid w:val="00D80CED"/>
    <w:rsid w:val="00D82F34"/>
    <w:rsid w:val="00D90554"/>
    <w:rsid w:val="00DA2840"/>
    <w:rsid w:val="00DA5AF6"/>
    <w:rsid w:val="00DA65FF"/>
    <w:rsid w:val="00DB1B4D"/>
    <w:rsid w:val="00DB5759"/>
    <w:rsid w:val="00DC09DF"/>
    <w:rsid w:val="00DC5068"/>
    <w:rsid w:val="00DD30F1"/>
    <w:rsid w:val="00DD5796"/>
    <w:rsid w:val="00DD64FB"/>
    <w:rsid w:val="00DE16EA"/>
    <w:rsid w:val="00DE24F5"/>
    <w:rsid w:val="00DF5A63"/>
    <w:rsid w:val="00E01C88"/>
    <w:rsid w:val="00E03852"/>
    <w:rsid w:val="00E03AAA"/>
    <w:rsid w:val="00E05B86"/>
    <w:rsid w:val="00E250CC"/>
    <w:rsid w:val="00E2549B"/>
    <w:rsid w:val="00E2558E"/>
    <w:rsid w:val="00E26E87"/>
    <w:rsid w:val="00E27178"/>
    <w:rsid w:val="00E30260"/>
    <w:rsid w:val="00E30E7C"/>
    <w:rsid w:val="00E363E3"/>
    <w:rsid w:val="00E37519"/>
    <w:rsid w:val="00E4581A"/>
    <w:rsid w:val="00E50FC3"/>
    <w:rsid w:val="00E61007"/>
    <w:rsid w:val="00E62A52"/>
    <w:rsid w:val="00E80D6A"/>
    <w:rsid w:val="00E916A8"/>
    <w:rsid w:val="00E9489F"/>
    <w:rsid w:val="00E97921"/>
    <w:rsid w:val="00EA00BF"/>
    <w:rsid w:val="00EA0821"/>
    <w:rsid w:val="00EA2D64"/>
    <w:rsid w:val="00EA7D15"/>
    <w:rsid w:val="00EB2EE5"/>
    <w:rsid w:val="00EB7ADF"/>
    <w:rsid w:val="00EC019A"/>
    <w:rsid w:val="00EC1719"/>
    <w:rsid w:val="00ED2632"/>
    <w:rsid w:val="00ED4961"/>
    <w:rsid w:val="00ED68B4"/>
    <w:rsid w:val="00EE23ED"/>
    <w:rsid w:val="00EF0C29"/>
    <w:rsid w:val="00EF443E"/>
    <w:rsid w:val="00F02E1E"/>
    <w:rsid w:val="00F02F74"/>
    <w:rsid w:val="00F05DD7"/>
    <w:rsid w:val="00F07285"/>
    <w:rsid w:val="00F07469"/>
    <w:rsid w:val="00F111AD"/>
    <w:rsid w:val="00F12759"/>
    <w:rsid w:val="00F14A5A"/>
    <w:rsid w:val="00F17BD0"/>
    <w:rsid w:val="00F217C4"/>
    <w:rsid w:val="00F2651A"/>
    <w:rsid w:val="00F277BF"/>
    <w:rsid w:val="00F27C6A"/>
    <w:rsid w:val="00F337DF"/>
    <w:rsid w:val="00F342DA"/>
    <w:rsid w:val="00F427D3"/>
    <w:rsid w:val="00F42F03"/>
    <w:rsid w:val="00F52254"/>
    <w:rsid w:val="00F55D06"/>
    <w:rsid w:val="00F61E2D"/>
    <w:rsid w:val="00F6793A"/>
    <w:rsid w:val="00F73411"/>
    <w:rsid w:val="00F73B90"/>
    <w:rsid w:val="00F74E82"/>
    <w:rsid w:val="00F8298C"/>
    <w:rsid w:val="00F90DF0"/>
    <w:rsid w:val="00F91FDC"/>
    <w:rsid w:val="00FA51E5"/>
    <w:rsid w:val="00FA567A"/>
    <w:rsid w:val="00FA716D"/>
    <w:rsid w:val="00FB05EC"/>
    <w:rsid w:val="00FB2FC6"/>
    <w:rsid w:val="00FC736B"/>
    <w:rsid w:val="00FD31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1D182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19F"/>
    <w:pPr>
      <w:ind w:left="720"/>
      <w:contextualSpacing/>
    </w:pPr>
  </w:style>
  <w:style w:type="paragraph" w:styleId="FootnoteText">
    <w:name w:val="footnote text"/>
    <w:basedOn w:val="Normal"/>
    <w:link w:val="FootnoteTextChar"/>
    <w:uiPriority w:val="99"/>
    <w:unhideWhenUsed/>
    <w:rsid w:val="000B4F51"/>
  </w:style>
  <w:style w:type="character" w:customStyle="1" w:styleId="FootnoteTextChar">
    <w:name w:val="Footnote Text Char"/>
    <w:basedOn w:val="DefaultParagraphFont"/>
    <w:link w:val="FootnoteText"/>
    <w:uiPriority w:val="99"/>
    <w:rsid w:val="000B4F51"/>
  </w:style>
  <w:style w:type="character" w:styleId="FootnoteReference">
    <w:name w:val="footnote reference"/>
    <w:basedOn w:val="DefaultParagraphFont"/>
    <w:uiPriority w:val="99"/>
    <w:unhideWhenUsed/>
    <w:rsid w:val="000B4F51"/>
    <w:rPr>
      <w:vertAlign w:val="superscript"/>
    </w:rPr>
  </w:style>
  <w:style w:type="paragraph" w:styleId="Footer">
    <w:name w:val="footer"/>
    <w:basedOn w:val="Normal"/>
    <w:link w:val="FooterChar"/>
    <w:uiPriority w:val="99"/>
    <w:unhideWhenUsed/>
    <w:rsid w:val="00C362C5"/>
    <w:pPr>
      <w:tabs>
        <w:tab w:val="center" w:pos="4320"/>
        <w:tab w:val="right" w:pos="8640"/>
      </w:tabs>
    </w:pPr>
  </w:style>
  <w:style w:type="character" w:customStyle="1" w:styleId="FooterChar">
    <w:name w:val="Footer Char"/>
    <w:basedOn w:val="DefaultParagraphFont"/>
    <w:link w:val="Footer"/>
    <w:uiPriority w:val="99"/>
    <w:rsid w:val="00C362C5"/>
  </w:style>
  <w:style w:type="character" w:styleId="PageNumber">
    <w:name w:val="page number"/>
    <w:basedOn w:val="DefaultParagraphFont"/>
    <w:uiPriority w:val="99"/>
    <w:semiHidden/>
    <w:unhideWhenUsed/>
    <w:rsid w:val="00C362C5"/>
  </w:style>
  <w:style w:type="paragraph" w:styleId="NormalWeb">
    <w:name w:val="Normal (Web)"/>
    <w:basedOn w:val="Normal"/>
    <w:uiPriority w:val="99"/>
    <w:semiHidden/>
    <w:unhideWhenUsed/>
    <w:rsid w:val="000860B8"/>
    <w:rPr>
      <w:rFonts w:ascii="Times New Roman" w:hAnsi="Times New Roman" w:cs="Times New Roman"/>
    </w:rPr>
  </w:style>
  <w:style w:type="character" w:styleId="Hyperlink">
    <w:name w:val="Hyperlink"/>
    <w:basedOn w:val="DefaultParagraphFont"/>
    <w:uiPriority w:val="99"/>
    <w:unhideWhenUsed/>
    <w:rsid w:val="009B4BE7"/>
    <w:rPr>
      <w:color w:val="0000FF" w:themeColor="hyperlink"/>
      <w:u w:val="single"/>
    </w:rPr>
  </w:style>
  <w:style w:type="character" w:styleId="FollowedHyperlink">
    <w:name w:val="FollowedHyperlink"/>
    <w:basedOn w:val="DefaultParagraphFont"/>
    <w:uiPriority w:val="99"/>
    <w:semiHidden/>
    <w:unhideWhenUsed/>
    <w:rsid w:val="0043792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19F"/>
    <w:pPr>
      <w:ind w:left="720"/>
      <w:contextualSpacing/>
    </w:pPr>
  </w:style>
  <w:style w:type="paragraph" w:styleId="FootnoteText">
    <w:name w:val="footnote text"/>
    <w:basedOn w:val="Normal"/>
    <w:link w:val="FootnoteTextChar"/>
    <w:uiPriority w:val="99"/>
    <w:unhideWhenUsed/>
    <w:rsid w:val="000B4F51"/>
  </w:style>
  <w:style w:type="character" w:customStyle="1" w:styleId="FootnoteTextChar">
    <w:name w:val="Footnote Text Char"/>
    <w:basedOn w:val="DefaultParagraphFont"/>
    <w:link w:val="FootnoteText"/>
    <w:uiPriority w:val="99"/>
    <w:rsid w:val="000B4F51"/>
  </w:style>
  <w:style w:type="character" w:styleId="FootnoteReference">
    <w:name w:val="footnote reference"/>
    <w:basedOn w:val="DefaultParagraphFont"/>
    <w:uiPriority w:val="99"/>
    <w:unhideWhenUsed/>
    <w:rsid w:val="000B4F51"/>
    <w:rPr>
      <w:vertAlign w:val="superscript"/>
    </w:rPr>
  </w:style>
  <w:style w:type="paragraph" w:styleId="Footer">
    <w:name w:val="footer"/>
    <w:basedOn w:val="Normal"/>
    <w:link w:val="FooterChar"/>
    <w:uiPriority w:val="99"/>
    <w:unhideWhenUsed/>
    <w:rsid w:val="00C362C5"/>
    <w:pPr>
      <w:tabs>
        <w:tab w:val="center" w:pos="4320"/>
        <w:tab w:val="right" w:pos="8640"/>
      </w:tabs>
    </w:pPr>
  </w:style>
  <w:style w:type="character" w:customStyle="1" w:styleId="FooterChar">
    <w:name w:val="Footer Char"/>
    <w:basedOn w:val="DefaultParagraphFont"/>
    <w:link w:val="Footer"/>
    <w:uiPriority w:val="99"/>
    <w:rsid w:val="00C362C5"/>
  </w:style>
  <w:style w:type="character" w:styleId="PageNumber">
    <w:name w:val="page number"/>
    <w:basedOn w:val="DefaultParagraphFont"/>
    <w:uiPriority w:val="99"/>
    <w:semiHidden/>
    <w:unhideWhenUsed/>
    <w:rsid w:val="00C362C5"/>
  </w:style>
  <w:style w:type="paragraph" w:styleId="NormalWeb">
    <w:name w:val="Normal (Web)"/>
    <w:basedOn w:val="Normal"/>
    <w:uiPriority w:val="99"/>
    <w:semiHidden/>
    <w:unhideWhenUsed/>
    <w:rsid w:val="000860B8"/>
    <w:rPr>
      <w:rFonts w:ascii="Times New Roman" w:hAnsi="Times New Roman" w:cs="Times New Roman"/>
    </w:rPr>
  </w:style>
  <w:style w:type="character" w:styleId="Hyperlink">
    <w:name w:val="Hyperlink"/>
    <w:basedOn w:val="DefaultParagraphFont"/>
    <w:uiPriority w:val="99"/>
    <w:unhideWhenUsed/>
    <w:rsid w:val="009B4BE7"/>
    <w:rPr>
      <w:color w:val="0000FF" w:themeColor="hyperlink"/>
      <w:u w:val="single"/>
    </w:rPr>
  </w:style>
  <w:style w:type="character" w:styleId="FollowedHyperlink">
    <w:name w:val="FollowedHyperlink"/>
    <w:basedOn w:val="DefaultParagraphFont"/>
    <w:uiPriority w:val="99"/>
    <w:semiHidden/>
    <w:unhideWhenUsed/>
    <w:rsid w:val="004379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57789">
      <w:bodyDiv w:val="1"/>
      <w:marLeft w:val="0"/>
      <w:marRight w:val="0"/>
      <w:marTop w:val="0"/>
      <w:marBottom w:val="0"/>
      <w:divBdr>
        <w:top w:val="none" w:sz="0" w:space="0" w:color="auto"/>
        <w:left w:val="none" w:sz="0" w:space="0" w:color="auto"/>
        <w:bottom w:val="none" w:sz="0" w:space="0" w:color="auto"/>
        <w:right w:val="none" w:sz="0" w:space="0" w:color="auto"/>
      </w:divBdr>
    </w:div>
    <w:div w:id="69277595">
      <w:bodyDiv w:val="1"/>
      <w:marLeft w:val="0"/>
      <w:marRight w:val="0"/>
      <w:marTop w:val="0"/>
      <w:marBottom w:val="0"/>
      <w:divBdr>
        <w:top w:val="none" w:sz="0" w:space="0" w:color="auto"/>
        <w:left w:val="none" w:sz="0" w:space="0" w:color="auto"/>
        <w:bottom w:val="none" w:sz="0" w:space="0" w:color="auto"/>
        <w:right w:val="none" w:sz="0" w:space="0" w:color="auto"/>
      </w:divBdr>
    </w:div>
    <w:div w:id="77942619">
      <w:bodyDiv w:val="1"/>
      <w:marLeft w:val="0"/>
      <w:marRight w:val="0"/>
      <w:marTop w:val="0"/>
      <w:marBottom w:val="0"/>
      <w:divBdr>
        <w:top w:val="none" w:sz="0" w:space="0" w:color="auto"/>
        <w:left w:val="none" w:sz="0" w:space="0" w:color="auto"/>
        <w:bottom w:val="none" w:sz="0" w:space="0" w:color="auto"/>
        <w:right w:val="none" w:sz="0" w:space="0" w:color="auto"/>
      </w:divBdr>
    </w:div>
    <w:div w:id="220094052">
      <w:bodyDiv w:val="1"/>
      <w:marLeft w:val="0"/>
      <w:marRight w:val="0"/>
      <w:marTop w:val="0"/>
      <w:marBottom w:val="0"/>
      <w:divBdr>
        <w:top w:val="none" w:sz="0" w:space="0" w:color="auto"/>
        <w:left w:val="none" w:sz="0" w:space="0" w:color="auto"/>
        <w:bottom w:val="none" w:sz="0" w:space="0" w:color="auto"/>
        <w:right w:val="none" w:sz="0" w:space="0" w:color="auto"/>
      </w:divBdr>
    </w:div>
    <w:div w:id="266230949">
      <w:bodyDiv w:val="1"/>
      <w:marLeft w:val="0"/>
      <w:marRight w:val="0"/>
      <w:marTop w:val="0"/>
      <w:marBottom w:val="0"/>
      <w:divBdr>
        <w:top w:val="none" w:sz="0" w:space="0" w:color="auto"/>
        <w:left w:val="none" w:sz="0" w:space="0" w:color="auto"/>
        <w:bottom w:val="none" w:sz="0" w:space="0" w:color="auto"/>
        <w:right w:val="none" w:sz="0" w:space="0" w:color="auto"/>
      </w:divBdr>
    </w:div>
    <w:div w:id="352414614">
      <w:bodyDiv w:val="1"/>
      <w:marLeft w:val="0"/>
      <w:marRight w:val="0"/>
      <w:marTop w:val="0"/>
      <w:marBottom w:val="0"/>
      <w:divBdr>
        <w:top w:val="none" w:sz="0" w:space="0" w:color="auto"/>
        <w:left w:val="none" w:sz="0" w:space="0" w:color="auto"/>
        <w:bottom w:val="none" w:sz="0" w:space="0" w:color="auto"/>
        <w:right w:val="none" w:sz="0" w:space="0" w:color="auto"/>
      </w:divBdr>
    </w:div>
    <w:div w:id="526599979">
      <w:bodyDiv w:val="1"/>
      <w:marLeft w:val="0"/>
      <w:marRight w:val="0"/>
      <w:marTop w:val="0"/>
      <w:marBottom w:val="0"/>
      <w:divBdr>
        <w:top w:val="none" w:sz="0" w:space="0" w:color="auto"/>
        <w:left w:val="none" w:sz="0" w:space="0" w:color="auto"/>
        <w:bottom w:val="none" w:sz="0" w:space="0" w:color="auto"/>
        <w:right w:val="none" w:sz="0" w:space="0" w:color="auto"/>
      </w:divBdr>
    </w:div>
    <w:div w:id="806436983">
      <w:bodyDiv w:val="1"/>
      <w:marLeft w:val="0"/>
      <w:marRight w:val="0"/>
      <w:marTop w:val="0"/>
      <w:marBottom w:val="0"/>
      <w:divBdr>
        <w:top w:val="none" w:sz="0" w:space="0" w:color="auto"/>
        <w:left w:val="none" w:sz="0" w:space="0" w:color="auto"/>
        <w:bottom w:val="none" w:sz="0" w:space="0" w:color="auto"/>
        <w:right w:val="none" w:sz="0" w:space="0" w:color="auto"/>
      </w:divBdr>
    </w:div>
    <w:div w:id="828906932">
      <w:bodyDiv w:val="1"/>
      <w:marLeft w:val="0"/>
      <w:marRight w:val="0"/>
      <w:marTop w:val="0"/>
      <w:marBottom w:val="0"/>
      <w:divBdr>
        <w:top w:val="none" w:sz="0" w:space="0" w:color="auto"/>
        <w:left w:val="none" w:sz="0" w:space="0" w:color="auto"/>
        <w:bottom w:val="none" w:sz="0" w:space="0" w:color="auto"/>
        <w:right w:val="none" w:sz="0" w:space="0" w:color="auto"/>
      </w:divBdr>
    </w:div>
    <w:div w:id="938367791">
      <w:bodyDiv w:val="1"/>
      <w:marLeft w:val="0"/>
      <w:marRight w:val="0"/>
      <w:marTop w:val="0"/>
      <w:marBottom w:val="0"/>
      <w:divBdr>
        <w:top w:val="none" w:sz="0" w:space="0" w:color="auto"/>
        <w:left w:val="none" w:sz="0" w:space="0" w:color="auto"/>
        <w:bottom w:val="none" w:sz="0" w:space="0" w:color="auto"/>
        <w:right w:val="none" w:sz="0" w:space="0" w:color="auto"/>
      </w:divBdr>
    </w:div>
    <w:div w:id="1151366260">
      <w:bodyDiv w:val="1"/>
      <w:marLeft w:val="0"/>
      <w:marRight w:val="0"/>
      <w:marTop w:val="0"/>
      <w:marBottom w:val="0"/>
      <w:divBdr>
        <w:top w:val="none" w:sz="0" w:space="0" w:color="auto"/>
        <w:left w:val="none" w:sz="0" w:space="0" w:color="auto"/>
        <w:bottom w:val="none" w:sz="0" w:space="0" w:color="auto"/>
        <w:right w:val="none" w:sz="0" w:space="0" w:color="auto"/>
      </w:divBdr>
    </w:div>
    <w:div w:id="1344867305">
      <w:bodyDiv w:val="1"/>
      <w:marLeft w:val="0"/>
      <w:marRight w:val="0"/>
      <w:marTop w:val="0"/>
      <w:marBottom w:val="0"/>
      <w:divBdr>
        <w:top w:val="none" w:sz="0" w:space="0" w:color="auto"/>
        <w:left w:val="none" w:sz="0" w:space="0" w:color="auto"/>
        <w:bottom w:val="none" w:sz="0" w:space="0" w:color="auto"/>
        <w:right w:val="none" w:sz="0" w:space="0" w:color="auto"/>
      </w:divBdr>
    </w:div>
    <w:div w:id="1391342574">
      <w:bodyDiv w:val="1"/>
      <w:marLeft w:val="0"/>
      <w:marRight w:val="0"/>
      <w:marTop w:val="0"/>
      <w:marBottom w:val="0"/>
      <w:divBdr>
        <w:top w:val="none" w:sz="0" w:space="0" w:color="auto"/>
        <w:left w:val="none" w:sz="0" w:space="0" w:color="auto"/>
        <w:bottom w:val="none" w:sz="0" w:space="0" w:color="auto"/>
        <w:right w:val="none" w:sz="0" w:space="0" w:color="auto"/>
      </w:divBdr>
    </w:div>
    <w:div w:id="1566136564">
      <w:bodyDiv w:val="1"/>
      <w:marLeft w:val="0"/>
      <w:marRight w:val="0"/>
      <w:marTop w:val="0"/>
      <w:marBottom w:val="0"/>
      <w:divBdr>
        <w:top w:val="none" w:sz="0" w:space="0" w:color="auto"/>
        <w:left w:val="none" w:sz="0" w:space="0" w:color="auto"/>
        <w:bottom w:val="none" w:sz="0" w:space="0" w:color="auto"/>
        <w:right w:val="none" w:sz="0" w:space="0" w:color="auto"/>
      </w:divBdr>
    </w:div>
    <w:div w:id="1723289070">
      <w:bodyDiv w:val="1"/>
      <w:marLeft w:val="0"/>
      <w:marRight w:val="0"/>
      <w:marTop w:val="0"/>
      <w:marBottom w:val="0"/>
      <w:divBdr>
        <w:top w:val="none" w:sz="0" w:space="0" w:color="auto"/>
        <w:left w:val="none" w:sz="0" w:space="0" w:color="auto"/>
        <w:bottom w:val="none" w:sz="0" w:space="0" w:color="auto"/>
        <w:right w:val="none" w:sz="0" w:space="0" w:color="auto"/>
      </w:divBdr>
    </w:div>
    <w:div w:id="1738211671">
      <w:bodyDiv w:val="1"/>
      <w:marLeft w:val="0"/>
      <w:marRight w:val="0"/>
      <w:marTop w:val="0"/>
      <w:marBottom w:val="0"/>
      <w:divBdr>
        <w:top w:val="none" w:sz="0" w:space="0" w:color="auto"/>
        <w:left w:val="none" w:sz="0" w:space="0" w:color="auto"/>
        <w:bottom w:val="none" w:sz="0" w:space="0" w:color="auto"/>
        <w:right w:val="none" w:sz="0" w:space="0" w:color="auto"/>
      </w:divBdr>
    </w:div>
    <w:div w:id="1909996229">
      <w:bodyDiv w:val="1"/>
      <w:marLeft w:val="0"/>
      <w:marRight w:val="0"/>
      <w:marTop w:val="0"/>
      <w:marBottom w:val="0"/>
      <w:divBdr>
        <w:top w:val="none" w:sz="0" w:space="0" w:color="auto"/>
        <w:left w:val="none" w:sz="0" w:space="0" w:color="auto"/>
        <w:bottom w:val="none" w:sz="0" w:space="0" w:color="auto"/>
        <w:right w:val="none" w:sz="0" w:space="0" w:color="auto"/>
      </w:divBdr>
    </w:div>
    <w:div w:id="1965764849">
      <w:bodyDiv w:val="1"/>
      <w:marLeft w:val="0"/>
      <w:marRight w:val="0"/>
      <w:marTop w:val="0"/>
      <w:marBottom w:val="0"/>
      <w:divBdr>
        <w:top w:val="none" w:sz="0" w:space="0" w:color="auto"/>
        <w:left w:val="none" w:sz="0" w:space="0" w:color="auto"/>
        <w:bottom w:val="none" w:sz="0" w:space="0" w:color="auto"/>
        <w:right w:val="none" w:sz="0" w:space="0" w:color="auto"/>
      </w:divBdr>
    </w:div>
    <w:div w:id="21085751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cholarship.law.georgetown.edu./hartlecture/4" TargetMode="External"/><Relationship Id="rId2" Type="http://schemas.openxmlformats.org/officeDocument/2006/relationships/hyperlink" Target="http://www.pewforum.org/2014/03/10/graphics-slideshow-changing-attitudes-on-gay-marri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23</Pages>
  <Words>6652</Words>
  <Characters>37920</Characters>
  <Application>Microsoft Macintosh Word</Application>
  <DocSecurity>0</DocSecurity>
  <Lines>316</Lines>
  <Paragraphs>88</Paragraphs>
  <ScaleCrop>false</ScaleCrop>
  <Company/>
  <LinksUpToDate>false</LinksUpToDate>
  <CharactersWithSpaces>44484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Lafont</dc:creator>
  <cp:keywords/>
  <dc:description/>
  <cp:lastModifiedBy>Cristina Lafont</cp:lastModifiedBy>
  <cp:revision>3</cp:revision>
  <cp:lastPrinted>2015-11-12T23:16:00Z</cp:lastPrinted>
  <dcterms:created xsi:type="dcterms:W3CDTF">2015-11-12T23:16:00Z</dcterms:created>
  <dcterms:modified xsi:type="dcterms:W3CDTF">2015-11-12T23:31:00Z</dcterms:modified>
</cp:coreProperties>
</file>