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9B6E" w14:textId="50822625" w:rsidR="00893547" w:rsidRPr="00893547" w:rsidRDefault="00893547" w:rsidP="00893547">
      <w:pPr>
        <w:spacing w:line="240" w:lineRule="auto"/>
        <w:ind w:firstLine="0"/>
        <w:jc w:val="center"/>
        <w:rPr>
          <w:sz w:val="22"/>
          <w:szCs w:val="22"/>
        </w:rPr>
      </w:pPr>
      <w:r w:rsidRPr="00893547">
        <w:rPr>
          <w:sz w:val="22"/>
          <w:szCs w:val="22"/>
        </w:rPr>
        <w:t xml:space="preserve">Lai K, 2019, 'The Cicada-Catcher: Learning for Life', in Lai K; Chiu WW (ed.), </w:t>
      </w:r>
      <w:r w:rsidRPr="00893547">
        <w:rPr>
          <w:i/>
          <w:iCs/>
          <w:sz w:val="22"/>
          <w:szCs w:val="22"/>
        </w:rPr>
        <w:t>Skill and Mastery Philosophical Stories from the Zhuangzi</w:t>
      </w:r>
      <w:r w:rsidRPr="00893547">
        <w:rPr>
          <w:sz w:val="22"/>
          <w:szCs w:val="22"/>
        </w:rPr>
        <w:t xml:space="preserve">, </w:t>
      </w:r>
      <w:proofErr w:type="spellStart"/>
      <w:r w:rsidRPr="00893547">
        <w:rPr>
          <w:sz w:val="22"/>
          <w:szCs w:val="22"/>
        </w:rPr>
        <w:t>Ceacop</w:t>
      </w:r>
      <w:proofErr w:type="spellEnd"/>
      <w:r w:rsidRPr="00893547">
        <w:rPr>
          <w:sz w:val="22"/>
          <w:szCs w:val="22"/>
        </w:rPr>
        <w:t xml:space="preserve"> East Asian Comparative</w:t>
      </w:r>
      <w:r w:rsidRPr="00893547">
        <w:rPr>
          <w:sz w:val="22"/>
          <w:szCs w:val="22"/>
        </w:rPr>
        <w:t xml:space="preserve"> Philosophy series, UK: Rowman and Littlefield, International</w:t>
      </w:r>
      <w:r w:rsidRPr="00893547">
        <w:rPr>
          <w:sz w:val="22"/>
          <w:szCs w:val="22"/>
        </w:rPr>
        <w:t xml:space="preserve">, pp. 143 </w:t>
      </w:r>
      <w:r w:rsidRPr="00893547">
        <w:rPr>
          <w:sz w:val="22"/>
          <w:szCs w:val="22"/>
        </w:rPr>
        <w:t>–</w:t>
      </w:r>
      <w:r w:rsidRPr="00893547">
        <w:rPr>
          <w:sz w:val="22"/>
          <w:szCs w:val="22"/>
        </w:rPr>
        <w:t xml:space="preserve"> 162</w:t>
      </w:r>
    </w:p>
    <w:p w14:paraId="6265DC17" w14:textId="77777777" w:rsidR="00893547" w:rsidRPr="00893547" w:rsidRDefault="00893547" w:rsidP="00280F07">
      <w:pPr>
        <w:ind w:firstLine="0"/>
        <w:jc w:val="center"/>
        <w:rPr>
          <w:b/>
          <w:sz w:val="22"/>
          <w:szCs w:val="22"/>
        </w:rPr>
      </w:pPr>
    </w:p>
    <w:p w14:paraId="3C1070B5" w14:textId="5396FC9C" w:rsidR="00893547" w:rsidRPr="00893547" w:rsidRDefault="00893547" w:rsidP="00280F07">
      <w:pPr>
        <w:ind w:firstLine="0"/>
        <w:jc w:val="center"/>
        <w:rPr>
          <w:b/>
          <w:i/>
          <w:iCs/>
          <w:sz w:val="22"/>
          <w:szCs w:val="22"/>
        </w:rPr>
      </w:pPr>
      <w:r w:rsidRPr="00893547">
        <w:rPr>
          <w:b/>
          <w:i/>
          <w:iCs/>
          <w:sz w:val="22"/>
          <w:szCs w:val="22"/>
          <w:bdr w:val="single" w:sz="4" w:space="0" w:color="auto"/>
        </w:rPr>
        <w:t xml:space="preserve">This is the pre-print version. Please view the definitive version at </w:t>
      </w:r>
      <w:hyperlink r:id="rId8" w:history="1">
        <w:r w:rsidRPr="00893547">
          <w:rPr>
            <w:rStyle w:val="Hyperlink"/>
            <w:b/>
            <w:i/>
            <w:iCs/>
            <w:sz w:val="22"/>
            <w:szCs w:val="22"/>
            <w:bdr w:val="single" w:sz="4" w:space="0" w:color="auto"/>
          </w:rPr>
          <w:t>https://www.rowmaninternational.com/book/skill_and_mastery/3-156-69c8f1cc-26a8-4f2f-93c9-c833de2da7a7</w:t>
        </w:r>
      </w:hyperlink>
      <w:r w:rsidRPr="00893547">
        <w:rPr>
          <w:b/>
          <w:i/>
          <w:iCs/>
          <w:sz w:val="22"/>
          <w:szCs w:val="22"/>
        </w:rPr>
        <w:t xml:space="preserve"> </w:t>
      </w:r>
    </w:p>
    <w:p w14:paraId="51A06739" w14:textId="77777777" w:rsidR="00893547" w:rsidRDefault="00893547" w:rsidP="00280F07">
      <w:pPr>
        <w:ind w:firstLine="0"/>
        <w:jc w:val="center"/>
        <w:rPr>
          <w:b/>
        </w:rPr>
      </w:pPr>
    </w:p>
    <w:p w14:paraId="298440CC" w14:textId="245716BF" w:rsidR="00E62FF7" w:rsidRPr="00280F07" w:rsidRDefault="00280F07" w:rsidP="00280F07">
      <w:pPr>
        <w:ind w:firstLine="0"/>
        <w:jc w:val="center"/>
        <w:rPr>
          <w:b/>
        </w:rPr>
      </w:pPr>
      <w:r w:rsidRPr="00280F07">
        <w:rPr>
          <w:b/>
        </w:rPr>
        <w:t>Chapter Ten</w:t>
      </w:r>
    </w:p>
    <w:p w14:paraId="51B6A08F" w14:textId="77777777" w:rsidR="002D7478" w:rsidRPr="00280F07" w:rsidRDefault="002D7478" w:rsidP="00280F07">
      <w:pPr>
        <w:ind w:firstLine="0"/>
        <w:jc w:val="center"/>
        <w:rPr>
          <w:rFonts w:cs="Times New Roman"/>
          <w:b/>
        </w:rPr>
      </w:pPr>
      <w:r w:rsidRPr="00280F07">
        <w:rPr>
          <w:rFonts w:cs="Times New Roman"/>
          <w:b/>
        </w:rPr>
        <w:t xml:space="preserve">The Cicada-catcher: </w:t>
      </w:r>
      <w:r w:rsidR="000160C5" w:rsidRPr="00280F07">
        <w:rPr>
          <w:rFonts w:cs="Times New Roman"/>
          <w:b/>
        </w:rPr>
        <w:t>Learning for life</w:t>
      </w:r>
    </w:p>
    <w:p w14:paraId="663A6E9B" w14:textId="77777777" w:rsidR="002D7478" w:rsidRPr="00601FAD" w:rsidRDefault="00280F07" w:rsidP="00280F07">
      <w:pPr>
        <w:jc w:val="center"/>
        <w:rPr>
          <w:rFonts w:cs="Times New Roman"/>
        </w:rPr>
      </w:pPr>
      <w:r>
        <w:rPr>
          <w:rFonts w:cs="Times New Roman"/>
        </w:rPr>
        <w:t>Karyn Lai</w:t>
      </w:r>
    </w:p>
    <w:p w14:paraId="6AB21649" w14:textId="77777777" w:rsidR="002D7478" w:rsidRPr="00601FAD" w:rsidRDefault="002D7478" w:rsidP="00280F07">
      <w:pPr>
        <w:ind w:left="567" w:right="521" w:firstLine="0"/>
        <w:rPr>
          <w:rFonts w:cs="Times New Roman"/>
        </w:rPr>
      </w:pPr>
      <w:r w:rsidRPr="00601FAD">
        <w:rPr>
          <w:rFonts w:cs="Times New Roman"/>
        </w:rPr>
        <w:t xml:space="preserve">When Confucius was on his way to Chu, he passed through a forest where he saw a hunchback catching cicadas with a sticky pole as easily as though he were grabbing them with his hand.  Confucius said, “What skill you have! Is there (a) </w:t>
      </w:r>
      <w:r w:rsidRPr="00601FAD">
        <w:rPr>
          <w:rFonts w:cs="Times New Roman"/>
          <w:i/>
        </w:rPr>
        <w:t>dao</w:t>
      </w:r>
      <w:r w:rsidRPr="00601FAD">
        <w:rPr>
          <w:rFonts w:cs="Times New Roman"/>
        </w:rPr>
        <w:t xml:space="preserve">?”  “I have (a) </w:t>
      </w:r>
      <w:r w:rsidRPr="00601FAD">
        <w:rPr>
          <w:rFonts w:cs="Times New Roman"/>
          <w:i/>
        </w:rPr>
        <w:t>dao</w:t>
      </w:r>
      <w:r w:rsidRPr="00601FAD">
        <w:rPr>
          <w:rFonts w:cs="Times New Roman"/>
        </w:rPr>
        <w:t>”, said the hunchback.  “For the first five or six months I practise balancing two balls on top of each other on the end of the pole and, if they don</w:t>
      </w:r>
      <w:r w:rsidR="0007242F" w:rsidRPr="00601FAD">
        <w:rPr>
          <w:rFonts w:cs="Times New Roman"/>
        </w:rPr>
        <w:t>’</w:t>
      </w:r>
      <w:r w:rsidRPr="00601FAD">
        <w:rPr>
          <w:rFonts w:cs="Times New Roman"/>
        </w:rPr>
        <w:t>t fall off, I will lose very few cicadas.  Then I balance three balls and, if they don</w:t>
      </w:r>
      <w:r w:rsidR="0007242F" w:rsidRPr="00601FAD">
        <w:rPr>
          <w:rFonts w:cs="Times New Roman"/>
        </w:rPr>
        <w:t>’</w:t>
      </w:r>
      <w:r w:rsidRPr="00601FAD">
        <w:rPr>
          <w:rFonts w:cs="Times New Roman"/>
        </w:rPr>
        <w:t>t fall off, I will lose only one cicada in ten.  Then I balance five balls and, if they don</w:t>
      </w:r>
      <w:r w:rsidR="0007242F" w:rsidRPr="00601FAD">
        <w:rPr>
          <w:rFonts w:cs="Times New Roman"/>
        </w:rPr>
        <w:t>’</w:t>
      </w:r>
      <w:r w:rsidRPr="00601FAD">
        <w:rPr>
          <w:rFonts w:cs="Times New Roman"/>
        </w:rPr>
        <w:t>t fall off, I know it will be as easy as grabbing them with my hand.  I position my body like a stiff tree trunk and hold my arm like an old dry limb.  No matter how expansive heaven and earth are, or how numerous the ten thousand things, I</w:t>
      </w:r>
      <w:r w:rsidR="0007242F" w:rsidRPr="00601FAD">
        <w:rPr>
          <w:rFonts w:cs="Times New Roman"/>
        </w:rPr>
        <w:t>’</w:t>
      </w:r>
      <w:r w:rsidRPr="00601FAD">
        <w:rPr>
          <w:rFonts w:cs="Times New Roman"/>
        </w:rPr>
        <w:t>m aware of</w:t>
      </w:r>
      <w:r w:rsidRPr="00601FAD">
        <w:rPr>
          <w:rStyle w:val="FootnoteReference"/>
          <w:rFonts w:cs="Times New Roman"/>
        </w:rPr>
        <w:footnoteReference w:id="1"/>
      </w:r>
      <w:r w:rsidRPr="00601FAD">
        <w:rPr>
          <w:rFonts w:cs="Times New Roman"/>
        </w:rPr>
        <w:t xml:space="preserve"> nothing but cicada wings. Not wavering, not tipping, not letting any of the other ten thousand things take the place of those cicada wings—how can I help but succeed in taking them?</w:t>
      </w:r>
      <w:r w:rsidR="0007242F" w:rsidRPr="00601FAD">
        <w:rPr>
          <w:rFonts w:cs="Times New Roman"/>
        </w:rPr>
        <w:t>’</w:t>
      </w:r>
      <w:r w:rsidRPr="00601FAD">
        <w:rPr>
          <w:rFonts w:cs="Times New Roman"/>
        </w:rPr>
        <w:t xml:space="preserve">  Confucius turned to </w:t>
      </w:r>
      <w:r w:rsidRPr="00601FAD">
        <w:rPr>
          <w:rFonts w:cs="Times New Roman"/>
        </w:rPr>
        <w:lastRenderedPageBreak/>
        <w:t>his followers and said, “He keeps his will undivided and concentrates his spirit—is this not what we say about the venerable hunchback?” (</w:t>
      </w:r>
      <w:r w:rsidRPr="00601FAD">
        <w:rPr>
          <w:rFonts w:cs="Times New Roman"/>
          <w:i/>
          <w:iCs/>
        </w:rPr>
        <w:t xml:space="preserve">Zhuangzi </w:t>
      </w:r>
      <w:r w:rsidRPr="00601FAD">
        <w:rPr>
          <w:rFonts w:cs="Times New Roman"/>
        </w:rPr>
        <w:t xml:space="preserve">48/19/17-21. Adapted from the translation by Watson, </w:t>
      </w:r>
      <w:r w:rsidRPr="00601FAD">
        <w:rPr>
          <w:rFonts w:cs="Times New Roman"/>
          <w:i/>
        </w:rPr>
        <w:t>The Complete Works</w:t>
      </w:r>
      <w:r w:rsidRPr="00601FAD">
        <w:rPr>
          <w:rFonts w:cs="Times New Roman"/>
        </w:rPr>
        <w:t>, 199-200).</w:t>
      </w:r>
      <w:r w:rsidRPr="00601FAD">
        <w:rPr>
          <w:rStyle w:val="FootnoteReference"/>
          <w:rFonts w:cs="Times New Roman"/>
        </w:rPr>
        <w:footnoteReference w:id="2"/>
      </w:r>
    </w:p>
    <w:p w14:paraId="4D0DD086" w14:textId="77777777" w:rsidR="008C47E2" w:rsidRDefault="00E15DBD" w:rsidP="00280F07">
      <w:pPr>
        <w:pStyle w:val="ListParagraph"/>
        <w:numPr>
          <w:ilvl w:val="0"/>
          <w:numId w:val="2"/>
        </w:numPr>
        <w:jc w:val="center"/>
      </w:pPr>
      <w:r w:rsidRPr="00601FAD">
        <w:t>Introduction</w:t>
      </w:r>
    </w:p>
    <w:p w14:paraId="26059500" w14:textId="77777777" w:rsidR="008C47E2" w:rsidRDefault="008C47E2" w:rsidP="00280F07">
      <w:pPr>
        <w:pStyle w:val="ListParagraph"/>
        <w:ind w:firstLine="0"/>
      </w:pPr>
    </w:p>
    <w:p w14:paraId="3F31DF31" w14:textId="77777777" w:rsidR="006C1EB0" w:rsidRDefault="008C47E2" w:rsidP="00280F07">
      <w:r w:rsidRPr="00601FAD">
        <w:t xml:space="preserve">The cicada-catcher seems an unlikely Daoist.  He comes across as being focused and </w:t>
      </w:r>
      <w:r w:rsidRPr="00485ECC">
        <w:rPr>
          <w:highlight w:val="yellow"/>
        </w:rPr>
        <w:t>organised</w:t>
      </w:r>
      <w:r w:rsidRPr="00601FAD">
        <w:t xml:space="preserve"> as he has a clear sense of his task and what he is required to do.  He confidently and lucidly articulates how he has mapped out and undertaken his training for cicada-catching</w:t>
      </w:r>
      <w:r w:rsidR="0073391A">
        <w:t xml:space="preserve">, giving readers the impression that he has </w:t>
      </w:r>
      <w:r w:rsidR="000A5FF2">
        <w:t>himself successfully followed through with his plans to become an excellent cicada-catcher—so impressive are his actions that Confucius stands in awe</w:t>
      </w:r>
      <w:r w:rsidRPr="00601FAD">
        <w:t>. This story runs against the grain of representations of Daoist philosophy as being wary of words and language (</w:t>
      </w:r>
      <w:r w:rsidRPr="00601FAD">
        <w:rPr>
          <w:i/>
        </w:rPr>
        <w:t>yan</w:t>
      </w:r>
      <w:r w:rsidRPr="00601FAD">
        <w:t xml:space="preserve"> </w:t>
      </w:r>
      <w:r w:rsidRPr="00601FAD">
        <w:rPr>
          <w:rFonts w:ascii="KaiTi" w:eastAsia="KaiTi" w:hAnsi="KaiTi"/>
        </w:rPr>
        <w:t>言</w:t>
      </w:r>
      <w:r w:rsidRPr="00601FAD">
        <w:t>) and as advocating action guided by intuition rather than reason.</w:t>
      </w:r>
      <w:r w:rsidRPr="00601FAD">
        <w:rPr>
          <w:rStyle w:val="FootnoteReference"/>
        </w:rPr>
        <w:footnoteReference w:id="3"/>
      </w:r>
      <w:r w:rsidRPr="00601FAD">
        <w:t xml:space="preserve">  Especially in the </w:t>
      </w:r>
      <w:r w:rsidRPr="00601FAD">
        <w:rPr>
          <w:i/>
        </w:rPr>
        <w:t>Zhuangzi</w:t>
      </w:r>
      <w:r w:rsidRPr="00601FAD">
        <w:t xml:space="preserve">, </w:t>
      </w:r>
      <w:r>
        <w:t xml:space="preserve">a text </w:t>
      </w:r>
      <w:r w:rsidRPr="00601FAD">
        <w:t>with</w:t>
      </w:r>
      <w:r>
        <w:t xml:space="preserve"> a</w:t>
      </w:r>
      <w:r w:rsidRPr="00601FAD">
        <w:t xml:space="preserve"> chapter entitled “Free and </w:t>
      </w:r>
      <w:r w:rsidR="00917D31">
        <w:t>Unfettered</w:t>
      </w:r>
      <w:r w:rsidRPr="00601FAD">
        <w:t xml:space="preserve"> Wandering” (</w:t>
      </w:r>
      <w:proofErr w:type="spellStart"/>
      <w:r w:rsidRPr="00601FAD">
        <w:rPr>
          <w:i/>
        </w:rPr>
        <w:t>Xiaoyaoyou</w:t>
      </w:r>
      <w:proofErr w:type="spellEnd"/>
      <w:r w:rsidRPr="00601FAD">
        <w:rPr>
          <w:i/>
        </w:rPr>
        <w:t xml:space="preserve"> </w:t>
      </w:r>
      <w:proofErr w:type="spellStart"/>
      <w:r w:rsidRPr="00601FAD">
        <w:rPr>
          <w:rFonts w:ascii="KaiTi" w:eastAsia="KaiTi" w:hAnsi="KaiTi"/>
        </w:rPr>
        <w:t>逍遙遊</w:t>
      </w:r>
      <w:proofErr w:type="spellEnd"/>
      <w:r w:rsidRPr="00601FAD">
        <w:t xml:space="preserve">), the cicada-catcher’s noticeable meta-level awareness of his task and the practice required appear ill-fitted to some of the fundamental concerns of </w:t>
      </w:r>
      <w:r>
        <w:t>Daoism</w:t>
      </w:r>
      <w:r w:rsidRPr="00601FAD">
        <w:t xml:space="preserve">, as </w:t>
      </w:r>
      <w:r w:rsidR="00A94D19">
        <w:t>represented in the literature.</w:t>
      </w:r>
    </w:p>
    <w:p w14:paraId="774C2B7F" w14:textId="77777777" w:rsidR="00F80E69" w:rsidRPr="00095B98" w:rsidRDefault="00A94D19" w:rsidP="00280F07">
      <w:r>
        <w:t xml:space="preserve">A focal point of this story is the learning process planned and undertaken by the cicada-catcher. What are his goals, and how does he plan to achieve them?  How does learning to </w:t>
      </w:r>
      <w:r>
        <w:lastRenderedPageBreak/>
        <w:t xml:space="preserve">balance balls on the end of a pole prepare him for catching cicadas? And why does he need to attend </w:t>
      </w:r>
      <w:r w:rsidR="00B24FED">
        <w:t>(</w:t>
      </w:r>
      <w:r>
        <w:t>only</w:t>
      </w:r>
      <w:r w:rsidR="00B24FED">
        <w:t>)</w:t>
      </w:r>
      <w:r>
        <w:t xml:space="preserve"> to cicada wings? This chapter explores </w:t>
      </w:r>
      <w:r w:rsidR="00917D31">
        <w:t xml:space="preserve">these questions in order to </w:t>
      </w:r>
      <w:r>
        <w:t xml:space="preserve">understand more about </w:t>
      </w:r>
      <w:proofErr w:type="spellStart"/>
      <w:r>
        <w:t>Zhuangzian</w:t>
      </w:r>
      <w:proofErr w:type="spellEnd"/>
      <w:r>
        <w:t xml:space="preserve"> skill and mastery from the angle of what is learnt, and how it is learnt.  </w:t>
      </w:r>
      <w:r w:rsidR="00917D31">
        <w:t>Can its views on knowledge and action be aptly captured in terms of</w:t>
      </w:r>
      <w:r w:rsidR="00917D31" w:rsidRPr="00601FAD">
        <w:t xml:space="preserve"> some of the conceptual frameworks and terms provided by western philosophical discussions in epistemology, philosophy of action or philosophy of mind?</w:t>
      </w:r>
      <w:r w:rsidR="00917D31">
        <w:t xml:space="preserve"> </w:t>
      </w:r>
      <w:r w:rsidR="000216C4">
        <w:t>I suggest that the explanatory frameworks and angles used in recent work on Embodied Cognition T</w:t>
      </w:r>
      <w:r w:rsidR="000216C4" w:rsidRPr="00601FAD">
        <w:t>heory</w:t>
      </w:r>
      <w:r w:rsidR="000216C4">
        <w:t xml:space="preserve"> (ECT)</w:t>
      </w:r>
      <w:r w:rsidR="000216C4" w:rsidRPr="00601FAD">
        <w:t>—broadly speaking, that cognition is dependent on or shaped by bodily</w:t>
      </w:r>
      <w:r w:rsidR="000216C4">
        <w:t xml:space="preserve"> and</w:t>
      </w:r>
      <w:r w:rsidR="000216C4" w:rsidRPr="00601FAD">
        <w:t xml:space="preserve"> sensorimotor capacities</w:t>
      </w:r>
      <w:r w:rsidR="000216C4">
        <w:t>, and exercised by engaging with what is presented in the environment</w:t>
      </w:r>
      <w:r w:rsidR="000216C4" w:rsidRPr="00601FAD">
        <w:t>—</w:t>
      </w:r>
      <w:r w:rsidR="000216C4">
        <w:t xml:space="preserve">captures many important elements of mastery in the </w:t>
      </w:r>
      <w:r w:rsidR="000216C4">
        <w:rPr>
          <w:i/>
        </w:rPr>
        <w:t>Zhuangzi</w:t>
      </w:r>
      <w:r w:rsidR="000216C4">
        <w:t xml:space="preserve">.  </w:t>
      </w:r>
      <w:r>
        <w:t>The second objective of this chapter is to draw insights from the</w:t>
      </w:r>
      <w:r w:rsidR="00280F07">
        <w:t xml:space="preserve"> </w:t>
      </w:r>
      <w:r w:rsidR="00280F07">
        <w:rPr>
          <w:i/>
        </w:rPr>
        <w:t>Zhuangzi</w:t>
      </w:r>
      <w:r w:rsidR="00280F07">
        <w:t>’s</w:t>
      </w:r>
      <w:r>
        <w:t xml:space="preserve"> </w:t>
      </w:r>
      <w:r w:rsidR="00280F07">
        <w:t>views</w:t>
      </w:r>
      <w:r>
        <w:t xml:space="preserve"> on learning</w:t>
      </w:r>
      <w:r w:rsidR="00280F07">
        <w:t xml:space="preserve"> in order</w:t>
      </w:r>
      <w:r w:rsidR="00917D31">
        <w:t xml:space="preserve"> to shed light on</w:t>
      </w:r>
      <w:r>
        <w:t xml:space="preserve"> the notion </w:t>
      </w:r>
      <w:r>
        <w:rPr>
          <w:i/>
        </w:rPr>
        <w:t>dao</w:t>
      </w:r>
      <w:r w:rsidR="00917D31">
        <w:t xml:space="preserve"> in the </w:t>
      </w:r>
      <w:r w:rsidR="00917D31">
        <w:rPr>
          <w:i/>
        </w:rPr>
        <w:t>Zhuangzi</w:t>
      </w:r>
      <w:r w:rsidR="00917D31">
        <w:t>’s intellectual context</w:t>
      </w:r>
      <w:r>
        <w:t xml:space="preserve">.  </w:t>
      </w:r>
      <w:r w:rsidR="00280F07">
        <w:t xml:space="preserve">What are the skill masters learning?  </w:t>
      </w:r>
      <w:r>
        <w:t>Wh</w:t>
      </w:r>
      <w:r w:rsidR="006C1EB0">
        <w:t xml:space="preserve">en approached by Confucius </w:t>
      </w:r>
      <w:r w:rsidR="00917D31">
        <w:t>on</w:t>
      </w:r>
      <w:r w:rsidR="006C1EB0">
        <w:t xml:space="preserve"> his awe-inspiring performance, t</w:t>
      </w:r>
      <w:r w:rsidR="008C47E2" w:rsidRPr="00601FAD">
        <w:t xml:space="preserve">he cicada-catcher claims he has </w:t>
      </w:r>
      <w:r w:rsidR="008C47E2" w:rsidRPr="00601FAD">
        <w:rPr>
          <w:i/>
        </w:rPr>
        <w:t>dao</w:t>
      </w:r>
      <w:r w:rsidR="0012435F">
        <w:t>.</w:t>
      </w:r>
      <w:r w:rsidR="008C47E2" w:rsidRPr="00601FAD">
        <w:t xml:space="preserve">  </w:t>
      </w:r>
      <w:r w:rsidR="00B117A0">
        <w:t xml:space="preserve">What is </w:t>
      </w:r>
      <w:r w:rsidR="00B117A0">
        <w:rPr>
          <w:i/>
        </w:rPr>
        <w:t>dao</w:t>
      </w:r>
      <w:r w:rsidR="00B117A0">
        <w:t xml:space="preserve">?  </w:t>
      </w:r>
      <w:r w:rsidR="001A2678">
        <w:t xml:space="preserve">Do each of the </w:t>
      </w:r>
      <w:r w:rsidR="001A2678">
        <w:rPr>
          <w:i/>
        </w:rPr>
        <w:t>Zhuangzi</w:t>
      </w:r>
      <w:r w:rsidR="001A2678">
        <w:t xml:space="preserve">’s masters have (a) </w:t>
      </w:r>
      <w:r w:rsidR="001A2678">
        <w:rPr>
          <w:i/>
        </w:rPr>
        <w:t>dao</w:t>
      </w:r>
      <w:r w:rsidR="001A2678">
        <w:t xml:space="preserve">? </w:t>
      </w:r>
      <w:r w:rsidR="00A62C38">
        <w:t xml:space="preserve">The mastery stories focus on single, </w:t>
      </w:r>
      <w:proofErr w:type="spellStart"/>
      <w:r w:rsidR="00A62C38">
        <w:rPr>
          <w:i/>
        </w:rPr>
        <w:t>ordinar</w:t>
      </w:r>
      <w:proofErr w:type="spellEnd"/>
      <w:r w:rsidR="00A62C38">
        <w:rPr>
          <w:i/>
          <w:lang w:val="en-AU"/>
        </w:rPr>
        <w:t>y</w:t>
      </w:r>
      <w:r w:rsidR="00A62C38">
        <w:rPr>
          <w:lang w:val="en-AU"/>
        </w:rPr>
        <w:t>, activities</w:t>
      </w:r>
      <w:r w:rsidR="000216C4">
        <w:rPr>
          <w:lang w:val="en-AU"/>
        </w:rPr>
        <w:t>.  Hence,</w:t>
      </w:r>
      <w:r w:rsidR="00B117A0">
        <w:rPr>
          <w:lang w:val="en-AU"/>
        </w:rPr>
        <w:t xml:space="preserve"> should we live like the masters</w:t>
      </w:r>
      <w:r w:rsidR="001A2678">
        <w:rPr>
          <w:lang w:val="en-AU"/>
        </w:rPr>
        <w:t>?</w:t>
      </w:r>
      <w:r w:rsidR="00A62C38">
        <w:rPr>
          <w:lang w:val="en-AU"/>
        </w:rPr>
        <w:t xml:space="preserve">  How are their reflections relevant to life, and how do these views speak to a contemporary audience?  </w:t>
      </w:r>
      <w:r w:rsidR="00B117A0">
        <w:t xml:space="preserve">I propose that our grasp of </w:t>
      </w:r>
      <w:r w:rsidR="00B117A0">
        <w:rPr>
          <w:i/>
        </w:rPr>
        <w:t>dao</w:t>
      </w:r>
      <w:r w:rsidR="00B117A0">
        <w:t xml:space="preserve"> may be illuminated through a fuller understanding of the cicada-catcher’s learning program.</w:t>
      </w:r>
      <w:r w:rsidR="00B117A0" w:rsidRPr="001A2678">
        <w:t xml:space="preserve"> </w:t>
      </w:r>
      <w:r w:rsidR="00B117A0">
        <w:t xml:space="preserve"> From that angle, in the cicada-catcher’s</w:t>
      </w:r>
      <w:r w:rsidR="00A62C38">
        <w:t xml:space="preserve"> </w:t>
      </w:r>
      <w:r w:rsidR="001A2678">
        <w:t>story</w:t>
      </w:r>
      <w:r w:rsidR="00A62C38">
        <w:t xml:space="preserve">, </w:t>
      </w:r>
      <w:r w:rsidR="00A62C38">
        <w:rPr>
          <w:i/>
        </w:rPr>
        <w:t>dao</w:t>
      </w:r>
      <w:r w:rsidR="00A62C38">
        <w:t xml:space="preserve"> refers to preparedness, yet openness, in one’s engagement with the world.  </w:t>
      </w:r>
      <w:r w:rsidR="00F80E69">
        <w:t xml:space="preserve">The fundamental claim here is that the cicada-catcher’s approach to learning </w:t>
      </w:r>
      <w:r w:rsidR="0006454A">
        <w:t>can inform our thinking about preparedness for encountering and dealing with</w:t>
      </w:r>
      <w:r w:rsidR="00F80E69">
        <w:t xml:space="preserve"> contingencies in life.</w:t>
      </w:r>
    </w:p>
    <w:p w14:paraId="402D9907" w14:textId="1942734F" w:rsidR="0018675A" w:rsidRDefault="0006454A" w:rsidP="00280F07">
      <w:r>
        <w:t xml:space="preserve">To support my argument about learning and </w:t>
      </w:r>
      <w:r>
        <w:rPr>
          <w:i/>
        </w:rPr>
        <w:t>dao</w:t>
      </w:r>
      <w:r>
        <w:t xml:space="preserve">, </w:t>
      </w:r>
      <w:r w:rsidR="0044655F">
        <w:t xml:space="preserve">the discussion in </w:t>
      </w:r>
      <w:r w:rsidR="00B117A0">
        <w:t>the following section, s</w:t>
      </w:r>
      <w:r w:rsidR="0044655F">
        <w:t>ection 2</w:t>
      </w:r>
      <w:r w:rsidR="00B117A0">
        <w:t>,</w:t>
      </w:r>
      <w:r>
        <w:t xml:space="preserve"> examines the cicada-catcher story to illuminate how learning </w:t>
      </w:r>
      <w:r w:rsidRPr="00601FAD">
        <w:t>must be structured</w:t>
      </w:r>
      <w:r w:rsidR="00F313EA">
        <w:t>,</w:t>
      </w:r>
      <w:r w:rsidRPr="00601FAD">
        <w:t xml:space="preserve"> yet create space for openness in one’s encounter with the world.  </w:t>
      </w:r>
      <w:r>
        <w:t xml:space="preserve">I </w:t>
      </w:r>
      <w:r w:rsidR="0044655F">
        <w:t>discuss</w:t>
      </w:r>
      <w:r>
        <w:t xml:space="preserve"> some possible ways in which we may explain what it is the cicada-catcher hopes to learn, and how </w:t>
      </w:r>
      <w:r>
        <w:lastRenderedPageBreak/>
        <w:t xml:space="preserve">he does it. </w:t>
      </w:r>
      <w:r w:rsidR="0044655F">
        <w:t>Section 3 dwells on</w:t>
      </w:r>
      <w:r w:rsidR="008C47E2" w:rsidRPr="00601FAD">
        <w:t xml:space="preserve"> how some existing </w:t>
      </w:r>
      <w:r w:rsidR="008C47E2" w:rsidRPr="00485ECC">
        <w:rPr>
          <w:highlight w:val="yellow"/>
        </w:rPr>
        <w:t>characterisations</w:t>
      </w:r>
      <w:r w:rsidR="008C47E2" w:rsidRPr="00601FAD">
        <w:t xml:space="preserve"> of the </w:t>
      </w:r>
      <w:r w:rsidR="008C47E2" w:rsidRPr="00601FAD">
        <w:rPr>
          <w:i/>
        </w:rPr>
        <w:t>Zhuangzi</w:t>
      </w:r>
      <w:r w:rsidR="008C47E2" w:rsidRPr="00601FAD">
        <w:t>’s views on knowledge and action—for example, as know-how, intuition, or spontaneity—</w:t>
      </w:r>
      <w:r w:rsidR="0044655F">
        <w:t xml:space="preserve">fail to </w:t>
      </w:r>
      <w:r w:rsidR="008C47E2" w:rsidRPr="00601FAD">
        <w:t xml:space="preserve">capture </w:t>
      </w:r>
      <w:r w:rsidR="0044655F">
        <w:t xml:space="preserve">the </w:t>
      </w:r>
      <w:r w:rsidR="0044655F" w:rsidRPr="00601FAD">
        <w:t xml:space="preserve">cicada-catcher’s empirically-based </w:t>
      </w:r>
      <w:r w:rsidR="0044655F">
        <w:t>approach</w:t>
      </w:r>
      <w:r w:rsidR="008C47E2" w:rsidRPr="00601FAD">
        <w:t xml:space="preserve">.  </w:t>
      </w:r>
      <w:r w:rsidR="008C47E2">
        <w:t>As an alternative</w:t>
      </w:r>
      <w:r w:rsidR="008C47E2" w:rsidRPr="00601FAD">
        <w:t xml:space="preserve">, I suggest </w:t>
      </w:r>
      <w:r w:rsidR="0044655F">
        <w:t xml:space="preserve">in Section </w:t>
      </w:r>
      <w:r w:rsidR="0018675A">
        <w:t>4</w:t>
      </w:r>
      <w:r w:rsidR="0044655F">
        <w:t xml:space="preserve"> </w:t>
      </w:r>
      <w:r w:rsidR="00F9637E">
        <w:t xml:space="preserve">that some aspects of </w:t>
      </w:r>
      <w:r w:rsidR="000216C4">
        <w:t xml:space="preserve">ECT </w:t>
      </w:r>
      <w:r w:rsidR="008C47E2">
        <w:t xml:space="preserve">can provide a more fitting </w:t>
      </w:r>
      <w:r w:rsidR="008C47E2" w:rsidRPr="00601FAD">
        <w:t xml:space="preserve">explanatory framework for understanding the story. The point here is not to establish </w:t>
      </w:r>
      <w:r w:rsidR="008C47E2">
        <w:t>or defend ECT but</w:t>
      </w:r>
      <w:r w:rsidR="008C47E2" w:rsidRPr="00601FAD">
        <w:t xml:space="preserve"> to demonstrate that </w:t>
      </w:r>
      <w:r w:rsidR="00F9637E">
        <w:t>this</w:t>
      </w:r>
      <w:r w:rsidR="008C47E2" w:rsidRPr="00601FAD">
        <w:t xml:space="preserve"> more </w:t>
      </w:r>
      <w:r w:rsidR="00F9637E">
        <w:t>recent approach to knowledge, action and cognition</w:t>
      </w:r>
      <w:r w:rsidR="00B117A0">
        <w:t>,</w:t>
      </w:r>
      <w:r w:rsidR="00F9637E">
        <w:t xml:space="preserve"> can help cast our gaze on the integration between </w:t>
      </w:r>
      <w:r w:rsidR="008C47E2" w:rsidRPr="00601FAD">
        <w:t>a person’s capabilities and actions</w:t>
      </w:r>
      <w:r w:rsidR="00F9637E">
        <w:t>, and therefore</w:t>
      </w:r>
      <w:r w:rsidR="008C47E2" w:rsidRPr="00601FAD">
        <w:t xml:space="preserve"> better </w:t>
      </w:r>
      <w:r w:rsidR="00B117A0">
        <w:t>illuminates</w:t>
      </w:r>
      <w:r w:rsidR="008C47E2" w:rsidRPr="00601FAD">
        <w:t xml:space="preserve"> the </w:t>
      </w:r>
      <w:r w:rsidR="008C47E2" w:rsidRPr="00601FAD">
        <w:rPr>
          <w:i/>
        </w:rPr>
        <w:t>Zhuangzi</w:t>
      </w:r>
      <w:r w:rsidR="008C47E2" w:rsidRPr="00601FAD">
        <w:t>’s empirical approach.</w:t>
      </w:r>
      <w:r w:rsidR="0044655F">
        <w:t xml:space="preserve"> Finally, in Section </w:t>
      </w:r>
      <w:r w:rsidR="0018675A">
        <w:t>5</w:t>
      </w:r>
      <w:r w:rsidR="0044655F">
        <w:t xml:space="preserve">, </w:t>
      </w:r>
      <w:r w:rsidR="008C47E2">
        <w:t xml:space="preserve">I consider how the </w:t>
      </w:r>
      <w:r w:rsidR="008C47E2">
        <w:rPr>
          <w:i/>
        </w:rPr>
        <w:t>Zhuangzi</w:t>
      </w:r>
      <w:r w:rsidR="008C47E2">
        <w:t>’s view</w:t>
      </w:r>
      <w:r w:rsidR="00280F07">
        <w:t>s</w:t>
      </w:r>
      <w:r w:rsidR="008C47E2">
        <w:t xml:space="preserve"> of learning, articulated in the cicada-catcher story, </w:t>
      </w:r>
      <w:r w:rsidR="0044655F">
        <w:t>may be instructive about</w:t>
      </w:r>
      <w:r w:rsidR="008C47E2">
        <w:t xml:space="preserve"> </w:t>
      </w:r>
      <w:r w:rsidR="00F9637E">
        <w:t>how we can pursue a good life</w:t>
      </w:r>
      <w:r w:rsidR="008C47E2">
        <w:t xml:space="preserve">.  </w:t>
      </w:r>
    </w:p>
    <w:p w14:paraId="30547EFB" w14:textId="77777777" w:rsidR="0018675A" w:rsidRDefault="0018675A" w:rsidP="00280F07">
      <w:pPr>
        <w:spacing w:after="200"/>
        <w:ind w:firstLine="0"/>
        <w:jc w:val="center"/>
      </w:pPr>
      <w:r>
        <w:t xml:space="preserve">2. Learning, as a Daoist </w:t>
      </w:r>
      <w:r w:rsidR="00280F07">
        <w:t>L</w:t>
      </w:r>
      <w:r>
        <w:t>earns</w:t>
      </w:r>
    </w:p>
    <w:p w14:paraId="34982A11" w14:textId="62D0896C" w:rsidR="0018675A" w:rsidRDefault="00F313EA" w:rsidP="00280F07">
      <w:r>
        <w:rPr>
          <w:rFonts w:cs="Times New Roman"/>
        </w:rPr>
        <w:t>In the story, t</w:t>
      </w:r>
      <w:r w:rsidR="0018675A">
        <w:rPr>
          <w:rFonts w:cs="Times New Roman"/>
        </w:rPr>
        <w:t>he cicada-catcher’s learning process involves</w:t>
      </w:r>
      <w:r w:rsidR="00274E2B">
        <w:rPr>
          <w:rFonts w:cs="Times New Roman"/>
        </w:rPr>
        <w:t xml:space="preserve"> only</w:t>
      </w:r>
      <w:r w:rsidR="0018675A">
        <w:rPr>
          <w:rFonts w:cs="Times New Roman"/>
        </w:rPr>
        <w:t xml:space="preserve"> </w:t>
      </w:r>
      <w:r>
        <w:rPr>
          <w:rFonts w:cs="Times New Roman"/>
        </w:rPr>
        <w:t xml:space="preserve">the cicada-catcher </w:t>
      </w:r>
      <w:r w:rsidR="0018675A">
        <w:rPr>
          <w:rFonts w:cs="Times New Roman"/>
        </w:rPr>
        <w:t>him</w:t>
      </w:r>
      <w:r w:rsidR="00274E2B">
        <w:rPr>
          <w:rFonts w:cs="Times New Roman"/>
        </w:rPr>
        <w:t>self</w:t>
      </w:r>
      <w:r>
        <w:rPr>
          <w:rFonts w:cs="Times New Roman"/>
        </w:rPr>
        <w:t xml:space="preserve"> and the activity of cicada-catching</w:t>
      </w:r>
      <w:r w:rsidR="0018675A">
        <w:rPr>
          <w:rFonts w:cs="Times New Roman"/>
        </w:rPr>
        <w:t xml:space="preserve">.  There are no references to a teacher or a model, or to other cicada-catchers who might share in his practices.  There would have been other cicada-catchers as part of this cicada-catcher’s community of practice, but in this </w:t>
      </w:r>
      <w:proofErr w:type="gramStart"/>
      <w:r w:rsidR="0018675A">
        <w:rPr>
          <w:rFonts w:cs="Times New Roman"/>
        </w:rPr>
        <w:t>story</w:t>
      </w:r>
      <w:proofErr w:type="gramEnd"/>
      <w:r w:rsidR="0018675A">
        <w:rPr>
          <w:rFonts w:cs="Times New Roman"/>
        </w:rPr>
        <w:t xml:space="preserve"> we encounter only him, in conversation with Confucius</w:t>
      </w:r>
      <w:r w:rsidR="00274E2B">
        <w:rPr>
          <w:rFonts w:cs="Times New Roman"/>
        </w:rPr>
        <w:t>.  Some of Confucius’ followers are present, bu</w:t>
      </w:r>
      <w:r w:rsidR="00EC23E5">
        <w:rPr>
          <w:rFonts w:cs="Times New Roman"/>
        </w:rPr>
        <w:t xml:space="preserve">t </w:t>
      </w:r>
      <w:r w:rsidR="00274E2B">
        <w:rPr>
          <w:rFonts w:cs="Times New Roman"/>
        </w:rPr>
        <w:t>they</w:t>
      </w:r>
      <w:r w:rsidR="00EC23E5">
        <w:rPr>
          <w:rFonts w:cs="Times New Roman"/>
        </w:rPr>
        <w:t xml:space="preserve"> are only recipients of Confucius’ instructions and </w:t>
      </w:r>
      <w:r w:rsidR="00274E2B">
        <w:rPr>
          <w:rFonts w:cs="Times New Roman"/>
        </w:rPr>
        <w:t>do not have a voice in this story</w:t>
      </w:r>
      <w:r w:rsidR="0018675A">
        <w:rPr>
          <w:rFonts w:cs="Times New Roman"/>
        </w:rPr>
        <w:t xml:space="preserve">.  At the scene, Confucius is intrigued by the cicada-catcher’s expertise and requests more information about his skill </w:t>
      </w:r>
      <w:r w:rsidR="0018675A" w:rsidRPr="00C41649">
        <w:rPr>
          <w:rFonts w:cs="Times New Roman"/>
        </w:rPr>
        <w:t>(</w:t>
      </w:r>
      <w:proofErr w:type="spellStart"/>
      <w:r w:rsidR="0018675A">
        <w:rPr>
          <w:rFonts w:cs="Times New Roman"/>
          <w:i/>
        </w:rPr>
        <w:t>qiao</w:t>
      </w:r>
      <w:proofErr w:type="spellEnd"/>
      <w:r w:rsidR="0018675A">
        <w:rPr>
          <w:rFonts w:cs="Times New Roman"/>
        </w:rPr>
        <w:t xml:space="preserve"> </w:t>
      </w:r>
      <w:r w:rsidR="0018675A" w:rsidRPr="00C41649">
        <w:rPr>
          <w:rFonts w:ascii="KaiTi" w:eastAsia="KaiTi" w:hAnsi="KaiTi" w:cs="Times New Roman" w:hint="eastAsia"/>
        </w:rPr>
        <w:t>巧</w:t>
      </w:r>
      <w:r w:rsidR="0018675A" w:rsidRPr="00C41649">
        <w:rPr>
          <w:rFonts w:cs="Times New Roman"/>
        </w:rPr>
        <w:t>).</w:t>
      </w:r>
      <w:r w:rsidR="0018675A">
        <w:rPr>
          <w:rFonts w:cs="Times New Roman"/>
        </w:rPr>
        <w:t xml:space="preserve">  “</w:t>
      </w:r>
      <w:r>
        <w:rPr>
          <w:rFonts w:cs="Times New Roman"/>
        </w:rPr>
        <w:t xml:space="preserve">What skill you have! </w:t>
      </w:r>
      <w:r w:rsidR="0018675A">
        <w:rPr>
          <w:rFonts w:cs="Times New Roman"/>
        </w:rPr>
        <w:t xml:space="preserve">Is there (a) </w:t>
      </w:r>
      <w:r w:rsidR="0018675A">
        <w:rPr>
          <w:rFonts w:cs="Times New Roman"/>
          <w:i/>
        </w:rPr>
        <w:t>dao</w:t>
      </w:r>
      <w:r w:rsidR="0018675A">
        <w:rPr>
          <w:rFonts w:cs="Times New Roman"/>
        </w:rPr>
        <w:t>?” (</w:t>
      </w:r>
      <w:r w:rsidR="0018675A">
        <w:rPr>
          <w:rFonts w:cs="Times New Roman"/>
          <w:i/>
        </w:rPr>
        <w:t>you dao ye</w:t>
      </w:r>
      <w:r w:rsidR="0018675A">
        <w:rPr>
          <w:rFonts w:cs="Times New Roman"/>
        </w:rPr>
        <w:t xml:space="preserve"> </w:t>
      </w:r>
      <w:proofErr w:type="spellStart"/>
      <w:r w:rsidR="0018675A" w:rsidRPr="00C41649">
        <w:rPr>
          <w:rFonts w:ascii="KaiTi" w:eastAsia="KaiTi" w:hAnsi="KaiTi"/>
        </w:rPr>
        <w:t>有道</w:t>
      </w:r>
      <w:r w:rsidR="0018675A" w:rsidRPr="00C41649">
        <w:rPr>
          <w:rFonts w:ascii="KaiTi" w:eastAsia="KaiTi" w:hAnsi="KaiTi" w:cs="PMingLiU" w:hint="eastAsia"/>
        </w:rPr>
        <w:t>邪</w:t>
      </w:r>
      <w:proofErr w:type="spellEnd"/>
      <w:r w:rsidR="0018675A">
        <w:rPr>
          <w:rFonts w:cs="Times New Roman"/>
        </w:rPr>
        <w:t xml:space="preserve">), Confucius asks.  The portrayal of the craftsman engaged in learning, without a teacher, is a common theme in the skill stories in the </w:t>
      </w:r>
      <w:r w:rsidR="0018675A">
        <w:rPr>
          <w:rFonts w:cs="Times New Roman"/>
          <w:i/>
        </w:rPr>
        <w:t>Zhuangzi</w:t>
      </w:r>
      <w:r w:rsidR="0018675A">
        <w:rPr>
          <w:rFonts w:cs="Times New Roman"/>
        </w:rPr>
        <w:t>.  The butcher, Pao Ding, tells of how he has learnt to carve an ox effortlessly (</w:t>
      </w:r>
      <w:r w:rsidR="0018675A">
        <w:rPr>
          <w:rFonts w:cs="Times New Roman"/>
          <w:i/>
        </w:rPr>
        <w:t>Zhuangzi</w:t>
      </w:r>
      <w:r w:rsidR="0018675A">
        <w:rPr>
          <w:rFonts w:cs="Times New Roman"/>
        </w:rPr>
        <w:t xml:space="preserve"> </w:t>
      </w:r>
      <w:r w:rsidR="0018675A">
        <w:t>7/3/2-8/3/12); the swimmer enlightens Confucius on how he has developed skill to swim at the foot of dangerous cascades (</w:t>
      </w:r>
      <w:r w:rsidR="0018675A">
        <w:rPr>
          <w:i/>
        </w:rPr>
        <w:t>Zhuangzi</w:t>
      </w:r>
      <w:r w:rsidR="0018675A">
        <w:t xml:space="preserve"> 48/19/22-26); the wheelmaker, Bian (</w:t>
      </w:r>
      <w:r w:rsidR="0018675A" w:rsidRPr="009D022C">
        <w:rPr>
          <w:rFonts w:ascii="KaiTi" w:eastAsia="KaiTi" w:hAnsi="KaiTi" w:hint="eastAsia"/>
        </w:rPr>
        <w:t>扁</w:t>
      </w:r>
      <w:r w:rsidR="0018675A">
        <w:t>), says that has tried teaching his son how to make wheels, but has failed to do so (</w:t>
      </w:r>
      <w:r w:rsidR="0018675A">
        <w:rPr>
          <w:i/>
        </w:rPr>
        <w:t>Zhuangzi</w:t>
      </w:r>
      <w:r w:rsidR="0018675A">
        <w:t xml:space="preserve"> 36/13/68-74).  In fact, </w:t>
      </w:r>
      <w:r w:rsidR="0018675A">
        <w:rPr>
          <w:i/>
        </w:rPr>
        <w:t>none</w:t>
      </w:r>
      <w:r w:rsidR="0018675A">
        <w:t xml:space="preserve"> of the </w:t>
      </w:r>
      <w:r w:rsidR="0018675A">
        <w:rPr>
          <w:i/>
        </w:rPr>
        <w:lastRenderedPageBreak/>
        <w:t>Zhuangzi</w:t>
      </w:r>
      <w:r w:rsidR="0018675A">
        <w:t xml:space="preserve">’s stories on expertise </w:t>
      </w:r>
      <w:r w:rsidR="00EC23E5">
        <w:t xml:space="preserve">directly </w:t>
      </w:r>
      <w:r w:rsidR="0018675A">
        <w:t xml:space="preserve">involve a teacher!  </w:t>
      </w:r>
      <w:r>
        <w:t>Moreover, a</w:t>
      </w:r>
      <w:r w:rsidR="0018675A">
        <w:t xml:space="preserve">lthough there are passages where instruction occurs, they advocate non-conventional ways of teaching (see </w:t>
      </w:r>
      <w:proofErr w:type="spellStart"/>
      <w:r w:rsidR="0018675A">
        <w:t>Defoort</w:t>
      </w:r>
      <w:proofErr w:type="spellEnd"/>
      <w:r w:rsidR="0018675A">
        <w:t xml:space="preserve">, “Instruction Dialogues in the </w:t>
      </w:r>
      <w:r w:rsidR="0018675A">
        <w:rPr>
          <w:i/>
        </w:rPr>
        <w:t>Zhuangzi</w:t>
      </w:r>
      <w:r w:rsidR="0018675A">
        <w:t xml:space="preserve">”).  For example, </w:t>
      </w:r>
      <w:proofErr w:type="spellStart"/>
      <w:r w:rsidR="0018675A">
        <w:t>Liezi’s</w:t>
      </w:r>
      <w:proofErr w:type="spellEnd"/>
      <w:r w:rsidR="0018675A">
        <w:t xml:space="preserve"> teacher scares away a shaman simply by manifesting vacuity (</w:t>
      </w:r>
      <w:r w:rsidR="0018675A">
        <w:rPr>
          <w:i/>
        </w:rPr>
        <w:t>xu</w:t>
      </w:r>
      <w:r w:rsidR="0018675A">
        <w:t xml:space="preserve"> </w:t>
      </w:r>
      <w:r w:rsidR="0018675A" w:rsidRPr="009C3260">
        <w:rPr>
          <w:rFonts w:ascii="KaiTi" w:eastAsia="KaiTi" w:hAnsi="KaiTi" w:cs="PMingLiU" w:hint="eastAsia"/>
        </w:rPr>
        <w:t>虛</w:t>
      </w:r>
      <w:r w:rsidR="0018675A" w:rsidRPr="009C3260">
        <w:rPr>
          <w:rFonts w:eastAsia="KaiTi" w:cs="Times New Roman"/>
        </w:rPr>
        <w:t>;</w:t>
      </w:r>
      <w:r w:rsidR="0018675A">
        <w:rPr>
          <w:rFonts w:ascii="KaiTi" w:eastAsia="KaiTi" w:hAnsi="KaiTi" w:cs="PMingLiU"/>
        </w:rPr>
        <w:t xml:space="preserve"> </w:t>
      </w:r>
      <w:r w:rsidR="0018675A">
        <w:rPr>
          <w:i/>
        </w:rPr>
        <w:t>Zhuangzi</w:t>
      </w:r>
      <w:r w:rsidR="0018675A">
        <w:t xml:space="preserve"> 20/7/15-21/7/31).  In the final section, I will explain how the </w:t>
      </w:r>
      <w:r w:rsidR="0018675A">
        <w:rPr>
          <w:i/>
        </w:rPr>
        <w:t>Zhuangzi</w:t>
      </w:r>
      <w:r w:rsidR="0018675A">
        <w:t xml:space="preserve">’s aversion to teaching </w:t>
      </w:r>
      <w:proofErr w:type="gramStart"/>
      <w:r w:rsidR="0018675A">
        <w:t>is an important part of its rejection of conventional views on government and society</w:t>
      </w:r>
      <w:proofErr w:type="gramEnd"/>
      <w:r w:rsidR="0018675A">
        <w:t xml:space="preserve">.  Here, I focus on the </w:t>
      </w:r>
      <w:r w:rsidR="004575D2">
        <w:t>text’s discussions on the</w:t>
      </w:r>
      <w:r w:rsidR="0018675A">
        <w:t xml:space="preserve"> </w:t>
      </w:r>
      <w:r w:rsidR="0018675A">
        <w:rPr>
          <w:i/>
        </w:rPr>
        <w:t>transmission</w:t>
      </w:r>
      <w:r w:rsidR="0018675A">
        <w:t xml:space="preserve"> of ideas </w:t>
      </w:r>
      <w:r w:rsidR="004575D2">
        <w:t>to illuminate our understanding of</w:t>
      </w:r>
      <w:r w:rsidR="0018675A">
        <w:t xml:space="preserve"> the cicada-catcher’s learning processes.  </w:t>
      </w:r>
      <w:r w:rsidR="004575D2">
        <w:t>Verbal</w:t>
      </w:r>
      <w:r w:rsidR="0018675A">
        <w:t xml:space="preserve"> instruction, a </w:t>
      </w:r>
      <w:r w:rsidR="004575D2">
        <w:t xml:space="preserve">commonly-used </w:t>
      </w:r>
      <w:r w:rsidR="0018675A">
        <w:t xml:space="preserve">mode of teaching, is a recurrent theme in some of the mastery stories.  </w:t>
      </w:r>
      <w:r w:rsidR="004575D2">
        <w:t>In fact, the text is wary of it.  For example, t</w:t>
      </w:r>
      <w:r w:rsidR="0018675A">
        <w:t xml:space="preserve">he Wheelwright singles </w:t>
      </w:r>
      <w:r w:rsidR="004575D2">
        <w:t>out</w:t>
      </w:r>
      <w:r>
        <w:t xml:space="preserve"> words</w:t>
      </w:r>
      <w:r w:rsidR="0018675A">
        <w:t xml:space="preserve"> as an ineffective mode of</w:t>
      </w:r>
      <w:r>
        <w:t xml:space="preserve"> teaching and</w:t>
      </w:r>
      <w:r w:rsidR="0018675A">
        <w:t xml:space="preserve"> learning</w:t>
      </w:r>
      <w:r>
        <w:t>.  He</w:t>
      </w:r>
      <w:r w:rsidR="0018675A">
        <w:t xml:space="preserve"> draw</w:t>
      </w:r>
      <w:r>
        <w:t>s</w:t>
      </w:r>
      <w:r w:rsidR="0018675A">
        <w:t xml:space="preserve"> parallels between </w:t>
      </w:r>
      <w:r>
        <w:t>hi</w:t>
      </w:r>
      <w:r w:rsidR="0018675A">
        <w:t>s attempt to teach his son how to make wheels, and Duke Huan’s reading of books on past sages:</w:t>
      </w:r>
    </w:p>
    <w:p w14:paraId="4C92A192" w14:textId="77777777" w:rsidR="0018675A" w:rsidRDefault="0018675A" w:rsidP="00280F07">
      <w:pPr>
        <w:ind w:left="567" w:firstLine="0"/>
        <w:rPr>
          <w:rFonts w:eastAsia="KaiTi"/>
          <w:lang w:val="en-AU"/>
        </w:rPr>
      </w:pPr>
      <w:r>
        <w:rPr>
          <w:rFonts w:eastAsia="KaiTi"/>
          <w:lang w:val="en-AU"/>
        </w:rPr>
        <w:t>I</w:t>
      </w:r>
      <w:r w:rsidRPr="00CD7A9A">
        <w:rPr>
          <w:rFonts w:eastAsia="KaiTi"/>
          <w:lang w:val="en-AU"/>
        </w:rPr>
        <w:t xml:space="preserve"> </w:t>
      </w:r>
      <w:r>
        <w:rPr>
          <w:rFonts w:eastAsia="KaiTi"/>
          <w:lang w:val="en-AU"/>
        </w:rPr>
        <w:t>cannot</w:t>
      </w:r>
      <w:r w:rsidRPr="00CD7A9A">
        <w:rPr>
          <w:rFonts w:eastAsia="KaiTi"/>
          <w:lang w:val="en-AU"/>
        </w:rPr>
        <w:t xml:space="preserve"> put it into words, and yet </w:t>
      </w:r>
      <w:r>
        <w:rPr>
          <w:rFonts w:eastAsia="KaiTi"/>
          <w:lang w:val="en-AU"/>
        </w:rPr>
        <w:t>I</w:t>
      </w:r>
      <w:r w:rsidRPr="00CD7A9A">
        <w:rPr>
          <w:rFonts w:eastAsia="KaiTi"/>
          <w:lang w:val="en-AU"/>
        </w:rPr>
        <w:t xml:space="preserve"> </w:t>
      </w:r>
      <w:r>
        <w:rPr>
          <w:rFonts w:eastAsia="KaiTi"/>
          <w:lang w:val="en-AU"/>
        </w:rPr>
        <w:t xml:space="preserve">figure it out </w:t>
      </w:r>
      <w:proofErr w:type="gramStart"/>
      <w:r>
        <w:rPr>
          <w:rFonts w:eastAsia="KaiTi"/>
          <w:lang w:val="en-AU"/>
        </w:rPr>
        <w:t>in the midst of</w:t>
      </w:r>
      <w:proofErr w:type="gramEnd"/>
      <w:r>
        <w:rPr>
          <w:rFonts w:eastAsia="KaiTi"/>
          <w:lang w:val="en-AU"/>
        </w:rPr>
        <w:t xml:space="preserve"> the activity</w:t>
      </w:r>
      <w:r w:rsidRPr="00CD7A9A">
        <w:rPr>
          <w:rFonts w:eastAsia="KaiTi"/>
          <w:lang w:val="en-AU"/>
        </w:rPr>
        <w:t xml:space="preserve">. I cannot teach </w:t>
      </w:r>
      <w:r>
        <w:rPr>
          <w:rFonts w:eastAsia="KaiTi"/>
          <w:lang w:val="en-AU"/>
        </w:rPr>
        <w:t>this</w:t>
      </w:r>
      <w:r w:rsidRPr="00CD7A9A">
        <w:rPr>
          <w:rFonts w:eastAsia="KaiTi"/>
          <w:lang w:val="en-AU"/>
        </w:rPr>
        <w:t xml:space="preserve"> to my son, and he cannot receive it from me.</w:t>
      </w:r>
      <w:r>
        <w:rPr>
          <w:rFonts w:eastAsia="KaiTi"/>
          <w:lang w:val="en-AU"/>
        </w:rPr>
        <w:t>.</w:t>
      </w:r>
      <w:r>
        <w:t>.</w:t>
      </w:r>
      <w:r w:rsidRPr="00CD7A9A">
        <w:rPr>
          <w:rFonts w:eastAsia="KaiTi"/>
          <w:lang w:val="en-AU"/>
        </w:rPr>
        <w:t xml:space="preserve">When the men of old died, they took with them the things that couldn’t be handed down. </w:t>
      </w:r>
      <w:proofErr w:type="gramStart"/>
      <w:r w:rsidRPr="00CD7A9A">
        <w:rPr>
          <w:rFonts w:eastAsia="KaiTi"/>
          <w:lang w:val="en-AU"/>
        </w:rPr>
        <w:t>So</w:t>
      </w:r>
      <w:proofErr w:type="gramEnd"/>
      <w:r w:rsidRPr="00CD7A9A">
        <w:rPr>
          <w:rFonts w:eastAsia="KaiTi"/>
          <w:lang w:val="en-AU"/>
        </w:rPr>
        <w:t xml:space="preserve"> what you are reading there must be nothing but the chaff and dregs of the men of old.</w:t>
      </w:r>
      <w:r w:rsidRPr="00DD3EC3">
        <w:rPr>
          <w:rFonts w:eastAsia="KaiTi"/>
          <w:lang w:val="en-AU"/>
        </w:rPr>
        <w:t xml:space="preserve"> </w:t>
      </w:r>
      <w:r>
        <w:rPr>
          <w:rFonts w:eastAsia="KaiTi"/>
          <w:lang w:val="en-AU"/>
        </w:rPr>
        <w:t>(adapted from the translation by</w:t>
      </w:r>
      <w:r w:rsidRPr="002233A9">
        <w:rPr>
          <w:rFonts w:eastAsia="KaiTi"/>
          <w:lang w:val="en-AU"/>
        </w:rPr>
        <w:t xml:space="preserve"> Watson</w:t>
      </w:r>
      <w:r>
        <w:rPr>
          <w:rFonts w:eastAsia="KaiTi"/>
          <w:lang w:val="en-AU"/>
        </w:rPr>
        <w:t>,</w:t>
      </w:r>
      <w:r w:rsidRPr="002233A9">
        <w:rPr>
          <w:rFonts w:eastAsia="KaiTi"/>
          <w:lang w:val="en-AU"/>
        </w:rPr>
        <w:t xml:space="preserve"> </w:t>
      </w:r>
      <w:r w:rsidRPr="00601FAD">
        <w:rPr>
          <w:rFonts w:eastAsia="PMingLiU" w:cs="Times New Roman"/>
          <w:i/>
        </w:rPr>
        <w:t xml:space="preserve">The Complete </w:t>
      </w:r>
      <w:r w:rsidR="00280F07" w:rsidRPr="00280F07">
        <w:rPr>
          <w:rFonts w:eastAsia="PMingLiU" w:cs="Times New Roman"/>
          <w:i/>
        </w:rPr>
        <w:t>Works,</w:t>
      </w:r>
      <w:r w:rsidRPr="002233A9">
        <w:rPr>
          <w:rFonts w:eastAsia="KaiTi"/>
          <w:lang w:val="en-AU"/>
        </w:rPr>
        <w:t xml:space="preserve"> 152-3</w:t>
      </w:r>
      <w:r>
        <w:rPr>
          <w:rFonts w:eastAsia="KaiTi"/>
          <w:lang w:val="en-AU"/>
        </w:rPr>
        <w:t>)</w:t>
      </w:r>
    </w:p>
    <w:p w14:paraId="304D3E40" w14:textId="4CE06502" w:rsidR="008C47E2" w:rsidRPr="00280F07" w:rsidRDefault="0018675A" w:rsidP="00280F07">
      <w:pPr>
        <w:ind w:firstLine="0"/>
        <w:rPr>
          <w:rFonts w:eastAsia="KaiTi" w:cs="Times New Roman"/>
        </w:rPr>
      </w:pPr>
      <w:r>
        <w:t xml:space="preserve">The point here is not that </w:t>
      </w:r>
      <w:r>
        <w:rPr>
          <w:i/>
        </w:rPr>
        <w:t>no</w:t>
      </w:r>
      <w:r>
        <w:t xml:space="preserve"> knowledge or skill can be transmitted but, rather, that the kind of capability the </w:t>
      </w:r>
      <w:r>
        <w:rPr>
          <w:i/>
        </w:rPr>
        <w:t>Zhuangzi</w:t>
      </w:r>
      <w:r>
        <w:t xml:space="preserve"> sought (</w:t>
      </w:r>
      <w:proofErr w:type="spellStart"/>
      <w:r>
        <w:rPr>
          <w:i/>
        </w:rPr>
        <w:t>qiao</w:t>
      </w:r>
      <w:proofErr w:type="spellEnd"/>
      <w:r>
        <w:t xml:space="preserve">, </w:t>
      </w:r>
      <w:r w:rsidRPr="00C41649">
        <w:rPr>
          <w:rFonts w:ascii="KaiTi" w:eastAsia="KaiTi" w:hAnsi="KaiTi" w:cs="Times New Roman" w:hint="eastAsia"/>
        </w:rPr>
        <w:t>巧</w:t>
      </w:r>
      <w:r w:rsidRPr="006E6AF0">
        <w:rPr>
          <w:rFonts w:eastAsia="KaiTi" w:cs="Times New Roman"/>
        </w:rPr>
        <w:t xml:space="preserve">; </w:t>
      </w:r>
      <w:r w:rsidRPr="006E6AF0">
        <w:rPr>
          <w:rFonts w:eastAsia="KaiTi" w:cs="Times New Roman"/>
          <w:i/>
        </w:rPr>
        <w:t>ji</w:t>
      </w:r>
      <w:r w:rsidRPr="006E6AF0">
        <w:rPr>
          <w:rFonts w:eastAsia="KaiTi" w:cs="Times New Roman"/>
        </w:rPr>
        <w:t xml:space="preserve"> </w:t>
      </w:r>
      <w:r w:rsidRPr="006E6AF0">
        <w:rPr>
          <w:rFonts w:ascii="KaiTi" w:eastAsia="KaiTi" w:hAnsi="KaiTi" w:cs="Times New Roman" w:hint="eastAsia"/>
        </w:rPr>
        <w:t>技</w:t>
      </w:r>
      <w:r>
        <w:t>) cannot be transmitted</w:t>
      </w:r>
      <w:r w:rsidR="004575D2">
        <w:t>, especially not in words</w:t>
      </w:r>
      <w:r>
        <w:t xml:space="preserve">.  Is this </w:t>
      </w:r>
      <w:r w:rsidR="004575D2">
        <w:t>a reason why these ordinary men have acquired mastery</w:t>
      </w:r>
      <w:r>
        <w:t xml:space="preserve"> without a teacher?  But—aren’t these masters themselves attempting to impart instructions when they converse with Confucius and others about their skills?  Is it their intention to teach?  On closer scrutiny, it appears that these masters are perhaps only describing how </w:t>
      </w:r>
      <w:r>
        <w:rPr>
          <w:i/>
        </w:rPr>
        <w:t>they themselves</w:t>
      </w:r>
      <w:r>
        <w:t xml:space="preserve"> have learnt their skill, in response to the questions they have been asked.  In other words, the format of </w:t>
      </w:r>
      <w:r w:rsidR="004575D2">
        <w:t>the masters’ response in</w:t>
      </w:r>
      <w:r>
        <w:t xml:space="preserve"> </w:t>
      </w:r>
      <w:r w:rsidR="004575D2">
        <w:t>quite a few of the stories</w:t>
      </w:r>
      <w:r>
        <w:t xml:space="preserve"> run</w:t>
      </w:r>
      <w:r w:rsidR="004575D2">
        <w:t>s</w:t>
      </w:r>
      <w:r>
        <w:t xml:space="preserve"> like this: you’ve asked me </w:t>
      </w:r>
      <w:r>
        <w:lastRenderedPageBreak/>
        <w:t xml:space="preserve">how I do this (butchering, swimming, ferrying etc).  Well, let me tell you how </w:t>
      </w:r>
      <w:r>
        <w:rPr>
          <w:i/>
        </w:rPr>
        <w:t>I</w:t>
      </w:r>
      <w:r>
        <w:t xml:space="preserve"> did it. </w:t>
      </w:r>
      <w:r w:rsidR="004575D2">
        <w:t xml:space="preserve"> First, it was like this, and I did that.  Then I proceeded to do this.  Now, at this point (years later) this is what I do.  </w:t>
      </w:r>
      <w:r>
        <w:t xml:space="preserve">(I’m not telling </w:t>
      </w:r>
      <w:r>
        <w:rPr>
          <w:i/>
        </w:rPr>
        <w:t>you</w:t>
      </w:r>
      <w:r>
        <w:t xml:space="preserve"> how to do it!).  The use of first-person self-references by these masters in their stories supports this </w:t>
      </w:r>
      <w:r w:rsidR="0080430B">
        <w:t>claim</w:t>
      </w:r>
      <w:r>
        <w:t xml:space="preserve"> that the masters were telling their personalised stories rather than providing generalised accounts of learning: across the mastery stories, the characters </w:t>
      </w:r>
      <w:proofErr w:type="spellStart"/>
      <w:r w:rsidRPr="00E63713">
        <w:rPr>
          <w:rFonts w:eastAsia="KaiTi" w:cs="Times New Roman"/>
          <w:i/>
        </w:rPr>
        <w:t>chen</w:t>
      </w:r>
      <w:proofErr w:type="spellEnd"/>
      <w:r w:rsidRPr="00E63713">
        <w:rPr>
          <w:rFonts w:eastAsia="KaiTi" w:cs="Times New Roman"/>
        </w:rPr>
        <w:t xml:space="preserve"> (</w:t>
      </w:r>
      <w:r w:rsidRPr="00E63713">
        <w:rPr>
          <w:rFonts w:eastAsia="KaiTi" w:cs="Times New Roman"/>
        </w:rPr>
        <w:t>臣</w:t>
      </w:r>
      <w:r w:rsidRPr="00E63713">
        <w:rPr>
          <w:rFonts w:eastAsia="KaiTi" w:cs="Times New Roman"/>
        </w:rPr>
        <w:t xml:space="preserve">), </w:t>
      </w:r>
      <w:r w:rsidRPr="00E63713">
        <w:rPr>
          <w:rFonts w:eastAsia="KaiTi" w:cs="Times New Roman"/>
          <w:i/>
        </w:rPr>
        <w:t>wo</w:t>
      </w:r>
      <w:r w:rsidRPr="00E63713">
        <w:rPr>
          <w:rFonts w:eastAsia="KaiTi" w:cs="Times New Roman"/>
        </w:rPr>
        <w:t xml:space="preserve"> (</w:t>
      </w:r>
      <w:r w:rsidRPr="00E63713">
        <w:rPr>
          <w:rFonts w:eastAsia="KaiTi" w:cs="Times New Roman"/>
        </w:rPr>
        <w:t>我</w:t>
      </w:r>
      <w:r w:rsidRPr="00E63713">
        <w:rPr>
          <w:rFonts w:eastAsia="KaiTi" w:cs="Times New Roman"/>
        </w:rPr>
        <w:t xml:space="preserve">) and </w:t>
      </w:r>
      <w:r w:rsidRPr="00E63713">
        <w:rPr>
          <w:rFonts w:eastAsia="KaiTi" w:cs="Times New Roman"/>
          <w:i/>
        </w:rPr>
        <w:t>wu</w:t>
      </w:r>
      <w:r w:rsidRPr="00E63713">
        <w:rPr>
          <w:rFonts w:eastAsia="KaiTi" w:cs="Times New Roman"/>
        </w:rPr>
        <w:t xml:space="preserve"> (</w:t>
      </w:r>
      <w:r w:rsidRPr="00E63713">
        <w:rPr>
          <w:rFonts w:eastAsia="KaiTi" w:cs="Times New Roman"/>
        </w:rPr>
        <w:t>吾</w:t>
      </w:r>
      <w:r w:rsidRPr="00E63713">
        <w:rPr>
          <w:rFonts w:eastAsia="KaiTi" w:cs="Times New Roman"/>
        </w:rPr>
        <w:t xml:space="preserve">) </w:t>
      </w:r>
      <w:r>
        <w:rPr>
          <w:rFonts w:eastAsia="KaiTi" w:cs="Times New Roman"/>
        </w:rPr>
        <w:t>are used</w:t>
      </w:r>
      <w:r w:rsidR="00691640">
        <w:rPr>
          <w:rFonts w:eastAsia="KaiTi" w:cs="Times New Roman"/>
        </w:rPr>
        <w:t xml:space="preserve">.  These </w:t>
      </w:r>
      <w:r w:rsidR="00F313EA">
        <w:rPr>
          <w:rFonts w:eastAsia="KaiTi" w:cs="Times New Roman"/>
        </w:rPr>
        <w:t xml:space="preserve">self-referential </w:t>
      </w:r>
      <w:r w:rsidR="00691640">
        <w:rPr>
          <w:rFonts w:eastAsia="KaiTi" w:cs="Times New Roman"/>
        </w:rPr>
        <w:t xml:space="preserve">terms </w:t>
      </w:r>
      <w:r>
        <w:rPr>
          <w:rFonts w:eastAsia="KaiTi" w:cs="Times New Roman"/>
        </w:rPr>
        <w:t xml:space="preserve">signify how the masters, by and for themselves, </w:t>
      </w:r>
      <w:r w:rsidR="00691640">
        <w:rPr>
          <w:rFonts w:eastAsia="KaiTi" w:cs="Times New Roman"/>
        </w:rPr>
        <w:t xml:space="preserve">have </w:t>
      </w:r>
      <w:r>
        <w:rPr>
          <w:rFonts w:eastAsia="KaiTi" w:cs="Times New Roman"/>
        </w:rPr>
        <w:t xml:space="preserve">developed and cultivated their different skills and capabilities. </w:t>
      </w:r>
      <w:r w:rsidRPr="00E63713">
        <w:rPr>
          <w:rFonts w:eastAsia="KaiTi" w:cs="Times New Roman"/>
        </w:rPr>
        <w:t xml:space="preserve"> </w:t>
      </w:r>
      <w:r>
        <w:rPr>
          <w:rFonts w:eastAsia="KaiTi" w:cs="Times New Roman"/>
        </w:rPr>
        <w:t>Therefore, in the stories where Confucius seeks to hear from the masters, there is an ironic twist: what these individual masters have articulated as personal experiences, Confucius appropriates and generalises for his followers to learn from.  Confucius attempts to transmit (</w:t>
      </w:r>
      <w:r>
        <w:rPr>
          <w:rFonts w:eastAsia="KaiTi" w:cs="Times New Roman"/>
          <w:i/>
        </w:rPr>
        <w:t>dao</w:t>
      </w:r>
      <w:r>
        <w:rPr>
          <w:rFonts w:eastAsia="KaiTi" w:cs="Times New Roman"/>
        </w:rPr>
        <w:t xml:space="preserve"> </w:t>
      </w:r>
      <w:r w:rsidRPr="001C22E0">
        <w:rPr>
          <w:rFonts w:ascii="KaiTi" w:eastAsia="KaiTi" w:hAnsi="KaiTi"/>
        </w:rPr>
        <w:t>道</w:t>
      </w:r>
      <w:r>
        <w:rPr>
          <w:rFonts w:eastAsia="KaiTi" w:cs="Times New Roman"/>
        </w:rPr>
        <w:t xml:space="preserve">) what is not transmittable.  </w:t>
      </w:r>
      <w:r w:rsidR="00691640">
        <w:rPr>
          <w:rFonts w:eastAsia="KaiTi" w:cs="Times New Roman"/>
        </w:rPr>
        <w:t xml:space="preserve">In giving verbal instructions to his followers to do as the master does, Confucius has </w:t>
      </w:r>
      <w:r w:rsidR="007A228B">
        <w:rPr>
          <w:rFonts w:eastAsia="KaiTi" w:cs="Times New Roman"/>
        </w:rPr>
        <w:t xml:space="preserve">failed to see the point, that is, to learn as the master learns!  </w:t>
      </w:r>
      <w:r>
        <w:rPr>
          <w:rFonts w:eastAsia="KaiTi" w:cs="Times New Roman"/>
        </w:rPr>
        <w:t xml:space="preserve">Such attempts </w:t>
      </w:r>
      <w:r w:rsidR="007A228B">
        <w:rPr>
          <w:rFonts w:eastAsia="KaiTi" w:cs="Times New Roman"/>
        </w:rPr>
        <w:t xml:space="preserve">by Confucius </w:t>
      </w:r>
      <w:r>
        <w:rPr>
          <w:rFonts w:eastAsia="KaiTi" w:cs="Times New Roman"/>
        </w:rPr>
        <w:t xml:space="preserve">to </w:t>
      </w:r>
      <w:r w:rsidRPr="007A228B">
        <w:rPr>
          <w:rFonts w:eastAsia="KaiTi" w:cs="Times New Roman"/>
        </w:rPr>
        <w:t>teach</w:t>
      </w:r>
      <w:r>
        <w:rPr>
          <w:rFonts w:eastAsia="KaiTi" w:cs="Times New Roman"/>
        </w:rPr>
        <w:t xml:space="preserve"> occur not only in the cicada-catcher story but also in the stories of the swimmer at the dangerous cascades, and of the ferryman (</w:t>
      </w:r>
      <w:r w:rsidRPr="001C22E0">
        <w:rPr>
          <w:rFonts w:eastAsia="KaiTi" w:cs="Times New Roman"/>
          <w:i/>
          <w:lang w:val="en-AU"/>
        </w:rPr>
        <w:t>Zhuangzi</w:t>
      </w:r>
      <w:r w:rsidRPr="001C22E0">
        <w:rPr>
          <w:rFonts w:eastAsia="KaiTi" w:cs="Times New Roman"/>
          <w:lang w:val="en-AU"/>
        </w:rPr>
        <w:t xml:space="preserve"> 48/19/22-49/19/26</w:t>
      </w:r>
      <w:r>
        <w:rPr>
          <w:rFonts w:eastAsia="KaiTi" w:cs="Times New Roman"/>
        </w:rPr>
        <w:t xml:space="preserve">).  If we follow this line of reasoning, the </w:t>
      </w:r>
      <w:r w:rsidR="00F313EA">
        <w:rPr>
          <w:rFonts w:eastAsia="KaiTi" w:cs="Times New Roman"/>
        </w:rPr>
        <w:t>lesson</w:t>
      </w:r>
      <w:r>
        <w:rPr>
          <w:rFonts w:eastAsia="KaiTi" w:cs="Times New Roman"/>
        </w:rPr>
        <w:t xml:space="preserve"> of the skill stories is not so much to urge readers to </w:t>
      </w:r>
      <w:r w:rsidRPr="001C22E0">
        <w:rPr>
          <w:rFonts w:eastAsia="KaiTi" w:cs="Times New Roman"/>
          <w:i/>
        </w:rPr>
        <w:t>do</w:t>
      </w:r>
      <w:r>
        <w:rPr>
          <w:rFonts w:eastAsia="KaiTi" w:cs="Times New Roman"/>
        </w:rPr>
        <w:t xml:space="preserve"> as a Daoist master does, but to </w:t>
      </w:r>
      <w:r>
        <w:rPr>
          <w:rFonts w:eastAsia="KaiTi" w:cs="Times New Roman"/>
          <w:i/>
        </w:rPr>
        <w:t>learn</w:t>
      </w:r>
      <w:r>
        <w:rPr>
          <w:rFonts w:eastAsia="KaiTi" w:cs="Times New Roman"/>
        </w:rPr>
        <w:t xml:space="preserve"> as a Daoist master learns.  In other words, the stories engage at a meta-level discourse on learning.  Their point is not for us readers to imitate the cicada-catcher’s actions, or to internalise his words</w:t>
      </w:r>
      <w:r w:rsidR="006E399F">
        <w:rPr>
          <w:rFonts w:eastAsia="KaiTi" w:cs="Times New Roman"/>
        </w:rPr>
        <w:t xml:space="preserve">, </w:t>
      </w:r>
      <w:r>
        <w:rPr>
          <w:rFonts w:eastAsia="KaiTi" w:cs="Times New Roman"/>
        </w:rPr>
        <w:t xml:space="preserve">as Confucius attempts to get his followers to do.  The cicada-catcher has </w:t>
      </w:r>
      <w:r>
        <w:rPr>
          <w:rFonts w:eastAsia="KaiTi" w:cs="Times New Roman"/>
          <w:i/>
        </w:rPr>
        <w:t>dao</w:t>
      </w:r>
      <w:r>
        <w:rPr>
          <w:rFonts w:eastAsia="KaiTi" w:cs="Times New Roman"/>
        </w:rPr>
        <w:t xml:space="preserve"> (</w:t>
      </w:r>
      <w:r>
        <w:rPr>
          <w:rFonts w:eastAsia="KaiTi" w:cs="Times New Roman"/>
          <w:i/>
        </w:rPr>
        <w:t>wo you dao ye</w:t>
      </w:r>
      <w:r>
        <w:t xml:space="preserve"> </w:t>
      </w:r>
      <w:proofErr w:type="spellStart"/>
      <w:r w:rsidRPr="001C22E0">
        <w:rPr>
          <w:rFonts w:ascii="KaiTi" w:eastAsia="KaiTi" w:hAnsi="KaiTi"/>
        </w:rPr>
        <w:t>我有道</w:t>
      </w:r>
      <w:r w:rsidRPr="001C22E0">
        <w:rPr>
          <w:rFonts w:ascii="KaiTi" w:eastAsia="KaiTi" w:hAnsi="KaiTi" w:cs="PMingLiU" w:hint="eastAsia"/>
        </w:rPr>
        <w:t>也</w:t>
      </w:r>
      <w:proofErr w:type="spellEnd"/>
      <w:r w:rsidRPr="001C22E0">
        <w:rPr>
          <w:rFonts w:eastAsia="KaiTi" w:cs="Times New Roman"/>
        </w:rPr>
        <w:t>) and</w:t>
      </w:r>
      <w:r>
        <w:rPr>
          <w:rFonts w:eastAsia="KaiTi" w:cs="Times New Roman"/>
        </w:rPr>
        <w:t xml:space="preserve"> our task is not to acquire </w:t>
      </w:r>
      <w:r>
        <w:rPr>
          <w:rFonts w:eastAsia="KaiTi" w:cs="Times New Roman"/>
          <w:i/>
        </w:rPr>
        <w:t>his</w:t>
      </w:r>
      <w:r>
        <w:rPr>
          <w:rFonts w:eastAsia="KaiTi" w:cs="Times New Roman"/>
        </w:rPr>
        <w:t xml:space="preserve"> </w:t>
      </w:r>
      <w:r>
        <w:rPr>
          <w:rFonts w:eastAsia="KaiTi" w:cs="Times New Roman"/>
          <w:i/>
        </w:rPr>
        <w:t>dao</w:t>
      </w:r>
      <w:r>
        <w:rPr>
          <w:rFonts w:eastAsia="KaiTi" w:cs="Times New Roman"/>
        </w:rPr>
        <w:t xml:space="preserve"> but to develop our own.  This is one reason the text self-reflexively refers to its teaching as “teaching without words” (</w:t>
      </w:r>
      <w:proofErr w:type="spellStart"/>
      <w:r w:rsidRPr="00F934D4">
        <w:rPr>
          <w:rFonts w:eastAsia="KaiTi" w:cs="Times New Roman"/>
          <w:i/>
        </w:rPr>
        <w:t>bu</w:t>
      </w:r>
      <w:proofErr w:type="spellEnd"/>
      <w:r w:rsidRPr="00F934D4">
        <w:rPr>
          <w:rFonts w:eastAsia="KaiTi" w:cs="Times New Roman"/>
          <w:i/>
        </w:rPr>
        <w:t xml:space="preserve"> yan zhi jiao</w:t>
      </w:r>
      <w:r w:rsidRPr="00F934D4">
        <w:rPr>
          <w:rFonts w:eastAsia="KaiTi" w:cs="Times New Roman"/>
        </w:rPr>
        <w:t xml:space="preserve"> </w:t>
      </w:r>
      <w:proofErr w:type="spellStart"/>
      <w:r w:rsidRPr="00F934D4">
        <w:rPr>
          <w:rFonts w:eastAsia="KaiTi" w:cs="Times New Roman"/>
        </w:rPr>
        <w:t>不言之教</w:t>
      </w:r>
      <w:proofErr w:type="spellEnd"/>
      <w:r w:rsidRPr="00F934D4">
        <w:rPr>
          <w:rFonts w:eastAsia="KaiTi" w:cs="Times New Roman"/>
        </w:rPr>
        <w:t xml:space="preserve">; in </w:t>
      </w:r>
      <w:r w:rsidRPr="00F934D4">
        <w:rPr>
          <w:rFonts w:eastAsia="KaiTi" w:cs="Times New Roman"/>
          <w:i/>
        </w:rPr>
        <w:t>Zhuangzi</w:t>
      </w:r>
      <w:r w:rsidRPr="00F934D4">
        <w:rPr>
          <w:rFonts w:eastAsia="KaiTi" w:cs="Times New Roman"/>
        </w:rPr>
        <w:t xml:space="preserve"> 12/5/1-13/5/13; 57/22/1-57/22/5)</w:t>
      </w:r>
      <w:r>
        <w:rPr>
          <w:rFonts w:eastAsia="KaiTi" w:cs="Times New Roman"/>
        </w:rPr>
        <w:t>.  In this light, Confucius is spurned twice: first, as the novice Daoist</w:t>
      </w:r>
      <w:r w:rsidR="006E399F">
        <w:rPr>
          <w:rFonts w:eastAsia="KaiTi" w:cs="Times New Roman"/>
        </w:rPr>
        <w:t xml:space="preserve"> learning from a Master</w:t>
      </w:r>
      <w:r>
        <w:rPr>
          <w:rFonts w:eastAsia="KaiTi" w:cs="Times New Roman"/>
        </w:rPr>
        <w:t xml:space="preserve"> </w:t>
      </w:r>
      <w:r w:rsidR="00F313EA">
        <w:rPr>
          <w:rFonts w:eastAsia="KaiTi" w:cs="Times New Roman"/>
        </w:rPr>
        <w:t xml:space="preserve">(who would undoubtedly be of a lower social rank than Confucius) </w:t>
      </w:r>
      <w:r>
        <w:rPr>
          <w:rFonts w:eastAsia="KaiTi" w:cs="Times New Roman"/>
        </w:rPr>
        <w:t xml:space="preserve">and, secondly, as one who </w:t>
      </w:r>
      <w:r>
        <w:rPr>
          <w:rFonts w:eastAsia="KaiTi" w:cs="Times New Roman"/>
        </w:rPr>
        <w:lastRenderedPageBreak/>
        <w:t>misses the point entirely about what can be learnt and how it should be learnt.</w:t>
      </w:r>
      <w:r>
        <w:rPr>
          <w:rStyle w:val="FootnoteReference"/>
          <w:rFonts w:eastAsia="KaiTi" w:cs="Times New Roman"/>
        </w:rPr>
        <w:footnoteReference w:id="4"/>
      </w:r>
      <w:r>
        <w:rPr>
          <w:rFonts w:eastAsia="KaiTi" w:cs="Times New Roman"/>
        </w:rPr>
        <w:t xml:space="preserve">  In the style of the </w:t>
      </w:r>
      <w:r>
        <w:rPr>
          <w:rFonts w:eastAsia="KaiTi" w:cs="Times New Roman"/>
          <w:i/>
        </w:rPr>
        <w:t>Zhuangzi</w:t>
      </w:r>
      <w:r>
        <w:rPr>
          <w:rFonts w:eastAsia="KaiTi" w:cs="Times New Roman"/>
        </w:rPr>
        <w:t xml:space="preserve">, we could </w:t>
      </w:r>
      <w:r w:rsidR="007A228B">
        <w:rPr>
          <w:rFonts w:eastAsia="KaiTi" w:cs="Times New Roman"/>
        </w:rPr>
        <w:t>express scepticism about learning from instructions, as:</w:t>
      </w:r>
      <w:r>
        <w:rPr>
          <w:rFonts w:eastAsia="KaiTi" w:cs="Times New Roman"/>
        </w:rPr>
        <w:t xml:space="preserve"> “Can </w:t>
      </w:r>
      <w:proofErr w:type="spellStart"/>
      <w:r>
        <w:rPr>
          <w:rFonts w:eastAsia="KaiTi" w:cs="Times New Roman"/>
        </w:rPr>
        <w:t>skill</w:t>
      </w:r>
      <w:proofErr w:type="spellEnd"/>
      <w:r>
        <w:t xml:space="preserve"> </w:t>
      </w:r>
      <w:r>
        <w:rPr>
          <w:rFonts w:eastAsia="KaiTi" w:cs="Times New Roman"/>
        </w:rPr>
        <w:t>be learnt? Can skill not be learnt?”</w:t>
      </w:r>
      <w:r w:rsidR="007A228B">
        <w:rPr>
          <w:rStyle w:val="FootnoteReference"/>
          <w:rFonts w:eastAsia="KaiTi" w:cs="Times New Roman"/>
        </w:rPr>
        <w:footnoteReference w:id="5"/>
      </w:r>
    </w:p>
    <w:p w14:paraId="1E59D96B" w14:textId="764370E7" w:rsidR="00D67622" w:rsidRPr="00601FAD" w:rsidRDefault="0018675A" w:rsidP="00280F07">
      <w:pPr>
        <w:spacing w:after="200"/>
        <w:ind w:firstLine="0"/>
        <w:jc w:val="center"/>
      </w:pPr>
      <w:r>
        <w:t>3</w:t>
      </w:r>
      <w:r w:rsidR="0090194F" w:rsidRPr="00601FAD">
        <w:t xml:space="preserve">. </w:t>
      </w:r>
      <w:r w:rsidR="0034210F" w:rsidRPr="00601FAD">
        <w:t xml:space="preserve">Philosophising </w:t>
      </w:r>
      <w:r w:rsidR="00C12A9D">
        <w:rPr>
          <w:rFonts w:cs="Times New Roman"/>
        </w:rPr>
        <w:t>K</w:t>
      </w:r>
      <w:r w:rsidR="0034210F" w:rsidRPr="00601FAD">
        <w:rPr>
          <w:rFonts w:cs="Times New Roman"/>
        </w:rPr>
        <w:t xml:space="preserve">nowledge and </w:t>
      </w:r>
      <w:r w:rsidR="00C12A9D">
        <w:rPr>
          <w:rFonts w:cs="Times New Roman"/>
        </w:rPr>
        <w:t>A</w:t>
      </w:r>
      <w:r w:rsidR="0034210F" w:rsidRPr="00601FAD">
        <w:rPr>
          <w:rFonts w:cs="Times New Roman"/>
        </w:rPr>
        <w:t>ction</w:t>
      </w:r>
    </w:p>
    <w:p w14:paraId="77F6B23D" w14:textId="77777777" w:rsidR="001325FA" w:rsidRPr="00601FAD" w:rsidRDefault="00D67622" w:rsidP="00280F07">
      <w:r w:rsidRPr="00601FAD">
        <w:t xml:space="preserve">The </w:t>
      </w:r>
      <w:r w:rsidR="00590619" w:rsidRPr="00601FAD">
        <w:t xml:space="preserve">cicada-catcher articulates a </w:t>
      </w:r>
      <w:r w:rsidR="00547632">
        <w:t>self-</w:t>
      </w:r>
      <w:r w:rsidR="00590619" w:rsidRPr="00601FAD">
        <w:t xml:space="preserve">designed training program that he has undertaken </w:t>
      </w:r>
      <w:r w:rsidR="003D327B" w:rsidRPr="00601FAD">
        <w:t xml:space="preserve">in order to develop his abilities in cicada-catching. This training is arduous and sounds fantastical—as if anyone could balance five balls, or even three, at the end of a pole!  </w:t>
      </w:r>
      <w:proofErr w:type="gramStart"/>
      <w:r w:rsidR="008C02B4" w:rsidRPr="00601FAD">
        <w:t>But,</w:t>
      </w:r>
      <w:proofErr w:type="gramEnd"/>
      <w:r w:rsidR="008C02B4" w:rsidRPr="00601FAD">
        <w:t xml:space="preserve"> there is more: with his body, he needs to imitate trees, the familiar habitat of cicadas.  What </w:t>
      </w:r>
      <w:r w:rsidR="001325FA" w:rsidRPr="00601FAD">
        <w:t>underpins the design of this</w:t>
      </w:r>
      <w:r w:rsidR="008C02B4" w:rsidRPr="00601FAD">
        <w:t xml:space="preserve"> training program?  </w:t>
      </w:r>
      <w:r w:rsidR="001325FA" w:rsidRPr="00601FAD">
        <w:t>T</w:t>
      </w:r>
      <w:r w:rsidR="008C02B4" w:rsidRPr="00601FAD">
        <w:t xml:space="preserve">he cicada-catcher needs to observe cicadas, to see how sensitive they are to movements in their environment.  </w:t>
      </w:r>
      <w:r w:rsidR="00827385">
        <w:t>For example, h</w:t>
      </w:r>
      <w:r w:rsidR="008C02B4" w:rsidRPr="00601FAD">
        <w:t xml:space="preserve">ow do </w:t>
      </w:r>
      <w:r w:rsidR="000C716F" w:rsidRPr="00601FAD">
        <w:t>cicadas</w:t>
      </w:r>
      <w:r w:rsidR="008C02B4" w:rsidRPr="00601FAD">
        <w:t xml:space="preserve"> detect </w:t>
      </w:r>
      <w:r w:rsidR="000C716F" w:rsidRPr="00601FAD">
        <w:t>threats</w:t>
      </w:r>
      <w:r w:rsidR="008C02B4" w:rsidRPr="00601FAD">
        <w:t xml:space="preserve">?  Will an on-rush of air </w:t>
      </w:r>
      <w:r w:rsidR="00AD2591" w:rsidRPr="00601FAD">
        <w:t xml:space="preserve">caused by a moving </w:t>
      </w:r>
      <w:r w:rsidR="008C02B4" w:rsidRPr="00601FAD">
        <w:t>object (</w:t>
      </w:r>
      <w:r w:rsidR="000C716F" w:rsidRPr="00601FAD">
        <w:t xml:space="preserve">the </w:t>
      </w:r>
      <w:r w:rsidR="008C02B4" w:rsidRPr="00601FAD">
        <w:t xml:space="preserve">pole or </w:t>
      </w:r>
      <w:r w:rsidR="000C716F" w:rsidRPr="00601FAD">
        <w:t>the hand)</w:t>
      </w:r>
      <w:r w:rsidR="008C02B4" w:rsidRPr="00601FAD">
        <w:t xml:space="preserve"> be </w:t>
      </w:r>
      <w:r w:rsidR="00152844">
        <w:t>likely</w:t>
      </w:r>
      <w:r w:rsidR="008C02B4" w:rsidRPr="00601FAD">
        <w:t xml:space="preserve"> to send them flying off?  What is the tree-environment of cicadas like?  How does a human (body) position itself </w:t>
      </w:r>
      <w:proofErr w:type="gramStart"/>
      <w:r w:rsidR="008C02B4" w:rsidRPr="00601FAD">
        <w:t>so as to</w:t>
      </w:r>
      <w:proofErr w:type="gramEnd"/>
      <w:r w:rsidR="008C02B4" w:rsidRPr="00601FAD">
        <w:t xml:space="preserve"> be like a tree, in </w:t>
      </w:r>
      <w:r w:rsidR="00ED52CF" w:rsidRPr="00601FAD">
        <w:t>relevant</w:t>
      </w:r>
      <w:r w:rsidR="008C02B4" w:rsidRPr="00601FAD">
        <w:t xml:space="preserve"> ways</w:t>
      </w:r>
      <w:r w:rsidR="00827385">
        <w:t>,</w:t>
      </w:r>
      <w:r w:rsidR="007E1E04" w:rsidRPr="00601FAD">
        <w:t xml:space="preserve"> for cicadas</w:t>
      </w:r>
      <w:r w:rsidR="008C02B4" w:rsidRPr="00601FAD">
        <w:t xml:space="preserve">?  </w:t>
      </w:r>
      <w:r w:rsidR="006E399F">
        <w:t xml:space="preserve">How might </w:t>
      </w:r>
      <w:r w:rsidR="001325FA" w:rsidRPr="00601FAD">
        <w:t xml:space="preserve">balancing balls </w:t>
      </w:r>
      <w:r w:rsidR="001325FA" w:rsidRPr="00827385">
        <w:t>on</w:t>
      </w:r>
      <w:r w:rsidR="001325FA" w:rsidRPr="00601FAD">
        <w:t xml:space="preserve"> a pole help develop cicada-catching skills?</w:t>
      </w:r>
    </w:p>
    <w:p w14:paraId="4E20BC3B" w14:textId="578FE2BB" w:rsidR="0061778F" w:rsidRPr="00601FAD" w:rsidRDefault="009E5ED0" w:rsidP="00280F07">
      <w:pPr>
        <w:rPr>
          <w:rFonts w:cs="Times New Roman"/>
        </w:rPr>
      </w:pPr>
      <w:r w:rsidRPr="00601FAD">
        <w:t xml:space="preserve">Evaluations of the </w:t>
      </w:r>
      <w:r w:rsidRPr="00601FAD">
        <w:rPr>
          <w:i/>
        </w:rPr>
        <w:t>Zhuangzi</w:t>
      </w:r>
      <w:r w:rsidRPr="00601FAD">
        <w:t xml:space="preserve">’s stories and the mood and style of the text often highlight </w:t>
      </w:r>
      <w:r w:rsidR="00FF0FF2" w:rsidRPr="00601FAD">
        <w:t>its</w:t>
      </w:r>
      <w:r w:rsidRPr="00601FAD">
        <w:t xml:space="preserve"> distinctive </w:t>
      </w:r>
      <w:r w:rsidR="00FF0FF2" w:rsidRPr="00601FAD">
        <w:t>views</w:t>
      </w:r>
      <w:r w:rsidRPr="00601FAD">
        <w:t xml:space="preserve"> of knowledge and action.</w:t>
      </w:r>
      <w:r w:rsidR="00013D46" w:rsidRPr="00601FAD">
        <w:t xml:space="preserve"> </w:t>
      </w:r>
      <w:r w:rsidR="00FF0FF2" w:rsidRPr="00601FAD">
        <w:t xml:space="preserve">Accounts have described the </w:t>
      </w:r>
      <w:r w:rsidR="00FF0FF2" w:rsidRPr="00601FAD">
        <w:rPr>
          <w:i/>
        </w:rPr>
        <w:t>Zhuangzi</w:t>
      </w:r>
      <w:r w:rsidR="00FF0FF2" w:rsidRPr="00601FAD">
        <w:t xml:space="preserve">’s </w:t>
      </w:r>
      <w:r w:rsidR="00FF0FF2" w:rsidRPr="00601FAD">
        <w:lastRenderedPageBreak/>
        <w:t>epistemological approach as closely aligned with knowing-how rather than knowing-that,</w:t>
      </w:r>
      <w:r w:rsidR="00FF0FF2" w:rsidRPr="00601FAD">
        <w:rPr>
          <w:rStyle w:val="FootnoteReference"/>
        </w:rPr>
        <w:footnoteReference w:id="6"/>
      </w:r>
      <w:r w:rsidR="00FF0FF2" w:rsidRPr="00601FAD">
        <w:t xml:space="preserve"> and its </w:t>
      </w:r>
      <w:r w:rsidR="006E399F">
        <w:t>views on</w:t>
      </w:r>
      <w:r w:rsidR="00FF0FF2" w:rsidRPr="00601FAD">
        <w:t xml:space="preserve"> mind </w:t>
      </w:r>
      <w:r w:rsidR="006E399F">
        <w:t xml:space="preserve">(if it had views on ‘mind’, broadly conceived) </w:t>
      </w:r>
      <w:r w:rsidR="00FF0FF2" w:rsidRPr="00601FAD">
        <w:t xml:space="preserve">and action in terms of the intuitive, </w:t>
      </w:r>
      <w:r w:rsidR="0061778F" w:rsidRPr="00601FAD">
        <w:t xml:space="preserve">spontaneous and </w:t>
      </w:r>
      <w:r w:rsidR="00FF0FF2" w:rsidRPr="00601FAD">
        <w:t>non-rational.</w:t>
      </w:r>
      <w:r w:rsidR="0061778F" w:rsidRPr="00601FAD">
        <w:t xml:space="preserve">  </w:t>
      </w:r>
      <w:r w:rsidR="0061778F" w:rsidRPr="00601FAD">
        <w:rPr>
          <w:rFonts w:cs="Times New Roman"/>
        </w:rPr>
        <w:t>With regard to the latter, for example, an early 20</w:t>
      </w:r>
      <w:r w:rsidR="0061778F" w:rsidRPr="00601FAD">
        <w:rPr>
          <w:rFonts w:cs="Times New Roman"/>
          <w:vertAlign w:val="superscript"/>
        </w:rPr>
        <w:t>th</w:t>
      </w:r>
      <w:r w:rsidR="0061778F" w:rsidRPr="00601FAD">
        <w:rPr>
          <w:rFonts w:cs="Times New Roman"/>
        </w:rPr>
        <w:t xml:space="preserve"> century sinologist, Henri </w:t>
      </w:r>
      <w:proofErr w:type="spellStart"/>
      <w:r w:rsidR="0061778F" w:rsidRPr="00601FAD">
        <w:rPr>
          <w:rFonts w:cs="Times New Roman"/>
        </w:rPr>
        <w:t>Maspero</w:t>
      </w:r>
      <w:proofErr w:type="spellEnd"/>
      <w:r w:rsidR="0061778F" w:rsidRPr="00601FAD">
        <w:rPr>
          <w:rFonts w:cs="Times New Roman"/>
        </w:rPr>
        <w:t>, proposes that, in the story of the Wheelwright, “[r]</w:t>
      </w:r>
      <w:proofErr w:type="spellStart"/>
      <w:r w:rsidR="0061778F" w:rsidRPr="00601FAD">
        <w:rPr>
          <w:rFonts w:cs="Times New Roman"/>
        </w:rPr>
        <w:t>easoning</w:t>
      </w:r>
      <w:proofErr w:type="spellEnd"/>
      <w:r w:rsidR="0061778F" w:rsidRPr="00601FAD">
        <w:rPr>
          <w:rFonts w:cs="Times New Roman"/>
        </w:rPr>
        <w:t xml:space="preserve"> itself must be abandoned, for it obscures the true knowledge which is intuitive” (</w:t>
      </w:r>
      <w:proofErr w:type="spellStart"/>
      <w:r w:rsidR="0061778F" w:rsidRPr="00601FAD">
        <w:rPr>
          <w:rFonts w:cs="Times New Roman"/>
        </w:rPr>
        <w:t>Maspero</w:t>
      </w:r>
      <w:proofErr w:type="spellEnd"/>
      <w:r w:rsidR="0061778F" w:rsidRPr="00601FAD">
        <w:rPr>
          <w:rFonts w:cs="Times New Roman"/>
        </w:rPr>
        <w:t xml:space="preserve">, </w:t>
      </w:r>
      <w:r w:rsidR="0061778F" w:rsidRPr="00601FAD">
        <w:rPr>
          <w:rFonts w:cs="Times New Roman"/>
          <w:i/>
        </w:rPr>
        <w:t>China in Antiquity</w:t>
      </w:r>
      <w:r w:rsidR="0061778F" w:rsidRPr="00601FAD">
        <w:rPr>
          <w:rFonts w:cs="Times New Roman"/>
        </w:rPr>
        <w:t xml:space="preserve">, 307).  The assessment of the </w:t>
      </w:r>
      <w:r w:rsidR="0061778F" w:rsidRPr="00601FAD">
        <w:rPr>
          <w:rFonts w:cs="Times New Roman"/>
          <w:i/>
        </w:rPr>
        <w:t>Zhuangzi</w:t>
      </w:r>
      <w:r w:rsidR="0061778F" w:rsidRPr="00601FAD">
        <w:rPr>
          <w:rFonts w:cs="Times New Roman"/>
        </w:rPr>
        <w:t>’s departure from reason is echoed by another influential sinologist, Angus C. Graham, who characterises Zhuangzi as “anti-rationalist”.</w:t>
      </w:r>
      <w:r w:rsidR="0061778F" w:rsidRPr="00601FAD">
        <w:rPr>
          <w:rStyle w:val="FootnoteReference"/>
          <w:rFonts w:cs="Times New Roman"/>
        </w:rPr>
        <w:footnoteReference w:id="7"/>
      </w:r>
      <w:r w:rsidR="0061778F" w:rsidRPr="00601FAD">
        <w:rPr>
          <w:rFonts w:cs="Times New Roman"/>
        </w:rPr>
        <w:t xml:space="preserve">  Further, specifically in relation to the skill stories, Graham </w:t>
      </w:r>
      <w:r w:rsidR="00827385">
        <w:rPr>
          <w:rFonts w:cs="Times New Roman"/>
        </w:rPr>
        <w:t>situates</w:t>
      </w:r>
      <w:r w:rsidR="0061778F" w:rsidRPr="00601FAD">
        <w:rPr>
          <w:rFonts w:cs="Times New Roman"/>
        </w:rPr>
        <w:t xml:space="preserve"> his analysis of the </w:t>
      </w:r>
      <w:r w:rsidR="0061778F" w:rsidRPr="00601FAD">
        <w:rPr>
          <w:rFonts w:cs="Times New Roman"/>
          <w:i/>
        </w:rPr>
        <w:t>Zhuangzi</w:t>
      </w:r>
      <w:r w:rsidR="0061778F" w:rsidRPr="00601FAD">
        <w:rPr>
          <w:rFonts w:cs="Times New Roman"/>
        </w:rPr>
        <w:t xml:space="preserve">’s philosophy comparatively, in the terms of </w:t>
      </w:r>
      <w:r w:rsidR="00152844">
        <w:rPr>
          <w:rFonts w:cs="Times New Roman"/>
        </w:rPr>
        <w:t xml:space="preserve">western </w:t>
      </w:r>
      <w:r w:rsidR="0061778F" w:rsidRPr="00601FAD">
        <w:rPr>
          <w:rFonts w:cs="Times New Roman"/>
        </w:rPr>
        <w:t>epistemological debate:</w:t>
      </w:r>
    </w:p>
    <w:p w14:paraId="58E1F6D4" w14:textId="77777777" w:rsidR="0061778F" w:rsidRPr="00601FAD" w:rsidRDefault="0061778F" w:rsidP="00280F07">
      <w:pPr>
        <w:ind w:left="567" w:firstLine="0"/>
        <w:rPr>
          <w:rFonts w:cs="Times New Roman"/>
        </w:rPr>
      </w:pPr>
      <w:r w:rsidRPr="00601FAD">
        <w:rPr>
          <w:rFonts w:cs="Times New Roman"/>
        </w:rPr>
        <w:t xml:space="preserve">The many stories about craftsmen in [the </w:t>
      </w:r>
      <w:r w:rsidRPr="00601FAD">
        <w:rPr>
          <w:rFonts w:cs="Times New Roman"/>
          <w:i/>
        </w:rPr>
        <w:t>Zhuangzi</w:t>
      </w:r>
      <w:r w:rsidRPr="00601FAD">
        <w:rPr>
          <w:rFonts w:cs="Times New Roman"/>
        </w:rPr>
        <w:t xml:space="preserve">] are always especially illuminating to a Westerner grappling to understand [Daoism]. He learns from them that the [Daoist] art of living is a supremely intelligent responsiveness which would be undermined by analysing and choosing between alternatives, and that grasping the Way is an unverbalizable ‘knowing how’ rather than ‘knowing that’. (Graham, </w:t>
      </w:r>
      <w:r w:rsidRPr="00601FAD">
        <w:rPr>
          <w:rFonts w:cs="Times New Roman"/>
          <w:i/>
        </w:rPr>
        <w:t>Unreason within Reason</w:t>
      </w:r>
      <w:r w:rsidRPr="00601FAD">
        <w:rPr>
          <w:rFonts w:cs="Times New Roman"/>
        </w:rPr>
        <w:t>, 186)</w:t>
      </w:r>
    </w:p>
    <w:p w14:paraId="55BD9F6B" w14:textId="77777777" w:rsidR="0057753E" w:rsidRDefault="00DF7C22" w:rsidP="00280F07">
      <w:pPr>
        <w:ind w:firstLine="0"/>
      </w:pPr>
      <w:r w:rsidRPr="00601FAD">
        <w:t xml:space="preserve">These characterisations of the </w:t>
      </w:r>
      <w:r w:rsidRPr="00601FAD">
        <w:rPr>
          <w:i/>
        </w:rPr>
        <w:t>Zhuangzi</w:t>
      </w:r>
      <w:r w:rsidRPr="00601FAD">
        <w:t xml:space="preserve"> as “antirational”</w:t>
      </w:r>
      <w:r w:rsidR="0057753E">
        <w:t>,</w:t>
      </w:r>
      <w:r w:rsidRPr="00601FAD">
        <w:t xml:space="preserve"> or </w:t>
      </w:r>
      <w:r w:rsidR="0057753E">
        <w:t xml:space="preserve">as </w:t>
      </w:r>
      <w:r w:rsidR="00DC22DB" w:rsidRPr="00601FAD">
        <w:t>abandon</w:t>
      </w:r>
      <w:r w:rsidR="0057753E">
        <w:t>ing</w:t>
      </w:r>
      <w:r w:rsidR="00DC22DB" w:rsidRPr="00601FAD">
        <w:t xml:space="preserve"> </w:t>
      </w:r>
      <w:r w:rsidRPr="00601FAD">
        <w:t>reasoning</w:t>
      </w:r>
      <w:r w:rsidR="003971EB" w:rsidRPr="00601FAD">
        <w:t>, or as “know-how”</w:t>
      </w:r>
      <w:r w:rsidRPr="00601FAD">
        <w:t xml:space="preserve">, </w:t>
      </w:r>
      <w:r w:rsidR="00DC22DB" w:rsidRPr="00601FAD">
        <w:t xml:space="preserve">sit within a Cartesian framework </w:t>
      </w:r>
      <w:r w:rsidR="0057753E">
        <w:t>that</w:t>
      </w:r>
      <w:r w:rsidR="00DC22DB" w:rsidRPr="00601FAD">
        <w:t xml:space="preserve"> dichotomises body and mind</w:t>
      </w:r>
      <w:r w:rsidR="00222F82" w:rsidRPr="00601FAD">
        <w:t xml:space="preserve">, and which </w:t>
      </w:r>
      <w:r w:rsidR="00222F82" w:rsidRPr="00601FAD">
        <w:lastRenderedPageBreak/>
        <w:t>elects the mind as the distinguishing feature of the self</w:t>
      </w:r>
      <w:r w:rsidR="00DC22DB" w:rsidRPr="00601FAD">
        <w:t xml:space="preserve">.  Closely associated with this conception of mind is </w:t>
      </w:r>
      <w:r w:rsidR="00152844">
        <w:t xml:space="preserve">the </w:t>
      </w:r>
      <w:r w:rsidR="00222F82" w:rsidRPr="00601FAD">
        <w:t>promotion of its</w:t>
      </w:r>
      <w:r w:rsidR="00D84B20">
        <w:t xml:space="preserve"> foremost</w:t>
      </w:r>
      <w:r w:rsidR="00DC22DB" w:rsidRPr="00601FAD">
        <w:t xml:space="preserve"> </w:t>
      </w:r>
      <w:r w:rsidR="00DC22DB" w:rsidRPr="00601FAD">
        <w:rPr>
          <w:i/>
        </w:rPr>
        <w:t>capacity</w:t>
      </w:r>
      <w:r w:rsidR="00E263B7" w:rsidRPr="00601FAD">
        <w:t xml:space="preserve">, that is, to </w:t>
      </w:r>
      <w:r w:rsidR="00E263B7" w:rsidRPr="00601FAD">
        <w:rPr>
          <w:i/>
        </w:rPr>
        <w:t>reason</w:t>
      </w:r>
      <w:r w:rsidR="00E263B7" w:rsidRPr="00601FAD">
        <w:t xml:space="preserve">. </w:t>
      </w:r>
      <w:r w:rsidR="0057753E">
        <w:t xml:space="preserve"> </w:t>
      </w:r>
      <w:r w:rsidR="00DC22DB" w:rsidRPr="00601FAD">
        <w:t>In defen</w:t>
      </w:r>
      <w:r w:rsidR="00E263B7" w:rsidRPr="00601FAD">
        <w:t xml:space="preserve">ce of these </w:t>
      </w:r>
      <w:r w:rsidR="00E263B7" w:rsidRPr="00601FAD">
        <w:rPr>
          <w:i/>
        </w:rPr>
        <w:t>Zhuangzi</w:t>
      </w:r>
      <w:r w:rsidR="00E263B7" w:rsidRPr="00601FAD">
        <w:t xml:space="preserve"> studies in Anglophone literature, it </w:t>
      </w:r>
      <w:r w:rsidR="00C4464F">
        <w:t>should be noted</w:t>
      </w:r>
      <w:r w:rsidR="00DC22DB" w:rsidRPr="00601FAD">
        <w:t xml:space="preserve"> that the</w:t>
      </w:r>
      <w:r w:rsidR="00FE2057">
        <w:t>ir</w:t>
      </w:r>
      <w:r w:rsidR="00DC22DB" w:rsidRPr="00601FAD">
        <w:t xml:space="preserve"> </w:t>
      </w:r>
      <w:r w:rsidR="00C4464F">
        <w:t xml:space="preserve">aim </w:t>
      </w:r>
      <w:r w:rsidR="00FE2057">
        <w:t xml:space="preserve">is often to </w:t>
      </w:r>
      <w:r w:rsidR="00774DF4">
        <w:t>defend</w:t>
      </w:r>
      <w:r w:rsidR="00FE2057">
        <w:t xml:space="preserve"> the distinctiveness, and legitimacy, of the kind of reasoning the </w:t>
      </w:r>
      <w:r w:rsidR="00C4464F">
        <w:rPr>
          <w:i/>
        </w:rPr>
        <w:t>Zhuangzi</w:t>
      </w:r>
      <w:r w:rsidR="00C4464F">
        <w:t xml:space="preserve"> </w:t>
      </w:r>
      <w:r w:rsidR="00FE2057">
        <w:t>seems to uphold. T</w:t>
      </w:r>
      <w:r w:rsidR="00DC22DB" w:rsidRPr="00601FAD">
        <w:t>h</w:t>
      </w:r>
      <w:r w:rsidR="00D84B20">
        <w:t xml:space="preserve">ese discussions are well-intentioned in </w:t>
      </w:r>
      <w:r w:rsidR="00774DF4">
        <w:t>their attempts</w:t>
      </w:r>
      <w:r w:rsidR="00FE2057">
        <w:t xml:space="preserve"> to </w:t>
      </w:r>
      <w:r w:rsidR="00D84B20">
        <w:t>carv</w:t>
      </w:r>
      <w:r w:rsidR="00FE2057">
        <w:t>e</w:t>
      </w:r>
      <w:r w:rsidR="00D84B20">
        <w:t xml:space="preserve"> a place for the </w:t>
      </w:r>
      <w:r w:rsidR="00D84B20">
        <w:rPr>
          <w:i/>
        </w:rPr>
        <w:t>Zhuangzi</w:t>
      </w:r>
      <w:r w:rsidR="00D84B20">
        <w:t xml:space="preserve"> in comparative</w:t>
      </w:r>
      <w:r w:rsidR="00FE2057">
        <w:t xml:space="preserve"> Chinese-western</w:t>
      </w:r>
      <w:r w:rsidR="00D84B20">
        <w:t xml:space="preserve"> discourse. Unfortunately, this </w:t>
      </w:r>
      <w:r w:rsidR="00774DF4">
        <w:t>strategy</w:t>
      </w:r>
      <w:r w:rsidR="00D84B20">
        <w:t xml:space="preserve"> </w:t>
      </w:r>
      <w:r w:rsidR="00774DF4">
        <w:t>has its limits because it aligns the text’s epistemology with</w:t>
      </w:r>
      <w:r w:rsidR="00DC22DB" w:rsidRPr="00601FAD">
        <w:t xml:space="preserve"> </w:t>
      </w:r>
      <w:proofErr w:type="spellStart"/>
      <w:r w:rsidR="00DC22DB" w:rsidRPr="00601FAD">
        <w:rPr>
          <w:i/>
        </w:rPr>
        <w:t>anti</w:t>
      </w:r>
      <w:r w:rsidR="00DC22DB" w:rsidRPr="00601FAD">
        <w:t>reason</w:t>
      </w:r>
      <w:proofErr w:type="spellEnd"/>
      <w:r w:rsidR="00DC22DB" w:rsidRPr="00601FAD">
        <w:t xml:space="preserve">, </w:t>
      </w:r>
      <w:r w:rsidR="00774DF4">
        <w:t xml:space="preserve">irrationality </w:t>
      </w:r>
      <w:r w:rsidR="00DC22DB" w:rsidRPr="00601FAD">
        <w:t>or know-how</w:t>
      </w:r>
      <w:r w:rsidR="00E263B7" w:rsidRPr="00601FAD">
        <w:t xml:space="preserve">, </w:t>
      </w:r>
      <w:r w:rsidR="0057753E">
        <w:t xml:space="preserve">all of which </w:t>
      </w:r>
      <w:r w:rsidR="00774DF4">
        <w:t xml:space="preserve">take second place to </w:t>
      </w:r>
      <w:r w:rsidR="0057753E">
        <w:t>reason and intellectual knowledge in dominant strands of western epistemological discourse</w:t>
      </w:r>
      <w:r w:rsidR="00DC22DB" w:rsidRPr="00601FAD">
        <w:t>.</w:t>
      </w:r>
    </w:p>
    <w:p w14:paraId="6FC70339" w14:textId="40BAC2A6" w:rsidR="00DC22DB" w:rsidRPr="00966BDC" w:rsidRDefault="00827385" w:rsidP="0057753E">
      <w:r>
        <w:t xml:space="preserve">The </w:t>
      </w:r>
      <w:proofErr w:type="spellStart"/>
      <w:r>
        <w:t>unsatisfactoriness</w:t>
      </w:r>
      <w:proofErr w:type="spellEnd"/>
      <w:r>
        <w:t xml:space="preserve"> of th</w:t>
      </w:r>
      <w:r w:rsidR="0057753E">
        <w:t>e projects described above</w:t>
      </w:r>
      <w:r>
        <w:t xml:space="preserve"> may be illuminated by </w:t>
      </w:r>
      <w:r w:rsidR="00774DF4">
        <w:t xml:space="preserve">drawing attention to an analogous scenario in </w:t>
      </w:r>
      <w:r w:rsidR="00A54B2E">
        <w:t xml:space="preserve">George </w:t>
      </w:r>
      <w:r w:rsidR="00A54B2E" w:rsidRPr="00601FAD">
        <w:t xml:space="preserve">Orwell’s </w:t>
      </w:r>
      <w:r w:rsidR="00A54B2E">
        <w:rPr>
          <w:i/>
        </w:rPr>
        <w:t>Animal Farm</w:t>
      </w:r>
      <w:r w:rsidR="00A54B2E">
        <w:t xml:space="preserve">.  In </w:t>
      </w:r>
      <w:r w:rsidR="00A54B2E">
        <w:rPr>
          <w:i/>
        </w:rPr>
        <w:t>Animal Farm</w:t>
      </w:r>
      <w:r w:rsidR="00A54B2E">
        <w:t>,</w:t>
      </w:r>
      <w:r w:rsidR="001F0F25">
        <w:t xml:space="preserve"> the downtrodden and</w:t>
      </w:r>
      <w:r w:rsidR="00A54B2E">
        <w:t xml:space="preserve"> disgruntled animals are l</w:t>
      </w:r>
      <w:r>
        <w:t xml:space="preserve">ed by the pigs </w:t>
      </w:r>
      <w:r w:rsidR="00A54B2E">
        <w:t>to</w:t>
      </w:r>
      <w:r>
        <w:t xml:space="preserve"> overthrow their human masters</w:t>
      </w:r>
      <w:r w:rsidR="00A54B2E">
        <w:t>.  When they succeed</w:t>
      </w:r>
      <w:r>
        <w:t>,</w:t>
      </w:r>
      <w:r w:rsidR="00DC22DB" w:rsidRPr="00601FAD">
        <w:t xml:space="preserve"> </w:t>
      </w:r>
      <w:r>
        <w:t xml:space="preserve">the animals </w:t>
      </w:r>
      <w:r w:rsidR="001F0F25">
        <w:t>devise</w:t>
      </w:r>
      <w:r w:rsidR="00A54B2E">
        <w:t xml:space="preserve"> new standards, agree</w:t>
      </w:r>
      <w:r w:rsidR="001F0F25">
        <w:t>ing</w:t>
      </w:r>
      <w:r w:rsidR="00A54B2E">
        <w:t xml:space="preserve"> to </w:t>
      </w:r>
      <w:r w:rsidR="00DC22DB" w:rsidRPr="00601FAD">
        <w:t xml:space="preserve">uphold </w:t>
      </w:r>
      <w:r>
        <w:t xml:space="preserve">the dictum </w:t>
      </w:r>
      <w:r w:rsidR="00DC22DB" w:rsidRPr="00601FAD">
        <w:t>“Four legs good, two legs bad”</w:t>
      </w:r>
      <w:r w:rsidR="00A54B2E">
        <w:t>—a simple overturning of the values associated with their human masters</w:t>
      </w:r>
      <w:r>
        <w:t>.  The</w:t>
      </w:r>
      <w:r w:rsidR="00A54B2E">
        <w:t xml:space="preserve"> animals also</w:t>
      </w:r>
      <w:r>
        <w:t xml:space="preserve"> create </w:t>
      </w:r>
      <w:r w:rsidR="00966BDC">
        <w:t xml:space="preserve">a set of </w:t>
      </w:r>
      <w:r w:rsidR="00D84B20">
        <w:t>“</w:t>
      </w:r>
      <w:r w:rsidR="00966BDC">
        <w:t xml:space="preserve">Seven Commandments” that merely </w:t>
      </w:r>
      <w:r>
        <w:t xml:space="preserve">overturn </w:t>
      </w:r>
      <w:r w:rsidR="00966BDC">
        <w:t>the practices and beliefs of the overthrown humans, such as “3. No animal shall wear clothes”, and “4. No animal shall sleep in a bed.”</w:t>
      </w:r>
      <w:r w:rsidR="000455CA" w:rsidRPr="000455CA">
        <w:rPr>
          <w:rStyle w:val="FootnoteReference"/>
        </w:rPr>
        <w:footnoteReference w:id="8"/>
      </w:r>
      <w:r w:rsidR="00444951">
        <w:t xml:space="preserve">  </w:t>
      </w:r>
      <w:r w:rsidR="001F0F25">
        <w:t>T</w:t>
      </w:r>
      <w:r w:rsidR="00444951">
        <w:t>h</w:t>
      </w:r>
      <w:r w:rsidR="002367E6">
        <w:t>e</w:t>
      </w:r>
      <w:r w:rsidR="00444951">
        <w:t>s</w:t>
      </w:r>
      <w:r w:rsidR="002367E6">
        <w:t>e</w:t>
      </w:r>
      <w:r w:rsidR="00444951">
        <w:t xml:space="preserve"> </w:t>
      </w:r>
      <w:r w:rsidR="002367E6">
        <w:t>decisions taken by the animals</w:t>
      </w:r>
      <w:r w:rsidR="00444951">
        <w:t xml:space="preserve"> remain locked in the entrenched animal-human dualism</w:t>
      </w:r>
      <w:r w:rsidR="00A0688A">
        <w:t>.  Sadly, the animals</w:t>
      </w:r>
      <w:r w:rsidR="00444951">
        <w:t xml:space="preserve"> </w:t>
      </w:r>
      <w:r w:rsidR="00A0688A">
        <w:t xml:space="preserve">have failed to </w:t>
      </w:r>
      <w:r w:rsidR="00444951">
        <w:t>take advantage of the</w:t>
      </w:r>
      <w:r w:rsidR="00131569">
        <w:t>ir newly-</w:t>
      </w:r>
      <w:r w:rsidR="00FE693F">
        <w:t>established</w:t>
      </w:r>
      <w:r w:rsidR="00444951">
        <w:t xml:space="preserve"> opportunity to explore new possibilities.  </w:t>
      </w:r>
    </w:p>
    <w:p w14:paraId="1E1640A9" w14:textId="5E2BBF7F" w:rsidR="00571C8E" w:rsidRDefault="001F0F25" w:rsidP="002504C1">
      <w:r>
        <w:rPr>
          <w:rFonts w:cs="Times New Roman"/>
        </w:rPr>
        <w:t xml:space="preserve">How does this analogy </w:t>
      </w:r>
      <w:r w:rsidR="0047247B">
        <w:rPr>
          <w:rFonts w:cs="Times New Roman"/>
        </w:rPr>
        <w:t>inform</w:t>
      </w:r>
      <w:r>
        <w:rPr>
          <w:rFonts w:cs="Times New Roman"/>
        </w:rPr>
        <w:t xml:space="preserve"> </w:t>
      </w:r>
      <w:r w:rsidR="0067361F">
        <w:rPr>
          <w:rFonts w:cs="Times New Roman"/>
        </w:rPr>
        <w:t>our understanding of</w:t>
      </w:r>
      <w:r w:rsidR="00490827">
        <w:rPr>
          <w:rFonts w:cs="Times New Roman"/>
        </w:rPr>
        <w:t xml:space="preserve"> </w:t>
      </w:r>
      <w:r>
        <w:rPr>
          <w:rFonts w:cs="Times New Roman"/>
        </w:rPr>
        <w:t xml:space="preserve">the underlying epistemological assumptions in the </w:t>
      </w:r>
      <w:r>
        <w:rPr>
          <w:rFonts w:cs="Times New Roman"/>
          <w:i/>
        </w:rPr>
        <w:t>Zhuangzi</w:t>
      </w:r>
      <w:r>
        <w:rPr>
          <w:rFonts w:cs="Times New Roman"/>
        </w:rPr>
        <w:t xml:space="preserve">’s cicada-catcher story? </w:t>
      </w:r>
      <w:r w:rsidR="009C0D9E">
        <w:rPr>
          <w:rFonts w:cs="Times New Roman"/>
        </w:rPr>
        <w:t>I propose that</w:t>
      </w:r>
      <w:r w:rsidR="00DC1D69">
        <w:rPr>
          <w:rFonts w:cs="Times New Roman"/>
        </w:rPr>
        <w:t>,</w:t>
      </w:r>
      <w:r w:rsidR="00912AE0">
        <w:rPr>
          <w:rFonts w:cs="Times New Roman"/>
        </w:rPr>
        <w:t xml:space="preserve"> </w:t>
      </w:r>
      <w:r w:rsidR="00214B0E">
        <w:rPr>
          <w:rFonts w:cs="Times New Roman"/>
        </w:rPr>
        <w:t xml:space="preserve">to characterise the </w:t>
      </w:r>
      <w:r w:rsidR="00214B0E">
        <w:rPr>
          <w:rFonts w:cs="Times New Roman"/>
          <w:i/>
        </w:rPr>
        <w:t>Zhuangzi</w:t>
      </w:r>
      <w:r w:rsidR="009C0D9E">
        <w:rPr>
          <w:rFonts w:cs="Times New Roman"/>
        </w:rPr>
        <w:t xml:space="preserve">’s views on reasoning, or its style of reasoning, </w:t>
      </w:r>
      <w:r w:rsidR="00214B0E">
        <w:rPr>
          <w:rFonts w:cs="Times New Roman"/>
        </w:rPr>
        <w:t>as anti-rational</w:t>
      </w:r>
      <w:r w:rsidR="00912AE0">
        <w:rPr>
          <w:rFonts w:cs="Times New Roman"/>
        </w:rPr>
        <w:t>,</w:t>
      </w:r>
      <w:r w:rsidR="00214B0E">
        <w:rPr>
          <w:rFonts w:cs="Times New Roman"/>
        </w:rPr>
        <w:t xml:space="preserve"> or intuitive</w:t>
      </w:r>
      <w:r w:rsidR="00912AE0">
        <w:rPr>
          <w:rFonts w:cs="Times New Roman"/>
        </w:rPr>
        <w:t>, or as know-how</w:t>
      </w:r>
      <w:r w:rsidR="00490827">
        <w:rPr>
          <w:rFonts w:cs="Times New Roman"/>
        </w:rPr>
        <w:t>, implicitly accepts the dichotomies entailed by the philosophical vocabulary</w:t>
      </w:r>
      <w:r w:rsidR="009C0D9E">
        <w:rPr>
          <w:rFonts w:cs="Times New Roman"/>
        </w:rPr>
        <w:t xml:space="preserve">. </w:t>
      </w:r>
      <w:r w:rsidR="00571C8E">
        <w:rPr>
          <w:rFonts w:cs="Times New Roman"/>
        </w:rPr>
        <w:t xml:space="preserve"> </w:t>
      </w:r>
      <w:r w:rsidR="0067361F">
        <w:rPr>
          <w:rFonts w:cs="Times New Roman"/>
        </w:rPr>
        <w:t xml:space="preserve">This </w:t>
      </w:r>
      <w:r w:rsidR="0067361F">
        <w:rPr>
          <w:rFonts w:cs="Times New Roman"/>
        </w:rPr>
        <w:lastRenderedPageBreak/>
        <w:t>is akin to how</w:t>
      </w:r>
      <w:r w:rsidR="00571C8E">
        <w:rPr>
          <w:rFonts w:cs="Times New Roman"/>
        </w:rPr>
        <w:t xml:space="preserve"> the animals’ new creed of </w:t>
      </w:r>
      <w:r w:rsidR="00571C8E" w:rsidRPr="00601FAD">
        <w:t>“Four legs good, two legs bad”</w:t>
      </w:r>
      <w:r w:rsidR="00571C8E">
        <w:t xml:space="preserve"> implicitly accepts the dualism inherent in this framework.</w:t>
      </w:r>
    </w:p>
    <w:p w14:paraId="18E0324F" w14:textId="5953E213" w:rsidR="00414040" w:rsidRDefault="00571C8E" w:rsidP="00414040">
      <w:pPr>
        <w:rPr>
          <w:rFonts w:cs="Times New Roman"/>
        </w:rPr>
      </w:pPr>
      <w:r>
        <w:rPr>
          <w:rFonts w:cs="Times New Roman"/>
        </w:rPr>
        <w:t>If we examine the cicada-catcher’s story, we realise that</w:t>
      </w:r>
      <w:r w:rsidR="00A66903">
        <w:rPr>
          <w:rFonts w:cs="Times New Roman"/>
        </w:rPr>
        <w:t xml:space="preserve"> </w:t>
      </w:r>
      <w:r w:rsidR="00A66903">
        <w:rPr>
          <w:rFonts w:cs="Times New Roman"/>
          <w:i/>
        </w:rPr>
        <w:t>both</w:t>
      </w:r>
      <w:r w:rsidR="00A66903">
        <w:rPr>
          <w:rFonts w:cs="Times New Roman"/>
        </w:rPr>
        <w:t xml:space="preserve"> what we call “knowing-how” </w:t>
      </w:r>
      <w:r w:rsidR="00A66903" w:rsidRPr="00A66903">
        <w:rPr>
          <w:rFonts w:cs="Times New Roman"/>
          <w:i/>
        </w:rPr>
        <w:t>and</w:t>
      </w:r>
      <w:r w:rsidR="00A66903">
        <w:rPr>
          <w:rFonts w:cs="Times New Roman"/>
        </w:rPr>
        <w:t xml:space="preserve"> “knowing-that” are involved in this </w:t>
      </w:r>
      <w:r w:rsidR="00A66903">
        <w:rPr>
          <w:rFonts w:cs="Times New Roman"/>
          <w:i/>
        </w:rPr>
        <w:t>one</w:t>
      </w:r>
      <w:r w:rsidR="00A66903">
        <w:rPr>
          <w:rFonts w:cs="Times New Roman"/>
        </w:rPr>
        <w:t xml:space="preserve"> activity of cicada-catching. </w:t>
      </w:r>
      <w:r w:rsidR="00414040">
        <w:rPr>
          <w:rFonts w:cs="Times New Roman"/>
        </w:rPr>
        <w:t>How do we represent this activity using the language of knowing-how and knowing that? We may say:</w:t>
      </w:r>
    </w:p>
    <w:p w14:paraId="6BF6BD77" w14:textId="03E0D91B" w:rsidR="00414040" w:rsidRDefault="00414040" w:rsidP="00414040">
      <w:pPr>
        <w:ind w:left="567" w:firstLine="0"/>
        <w:rPr>
          <w:rFonts w:cs="Times New Roman"/>
        </w:rPr>
      </w:pPr>
      <w:r>
        <w:rPr>
          <w:rFonts w:cs="Times New Roman"/>
        </w:rPr>
        <w:t xml:space="preserve">The cicada-catcher </w:t>
      </w:r>
      <w:r>
        <w:rPr>
          <w:rFonts w:cs="Times New Roman"/>
          <w:i/>
        </w:rPr>
        <w:t>knows-that</w:t>
      </w:r>
      <w:r>
        <w:rPr>
          <w:rFonts w:cs="Times New Roman"/>
        </w:rPr>
        <w:t xml:space="preserve"> after he can balance three balls, he needs to develop his skill by balancing five balls. When he </w:t>
      </w:r>
      <w:r>
        <w:rPr>
          <w:rFonts w:cs="Times New Roman"/>
          <w:i/>
        </w:rPr>
        <w:t>knows-how</w:t>
      </w:r>
      <w:r>
        <w:rPr>
          <w:rFonts w:cs="Times New Roman"/>
        </w:rPr>
        <w:t xml:space="preserve"> to balance three balls, he needs to </w:t>
      </w:r>
      <w:r>
        <w:rPr>
          <w:rFonts w:cs="Times New Roman"/>
          <w:i/>
        </w:rPr>
        <w:t>know-that</w:t>
      </w:r>
      <w:r>
        <w:rPr>
          <w:rFonts w:cs="Times New Roman"/>
        </w:rPr>
        <w:t xml:space="preserve"> he </w:t>
      </w:r>
      <w:r>
        <w:rPr>
          <w:rFonts w:cs="Times New Roman"/>
          <w:i/>
        </w:rPr>
        <w:t>knows-how</w:t>
      </w:r>
      <w:r>
        <w:rPr>
          <w:rFonts w:cs="Times New Roman"/>
        </w:rPr>
        <w:t xml:space="preserve"> to balance three balls (i.e. a higher-order knowledge). This higher-order </w:t>
      </w:r>
      <w:r>
        <w:rPr>
          <w:rFonts w:cs="Times New Roman"/>
          <w:i/>
        </w:rPr>
        <w:t>knowledge-that</w:t>
      </w:r>
      <w:r>
        <w:rPr>
          <w:rFonts w:cs="Times New Roman"/>
        </w:rPr>
        <w:t xml:space="preserve"> engenders (or is linked in a causal way to) the belief that </w:t>
      </w:r>
      <w:r>
        <w:rPr>
          <w:rFonts w:cs="Times New Roman"/>
          <w:lang w:val="en-AU"/>
        </w:rPr>
        <w:t>he is ready to</w:t>
      </w:r>
      <w:r>
        <w:rPr>
          <w:rFonts w:cs="Times New Roman"/>
        </w:rPr>
        <w:t xml:space="preserve"> attempt to balance five balls.</w:t>
      </w:r>
    </w:p>
    <w:p w14:paraId="5CE241BD" w14:textId="49931932" w:rsidR="00F356FB" w:rsidRDefault="00F356FB" w:rsidP="00F356FB">
      <w:pPr>
        <w:ind w:firstLine="0"/>
        <w:rPr>
          <w:rFonts w:cs="Times New Roman"/>
        </w:rPr>
      </w:pPr>
      <w:r>
        <w:rPr>
          <w:rFonts w:cs="Times New Roman"/>
        </w:rPr>
        <w:t xml:space="preserve">And </w:t>
      </w:r>
      <w:proofErr w:type="gramStart"/>
      <w:r>
        <w:rPr>
          <w:rFonts w:cs="Times New Roman"/>
        </w:rPr>
        <w:t>so</w:t>
      </w:r>
      <w:proofErr w:type="gramEnd"/>
      <w:r>
        <w:rPr>
          <w:rFonts w:cs="Times New Roman"/>
        </w:rPr>
        <w:t xml:space="preserve"> it goes.  Th</w:t>
      </w:r>
      <w:r w:rsidR="00FD339B">
        <w:rPr>
          <w:rFonts w:cs="Times New Roman"/>
        </w:rPr>
        <w:t>is</w:t>
      </w:r>
      <w:r>
        <w:rPr>
          <w:rFonts w:cs="Times New Roman"/>
        </w:rPr>
        <w:t xml:space="preserve"> cumbersome rendition of the cicada-catcher’s story is intended to highlight the potential overlaps between knowing-how and knowing-that, not as two mutually exclusive types of knowledge but, indeed, working together at relevant points in the process such that the cicada-catcher is able to say</w:t>
      </w:r>
      <w:r w:rsidR="006F53A0">
        <w:rPr>
          <w:rFonts w:cs="Times New Roman"/>
        </w:rPr>
        <w:t>,</w:t>
      </w:r>
      <w:r>
        <w:rPr>
          <w:rFonts w:cs="Times New Roman"/>
        </w:rPr>
        <w:t xml:space="preserve"> “</w:t>
      </w:r>
      <w:r w:rsidRPr="00C70223">
        <w:rPr>
          <w:rFonts w:cs="Times New Roman"/>
        </w:rPr>
        <w:t>Then I balance five balls and, if they don’t fall off, I know it will be as easy as grabbing them with my hand.</w:t>
      </w:r>
      <w:r>
        <w:rPr>
          <w:rFonts w:cs="Times New Roman"/>
        </w:rPr>
        <w:t>”</w:t>
      </w:r>
      <w:r w:rsidR="00B2198B">
        <w:rPr>
          <w:rFonts w:cs="Times New Roman"/>
        </w:rPr>
        <w:t xml:space="preserve"> (I will revisit this issue of the integration of knowing-how and knowing-that later in this section.)</w:t>
      </w:r>
    </w:p>
    <w:p w14:paraId="0B7E6DD7" w14:textId="4FED0087" w:rsidR="00F356FB" w:rsidRDefault="008F1013" w:rsidP="008F1013">
      <w:pPr>
        <w:rPr>
          <w:rFonts w:cs="Times New Roman"/>
        </w:rPr>
      </w:pPr>
      <w:r>
        <w:rPr>
          <w:rFonts w:cs="Times New Roman"/>
        </w:rPr>
        <w:t xml:space="preserve">Just as importantly, the analysis of knowing-how and knowing-that in western epistemology is often embedded in a framework </w:t>
      </w:r>
      <w:r w:rsidR="0057753E">
        <w:rPr>
          <w:rFonts w:cs="Times New Roman"/>
        </w:rPr>
        <w:t xml:space="preserve">whose primary concern is to understand </w:t>
      </w:r>
      <w:r>
        <w:rPr>
          <w:rFonts w:cs="Times New Roman"/>
        </w:rPr>
        <w:t>knowledge’s nature</w:t>
      </w:r>
      <w:r w:rsidR="003F2867">
        <w:rPr>
          <w:rFonts w:cs="Times New Roman"/>
        </w:rPr>
        <w:t xml:space="preserve">.  From this angle, the approach is typically to set out what it means </w:t>
      </w:r>
      <w:r w:rsidR="00C13855">
        <w:rPr>
          <w:rFonts w:cs="Times New Roman"/>
        </w:rPr>
        <w:t>to know</w:t>
      </w:r>
      <w:r w:rsidR="003F2867">
        <w:rPr>
          <w:rFonts w:cs="Times New Roman"/>
        </w:rPr>
        <w:t>-</w:t>
      </w:r>
      <w:r w:rsidR="00C13855">
        <w:rPr>
          <w:rFonts w:cs="Times New Roman"/>
        </w:rPr>
        <w:t xml:space="preserve">how and </w:t>
      </w:r>
      <w:r w:rsidR="003F2867">
        <w:rPr>
          <w:rFonts w:cs="Times New Roman"/>
        </w:rPr>
        <w:t xml:space="preserve">to </w:t>
      </w:r>
      <w:r w:rsidR="00C13855">
        <w:rPr>
          <w:rFonts w:cs="Times New Roman"/>
        </w:rPr>
        <w:t>know</w:t>
      </w:r>
      <w:r w:rsidR="003F2867">
        <w:rPr>
          <w:rFonts w:cs="Times New Roman"/>
        </w:rPr>
        <w:t>-</w:t>
      </w:r>
      <w:r w:rsidR="00C13855">
        <w:rPr>
          <w:rFonts w:cs="Times New Roman"/>
        </w:rPr>
        <w:t xml:space="preserve">that, </w:t>
      </w:r>
      <w:r w:rsidR="003F2867">
        <w:rPr>
          <w:rFonts w:cs="Times New Roman"/>
        </w:rPr>
        <w:t xml:space="preserve">prior to investigating how </w:t>
      </w:r>
      <w:r w:rsidR="00090316">
        <w:rPr>
          <w:rFonts w:cs="Times New Roman"/>
        </w:rPr>
        <w:t>individuals may</w:t>
      </w:r>
      <w:r w:rsidR="00C13855">
        <w:rPr>
          <w:rFonts w:cs="Times New Roman"/>
        </w:rPr>
        <w:t xml:space="preserve"> be said to possess knowledge-h</w:t>
      </w:r>
      <w:r w:rsidR="003F2867">
        <w:rPr>
          <w:rFonts w:cs="Times New Roman"/>
        </w:rPr>
        <w:t>ow</w:t>
      </w:r>
      <w:r w:rsidR="00C13855">
        <w:rPr>
          <w:rFonts w:cs="Times New Roman"/>
        </w:rPr>
        <w:t xml:space="preserve"> or knowledge-</w:t>
      </w:r>
      <w:r w:rsidR="003F2867">
        <w:rPr>
          <w:rFonts w:cs="Times New Roman"/>
        </w:rPr>
        <w:t>t</w:t>
      </w:r>
      <w:r w:rsidR="00C13855">
        <w:rPr>
          <w:rFonts w:cs="Times New Roman"/>
        </w:rPr>
        <w:t>h</w:t>
      </w:r>
      <w:r w:rsidR="003F2867">
        <w:rPr>
          <w:rFonts w:cs="Times New Roman"/>
        </w:rPr>
        <w:t>at</w:t>
      </w:r>
      <w:r w:rsidR="00C13855">
        <w:rPr>
          <w:rFonts w:cs="Times New Roman"/>
        </w:rPr>
        <w:t xml:space="preserve">.  </w:t>
      </w:r>
      <w:r w:rsidR="003F2867">
        <w:rPr>
          <w:rFonts w:cs="Times New Roman"/>
        </w:rPr>
        <w:t>This concept of knowledge (whether in propositional form or as capacities or skills) is grounded in the assumption of a person’s—</w:t>
      </w:r>
      <w:r w:rsidR="003F2867">
        <w:rPr>
          <w:rFonts w:cs="Times New Roman"/>
          <w:i/>
        </w:rPr>
        <w:t xml:space="preserve">any </w:t>
      </w:r>
      <w:r w:rsidR="003F2867">
        <w:rPr>
          <w:rFonts w:cs="Times New Roman"/>
        </w:rPr>
        <w:t>person’s—</w:t>
      </w:r>
      <w:r w:rsidR="003F2867">
        <w:rPr>
          <w:rFonts w:cs="Times New Roman"/>
          <w:i/>
        </w:rPr>
        <w:t>possession</w:t>
      </w:r>
      <w:r w:rsidR="003F2867">
        <w:rPr>
          <w:rFonts w:cs="Times New Roman"/>
        </w:rPr>
        <w:t xml:space="preserve"> of a particular (type of) knowledge,  </w:t>
      </w:r>
      <w:r w:rsidR="00E6740E">
        <w:rPr>
          <w:rFonts w:cs="Times New Roman"/>
        </w:rPr>
        <w:t xml:space="preserve">According to this view, interest </w:t>
      </w:r>
      <w:r w:rsidR="003F2867">
        <w:rPr>
          <w:rFonts w:cs="Times New Roman"/>
        </w:rPr>
        <w:t>in the cicada-catching story might include raising questions such as “W</w:t>
      </w:r>
      <w:r w:rsidR="00090316">
        <w:rPr>
          <w:rFonts w:cs="Times New Roman"/>
        </w:rPr>
        <w:t>hat kind of knowledge is needed to catch cicadas?</w:t>
      </w:r>
      <w:r w:rsidR="003F2867">
        <w:rPr>
          <w:rFonts w:cs="Times New Roman"/>
        </w:rPr>
        <w:t>” and</w:t>
      </w:r>
      <w:r w:rsidR="00090316">
        <w:rPr>
          <w:rFonts w:cs="Times New Roman"/>
        </w:rPr>
        <w:t xml:space="preserve"> </w:t>
      </w:r>
      <w:r w:rsidR="003F2867">
        <w:rPr>
          <w:rFonts w:cs="Times New Roman"/>
        </w:rPr>
        <w:t>“</w:t>
      </w:r>
      <w:r w:rsidR="00090316">
        <w:rPr>
          <w:rFonts w:cs="Times New Roman"/>
        </w:rPr>
        <w:t>Can Confucius and his disciples learn this knowledge?</w:t>
      </w:r>
      <w:r w:rsidR="003F2867">
        <w:rPr>
          <w:rFonts w:cs="Times New Roman"/>
        </w:rPr>
        <w:t>”</w:t>
      </w:r>
    </w:p>
    <w:p w14:paraId="0BD5C74E" w14:textId="78AC9C42" w:rsidR="00D25302" w:rsidRDefault="00090316" w:rsidP="00971F5D">
      <w:pPr>
        <w:rPr>
          <w:rFonts w:cs="Times New Roman"/>
        </w:rPr>
      </w:pPr>
      <w:r>
        <w:rPr>
          <w:rFonts w:cs="Times New Roman"/>
        </w:rPr>
        <w:lastRenderedPageBreak/>
        <w:t>T</w:t>
      </w:r>
      <w:r w:rsidR="00571C8E">
        <w:rPr>
          <w:rFonts w:cs="Times New Roman"/>
        </w:rPr>
        <w:t xml:space="preserve">his </w:t>
      </w:r>
      <w:r>
        <w:rPr>
          <w:rFonts w:cs="Times New Roman"/>
        </w:rPr>
        <w:t xml:space="preserve">mindset detracts from what </w:t>
      </w:r>
      <w:proofErr w:type="gramStart"/>
      <w:r>
        <w:rPr>
          <w:rFonts w:cs="Times New Roman"/>
        </w:rPr>
        <w:t>actually happens</w:t>
      </w:r>
      <w:proofErr w:type="gramEnd"/>
      <w:r>
        <w:rPr>
          <w:rFonts w:cs="Times New Roman"/>
        </w:rPr>
        <w:t xml:space="preserve"> in the story.  The cicada-catcher articulates </w:t>
      </w:r>
      <w:r w:rsidR="00571C8E">
        <w:rPr>
          <w:rFonts w:cs="Times New Roman"/>
        </w:rPr>
        <w:t xml:space="preserve">a personalised account of his way of cicada-catching, hunchback and all.  </w:t>
      </w:r>
      <w:r w:rsidRPr="00090316">
        <w:rPr>
          <w:rFonts w:cs="Times New Roman"/>
          <w:i/>
        </w:rPr>
        <w:t>This</w:t>
      </w:r>
      <w:r>
        <w:rPr>
          <w:rFonts w:cs="Times New Roman"/>
        </w:rPr>
        <w:t xml:space="preserve"> is the way (</w:t>
      </w:r>
      <w:r>
        <w:rPr>
          <w:rFonts w:cs="Times New Roman"/>
          <w:i/>
        </w:rPr>
        <w:t>dao</w:t>
      </w:r>
      <w:r>
        <w:rPr>
          <w:rFonts w:cs="Times New Roman"/>
        </w:rPr>
        <w:t xml:space="preserve">) he succeeds at cicada-catching.  He is </w:t>
      </w:r>
      <w:r>
        <w:rPr>
          <w:rFonts w:cs="Times New Roman"/>
          <w:i/>
        </w:rPr>
        <w:t>not</w:t>
      </w:r>
      <w:r>
        <w:rPr>
          <w:rFonts w:cs="Times New Roman"/>
        </w:rPr>
        <w:t xml:space="preserve"> </w:t>
      </w:r>
      <w:r w:rsidR="00FA63B0">
        <w:rPr>
          <w:rFonts w:cs="Times New Roman"/>
        </w:rPr>
        <w:t>offering a generalised explanation of</w:t>
      </w:r>
      <w:r>
        <w:rPr>
          <w:rFonts w:cs="Times New Roman"/>
        </w:rPr>
        <w:t xml:space="preserve"> the know-hows of cicada-catching</w:t>
      </w:r>
      <w:r w:rsidR="00FA63B0">
        <w:rPr>
          <w:rFonts w:cs="Times New Roman"/>
        </w:rPr>
        <w:t xml:space="preserve">, as one might if one were answering a question relating to knowing-how, conceived in the way described in previous paragraphs. </w:t>
      </w:r>
      <w:r>
        <w:rPr>
          <w:rFonts w:cs="Times New Roman"/>
        </w:rPr>
        <w:t xml:space="preserve"> </w:t>
      </w:r>
      <w:r w:rsidR="00571C8E">
        <w:rPr>
          <w:rFonts w:cs="Times New Roman"/>
        </w:rPr>
        <w:t>Ironically,</w:t>
      </w:r>
      <w:r w:rsidR="00FA63B0">
        <w:rPr>
          <w:rFonts w:cs="Times New Roman"/>
        </w:rPr>
        <w:t xml:space="preserve"> and in contrast,</w:t>
      </w:r>
      <w:r w:rsidR="00571C8E">
        <w:rPr>
          <w:rFonts w:cs="Times New Roman"/>
        </w:rPr>
        <w:t xml:space="preserve"> </w:t>
      </w:r>
      <w:r w:rsidR="00971F5D">
        <w:rPr>
          <w:rFonts w:cs="Times New Roman"/>
        </w:rPr>
        <w:t xml:space="preserve">Confucius assumes that the cicada-catcher imparts a body of teaching that his followers may appropriate and call their own.  He misunderstands the fact that </w:t>
      </w:r>
      <w:r w:rsidR="00971F5D">
        <w:rPr>
          <w:rFonts w:cs="Times New Roman"/>
          <w:i/>
        </w:rPr>
        <w:t>this</w:t>
      </w:r>
      <w:r w:rsidR="00971F5D">
        <w:rPr>
          <w:rFonts w:cs="Times New Roman"/>
        </w:rPr>
        <w:t xml:space="preserve"> cicada-catcher’s knowledge is </w:t>
      </w:r>
      <w:r w:rsidR="00D25302">
        <w:rPr>
          <w:rFonts w:cs="Times New Roman"/>
        </w:rPr>
        <w:t xml:space="preserve">not transferable, </w:t>
      </w:r>
      <w:r w:rsidR="00971F5D">
        <w:rPr>
          <w:rFonts w:cs="Times New Roman"/>
        </w:rPr>
        <w:t xml:space="preserve">and he attempts to convey the teaching to his followers. </w:t>
      </w:r>
      <w:proofErr w:type="gramStart"/>
      <w:r w:rsidR="00AB5E53">
        <w:rPr>
          <w:rFonts w:cs="Times New Roman"/>
        </w:rPr>
        <w:t>But,</w:t>
      </w:r>
      <w:proofErr w:type="gramEnd"/>
      <w:r w:rsidR="00AB5E53">
        <w:rPr>
          <w:rFonts w:cs="Times New Roman"/>
        </w:rPr>
        <w:t xml:space="preserve"> we have to ask, how can the cicada-catcher’s learning program—the lessons designed for and undertaken by a hunchback—be useful for Confucius and his followers who, as far as we know, are not hunchbacks?  Confucius</w:t>
      </w:r>
      <w:r w:rsidR="00971F5D">
        <w:rPr>
          <w:rFonts w:cs="Times New Roman"/>
        </w:rPr>
        <w:t xml:space="preserve"> </w:t>
      </w:r>
      <w:r w:rsidR="00AB5E53">
        <w:rPr>
          <w:rFonts w:cs="Times New Roman"/>
        </w:rPr>
        <w:t xml:space="preserve">has </w:t>
      </w:r>
      <w:r w:rsidR="00971F5D">
        <w:rPr>
          <w:rFonts w:cs="Times New Roman"/>
        </w:rPr>
        <w:t>fail</w:t>
      </w:r>
      <w:r w:rsidR="00AB5E53">
        <w:rPr>
          <w:rFonts w:cs="Times New Roman"/>
        </w:rPr>
        <w:t>ed</w:t>
      </w:r>
      <w:r w:rsidR="00971F5D">
        <w:rPr>
          <w:rFonts w:cs="Times New Roman"/>
        </w:rPr>
        <w:t xml:space="preserve"> to grasp that</w:t>
      </w:r>
      <w:r w:rsidR="00D25302">
        <w:rPr>
          <w:rFonts w:cs="Times New Roman"/>
        </w:rPr>
        <w:t xml:space="preserve"> the cicada-catcher, as the knower, is not intersubstitutable with other knowers.</w:t>
      </w:r>
    </w:p>
    <w:p w14:paraId="234BAEAA" w14:textId="179C378F" w:rsidR="00152844" w:rsidRPr="00EC0423" w:rsidRDefault="0087774B" w:rsidP="00280F07">
      <w:pPr>
        <w:rPr>
          <w:rFonts w:eastAsia="KaiTi" w:cs="Times New Roman"/>
        </w:rPr>
      </w:pPr>
      <w:r>
        <w:rPr>
          <w:rFonts w:cs="Times New Roman"/>
        </w:rPr>
        <w:t>T</w:t>
      </w:r>
      <w:r w:rsidR="00EB3AA2">
        <w:rPr>
          <w:rFonts w:cs="Times New Roman"/>
        </w:rPr>
        <w:t xml:space="preserve">he cicada-catcher’s </w:t>
      </w:r>
      <w:r w:rsidR="00EB3AA2">
        <w:rPr>
          <w:rFonts w:cs="Times New Roman"/>
          <w:i/>
        </w:rPr>
        <w:t>dao</w:t>
      </w:r>
      <w:r w:rsidR="00971F5D">
        <w:rPr>
          <w:rFonts w:cs="Times New Roman"/>
        </w:rPr>
        <w:t>—his ability to catch cicadas—</w:t>
      </w:r>
      <w:r w:rsidR="00EB3AA2">
        <w:rPr>
          <w:rFonts w:cs="Times New Roman"/>
        </w:rPr>
        <w:t>holds</w:t>
      </w:r>
      <w:r w:rsidR="00971F5D">
        <w:rPr>
          <w:rFonts w:cs="Times New Roman"/>
        </w:rPr>
        <w:t xml:space="preserve"> </w:t>
      </w:r>
      <w:r w:rsidR="00EB3AA2">
        <w:rPr>
          <w:rFonts w:cs="Times New Roman"/>
          <w:i/>
        </w:rPr>
        <w:t>only</w:t>
      </w:r>
      <w:r w:rsidR="00EB3AA2" w:rsidRPr="00D56203">
        <w:rPr>
          <w:rFonts w:cs="Times New Roman"/>
        </w:rPr>
        <w:t xml:space="preserve"> for him</w:t>
      </w:r>
      <w:r w:rsidR="00EB3AA2">
        <w:rPr>
          <w:rFonts w:cs="Times New Roman"/>
        </w:rPr>
        <w:t xml:space="preserve"> because </w:t>
      </w:r>
      <w:r w:rsidR="00971F5D">
        <w:rPr>
          <w:rFonts w:cs="Times New Roman"/>
          <w:i/>
        </w:rPr>
        <w:t>dao</w:t>
      </w:r>
      <w:r w:rsidR="00EB3AA2">
        <w:rPr>
          <w:rFonts w:cs="Times New Roman"/>
        </w:rPr>
        <w:t xml:space="preserve"> </w:t>
      </w:r>
      <w:r w:rsidR="0077184F">
        <w:rPr>
          <w:rFonts w:cs="Times New Roman"/>
        </w:rPr>
        <w:t xml:space="preserve">is </w:t>
      </w:r>
      <w:r>
        <w:rPr>
          <w:rFonts w:cs="Times New Roman"/>
        </w:rPr>
        <w:t>subject</w:t>
      </w:r>
      <w:r w:rsidR="0077184F">
        <w:rPr>
          <w:rFonts w:cs="Times New Roman"/>
        </w:rPr>
        <w:t>-dependent</w:t>
      </w:r>
      <w:r w:rsidR="004A346D">
        <w:rPr>
          <w:rFonts w:cs="Times New Roman"/>
        </w:rPr>
        <w:t>.</w:t>
      </w:r>
      <w:r w:rsidR="0077184F">
        <w:rPr>
          <w:rFonts w:cs="Times New Roman"/>
        </w:rPr>
        <w:t xml:space="preserve"> </w:t>
      </w:r>
      <w:r w:rsidR="004A346D">
        <w:rPr>
          <w:rFonts w:cs="Times New Roman"/>
        </w:rPr>
        <w:t xml:space="preserve"> T</w:t>
      </w:r>
      <w:r w:rsidR="0077184F">
        <w:rPr>
          <w:rFonts w:cs="Times New Roman"/>
        </w:rPr>
        <w:t>here may be others who can catch cicadas, but</w:t>
      </w:r>
      <w:r w:rsidR="00191444">
        <w:rPr>
          <w:rFonts w:cs="Times New Roman"/>
        </w:rPr>
        <w:t xml:space="preserve"> perhaps</w:t>
      </w:r>
      <w:r w:rsidR="0077184F">
        <w:rPr>
          <w:rFonts w:cs="Times New Roman"/>
        </w:rPr>
        <w:t xml:space="preserve"> not as though they were grabbing cicadas with their hands</w:t>
      </w:r>
      <w:r w:rsidR="00191444">
        <w:rPr>
          <w:rFonts w:cs="Times New Roman"/>
        </w:rPr>
        <w:t>, or perhaps even more skilfully!</w:t>
      </w:r>
      <w:r w:rsidR="00EB3AA2">
        <w:rPr>
          <w:rFonts w:cs="Times New Roman"/>
        </w:rPr>
        <w:t xml:space="preserve">  His capacity to catch cicadas is personal and not transmittable.</w:t>
      </w:r>
      <w:r w:rsidR="00EC0423">
        <w:t xml:space="preserve">  T</w:t>
      </w:r>
      <w:r w:rsidR="00DC22DB" w:rsidRPr="00601FAD">
        <w:t xml:space="preserve">he cicada-catcher is very much </w:t>
      </w:r>
      <w:r w:rsidR="00DC22DB" w:rsidRPr="00601FAD">
        <w:rPr>
          <w:i/>
        </w:rPr>
        <w:t>in</w:t>
      </w:r>
      <w:r w:rsidR="00DC22DB" w:rsidRPr="00601FAD">
        <w:t xml:space="preserve"> his cicada-catching world</w:t>
      </w:r>
      <w:r w:rsidR="00452B48" w:rsidRPr="00601FAD">
        <w:t>, attuned to cicadas and their environments</w:t>
      </w:r>
      <w:r w:rsidR="00DC22DB" w:rsidRPr="00601FAD">
        <w:t>.</w:t>
      </w:r>
      <w:r w:rsidR="00BD77D6" w:rsidRPr="00601FAD">
        <w:t xml:space="preserve">  </w:t>
      </w:r>
      <w:r w:rsidR="00452B48" w:rsidRPr="00601FAD">
        <w:t>The emphasis in this story is not on how a cognisant subject encounters the inert world (although the cicada-catcher is very aware of what he is doing and how he executes his task).</w:t>
      </w:r>
      <w:r w:rsidR="00EC0423">
        <w:rPr>
          <w:rStyle w:val="FootnoteReference"/>
          <w:rFonts w:cs="Times New Roman"/>
        </w:rPr>
        <w:footnoteReference w:id="9"/>
      </w:r>
      <w:r w:rsidR="00EC0423">
        <w:rPr>
          <w:rFonts w:cs="Times New Roman"/>
        </w:rPr>
        <w:t xml:space="preserve">  </w:t>
      </w:r>
      <w:r w:rsidR="00452B48" w:rsidRPr="00601FAD">
        <w:t xml:space="preserve">Rather, it centres on his </w:t>
      </w:r>
      <w:r w:rsidR="00452B48" w:rsidRPr="00601FAD">
        <w:lastRenderedPageBreak/>
        <w:t>preparation for his performance, and his performance itself.  Here, I highlight two pertinent aspects of cicada-catc</w:t>
      </w:r>
      <w:r w:rsidR="00152844">
        <w:t>hing performance in the story.</w:t>
      </w:r>
    </w:p>
    <w:p w14:paraId="2978737F" w14:textId="79B8BB92" w:rsidR="002B0FBE" w:rsidRDefault="00452B48" w:rsidP="00280F07">
      <w:pPr>
        <w:rPr>
          <w:rFonts w:cs="Times New Roman"/>
        </w:rPr>
      </w:pPr>
      <w:r w:rsidRPr="00601FAD">
        <w:t xml:space="preserve">First, </w:t>
      </w:r>
      <w:r w:rsidRPr="00601FAD">
        <w:rPr>
          <w:rFonts w:cs="Times New Roman"/>
        </w:rPr>
        <w:t xml:space="preserve">upon seeing the cicada, the cicada-catcher’s capacities are engaged </w:t>
      </w:r>
      <w:r w:rsidRPr="00601FAD">
        <w:rPr>
          <w:rFonts w:cs="Times New Roman"/>
          <w:i/>
        </w:rPr>
        <w:t>at once</w:t>
      </w:r>
      <w:r w:rsidRPr="00601FAD">
        <w:rPr>
          <w:rFonts w:cs="Times New Roman"/>
        </w:rPr>
        <w:t xml:space="preserve">: physically positioning his body and his limbs, </w:t>
      </w:r>
      <w:proofErr w:type="spellStart"/>
      <w:r w:rsidRPr="00601FAD">
        <w:rPr>
          <w:rFonts w:cs="Times New Roman"/>
        </w:rPr>
        <w:t>dispositionally</w:t>
      </w:r>
      <w:proofErr w:type="spellEnd"/>
      <w:r w:rsidRPr="00601FAD">
        <w:rPr>
          <w:rFonts w:cs="Times New Roman"/>
        </w:rPr>
        <w:t xml:space="preserve"> attuned to the cicada’s bearings, understanding how the cicada is situated relative to his own position, flexing the right muscles in a particular way with appropriate swiftness, and so on.  To say that these capacities are engaged at once is not to say that they </w:t>
      </w:r>
      <w:r w:rsidR="00191444">
        <w:rPr>
          <w:rFonts w:cs="Times New Roman"/>
        </w:rPr>
        <w:t xml:space="preserve">must </w:t>
      </w:r>
      <w:r w:rsidRPr="00601FAD">
        <w:rPr>
          <w:rFonts w:cs="Times New Roman"/>
        </w:rPr>
        <w:t xml:space="preserve">all happen at the same time.  Rather, it is intended to convey the coordination of the different capacities that, </w:t>
      </w:r>
      <w:r w:rsidRPr="00601FAD">
        <w:rPr>
          <w:rFonts w:cs="Times New Roman"/>
          <w:i/>
        </w:rPr>
        <w:t>in working together</w:t>
      </w:r>
      <w:r w:rsidR="0095569E" w:rsidRPr="00601FAD">
        <w:rPr>
          <w:rFonts w:cs="Times New Roman"/>
          <w:i/>
        </w:rPr>
        <w:t xml:space="preserve"> in a specific context</w:t>
      </w:r>
      <w:r w:rsidRPr="00601FAD">
        <w:rPr>
          <w:rFonts w:cs="Times New Roman"/>
        </w:rPr>
        <w:t xml:space="preserve">, are constitutive of </w:t>
      </w:r>
      <w:r w:rsidR="00955724">
        <w:rPr>
          <w:rFonts w:cs="Times New Roman"/>
        </w:rPr>
        <w:t xml:space="preserve">masterful </w:t>
      </w:r>
      <w:r w:rsidRPr="00601FAD">
        <w:rPr>
          <w:rFonts w:cs="Times New Roman"/>
        </w:rPr>
        <w:t xml:space="preserve">cicada-catching performance.  </w:t>
      </w:r>
      <w:r w:rsidR="0095569E" w:rsidRPr="00601FAD">
        <w:t xml:space="preserve">He observes cicadas—for example, to understand that they are comfortable </w:t>
      </w:r>
      <w:proofErr w:type="gramStart"/>
      <w:r w:rsidR="0095569E" w:rsidRPr="00601FAD">
        <w:t>in particular tree</w:t>
      </w:r>
      <w:proofErr w:type="gramEnd"/>
      <w:r w:rsidR="0095569E" w:rsidRPr="00601FAD">
        <w:t xml:space="preserve"> environments—in order to develop a course of action so that he can </w:t>
      </w:r>
      <w:r w:rsidR="0095569E" w:rsidRPr="00601FAD">
        <w:rPr>
          <w:i/>
        </w:rPr>
        <w:t>be</w:t>
      </w:r>
      <w:r w:rsidR="0095569E" w:rsidRPr="00601FAD">
        <w:t xml:space="preserve"> part of the tree environment.  </w:t>
      </w:r>
      <w:r w:rsidRPr="00601FAD">
        <w:rPr>
          <w:rFonts w:cs="Times New Roman"/>
        </w:rPr>
        <w:t xml:space="preserve">There is no </w:t>
      </w:r>
      <w:r w:rsidR="00C12A9D">
        <w:rPr>
          <w:rFonts w:cs="Times New Roman"/>
        </w:rPr>
        <w:t>“</w:t>
      </w:r>
      <w:r w:rsidRPr="00601FAD">
        <w:rPr>
          <w:rFonts w:cs="Times New Roman"/>
        </w:rPr>
        <w:t>correct</w:t>
      </w:r>
      <w:r w:rsidR="00C12A9D">
        <w:rPr>
          <w:rFonts w:cs="Times New Roman"/>
        </w:rPr>
        <w:t>”</w:t>
      </w:r>
      <w:r w:rsidRPr="00601FAD">
        <w:rPr>
          <w:rFonts w:cs="Times New Roman"/>
        </w:rPr>
        <w:t xml:space="preserve"> sequencing of thinking </w:t>
      </w:r>
      <w:r w:rsidR="00C25A10">
        <w:rPr>
          <w:rFonts w:cs="Times New Roman"/>
        </w:rPr>
        <w:t>before acting</w:t>
      </w:r>
      <w:r w:rsidRPr="00601FAD">
        <w:rPr>
          <w:rFonts w:cs="Times New Roman"/>
        </w:rPr>
        <w:t xml:space="preserve">, as for instance, </w:t>
      </w:r>
      <w:r w:rsidR="00FF245D">
        <w:rPr>
          <w:rFonts w:cs="Times New Roman"/>
        </w:rPr>
        <w:t>where</w:t>
      </w:r>
      <w:r w:rsidRPr="00601FAD">
        <w:rPr>
          <w:rFonts w:cs="Times New Roman"/>
        </w:rPr>
        <w:t xml:space="preserve"> the cicada-catcher </w:t>
      </w:r>
      <w:r w:rsidRPr="00601FAD">
        <w:rPr>
          <w:rFonts w:cs="Times New Roman"/>
          <w:i/>
        </w:rPr>
        <w:t xml:space="preserve">first </w:t>
      </w:r>
      <w:r w:rsidRPr="00601FAD">
        <w:rPr>
          <w:rFonts w:cs="Times New Roman"/>
        </w:rPr>
        <w:t xml:space="preserve">seeks to understand that the cicada is in a certain position and </w:t>
      </w:r>
      <w:r w:rsidR="00FF245D">
        <w:rPr>
          <w:rFonts w:cs="Times New Roman"/>
        </w:rPr>
        <w:t>where</w:t>
      </w:r>
      <w:r w:rsidRPr="00601FAD">
        <w:rPr>
          <w:rFonts w:cs="Times New Roman"/>
        </w:rPr>
        <w:t xml:space="preserve">, to catch it, he needs to crouch in a </w:t>
      </w:r>
      <w:r w:rsidR="00615422">
        <w:rPr>
          <w:rFonts w:cs="Times New Roman"/>
        </w:rPr>
        <w:t>particular way and act speedily</w:t>
      </w:r>
      <w:r w:rsidRPr="00601FAD">
        <w:rPr>
          <w:rFonts w:cs="Times New Roman"/>
        </w:rPr>
        <w:t xml:space="preserve"> and </w:t>
      </w:r>
      <w:r w:rsidRPr="00601FAD">
        <w:rPr>
          <w:rFonts w:cs="Times New Roman"/>
          <w:i/>
        </w:rPr>
        <w:t>then</w:t>
      </w:r>
      <w:r w:rsidRPr="00601FAD">
        <w:rPr>
          <w:rFonts w:cs="Times New Roman"/>
        </w:rPr>
        <w:t xml:space="preserve">, </w:t>
      </w:r>
      <w:r w:rsidR="00615422">
        <w:rPr>
          <w:rFonts w:cs="Times New Roman"/>
          <w:i/>
        </w:rPr>
        <w:t>secondly</w:t>
      </w:r>
      <w:r w:rsidR="00615422">
        <w:rPr>
          <w:rFonts w:cs="Times New Roman"/>
        </w:rPr>
        <w:t>, act</w:t>
      </w:r>
      <w:r w:rsidRPr="00601FAD">
        <w:rPr>
          <w:rFonts w:cs="Times New Roman"/>
        </w:rPr>
        <w:t xml:space="preserve"> accordingly.</w:t>
      </w:r>
      <w:r w:rsidR="00102142">
        <w:rPr>
          <w:rStyle w:val="FootnoteReference"/>
          <w:rFonts w:cs="Times New Roman"/>
        </w:rPr>
        <w:footnoteReference w:id="10"/>
      </w:r>
      <w:r w:rsidR="00D01BE2" w:rsidRPr="00601FAD">
        <w:rPr>
          <w:rFonts w:cs="Times New Roman"/>
        </w:rPr>
        <w:t xml:space="preserve">  </w:t>
      </w:r>
      <w:r w:rsidRPr="00601FAD">
        <w:rPr>
          <w:rFonts w:cs="Times New Roman"/>
        </w:rPr>
        <w:t xml:space="preserve">“I position my body like a stiff tree trunk and hold my arm like an old dry limb.  No matter how expansive heaven and earth are, or how numerous the ten thousand things, I’m aware of nothing but cicada wings”, says the cicada-catcher.  His performance draws on knowledge-how, knowledge-that, physical ability as well as appropriate </w:t>
      </w:r>
      <w:r w:rsidRPr="00601FAD">
        <w:rPr>
          <w:rFonts w:cs="Times New Roman"/>
        </w:rPr>
        <w:lastRenderedPageBreak/>
        <w:t>dispositions, all at once.</w:t>
      </w:r>
      <w:r w:rsidR="00D01BE2" w:rsidRPr="00601FAD">
        <w:rPr>
          <w:rFonts w:cs="Times New Roman"/>
        </w:rPr>
        <w:t xml:space="preserve">  Surely, the cicada-catcher’s performance is not anti-rational</w:t>
      </w:r>
      <w:r w:rsidR="00042974">
        <w:rPr>
          <w:rFonts w:cs="Times New Roman"/>
        </w:rPr>
        <w:t xml:space="preserve">. </w:t>
      </w:r>
      <w:r w:rsidR="00B2198B">
        <w:rPr>
          <w:rFonts w:cs="Times New Roman"/>
        </w:rPr>
        <w:t>Note the</w:t>
      </w:r>
      <w:r w:rsidR="00D01BE2" w:rsidRPr="00601FAD">
        <w:rPr>
          <w:rFonts w:cs="Times New Roman"/>
        </w:rPr>
        <w:t xml:space="preserve"> self-aware way he has</w:t>
      </w:r>
      <w:r w:rsidR="00B2198B">
        <w:rPr>
          <w:rFonts w:cs="Times New Roman"/>
        </w:rPr>
        <w:t xml:space="preserve"> </w:t>
      </w:r>
      <w:proofErr w:type="gramStart"/>
      <w:r w:rsidR="00B2198B">
        <w:rPr>
          <w:rFonts w:cs="Times New Roman"/>
        </w:rPr>
        <w:t>taken into account</w:t>
      </w:r>
      <w:proofErr w:type="gramEnd"/>
      <w:r w:rsidR="00D01BE2" w:rsidRPr="00601FAD">
        <w:rPr>
          <w:rFonts w:cs="Times New Roman"/>
        </w:rPr>
        <w:t xml:space="preserve"> the habitat and habits of cicadas and accordingly planned his practice.</w:t>
      </w:r>
      <w:r w:rsidR="00102142">
        <w:rPr>
          <w:rFonts w:cs="Times New Roman"/>
        </w:rPr>
        <w:t xml:space="preserve"> </w:t>
      </w:r>
      <w:r w:rsidR="00D01BE2" w:rsidRPr="00601FAD">
        <w:rPr>
          <w:rFonts w:cs="Times New Roman"/>
        </w:rPr>
        <w:t xml:space="preserve"> Nor, indeed, is it lacking in knowledge-that, given his discursive, step-by-step </w:t>
      </w:r>
      <w:r w:rsidR="00CF7328">
        <w:rPr>
          <w:rFonts w:cs="Times New Roman"/>
        </w:rPr>
        <w:t>articulation of</w:t>
      </w:r>
      <w:r w:rsidR="00D01BE2" w:rsidRPr="00601FAD">
        <w:rPr>
          <w:rFonts w:cs="Times New Roman"/>
        </w:rPr>
        <w:t xml:space="preserve"> how he develops skill for catching cicadas.</w:t>
      </w:r>
      <w:r w:rsidR="0095569E" w:rsidRPr="00601FAD">
        <w:rPr>
          <w:rFonts w:cs="Times New Roman"/>
        </w:rPr>
        <w:t xml:space="preserve">  </w:t>
      </w:r>
      <w:r w:rsidR="002B0FBE">
        <w:rPr>
          <w:rFonts w:cs="Times New Roman"/>
        </w:rPr>
        <w:t>In</w:t>
      </w:r>
      <w:r w:rsidR="0087684A">
        <w:rPr>
          <w:rFonts w:cs="Times New Roman"/>
        </w:rPr>
        <w:t xml:space="preserve"> the</w:t>
      </w:r>
      <w:r w:rsidR="002B0FBE">
        <w:rPr>
          <w:rFonts w:cs="Times New Roman"/>
        </w:rPr>
        <w:t xml:space="preserve"> words</w:t>
      </w:r>
      <w:r w:rsidR="0087684A" w:rsidRPr="0087684A">
        <w:rPr>
          <w:rFonts w:cs="Times New Roman"/>
        </w:rPr>
        <w:t xml:space="preserve"> </w:t>
      </w:r>
      <w:r w:rsidR="0087684A">
        <w:rPr>
          <w:rFonts w:cs="Times New Roman"/>
        </w:rPr>
        <w:t>of Gilbert Ryle</w:t>
      </w:r>
      <w:r w:rsidR="002B0FBE">
        <w:rPr>
          <w:rFonts w:cs="Times New Roman"/>
        </w:rPr>
        <w:t xml:space="preserve">, </w:t>
      </w:r>
      <w:r w:rsidR="0087684A">
        <w:rPr>
          <w:rFonts w:cs="Times New Roman"/>
        </w:rPr>
        <w:t>cicada-catching in this story</w:t>
      </w:r>
      <w:r w:rsidR="002B0FBE">
        <w:rPr>
          <w:rFonts w:cs="Times New Roman"/>
        </w:rPr>
        <w:t xml:space="preserve"> is </w:t>
      </w:r>
      <w:r w:rsidR="002B0FBE">
        <w:rPr>
          <w:rFonts w:cs="Times New Roman"/>
          <w:i/>
        </w:rPr>
        <w:t xml:space="preserve">one </w:t>
      </w:r>
      <w:r w:rsidR="002B0FBE">
        <w:rPr>
          <w:rFonts w:cs="Times New Roman"/>
        </w:rPr>
        <w:t xml:space="preserve">intelligent activity, not </w:t>
      </w:r>
      <w:r w:rsidR="002B0FBE">
        <w:rPr>
          <w:rFonts w:cs="Times New Roman"/>
          <w:i/>
        </w:rPr>
        <w:t>two</w:t>
      </w:r>
      <w:r w:rsidR="002B0FBE">
        <w:rPr>
          <w:rFonts w:cs="Times New Roman"/>
        </w:rPr>
        <w:t xml:space="preserve"> (the thinking and the doing):</w:t>
      </w:r>
    </w:p>
    <w:p w14:paraId="0CF38A69" w14:textId="77777777" w:rsidR="002B0FBE" w:rsidRPr="00462A4E" w:rsidRDefault="002B0FBE" w:rsidP="00462A4E">
      <w:pPr>
        <w:ind w:left="567" w:firstLine="0"/>
        <w:rPr>
          <w:rFonts w:cs="Times New Roman"/>
        </w:rPr>
      </w:pPr>
      <w:r>
        <w:rPr>
          <w:rFonts w:cs="Times New Roman"/>
        </w:rPr>
        <w:t>W</w:t>
      </w:r>
      <w:r w:rsidRPr="002B0FBE">
        <w:rPr>
          <w:rFonts w:cs="Times New Roman"/>
        </w:rPr>
        <w:t>hen I do something intelligently, i.e., thinking what I am doing, I am doing one thing and not two. My performance has a special procedure or</w:t>
      </w:r>
      <w:r>
        <w:rPr>
          <w:rFonts w:cs="Times New Roman"/>
        </w:rPr>
        <w:t xml:space="preserve"> manner, not special antecedent. (Ryle, </w:t>
      </w:r>
      <w:r>
        <w:rPr>
          <w:rFonts w:cs="Times New Roman"/>
          <w:i/>
        </w:rPr>
        <w:t>The Concept of Mind</w:t>
      </w:r>
      <w:r w:rsidR="00102142">
        <w:rPr>
          <w:rFonts w:cs="Times New Roman"/>
        </w:rPr>
        <w:t xml:space="preserve">, </w:t>
      </w:r>
      <w:r>
        <w:rPr>
          <w:rFonts w:cs="Times New Roman"/>
        </w:rPr>
        <w:t>32)</w:t>
      </w:r>
    </w:p>
    <w:p w14:paraId="76118541" w14:textId="77777777" w:rsidR="00BD77D6" w:rsidRPr="00601FAD" w:rsidRDefault="002B0FBE" w:rsidP="00280F07">
      <w:pPr>
        <w:ind w:firstLine="0"/>
      </w:pPr>
      <w:r>
        <w:rPr>
          <w:rFonts w:cs="Times New Roman"/>
        </w:rPr>
        <w:t xml:space="preserve">This </w:t>
      </w:r>
      <w:proofErr w:type="gramStart"/>
      <w:r>
        <w:rPr>
          <w:rFonts w:cs="Times New Roman"/>
        </w:rPr>
        <w:t>brings to mind</w:t>
      </w:r>
      <w:proofErr w:type="gramEnd"/>
      <w:r>
        <w:rPr>
          <w:rFonts w:cs="Times New Roman"/>
        </w:rPr>
        <w:t xml:space="preserve">, secondly, that in the cicada-catcher story, </w:t>
      </w:r>
      <w:r w:rsidR="0095569E" w:rsidRPr="00601FAD">
        <w:rPr>
          <w:rFonts w:cs="Times New Roman"/>
        </w:rPr>
        <w:t xml:space="preserve">there is no clear boundary between the cicada-catcher’s </w:t>
      </w:r>
      <w:r w:rsidR="0095569E" w:rsidRPr="00601FAD">
        <w:rPr>
          <w:rFonts w:cs="Times New Roman"/>
          <w:i/>
        </w:rPr>
        <w:t>thinking</w:t>
      </w:r>
      <w:r w:rsidR="0095569E" w:rsidRPr="00601FAD">
        <w:rPr>
          <w:rFonts w:cs="Times New Roman"/>
        </w:rPr>
        <w:t xml:space="preserve"> self and his </w:t>
      </w:r>
      <w:r w:rsidR="0095569E" w:rsidRPr="00601FAD">
        <w:rPr>
          <w:rFonts w:cs="Times New Roman"/>
          <w:i/>
        </w:rPr>
        <w:t>doing</w:t>
      </w:r>
      <w:r w:rsidR="0095569E" w:rsidRPr="00601FAD">
        <w:rPr>
          <w:rFonts w:cs="Times New Roman"/>
        </w:rPr>
        <w:t xml:space="preserve"> self.  </w:t>
      </w:r>
      <w:r w:rsidR="0095569E" w:rsidRPr="00601FAD">
        <w:t>H</w:t>
      </w:r>
      <w:r w:rsidR="00BD77D6" w:rsidRPr="00601FAD">
        <w:t>is views and thoughts are shaped</w:t>
      </w:r>
      <w:r w:rsidR="0095569E" w:rsidRPr="00601FAD">
        <w:t xml:space="preserve"> by his perceptions of the cicadas and their environments</w:t>
      </w:r>
      <w:r w:rsidR="00BD77D6" w:rsidRPr="00601FAD">
        <w:t xml:space="preserve">.  But the story says more than just that </w:t>
      </w:r>
      <w:r w:rsidR="00C47A78" w:rsidRPr="00601FAD">
        <w:t xml:space="preserve">body and </w:t>
      </w:r>
      <w:r w:rsidR="00BD77D6" w:rsidRPr="00601FAD">
        <w:t xml:space="preserve">sensorimotor experiences </w:t>
      </w:r>
      <w:r w:rsidR="00C47A78" w:rsidRPr="00601FAD">
        <w:t>influence</w:t>
      </w:r>
      <w:r w:rsidR="00BD77D6" w:rsidRPr="00601FAD">
        <w:t xml:space="preserve"> thought.</w:t>
      </w:r>
      <w:r w:rsidR="00C60437">
        <w:rPr>
          <w:rStyle w:val="FootnoteReference"/>
        </w:rPr>
        <w:footnoteReference w:id="11"/>
      </w:r>
      <w:r w:rsidR="00BD77D6" w:rsidRPr="00601FAD">
        <w:t xml:space="preserve"> Consider how </w:t>
      </w:r>
      <w:r w:rsidR="00C47A78" w:rsidRPr="00601FAD">
        <w:t>t</w:t>
      </w:r>
      <w:r w:rsidR="00BD77D6" w:rsidRPr="00601FAD">
        <w:t xml:space="preserve">he </w:t>
      </w:r>
      <w:r w:rsidR="00C47A78" w:rsidRPr="00601FAD">
        <w:t xml:space="preserve">cicada-catcher </w:t>
      </w:r>
      <w:r w:rsidR="00BD77D6" w:rsidRPr="00601FAD">
        <w:t xml:space="preserve">holds his body like a stiff tree trunk: this must be excruciating.  Yet, could it be less so for Zhuangzi’s cicada-catcher because he is a hunchback?  Did he </w:t>
      </w:r>
      <w:r w:rsidR="00BD77D6" w:rsidRPr="00601FAD">
        <w:rPr>
          <w:i/>
        </w:rPr>
        <w:t>become</w:t>
      </w:r>
      <w:r w:rsidR="00BD77D6" w:rsidRPr="00601FAD">
        <w:t xml:space="preserve"> a hunchback from his cicada-catching practice, or </w:t>
      </w:r>
      <w:r w:rsidR="00C47A78" w:rsidRPr="00601FAD">
        <w:t>does</w:t>
      </w:r>
      <w:r w:rsidR="00BD77D6" w:rsidRPr="00601FAD">
        <w:t xml:space="preserve"> his being a hunchback render him particularly well-suited to catching cicadas?  </w:t>
      </w:r>
      <w:r w:rsidR="007C76DB" w:rsidRPr="00601FAD">
        <w:t>Or is his being a hunchback a mere coincidence</w:t>
      </w:r>
      <w:r w:rsidR="00C47A78" w:rsidRPr="00601FAD">
        <w:t xml:space="preserve"> </w:t>
      </w:r>
      <w:r w:rsidR="00C47A78" w:rsidRPr="00601FAD">
        <w:lastRenderedPageBreak/>
        <w:t>with his special abilities for catching cicadas</w:t>
      </w:r>
      <w:r w:rsidR="007C76DB" w:rsidRPr="00601FAD">
        <w:t xml:space="preserve">?  </w:t>
      </w:r>
      <w:r w:rsidR="00BD77D6" w:rsidRPr="00601FAD">
        <w:t xml:space="preserve">The </w:t>
      </w:r>
      <w:r w:rsidR="007C76DB" w:rsidRPr="00601FAD">
        <w:t>last scenario is</w:t>
      </w:r>
      <w:r w:rsidR="00CF7328">
        <w:t xml:space="preserve"> possible though</w:t>
      </w:r>
      <w:r w:rsidR="007C76DB" w:rsidRPr="00601FAD">
        <w:t xml:space="preserve"> not plausible, as the text is playfully knowing</w:t>
      </w:r>
      <w:r w:rsidR="00C47A78" w:rsidRPr="00601FAD">
        <w:t xml:space="preserve"> in its choice of words and images</w:t>
      </w:r>
      <w:r w:rsidR="007C76DB" w:rsidRPr="00601FAD">
        <w:t>; consider, for example, how the Wheelwright’s name is “Flat” (</w:t>
      </w:r>
      <w:r w:rsidR="007C76DB" w:rsidRPr="00601FAD">
        <w:rPr>
          <w:i/>
        </w:rPr>
        <w:t>Bian</w:t>
      </w:r>
      <w:r w:rsidR="00C60437">
        <w:t xml:space="preserve">; </w:t>
      </w:r>
      <w:r w:rsidR="00C60437" w:rsidRPr="00615422">
        <w:rPr>
          <w:i/>
        </w:rPr>
        <w:t>Zhuangzi</w:t>
      </w:r>
      <w:r w:rsidR="00C60437" w:rsidRPr="00615422">
        <w:t xml:space="preserve"> 36/13/68-74</w:t>
      </w:r>
      <w:r w:rsidR="007C76DB" w:rsidRPr="00601FAD">
        <w:t xml:space="preserve">).  The cicada-catcher </w:t>
      </w:r>
      <w:r w:rsidR="00BD77D6" w:rsidRPr="00601FAD">
        <w:t>story does not tell us more</w:t>
      </w:r>
      <w:r w:rsidR="007C76DB" w:rsidRPr="00601FAD">
        <w:t xml:space="preserve"> about the connection between hunchback-ness and cicada-catching</w:t>
      </w:r>
      <w:r w:rsidR="00BD77D6" w:rsidRPr="00601FAD">
        <w:t xml:space="preserve">, but </w:t>
      </w:r>
      <w:r w:rsidR="007C76DB" w:rsidRPr="00601FAD">
        <w:t xml:space="preserve">it prompts us to ponder the fascinating possibilities suggested by its imagery.  Whether </w:t>
      </w:r>
      <w:r w:rsidR="00615422">
        <w:t>being</w:t>
      </w:r>
      <w:r w:rsidR="007C76DB" w:rsidRPr="00601FAD">
        <w:t xml:space="preserve"> hunchback</w:t>
      </w:r>
      <w:r w:rsidR="00615422">
        <w:t>ed</w:t>
      </w:r>
      <w:r w:rsidR="007C76DB" w:rsidRPr="00601FAD">
        <w:t xml:space="preserve"> is an enabling capacity for cicada-catching, or an unintended consequence, we are left to wonder whether the cicada-catcher’s</w:t>
      </w:r>
      <w:r w:rsidR="00BD77D6" w:rsidRPr="00601FAD">
        <w:t xml:space="preserve"> </w:t>
      </w:r>
      <w:r w:rsidR="00BD77D6" w:rsidRPr="00601FAD">
        <w:rPr>
          <w:i/>
        </w:rPr>
        <w:t>being</w:t>
      </w:r>
      <w:r w:rsidR="00BD77D6" w:rsidRPr="00601FAD">
        <w:t xml:space="preserve"> in the environment of cicadas is constitutive of his cognitive processes</w:t>
      </w:r>
      <w:r w:rsidR="007C76DB" w:rsidRPr="00601FAD">
        <w:t>.  This is a much more significant claim tha</w:t>
      </w:r>
      <w:r w:rsidR="00A75E96" w:rsidRPr="00601FAD">
        <w:t>n</w:t>
      </w:r>
      <w:r w:rsidR="007C76DB" w:rsidRPr="00601FAD">
        <w:t xml:space="preserve"> that made previously, </w:t>
      </w:r>
      <w:r w:rsidR="00BB0AED" w:rsidRPr="00601FAD">
        <w:t xml:space="preserve">which was </w:t>
      </w:r>
      <w:r w:rsidR="007C76DB" w:rsidRPr="00601FAD">
        <w:t>that experiences shape thought</w:t>
      </w:r>
      <w:r w:rsidR="00615422">
        <w:t>.  Here, the suggestion is that the cicada-catcher’s positioning of himself and acting within the</w:t>
      </w:r>
      <w:r w:rsidR="00E15DBD" w:rsidRPr="00601FAD">
        <w:t xml:space="preserve"> </w:t>
      </w:r>
      <w:r w:rsidR="00615422">
        <w:t xml:space="preserve">cicada-catching </w:t>
      </w:r>
      <w:r w:rsidR="00E15DBD" w:rsidRPr="00601FAD">
        <w:t>environment</w:t>
      </w:r>
      <w:r w:rsidR="00615422">
        <w:t xml:space="preserve">, </w:t>
      </w:r>
      <w:r w:rsidR="00F96BF5">
        <w:t xml:space="preserve">could, or maybe should, </w:t>
      </w:r>
      <w:proofErr w:type="gramStart"/>
      <w:r w:rsidR="00F96BF5">
        <w:t>be seen as</w:t>
      </w:r>
      <w:proofErr w:type="gramEnd"/>
      <w:r w:rsidR="00F96BF5">
        <w:t xml:space="preserve"> </w:t>
      </w:r>
      <w:r w:rsidR="007C76DB" w:rsidRPr="00601FAD">
        <w:t>cognitive processes</w:t>
      </w:r>
      <w:r w:rsidR="00BD77D6" w:rsidRPr="00601FAD">
        <w:t>.</w:t>
      </w:r>
      <w:r w:rsidR="0018675A">
        <w:t xml:space="preserve"> Perhaps, for this reason and more, we need to move beyond the conceptual framework of traditional classifications of rational/anti-rational, </w:t>
      </w:r>
      <w:r w:rsidR="00ED0E16">
        <w:t>mind/body and knowing that/knowing how.</w:t>
      </w:r>
    </w:p>
    <w:p w14:paraId="193207C6" w14:textId="77777777" w:rsidR="0018675A" w:rsidRDefault="0018675A" w:rsidP="00280F07">
      <w:pPr>
        <w:ind w:firstLine="0"/>
      </w:pPr>
    </w:p>
    <w:p w14:paraId="2F6105D5" w14:textId="77777777" w:rsidR="0018675A" w:rsidRDefault="0018675A" w:rsidP="00280F07">
      <w:pPr>
        <w:jc w:val="center"/>
      </w:pPr>
      <w:r>
        <w:t>4. Knowing, as a Daoist knows</w:t>
      </w:r>
    </w:p>
    <w:p w14:paraId="38297A1F" w14:textId="6BA432CA" w:rsidR="00DF0B6A" w:rsidRPr="00445F27" w:rsidRDefault="00A2047B" w:rsidP="00280F07">
      <w:pPr>
        <w:ind w:firstLine="0"/>
        <w:rPr>
          <w:rFonts w:cs="Times New Roman"/>
        </w:rPr>
      </w:pPr>
      <w:r>
        <w:t xml:space="preserve">The discussion in this section highlights a few themes that have arisen in the context of debates in Embodied Cognition Theory.  The aim is to show that </w:t>
      </w:r>
      <w:r w:rsidR="00486E1C">
        <w:t xml:space="preserve">ECT has a few interesting angles that </w:t>
      </w:r>
      <w:r w:rsidR="0087684A">
        <w:t xml:space="preserve">will help draw out </w:t>
      </w:r>
      <w:r w:rsidR="00486E1C">
        <w:t xml:space="preserve">the performance-orientation of the </w:t>
      </w:r>
      <w:r w:rsidR="00486E1C">
        <w:rPr>
          <w:i/>
        </w:rPr>
        <w:t>Zhuangzi</w:t>
      </w:r>
      <w:r w:rsidR="00486E1C">
        <w:t xml:space="preserve"> in a much more pertinent way than the dominant epistemological frameworks in western philosophy do.  </w:t>
      </w:r>
      <w:r w:rsidR="00DF0B6A">
        <w:rPr>
          <w:rFonts w:cs="Times New Roman"/>
        </w:rPr>
        <w:t>In some ways, it is not a coincidence that we can detect in the cicada-catcher story some similar lines of thought that have informed ECT.  Both have empirical bases</w:t>
      </w:r>
      <w:r w:rsidR="00CD1CDD">
        <w:rPr>
          <w:rFonts w:cs="Times New Roman"/>
        </w:rPr>
        <w:t>.  I</w:t>
      </w:r>
      <w:r w:rsidR="00DF0B6A">
        <w:rPr>
          <w:rFonts w:cs="Times New Roman"/>
        </w:rPr>
        <w:t xml:space="preserve">n the case of the </w:t>
      </w:r>
      <w:r w:rsidR="00DF0B6A">
        <w:rPr>
          <w:rFonts w:cs="Times New Roman"/>
          <w:i/>
        </w:rPr>
        <w:t>Zhuangzi</w:t>
      </w:r>
      <w:r w:rsidR="00DF0B6A">
        <w:rPr>
          <w:rFonts w:cs="Times New Roman"/>
        </w:rPr>
        <w:t>, its focus is on the performance of the cicada-catcher</w:t>
      </w:r>
      <w:r w:rsidR="00CD1CDD">
        <w:rPr>
          <w:rFonts w:cs="Times New Roman"/>
        </w:rPr>
        <w:t>.  I</w:t>
      </w:r>
      <w:r w:rsidR="00DF0B6A">
        <w:rPr>
          <w:rFonts w:cs="Times New Roman"/>
        </w:rPr>
        <w:t>n the case of ECT, many of its arguments draw from what it means for people or subjects to encounter</w:t>
      </w:r>
      <w:r w:rsidR="00CD1CDD">
        <w:rPr>
          <w:rFonts w:cs="Times New Roman"/>
        </w:rPr>
        <w:t xml:space="preserve"> </w:t>
      </w:r>
      <w:r w:rsidR="00DF0B6A">
        <w:rPr>
          <w:rFonts w:cs="Times New Roman"/>
        </w:rPr>
        <w:t>s</w:t>
      </w:r>
      <w:r w:rsidR="00CD1CDD">
        <w:rPr>
          <w:rFonts w:cs="Times New Roman"/>
        </w:rPr>
        <w:t xml:space="preserve">ituations and act </w:t>
      </w:r>
      <w:r w:rsidR="00CD1CDD">
        <w:rPr>
          <w:rFonts w:cs="Times New Roman"/>
        </w:rPr>
        <w:lastRenderedPageBreak/>
        <w:t>responsively</w:t>
      </w:r>
      <w:r w:rsidR="00DF0B6A">
        <w:rPr>
          <w:rFonts w:cs="Times New Roman"/>
        </w:rPr>
        <w:t>.</w:t>
      </w:r>
      <w:r w:rsidR="00DF0B6A">
        <w:rPr>
          <w:rStyle w:val="FootnoteReference"/>
          <w:rFonts w:cs="Times New Roman"/>
        </w:rPr>
        <w:footnoteReference w:id="12"/>
      </w:r>
      <w:r w:rsidR="00DF0B6A">
        <w:rPr>
          <w:rFonts w:cs="Times New Roman"/>
        </w:rPr>
        <w:t xml:space="preserve">  In brief, both approaches focus on the performative or participatory aspects of human action; their objective is not to theorise the mind</w:t>
      </w:r>
      <w:r w:rsidR="00F96BF5">
        <w:rPr>
          <w:rFonts w:cs="Times New Roman"/>
        </w:rPr>
        <w:t>.</w:t>
      </w:r>
    </w:p>
    <w:p w14:paraId="2A3EC484" w14:textId="59953AA5" w:rsidR="00A52471" w:rsidRDefault="00486E1C" w:rsidP="00280F07">
      <w:r>
        <w:t xml:space="preserve">An important </w:t>
      </w:r>
      <w:r w:rsidR="00F96BF5">
        <w:t>note to make</w:t>
      </w:r>
      <w:r>
        <w:t xml:space="preserve"> here is that this section in no way assumes or suggests that ECT is a unified theory.</w:t>
      </w:r>
      <w:r w:rsidRPr="00601FAD">
        <w:rPr>
          <w:rStyle w:val="FootnoteReference"/>
        </w:rPr>
        <w:footnoteReference w:id="13"/>
      </w:r>
      <w:r w:rsidRPr="00601FAD">
        <w:t xml:space="preserve"> </w:t>
      </w:r>
      <w:r>
        <w:t xml:space="preserve"> Nevertheless, a core emphasis in ECT is the </w:t>
      </w:r>
      <w:r w:rsidR="00F96BF5">
        <w:t xml:space="preserve">involvement and </w:t>
      </w:r>
      <w:r w:rsidRPr="00486E1C">
        <w:rPr>
          <w:rFonts w:cs="Times New Roman"/>
        </w:rPr>
        <w:t xml:space="preserve">integration of </w:t>
      </w:r>
      <w:r w:rsidR="00F96BF5">
        <w:rPr>
          <w:rFonts w:cs="Times New Roman"/>
        </w:rPr>
        <w:t>a range of</w:t>
      </w:r>
      <w:r w:rsidRPr="00486E1C">
        <w:rPr>
          <w:rFonts w:cs="Times New Roman"/>
        </w:rPr>
        <w:t xml:space="preserve"> human capabilities</w:t>
      </w:r>
      <w:r w:rsidR="000E0F2A">
        <w:rPr>
          <w:rFonts w:cs="Times New Roman"/>
        </w:rPr>
        <w:t>,</w:t>
      </w:r>
      <w:r w:rsidR="00F96BF5">
        <w:rPr>
          <w:rFonts w:cs="Times New Roman"/>
        </w:rPr>
        <w:t xml:space="preserve"> in cognition</w:t>
      </w:r>
      <w:r w:rsidRPr="00486E1C">
        <w:rPr>
          <w:rFonts w:cs="Times New Roman"/>
        </w:rPr>
        <w:t xml:space="preserve">. For example, vision, bodily movement, and the feedback generated from the subject’s actions in the environment are more tightly integrated than thought to be in a traditional picture of mind as the centre of cognitive processing (see, for example, </w:t>
      </w:r>
      <w:proofErr w:type="spellStart"/>
      <w:r w:rsidRPr="00486E1C">
        <w:rPr>
          <w:rFonts w:cs="Times New Roman"/>
        </w:rPr>
        <w:t>O’Regan</w:t>
      </w:r>
      <w:proofErr w:type="spellEnd"/>
      <w:r w:rsidRPr="00486E1C">
        <w:rPr>
          <w:rFonts w:cs="Times New Roman"/>
        </w:rPr>
        <w:t xml:space="preserve"> and </w:t>
      </w:r>
      <w:proofErr w:type="spellStart"/>
      <w:r w:rsidRPr="00486E1C">
        <w:rPr>
          <w:rFonts w:cs="Times New Roman"/>
        </w:rPr>
        <w:t>Noë</w:t>
      </w:r>
      <w:proofErr w:type="spellEnd"/>
      <w:r w:rsidRPr="00486E1C">
        <w:rPr>
          <w:rFonts w:cs="Times New Roman"/>
        </w:rPr>
        <w:t xml:space="preserve"> 2001)</w:t>
      </w:r>
      <w:r>
        <w:rPr>
          <w:rFonts w:cs="Times New Roman"/>
        </w:rPr>
        <w:t xml:space="preserve">.  </w:t>
      </w:r>
      <w:r w:rsidR="00A52471">
        <w:t xml:space="preserve">In the three subsections </w:t>
      </w:r>
      <w:r w:rsidR="00A52471">
        <w:lastRenderedPageBreak/>
        <w:t xml:space="preserve">below, I highlight three points of alignment between ECT and the </w:t>
      </w:r>
      <w:r w:rsidR="00E15DBD" w:rsidRPr="00601FAD">
        <w:t>cicada-catcher story</w:t>
      </w:r>
      <w:r w:rsidR="00A52471">
        <w:t xml:space="preserve">: destabilising the mind as the centre of cognition; </w:t>
      </w:r>
      <w:r w:rsidR="00C54D57">
        <w:t>perception</w:t>
      </w:r>
      <w:r w:rsidR="001C4783">
        <w:t>; and performance.</w:t>
      </w:r>
    </w:p>
    <w:p w14:paraId="4505B9D8" w14:textId="77777777" w:rsidR="00A52471" w:rsidRDefault="00A52471" w:rsidP="00280F07"/>
    <w:p w14:paraId="07B76EA9" w14:textId="77777777" w:rsidR="00E15DBD" w:rsidRPr="003855AA" w:rsidRDefault="00A52471" w:rsidP="00280F07">
      <w:pPr>
        <w:ind w:firstLine="0"/>
      </w:pPr>
      <w:r w:rsidRPr="00CD1CDD">
        <w:t xml:space="preserve">4. 1 Destabilising the </w:t>
      </w:r>
      <w:r w:rsidR="00CD1CDD">
        <w:t>M</w:t>
      </w:r>
      <w:r w:rsidRPr="00CD1CDD">
        <w:t xml:space="preserve">ind as the </w:t>
      </w:r>
      <w:r w:rsidR="00CD1CDD">
        <w:t>C</w:t>
      </w:r>
      <w:r w:rsidRPr="00CD1CDD">
        <w:t xml:space="preserve">entre of </w:t>
      </w:r>
      <w:r w:rsidR="00CD1CDD">
        <w:t>C</w:t>
      </w:r>
      <w:r w:rsidRPr="00CD1CDD">
        <w:t>ognition</w:t>
      </w:r>
    </w:p>
    <w:p w14:paraId="231CFF0C" w14:textId="004E030A" w:rsidR="001C7A38" w:rsidRDefault="002A62F2" w:rsidP="00CD1CDD">
      <w:pPr>
        <w:rPr>
          <w:rFonts w:cs="Times New Roman"/>
        </w:rPr>
      </w:pPr>
      <w:r>
        <w:rPr>
          <w:rFonts w:cs="Times New Roman"/>
        </w:rPr>
        <w:t>In ECT, c</w:t>
      </w:r>
      <w:r w:rsidR="00F6522D" w:rsidRPr="00A52471">
        <w:rPr>
          <w:rFonts w:cs="Times New Roman"/>
        </w:rPr>
        <w:t>ognitive processing is not the sole prerogative of the mind</w:t>
      </w:r>
      <w:r>
        <w:rPr>
          <w:rFonts w:cs="Times New Roman"/>
        </w:rPr>
        <w:t xml:space="preserve">. </w:t>
      </w:r>
      <w:r w:rsidR="0044442E">
        <w:rPr>
          <w:rFonts w:cs="Times New Roman"/>
        </w:rPr>
        <w:t xml:space="preserve"> </w:t>
      </w:r>
      <w:r w:rsidR="00BF194A">
        <w:rPr>
          <w:rFonts w:cs="Times New Roman"/>
        </w:rPr>
        <w:t>T</w:t>
      </w:r>
      <w:r w:rsidR="00F6522D" w:rsidRPr="00A52471">
        <w:rPr>
          <w:rFonts w:cs="Times New Roman"/>
        </w:rPr>
        <w:t>he body</w:t>
      </w:r>
      <w:r w:rsidR="00BF194A">
        <w:rPr>
          <w:rFonts w:cs="Times New Roman"/>
        </w:rPr>
        <w:t>,</w:t>
      </w:r>
      <w:r w:rsidR="00F6522D" w:rsidRPr="00A52471">
        <w:rPr>
          <w:rFonts w:cs="Times New Roman"/>
        </w:rPr>
        <w:t xml:space="preserve"> </w:t>
      </w:r>
      <w:r w:rsidR="00BF194A">
        <w:rPr>
          <w:rFonts w:cs="Times New Roman"/>
        </w:rPr>
        <w:t xml:space="preserve">as well as the environment </w:t>
      </w:r>
      <w:r w:rsidR="00CD1CDD">
        <w:rPr>
          <w:rFonts w:cs="Times New Roman"/>
        </w:rPr>
        <w:t xml:space="preserve">in which </w:t>
      </w:r>
      <w:r w:rsidR="00BF194A">
        <w:rPr>
          <w:rFonts w:cs="Times New Roman"/>
        </w:rPr>
        <w:t>an individual is situated, may have non-reducible contributory role</w:t>
      </w:r>
      <w:r w:rsidR="0087684A">
        <w:rPr>
          <w:rFonts w:cs="Times New Roman"/>
        </w:rPr>
        <w:t>s</w:t>
      </w:r>
      <w:r w:rsidR="00BF194A">
        <w:rPr>
          <w:rFonts w:cs="Times New Roman"/>
        </w:rPr>
        <w:t xml:space="preserve"> </w:t>
      </w:r>
      <w:r w:rsidR="00881068">
        <w:rPr>
          <w:rFonts w:cs="Times New Roman"/>
        </w:rPr>
        <w:t>such that they are integral parts of cognitive processes</w:t>
      </w:r>
      <w:r w:rsidR="00445F27" w:rsidRPr="00A52471">
        <w:rPr>
          <w:rFonts w:cs="Times New Roman"/>
        </w:rPr>
        <w:t xml:space="preserve">.  </w:t>
      </w:r>
      <w:r w:rsidR="00881068">
        <w:rPr>
          <w:rFonts w:cs="Times New Roman"/>
        </w:rPr>
        <w:t xml:space="preserve">Different strands of ECT adopt particular angles on cognition, whether to understand that </w:t>
      </w:r>
      <w:r w:rsidR="00C12A9D">
        <w:rPr>
          <w:rFonts w:cs="Times New Roman"/>
        </w:rPr>
        <w:t>“</w:t>
      </w:r>
      <w:r w:rsidR="00881068">
        <w:rPr>
          <w:rFonts w:cs="Times New Roman"/>
        </w:rPr>
        <w:t>mind</w:t>
      </w:r>
      <w:r w:rsidR="00C12A9D">
        <w:rPr>
          <w:rFonts w:cs="Times New Roman"/>
        </w:rPr>
        <w:t>”</w:t>
      </w:r>
      <w:r w:rsidR="00881068">
        <w:rPr>
          <w:rFonts w:cs="Times New Roman"/>
        </w:rPr>
        <w:t xml:space="preserve"> is shaped by body within its environment (e.g. Gallagher, </w:t>
      </w:r>
      <w:r w:rsidR="00881068" w:rsidRPr="00C30498">
        <w:rPr>
          <w:i/>
        </w:rPr>
        <w:t>How the Body Shapes the Mind</w:t>
      </w:r>
      <w:r w:rsidR="00881068">
        <w:rPr>
          <w:rFonts w:cs="Times New Roman"/>
        </w:rPr>
        <w:t xml:space="preserve">), or to see that </w:t>
      </w:r>
      <w:r w:rsidR="00C12A9D">
        <w:rPr>
          <w:rFonts w:cs="Times New Roman"/>
        </w:rPr>
        <w:t>“</w:t>
      </w:r>
      <w:r w:rsidR="00881068">
        <w:rPr>
          <w:rFonts w:cs="Times New Roman"/>
        </w:rPr>
        <w:t>mind</w:t>
      </w:r>
      <w:r w:rsidR="00C12A9D">
        <w:rPr>
          <w:rFonts w:cs="Times New Roman"/>
        </w:rPr>
        <w:t>”</w:t>
      </w:r>
      <w:r w:rsidR="00881068">
        <w:rPr>
          <w:rFonts w:cs="Times New Roman"/>
        </w:rPr>
        <w:t xml:space="preserve"> is manifest in our sensorimotor processes in contexts.</w:t>
      </w:r>
      <w:r w:rsidR="00881068">
        <w:rPr>
          <w:rStyle w:val="FootnoteReference"/>
          <w:rFonts w:cs="Times New Roman"/>
        </w:rPr>
        <w:footnoteReference w:id="14"/>
      </w:r>
      <w:r w:rsidR="00881068">
        <w:rPr>
          <w:rFonts w:cs="Times New Roman"/>
        </w:rPr>
        <w:t xml:space="preserve"> </w:t>
      </w:r>
      <w:r w:rsidR="001C7A38">
        <w:rPr>
          <w:rFonts w:cs="Times New Roman"/>
        </w:rPr>
        <w:t xml:space="preserve">Yet, we can say generally that </w:t>
      </w:r>
      <w:r w:rsidR="00C85E63">
        <w:rPr>
          <w:rFonts w:cs="Times New Roman"/>
        </w:rPr>
        <w:t xml:space="preserve">ECT holds an expanded conception of mind (as compared with the traditional view that mind and body are each associated with distinctive processes), undergirded by complicated, yet more empirically realistic, accounts of agency and causation.  </w:t>
      </w:r>
    </w:p>
    <w:p w14:paraId="2A7124EF" w14:textId="3EA7BB70" w:rsidR="00A52471" w:rsidRDefault="00A52471" w:rsidP="00CD1CDD">
      <w:pPr>
        <w:rPr>
          <w:rFonts w:cs="Times New Roman"/>
        </w:rPr>
      </w:pPr>
      <w:r>
        <w:rPr>
          <w:rFonts w:cs="Times New Roman"/>
        </w:rPr>
        <w:t xml:space="preserve">How might </w:t>
      </w:r>
      <w:r w:rsidR="001C7A38">
        <w:rPr>
          <w:rFonts w:cs="Times New Roman"/>
        </w:rPr>
        <w:t xml:space="preserve">some of these ideas </w:t>
      </w:r>
      <w:r>
        <w:rPr>
          <w:rFonts w:cs="Times New Roman"/>
        </w:rPr>
        <w:t>provide a vocabulary for unpacking the cicada-catcher’s learning</w:t>
      </w:r>
      <w:r w:rsidR="00C412F9">
        <w:rPr>
          <w:rFonts w:cs="Times New Roman"/>
        </w:rPr>
        <w:t>, knowledge and action</w:t>
      </w:r>
      <w:r>
        <w:rPr>
          <w:rFonts w:cs="Times New Roman"/>
        </w:rPr>
        <w:t xml:space="preserve">?  ECT is established on discourse that </w:t>
      </w:r>
      <w:r w:rsidR="00C412F9">
        <w:rPr>
          <w:rFonts w:cs="Times New Roman"/>
        </w:rPr>
        <w:t>destabilises mind-body dualism, as well as</w:t>
      </w:r>
      <w:r>
        <w:rPr>
          <w:rFonts w:cs="Times New Roman"/>
        </w:rPr>
        <w:t xml:space="preserve"> the role of mind as the independent centre of cognitive processes.  </w:t>
      </w:r>
      <w:r w:rsidR="00D22567">
        <w:rPr>
          <w:rFonts w:cs="Times New Roman"/>
        </w:rPr>
        <w:t xml:space="preserve">In cicada-catching, it is not that the cicada-catcher first engages in reflection, “in the mind”, with catching-activity following as a result of the reflections.  </w:t>
      </w:r>
      <w:r w:rsidR="001C37C3">
        <w:rPr>
          <w:rFonts w:cs="Times New Roman"/>
        </w:rPr>
        <w:t xml:space="preserve">The story provides more details </w:t>
      </w:r>
      <w:r w:rsidR="0087684A">
        <w:rPr>
          <w:rFonts w:cs="Times New Roman"/>
        </w:rPr>
        <w:t>that may be embraced within an explanatory framework of</w:t>
      </w:r>
      <w:r w:rsidR="001C37C3">
        <w:rPr>
          <w:rFonts w:cs="Times New Roman"/>
        </w:rPr>
        <w:t xml:space="preserve"> integrated cognition: the cicada-catcher holds his arm like a tree limb, he sees only cicada wings, and he manipulates the pole as if it were his </w:t>
      </w:r>
      <w:r w:rsidR="001C37C3" w:rsidRPr="001C7A38">
        <w:rPr>
          <w:rFonts w:cs="Times New Roman"/>
        </w:rPr>
        <w:t>hand.</w:t>
      </w:r>
      <w:r w:rsidR="007242D0">
        <w:rPr>
          <w:rStyle w:val="FootnoteReference"/>
          <w:rFonts w:cs="Times New Roman"/>
        </w:rPr>
        <w:footnoteReference w:id="15"/>
      </w:r>
      <w:r w:rsidR="001C7A38" w:rsidRPr="001C7A38">
        <w:rPr>
          <w:rFonts w:cs="Times New Roman"/>
        </w:rPr>
        <w:t xml:space="preserve">  </w:t>
      </w:r>
      <w:r w:rsidR="0087684A">
        <w:rPr>
          <w:rFonts w:cs="Times New Roman"/>
        </w:rPr>
        <w:t xml:space="preserve">Even though we may descriptively carve out the </w:t>
      </w:r>
      <w:r w:rsidR="0087684A">
        <w:rPr>
          <w:rFonts w:cs="Times New Roman"/>
        </w:rPr>
        <w:lastRenderedPageBreak/>
        <w:t xml:space="preserve">different components of cicada-catching in words, these are not three </w:t>
      </w:r>
      <w:r w:rsidR="0087684A" w:rsidRPr="0087684A">
        <w:rPr>
          <w:rFonts w:cs="Times New Roman"/>
        </w:rPr>
        <w:t>activities</w:t>
      </w:r>
      <w:r w:rsidR="0087684A">
        <w:rPr>
          <w:rFonts w:cs="Times New Roman"/>
        </w:rPr>
        <w:t xml:space="preserve">, but one.  </w:t>
      </w:r>
      <w:r w:rsidR="001C7A38" w:rsidRPr="001C7A38">
        <w:rPr>
          <w:rFonts w:cs="Times New Roman"/>
        </w:rPr>
        <w:t xml:space="preserve">On one account of ECT, </w:t>
      </w:r>
      <w:r w:rsidR="001C7A38">
        <w:rPr>
          <w:rFonts w:cs="Times New Roman"/>
        </w:rPr>
        <w:t>such successful manipulations</w:t>
      </w:r>
      <w:r w:rsidR="003D49AB">
        <w:rPr>
          <w:rFonts w:cs="Times New Roman"/>
        </w:rPr>
        <w:t xml:space="preserve"> of the setting of the environment, and of the things therein (such as the pole to grab cicadas with)</w:t>
      </w:r>
      <w:r w:rsidR="001C7A38">
        <w:rPr>
          <w:rFonts w:cs="Times New Roman"/>
        </w:rPr>
        <w:t xml:space="preserve"> </w:t>
      </w:r>
      <w:r w:rsidR="001C7A38">
        <w:rPr>
          <w:rFonts w:cs="Times New Roman"/>
          <w:i/>
        </w:rPr>
        <w:t>are</w:t>
      </w:r>
      <w:r w:rsidR="001C7A38">
        <w:rPr>
          <w:rFonts w:cs="Times New Roman"/>
        </w:rPr>
        <w:t xml:space="preserve"> the cicada-catcher’s cognitive practice (see </w:t>
      </w:r>
      <w:proofErr w:type="spellStart"/>
      <w:r w:rsidR="001C7A38">
        <w:rPr>
          <w:rFonts w:cs="Times New Roman"/>
        </w:rPr>
        <w:t>Menary</w:t>
      </w:r>
      <w:proofErr w:type="spellEnd"/>
      <w:r w:rsidR="001C7A38">
        <w:rPr>
          <w:rFonts w:cs="Times New Roman"/>
        </w:rPr>
        <w:t xml:space="preserve">, </w:t>
      </w:r>
      <w:r w:rsidR="001C7A38">
        <w:rPr>
          <w:rFonts w:cs="Times New Roman"/>
          <w:i/>
        </w:rPr>
        <w:t>Cognitive Integration</w:t>
      </w:r>
      <w:r w:rsidR="001C7A38">
        <w:rPr>
          <w:rFonts w:cs="Times New Roman"/>
        </w:rPr>
        <w:t>, and Wheeler</w:t>
      </w:r>
      <w:r w:rsidR="007D263F">
        <w:rPr>
          <w:rFonts w:cs="Times New Roman"/>
        </w:rPr>
        <w:t>,</w:t>
      </w:r>
      <w:r w:rsidR="001C7A38">
        <w:rPr>
          <w:rFonts w:cs="Times New Roman"/>
        </w:rPr>
        <w:t xml:space="preserve"> </w:t>
      </w:r>
      <w:r w:rsidR="007D263F">
        <w:rPr>
          <w:rFonts w:cs="Times New Roman"/>
          <w:i/>
        </w:rPr>
        <w:t>Reconstructing the Cognitive World</w:t>
      </w:r>
      <w:r w:rsidR="001C7A38">
        <w:rPr>
          <w:rFonts w:cs="Times New Roman"/>
        </w:rPr>
        <w:t>).</w:t>
      </w:r>
      <w:r w:rsidR="003D49AB">
        <w:rPr>
          <w:rFonts w:cs="Times New Roman"/>
        </w:rPr>
        <w:t xml:space="preserve"> </w:t>
      </w:r>
      <w:r w:rsidR="001C37C3">
        <w:rPr>
          <w:rFonts w:cs="Times New Roman"/>
        </w:rPr>
        <w:t xml:space="preserve"> Cognition</w:t>
      </w:r>
      <w:r w:rsidR="00D22567">
        <w:rPr>
          <w:rFonts w:cs="Times New Roman"/>
        </w:rPr>
        <w:t xml:space="preserve"> operate</w:t>
      </w:r>
      <w:r w:rsidR="001C37C3">
        <w:rPr>
          <w:rFonts w:cs="Times New Roman"/>
        </w:rPr>
        <w:t>s</w:t>
      </w:r>
      <w:r w:rsidR="00D22567">
        <w:rPr>
          <w:rFonts w:cs="Times New Roman"/>
        </w:rPr>
        <w:t>—in both “body” and “mind”—</w:t>
      </w:r>
      <w:r w:rsidR="00D22567">
        <w:rPr>
          <w:rFonts w:cs="Times New Roman"/>
          <w:i/>
        </w:rPr>
        <w:t>while</w:t>
      </w:r>
      <w:r w:rsidR="00D22567">
        <w:rPr>
          <w:rFonts w:cs="Times New Roman"/>
        </w:rPr>
        <w:t xml:space="preserve"> the cicada-catcher </w:t>
      </w:r>
      <w:r w:rsidR="00D22567" w:rsidRPr="00D22567">
        <w:rPr>
          <w:rFonts w:cs="Times New Roman"/>
        </w:rPr>
        <w:t>observ</w:t>
      </w:r>
      <w:r w:rsidR="00D22567">
        <w:rPr>
          <w:rFonts w:cs="Times New Roman"/>
        </w:rPr>
        <w:t xml:space="preserve">es </w:t>
      </w:r>
      <w:r w:rsidR="001C37C3">
        <w:rPr>
          <w:rFonts w:cs="Times New Roman"/>
        </w:rPr>
        <w:t xml:space="preserve">his environment </w:t>
      </w:r>
      <w:r w:rsidR="00D22567">
        <w:rPr>
          <w:rFonts w:cs="Times New Roman"/>
        </w:rPr>
        <w:t>and acts in</w:t>
      </w:r>
      <w:r w:rsidR="001C37C3">
        <w:rPr>
          <w:rFonts w:cs="Times New Roman"/>
        </w:rPr>
        <w:t xml:space="preserve"> it</w:t>
      </w:r>
      <w:r w:rsidR="00D22567">
        <w:rPr>
          <w:rFonts w:cs="Times New Roman"/>
        </w:rPr>
        <w:t xml:space="preserve">. </w:t>
      </w:r>
      <w:r w:rsidR="001C37C3">
        <w:t xml:space="preserve"> </w:t>
      </w:r>
      <w:r w:rsidR="00FE32E2">
        <w:t>The upshot of understanding the story in this way is not to reduce cognition to action, but to highlight</w:t>
      </w:r>
      <w:r>
        <w:t xml:space="preserve"> the </w:t>
      </w:r>
      <w:r>
        <w:rPr>
          <w:i/>
        </w:rPr>
        <w:t>interdependence</w:t>
      </w:r>
      <w:r>
        <w:t xml:space="preserve"> of </w:t>
      </w:r>
      <w:r w:rsidR="0044442E">
        <w:t>what are typically identified as “</w:t>
      </w:r>
      <w:r w:rsidR="001C37C3">
        <w:t>cognitive</w:t>
      </w:r>
      <w:r w:rsidR="0044442E">
        <w:t>”</w:t>
      </w:r>
      <w:r w:rsidR="001C37C3">
        <w:t xml:space="preserve"> </w:t>
      </w:r>
      <w:r w:rsidR="0087684A">
        <w:t xml:space="preserve">capacities, on the one hand, </w:t>
      </w:r>
      <w:r w:rsidR="001C37C3">
        <w:t xml:space="preserve">and </w:t>
      </w:r>
      <w:r w:rsidR="0044442E">
        <w:t>“</w:t>
      </w:r>
      <w:r w:rsidR="001C37C3">
        <w:t>sensorimotor</w:t>
      </w:r>
      <w:r w:rsidR="0044442E">
        <w:t>”</w:t>
      </w:r>
      <w:r w:rsidR="0087684A">
        <w:t>, on the other</w:t>
      </w:r>
      <w:r w:rsidRPr="00601FAD">
        <w:t>.</w:t>
      </w:r>
      <w:r>
        <w:rPr>
          <w:rFonts w:cs="Times New Roman"/>
        </w:rPr>
        <w:t xml:space="preserve"> Recall </w:t>
      </w:r>
      <w:r w:rsidR="0044442E">
        <w:rPr>
          <w:rFonts w:cs="Times New Roman"/>
        </w:rPr>
        <w:t>a</w:t>
      </w:r>
      <w:r>
        <w:rPr>
          <w:rFonts w:cs="Times New Roman"/>
        </w:rPr>
        <w:t xml:space="preserve"> question raised earlier</w:t>
      </w:r>
      <w:r w:rsidR="0044442E">
        <w:rPr>
          <w:rFonts w:cs="Times New Roman"/>
        </w:rPr>
        <w:t xml:space="preserve"> about the </w:t>
      </w:r>
      <w:r>
        <w:rPr>
          <w:rFonts w:cs="Times New Roman"/>
        </w:rPr>
        <w:t xml:space="preserve">cicada-catcher’s </w:t>
      </w:r>
      <w:r w:rsidR="0044442E">
        <w:rPr>
          <w:rFonts w:cs="Times New Roman"/>
        </w:rPr>
        <w:t xml:space="preserve">hunchback: has his hunchback developed because of his cicada-catching activities, or is he a better cicada-catcher because of </w:t>
      </w:r>
      <w:r>
        <w:rPr>
          <w:rFonts w:cs="Times New Roman"/>
        </w:rPr>
        <w:t>his hunched ba</w:t>
      </w:r>
      <w:r w:rsidR="0044442E">
        <w:rPr>
          <w:rFonts w:cs="Times New Roman"/>
        </w:rPr>
        <w:t>ck?</w:t>
      </w:r>
      <w:r>
        <w:rPr>
          <w:rFonts w:cs="Times New Roman"/>
        </w:rPr>
        <w:t xml:space="preserve">  It is not only that his cognitive processes</w:t>
      </w:r>
      <w:r w:rsidR="0044442E">
        <w:rPr>
          <w:rFonts w:cs="Times New Roman"/>
        </w:rPr>
        <w:t xml:space="preserve"> are</w:t>
      </w:r>
      <w:r>
        <w:rPr>
          <w:rFonts w:cs="Times New Roman"/>
        </w:rPr>
        <w:t xml:space="preserve"> generated by his doing; he learns</w:t>
      </w:r>
      <w:r w:rsidR="003968E0">
        <w:rPr>
          <w:rFonts w:cs="Times New Roman"/>
        </w:rPr>
        <w:t>, knows and acts</w:t>
      </w:r>
      <w:r>
        <w:rPr>
          <w:rFonts w:cs="Times New Roman"/>
        </w:rPr>
        <w:t xml:space="preserve"> </w:t>
      </w:r>
      <w:r>
        <w:rPr>
          <w:rFonts w:cs="Times New Roman"/>
          <w:i/>
        </w:rPr>
        <w:t>with his body</w:t>
      </w:r>
      <w:r>
        <w:rPr>
          <w:rFonts w:cs="Times New Roman"/>
        </w:rPr>
        <w:t>.</w:t>
      </w:r>
      <w:r>
        <w:rPr>
          <w:rStyle w:val="FootnoteReference"/>
          <w:rFonts w:cs="Times New Roman"/>
        </w:rPr>
        <w:footnoteReference w:id="16"/>
      </w:r>
    </w:p>
    <w:p w14:paraId="51A2B9CB" w14:textId="77777777" w:rsidR="0097176B" w:rsidRPr="0097176B" w:rsidRDefault="0097176B" w:rsidP="00280F07">
      <w:pPr>
        <w:ind w:firstLine="0"/>
        <w:rPr>
          <w:rFonts w:cs="Times New Roman"/>
        </w:rPr>
      </w:pPr>
    </w:p>
    <w:p w14:paraId="6ABE79D5" w14:textId="0BEE8C9E" w:rsidR="0097176B" w:rsidRPr="0062205B" w:rsidRDefault="001C4783" w:rsidP="00280F07">
      <w:pPr>
        <w:ind w:firstLine="0"/>
        <w:rPr>
          <w:rFonts w:cs="Times New Roman"/>
        </w:rPr>
      </w:pPr>
      <w:r w:rsidRPr="0062205B">
        <w:rPr>
          <w:rFonts w:cs="Times New Roman"/>
        </w:rPr>
        <w:t>4.2</w:t>
      </w:r>
      <w:r w:rsidR="0097176B" w:rsidRPr="0062205B">
        <w:rPr>
          <w:rFonts w:cs="Times New Roman"/>
        </w:rPr>
        <w:t xml:space="preserve"> </w:t>
      </w:r>
      <w:r w:rsidR="00C54D57">
        <w:rPr>
          <w:rFonts w:cs="Times New Roman"/>
        </w:rPr>
        <w:t>Perception</w:t>
      </w:r>
      <w:r w:rsidR="00967A66">
        <w:rPr>
          <w:rFonts w:cs="Times New Roman"/>
        </w:rPr>
        <w:t>: Learning to See</w:t>
      </w:r>
    </w:p>
    <w:p w14:paraId="5B0D67BD" w14:textId="5DC8E446" w:rsidR="00F6522D" w:rsidRPr="001A4800" w:rsidRDefault="0097176B" w:rsidP="001A4800">
      <w:pPr>
        <w:rPr>
          <w:rFonts w:cs="Times New Roman"/>
        </w:rPr>
      </w:pPr>
      <w:r>
        <w:rPr>
          <w:rFonts w:cs="Times New Roman"/>
        </w:rPr>
        <w:t>The cicada-catcher</w:t>
      </w:r>
      <w:r w:rsidR="0042663B">
        <w:rPr>
          <w:rFonts w:cs="Times New Roman"/>
        </w:rPr>
        <w:t xml:space="preserve"> </w:t>
      </w:r>
      <w:r>
        <w:rPr>
          <w:rFonts w:cs="Times New Roman"/>
        </w:rPr>
        <w:t xml:space="preserve">story focuses on </w:t>
      </w:r>
      <w:r w:rsidR="0087684A">
        <w:rPr>
          <w:rFonts w:cs="Times New Roman"/>
        </w:rPr>
        <w:t>the cicada-catcher’s</w:t>
      </w:r>
      <w:r>
        <w:rPr>
          <w:rFonts w:cs="Times New Roman"/>
        </w:rPr>
        <w:t xml:space="preserve"> encounter with cicadas and his attentiveness to their wings. Why does he focus on their wings? </w:t>
      </w:r>
      <w:r w:rsidR="0087684A">
        <w:rPr>
          <w:rFonts w:cs="Times New Roman"/>
        </w:rPr>
        <w:t>Th</w:t>
      </w:r>
      <w:r w:rsidR="00C07EFD">
        <w:rPr>
          <w:rFonts w:cs="Times New Roman"/>
        </w:rPr>
        <w:t xml:space="preserve">e discussion in </w:t>
      </w:r>
      <w:r w:rsidR="001A4800">
        <w:rPr>
          <w:rFonts w:cs="Times New Roman"/>
        </w:rPr>
        <w:t>this section focuses on the idea that cognitive processes take place within specific environments and therefore it is necessary to develop perceptive skills to effectively manipulate what is available.  S</w:t>
      </w:r>
      <w:r>
        <w:rPr>
          <w:rFonts w:cs="Times New Roman"/>
        </w:rPr>
        <w:t>hould</w:t>
      </w:r>
      <w:r w:rsidR="0042663B">
        <w:rPr>
          <w:rFonts w:cs="Times New Roman"/>
        </w:rPr>
        <w:t xml:space="preserve"> elements within</w:t>
      </w:r>
      <w:r>
        <w:rPr>
          <w:rFonts w:cs="Times New Roman"/>
        </w:rPr>
        <w:t xml:space="preserve"> environments change, performance needs to be adjusted in order to successfully adapt to that change (cf. </w:t>
      </w:r>
      <w:r w:rsidRPr="00CA3844">
        <w:rPr>
          <w:rFonts w:cs="Times New Roman"/>
        </w:rPr>
        <w:t xml:space="preserve">Varela, </w:t>
      </w:r>
      <w:r>
        <w:rPr>
          <w:rFonts w:cs="Times New Roman"/>
        </w:rPr>
        <w:t xml:space="preserve">Thompson, &amp; </w:t>
      </w:r>
      <w:r w:rsidRPr="00CA3844">
        <w:rPr>
          <w:rFonts w:cs="Times New Roman"/>
        </w:rPr>
        <w:t xml:space="preserve">Rosch, </w:t>
      </w:r>
      <w:r w:rsidRPr="00CA3844">
        <w:rPr>
          <w:rFonts w:cs="Times New Roman"/>
          <w:i/>
        </w:rPr>
        <w:t>The Embodied Mind</w:t>
      </w:r>
      <w:r>
        <w:rPr>
          <w:rFonts w:cs="Times New Roman"/>
        </w:rPr>
        <w:t xml:space="preserve">; </w:t>
      </w:r>
      <w:proofErr w:type="spellStart"/>
      <w:r>
        <w:t>Barsalou</w:t>
      </w:r>
      <w:proofErr w:type="spellEnd"/>
      <w:r>
        <w:t>, “</w:t>
      </w:r>
      <w:r w:rsidRPr="00D43E5A">
        <w:t>Situated Conceptualization</w:t>
      </w:r>
      <w:r>
        <w:t>”</w:t>
      </w:r>
      <w:r>
        <w:rPr>
          <w:rFonts w:cs="Times New Roman"/>
        </w:rPr>
        <w:t xml:space="preserve">).  </w:t>
      </w:r>
      <w:r w:rsidR="00FE32E2" w:rsidRPr="0042663B">
        <w:rPr>
          <w:rFonts w:cs="Times New Roman"/>
        </w:rPr>
        <w:t xml:space="preserve">Consider, for example, </w:t>
      </w:r>
      <w:r w:rsidR="0042663B" w:rsidRPr="0042663B">
        <w:rPr>
          <w:rFonts w:cs="Times New Roman"/>
        </w:rPr>
        <w:t>how the cicada-</w:t>
      </w:r>
      <w:r w:rsidR="0042663B" w:rsidRPr="0042663B">
        <w:rPr>
          <w:rFonts w:cs="Times New Roman"/>
        </w:rPr>
        <w:lastRenderedPageBreak/>
        <w:t xml:space="preserve">catcher story effectively expresses awareness that the probability of things going wrong is overdetermined: distractions might arise, cicadas might fly off, and so on.  </w:t>
      </w:r>
      <w:r w:rsidR="0042663B">
        <w:rPr>
          <w:rFonts w:cs="Times New Roman"/>
        </w:rPr>
        <w:t xml:space="preserve">It is no wonder, therefore, that </w:t>
      </w:r>
      <w:r w:rsidR="00FE32E2" w:rsidRPr="0042663B">
        <w:rPr>
          <w:rFonts w:cs="Times New Roman"/>
        </w:rPr>
        <w:t xml:space="preserve">arduous practice </w:t>
      </w:r>
      <w:r w:rsidR="0042663B">
        <w:rPr>
          <w:rFonts w:cs="Times New Roman"/>
        </w:rPr>
        <w:t xml:space="preserve">is necessary for effective cicada-catching. </w:t>
      </w:r>
      <w:r w:rsidR="001A4800">
        <w:rPr>
          <w:rFonts w:cs="Times New Roman"/>
        </w:rPr>
        <w:t xml:space="preserve"> </w:t>
      </w:r>
      <w:r>
        <w:rPr>
          <w:rFonts w:cs="Times New Roman"/>
        </w:rPr>
        <w:t>A</w:t>
      </w:r>
      <w:r w:rsidR="00EC7ADF">
        <w:rPr>
          <w:rFonts w:cs="Times New Roman"/>
        </w:rPr>
        <w:t>mongst other things</w:t>
      </w:r>
      <w:r>
        <w:rPr>
          <w:rFonts w:cs="Times New Roman"/>
        </w:rPr>
        <w:t>,</w:t>
      </w:r>
      <w:r w:rsidR="00EC7ADF">
        <w:rPr>
          <w:rFonts w:cs="Times New Roman"/>
        </w:rPr>
        <w:t xml:space="preserve"> the demanding training processes described by the cicada-catcher </w:t>
      </w:r>
      <w:r w:rsidR="00BC3F72">
        <w:rPr>
          <w:rFonts w:cs="Times New Roman"/>
        </w:rPr>
        <w:t xml:space="preserve">aim to </w:t>
      </w:r>
      <w:r w:rsidR="00EC7ADF">
        <w:rPr>
          <w:rFonts w:cs="Times New Roman"/>
        </w:rPr>
        <w:t xml:space="preserve">hone his perceptive skills, </w:t>
      </w:r>
      <w:r w:rsidR="00EC7ADF">
        <w:rPr>
          <w:rFonts w:cs="Times New Roman"/>
          <w:i/>
        </w:rPr>
        <w:t>situated in the environment</w:t>
      </w:r>
      <w:r>
        <w:rPr>
          <w:rFonts w:cs="Times New Roman"/>
        </w:rPr>
        <w:t xml:space="preserve">. For the cicada-catcher, </w:t>
      </w:r>
      <w:r w:rsidR="00C12A9D">
        <w:rPr>
          <w:rFonts w:cs="Times New Roman"/>
        </w:rPr>
        <w:t>“</w:t>
      </w:r>
      <w:r>
        <w:rPr>
          <w:rFonts w:cs="Times New Roman"/>
        </w:rPr>
        <w:t>perception</w:t>
      </w:r>
      <w:r w:rsidR="00C12A9D">
        <w:rPr>
          <w:rFonts w:cs="Times New Roman"/>
        </w:rPr>
        <w:t>”</w:t>
      </w:r>
      <w:r w:rsidR="00F6522D" w:rsidRPr="0097176B">
        <w:rPr>
          <w:rFonts w:cs="Times New Roman"/>
        </w:rPr>
        <w:t xml:space="preserve"> includes visual perception (e.g. observing cicada habitats), </w:t>
      </w:r>
      <w:r w:rsidR="001A4800">
        <w:rPr>
          <w:rFonts w:cs="Times New Roman"/>
        </w:rPr>
        <w:t>sensorimotor</w:t>
      </w:r>
      <w:r w:rsidR="00F6522D" w:rsidRPr="0097176B">
        <w:rPr>
          <w:rFonts w:cs="Times New Roman"/>
        </w:rPr>
        <w:t xml:space="preserve"> perception (</w:t>
      </w:r>
      <w:proofErr w:type="spellStart"/>
      <w:r w:rsidR="00F6522D" w:rsidRPr="0097176B">
        <w:rPr>
          <w:rFonts w:cs="Times New Roman"/>
        </w:rPr>
        <w:t>e.g</w:t>
      </w:r>
      <w:proofErr w:type="spellEnd"/>
      <w:r w:rsidR="00F6522D" w:rsidRPr="0097176B">
        <w:rPr>
          <w:rFonts w:cs="Times New Roman"/>
        </w:rPr>
        <w:t xml:space="preserve"> feeling the movement of the balls stacked at the end of the pole) and even the closing off of some </w:t>
      </w:r>
      <w:r w:rsidR="00EC7ADF">
        <w:rPr>
          <w:rFonts w:cs="Times New Roman"/>
        </w:rPr>
        <w:t xml:space="preserve">other </w:t>
      </w:r>
      <w:r w:rsidR="00F6522D" w:rsidRPr="0097176B">
        <w:rPr>
          <w:rFonts w:cs="Times New Roman"/>
        </w:rPr>
        <w:t xml:space="preserve">perceptual capacities (e.g. restricting </w:t>
      </w:r>
      <w:r w:rsidR="00445F27" w:rsidRPr="0097176B">
        <w:rPr>
          <w:rFonts w:cs="Times New Roman"/>
        </w:rPr>
        <w:t>the distractions of</w:t>
      </w:r>
      <w:r w:rsidR="00F6522D" w:rsidRPr="0097176B">
        <w:rPr>
          <w:rFonts w:cs="Times New Roman"/>
        </w:rPr>
        <w:t xml:space="preserve"> the world (</w:t>
      </w:r>
      <w:proofErr w:type="spellStart"/>
      <w:r w:rsidR="00F6522D" w:rsidRPr="0097176B">
        <w:rPr>
          <w:rFonts w:cs="Times New Roman"/>
          <w:i/>
        </w:rPr>
        <w:t>wanwu</w:t>
      </w:r>
      <w:proofErr w:type="spellEnd"/>
      <w:r w:rsidR="00F6522D" w:rsidRPr="0097176B">
        <w:rPr>
          <w:rFonts w:cs="Times New Roman"/>
        </w:rPr>
        <w:t xml:space="preserve"> </w:t>
      </w:r>
      <w:proofErr w:type="spellStart"/>
      <w:r w:rsidR="00F6522D" w:rsidRPr="0097176B">
        <w:rPr>
          <w:rFonts w:ascii="KaiTi" w:eastAsia="KaiTi" w:hAnsi="KaiTi" w:cs="Times New Roman"/>
        </w:rPr>
        <w:t>万物</w:t>
      </w:r>
      <w:proofErr w:type="spellEnd"/>
      <w:r w:rsidR="00F6522D" w:rsidRPr="0097176B">
        <w:rPr>
          <w:rFonts w:cs="Times New Roman"/>
        </w:rPr>
        <w:t xml:space="preserve">, lit. </w:t>
      </w:r>
      <w:r w:rsidR="00F6522D" w:rsidRPr="0097176B">
        <w:rPr>
          <w:rFonts w:cs="Times New Roman"/>
          <w:i/>
        </w:rPr>
        <w:t>ten thousand things</w:t>
      </w:r>
      <w:r w:rsidR="00F6522D" w:rsidRPr="0097176B">
        <w:rPr>
          <w:rFonts w:cs="Times New Roman"/>
        </w:rPr>
        <w:t>))</w:t>
      </w:r>
      <w:r w:rsidR="008B7234" w:rsidRPr="0097176B">
        <w:rPr>
          <w:rFonts w:cs="Times New Roman"/>
        </w:rPr>
        <w:t xml:space="preserve"> (cf. Gibson, </w:t>
      </w:r>
      <w:r w:rsidR="008B7234" w:rsidRPr="0097176B">
        <w:rPr>
          <w:rFonts w:eastAsia="PMingLiU" w:cs="Times New Roman"/>
          <w:i/>
        </w:rPr>
        <w:t>The Ecological Approach</w:t>
      </w:r>
      <w:r w:rsidR="00CA3844" w:rsidRPr="0097176B">
        <w:rPr>
          <w:rFonts w:cs="Times New Roman"/>
        </w:rPr>
        <w:t>;</w:t>
      </w:r>
      <w:r w:rsidR="008B7234" w:rsidRPr="0097176B">
        <w:rPr>
          <w:rFonts w:cs="Times New Roman"/>
        </w:rPr>
        <w:t xml:space="preserve"> </w:t>
      </w:r>
      <w:proofErr w:type="spellStart"/>
      <w:r w:rsidR="008B7234" w:rsidRPr="0097176B">
        <w:rPr>
          <w:rFonts w:cs="Times New Roman"/>
        </w:rPr>
        <w:t>Chemero</w:t>
      </w:r>
      <w:proofErr w:type="spellEnd"/>
      <w:r w:rsidR="008B7234" w:rsidRPr="0097176B">
        <w:rPr>
          <w:rFonts w:cs="Times New Roman"/>
        </w:rPr>
        <w:t xml:space="preserve">, </w:t>
      </w:r>
      <w:r w:rsidR="008B7234" w:rsidRPr="0097176B">
        <w:rPr>
          <w:rFonts w:eastAsia="PMingLiU" w:cs="Times New Roman"/>
        </w:rPr>
        <w:t>“An outline of a theory of affordances”)</w:t>
      </w:r>
      <w:r w:rsidR="005D0DFD">
        <w:rPr>
          <w:rFonts w:eastAsia="PMingLiU" w:cs="Times New Roman"/>
        </w:rPr>
        <w:t>.</w:t>
      </w:r>
      <w:r w:rsidR="0087684A" w:rsidRPr="0042663B">
        <w:rPr>
          <w:rStyle w:val="FootnoteReference"/>
          <w:rFonts w:cs="Times New Roman"/>
        </w:rPr>
        <w:footnoteReference w:id="17"/>
      </w:r>
    </w:p>
    <w:p w14:paraId="2C51AE81" w14:textId="0334CEBD" w:rsidR="00C10F35" w:rsidRDefault="00652D44" w:rsidP="00280F07">
      <w:pPr>
        <w:rPr>
          <w:rFonts w:cs="Times New Roman"/>
        </w:rPr>
      </w:pPr>
      <w:r>
        <w:rPr>
          <w:rFonts w:cs="Times New Roman"/>
        </w:rPr>
        <w:t>T</w:t>
      </w:r>
      <w:r w:rsidR="00C72633">
        <w:rPr>
          <w:rFonts w:cs="Times New Roman"/>
        </w:rPr>
        <w:t>he cicada-catcher</w:t>
      </w:r>
      <w:r>
        <w:rPr>
          <w:rFonts w:cs="Times New Roman"/>
        </w:rPr>
        <w:t xml:space="preserve"> is completely absorbed</w:t>
      </w:r>
      <w:r w:rsidR="00C72633">
        <w:rPr>
          <w:rFonts w:cs="Times New Roman"/>
        </w:rPr>
        <w:t xml:space="preserve"> in his activity: “No matter how expansive heaven and earth are, or how numerous the ten thousand things, I’m aware of nothing but cicada wings.”</w:t>
      </w:r>
      <w:r w:rsidR="00D9581A">
        <w:rPr>
          <w:rFonts w:cs="Times New Roman"/>
        </w:rPr>
        <w:t xml:space="preserve">  What does he perceive in the cicada-wings?  What does his training help him see, that a person not trained in cicada-catching does not see?  One branch of the debate in ECT draws on discussions </w:t>
      </w:r>
      <w:r w:rsidR="00A770DF">
        <w:rPr>
          <w:rFonts w:cs="Times New Roman"/>
        </w:rPr>
        <w:t>on perception in</w:t>
      </w:r>
      <w:r w:rsidR="00D9581A">
        <w:rPr>
          <w:rFonts w:cs="Times New Roman"/>
        </w:rPr>
        <w:t xml:space="preserve"> ecolog</w:t>
      </w:r>
      <w:r w:rsidR="00A770DF">
        <w:rPr>
          <w:rFonts w:cs="Times New Roman"/>
        </w:rPr>
        <w:t>ical psychology</w:t>
      </w:r>
      <w:r w:rsidR="00D9581A">
        <w:rPr>
          <w:rFonts w:cs="Times New Roman"/>
        </w:rPr>
        <w:t xml:space="preserve">. </w:t>
      </w:r>
      <w:r w:rsidR="00A770DF">
        <w:rPr>
          <w:rFonts w:cs="Times New Roman"/>
        </w:rPr>
        <w:t xml:space="preserve">An influential account, offered by </w:t>
      </w:r>
      <w:r w:rsidR="0005584D" w:rsidRPr="0005584D">
        <w:rPr>
          <w:rFonts w:cs="Times New Roman"/>
        </w:rPr>
        <w:t>James Gibson</w:t>
      </w:r>
      <w:r w:rsidR="00A770DF">
        <w:rPr>
          <w:rFonts w:cs="Times New Roman"/>
        </w:rPr>
        <w:t xml:space="preserve"> in 1979</w:t>
      </w:r>
      <w:r w:rsidR="0005584D" w:rsidRPr="0005584D">
        <w:rPr>
          <w:rFonts w:cs="Times New Roman"/>
        </w:rPr>
        <w:t>,</w:t>
      </w:r>
      <w:r w:rsidR="00A770DF">
        <w:rPr>
          <w:rFonts w:cs="Times New Roman"/>
        </w:rPr>
        <w:t xml:space="preserve"> understands perception in terms of its functions within the animal’s environment (Gibson, </w:t>
      </w:r>
      <w:r w:rsidR="00A770DF" w:rsidRPr="00A770DF">
        <w:rPr>
          <w:rFonts w:cs="Times New Roman"/>
          <w:i/>
        </w:rPr>
        <w:t>The Ecological Approach</w:t>
      </w:r>
      <w:r w:rsidR="00A770DF">
        <w:rPr>
          <w:rFonts w:cs="Times New Roman"/>
        </w:rPr>
        <w:t xml:space="preserve">).  The perceptive </w:t>
      </w:r>
      <w:r w:rsidR="00A770DF" w:rsidRPr="0005584D">
        <w:rPr>
          <w:rFonts w:cs="Times New Roman"/>
        </w:rPr>
        <w:t xml:space="preserve">capabilities of an animal </w:t>
      </w:r>
      <w:r w:rsidR="00A770DF">
        <w:rPr>
          <w:rFonts w:cs="Times New Roman"/>
        </w:rPr>
        <w:t xml:space="preserve">are crucial in helping an animal navigate and live </w:t>
      </w:r>
      <w:r w:rsidR="00A770DF" w:rsidRPr="0005584D">
        <w:rPr>
          <w:rFonts w:cs="Times New Roman"/>
        </w:rPr>
        <w:t>in it</w:t>
      </w:r>
      <w:r w:rsidR="00A770DF">
        <w:rPr>
          <w:rFonts w:cs="Times New Roman"/>
        </w:rPr>
        <w:t>s environment or habitat</w:t>
      </w:r>
      <w:r w:rsidR="00A770DF" w:rsidRPr="0005584D">
        <w:rPr>
          <w:rFonts w:cs="Times New Roman"/>
        </w:rPr>
        <w:t>.</w:t>
      </w:r>
      <w:r w:rsidR="0005584D" w:rsidRPr="0005584D">
        <w:rPr>
          <w:rFonts w:cs="Times New Roman"/>
        </w:rPr>
        <w:t xml:space="preserve"> </w:t>
      </w:r>
      <w:r w:rsidR="00F84B03">
        <w:rPr>
          <w:rFonts w:cs="Times New Roman"/>
        </w:rPr>
        <w:t xml:space="preserve"> </w:t>
      </w:r>
      <w:r w:rsidR="00A770DF">
        <w:rPr>
          <w:rFonts w:cs="Times New Roman"/>
        </w:rPr>
        <w:t xml:space="preserve">However, </w:t>
      </w:r>
      <w:r w:rsidR="00F84B03">
        <w:rPr>
          <w:rFonts w:cs="Times New Roman"/>
        </w:rPr>
        <w:t xml:space="preserve">the distinctiveness of </w:t>
      </w:r>
      <w:r w:rsidR="00A770DF">
        <w:rPr>
          <w:rFonts w:cs="Times New Roman"/>
        </w:rPr>
        <w:t xml:space="preserve">Gibson’s account </w:t>
      </w:r>
      <w:r w:rsidR="00F84B03">
        <w:rPr>
          <w:rFonts w:cs="Times New Roman"/>
        </w:rPr>
        <w:t>lies not in its provision of</w:t>
      </w:r>
      <w:r w:rsidR="00A770DF">
        <w:rPr>
          <w:rFonts w:cs="Times New Roman"/>
        </w:rPr>
        <w:t xml:space="preserve"> a list of </w:t>
      </w:r>
      <w:r w:rsidR="00A770DF">
        <w:rPr>
          <w:rFonts w:cs="Times New Roman"/>
        </w:rPr>
        <w:lastRenderedPageBreak/>
        <w:t>perception’s functions within the environment.  Its key significance was</w:t>
      </w:r>
      <w:r w:rsidR="00414793">
        <w:rPr>
          <w:rFonts w:cs="Times New Roman"/>
        </w:rPr>
        <w:t xml:space="preserve"> </w:t>
      </w:r>
      <w:r w:rsidR="00A770DF">
        <w:rPr>
          <w:rFonts w:cs="Times New Roman"/>
        </w:rPr>
        <w:t xml:space="preserve">to </w:t>
      </w:r>
      <w:r w:rsidR="00414793">
        <w:rPr>
          <w:rFonts w:cs="Times New Roman"/>
        </w:rPr>
        <w:t>highlight the opportunities provided within an</w:t>
      </w:r>
      <w:r w:rsidR="00A770DF">
        <w:rPr>
          <w:rFonts w:cs="Times New Roman"/>
        </w:rPr>
        <w:t xml:space="preserve"> environment, </w:t>
      </w:r>
      <w:r w:rsidR="00A86A8A">
        <w:rPr>
          <w:rFonts w:cs="Times New Roman"/>
        </w:rPr>
        <w:t>for which</w:t>
      </w:r>
      <w:r w:rsidR="00F84B03">
        <w:rPr>
          <w:rFonts w:cs="Times New Roman"/>
        </w:rPr>
        <w:t xml:space="preserve"> he coined</w:t>
      </w:r>
      <w:r w:rsidR="00A770DF">
        <w:rPr>
          <w:rFonts w:cs="Times New Roman"/>
        </w:rPr>
        <w:t xml:space="preserve"> </w:t>
      </w:r>
      <w:r w:rsidR="0005584D" w:rsidRPr="0005584D">
        <w:rPr>
          <w:rFonts w:cs="Times New Roman"/>
        </w:rPr>
        <w:t xml:space="preserve">the term “affordance” to </w:t>
      </w:r>
      <w:r w:rsidR="00A770DF">
        <w:rPr>
          <w:rFonts w:cs="Times New Roman"/>
        </w:rPr>
        <w:t xml:space="preserve">suggest that the environment is not inert, nor does it exist as a bunch of representations </w:t>
      </w:r>
      <w:r w:rsidR="00F84B03">
        <w:rPr>
          <w:rFonts w:cs="Times New Roman"/>
        </w:rPr>
        <w:t xml:space="preserve">to be processed by </w:t>
      </w:r>
      <w:r w:rsidR="00A770DF">
        <w:rPr>
          <w:rFonts w:cs="Times New Roman"/>
        </w:rPr>
        <w:t xml:space="preserve">the perceiving </w:t>
      </w:r>
      <w:r w:rsidR="00F84B03">
        <w:rPr>
          <w:rFonts w:cs="Times New Roman"/>
        </w:rPr>
        <w:t>subject’s “mind”</w:t>
      </w:r>
      <w:r w:rsidR="00A770DF">
        <w:rPr>
          <w:rFonts w:cs="Times New Roman"/>
        </w:rPr>
        <w:t xml:space="preserve">.  </w:t>
      </w:r>
      <w:r w:rsidR="00414793">
        <w:rPr>
          <w:rFonts w:cs="Times New Roman"/>
        </w:rPr>
        <w:t>Gibson writes</w:t>
      </w:r>
      <w:r w:rsidR="00A770DF">
        <w:rPr>
          <w:rFonts w:cs="Times New Roman"/>
        </w:rPr>
        <w:t xml:space="preserve">: </w:t>
      </w:r>
      <w:r w:rsidR="0005584D" w:rsidRPr="0005584D">
        <w:rPr>
          <w:rFonts w:cs="Times New Roman"/>
        </w:rPr>
        <w:t xml:space="preserve">“[t]he affordances of the environment are what it offers the animal, what it provides or furnishes, either for good or for ill.” (Gibson, </w:t>
      </w:r>
      <w:r w:rsidR="0005584D" w:rsidRPr="00F84B03">
        <w:rPr>
          <w:rFonts w:cs="Times New Roman"/>
          <w:i/>
        </w:rPr>
        <w:t>The Ecological Approach</w:t>
      </w:r>
      <w:r w:rsidR="0005584D" w:rsidRPr="0005584D">
        <w:rPr>
          <w:rFonts w:cs="Times New Roman"/>
        </w:rPr>
        <w:t>, 127).  The word “affordances”</w:t>
      </w:r>
      <w:r w:rsidR="0009768E">
        <w:rPr>
          <w:rFonts w:cs="Times New Roman"/>
        </w:rPr>
        <w:t xml:space="preserve">, </w:t>
      </w:r>
      <w:r w:rsidR="0005584D" w:rsidRPr="0005584D">
        <w:rPr>
          <w:rFonts w:cs="Times New Roman"/>
        </w:rPr>
        <w:t xml:space="preserve">the nominal form of the verb “afford”, </w:t>
      </w:r>
      <w:r w:rsidR="008B18C4">
        <w:rPr>
          <w:rFonts w:cs="Times New Roman"/>
        </w:rPr>
        <w:t>highlights</w:t>
      </w:r>
      <w:r w:rsidR="0005584D" w:rsidRPr="0005584D">
        <w:rPr>
          <w:rFonts w:cs="Times New Roman"/>
        </w:rPr>
        <w:t xml:space="preserve"> the </w:t>
      </w:r>
      <w:r w:rsidR="00400AF1">
        <w:rPr>
          <w:rFonts w:cs="Times New Roman"/>
        </w:rPr>
        <w:t xml:space="preserve">richness of the </w:t>
      </w:r>
      <w:r w:rsidR="0005584D" w:rsidRPr="0005584D">
        <w:rPr>
          <w:rFonts w:cs="Times New Roman"/>
        </w:rPr>
        <w:t xml:space="preserve">environment </w:t>
      </w:r>
      <w:r w:rsidR="00400AF1">
        <w:rPr>
          <w:rFonts w:cs="Times New Roman"/>
        </w:rPr>
        <w:t>and what is made</w:t>
      </w:r>
      <w:r w:rsidR="0005584D" w:rsidRPr="0005584D">
        <w:rPr>
          <w:rFonts w:cs="Times New Roman"/>
        </w:rPr>
        <w:t xml:space="preserve"> available to animals.</w:t>
      </w:r>
      <w:r w:rsidR="00D35EA4">
        <w:rPr>
          <w:rStyle w:val="FootnoteReference"/>
          <w:rFonts w:cs="Times New Roman"/>
        </w:rPr>
        <w:footnoteReference w:id="18"/>
      </w:r>
      <w:r w:rsidR="0005584D" w:rsidRPr="0005584D">
        <w:rPr>
          <w:rFonts w:cs="Times New Roman"/>
        </w:rPr>
        <w:t xml:space="preserve"> </w:t>
      </w:r>
      <w:r w:rsidR="00400AF1">
        <w:rPr>
          <w:rFonts w:cs="Times New Roman"/>
        </w:rPr>
        <w:t>For perceiving subjects, different p</w:t>
      </w:r>
      <w:r w:rsidR="00414793">
        <w:rPr>
          <w:rFonts w:cs="Times New Roman"/>
        </w:rPr>
        <w:t xml:space="preserve">ossibilities </w:t>
      </w:r>
      <w:r w:rsidR="00400AF1">
        <w:rPr>
          <w:rFonts w:cs="Times New Roman"/>
        </w:rPr>
        <w:t xml:space="preserve">may arise from the same </w:t>
      </w:r>
      <w:r w:rsidR="00400AF1">
        <w:rPr>
          <w:rFonts w:cs="Times New Roman"/>
        </w:rPr>
        <w:lastRenderedPageBreak/>
        <w:t>environment</w:t>
      </w:r>
      <w:r w:rsidR="00414793">
        <w:rPr>
          <w:rFonts w:cs="Times New Roman"/>
        </w:rPr>
        <w:t>: r</w:t>
      </w:r>
      <w:r w:rsidR="0005584D" w:rsidRPr="0005584D">
        <w:rPr>
          <w:rFonts w:cs="Times New Roman"/>
        </w:rPr>
        <w:t xml:space="preserve">otten fruit on the forest floor </w:t>
      </w:r>
      <w:r w:rsidR="00400AF1">
        <w:rPr>
          <w:rFonts w:cs="Times New Roman"/>
        </w:rPr>
        <w:t>“afford”</w:t>
      </w:r>
      <w:r w:rsidR="0005584D" w:rsidRPr="0005584D">
        <w:rPr>
          <w:rFonts w:cs="Times New Roman"/>
        </w:rPr>
        <w:t xml:space="preserve"> food for the Rhinoceros Beetle whereas they might present the likelihood of slipping, for the bushwalker. </w:t>
      </w:r>
      <w:r w:rsidR="00950DDD">
        <w:rPr>
          <w:rFonts w:cs="Times New Roman"/>
        </w:rPr>
        <w:t xml:space="preserve"> </w:t>
      </w:r>
      <w:r w:rsidR="00A770DF">
        <w:rPr>
          <w:rFonts w:cs="Times New Roman"/>
        </w:rPr>
        <w:t xml:space="preserve">Cicadas present cicada-catching affordances for the cicada-catcher.  </w:t>
      </w:r>
      <w:r w:rsidR="00F84B03">
        <w:rPr>
          <w:rFonts w:cs="Times New Roman"/>
        </w:rPr>
        <w:t>But w</w:t>
      </w:r>
      <w:r w:rsidR="00A770DF">
        <w:rPr>
          <w:rFonts w:cs="Times New Roman"/>
        </w:rPr>
        <w:t xml:space="preserve">hy does he focus on cicada </w:t>
      </w:r>
      <w:r w:rsidR="00A770DF">
        <w:rPr>
          <w:rFonts w:cs="Times New Roman"/>
          <w:i/>
        </w:rPr>
        <w:t>wings</w:t>
      </w:r>
      <w:r w:rsidR="00A770DF">
        <w:rPr>
          <w:rFonts w:cs="Times New Roman"/>
        </w:rPr>
        <w:t xml:space="preserve">?  To catch cicadas, one end of the pole had strong adhesive to which cicada wings would stick, and the cicada caught.  In the language of affordances, we may say that the cicada-catcher concentrates on cicada </w:t>
      </w:r>
      <w:r w:rsidR="00A770DF" w:rsidRPr="00A770DF">
        <w:rPr>
          <w:rFonts w:cs="Times New Roman"/>
        </w:rPr>
        <w:t>wings</w:t>
      </w:r>
      <w:r w:rsidR="00A770DF">
        <w:rPr>
          <w:rFonts w:cs="Times New Roman"/>
        </w:rPr>
        <w:t xml:space="preserve"> because they present sticking affordances for the sticky end of the pole.  By </w:t>
      </w:r>
      <w:r w:rsidR="00D35EA4">
        <w:rPr>
          <w:rFonts w:cs="Times New Roman"/>
        </w:rPr>
        <w:t xml:space="preserve">focusing his attention on cicada wings, the cicada-catcher aligns his perceptive capabilities with cicada habitats, hence </w:t>
      </w:r>
      <w:r w:rsidR="00085AFA">
        <w:rPr>
          <w:rFonts w:cs="Times New Roman"/>
          <w:i/>
        </w:rPr>
        <w:t>enacting</w:t>
      </w:r>
      <w:r w:rsidR="00085AFA">
        <w:rPr>
          <w:rFonts w:cs="Times New Roman"/>
        </w:rPr>
        <w:t xml:space="preserve"> the </w:t>
      </w:r>
      <w:r w:rsidR="006E3F48">
        <w:rPr>
          <w:rFonts w:cs="Times New Roman"/>
        </w:rPr>
        <w:t xml:space="preserve">cicada-catching </w:t>
      </w:r>
      <w:r w:rsidR="00085AFA">
        <w:rPr>
          <w:rFonts w:cs="Times New Roman"/>
        </w:rPr>
        <w:t>affordance</w:t>
      </w:r>
      <w:r w:rsidR="00D35EA4">
        <w:rPr>
          <w:rFonts w:cs="Times New Roman"/>
        </w:rPr>
        <w:t>.</w:t>
      </w:r>
      <w:r w:rsidR="004F0777">
        <w:rPr>
          <w:rFonts w:cs="Times New Roman"/>
        </w:rPr>
        <w:t xml:space="preserve">  </w:t>
      </w:r>
      <w:r w:rsidR="004F0777" w:rsidRPr="004F0777">
        <w:rPr>
          <w:rFonts w:cs="Times New Roman"/>
        </w:rPr>
        <w:t xml:space="preserve">One advantage of this </w:t>
      </w:r>
      <w:r w:rsidR="004F0777">
        <w:rPr>
          <w:rFonts w:cs="Times New Roman"/>
        </w:rPr>
        <w:t>explanatory framework</w:t>
      </w:r>
      <w:r w:rsidR="004F0777" w:rsidRPr="004F0777">
        <w:rPr>
          <w:rFonts w:cs="Times New Roman"/>
        </w:rPr>
        <w:t xml:space="preserve"> is its aversion from an </w:t>
      </w:r>
      <w:r w:rsidR="004F0777">
        <w:rPr>
          <w:rFonts w:cs="Times New Roman"/>
        </w:rPr>
        <w:t>approach</w:t>
      </w:r>
      <w:r w:rsidR="004F0777" w:rsidRPr="004F0777">
        <w:rPr>
          <w:rFonts w:cs="Times New Roman"/>
        </w:rPr>
        <w:t xml:space="preserve"> that both</w:t>
      </w:r>
      <w:r w:rsidR="00085AFA">
        <w:rPr>
          <w:rFonts w:cs="Times New Roman"/>
        </w:rPr>
        <w:t xml:space="preserve"> </w:t>
      </w:r>
      <w:r w:rsidR="004F0777" w:rsidRPr="004F0777">
        <w:rPr>
          <w:rFonts w:cs="Times New Roman"/>
        </w:rPr>
        <w:t>elevates the intellectual capacities of perceiving subjects</w:t>
      </w:r>
      <w:r w:rsidR="00085AFA">
        <w:rPr>
          <w:rFonts w:cs="Times New Roman"/>
        </w:rPr>
        <w:t xml:space="preserve"> and</w:t>
      </w:r>
      <w:r w:rsidR="004F0777" w:rsidRPr="004F0777">
        <w:rPr>
          <w:rFonts w:cs="Times New Roman"/>
        </w:rPr>
        <w:t xml:space="preserve"> deflates the status of the e</w:t>
      </w:r>
      <w:r w:rsidR="00017364">
        <w:rPr>
          <w:rFonts w:cs="Times New Roman"/>
        </w:rPr>
        <w:t>nvironment by objectifying it.</w:t>
      </w:r>
    </w:p>
    <w:p w14:paraId="0557C0E9" w14:textId="224A394A" w:rsidR="00F1106B" w:rsidRDefault="00943CE6" w:rsidP="00280F07">
      <w:pPr>
        <w:rPr>
          <w:rFonts w:cs="Times New Roman"/>
          <w:lang w:val="en-AU"/>
        </w:rPr>
      </w:pPr>
      <w:r>
        <w:rPr>
          <w:rFonts w:cs="Times New Roman"/>
          <w:lang w:val="en-AU"/>
        </w:rPr>
        <w:t>Is there more we can say about what the cicada-catcher perceives in the environment? In general, f</w:t>
      </w:r>
      <w:r w:rsidR="00652D44">
        <w:rPr>
          <w:rFonts w:cs="Times New Roman"/>
          <w:lang w:val="en-AU"/>
        </w:rPr>
        <w:t xml:space="preserve">rom the angle of a person’s engagement within the environment, it is important to </w:t>
      </w:r>
      <w:r>
        <w:rPr>
          <w:rFonts w:cs="Times New Roman"/>
          <w:lang w:val="en-AU"/>
        </w:rPr>
        <w:t>ask</w:t>
      </w:r>
      <w:r w:rsidR="00652D44">
        <w:rPr>
          <w:rFonts w:cs="Times New Roman"/>
          <w:lang w:val="en-AU"/>
        </w:rPr>
        <w:t xml:space="preserve"> the question of what it is she attends to when she looks, listens, feels and perceives more generally. </w:t>
      </w:r>
      <w:r w:rsidR="00F00EE4">
        <w:rPr>
          <w:rFonts w:cs="Times New Roman"/>
          <w:lang w:val="en-AU"/>
        </w:rPr>
        <w:t xml:space="preserve">Given the situatedness of human action in contexts that present manifold opportunities, and given that there is no limit to what we perceive in each of these contexts of action, our perceptive capabilities need to be fine-tuned to new kinds of information (Ingold, </w:t>
      </w:r>
      <w:r w:rsidR="004E2B56">
        <w:rPr>
          <w:rFonts w:cs="Times New Roman"/>
          <w:i/>
          <w:lang w:val="en-AU"/>
        </w:rPr>
        <w:t>The Perception of the Environment</w:t>
      </w:r>
      <w:r w:rsidR="00F00EE4">
        <w:rPr>
          <w:rFonts w:cs="Times New Roman"/>
          <w:lang w:val="en-AU"/>
        </w:rPr>
        <w:t>, 166).</w:t>
      </w:r>
      <w:r w:rsidR="00581190">
        <w:rPr>
          <w:rFonts w:cs="Times New Roman"/>
          <w:lang w:val="en-AU"/>
        </w:rPr>
        <w:t xml:space="preserve">  We see that the cicada-catcher learns by doing: first balancing one ball at the end of the pole </w:t>
      </w:r>
      <w:r w:rsidR="00581190" w:rsidRPr="00943CE6">
        <w:rPr>
          <w:rFonts w:cs="Times New Roman"/>
          <w:lang w:val="en-AU"/>
        </w:rPr>
        <w:t>and</w:t>
      </w:r>
      <w:r w:rsidR="00581190">
        <w:rPr>
          <w:rFonts w:cs="Times New Roman"/>
          <w:i/>
          <w:lang w:val="en-AU"/>
        </w:rPr>
        <w:t xml:space="preserve"> </w:t>
      </w:r>
      <w:r w:rsidR="00581190">
        <w:rPr>
          <w:rFonts w:cs="Times New Roman"/>
          <w:lang w:val="en-AU"/>
        </w:rPr>
        <w:t xml:space="preserve">attending to what is required for him to do that successfully.  </w:t>
      </w:r>
      <w:r w:rsidR="00A73355">
        <w:rPr>
          <w:rFonts w:cs="Times New Roman"/>
          <w:lang w:val="en-AU"/>
        </w:rPr>
        <w:t xml:space="preserve">During the learning process, the cicada-catcher must </w:t>
      </w:r>
      <w:r w:rsidR="00261CCD">
        <w:rPr>
          <w:rFonts w:cs="Times New Roman"/>
          <w:lang w:val="en-AU"/>
        </w:rPr>
        <w:t xml:space="preserve">cultivate activity-appropriate behaviours and skills, </w:t>
      </w:r>
      <w:proofErr w:type="gramStart"/>
      <w:r w:rsidR="00261CCD">
        <w:rPr>
          <w:rFonts w:cs="Times New Roman"/>
          <w:lang w:val="en-AU"/>
        </w:rPr>
        <w:t xml:space="preserve">and </w:t>
      </w:r>
      <w:r w:rsidR="00A73355">
        <w:rPr>
          <w:rFonts w:cs="Times New Roman"/>
          <w:lang w:val="en-AU"/>
        </w:rPr>
        <w:t>also</w:t>
      </w:r>
      <w:proofErr w:type="gramEnd"/>
      <w:r w:rsidR="00A73355">
        <w:rPr>
          <w:rFonts w:cs="Times New Roman"/>
          <w:lang w:val="en-AU"/>
        </w:rPr>
        <w:t xml:space="preserve"> </w:t>
      </w:r>
      <w:r w:rsidR="00E2703A">
        <w:rPr>
          <w:rFonts w:cs="Times New Roman"/>
          <w:lang w:val="en-AU"/>
        </w:rPr>
        <w:t xml:space="preserve">acquire an understanding of conditions that might impact on the activity in significant ways. </w:t>
      </w:r>
      <w:r w:rsidR="00B506F8">
        <w:rPr>
          <w:rFonts w:cs="Times New Roman"/>
          <w:lang w:val="en-AU"/>
        </w:rPr>
        <w:t xml:space="preserve">This familiarisation process allows a learner to understand patterns in </w:t>
      </w:r>
      <w:r w:rsidR="00B506F8">
        <w:rPr>
          <w:rFonts w:cs="Times New Roman"/>
          <w:i/>
          <w:lang w:val="en-AU"/>
        </w:rPr>
        <w:t>typical</w:t>
      </w:r>
      <w:r w:rsidR="00B506F8">
        <w:rPr>
          <w:rFonts w:cs="Times New Roman"/>
          <w:lang w:val="en-AU"/>
        </w:rPr>
        <w:t xml:space="preserve"> contexts, perhaps akin to the kind of activity Hubert Dreyfus refers to as “habitual activity”. One example of habitual activity is driving to the office (</w:t>
      </w:r>
      <w:r w:rsidR="00B506F8" w:rsidRPr="00846FE9">
        <w:rPr>
          <w:rFonts w:cs="Times New Roman"/>
          <w:i/>
          <w:lang w:val="en-AU"/>
        </w:rPr>
        <w:t>Being-in-the-World</w:t>
      </w:r>
      <w:r w:rsidR="00B506F8">
        <w:rPr>
          <w:rFonts w:cs="Times New Roman"/>
          <w:lang w:val="en-AU"/>
        </w:rPr>
        <w:t>, 93).</w:t>
      </w:r>
      <w:r w:rsidR="00F1106B">
        <w:rPr>
          <w:rFonts w:cs="Times New Roman"/>
          <w:lang w:val="en-AU"/>
        </w:rPr>
        <w:t xml:space="preserve">  Another is pegging clothes on the line.</w:t>
      </w:r>
    </w:p>
    <w:p w14:paraId="3AE397BE" w14:textId="33FECD08" w:rsidR="00B506F8" w:rsidRDefault="00F1106B" w:rsidP="00280F07">
      <w:pPr>
        <w:rPr>
          <w:rFonts w:cs="Times New Roman"/>
          <w:lang w:val="en-AU"/>
        </w:rPr>
      </w:pPr>
      <w:r>
        <w:rPr>
          <w:rFonts w:cs="Times New Roman"/>
          <w:lang w:val="en-AU"/>
        </w:rPr>
        <w:lastRenderedPageBreak/>
        <w:t xml:space="preserve">Learning to operate in formulaic ways is necessary, though not </w:t>
      </w:r>
      <w:proofErr w:type="gramStart"/>
      <w:r>
        <w:rPr>
          <w:rFonts w:cs="Times New Roman"/>
          <w:lang w:val="en-AU"/>
        </w:rPr>
        <w:t>sufficient</w:t>
      </w:r>
      <w:proofErr w:type="gramEnd"/>
      <w:r>
        <w:rPr>
          <w:rFonts w:cs="Times New Roman"/>
          <w:lang w:val="en-AU"/>
        </w:rPr>
        <w:t xml:space="preserve">, for activities that are not merely habitual.  Many activities we </w:t>
      </w:r>
      <w:r w:rsidR="00F4718D">
        <w:rPr>
          <w:rFonts w:cs="Times New Roman"/>
          <w:lang w:val="en-AU"/>
        </w:rPr>
        <w:t>engage in</w:t>
      </w:r>
      <w:r>
        <w:rPr>
          <w:rFonts w:cs="Times New Roman"/>
          <w:lang w:val="en-AU"/>
        </w:rPr>
        <w:t xml:space="preserve"> require us to </w:t>
      </w:r>
      <w:proofErr w:type="gramStart"/>
      <w:r>
        <w:rPr>
          <w:rFonts w:cs="Times New Roman"/>
          <w:lang w:val="en-AU"/>
        </w:rPr>
        <w:t>take into account</w:t>
      </w:r>
      <w:proofErr w:type="gramEnd"/>
      <w:r>
        <w:rPr>
          <w:rFonts w:cs="Times New Roman"/>
          <w:lang w:val="en-AU"/>
        </w:rPr>
        <w:t xml:space="preserve"> context-based factors</w:t>
      </w:r>
      <w:r w:rsidR="00691D95">
        <w:rPr>
          <w:rFonts w:cs="Times New Roman"/>
          <w:lang w:val="en-AU"/>
        </w:rPr>
        <w:t xml:space="preserve"> which impact on the activity</w:t>
      </w:r>
      <w:r>
        <w:rPr>
          <w:rFonts w:cs="Times New Roman"/>
          <w:lang w:val="en-AU"/>
        </w:rPr>
        <w:t xml:space="preserve">. </w:t>
      </w:r>
      <w:r w:rsidR="0026190E">
        <w:rPr>
          <w:rFonts w:cs="Times New Roman"/>
          <w:lang w:val="en-AU"/>
        </w:rPr>
        <w:t xml:space="preserve"> In the case of cicada-catching, for example, this might include</w:t>
      </w:r>
      <w:r w:rsidR="00261CCD">
        <w:rPr>
          <w:rFonts w:cs="Times New Roman"/>
          <w:lang w:val="en-AU"/>
        </w:rPr>
        <w:t xml:space="preserve"> cognisance of</w:t>
      </w:r>
      <w:r w:rsidR="0026190E">
        <w:rPr>
          <w:rFonts w:cs="Times New Roman"/>
          <w:lang w:val="en-AU"/>
        </w:rPr>
        <w:t xml:space="preserve"> the damp undergrowth in </w:t>
      </w:r>
      <w:r w:rsidR="0026190E" w:rsidRPr="005538B8">
        <w:rPr>
          <w:rFonts w:cs="Times New Roman"/>
          <w:i/>
          <w:lang w:val="en-AU"/>
        </w:rPr>
        <w:t>this</w:t>
      </w:r>
      <w:r w:rsidR="0026190E">
        <w:rPr>
          <w:rFonts w:cs="Times New Roman"/>
          <w:lang w:val="en-AU"/>
        </w:rPr>
        <w:t xml:space="preserve"> environment, or </w:t>
      </w:r>
      <w:r w:rsidR="00261CCD">
        <w:rPr>
          <w:rFonts w:cs="Times New Roman"/>
          <w:lang w:val="en-AU"/>
        </w:rPr>
        <w:t xml:space="preserve">of the </w:t>
      </w:r>
      <w:r w:rsidR="0026190E">
        <w:rPr>
          <w:rFonts w:cs="Times New Roman"/>
          <w:lang w:val="en-AU"/>
        </w:rPr>
        <w:t xml:space="preserve">denseness of </w:t>
      </w:r>
      <w:r w:rsidR="00F4718D" w:rsidRPr="00F4718D">
        <w:rPr>
          <w:rFonts w:cs="Times New Roman"/>
          <w:i/>
          <w:lang w:val="en-AU"/>
        </w:rPr>
        <w:t>that</w:t>
      </w:r>
      <w:r w:rsidR="0026190E">
        <w:rPr>
          <w:rFonts w:cs="Times New Roman"/>
          <w:lang w:val="en-AU"/>
        </w:rPr>
        <w:t xml:space="preserve"> forest.</w:t>
      </w:r>
      <w:r>
        <w:rPr>
          <w:rFonts w:cs="Times New Roman"/>
          <w:lang w:val="en-AU"/>
        </w:rPr>
        <w:t xml:space="preserve"> </w:t>
      </w:r>
      <w:r w:rsidR="0026190E">
        <w:rPr>
          <w:rFonts w:cs="Times New Roman"/>
          <w:lang w:val="en-AU"/>
        </w:rPr>
        <w:t xml:space="preserve"> These elements</w:t>
      </w:r>
      <w:r w:rsidR="00261CCD">
        <w:rPr>
          <w:rFonts w:cs="Times New Roman"/>
          <w:lang w:val="en-AU"/>
        </w:rPr>
        <w:t xml:space="preserve"> could</w:t>
      </w:r>
      <w:r w:rsidR="0026190E">
        <w:rPr>
          <w:rFonts w:cs="Times New Roman"/>
          <w:lang w:val="en-AU"/>
        </w:rPr>
        <w:t xml:space="preserve"> constitute the “new kinds of information” Ingold alludes to</w:t>
      </w:r>
      <w:r w:rsidR="00261CCD">
        <w:rPr>
          <w:rFonts w:cs="Times New Roman"/>
          <w:lang w:val="en-AU"/>
        </w:rPr>
        <w:t>, as discussed above</w:t>
      </w:r>
      <w:r w:rsidR="0026190E">
        <w:rPr>
          <w:rFonts w:cs="Times New Roman"/>
          <w:lang w:val="en-AU"/>
        </w:rPr>
        <w:t>.  T</w:t>
      </w:r>
      <w:r w:rsidR="00261CCD">
        <w:rPr>
          <w:rFonts w:cs="Times New Roman"/>
          <w:lang w:val="en-AU"/>
        </w:rPr>
        <w:t>hrough his learning practices, the cicada-catcher must come</w:t>
      </w:r>
      <w:r w:rsidR="0026190E">
        <w:rPr>
          <w:rFonts w:cs="Times New Roman"/>
          <w:lang w:val="en-AU"/>
        </w:rPr>
        <w:t xml:space="preserve"> to understand</w:t>
      </w:r>
      <w:r w:rsidR="00B506F8">
        <w:rPr>
          <w:rFonts w:cs="Times New Roman"/>
          <w:lang w:val="en-AU"/>
        </w:rPr>
        <w:t xml:space="preserve"> </w:t>
      </w:r>
      <w:r w:rsidR="0026190E">
        <w:rPr>
          <w:rFonts w:cs="Times New Roman"/>
          <w:lang w:val="en-AU"/>
        </w:rPr>
        <w:t>salient factors</w:t>
      </w:r>
      <w:r w:rsidR="00B506F8">
        <w:rPr>
          <w:rFonts w:cs="Times New Roman"/>
          <w:lang w:val="en-AU"/>
        </w:rPr>
        <w:t xml:space="preserve"> that </w:t>
      </w:r>
      <w:proofErr w:type="gramStart"/>
      <w:r w:rsidR="00B506F8">
        <w:rPr>
          <w:rFonts w:cs="Times New Roman"/>
          <w:lang w:val="en-AU"/>
        </w:rPr>
        <w:t>are more or less</w:t>
      </w:r>
      <w:proofErr w:type="gramEnd"/>
      <w:r w:rsidR="00B506F8">
        <w:rPr>
          <w:rFonts w:cs="Times New Roman"/>
          <w:lang w:val="en-AU"/>
        </w:rPr>
        <w:t xml:space="preserve"> stable, and others that vary more significantly, in different contexts where </w:t>
      </w:r>
      <w:r w:rsidR="0026190E">
        <w:rPr>
          <w:rFonts w:cs="Times New Roman"/>
          <w:lang w:val="en-AU"/>
        </w:rPr>
        <w:t>cicada-catching happens</w:t>
      </w:r>
      <w:r w:rsidR="00B506F8">
        <w:rPr>
          <w:rFonts w:cs="Times New Roman"/>
          <w:lang w:val="en-AU"/>
        </w:rPr>
        <w:t>.</w:t>
      </w:r>
      <w:r w:rsidR="00B6413B" w:rsidRPr="00B6413B">
        <w:rPr>
          <w:rFonts w:cs="Times New Roman"/>
          <w:lang w:val="en-AU"/>
        </w:rPr>
        <w:t xml:space="preserve"> </w:t>
      </w:r>
      <w:r w:rsidR="00B6413B">
        <w:rPr>
          <w:rFonts w:cs="Times New Roman"/>
          <w:lang w:val="en-AU"/>
        </w:rPr>
        <w:t xml:space="preserve">Learning in this way alerts the learner to the </w:t>
      </w:r>
      <w:r w:rsidR="00261CCD">
        <w:rPr>
          <w:rFonts w:cs="Times New Roman"/>
          <w:lang w:val="en-AU"/>
        </w:rPr>
        <w:t xml:space="preserve">important </w:t>
      </w:r>
      <w:r w:rsidR="00B6413B">
        <w:rPr>
          <w:rFonts w:cs="Times New Roman"/>
          <w:lang w:val="en-AU"/>
        </w:rPr>
        <w:t xml:space="preserve">focal points of a </w:t>
      </w:r>
      <w:proofErr w:type="gramStart"/>
      <w:r w:rsidR="00B6413B">
        <w:rPr>
          <w:rFonts w:cs="Times New Roman"/>
          <w:lang w:val="en-AU"/>
        </w:rPr>
        <w:t>particular activity</w:t>
      </w:r>
      <w:proofErr w:type="gramEnd"/>
      <w:r w:rsidR="00B6413B">
        <w:rPr>
          <w:rFonts w:cs="Times New Roman"/>
          <w:lang w:val="en-AU"/>
        </w:rPr>
        <w:t>, helping her understand what she needs to attend to when taking action</w:t>
      </w:r>
      <w:r w:rsidR="003A00D0">
        <w:rPr>
          <w:rFonts w:cs="Times New Roman"/>
          <w:lang w:val="en-AU"/>
        </w:rPr>
        <w:t xml:space="preserve"> so that she can be just as successful in atypical scenarios</w:t>
      </w:r>
      <w:r w:rsidR="00B6413B">
        <w:rPr>
          <w:rFonts w:cs="Times New Roman"/>
          <w:lang w:val="en-AU"/>
        </w:rPr>
        <w:t xml:space="preserve">.  </w:t>
      </w:r>
      <w:r w:rsidR="004F6D9E">
        <w:rPr>
          <w:rFonts w:cs="Times New Roman"/>
          <w:lang w:val="en-AU"/>
        </w:rPr>
        <w:t xml:space="preserve">This aspect of learning may be identified as </w:t>
      </w:r>
      <w:r w:rsidR="004F6728">
        <w:rPr>
          <w:rFonts w:cs="Times New Roman"/>
          <w:lang w:val="en-AU"/>
        </w:rPr>
        <w:t>an “education of attention”</w:t>
      </w:r>
      <w:r w:rsidR="00B6413B">
        <w:rPr>
          <w:rFonts w:cs="Times New Roman"/>
          <w:lang w:val="en-AU"/>
        </w:rPr>
        <w:t>, as suggested by Gibson</w:t>
      </w:r>
      <w:r w:rsidR="004F6728">
        <w:rPr>
          <w:rFonts w:cs="Times New Roman"/>
          <w:lang w:val="en-AU"/>
        </w:rPr>
        <w:t xml:space="preserve"> (Gibson, </w:t>
      </w:r>
      <w:r w:rsidR="004F6728">
        <w:rPr>
          <w:rFonts w:cs="Times New Roman"/>
          <w:i/>
          <w:lang w:val="en-AU"/>
        </w:rPr>
        <w:t>The Ecological Approach</w:t>
      </w:r>
      <w:r w:rsidR="004F6728">
        <w:rPr>
          <w:rFonts w:cs="Times New Roman"/>
          <w:lang w:val="en-AU"/>
        </w:rPr>
        <w:t xml:space="preserve">, 188, 254; cited in Ingold, </w:t>
      </w:r>
      <w:r w:rsidR="004F6728">
        <w:rPr>
          <w:rFonts w:cs="Times New Roman"/>
          <w:i/>
          <w:lang w:val="en-AU"/>
        </w:rPr>
        <w:t>The Perception of the Environment</w:t>
      </w:r>
      <w:r w:rsidR="004F6728">
        <w:rPr>
          <w:rFonts w:cs="Times New Roman"/>
          <w:lang w:val="en-AU"/>
        </w:rPr>
        <w:t xml:space="preserve">, 167).  </w:t>
      </w:r>
    </w:p>
    <w:p w14:paraId="3B7DDB4B" w14:textId="3580E6FA" w:rsidR="00145351" w:rsidRDefault="003A00D0" w:rsidP="00280F07">
      <w:pPr>
        <w:rPr>
          <w:rFonts w:cs="Times New Roman"/>
          <w:lang w:val="en-AU"/>
        </w:rPr>
      </w:pPr>
      <w:r>
        <w:rPr>
          <w:rFonts w:cs="Times New Roman"/>
          <w:lang w:val="en-AU"/>
        </w:rPr>
        <w:t>Back to the cicada-catcher story: p</w:t>
      </w:r>
      <w:r w:rsidR="00922C2A">
        <w:rPr>
          <w:rFonts w:cs="Times New Roman"/>
          <w:lang w:val="en-AU"/>
        </w:rPr>
        <w:t xml:space="preserve">erhaps a cicada-catcher trained to catch cicadas in </w:t>
      </w:r>
      <w:r w:rsidR="00E2703A">
        <w:rPr>
          <w:rFonts w:cs="Times New Roman"/>
          <w:lang w:val="en-AU"/>
        </w:rPr>
        <w:t>a</w:t>
      </w:r>
      <w:r w:rsidR="00922C2A">
        <w:rPr>
          <w:rFonts w:cs="Times New Roman"/>
          <w:lang w:val="en-AU"/>
        </w:rPr>
        <w:t xml:space="preserve"> “habitual” way may be able to catch some cicadas.  However, </w:t>
      </w:r>
      <w:r w:rsidR="005538B8">
        <w:rPr>
          <w:rFonts w:cs="Times New Roman"/>
          <w:lang w:val="en-AU"/>
        </w:rPr>
        <w:t xml:space="preserve">the cicada-catcher </w:t>
      </w:r>
      <w:r w:rsidR="00922C2A">
        <w:rPr>
          <w:rFonts w:cs="Times New Roman"/>
          <w:lang w:val="en-AU"/>
        </w:rPr>
        <w:t xml:space="preserve">in our story </w:t>
      </w:r>
      <w:r>
        <w:rPr>
          <w:rFonts w:cs="Times New Roman"/>
          <w:lang w:val="en-AU"/>
        </w:rPr>
        <w:t>knows in a qualitatively different way</w:t>
      </w:r>
      <w:r w:rsidR="00922C2A">
        <w:rPr>
          <w:rFonts w:cs="Times New Roman"/>
          <w:lang w:val="en-AU"/>
        </w:rPr>
        <w:t xml:space="preserve">: he </w:t>
      </w:r>
      <w:r>
        <w:rPr>
          <w:rFonts w:cs="Times New Roman"/>
          <w:lang w:val="en-AU"/>
        </w:rPr>
        <w:t xml:space="preserve">knows not to be distracted by the range of situational particularities, focusing only on those that </w:t>
      </w:r>
      <w:r>
        <w:rPr>
          <w:rFonts w:cs="Times New Roman"/>
          <w:i/>
          <w:lang w:val="en-AU"/>
        </w:rPr>
        <w:t>matter</w:t>
      </w:r>
      <w:r>
        <w:rPr>
          <w:rFonts w:cs="Times New Roman"/>
          <w:lang w:val="en-AU"/>
        </w:rPr>
        <w:t xml:space="preserve">, in relevant ways, to cicada-catching. </w:t>
      </w:r>
      <w:r w:rsidR="00145351">
        <w:rPr>
          <w:rFonts w:cs="Times New Roman"/>
          <w:lang w:val="en-AU"/>
        </w:rPr>
        <w:t xml:space="preserve"> The position and movement of cicada wings seem critical to the cicada-catcher’s success; perhaps they indicate that the cicada has come to rest on this branch, or that it is unsettled, or that it is about to fly off.  The cicada-catcher’s</w:t>
      </w:r>
      <w:r w:rsidR="00C248E8">
        <w:rPr>
          <w:rFonts w:cs="Times New Roman"/>
          <w:lang w:val="en-AU"/>
        </w:rPr>
        <w:t xml:space="preserve"> attentiveness to </w:t>
      </w:r>
      <w:r>
        <w:rPr>
          <w:rFonts w:cs="Times New Roman"/>
          <w:lang w:val="en-AU"/>
        </w:rPr>
        <w:t xml:space="preserve">cicada wings </w:t>
      </w:r>
      <w:r w:rsidR="00262EC0">
        <w:rPr>
          <w:rFonts w:cs="Times New Roman"/>
          <w:lang w:val="en-AU"/>
        </w:rPr>
        <w:t>helps him pre-empt possible</w:t>
      </w:r>
      <w:r w:rsidR="00145351">
        <w:rPr>
          <w:rFonts w:cs="Times New Roman"/>
          <w:lang w:val="en-AU"/>
        </w:rPr>
        <w:t xml:space="preserve"> </w:t>
      </w:r>
      <w:r w:rsidR="00922C2A">
        <w:rPr>
          <w:rFonts w:cs="Times New Roman"/>
          <w:lang w:val="en-AU"/>
        </w:rPr>
        <w:t xml:space="preserve">exigencies </w:t>
      </w:r>
      <w:r w:rsidR="00145351">
        <w:rPr>
          <w:rFonts w:cs="Times New Roman"/>
          <w:lang w:val="en-AU"/>
        </w:rPr>
        <w:t>associated with the activity</w:t>
      </w:r>
    </w:p>
    <w:p w14:paraId="54A05378" w14:textId="559C9CA3" w:rsidR="00BE057F" w:rsidRPr="00652D44" w:rsidRDefault="00922C2A" w:rsidP="00280F07">
      <w:pPr>
        <w:rPr>
          <w:rFonts w:cs="Times New Roman"/>
          <w:lang w:val="en-AU"/>
        </w:rPr>
      </w:pPr>
      <w:r>
        <w:rPr>
          <w:rFonts w:cs="Times New Roman"/>
          <w:lang w:val="en-AU"/>
        </w:rPr>
        <w:t xml:space="preserve">In the language of </w:t>
      </w:r>
      <w:r w:rsidR="00091FEF">
        <w:rPr>
          <w:rFonts w:cs="Times New Roman"/>
          <w:lang w:val="en-AU"/>
        </w:rPr>
        <w:t>ECT</w:t>
      </w:r>
      <w:r>
        <w:rPr>
          <w:rFonts w:cs="Times New Roman"/>
          <w:lang w:val="en-AU"/>
        </w:rPr>
        <w:t xml:space="preserve">, we could say that the cicada-catcher is perceptively attuned to a dynamic cicada-catching environment and </w:t>
      </w:r>
      <w:r w:rsidR="00091FEF">
        <w:rPr>
          <w:rFonts w:cs="Times New Roman"/>
          <w:lang w:val="en-AU"/>
        </w:rPr>
        <w:t xml:space="preserve">that his cognitive processes </w:t>
      </w:r>
      <w:r w:rsidR="00091FEF" w:rsidRPr="00C92E44">
        <w:rPr>
          <w:rFonts w:cs="Times New Roman"/>
          <w:lang w:val="en-AU"/>
        </w:rPr>
        <w:t>involve</w:t>
      </w:r>
      <w:r w:rsidR="00091FEF">
        <w:rPr>
          <w:rFonts w:cs="Times New Roman"/>
          <w:i/>
          <w:lang w:val="en-AU"/>
        </w:rPr>
        <w:t xml:space="preserve"> </w:t>
      </w:r>
      <w:r w:rsidR="00091FEF">
        <w:rPr>
          <w:rFonts w:cs="Times New Roman"/>
          <w:lang w:val="en-AU"/>
        </w:rPr>
        <w:t>his movement through the environment</w:t>
      </w:r>
      <w:r w:rsidR="00262EC0">
        <w:rPr>
          <w:rFonts w:cs="Times New Roman"/>
          <w:lang w:val="en-AU"/>
        </w:rPr>
        <w:t xml:space="preserve">, including </w:t>
      </w:r>
      <w:r w:rsidR="0026514D">
        <w:rPr>
          <w:rFonts w:cs="Times New Roman"/>
          <w:lang w:val="en-AU"/>
        </w:rPr>
        <w:t xml:space="preserve">his control of his attention, to focus on cicada wings. </w:t>
      </w:r>
      <w:r w:rsidR="00145351">
        <w:rPr>
          <w:rFonts w:cs="Times New Roman"/>
          <w:lang w:val="en-AU"/>
        </w:rPr>
        <w:t xml:space="preserve"> </w:t>
      </w:r>
      <w:r w:rsidR="0026514D">
        <w:rPr>
          <w:rFonts w:cs="Times New Roman"/>
          <w:lang w:val="en-AU"/>
        </w:rPr>
        <w:t xml:space="preserve">In this light, </w:t>
      </w:r>
      <w:r w:rsidR="0026514D">
        <w:rPr>
          <w:rFonts w:eastAsia="KaiTi" w:cs="Times New Roman"/>
        </w:rPr>
        <w:t>w</w:t>
      </w:r>
      <w:r w:rsidR="000A6469">
        <w:rPr>
          <w:rFonts w:eastAsia="KaiTi" w:cs="Times New Roman"/>
        </w:rPr>
        <w:t xml:space="preserve">e may perhaps more accurately describe the </w:t>
      </w:r>
      <w:r w:rsidR="000A6469">
        <w:rPr>
          <w:rFonts w:eastAsia="KaiTi" w:cs="Times New Roman"/>
          <w:i/>
        </w:rPr>
        <w:t>Zhuangzi</w:t>
      </w:r>
      <w:r w:rsidR="000A6469">
        <w:rPr>
          <w:rFonts w:eastAsia="KaiTi" w:cs="Times New Roman"/>
        </w:rPr>
        <w:t xml:space="preserve">’s underlying </w:t>
      </w:r>
      <w:r w:rsidR="000A6469">
        <w:rPr>
          <w:rFonts w:eastAsia="KaiTi" w:cs="Times New Roman"/>
        </w:rPr>
        <w:lastRenderedPageBreak/>
        <w:t>epistemological commitments as “agentive knowledge”</w:t>
      </w:r>
      <w:r w:rsidR="00C96E61">
        <w:rPr>
          <w:rFonts w:eastAsia="KaiTi" w:cs="Times New Roman"/>
        </w:rPr>
        <w:t>, that focuses on apt practice</w:t>
      </w:r>
      <w:r w:rsidR="000A6469">
        <w:rPr>
          <w:rFonts w:eastAsia="KaiTi" w:cs="Times New Roman"/>
        </w:rPr>
        <w:t>.</w:t>
      </w:r>
      <w:r w:rsidR="005067DD">
        <w:rPr>
          <w:rFonts w:eastAsia="KaiTi" w:cs="Times New Roman"/>
        </w:rPr>
        <w:t xml:space="preserve"> One account of agentive knowledge helps to illuminate the discussion here: it is “not a general knowledge that can be taught, but a knowledge that shows itself in individual praxis, in the course of doing something right in a given situation”.</w:t>
      </w:r>
      <w:r w:rsidR="005067DD">
        <w:rPr>
          <w:rStyle w:val="FootnoteReference"/>
          <w:rFonts w:eastAsia="KaiTi" w:cs="Times New Roman"/>
        </w:rPr>
        <w:footnoteReference w:id="19"/>
      </w:r>
    </w:p>
    <w:p w14:paraId="25AEFCCF" w14:textId="77777777" w:rsidR="00652D44" w:rsidRPr="00BD118F" w:rsidRDefault="00652D44" w:rsidP="00280F07">
      <w:pPr>
        <w:ind w:firstLine="0"/>
        <w:rPr>
          <w:rFonts w:cs="Times New Roman"/>
        </w:rPr>
      </w:pPr>
    </w:p>
    <w:p w14:paraId="45255F59" w14:textId="6004AB11" w:rsidR="001C4783" w:rsidRPr="00381566" w:rsidRDefault="001C4783" w:rsidP="00280F07">
      <w:pPr>
        <w:ind w:firstLine="0"/>
        <w:rPr>
          <w:rFonts w:cs="Times New Roman"/>
        </w:rPr>
      </w:pPr>
      <w:r w:rsidRPr="00381566">
        <w:rPr>
          <w:rFonts w:cs="Times New Roman"/>
        </w:rPr>
        <w:t xml:space="preserve">4.3 </w:t>
      </w:r>
      <w:r w:rsidR="0026190E">
        <w:rPr>
          <w:rFonts w:cs="Times New Roman"/>
        </w:rPr>
        <w:t>P</w:t>
      </w:r>
      <w:r w:rsidRPr="00381566">
        <w:rPr>
          <w:rFonts w:cs="Times New Roman"/>
        </w:rPr>
        <w:t>erformance</w:t>
      </w:r>
    </w:p>
    <w:p w14:paraId="45C7C47B" w14:textId="7B130D23" w:rsidR="00C7559B" w:rsidRDefault="001C4783" w:rsidP="00280F07">
      <w:pPr>
        <w:rPr>
          <w:rFonts w:cs="Times New Roman"/>
          <w:lang w:val="en-AU"/>
        </w:rPr>
      </w:pPr>
      <w:r w:rsidRPr="0097176B">
        <w:rPr>
          <w:rFonts w:cs="Times New Roman"/>
        </w:rPr>
        <w:t xml:space="preserve">By focusing on performance, we move away from the emphasis on mind and its computational capacities. Instead, we attend to how the cicada-catcher catches cicadas or, more generally, how people get things done, in real time (cf. Clark, </w:t>
      </w:r>
      <w:r>
        <w:rPr>
          <w:rStyle w:val="Emphasis"/>
        </w:rPr>
        <w:t>Being There</w:t>
      </w:r>
      <w:r w:rsidRPr="0097176B">
        <w:rPr>
          <w:rStyle w:val="Emphasis"/>
          <w:i w:val="0"/>
        </w:rPr>
        <w:t>, 1997)</w:t>
      </w:r>
      <w:r w:rsidRPr="0097176B">
        <w:rPr>
          <w:rFonts w:cs="Times New Roman"/>
        </w:rPr>
        <w:t>.</w:t>
      </w:r>
      <w:r>
        <w:rPr>
          <w:rFonts w:cs="Times New Roman"/>
        </w:rPr>
        <w:t xml:space="preserve"> The cicada-catcher story requires readers to step back and take in the performance of the cicada-catcher within his cicada-catching environment.  That cicadas might fly off suddenly, whether because there has been an onrush of wind, or a change in temperature, or because they have sensed a predator, seems to be written in the fine print of the story.  Indeed, the emergent environment demands the cicada-catcher’s </w:t>
      </w:r>
      <w:r w:rsidR="00B01337">
        <w:rPr>
          <w:rFonts w:cs="Times New Roman"/>
        </w:rPr>
        <w:t>complete</w:t>
      </w:r>
      <w:r>
        <w:rPr>
          <w:rFonts w:cs="Times New Roman"/>
        </w:rPr>
        <w:t xml:space="preserve"> attentiveness to the task at hand.  The view that environments are dynamic, hence requiring a systems approach, is a line of debate arising in the ECT literature.  Here, mind and world operate </w:t>
      </w:r>
      <w:r w:rsidR="00BD118F">
        <w:rPr>
          <w:rFonts w:cs="Times New Roman"/>
        </w:rPr>
        <w:t xml:space="preserve">as an </w:t>
      </w:r>
      <w:r>
        <w:rPr>
          <w:rFonts w:cs="Times New Roman"/>
        </w:rPr>
        <w:t xml:space="preserve">integrated system; </w:t>
      </w:r>
      <w:r w:rsidR="00BD118F">
        <w:rPr>
          <w:rFonts w:cs="Times New Roman"/>
        </w:rPr>
        <w:t>intellection</w:t>
      </w:r>
      <w:r>
        <w:rPr>
          <w:rFonts w:cs="Times New Roman"/>
        </w:rPr>
        <w:t xml:space="preserve"> works interdependently with sensorimotor experiences, </w:t>
      </w:r>
      <w:r>
        <w:rPr>
          <w:rFonts w:cs="Times New Roman"/>
          <w:i/>
        </w:rPr>
        <w:t>situated</w:t>
      </w:r>
      <w:r>
        <w:t xml:space="preserve"> within specific environments.  </w:t>
      </w:r>
      <w:r w:rsidR="00B01337">
        <w:t>In this explanatory framework, a</w:t>
      </w:r>
      <w:r>
        <w:t xml:space="preserve"> person’s engagement with the world comes to the forefront.  An influential account of a dynamic systems approach, proposed by Anthony </w:t>
      </w:r>
      <w:proofErr w:type="spellStart"/>
      <w:r>
        <w:t>Chemero</w:t>
      </w:r>
      <w:proofErr w:type="spellEnd"/>
      <w:r>
        <w:t>, characterise</w:t>
      </w:r>
      <w:r w:rsidRPr="00124342">
        <w:t>s affordances in terms of the relation between individuals and the environment</w:t>
      </w:r>
      <w:r>
        <w:t xml:space="preserve"> </w:t>
      </w:r>
      <w:r w:rsidRPr="00124342">
        <w:t>(</w:t>
      </w:r>
      <w:proofErr w:type="spellStart"/>
      <w:r w:rsidRPr="00124342">
        <w:t>Chemero</w:t>
      </w:r>
      <w:proofErr w:type="spellEnd"/>
      <w:r w:rsidRPr="00124342">
        <w:t xml:space="preserve">, “An </w:t>
      </w:r>
      <w:r>
        <w:t>Outline of a Theory of A</w:t>
      </w:r>
      <w:r w:rsidRPr="00124342">
        <w:t>ffordances”).</w:t>
      </w:r>
      <w:r w:rsidR="00B01337" w:rsidRPr="00124342">
        <w:rPr>
          <w:rStyle w:val="FootnoteReference"/>
          <w:rFonts w:cs="Times New Roman"/>
          <w:color w:val="000000" w:themeColor="text1"/>
          <w:lang w:val="en-AU"/>
        </w:rPr>
        <w:footnoteReference w:id="20"/>
      </w:r>
      <w:r w:rsidRPr="00124342">
        <w:t xml:space="preserve">  </w:t>
      </w:r>
      <w:r>
        <w:t xml:space="preserve">As relations, </w:t>
      </w:r>
      <w:r>
        <w:lastRenderedPageBreak/>
        <w:t>specific affordances enable particular behaviours:</w:t>
      </w:r>
      <w:r w:rsidRPr="00124342">
        <w:t xml:space="preserve"> soil affords nest-building behaviours for the Australian Apostle Bird, and earth that is sufficiently deep affords burrow-digging behaviours for Wombats.</w:t>
      </w:r>
      <w:r w:rsidRPr="00124342">
        <w:rPr>
          <w:rFonts w:cs="Times New Roman"/>
          <w:color w:val="000000" w:themeColor="text1"/>
          <w:lang w:val="en-AU"/>
        </w:rPr>
        <w:t xml:space="preserve"> </w:t>
      </w:r>
      <w:r>
        <w:rPr>
          <w:rFonts w:cs="Times New Roman"/>
          <w:lang w:val="en-AU"/>
        </w:rPr>
        <w:t xml:space="preserve"> </w:t>
      </w:r>
      <w:r w:rsidRPr="002616A2">
        <w:rPr>
          <w:rFonts w:cs="Times New Roman"/>
          <w:lang w:val="en-AU"/>
        </w:rPr>
        <w:t xml:space="preserve">This view of affordances creates room for </w:t>
      </w:r>
      <w:r w:rsidR="00C7559B">
        <w:rPr>
          <w:rFonts w:cs="Times New Roman"/>
          <w:lang w:val="en-AU"/>
        </w:rPr>
        <w:t xml:space="preserve">attention to </w:t>
      </w:r>
      <w:r w:rsidRPr="002616A2">
        <w:rPr>
          <w:rFonts w:cs="Times New Roman"/>
          <w:i/>
          <w:lang w:val="en-AU"/>
        </w:rPr>
        <w:t>action</w:t>
      </w:r>
      <w:r w:rsidRPr="002616A2">
        <w:rPr>
          <w:rFonts w:cs="Times New Roman"/>
          <w:lang w:val="en-AU"/>
        </w:rPr>
        <w:t xml:space="preserve">, drawing </w:t>
      </w:r>
      <w:r w:rsidR="00C7559B">
        <w:rPr>
          <w:rFonts w:cs="Times New Roman"/>
          <w:lang w:val="en-AU"/>
        </w:rPr>
        <w:t>our gaze</w:t>
      </w:r>
      <w:r w:rsidRPr="002616A2">
        <w:rPr>
          <w:rFonts w:cs="Times New Roman"/>
          <w:lang w:val="en-AU"/>
        </w:rPr>
        <w:t xml:space="preserve"> to the individual’s behaviour in context.  The account builds on the </w:t>
      </w:r>
      <w:proofErr w:type="spellStart"/>
      <w:r w:rsidRPr="002616A2">
        <w:rPr>
          <w:rFonts w:cs="Times New Roman"/>
          <w:lang w:val="en-AU"/>
        </w:rPr>
        <w:t>Gibsonian</w:t>
      </w:r>
      <w:proofErr w:type="spellEnd"/>
      <w:r w:rsidRPr="002616A2">
        <w:rPr>
          <w:rFonts w:cs="Times New Roman"/>
          <w:lang w:val="en-AU"/>
        </w:rPr>
        <w:t xml:space="preserve"> emphasis on a system-based approach—an </w:t>
      </w:r>
      <w:r w:rsidRPr="002616A2">
        <w:rPr>
          <w:rFonts w:cs="Times New Roman"/>
          <w:i/>
          <w:lang w:val="en-AU"/>
        </w:rPr>
        <w:t>ecological</w:t>
      </w:r>
      <w:r w:rsidRPr="002616A2">
        <w:rPr>
          <w:rFonts w:cs="Times New Roman"/>
          <w:lang w:val="en-AU"/>
        </w:rPr>
        <w:t xml:space="preserve"> one—that seeks to understand the psychology of perception more accurately, in terms of what an individual perceives and how it behaves within the environment.</w:t>
      </w:r>
      <w:r w:rsidRPr="002616A2">
        <w:rPr>
          <w:rStyle w:val="FootnoteReference"/>
          <w:rFonts w:cs="Times New Roman"/>
          <w:lang w:val="en-AU"/>
        </w:rPr>
        <w:footnoteReference w:id="21"/>
      </w:r>
      <w:r w:rsidRPr="002616A2">
        <w:rPr>
          <w:rFonts w:cs="Times New Roman"/>
          <w:lang w:val="en-AU"/>
        </w:rPr>
        <w:t xml:space="preserve">  </w:t>
      </w:r>
      <w:proofErr w:type="spellStart"/>
      <w:r w:rsidRPr="002616A2">
        <w:rPr>
          <w:rFonts w:cs="Times New Roman"/>
          <w:lang w:val="en-AU"/>
        </w:rPr>
        <w:t>Chemero’s</w:t>
      </w:r>
      <w:proofErr w:type="spellEnd"/>
      <w:r w:rsidRPr="002616A2">
        <w:rPr>
          <w:rFonts w:cs="Times New Roman"/>
          <w:lang w:val="en-AU"/>
        </w:rPr>
        <w:t xml:space="preserve"> ecological approach, a “form of realism about the world as it is perceived and experienced” (</w:t>
      </w:r>
      <w:proofErr w:type="spellStart"/>
      <w:r w:rsidRPr="002616A2">
        <w:rPr>
          <w:rFonts w:cs="Times New Roman"/>
          <w:lang w:val="en-AU"/>
        </w:rPr>
        <w:t>Chemero</w:t>
      </w:r>
      <w:proofErr w:type="spellEnd"/>
      <w:r w:rsidRPr="002616A2">
        <w:rPr>
          <w:rFonts w:cs="Times New Roman"/>
          <w:lang w:val="en-AU"/>
        </w:rPr>
        <w:t xml:space="preserve">, </w:t>
      </w:r>
      <w:r>
        <w:rPr>
          <w:rFonts w:cs="Times New Roman"/>
          <w:i/>
        </w:rPr>
        <w:t>Radical Embodied Cognitive Science</w:t>
      </w:r>
      <w:r>
        <w:rPr>
          <w:rFonts w:cs="Times New Roman"/>
        </w:rPr>
        <w:t>,</w:t>
      </w:r>
      <w:r w:rsidRPr="002616A2">
        <w:rPr>
          <w:rFonts w:cs="Times New Roman"/>
          <w:lang w:val="en-AU"/>
        </w:rPr>
        <w:t xml:space="preserve"> 150), allows us to locate an organism’s activities in a rich, varied and often unpredictable environment, and to arrive at a more realistic picture of its behaviours and capabilities in context.  From this </w:t>
      </w:r>
      <w:r>
        <w:rPr>
          <w:rFonts w:cs="Times New Roman"/>
          <w:lang w:val="en-AU"/>
        </w:rPr>
        <w:t xml:space="preserve">ecological </w:t>
      </w:r>
      <w:r w:rsidRPr="002616A2">
        <w:rPr>
          <w:rFonts w:cs="Times New Roman"/>
          <w:lang w:val="en-AU"/>
        </w:rPr>
        <w:t xml:space="preserve">angle, the cicada-catcher’s performance </w:t>
      </w:r>
      <w:r>
        <w:rPr>
          <w:rFonts w:cs="Times New Roman"/>
          <w:lang w:val="en-AU"/>
        </w:rPr>
        <w:t>may be understood in terms of</w:t>
      </w:r>
      <w:r w:rsidRPr="002616A2">
        <w:rPr>
          <w:rFonts w:cs="Times New Roman"/>
          <w:lang w:val="en-AU"/>
        </w:rPr>
        <w:t xml:space="preserve"> appropriate physicality, awareness, concentration, percipience and responsiveness</w:t>
      </w:r>
      <w:r>
        <w:rPr>
          <w:rFonts w:cs="Times New Roman"/>
          <w:lang w:val="en-AU"/>
        </w:rPr>
        <w:t>, each of which are</w:t>
      </w:r>
      <w:r w:rsidRPr="002616A2">
        <w:rPr>
          <w:rFonts w:cs="Times New Roman"/>
          <w:lang w:val="en-AU"/>
        </w:rPr>
        <w:t xml:space="preserve"> necessary, though insufficient, for catching cicadas.  </w:t>
      </w:r>
    </w:p>
    <w:p w14:paraId="1BC972C9" w14:textId="1A1E7C2D" w:rsidR="001C4783" w:rsidRDefault="00C7559B" w:rsidP="00280F07">
      <w:pPr>
        <w:rPr>
          <w:rFonts w:cs="Times New Roman"/>
          <w:lang w:val="en-AU"/>
        </w:rPr>
      </w:pPr>
      <w:r>
        <w:rPr>
          <w:rFonts w:cs="Times New Roman"/>
          <w:lang w:val="en-AU"/>
        </w:rPr>
        <w:t xml:space="preserve">We may build on this picture to provide a richer account </w:t>
      </w:r>
      <w:r w:rsidR="007A5F74">
        <w:rPr>
          <w:rFonts w:cs="Times New Roman"/>
          <w:lang w:val="en-AU"/>
        </w:rPr>
        <w:t>of the cicada-catcher’s performance</w:t>
      </w:r>
      <w:r>
        <w:rPr>
          <w:rFonts w:cs="Times New Roman"/>
          <w:lang w:val="en-AU"/>
        </w:rPr>
        <w:t xml:space="preserve">.  Here, </w:t>
      </w:r>
      <w:proofErr w:type="gramStart"/>
      <w:r>
        <w:rPr>
          <w:rFonts w:cs="Times New Roman"/>
          <w:lang w:val="en-AU"/>
        </w:rPr>
        <w:t>consider</w:t>
      </w:r>
      <w:proofErr w:type="gramEnd"/>
      <w:r>
        <w:rPr>
          <w:rFonts w:cs="Times New Roman"/>
          <w:lang w:val="en-AU"/>
        </w:rPr>
        <w:t xml:space="preserve"> the way in which the cicada-catcher uses the pole </w:t>
      </w:r>
      <w:r w:rsidR="009675E8">
        <w:rPr>
          <w:rFonts w:cs="Times New Roman"/>
          <w:lang w:val="en-AU"/>
        </w:rPr>
        <w:t xml:space="preserve">as if he were </w:t>
      </w:r>
      <w:r w:rsidR="009675E8">
        <w:rPr>
          <w:rFonts w:cs="Times New Roman"/>
          <w:lang w:val="en-AU"/>
        </w:rPr>
        <w:lastRenderedPageBreak/>
        <w:t xml:space="preserve">“grabbing” the cicadas with his hands.  In other words, the pole </w:t>
      </w:r>
      <w:r w:rsidR="007A5F74">
        <w:rPr>
          <w:rFonts w:cs="Times New Roman"/>
          <w:lang w:val="en-AU"/>
        </w:rPr>
        <w:t>may be considered a vehicle—an “extra-bodily vehicle”—in his cicada-catching (</w:t>
      </w:r>
      <w:proofErr w:type="spellStart"/>
      <w:r w:rsidR="007A5F74">
        <w:rPr>
          <w:rFonts w:cs="Times New Roman"/>
          <w:lang w:val="en-AU"/>
        </w:rPr>
        <w:t>Menary</w:t>
      </w:r>
      <w:proofErr w:type="spellEnd"/>
      <w:r w:rsidR="007A5F74">
        <w:rPr>
          <w:rFonts w:cs="Times New Roman"/>
          <w:lang w:val="en-AU"/>
        </w:rPr>
        <w:t xml:space="preserve">, </w:t>
      </w:r>
      <w:r w:rsidR="007A5F74">
        <w:rPr>
          <w:rFonts w:cs="Times New Roman"/>
          <w:i/>
          <w:lang w:val="en-AU"/>
        </w:rPr>
        <w:t>Cognitive Integration</w:t>
      </w:r>
      <w:r w:rsidR="007A5F74">
        <w:rPr>
          <w:rFonts w:cs="Times New Roman"/>
          <w:lang w:val="en-AU"/>
        </w:rPr>
        <w:t>, 4-6).</w:t>
      </w:r>
      <w:r w:rsidR="009675E8">
        <w:rPr>
          <w:rFonts w:cs="Times New Roman"/>
          <w:lang w:val="en-AU"/>
        </w:rPr>
        <w:t xml:space="preserve"> </w:t>
      </w:r>
      <w:r>
        <w:rPr>
          <w:rFonts w:cs="Times New Roman"/>
          <w:lang w:val="en-AU"/>
        </w:rPr>
        <w:t xml:space="preserve"> </w:t>
      </w:r>
      <w:r w:rsidR="007A5F74">
        <w:rPr>
          <w:rFonts w:cs="Times New Roman"/>
          <w:lang w:val="en-AU"/>
        </w:rPr>
        <w:t>It enables him to engage in this activity more effectively.  We could say that the pole is an “epistemic tool”</w:t>
      </w:r>
      <w:r w:rsidR="00991591">
        <w:rPr>
          <w:rFonts w:cs="Times New Roman"/>
          <w:lang w:val="en-AU"/>
        </w:rPr>
        <w:t xml:space="preserve">, in the same way a calculator is an epistemic tool for a person </w:t>
      </w:r>
      <w:r w:rsidR="00B01337">
        <w:rPr>
          <w:rFonts w:cs="Times New Roman"/>
          <w:lang w:val="en-AU"/>
        </w:rPr>
        <w:t>performing</w:t>
      </w:r>
      <w:r w:rsidR="00991591">
        <w:rPr>
          <w:rFonts w:cs="Times New Roman"/>
          <w:lang w:val="en-AU"/>
        </w:rPr>
        <w:t xml:space="preserve"> mathematical calculations</w:t>
      </w:r>
      <w:r w:rsidR="007A5F74">
        <w:rPr>
          <w:rFonts w:cs="Times New Roman"/>
          <w:lang w:val="en-AU"/>
        </w:rPr>
        <w:t xml:space="preserve"> </w:t>
      </w:r>
      <w:r w:rsidR="00991591">
        <w:rPr>
          <w:rFonts w:cs="Times New Roman"/>
          <w:lang w:val="en-AU"/>
        </w:rPr>
        <w:t>(</w:t>
      </w:r>
      <w:proofErr w:type="spellStart"/>
      <w:r w:rsidR="00991591">
        <w:rPr>
          <w:rFonts w:cs="Times New Roman"/>
          <w:lang w:val="en-AU"/>
        </w:rPr>
        <w:t>Menary</w:t>
      </w:r>
      <w:proofErr w:type="spellEnd"/>
      <w:r w:rsidR="00991591">
        <w:rPr>
          <w:rFonts w:cs="Times New Roman"/>
          <w:lang w:val="en-AU"/>
        </w:rPr>
        <w:t xml:space="preserve"> and Gillett, “</w:t>
      </w:r>
      <w:r w:rsidR="00991591" w:rsidRPr="007A5F74">
        <w:rPr>
          <w:rFonts w:cs="Times New Roman"/>
          <w:lang w:val="en-AU"/>
        </w:rPr>
        <w:t>Embodying Culture</w:t>
      </w:r>
      <w:r w:rsidR="00991591">
        <w:rPr>
          <w:rFonts w:cs="Times New Roman"/>
          <w:lang w:val="en-AU"/>
        </w:rPr>
        <w:t xml:space="preserve">”, 74).  </w:t>
      </w:r>
      <w:r w:rsidR="00D20235">
        <w:rPr>
          <w:rFonts w:cs="Times New Roman"/>
          <w:lang w:val="en-AU"/>
        </w:rPr>
        <w:t xml:space="preserve">This conceptual framework brings together epistemological acumen and physical capabilities in a way that helps highlight the centrality of performance in the </w:t>
      </w:r>
      <w:r w:rsidR="00D20235">
        <w:rPr>
          <w:rFonts w:cs="Times New Roman"/>
          <w:i/>
          <w:lang w:val="en-AU"/>
        </w:rPr>
        <w:t>Zhuangzi</w:t>
      </w:r>
      <w:r w:rsidR="00D20235">
        <w:rPr>
          <w:rFonts w:cs="Times New Roman"/>
          <w:lang w:val="en-AU"/>
        </w:rPr>
        <w:t xml:space="preserve">.  </w:t>
      </w:r>
      <w:r w:rsidR="00FE1CEE">
        <w:rPr>
          <w:rFonts w:cs="Times New Roman"/>
          <w:i/>
          <w:lang w:val="en-AU"/>
        </w:rPr>
        <w:t>As a hunchback</w:t>
      </w:r>
      <w:r w:rsidR="00FE1CEE">
        <w:rPr>
          <w:rFonts w:cs="Times New Roman"/>
          <w:lang w:val="en-AU"/>
        </w:rPr>
        <w:t>, t</w:t>
      </w:r>
      <w:r w:rsidR="001C4783" w:rsidRPr="002616A2">
        <w:rPr>
          <w:rFonts w:cs="Times New Roman"/>
          <w:lang w:val="en-AU"/>
        </w:rPr>
        <w:t xml:space="preserve">he cicada-catcher’s </w:t>
      </w:r>
      <w:r w:rsidR="00D20235">
        <w:rPr>
          <w:rFonts w:cs="Times New Roman"/>
          <w:lang w:val="en-AU"/>
        </w:rPr>
        <w:t>successes</w:t>
      </w:r>
      <w:r w:rsidR="001C4783" w:rsidRPr="002616A2">
        <w:rPr>
          <w:rFonts w:cs="Times New Roman"/>
          <w:lang w:val="en-AU"/>
        </w:rPr>
        <w:t xml:space="preserve"> occur at the </w:t>
      </w:r>
      <w:r w:rsidR="001C4783" w:rsidRPr="002616A2">
        <w:rPr>
          <w:rFonts w:cs="Times New Roman"/>
          <w:i/>
          <w:lang w:val="en-AU"/>
        </w:rPr>
        <w:t>intersection</w:t>
      </w:r>
      <w:r w:rsidR="001C4783" w:rsidRPr="002616A2">
        <w:rPr>
          <w:rFonts w:cs="Times New Roman"/>
          <w:lang w:val="en-AU"/>
        </w:rPr>
        <w:t xml:space="preserve"> of his capabilities and the environment; appropriate matching of these two elements of affordance</w:t>
      </w:r>
      <w:r w:rsidR="001C4783">
        <w:rPr>
          <w:rFonts w:cs="Times New Roman"/>
          <w:lang w:val="en-AU"/>
        </w:rPr>
        <w:t>s is a prerequisite to success.</w:t>
      </w:r>
    </w:p>
    <w:p w14:paraId="1A45432B" w14:textId="77777777" w:rsidR="001C4783" w:rsidRDefault="001C4783" w:rsidP="00280F07">
      <w:pPr>
        <w:ind w:firstLine="0"/>
      </w:pPr>
    </w:p>
    <w:p w14:paraId="6E2E7A4C" w14:textId="77777777" w:rsidR="002D7478" w:rsidRPr="00BE057F" w:rsidRDefault="00ED0E16" w:rsidP="00280F07">
      <w:pPr>
        <w:ind w:firstLine="0"/>
        <w:jc w:val="center"/>
        <w:rPr>
          <w:rFonts w:cs="Times New Roman"/>
          <w:lang w:val="en-AU"/>
        </w:rPr>
      </w:pPr>
      <w:r>
        <w:t>5</w:t>
      </w:r>
      <w:r w:rsidR="000160C5">
        <w:t xml:space="preserve">. </w:t>
      </w:r>
      <w:r w:rsidR="000160C5" w:rsidRPr="00601FAD">
        <w:rPr>
          <w:i/>
        </w:rPr>
        <w:t>Dao</w:t>
      </w:r>
      <w:r w:rsidR="000160C5" w:rsidRPr="00601FAD">
        <w:t xml:space="preserve">: </w:t>
      </w:r>
      <w:r w:rsidR="00C44FC0">
        <w:t>L</w:t>
      </w:r>
      <w:r w:rsidR="00095B98">
        <w:t xml:space="preserve">iving, as a Daoist </w:t>
      </w:r>
      <w:r w:rsidR="00C44FC0">
        <w:t>L</w:t>
      </w:r>
      <w:r w:rsidR="00095B98">
        <w:t>ives</w:t>
      </w:r>
    </w:p>
    <w:p w14:paraId="08169FDD" w14:textId="40076560" w:rsidR="00EC1500" w:rsidRDefault="00F50AEC" w:rsidP="00280F07">
      <w:pPr>
        <w:rPr>
          <w:lang w:val="en-AU"/>
        </w:rPr>
      </w:pPr>
      <w:r>
        <w:rPr>
          <w:lang w:val="en-AU"/>
        </w:rPr>
        <w:t xml:space="preserve">What is the relevance of the cicada-catcher story to life more generally?  Cicada-catching is such a </w:t>
      </w:r>
      <w:r w:rsidRPr="00C44FC0">
        <w:rPr>
          <w:lang w:val="en-AU"/>
        </w:rPr>
        <w:t>specific</w:t>
      </w:r>
      <w:r>
        <w:rPr>
          <w:lang w:val="en-AU"/>
        </w:rPr>
        <w:t xml:space="preserve"> activity, after all.</w:t>
      </w:r>
      <w:r w:rsidR="00BE057F">
        <w:rPr>
          <w:lang w:val="en-AU"/>
        </w:rPr>
        <w:t xml:space="preserve">  In its intellectual milieu, this story and, indeed, many sections of the </w:t>
      </w:r>
      <w:r w:rsidR="00BE057F">
        <w:rPr>
          <w:i/>
          <w:lang w:val="en-AU"/>
        </w:rPr>
        <w:t>Zhuangzi</w:t>
      </w:r>
      <w:r w:rsidR="00BE057F">
        <w:rPr>
          <w:lang w:val="en-AU"/>
        </w:rPr>
        <w:t xml:space="preserve">, addressed existing approaches to </w:t>
      </w:r>
      <w:r w:rsidR="004B325B">
        <w:rPr>
          <w:lang w:val="en-AU"/>
        </w:rPr>
        <w:t xml:space="preserve">quell unrest.  </w:t>
      </w:r>
      <w:r w:rsidR="002C013B">
        <w:rPr>
          <w:lang w:val="en-AU"/>
        </w:rPr>
        <w:t xml:space="preserve">Some of these texts reflect the intentions of court officials then, </w:t>
      </w:r>
      <w:r w:rsidR="004B325B">
        <w:rPr>
          <w:lang w:val="en-AU"/>
        </w:rPr>
        <w:t xml:space="preserve">to address </w:t>
      </w:r>
      <w:r w:rsidR="00F15E57">
        <w:rPr>
          <w:lang w:val="en-AU"/>
        </w:rPr>
        <w:t>socio-political unrest</w:t>
      </w:r>
      <w:r w:rsidR="004B325B">
        <w:rPr>
          <w:lang w:val="en-AU"/>
        </w:rPr>
        <w:t xml:space="preserve"> by implementing standards for human behaviour.  Standards for correct behaviours were upheld and affirmed especially in the creation of norms, perpetuated in words (language).  There was the </w:t>
      </w:r>
      <w:proofErr w:type="spellStart"/>
      <w:r w:rsidR="004B325B">
        <w:rPr>
          <w:lang w:val="en-AU"/>
        </w:rPr>
        <w:t>so</w:t>
      </w:r>
      <w:proofErr w:type="spellEnd"/>
      <w:r w:rsidR="004B325B">
        <w:rPr>
          <w:lang w:val="en-AU"/>
        </w:rPr>
        <w:t xml:space="preserve"> and not-so (</w:t>
      </w:r>
      <w:r w:rsidR="004B325B" w:rsidRPr="004B325B">
        <w:rPr>
          <w:i/>
          <w:lang w:val="en-AU"/>
        </w:rPr>
        <w:t>ran</w:t>
      </w:r>
      <w:r w:rsidR="00D81C9D">
        <w:rPr>
          <w:i/>
          <w:lang w:val="en-AU"/>
        </w:rPr>
        <w:t xml:space="preserve"> </w:t>
      </w:r>
      <w:r w:rsidR="00D81C9D" w:rsidRPr="00D81C9D">
        <w:rPr>
          <w:rFonts w:ascii="KaiTi" w:eastAsia="KaiTi" w:hAnsi="KaiTi" w:hint="eastAsia"/>
          <w:lang w:val="en-AU"/>
        </w:rPr>
        <w:t>然</w:t>
      </w:r>
      <w:r w:rsidR="004B325B">
        <w:rPr>
          <w:lang w:val="en-AU"/>
        </w:rPr>
        <w:t xml:space="preserve">, </w:t>
      </w:r>
      <w:r w:rsidR="004B325B" w:rsidRPr="004B325B">
        <w:rPr>
          <w:i/>
          <w:lang w:val="en-AU"/>
        </w:rPr>
        <w:t>buran</w:t>
      </w:r>
      <w:r w:rsidR="00D81C9D">
        <w:rPr>
          <w:i/>
          <w:lang w:val="en-AU"/>
        </w:rPr>
        <w:t xml:space="preserve"> </w:t>
      </w:r>
      <w:r w:rsidR="00D81C9D" w:rsidRPr="00D81C9D">
        <w:rPr>
          <w:rFonts w:ascii="KaiTi" w:eastAsia="KaiTi" w:hAnsi="KaiTi" w:hint="eastAsia"/>
          <w:lang w:val="en-AU"/>
        </w:rPr>
        <w:t>不然</w:t>
      </w:r>
      <w:r w:rsidR="004B325B">
        <w:rPr>
          <w:lang w:val="en-AU"/>
        </w:rPr>
        <w:t>); possible and not possible (</w:t>
      </w:r>
      <w:proofErr w:type="spellStart"/>
      <w:r w:rsidR="004B325B" w:rsidRPr="004B325B">
        <w:rPr>
          <w:i/>
          <w:lang w:val="en-AU"/>
        </w:rPr>
        <w:t>ke</w:t>
      </w:r>
      <w:proofErr w:type="spellEnd"/>
      <w:r w:rsidR="00D81C9D">
        <w:rPr>
          <w:i/>
          <w:lang w:val="en-AU"/>
        </w:rPr>
        <w:t xml:space="preserve"> </w:t>
      </w:r>
      <w:r w:rsidR="00D81C9D" w:rsidRPr="00D81C9D">
        <w:rPr>
          <w:rFonts w:ascii="KaiTi" w:eastAsia="KaiTi" w:hAnsi="KaiTi" w:hint="eastAsia"/>
          <w:lang w:val="en-AU"/>
        </w:rPr>
        <w:t>可</w:t>
      </w:r>
      <w:r w:rsidR="004B325B">
        <w:rPr>
          <w:lang w:val="en-AU"/>
        </w:rPr>
        <w:t xml:space="preserve">, </w:t>
      </w:r>
      <w:r w:rsidR="004B325B" w:rsidRPr="004B325B">
        <w:rPr>
          <w:i/>
          <w:lang w:val="en-AU"/>
        </w:rPr>
        <w:t>buke</w:t>
      </w:r>
      <w:r w:rsidR="00D81C9D">
        <w:rPr>
          <w:lang w:val="en-AU"/>
        </w:rPr>
        <w:t xml:space="preserve"> </w:t>
      </w:r>
      <w:proofErr w:type="spellStart"/>
      <w:r w:rsidR="00D81C9D" w:rsidRPr="00D81C9D">
        <w:rPr>
          <w:rFonts w:ascii="KaiTi" w:eastAsia="KaiTi" w:hAnsi="KaiTi" w:hint="eastAsia"/>
          <w:lang w:val="en-AU"/>
        </w:rPr>
        <w:t>不可</w:t>
      </w:r>
      <w:proofErr w:type="spellEnd"/>
      <w:r w:rsidR="004B325B">
        <w:rPr>
          <w:lang w:val="en-AU"/>
        </w:rPr>
        <w:t>); correct and permissible, and wrong and impermissible (</w:t>
      </w:r>
      <w:r w:rsidR="004B325B">
        <w:rPr>
          <w:i/>
          <w:lang w:val="en-AU"/>
        </w:rPr>
        <w:t>shi</w:t>
      </w:r>
      <w:r w:rsidR="00D81C9D" w:rsidRPr="00D81C9D">
        <w:rPr>
          <w:rFonts w:ascii="KaiTi" w:eastAsia="KaiTi" w:hAnsi="KaiTi"/>
          <w:lang w:val="en-AU"/>
        </w:rPr>
        <w:t xml:space="preserve"> </w:t>
      </w:r>
      <w:r w:rsidR="00D81C9D" w:rsidRPr="00D81C9D">
        <w:rPr>
          <w:rFonts w:ascii="KaiTi" w:eastAsia="KaiTi" w:hAnsi="KaiTi" w:hint="eastAsia"/>
          <w:lang w:val="en-AU"/>
        </w:rPr>
        <w:t>是</w:t>
      </w:r>
      <w:r w:rsidR="004B325B">
        <w:rPr>
          <w:lang w:val="en-AU"/>
        </w:rPr>
        <w:t xml:space="preserve">, </w:t>
      </w:r>
      <w:proofErr w:type="spellStart"/>
      <w:r w:rsidR="004B325B" w:rsidRPr="004B325B">
        <w:rPr>
          <w:i/>
          <w:lang w:val="en-AU"/>
        </w:rPr>
        <w:t>fei</w:t>
      </w:r>
      <w:proofErr w:type="spellEnd"/>
      <w:r w:rsidR="00D81C9D">
        <w:rPr>
          <w:lang w:val="en-AU"/>
        </w:rPr>
        <w:t xml:space="preserve"> </w:t>
      </w:r>
      <w:r w:rsidR="00D81C9D" w:rsidRPr="00D81C9D">
        <w:rPr>
          <w:rFonts w:ascii="KaiTi" w:eastAsia="KaiTi" w:hAnsi="KaiTi" w:hint="eastAsia"/>
          <w:lang w:val="en-AU"/>
        </w:rPr>
        <w:t>非</w:t>
      </w:r>
      <w:r w:rsidR="004B325B">
        <w:rPr>
          <w:lang w:val="en-AU"/>
        </w:rPr>
        <w:t xml:space="preserve">), and so on.  From the </w:t>
      </w:r>
      <w:r w:rsidR="004B325B">
        <w:rPr>
          <w:i/>
          <w:lang w:val="en-AU"/>
        </w:rPr>
        <w:t>Zhuangzi</w:t>
      </w:r>
      <w:r w:rsidR="004B325B">
        <w:rPr>
          <w:lang w:val="en-AU"/>
        </w:rPr>
        <w:t xml:space="preserve">’s point of view, life was impoverished by these standards because they reduced its plurality to uniformity, by simplistically drawing distinctions according to these seemingly straightforward categories.   </w:t>
      </w:r>
    </w:p>
    <w:p w14:paraId="66FF8446" w14:textId="3CC48209" w:rsidR="00E32AB3" w:rsidRDefault="00E32AB3" w:rsidP="00280F07">
      <w:pPr>
        <w:rPr>
          <w:lang w:val="en-AU"/>
        </w:rPr>
      </w:pPr>
      <w:r>
        <w:rPr>
          <w:lang w:val="en-AU"/>
        </w:rPr>
        <w:t xml:space="preserve">The cicada-catcher story, and others like it, offer snapshots of ordinary, yet </w:t>
      </w:r>
      <w:r>
        <w:rPr>
          <w:i/>
          <w:lang w:val="en-AU"/>
        </w:rPr>
        <w:t>masterful</w:t>
      </w:r>
      <w:r>
        <w:rPr>
          <w:lang w:val="en-AU"/>
        </w:rPr>
        <w:t xml:space="preserve">, lives.  </w:t>
      </w:r>
      <w:r w:rsidR="00DB6B44">
        <w:rPr>
          <w:lang w:val="en-AU"/>
        </w:rPr>
        <w:t>Is it plausible</w:t>
      </w:r>
      <w:r w:rsidR="00D9197F">
        <w:rPr>
          <w:lang w:val="en-AU"/>
        </w:rPr>
        <w:t xml:space="preserve"> that </w:t>
      </w:r>
      <w:r w:rsidR="00DB6B44">
        <w:rPr>
          <w:lang w:val="en-AU"/>
        </w:rPr>
        <w:t>the</w:t>
      </w:r>
      <w:r w:rsidR="00D9197F">
        <w:rPr>
          <w:lang w:val="en-AU"/>
        </w:rPr>
        <w:t xml:space="preserve"> lives </w:t>
      </w:r>
      <w:proofErr w:type="gramStart"/>
      <w:r w:rsidR="00DB6B44">
        <w:rPr>
          <w:lang w:val="en-AU"/>
        </w:rPr>
        <w:t>these ordinary folk</w:t>
      </w:r>
      <w:proofErr w:type="gramEnd"/>
      <w:r w:rsidR="00DB6B44">
        <w:rPr>
          <w:lang w:val="en-AU"/>
        </w:rPr>
        <w:t xml:space="preserve"> are</w:t>
      </w:r>
      <w:r w:rsidR="00D9197F">
        <w:rPr>
          <w:lang w:val="en-AU"/>
        </w:rPr>
        <w:t xml:space="preserve"> more enriched that those </w:t>
      </w:r>
      <w:r w:rsidR="002B7B7F">
        <w:rPr>
          <w:lang w:val="en-AU"/>
        </w:rPr>
        <w:t>led by</w:t>
      </w:r>
      <w:r w:rsidR="00D9197F">
        <w:rPr>
          <w:lang w:val="en-AU"/>
        </w:rPr>
        <w:t xml:space="preserve"> court officials?  And would these masters not be better off familiarising themselves with </w:t>
      </w:r>
      <w:r w:rsidR="00D9197F">
        <w:rPr>
          <w:lang w:val="en-AU"/>
        </w:rPr>
        <w:lastRenderedPageBreak/>
        <w:t xml:space="preserve">prevailing norms and abiding by them?  As noted previously, the </w:t>
      </w:r>
      <w:r w:rsidR="00D9197F">
        <w:rPr>
          <w:i/>
          <w:lang w:val="en-AU"/>
        </w:rPr>
        <w:t>Zhuangzi</w:t>
      </w:r>
      <w:r w:rsidR="00D9197F">
        <w:rPr>
          <w:lang w:val="en-AU"/>
        </w:rPr>
        <w:t xml:space="preserve"> addresses both the lives of the officials as well as their misconceived views of government.  In relation to the former, the text wonders about the preparedness of these officials to deal with contingencies thrown up in exigent situations.  In a passage where Confucius has a conversation with his favoured follower, Yan Hui, some strands of the </w:t>
      </w:r>
      <w:r w:rsidR="00D9197F">
        <w:rPr>
          <w:i/>
          <w:lang w:val="en-AU"/>
        </w:rPr>
        <w:t>Zhuangzi</w:t>
      </w:r>
      <w:r w:rsidR="00D9197F">
        <w:rPr>
          <w:lang w:val="en-AU"/>
        </w:rPr>
        <w:t>’s</w:t>
      </w:r>
      <w:r w:rsidR="00D9197F" w:rsidRPr="00D9197F">
        <w:rPr>
          <w:lang w:val="en-AU"/>
        </w:rPr>
        <w:t xml:space="preserve"> </w:t>
      </w:r>
      <w:r w:rsidR="00D9197F">
        <w:rPr>
          <w:lang w:val="en-AU"/>
        </w:rPr>
        <w:t xml:space="preserve">hesitations about official life are expressed.  The story appears in a chapter entitled “Worldly Business Among Men”, where Yan Hui announces to Confucius that he is ready to take on a difficult task, </w:t>
      </w:r>
      <w:r w:rsidR="002B7B7F">
        <w:rPr>
          <w:lang w:val="en-AU"/>
        </w:rPr>
        <w:t xml:space="preserve">that is, </w:t>
      </w:r>
      <w:r w:rsidR="00D9197F">
        <w:rPr>
          <w:lang w:val="en-AU"/>
        </w:rPr>
        <w:t>to work with the notorious Prince of Wey</w:t>
      </w:r>
      <w:r w:rsidR="00871B13">
        <w:rPr>
          <w:lang w:val="en-AU"/>
        </w:rPr>
        <w:t xml:space="preserve"> (</w:t>
      </w:r>
      <w:r w:rsidR="00871B13">
        <w:rPr>
          <w:i/>
          <w:lang w:val="en-AU"/>
        </w:rPr>
        <w:t>Zhuangzi</w:t>
      </w:r>
      <w:r w:rsidR="00871B13">
        <w:rPr>
          <w:lang w:val="en-AU"/>
        </w:rPr>
        <w:t xml:space="preserve"> </w:t>
      </w:r>
      <w:r w:rsidR="00871B13" w:rsidRPr="00871B13">
        <w:rPr>
          <w:lang w:val="en-AU"/>
        </w:rPr>
        <w:t>8/4/1</w:t>
      </w:r>
      <w:r w:rsidR="00871B13">
        <w:rPr>
          <w:lang w:val="en-AU"/>
        </w:rPr>
        <w:t>-9/4/24)</w:t>
      </w:r>
      <w:r w:rsidR="00D9197F">
        <w:rPr>
          <w:lang w:val="en-AU"/>
        </w:rPr>
        <w:t>.  Instead of applauding Yan Hui on his commitment to a worthy mission (as we would expect a Confucian to do), Confucius—</w:t>
      </w:r>
      <w:r w:rsidR="00F15E57">
        <w:rPr>
          <w:lang w:val="en-AU"/>
        </w:rPr>
        <w:t xml:space="preserve">here </w:t>
      </w:r>
      <w:r w:rsidR="00D9197F">
        <w:rPr>
          <w:lang w:val="en-AU"/>
        </w:rPr>
        <w:t xml:space="preserve">a spokesperson for the </w:t>
      </w:r>
      <w:r w:rsidR="00D9197F">
        <w:rPr>
          <w:i/>
          <w:lang w:val="en-AU"/>
        </w:rPr>
        <w:t>Zhuangzi</w:t>
      </w:r>
      <w:r w:rsidR="00D9197F">
        <w:rPr>
          <w:lang w:val="en-AU"/>
        </w:rPr>
        <w:t>—attempts to persuade Yan Hui not to take up the post.  Yan Hui reassures Confucius, noting that he has devised plans to deal with this difficult prince, at which point Confucius says, “</w:t>
      </w:r>
      <w:r w:rsidR="00D9197F" w:rsidRPr="00D9197F">
        <w:rPr>
          <w:lang w:val="en-AU"/>
        </w:rPr>
        <w:t xml:space="preserve">Goodness, how could that do? You have too many policies and plans and you haven't seen what is needed. You will probably get off without incurring any blame, yes. But that will be as far as it goes. How do you think you can </w:t>
      </w:r>
      <w:proofErr w:type="gramStart"/>
      <w:r w:rsidR="00D9197F" w:rsidRPr="00D9197F">
        <w:rPr>
          <w:lang w:val="en-AU"/>
        </w:rPr>
        <w:t>actually convert</w:t>
      </w:r>
      <w:proofErr w:type="gramEnd"/>
      <w:r w:rsidR="00D9197F" w:rsidRPr="00D9197F">
        <w:rPr>
          <w:lang w:val="en-AU"/>
        </w:rPr>
        <w:t xml:space="preserve"> him</w:t>
      </w:r>
      <w:r w:rsidR="00D9197F">
        <w:rPr>
          <w:lang w:val="en-AU"/>
        </w:rPr>
        <w:t>? You are still making the [heart</w:t>
      </w:r>
      <w:r w:rsidR="002B7B7F">
        <w:rPr>
          <w:lang w:val="en-AU"/>
        </w:rPr>
        <w:t>-mind</w:t>
      </w:r>
      <w:r w:rsidR="00D9197F">
        <w:rPr>
          <w:lang w:val="en-AU"/>
        </w:rPr>
        <w:t xml:space="preserve">] </w:t>
      </w:r>
      <w:r w:rsidR="00D9197F" w:rsidRPr="00D9197F">
        <w:rPr>
          <w:lang w:val="en-AU"/>
        </w:rPr>
        <w:t>your teacher!</w:t>
      </w:r>
      <w:r w:rsidR="00D9197F">
        <w:rPr>
          <w:lang w:val="en-AU"/>
        </w:rPr>
        <w:t>” (</w:t>
      </w:r>
      <w:r w:rsidR="00D9197F" w:rsidRPr="00D9197F">
        <w:rPr>
          <w:i/>
          <w:lang w:val="en-AU"/>
        </w:rPr>
        <w:t>Zhuangzi</w:t>
      </w:r>
      <w:r w:rsidR="00871B13">
        <w:rPr>
          <w:lang w:val="en-AU"/>
        </w:rPr>
        <w:t xml:space="preserve"> 9/4/23-24</w:t>
      </w:r>
      <w:r w:rsidR="00D9197F" w:rsidRPr="00D9197F">
        <w:rPr>
          <w:lang w:val="en-AU"/>
        </w:rPr>
        <w:t xml:space="preserve">; trans. Graham, </w:t>
      </w:r>
      <w:r w:rsidR="00D9197F" w:rsidRPr="00D9197F">
        <w:rPr>
          <w:i/>
          <w:lang w:val="en-AU"/>
        </w:rPr>
        <w:t>Chuang-Tzu</w:t>
      </w:r>
      <w:r w:rsidR="00D9197F">
        <w:rPr>
          <w:lang w:val="en-AU"/>
        </w:rPr>
        <w:t>, 66-</w:t>
      </w:r>
      <w:r w:rsidR="00D9197F" w:rsidRPr="00D9197F">
        <w:rPr>
          <w:lang w:val="en-AU"/>
        </w:rPr>
        <w:t>7)</w:t>
      </w:r>
      <w:r w:rsidR="00D9197F">
        <w:rPr>
          <w:lang w:val="en-AU"/>
        </w:rPr>
        <w:t xml:space="preserve">.  In the eyes of the </w:t>
      </w:r>
      <w:r w:rsidR="00D9197F">
        <w:rPr>
          <w:i/>
          <w:lang w:val="en-AU"/>
        </w:rPr>
        <w:t>Zhuangzi</w:t>
      </w:r>
      <w:r w:rsidR="00D9197F">
        <w:rPr>
          <w:lang w:val="en-AU"/>
        </w:rPr>
        <w:t xml:space="preserve">, the cultivated </w:t>
      </w:r>
      <w:r w:rsidR="002B7B7F">
        <w:rPr>
          <w:lang w:val="en-AU"/>
        </w:rPr>
        <w:t>heart-mind (</w:t>
      </w:r>
      <w:r w:rsidR="002B7B7F">
        <w:rPr>
          <w:i/>
          <w:lang w:val="en-AU"/>
        </w:rPr>
        <w:t>xin</w:t>
      </w:r>
      <w:r w:rsidR="002B7B7F">
        <w:rPr>
          <w:lang w:val="en-AU"/>
        </w:rPr>
        <w:t xml:space="preserve"> </w:t>
      </w:r>
      <w:r w:rsidR="002B7B7F" w:rsidRPr="002B7B7F">
        <w:rPr>
          <w:rFonts w:ascii="KaiTi" w:eastAsia="KaiTi" w:hAnsi="KaiTi" w:hint="eastAsia"/>
          <w:lang w:val="en-AU"/>
        </w:rPr>
        <w:t>心</w:t>
      </w:r>
      <w:r w:rsidR="002B7B7F">
        <w:rPr>
          <w:lang w:val="en-AU"/>
        </w:rPr>
        <w:t>)</w:t>
      </w:r>
      <w:r w:rsidR="00D9197F">
        <w:rPr>
          <w:lang w:val="en-AU"/>
        </w:rPr>
        <w:t xml:space="preserve"> is a symbol of Confucian accomplishment: it is a heart</w:t>
      </w:r>
      <w:r w:rsidR="00796EE8">
        <w:rPr>
          <w:lang w:val="en-AU"/>
        </w:rPr>
        <w:t>-mind</w:t>
      </w:r>
      <w:r w:rsidR="00D9197F">
        <w:rPr>
          <w:lang w:val="en-AU"/>
        </w:rPr>
        <w:t xml:space="preserve"> that stands firm on Confucian ideals.</w:t>
      </w:r>
      <w:r w:rsidR="002B7B7F">
        <w:rPr>
          <w:rStyle w:val="FootnoteReference"/>
          <w:lang w:val="en-AU"/>
        </w:rPr>
        <w:footnoteReference w:id="22"/>
      </w:r>
      <w:r w:rsidR="00D9197F">
        <w:rPr>
          <w:lang w:val="en-AU"/>
        </w:rPr>
        <w:t xml:space="preserve">  Such </w:t>
      </w:r>
      <w:r w:rsidR="00D9197F">
        <w:rPr>
          <w:i/>
          <w:lang w:val="en-AU"/>
        </w:rPr>
        <w:t>acculturation</w:t>
      </w:r>
      <w:r w:rsidR="00D9197F">
        <w:rPr>
          <w:lang w:val="en-AU"/>
        </w:rPr>
        <w:t xml:space="preserve"> to a fixed way of thinking was deemed unacceptable to the </w:t>
      </w:r>
      <w:r w:rsidR="00D9197F">
        <w:rPr>
          <w:i/>
          <w:lang w:val="en-AU"/>
        </w:rPr>
        <w:t>Zhuangzi</w:t>
      </w:r>
      <w:r w:rsidR="00D9197F">
        <w:rPr>
          <w:lang w:val="en-AU"/>
        </w:rPr>
        <w:t>, as it foreclosed on issues even before a person encounters the issues, just as Yan Hui was proposing to do in his dealings with the Prince of Wey.</w:t>
      </w:r>
    </w:p>
    <w:p w14:paraId="73826AF6" w14:textId="42FC61C2" w:rsidR="00D9197F" w:rsidRPr="00CC2E5F" w:rsidRDefault="00871B13" w:rsidP="00280F07">
      <w:pPr>
        <w:rPr>
          <w:lang w:val="en-AU"/>
        </w:rPr>
      </w:pPr>
      <w:r>
        <w:rPr>
          <w:lang w:val="en-AU"/>
        </w:rPr>
        <w:t xml:space="preserve">The insidiousness of such an approach to life would be compounded if </w:t>
      </w:r>
      <w:r w:rsidR="00CC2E5F">
        <w:rPr>
          <w:lang w:val="en-AU"/>
        </w:rPr>
        <w:t xml:space="preserve">the </w:t>
      </w:r>
      <w:r w:rsidR="00CC2E5F">
        <w:rPr>
          <w:i/>
          <w:lang w:val="en-AU"/>
        </w:rPr>
        <w:t>people</w:t>
      </w:r>
      <w:r w:rsidR="00CC2E5F">
        <w:rPr>
          <w:lang w:val="en-AU"/>
        </w:rPr>
        <w:t xml:space="preserve"> were expected to live by standards devised by officials who upheld such conceptions of a </w:t>
      </w:r>
      <w:r w:rsidR="00CC2E5F">
        <w:rPr>
          <w:lang w:val="en-AU"/>
        </w:rPr>
        <w:lastRenderedPageBreak/>
        <w:t xml:space="preserve">flourishing life.  Such a </w:t>
      </w:r>
      <w:r w:rsidR="00CC2E5F">
        <w:rPr>
          <w:i/>
          <w:lang w:val="en-AU"/>
        </w:rPr>
        <w:t>dao</w:t>
      </w:r>
      <w:r w:rsidR="00CC2E5F">
        <w:rPr>
          <w:lang w:val="en-AU"/>
        </w:rPr>
        <w:t xml:space="preserve">, one that is prescribed for everyone, restricts rather than enables.  </w:t>
      </w:r>
      <w:r w:rsidR="00B343D3">
        <w:rPr>
          <w:lang w:val="en-AU"/>
        </w:rPr>
        <w:t xml:space="preserve">This also helps explain why there are different accounts of mastery in the </w:t>
      </w:r>
      <w:r w:rsidR="00B343D3">
        <w:rPr>
          <w:i/>
          <w:lang w:val="en-AU"/>
        </w:rPr>
        <w:t>Zhuangzi</w:t>
      </w:r>
      <w:r w:rsidR="00B343D3">
        <w:rPr>
          <w:lang w:val="en-AU"/>
        </w:rPr>
        <w:t xml:space="preserve">.  They are </w:t>
      </w:r>
      <w:r w:rsidR="00796EE8">
        <w:rPr>
          <w:lang w:val="en-AU"/>
        </w:rPr>
        <w:t>each</w:t>
      </w:r>
      <w:r w:rsidR="00B343D3">
        <w:rPr>
          <w:lang w:val="en-AU"/>
        </w:rPr>
        <w:t xml:space="preserve"> a model of how learning and mastery are possible and, </w:t>
      </w:r>
      <w:r w:rsidR="00B343D3">
        <w:rPr>
          <w:i/>
          <w:lang w:val="en-AU"/>
        </w:rPr>
        <w:t>because</w:t>
      </w:r>
      <w:r w:rsidR="00B343D3">
        <w:rPr>
          <w:lang w:val="en-AU"/>
        </w:rPr>
        <w:t xml:space="preserve"> norms are activity-specific, we must in life refrain from recommending any one set.  It is only in this way that </w:t>
      </w:r>
      <w:r w:rsidR="00CC2E5F">
        <w:rPr>
          <w:lang w:val="en-AU"/>
        </w:rPr>
        <w:t xml:space="preserve">the cicada-catcher story, even though it </w:t>
      </w:r>
      <w:r w:rsidR="00B343D3">
        <w:rPr>
          <w:lang w:val="en-AU"/>
        </w:rPr>
        <w:t xml:space="preserve">tells us about </w:t>
      </w:r>
      <w:r w:rsidR="00CC2E5F">
        <w:rPr>
          <w:i/>
          <w:lang w:val="en-AU"/>
        </w:rPr>
        <w:t>one ordinary activity</w:t>
      </w:r>
      <w:r w:rsidR="00CC2E5F">
        <w:rPr>
          <w:lang w:val="en-AU"/>
        </w:rPr>
        <w:t xml:space="preserve">, reveals important lessons for life.  We should </w:t>
      </w:r>
      <w:r w:rsidR="00B343D3">
        <w:rPr>
          <w:lang w:val="en-AU"/>
        </w:rPr>
        <w:t xml:space="preserve">not </w:t>
      </w:r>
      <w:r w:rsidR="00CC2E5F">
        <w:rPr>
          <w:lang w:val="en-AU"/>
        </w:rPr>
        <w:t xml:space="preserve">learn to be </w:t>
      </w:r>
      <w:r w:rsidR="00CC2E5F">
        <w:rPr>
          <w:i/>
          <w:lang w:val="en-AU"/>
        </w:rPr>
        <w:t>like</w:t>
      </w:r>
      <w:r w:rsidR="00CC2E5F">
        <w:rPr>
          <w:lang w:val="en-AU"/>
        </w:rPr>
        <w:t xml:space="preserve"> the cicada-catcher, but rather, learn in the way he learns.  To learn like he does</w:t>
      </w:r>
      <w:r w:rsidR="00652D44">
        <w:rPr>
          <w:lang w:val="en-AU"/>
        </w:rPr>
        <w:t>, we may</w:t>
      </w:r>
      <w:r w:rsidR="00CC2E5F">
        <w:rPr>
          <w:lang w:val="en-AU"/>
        </w:rPr>
        <w:t xml:space="preserve"> develop our perceptive capabilities so that we can understand the world’s regularities and patterns</w:t>
      </w:r>
      <w:r w:rsidR="00F15E57">
        <w:rPr>
          <w:lang w:val="en-AU"/>
        </w:rPr>
        <w:t>, and activity-specific norms</w:t>
      </w:r>
      <w:r w:rsidR="00CC2E5F">
        <w:rPr>
          <w:lang w:val="en-AU"/>
        </w:rPr>
        <w:t xml:space="preserve">, as well as its contingencies.  In the </w:t>
      </w:r>
      <w:r w:rsidR="00CC2E5F">
        <w:rPr>
          <w:i/>
          <w:lang w:val="en-AU"/>
        </w:rPr>
        <w:t>Zhuangzi</w:t>
      </w:r>
      <w:r w:rsidR="00CC2E5F">
        <w:rPr>
          <w:lang w:val="en-AU"/>
        </w:rPr>
        <w:t xml:space="preserve">, the plurality in the world should not be quelled as it offers many possibilities.  There is much it has to offer but we need simultaneously to be attuned to it, and open to its possibilities, in order to thrive.  The cicada-catcher has </w:t>
      </w:r>
      <w:r w:rsidR="00CC2E5F">
        <w:rPr>
          <w:i/>
          <w:lang w:val="en-AU"/>
        </w:rPr>
        <w:t>dao</w:t>
      </w:r>
      <w:r w:rsidR="00CC2E5F">
        <w:rPr>
          <w:lang w:val="en-AU"/>
        </w:rPr>
        <w:t xml:space="preserve">.  Do you and I each have (a) </w:t>
      </w:r>
      <w:r w:rsidR="00CC2E5F">
        <w:rPr>
          <w:i/>
          <w:lang w:val="en-AU"/>
        </w:rPr>
        <w:t>dao</w:t>
      </w:r>
      <w:r w:rsidR="00CC2E5F">
        <w:rPr>
          <w:lang w:val="en-AU"/>
        </w:rPr>
        <w:t>?</w:t>
      </w:r>
    </w:p>
    <w:p w14:paraId="6D4E5108" w14:textId="77777777" w:rsidR="0039212E" w:rsidRDefault="0039212E" w:rsidP="00280F07">
      <w:pPr>
        <w:spacing w:after="200"/>
        <w:ind w:firstLine="0"/>
      </w:pPr>
    </w:p>
    <w:p w14:paraId="70878EDF" w14:textId="77777777" w:rsidR="0039212E" w:rsidRDefault="0039212E" w:rsidP="00280F07">
      <w:pPr>
        <w:spacing w:after="200"/>
        <w:ind w:firstLine="0"/>
      </w:pPr>
      <w:r>
        <w:t>Acknowledgements:</w:t>
      </w:r>
    </w:p>
    <w:p w14:paraId="1B8101AB" w14:textId="77777777" w:rsidR="00B571C3" w:rsidRPr="00601FAD" w:rsidRDefault="0039212E" w:rsidP="00280F07">
      <w:pPr>
        <w:spacing w:after="200"/>
        <w:ind w:firstLine="0"/>
        <w:rPr>
          <w:rFonts w:cs="Times New Roman"/>
        </w:rPr>
      </w:pPr>
      <w:r>
        <w:t>Chris Fraser provided many insightful comments on an earlier version of this paper, for which I am extremely grateful.</w:t>
      </w:r>
      <w:r w:rsidR="00B571C3" w:rsidRPr="00601FAD">
        <w:br w:type="page"/>
      </w:r>
    </w:p>
    <w:p w14:paraId="3F29ABF4" w14:textId="77777777" w:rsidR="00B343D3" w:rsidRDefault="00B343D3" w:rsidP="00B343D3">
      <w:pPr>
        <w:tabs>
          <w:tab w:val="left" w:pos="9072"/>
        </w:tabs>
        <w:ind w:right="674" w:firstLine="0"/>
        <w:rPr>
          <w:rFonts w:cs="Times New Roman"/>
          <w:b/>
        </w:rPr>
      </w:pPr>
      <w:r>
        <w:rPr>
          <w:rFonts w:cs="Times New Roman"/>
          <w:b/>
        </w:rPr>
        <w:lastRenderedPageBreak/>
        <w:t>References</w:t>
      </w:r>
    </w:p>
    <w:p w14:paraId="3CB67746" w14:textId="77777777" w:rsidR="006E7A66" w:rsidRDefault="006E7A66" w:rsidP="009C3CFA">
      <w:pPr>
        <w:tabs>
          <w:tab w:val="left" w:pos="9072"/>
        </w:tabs>
        <w:ind w:left="567" w:right="674" w:hanging="567"/>
        <w:rPr>
          <w:rFonts w:eastAsia="PMingLiU" w:cs="Times New Roman"/>
        </w:rPr>
      </w:pPr>
      <w:r>
        <w:rPr>
          <w:rFonts w:eastAsia="PMingLiU" w:cs="Times New Roman"/>
        </w:rPr>
        <w:t xml:space="preserve">Adams, Frederick and Aizawa, Kenneth. </w:t>
      </w:r>
      <w:r w:rsidRPr="006E7A66">
        <w:rPr>
          <w:rFonts w:eastAsia="PMingLiU" w:cs="Times New Roman"/>
          <w:i/>
        </w:rPr>
        <w:t>The Bounds of Cognition</w:t>
      </w:r>
      <w:r>
        <w:rPr>
          <w:rFonts w:eastAsia="PMingLiU" w:cs="Times New Roman"/>
        </w:rPr>
        <w:t>. Malden, MA: Blackwell Publishing, 2007.</w:t>
      </w:r>
    </w:p>
    <w:p w14:paraId="3F0A84C8" w14:textId="77777777" w:rsidR="00106B89" w:rsidRDefault="00106B89" w:rsidP="009C3CFA">
      <w:pPr>
        <w:tabs>
          <w:tab w:val="left" w:pos="9072"/>
        </w:tabs>
        <w:ind w:left="567" w:right="674" w:hanging="567"/>
        <w:rPr>
          <w:rFonts w:eastAsia="PMingLiU" w:cs="Times New Roman"/>
        </w:rPr>
      </w:pPr>
      <w:proofErr w:type="spellStart"/>
      <w:r w:rsidRPr="001C5576">
        <w:rPr>
          <w:rFonts w:eastAsia="PMingLiU" w:cs="Times New Roman"/>
        </w:rPr>
        <w:t>Barsalou</w:t>
      </w:r>
      <w:proofErr w:type="spellEnd"/>
      <w:r w:rsidRPr="001C5576">
        <w:rPr>
          <w:rFonts w:eastAsia="PMingLiU" w:cs="Times New Roman"/>
        </w:rPr>
        <w:t>, L</w:t>
      </w:r>
      <w:r>
        <w:rPr>
          <w:rFonts w:eastAsia="PMingLiU" w:cs="Times New Roman"/>
        </w:rPr>
        <w:t>awrence.</w:t>
      </w:r>
      <w:r w:rsidRPr="001C5576">
        <w:rPr>
          <w:rFonts w:eastAsia="PMingLiU" w:cs="Times New Roman"/>
        </w:rPr>
        <w:t xml:space="preserve"> </w:t>
      </w:r>
      <w:r>
        <w:rPr>
          <w:rFonts w:eastAsia="PMingLiU" w:cs="Times New Roman"/>
        </w:rPr>
        <w:t>“</w:t>
      </w:r>
      <w:r w:rsidRPr="001C5576">
        <w:rPr>
          <w:rFonts w:eastAsia="PMingLiU" w:cs="Times New Roman"/>
        </w:rPr>
        <w:t xml:space="preserve">Situated </w:t>
      </w:r>
      <w:r>
        <w:rPr>
          <w:rFonts w:eastAsia="PMingLiU" w:cs="Times New Roman"/>
        </w:rPr>
        <w:t>C</w:t>
      </w:r>
      <w:r w:rsidRPr="001C5576">
        <w:rPr>
          <w:rFonts w:eastAsia="PMingLiU" w:cs="Times New Roman"/>
        </w:rPr>
        <w:t xml:space="preserve">onceptualization: Theory and </w:t>
      </w:r>
      <w:r>
        <w:rPr>
          <w:rFonts w:eastAsia="PMingLiU" w:cs="Times New Roman"/>
        </w:rPr>
        <w:t>A</w:t>
      </w:r>
      <w:r w:rsidRPr="001C5576">
        <w:rPr>
          <w:rFonts w:eastAsia="PMingLiU" w:cs="Times New Roman"/>
        </w:rPr>
        <w:t>pplications.</w:t>
      </w:r>
      <w:r>
        <w:rPr>
          <w:rFonts w:eastAsia="PMingLiU" w:cs="Times New Roman"/>
        </w:rPr>
        <w:t xml:space="preserve">” In </w:t>
      </w:r>
      <w:proofErr w:type="spellStart"/>
      <w:r w:rsidRPr="001C5576">
        <w:rPr>
          <w:rFonts w:eastAsia="PMingLiU" w:cs="Times New Roman"/>
        </w:rPr>
        <w:t>Coello</w:t>
      </w:r>
      <w:proofErr w:type="spellEnd"/>
      <w:r>
        <w:rPr>
          <w:rFonts w:eastAsia="PMingLiU" w:cs="Times New Roman"/>
        </w:rPr>
        <w:t xml:space="preserve">, Y and </w:t>
      </w:r>
      <w:r w:rsidRPr="001C5576">
        <w:rPr>
          <w:rFonts w:eastAsia="PMingLiU" w:cs="Times New Roman"/>
        </w:rPr>
        <w:t>Fischer</w:t>
      </w:r>
      <w:r>
        <w:rPr>
          <w:rFonts w:eastAsia="PMingLiU" w:cs="Times New Roman"/>
        </w:rPr>
        <w:t>, M.H. (e</w:t>
      </w:r>
      <w:r w:rsidRPr="001C5576">
        <w:rPr>
          <w:rFonts w:eastAsia="PMingLiU" w:cs="Times New Roman"/>
        </w:rPr>
        <w:t xml:space="preserve">ds.), </w:t>
      </w:r>
      <w:r>
        <w:rPr>
          <w:rFonts w:eastAsia="PMingLiU" w:cs="Times New Roman"/>
          <w:i/>
        </w:rPr>
        <w:t>Foundations of Embodied C</w:t>
      </w:r>
      <w:r w:rsidRPr="001C5576">
        <w:rPr>
          <w:rFonts w:eastAsia="PMingLiU" w:cs="Times New Roman"/>
          <w:i/>
        </w:rPr>
        <w:t>ognition</w:t>
      </w:r>
      <w:r w:rsidRPr="001C5576">
        <w:rPr>
          <w:rFonts w:eastAsia="PMingLiU" w:cs="Times New Roman"/>
        </w:rPr>
        <w:t xml:space="preserve">, Volume 1: Perceptual and </w:t>
      </w:r>
      <w:r>
        <w:rPr>
          <w:rFonts w:eastAsia="PMingLiU" w:cs="Times New Roman"/>
        </w:rPr>
        <w:t>E</w:t>
      </w:r>
      <w:r w:rsidRPr="001C5576">
        <w:rPr>
          <w:rFonts w:eastAsia="PMingLiU" w:cs="Times New Roman"/>
        </w:rPr>
        <w:t xml:space="preserve">motional </w:t>
      </w:r>
      <w:r>
        <w:rPr>
          <w:rFonts w:eastAsia="PMingLiU" w:cs="Times New Roman"/>
        </w:rPr>
        <w:t>E</w:t>
      </w:r>
      <w:r w:rsidRPr="001C5576">
        <w:rPr>
          <w:rFonts w:eastAsia="PMingLiU" w:cs="Times New Roman"/>
        </w:rPr>
        <w:t>mbodiment. Ea</w:t>
      </w:r>
      <w:r>
        <w:rPr>
          <w:rFonts w:eastAsia="PMingLiU" w:cs="Times New Roman"/>
        </w:rPr>
        <w:t>st Sussex, UK: Psychology Press, 2016: 11-37.</w:t>
      </w:r>
    </w:p>
    <w:p w14:paraId="1194CA05" w14:textId="77777777" w:rsidR="004F5B64" w:rsidRDefault="004F5B64" w:rsidP="009C3CFA">
      <w:pPr>
        <w:tabs>
          <w:tab w:val="left" w:pos="9072"/>
        </w:tabs>
        <w:ind w:left="567" w:right="674" w:hanging="567"/>
        <w:rPr>
          <w:rFonts w:eastAsia="MingLiU"/>
        </w:rPr>
      </w:pPr>
      <w:proofErr w:type="spellStart"/>
      <w:r w:rsidRPr="00E521EF">
        <w:rPr>
          <w:rFonts w:eastAsia="MingLiU"/>
        </w:rPr>
        <w:t>Bengson</w:t>
      </w:r>
      <w:proofErr w:type="spellEnd"/>
      <w:r>
        <w:rPr>
          <w:rFonts w:eastAsia="MingLiU"/>
        </w:rPr>
        <w:t>, John</w:t>
      </w:r>
      <w:r w:rsidRPr="00E521EF">
        <w:rPr>
          <w:rFonts w:eastAsia="MingLiU"/>
        </w:rPr>
        <w:t xml:space="preserve"> and Moffett</w:t>
      </w:r>
      <w:r>
        <w:rPr>
          <w:rFonts w:eastAsia="MingLiU"/>
        </w:rPr>
        <w:t>, Marc</w:t>
      </w:r>
      <w:r w:rsidRPr="00E521EF">
        <w:rPr>
          <w:rFonts w:eastAsia="MingLiU"/>
        </w:rPr>
        <w:t xml:space="preserve"> (eds.)</w:t>
      </w:r>
      <w:r>
        <w:rPr>
          <w:rFonts w:eastAsia="MingLiU"/>
        </w:rPr>
        <w:t>.</w:t>
      </w:r>
      <w:r w:rsidRPr="00E521EF">
        <w:rPr>
          <w:rFonts w:eastAsia="MingLiU"/>
        </w:rPr>
        <w:t xml:space="preserve"> </w:t>
      </w:r>
      <w:r w:rsidRPr="00E521EF">
        <w:rPr>
          <w:rFonts w:eastAsia="MingLiU"/>
          <w:i/>
        </w:rPr>
        <w:t>Knowing How: Essays on Knowledge, Mind, and Action</w:t>
      </w:r>
      <w:r>
        <w:rPr>
          <w:rFonts w:eastAsia="MingLiU"/>
        </w:rPr>
        <w:t xml:space="preserve">, Oxford, UK: </w:t>
      </w:r>
      <w:r w:rsidRPr="00E521EF">
        <w:rPr>
          <w:rFonts w:eastAsia="MingLiU"/>
        </w:rPr>
        <w:t>Oxford University Press</w:t>
      </w:r>
      <w:r>
        <w:rPr>
          <w:rFonts w:eastAsia="MingLiU"/>
        </w:rPr>
        <w:t>, 2011.</w:t>
      </w:r>
    </w:p>
    <w:p w14:paraId="68A700EF" w14:textId="77777777" w:rsidR="006406F6" w:rsidRDefault="006406F6" w:rsidP="009C3CFA">
      <w:pPr>
        <w:tabs>
          <w:tab w:val="left" w:pos="9072"/>
        </w:tabs>
        <w:ind w:left="567" w:right="674" w:hanging="567"/>
        <w:rPr>
          <w:rFonts w:eastAsia="PMingLiU" w:cs="Times New Roman"/>
        </w:rPr>
      </w:pPr>
      <w:r>
        <w:rPr>
          <w:rFonts w:eastAsia="PMingLiU" w:cs="Times New Roman"/>
        </w:rPr>
        <w:t xml:space="preserve">Bloom, Irene (trans.). </w:t>
      </w:r>
      <w:proofErr w:type="gramStart"/>
      <w:r w:rsidRPr="006406F6">
        <w:rPr>
          <w:rFonts w:eastAsia="PMingLiU" w:cs="Times New Roman"/>
          <w:i/>
        </w:rPr>
        <w:t>Mencius</w:t>
      </w:r>
      <w:r>
        <w:rPr>
          <w:rFonts w:eastAsia="PMingLiU" w:cs="Times New Roman"/>
        </w:rPr>
        <w:t>,</w:t>
      </w:r>
      <w:proofErr w:type="gramEnd"/>
      <w:r>
        <w:rPr>
          <w:rFonts w:eastAsia="PMingLiU" w:cs="Times New Roman"/>
        </w:rPr>
        <w:t xml:space="preserve"> </w:t>
      </w:r>
      <w:r w:rsidRPr="006406F6">
        <w:rPr>
          <w:rFonts w:eastAsia="PMingLiU" w:cs="Times New Roman"/>
        </w:rPr>
        <w:t>edited and with an introduction by Philip J. Ivanhoe, New York: Columbia University Press</w:t>
      </w:r>
      <w:r>
        <w:rPr>
          <w:rFonts w:eastAsia="PMingLiU" w:cs="Times New Roman"/>
        </w:rPr>
        <w:t>, 2009</w:t>
      </w:r>
      <w:r w:rsidRPr="006406F6">
        <w:rPr>
          <w:rFonts w:eastAsia="PMingLiU" w:cs="Times New Roman"/>
        </w:rPr>
        <w:t>.</w:t>
      </w:r>
    </w:p>
    <w:p w14:paraId="1416E1BC" w14:textId="277C5A75" w:rsidR="00A8581F" w:rsidRDefault="00A8581F" w:rsidP="009C3CFA">
      <w:pPr>
        <w:tabs>
          <w:tab w:val="left" w:pos="9072"/>
        </w:tabs>
        <w:ind w:left="567" w:right="674" w:hanging="567"/>
        <w:rPr>
          <w:rFonts w:eastAsia="PMingLiU" w:cs="Times New Roman"/>
        </w:rPr>
      </w:pPr>
      <w:proofErr w:type="spellStart"/>
      <w:r>
        <w:rPr>
          <w:rFonts w:eastAsia="PMingLiU" w:cs="Times New Roman"/>
        </w:rPr>
        <w:t>Brogaard</w:t>
      </w:r>
      <w:proofErr w:type="spellEnd"/>
      <w:r>
        <w:rPr>
          <w:rFonts w:eastAsia="PMingLiU" w:cs="Times New Roman"/>
        </w:rPr>
        <w:t xml:space="preserve">, Berit (ed.) </w:t>
      </w:r>
      <w:r>
        <w:rPr>
          <w:rFonts w:eastAsia="PMingLiU" w:cs="Times New Roman"/>
          <w:i/>
        </w:rPr>
        <w:t>Does Perception Have Content?</w:t>
      </w:r>
      <w:r>
        <w:rPr>
          <w:rFonts w:eastAsia="PMingLiU" w:cs="Times New Roman"/>
        </w:rPr>
        <w:t xml:space="preserve"> Oxford &amp; NY: Oxford University Press, 2014.</w:t>
      </w:r>
    </w:p>
    <w:p w14:paraId="4CDE9A73" w14:textId="77777777" w:rsidR="00B571C3" w:rsidRPr="00601FAD" w:rsidRDefault="00B571C3" w:rsidP="009C3CFA">
      <w:pPr>
        <w:tabs>
          <w:tab w:val="left" w:pos="9072"/>
        </w:tabs>
        <w:ind w:left="567" w:right="674" w:hanging="567"/>
        <w:rPr>
          <w:rFonts w:eastAsia="PMingLiU" w:cs="Times New Roman"/>
        </w:rPr>
      </w:pPr>
      <w:proofErr w:type="spellStart"/>
      <w:r w:rsidRPr="00601FAD">
        <w:rPr>
          <w:rFonts w:eastAsia="PMingLiU" w:cs="Times New Roman"/>
        </w:rPr>
        <w:t>Chemero</w:t>
      </w:r>
      <w:proofErr w:type="spellEnd"/>
      <w:r w:rsidRPr="00601FAD">
        <w:rPr>
          <w:rFonts w:eastAsia="PMingLiU" w:cs="Times New Roman"/>
        </w:rPr>
        <w:t xml:space="preserve">, Anthony. “An outline of a theory of affordances.” </w:t>
      </w:r>
      <w:r w:rsidRPr="00601FAD">
        <w:rPr>
          <w:rFonts w:eastAsia="PMingLiU" w:cs="Times New Roman"/>
          <w:i/>
        </w:rPr>
        <w:t>Ecological Psychology</w:t>
      </w:r>
      <w:r w:rsidRPr="00601FAD">
        <w:rPr>
          <w:rFonts w:eastAsia="PMingLiU" w:cs="Times New Roman"/>
        </w:rPr>
        <w:t xml:space="preserve"> 15 no.2 (2003): 181-195.</w:t>
      </w:r>
    </w:p>
    <w:p w14:paraId="12D80D9D" w14:textId="77777777" w:rsidR="00B571C3" w:rsidRPr="00601FAD" w:rsidRDefault="00B571C3" w:rsidP="009C3CFA">
      <w:pPr>
        <w:tabs>
          <w:tab w:val="left" w:pos="9072"/>
        </w:tabs>
        <w:ind w:left="567" w:right="674" w:hanging="567"/>
        <w:rPr>
          <w:rFonts w:eastAsia="PMingLiU" w:cs="Times New Roman"/>
        </w:rPr>
      </w:pPr>
      <w:proofErr w:type="spellStart"/>
      <w:r w:rsidRPr="00601FAD">
        <w:rPr>
          <w:rFonts w:eastAsia="PMingLiU" w:cs="Times New Roman"/>
        </w:rPr>
        <w:t>Chemero</w:t>
      </w:r>
      <w:proofErr w:type="spellEnd"/>
      <w:r w:rsidRPr="00601FAD">
        <w:rPr>
          <w:rFonts w:eastAsia="PMingLiU" w:cs="Times New Roman"/>
        </w:rPr>
        <w:t xml:space="preserve">, Anthony. </w:t>
      </w:r>
      <w:r w:rsidRPr="00601FAD">
        <w:rPr>
          <w:rFonts w:eastAsia="PMingLiU" w:cs="Times New Roman"/>
          <w:i/>
        </w:rPr>
        <w:t>Radical Embodied Cognitive Science</w:t>
      </w:r>
      <w:r w:rsidRPr="00601FAD">
        <w:rPr>
          <w:rFonts w:eastAsia="PMingLiU" w:cs="Times New Roman"/>
        </w:rPr>
        <w:t>. Massachusetts: MIT Press, 2009.</w:t>
      </w:r>
    </w:p>
    <w:p w14:paraId="058EFFBA" w14:textId="77777777" w:rsidR="006E7A66" w:rsidRDefault="006E7A66" w:rsidP="009C3CFA">
      <w:pPr>
        <w:tabs>
          <w:tab w:val="left" w:pos="9072"/>
        </w:tabs>
        <w:ind w:left="567" w:right="674" w:hanging="567"/>
      </w:pPr>
      <w:r>
        <w:t xml:space="preserve">Clark, Andy. </w:t>
      </w:r>
      <w:r>
        <w:rPr>
          <w:rStyle w:val="Emphasis"/>
        </w:rPr>
        <w:t>Supersizing the Mind: Embodiment, Action, and Cognitive Extension</w:t>
      </w:r>
      <w:r>
        <w:t>. New York: Oxford University Press, 2008.</w:t>
      </w:r>
    </w:p>
    <w:p w14:paraId="59F5452E" w14:textId="77777777" w:rsidR="00D2686E" w:rsidRDefault="00D2686E" w:rsidP="009C3CFA">
      <w:pPr>
        <w:tabs>
          <w:tab w:val="left" w:pos="9072"/>
        </w:tabs>
        <w:ind w:left="567" w:right="674" w:hanging="567"/>
      </w:pPr>
      <w:r>
        <w:rPr>
          <w:rStyle w:val="Emphasis"/>
          <w:i w:val="0"/>
        </w:rPr>
        <w:t>Clark, Andy</w:t>
      </w:r>
      <w:r w:rsidR="005A5910">
        <w:rPr>
          <w:rStyle w:val="Emphasis"/>
          <w:i w:val="0"/>
        </w:rPr>
        <w:t>.</w:t>
      </w:r>
      <w:r>
        <w:rPr>
          <w:rStyle w:val="Emphasis"/>
          <w:i w:val="0"/>
        </w:rPr>
        <w:t xml:space="preserve"> </w:t>
      </w:r>
      <w:r>
        <w:rPr>
          <w:rStyle w:val="Emphasis"/>
        </w:rPr>
        <w:t>Being There: Putting Mind, Body, and World Together Again</w:t>
      </w:r>
      <w:r>
        <w:t>, Cambridge, MA: MIT Press, 1997.</w:t>
      </w:r>
    </w:p>
    <w:p w14:paraId="316BE1E9" w14:textId="77777777" w:rsidR="00A657E2" w:rsidRDefault="00A657E2" w:rsidP="009C3CFA">
      <w:pPr>
        <w:tabs>
          <w:tab w:val="left" w:pos="9072"/>
        </w:tabs>
        <w:ind w:left="567" w:right="674" w:hanging="567"/>
      </w:pPr>
      <w:r>
        <w:t xml:space="preserve">Clark, Andy and Chalmers, David. “The Extended Mind.” </w:t>
      </w:r>
      <w:r>
        <w:rPr>
          <w:rStyle w:val="Emphasis"/>
        </w:rPr>
        <w:t>Analysis</w:t>
      </w:r>
      <w:r>
        <w:t xml:space="preserve"> 58 no. 1 (1998): 10-23.</w:t>
      </w:r>
    </w:p>
    <w:p w14:paraId="12C66636" w14:textId="77777777" w:rsidR="00141BB7" w:rsidRDefault="00141BB7" w:rsidP="009C3CFA">
      <w:pPr>
        <w:tabs>
          <w:tab w:val="left" w:pos="9072"/>
        </w:tabs>
        <w:ind w:left="567" w:right="674" w:hanging="567"/>
      </w:pPr>
      <w:proofErr w:type="spellStart"/>
      <w:r>
        <w:t>Defoort</w:t>
      </w:r>
      <w:proofErr w:type="spellEnd"/>
      <w:r>
        <w:t xml:space="preserve">, Carine. </w:t>
      </w:r>
      <w:r w:rsidRPr="00141BB7">
        <w:t xml:space="preserve">“Instruction Dialogues in the </w:t>
      </w:r>
      <w:r w:rsidRPr="00141BB7">
        <w:rPr>
          <w:i/>
        </w:rPr>
        <w:t>Zhuangzi</w:t>
      </w:r>
      <w:r w:rsidRPr="00141BB7">
        <w:t>: An ‘Anthropological Reading’</w:t>
      </w:r>
      <w:r>
        <w:t>.</w:t>
      </w:r>
      <w:r w:rsidRPr="00141BB7">
        <w:t xml:space="preserve">” </w:t>
      </w:r>
      <w:r w:rsidRPr="00141BB7">
        <w:rPr>
          <w:i/>
        </w:rPr>
        <w:t>Dao: A Journal of Comparative Philosophy</w:t>
      </w:r>
      <w:r w:rsidRPr="00141BB7">
        <w:t xml:space="preserve"> 11</w:t>
      </w:r>
      <w:r>
        <w:t xml:space="preserve"> no</w:t>
      </w:r>
      <w:r w:rsidRPr="00141BB7">
        <w:t>.</w:t>
      </w:r>
      <w:r>
        <w:t xml:space="preserve"> </w:t>
      </w:r>
      <w:r w:rsidRPr="00141BB7">
        <w:t>4</w:t>
      </w:r>
      <w:r>
        <w:t xml:space="preserve"> (2012)</w:t>
      </w:r>
      <w:r w:rsidRPr="00141BB7">
        <w:t>: 459–78</w:t>
      </w:r>
      <w:r>
        <w:t>.</w:t>
      </w:r>
    </w:p>
    <w:p w14:paraId="604BF2CB" w14:textId="77777777" w:rsidR="00846FE9" w:rsidRDefault="00846FE9" w:rsidP="009C3CFA">
      <w:pPr>
        <w:tabs>
          <w:tab w:val="left" w:pos="9072"/>
        </w:tabs>
        <w:ind w:left="567" w:right="674" w:hanging="567"/>
      </w:pPr>
      <w:r>
        <w:lastRenderedPageBreak/>
        <w:t xml:space="preserve">Dreyfus, Hubert. </w:t>
      </w:r>
      <w:r w:rsidRPr="00846FE9">
        <w:rPr>
          <w:i/>
        </w:rPr>
        <w:t>Being-in-the-world: A commentary on Heidegger's Being and Time</w:t>
      </w:r>
      <w:r>
        <w:t>, Division I, Cambridge, MA: MIT Press</w:t>
      </w:r>
      <w:r w:rsidRPr="00846FE9">
        <w:t>.</w:t>
      </w:r>
    </w:p>
    <w:p w14:paraId="5CAE3308" w14:textId="77777777" w:rsidR="00F53B93" w:rsidRDefault="00710BA6" w:rsidP="009C3CFA">
      <w:pPr>
        <w:tabs>
          <w:tab w:val="left" w:pos="9072"/>
        </w:tabs>
        <w:ind w:left="567" w:right="674" w:hanging="567"/>
      </w:pPr>
      <w:r w:rsidRPr="00710BA6">
        <w:t>Dufresne</w:t>
      </w:r>
      <w:r>
        <w:t>,</w:t>
      </w:r>
      <w:r w:rsidRPr="00710BA6">
        <w:t xml:space="preserve"> Michael</w:t>
      </w:r>
      <w:r>
        <w:t>. “</w:t>
      </w:r>
      <w:r w:rsidRPr="00710BA6">
        <w:t xml:space="preserve">The </w:t>
      </w:r>
      <w:r>
        <w:t>I</w:t>
      </w:r>
      <w:r w:rsidRPr="00710BA6">
        <w:t xml:space="preserve">llusion of </w:t>
      </w:r>
      <w:r>
        <w:t>T</w:t>
      </w:r>
      <w:r w:rsidRPr="00710BA6">
        <w:t xml:space="preserve">eaching and </w:t>
      </w:r>
      <w:r>
        <w:t>L</w:t>
      </w:r>
      <w:r w:rsidRPr="00710BA6">
        <w:t xml:space="preserve">earning: Zhuangzi, Wittgenstein, and the </w:t>
      </w:r>
      <w:r>
        <w:t>G</w:t>
      </w:r>
      <w:r w:rsidRPr="00710BA6">
        <w:t xml:space="preserve">roundlessness of </w:t>
      </w:r>
      <w:r>
        <w:t>L</w:t>
      </w:r>
      <w:r w:rsidRPr="00710BA6">
        <w:t>anguage</w:t>
      </w:r>
      <w:r>
        <w:t>.”</w:t>
      </w:r>
      <w:r w:rsidRPr="00710BA6">
        <w:t xml:space="preserve"> </w:t>
      </w:r>
      <w:r w:rsidRPr="00F53B93">
        <w:rPr>
          <w:i/>
        </w:rPr>
        <w:t>Educational Philosophy and Theory</w:t>
      </w:r>
      <w:r w:rsidRPr="00710BA6">
        <w:t xml:space="preserve"> 49</w:t>
      </w:r>
      <w:r w:rsidR="00F53B93">
        <w:t xml:space="preserve"> no. </w:t>
      </w:r>
      <w:r w:rsidRPr="00710BA6">
        <w:t>12</w:t>
      </w:r>
      <w:r w:rsidR="00F53B93">
        <w:t xml:space="preserve"> (2017):</w:t>
      </w:r>
      <w:r w:rsidRPr="00710BA6">
        <w:t xml:space="preserve"> 1207-1215</w:t>
      </w:r>
      <w:r w:rsidR="00F53B93">
        <w:t>.</w:t>
      </w:r>
    </w:p>
    <w:p w14:paraId="21E89938" w14:textId="77777777" w:rsidR="008747AE" w:rsidRDefault="008747AE" w:rsidP="009C3CFA">
      <w:pPr>
        <w:tabs>
          <w:tab w:val="left" w:pos="9072"/>
        </w:tabs>
        <w:ind w:left="567" w:right="674" w:hanging="567"/>
      </w:pPr>
      <w:proofErr w:type="spellStart"/>
      <w:r w:rsidRPr="008747AE">
        <w:t>Fantl</w:t>
      </w:r>
      <w:proofErr w:type="spellEnd"/>
      <w:r w:rsidRPr="008747AE">
        <w:t>,</w:t>
      </w:r>
      <w:r>
        <w:t xml:space="preserve"> Jeremy.</w:t>
      </w:r>
      <w:r w:rsidRPr="008747AE">
        <w:t xml:space="preserve"> </w:t>
      </w:r>
      <w:r>
        <w:t>“</w:t>
      </w:r>
      <w:r w:rsidRPr="008747AE">
        <w:t>Knowing-How and Knowing-That</w:t>
      </w:r>
      <w:r>
        <w:t>.”</w:t>
      </w:r>
      <w:r w:rsidRPr="008747AE">
        <w:t xml:space="preserve"> </w:t>
      </w:r>
      <w:r w:rsidRPr="008747AE">
        <w:rPr>
          <w:i/>
        </w:rPr>
        <w:t>Philosophy Compass</w:t>
      </w:r>
      <w:r w:rsidRPr="008747AE">
        <w:t xml:space="preserve"> 3</w:t>
      </w:r>
      <w:r>
        <w:t xml:space="preserve"> no. </w:t>
      </w:r>
      <w:r w:rsidRPr="008747AE">
        <w:t>3 (2008), 451–470</w:t>
      </w:r>
      <w:r>
        <w:t>.</w:t>
      </w:r>
    </w:p>
    <w:p w14:paraId="734AAE9D" w14:textId="77777777" w:rsidR="00C60437" w:rsidRDefault="00C60437" w:rsidP="009C3CFA">
      <w:pPr>
        <w:tabs>
          <w:tab w:val="left" w:pos="9072"/>
        </w:tabs>
        <w:ind w:left="567" w:right="674" w:hanging="567"/>
      </w:pPr>
      <w:proofErr w:type="spellStart"/>
      <w:r w:rsidRPr="00C60437">
        <w:t>Fridland</w:t>
      </w:r>
      <w:proofErr w:type="spellEnd"/>
      <w:r>
        <w:t>,</w:t>
      </w:r>
      <w:r w:rsidRPr="00C60437">
        <w:t xml:space="preserve"> E</w:t>
      </w:r>
      <w:r>
        <w:t>llen</w:t>
      </w:r>
      <w:r w:rsidRPr="00C60437">
        <w:t xml:space="preserve">. </w:t>
      </w:r>
      <w:r>
        <w:t>“</w:t>
      </w:r>
      <w:r w:rsidRPr="00C60437">
        <w:t>Skill Learning and Conceptual Thought: Making Our Way Through the Wilderness.</w:t>
      </w:r>
      <w:r>
        <w:t>”</w:t>
      </w:r>
      <w:r w:rsidRPr="00C60437">
        <w:t xml:space="preserve"> In </w:t>
      </w:r>
      <w:r w:rsidRPr="00C60437">
        <w:rPr>
          <w:i/>
        </w:rPr>
        <w:t>Contemporary Philosophical Naturalism and Its Implications</w:t>
      </w:r>
      <w:r>
        <w:t xml:space="preserve">, edited by </w:t>
      </w:r>
      <w:r>
        <w:rPr>
          <w:rStyle w:val="st"/>
        </w:rPr>
        <w:t xml:space="preserve">Bana </w:t>
      </w:r>
      <w:proofErr w:type="spellStart"/>
      <w:r>
        <w:rPr>
          <w:rStyle w:val="st"/>
        </w:rPr>
        <w:t>Bashour</w:t>
      </w:r>
      <w:proofErr w:type="spellEnd"/>
      <w:r>
        <w:rPr>
          <w:rStyle w:val="st"/>
        </w:rPr>
        <w:t xml:space="preserve"> and Hans Muller</w:t>
      </w:r>
      <w:r w:rsidRPr="00C60437">
        <w:t xml:space="preserve">, </w:t>
      </w:r>
      <w:r>
        <w:t xml:space="preserve">77-100, New York: </w:t>
      </w:r>
      <w:r w:rsidRPr="00C60437">
        <w:t>Routledge</w:t>
      </w:r>
      <w:r>
        <w:t>,</w:t>
      </w:r>
      <w:r w:rsidRPr="00C60437">
        <w:t xml:space="preserve"> 2014.</w:t>
      </w:r>
    </w:p>
    <w:p w14:paraId="1319C2DC" w14:textId="77777777" w:rsidR="00C30498" w:rsidRDefault="00C30498" w:rsidP="009C3CFA">
      <w:pPr>
        <w:tabs>
          <w:tab w:val="left" w:pos="9072"/>
        </w:tabs>
        <w:ind w:left="567" w:right="674" w:hanging="567"/>
      </w:pPr>
      <w:r>
        <w:t xml:space="preserve">Gallagher, Shaun. </w:t>
      </w:r>
      <w:r w:rsidRPr="00C30498">
        <w:rPr>
          <w:i/>
        </w:rPr>
        <w:t>How the Body Shapes the Mind</w:t>
      </w:r>
      <w:r>
        <w:t>, Oxford, UK: Oxford University Press, 2005.</w:t>
      </w:r>
    </w:p>
    <w:p w14:paraId="5E553548" w14:textId="77777777" w:rsidR="00B571C3" w:rsidRPr="00601FAD" w:rsidRDefault="00B571C3" w:rsidP="009C3CFA">
      <w:pPr>
        <w:tabs>
          <w:tab w:val="left" w:pos="9072"/>
        </w:tabs>
        <w:ind w:left="567" w:right="674" w:hanging="567"/>
        <w:rPr>
          <w:rFonts w:eastAsia="PMingLiU" w:cs="Times New Roman"/>
        </w:rPr>
      </w:pPr>
      <w:r w:rsidRPr="00601FAD">
        <w:rPr>
          <w:rFonts w:eastAsia="PMingLiU" w:cs="Times New Roman"/>
        </w:rPr>
        <w:t xml:space="preserve">Graham, Angus C. </w:t>
      </w:r>
      <w:r w:rsidRPr="00601FAD">
        <w:rPr>
          <w:rFonts w:eastAsia="PMingLiU" w:cs="Times New Roman"/>
          <w:i/>
        </w:rPr>
        <w:t>Chuang-Tzu: The Inner Chapters</w:t>
      </w:r>
      <w:r w:rsidRPr="00601FAD">
        <w:rPr>
          <w:rFonts w:eastAsia="PMingLiU" w:cs="Times New Roman"/>
        </w:rPr>
        <w:t>. Indianapolis/Cambridge: Hackett Publishing Company, 1981.</w:t>
      </w:r>
    </w:p>
    <w:p w14:paraId="05E9F050" w14:textId="77777777" w:rsidR="00B571C3" w:rsidRPr="00601FAD" w:rsidRDefault="00B571C3" w:rsidP="009C3CFA">
      <w:pPr>
        <w:tabs>
          <w:tab w:val="left" w:pos="9072"/>
        </w:tabs>
        <w:ind w:left="567" w:right="674" w:hanging="567"/>
        <w:rPr>
          <w:rFonts w:eastAsia="PMingLiU" w:cs="Times New Roman"/>
        </w:rPr>
      </w:pPr>
      <w:r w:rsidRPr="00601FAD">
        <w:rPr>
          <w:rFonts w:eastAsia="PMingLiU" w:cs="Times New Roman"/>
        </w:rPr>
        <w:t xml:space="preserve">Graham, Angus C. </w:t>
      </w:r>
      <w:r w:rsidRPr="00601FAD">
        <w:rPr>
          <w:rFonts w:eastAsia="PMingLiU" w:cs="Times New Roman"/>
          <w:i/>
        </w:rPr>
        <w:t>Unreason within Reason: Essays on the Outskirts of Rationality</w:t>
      </w:r>
      <w:r w:rsidRPr="00601FAD">
        <w:rPr>
          <w:rFonts w:eastAsia="PMingLiU" w:cs="Times New Roman"/>
        </w:rPr>
        <w:t>. La Salle, Illinois: Open court Publishing, 1992.</w:t>
      </w:r>
    </w:p>
    <w:p w14:paraId="7AB4E8C7" w14:textId="77777777" w:rsidR="00B571C3" w:rsidRDefault="00B571C3" w:rsidP="009C3CFA">
      <w:pPr>
        <w:tabs>
          <w:tab w:val="left" w:pos="9072"/>
        </w:tabs>
        <w:ind w:left="567" w:right="674" w:hanging="567"/>
        <w:rPr>
          <w:rFonts w:eastAsia="PMingLiU" w:cs="Times New Roman"/>
        </w:rPr>
      </w:pPr>
      <w:r w:rsidRPr="00601FAD">
        <w:rPr>
          <w:rFonts w:eastAsia="PMingLiU" w:cs="Times New Roman"/>
        </w:rPr>
        <w:t xml:space="preserve">Gibson, James J. </w:t>
      </w:r>
      <w:r w:rsidRPr="00601FAD">
        <w:rPr>
          <w:rFonts w:eastAsia="PMingLiU" w:cs="Times New Roman"/>
          <w:i/>
        </w:rPr>
        <w:t>The Ecological Approach to Visual Perception</w:t>
      </w:r>
      <w:r w:rsidRPr="00601FAD">
        <w:rPr>
          <w:rFonts w:eastAsia="PMingLiU" w:cs="Times New Roman"/>
        </w:rPr>
        <w:t>. Boston: Houghton Mifflin, 1979/1986.</w:t>
      </w:r>
    </w:p>
    <w:p w14:paraId="09531195" w14:textId="77777777" w:rsidR="008A3B2F" w:rsidRDefault="00730A36" w:rsidP="009C3CFA">
      <w:pPr>
        <w:tabs>
          <w:tab w:val="left" w:pos="9072"/>
        </w:tabs>
        <w:ind w:left="567" w:right="674" w:hanging="567"/>
        <w:rPr>
          <w:rFonts w:eastAsia="PMingLiU" w:cs="Times New Roman"/>
        </w:rPr>
      </w:pPr>
      <w:proofErr w:type="spellStart"/>
      <w:r w:rsidRPr="00730A36">
        <w:rPr>
          <w:rFonts w:eastAsia="PMingLiU" w:cs="Times New Roman"/>
        </w:rPr>
        <w:t>Hohwy</w:t>
      </w:r>
      <w:proofErr w:type="spellEnd"/>
      <w:r>
        <w:rPr>
          <w:rFonts w:eastAsia="PMingLiU" w:cs="Times New Roman"/>
        </w:rPr>
        <w:t xml:space="preserve">, </w:t>
      </w:r>
      <w:r w:rsidRPr="00730A36">
        <w:rPr>
          <w:rFonts w:eastAsia="PMingLiU" w:cs="Times New Roman"/>
        </w:rPr>
        <w:t>Jakob</w:t>
      </w:r>
      <w:r>
        <w:rPr>
          <w:rFonts w:eastAsia="PMingLiU" w:cs="Times New Roman"/>
        </w:rPr>
        <w:t>.</w:t>
      </w:r>
      <w:r w:rsidRPr="00730A36">
        <w:rPr>
          <w:rFonts w:eastAsia="PMingLiU" w:cs="Times New Roman"/>
        </w:rPr>
        <w:t xml:space="preserve"> </w:t>
      </w:r>
      <w:r>
        <w:rPr>
          <w:rFonts w:eastAsia="PMingLiU" w:cs="Times New Roman"/>
        </w:rPr>
        <w:t>“</w:t>
      </w:r>
      <w:r w:rsidRPr="00730A36">
        <w:rPr>
          <w:rFonts w:eastAsia="PMingLiU" w:cs="Times New Roman"/>
        </w:rPr>
        <w:t>The Self</w:t>
      </w:r>
      <w:r w:rsidRPr="00730A36">
        <w:rPr>
          <w:rFonts w:ascii="Cambria Math" w:eastAsia="PMingLiU" w:hAnsi="Cambria Math" w:cs="Times New Roman"/>
        </w:rPr>
        <w:t>‐</w:t>
      </w:r>
      <w:r>
        <w:rPr>
          <w:rFonts w:eastAsia="PMingLiU" w:cs="Times New Roman"/>
        </w:rPr>
        <w:t xml:space="preserve">Evidencing Brain.” </w:t>
      </w:r>
      <w:r>
        <w:rPr>
          <w:rFonts w:eastAsia="PMingLiU" w:cs="Times New Roman"/>
          <w:i/>
        </w:rPr>
        <w:t>Nous</w:t>
      </w:r>
      <w:r>
        <w:rPr>
          <w:rFonts w:eastAsia="PMingLiU" w:cs="Times New Roman"/>
        </w:rPr>
        <w:t xml:space="preserve"> 50 no. 2 (2016): </w:t>
      </w:r>
      <w:r w:rsidRPr="00730A36">
        <w:rPr>
          <w:rFonts w:eastAsia="PMingLiU" w:cs="Times New Roman"/>
        </w:rPr>
        <w:t>259-285</w:t>
      </w:r>
      <w:r>
        <w:rPr>
          <w:rFonts w:eastAsia="PMingLiU" w:cs="Times New Roman"/>
        </w:rPr>
        <w:t>.</w:t>
      </w:r>
    </w:p>
    <w:p w14:paraId="52D63B33" w14:textId="77777777" w:rsidR="00EE3DC1" w:rsidRDefault="00EE3DC1" w:rsidP="009C3CFA">
      <w:pPr>
        <w:tabs>
          <w:tab w:val="left" w:pos="9072"/>
        </w:tabs>
        <w:ind w:left="567" w:right="674" w:hanging="567"/>
        <w:rPr>
          <w:rFonts w:eastAsia="PMingLiU" w:cs="Times New Roman"/>
        </w:rPr>
      </w:pPr>
      <w:r w:rsidRPr="00EE3DC1">
        <w:rPr>
          <w:rFonts w:eastAsia="PMingLiU" w:cs="Times New Roman"/>
        </w:rPr>
        <w:t xml:space="preserve">Hurley, Susan. “Perception and Action: Alternative Views.” </w:t>
      </w:r>
      <w:proofErr w:type="spellStart"/>
      <w:r w:rsidRPr="00EE3DC1">
        <w:rPr>
          <w:rFonts w:eastAsia="PMingLiU" w:cs="Times New Roman"/>
          <w:i/>
        </w:rPr>
        <w:t>Synthese</w:t>
      </w:r>
      <w:proofErr w:type="spellEnd"/>
      <w:r w:rsidRPr="00EE3DC1">
        <w:rPr>
          <w:rFonts w:eastAsia="PMingLiU" w:cs="Times New Roman"/>
        </w:rPr>
        <w:t xml:space="preserve"> 129 no. 1 (2001): 3-40.</w:t>
      </w:r>
    </w:p>
    <w:p w14:paraId="7FA9E499" w14:textId="77777777" w:rsidR="008A3B2F" w:rsidRDefault="008A3B2F" w:rsidP="009C3CFA">
      <w:pPr>
        <w:tabs>
          <w:tab w:val="left" w:pos="9072"/>
        </w:tabs>
        <w:ind w:left="567" w:right="674" w:hanging="567"/>
        <w:rPr>
          <w:rFonts w:eastAsia="PMingLiU" w:cs="Times New Roman"/>
        </w:rPr>
      </w:pPr>
      <w:r w:rsidRPr="004E2B56">
        <w:rPr>
          <w:rFonts w:eastAsia="PMingLiU" w:cs="Times New Roman"/>
        </w:rPr>
        <w:t>Ingold, Tim</w:t>
      </w:r>
      <w:r w:rsidR="00102142" w:rsidRPr="004E2B56">
        <w:rPr>
          <w:rFonts w:eastAsia="PMingLiU" w:cs="Times New Roman"/>
        </w:rPr>
        <w:t>othy</w:t>
      </w:r>
      <w:r w:rsidRPr="004E2B56">
        <w:rPr>
          <w:rFonts w:eastAsia="PMingLiU" w:cs="Times New Roman"/>
        </w:rPr>
        <w:t xml:space="preserve">. </w:t>
      </w:r>
      <w:r w:rsidR="004E2B56" w:rsidRPr="004E2B56">
        <w:rPr>
          <w:rFonts w:eastAsia="PMingLiU" w:cs="Times New Roman"/>
          <w:i/>
        </w:rPr>
        <w:t>The Perception of the Environment: Essays in Livelihood, Dwelling and Skill</w:t>
      </w:r>
      <w:r w:rsidR="004E2B56">
        <w:rPr>
          <w:rFonts w:eastAsia="PMingLiU" w:cs="Times New Roman"/>
        </w:rPr>
        <w:t>. London and New York: Routledge, 2000.</w:t>
      </w:r>
    </w:p>
    <w:p w14:paraId="33B3AFF4" w14:textId="77777777" w:rsidR="00102142" w:rsidRPr="00601FAD" w:rsidRDefault="00102142" w:rsidP="009C3CFA">
      <w:pPr>
        <w:tabs>
          <w:tab w:val="left" w:pos="9072"/>
        </w:tabs>
        <w:ind w:left="567" w:right="674" w:hanging="567"/>
        <w:rPr>
          <w:rFonts w:eastAsia="PMingLiU" w:cs="Times New Roman"/>
        </w:rPr>
      </w:pPr>
      <w:r>
        <w:lastRenderedPageBreak/>
        <w:t>Ingold, Timothy. “</w:t>
      </w:r>
      <w:r>
        <w:rPr>
          <w:rStyle w:val="Title1"/>
        </w:rPr>
        <w:t>From the Transmission of Representations to the Education of Attention</w:t>
      </w:r>
      <w:r>
        <w:t xml:space="preserve">.” In </w:t>
      </w:r>
      <w:proofErr w:type="gramStart"/>
      <w:r>
        <w:rPr>
          <w:i/>
        </w:rPr>
        <w:t>The</w:t>
      </w:r>
      <w:proofErr w:type="gramEnd"/>
      <w:r>
        <w:rPr>
          <w:i/>
        </w:rPr>
        <w:t xml:space="preserve"> Debated Mind: Evolutionary Psychology versus E</w:t>
      </w:r>
      <w:r w:rsidRPr="00102142">
        <w:rPr>
          <w:i/>
        </w:rPr>
        <w:t>thnography</w:t>
      </w:r>
      <w:r>
        <w:t xml:space="preserve">, edited by Harvey Whitehouse, 113-153, </w:t>
      </w:r>
      <w:r w:rsidR="004E2B56">
        <w:t>Oxford: Berg Publishers</w:t>
      </w:r>
      <w:r>
        <w:t>, 2001.</w:t>
      </w:r>
    </w:p>
    <w:p w14:paraId="0F71EC8D" w14:textId="77777777" w:rsidR="00B571C3" w:rsidRPr="00601FAD" w:rsidRDefault="00B571C3" w:rsidP="009C3CFA">
      <w:pPr>
        <w:tabs>
          <w:tab w:val="left" w:pos="9072"/>
        </w:tabs>
        <w:ind w:left="567" w:right="674" w:hanging="567"/>
        <w:rPr>
          <w:rFonts w:eastAsia="PMingLiU" w:cs="Times New Roman"/>
        </w:rPr>
      </w:pPr>
      <w:r w:rsidRPr="00601FAD">
        <w:rPr>
          <w:rFonts w:eastAsia="PMingLiU" w:cs="Times New Roman"/>
        </w:rPr>
        <w:t xml:space="preserve">Ivanhoe, Philip J. “Zhuangzi on </w:t>
      </w:r>
      <w:proofErr w:type="spellStart"/>
      <w:r w:rsidRPr="00601FAD">
        <w:rPr>
          <w:rFonts w:eastAsia="PMingLiU" w:cs="Times New Roman"/>
        </w:rPr>
        <w:t>Skepticism</w:t>
      </w:r>
      <w:proofErr w:type="spellEnd"/>
      <w:r w:rsidRPr="00601FAD">
        <w:rPr>
          <w:rFonts w:eastAsia="PMingLiU" w:cs="Times New Roman"/>
        </w:rPr>
        <w:t xml:space="preserve">, Skill, and the Ineffable Dao.” </w:t>
      </w:r>
      <w:r w:rsidRPr="00601FAD">
        <w:rPr>
          <w:rFonts w:eastAsia="PMingLiU" w:cs="Times New Roman"/>
          <w:i/>
        </w:rPr>
        <w:t>Journal of the American Academy of Religion</w:t>
      </w:r>
      <w:r w:rsidRPr="00601FAD">
        <w:rPr>
          <w:rFonts w:eastAsia="PMingLiU" w:cs="Times New Roman"/>
        </w:rPr>
        <w:t xml:space="preserve"> 61 no.4 (1993): 639-654.</w:t>
      </w:r>
    </w:p>
    <w:p w14:paraId="208C8696" w14:textId="77777777" w:rsidR="00607CDB" w:rsidRDefault="00607CDB" w:rsidP="009C3CFA">
      <w:pPr>
        <w:tabs>
          <w:tab w:val="left" w:pos="9072"/>
        </w:tabs>
        <w:ind w:left="567" w:right="674" w:hanging="567"/>
        <w:rPr>
          <w:rFonts w:eastAsia="PMingLiU" w:cs="Times New Roman"/>
        </w:rPr>
      </w:pPr>
      <w:r>
        <w:rPr>
          <w:rFonts w:eastAsia="PMingLiU" w:cs="Times New Roman"/>
        </w:rPr>
        <w:t xml:space="preserve">Johnson, Mark. </w:t>
      </w:r>
      <w:r>
        <w:rPr>
          <w:rFonts w:eastAsia="PMingLiU" w:cs="Times New Roman"/>
          <w:i/>
        </w:rPr>
        <w:t>Embod</w:t>
      </w:r>
      <w:r w:rsidR="00C60437">
        <w:rPr>
          <w:rFonts w:eastAsia="PMingLiU" w:cs="Times New Roman"/>
          <w:i/>
        </w:rPr>
        <w:t>ied Mind, Meaning, and Reason: H</w:t>
      </w:r>
      <w:r>
        <w:rPr>
          <w:rFonts w:eastAsia="PMingLiU" w:cs="Times New Roman"/>
          <w:i/>
        </w:rPr>
        <w:t>ow Our Bodies Give Rise to U</w:t>
      </w:r>
      <w:r w:rsidRPr="00607CDB">
        <w:rPr>
          <w:rFonts w:eastAsia="PMingLiU" w:cs="Times New Roman"/>
          <w:i/>
        </w:rPr>
        <w:t>nderstanding</w:t>
      </w:r>
      <w:r>
        <w:rPr>
          <w:rFonts w:eastAsia="PMingLiU" w:cs="Times New Roman"/>
        </w:rPr>
        <w:t xml:space="preserve">. </w:t>
      </w:r>
      <w:r w:rsidRPr="00607CDB">
        <w:rPr>
          <w:rFonts w:eastAsia="PMingLiU" w:cs="Times New Roman"/>
        </w:rPr>
        <w:t>Chicago</w:t>
      </w:r>
      <w:r>
        <w:rPr>
          <w:rFonts w:eastAsia="PMingLiU" w:cs="Times New Roman"/>
        </w:rPr>
        <w:t>:</w:t>
      </w:r>
      <w:r w:rsidRPr="00607CDB">
        <w:rPr>
          <w:rFonts w:eastAsia="PMingLiU" w:cs="Times New Roman"/>
        </w:rPr>
        <w:t xml:space="preserve"> The University of Chicago Press, 2017.</w:t>
      </w:r>
    </w:p>
    <w:p w14:paraId="4A13E628" w14:textId="77777777" w:rsidR="008D1A7B" w:rsidRPr="00607CDB" w:rsidRDefault="008D1A7B" w:rsidP="009C3CFA">
      <w:pPr>
        <w:tabs>
          <w:tab w:val="left" w:pos="9072"/>
        </w:tabs>
        <w:ind w:left="567" w:right="674" w:hanging="567"/>
        <w:rPr>
          <w:rFonts w:eastAsia="PMingLiU" w:cs="Times New Roman"/>
        </w:rPr>
      </w:pPr>
      <w:r>
        <w:rPr>
          <w:rFonts w:eastAsia="PMingLiU" w:cs="Times New Roman"/>
        </w:rPr>
        <w:t xml:space="preserve">Lave, Jean and Wenger, Etienne. </w:t>
      </w:r>
      <w:r w:rsidRPr="008D1A7B">
        <w:rPr>
          <w:rFonts w:eastAsia="PMingLiU" w:cs="Times New Roman"/>
          <w:i/>
        </w:rPr>
        <w:t>Situated Learning</w:t>
      </w:r>
      <w:r>
        <w:rPr>
          <w:rFonts w:eastAsia="PMingLiU" w:cs="Times New Roman"/>
          <w:i/>
        </w:rPr>
        <w:t xml:space="preserve">: </w:t>
      </w:r>
      <w:r w:rsidRPr="008D1A7B">
        <w:rPr>
          <w:rFonts w:eastAsia="PMingLiU" w:cs="Times New Roman"/>
          <w:i/>
        </w:rPr>
        <w:t>Legitimate Peripheral Participation</w:t>
      </w:r>
      <w:r>
        <w:rPr>
          <w:rFonts w:eastAsia="PMingLiU" w:cs="Times New Roman"/>
        </w:rPr>
        <w:t>. Cambridge, UK: Cambridge University Press, 1992.</w:t>
      </w:r>
    </w:p>
    <w:p w14:paraId="7871792D" w14:textId="77777777" w:rsidR="00B571C3" w:rsidRPr="00601FAD" w:rsidRDefault="00B571C3" w:rsidP="009C3CFA">
      <w:pPr>
        <w:tabs>
          <w:tab w:val="left" w:pos="9072"/>
        </w:tabs>
        <w:ind w:left="567" w:right="674" w:hanging="567"/>
        <w:rPr>
          <w:rFonts w:eastAsia="PMingLiU" w:cs="Times New Roman"/>
        </w:rPr>
      </w:pPr>
      <w:proofErr w:type="spellStart"/>
      <w:r w:rsidRPr="00601FAD">
        <w:rPr>
          <w:rFonts w:eastAsia="PMingLiU" w:cs="Times New Roman"/>
        </w:rPr>
        <w:t>Maspero</w:t>
      </w:r>
      <w:proofErr w:type="spellEnd"/>
      <w:r w:rsidRPr="00601FAD">
        <w:rPr>
          <w:rFonts w:eastAsia="PMingLiU" w:cs="Times New Roman"/>
        </w:rPr>
        <w:t xml:space="preserve">, Henri. 1965. </w:t>
      </w:r>
      <w:r w:rsidRPr="00601FAD">
        <w:rPr>
          <w:rFonts w:eastAsia="PMingLiU" w:cs="Times New Roman"/>
          <w:i/>
        </w:rPr>
        <w:t>La Chine antique</w:t>
      </w:r>
      <w:r w:rsidRPr="00601FAD">
        <w:rPr>
          <w:rFonts w:eastAsia="PMingLiU" w:cs="Times New Roman"/>
        </w:rPr>
        <w:t xml:space="preserve">. Les Presses </w:t>
      </w:r>
      <w:proofErr w:type="spellStart"/>
      <w:r w:rsidRPr="00601FAD">
        <w:rPr>
          <w:rFonts w:eastAsia="PMingLiU" w:cs="Times New Roman"/>
        </w:rPr>
        <w:t>universitaires</w:t>
      </w:r>
      <w:proofErr w:type="spellEnd"/>
      <w:r w:rsidRPr="00601FAD">
        <w:rPr>
          <w:rFonts w:eastAsia="PMingLiU" w:cs="Times New Roman"/>
        </w:rPr>
        <w:t xml:space="preserve"> de France, 2e </w:t>
      </w:r>
      <w:proofErr w:type="spellStart"/>
      <w:r w:rsidRPr="00601FAD">
        <w:rPr>
          <w:rFonts w:eastAsia="PMingLiU" w:cs="Times New Roman"/>
        </w:rPr>
        <w:t>édition</w:t>
      </w:r>
      <w:proofErr w:type="spellEnd"/>
      <w:r w:rsidRPr="00601FAD">
        <w:rPr>
          <w:rFonts w:eastAsia="PMingLiU" w:cs="Times New Roman"/>
        </w:rPr>
        <w:t>, Paris (first edition: 1927).</w:t>
      </w:r>
    </w:p>
    <w:p w14:paraId="34429BB9" w14:textId="77777777" w:rsidR="00B571C3" w:rsidRDefault="00B571C3" w:rsidP="009C3CFA">
      <w:pPr>
        <w:tabs>
          <w:tab w:val="left" w:pos="9072"/>
        </w:tabs>
        <w:ind w:left="567" w:right="674" w:hanging="567"/>
        <w:rPr>
          <w:rFonts w:eastAsia="PMingLiU" w:cs="Times New Roman"/>
        </w:rPr>
      </w:pPr>
      <w:proofErr w:type="spellStart"/>
      <w:r w:rsidRPr="00601FAD">
        <w:rPr>
          <w:rFonts w:eastAsia="PMingLiU" w:cs="Times New Roman"/>
        </w:rPr>
        <w:t>Maspero</w:t>
      </w:r>
      <w:proofErr w:type="spellEnd"/>
      <w:r w:rsidRPr="00601FAD">
        <w:rPr>
          <w:rFonts w:eastAsia="PMingLiU" w:cs="Times New Roman"/>
        </w:rPr>
        <w:t xml:space="preserve">, Henri. </w:t>
      </w:r>
      <w:r w:rsidRPr="00601FAD">
        <w:rPr>
          <w:rFonts w:eastAsia="PMingLiU" w:cs="Times New Roman"/>
          <w:i/>
        </w:rPr>
        <w:t>China in Antiquity</w:t>
      </w:r>
      <w:r w:rsidRPr="00601FAD">
        <w:rPr>
          <w:rFonts w:eastAsia="PMingLiU" w:cs="Times New Roman"/>
        </w:rPr>
        <w:t xml:space="preserve">. Trans. by Frank A. </w:t>
      </w:r>
      <w:proofErr w:type="spellStart"/>
      <w:r w:rsidRPr="00601FAD">
        <w:rPr>
          <w:rFonts w:eastAsia="PMingLiU" w:cs="Times New Roman"/>
        </w:rPr>
        <w:t>Kierman</w:t>
      </w:r>
      <w:proofErr w:type="spellEnd"/>
      <w:r w:rsidRPr="00601FAD">
        <w:rPr>
          <w:rFonts w:eastAsia="PMingLiU" w:cs="Times New Roman"/>
        </w:rPr>
        <w:t xml:space="preserve"> Jr., from </w:t>
      </w:r>
      <w:r w:rsidRPr="00601FAD">
        <w:rPr>
          <w:rFonts w:eastAsia="PMingLiU" w:cs="Times New Roman"/>
          <w:i/>
        </w:rPr>
        <w:t>La Chine antique</w:t>
      </w:r>
      <w:r w:rsidRPr="00601FAD">
        <w:rPr>
          <w:rFonts w:eastAsia="PMingLiU" w:cs="Times New Roman"/>
        </w:rPr>
        <w:t xml:space="preserve">. Les Presses </w:t>
      </w:r>
      <w:proofErr w:type="spellStart"/>
      <w:r w:rsidRPr="00601FAD">
        <w:rPr>
          <w:rFonts w:eastAsia="PMingLiU" w:cs="Times New Roman"/>
        </w:rPr>
        <w:t>universitaires</w:t>
      </w:r>
      <w:proofErr w:type="spellEnd"/>
      <w:r w:rsidRPr="00601FAD">
        <w:rPr>
          <w:rFonts w:eastAsia="PMingLiU" w:cs="Times New Roman"/>
        </w:rPr>
        <w:t xml:space="preserve"> de France, 1927. Amherst: University of Massachusetts Press, 1978.</w:t>
      </w:r>
    </w:p>
    <w:p w14:paraId="7A5CE318" w14:textId="77777777" w:rsidR="00D66CC6" w:rsidRDefault="00446BFA" w:rsidP="009C3CFA">
      <w:pPr>
        <w:tabs>
          <w:tab w:val="left" w:pos="9072"/>
        </w:tabs>
        <w:ind w:left="567" w:right="674" w:hanging="567"/>
        <w:rPr>
          <w:rFonts w:eastAsia="PMingLiU" w:cs="Times New Roman"/>
        </w:rPr>
      </w:pPr>
      <w:proofErr w:type="spellStart"/>
      <w:r>
        <w:rPr>
          <w:rFonts w:eastAsia="PMingLiU" w:cs="Times New Roman"/>
        </w:rPr>
        <w:t>Menary</w:t>
      </w:r>
      <w:proofErr w:type="spellEnd"/>
      <w:r>
        <w:rPr>
          <w:rFonts w:eastAsia="PMingLiU" w:cs="Times New Roman"/>
        </w:rPr>
        <w:t>, Richard</w:t>
      </w:r>
      <w:r w:rsidR="00D66CC6">
        <w:rPr>
          <w:rFonts w:eastAsia="PMingLiU" w:cs="Times New Roman"/>
        </w:rPr>
        <w:t xml:space="preserve">. </w:t>
      </w:r>
      <w:r w:rsidRPr="00D66CC6">
        <w:rPr>
          <w:rFonts w:eastAsia="PMingLiU" w:cs="Times New Roman"/>
          <w:i/>
        </w:rPr>
        <w:t>Cognitive Integration</w:t>
      </w:r>
      <w:r w:rsidR="00D66CC6">
        <w:rPr>
          <w:rFonts w:eastAsia="PMingLiU" w:cs="Times New Roman"/>
          <w:i/>
        </w:rPr>
        <w:t>:</w:t>
      </w:r>
      <w:r w:rsidRPr="00D66CC6">
        <w:rPr>
          <w:rFonts w:eastAsia="PMingLiU" w:cs="Times New Roman"/>
          <w:i/>
        </w:rPr>
        <w:t xml:space="preserve"> Mind and Cognition Unbounded</w:t>
      </w:r>
      <w:r w:rsidR="00D66CC6">
        <w:rPr>
          <w:rFonts w:eastAsia="PMingLiU" w:cs="Times New Roman"/>
        </w:rPr>
        <w:t>. London:</w:t>
      </w:r>
      <w:r w:rsidRPr="00446BFA">
        <w:rPr>
          <w:rFonts w:eastAsia="PMingLiU" w:cs="Times New Roman"/>
        </w:rPr>
        <w:t xml:space="preserve"> Palgrave Macmillan</w:t>
      </w:r>
      <w:r w:rsidR="00D66CC6">
        <w:rPr>
          <w:rFonts w:eastAsia="PMingLiU" w:cs="Times New Roman"/>
        </w:rPr>
        <w:t>, 2007.</w:t>
      </w:r>
    </w:p>
    <w:p w14:paraId="5880F638" w14:textId="77777777" w:rsidR="00B02287" w:rsidRDefault="00B02287" w:rsidP="009C3CFA">
      <w:pPr>
        <w:tabs>
          <w:tab w:val="left" w:pos="9072"/>
        </w:tabs>
        <w:ind w:left="567" w:right="674" w:hanging="567"/>
        <w:rPr>
          <w:rFonts w:eastAsia="PMingLiU" w:cs="Times New Roman"/>
        </w:rPr>
      </w:pPr>
      <w:proofErr w:type="spellStart"/>
      <w:r w:rsidRPr="00B02287">
        <w:rPr>
          <w:rFonts w:eastAsia="PMingLiU" w:cs="Times New Roman"/>
        </w:rPr>
        <w:t>Menary</w:t>
      </w:r>
      <w:proofErr w:type="spellEnd"/>
      <w:r w:rsidRPr="00B02287">
        <w:rPr>
          <w:rFonts w:eastAsia="PMingLiU" w:cs="Times New Roman"/>
        </w:rPr>
        <w:t xml:space="preserve">, Richard (ed.). </w:t>
      </w:r>
      <w:r w:rsidRPr="00B02287">
        <w:rPr>
          <w:rFonts w:eastAsia="PMingLiU" w:cs="Times New Roman"/>
          <w:i/>
        </w:rPr>
        <w:t>The Extended Mind</w:t>
      </w:r>
      <w:r w:rsidRPr="00B02287">
        <w:rPr>
          <w:rFonts w:eastAsia="PMingLiU" w:cs="Times New Roman"/>
        </w:rPr>
        <w:t>. Life and Mind: Philosophical Issues in Biology and Psychology Series, MA: MIT Press, 2010</w:t>
      </w:r>
      <w:r>
        <w:rPr>
          <w:rFonts w:eastAsia="PMingLiU" w:cs="Times New Roman"/>
        </w:rPr>
        <w:t>.</w:t>
      </w:r>
    </w:p>
    <w:p w14:paraId="6672AEC3" w14:textId="77777777" w:rsidR="00C06B83" w:rsidRDefault="00C06B83" w:rsidP="009C3CFA">
      <w:pPr>
        <w:tabs>
          <w:tab w:val="left" w:pos="9072"/>
        </w:tabs>
        <w:ind w:left="567" w:right="674" w:hanging="567"/>
        <w:rPr>
          <w:rFonts w:eastAsia="PMingLiU" w:cs="Times New Roman"/>
        </w:rPr>
      </w:pPr>
      <w:proofErr w:type="spellStart"/>
      <w:r>
        <w:rPr>
          <w:rFonts w:eastAsia="PMingLiU" w:cs="Times New Roman"/>
        </w:rPr>
        <w:t>Menary</w:t>
      </w:r>
      <w:proofErr w:type="spellEnd"/>
      <w:r>
        <w:rPr>
          <w:rFonts w:eastAsia="PMingLiU" w:cs="Times New Roman"/>
        </w:rPr>
        <w:t>, Richard and Gillett, Alexander. “</w:t>
      </w:r>
      <w:r w:rsidRPr="00C06B83">
        <w:rPr>
          <w:rFonts w:eastAsia="PMingLiU" w:cs="Times New Roman"/>
        </w:rPr>
        <w:t>Embodying Culture</w:t>
      </w:r>
      <w:r>
        <w:rPr>
          <w:rFonts w:eastAsia="PMingLiU" w:cs="Times New Roman"/>
        </w:rPr>
        <w:t>”</w:t>
      </w:r>
      <w:r w:rsidRPr="00C06B83">
        <w:rPr>
          <w:rFonts w:eastAsia="PMingLiU" w:cs="Times New Roman"/>
        </w:rPr>
        <w:t xml:space="preserve"> </w:t>
      </w:r>
      <w:r>
        <w:rPr>
          <w:rFonts w:eastAsia="PMingLiU" w:cs="Times New Roman"/>
        </w:rPr>
        <w:t xml:space="preserve">in </w:t>
      </w:r>
      <w:r w:rsidRPr="00C06B83">
        <w:rPr>
          <w:rFonts w:eastAsia="PMingLiU" w:cs="Times New Roman"/>
          <w:i/>
        </w:rPr>
        <w:t>The Routledge Handbook of Philosophy of the Social Mind</w:t>
      </w:r>
      <w:r>
        <w:rPr>
          <w:rFonts w:eastAsia="PMingLiU" w:cs="Times New Roman"/>
        </w:rPr>
        <w:t xml:space="preserve">, edited </w:t>
      </w:r>
      <w:r w:rsidRPr="00C06B83">
        <w:rPr>
          <w:rFonts w:eastAsia="PMingLiU" w:cs="Times New Roman"/>
        </w:rPr>
        <w:t xml:space="preserve">by Julian </w:t>
      </w:r>
      <w:proofErr w:type="spellStart"/>
      <w:r w:rsidRPr="00C06B83">
        <w:rPr>
          <w:rFonts w:eastAsia="PMingLiU" w:cs="Times New Roman"/>
        </w:rPr>
        <w:t>Kiverstein</w:t>
      </w:r>
      <w:proofErr w:type="spellEnd"/>
      <w:r>
        <w:rPr>
          <w:rFonts w:eastAsia="PMingLiU" w:cs="Times New Roman"/>
        </w:rPr>
        <w:t xml:space="preserve">, </w:t>
      </w:r>
      <w:r w:rsidRPr="00C06B83">
        <w:rPr>
          <w:rFonts w:eastAsia="PMingLiU" w:cs="Times New Roman"/>
        </w:rPr>
        <w:t>72-87</w:t>
      </w:r>
      <w:r>
        <w:rPr>
          <w:rFonts w:eastAsia="PMingLiU" w:cs="Times New Roman"/>
        </w:rPr>
        <w:t xml:space="preserve">, Abingdon: Routledge Publishing, </w:t>
      </w:r>
      <w:r w:rsidRPr="00C06B83">
        <w:rPr>
          <w:rFonts w:eastAsia="PMingLiU" w:cs="Times New Roman"/>
        </w:rPr>
        <w:t>2016</w:t>
      </w:r>
      <w:r>
        <w:rPr>
          <w:rFonts w:eastAsia="PMingLiU" w:cs="Times New Roman"/>
        </w:rPr>
        <w:t>.</w:t>
      </w:r>
    </w:p>
    <w:p w14:paraId="58A768AC" w14:textId="77777777" w:rsidR="008943E6" w:rsidRPr="008943E6" w:rsidRDefault="008943E6" w:rsidP="009C3CFA">
      <w:pPr>
        <w:tabs>
          <w:tab w:val="left" w:pos="9072"/>
        </w:tabs>
        <w:ind w:left="567" w:right="674" w:hanging="567"/>
        <w:rPr>
          <w:rFonts w:eastAsia="PMingLiU" w:cs="Times New Roman"/>
        </w:rPr>
      </w:pPr>
      <w:proofErr w:type="spellStart"/>
      <w:r w:rsidRPr="008943E6">
        <w:rPr>
          <w:rFonts w:eastAsia="PMingLiU" w:cs="Times New Roman"/>
        </w:rPr>
        <w:t>Noë</w:t>
      </w:r>
      <w:proofErr w:type="spellEnd"/>
      <w:r>
        <w:rPr>
          <w:rFonts w:eastAsia="PMingLiU" w:cs="Times New Roman"/>
        </w:rPr>
        <w:t xml:space="preserve">, Alva. </w:t>
      </w:r>
      <w:r>
        <w:rPr>
          <w:rFonts w:eastAsia="PMingLiU" w:cs="Times New Roman"/>
          <w:i/>
        </w:rPr>
        <w:t>Varieties of Presence</w:t>
      </w:r>
      <w:r>
        <w:rPr>
          <w:rFonts w:eastAsia="PMingLiU" w:cs="Times New Roman"/>
        </w:rPr>
        <w:t>. Cambridge, MA: Harvard University Press, 2012.</w:t>
      </w:r>
    </w:p>
    <w:p w14:paraId="296775AA" w14:textId="77777777" w:rsidR="008943E6" w:rsidRPr="00601FAD" w:rsidRDefault="008943E6" w:rsidP="009C3CFA">
      <w:pPr>
        <w:tabs>
          <w:tab w:val="left" w:pos="9072"/>
        </w:tabs>
        <w:ind w:left="567" w:right="674" w:hanging="567"/>
        <w:rPr>
          <w:rFonts w:eastAsia="PMingLiU" w:cs="Times New Roman"/>
        </w:rPr>
      </w:pPr>
      <w:proofErr w:type="spellStart"/>
      <w:r w:rsidRPr="008943E6">
        <w:rPr>
          <w:rFonts w:eastAsia="PMingLiU" w:cs="Times New Roman"/>
        </w:rPr>
        <w:lastRenderedPageBreak/>
        <w:t>Noë</w:t>
      </w:r>
      <w:proofErr w:type="spellEnd"/>
      <w:r>
        <w:rPr>
          <w:rFonts w:eastAsia="PMingLiU" w:cs="Times New Roman"/>
        </w:rPr>
        <w:t>, Alva. “</w:t>
      </w:r>
      <w:r w:rsidRPr="008943E6">
        <w:rPr>
          <w:rFonts w:eastAsia="PMingLiU" w:cs="Times New Roman"/>
        </w:rPr>
        <w:t xml:space="preserve">Experience </w:t>
      </w:r>
      <w:r>
        <w:rPr>
          <w:rFonts w:eastAsia="PMingLiU" w:cs="Times New Roman"/>
        </w:rPr>
        <w:t>W</w:t>
      </w:r>
      <w:r w:rsidRPr="008943E6">
        <w:rPr>
          <w:rFonts w:eastAsia="PMingLiU" w:cs="Times New Roman"/>
        </w:rPr>
        <w:t xml:space="preserve">ithout the </w:t>
      </w:r>
      <w:r>
        <w:rPr>
          <w:rFonts w:eastAsia="PMingLiU" w:cs="Times New Roman"/>
        </w:rPr>
        <w:t>H</w:t>
      </w:r>
      <w:r w:rsidRPr="008943E6">
        <w:rPr>
          <w:rFonts w:eastAsia="PMingLiU" w:cs="Times New Roman"/>
        </w:rPr>
        <w:t>ead</w:t>
      </w:r>
      <w:r>
        <w:rPr>
          <w:rFonts w:eastAsia="PMingLiU" w:cs="Times New Roman"/>
        </w:rPr>
        <w:t>.” In</w:t>
      </w:r>
      <w:r w:rsidRPr="008943E6">
        <w:rPr>
          <w:rFonts w:eastAsia="PMingLiU" w:cs="Times New Roman"/>
        </w:rPr>
        <w:t xml:space="preserve"> </w:t>
      </w:r>
      <w:r w:rsidRPr="008943E6">
        <w:rPr>
          <w:rFonts w:eastAsia="PMingLiU" w:cs="Times New Roman"/>
          <w:i/>
        </w:rPr>
        <w:t>Perceptual Experience</w:t>
      </w:r>
      <w:r>
        <w:rPr>
          <w:rFonts w:eastAsia="PMingLiU" w:cs="Times New Roman"/>
        </w:rPr>
        <w:t xml:space="preserve">, edited by </w:t>
      </w:r>
      <w:r w:rsidRPr="008943E6">
        <w:rPr>
          <w:rFonts w:eastAsia="PMingLiU" w:cs="Times New Roman"/>
        </w:rPr>
        <w:t xml:space="preserve">Tamar </w:t>
      </w:r>
      <w:proofErr w:type="spellStart"/>
      <w:r w:rsidRPr="008943E6">
        <w:rPr>
          <w:rFonts w:eastAsia="PMingLiU" w:cs="Times New Roman"/>
        </w:rPr>
        <w:t>Gendler</w:t>
      </w:r>
      <w:proofErr w:type="spellEnd"/>
      <w:r w:rsidRPr="008943E6">
        <w:rPr>
          <w:rFonts w:eastAsia="PMingLiU" w:cs="Times New Roman"/>
        </w:rPr>
        <w:t xml:space="preserve"> &amp; John Hawthorne,</w:t>
      </w:r>
      <w:r>
        <w:rPr>
          <w:rFonts w:eastAsia="PMingLiU" w:cs="Times New Roman"/>
        </w:rPr>
        <w:t xml:space="preserve"> 411-433, Oxford, UK: </w:t>
      </w:r>
      <w:r w:rsidRPr="008943E6">
        <w:rPr>
          <w:rFonts w:eastAsia="PMingLiU" w:cs="Times New Roman"/>
        </w:rPr>
        <w:t>Oxford University Press</w:t>
      </w:r>
      <w:r w:rsidR="00C06B83">
        <w:rPr>
          <w:rFonts w:eastAsia="PMingLiU" w:cs="Times New Roman"/>
        </w:rPr>
        <w:t>,</w:t>
      </w:r>
      <w:r>
        <w:rPr>
          <w:rFonts w:eastAsia="PMingLiU" w:cs="Times New Roman"/>
        </w:rPr>
        <w:t xml:space="preserve"> </w:t>
      </w:r>
      <w:r w:rsidRPr="008943E6">
        <w:rPr>
          <w:rFonts w:eastAsia="PMingLiU" w:cs="Times New Roman"/>
        </w:rPr>
        <w:t>2006</w:t>
      </w:r>
      <w:r>
        <w:rPr>
          <w:rFonts w:eastAsia="PMingLiU" w:cs="Times New Roman"/>
        </w:rPr>
        <w:t>.</w:t>
      </w:r>
    </w:p>
    <w:p w14:paraId="0119B2CF" w14:textId="77777777" w:rsidR="00950DDD" w:rsidRDefault="00950DDD" w:rsidP="009C3CFA">
      <w:pPr>
        <w:tabs>
          <w:tab w:val="left" w:pos="9072"/>
        </w:tabs>
        <w:ind w:left="567" w:right="674" w:hanging="567"/>
        <w:rPr>
          <w:rFonts w:eastAsia="PMingLiU" w:cs="Times New Roman"/>
        </w:rPr>
      </w:pPr>
      <w:proofErr w:type="spellStart"/>
      <w:r>
        <w:rPr>
          <w:rFonts w:cs="Times New Roman"/>
        </w:rPr>
        <w:t>O’Regan</w:t>
      </w:r>
      <w:proofErr w:type="spellEnd"/>
      <w:r>
        <w:rPr>
          <w:rFonts w:cs="Times New Roman"/>
        </w:rPr>
        <w:t xml:space="preserve">, J Kevin, and </w:t>
      </w:r>
      <w:proofErr w:type="spellStart"/>
      <w:r w:rsidRPr="00950DDD">
        <w:rPr>
          <w:rFonts w:cs="Times New Roman"/>
        </w:rPr>
        <w:t>Noë</w:t>
      </w:r>
      <w:proofErr w:type="spellEnd"/>
      <w:r>
        <w:rPr>
          <w:rFonts w:cs="Times New Roman"/>
        </w:rPr>
        <w:t xml:space="preserve">, Alva. “A Sensorimotor Account of Vision and Visual Consciousness.” </w:t>
      </w:r>
      <w:proofErr w:type="spellStart"/>
      <w:r>
        <w:rPr>
          <w:rFonts w:cs="Times New Roman"/>
          <w:i/>
        </w:rPr>
        <w:t>Behavioral</w:t>
      </w:r>
      <w:proofErr w:type="spellEnd"/>
      <w:r>
        <w:rPr>
          <w:rFonts w:cs="Times New Roman"/>
          <w:i/>
        </w:rPr>
        <w:t xml:space="preserve"> and Brain Sciences</w:t>
      </w:r>
      <w:r>
        <w:rPr>
          <w:rFonts w:cs="Times New Roman"/>
        </w:rPr>
        <w:t xml:space="preserve"> 24 no. 5</w:t>
      </w:r>
      <w:r w:rsidRPr="00950DDD">
        <w:rPr>
          <w:rFonts w:cs="Times New Roman"/>
        </w:rPr>
        <w:t xml:space="preserve"> </w:t>
      </w:r>
      <w:r>
        <w:rPr>
          <w:rFonts w:cs="Times New Roman"/>
        </w:rPr>
        <w:t>(</w:t>
      </w:r>
      <w:r w:rsidRPr="00950DDD">
        <w:rPr>
          <w:rFonts w:cs="Times New Roman"/>
        </w:rPr>
        <w:t>2001</w:t>
      </w:r>
      <w:r>
        <w:rPr>
          <w:rFonts w:cs="Times New Roman"/>
        </w:rPr>
        <w:t>): 883-917.</w:t>
      </w:r>
    </w:p>
    <w:p w14:paraId="51ED5D94" w14:textId="77777777" w:rsidR="00385872" w:rsidRDefault="000E0ADB" w:rsidP="009C3CFA">
      <w:pPr>
        <w:tabs>
          <w:tab w:val="left" w:pos="9072"/>
        </w:tabs>
        <w:ind w:left="567" w:right="674" w:hanging="567"/>
        <w:rPr>
          <w:rFonts w:eastAsia="PMingLiU" w:cs="Times New Roman"/>
        </w:rPr>
      </w:pPr>
      <w:r>
        <w:rPr>
          <w:rFonts w:eastAsia="PMingLiU" w:cs="Times New Roman"/>
        </w:rPr>
        <w:t xml:space="preserve">Orwell, George. </w:t>
      </w:r>
      <w:r>
        <w:rPr>
          <w:rFonts w:eastAsia="PMingLiU" w:cs="Times New Roman"/>
          <w:i/>
        </w:rPr>
        <w:t>Animal Farm</w:t>
      </w:r>
      <w:r w:rsidR="00385872">
        <w:rPr>
          <w:rFonts w:eastAsia="PMingLiU" w:cs="Times New Roman"/>
        </w:rPr>
        <w:t xml:space="preserve"> (1945)</w:t>
      </w:r>
      <w:r>
        <w:rPr>
          <w:rFonts w:eastAsia="PMingLiU" w:cs="Times New Roman"/>
        </w:rPr>
        <w:t>. Penguin edition, London, UK: Penguin Boo</w:t>
      </w:r>
      <w:r w:rsidR="00385872">
        <w:rPr>
          <w:rFonts w:eastAsia="PMingLiU" w:cs="Times New Roman"/>
        </w:rPr>
        <w:t>k</w:t>
      </w:r>
      <w:r>
        <w:rPr>
          <w:rFonts w:eastAsia="PMingLiU" w:cs="Times New Roman"/>
        </w:rPr>
        <w:t>s, 2008</w:t>
      </w:r>
      <w:r w:rsidR="00385872">
        <w:rPr>
          <w:rFonts w:eastAsia="PMingLiU" w:cs="Times New Roman"/>
        </w:rPr>
        <w:t>.</w:t>
      </w:r>
    </w:p>
    <w:p w14:paraId="1A2BE151" w14:textId="77777777" w:rsidR="00B571C3" w:rsidRPr="00601FAD" w:rsidRDefault="00B571C3" w:rsidP="009C3CFA">
      <w:pPr>
        <w:tabs>
          <w:tab w:val="left" w:pos="9072"/>
        </w:tabs>
        <w:ind w:left="567" w:right="674" w:hanging="567"/>
        <w:rPr>
          <w:rFonts w:eastAsia="PMingLiU" w:cs="Times New Roman"/>
        </w:rPr>
      </w:pPr>
      <w:r w:rsidRPr="00601FAD">
        <w:rPr>
          <w:rFonts w:eastAsia="PMingLiU" w:cs="Times New Roman"/>
        </w:rPr>
        <w:t>Roth, Harold D. “Bimodal Mystical Experience in the ‘</w:t>
      </w:r>
      <w:proofErr w:type="spellStart"/>
      <w:r w:rsidRPr="00601FAD">
        <w:rPr>
          <w:rFonts w:eastAsia="PMingLiU" w:cs="Times New Roman"/>
        </w:rPr>
        <w:t>Qiwulun</w:t>
      </w:r>
      <w:proofErr w:type="spellEnd"/>
      <w:r w:rsidRPr="00601FAD">
        <w:rPr>
          <w:rFonts w:eastAsia="PMingLiU" w:cs="Times New Roman"/>
        </w:rPr>
        <w:t xml:space="preserve">’ Chapter of the </w:t>
      </w:r>
      <w:r w:rsidRPr="00601FAD">
        <w:rPr>
          <w:rFonts w:eastAsia="PMingLiU" w:cs="Times New Roman"/>
          <w:i/>
          <w:iCs/>
        </w:rPr>
        <w:t>Zhuangzi</w:t>
      </w:r>
      <w:r w:rsidRPr="00601FAD">
        <w:rPr>
          <w:rFonts w:eastAsia="PMingLiU" w:cs="Times New Roman"/>
          <w:iCs/>
        </w:rPr>
        <w:t>.” I</w:t>
      </w:r>
      <w:r w:rsidRPr="00601FAD">
        <w:rPr>
          <w:rFonts w:eastAsia="PMingLiU" w:cs="Times New Roman"/>
        </w:rPr>
        <w:t xml:space="preserve">n </w:t>
      </w:r>
      <w:r w:rsidRPr="00601FAD">
        <w:rPr>
          <w:rFonts w:eastAsia="PMingLiU" w:cs="Times New Roman"/>
          <w:i/>
        </w:rPr>
        <w:t>Hiding the World in the World: Uneven Discourses on the Zhuangzi</w:t>
      </w:r>
      <w:r w:rsidRPr="00601FAD">
        <w:rPr>
          <w:rFonts w:eastAsia="PMingLiU" w:cs="Times New Roman"/>
        </w:rPr>
        <w:t>, edited by Scott Cook, 15-32, Albany, NY: State University of New York Press, 2003.</w:t>
      </w:r>
    </w:p>
    <w:p w14:paraId="206FAA9B" w14:textId="77777777" w:rsidR="008747AE" w:rsidRDefault="008747AE" w:rsidP="009C3CFA">
      <w:pPr>
        <w:tabs>
          <w:tab w:val="left" w:pos="9072"/>
        </w:tabs>
        <w:ind w:left="567" w:right="674" w:hanging="567"/>
        <w:rPr>
          <w:rFonts w:eastAsia="PMingLiU" w:cs="Times New Roman"/>
        </w:rPr>
      </w:pPr>
      <w:r w:rsidRPr="00601FAD">
        <w:rPr>
          <w:rFonts w:eastAsia="PMingLiU" w:cs="Times New Roman"/>
        </w:rPr>
        <w:t xml:space="preserve">Ryle, Gilbert. </w:t>
      </w:r>
      <w:r>
        <w:rPr>
          <w:rFonts w:eastAsia="PMingLiU" w:cs="Times New Roman"/>
        </w:rPr>
        <w:t>“</w:t>
      </w:r>
      <w:r w:rsidRPr="00601FAD">
        <w:rPr>
          <w:rFonts w:eastAsia="PMingLiU" w:cs="Times New Roman"/>
        </w:rPr>
        <w:t>Knowing How and Knowing That</w:t>
      </w:r>
      <w:r>
        <w:rPr>
          <w:rFonts w:eastAsia="PMingLiU" w:cs="Times New Roman"/>
        </w:rPr>
        <w:t>.”</w:t>
      </w:r>
      <w:r w:rsidRPr="00601FAD">
        <w:rPr>
          <w:rFonts w:eastAsia="PMingLiU" w:cs="Times New Roman"/>
        </w:rPr>
        <w:t xml:space="preserve"> </w:t>
      </w:r>
      <w:r w:rsidRPr="00601FAD">
        <w:rPr>
          <w:rFonts w:eastAsia="PMingLiU" w:cs="Times New Roman"/>
          <w:i/>
          <w:iCs/>
        </w:rPr>
        <w:t>Proceedings of the Aristotelian Society</w:t>
      </w:r>
      <w:r w:rsidRPr="00601FAD">
        <w:rPr>
          <w:rFonts w:eastAsia="PMingLiU" w:cs="Times New Roman"/>
        </w:rPr>
        <w:t xml:space="preserve"> 46</w:t>
      </w:r>
      <w:r>
        <w:rPr>
          <w:rFonts w:eastAsia="PMingLiU" w:cs="Times New Roman"/>
        </w:rPr>
        <w:t xml:space="preserve"> (1946)</w:t>
      </w:r>
      <w:r w:rsidRPr="00601FAD">
        <w:rPr>
          <w:rFonts w:eastAsia="PMingLiU" w:cs="Times New Roman"/>
        </w:rPr>
        <w:t>: 1-16.</w:t>
      </w:r>
    </w:p>
    <w:p w14:paraId="76F0CF67" w14:textId="77777777" w:rsidR="002B0FBE" w:rsidRDefault="002B0FBE" w:rsidP="009C3CFA">
      <w:pPr>
        <w:tabs>
          <w:tab w:val="left" w:pos="9072"/>
        </w:tabs>
        <w:ind w:left="567" w:right="674" w:hanging="567"/>
        <w:rPr>
          <w:rFonts w:eastAsia="PMingLiU" w:cs="Times New Roman"/>
        </w:rPr>
      </w:pPr>
      <w:r>
        <w:rPr>
          <w:rFonts w:eastAsia="PMingLiU" w:cs="Times New Roman"/>
        </w:rPr>
        <w:t>Ryle, Gilbert.</w:t>
      </w:r>
      <w:r w:rsidRPr="002B0FBE">
        <w:rPr>
          <w:rFonts w:eastAsia="PMingLiU" w:cs="Times New Roman"/>
        </w:rPr>
        <w:t xml:space="preserve"> </w:t>
      </w:r>
      <w:r w:rsidRPr="002B0FBE">
        <w:rPr>
          <w:rFonts w:eastAsia="PMingLiU" w:cs="Times New Roman"/>
          <w:i/>
        </w:rPr>
        <w:t>The Concept of Mind</w:t>
      </w:r>
      <w:r>
        <w:rPr>
          <w:rFonts w:eastAsia="PMingLiU" w:cs="Times New Roman"/>
        </w:rPr>
        <w:t xml:space="preserve">. Chicago, IL: Chicago University Press, 2002, first edition published by Hutchinson’s University Library (London, New York), </w:t>
      </w:r>
      <w:r w:rsidRPr="002B0FBE">
        <w:rPr>
          <w:rFonts w:eastAsia="PMingLiU" w:cs="Times New Roman"/>
        </w:rPr>
        <w:t>1949.</w:t>
      </w:r>
    </w:p>
    <w:p w14:paraId="0F518D1F" w14:textId="77777777" w:rsidR="00CF5584" w:rsidRPr="005D69B9" w:rsidRDefault="00CF5584" w:rsidP="009C3CFA">
      <w:pPr>
        <w:tabs>
          <w:tab w:val="left" w:pos="9072"/>
        </w:tabs>
        <w:ind w:left="567" w:right="674" w:hanging="567"/>
        <w:rPr>
          <w:rFonts w:eastAsia="PMingLiU" w:cs="Times New Roman"/>
        </w:rPr>
      </w:pPr>
      <w:proofErr w:type="spellStart"/>
      <w:r>
        <w:rPr>
          <w:rFonts w:eastAsia="PMingLiU" w:cs="Times New Roman"/>
        </w:rPr>
        <w:t>Seibt</w:t>
      </w:r>
      <w:proofErr w:type="spellEnd"/>
      <w:r>
        <w:rPr>
          <w:rFonts w:eastAsia="PMingLiU" w:cs="Times New Roman"/>
        </w:rPr>
        <w:t>, Johanna</w:t>
      </w:r>
      <w:r w:rsidR="005D69B9">
        <w:rPr>
          <w:rFonts w:eastAsia="PMingLiU" w:cs="Times New Roman"/>
        </w:rPr>
        <w:t>. “</w:t>
      </w:r>
      <w:r w:rsidR="005D69B9" w:rsidRPr="005D69B9">
        <w:rPr>
          <w:rFonts w:eastAsia="PMingLiU" w:cs="Times New Roman"/>
        </w:rPr>
        <w:t xml:space="preserve">Intercultural </w:t>
      </w:r>
      <w:r w:rsidR="005D69B9">
        <w:rPr>
          <w:rFonts w:eastAsia="PMingLiU" w:cs="Times New Roman"/>
        </w:rPr>
        <w:t>D</w:t>
      </w:r>
      <w:r w:rsidR="005D69B9" w:rsidRPr="005D69B9">
        <w:rPr>
          <w:rFonts w:eastAsia="PMingLiU" w:cs="Times New Roman"/>
        </w:rPr>
        <w:t xml:space="preserve">ialogue and the </w:t>
      </w:r>
      <w:r w:rsidR="005D69B9">
        <w:rPr>
          <w:rFonts w:eastAsia="PMingLiU" w:cs="Times New Roman"/>
        </w:rPr>
        <w:t>P</w:t>
      </w:r>
      <w:r w:rsidR="005D69B9" w:rsidRPr="005D69B9">
        <w:rPr>
          <w:rFonts w:eastAsia="PMingLiU" w:cs="Times New Roman"/>
        </w:rPr>
        <w:t xml:space="preserve">rocessing of </w:t>
      </w:r>
      <w:r w:rsidR="005D69B9">
        <w:rPr>
          <w:rFonts w:eastAsia="PMingLiU" w:cs="Times New Roman"/>
        </w:rPr>
        <w:t>S</w:t>
      </w:r>
      <w:r w:rsidR="005D69B9" w:rsidRPr="005D69B9">
        <w:rPr>
          <w:rFonts w:eastAsia="PMingLiU" w:cs="Times New Roman"/>
        </w:rPr>
        <w:t xml:space="preserve">ignificance: </w:t>
      </w:r>
      <w:r w:rsidR="005D69B9">
        <w:rPr>
          <w:rFonts w:eastAsia="PMingLiU" w:cs="Times New Roman"/>
        </w:rPr>
        <w:t>C</w:t>
      </w:r>
      <w:r w:rsidR="005D69B9" w:rsidRPr="005D69B9">
        <w:rPr>
          <w:rFonts w:eastAsia="PMingLiU" w:cs="Times New Roman"/>
        </w:rPr>
        <w:t xml:space="preserve">ognition as </w:t>
      </w:r>
      <w:r w:rsidR="005D69B9">
        <w:rPr>
          <w:rFonts w:eastAsia="PMingLiU" w:cs="Times New Roman"/>
        </w:rPr>
        <w:t>O</w:t>
      </w:r>
      <w:r w:rsidR="005D69B9" w:rsidRPr="005D69B9">
        <w:rPr>
          <w:rFonts w:eastAsia="PMingLiU" w:cs="Times New Roman"/>
        </w:rPr>
        <w:t>rientation</w:t>
      </w:r>
      <w:r w:rsidR="005D69B9">
        <w:rPr>
          <w:rFonts w:eastAsia="PMingLiU" w:cs="Times New Roman"/>
        </w:rPr>
        <w:t xml:space="preserve">.” In </w:t>
      </w:r>
      <w:r w:rsidR="005D69B9" w:rsidRPr="005D69B9">
        <w:rPr>
          <w:rFonts w:eastAsia="PMingLiU" w:cs="Times New Roman"/>
          <w:i/>
        </w:rPr>
        <w:t>How Is Global Dialogue Possible?</w:t>
      </w:r>
      <w:r w:rsidR="002B0FBE">
        <w:rPr>
          <w:rFonts w:eastAsia="PMingLiU" w:cs="Times New Roman"/>
          <w:i/>
        </w:rPr>
        <w:t>—</w:t>
      </w:r>
      <w:r w:rsidR="005D69B9" w:rsidRPr="005D69B9">
        <w:rPr>
          <w:rFonts w:eastAsia="PMingLiU" w:cs="Times New Roman"/>
          <w:i/>
        </w:rPr>
        <w:t>Foundational</w:t>
      </w:r>
      <w:r w:rsidR="002B0FBE">
        <w:rPr>
          <w:rFonts w:eastAsia="PMingLiU" w:cs="Times New Roman"/>
          <w:i/>
        </w:rPr>
        <w:t xml:space="preserve"> </w:t>
      </w:r>
      <w:r w:rsidR="005D69B9" w:rsidRPr="005D69B9">
        <w:rPr>
          <w:rFonts w:eastAsia="PMingLiU" w:cs="Times New Roman"/>
          <w:i/>
        </w:rPr>
        <w:t>Research on Values, Conflict, and Intercultural Thought</w:t>
      </w:r>
      <w:r w:rsidR="005D69B9">
        <w:rPr>
          <w:rFonts w:eastAsia="PMingLiU" w:cs="Times New Roman"/>
        </w:rPr>
        <w:t xml:space="preserve">, edited by Johanna </w:t>
      </w:r>
      <w:proofErr w:type="spellStart"/>
      <w:r w:rsidR="005D69B9">
        <w:rPr>
          <w:rFonts w:eastAsia="PMingLiU" w:cs="Times New Roman"/>
        </w:rPr>
        <w:t>Seibt</w:t>
      </w:r>
      <w:proofErr w:type="spellEnd"/>
      <w:r w:rsidR="005D69B9">
        <w:rPr>
          <w:rFonts w:eastAsia="PMingLiU" w:cs="Times New Roman"/>
        </w:rPr>
        <w:t xml:space="preserve"> and Jesper </w:t>
      </w:r>
      <w:proofErr w:type="spellStart"/>
      <w:r w:rsidR="005D69B9">
        <w:rPr>
          <w:rFonts w:eastAsia="PMingLiU" w:cs="Times New Roman"/>
        </w:rPr>
        <w:t>Garsdal</w:t>
      </w:r>
      <w:proofErr w:type="spellEnd"/>
      <w:r w:rsidR="005D69B9">
        <w:rPr>
          <w:rFonts w:eastAsia="PMingLiU" w:cs="Times New Roman"/>
        </w:rPr>
        <w:t>, 85-115, Berlin/Boston/Munich: Walter de Gruyter, 2015.</w:t>
      </w:r>
    </w:p>
    <w:p w14:paraId="469F848D" w14:textId="77777777" w:rsidR="006E7A66" w:rsidRDefault="006E7A66" w:rsidP="009C3CFA">
      <w:pPr>
        <w:tabs>
          <w:tab w:val="left" w:pos="9072"/>
        </w:tabs>
        <w:ind w:left="567" w:right="674" w:hanging="567"/>
        <w:rPr>
          <w:rFonts w:cs="Times New Roman"/>
        </w:rPr>
      </w:pPr>
      <w:r w:rsidRPr="006E7A66">
        <w:rPr>
          <w:rFonts w:cs="Times New Roman"/>
        </w:rPr>
        <w:t xml:space="preserve">Shapiro, </w:t>
      </w:r>
      <w:r>
        <w:rPr>
          <w:rFonts w:cs="Times New Roman"/>
        </w:rPr>
        <w:t xml:space="preserve">Lawrence (ed.). </w:t>
      </w:r>
      <w:r w:rsidRPr="006E7A66">
        <w:rPr>
          <w:rFonts w:cs="Times New Roman"/>
          <w:i/>
        </w:rPr>
        <w:t>Routledge Handbook of Embodied Cognition</w:t>
      </w:r>
      <w:r>
        <w:rPr>
          <w:rFonts w:cs="Times New Roman"/>
        </w:rPr>
        <w:t xml:space="preserve">. Oxon and New York: Routledge Publishing, </w:t>
      </w:r>
      <w:r w:rsidRPr="006E7A66">
        <w:rPr>
          <w:rFonts w:cs="Times New Roman"/>
        </w:rPr>
        <w:t>2014.</w:t>
      </w:r>
    </w:p>
    <w:p w14:paraId="70ACE817" w14:textId="77777777" w:rsidR="003633FE" w:rsidRPr="003633FE" w:rsidRDefault="003633FE" w:rsidP="009C3CFA">
      <w:pPr>
        <w:tabs>
          <w:tab w:val="left" w:pos="9072"/>
        </w:tabs>
        <w:ind w:left="567" w:right="674" w:hanging="567"/>
        <w:rPr>
          <w:rFonts w:cs="Times New Roman"/>
        </w:rPr>
      </w:pPr>
      <w:r w:rsidRPr="003633FE">
        <w:rPr>
          <w:rFonts w:cs="Times New Roman"/>
        </w:rPr>
        <w:t>Siegel</w:t>
      </w:r>
      <w:r>
        <w:rPr>
          <w:rFonts w:cs="Times New Roman"/>
        </w:rPr>
        <w:t xml:space="preserve">, Susanna. </w:t>
      </w:r>
      <w:r>
        <w:rPr>
          <w:rFonts w:cs="Times New Roman"/>
          <w:i/>
        </w:rPr>
        <w:t>The Contents of Visual Experience</w:t>
      </w:r>
      <w:r>
        <w:rPr>
          <w:rFonts w:cs="Times New Roman"/>
        </w:rPr>
        <w:t>. NY: Oxford University Press, 2010.</w:t>
      </w:r>
    </w:p>
    <w:p w14:paraId="3450B683" w14:textId="77777777" w:rsidR="005A5910" w:rsidRDefault="005A5910" w:rsidP="009C3CFA">
      <w:pPr>
        <w:tabs>
          <w:tab w:val="left" w:pos="9072"/>
        </w:tabs>
        <w:ind w:left="567" w:right="674" w:hanging="567"/>
        <w:rPr>
          <w:rFonts w:cs="Times New Roman"/>
        </w:rPr>
      </w:pPr>
      <w:r>
        <w:rPr>
          <w:rFonts w:cs="Times New Roman"/>
        </w:rPr>
        <w:lastRenderedPageBreak/>
        <w:t xml:space="preserve">Siegel, Susanna. “Affordances and the Contents of Perception.” In </w:t>
      </w:r>
      <w:r>
        <w:rPr>
          <w:rFonts w:cs="Times New Roman"/>
          <w:i/>
        </w:rPr>
        <w:t xml:space="preserve">Does Perception Have </w:t>
      </w:r>
      <w:proofErr w:type="gramStart"/>
      <w:r>
        <w:rPr>
          <w:rFonts w:cs="Times New Roman"/>
          <w:i/>
        </w:rPr>
        <w:t>Content?</w:t>
      </w:r>
      <w:r>
        <w:rPr>
          <w:rFonts w:cs="Times New Roman"/>
        </w:rPr>
        <w:t>,</w:t>
      </w:r>
      <w:proofErr w:type="gramEnd"/>
      <w:r>
        <w:rPr>
          <w:rFonts w:cs="Times New Roman"/>
        </w:rPr>
        <w:t xml:space="preserve"> edited by Berit </w:t>
      </w:r>
      <w:proofErr w:type="spellStart"/>
      <w:r>
        <w:rPr>
          <w:rFonts w:cs="Times New Roman"/>
        </w:rPr>
        <w:t>Brogaard</w:t>
      </w:r>
      <w:proofErr w:type="spellEnd"/>
      <w:r>
        <w:rPr>
          <w:rFonts w:cs="Times New Roman"/>
        </w:rPr>
        <w:t>, 51-75, Oxford &amp; NY: Oxford University Press, 2014.</w:t>
      </w:r>
    </w:p>
    <w:p w14:paraId="177698AF" w14:textId="77777777" w:rsidR="003633FE" w:rsidRDefault="003633FE" w:rsidP="009C3CFA">
      <w:pPr>
        <w:tabs>
          <w:tab w:val="left" w:pos="9072"/>
        </w:tabs>
        <w:ind w:left="567" w:right="674" w:hanging="567"/>
        <w:rPr>
          <w:rFonts w:cs="Times New Roman"/>
        </w:rPr>
      </w:pPr>
      <w:r w:rsidRPr="003633FE">
        <w:rPr>
          <w:rFonts w:cs="Times New Roman"/>
        </w:rPr>
        <w:t>Siegel</w:t>
      </w:r>
      <w:r>
        <w:rPr>
          <w:rFonts w:cs="Times New Roman"/>
        </w:rPr>
        <w:t>, Susanna and</w:t>
      </w:r>
      <w:r w:rsidRPr="003633FE">
        <w:rPr>
          <w:rFonts w:cs="Times New Roman"/>
        </w:rPr>
        <w:t xml:space="preserve"> </w:t>
      </w:r>
      <w:proofErr w:type="spellStart"/>
      <w:r w:rsidRPr="003633FE">
        <w:rPr>
          <w:rFonts w:cs="Times New Roman"/>
        </w:rPr>
        <w:t>Silins</w:t>
      </w:r>
      <w:proofErr w:type="spellEnd"/>
      <w:r>
        <w:rPr>
          <w:rFonts w:cs="Times New Roman"/>
        </w:rPr>
        <w:t>, Nicholas. “</w:t>
      </w:r>
      <w:r w:rsidRPr="003633FE">
        <w:rPr>
          <w:rFonts w:cs="Times New Roman"/>
        </w:rPr>
        <w:t>The Epistemology of Perception.</w:t>
      </w:r>
      <w:r>
        <w:rPr>
          <w:rFonts w:cs="Times New Roman"/>
        </w:rPr>
        <w:t xml:space="preserve">” In </w:t>
      </w:r>
      <w:proofErr w:type="gramStart"/>
      <w:r w:rsidRPr="003633FE">
        <w:rPr>
          <w:rFonts w:cs="Times New Roman"/>
          <w:i/>
        </w:rPr>
        <w:t>The</w:t>
      </w:r>
      <w:proofErr w:type="gramEnd"/>
      <w:r w:rsidRPr="003633FE">
        <w:rPr>
          <w:rFonts w:cs="Times New Roman"/>
          <w:i/>
        </w:rPr>
        <w:t xml:space="preserve"> Oxford Handbook of Philosophy of Perception</w:t>
      </w:r>
      <w:r>
        <w:rPr>
          <w:rFonts w:cs="Times New Roman"/>
        </w:rPr>
        <w:t xml:space="preserve">, edited by </w:t>
      </w:r>
      <w:r w:rsidRPr="003633FE">
        <w:rPr>
          <w:rFonts w:cs="Times New Roman"/>
        </w:rPr>
        <w:t xml:space="preserve">Mohan </w:t>
      </w:r>
      <w:proofErr w:type="spellStart"/>
      <w:r w:rsidRPr="003633FE">
        <w:rPr>
          <w:rFonts w:cs="Times New Roman"/>
        </w:rPr>
        <w:t>Matthen</w:t>
      </w:r>
      <w:proofErr w:type="spellEnd"/>
      <w:r>
        <w:rPr>
          <w:rFonts w:cs="Times New Roman"/>
        </w:rPr>
        <w:t xml:space="preserve">, 781-811, Oxford, UK: </w:t>
      </w:r>
      <w:r w:rsidRPr="003633FE">
        <w:rPr>
          <w:rFonts w:cs="Times New Roman"/>
        </w:rPr>
        <w:t>Oxford University Press</w:t>
      </w:r>
      <w:r>
        <w:rPr>
          <w:rFonts w:cs="Times New Roman"/>
        </w:rPr>
        <w:t>, 2015</w:t>
      </w:r>
      <w:r w:rsidRPr="003633FE">
        <w:rPr>
          <w:rFonts w:cs="Times New Roman"/>
        </w:rPr>
        <w:t>.</w:t>
      </w:r>
    </w:p>
    <w:p w14:paraId="3BCC23ED" w14:textId="77777777" w:rsidR="004F5B64" w:rsidRDefault="004F5B64" w:rsidP="009C3CFA">
      <w:pPr>
        <w:tabs>
          <w:tab w:val="left" w:pos="9072"/>
        </w:tabs>
        <w:ind w:left="567" w:right="674" w:hanging="567"/>
        <w:rPr>
          <w:rFonts w:eastAsia="PMingLiU" w:cs="Times New Roman"/>
          <w:lang w:val="en-AU"/>
        </w:rPr>
      </w:pPr>
      <w:r w:rsidRPr="004F5B64">
        <w:rPr>
          <w:rFonts w:eastAsia="PMingLiU" w:cs="Times New Roman"/>
          <w:lang w:val="en-AU"/>
        </w:rPr>
        <w:t>Stanley</w:t>
      </w:r>
      <w:r>
        <w:rPr>
          <w:rFonts w:eastAsia="PMingLiU" w:cs="Times New Roman"/>
          <w:lang w:val="en-AU"/>
        </w:rPr>
        <w:t>, Jason</w:t>
      </w:r>
      <w:r w:rsidRPr="004F5B64">
        <w:rPr>
          <w:rFonts w:eastAsia="PMingLiU" w:cs="Times New Roman"/>
          <w:lang w:val="en-AU"/>
        </w:rPr>
        <w:t xml:space="preserve"> and </w:t>
      </w:r>
      <w:r>
        <w:rPr>
          <w:rFonts w:eastAsia="PMingLiU" w:cs="Times New Roman"/>
          <w:lang w:val="en-AU"/>
        </w:rPr>
        <w:t>Wi</w:t>
      </w:r>
      <w:r w:rsidRPr="004F5B64">
        <w:rPr>
          <w:rFonts w:eastAsia="PMingLiU" w:cs="Times New Roman"/>
          <w:lang w:val="en-AU"/>
        </w:rPr>
        <w:t>lliamson</w:t>
      </w:r>
      <w:r>
        <w:rPr>
          <w:rFonts w:eastAsia="PMingLiU" w:cs="Times New Roman"/>
          <w:lang w:val="en-AU"/>
        </w:rPr>
        <w:t>, Timothy. “</w:t>
      </w:r>
      <w:r w:rsidRPr="004F5B64">
        <w:rPr>
          <w:rFonts w:eastAsia="PMingLiU" w:cs="Times New Roman"/>
          <w:lang w:val="en-AU"/>
        </w:rPr>
        <w:t>Knowing How</w:t>
      </w:r>
      <w:r>
        <w:rPr>
          <w:rFonts w:eastAsia="PMingLiU" w:cs="Times New Roman"/>
          <w:lang w:val="en-AU"/>
        </w:rPr>
        <w:t>.”</w:t>
      </w:r>
      <w:r w:rsidRPr="004F5B64">
        <w:rPr>
          <w:rFonts w:eastAsia="PMingLiU" w:cs="Times New Roman"/>
          <w:lang w:val="en-AU"/>
        </w:rPr>
        <w:t xml:space="preserve"> </w:t>
      </w:r>
      <w:r w:rsidRPr="004F5B64">
        <w:rPr>
          <w:rFonts w:eastAsia="PMingLiU" w:cs="Times New Roman"/>
          <w:i/>
          <w:lang w:val="en-AU"/>
        </w:rPr>
        <w:t>The Journal of Philosophy</w:t>
      </w:r>
      <w:r w:rsidRPr="004F5B64">
        <w:rPr>
          <w:rFonts w:eastAsia="PMingLiU" w:cs="Times New Roman"/>
          <w:iCs/>
          <w:lang w:val="en-AU"/>
        </w:rPr>
        <w:t xml:space="preserve"> </w:t>
      </w:r>
      <w:r w:rsidRPr="004F5B64">
        <w:rPr>
          <w:rFonts w:eastAsia="PMingLiU" w:cs="Times New Roman"/>
          <w:lang w:val="en-AU"/>
        </w:rPr>
        <w:t xml:space="preserve">98 </w:t>
      </w:r>
      <w:r>
        <w:rPr>
          <w:rFonts w:eastAsia="PMingLiU" w:cs="Times New Roman"/>
          <w:lang w:val="en-AU"/>
        </w:rPr>
        <w:t xml:space="preserve">no. 8 </w:t>
      </w:r>
      <w:r w:rsidRPr="004F5B64">
        <w:rPr>
          <w:rFonts w:eastAsia="PMingLiU" w:cs="Times New Roman"/>
          <w:lang w:val="en-AU"/>
        </w:rPr>
        <w:t>(2001)</w:t>
      </w:r>
      <w:r>
        <w:rPr>
          <w:rFonts w:eastAsia="PMingLiU" w:cs="Times New Roman"/>
          <w:lang w:val="en-AU"/>
        </w:rPr>
        <w:t>:</w:t>
      </w:r>
      <w:r w:rsidRPr="004F5B64">
        <w:rPr>
          <w:rFonts w:eastAsia="PMingLiU" w:cs="Times New Roman"/>
          <w:lang w:val="en-AU"/>
        </w:rPr>
        <w:t xml:space="preserve"> 411–444.</w:t>
      </w:r>
    </w:p>
    <w:p w14:paraId="218B1756" w14:textId="77777777" w:rsidR="00CF5584" w:rsidRPr="00CF5584" w:rsidRDefault="00CF5584" w:rsidP="009C3CFA">
      <w:pPr>
        <w:tabs>
          <w:tab w:val="left" w:pos="9072"/>
        </w:tabs>
        <w:ind w:left="567" w:right="674" w:hanging="567"/>
        <w:rPr>
          <w:rFonts w:eastAsia="PMingLiU" w:cs="Times New Roman"/>
        </w:rPr>
      </w:pPr>
      <w:proofErr w:type="spellStart"/>
      <w:r w:rsidRPr="00CF5584">
        <w:rPr>
          <w:rFonts w:eastAsia="PMingLiU" w:cs="Times New Roman"/>
        </w:rPr>
        <w:t>Stegmaier</w:t>
      </w:r>
      <w:proofErr w:type="spellEnd"/>
      <w:r>
        <w:rPr>
          <w:rFonts w:eastAsia="PMingLiU" w:cs="Times New Roman"/>
        </w:rPr>
        <w:t xml:space="preserve">, </w:t>
      </w:r>
      <w:r w:rsidRPr="00CF5584">
        <w:rPr>
          <w:rFonts w:eastAsia="PMingLiU" w:cs="Times New Roman"/>
        </w:rPr>
        <w:t>Werner</w:t>
      </w:r>
      <w:r>
        <w:rPr>
          <w:rFonts w:eastAsia="PMingLiU" w:cs="Times New Roman"/>
        </w:rPr>
        <w:t>. “‘</w:t>
      </w:r>
      <w:r w:rsidRPr="00CF5584">
        <w:rPr>
          <w:rFonts w:eastAsia="PMingLiU" w:cs="Times New Roman"/>
        </w:rPr>
        <w:t xml:space="preserve">Was </w:t>
      </w:r>
      <w:proofErr w:type="spellStart"/>
      <w:r w:rsidRPr="00CF5584">
        <w:rPr>
          <w:rFonts w:eastAsia="PMingLiU" w:cs="Times New Roman"/>
        </w:rPr>
        <w:t>heisst</w:t>
      </w:r>
      <w:proofErr w:type="spellEnd"/>
      <w:r w:rsidRPr="00CF5584">
        <w:rPr>
          <w:rFonts w:eastAsia="PMingLiU" w:cs="Times New Roman"/>
        </w:rPr>
        <w:t xml:space="preserve">: </w:t>
      </w:r>
      <w:proofErr w:type="spellStart"/>
      <w:r w:rsidRPr="00CF5584">
        <w:rPr>
          <w:rFonts w:eastAsia="PMingLiU" w:cs="Times New Roman"/>
        </w:rPr>
        <w:t>Sich</w:t>
      </w:r>
      <w:proofErr w:type="spellEnd"/>
      <w:r w:rsidRPr="00CF5584">
        <w:rPr>
          <w:rFonts w:eastAsia="PMingLiU" w:cs="Times New Roman"/>
        </w:rPr>
        <w:t xml:space="preserve"> </w:t>
      </w:r>
      <w:proofErr w:type="spellStart"/>
      <w:r w:rsidRPr="00CF5584">
        <w:rPr>
          <w:rFonts w:eastAsia="PMingLiU" w:cs="Times New Roman"/>
        </w:rPr>
        <w:t>im</w:t>
      </w:r>
      <w:proofErr w:type="spellEnd"/>
      <w:r w:rsidRPr="00CF5584">
        <w:rPr>
          <w:rFonts w:eastAsia="PMingLiU" w:cs="Times New Roman"/>
        </w:rPr>
        <w:t xml:space="preserve"> </w:t>
      </w:r>
      <w:proofErr w:type="spellStart"/>
      <w:r w:rsidRPr="00CF5584">
        <w:rPr>
          <w:rFonts w:eastAsia="PMingLiU" w:cs="Times New Roman"/>
        </w:rPr>
        <w:t>Denken</w:t>
      </w:r>
      <w:proofErr w:type="spellEnd"/>
      <w:r w:rsidRPr="00CF5584">
        <w:rPr>
          <w:rFonts w:eastAsia="PMingLiU" w:cs="Times New Roman"/>
        </w:rPr>
        <w:t xml:space="preserve"> </w:t>
      </w:r>
      <w:proofErr w:type="spellStart"/>
      <w:r w:rsidRPr="00CF5584">
        <w:rPr>
          <w:rFonts w:eastAsia="PMingLiU" w:cs="Times New Roman"/>
        </w:rPr>
        <w:t>orientieren</w:t>
      </w:r>
      <w:proofErr w:type="spellEnd"/>
      <w:r w:rsidRPr="00CF5584">
        <w:rPr>
          <w:rFonts w:eastAsia="PMingLiU" w:cs="Times New Roman"/>
        </w:rPr>
        <w:t>?</w:t>
      </w:r>
      <w:r>
        <w:rPr>
          <w:rFonts w:eastAsia="PMingLiU" w:cs="Times New Roman"/>
        </w:rPr>
        <w:t>’</w:t>
      </w:r>
      <w:r w:rsidRPr="00CF5584">
        <w:rPr>
          <w:rFonts w:eastAsia="PMingLiU" w:cs="Times New Roman"/>
        </w:rPr>
        <w:t xml:space="preserve"> </w:t>
      </w:r>
      <w:proofErr w:type="spellStart"/>
      <w:r w:rsidRPr="00CF5584">
        <w:rPr>
          <w:rFonts w:eastAsia="PMingLiU" w:cs="Times New Roman"/>
        </w:rPr>
        <w:t>Zur</w:t>
      </w:r>
      <w:proofErr w:type="spellEnd"/>
      <w:r w:rsidRPr="00CF5584">
        <w:rPr>
          <w:rFonts w:eastAsia="PMingLiU" w:cs="Times New Roman"/>
        </w:rPr>
        <w:t xml:space="preserve"> </w:t>
      </w:r>
      <w:proofErr w:type="spellStart"/>
      <w:r w:rsidRPr="00CF5584">
        <w:rPr>
          <w:rFonts w:eastAsia="PMingLiU" w:cs="Times New Roman"/>
        </w:rPr>
        <w:t>Möglichkeit</w:t>
      </w:r>
      <w:proofErr w:type="spellEnd"/>
      <w:r w:rsidRPr="00CF5584">
        <w:rPr>
          <w:rFonts w:eastAsia="PMingLiU" w:cs="Times New Roman"/>
        </w:rPr>
        <w:t xml:space="preserve"> </w:t>
      </w:r>
      <w:proofErr w:type="spellStart"/>
      <w:r w:rsidRPr="00CF5584">
        <w:rPr>
          <w:rFonts w:eastAsia="PMingLiU" w:cs="Times New Roman"/>
        </w:rPr>
        <w:t>philosophischer</w:t>
      </w:r>
      <w:proofErr w:type="spellEnd"/>
      <w:r w:rsidRPr="00CF5584">
        <w:rPr>
          <w:rFonts w:eastAsia="PMingLiU" w:cs="Times New Roman"/>
        </w:rPr>
        <w:t xml:space="preserve"> </w:t>
      </w:r>
      <w:proofErr w:type="spellStart"/>
      <w:r w:rsidRPr="00CF5584">
        <w:rPr>
          <w:rFonts w:eastAsia="PMingLiU" w:cs="Times New Roman"/>
        </w:rPr>
        <w:t>Weltorientierung</w:t>
      </w:r>
      <w:proofErr w:type="spellEnd"/>
      <w:r w:rsidRPr="00CF5584">
        <w:rPr>
          <w:rFonts w:eastAsia="PMingLiU" w:cs="Times New Roman"/>
        </w:rPr>
        <w:t xml:space="preserve"> </w:t>
      </w:r>
      <w:proofErr w:type="spellStart"/>
      <w:r w:rsidRPr="00CF5584">
        <w:rPr>
          <w:rFonts w:eastAsia="PMingLiU" w:cs="Times New Roman"/>
        </w:rPr>
        <w:t>nach</w:t>
      </w:r>
      <w:proofErr w:type="spellEnd"/>
      <w:r w:rsidRPr="00CF5584">
        <w:rPr>
          <w:rFonts w:eastAsia="PMingLiU" w:cs="Times New Roman"/>
        </w:rPr>
        <w:t xml:space="preserve"> Kant</w:t>
      </w:r>
      <w:r>
        <w:rPr>
          <w:rFonts w:eastAsia="PMingLiU" w:cs="Times New Roman"/>
        </w:rPr>
        <w:t xml:space="preserve">.” </w:t>
      </w:r>
      <w:r w:rsidRPr="00CF5584">
        <w:rPr>
          <w:rFonts w:eastAsia="PMingLiU" w:cs="Times New Roman"/>
          <w:i/>
        </w:rPr>
        <w:t xml:space="preserve">Allgemeine </w:t>
      </w:r>
      <w:proofErr w:type="spellStart"/>
      <w:r w:rsidRPr="00CF5584">
        <w:rPr>
          <w:rFonts w:eastAsia="PMingLiU" w:cs="Times New Roman"/>
          <w:i/>
        </w:rPr>
        <w:t>Zeitschrift</w:t>
      </w:r>
      <w:proofErr w:type="spellEnd"/>
      <w:r w:rsidRPr="00CF5584">
        <w:rPr>
          <w:rFonts w:eastAsia="PMingLiU" w:cs="Times New Roman"/>
          <w:i/>
        </w:rPr>
        <w:t xml:space="preserve"> </w:t>
      </w:r>
      <w:proofErr w:type="spellStart"/>
      <w:r w:rsidRPr="00CF5584">
        <w:rPr>
          <w:rFonts w:eastAsia="PMingLiU" w:cs="Times New Roman"/>
          <w:i/>
        </w:rPr>
        <w:t>für</w:t>
      </w:r>
      <w:proofErr w:type="spellEnd"/>
      <w:r w:rsidRPr="00CF5584">
        <w:rPr>
          <w:rFonts w:eastAsia="PMingLiU" w:cs="Times New Roman"/>
          <w:i/>
        </w:rPr>
        <w:t xml:space="preserve"> Philosophie</w:t>
      </w:r>
      <w:r w:rsidRPr="00CF5584">
        <w:rPr>
          <w:rFonts w:eastAsia="PMingLiU" w:cs="Times New Roman"/>
        </w:rPr>
        <w:t xml:space="preserve"> 17</w:t>
      </w:r>
      <w:r>
        <w:rPr>
          <w:rFonts w:eastAsia="PMingLiU" w:cs="Times New Roman"/>
        </w:rPr>
        <w:t xml:space="preserve"> no. </w:t>
      </w:r>
      <w:r w:rsidRPr="00CF5584">
        <w:rPr>
          <w:rFonts w:eastAsia="PMingLiU" w:cs="Times New Roman"/>
        </w:rPr>
        <w:t>1</w:t>
      </w:r>
      <w:r>
        <w:rPr>
          <w:rFonts w:eastAsia="PMingLiU" w:cs="Times New Roman"/>
        </w:rPr>
        <w:t xml:space="preserve"> </w:t>
      </w:r>
      <w:r w:rsidRPr="00CF5584">
        <w:rPr>
          <w:rFonts w:eastAsia="PMingLiU" w:cs="Times New Roman"/>
        </w:rPr>
        <w:t>(1992)</w:t>
      </w:r>
      <w:r>
        <w:rPr>
          <w:rFonts w:eastAsia="PMingLiU" w:cs="Times New Roman"/>
        </w:rPr>
        <w:t>: 1-16.</w:t>
      </w:r>
    </w:p>
    <w:p w14:paraId="700B08B8" w14:textId="77777777" w:rsidR="00B571C3" w:rsidRPr="00601FAD" w:rsidRDefault="009D632D" w:rsidP="009C3CFA">
      <w:pPr>
        <w:tabs>
          <w:tab w:val="left" w:pos="9072"/>
        </w:tabs>
        <w:ind w:left="567" w:right="674" w:hanging="567"/>
        <w:rPr>
          <w:rFonts w:eastAsia="PMingLiU" w:cs="Times New Roman"/>
        </w:rPr>
      </w:pPr>
      <w:r>
        <w:rPr>
          <w:rFonts w:cs="Times New Roman"/>
        </w:rPr>
        <w:t>Varela, Francisco;</w:t>
      </w:r>
      <w:r w:rsidRPr="00CA3844">
        <w:rPr>
          <w:rFonts w:cs="Times New Roman"/>
        </w:rPr>
        <w:t xml:space="preserve"> Thompson, E</w:t>
      </w:r>
      <w:r>
        <w:rPr>
          <w:rFonts w:cs="Times New Roman"/>
        </w:rPr>
        <w:t xml:space="preserve">van; and </w:t>
      </w:r>
      <w:r w:rsidRPr="00CA3844">
        <w:rPr>
          <w:rFonts w:cs="Times New Roman"/>
        </w:rPr>
        <w:t>Rosch,</w:t>
      </w:r>
      <w:r>
        <w:rPr>
          <w:rFonts w:cs="Times New Roman"/>
        </w:rPr>
        <w:t xml:space="preserve"> Eleanor. </w:t>
      </w:r>
      <w:r w:rsidRPr="009D632D">
        <w:rPr>
          <w:rFonts w:cs="Times New Roman"/>
          <w:i/>
        </w:rPr>
        <w:t>The Embodied Mind: Cognitive Science and Human Experience</w:t>
      </w:r>
      <w:r>
        <w:rPr>
          <w:rFonts w:cs="Times New Roman"/>
        </w:rPr>
        <w:t>.</w:t>
      </w:r>
      <w:r w:rsidRPr="00CA3844">
        <w:rPr>
          <w:rFonts w:cs="Times New Roman"/>
        </w:rPr>
        <w:t xml:space="preserve"> </w:t>
      </w:r>
      <w:r w:rsidR="00730A36">
        <w:rPr>
          <w:rFonts w:cs="Times New Roman"/>
        </w:rPr>
        <w:t xml:space="preserve">Revised edition (first edition 1991) </w:t>
      </w:r>
      <w:r w:rsidRPr="00CA3844">
        <w:rPr>
          <w:rFonts w:cs="Times New Roman"/>
        </w:rPr>
        <w:t>Cambridge, MA: MIT Press</w:t>
      </w:r>
      <w:r w:rsidR="00607CDB">
        <w:rPr>
          <w:rFonts w:cs="Times New Roman"/>
        </w:rPr>
        <w:t xml:space="preserve">, </w:t>
      </w:r>
      <w:r w:rsidR="00730A36">
        <w:rPr>
          <w:rFonts w:cs="Times New Roman"/>
        </w:rPr>
        <w:t>2016</w:t>
      </w:r>
      <w:r w:rsidRPr="00CA3844">
        <w:rPr>
          <w:rFonts w:cs="Times New Roman"/>
        </w:rPr>
        <w:t>.</w:t>
      </w:r>
    </w:p>
    <w:p w14:paraId="725A69CF" w14:textId="77777777" w:rsidR="00B571C3" w:rsidRDefault="00B571C3" w:rsidP="009C3CFA">
      <w:pPr>
        <w:tabs>
          <w:tab w:val="left" w:pos="9072"/>
        </w:tabs>
        <w:ind w:left="567" w:right="674" w:hanging="567"/>
        <w:rPr>
          <w:rFonts w:eastAsia="PMingLiU" w:cs="Times New Roman"/>
        </w:rPr>
      </w:pPr>
      <w:r w:rsidRPr="00601FAD">
        <w:rPr>
          <w:rFonts w:eastAsia="PMingLiU" w:cs="Times New Roman"/>
        </w:rPr>
        <w:t xml:space="preserve">Watson, Burton. (trans.) </w:t>
      </w:r>
      <w:r w:rsidRPr="00601FAD">
        <w:rPr>
          <w:rFonts w:eastAsia="PMingLiU" w:cs="Times New Roman"/>
          <w:i/>
        </w:rPr>
        <w:t>The Complete Works of Chuang Tzu</w:t>
      </w:r>
      <w:r w:rsidRPr="00601FAD">
        <w:rPr>
          <w:rFonts w:eastAsia="PMingLiU" w:cs="Times New Roman"/>
        </w:rPr>
        <w:t>. New York and London: Columbia University Press, 1968.</w:t>
      </w:r>
    </w:p>
    <w:p w14:paraId="119A2ADB" w14:textId="77777777" w:rsidR="005F5510" w:rsidRDefault="005F5510" w:rsidP="009C3CFA">
      <w:pPr>
        <w:tabs>
          <w:tab w:val="left" w:pos="9072"/>
        </w:tabs>
        <w:ind w:left="567" w:right="674" w:hanging="567"/>
        <w:rPr>
          <w:rFonts w:eastAsia="PMingLiU" w:cs="Times New Roman"/>
        </w:rPr>
      </w:pPr>
      <w:r>
        <w:rPr>
          <w:rFonts w:eastAsia="PMingLiU" w:cs="Times New Roman"/>
        </w:rPr>
        <w:t xml:space="preserve">Webb, </w:t>
      </w:r>
      <w:r w:rsidRPr="005F5510">
        <w:rPr>
          <w:rFonts w:eastAsia="PMingLiU" w:cs="Times New Roman"/>
        </w:rPr>
        <w:t xml:space="preserve">Barbara and </w:t>
      </w:r>
      <w:proofErr w:type="spellStart"/>
      <w:r w:rsidRPr="005F5510">
        <w:rPr>
          <w:rFonts w:eastAsia="PMingLiU" w:cs="Times New Roman"/>
        </w:rPr>
        <w:t>Consilvio</w:t>
      </w:r>
      <w:proofErr w:type="spellEnd"/>
      <w:r>
        <w:rPr>
          <w:rFonts w:eastAsia="PMingLiU" w:cs="Times New Roman"/>
        </w:rPr>
        <w:t>, Thomas. (e</w:t>
      </w:r>
      <w:r w:rsidRPr="005F5510">
        <w:rPr>
          <w:rFonts w:eastAsia="PMingLiU" w:cs="Times New Roman"/>
        </w:rPr>
        <w:t xml:space="preserve">ds.) </w:t>
      </w:r>
      <w:proofErr w:type="spellStart"/>
      <w:r w:rsidRPr="003066AB">
        <w:rPr>
          <w:rFonts w:eastAsia="PMingLiU" w:cs="Times New Roman"/>
          <w:i/>
        </w:rPr>
        <w:t>Biorobotics</w:t>
      </w:r>
      <w:proofErr w:type="spellEnd"/>
      <w:r w:rsidRPr="005F5510">
        <w:rPr>
          <w:rFonts w:eastAsia="PMingLiU" w:cs="Times New Roman"/>
        </w:rPr>
        <w:t>. Cambridge, MA</w:t>
      </w:r>
      <w:r>
        <w:rPr>
          <w:rFonts w:eastAsia="PMingLiU" w:cs="Times New Roman"/>
        </w:rPr>
        <w:t>:</w:t>
      </w:r>
      <w:r w:rsidRPr="005F5510">
        <w:rPr>
          <w:rFonts w:eastAsia="PMingLiU" w:cs="Times New Roman"/>
        </w:rPr>
        <w:t xml:space="preserve"> MIT Press,</w:t>
      </w:r>
      <w:r>
        <w:rPr>
          <w:rFonts w:eastAsia="PMingLiU" w:cs="Times New Roman"/>
        </w:rPr>
        <w:t xml:space="preserve"> 2001</w:t>
      </w:r>
      <w:r w:rsidRPr="005F5510">
        <w:rPr>
          <w:rFonts w:eastAsia="PMingLiU" w:cs="Times New Roman"/>
        </w:rPr>
        <w:t>.</w:t>
      </w:r>
    </w:p>
    <w:p w14:paraId="626AC263" w14:textId="77777777" w:rsidR="003066AB" w:rsidRDefault="003066AB" w:rsidP="009C3CFA">
      <w:pPr>
        <w:tabs>
          <w:tab w:val="left" w:pos="9072"/>
        </w:tabs>
        <w:ind w:left="567" w:right="674" w:hanging="567"/>
        <w:rPr>
          <w:rFonts w:eastAsia="PMingLiU" w:cs="Times New Roman"/>
        </w:rPr>
      </w:pPr>
      <w:r>
        <w:rPr>
          <w:rFonts w:eastAsia="PMingLiU" w:cs="Times New Roman"/>
        </w:rPr>
        <w:t xml:space="preserve">Wheeler, Michael. </w:t>
      </w:r>
      <w:r w:rsidRPr="003066AB">
        <w:rPr>
          <w:rFonts w:eastAsia="PMingLiU" w:cs="Times New Roman"/>
          <w:i/>
        </w:rPr>
        <w:t>Reconstructing the Cognitive World: The Next Step</w:t>
      </w:r>
      <w:r>
        <w:rPr>
          <w:rFonts w:eastAsia="PMingLiU" w:cs="Times New Roman"/>
        </w:rPr>
        <w:t>. Cambridge, MA:</w:t>
      </w:r>
      <w:r w:rsidRPr="003066AB">
        <w:rPr>
          <w:rFonts w:eastAsia="PMingLiU" w:cs="Times New Roman"/>
        </w:rPr>
        <w:t xml:space="preserve"> MIT Press, 2005.</w:t>
      </w:r>
    </w:p>
    <w:p w14:paraId="34B03DF6" w14:textId="77777777" w:rsidR="001B04BE" w:rsidRPr="00601FAD" w:rsidRDefault="001B04BE" w:rsidP="009C3CFA">
      <w:pPr>
        <w:tabs>
          <w:tab w:val="left" w:pos="9072"/>
        </w:tabs>
        <w:ind w:left="567" w:right="674" w:hanging="567"/>
        <w:rPr>
          <w:rFonts w:eastAsia="PMingLiU" w:cs="Times New Roman"/>
        </w:rPr>
      </w:pPr>
      <w:r w:rsidRPr="001B04BE">
        <w:rPr>
          <w:rFonts w:eastAsia="PMingLiU" w:cs="Times New Roman"/>
        </w:rPr>
        <w:t xml:space="preserve">Wilson, Andrew and </w:t>
      </w:r>
      <w:proofErr w:type="spellStart"/>
      <w:r w:rsidRPr="001B04BE">
        <w:rPr>
          <w:rFonts w:eastAsia="PMingLiU" w:cs="Times New Roman"/>
        </w:rPr>
        <w:t>Golonka</w:t>
      </w:r>
      <w:proofErr w:type="spellEnd"/>
      <w:r>
        <w:rPr>
          <w:rFonts w:eastAsia="PMingLiU" w:cs="Times New Roman"/>
        </w:rPr>
        <w:t>, Sabrina</w:t>
      </w:r>
      <w:r w:rsidRPr="001B04BE">
        <w:rPr>
          <w:rFonts w:eastAsia="PMingLiU" w:cs="Times New Roman"/>
        </w:rPr>
        <w:t xml:space="preserve">. “Embodied Cognition Is Not What You Think It Is.” </w:t>
      </w:r>
      <w:r w:rsidRPr="001B04BE">
        <w:rPr>
          <w:rFonts w:eastAsia="PMingLiU" w:cs="Times New Roman"/>
          <w:i/>
        </w:rPr>
        <w:t>Frontiers in Psychology</w:t>
      </w:r>
      <w:r w:rsidRPr="001B04BE">
        <w:rPr>
          <w:rFonts w:eastAsia="PMingLiU" w:cs="Times New Roman"/>
        </w:rPr>
        <w:t xml:space="preserve"> 4 (2013): </w:t>
      </w:r>
      <w:r>
        <w:rPr>
          <w:rFonts w:eastAsia="PMingLiU" w:cs="Times New Roman"/>
        </w:rPr>
        <w:t>Article 8, pp. 1-13.</w:t>
      </w:r>
    </w:p>
    <w:p w14:paraId="6845D2B8" w14:textId="77777777" w:rsidR="00B571C3" w:rsidRPr="00601FAD" w:rsidRDefault="00B571C3" w:rsidP="009C3CFA">
      <w:pPr>
        <w:tabs>
          <w:tab w:val="left" w:pos="9072"/>
        </w:tabs>
        <w:ind w:left="567" w:right="674" w:hanging="567"/>
        <w:rPr>
          <w:rFonts w:eastAsia="PMingLiU" w:cs="Times New Roman"/>
        </w:rPr>
      </w:pPr>
      <w:proofErr w:type="spellStart"/>
      <w:r w:rsidRPr="00601FAD">
        <w:rPr>
          <w:rFonts w:eastAsia="PMingLiU" w:cs="Times New Roman"/>
        </w:rPr>
        <w:t>Withagen</w:t>
      </w:r>
      <w:proofErr w:type="spellEnd"/>
      <w:r w:rsidRPr="00601FAD">
        <w:rPr>
          <w:rFonts w:eastAsia="PMingLiU" w:cs="Times New Roman"/>
        </w:rPr>
        <w:t xml:space="preserve">, Rob and </w:t>
      </w:r>
      <w:proofErr w:type="spellStart"/>
      <w:r w:rsidRPr="00601FAD">
        <w:rPr>
          <w:rFonts w:eastAsia="PMingLiU" w:cs="Times New Roman"/>
        </w:rPr>
        <w:t>Chemero</w:t>
      </w:r>
      <w:proofErr w:type="spellEnd"/>
      <w:r w:rsidRPr="00601FAD">
        <w:rPr>
          <w:rFonts w:eastAsia="PMingLiU" w:cs="Times New Roman"/>
        </w:rPr>
        <w:t xml:space="preserve">, Anthony. “Affordances and Classification: On the significance of a sidebar in James Gibson’s last book.” </w:t>
      </w:r>
      <w:r w:rsidRPr="00601FAD">
        <w:rPr>
          <w:rFonts w:eastAsia="PMingLiU" w:cs="Times New Roman"/>
          <w:i/>
        </w:rPr>
        <w:t>Philosophical Psychology</w:t>
      </w:r>
      <w:r w:rsidRPr="00601FAD">
        <w:rPr>
          <w:rFonts w:eastAsia="PMingLiU" w:cs="Times New Roman"/>
        </w:rPr>
        <w:t xml:space="preserve"> 25 no. 4 (2012): 521-537.</w:t>
      </w:r>
    </w:p>
    <w:p w14:paraId="59B1BA34" w14:textId="77777777" w:rsidR="00B571C3" w:rsidRPr="00601FAD" w:rsidRDefault="00B571C3" w:rsidP="009C3CFA">
      <w:pPr>
        <w:tabs>
          <w:tab w:val="left" w:pos="9072"/>
        </w:tabs>
        <w:ind w:left="567" w:right="674" w:hanging="567"/>
        <w:rPr>
          <w:rFonts w:eastAsia="PMingLiU" w:cs="Times New Roman"/>
        </w:rPr>
      </w:pPr>
      <w:r w:rsidRPr="00601FAD">
        <w:rPr>
          <w:rFonts w:eastAsia="PMingLiU" w:cs="Times New Roman"/>
          <w:i/>
        </w:rPr>
        <w:lastRenderedPageBreak/>
        <w:t xml:space="preserve">Zhuangzi </w:t>
      </w:r>
      <w:proofErr w:type="spellStart"/>
      <w:r w:rsidRPr="00601FAD">
        <w:rPr>
          <w:rFonts w:eastAsia="PMingLiU" w:cs="Times New Roman"/>
          <w:i/>
        </w:rPr>
        <w:t>Yinde</w:t>
      </w:r>
      <w:proofErr w:type="spellEnd"/>
      <w:r w:rsidRPr="00601FAD">
        <w:rPr>
          <w:rFonts w:eastAsia="PMingLiU" w:cs="Times New Roman"/>
        </w:rPr>
        <w:t xml:space="preserve"> </w:t>
      </w:r>
      <w:r w:rsidRPr="00601FAD">
        <w:rPr>
          <w:rFonts w:eastAsia="PMingLiU" w:cs="Times New Roman"/>
        </w:rPr>
        <w:t>《</w:t>
      </w:r>
      <w:proofErr w:type="spellStart"/>
      <w:r w:rsidRPr="00601FAD">
        <w:rPr>
          <w:rFonts w:eastAsia="KaiTi" w:cs="Times New Roman"/>
        </w:rPr>
        <w:t>莊子引得</w:t>
      </w:r>
      <w:proofErr w:type="spellEnd"/>
      <w:r w:rsidRPr="00601FAD">
        <w:rPr>
          <w:rFonts w:eastAsia="PMingLiU" w:cs="Times New Roman"/>
        </w:rPr>
        <w:t>》</w:t>
      </w:r>
      <w:r w:rsidRPr="00601FAD">
        <w:rPr>
          <w:rFonts w:eastAsia="PMingLiU" w:cs="Times New Roman"/>
        </w:rPr>
        <w:t xml:space="preserve"> (</w:t>
      </w:r>
      <w:r w:rsidRPr="00601FAD">
        <w:rPr>
          <w:rFonts w:eastAsia="PMingLiU" w:cs="Times New Roman"/>
          <w:i/>
        </w:rPr>
        <w:t>A Concordance to</w:t>
      </w:r>
      <w:r w:rsidRPr="00601FAD">
        <w:rPr>
          <w:rFonts w:eastAsia="PMingLiU" w:cs="Times New Roman"/>
        </w:rPr>
        <w:t xml:space="preserve"> Zhuangzi). Hong, Ye (ed.) </w:t>
      </w:r>
      <w:proofErr w:type="spellStart"/>
      <w:r w:rsidRPr="00601FAD">
        <w:rPr>
          <w:rFonts w:eastAsia="KaiTi" w:cs="Times New Roman"/>
        </w:rPr>
        <w:t>洪業主編</w:t>
      </w:r>
      <w:proofErr w:type="spellEnd"/>
      <w:r w:rsidRPr="00601FAD">
        <w:rPr>
          <w:rFonts w:eastAsia="PMingLiU" w:cs="Times New Roman"/>
        </w:rPr>
        <w:t>. Harvard-</w:t>
      </w:r>
      <w:proofErr w:type="spellStart"/>
      <w:r w:rsidRPr="00601FAD">
        <w:rPr>
          <w:rFonts w:eastAsia="PMingLiU" w:cs="Times New Roman"/>
        </w:rPr>
        <w:t>Yenching</w:t>
      </w:r>
      <w:proofErr w:type="spellEnd"/>
      <w:r w:rsidRPr="00601FAD">
        <w:rPr>
          <w:rFonts w:eastAsia="PMingLiU" w:cs="Times New Roman"/>
        </w:rPr>
        <w:t xml:space="preserve"> Institute Sinological Index Series, Supplement no. 20. Cambridge MA: Harvard University Press, 1956.</w:t>
      </w:r>
    </w:p>
    <w:p w14:paraId="1241432C" w14:textId="77777777" w:rsidR="00B571C3" w:rsidRPr="00601FAD" w:rsidRDefault="00B571C3" w:rsidP="00280F07">
      <w:pPr>
        <w:rPr>
          <w:rFonts w:eastAsia="Times New Roman" w:cs="Times New Roman"/>
          <w:lang w:eastAsia="en-AU"/>
        </w:rPr>
      </w:pPr>
    </w:p>
    <w:p w14:paraId="6CBAA023" w14:textId="77777777" w:rsidR="00B528C4" w:rsidRPr="00601FAD" w:rsidRDefault="00B528C4" w:rsidP="00280F07"/>
    <w:sectPr w:rsidR="00B528C4" w:rsidRPr="00601F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6739" w14:textId="77777777" w:rsidR="00EA2B7E" w:rsidRDefault="00EA2B7E" w:rsidP="002D7478">
      <w:pPr>
        <w:spacing w:line="240" w:lineRule="auto"/>
      </w:pPr>
      <w:r>
        <w:separator/>
      </w:r>
    </w:p>
  </w:endnote>
  <w:endnote w:type="continuationSeparator" w:id="0">
    <w:p w14:paraId="60EC2E63" w14:textId="77777777" w:rsidR="00EA2B7E" w:rsidRDefault="00EA2B7E" w:rsidP="002D7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altName w:val="Cambria"/>
    <w:panose1 w:val="00000000000000000000"/>
    <w:charset w:val="00"/>
    <w:family w:val="roman"/>
    <w:notTrueType/>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874142"/>
      <w:docPartObj>
        <w:docPartGallery w:val="Page Numbers (Bottom of Page)"/>
        <w:docPartUnique/>
      </w:docPartObj>
    </w:sdtPr>
    <w:sdtEndPr>
      <w:rPr>
        <w:noProof/>
      </w:rPr>
    </w:sdtEndPr>
    <w:sdtContent>
      <w:p w14:paraId="065EBEB1" w14:textId="77777777" w:rsidR="002408AC" w:rsidRDefault="002408AC">
        <w:pPr>
          <w:pStyle w:val="Footer"/>
          <w:jc w:val="center"/>
        </w:pPr>
        <w:r>
          <w:fldChar w:fldCharType="begin"/>
        </w:r>
        <w:r>
          <w:instrText xml:space="preserve"> PAGE   \* MERGEFORMAT </w:instrText>
        </w:r>
        <w:r>
          <w:fldChar w:fldCharType="separate"/>
        </w:r>
        <w:r w:rsidR="000216C4">
          <w:rPr>
            <w:noProof/>
          </w:rPr>
          <w:t>4</w:t>
        </w:r>
        <w:r>
          <w:rPr>
            <w:noProof/>
          </w:rPr>
          <w:fldChar w:fldCharType="end"/>
        </w:r>
      </w:p>
    </w:sdtContent>
  </w:sdt>
  <w:p w14:paraId="7BC630B6" w14:textId="77777777" w:rsidR="002408AC" w:rsidRDefault="0024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6C91" w14:textId="77777777" w:rsidR="00EA2B7E" w:rsidRDefault="00EA2B7E" w:rsidP="002D7478">
      <w:pPr>
        <w:spacing w:line="240" w:lineRule="auto"/>
      </w:pPr>
      <w:r>
        <w:separator/>
      </w:r>
    </w:p>
  </w:footnote>
  <w:footnote w:type="continuationSeparator" w:id="0">
    <w:p w14:paraId="53C3FE1D" w14:textId="77777777" w:rsidR="00EA2B7E" w:rsidRDefault="00EA2B7E" w:rsidP="002D7478">
      <w:pPr>
        <w:spacing w:line="240" w:lineRule="auto"/>
      </w:pPr>
      <w:r>
        <w:continuationSeparator/>
      </w:r>
    </w:p>
  </w:footnote>
  <w:footnote w:id="1">
    <w:p w14:paraId="4E9E3E8C" w14:textId="74AF06F4" w:rsidR="002408AC" w:rsidRPr="009C4939" w:rsidRDefault="002408AC" w:rsidP="00280F07">
      <w:pPr>
        <w:pStyle w:val="FootnoteText"/>
        <w:spacing w:line="480" w:lineRule="auto"/>
        <w:rPr>
          <w:rFonts w:cs="Times New Roman"/>
        </w:rPr>
      </w:pPr>
      <w:r w:rsidRPr="009C4939">
        <w:rPr>
          <w:rStyle w:val="FootnoteReference"/>
          <w:rFonts w:cs="Times New Roman"/>
        </w:rPr>
        <w:footnoteRef/>
      </w:r>
      <w:r w:rsidRPr="009C4939">
        <w:rPr>
          <w:rFonts w:cs="Times New Roman"/>
        </w:rPr>
        <w:t xml:space="preserve"> </w:t>
      </w:r>
      <w:r w:rsidRPr="009C4939">
        <w:rPr>
          <w:rFonts w:cs="Times New Roman"/>
          <w:lang w:val="en-GB"/>
        </w:rPr>
        <w:t xml:space="preserve">The character </w:t>
      </w:r>
      <w:r w:rsidRPr="009C4939">
        <w:rPr>
          <w:rFonts w:cs="Times New Roman"/>
          <w:i/>
          <w:lang w:val="en-GB"/>
        </w:rPr>
        <w:t>zhi</w:t>
      </w:r>
      <w:r w:rsidRPr="009C4939">
        <w:rPr>
          <w:rFonts w:cs="Times New Roman"/>
          <w:lang w:val="en-GB"/>
        </w:rPr>
        <w:t xml:space="preserve"> “</w:t>
      </w:r>
      <w:r w:rsidRPr="009C4939">
        <w:rPr>
          <w:rFonts w:eastAsia="KaiTi" w:cs="Times New Roman"/>
          <w:lang w:val="en-GB"/>
        </w:rPr>
        <w:t>知</w:t>
      </w:r>
      <w:r w:rsidRPr="009C4939">
        <w:rPr>
          <w:rFonts w:cs="Times New Roman"/>
          <w:lang w:val="en-GB"/>
        </w:rPr>
        <w:t xml:space="preserve">” in this phrase </w:t>
      </w:r>
      <w:r w:rsidRPr="009C4939">
        <w:rPr>
          <w:rFonts w:cs="Times New Roman"/>
          <w:i/>
          <w:lang w:val="en-GB"/>
        </w:rPr>
        <w:t>wei tiao yi zhi zhi</w:t>
      </w:r>
      <w:r w:rsidRPr="009C4939">
        <w:rPr>
          <w:rFonts w:cs="Times New Roman"/>
          <w:lang w:val="en-GB"/>
        </w:rPr>
        <w:t xml:space="preserve"> “</w:t>
      </w:r>
      <w:r w:rsidRPr="009C4939">
        <w:rPr>
          <w:rFonts w:eastAsia="KaiTi" w:cs="Times New Roman"/>
          <w:lang w:val="en-GB"/>
        </w:rPr>
        <w:t>唯蜩翼之知</w:t>
      </w:r>
      <w:r w:rsidRPr="009C4939">
        <w:rPr>
          <w:rFonts w:cs="Times New Roman"/>
          <w:lang w:val="en-GB"/>
        </w:rPr>
        <w:t xml:space="preserve">” may be translated </w:t>
      </w:r>
      <w:r w:rsidR="00C12A9D">
        <w:rPr>
          <w:rFonts w:cs="Times New Roman"/>
          <w:lang w:val="en-GB"/>
        </w:rPr>
        <w:t>“</w:t>
      </w:r>
      <w:r w:rsidRPr="009C4939">
        <w:rPr>
          <w:rFonts w:cs="Times New Roman"/>
          <w:lang w:val="en-GB"/>
        </w:rPr>
        <w:t>to be aware of</w:t>
      </w:r>
      <w:r w:rsidR="00C12A9D">
        <w:rPr>
          <w:rFonts w:cs="Times New Roman"/>
          <w:lang w:val="en-GB"/>
        </w:rPr>
        <w:t>”</w:t>
      </w:r>
      <w:r w:rsidRPr="009C4939">
        <w:rPr>
          <w:rFonts w:cs="Times New Roman"/>
          <w:lang w:val="en-GB"/>
        </w:rPr>
        <w:t xml:space="preserve"> but it may also be translated as ‘to comprehend’.</w:t>
      </w:r>
    </w:p>
  </w:footnote>
  <w:footnote w:id="2">
    <w:p w14:paraId="27D266FD" w14:textId="77777777" w:rsidR="002408AC" w:rsidRPr="00B571C3" w:rsidRDefault="002408AC" w:rsidP="00280F07">
      <w:pPr>
        <w:pStyle w:val="FootnoteText"/>
        <w:spacing w:line="480" w:lineRule="auto"/>
        <w:rPr>
          <w:rFonts w:cs="Times New Roman"/>
          <w:lang w:eastAsia="zh-TW"/>
        </w:rPr>
      </w:pPr>
      <w:r w:rsidRPr="009C4939">
        <w:rPr>
          <w:rStyle w:val="FootnoteReference"/>
          <w:rFonts w:cs="Times New Roman"/>
        </w:rPr>
        <w:footnoteRef/>
      </w:r>
      <w:r w:rsidRPr="009C4939">
        <w:rPr>
          <w:rFonts w:eastAsia="KaiTi" w:cs="Times New Roman"/>
          <w:lang w:eastAsia="zh-TW"/>
        </w:rPr>
        <w:t xml:space="preserve"> </w:t>
      </w:r>
      <w:r w:rsidRPr="009C4939">
        <w:rPr>
          <w:rFonts w:eastAsia="KaiTi" w:cs="Times New Roman"/>
          <w:lang w:eastAsia="zh-TW"/>
        </w:rPr>
        <w:t>仲尼適楚，出於林中，見痀僂者承蜩，猶掇之也。仲尼曰：「子巧乎？有道邪？」曰：「我有道也。五六月累丸，二而不墜，則失者錙銖；累三而不墜，則失者十</w:t>
      </w:r>
      <w:r w:rsidRPr="009C4939">
        <w:rPr>
          <w:rFonts w:eastAsia="KaiTi" w:cs="Times New Roman"/>
          <w:lang w:eastAsia="zh-TW"/>
        </w:rPr>
        <w:t xml:space="preserve"> </w:t>
      </w:r>
      <w:r w:rsidRPr="009C4939">
        <w:rPr>
          <w:rFonts w:eastAsia="KaiTi" w:cs="Times New Roman"/>
          <w:lang w:eastAsia="zh-TW"/>
        </w:rPr>
        <w:t>一；累五而不墜，猶掇之也。吾處身也若厥株拘，吾執臂也若槁木之枝，雖天地之大，萬物之多，而唯蜩翼之知。吾不反不側，不以萬物易蜩之翼，何為而不得！」</w:t>
      </w:r>
      <w:r w:rsidRPr="009C4939">
        <w:rPr>
          <w:rFonts w:eastAsia="KaiTi" w:cs="Times New Roman"/>
          <w:lang w:eastAsia="zh-TW"/>
        </w:rPr>
        <w:t xml:space="preserve"> </w:t>
      </w:r>
      <w:r w:rsidRPr="009C4939">
        <w:rPr>
          <w:rFonts w:eastAsia="KaiTi" w:cs="Times New Roman"/>
          <w:lang w:eastAsia="zh-TW"/>
        </w:rPr>
        <w:t>孔子顧謂弟子曰：「用志不分，乃凝於神，其痀僂丈人之謂乎！」</w:t>
      </w:r>
      <w:r w:rsidRPr="009C4939">
        <w:rPr>
          <w:rFonts w:cs="Times New Roman"/>
          <w:i/>
          <w:lang w:eastAsia="zh-TW"/>
        </w:rPr>
        <w:t>Zhuangzi</w:t>
      </w:r>
      <w:r>
        <w:rPr>
          <w:rFonts w:cs="Times New Roman"/>
          <w:lang w:eastAsia="zh-TW"/>
        </w:rPr>
        <w:t>,</w:t>
      </w:r>
      <w:r w:rsidRPr="009C4939">
        <w:rPr>
          <w:rFonts w:cs="Times New Roman"/>
          <w:i/>
          <w:lang w:eastAsia="zh-TW"/>
        </w:rPr>
        <w:t xml:space="preserve"> </w:t>
      </w:r>
      <w:r w:rsidRPr="009C4939">
        <w:rPr>
          <w:rFonts w:cs="Times New Roman"/>
          <w:lang w:eastAsia="zh-TW"/>
        </w:rPr>
        <w:t>48/19/17-21.</w:t>
      </w:r>
      <w:r>
        <w:rPr>
          <w:rFonts w:cs="Times New Roman"/>
          <w:lang w:eastAsia="zh-TW"/>
        </w:rPr>
        <w:t xml:space="preserve">  All references to the Chinese language </w:t>
      </w:r>
      <w:r>
        <w:rPr>
          <w:rFonts w:cs="Times New Roman"/>
          <w:i/>
          <w:lang w:eastAsia="zh-TW"/>
        </w:rPr>
        <w:t>Zhuangzi</w:t>
      </w:r>
      <w:r>
        <w:rPr>
          <w:rFonts w:cs="Times New Roman"/>
          <w:lang w:eastAsia="zh-TW"/>
        </w:rPr>
        <w:t xml:space="preserve"> text are taken from the </w:t>
      </w:r>
      <w:r>
        <w:rPr>
          <w:rFonts w:cs="Times New Roman"/>
          <w:i/>
          <w:lang w:eastAsia="zh-TW"/>
        </w:rPr>
        <w:t>Zhuangzi Yinde</w:t>
      </w:r>
      <w:r>
        <w:rPr>
          <w:rFonts w:cs="Times New Roman"/>
          <w:lang w:eastAsia="zh-TW"/>
        </w:rPr>
        <w:t>, the Harvard Yenching index, 1956.</w:t>
      </w:r>
    </w:p>
  </w:footnote>
  <w:footnote w:id="3">
    <w:p w14:paraId="4DC5C17D" w14:textId="14764BB1" w:rsidR="008C47E2" w:rsidRDefault="008C47E2" w:rsidP="00280F07">
      <w:pPr>
        <w:pStyle w:val="FootnoteText"/>
        <w:spacing w:line="480" w:lineRule="auto"/>
      </w:pPr>
      <w:r>
        <w:rPr>
          <w:rStyle w:val="FootnoteReference"/>
        </w:rPr>
        <w:footnoteRef/>
      </w:r>
      <w:r>
        <w:t xml:space="preserve"> </w:t>
      </w:r>
      <w:r w:rsidR="00F313EA">
        <w:t>I</w:t>
      </w:r>
      <w:r>
        <w:t xml:space="preserve"> discuss some of these characterisations in later sections of this chapter.</w:t>
      </w:r>
    </w:p>
  </w:footnote>
  <w:footnote w:id="4">
    <w:p w14:paraId="369CC07D" w14:textId="77777777" w:rsidR="0018675A" w:rsidRDefault="0018675A" w:rsidP="00280F07">
      <w:pPr>
        <w:pStyle w:val="FootnoteText"/>
        <w:spacing w:line="480" w:lineRule="auto"/>
      </w:pPr>
      <w:r>
        <w:rPr>
          <w:rStyle w:val="FootnoteReference"/>
        </w:rPr>
        <w:footnoteRef/>
      </w:r>
      <w:r>
        <w:t xml:space="preserve"> See, for example, Dufresne’s discussion (</w:t>
      </w:r>
      <w:r>
        <w:rPr>
          <w:rStyle w:val="authors"/>
        </w:rPr>
        <w:t>“</w:t>
      </w:r>
      <w:r>
        <w:rPr>
          <w:rStyle w:val="arttitle"/>
        </w:rPr>
        <w:t>The Illusion of Teaching and Learning”, 2017)</w:t>
      </w:r>
    </w:p>
  </w:footnote>
  <w:footnote w:id="5">
    <w:p w14:paraId="36913A5A" w14:textId="77777777" w:rsidR="007A228B" w:rsidRPr="007A228B" w:rsidRDefault="007A228B" w:rsidP="00280F07">
      <w:pPr>
        <w:pStyle w:val="FootnoteText"/>
        <w:spacing w:line="480" w:lineRule="auto"/>
      </w:pPr>
      <w:r>
        <w:rPr>
          <w:rStyle w:val="FootnoteReference"/>
        </w:rPr>
        <w:footnoteRef/>
      </w:r>
      <w:r>
        <w:t xml:space="preserve"> In the </w:t>
      </w:r>
      <w:r>
        <w:rPr>
          <w:i/>
        </w:rPr>
        <w:t>Zhuangzi</w:t>
      </w:r>
      <w:r>
        <w:t xml:space="preserve">, this style of questioning, first to frame a question, then to pose its contrapositive, is interesting.  If only one question were posed, e.g. “Can skill be learnt?”, a possible interpretation is that the text is in fact making a statement by posing a rhetorical question.  (It could, of course, be a genuine question, seeking an answer for its query).  However, to first frame a question and then to follow it up immediately </w:t>
      </w:r>
      <w:r w:rsidR="00D71645">
        <w:t xml:space="preserve">with its contrapositive, </w:t>
      </w:r>
      <w:r w:rsidR="0017277B">
        <w:t>expresses an open-ended scepticism, that is, one that prompts readers to further consider the issue at hand.</w:t>
      </w:r>
    </w:p>
  </w:footnote>
  <w:footnote w:id="6">
    <w:p w14:paraId="7C785859" w14:textId="77777777" w:rsidR="002408AC" w:rsidRPr="003971EB" w:rsidRDefault="002408AC" w:rsidP="00280F07">
      <w:pPr>
        <w:pStyle w:val="FootnoteText"/>
        <w:spacing w:line="480" w:lineRule="auto"/>
        <w:rPr>
          <w:rFonts w:cs="Times New Roman"/>
        </w:rPr>
      </w:pPr>
      <w:r w:rsidRPr="003971EB">
        <w:rPr>
          <w:rStyle w:val="FootnoteReference"/>
          <w:rFonts w:cs="Times New Roman"/>
        </w:rPr>
        <w:footnoteRef/>
      </w:r>
      <w:r w:rsidRPr="003971EB">
        <w:rPr>
          <w:rFonts w:cs="Times New Roman"/>
        </w:rPr>
        <w:t xml:space="preserve"> </w:t>
      </w:r>
      <w:r>
        <w:rPr>
          <w:rFonts w:cs="Times New Roman"/>
        </w:rPr>
        <w:t>See, for example,</w:t>
      </w:r>
      <w:r w:rsidRPr="003971EB">
        <w:rPr>
          <w:rFonts w:cs="Times New Roman"/>
        </w:rPr>
        <w:t xml:space="preserve"> Philip Ivanhoe</w:t>
      </w:r>
      <w:r>
        <w:rPr>
          <w:rFonts w:cs="Times New Roman"/>
        </w:rPr>
        <w:t>’s “Zhuangzi on Skepticism</w:t>
      </w:r>
      <w:r w:rsidRPr="003971EB">
        <w:rPr>
          <w:rFonts w:cs="Times New Roman"/>
        </w:rPr>
        <w:t xml:space="preserve">” </w:t>
      </w:r>
      <w:r>
        <w:rPr>
          <w:rFonts w:cs="Times New Roman"/>
        </w:rPr>
        <w:t>(</w:t>
      </w:r>
      <w:r w:rsidRPr="003971EB">
        <w:rPr>
          <w:rFonts w:cs="Times New Roman"/>
        </w:rPr>
        <w:t>p. 648), and Harold Roth</w:t>
      </w:r>
      <w:r>
        <w:rPr>
          <w:rFonts w:cs="Times New Roman"/>
        </w:rPr>
        <w:t>’s “Bimodal Mystical Experience</w:t>
      </w:r>
      <w:r w:rsidRPr="003971EB">
        <w:rPr>
          <w:rFonts w:cs="Times New Roman"/>
        </w:rPr>
        <w:t xml:space="preserve">” </w:t>
      </w:r>
      <w:r>
        <w:rPr>
          <w:rFonts w:cs="Times New Roman"/>
        </w:rPr>
        <w:t>(p</w:t>
      </w:r>
      <w:r w:rsidRPr="003971EB">
        <w:rPr>
          <w:rFonts w:cs="Times New Roman"/>
        </w:rPr>
        <w:t>p. 24, 27).</w:t>
      </w:r>
    </w:p>
  </w:footnote>
  <w:footnote w:id="7">
    <w:p w14:paraId="2FE23D61" w14:textId="77777777" w:rsidR="002408AC" w:rsidRPr="003971EB" w:rsidRDefault="002408AC" w:rsidP="00280F07">
      <w:pPr>
        <w:pStyle w:val="FootnoteText"/>
        <w:spacing w:line="480" w:lineRule="auto"/>
        <w:rPr>
          <w:rFonts w:cs="Times New Roman"/>
        </w:rPr>
      </w:pPr>
      <w:r w:rsidRPr="003971EB">
        <w:rPr>
          <w:rStyle w:val="FootnoteReference"/>
          <w:rFonts w:cs="Times New Roman"/>
        </w:rPr>
        <w:footnoteRef/>
      </w:r>
      <w:r w:rsidRPr="003971EB">
        <w:rPr>
          <w:rFonts w:cs="Times New Roman"/>
        </w:rPr>
        <w:t xml:space="preserve"> Graham writes, “Like all great anti-rationalists, [Zhuangzi] has his reasons for not listening to reason…all reasoning depends on making distinctions, and to reach the conclusion that we should abandon reason for the immediate experience or an undifferentiated world, transforming ‘All are one’ from a moral into a mystical affirmation. It is in ‘The sorting that evens things out’ that [Zhuangzi] takes this step.</w:t>
      </w:r>
      <w:r w:rsidR="00280F07">
        <w:rPr>
          <w:rFonts w:cs="Times New Roman"/>
        </w:rPr>
        <w:t>”</w:t>
      </w:r>
      <w:r w:rsidRPr="003971EB">
        <w:rPr>
          <w:rFonts w:cs="Times New Roman"/>
        </w:rPr>
        <w:t xml:space="preserve"> (Graham, </w:t>
      </w:r>
      <w:r w:rsidRPr="003971EB">
        <w:rPr>
          <w:rFonts w:cs="Times New Roman"/>
          <w:i/>
        </w:rPr>
        <w:t>Chuang Tzu</w:t>
      </w:r>
      <w:r w:rsidRPr="003971EB">
        <w:rPr>
          <w:rFonts w:cs="Times New Roman"/>
        </w:rPr>
        <w:t>, 9).</w:t>
      </w:r>
    </w:p>
  </w:footnote>
  <w:footnote w:id="8">
    <w:p w14:paraId="15596D36" w14:textId="0E191D75" w:rsidR="000455CA" w:rsidRDefault="000455CA" w:rsidP="00280F07">
      <w:pPr>
        <w:pStyle w:val="FootnoteText"/>
        <w:spacing w:line="480" w:lineRule="auto"/>
      </w:pPr>
      <w:r>
        <w:rPr>
          <w:rStyle w:val="FootnoteReference"/>
        </w:rPr>
        <w:footnoteRef/>
      </w:r>
      <w:r>
        <w:t xml:space="preserve"> Orwell</w:t>
      </w:r>
      <w:r w:rsidR="002504C1">
        <w:t xml:space="preserve">, </w:t>
      </w:r>
      <w:r w:rsidR="002504C1">
        <w:rPr>
          <w:i/>
        </w:rPr>
        <w:t>Animal Farm</w:t>
      </w:r>
      <w:r w:rsidR="00CD1CDD">
        <w:t xml:space="preserve">, </w:t>
      </w:r>
      <w:r>
        <w:t>chapter 2.</w:t>
      </w:r>
    </w:p>
  </w:footnote>
  <w:footnote w:id="9">
    <w:p w14:paraId="22BF6239" w14:textId="77777777" w:rsidR="002408AC" w:rsidRPr="004F5B64" w:rsidRDefault="002408AC" w:rsidP="00280F07">
      <w:pPr>
        <w:pStyle w:val="FootnoteText"/>
        <w:spacing w:line="480" w:lineRule="auto"/>
      </w:pPr>
      <w:r>
        <w:rPr>
          <w:rStyle w:val="FootnoteReference"/>
        </w:rPr>
        <w:footnoteRef/>
      </w:r>
      <w:r>
        <w:t xml:space="preserve"> </w:t>
      </w:r>
      <w:r>
        <w:rPr>
          <w:rFonts w:cs="Times New Roman"/>
        </w:rPr>
        <w:t xml:space="preserve">This picture unsettles a dominant conception of propositional knowledge in western philosophy, that it is the foundational element of epistemology.  </w:t>
      </w:r>
      <w:r>
        <w:t>Gilbert Ryle challenged the prioritisation of knowledge-that over knowledge-how in western analytic epistemology more than half a century ago (</w:t>
      </w:r>
      <w:r>
        <w:rPr>
          <w:rFonts w:eastAsia="PMingLiU" w:cs="Times New Roman"/>
        </w:rPr>
        <w:t>“</w:t>
      </w:r>
      <w:r w:rsidRPr="00601FAD">
        <w:rPr>
          <w:rFonts w:eastAsia="PMingLiU" w:cs="Times New Roman"/>
        </w:rPr>
        <w:t>Knowing How and Knowing That</w:t>
      </w:r>
      <w:r>
        <w:rPr>
          <w:rFonts w:eastAsia="PMingLiU" w:cs="Times New Roman"/>
        </w:rPr>
        <w:t>”, 1946</w:t>
      </w:r>
      <w:r>
        <w:t>).  The debate on the status of knowledge-that remains contentious; for example, the “Intellectualist Debate” centres on whether knowledge-how is primarily a kind of knowledge-that, with the “Intellectualists” holding the affirmative view.  Jason Stanley and Timothy Williamson’s defence of Intellectualism is an influential view (“Knowing How”, 2001).  See the discussion by Jeremy Fantl (“Knowing-How and Knowing-That”, 2008) and John Bengson and Marc Moffett (</w:t>
      </w:r>
      <w:r>
        <w:rPr>
          <w:i/>
        </w:rPr>
        <w:t>Knowing How</w:t>
      </w:r>
      <w:r>
        <w:t>, 2011).</w:t>
      </w:r>
    </w:p>
  </w:footnote>
  <w:footnote w:id="10">
    <w:p w14:paraId="2327E1A0" w14:textId="77777777" w:rsidR="002408AC" w:rsidRDefault="002408AC" w:rsidP="00280F07">
      <w:pPr>
        <w:pStyle w:val="FootnoteText"/>
        <w:spacing w:line="480" w:lineRule="auto"/>
      </w:pPr>
      <w:r>
        <w:rPr>
          <w:rStyle w:val="FootnoteReference"/>
        </w:rPr>
        <w:footnoteRef/>
      </w:r>
      <w:r>
        <w:t xml:space="preserve"> </w:t>
      </w:r>
      <w:r>
        <w:rPr>
          <w:rFonts w:cs="Times New Roman"/>
        </w:rPr>
        <w:t xml:space="preserve">Timothy Ingold, bringing the insights of ecological psychology to bear on his anthropological work, comments that the idea of knowledge detached from action in context and independent of bodily engagement is problematic. He argues, “[t]o think in these terms, however, is to treat performance, such as that of the English speaker or the bowler in cricket, as nothing more than the mechanical execution, by the body, of a set of commands generated and placed ‘on line’ by the intellect.” (“From the Transmission of Representations”, 135).  </w:t>
      </w:r>
    </w:p>
  </w:footnote>
  <w:footnote w:id="11">
    <w:p w14:paraId="4C078473" w14:textId="77777777" w:rsidR="002408AC" w:rsidRPr="00C60437" w:rsidRDefault="002408AC" w:rsidP="00280F07">
      <w:pPr>
        <w:pStyle w:val="FootnoteText"/>
        <w:spacing w:line="480" w:lineRule="auto"/>
      </w:pPr>
      <w:r>
        <w:rPr>
          <w:rStyle w:val="FootnoteReference"/>
        </w:rPr>
        <w:footnoteRef/>
      </w:r>
      <w:r>
        <w:t xml:space="preserve"> Ellen Fridland presents an interesting account of the </w:t>
      </w:r>
      <w:r>
        <w:rPr>
          <w:i/>
        </w:rPr>
        <w:t xml:space="preserve">chronological priority </w:t>
      </w:r>
      <w:r>
        <w:t xml:space="preserve">of skill-learning to conceptual thought.  She suggests that “it is through the processes of skill learning that intentional actions break free from their domain-specific instantiation environments and begin to exhibit increasing degrees of distinctness and abstractness.” (“Skill Learning and Conceptual Thought”, 77-8).   This account is not about the priority as such of skill over conceptual thought, nor is it attempting to reconfigure what Ryle tried to do.  However, it harks back to Ryle’s aim to address the unequal weights of knowing-that and knowing-how as well as how they are conceived in explaining knowledge and action.  Ryle sought “to turn the tables and to prove that knowledge-how cannot be defined in terms of knowledge-that and further, that knowledge-how is a concept logically prior to the </w:t>
      </w:r>
      <w:r w:rsidRPr="00C60437">
        <w:t>concept of knowledge-that</w:t>
      </w:r>
      <w:r>
        <w:t>”</w:t>
      </w:r>
      <w:r w:rsidRPr="00C60437">
        <w:t xml:space="preserve"> </w:t>
      </w:r>
      <w:r>
        <w:t>(“Knowing How and Knowing That”, 4-5).</w:t>
      </w:r>
    </w:p>
  </w:footnote>
  <w:footnote w:id="12">
    <w:p w14:paraId="57711B00" w14:textId="77777777" w:rsidR="00DF0B6A" w:rsidRDefault="00DF0B6A" w:rsidP="00280F07">
      <w:pPr>
        <w:pStyle w:val="FootnoteText"/>
        <w:spacing w:line="480" w:lineRule="auto"/>
      </w:pPr>
      <w:r>
        <w:rPr>
          <w:rStyle w:val="FootnoteReference"/>
        </w:rPr>
        <w:footnoteRef/>
      </w:r>
      <w:r>
        <w:t xml:space="preserve"> </w:t>
      </w:r>
      <w:r w:rsidR="00F96BF5">
        <w:t>Some of this research</w:t>
      </w:r>
      <w:r w:rsidR="00F96BF5">
        <w:rPr>
          <w:rFonts w:cs="Times New Roman"/>
        </w:rPr>
        <w:t xml:space="preserve"> considers data from experiments in the cognitive and neurological sciences, as well as on robotics.</w:t>
      </w:r>
      <w:r w:rsidR="00F96BF5">
        <w:t xml:space="preserve"> </w:t>
      </w:r>
      <w:r>
        <w:t xml:space="preserve">Work on robotics allows researchers to construct robots that appear responsive to environments and seem to engage in adaptive behaviours, yet without a “mind” to explain such behaviours (see, for example, Webb and Consilvio, </w:t>
      </w:r>
      <w:r>
        <w:rPr>
          <w:i/>
        </w:rPr>
        <w:t>Biorobotics</w:t>
      </w:r>
      <w:r>
        <w:t>, 2001; and the brief discussion in Wilson and Golonska, “Embodied Cognition is Not What You Think It Is”, 3-4).  This research has significant implications for philosophy, include expanding our understanding of adaptive behaviour (and how that compares with existing explanatory accounts), and challenging views of mind that defend the centrality of representational content in cognitive processes (see the discussions by Alva Noë (</w:t>
      </w:r>
      <w:r>
        <w:rPr>
          <w:i/>
        </w:rPr>
        <w:t>Varieties of Presence</w:t>
      </w:r>
      <w:r>
        <w:t>; “Experience without the Head”), who rejects the centrality of representations</w:t>
      </w:r>
      <w:r w:rsidR="008B18C4">
        <w:t xml:space="preserve"> in knowledge</w:t>
      </w:r>
      <w:r>
        <w:t xml:space="preserve">, and by Susanna Siegel (Siegel and Silins, “The Epistemology of Perception”; </w:t>
      </w:r>
      <w:r>
        <w:rPr>
          <w:i/>
        </w:rPr>
        <w:t>The Contents of Visual Experience</w:t>
      </w:r>
      <w:r>
        <w:t>), who defends it.</w:t>
      </w:r>
    </w:p>
  </w:footnote>
  <w:footnote w:id="13">
    <w:p w14:paraId="2925A612" w14:textId="77777777" w:rsidR="00486E1C" w:rsidRPr="006E7A66" w:rsidRDefault="00486E1C" w:rsidP="00280F07">
      <w:pPr>
        <w:pStyle w:val="FootnoteText"/>
        <w:spacing w:line="480" w:lineRule="auto"/>
      </w:pPr>
      <w:r>
        <w:rPr>
          <w:rStyle w:val="FootnoteReference"/>
        </w:rPr>
        <w:footnoteRef/>
      </w:r>
      <w:r>
        <w:t xml:space="preserve"> There are many positions on what it means to say that cognition is </w:t>
      </w:r>
      <w:r>
        <w:rPr>
          <w:i/>
        </w:rPr>
        <w:t>embodied</w:t>
      </w:r>
      <w:r>
        <w:t xml:space="preserve">; these views are shaped in part by which philosophical problem ECT is used to address.  Some influential versions of ECT include Mark Johnson’s </w:t>
      </w:r>
      <w:r>
        <w:rPr>
          <w:i/>
        </w:rPr>
        <w:t>Embodied Mind, Meaning and Reason</w:t>
      </w:r>
      <w:r w:rsidR="00C21FA4">
        <w:t>;</w:t>
      </w:r>
      <w:r>
        <w:t xml:space="preserve"> Andy Clark’s </w:t>
      </w:r>
      <w:r>
        <w:rPr>
          <w:rStyle w:val="Emphasis"/>
        </w:rPr>
        <w:t>Supersizing the Mind</w:t>
      </w:r>
      <w:r w:rsidR="00C21FA4">
        <w:rPr>
          <w:rStyle w:val="Emphasis"/>
          <w:i w:val="0"/>
        </w:rPr>
        <w:t>;</w:t>
      </w:r>
      <w:r>
        <w:rPr>
          <w:rStyle w:val="Emphasis"/>
          <w:i w:val="0"/>
        </w:rPr>
        <w:t xml:space="preserve"> Shaun Gallagher’s </w:t>
      </w:r>
      <w:r>
        <w:rPr>
          <w:rStyle w:val="Emphasis"/>
        </w:rPr>
        <w:t>How the Body Shapes the Mind</w:t>
      </w:r>
      <w:r w:rsidR="00C21FA4">
        <w:rPr>
          <w:rStyle w:val="Emphasis"/>
          <w:i w:val="0"/>
        </w:rPr>
        <w:t>;</w:t>
      </w:r>
      <w:r>
        <w:rPr>
          <w:rStyle w:val="Emphasis"/>
          <w:i w:val="0"/>
        </w:rPr>
        <w:t xml:space="preserve"> </w:t>
      </w:r>
      <w:r w:rsidR="008B18C4">
        <w:rPr>
          <w:rStyle w:val="Emphasis"/>
          <w:i w:val="0"/>
        </w:rPr>
        <w:t xml:space="preserve">Richard Menary’s </w:t>
      </w:r>
      <w:r w:rsidR="008B18C4">
        <w:rPr>
          <w:rStyle w:val="Emphasis"/>
        </w:rPr>
        <w:t>Cognitive Integration</w:t>
      </w:r>
      <w:r w:rsidR="008B18C4">
        <w:rPr>
          <w:rStyle w:val="Emphasis"/>
          <w:i w:val="0"/>
        </w:rPr>
        <w:t xml:space="preserve">; </w:t>
      </w:r>
      <w:r>
        <w:rPr>
          <w:rStyle w:val="Emphasis"/>
          <w:i w:val="0"/>
        </w:rPr>
        <w:t xml:space="preserve">and Andy Clark and Alan Chalmers’ “The Extended Mind”. </w:t>
      </w:r>
      <w:r>
        <w:t>Views that challenge ECT include J</w:t>
      </w:r>
      <w:r w:rsidRPr="00730A36">
        <w:rPr>
          <w:rFonts w:eastAsia="PMingLiU" w:cs="Times New Roman"/>
        </w:rPr>
        <w:t>akob</w:t>
      </w:r>
      <w:r>
        <w:rPr>
          <w:rFonts w:eastAsia="PMingLiU" w:cs="Times New Roman"/>
        </w:rPr>
        <w:t xml:space="preserve"> Howhy’s</w:t>
      </w:r>
      <w:r w:rsidRPr="00730A36">
        <w:rPr>
          <w:rFonts w:eastAsia="PMingLiU" w:cs="Times New Roman"/>
        </w:rPr>
        <w:t xml:space="preserve"> </w:t>
      </w:r>
      <w:r>
        <w:rPr>
          <w:rFonts w:eastAsia="PMingLiU" w:cs="Times New Roman"/>
        </w:rPr>
        <w:t>“</w:t>
      </w:r>
      <w:r w:rsidRPr="00730A36">
        <w:rPr>
          <w:rFonts w:eastAsia="PMingLiU" w:cs="Times New Roman"/>
        </w:rPr>
        <w:t>The Self</w:t>
      </w:r>
      <w:r w:rsidRPr="00730A36">
        <w:rPr>
          <w:rFonts w:ascii="Cambria Math" w:eastAsia="PMingLiU" w:hAnsi="Cambria Math" w:cs="Times New Roman"/>
        </w:rPr>
        <w:t>‐</w:t>
      </w:r>
      <w:r>
        <w:rPr>
          <w:rFonts w:eastAsia="PMingLiU" w:cs="Times New Roman"/>
        </w:rPr>
        <w:t>Evidencing Brain”</w:t>
      </w:r>
      <w:r w:rsidR="008B18C4">
        <w:rPr>
          <w:rFonts w:eastAsia="PMingLiU" w:cs="Times New Roman"/>
        </w:rPr>
        <w:t xml:space="preserve"> </w:t>
      </w:r>
      <w:r>
        <w:rPr>
          <w:rFonts w:eastAsia="PMingLiU" w:cs="Times New Roman"/>
        </w:rPr>
        <w:t xml:space="preserve">and Frederick Adams and Kenneth </w:t>
      </w:r>
      <w:r w:rsidRPr="00A657E2">
        <w:rPr>
          <w:rFonts w:eastAsia="PMingLiU" w:cs="Times New Roman"/>
        </w:rPr>
        <w:t>Aizawa</w:t>
      </w:r>
      <w:r>
        <w:rPr>
          <w:rFonts w:eastAsia="PMingLiU" w:cs="Times New Roman"/>
        </w:rPr>
        <w:t xml:space="preserve">’s </w:t>
      </w:r>
      <w:r w:rsidRPr="00A657E2">
        <w:rPr>
          <w:rFonts w:eastAsia="PMingLiU" w:cs="Times New Roman"/>
          <w:i/>
        </w:rPr>
        <w:t>The Bounds of Cognition</w:t>
      </w:r>
      <w:r w:rsidRPr="00A657E2">
        <w:rPr>
          <w:rFonts w:eastAsia="PMingLiU" w:cs="Times New Roman"/>
        </w:rPr>
        <w:t>.</w:t>
      </w:r>
      <w:r>
        <w:t xml:space="preserve"> </w:t>
      </w:r>
      <w:r>
        <w:rPr>
          <w:rFonts w:eastAsia="PMingLiU" w:cs="Times New Roman"/>
        </w:rPr>
        <w:t xml:space="preserve">For an overview of different positions, see Shapiro, </w:t>
      </w:r>
      <w:r>
        <w:rPr>
          <w:rFonts w:eastAsia="PMingLiU" w:cs="Times New Roman"/>
          <w:i/>
        </w:rPr>
        <w:t>Routledge Handbook of Embodied Cognition</w:t>
      </w:r>
      <w:r>
        <w:rPr>
          <w:rFonts w:eastAsia="PMingLiU" w:cs="Times New Roman"/>
        </w:rPr>
        <w:t xml:space="preserve"> and Wilson and Golonka, “Embodied Cognition is not What You Think It Is”.</w:t>
      </w:r>
    </w:p>
  </w:footnote>
  <w:footnote w:id="14">
    <w:p w14:paraId="2460B690" w14:textId="77777777" w:rsidR="00881068" w:rsidRPr="00881068" w:rsidRDefault="00881068" w:rsidP="00C06B83">
      <w:pPr>
        <w:pStyle w:val="FootnoteText"/>
        <w:spacing w:line="480" w:lineRule="auto"/>
      </w:pPr>
      <w:r>
        <w:rPr>
          <w:rStyle w:val="FootnoteReference"/>
        </w:rPr>
        <w:footnoteRef/>
      </w:r>
      <w:r>
        <w:t xml:space="preserve"> Menary discusses these strands in </w:t>
      </w:r>
      <w:r>
        <w:rPr>
          <w:i/>
        </w:rPr>
        <w:t xml:space="preserve">Cognitive Integration, </w:t>
      </w:r>
      <w:r>
        <w:t>pp. 3-5.</w:t>
      </w:r>
      <w:r w:rsidR="00C06B83">
        <w:t xml:space="preserve"> He draws on both strands in his proposal for Cognitive Integration, the view that our manipulations of the environment have a normative dimension, embedded in cognitive practices (</w:t>
      </w:r>
      <w:r w:rsidR="00C06B83">
        <w:rPr>
          <w:i/>
        </w:rPr>
        <w:t>Ibid</w:t>
      </w:r>
      <w:r w:rsidR="00C06B83">
        <w:t>., 6; see also Menary and Gillett, “Embodying Culture”)</w:t>
      </w:r>
      <w:r w:rsidR="00C06B83" w:rsidRPr="00C06B83">
        <w:t>.</w:t>
      </w:r>
    </w:p>
  </w:footnote>
  <w:footnote w:id="15">
    <w:p w14:paraId="2D488ABB" w14:textId="77777777" w:rsidR="007242D0" w:rsidRDefault="007242D0" w:rsidP="007242D0">
      <w:pPr>
        <w:pStyle w:val="FootnoteText"/>
        <w:spacing w:line="480" w:lineRule="auto"/>
      </w:pPr>
      <w:r>
        <w:rPr>
          <w:rStyle w:val="FootnoteReference"/>
        </w:rPr>
        <w:footnoteRef/>
      </w:r>
      <w:r>
        <w:t xml:space="preserve"> I discuss the idea of cognitive integration later, in 4.3, which focuses on performance.</w:t>
      </w:r>
    </w:p>
  </w:footnote>
  <w:footnote w:id="16">
    <w:p w14:paraId="52FEE84C" w14:textId="77777777" w:rsidR="00A52471" w:rsidRPr="005A5910" w:rsidRDefault="00A52471" w:rsidP="00280F07">
      <w:pPr>
        <w:pStyle w:val="FootnoteText"/>
        <w:spacing w:line="480" w:lineRule="auto"/>
      </w:pPr>
      <w:r>
        <w:rPr>
          <w:rStyle w:val="FootnoteReference"/>
        </w:rPr>
        <w:footnoteRef/>
      </w:r>
      <w:r>
        <w:t xml:space="preserve"> For support for this view, refer to Gallagher, </w:t>
      </w:r>
      <w:r>
        <w:rPr>
          <w:i/>
        </w:rPr>
        <w:t>How the Body Shapes the Mind</w:t>
      </w:r>
      <w:r>
        <w:t xml:space="preserve">; </w:t>
      </w:r>
      <w:r w:rsidRPr="00CA3844">
        <w:rPr>
          <w:rFonts w:cs="Times New Roman"/>
        </w:rPr>
        <w:t xml:space="preserve">Varela, </w:t>
      </w:r>
      <w:r>
        <w:rPr>
          <w:rFonts w:cs="Times New Roman"/>
        </w:rPr>
        <w:t xml:space="preserve">Thompson, &amp; </w:t>
      </w:r>
      <w:r w:rsidRPr="00CA3844">
        <w:rPr>
          <w:rFonts w:cs="Times New Roman"/>
        </w:rPr>
        <w:t xml:space="preserve">Rosch, </w:t>
      </w:r>
      <w:r w:rsidRPr="00CA3844">
        <w:rPr>
          <w:rFonts w:cs="Times New Roman"/>
          <w:i/>
        </w:rPr>
        <w:t>The Embodied Mind</w:t>
      </w:r>
      <w:r>
        <w:rPr>
          <w:rFonts w:cs="Times New Roman"/>
        </w:rPr>
        <w:t xml:space="preserve">; Andy </w:t>
      </w:r>
      <w:r>
        <w:rPr>
          <w:rStyle w:val="Emphasis"/>
          <w:i w:val="0"/>
        </w:rPr>
        <w:t xml:space="preserve">Clark, </w:t>
      </w:r>
      <w:r>
        <w:rPr>
          <w:rStyle w:val="Emphasis"/>
        </w:rPr>
        <w:t>Being There</w:t>
      </w:r>
      <w:r>
        <w:rPr>
          <w:rStyle w:val="Emphasis"/>
          <w:i w:val="0"/>
        </w:rPr>
        <w:t xml:space="preserve">.  See also </w:t>
      </w:r>
      <w:r w:rsidRPr="008943E6">
        <w:rPr>
          <w:rFonts w:eastAsia="PMingLiU" w:cs="Times New Roman"/>
        </w:rPr>
        <w:t>Noë</w:t>
      </w:r>
      <w:r>
        <w:rPr>
          <w:rFonts w:eastAsia="PMingLiU" w:cs="Times New Roman"/>
        </w:rPr>
        <w:t>, “</w:t>
      </w:r>
      <w:r w:rsidRPr="008943E6">
        <w:rPr>
          <w:rFonts w:eastAsia="PMingLiU" w:cs="Times New Roman"/>
        </w:rPr>
        <w:t xml:space="preserve">Experience </w:t>
      </w:r>
      <w:r>
        <w:rPr>
          <w:rFonts w:eastAsia="PMingLiU" w:cs="Times New Roman"/>
        </w:rPr>
        <w:t>W</w:t>
      </w:r>
      <w:r w:rsidRPr="008943E6">
        <w:rPr>
          <w:rFonts w:eastAsia="PMingLiU" w:cs="Times New Roman"/>
        </w:rPr>
        <w:t xml:space="preserve">ithout the </w:t>
      </w:r>
      <w:r>
        <w:rPr>
          <w:rFonts w:eastAsia="PMingLiU" w:cs="Times New Roman"/>
        </w:rPr>
        <w:t>H</w:t>
      </w:r>
      <w:r w:rsidRPr="008943E6">
        <w:rPr>
          <w:rFonts w:eastAsia="PMingLiU" w:cs="Times New Roman"/>
        </w:rPr>
        <w:t>ead</w:t>
      </w:r>
      <w:r>
        <w:rPr>
          <w:rFonts w:eastAsia="PMingLiU" w:cs="Times New Roman"/>
        </w:rPr>
        <w:t xml:space="preserve">”; and the collection of papers edited by Richard Menary in </w:t>
      </w:r>
      <w:r>
        <w:rPr>
          <w:rFonts w:eastAsia="PMingLiU" w:cs="Times New Roman"/>
          <w:i/>
        </w:rPr>
        <w:t>The Extended Mind</w:t>
      </w:r>
      <w:r>
        <w:rPr>
          <w:rFonts w:eastAsia="PMingLiU" w:cs="Times New Roman"/>
        </w:rPr>
        <w:t>, in response to Clark and Chalmers’ article of the same title, “The Extended Mind”</w:t>
      </w:r>
      <w:r>
        <w:rPr>
          <w:rStyle w:val="Emphasis"/>
          <w:i w:val="0"/>
        </w:rPr>
        <w:t xml:space="preserve">. </w:t>
      </w:r>
    </w:p>
  </w:footnote>
  <w:footnote w:id="17">
    <w:p w14:paraId="62792E9C" w14:textId="7AB2B394" w:rsidR="0087684A" w:rsidRDefault="0087684A" w:rsidP="0087684A">
      <w:pPr>
        <w:pStyle w:val="FootnoteText"/>
        <w:spacing w:line="480" w:lineRule="auto"/>
      </w:pPr>
      <w:r>
        <w:rPr>
          <w:rStyle w:val="FootnoteReference"/>
        </w:rPr>
        <w:footnoteRef/>
      </w:r>
      <w:r>
        <w:t xml:space="preserve"> Contrast this picture</w:t>
      </w:r>
      <w:r w:rsidR="001D3A84">
        <w:t xml:space="preserve"> of learning</w:t>
      </w:r>
      <w:r>
        <w:t xml:space="preserve"> with that </w:t>
      </w:r>
      <w:r w:rsidR="001D3A84">
        <w:t>implied Confucius’ actions, revealing the latter’s assumption that</w:t>
      </w:r>
      <w:r w:rsidR="001D3A84" w:rsidRPr="0042663B">
        <w:rPr>
          <w:rFonts w:cs="Times New Roman"/>
        </w:rPr>
        <w:t xml:space="preserve"> learning primarily involves the internalisation of knowledge or ideas.</w:t>
      </w:r>
      <w:r w:rsidR="001D3A84">
        <w:rPr>
          <w:rFonts w:cs="Times New Roman"/>
        </w:rPr>
        <w:t xml:space="preserve"> Confucius’ </w:t>
      </w:r>
      <w:r>
        <w:rPr>
          <w:rFonts w:cs="Times New Roman"/>
        </w:rPr>
        <w:t xml:space="preserve">simplistic conception of learning threatens to reduce it to “an unproblematic process of absorbing the given, as a matter of transmission and assimilation” (Lave and Wenger, </w:t>
      </w:r>
      <w:r>
        <w:rPr>
          <w:rFonts w:cs="Times New Roman"/>
          <w:i/>
        </w:rPr>
        <w:t>Situated Learning</w:t>
      </w:r>
      <w:r>
        <w:rPr>
          <w:rFonts w:cs="Times New Roman"/>
        </w:rPr>
        <w:t>, 47).  The thesis of situated learning is not simply that one learns by doing but that all learning, even in the formation or acquisition of an abstract principle, is “a specific event in specific circumstances” (</w:t>
      </w:r>
      <w:r>
        <w:rPr>
          <w:rFonts w:cs="Times New Roman"/>
          <w:i/>
        </w:rPr>
        <w:t>Ibid</w:t>
      </w:r>
      <w:r>
        <w:rPr>
          <w:rFonts w:cs="Times New Roman"/>
        </w:rPr>
        <w:t>., 34).</w:t>
      </w:r>
    </w:p>
  </w:footnote>
  <w:footnote w:id="18">
    <w:p w14:paraId="7F917C81" w14:textId="77777777" w:rsidR="002408AC" w:rsidRDefault="002408AC" w:rsidP="00280F07">
      <w:pPr>
        <w:pStyle w:val="FootnoteText"/>
        <w:spacing w:line="480" w:lineRule="auto"/>
        <w:rPr>
          <w:rFonts w:cs="Times New Roman"/>
        </w:rPr>
      </w:pPr>
      <w:r>
        <w:rPr>
          <w:rStyle w:val="FootnoteReference"/>
        </w:rPr>
        <w:footnoteRef/>
      </w:r>
      <w:r>
        <w:t xml:space="preserve"> </w:t>
      </w:r>
      <w:r w:rsidRPr="0005584D">
        <w:rPr>
          <w:rFonts w:cs="Times New Roman"/>
        </w:rPr>
        <w:t>For Gibson, these possibilities given in the environment—affordances—would be perceived directly by the animal (think, for example, of an animal foraging for food) and not mitigated by inference or the processing of information received t</w:t>
      </w:r>
      <w:r>
        <w:rPr>
          <w:rFonts w:cs="Times New Roman"/>
        </w:rPr>
        <w:t xml:space="preserve">hrough visual and other sources (Gibson, </w:t>
      </w:r>
      <w:r>
        <w:rPr>
          <w:rFonts w:cs="Times New Roman"/>
          <w:i/>
        </w:rPr>
        <w:t>The Ecology of Perception</w:t>
      </w:r>
      <w:r>
        <w:rPr>
          <w:rFonts w:cs="Times New Roman"/>
        </w:rPr>
        <w:t xml:space="preserve">).  On direct perception, Gibson notes </w:t>
      </w:r>
      <w:r w:rsidRPr="004F0777">
        <w:rPr>
          <w:rFonts w:cs="Times New Roman"/>
        </w:rPr>
        <w:t>that: “when I assert that perception of the environment is direct, I mean that it is not mediated by retinal pictures, neur</w:t>
      </w:r>
      <w:r>
        <w:rPr>
          <w:rFonts w:cs="Times New Roman"/>
        </w:rPr>
        <w:t>al pictures, or mental pictures”</w:t>
      </w:r>
      <w:r w:rsidRPr="004F0777">
        <w:rPr>
          <w:rFonts w:cs="Times New Roman"/>
        </w:rPr>
        <w:t xml:space="preserve"> (Gibson, </w:t>
      </w:r>
      <w:r w:rsidRPr="004F0777">
        <w:rPr>
          <w:rFonts w:cs="Times New Roman"/>
          <w:i/>
        </w:rPr>
        <w:t>The Ecological Approach</w:t>
      </w:r>
      <w:r>
        <w:rPr>
          <w:rFonts w:cs="Times New Roman"/>
        </w:rPr>
        <w:t>, 147). The assertion that perception is direct is not unproblematic</w:t>
      </w:r>
      <w:r w:rsidRPr="004F0777">
        <w:rPr>
          <w:rFonts w:cs="Times New Roman"/>
        </w:rPr>
        <w:t>.</w:t>
      </w:r>
      <w:r>
        <w:rPr>
          <w:rFonts w:cs="Times New Roman"/>
        </w:rPr>
        <w:t xml:space="preserve">  This debate centres on whether the mind works with </w:t>
      </w:r>
      <w:r>
        <w:rPr>
          <w:rFonts w:cs="Times New Roman"/>
          <w:i/>
        </w:rPr>
        <w:t>representations</w:t>
      </w:r>
      <w:r>
        <w:rPr>
          <w:rFonts w:cs="Times New Roman"/>
        </w:rPr>
        <w:t>, or directly on the details presented in the environment, as articulated in Gibson’s account. Anthony</w:t>
      </w:r>
      <w:r w:rsidRPr="004F0777">
        <w:rPr>
          <w:rFonts w:cs="Times New Roman"/>
        </w:rPr>
        <w:t xml:space="preserve"> Chemero</w:t>
      </w:r>
      <w:r>
        <w:rPr>
          <w:rFonts w:cs="Times New Roman"/>
        </w:rPr>
        <w:t xml:space="preserve"> and his collaborators draw on Gibson’s work to defend an account of </w:t>
      </w:r>
      <w:r w:rsidRPr="004F0777">
        <w:rPr>
          <w:rFonts w:cs="Times New Roman"/>
        </w:rPr>
        <w:t>direct perception</w:t>
      </w:r>
      <w:r>
        <w:rPr>
          <w:rFonts w:cs="Times New Roman"/>
        </w:rPr>
        <w:t xml:space="preserve">.  For Chemero, direct </w:t>
      </w:r>
      <w:r w:rsidRPr="004F0777">
        <w:rPr>
          <w:rFonts w:cs="Times New Roman"/>
        </w:rPr>
        <w:t xml:space="preserve">perception does not involve inferences, whereby the animal first makes inferences about the environment (or mental representations of it) before acting on it.  Calling this view “radical embodied cognitive science”, Chemero argues that “Direct perception is perception that does not involve mental representations” (Chemero, </w:t>
      </w:r>
      <w:r w:rsidRPr="004F0777">
        <w:rPr>
          <w:rFonts w:cs="Times New Roman"/>
          <w:i/>
        </w:rPr>
        <w:t>Radical Embodied Cognitive Science</w:t>
      </w:r>
      <w:r w:rsidRPr="004F0777">
        <w:rPr>
          <w:rFonts w:cs="Times New Roman"/>
        </w:rPr>
        <w:t xml:space="preserve">, 114). In a </w:t>
      </w:r>
      <w:r>
        <w:rPr>
          <w:rFonts w:cs="Times New Roman"/>
        </w:rPr>
        <w:t>subsequent</w:t>
      </w:r>
      <w:r w:rsidRPr="004F0777">
        <w:rPr>
          <w:rFonts w:cs="Times New Roman"/>
        </w:rPr>
        <w:t xml:space="preserve"> analysis of direct perception, Chemero and his col</w:t>
      </w:r>
      <w:r>
        <w:rPr>
          <w:rFonts w:cs="Times New Roman"/>
        </w:rPr>
        <w:t>laborator, Withagen, argue that</w:t>
      </w:r>
      <w:r w:rsidRPr="004F0777">
        <w:rPr>
          <w:rFonts w:cs="Times New Roman"/>
        </w:rPr>
        <w:t xml:space="preserve"> “Direct perception is a coupling between the perceiver and its environment, via information in the array.” (Withagen and Chemero, “Affordances and Classification”, 53</w:t>
      </w:r>
      <w:r>
        <w:rPr>
          <w:rFonts w:cs="Times New Roman"/>
        </w:rPr>
        <w:t>2).</w:t>
      </w:r>
    </w:p>
    <w:p w14:paraId="0B626F88" w14:textId="77777777" w:rsidR="002408AC" w:rsidRPr="008B18C4" w:rsidRDefault="002408AC" w:rsidP="00280F07">
      <w:pPr>
        <w:pStyle w:val="FootnoteText"/>
        <w:spacing w:line="480" w:lineRule="auto"/>
        <w:rPr>
          <w:rFonts w:cs="Times New Roman"/>
        </w:rPr>
      </w:pPr>
      <w:r>
        <w:rPr>
          <w:rFonts w:cs="Times New Roman"/>
        </w:rPr>
        <w:t xml:space="preserve">Refer to Berit Brogaard (ed.), </w:t>
      </w:r>
      <w:r>
        <w:rPr>
          <w:rFonts w:cs="Times New Roman"/>
          <w:i/>
        </w:rPr>
        <w:t>Does Perception Have Content?</w:t>
      </w:r>
      <w:r>
        <w:rPr>
          <w:rFonts w:cs="Times New Roman"/>
        </w:rPr>
        <w:t xml:space="preserve"> for a collection of papers on</w:t>
      </w:r>
      <w:r w:rsidR="00652D44">
        <w:rPr>
          <w:rFonts w:cs="Times New Roman"/>
        </w:rPr>
        <w:t xml:space="preserve"> the topic of representation.</w:t>
      </w:r>
      <w:r w:rsidR="008B18C4">
        <w:rPr>
          <w:rFonts w:cs="Times New Roman"/>
        </w:rPr>
        <w:t xml:space="preserve">  Finally, refer to Clark, </w:t>
      </w:r>
      <w:r w:rsidR="008B18C4">
        <w:rPr>
          <w:rFonts w:cs="Times New Roman"/>
          <w:i/>
        </w:rPr>
        <w:t>Being There</w:t>
      </w:r>
      <w:r w:rsidR="008B18C4">
        <w:rPr>
          <w:rFonts w:cs="Times New Roman"/>
        </w:rPr>
        <w:t>, for a discussion on how artefacts and representations shape cognitive operations.</w:t>
      </w:r>
    </w:p>
    <w:p w14:paraId="5A5D61E3" w14:textId="77777777" w:rsidR="002408AC" w:rsidRPr="00D35EA4" w:rsidRDefault="002408AC" w:rsidP="00280F07">
      <w:pPr>
        <w:pStyle w:val="FootnoteText"/>
        <w:spacing w:line="480" w:lineRule="auto"/>
      </w:pPr>
      <w:r>
        <w:rPr>
          <w:rFonts w:cs="Times New Roman"/>
        </w:rPr>
        <w:t>The articulation of the cicada-catcher’s story need not delve into the intricacies of the representationalist debates.  The aim here is just to draw out the relation between perception and the environment.</w:t>
      </w:r>
    </w:p>
  </w:footnote>
  <w:footnote w:id="19">
    <w:p w14:paraId="4B81251E" w14:textId="77777777" w:rsidR="002408AC" w:rsidRDefault="002408AC" w:rsidP="00280F07">
      <w:pPr>
        <w:pStyle w:val="FootnoteText"/>
        <w:spacing w:line="480" w:lineRule="auto"/>
      </w:pPr>
      <w:r>
        <w:rPr>
          <w:rStyle w:val="FootnoteReference"/>
        </w:rPr>
        <w:footnoteRef/>
      </w:r>
      <w:r>
        <w:t xml:space="preserve"> Stegmaier “Was heist: Si</w:t>
      </w:r>
      <w:r w:rsidR="00934F3E">
        <w:t>c him Denken orientieren?”, 11; c</w:t>
      </w:r>
      <w:r>
        <w:t>ited in and translated by Johanna Seibt (“Intercultural Dialogue and the Processing of Significance”, 95).</w:t>
      </w:r>
    </w:p>
  </w:footnote>
  <w:footnote w:id="20">
    <w:p w14:paraId="638722EE" w14:textId="77777777" w:rsidR="00B01337" w:rsidRPr="006619FC" w:rsidRDefault="00B01337" w:rsidP="00B01337">
      <w:pPr>
        <w:pStyle w:val="FootnoteText"/>
        <w:spacing w:line="480" w:lineRule="auto"/>
        <w:rPr>
          <w:rFonts w:cs="Times New Roman"/>
        </w:rPr>
      </w:pPr>
      <w:r w:rsidRPr="009C4939">
        <w:rPr>
          <w:rStyle w:val="FootnoteReference"/>
          <w:rFonts w:cs="Times New Roman"/>
        </w:rPr>
        <w:footnoteRef/>
      </w:r>
      <w:r w:rsidRPr="009C4939">
        <w:rPr>
          <w:rFonts w:cs="Times New Roman"/>
        </w:rPr>
        <w:t xml:space="preserve"> </w:t>
      </w:r>
      <w:r>
        <w:rPr>
          <w:rFonts w:cs="Times New Roman"/>
        </w:rPr>
        <w:t xml:space="preserve">A significant difference between Chemero’s and Gibson’s account is that, for Gibson, affordances are </w:t>
      </w:r>
      <w:r>
        <w:rPr>
          <w:rFonts w:cs="Times New Roman"/>
          <w:i/>
        </w:rPr>
        <w:t>possibilities</w:t>
      </w:r>
      <w:r>
        <w:rPr>
          <w:rFonts w:cs="Times New Roman"/>
        </w:rPr>
        <w:t xml:space="preserve"> provided by the environment whereas for Chemero, affordances are </w:t>
      </w:r>
      <w:r>
        <w:rPr>
          <w:rFonts w:cs="Times New Roman"/>
          <w:i/>
        </w:rPr>
        <w:t>relations</w:t>
      </w:r>
      <w:r>
        <w:rPr>
          <w:rFonts w:cs="Times New Roman"/>
        </w:rPr>
        <w:t xml:space="preserve">. </w:t>
      </w:r>
      <w:r w:rsidRPr="009C4939">
        <w:rPr>
          <w:rFonts w:cs="Times New Roman"/>
        </w:rPr>
        <w:t>In Chemero’s formulation of affordances, he states, “translated more loosel</w:t>
      </w:r>
      <w:r>
        <w:rPr>
          <w:rFonts w:cs="Times New Roman"/>
        </w:rPr>
        <w:t>y and colloquially this means “</w:t>
      </w:r>
      <w:r w:rsidRPr="009C4939">
        <w:rPr>
          <w:rFonts w:cs="Times New Roman"/>
        </w:rPr>
        <w:t>The environment affords behavior ɸ</w:t>
      </w:r>
      <w:r>
        <w:rPr>
          <w:rFonts w:cs="Times New Roman"/>
        </w:rPr>
        <w:t xml:space="preserve"> for the organism”</w:t>
      </w:r>
      <w:r w:rsidRPr="009C4939">
        <w:rPr>
          <w:rFonts w:cs="Times New Roman"/>
        </w:rPr>
        <w:t xml:space="preserve"> (Chemero, </w:t>
      </w:r>
      <w:r w:rsidRPr="00124342">
        <w:t xml:space="preserve">“An </w:t>
      </w:r>
      <w:r>
        <w:t>Outline of a Theory of A</w:t>
      </w:r>
      <w:r w:rsidRPr="00124342">
        <w:t>ffordances”</w:t>
      </w:r>
      <w:r w:rsidRPr="009C4939">
        <w:rPr>
          <w:rFonts w:cs="Times New Roman"/>
        </w:rPr>
        <w:t xml:space="preserve">, 187).  This suggests that affordances are </w:t>
      </w:r>
      <w:r w:rsidRPr="009C4939">
        <w:rPr>
          <w:rFonts w:cs="Times New Roman"/>
          <w:i/>
        </w:rPr>
        <w:t>relations</w:t>
      </w:r>
      <w:r w:rsidRPr="009C4939">
        <w:rPr>
          <w:rFonts w:cs="Times New Roman"/>
        </w:rPr>
        <w:t xml:space="preserve">, rather than just relational.  Yet in a later formulation, Chemero seems to align affordances more closely with the environment(al features) rather than with the relation between the individual and the environment.  In considering the question, “Do Affordances Exist without Animals?”, he writes, “Affordances do not disappear when there is no local animal to perceive and take advantage of them” (Chemero, </w:t>
      </w:r>
      <w:r>
        <w:rPr>
          <w:rFonts w:cs="Times New Roman"/>
          <w:i/>
        </w:rPr>
        <w:t>Radical Embodied Cognitive Science</w:t>
      </w:r>
      <w:r w:rsidRPr="009C4939">
        <w:rPr>
          <w:rFonts w:cs="Times New Roman"/>
        </w:rPr>
        <w:t xml:space="preserve">, 150).  In my view, </w:t>
      </w:r>
      <w:r w:rsidRPr="009C4939">
        <w:rPr>
          <w:rFonts w:cs="Times New Roman"/>
          <w:i/>
        </w:rPr>
        <w:t xml:space="preserve">because </w:t>
      </w:r>
      <w:r w:rsidRPr="009C4939">
        <w:rPr>
          <w:rFonts w:cs="Times New Roman"/>
        </w:rPr>
        <w:t xml:space="preserve">affordances are relations, they do not </w:t>
      </w:r>
      <w:r w:rsidRPr="009C4939">
        <w:rPr>
          <w:rFonts w:cs="Times New Roman"/>
          <w:i/>
        </w:rPr>
        <w:t>exist</w:t>
      </w:r>
      <w:r w:rsidRPr="009C4939">
        <w:rPr>
          <w:rFonts w:cs="Times New Roman"/>
        </w:rPr>
        <w:t xml:space="preserve"> when there is no animal in the environment to perceive and act within that environment.</w:t>
      </w:r>
    </w:p>
  </w:footnote>
  <w:footnote w:id="21">
    <w:p w14:paraId="4295C2CB" w14:textId="77777777" w:rsidR="001C4783" w:rsidRPr="009C4939" w:rsidRDefault="001C4783" w:rsidP="00280F07">
      <w:pPr>
        <w:pStyle w:val="FootnoteText"/>
        <w:spacing w:line="480" w:lineRule="auto"/>
        <w:rPr>
          <w:rFonts w:cs="Times New Roman"/>
        </w:rPr>
      </w:pPr>
      <w:r w:rsidRPr="009C4939">
        <w:rPr>
          <w:rStyle w:val="FootnoteReference"/>
          <w:rFonts w:cs="Times New Roman"/>
        </w:rPr>
        <w:footnoteRef/>
      </w:r>
      <w:r w:rsidRPr="009C4939">
        <w:rPr>
          <w:rFonts w:cs="Times New Roman"/>
        </w:rPr>
        <w:t xml:space="preserve"> </w:t>
      </w:r>
      <w:r>
        <w:rPr>
          <w:rFonts w:cs="Times New Roman"/>
        </w:rPr>
        <w:t>T</w:t>
      </w:r>
      <w:r w:rsidRPr="002616A2">
        <w:rPr>
          <w:rFonts w:cs="Times New Roman"/>
        </w:rPr>
        <w:t xml:space="preserve">hese relations, Chemero asserts, are </w:t>
      </w:r>
      <w:r w:rsidRPr="002616A2">
        <w:rPr>
          <w:rFonts w:cs="Times New Roman"/>
          <w:i/>
        </w:rPr>
        <w:t>real</w:t>
      </w:r>
      <w:r w:rsidRPr="002616A2">
        <w:rPr>
          <w:rFonts w:cs="Times New Roman"/>
        </w:rPr>
        <w:t xml:space="preserve"> and not simply a projection of the animal’s impressions (of the world) (Chemero, </w:t>
      </w:r>
      <w:r w:rsidRPr="002616A2">
        <w:rPr>
          <w:rFonts w:cs="Times New Roman"/>
          <w:i/>
        </w:rPr>
        <w:t>Radical Embodied Cognitive Science</w:t>
      </w:r>
      <w:r w:rsidRPr="002616A2">
        <w:rPr>
          <w:rFonts w:cs="Times New Roman"/>
        </w:rPr>
        <w:t>, 150)</w:t>
      </w:r>
      <w:r>
        <w:rPr>
          <w:rFonts w:cs="Times New Roman"/>
        </w:rPr>
        <w:t xml:space="preserve">.  </w:t>
      </w:r>
      <w:r w:rsidRPr="009C4939">
        <w:rPr>
          <w:rFonts w:cs="Times New Roman"/>
        </w:rPr>
        <w:t xml:space="preserve">  </w:t>
      </w:r>
    </w:p>
  </w:footnote>
  <w:footnote w:id="22">
    <w:p w14:paraId="09AA7C1C" w14:textId="1CB2D239" w:rsidR="002B7B7F" w:rsidRDefault="002B7B7F" w:rsidP="002B7B7F">
      <w:pPr>
        <w:pStyle w:val="FootnoteText"/>
        <w:spacing w:line="480" w:lineRule="auto"/>
      </w:pPr>
      <w:r>
        <w:rPr>
          <w:rStyle w:val="FootnoteReference"/>
        </w:rPr>
        <w:footnoteRef/>
      </w:r>
      <w:r>
        <w:t xml:space="preserve"> </w:t>
      </w:r>
      <w:r>
        <w:rPr>
          <w:lang w:val="en-GB"/>
        </w:rPr>
        <w:t xml:space="preserve">One important example of the centrality of the heart-mind in the Confucian tradition is </w:t>
      </w:r>
      <w:r w:rsidRPr="002B7B7F">
        <w:rPr>
          <w:lang w:val="en-GB"/>
        </w:rPr>
        <w:t xml:space="preserve">Mencius’ </w:t>
      </w:r>
      <w:r>
        <w:rPr>
          <w:lang w:val="en-GB"/>
        </w:rPr>
        <w:t>heart that does not waver (</w:t>
      </w:r>
      <w:r w:rsidRPr="002B7B7F">
        <w:rPr>
          <w:i/>
          <w:lang w:val="en-GB"/>
        </w:rPr>
        <w:t>budongxin</w:t>
      </w:r>
      <w:r w:rsidRPr="002B7B7F">
        <w:rPr>
          <w:lang w:val="en-GB"/>
        </w:rPr>
        <w:t xml:space="preserve"> </w:t>
      </w:r>
      <w:r w:rsidRPr="002B7B7F">
        <w:rPr>
          <w:rFonts w:ascii="KaiTi" w:eastAsia="KaiTi" w:hAnsi="KaiTi" w:cs="MS Gothic" w:hint="eastAsia"/>
          <w:lang w:val="en-GB"/>
        </w:rPr>
        <w:t>不</w:t>
      </w:r>
      <w:r w:rsidRPr="002B7B7F">
        <w:rPr>
          <w:rFonts w:ascii="KaiTi" w:eastAsia="KaiTi" w:hAnsi="KaiTi" w:cs="Microsoft JhengHei" w:hint="eastAsia"/>
          <w:lang w:val="en-GB"/>
        </w:rPr>
        <w:t>动心</w:t>
      </w:r>
      <w:r w:rsidRPr="002B7B7F">
        <w:rPr>
          <w:lang w:val="en-GB"/>
        </w:rPr>
        <w:t>)</w:t>
      </w:r>
      <w:r>
        <w:rPr>
          <w:lang w:val="en-GB"/>
        </w:rPr>
        <w:t xml:space="preserve">, in the notable passage </w:t>
      </w:r>
      <w:r w:rsidRPr="00150126">
        <w:rPr>
          <w:lang w:val="en-GB"/>
        </w:rPr>
        <w:t>Mencius 2A2 (</w:t>
      </w:r>
      <w:r w:rsidR="0062381A" w:rsidRPr="00150126">
        <w:rPr>
          <w:lang w:val="en-GB"/>
        </w:rPr>
        <w:t xml:space="preserve">In Bloom, </w:t>
      </w:r>
      <w:r w:rsidR="0062381A" w:rsidRPr="00150126">
        <w:rPr>
          <w:i/>
          <w:lang w:val="en-GB"/>
        </w:rPr>
        <w:t>Mencius</w:t>
      </w:r>
      <w:r w:rsidR="0062381A" w:rsidRPr="00150126">
        <w:rPr>
          <w:lang w:val="en-GB"/>
        </w:rPr>
        <w:t>, 29-32</w:t>
      </w:r>
      <w:r w:rsidRPr="00150126">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5184"/>
    <w:multiLevelType w:val="hybridMultilevel"/>
    <w:tmpl w:val="D874918C"/>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31F53269"/>
    <w:multiLevelType w:val="hybridMultilevel"/>
    <w:tmpl w:val="C8E8F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7F3D38"/>
    <w:multiLevelType w:val="hybridMultilevel"/>
    <w:tmpl w:val="44F49D88"/>
    <w:lvl w:ilvl="0" w:tplc="8AE8571C">
      <w:start w:val="1"/>
      <w:numFmt w:val="upperLetter"/>
      <w:lvlText w:val="(%1)"/>
      <w:lvlJc w:val="left"/>
      <w:pPr>
        <w:ind w:left="954" w:hanging="360"/>
      </w:pPr>
      <w:rPr>
        <w:rFonts w:hint="default"/>
      </w:rPr>
    </w:lvl>
    <w:lvl w:ilvl="1" w:tplc="0C090019" w:tentative="1">
      <w:start w:val="1"/>
      <w:numFmt w:val="lowerLetter"/>
      <w:lvlText w:val="%2."/>
      <w:lvlJc w:val="left"/>
      <w:pPr>
        <w:ind w:left="1674" w:hanging="360"/>
      </w:pPr>
    </w:lvl>
    <w:lvl w:ilvl="2" w:tplc="0C09001B" w:tentative="1">
      <w:start w:val="1"/>
      <w:numFmt w:val="lowerRoman"/>
      <w:lvlText w:val="%3."/>
      <w:lvlJc w:val="right"/>
      <w:pPr>
        <w:ind w:left="2394" w:hanging="180"/>
      </w:pPr>
    </w:lvl>
    <w:lvl w:ilvl="3" w:tplc="0C09000F" w:tentative="1">
      <w:start w:val="1"/>
      <w:numFmt w:val="decimal"/>
      <w:lvlText w:val="%4."/>
      <w:lvlJc w:val="left"/>
      <w:pPr>
        <w:ind w:left="3114" w:hanging="360"/>
      </w:pPr>
    </w:lvl>
    <w:lvl w:ilvl="4" w:tplc="0C090019" w:tentative="1">
      <w:start w:val="1"/>
      <w:numFmt w:val="lowerLetter"/>
      <w:lvlText w:val="%5."/>
      <w:lvlJc w:val="left"/>
      <w:pPr>
        <w:ind w:left="3834" w:hanging="360"/>
      </w:pPr>
    </w:lvl>
    <w:lvl w:ilvl="5" w:tplc="0C09001B" w:tentative="1">
      <w:start w:val="1"/>
      <w:numFmt w:val="lowerRoman"/>
      <w:lvlText w:val="%6."/>
      <w:lvlJc w:val="right"/>
      <w:pPr>
        <w:ind w:left="4554" w:hanging="180"/>
      </w:pPr>
    </w:lvl>
    <w:lvl w:ilvl="6" w:tplc="0C09000F" w:tentative="1">
      <w:start w:val="1"/>
      <w:numFmt w:val="decimal"/>
      <w:lvlText w:val="%7."/>
      <w:lvlJc w:val="left"/>
      <w:pPr>
        <w:ind w:left="5274" w:hanging="360"/>
      </w:pPr>
    </w:lvl>
    <w:lvl w:ilvl="7" w:tplc="0C090019" w:tentative="1">
      <w:start w:val="1"/>
      <w:numFmt w:val="lowerLetter"/>
      <w:lvlText w:val="%8."/>
      <w:lvlJc w:val="left"/>
      <w:pPr>
        <w:ind w:left="5994" w:hanging="360"/>
      </w:pPr>
    </w:lvl>
    <w:lvl w:ilvl="8" w:tplc="0C09001B" w:tentative="1">
      <w:start w:val="1"/>
      <w:numFmt w:val="lowerRoman"/>
      <w:lvlText w:val="%9."/>
      <w:lvlJc w:val="right"/>
      <w:pPr>
        <w:ind w:left="6714" w:hanging="180"/>
      </w:pPr>
    </w:lvl>
  </w:abstractNum>
  <w:abstractNum w:abstractNumId="3" w15:restartNumberingAfterBreak="0">
    <w:nsid w:val="56FF4B9C"/>
    <w:multiLevelType w:val="hybridMultilevel"/>
    <w:tmpl w:val="98BE1608"/>
    <w:lvl w:ilvl="0" w:tplc="633E95D6">
      <w:start w:val="2"/>
      <w:numFmt w:val="bullet"/>
      <w:lvlText w:val="-"/>
      <w:lvlJc w:val="left"/>
      <w:pPr>
        <w:ind w:left="927" w:hanging="360"/>
      </w:pPr>
      <w:rPr>
        <w:rFonts w:ascii="Times New Roman" w:eastAsiaTheme="minorEastAsia" w:hAnsi="Times New Roman" w:cs="Times New Roman" w:hint="default"/>
        <w:i/>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255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78"/>
    <w:rsid w:val="000056D4"/>
    <w:rsid w:val="000131A3"/>
    <w:rsid w:val="00013D46"/>
    <w:rsid w:val="000160C5"/>
    <w:rsid w:val="00017364"/>
    <w:rsid w:val="00020D28"/>
    <w:rsid w:val="000216C4"/>
    <w:rsid w:val="00024ADB"/>
    <w:rsid w:val="00031A84"/>
    <w:rsid w:val="00042974"/>
    <w:rsid w:val="00043E69"/>
    <w:rsid w:val="000451A6"/>
    <w:rsid w:val="000455CA"/>
    <w:rsid w:val="00051CA5"/>
    <w:rsid w:val="0005584D"/>
    <w:rsid w:val="0006454A"/>
    <w:rsid w:val="0007242F"/>
    <w:rsid w:val="000750BE"/>
    <w:rsid w:val="00085AFA"/>
    <w:rsid w:val="00087F20"/>
    <w:rsid w:val="00090316"/>
    <w:rsid w:val="00091FEF"/>
    <w:rsid w:val="00095B98"/>
    <w:rsid w:val="0009768E"/>
    <w:rsid w:val="000A001E"/>
    <w:rsid w:val="000A5FF2"/>
    <w:rsid w:val="000A6469"/>
    <w:rsid w:val="000B4670"/>
    <w:rsid w:val="000C2E26"/>
    <w:rsid w:val="000C56B3"/>
    <w:rsid w:val="000C716F"/>
    <w:rsid w:val="000D716C"/>
    <w:rsid w:val="000E0ADB"/>
    <w:rsid w:val="000E0F2A"/>
    <w:rsid w:val="000E2397"/>
    <w:rsid w:val="000F41B6"/>
    <w:rsid w:val="000F5DFF"/>
    <w:rsid w:val="001013A7"/>
    <w:rsid w:val="00102142"/>
    <w:rsid w:val="0010401D"/>
    <w:rsid w:val="00106B89"/>
    <w:rsid w:val="0012050C"/>
    <w:rsid w:val="00124121"/>
    <w:rsid w:val="00124342"/>
    <w:rsid w:val="0012435F"/>
    <w:rsid w:val="00130ACE"/>
    <w:rsid w:val="00131569"/>
    <w:rsid w:val="001325FA"/>
    <w:rsid w:val="00137D47"/>
    <w:rsid w:val="00140CA8"/>
    <w:rsid w:val="00141BB7"/>
    <w:rsid w:val="00145351"/>
    <w:rsid w:val="00145697"/>
    <w:rsid w:val="00150126"/>
    <w:rsid w:val="00152844"/>
    <w:rsid w:val="00155C93"/>
    <w:rsid w:val="00156EB7"/>
    <w:rsid w:val="001678B9"/>
    <w:rsid w:val="0017277B"/>
    <w:rsid w:val="0018675A"/>
    <w:rsid w:val="00191444"/>
    <w:rsid w:val="00195FF8"/>
    <w:rsid w:val="0019655B"/>
    <w:rsid w:val="001A240C"/>
    <w:rsid w:val="001A2678"/>
    <w:rsid w:val="001A4800"/>
    <w:rsid w:val="001B04BE"/>
    <w:rsid w:val="001B0E60"/>
    <w:rsid w:val="001B7C72"/>
    <w:rsid w:val="001C22E0"/>
    <w:rsid w:val="001C37C3"/>
    <w:rsid w:val="001C4783"/>
    <w:rsid w:val="001C4EA0"/>
    <w:rsid w:val="001C5576"/>
    <w:rsid w:val="001C7A38"/>
    <w:rsid w:val="001D3A84"/>
    <w:rsid w:val="001D6892"/>
    <w:rsid w:val="001E2DC5"/>
    <w:rsid w:val="001F0F25"/>
    <w:rsid w:val="00212F5D"/>
    <w:rsid w:val="00214B0E"/>
    <w:rsid w:val="00222F82"/>
    <w:rsid w:val="00226F72"/>
    <w:rsid w:val="002270E6"/>
    <w:rsid w:val="0023270D"/>
    <w:rsid w:val="00233343"/>
    <w:rsid w:val="002367E6"/>
    <w:rsid w:val="002408AC"/>
    <w:rsid w:val="00242476"/>
    <w:rsid w:val="002504C1"/>
    <w:rsid w:val="002553A2"/>
    <w:rsid w:val="002579BD"/>
    <w:rsid w:val="0026157A"/>
    <w:rsid w:val="0026190E"/>
    <w:rsid w:val="00261CCD"/>
    <w:rsid w:val="00262EC0"/>
    <w:rsid w:val="0026514D"/>
    <w:rsid w:val="00265AA2"/>
    <w:rsid w:val="00271325"/>
    <w:rsid w:val="00274CC7"/>
    <w:rsid w:val="00274E2B"/>
    <w:rsid w:val="0027564C"/>
    <w:rsid w:val="00280F07"/>
    <w:rsid w:val="0028314D"/>
    <w:rsid w:val="002A62F2"/>
    <w:rsid w:val="002A7AC1"/>
    <w:rsid w:val="002B0FBE"/>
    <w:rsid w:val="002B4C6E"/>
    <w:rsid w:val="002B7B7F"/>
    <w:rsid w:val="002C013B"/>
    <w:rsid w:val="002C27EF"/>
    <w:rsid w:val="002C34E5"/>
    <w:rsid w:val="002C705B"/>
    <w:rsid w:val="002D0878"/>
    <w:rsid w:val="002D7478"/>
    <w:rsid w:val="002E11A0"/>
    <w:rsid w:val="002E3C3A"/>
    <w:rsid w:val="002F6E26"/>
    <w:rsid w:val="003066AB"/>
    <w:rsid w:val="003279B5"/>
    <w:rsid w:val="003353D5"/>
    <w:rsid w:val="00337548"/>
    <w:rsid w:val="0034210F"/>
    <w:rsid w:val="00342B61"/>
    <w:rsid w:val="00352316"/>
    <w:rsid w:val="00360C4C"/>
    <w:rsid w:val="003633FE"/>
    <w:rsid w:val="00372D40"/>
    <w:rsid w:val="00380C2E"/>
    <w:rsid w:val="00381566"/>
    <w:rsid w:val="00383C41"/>
    <w:rsid w:val="003855AA"/>
    <w:rsid w:val="00385872"/>
    <w:rsid w:val="0039212E"/>
    <w:rsid w:val="003968E0"/>
    <w:rsid w:val="003971EB"/>
    <w:rsid w:val="00397A7A"/>
    <w:rsid w:val="003A00D0"/>
    <w:rsid w:val="003B2B74"/>
    <w:rsid w:val="003C20DC"/>
    <w:rsid w:val="003C229E"/>
    <w:rsid w:val="003D013B"/>
    <w:rsid w:val="003D327B"/>
    <w:rsid w:val="003D49AB"/>
    <w:rsid w:val="003E2F44"/>
    <w:rsid w:val="003E6FFC"/>
    <w:rsid w:val="003F2867"/>
    <w:rsid w:val="00400AF1"/>
    <w:rsid w:val="00414040"/>
    <w:rsid w:val="00414793"/>
    <w:rsid w:val="0041700E"/>
    <w:rsid w:val="0042663B"/>
    <w:rsid w:val="00442A4A"/>
    <w:rsid w:val="0044442E"/>
    <w:rsid w:val="00444951"/>
    <w:rsid w:val="00445D9D"/>
    <w:rsid w:val="00445F27"/>
    <w:rsid w:val="0044655F"/>
    <w:rsid w:val="00446BFA"/>
    <w:rsid w:val="0044713D"/>
    <w:rsid w:val="00450BC6"/>
    <w:rsid w:val="00452B48"/>
    <w:rsid w:val="00455D36"/>
    <w:rsid w:val="0045624A"/>
    <w:rsid w:val="004575D2"/>
    <w:rsid w:val="00457B6A"/>
    <w:rsid w:val="00462A4E"/>
    <w:rsid w:val="00464783"/>
    <w:rsid w:val="0047247B"/>
    <w:rsid w:val="00483B60"/>
    <w:rsid w:val="00484595"/>
    <w:rsid w:val="00485ECC"/>
    <w:rsid w:val="00486E1C"/>
    <w:rsid w:val="00490827"/>
    <w:rsid w:val="004928B0"/>
    <w:rsid w:val="004A346D"/>
    <w:rsid w:val="004A7001"/>
    <w:rsid w:val="004B0865"/>
    <w:rsid w:val="004B325B"/>
    <w:rsid w:val="004C149C"/>
    <w:rsid w:val="004D01DD"/>
    <w:rsid w:val="004E22A8"/>
    <w:rsid w:val="004E2B56"/>
    <w:rsid w:val="004F0777"/>
    <w:rsid w:val="004F51FC"/>
    <w:rsid w:val="004F5B64"/>
    <w:rsid w:val="004F6728"/>
    <w:rsid w:val="004F6848"/>
    <w:rsid w:val="004F6D9E"/>
    <w:rsid w:val="00503C43"/>
    <w:rsid w:val="005067DD"/>
    <w:rsid w:val="005170B4"/>
    <w:rsid w:val="005208DD"/>
    <w:rsid w:val="00523F9F"/>
    <w:rsid w:val="005275B6"/>
    <w:rsid w:val="00547632"/>
    <w:rsid w:val="00550ED3"/>
    <w:rsid w:val="005538B8"/>
    <w:rsid w:val="005608FC"/>
    <w:rsid w:val="00560F65"/>
    <w:rsid w:val="005629C3"/>
    <w:rsid w:val="00571C8E"/>
    <w:rsid w:val="00572F49"/>
    <w:rsid w:val="0057753E"/>
    <w:rsid w:val="00581190"/>
    <w:rsid w:val="00590619"/>
    <w:rsid w:val="00590D6B"/>
    <w:rsid w:val="005957BE"/>
    <w:rsid w:val="00595C1D"/>
    <w:rsid w:val="005A0B03"/>
    <w:rsid w:val="005A0D60"/>
    <w:rsid w:val="005A3845"/>
    <w:rsid w:val="005A5910"/>
    <w:rsid w:val="005C161C"/>
    <w:rsid w:val="005D0DFD"/>
    <w:rsid w:val="005D69B9"/>
    <w:rsid w:val="005F4A4D"/>
    <w:rsid w:val="005F5510"/>
    <w:rsid w:val="005F5872"/>
    <w:rsid w:val="005F6A9E"/>
    <w:rsid w:val="00601FAD"/>
    <w:rsid w:val="00607CDB"/>
    <w:rsid w:val="00615422"/>
    <w:rsid w:val="006167CE"/>
    <w:rsid w:val="0061778F"/>
    <w:rsid w:val="0062205B"/>
    <w:rsid w:val="0062381A"/>
    <w:rsid w:val="006276BA"/>
    <w:rsid w:val="006406F6"/>
    <w:rsid w:val="00647DA3"/>
    <w:rsid w:val="00652D44"/>
    <w:rsid w:val="00660361"/>
    <w:rsid w:val="0066284A"/>
    <w:rsid w:val="0066562E"/>
    <w:rsid w:val="00671575"/>
    <w:rsid w:val="0067361F"/>
    <w:rsid w:val="00674AB4"/>
    <w:rsid w:val="00681912"/>
    <w:rsid w:val="0068698A"/>
    <w:rsid w:val="00691640"/>
    <w:rsid w:val="00691D95"/>
    <w:rsid w:val="00694645"/>
    <w:rsid w:val="006A6553"/>
    <w:rsid w:val="006B6035"/>
    <w:rsid w:val="006B74E6"/>
    <w:rsid w:val="006C1EB0"/>
    <w:rsid w:val="006C7FEE"/>
    <w:rsid w:val="006D0205"/>
    <w:rsid w:val="006E399F"/>
    <w:rsid w:val="006E3F48"/>
    <w:rsid w:val="006E4A32"/>
    <w:rsid w:val="006E66B3"/>
    <w:rsid w:val="006E6AF0"/>
    <w:rsid w:val="006E7A66"/>
    <w:rsid w:val="006F1EEA"/>
    <w:rsid w:val="006F4F70"/>
    <w:rsid w:val="006F53A0"/>
    <w:rsid w:val="007007CB"/>
    <w:rsid w:val="007014F6"/>
    <w:rsid w:val="0070493C"/>
    <w:rsid w:val="00710BA6"/>
    <w:rsid w:val="00714CEB"/>
    <w:rsid w:val="007242D0"/>
    <w:rsid w:val="00730A36"/>
    <w:rsid w:val="007334DF"/>
    <w:rsid w:val="0073391A"/>
    <w:rsid w:val="007379E1"/>
    <w:rsid w:val="0074735C"/>
    <w:rsid w:val="00754302"/>
    <w:rsid w:val="0075784A"/>
    <w:rsid w:val="0076478E"/>
    <w:rsid w:val="007652C9"/>
    <w:rsid w:val="007667A6"/>
    <w:rsid w:val="00766DBE"/>
    <w:rsid w:val="00770E66"/>
    <w:rsid w:val="0077184F"/>
    <w:rsid w:val="00774755"/>
    <w:rsid w:val="00774DF4"/>
    <w:rsid w:val="007764D8"/>
    <w:rsid w:val="00777468"/>
    <w:rsid w:val="007778D1"/>
    <w:rsid w:val="00783E23"/>
    <w:rsid w:val="007876A7"/>
    <w:rsid w:val="00796D3A"/>
    <w:rsid w:val="00796EE8"/>
    <w:rsid w:val="007A1906"/>
    <w:rsid w:val="007A228B"/>
    <w:rsid w:val="007A5F74"/>
    <w:rsid w:val="007B1A39"/>
    <w:rsid w:val="007C76DB"/>
    <w:rsid w:val="007D1D1B"/>
    <w:rsid w:val="007D263F"/>
    <w:rsid w:val="007E1DE4"/>
    <w:rsid w:val="007E1E04"/>
    <w:rsid w:val="007F25B0"/>
    <w:rsid w:val="007F4B3F"/>
    <w:rsid w:val="007F5586"/>
    <w:rsid w:val="0080430B"/>
    <w:rsid w:val="0081241B"/>
    <w:rsid w:val="00816F5E"/>
    <w:rsid w:val="00817BCF"/>
    <w:rsid w:val="00827385"/>
    <w:rsid w:val="00846983"/>
    <w:rsid w:val="00846FE9"/>
    <w:rsid w:val="00850754"/>
    <w:rsid w:val="00850DBD"/>
    <w:rsid w:val="00851176"/>
    <w:rsid w:val="00855882"/>
    <w:rsid w:val="00857DB3"/>
    <w:rsid w:val="008712BE"/>
    <w:rsid w:val="00871B13"/>
    <w:rsid w:val="008747AE"/>
    <w:rsid w:val="0087684A"/>
    <w:rsid w:val="00877314"/>
    <w:rsid w:val="0087774B"/>
    <w:rsid w:val="00881068"/>
    <w:rsid w:val="00884D0D"/>
    <w:rsid w:val="00884E69"/>
    <w:rsid w:val="0088657C"/>
    <w:rsid w:val="00887E70"/>
    <w:rsid w:val="00893547"/>
    <w:rsid w:val="00893EDF"/>
    <w:rsid w:val="008943E6"/>
    <w:rsid w:val="008A3B2F"/>
    <w:rsid w:val="008A56A7"/>
    <w:rsid w:val="008B0A3A"/>
    <w:rsid w:val="008B18C4"/>
    <w:rsid w:val="008B7234"/>
    <w:rsid w:val="008C02B4"/>
    <w:rsid w:val="008C47E2"/>
    <w:rsid w:val="008D1A7B"/>
    <w:rsid w:val="008D6716"/>
    <w:rsid w:val="008E2FCC"/>
    <w:rsid w:val="008F1013"/>
    <w:rsid w:val="0090194F"/>
    <w:rsid w:val="00901A1A"/>
    <w:rsid w:val="00911F89"/>
    <w:rsid w:val="00912428"/>
    <w:rsid w:val="00912AE0"/>
    <w:rsid w:val="00917D31"/>
    <w:rsid w:val="00922C2A"/>
    <w:rsid w:val="00934F3E"/>
    <w:rsid w:val="009427CB"/>
    <w:rsid w:val="00943CE6"/>
    <w:rsid w:val="00950DDD"/>
    <w:rsid w:val="0095569E"/>
    <w:rsid w:val="00955724"/>
    <w:rsid w:val="00961B36"/>
    <w:rsid w:val="00966BDC"/>
    <w:rsid w:val="009675E8"/>
    <w:rsid w:val="00967A66"/>
    <w:rsid w:val="0097176B"/>
    <w:rsid w:val="00971F5D"/>
    <w:rsid w:val="009725F7"/>
    <w:rsid w:val="0097290B"/>
    <w:rsid w:val="00974103"/>
    <w:rsid w:val="00975453"/>
    <w:rsid w:val="00991591"/>
    <w:rsid w:val="009A2705"/>
    <w:rsid w:val="009B5DB6"/>
    <w:rsid w:val="009B6A1B"/>
    <w:rsid w:val="009C0AD5"/>
    <w:rsid w:val="009C0D9E"/>
    <w:rsid w:val="009C3260"/>
    <w:rsid w:val="009C3CFA"/>
    <w:rsid w:val="009C6C3D"/>
    <w:rsid w:val="009D022C"/>
    <w:rsid w:val="009D632D"/>
    <w:rsid w:val="009E5ED0"/>
    <w:rsid w:val="009F5ECC"/>
    <w:rsid w:val="00A0688A"/>
    <w:rsid w:val="00A12109"/>
    <w:rsid w:val="00A2047B"/>
    <w:rsid w:val="00A3561C"/>
    <w:rsid w:val="00A4218C"/>
    <w:rsid w:val="00A437F0"/>
    <w:rsid w:val="00A457B1"/>
    <w:rsid w:val="00A52471"/>
    <w:rsid w:val="00A54B2E"/>
    <w:rsid w:val="00A558C1"/>
    <w:rsid w:val="00A62C38"/>
    <w:rsid w:val="00A64CBE"/>
    <w:rsid w:val="00A657E2"/>
    <w:rsid w:val="00A66903"/>
    <w:rsid w:val="00A671F2"/>
    <w:rsid w:val="00A73355"/>
    <w:rsid w:val="00A75E96"/>
    <w:rsid w:val="00A770DF"/>
    <w:rsid w:val="00A8581F"/>
    <w:rsid w:val="00A86A8A"/>
    <w:rsid w:val="00A92B31"/>
    <w:rsid w:val="00A94D19"/>
    <w:rsid w:val="00A9541E"/>
    <w:rsid w:val="00AB5E53"/>
    <w:rsid w:val="00AC7B9E"/>
    <w:rsid w:val="00AD2591"/>
    <w:rsid w:val="00AD7BBF"/>
    <w:rsid w:val="00AF2E97"/>
    <w:rsid w:val="00B01337"/>
    <w:rsid w:val="00B018A3"/>
    <w:rsid w:val="00B02287"/>
    <w:rsid w:val="00B117A0"/>
    <w:rsid w:val="00B2198B"/>
    <w:rsid w:val="00B24FED"/>
    <w:rsid w:val="00B343D3"/>
    <w:rsid w:val="00B424E7"/>
    <w:rsid w:val="00B506F8"/>
    <w:rsid w:val="00B528C4"/>
    <w:rsid w:val="00B56D64"/>
    <w:rsid w:val="00B571C3"/>
    <w:rsid w:val="00B6413B"/>
    <w:rsid w:val="00B74132"/>
    <w:rsid w:val="00B75FB5"/>
    <w:rsid w:val="00B90773"/>
    <w:rsid w:val="00BB0AED"/>
    <w:rsid w:val="00BC3F72"/>
    <w:rsid w:val="00BC72D8"/>
    <w:rsid w:val="00BD118F"/>
    <w:rsid w:val="00BD2BC5"/>
    <w:rsid w:val="00BD4EB2"/>
    <w:rsid w:val="00BD77D6"/>
    <w:rsid w:val="00BE057F"/>
    <w:rsid w:val="00BE7E6D"/>
    <w:rsid w:val="00BF0B67"/>
    <w:rsid w:val="00BF194A"/>
    <w:rsid w:val="00BF5ACF"/>
    <w:rsid w:val="00BF62DE"/>
    <w:rsid w:val="00C02A35"/>
    <w:rsid w:val="00C06B83"/>
    <w:rsid w:val="00C07EFD"/>
    <w:rsid w:val="00C10F35"/>
    <w:rsid w:val="00C12A9D"/>
    <w:rsid w:val="00C13855"/>
    <w:rsid w:val="00C20DD7"/>
    <w:rsid w:val="00C21FA4"/>
    <w:rsid w:val="00C248E8"/>
    <w:rsid w:val="00C25A10"/>
    <w:rsid w:val="00C264BD"/>
    <w:rsid w:val="00C27FF1"/>
    <w:rsid w:val="00C30498"/>
    <w:rsid w:val="00C412F9"/>
    <w:rsid w:val="00C41649"/>
    <w:rsid w:val="00C418F8"/>
    <w:rsid w:val="00C4464F"/>
    <w:rsid w:val="00C44FC0"/>
    <w:rsid w:val="00C4524A"/>
    <w:rsid w:val="00C47A78"/>
    <w:rsid w:val="00C54B2D"/>
    <w:rsid w:val="00C54D57"/>
    <w:rsid w:val="00C579E2"/>
    <w:rsid w:val="00C60437"/>
    <w:rsid w:val="00C70223"/>
    <w:rsid w:val="00C72633"/>
    <w:rsid w:val="00C7559B"/>
    <w:rsid w:val="00C80171"/>
    <w:rsid w:val="00C82BF9"/>
    <w:rsid w:val="00C83A59"/>
    <w:rsid w:val="00C85E63"/>
    <w:rsid w:val="00C86154"/>
    <w:rsid w:val="00C868E0"/>
    <w:rsid w:val="00C92E44"/>
    <w:rsid w:val="00C96E61"/>
    <w:rsid w:val="00CA1A15"/>
    <w:rsid w:val="00CA3844"/>
    <w:rsid w:val="00CA66AD"/>
    <w:rsid w:val="00CC2E5F"/>
    <w:rsid w:val="00CC74FC"/>
    <w:rsid w:val="00CD1CDD"/>
    <w:rsid w:val="00CE3D0C"/>
    <w:rsid w:val="00CE6185"/>
    <w:rsid w:val="00CE6EAB"/>
    <w:rsid w:val="00CE7CF3"/>
    <w:rsid w:val="00CF06BD"/>
    <w:rsid w:val="00CF15CD"/>
    <w:rsid w:val="00CF3F09"/>
    <w:rsid w:val="00CF4C30"/>
    <w:rsid w:val="00CF5584"/>
    <w:rsid w:val="00CF7328"/>
    <w:rsid w:val="00D01BE2"/>
    <w:rsid w:val="00D06592"/>
    <w:rsid w:val="00D20235"/>
    <w:rsid w:val="00D2194A"/>
    <w:rsid w:val="00D22567"/>
    <w:rsid w:val="00D25302"/>
    <w:rsid w:val="00D2686E"/>
    <w:rsid w:val="00D32127"/>
    <w:rsid w:val="00D35EA4"/>
    <w:rsid w:val="00D3676C"/>
    <w:rsid w:val="00D43E5A"/>
    <w:rsid w:val="00D51184"/>
    <w:rsid w:val="00D56203"/>
    <w:rsid w:val="00D66CC6"/>
    <w:rsid w:val="00D67622"/>
    <w:rsid w:val="00D71645"/>
    <w:rsid w:val="00D731FC"/>
    <w:rsid w:val="00D76EAF"/>
    <w:rsid w:val="00D81C9D"/>
    <w:rsid w:val="00D84B20"/>
    <w:rsid w:val="00D9197F"/>
    <w:rsid w:val="00D95583"/>
    <w:rsid w:val="00D9581A"/>
    <w:rsid w:val="00DB6B44"/>
    <w:rsid w:val="00DC1D69"/>
    <w:rsid w:val="00DC22DB"/>
    <w:rsid w:val="00DC2D39"/>
    <w:rsid w:val="00DC4520"/>
    <w:rsid w:val="00DC4F69"/>
    <w:rsid w:val="00DF0B6A"/>
    <w:rsid w:val="00DF4F6A"/>
    <w:rsid w:val="00DF7C22"/>
    <w:rsid w:val="00DF7DA8"/>
    <w:rsid w:val="00E04FE0"/>
    <w:rsid w:val="00E07F6A"/>
    <w:rsid w:val="00E15440"/>
    <w:rsid w:val="00E15DBD"/>
    <w:rsid w:val="00E2357E"/>
    <w:rsid w:val="00E263B7"/>
    <w:rsid w:val="00E26A0C"/>
    <w:rsid w:val="00E2703A"/>
    <w:rsid w:val="00E30475"/>
    <w:rsid w:val="00E30C8D"/>
    <w:rsid w:val="00E32AB3"/>
    <w:rsid w:val="00E42B88"/>
    <w:rsid w:val="00E44928"/>
    <w:rsid w:val="00E62FF7"/>
    <w:rsid w:val="00E63713"/>
    <w:rsid w:val="00E6740E"/>
    <w:rsid w:val="00E7284F"/>
    <w:rsid w:val="00E7405E"/>
    <w:rsid w:val="00E962CB"/>
    <w:rsid w:val="00E97906"/>
    <w:rsid w:val="00EA2B7E"/>
    <w:rsid w:val="00EA6588"/>
    <w:rsid w:val="00EB0ECC"/>
    <w:rsid w:val="00EB2A8B"/>
    <w:rsid w:val="00EB3AA2"/>
    <w:rsid w:val="00EC0423"/>
    <w:rsid w:val="00EC1500"/>
    <w:rsid w:val="00EC23E5"/>
    <w:rsid w:val="00EC7ADF"/>
    <w:rsid w:val="00ED0E16"/>
    <w:rsid w:val="00ED228D"/>
    <w:rsid w:val="00ED2922"/>
    <w:rsid w:val="00ED52CF"/>
    <w:rsid w:val="00EE2167"/>
    <w:rsid w:val="00EE3DC1"/>
    <w:rsid w:val="00EE57A1"/>
    <w:rsid w:val="00EF1AE7"/>
    <w:rsid w:val="00F00EE4"/>
    <w:rsid w:val="00F050FE"/>
    <w:rsid w:val="00F1106B"/>
    <w:rsid w:val="00F13E4E"/>
    <w:rsid w:val="00F15E57"/>
    <w:rsid w:val="00F1647B"/>
    <w:rsid w:val="00F233D1"/>
    <w:rsid w:val="00F2546F"/>
    <w:rsid w:val="00F313EA"/>
    <w:rsid w:val="00F326CB"/>
    <w:rsid w:val="00F356FB"/>
    <w:rsid w:val="00F4718D"/>
    <w:rsid w:val="00F50AEC"/>
    <w:rsid w:val="00F53B93"/>
    <w:rsid w:val="00F6236A"/>
    <w:rsid w:val="00F6522D"/>
    <w:rsid w:val="00F80E69"/>
    <w:rsid w:val="00F84B03"/>
    <w:rsid w:val="00F85836"/>
    <w:rsid w:val="00F934D4"/>
    <w:rsid w:val="00F9637E"/>
    <w:rsid w:val="00F96BF5"/>
    <w:rsid w:val="00FA166A"/>
    <w:rsid w:val="00FA63B0"/>
    <w:rsid w:val="00FA71CD"/>
    <w:rsid w:val="00FB063D"/>
    <w:rsid w:val="00FC207A"/>
    <w:rsid w:val="00FC341C"/>
    <w:rsid w:val="00FD147A"/>
    <w:rsid w:val="00FD1B87"/>
    <w:rsid w:val="00FD339B"/>
    <w:rsid w:val="00FE1CEE"/>
    <w:rsid w:val="00FE2057"/>
    <w:rsid w:val="00FE32E2"/>
    <w:rsid w:val="00FE693F"/>
    <w:rsid w:val="00FF0FF2"/>
    <w:rsid w:val="00FF245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332F"/>
  <w15:docId w15:val="{0859C181-3F65-4ADE-B839-36273317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78"/>
    <w:pPr>
      <w:spacing w:after="0" w:line="480" w:lineRule="auto"/>
      <w:ind w:firstLine="567"/>
    </w:pPr>
    <w:rPr>
      <w:rFonts w:ascii="Times New Roman" w:eastAsiaTheme="minorEastAsia"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D7478"/>
    <w:pPr>
      <w:spacing w:line="240" w:lineRule="auto"/>
      <w:ind w:firstLine="0"/>
    </w:pPr>
    <w:rPr>
      <w:rFonts w:eastAsiaTheme="minorHAnsi"/>
      <w:sz w:val="20"/>
      <w:szCs w:val="20"/>
      <w:lang w:val="en-AU"/>
    </w:rPr>
  </w:style>
  <w:style w:type="character" w:customStyle="1" w:styleId="FootnoteTextChar">
    <w:name w:val="Footnote Text Char"/>
    <w:basedOn w:val="DefaultParagraphFont"/>
    <w:link w:val="FootnoteText"/>
    <w:rsid w:val="002D7478"/>
    <w:rPr>
      <w:rFonts w:ascii="Times New Roman" w:hAnsi="Times New Roman"/>
      <w:sz w:val="20"/>
      <w:szCs w:val="20"/>
    </w:rPr>
  </w:style>
  <w:style w:type="character" w:styleId="FootnoteReference">
    <w:name w:val="footnote reference"/>
    <w:basedOn w:val="DefaultParagraphFont"/>
    <w:uiPriority w:val="99"/>
    <w:semiHidden/>
    <w:unhideWhenUsed/>
    <w:rsid w:val="002D7478"/>
    <w:rPr>
      <w:vertAlign w:val="superscript"/>
    </w:rPr>
  </w:style>
  <w:style w:type="paragraph" w:styleId="NoSpacing">
    <w:name w:val="No Spacing"/>
    <w:uiPriority w:val="1"/>
    <w:qFormat/>
    <w:rsid w:val="00D67622"/>
    <w:pPr>
      <w:spacing w:after="0" w:line="240" w:lineRule="auto"/>
      <w:ind w:firstLine="567"/>
    </w:pPr>
    <w:rPr>
      <w:rFonts w:ascii="Times New Roman" w:eastAsiaTheme="minorEastAsia" w:hAnsi="Times New Roman"/>
      <w:sz w:val="24"/>
      <w:szCs w:val="24"/>
      <w:lang w:val="en-GB"/>
    </w:rPr>
  </w:style>
  <w:style w:type="paragraph" w:styleId="BalloonText">
    <w:name w:val="Balloon Text"/>
    <w:basedOn w:val="Normal"/>
    <w:link w:val="BalloonTextChar"/>
    <w:uiPriority w:val="99"/>
    <w:semiHidden/>
    <w:unhideWhenUsed/>
    <w:rsid w:val="005906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19"/>
    <w:rPr>
      <w:rFonts w:ascii="Segoe UI" w:eastAsiaTheme="minorEastAsia" w:hAnsi="Segoe UI" w:cs="Segoe UI"/>
      <w:sz w:val="18"/>
      <w:szCs w:val="18"/>
      <w:lang w:val="en-GB"/>
    </w:rPr>
  </w:style>
  <w:style w:type="paragraph" w:styleId="ListParagraph">
    <w:name w:val="List Paragraph"/>
    <w:basedOn w:val="Normal"/>
    <w:uiPriority w:val="34"/>
    <w:qFormat/>
    <w:rsid w:val="00F6522D"/>
    <w:pPr>
      <w:ind w:left="720"/>
      <w:contextualSpacing/>
    </w:pPr>
  </w:style>
  <w:style w:type="character" w:styleId="Hyperlink">
    <w:name w:val="Hyperlink"/>
    <w:basedOn w:val="DefaultParagraphFont"/>
    <w:uiPriority w:val="99"/>
    <w:unhideWhenUsed/>
    <w:rsid w:val="001C5576"/>
    <w:rPr>
      <w:color w:val="0000FF"/>
      <w:u w:val="single"/>
    </w:rPr>
  </w:style>
  <w:style w:type="character" w:styleId="Emphasis">
    <w:name w:val="Emphasis"/>
    <w:basedOn w:val="DefaultParagraphFont"/>
    <w:uiPriority w:val="20"/>
    <w:qFormat/>
    <w:rsid w:val="001C5576"/>
    <w:rPr>
      <w:i/>
      <w:iCs/>
    </w:rPr>
  </w:style>
  <w:style w:type="paragraph" w:styleId="Header">
    <w:name w:val="header"/>
    <w:basedOn w:val="Normal"/>
    <w:link w:val="HeaderChar"/>
    <w:uiPriority w:val="99"/>
    <w:unhideWhenUsed/>
    <w:rsid w:val="002C27EF"/>
    <w:pPr>
      <w:tabs>
        <w:tab w:val="center" w:pos="4513"/>
        <w:tab w:val="right" w:pos="9026"/>
      </w:tabs>
      <w:spacing w:line="240" w:lineRule="auto"/>
    </w:pPr>
  </w:style>
  <w:style w:type="character" w:customStyle="1" w:styleId="HeaderChar">
    <w:name w:val="Header Char"/>
    <w:basedOn w:val="DefaultParagraphFont"/>
    <w:link w:val="Header"/>
    <w:uiPriority w:val="99"/>
    <w:rsid w:val="002C27EF"/>
    <w:rPr>
      <w:rFonts w:ascii="Times New Roman" w:eastAsiaTheme="minorEastAsia" w:hAnsi="Times New Roman"/>
      <w:sz w:val="24"/>
      <w:szCs w:val="24"/>
      <w:lang w:val="en-GB"/>
    </w:rPr>
  </w:style>
  <w:style w:type="paragraph" w:styleId="Footer">
    <w:name w:val="footer"/>
    <w:basedOn w:val="Normal"/>
    <w:link w:val="FooterChar"/>
    <w:uiPriority w:val="99"/>
    <w:unhideWhenUsed/>
    <w:rsid w:val="002C27EF"/>
    <w:pPr>
      <w:tabs>
        <w:tab w:val="center" w:pos="4513"/>
        <w:tab w:val="right" w:pos="9026"/>
      </w:tabs>
      <w:spacing w:line="240" w:lineRule="auto"/>
    </w:pPr>
  </w:style>
  <w:style w:type="character" w:customStyle="1" w:styleId="FooterChar">
    <w:name w:val="Footer Char"/>
    <w:basedOn w:val="DefaultParagraphFont"/>
    <w:link w:val="Footer"/>
    <w:uiPriority w:val="99"/>
    <w:rsid w:val="002C27EF"/>
    <w:rPr>
      <w:rFonts w:ascii="Times New Roman" w:eastAsiaTheme="minorEastAsia" w:hAnsi="Times New Roman"/>
      <w:sz w:val="24"/>
      <w:szCs w:val="24"/>
      <w:lang w:val="en-GB"/>
    </w:rPr>
  </w:style>
  <w:style w:type="character" w:customStyle="1" w:styleId="authors">
    <w:name w:val="authors"/>
    <w:basedOn w:val="DefaultParagraphFont"/>
    <w:rsid w:val="00796D3A"/>
  </w:style>
  <w:style w:type="character" w:customStyle="1" w:styleId="Date1">
    <w:name w:val="Date1"/>
    <w:basedOn w:val="DefaultParagraphFont"/>
    <w:rsid w:val="00796D3A"/>
  </w:style>
  <w:style w:type="character" w:customStyle="1" w:styleId="arttitle">
    <w:name w:val="art_title"/>
    <w:basedOn w:val="DefaultParagraphFont"/>
    <w:rsid w:val="00796D3A"/>
  </w:style>
  <w:style w:type="character" w:customStyle="1" w:styleId="serialtitle">
    <w:name w:val="serial_title"/>
    <w:basedOn w:val="DefaultParagraphFont"/>
    <w:rsid w:val="00796D3A"/>
  </w:style>
  <w:style w:type="character" w:customStyle="1" w:styleId="volumeissue">
    <w:name w:val="volume_issue"/>
    <w:basedOn w:val="DefaultParagraphFont"/>
    <w:rsid w:val="00796D3A"/>
  </w:style>
  <w:style w:type="character" w:customStyle="1" w:styleId="pagerange">
    <w:name w:val="page_range"/>
    <w:basedOn w:val="DefaultParagraphFont"/>
    <w:rsid w:val="00796D3A"/>
  </w:style>
  <w:style w:type="character" w:customStyle="1" w:styleId="doilink">
    <w:name w:val="doi_link"/>
    <w:basedOn w:val="DefaultParagraphFont"/>
    <w:rsid w:val="00796D3A"/>
  </w:style>
  <w:style w:type="paragraph" w:styleId="EndnoteText">
    <w:name w:val="endnote text"/>
    <w:basedOn w:val="Normal"/>
    <w:link w:val="EndnoteTextChar"/>
    <w:uiPriority w:val="99"/>
    <w:semiHidden/>
    <w:unhideWhenUsed/>
    <w:rsid w:val="00572F49"/>
    <w:pPr>
      <w:spacing w:line="240" w:lineRule="auto"/>
    </w:pPr>
    <w:rPr>
      <w:sz w:val="20"/>
      <w:szCs w:val="20"/>
    </w:rPr>
  </w:style>
  <w:style w:type="character" w:customStyle="1" w:styleId="EndnoteTextChar">
    <w:name w:val="Endnote Text Char"/>
    <w:basedOn w:val="DefaultParagraphFont"/>
    <w:link w:val="EndnoteText"/>
    <w:uiPriority w:val="99"/>
    <w:semiHidden/>
    <w:rsid w:val="00572F49"/>
    <w:rPr>
      <w:rFonts w:ascii="Times New Roman" w:eastAsiaTheme="minorEastAsia" w:hAnsi="Times New Roman"/>
      <w:sz w:val="20"/>
      <w:szCs w:val="20"/>
      <w:lang w:val="en-GB"/>
    </w:rPr>
  </w:style>
  <w:style w:type="character" w:styleId="EndnoteReference">
    <w:name w:val="endnote reference"/>
    <w:basedOn w:val="DefaultParagraphFont"/>
    <w:uiPriority w:val="99"/>
    <w:semiHidden/>
    <w:unhideWhenUsed/>
    <w:rsid w:val="00572F49"/>
    <w:rPr>
      <w:vertAlign w:val="superscript"/>
    </w:rPr>
  </w:style>
  <w:style w:type="paragraph" w:customStyle="1" w:styleId="Default">
    <w:name w:val="Default"/>
    <w:rsid w:val="00C10F35"/>
    <w:pPr>
      <w:autoSpaceDE w:val="0"/>
      <w:autoSpaceDN w:val="0"/>
      <w:adjustRightInd w:val="0"/>
      <w:spacing w:after="0" w:line="240" w:lineRule="auto"/>
    </w:pPr>
    <w:rPr>
      <w:rFonts w:ascii="ITC Stone Serif Std Medium" w:hAnsi="ITC Stone Serif Std Medium" w:cs="ITC Stone Serif Std Medium"/>
      <w:color w:val="000000"/>
      <w:sz w:val="24"/>
      <w:szCs w:val="24"/>
    </w:rPr>
  </w:style>
  <w:style w:type="character" w:customStyle="1" w:styleId="A57">
    <w:name w:val="A5+7"/>
    <w:uiPriority w:val="99"/>
    <w:rsid w:val="00C10F35"/>
    <w:rPr>
      <w:rFonts w:cs="ITC Stone Serif Std Medium"/>
      <w:color w:val="221E1F"/>
      <w:sz w:val="9"/>
      <w:szCs w:val="9"/>
    </w:rPr>
  </w:style>
  <w:style w:type="character" w:customStyle="1" w:styleId="st">
    <w:name w:val="st"/>
    <w:basedOn w:val="DefaultParagraphFont"/>
    <w:rsid w:val="00C60437"/>
  </w:style>
  <w:style w:type="character" w:customStyle="1" w:styleId="Title1">
    <w:name w:val="Title1"/>
    <w:basedOn w:val="DefaultParagraphFont"/>
    <w:rsid w:val="00102142"/>
  </w:style>
  <w:style w:type="character" w:styleId="FollowedHyperlink">
    <w:name w:val="FollowedHyperlink"/>
    <w:basedOn w:val="DefaultParagraphFont"/>
    <w:uiPriority w:val="99"/>
    <w:semiHidden/>
    <w:unhideWhenUsed/>
    <w:rsid w:val="00BE057F"/>
    <w:rPr>
      <w:color w:val="800080" w:themeColor="followedHyperlink"/>
      <w:u w:val="single"/>
    </w:rPr>
  </w:style>
  <w:style w:type="table" w:styleId="TableGrid">
    <w:name w:val="Table Grid"/>
    <w:basedOn w:val="TableNormal"/>
    <w:uiPriority w:val="59"/>
    <w:rsid w:val="0019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559">
      <w:bodyDiv w:val="1"/>
      <w:marLeft w:val="0"/>
      <w:marRight w:val="0"/>
      <w:marTop w:val="0"/>
      <w:marBottom w:val="0"/>
      <w:divBdr>
        <w:top w:val="none" w:sz="0" w:space="0" w:color="auto"/>
        <w:left w:val="none" w:sz="0" w:space="0" w:color="auto"/>
        <w:bottom w:val="none" w:sz="0" w:space="0" w:color="auto"/>
        <w:right w:val="none" w:sz="0" w:space="0" w:color="auto"/>
      </w:divBdr>
      <w:divsChild>
        <w:div w:id="1634024924">
          <w:marLeft w:val="0"/>
          <w:marRight w:val="0"/>
          <w:marTop w:val="0"/>
          <w:marBottom w:val="0"/>
          <w:divBdr>
            <w:top w:val="none" w:sz="0" w:space="0" w:color="auto"/>
            <w:left w:val="none" w:sz="0" w:space="0" w:color="auto"/>
            <w:bottom w:val="none" w:sz="0" w:space="0" w:color="auto"/>
            <w:right w:val="none" w:sz="0" w:space="0" w:color="auto"/>
          </w:divBdr>
        </w:div>
        <w:div w:id="718940198">
          <w:marLeft w:val="0"/>
          <w:marRight w:val="0"/>
          <w:marTop w:val="0"/>
          <w:marBottom w:val="0"/>
          <w:divBdr>
            <w:top w:val="none" w:sz="0" w:space="0" w:color="auto"/>
            <w:left w:val="none" w:sz="0" w:space="0" w:color="auto"/>
            <w:bottom w:val="none" w:sz="0" w:space="0" w:color="auto"/>
            <w:right w:val="none" w:sz="0" w:space="0" w:color="auto"/>
          </w:divBdr>
        </w:div>
        <w:div w:id="998921932">
          <w:marLeft w:val="0"/>
          <w:marRight w:val="0"/>
          <w:marTop w:val="0"/>
          <w:marBottom w:val="0"/>
          <w:divBdr>
            <w:top w:val="none" w:sz="0" w:space="0" w:color="auto"/>
            <w:left w:val="none" w:sz="0" w:space="0" w:color="auto"/>
            <w:bottom w:val="none" w:sz="0" w:space="0" w:color="auto"/>
            <w:right w:val="none" w:sz="0" w:space="0" w:color="auto"/>
          </w:divBdr>
        </w:div>
        <w:div w:id="1981958836">
          <w:marLeft w:val="0"/>
          <w:marRight w:val="0"/>
          <w:marTop w:val="0"/>
          <w:marBottom w:val="0"/>
          <w:divBdr>
            <w:top w:val="none" w:sz="0" w:space="0" w:color="auto"/>
            <w:left w:val="none" w:sz="0" w:space="0" w:color="auto"/>
            <w:bottom w:val="none" w:sz="0" w:space="0" w:color="auto"/>
            <w:right w:val="none" w:sz="0" w:space="0" w:color="auto"/>
          </w:divBdr>
        </w:div>
        <w:div w:id="57822548">
          <w:marLeft w:val="0"/>
          <w:marRight w:val="0"/>
          <w:marTop w:val="0"/>
          <w:marBottom w:val="0"/>
          <w:divBdr>
            <w:top w:val="none" w:sz="0" w:space="0" w:color="auto"/>
            <w:left w:val="none" w:sz="0" w:space="0" w:color="auto"/>
            <w:bottom w:val="none" w:sz="0" w:space="0" w:color="auto"/>
            <w:right w:val="none" w:sz="0" w:space="0" w:color="auto"/>
          </w:divBdr>
        </w:div>
        <w:div w:id="560100606">
          <w:marLeft w:val="0"/>
          <w:marRight w:val="0"/>
          <w:marTop w:val="0"/>
          <w:marBottom w:val="0"/>
          <w:divBdr>
            <w:top w:val="none" w:sz="0" w:space="0" w:color="auto"/>
            <w:left w:val="none" w:sz="0" w:space="0" w:color="auto"/>
            <w:bottom w:val="none" w:sz="0" w:space="0" w:color="auto"/>
            <w:right w:val="none" w:sz="0" w:space="0" w:color="auto"/>
          </w:divBdr>
        </w:div>
        <w:div w:id="1580478472">
          <w:marLeft w:val="0"/>
          <w:marRight w:val="0"/>
          <w:marTop w:val="0"/>
          <w:marBottom w:val="0"/>
          <w:divBdr>
            <w:top w:val="none" w:sz="0" w:space="0" w:color="auto"/>
            <w:left w:val="none" w:sz="0" w:space="0" w:color="auto"/>
            <w:bottom w:val="none" w:sz="0" w:space="0" w:color="auto"/>
            <w:right w:val="none" w:sz="0" w:space="0" w:color="auto"/>
          </w:divBdr>
        </w:div>
        <w:div w:id="668362407">
          <w:marLeft w:val="0"/>
          <w:marRight w:val="0"/>
          <w:marTop w:val="0"/>
          <w:marBottom w:val="0"/>
          <w:divBdr>
            <w:top w:val="none" w:sz="0" w:space="0" w:color="auto"/>
            <w:left w:val="none" w:sz="0" w:space="0" w:color="auto"/>
            <w:bottom w:val="none" w:sz="0" w:space="0" w:color="auto"/>
            <w:right w:val="none" w:sz="0" w:space="0" w:color="auto"/>
          </w:divBdr>
        </w:div>
        <w:div w:id="884753981">
          <w:marLeft w:val="0"/>
          <w:marRight w:val="0"/>
          <w:marTop w:val="0"/>
          <w:marBottom w:val="0"/>
          <w:divBdr>
            <w:top w:val="none" w:sz="0" w:space="0" w:color="auto"/>
            <w:left w:val="none" w:sz="0" w:space="0" w:color="auto"/>
            <w:bottom w:val="none" w:sz="0" w:space="0" w:color="auto"/>
            <w:right w:val="none" w:sz="0" w:space="0" w:color="auto"/>
          </w:divBdr>
        </w:div>
        <w:div w:id="662007789">
          <w:marLeft w:val="0"/>
          <w:marRight w:val="0"/>
          <w:marTop w:val="0"/>
          <w:marBottom w:val="0"/>
          <w:divBdr>
            <w:top w:val="none" w:sz="0" w:space="0" w:color="auto"/>
            <w:left w:val="none" w:sz="0" w:space="0" w:color="auto"/>
            <w:bottom w:val="none" w:sz="0" w:space="0" w:color="auto"/>
            <w:right w:val="none" w:sz="0" w:space="0" w:color="auto"/>
          </w:divBdr>
        </w:div>
        <w:div w:id="1836260300">
          <w:marLeft w:val="0"/>
          <w:marRight w:val="0"/>
          <w:marTop w:val="0"/>
          <w:marBottom w:val="0"/>
          <w:divBdr>
            <w:top w:val="none" w:sz="0" w:space="0" w:color="auto"/>
            <w:left w:val="none" w:sz="0" w:space="0" w:color="auto"/>
            <w:bottom w:val="none" w:sz="0" w:space="0" w:color="auto"/>
            <w:right w:val="none" w:sz="0" w:space="0" w:color="auto"/>
          </w:divBdr>
        </w:div>
        <w:div w:id="20938553">
          <w:marLeft w:val="0"/>
          <w:marRight w:val="0"/>
          <w:marTop w:val="0"/>
          <w:marBottom w:val="0"/>
          <w:divBdr>
            <w:top w:val="none" w:sz="0" w:space="0" w:color="auto"/>
            <w:left w:val="none" w:sz="0" w:space="0" w:color="auto"/>
            <w:bottom w:val="none" w:sz="0" w:space="0" w:color="auto"/>
            <w:right w:val="none" w:sz="0" w:space="0" w:color="auto"/>
          </w:divBdr>
        </w:div>
        <w:div w:id="1776827313">
          <w:marLeft w:val="0"/>
          <w:marRight w:val="0"/>
          <w:marTop w:val="0"/>
          <w:marBottom w:val="0"/>
          <w:divBdr>
            <w:top w:val="none" w:sz="0" w:space="0" w:color="auto"/>
            <w:left w:val="none" w:sz="0" w:space="0" w:color="auto"/>
            <w:bottom w:val="none" w:sz="0" w:space="0" w:color="auto"/>
            <w:right w:val="none" w:sz="0" w:space="0" w:color="auto"/>
          </w:divBdr>
        </w:div>
      </w:divsChild>
    </w:div>
    <w:div w:id="94861773">
      <w:bodyDiv w:val="1"/>
      <w:marLeft w:val="0"/>
      <w:marRight w:val="0"/>
      <w:marTop w:val="0"/>
      <w:marBottom w:val="0"/>
      <w:divBdr>
        <w:top w:val="none" w:sz="0" w:space="0" w:color="auto"/>
        <w:left w:val="none" w:sz="0" w:space="0" w:color="auto"/>
        <w:bottom w:val="none" w:sz="0" w:space="0" w:color="auto"/>
        <w:right w:val="none" w:sz="0" w:space="0" w:color="auto"/>
      </w:divBdr>
    </w:div>
    <w:div w:id="131169200">
      <w:bodyDiv w:val="1"/>
      <w:marLeft w:val="0"/>
      <w:marRight w:val="0"/>
      <w:marTop w:val="0"/>
      <w:marBottom w:val="0"/>
      <w:divBdr>
        <w:top w:val="none" w:sz="0" w:space="0" w:color="auto"/>
        <w:left w:val="none" w:sz="0" w:space="0" w:color="auto"/>
        <w:bottom w:val="none" w:sz="0" w:space="0" w:color="auto"/>
        <w:right w:val="none" w:sz="0" w:space="0" w:color="auto"/>
      </w:divBdr>
    </w:div>
    <w:div w:id="191236324">
      <w:bodyDiv w:val="1"/>
      <w:marLeft w:val="0"/>
      <w:marRight w:val="0"/>
      <w:marTop w:val="0"/>
      <w:marBottom w:val="0"/>
      <w:divBdr>
        <w:top w:val="none" w:sz="0" w:space="0" w:color="auto"/>
        <w:left w:val="none" w:sz="0" w:space="0" w:color="auto"/>
        <w:bottom w:val="none" w:sz="0" w:space="0" w:color="auto"/>
        <w:right w:val="none" w:sz="0" w:space="0" w:color="auto"/>
      </w:divBdr>
      <w:divsChild>
        <w:div w:id="1669942054">
          <w:marLeft w:val="0"/>
          <w:marRight w:val="0"/>
          <w:marTop w:val="0"/>
          <w:marBottom w:val="0"/>
          <w:divBdr>
            <w:top w:val="none" w:sz="0" w:space="0" w:color="auto"/>
            <w:left w:val="none" w:sz="0" w:space="0" w:color="auto"/>
            <w:bottom w:val="none" w:sz="0" w:space="0" w:color="auto"/>
            <w:right w:val="none" w:sz="0" w:space="0" w:color="auto"/>
          </w:divBdr>
        </w:div>
        <w:div w:id="2129547657">
          <w:marLeft w:val="0"/>
          <w:marRight w:val="0"/>
          <w:marTop w:val="0"/>
          <w:marBottom w:val="0"/>
          <w:divBdr>
            <w:top w:val="none" w:sz="0" w:space="0" w:color="auto"/>
            <w:left w:val="none" w:sz="0" w:space="0" w:color="auto"/>
            <w:bottom w:val="none" w:sz="0" w:space="0" w:color="auto"/>
            <w:right w:val="none" w:sz="0" w:space="0" w:color="auto"/>
          </w:divBdr>
        </w:div>
        <w:div w:id="204877476">
          <w:marLeft w:val="0"/>
          <w:marRight w:val="0"/>
          <w:marTop w:val="0"/>
          <w:marBottom w:val="0"/>
          <w:divBdr>
            <w:top w:val="none" w:sz="0" w:space="0" w:color="auto"/>
            <w:left w:val="none" w:sz="0" w:space="0" w:color="auto"/>
            <w:bottom w:val="none" w:sz="0" w:space="0" w:color="auto"/>
            <w:right w:val="none" w:sz="0" w:space="0" w:color="auto"/>
          </w:divBdr>
        </w:div>
        <w:div w:id="1523547819">
          <w:marLeft w:val="0"/>
          <w:marRight w:val="0"/>
          <w:marTop w:val="0"/>
          <w:marBottom w:val="0"/>
          <w:divBdr>
            <w:top w:val="none" w:sz="0" w:space="0" w:color="auto"/>
            <w:left w:val="none" w:sz="0" w:space="0" w:color="auto"/>
            <w:bottom w:val="none" w:sz="0" w:space="0" w:color="auto"/>
            <w:right w:val="none" w:sz="0" w:space="0" w:color="auto"/>
          </w:divBdr>
        </w:div>
      </w:divsChild>
    </w:div>
    <w:div w:id="248270293">
      <w:bodyDiv w:val="1"/>
      <w:marLeft w:val="0"/>
      <w:marRight w:val="0"/>
      <w:marTop w:val="0"/>
      <w:marBottom w:val="0"/>
      <w:divBdr>
        <w:top w:val="none" w:sz="0" w:space="0" w:color="auto"/>
        <w:left w:val="none" w:sz="0" w:space="0" w:color="auto"/>
        <w:bottom w:val="none" w:sz="0" w:space="0" w:color="auto"/>
        <w:right w:val="none" w:sz="0" w:space="0" w:color="auto"/>
      </w:divBdr>
    </w:div>
    <w:div w:id="258609915">
      <w:bodyDiv w:val="1"/>
      <w:marLeft w:val="0"/>
      <w:marRight w:val="0"/>
      <w:marTop w:val="0"/>
      <w:marBottom w:val="0"/>
      <w:divBdr>
        <w:top w:val="none" w:sz="0" w:space="0" w:color="auto"/>
        <w:left w:val="none" w:sz="0" w:space="0" w:color="auto"/>
        <w:bottom w:val="none" w:sz="0" w:space="0" w:color="auto"/>
        <w:right w:val="none" w:sz="0" w:space="0" w:color="auto"/>
      </w:divBdr>
    </w:div>
    <w:div w:id="331952665">
      <w:bodyDiv w:val="1"/>
      <w:marLeft w:val="0"/>
      <w:marRight w:val="0"/>
      <w:marTop w:val="0"/>
      <w:marBottom w:val="0"/>
      <w:divBdr>
        <w:top w:val="none" w:sz="0" w:space="0" w:color="auto"/>
        <w:left w:val="none" w:sz="0" w:space="0" w:color="auto"/>
        <w:bottom w:val="none" w:sz="0" w:space="0" w:color="auto"/>
        <w:right w:val="none" w:sz="0" w:space="0" w:color="auto"/>
      </w:divBdr>
      <w:divsChild>
        <w:div w:id="829757340">
          <w:marLeft w:val="0"/>
          <w:marRight w:val="0"/>
          <w:marTop w:val="0"/>
          <w:marBottom w:val="0"/>
          <w:divBdr>
            <w:top w:val="none" w:sz="0" w:space="0" w:color="auto"/>
            <w:left w:val="none" w:sz="0" w:space="0" w:color="auto"/>
            <w:bottom w:val="none" w:sz="0" w:space="0" w:color="auto"/>
            <w:right w:val="none" w:sz="0" w:space="0" w:color="auto"/>
          </w:divBdr>
        </w:div>
        <w:div w:id="1291090330">
          <w:marLeft w:val="0"/>
          <w:marRight w:val="0"/>
          <w:marTop w:val="0"/>
          <w:marBottom w:val="0"/>
          <w:divBdr>
            <w:top w:val="none" w:sz="0" w:space="0" w:color="auto"/>
            <w:left w:val="none" w:sz="0" w:space="0" w:color="auto"/>
            <w:bottom w:val="none" w:sz="0" w:space="0" w:color="auto"/>
            <w:right w:val="none" w:sz="0" w:space="0" w:color="auto"/>
          </w:divBdr>
        </w:div>
        <w:div w:id="897714300">
          <w:marLeft w:val="0"/>
          <w:marRight w:val="0"/>
          <w:marTop w:val="0"/>
          <w:marBottom w:val="0"/>
          <w:divBdr>
            <w:top w:val="none" w:sz="0" w:space="0" w:color="auto"/>
            <w:left w:val="none" w:sz="0" w:space="0" w:color="auto"/>
            <w:bottom w:val="none" w:sz="0" w:space="0" w:color="auto"/>
            <w:right w:val="none" w:sz="0" w:space="0" w:color="auto"/>
          </w:divBdr>
        </w:div>
      </w:divsChild>
    </w:div>
    <w:div w:id="404030220">
      <w:bodyDiv w:val="1"/>
      <w:marLeft w:val="0"/>
      <w:marRight w:val="0"/>
      <w:marTop w:val="0"/>
      <w:marBottom w:val="0"/>
      <w:divBdr>
        <w:top w:val="none" w:sz="0" w:space="0" w:color="auto"/>
        <w:left w:val="none" w:sz="0" w:space="0" w:color="auto"/>
        <w:bottom w:val="none" w:sz="0" w:space="0" w:color="auto"/>
        <w:right w:val="none" w:sz="0" w:space="0" w:color="auto"/>
      </w:divBdr>
    </w:div>
    <w:div w:id="431902045">
      <w:bodyDiv w:val="1"/>
      <w:marLeft w:val="0"/>
      <w:marRight w:val="0"/>
      <w:marTop w:val="0"/>
      <w:marBottom w:val="0"/>
      <w:divBdr>
        <w:top w:val="none" w:sz="0" w:space="0" w:color="auto"/>
        <w:left w:val="none" w:sz="0" w:space="0" w:color="auto"/>
        <w:bottom w:val="none" w:sz="0" w:space="0" w:color="auto"/>
        <w:right w:val="none" w:sz="0" w:space="0" w:color="auto"/>
      </w:divBdr>
    </w:div>
    <w:div w:id="468666662">
      <w:bodyDiv w:val="1"/>
      <w:marLeft w:val="0"/>
      <w:marRight w:val="0"/>
      <w:marTop w:val="0"/>
      <w:marBottom w:val="0"/>
      <w:divBdr>
        <w:top w:val="none" w:sz="0" w:space="0" w:color="auto"/>
        <w:left w:val="none" w:sz="0" w:space="0" w:color="auto"/>
        <w:bottom w:val="none" w:sz="0" w:space="0" w:color="auto"/>
        <w:right w:val="none" w:sz="0" w:space="0" w:color="auto"/>
      </w:divBdr>
      <w:divsChild>
        <w:div w:id="231936683">
          <w:marLeft w:val="0"/>
          <w:marRight w:val="0"/>
          <w:marTop w:val="0"/>
          <w:marBottom w:val="0"/>
          <w:divBdr>
            <w:top w:val="none" w:sz="0" w:space="0" w:color="auto"/>
            <w:left w:val="none" w:sz="0" w:space="0" w:color="auto"/>
            <w:bottom w:val="none" w:sz="0" w:space="0" w:color="auto"/>
            <w:right w:val="none" w:sz="0" w:space="0" w:color="auto"/>
          </w:divBdr>
        </w:div>
        <w:div w:id="994719181">
          <w:marLeft w:val="0"/>
          <w:marRight w:val="0"/>
          <w:marTop w:val="0"/>
          <w:marBottom w:val="0"/>
          <w:divBdr>
            <w:top w:val="none" w:sz="0" w:space="0" w:color="auto"/>
            <w:left w:val="none" w:sz="0" w:space="0" w:color="auto"/>
            <w:bottom w:val="none" w:sz="0" w:space="0" w:color="auto"/>
            <w:right w:val="none" w:sz="0" w:space="0" w:color="auto"/>
          </w:divBdr>
        </w:div>
        <w:div w:id="85924045">
          <w:marLeft w:val="0"/>
          <w:marRight w:val="0"/>
          <w:marTop w:val="0"/>
          <w:marBottom w:val="0"/>
          <w:divBdr>
            <w:top w:val="none" w:sz="0" w:space="0" w:color="auto"/>
            <w:left w:val="none" w:sz="0" w:space="0" w:color="auto"/>
            <w:bottom w:val="none" w:sz="0" w:space="0" w:color="auto"/>
            <w:right w:val="none" w:sz="0" w:space="0" w:color="auto"/>
          </w:divBdr>
        </w:div>
        <w:div w:id="32773274">
          <w:marLeft w:val="0"/>
          <w:marRight w:val="0"/>
          <w:marTop w:val="0"/>
          <w:marBottom w:val="0"/>
          <w:divBdr>
            <w:top w:val="none" w:sz="0" w:space="0" w:color="auto"/>
            <w:left w:val="none" w:sz="0" w:space="0" w:color="auto"/>
            <w:bottom w:val="none" w:sz="0" w:space="0" w:color="auto"/>
            <w:right w:val="none" w:sz="0" w:space="0" w:color="auto"/>
          </w:divBdr>
        </w:div>
        <w:div w:id="1537112126">
          <w:marLeft w:val="0"/>
          <w:marRight w:val="0"/>
          <w:marTop w:val="0"/>
          <w:marBottom w:val="0"/>
          <w:divBdr>
            <w:top w:val="none" w:sz="0" w:space="0" w:color="auto"/>
            <w:left w:val="none" w:sz="0" w:space="0" w:color="auto"/>
            <w:bottom w:val="none" w:sz="0" w:space="0" w:color="auto"/>
            <w:right w:val="none" w:sz="0" w:space="0" w:color="auto"/>
          </w:divBdr>
        </w:div>
        <w:div w:id="399642122">
          <w:marLeft w:val="0"/>
          <w:marRight w:val="0"/>
          <w:marTop w:val="0"/>
          <w:marBottom w:val="0"/>
          <w:divBdr>
            <w:top w:val="none" w:sz="0" w:space="0" w:color="auto"/>
            <w:left w:val="none" w:sz="0" w:space="0" w:color="auto"/>
            <w:bottom w:val="none" w:sz="0" w:space="0" w:color="auto"/>
            <w:right w:val="none" w:sz="0" w:space="0" w:color="auto"/>
          </w:divBdr>
        </w:div>
        <w:div w:id="478575386">
          <w:marLeft w:val="0"/>
          <w:marRight w:val="0"/>
          <w:marTop w:val="0"/>
          <w:marBottom w:val="0"/>
          <w:divBdr>
            <w:top w:val="none" w:sz="0" w:space="0" w:color="auto"/>
            <w:left w:val="none" w:sz="0" w:space="0" w:color="auto"/>
            <w:bottom w:val="none" w:sz="0" w:space="0" w:color="auto"/>
            <w:right w:val="none" w:sz="0" w:space="0" w:color="auto"/>
          </w:divBdr>
        </w:div>
        <w:div w:id="1078865269">
          <w:marLeft w:val="0"/>
          <w:marRight w:val="0"/>
          <w:marTop w:val="0"/>
          <w:marBottom w:val="0"/>
          <w:divBdr>
            <w:top w:val="none" w:sz="0" w:space="0" w:color="auto"/>
            <w:left w:val="none" w:sz="0" w:space="0" w:color="auto"/>
            <w:bottom w:val="none" w:sz="0" w:space="0" w:color="auto"/>
            <w:right w:val="none" w:sz="0" w:space="0" w:color="auto"/>
          </w:divBdr>
        </w:div>
        <w:div w:id="101649044">
          <w:marLeft w:val="0"/>
          <w:marRight w:val="0"/>
          <w:marTop w:val="0"/>
          <w:marBottom w:val="0"/>
          <w:divBdr>
            <w:top w:val="none" w:sz="0" w:space="0" w:color="auto"/>
            <w:left w:val="none" w:sz="0" w:space="0" w:color="auto"/>
            <w:bottom w:val="none" w:sz="0" w:space="0" w:color="auto"/>
            <w:right w:val="none" w:sz="0" w:space="0" w:color="auto"/>
          </w:divBdr>
        </w:div>
        <w:div w:id="1661887489">
          <w:marLeft w:val="0"/>
          <w:marRight w:val="0"/>
          <w:marTop w:val="0"/>
          <w:marBottom w:val="0"/>
          <w:divBdr>
            <w:top w:val="none" w:sz="0" w:space="0" w:color="auto"/>
            <w:left w:val="none" w:sz="0" w:space="0" w:color="auto"/>
            <w:bottom w:val="none" w:sz="0" w:space="0" w:color="auto"/>
            <w:right w:val="none" w:sz="0" w:space="0" w:color="auto"/>
          </w:divBdr>
        </w:div>
        <w:div w:id="347685532">
          <w:marLeft w:val="0"/>
          <w:marRight w:val="0"/>
          <w:marTop w:val="0"/>
          <w:marBottom w:val="0"/>
          <w:divBdr>
            <w:top w:val="none" w:sz="0" w:space="0" w:color="auto"/>
            <w:left w:val="none" w:sz="0" w:space="0" w:color="auto"/>
            <w:bottom w:val="none" w:sz="0" w:space="0" w:color="auto"/>
            <w:right w:val="none" w:sz="0" w:space="0" w:color="auto"/>
          </w:divBdr>
        </w:div>
        <w:div w:id="42288417">
          <w:marLeft w:val="0"/>
          <w:marRight w:val="0"/>
          <w:marTop w:val="0"/>
          <w:marBottom w:val="0"/>
          <w:divBdr>
            <w:top w:val="none" w:sz="0" w:space="0" w:color="auto"/>
            <w:left w:val="none" w:sz="0" w:space="0" w:color="auto"/>
            <w:bottom w:val="none" w:sz="0" w:space="0" w:color="auto"/>
            <w:right w:val="none" w:sz="0" w:space="0" w:color="auto"/>
          </w:divBdr>
        </w:div>
        <w:div w:id="534780381">
          <w:marLeft w:val="0"/>
          <w:marRight w:val="0"/>
          <w:marTop w:val="0"/>
          <w:marBottom w:val="0"/>
          <w:divBdr>
            <w:top w:val="none" w:sz="0" w:space="0" w:color="auto"/>
            <w:left w:val="none" w:sz="0" w:space="0" w:color="auto"/>
            <w:bottom w:val="none" w:sz="0" w:space="0" w:color="auto"/>
            <w:right w:val="none" w:sz="0" w:space="0" w:color="auto"/>
          </w:divBdr>
        </w:div>
        <w:div w:id="1443306597">
          <w:marLeft w:val="0"/>
          <w:marRight w:val="0"/>
          <w:marTop w:val="0"/>
          <w:marBottom w:val="0"/>
          <w:divBdr>
            <w:top w:val="none" w:sz="0" w:space="0" w:color="auto"/>
            <w:left w:val="none" w:sz="0" w:space="0" w:color="auto"/>
            <w:bottom w:val="none" w:sz="0" w:space="0" w:color="auto"/>
            <w:right w:val="none" w:sz="0" w:space="0" w:color="auto"/>
          </w:divBdr>
        </w:div>
        <w:div w:id="1878619869">
          <w:marLeft w:val="0"/>
          <w:marRight w:val="0"/>
          <w:marTop w:val="0"/>
          <w:marBottom w:val="0"/>
          <w:divBdr>
            <w:top w:val="none" w:sz="0" w:space="0" w:color="auto"/>
            <w:left w:val="none" w:sz="0" w:space="0" w:color="auto"/>
            <w:bottom w:val="none" w:sz="0" w:space="0" w:color="auto"/>
            <w:right w:val="none" w:sz="0" w:space="0" w:color="auto"/>
          </w:divBdr>
        </w:div>
        <w:div w:id="626279937">
          <w:marLeft w:val="0"/>
          <w:marRight w:val="0"/>
          <w:marTop w:val="0"/>
          <w:marBottom w:val="0"/>
          <w:divBdr>
            <w:top w:val="none" w:sz="0" w:space="0" w:color="auto"/>
            <w:left w:val="none" w:sz="0" w:space="0" w:color="auto"/>
            <w:bottom w:val="none" w:sz="0" w:space="0" w:color="auto"/>
            <w:right w:val="none" w:sz="0" w:space="0" w:color="auto"/>
          </w:divBdr>
        </w:div>
        <w:div w:id="1119493001">
          <w:marLeft w:val="0"/>
          <w:marRight w:val="0"/>
          <w:marTop w:val="0"/>
          <w:marBottom w:val="0"/>
          <w:divBdr>
            <w:top w:val="none" w:sz="0" w:space="0" w:color="auto"/>
            <w:left w:val="none" w:sz="0" w:space="0" w:color="auto"/>
            <w:bottom w:val="none" w:sz="0" w:space="0" w:color="auto"/>
            <w:right w:val="none" w:sz="0" w:space="0" w:color="auto"/>
          </w:divBdr>
        </w:div>
        <w:div w:id="1694764720">
          <w:marLeft w:val="0"/>
          <w:marRight w:val="0"/>
          <w:marTop w:val="0"/>
          <w:marBottom w:val="0"/>
          <w:divBdr>
            <w:top w:val="none" w:sz="0" w:space="0" w:color="auto"/>
            <w:left w:val="none" w:sz="0" w:space="0" w:color="auto"/>
            <w:bottom w:val="none" w:sz="0" w:space="0" w:color="auto"/>
            <w:right w:val="none" w:sz="0" w:space="0" w:color="auto"/>
          </w:divBdr>
        </w:div>
        <w:div w:id="2076971462">
          <w:marLeft w:val="0"/>
          <w:marRight w:val="0"/>
          <w:marTop w:val="0"/>
          <w:marBottom w:val="0"/>
          <w:divBdr>
            <w:top w:val="none" w:sz="0" w:space="0" w:color="auto"/>
            <w:left w:val="none" w:sz="0" w:space="0" w:color="auto"/>
            <w:bottom w:val="none" w:sz="0" w:space="0" w:color="auto"/>
            <w:right w:val="none" w:sz="0" w:space="0" w:color="auto"/>
          </w:divBdr>
        </w:div>
        <w:div w:id="1527715707">
          <w:marLeft w:val="0"/>
          <w:marRight w:val="0"/>
          <w:marTop w:val="0"/>
          <w:marBottom w:val="0"/>
          <w:divBdr>
            <w:top w:val="none" w:sz="0" w:space="0" w:color="auto"/>
            <w:left w:val="none" w:sz="0" w:space="0" w:color="auto"/>
            <w:bottom w:val="none" w:sz="0" w:space="0" w:color="auto"/>
            <w:right w:val="none" w:sz="0" w:space="0" w:color="auto"/>
          </w:divBdr>
        </w:div>
        <w:div w:id="1461073963">
          <w:marLeft w:val="0"/>
          <w:marRight w:val="0"/>
          <w:marTop w:val="0"/>
          <w:marBottom w:val="0"/>
          <w:divBdr>
            <w:top w:val="none" w:sz="0" w:space="0" w:color="auto"/>
            <w:left w:val="none" w:sz="0" w:space="0" w:color="auto"/>
            <w:bottom w:val="none" w:sz="0" w:space="0" w:color="auto"/>
            <w:right w:val="none" w:sz="0" w:space="0" w:color="auto"/>
          </w:divBdr>
        </w:div>
        <w:div w:id="1563712591">
          <w:marLeft w:val="0"/>
          <w:marRight w:val="0"/>
          <w:marTop w:val="0"/>
          <w:marBottom w:val="0"/>
          <w:divBdr>
            <w:top w:val="none" w:sz="0" w:space="0" w:color="auto"/>
            <w:left w:val="none" w:sz="0" w:space="0" w:color="auto"/>
            <w:bottom w:val="none" w:sz="0" w:space="0" w:color="auto"/>
            <w:right w:val="none" w:sz="0" w:space="0" w:color="auto"/>
          </w:divBdr>
        </w:div>
        <w:div w:id="1846168566">
          <w:marLeft w:val="0"/>
          <w:marRight w:val="0"/>
          <w:marTop w:val="0"/>
          <w:marBottom w:val="0"/>
          <w:divBdr>
            <w:top w:val="none" w:sz="0" w:space="0" w:color="auto"/>
            <w:left w:val="none" w:sz="0" w:space="0" w:color="auto"/>
            <w:bottom w:val="none" w:sz="0" w:space="0" w:color="auto"/>
            <w:right w:val="none" w:sz="0" w:space="0" w:color="auto"/>
          </w:divBdr>
        </w:div>
        <w:div w:id="958992147">
          <w:marLeft w:val="0"/>
          <w:marRight w:val="0"/>
          <w:marTop w:val="0"/>
          <w:marBottom w:val="0"/>
          <w:divBdr>
            <w:top w:val="none" w:sz="0" w:space="0" w:color="auto"/>
            <w:left w:val="none" w:sz="0" w:space="0" w:color="auto"/>
            <w:bottom w:val="none" w:sz="0" w:space="0" w:color="auto"/>
            <w:right w:val="none" w:sz="0" w:space="0" w:color="auto"/>
          </w:divBdr>
        </w:div>
        <w:div w:id="1497696053">
          <w:marLeft w:val="0"/>
          <w:marRight w:val="0"/>
          <w:marTop w:val="0"/>
          <w:marBottom w:val="0"/>
          <w:divBdr>
            <w:top w:val="none" w:sz="0" w:space="0" w:color="auto"/>
            <w:left w:val="none" w:sz="0" w:space="0" w:color="auto"/>
            <w:bottom w:val="none" w:sz="0" w:space="0" w:color="auto"/>
            <w:right w:val="none" w:sz="0" w:space="0" w:color="auto"/>
          </w:divBdr>
        </w:div>
        <w:div w:id="160001940">
          <w:marLeft w:val="0"/>
          <w:marRight w:val="0"/>
          <w:marTop w:val="0"/>
          <w:marBottom w:val="0"/>
          <w:divBdr>
            <w:top w:val="none" w:sz="0" w:space="0" w:color="auto"/>
            <w:left w:val="none" w:sz="0" w:space="0" w:color="auto"/>
            <w:bottom w:val="none" w:sz="0" w:space="0" w:color="auto"/>
            <w:right w:val="none" w:sz="0" w:space="0" w:color="auto"/>
          </w:divBdr>
        </w:div>
        <w:div w:id="400568622">
          <w:marLeft w:val="0"/>
          <w:marRight w:val="0"/>
          <w:marTop w:val="0"/>
          <w:marBottom w:val="0"/>
          <w:divBdr>
            <w:top w:val="none" w:sz="0" w:space="0" w:color="auto"/>
            <w:left w:val="none" w:sz="0" w:space="0" w:color="auto"/>
            <w:bottom w:val="none" w:sz="0" w:space="0" w:color="auto"/>
            <w:right w:val="none" w:sz="0" w:space="0" w:color="auto"/>
          </w:divBdr>
        </w:div>
        <w:div w:id="974990694">
          <w:marLeft w:val="0"/>
          <w:marRight w:val="0"/>
          <w:marTop w:val="0"/>
          <w:marBottom w:val="0"/>
          <w:divBdr>
            <w:top w:val="none" w:sz="0" w:space="0" w:color="auto"/>
            <w:left w:val="none" w:sz="0" w:space="0" w:color="auto"/>
            <w:bottom w:val="none" w:sz="0" w:space="0" w:color="auto"/>
            <w:right w:val="none" w:sz="0" w:space="0" w:color="auto"/>
          </w:divBdr>
        </w:div>
        <w:div w:id="1088422760">
          <w:marLeft w:val="0"/>
          <w:marRight w:val="0"/>
          <w:marTop w:val="0"/>
          <w:marBottom w:val="0"/>
          <w:divBdr>
            <w:top w:val="none" w:sz="0" w:space="0" w:color="auto"/>
            <w:left w:val="none" w:sz="0" w:space="0" w:color="auto"/>
            <w:bottom w:val="none" w:sz="0" w:space="0" w:color="auto"/>
            <w:right w:val="none" w:sz="0" w:space="0" w:color="auto"/>
          </w:divBdr>
        </w:div>
        <w:div w:id="637875823">
          <w:marLeft w:val="0"/>
          <w:marRight w:val="0"/>
          <w:marTop w:val="0"/>
          <w:marBottom w:val="0"/>
          <w:divBdr>
            <w:top w:val="none" w:sz="0" w:space="0" w:color="auto"/>
            <w:left w:val="none" w:sz="0" w:space="0" w:color="auto"/>
            <w:bottom w:val="none" w:sz="0" w:space="0" w:color="auto"/>
            <w:right w:val="none" w:sz="0" w:space="0" w:color="auto"/>
          </w:divBdr>
        </w:div>
        <w:div w:id="1592811856">
          <w:marLeft w:val="0"/>
          <w:marRight w:val="0"/>
          <w:marTop w:val="0"/>
          <w:marBottom w:val="0"/>
          <w:divBdr>
            <w:top w:val="none" w:sz="0" w:space="0" w:color="auto"/>
            <w:left w:val="none" w:sz="0" w:space="0" w:color="auto"/>
            <w:bottom w:val="none" w:sz="0" w:space="0" w:color="auto"/>
            <w:right w:val="none" w:sz="0" w:space="0" w:color="auto"/>
          </w:divBdr>
        </w:div>
        <w:div w:id="1609504407">
          <w:marLeft w:val="0"/>
          <w:marRight w:val="0"/>
          <w:marTop w:val="0"/>
          <w:marBottom w:val="0"/>
          <w:divBdr>
            <w:top w:val="none" w:sz="0" w:space="0" w:color="auto"/>
            <w:left w:val="none" w:sz="0" w:space="0" w:color="auto"/>
            <w:bottom w:val="none" w:sz="0" w:space="0" w:color="auto"/>
            <w:right w:val="none" w:sz="0" w:space="0" w:color="auto"/>
          </w:divBdr>
        </w:div>
        <w:div w:id="452864305">
          <w:marLeft w:val="0"/>
          <w:marRight w:val="0"/>
          <w:marTop w:val="0"/>
          <w:marBottom w:val="0"/>
          <w:divBdr>
            <w:top w:val="none" w:sz="0" w:space="0" w:color="auto"/>
            <w:left w:val="none" w:sz="0" w:space="0" w:color="auto"/>
            <w:bottom w:val="none" w:sz="0" w:space="0" w:color="auto"/>
            <w:right w:val="none" w:sz="0" w:space="0" w:color="auto"/>
          </w:divBdr>
        </w:div>
        <w:div w:id="1300720640">
          <w:marLeft w:val="0"/>
          <w:marRight w:val="0"/>
          <w:marTop w:val="0"/>
          <w:marBottom w:val="0"/>
          <w:divBdr>
            <w:top w:val="none" w:sz="0" w:space="0" w:color="auto"/>
            <w:left w:val="none" w:sz="0" w:space="0" w:color="auto"/>
            <w:bottom w:val="none" w:sz="0" w:space="0" w:color="auto"/>
            <w:right w:val="none" w:sz="0" w:space="0" w:color="auto"/>
          </w:divBdr>
        </w:div>
        <w:div w:id="1455905707">
          <w:marLeft w:val="0"/>
          <w:marRight w:val="0"/>
          <w:marTop w:val="0"/>
          <w:marBottom w:val="0"/>
          <w:divBdr>
            <w:top w:val="none" w:sz="0" w:space="0" w:color="auto"/>
            <w:left w:val="none" w:sz="0" w:space="0" w:color="auto"/>
            <w:bottom w:val="none" w:sz="0" w:space="0" w:color="auto"/>
            <w:right w:val="none" w:sz="0" w:space="0" w:color="auto"/>
          </w:divBdr>
        </w:div>
        <w:div w:id="1169712695">
          <w:marLeft w:val="0"/>
          <w:marRight w:val="0"/>
          <w:marTop w:val="0"/>
          <w:marBottom w:val="0"/>
          <w:divBdr>
            <w:top w:val="none" w:sz="0" w:space="0" w:color="auto"/>
            <w:left w:val="none" w:sz="0" w:space="0" w:color="auto"/>
            <w:bottom w:val="none" w:sz="0" w:space="0" w:color="auto"/>
            <w:right w:val="none" w:sz="0" w:space="0" w:color="auto"/>
          </w:divBdr>
        </w:div>
        <w:div w:id="2116830193">
          <w:marLeft w:val="0"/>
          <w:marRight w:val="0"/>
          <w:marTop w:val="0"/>
          <w:marBottom w:val="0"/>
          <w:divBdr>
            <w:top w:val="none" w:sz="0" w:space="0" w:color="auto"/>
            <w:left w:val="none" w:sz="0" w:space="0" w:color="auto"/>
            <w:bottom w:val="none" w:sz="0" w:space="0" w:color="auto"/>
            <w:right w:val="none" w:sz="0" w:space="0" w:color="auto"/>
          </w:divBdr>
        </w:div>
      </w:divsChild>
    </w:div>
    <w:div w:id="483086754">
      <w:bodyDiv w:val="1"/>
      <w:marLeft w:val="0"/>
      <w:marRight w:val="0"/>
      <w:marTop w:val="0"/>
      <w:marBottom w:val="0"/>
      <w:divBdr>
        <w:top w:val="none" w:sz="0" w:space="0" w:color="auto"/>
        <w:left w:val="none" w:sz="0" w:space="0" w:color="auto"/>
        <w:bottom w:val="none" w:sz="0" w:space="0" w:color="auto"/>
        <w:right w:val="none" w:sz="0" w:space="0" w:color="auto"/>
      </w:divBdr>
    </w:div>
    <w:div w:id="506359883">
      <w:bodyDiv w:val="1"/>
      <w:marLeft w:val="0"/>
      <w:marRight w:val="0"/>
      <w:marTop w:val="0"/>
      <w:marBottom w:val="0"/>
      <w:divBdr>
        <w:top w:val="none" w:sz="0" w:space="0" w:color="auto"/>
        <w:left w:val="none" w:sz="0" w:space="0" w:color="auto"/>
        <w:bottom w:val="none" w:sz="0" w:space="0" w:color="auto"/>
        <w:right w:val="none" w:sz="0" w:space="0" w:color="auto"/>
      </w:divBdr>
    </w:div>
    <w:div w:id="755595902">
      <w:bodyDiv w:val="1"/>
      <w:marLeft w:val="0"/>
      <w:marRight w:val="0"/>
      <w:marTop w:val="0"/>
      <w:marBottom w:val="0"/>
      <w:divBdr>
        <w:top w:val="none" w:sz="0" w:space="0" w:color="auto"/>
        <w:left w:val="none" w:sz="0" w:space="0" w:color="auto"/>
        <w:bottom w:val="none" w:sz="0" w:space="0" w:color="auto"/>
        <w:right w:val="none" w:sz="0" w:space="0" w:color="auto"/>
      </w:divBdr>
    </w:div>
    <w:div w:id="1150099867">
      <w:bodyDiv w:val="1"/>
      <w:marLeft w:val="0"/>
      <w:marRight w:val="0"/>
      <w:marTop w:val="0"/>
      <w:marBottom w:val="0"/>
      <w:divBdr>
        <w:top w:val="none" w:sz="0" w:space="0" w:color="auto"/>
        <w:left w:val="none" w:sz="0" w:space="0" w:color="auto"/>
        <w:bottom w:val="none" w:sz="0" w:space="0" w:color="auto"/>
        <w:right w:val="none" w:sz="0" w:space="0" w:color="auto"/>
      </w:divBdr>
      <w:divsChild>
        <w:div w:id="140974077">
          <w:marLeft w:val="0"/>
          <w:marRight w:val="0"/>
          <w:marTop w:val="0"/>
          <w:marBottom w:val="0"/>
          <w:divBdr>
            <w:top w:val="none" w:sz="0" w:space="0" w:color="auto"/>
            <w:left w:val="none" w:sz="0" w:space="0" w:color="auto"/>
            <w:bottom w:val="none" w:sz="0" w:space="0" w:color="auto"/>
            <w:right w:val="none" w:sz="0" w:space="0" w:color="auto"/>
          </w:divBdr>
        </w:div>
      </w:divsChild>
    </w:div>
    <w:div w:id="1160999417">
      <w:bodyDiv w:val="1"/>
      <w:marLeft w:val="0"/>
      <w:marRight w:val="0"/>
      <w:marTop w:val="0"/>
      <w:marBottom w:val="0"/>
      <w:divBdr>
        <w:top w:val="none" w:sz="0" w:space="0" w:color="auto"/>
        <w:left w:val="none" w:sz="0" w:space="0" w:color="auto"/>
        <w:bottom w:val="none" w:sz="0" w:space="0" w:color="auto"/>
        <w:right w:val="none" w:sz="0" w:space="0" w:color="auto"/>
      </w:divBdr>
    </w:div>
    <w:div w:id="1224221501">
      <w:bodyDiv w:val="1"/>
      <w:marLeft w:val="0"/>
      <w:marRight w:val="0"/>
      <w:marTop w:val="0"/>
      <w:marBottom w:val="0"/>
      <w:divBdr>
        <w:top w:val="none" w:sz="0" w:space="0" w:color="auto"/>
        <w:left w:val="none" w:sz="0" w:space="0" w:color="auto"/>
        <w:bottom w:val="none" w:sz="0" w:space="0" w:color="auto"/>
        <w:right w:val="none" w:sz="0" w:space="0" w:color="auto"/>
      </w:divBdr>
    </w:div>
    <w:div w:id="1255358278">
      <w:bodyDiv w:val="1"/>
      <w:marLeft w:val="0"/>
      <w:marRight w:val="0"/>
      <w:marTop w:val="0"/>
      <w:marBottom w:val="0"/>
      <w:divBdr>
        <w:top w:val="none" w:sz="0" w:space="0" w:color="auto"/>
        <w:left w:val="none" w:sz="0" w:space="0" w:color="auto"/>
        <w:bottom w:val="none" w:sz="0" w:space="0" w:color="auto"/>
        <w:right w:val="none" w:sz="0" w:space="0" w:color="auto"/>
      </w:divBdr>
      <w:divsChild>
        <w:div w:id="1527401216">
          <w:marLeft w:val="0"/>
          <w:marRight w:val="0"/>
          <w:marTop w:val="0"/>
          <w:marBottom w:val="0"/>
          <w:divBdr>
            <w:top w:val="none" w:sz="0" w:space="0" w:color="auto"/>
            <w:left w:val="none" w:sz="0" w:space="0" w:color="auto"/>
            <w:bottom w:val="none" w:sz="0" w:space="0" w:color="auto"/>
            <w:right w:val="none" w:sz="0" w:space="0" w:color="auto"/>
          </w:divBdr>
          <w:divsChild>
            <w:div w:id="1817602852">
              <w:marLeft w:val="0"/>
              <w:marRight w:val="0"/>
              <w:marTop w:val="0"/>
              <w:marBottom w:val="0"/>
              <w:divBdr>
                <w:top w:val="none" w:sz="0" w:space="0" w:color="auto"/>
                <w:left w:val="none" w:sz="0" w:space="0" w:color="auto"/>
                <w:bottom w:val="none" w:sz="0" w:space="0" w:color="auto"/>
                <w:right w:val="none" w:sz="0" w:space="0" w:color="auto"/>
              </w:divBdr>
              <w:divsChild>
                <w:div w:id="1679772069">
                  <w:marLeft w:val="0"/>
                  <w:marRight w:val="0"/>
                  <w:marTop w:val="0"/>
                  <w:marBottom w:val="0"/>
                  <w:divBdr>
                    <w:top w:val="none" w:sz="0" w:space="0" w:color="auto"/>
                    <w:left w:val="none" w:sz="0" w:space="0" w:color="auto"/>
                    <w:bottom w:val="none" w:sz="0" w:space="0" w:color="auto"/>
                    <w:right w:val="none" w:sz="0" w:space="0" w:color="auto"/>
                  </w:divBdr>
                  <w:divsChild>
                    <w:div w:id="458382635">
                      <w:marLeft w:val="0"/>
                      <w:marRight w:val="0"/>
                      <w:marTop w:val="0"/>
                      <w:marBottom w:val="0"/>
                      <w:divBdr>
                        <w:top w:val="none" w:sz="0" w:space="0" w:color="auto"/>
                        <w:left w:val="none" w:sz="0" w:space="0" w:color="auto"/>
                        <w:bottom w:val="none" w:sz="0" w:space="0" w:color="auto"/>
                        <w:right w:val="none" w:sz="0" w:space="0" w:color="auto"/>
                      </w:divBdr>
                      <w:divsChild>
                        <w:div w:id="1558928861">
                          <w:marLeft w:val="0"/>
                          <w:marRight w:val="0"/>
                          <w:marTop w:val="0"/>
                          <w:marBottom w:val="0"/>
                          <w:divBdr>
                            <w:top w:val="none" w:sz="0" w:space="0" w:color="auto"/>
                            <w:left w:val="none" w:sz="0" w:space="0" w:color="auto"/>
                            <w:bottom w:val="none" w:sz="0" w:space="0" w:color="auto"/>
                            <w:right w:val="none" w:sz="0" w:space="0" w:color="auto"/>
                          </w:divBdr>
                          <w:divsChild>
                            <w:div w:id="1916357506">
                              <w:marLeft w:val="0"/>
                              <w:marRight w:val="0"/>
                              <w:marTop w:val="0"/>
                              <w:marBottom w:val="0"/>
                              <w:divBdr>
                                <w:top w:val="none" w:sz="0" w:space="0" w:color="auto"/>
                                <w:left w:val="none" w:sz="0" w:space="0" w:color="auto"/>
                                <w:bottom w:val="none" w:sz="0" w:space="0" w:color="auto"/>
                                <w:right w:val="none" w:sz="0" w:space="0" w:color="auto"/>
                              </w:divBdr>
                              <w:divsChild>
                                <w:div w:id="11568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16">
                      <w:marLeft w:val="0"/>
                      <w:marRight w:val="0"/>
                      <w:marTop w:val="0"/>
                      <w:marBottom w:val="0"/>
                      <w:divBdr>
                        <w:top w:val="none" w:sz="0" w:space="0" w:color="auto"/>
                        <w:left w:val="none" w:sz="0" w:space="0" w:color="auto"/>
                        <w:bottom w:val="none" w:sz="0" w:space="0" w:color="auto"/>
                        <w:right w:val="none" w:sz="0" w:space="0" w:color="auto"/>
                      </w:divBdr>
                      <w:divsChild>
                        <w:div w:id="1783112167">
                          <w:marLeft w:val="0"/>
                          <w:marRight w:val="0"/>
                          <w:marTop w:val="0"/>
                          <w:marBottom w:val="0"/>
                          <w:divBdr>
                            <w:top w:val="none" w:sz="0" w:space="0" w:color="auto"/>
                            <w:left w:val="none" w:sz="0" w:space="0" w:color="auto"/>
                            <w:bottom w:val="none" w:sz="0" w:space="0" w:color="auto"/>
                            <w:right w:val="none" w:sz="0" w:space="0" w:color="auto"/>
                          </w:divBdr>
                        </w:div>
                        <w:div w:id="661397240">
                          <w:marLeft w:val="0"/>
                          <w:marRight w:val="0"/>
                          <w:marTop w:val="0"/>
                          <w:marBottom w:val="0"/>
                          <w:divBdr>
                            <w:top w:val="none" w:sz="0" w:space="0" w:color="auto"/>
                            <w:left w:val="none" w:sz="0" w:space="0" w:color="auto"/>
                            <w:bottom w:val="none" w:sz="0" w:space="0" w:color="auto"/>
                            <w:right w:val="none" w:sz="0" w:space="0" w:color="auto"/>
                          </w:divBdr>
                        </w:div>
                        <w:div w:id="7843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1425">
              <w:marLeft w:val="0"/>
              <w:marRight w:val="0"/>
              <w:marTop w:val="0"/>
              <w:marBottom w:val="0"/>
              <w:divBdr>
                <w:top w:val="none" w:sz="0" w:space="0" w:color="auto"/>
                <w:left w:val="none" w:sz="0" w:space="0" w:color="auto"/>
                <w:bottom w:val="none" w:sz="0" w:space="0" w:color="auto"/>
                <w:right w:val="none" w:sz="0" w:space="0" w:color="auto"/>
              </w:divBdr>
              <w:divsChild>
                <w:div w:id="103427392">
                  <w:marLeft w:val="0"/>
                  <w:marRight w:val="0"/>
                  <w:marTop w:val="0"/>
                  <w:marBottom w:val="0"/>
                  <w:divBdr>
                    <w:top w:val="none" w:sz="0" w:space="0" w:color="auto"/>
                    <w:left w:val="none" w:sz="0" w:space="0" w:color="auto"/>
                    <w:bottom w:val="none" w:sz="0" w:space="0" w:color="auto"/>
                    <w:right w:val="none" w:sz="0" w:space="0" w:color="auto"/>
                  </w:divBdr>
                  <w:divsChild>
                    <w:div w:id="740981662">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5773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8924">
              <w:marLeft w:val="0"/>
              <w:marRight w:val="0"/>
              <w:marTop w:val="0"/>
              <w:marBottom w:val="0"/>
              <w:divBdr>
                <w:top w:val="none" w:sz="0" w:space="0" w:color="auto"/>
                <w:left w:val="none" w:sz="0" w:space="0" w:color="auto"/>
                <w:bottom w:val="none" w:sz="0" w:space="0" w:color="auto"/>
                <w:right w:val="none" w:sz="0" w:space="0" w:color="auto"/>
              </w:divBdr>
              <w:divsChild>
                <w:div w:id="1438285657">
                  <w:marLeft w:val="0"/>
                  <w:marRight w:val="0"/>
                  <w:marTop w:val="0"/>
                  <w:marBottom w:val="0"/>
                  <w:divBdr>
                    <w:top w:val="none" w:sz="0" w:space="0" w:color="auto"/>
                    <w:left w:val="none" w:sz="0" w:space="0" w:color="auto"/>
                    <w:bottom w:val="none" w:sz="0" w:space="0" w:color="auto"/>
                    <w:right w:val="none" w:sz="0" w:space="0" w:color="auto"/>
                  </w:divBdr>
                </w:div>
                <w:div w:id="6568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9914">
          <w:marLeft w:val="0"/>
          <w:marRight w:val="0"/>
          <w:marTop w:val="0"/>
          <w:marBottom w:val="0"/>
          <w:divBdr>
            <w:top w:val="none" w:sz="0" w:space="0" w:color="auto"/>
            <w:left w:val="none" w:sz="0" w:space="0" w:color="auto"/>
            <w:bottom w:val="none" w:sz="0" w:space="0" w:color="auto"/>
            <w:right w:val="none" w:sz="0" w:space="0" w:color="auto"/>
          </w:divBdr>
          <w:divsChild>
            <w:div w:id="1388725224">
              <w:marLeft w:val="0"/>
              <w:marRight w:val="0"/>
              <w:marTop w:val="0"/>
              <w:marBottom w:val="0"/>
              <w:divBdr>
                <w:top w:val="none" w:sz="0" w:space="0" w:color="auto"/>
                <w:left w:val="none" w:sz="0" w:space="0" w:color="auto"/>
                <w:bottom w:val="none" w:sz="0" w:space="0" w:color="auto"/>
                <w:right w:val="none" w:sz="0" w:space="0" w:color="auto"/>
              </w:divBdr>
              <w:divsChild>
                <w:div w:id="1473132882">
                  <w:marLeft w:val="0"/>
                  <w:marRight w:val="0"/>
                  <w:marTop w:val="0"/>
                  <w:marBottom w:val="0"/>
                  <w:divBdr>
                    <w:top w:val="none" w:sz="0" w:space="0" w:color="auto"/>
                    <w:left w:val="none" w:sz="0" w:space="0" w:color="auto"/>
                    <w:bottom w:val="none" w:sz="0" w:space="0" w:color="auto"/>
                    <w:right w:val="none" w:sz="0" w:space="0" w:color="auto"/>
                  </w:divBdr>
                </w:div>
                <w:div w:id="6239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7076">
      <w:bodyDiv w:val="1"/>
      <w:marLeft w:val="0"/>
      <w:marRight w:val="0"/>
      <w:marTop w:val="0"/>
      <w:marBottom w:val="0"/>
      <w:divBdr>
        <w:top w:val="none" w:sz="0" w:space="0" w:color="auto"/>
        <w:left w:val="none" w:sz="0" w:space="0" w:color="auto"/>
        <w:bottom w:val="none" w:sz="0" w:space="0" w:color="auto"/>
        <w:right w:val="none" w:sz="0" w:space="0" w:color="auto"/>
      </w:divBdr>
      <w:divsChild>
        <w:div w:id="1551188125">
          <w:marLeft w:val="0"/>
          <w:marRight w:val="0"/>
          <w:marTop w:val="0"/>
          <w:marBottom w:val="0"/>
          <w:divBdr>
            <w:top w:val="none" w:sz="0" w:space="0" w:color="auto"/>
            <w:left w:val="none" w:sz="0" w:space="0" w:color="auto"/>
            <w:bottom w:val="none" w:sz="0" w:space="0" w:color="auto"/>
            <w:right w:val="none" w:sz="0" w:space="0" w:color="auto"/>
          </w:divBdr>
          <w:divsChild>
            <w:div w:id="899167660">
              <w:marLeft w:val="0"/>
              <w:marRight w:val="0"/>
              <w:marTop w:val="0"/>
              <w:marBottom w:val="0"/>
              <w:divBdr>
                <w:top w:val="none" w:sz="0" w:space="0" w:color="auto"/>
                <w:left w:val="none" w:sz="0" w:space="0" w:color="auto"/>
                <w:bottom w:val="none" w:sz="0" w:space="0" w:color="auto"/>
                <w:right w:val="none" w:sz="0" w:space="0" w:color="auto"/>
              </w:divBdr>
              <w:divsChild>
                <w:div w:id="1574319011">
                  <w:marLeft w:val="0"/>
                  <w:marRight w:val="0"/>
                  <w:marTop w:val="0"/>
                  <w:marBottom w:val="0"/>
                  <w:divBdr>
                    <w:top w:val="none" w:sz="0" w:space="0" w:color="auto"/>
                    <w:left w:val="none" w:sz="0" w:space="0" w:color="auto"/>
                    <w:bottom w:val="none" w:sz="0" w:space="0" w:color="auto"/>
                    <w:right w:val="none" w:sz="0" w:space="0" w:color="auto"/>
                  </w:divBdr>
                </w:div>
                <w:div w:id="2109235578">
                  <w:marLeft w:val="0"/>
                  <w:marRight w:val="0"/>
                  <w:marTop w:val="0"/>
                  <w:marBottom w:val="0"/>
                  <w:divBdr>
                    <w:top w:val="none" w:sz="0" w:space="0" w:color="auto"/>
                    <w:left w:val="none" w:sz="0" w:space="0" w:color="auto"/>
                    <w:bottom w:val="none" w:sz="0" w:space="0" w:color="auto"/>
                    <w:right w:val="none" w:sz="0" w:space="0" w:color="auto"/>
                  </w:divBdr>
                </w:div>
              </w:divsChild>
            </w:div>
            <w:div w:id="1465585070">
              <w:marLeft w:val="0"/>
              <w:marRight w:val="0"/>
              <w:marTop w:val="0"/>
              <w:marBottom w:val="0"/>
              <w:divBdr>
                <w:top w:val="none" w:sz="0" w:space="0" w:color="auto"/>
                <w:left w:val="none" w:sz="0" w:space="0" w:color="auto"/>
                <w:bottom w:val="none" w:sz="0" w:space="0" w:color="auto"/>
                <w:right w:val="none" w:sz="0" w:space="0" w:color="auto"/>
              </w:divBdr>
              <w:divsChild>
                <w:div w:id="709645023">
                  <w:marLeft w:val="0"/>
                  <w:marRight w:val="0"/>
                  <w:marTop w:val="0"/>
                  <w:marBottom w:val="0"/>
                  <w:divBdr>
                    <w:top w:val="none" w:sz="0" w:space="0" w:color="auto"/>
                    <w:left w:val="none" w:sz="0" w:space="0" w:color="auto"/>
                    <w:bottom w:val="none" w:sz="0" w:space="0" w:color="auto"/>
                    <w:right w:val="none" w:sz="0" w:space="0" w:color="auto"/>
                  </w:divBdr>
                </w:div>
                <w:div w:id="1176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2183">
          <w:marLeft w:val="0"/>
          <w:marRight w:val="0"/>
          <w:marTop w:val="0"/>
          <w:marBottom w:val="0"/>
          <w:divBdr>
            <w:top w:val="none" w:sz="0" w:space="0" w:color="auto"/>
            <w:left w:val="none" w:sz="0" w:space="0" w:color="auto"/>
            <w:bottom w:val="none" w:sz="0" w:space="0" w:color="auto"/>
            <w:right w:val="none" w:sz="0" w:space="0" w:color="auto"/>
          </w:divBdr>
          <w:divsChild>
            <w:div w:id="1812021548">
              <w:marLeft w:val="0"/>
              <w:marRight w:val="0"/>
              <w:marTop w:val="0"/>
              <w:marBottom w:val="0"/>
              <w:divBdr>
                <w:top w:val="none" w:sz="0" w:space="0" w:color="auto"/>
                <w:left w:val="none" w:sz="0" w:space="0" w:color="auto"/>
                <w:bottom w:val="none" w:sz="0" w:space="0" w:color="auto"/>
                <w:right w:val="none" w:sz="0" w:space="0" w:color="auto"/>
              </w:divBdr>
            </w:div>
            <w:div w:id="11897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49850">
      <w:bodyDiv w:val="1"/>
      <w:marLeft w:val="0"/>
      <w:marRight w:val="0"/>
      <w:marTop w:val="0"/>
      <w:marBottom w:val="0"/>
      <w:divBdr>
        <w:top w:val="none" w:sz="0" w:space="0" w:color="auto"/>
        <w:left w:val="none" w:sz="0" w:space="0" w:color="auto"/>
        <w:bottom w:val="none" w:sz="0" w:space="0" w:color="auto"/>
        <w:right w:val="none" w:sz="0" w:space="0" w:color="auto"/>
      </w:divBdr>
    </w:div>
    <w:div w:id="1819296744">
      <w:bodyDiv w:val="1"/>
      <w:marLeft w:val="0"/>
      <w:marRight w:val="0"/>
      <w:marTop w:val="0"/>
      <w:marBottom w:val="0"/>
      <w:divBdr>
        <w:top w:val="none" w:sz="0" w:space="0" w:color="auto"/>
        <w:left w:val="none" w:sz="0" w:space="0" w:color="auto"/>
        <w:bottom w:val="none" w:sz="0" w:space="0" w:color="auto"/>
        <w:right w:val="none" w:sz="0" w:space="0" w:color="auto"/>
      </w:divBdr>
    </w:div>
    <w:div w:id="1967159323">
      <w:bodyDiv w:val="1"/>
      <w:marLeft w:val="0"/>
      <w:marRight w:val="0"/>
      <w:marTop w:val="0"/>
      <w:marBottom w:val="0"/>
      <w:divBdr>
        <w:top w:val="none" w:sz="0" w:space="0" w:color="auto"/>
        <w:left w:val="none" w:sz="0" w:space="0" w:color="auto"/>
        <w:bottom w:val="none" w:sz="0" w:space="0" w:color="auto"/>
        <w:right w:val="none" w:sz="0" w:space="0" w:color="auto"/>
      </w:divBdr>
      <w:divsChild>
        <w:div w:id="1599101805">
          <w:marLeft w:val="0"/>
          <w:marRight w:val="0"/>
          <w:marTop w:val="0"/>
          <w:marBottom w:val="0"/>
          <w:divBdr>
            <w:top w:val="none" w:sz="0" w:space="0" w:color="auto"/>
            <w:left w:val="none" w:sz="0" w:space="0" w:color="auto"/>
            <w:bottom w:val="none" w:sz="0" w:space="0" w:color="auto"/>
            <w:right w:val="none" w:sz="0" w:space="0" w:color="auto"/>
          </w:divBdr>
        </w:div>
      </w:divsChild>
    </w:div>
    <w:div w:id="2051033486">
      <w:bodyDiv w:val="1"/>
      <w:marLeft w:val="0"/>
      <w:marRight w:val="0"/>
      <w:marTop w:val="0"/>
      <w:marBottom w:val="0"/>
      <w:divBdr>
        <w:top w:val="none" w:sz="0" w:space="0" w:color="auto"/>
        <w:left w:val="none" w:sz="0" w:space="0" w:color="auto"/>
        <w:bottom w:val="none" w:sz="0" w:space="0" w:color="auto"/>
        <w:right w:val="none" w:sz="0" w:space="0" w:color="auto"/>
      </w:divBdr>
      <w:divsChild>
        <w:div w:id="351885992">
          <w:marLeft w:val="0"/>
          <w:marRight w:val="0"/>
          <w:marTop w:val="0"/>
          <w:marBottom w:val="0"/>
          <w:divBdr>
            <w:top w:val="none" w:sz="0" w:space="0" w:color="auto"/>
            <w:left w:val="none" w:sz="0" w:space="0" w:color="auto"/>
            <w:bottom w:val="none" w:sz="0" w:space="0" w:color="auto"/>
            <w:right w:val="none" w:sz="0" w:space="0" w:color="auto"/>
          </w:divBdr>
        </w:div>
        <w:div w:id="1970165119">
          <w:marLeft w:val="0"/>
          <w:marRight w:val="0"/>
          <w:marTop w:val="0"/>
          <w:marBottom w:val="0"/>
          <w:divBdr>
            <w:top w:val="none" w:sz="0" w:space="0" w:color="auto"/>
            <w:left w:val="none" w:sz="0" w:space="0" w:color="auto"/>
            <w:bottom w:val="none" w:sz="0" w:space="0" w:color="auto"/>
            <w:right w:val="none" w:sz="0" w:space="0" w:color="auto"/>
          </w:divBdr>
        </w:div>
        <w:div w:id="2061323806">
          <w:marLeft w:val="0"/>
          <w:marRight w:val="0"/>
          <w:marTop w:val="0"/>
          <w:marBottom w:val="0"/>
          <w:divBdr>
            <w:top w:val="none" w:sz="0" w:space="0" w:color="auto"/>
            <w:left w:val="none" w:sz="0" w:space="0" w:color="auto"/>
            <w:bottom w:val="none" w:sz="0" w:space="0" w:color="auto"/>
            <w:right w:val="none" w:sz="0" w:space="0" w:color="auto"/>
          </w:divBdr>
        </w:div>
        <w:div w:id="90515448">
          <w:marLeft w:val="0"/>
          <w:marRight w:val="0"/>
          <w:marTop w:val="0"/>
          <w:marBottom w:val="0"/>
          <w:divBdr>
            <w:top w:val="none" w:sz="0" w:space="0" w:color="auto"/>
            <w:left w:val="none" w:sz="0" w:space="0" w:color="auto"/>
            <w:bottom w:val="none" w:sz="0" w:space="0" w:color="auto"/>
            <w:right w:val="none" w:sz="0" w:space="0" w:color="auto"/>
          </w:divBdr>
        </w:div>
      </w:divsChild>
    </w:div>
    <w:div w:id="2053844741">
      <w:bodyDiv w:val="1"/>
      <w:marLeft w:val="0"/>
      <w:marRight w:val="0"/>
      <w:marTop w:val="0"/>
      <w:marBottom w:val="0"/>
      <w:divBdr>
        <w:top w:val="none" w:sz="0" w:space="0" w:color="auto"/>
        <w:left w:val="none" w:sz="0" w:space="0" w:color="auto"/>
        <w:bottom w:val="none" w:sz="0" w:space="0" w:color="auto"/>
        <w:right w:val="none" w:sz="0" w:space="0" w:color="auto"/>
      </w:divBdr>
      <w:divsChild>
        <w:div w:id="1031420079">
          <w:marLeft w:val="0"/>
          <w:marRight w:val="0"/>
          <w:marTop w:val="0"/>
          <w:marBottom w:val="0"/>
          <w:divBdr>
            <w:top w:val="none" w:sz="0" w:space="0" w:color="auto"/>
            <w:left w:val="none" w:sz="0" w:space="0" w:color="auto"/>
            <w:bottom w:val="none" w:sz="0" w:space="0" w:color="auto"/>
            <w:right w:val="none" w:sz="0" w:space="0" w:color="auto"/>
          </w:divBdr>
          <w:divsChild>
            <w:div w:id="1111783975">
              <w:marLeft w:val="0"/>
              <w:marRight w:val="0"/>
              <w:marTop w:val="0"/>
              <w:marBottom w:val="0"/>
              <w:divBdr>
                <w:top w:val="none" w:sz="0" w:space="0" w:color="auto"/>
                <w:left w:val="none" w:sz="0" w:space="0" w:color="auto"/>
                <w:bottom w:val="none" w:sz="0" w:space="0" w:color="auto"/>
                <w:right w:val="none" w:sz="0" w:space="0" w:color="auto"/>
              </w:divBdr>
              <w:divsChild>
                <w:div w:id="1564559641">
                  <w:marLeft w:val="0"/>
                  <w:marRight w:val="0"/>
                  <w:marTop w:val="0"/>
                  <w:marBottom w:val="0"/>
                  <w:divBdr>
                    <w:top w:val="none" w:sz="0" w:space="0" w:color="auto"/>
                    <w:left w:val="none" w:sz="0" w:space="0" w:color="auto"/>
                    <w:bottom w:val="none" w:sz="0" w:space="0" w:color="auto"/>
                    <w:right w:val="none" w:sz="0" w:space="0" w:color="auto"/>
                  </w:divBdr>
                </w:div>
                <w:div w:id="1601647498">
                  <w:marLeft w:val="0"/>
                  <w:marRight w:val="0"/>
                  <w:marTop w:val="0"/>
                  <w:marBottom w:val="0"/>
                  <w:divBdr>
                    <w:top w:val="none" w:sz="0" w:space="0" w:color="auto"/>
                    <w:left w:val="none" w:sz="0" w:space="0" w:color="auto"/>
                    <w:bottom w:val="none" w:sz="0" w:space="0" w:color="auto"/>
                    <w:right w:val="none" w:sz="0" w:space="0" w:color="auto"/>
                  </w:divBdr>
                </w:div>
              </w:divsChild>
            </w:div>
            <w:div w:id="1672836119">
              <w:marLeft w:val="0"/>
              <w:marRight w:val="0"/>
              <w:marTop w:val="0"/>
              <w:marBottom w:val="0"/>
              <w:divBdr>
                <w:top w:val="none" w:sz="0" w:space="0" w:color="auto"/>
                <w:left w:val="none" w:sz="0" w:space="0" w:color="auto"/>
                <w:bottom w:val="none" w:sz="0" w:space="0" w:color="auto"/>
                <w:right w:val="none" w:sz="0" w:space="0" w:color="auto"/>
              </w:divBdr>
              <w:divsChild>
                <w:div w:id="1387604825">
                  <w:marLeft w:val="0"/>
                  <w:marRight w:val="0"/>
                  <w:marTop w:val="0"/>
                  <w:marBottom w:val="0"/>
                  <w:divBdr>
                    <w:top w:val="none" w:sz="0" w:space="0" w:color="auto"/>
                    <w:left w:val="none" w:sz="0" w:space="0" w:color="auto"/>
                    <w:bottom w:val="none" w:sz="0" w:space="0" w:color="auto"/>
                    <w:right w:val="none" w:sz="0" w:space="0" w:color="auto"/>
                  </w:divBdr>
                </w:div>
                <w:div w:id="366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2710">
          <w:marLeft w:val="0"/>
          <w:marRight w:val="0"/>
          <w:marTop w:val="0"/>
          <w:marBottom w:val="0"/>
          <w:divBdr>
            <w:top w:val="none" w:sz="0" w:space="0" w:color="auto"/>
            <w:left w:val="none" w:sz="0" w:space="0" w:color="auto"/>
            <w:bottom w:val="none" w:sz="0" w:space="0" w:color="auto"/>
            <w:right w:val="none" w:sz="0" w:space="0" w:color="auto"/>
          </w:divBdr>
          <w:divsChild>
            <w:div w:id="1018433131">
              <w:marLeft w:val="0"/>
              <w:marRight w:val="0"/>
              <w:marTop w:val="0"/>
              <w:marBottom w:val="0"/>
              <w:divBdr>
                <w:top w:val="none" w:sz="0" w:space="0" w:color="auto"/>
                <w:left w:val="none" w:sz="0" w:space="0" w:color="auto"/>
                <w:bottom w:val="none" w:sz="0" w:space="0" w:color="auto"/>
                <w:right w:val="none" w:sz="0" w:space="0" w:color="auto"/>
              </w:divBdr>
            </w:div>
            <w:div w:id="954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wmaninternational.com/book/skill_and_mastery/3-156-69c8f1cc-26a8-4f2f-93c9-c833de2da7a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2D21-FC1F-494D-AB12-150DB416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8136</Words>
  <Characters>43530</Characters>
  <Application>Microsoft Office Word</Application>
  <DocSecurity>0</DocSecurity>
  <Lines>680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dc:creator>
  <cp:lastModifiedBy>Karyn Lai</cp:lastModifiedBy>
  <cp:revision>2</cp:revision>
  <cp:lastPrinted>2019-02-08T04:44:00Z</cp:lastPrinted>
  <dcterms:created xsi:type="dcterms:W3CDTF">2020-04-17T10:32:00Z</dcterms:created>
  <dcterms:modified xsi:type="dcterms:W3CDTF">2020-04-17T10:32:00Z</dcterms:modified>
</cp:coreProperties>
</file>