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"/var/folders/l7/cvyhkg5d131g980jpvyd86m00000gn/T/com.microsoft.Word/WebArchiveCopyPasteTempFiles/page1image1339772272"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4777105" cy="8214995"/>
            <wp:effectExtent l="0" t="0" r="0" b="1905"/>
            <wp:docPr id="8" name="Picture 8" descr="page1image133977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3977227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77105" cy="8214995"/>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30"/>
          <w:szCs w:val="30"/>
        </w:rPr>
        <w:lastRenderedPageBreak/>
        <w:t xml:space="preserve">An Interdisciplinary Course on Classical Athens </w:t>
      </w:r>
      <w:r w:rsidRPr="00EF76CF">
        <w:rPr>
          <w:rFonts w:eastAsia="Times New Roman"/>
          <w:sz w:val="20"/>
        </w:rPr>
        <w:t xml:space="preserve">J. H. LESHER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2"/>
          <w:szCs w:val="22"/>
        </w:rPr>
        <w:t xml:space="preserve">University </w:t>
      </w:r>
      <w:r w:rsidRPr="00EF76CF">
        <w:rPr>
          <w:rFonts w:eastAsia="Times New Roman"/>
          <w:i/>
          <w:iCs/>
          <w:szCs w:val="24"/>
        </w:rPr>
        <w:t>of</w:t>
      </w:r>
      <w:r w:rsidRPr="00EF76CF">
        <w:rPr>
          <w:rFonts w:eastAsia="Times New Roman"/>
          <w:i/>
          <w:iCs/>
          <w:sz w:val="22"/>
          <w:szCs w:val="22"/>
        </w:rPr>
        <w:t xml:space="preserve">Maryland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Why should a philosopher want to participate in a team-taught interdisciplinary course? We </w:t>
      </w:r>
      <w:r w:rsidRPr="00EF76CF">
        <w:rPr>
          <w:rFonts w:eastAsia="Times New Roman"/>
          <w:sz w:val="22"/>
          <w:szCs w:val="22"/>
        </w:rPr>
        <w:t xml:space="preserve">will </w:t>
      </w:r>
      <w:r w:rsidRPr="00EF76CF">
        <w:rPr>
          <w:rFonts w:eastAsia="Times New Roman"/>
          <w:szCs w:val="24"/>
        </w:rPr>
        <w:t xml:space="preserve">need to find some solid benefits to enter into the hedonic calculus to offset the many obvious disincentives. These courses must normally be counted </w:t>
      </w:r>
      <w:r w:rsidRPr="00EF76CF">
        <w:rPr>
          <w:rFonts w:eastAsia="Times New Roman"/>
          <w:sz w:val="22"/>
          <w:szCs w:val="22"/>
        </w:rPr>
        <w:t xml:space="preserve">as </w:t>
      </w:r>
      <w:r w:rsidRPr="00EF76CF">
        <w:rPr>
          <w:rFonts w:eastAsia="Times New Roman"/>
          <w:szCs w:val="24"/>
        </w:rPr>
        <w:t xml:space="preserve">overloads to faculty teaching assignments, and they involve </w:t>
      </w:r>
      <w:r w:rsidRPr="00EF76CF">
        <w:rPr>
          <w:rFonts w:eastAsia="Times New Roman"/>
          <w:sz w:val="22"/>
          <w:szCs w:val="22"/>
        </w:rPr>
        <w:t xml:space="preserve">ex- </w:t>
      </w:r>
      <w:r w:rsidRPr="00EF76CF">
        <w:rPr>
          <w:rFonts w:eastAsia="Times New Roman"/>
          <w:szCs w:val="24"/>
        </w:rPr>
        <w:t xml:space="preserve">tensive preparation of new material. Special lectures to undergraduates cannot normally be converted into publishable papers, and purists among us </w:t>
      </w:r>
      <w:r w:rsidRPr="00EF76CF">
        <w:rPr>
          <w:rFonts w:eastAsia="Times New Roman"/>
          <w:sz w:val="22"/>
          <w:szCs w:val="22"/>
        </w:rPr>
        <w:t xml:space="preserve">view </w:t>
      </w:r>
      <w:r w:rsidRPr="00EF76CF">
        <w:rPr>
          <w:rFonts w:eastAsia="Times New Roman"/>
          <w:szCs w:val="24"/>
        </w:rPr>
        <w:t xml:space="preserve">such courses </w:t>
      </w:r>
      <w:r w:rsidRPr="00EF76CF">
        <w:rPr>
          <w:rFonts w:eastAsia="Times New Roman"/>
          <w:sz w:val="22"/>
          <w:szCs w:val="22"/>
        </w:rPr>
        <w:t xml:space="preserve">as </w:t>
      </w:r>
      <w:r w:rsidRPr="00EF76CF">
        <w:rPr>
          <w:rFonts w:eastAsia="Times New Roman"/>
          <w:szCs w:val="24"/>
        </w:rPr>
        <w:t xml:space="preserve">deviations from the business of a professional philosopher. Dif- ferences in personality and pedagogy can be annoying, and even if the course </w:t>
      </w:r>
      <w:r w:rsidRPr="00EF76CF">
        <w:rPr>
          <w:rFonts w:eastAsia="Times New Roman"/>
          <w:sz w:val="22"/>
          <w:szCs w:val="22"/>
        </w:rPr>
        <w:t xml:space="preserve">is </w:t>
      </w:r>
      <w:r w:rsidRPr="00EF76CF">
        <w:rPr>
          <w:rFonts w:eastAsia="Times New Roman"/>
          <w:szCs w:val="24"/>
        </w:rPr>
        <w:t xml:space="preserve">a success, it </w:t>
      </w:r>
      <w:r w:rsidRPr="00EF76CF">
        <w:rPr>
          <w:rFonts w:eastAsia="Times New Roman"/>
          <w:sz w:val="22"/>
          <w:szCs w:val="22"/>
        </w:rPr>
        <w:t xml:space="preserve">is </w:t>
      </w:r>
      <w:r w:rsidRPr="00EF76CF">
        <w:rPr>
          <w:rFonts w:eastAsia="Times New Roman"/>
          <w:szCs w:val="24"/>
        </w:rPr>
        <w:t xml:space="preserve">probably not repeatable. Whatever useful collaborative ap- proaches that may have been developed expire with the end of the semester. These difficulties notwithstanding, I believe that our course on Classical Athens </w:t>
      </w:r>
      <w:r w:rsidRPr="00EF76CF">
        <w:rPr>
          <w:rFonts w:ascii="Helvetica" w:eastAsia="Times New Roman" w:hAnsi="Helvetica"/>
          <w:sz w:val="10"/>
          <w:szCs w:val="10"/>
        </w:rPr>
        <w:t xml:space="preserve">1 </w:t>
      </w:r>
      <w:r w:rsidRPr="00EF76CF">
        <w:rPr>
          <w:rFonts w:eastAsia="Times New Roman"/>
          <w:szCs w:val="24"/>
        </w:rPr>
        <w:t xml:space="preserve">was rewarding· for both faculty and students, and a record of our ap- proach to the subject may be of use or interest to others.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ascii="Helvetica" w:eastAsia="Times New Roman" w:hAnsi="Helvetica"/>
          <w:sz w:val="20"/>
        </w:rPr>
        <w:t xml:space="preserve">1. </w:t>
      </w:r>
      <w:r w:rsidRPr="00EF76CF">
        <w:rPr>
          <w:rFonts w:eastAsia="Times New Roman"/>
          <w:i/>
          <w:iCs/>
          <w:szCs w:val="24"/>
        </w:rPr>
        <w:t xml:space="preserve">Mechanics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The course met twice weekly for periods of </w:t>
      </w:r>
      <w:r w:rsidRPr="00EF76CF">
        <w:rPr>
          <w:rFonts w:eastAsia="Times New Roman"/>
          <w:sz w:val="22"/>
          <w:szCs w:val="22"/>
        </w:rPr>
        <w:t xml:space="preserve">75 </w:t>
      </w:r>
      <w:r w:rsidRPr="00EF76CF">
        <w:rPr>
          <w:rFonts w:eastAsia="Times New Roman"/>
          <w:szCs w:val="24"/>
        </w:rPr>
        <w:t xml:space="preserve">minutes each. We agreed to at- tend every lecture, and evenly divide, </w:t>
      </w:r>
      <w:r w:rsidRPr="00EF76CF">
        <w:rPr>
          <w:rFonts w:eastAsia="Times New Roman"/>
          <w:sz w:val="22"/>
          <w:szCs w:val="22"/>
        </w:rPr>
        <w:t xml:space="preserve">so </w:t>
      </w:r>
      <w:r w:rsidRPr="00EF76CF">
        <w:rPr>
          <w:rFonts w:eastAsia="Times New Roman"/>
          <w:szCs w:val="24"/>
        </w:rPr>
        <w:t>far as practicable, the duties of setting and grading exams (two) and term papers (one). The following assignment of lecture topics was made</w:t>
      </w:r>
      <w:r w:rsidRPr="00EF76CF">
        <w:rPr>
          <w:rFonts w:eastAsia="Times New Roman"/>
          <w:position w:val="4"/>
          <w:sz w:val="12"/>
          <w:szCs w:val="12"/>
        </w:rPr>
        <w:t xml:space="preserve">2 </w:t>
      </w:r>
      <w:r w:rsidRPr="00EF76CF">
        <w:rPr>
          <w:rFonts w:eastAsia="Times New Roman"/>
          <w:sz w:val="12"/>
          <w:szCs w:val="12"/>
        </w:rPr>
        <w:t xml:space="preserve">: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0"/>
        </w:rPr>
        <w:t xml:space="preserve">in </w:t>
      </w:r>
      <w:r w:rsidRPr="00EF76CF">
        <w:rPr>
          <w:rFonts w:eastAsia="Times New Roman"/>
          <w:i/>
          <w:iCs/>
          <w:sz w:val="22"/>
          <w:szCs w:val="22"/>
        </w:rPr>
        <w:t xml:space="preserve">History: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Athens in the 5th Century: Citizen and State The Athenian Empire</w:t>
      </w:r>
      <w:r w:rsidRPr="00EF76CF">
        <w:rPr>
          <w:rFonts w:eastAsia="Times New Roman"/>
          <w:sz w:val="20"/>
        </w:rPr>
        <w:br/>
        <w:t>Pericles</w:t>
      </w:r>
      <w:r w:rsidRPr="00EF76CF">
        <w:rPr>
          <w:rFonts w:eastAsia="Times New Roman"/>
          <w:sz w:val="20"/>
        </w:rPr>
        <w:br/>
        <w:t xml:space="preserve">Thucydides' Historiography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Thucydides on the Failure </w:t>
      </w:r>
      <w:r w:rsidRPr="00EF76CF">
        <w:rPr>
          <w:rFonts w:eastAsia="Times New Roman"/>
          <w:sz w:val="22"/>
          <w:szCs w:val="22"/>
        </w:rPr>
        <w:t xml:space="preserve">of </w:t>
      </w:r>
      <w:r w:rsidRPr="00EF76CF">
        <w:rPr>
          <w:rFonts w:eastAsia="Times New Roman"/>
          <w:sz w:val="20"/>
        </w:rPr>
        <w:t xml:space="preserve">Athens Athenian Theater: The Poet and Society New Politicians </w:t>
      </w:r>
      <w:r w:rsidRPr="00EF76CF">
        <w:rPr>
          <w:rFonts w:eastAsia="Times New Roman"/>
          <w:sz w:val="22"/>
          <w:szCs w:val="22"/>
        </w:rPr>
        <w:t xml:space="preserve">of </w:t>
      </w:r>
      <w:r w:rsidRPr="00EF76CF">
        <w:rPr>
          <w:rFonts w:eastAsia="Times New Roman"/>
          <w:sz w:val="20"/>
        </w:rPr>
        <w:t xml:space="preserve">5th Century Athens The Family in Greek Society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2"/>
          <w:szCs w:val="22"/>
        </w:rPr>
        <w:t xml:space="preserve">in Art History: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Athenian Art 480-450, 450-400 The Periclean Building Program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10"/>
          <w:szCs w:val="10"/>
        </w:rPr>
        <w:t xml:space="preserve">© </w:t>
      </w:r>
      <w:r w:rsidRPr="00EF76CF">
        <w:rPr>
          <w:rFonts w:eastAsia="Times New Roman"/>
          <w:i/>
          <w:iCs/>
          <w:sz w:val="16"/>
          <w:szCs w:val="16"/>
        </w:rPr>
        <w:t xml:space="preserve">Teaching Philosophy. </w:t>
      </w:r>
      <w:r w:rsidRPr="00EF76CF">
        <w:rPr>
          <w:rFonts w:ascii="Helvetica" w:eastAsia="Times New Roman" w:hAnsi="Helvetica"/>
          <w:i/>
          <w:iCs/>
          <w:sz w:val="16"/>
          <w:szCs w:val="16"/>
        </w:rPr>
        <w:t xml:space="preserve">1982.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18"/>
          <w:szCs w:val="18"/>
        </w:rPr>
        <w:t xml:space="preserve">Teaching Philosophy </w:t>
      </w:r>
      <w:r w:rsidRPr="00EF76CF">
        <w:rPr>
          <w:rFonts w:eastAsia="Times New Roman"/>
          <w:sz w:val="18"/>
          <w:szCs w:val="18"/>
        </w:rPr>
        <w:t xml:space="preserve">5:3, </w:t>
      </w:r>
      <w:r w:rsidRPr="00EF76CF">
        <w:rPr>
          <w:rFonts w:eastAsia="Times New Roman"/>
          <w:i/>
          <w:iCs/>
          <w:sz w:val="18"/>
          <w:szCs w:val="18"/>
        </w:rPr>
        <w:t xml:space="preserve">July </w:t>
      </w:r>
      <w:r w:rsidRPr="00EF76CF">
        <w:rPr>
          <w:rFonts w:eastAsia="Times New Roman"/>
          <w:sz w:val="18"/>
          <w:szCs w:val="18"/>
        </w:rPr>
        <w:t xml:space="preserve">1982 203 </w:t>
      </w:r>
    </w:p>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lastRenderedPageBreak/>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"/var/folders/l7/cvyhkg5d131g980jpvyd86m00000gn/T/com.microsoft.Word/WebArchiveCopyPasteTempFiles/page2image1338727040"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5120640" cy="7834630"/>
            <wp:effectExtent l="0" t="0" r="0" b="1270"/>
            <wp:docPr id="7" name="Picture 7" descr="page2image133872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13387270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0640" cy="7834630"/>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204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18"/>
          <w:szCs w:val="18"/>
        </w:rPr>
        <w:lastRenderedPageBreak/>
        <w:t xml:space="preserve">J. H. LESHER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The Plague in Athens: Gravestones and Votives Athenian Theater: Cults, Festivals, and Arts The </w:t>
      </w:r>
      <w:r w:rsidRPr="00EF76CF">
        <w:rPr>
          <w:rFonts w:eastAsia="Times New Roman"/>
          <w:i/>
          <w:iCs/>
          <w:sz w:val="22"/>
          <w:szCs w:val="22"/>
        </w:rPr>
        <w:t xml:space="preserve">Symposium: </w:t>
      </w:r>
      <w:r w:rsidRPr="00EF76CF">
        <w:rPr>
          <w:rFonts w:eastAsia="Times New Roman"/>
          <w:sz w:val="20"/>
        </w:rPr>
        <w:t xml:space="preserve">Alcibiades, Eros, Aphrodite Public and Private Dedications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The Beginnings </w:t>
      </w:r>
      <w:r w:rsidRPr="00EF76CF">
        <w:rPr>
          <w:rFonts w:eastAsia="Times New Roman"/>
          <w:sz w:val="22"/>
          <w:szCs w:val="22"/>
        </w:rPr>
        <w:t xml:space="preserve">of </w:t>
      </w:r>
      <w:r w:rsidRPr="00EF76CF">
        <w:rPr>
          <w:rFonts w:eastAsia="Times New Roman"/>
          <w:sz w:val="20"/>
        </w:rPr>
        <w:t xml:space="preserve">Portraiture Plato and the Artists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2"/>
          <w:szCs w:val="22"/>
        </w:rPr>
        <w:t xml:space="preserve">in Philosophy: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The Philosophical Background I: Ionian Science, II: From Parmenides to the Sophists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New Ideas in 5th Century Athens: Poets, Doctors, Sophists Our Sources for Socrates</w:t>
      </w:r>
      <w:r w:rsidRPr="00EF76CF">
        <w:rPr>
          <w:rFonts w:eastAsia="Times New Roman"/>
          <w:sz w:val="20"/>
        </w:rPr>
        <w:br/>
        <w:t>Socratic Philosophy</w:t>
      </w:r>
      <w:r w:rsidRPr="00EF76CF">
        <w:rPr>
          <w:rFonts w:eastAsia="Times New Roman"/>
          <w:sz w:val="20"/>
        </w:rPr>
        <w:br/>
        <w:t xml:space="preserve">Socrates on Civil Obedience: The </w:t>
      </w:r>
      <w:r w:rsidRPr="00EF76CF">
        <w:rPr>
          <w:rFonts w:eastAsia="Times New Roman"/>
          <w:i/>
          <w:iCs/>
          <w:sz w:val="22"/>
          <w:szCs w:val="22"/>
        </w:rPr>
        <w:t xml:space="preserve">Apology </w:t>
      </w:r>
      <w:r w:rsidRPr="00EF76CF">
        <w:rPr>
          <w:rFonts w:eastAsia="Times New Roman"/>
          <w:sz w:val="20"/>
        </w:rPr>
        <w:t xml:space="preserve">and </w:t>
      </w:r>
      <w:r w:rsidRPr="00EF76CF">
        <w:rPr>
          <w:rFonts w:eastAsia="Times New Roman"/>
          <w:i/>
          <w:iCs/>
          <w:sz w:val="22"/>
          <w:szCs w:val="22"/>
        </w:rPr>
        <w:t xml:space="preserve">Crito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The Character </w:t>
      </w:r>
      <w:r w:rsidRPr="00EF76CF">
        <w:rPr>
          <w:rFonts w:eastAsia="Times New Roman"/>
          <w:sz w:val="22"/>
          <w:szCs w:val="22"/>
        </w:rPr>
        <w:t xml:space="preserve">of </w:t>
      </w:r>
      <w:r w:rsidRPr="00EF76CF">
        <w:rPr>
          <w:rFonts w:eastAsia="Times New Roman"/>
          <w:sz w:val="20"/>
        </w:rPr>
        <w:t>Philosophy in Athens</w:t>
      </w:r>
      <w:r w:rsidRPr="00EF76CF">
        <w:rPr>
          <w:rFonts w:eastAsia="Times New Roman"/>
          <w:sz w:val="20"/>
        </w:rPr>
        <w:br/>
        <w:t xml:space="preserve">Plato's </w:t>
      </w:r>
      <w:r w:rsidRPr="00EF76CF">
        <w:rPr>
          <w:rFonts w:eastAsia="Times New Roman"/>
          <w:i/>
          <w:iCs/>
          <w:sz w:val="22"/>
          <w:szCs w:val="22"/>
        </w:rPr>
        <w:t xml:space="preserve">Republic </w:t>
      </w:r>
      <w:r w:rsidRPr="00EF76CF">
        <w:rPr>
          <w:rFonts w:eastAsia="Times New Roman"/>
          <w:sz w:val="20"/>
        </w:rPr>
        <w:t>and the Historical Athens</w:t>
      </w:r>
      <w:r w:rsidRPr="00EF76CF">
        <w:rPr>
          <w:rFonts w:eastAsia="Times New Roman"/>
          <w:sz w:val="20"/>
        </w:rPr>
        <w:br/>
        <w:t xml:space="preserve">Conditions for Athenian Creativity: The 'Bi-Sociation' Phenomenon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Required Texts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Plato, </w:t>
      </w:r>
      <w:r w:rsidRPr="00EF76CF">
        <w:rPr>
          <w:rFonts w:eastAsia="Times New Roman"/>
          <w:i/>
          <w:iCs/>
          <w:sz w:val="22"/>
          <w:szCs w:val="22"/>
        </w:rPr>
        <w:t>Dialogues (Apology, Crito, Phaedo, Men</w:t>
      </w:r>
      <w:r w:rsidRPr="00EF76CF">
        <w:rPr>
          <w:rFonts w:eastAsia="Times New Roman"/>
          <w:sz w:val="18"/>
          <w:szCs w:val="18"/>
        </w:rPr>
        <w:t xml:space="preserve">0, </w:t>
      </w:r>
      <w:r w:rsidRPr="00EF76CF">
        <w:rPr>
          <w:rFonts w:eastAsia="Times New Roman"/>
          <w:i/>
          <w:iCs/>
          <w:sz w:val="22"/>
          <w:szCs w:val="22"/>
        </w:rPr>
        <w:t xml:space="preserve">Symposium, Republic), </w:t>
      </w:r>
      <w:r w:rsidRPr="00EF76CF">
        <w:rPr>
          <w:rFonts w:eastAsia="Times New Roman"/>
          <w:sz w:val="20"/>
        </w:rPr>
        <w:t xml:space="preserve">trans. Rouse (Mentor Books).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Aristophanes, </w:t>
      </w:r>
      <w:r w:rsidRPr="00EF76CF">
        <w:rPr>
          <w:rFonts w:eastAsia="Times New Roman"/>
          <w:i/>
          <w:iCs/>
          <w:sz w:val="22"/>
          <w:szCs w:val="22"/>
        </w:rPr>
        <w:t xml:space="preserve">Clouds, </w:t>
      </w:r>
      <w:r w:rsidRPr="00EF76CF">
        <w:rPr>
          <w:rFonts w:eastAsia="Times New Roman"/>
          <w:sz w:val="20"/>
        </w:rPr>
        <w:t>trans. Arrowsmith (Mentor Books).</w:t>
      </w:r>
      <w:r w:rsidRPr="00EF76CF">
        <w:rPr>
          <w:rFonts w:eastAsia="Times New Roman"/>
          <w:sz w:val="20"/>
        </w:rPr>
        <w:br/>
      </w:r>
      <w:r w:rsidRPr="00EF76CF">
        <w:rPr>
          <w:rFonts w:eastAsia="Times New Roman"/>
          <w:sz w:val="32"/>
          <w:szCs w:val="32"/>
        </w:rPr>
        <w:t xml:space="preserve">_ _ _ _ _ </w:t>
      </w:r>
      <w:r w:rsidRPr="00EF76CF">
        <w:rPr>
          <w:rFonts w:eastAsia="Times New Roman"/>
          <w:sz w:val="22"/>
          <w:szCs w:val="22"/>
        </w:rPr>
        <w:t xml:space="preserve">, </w:t>
      </w:r>
      <w:r w:rsidRPr="00EF76CF">
        <w:rPr>
          <w:rFonts w:eastAsia="Times New Roman"/>
          <w:i/>
          <w:iCs/>
          <w:sz w:val="22"/>
          <w:szCs w:val="22"/>
        </w:rPr>
        <w:t xml:space="preserve">Frogs, </w:t>
      </w:r>
      <w:r w:rsidRPr="00EF76CF">
        <w:rPr>
          <w:rFonts w:eastAsia="Times New Roman"/>
          <w:sz w:val="20"/>
        </w:rPr>
        <w:t>trans. Lattimore (Mentor Books).</w:t>
      </w:r>
      <w:r w:rsidRPr="00EF76CF">
        <w:rPr>
          <w:rFonts w:eastAsia="Times New Roman"/>
          <w:sz w:val="20"/>
        </w:rPr>
        <w:br/>
        <w:t xml:space="preserve">Euripides, </w:t>
      </w:r>
      <w:r w:rsidRPr="00EF76CF">
        <w:rPr>
          <w:rFonts w:eastAsia="Times New Roman"/>
          <w:i/>
          <w:iCs/>
          <w:sz w:val="22"/>
          <w:szCs w:val="22"/>
        </w:rPr>
        <w:t xml:space="preserve">Medea, Hippolytus </w:t>
      </w:r>
      <w:r w:rsidRPr="00EF76CF">
        <w:rPr>
          <w:rFonts w:eastAsia="Times New Roman"/>
          <w:sz w:val="20"/>
        </w:rPr>
        <w:t>(ed. Grene and Lattimore).</w:t>
      </w:r>
      <w:r w:rsidRPr="00EF76CF">
        <w:rPr>
          <w:rFonts w:eastAsia="Times New Roman"/>
          <w:sz w:val="20"/>
        </w:rPr>
        <w:br/>
      </w:r>
      <w:r w:rsidRPr="00EF76CF">
        <w:rPr>
          <w:rFonts w:eastAsia="Times New Roman"/>
          <w:sz w:val="32"/>
          <w:szCs w:val="32"/>
        </w:rPr>
        <w:t xml:space="preserve">_ _ _ _ _ </w:t>
      </w:r>
      <w:r w:rsidRPr="00EF76CF">
        <w:rPr>
          <w:rFonts w:eastAsia="Times New Roman"/>
          <w:sz w:val="22"/>
          <w:szCs w:val="22"/>
        </w:rPr>
        <w:t xml:space="preserve">, </w:t>
      </w:r>
      <w:r w:rsidRPr="00EF76CF">
        <w:rPr>
          <w:rFonts w:eastAsia="Times New Roman"/>
          <w:i/>
          <w:iCs/>
          <w:sz w:val="22"/>
          <w:szCs w:val="22"/>
        </w:rPr>
        <w:t xml:space="preserve">Greek Tragedies, Euripides I, </w:t>
      </w:r>
      <w:r w:rsidRPr="00EF76CF">
        <w:rPr>
          <w:rFonts w:eastAsia="Times New Roman"/>
          <w:sz w:val="20"/>
        </w:rPr>
        <w:t xml:space="preserve">(University </w:t>
      </w:r>
      <w:r w:rsidRPr="00EF76CF">
        <w:rPr>
          <w:rFonts w:eastAsia="Times New Roman"/>
          <w:sz w:val="22"/>
          <w:szCs w:val="22"/>
        </w:rPr>
        <w:t xml:space="preserve">of </w:t>
      </w:r>
      <w:r w:rsidRPr="00EF76CF">
        <w:rPr>
          <w:rFonts w:eastAsia="Times New Roman"/>
          <w:sz w:val="20"/>
        </w:rPr>
        <w:t xml:space="preserve">Chicago Press). Sophocles, </w:t>
      </w:r>
      <w:r w:rsidRPr="00EF76CF">
        <w:rPr>
          <w:rFonts w:eastAsia="Times New Roman"/>
          <w:i/>
          <w:iCs/>
          <w:sz w:val="22"/>
          <w:szCs w:val="22"/>
        </w:rPr>
        <w:t xml:space="preserve">Oedipus the King, Antigone, </w:t>
      </w:r>
      <w:r w:rsidRPr="00EF76CF">
        <w:rPr>
          <w:rFonts w:eastAsia="Times New Roman"/>
          <w:sz w:val="20"/>
        </w:rPr>
        <w:t xml:space="preserve">(Grene and Lattimore, eds.).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32"/>
          <w:szCs w:val="32"/>
        </w:rPr>
        <w:t xml:space="preserve">_ _ _ _ _ </w:t>
      </w:r>
      <w:r w:rsidRPr="00EF76CF">
        <w:rPr>
          <w:rFonts w:eastAsia="Times New Roman"/>
          <w:sz w:val="22"/>
          <w:szCs w:val="22"/>
        </w:rPr>
        <w:t xml:space="preserve">, </w:t>
      </w:r>
      <w:r w:rsidRPr="00EF76CF">
        <w:rPr>
          <w:rFonts w:eastAsia="Times New Roman"/>
          <w:i/>
          <w:iCs/>
          <w:sz w:val="22"/>
          <w:szCs w:val="22"/>
        </w:rPr>
        <w:t xml:space="preserve">Greek Tragedies, Sophocles I </w:t>
      </w:r>
      <w:r w:rsidRPr="00EF76CF">
        <w:rPr>
          <w:rFonts w:eastAsia="Times New Roman"/>
          <w:sz w:val="20"/>
        </w:rPr>
        <w:t xml:space="preserve">(University </w:t>
      </w:r>
      <w:r w:rsidRPr="00EF76CF">
        <w:rPr>
          <w:rFonts w:eastAsia="Times New Roman"/>
          <w:sz w:val="22"/>
          <w:szCs w:val="22"/>
        </w:rPr>
        <w:t xml:space="preserve">of </w:t>
      </w:r>
      <w:r w:rsidRPr="00EF76CF">
        <w:rPr>
          <w:rFonts w:eastAsia="Times New Roman"/>
          <w:sz w:val="20"/>
        </w:rPr>
        <w:t xml:space="preserve">Chicago Press). Thucydides, </w:t>
      </w:r>
      <w:r w:rsidRPr="00EF76CF">
        <w:rPr>
          <w:rFonts w:eastAsia="Times New Roman"/>
          <w:i/>
          <w:iCs/>
          <w:sz w:val="22"/>
          <w:szCs w:val="22"/>
        </w:rPr>
        <w:t xml:space="preserve">Peloponnesian War, </w:t>
      </w:r>
      <w:r w:rsidRPr="00EF76CF">
        <w:rPr>
          <w:rFonts w:eastAsia="Times New Roman"/>
          <w:sz w:val="20"/>
        </w:rPr>
        <w:t xml:space="preserve">trans. Cawley (Random House, Modern Library). Ehrenberg, V., </w:t>
      </w:r>
      <w:r w:rsidRPr="00EF76CF">
        <w:rPr>
          <w:rFonts w:eastAsia="Times New Roman"/>
          <w:i/>
          <w:iCs/>
          <w:sz w:val="22"/>
          <w:szCs w:val="22"/>
        </w:rPr>
        <w:t xml:space="preserve">From Solon to Socrates, </w:t>
      </w:r>
      <w:r w:rsidRPr="00EF76CF">
        <w:rPr>
          <w:rFonts w:eastAsia="Times New Roman"/>
          <w:sz w:val="20"/>
        </w:rPr>
        <w:t xml:space="preserve">Second Edition (Methuen).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Additional Required Reading (Placed on Reserve)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Boersma, </w:t>
      </w:r>
      <w:r w:rsidRPr="00EF76CF">
        <w:rPr>
          <w:rFonts w:eastAsia="Times New Roman"/>
          <w:i/>
          <w:iCs/>
          <w:sz w:val="22"/>
          <w:szCs w:val="22"/>
        </w:rPr>
        <w:t>The Athenian Building Policy (1970).</w:t>
      </w:r>
      <w:r w:rsidRPr="00EF76CF">
        <w:rPr>
          <w:rFonts w:eastAsia="Times New Roman"/>
          <w:i/>
          <w:iCs/>
          <w:sz w:val="22"/>
          <w:szCs w:val="22"/>
        </w:rPr>
        <w:br/>
      </w:r>
      <w:r w:rsidRPr="00EF76CF">
        <w:rPr>
          <w:rFonts w:eastAsia="Times New Roman"/>
          <w:sz w:val="20"/>
        </w:rPr>
        <w:t xml:space="preserve">Burford, "The Builders </w:t>
      </w:r>
      <w:r w:rsidRPr="00EF76CF">
        <w:rPr>
          <w:rFonts w:eastAsia="Times New Roman"/>
          <w:sz w:val="22"/>
          <w:szCs w:val="22"/>
        </w:rPr>
        <w:t xml:space="preserve">of </w:t>
      </w:r>
      <w:r w:rsidRPr="00EF76CF">
        <w:rPr>
          <w:rFonts w:eastAsia="Times New Roman"/>
          <w:sz w:val="20"/>
        </w:rPr>
        <w:t xml:space="preserve">the Parthenon," from </w:t>
      </w:r>
      <w:r w:rsidRPr="00EF76CF">
        <w:rPr>
          <w:rFonts w:eastAsia="Times New Roman"/>
          <w:i/>
          <w:iCs/>
          <w:sz w:val="22"/>
          <w:szCs w:val="22"/>
        </w:rPr>
        <w:t xml:space="preserve">Greece and Rome, </w:t>
      </w:r>
      <w:r w:rsidRPr="00EF76CF">
        <w:rPr>
          <w:rFonts w:eastAsia="Times New Roman"/>
          <w:sz w:val="20"/>
        </w:rPr>
        <w:t xml:space="preserve">suppl. to Vol. X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2"/>
          <w:szCs w:val="22"/>
        </w:rPr>
        <w:t xml:space="preserve">Parthenos </w:t>
      </w:r>
      <w:r w:rsidRPr="00EF76CF">
        <w:rPr>
          <w:rFonts w:eastAsia="Times New Roman"/>
          <w:sz w:val="20"/>
        </w:rPr>
        <w:t xml:space="preserve">and </w:t>
      </w:r>
      <w:r w:rsidRPr="00EF76CF">
        <w:rPr>
          <w:rFonts w:eastAsia="Times New Roman"/>
          <w:i/>
          <w:iCs/>
          <w:sz w:val="22"/>
          <w:szCs w:val="22"/>
        </w:rPr>
        <w:t>Parthenon (1963).</w:t>
      </w:r>
      <w:r w:rsidRPr="00EF76CF">
        <w:rPr>
          <w:rFonts w:eastAsia="Times New Roman"/>
          <w:i/>
          <w:iCs/>
          <w:sz w:val="22"/>
          <w:szCs w:val="22"/>
        </w:rPr>
        <w:br/>
      </w:r>
      <w:r w:rsidRPr="00EF76CF">
        <w:rPr>
          <w:rFonts w:eastAsia="Times New Roman"/>
          <w:sz w:val="20"/>
        </w:rPr>
        <w:t xml:space="preserve">Cherniss, "Characteristics and Effects </w:t>
      </w:r>
      <w:r w:rsidRPr="00EF76CF">
        <w:rPr>
          <w:rFonts w:eastAsia="Times New Roman"/>
          <w:sz w:val="22"/>
          <w:szCs w:val="22"/>
        </w:rPr>
        <w:t xml:space="preserve">of </w:t>
      </w:r>
      <w:r w:rsidRPr="00EF76CF">
        <w:rPr>
          <w:rFonts w:eastAsia="Times New Roman"/>
          <w:sz w:val="20"/>
        </w:rPr>
        <w:t xml:space="preserve">Pre-Socratic Philosophy," in Furley and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Allen, </w:t>
      </w:r>
      <w:r w:rsidRPr="00EF76CF">
        <w:rPr>
          <w:rFonts w:eastAsia="Times New Roman"/>
          <w:i/>
          <w:iCs/>
          <w:sz w:val="22"/>
          <w:szCs w:val="22"/>
        </w:rPr>
        <w:t xml:space="preserve">Studies in Pre-Socratic Philosophy, </w:t>
      </w:r>
      <w:r w:rsidRPr="00EF76CF">
        <w:rPr>
          <w:rFonts w:eastAsia="Times New Roman"/>
          <w:sz w:val="20"/>
        </w:rPr>
        <w:t xml:space="preserve">Vol. I, (New York, 1970). Connor, </w:t>
      </w:r>
      <w:r w:rsidRPr="00EF76CF">
        <w:rPr>
          <w:rFonts w:eastAsia="Times New Roman"/>
          <w:i/>
          <w:iCs/>
          <w:sz w:val="22"/>
          <w:szCs w:val="22"/>
        </w:rPr>
        <w:t xml:space="preserve">The New Politician </w:t>
      </w:r>
      <w:r w:rsidRPr="00EF76CF">
        <w:rPr>
          <w:rFonts w:eastAsia="Times New Roman"/>
          <w:i/>
          <w:iCs/>
          <w:szCs w:val="24"/>
        </w:rPr>
        <w:t xml:space="preserve">o f </w:t>
      </w:r>
      <w:r w:rsidRPr="00EF76CF">
        <w:rPr>
          <w:rFonts w:eastAsia="Times New Roman"/>
          <w:i/>
          <w:iCs/>
          <w:sz w:val="22"/>
          <w:szCs w:val="22"/>
        </w:rPr>
        <w:t xml:space="preserve">Fifth Century Athens </w:t>
      </w:r>
      <w:r w:rsidRPr="00EF76CF">
        <w:rPr>
          <w:rFonts w:eastAsia="Times New Roman"/>
          <w:sz w:val="20"/>
        </w:rPr>
        <w:t xml:space="preserve">(Princeton, 1971). Ehrenberg, </w:t>
      </w:r>
      <w:r w:rsidRPr="00EF76CF">
        <w:rPr>
          <w:rFonts w:eastAsia="Times New Roman"/>
          <w:i/>
          <w:iCs/>
          <w:sz w:val="22"/>
          <w:szCs w:val="22"/>
        </w:rPr>
        <w:t xml:space="preserve">Sophocles and Pericles, </w:t>
      </w:r>
      <w:r w:rsidRPr="00EF76CF">
        <w:rPr>
          <w:rFonts w:eastAsia="Times New Roman"/>
          <w:sz w:val="20"/>
        </w:rPr>
        <w:t>(Oxford, 1954).</w:t>
      </w:r>
      <w:r w:rsidRPr="00EF76CF">
        <w:rPr>
          <w:rFonts w:eastAsia="Times New Roman"/>
          <w:sz w:val="20"/>
        </w:rPr>
        <w:br/>
        <w:t xml:space="preserve">Finley, </w:t>
      </w:r>
      <w:r w:rsidRPr="00EF76CF">
        <w:rPr>
          <w:rFonts w:eastAsia="Times New Roman"/>
          <w:i/>
          <w:iCs/>
          <w:sz w:val="22"/>
          <w:szCs w:val="22"/>
        </w:rPr>
        <w:t xml:space="preserve">Thucydides </w:t>
      </w:r>
      <w:r w:rsidRPr="00EF76CF">
        <w:rPr>
          <w:rFonts w:eastAsia="Times New Roman"/>
          <w:sz w:val="20"/>
        </w:rPr>
        <w:t xml:space="preserve">(Cambridge. MA, 1942).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Gill, "The Death </w:t>
      </w:r>
      <w:r w:rsidRPr="00EF76CF">
        <w:rPr>
          <w:rFonts w:eastAsia="Times New Roman"/>
          <w:sz w:val="22"/>
          <w:szCs w:val="22"/>
        </w:rPr>
        <w:t xml:space="preserve">of </w:t>
      </w:r>
      <w:r w:rsidRPr="00EF76CF">
        <w:rPr>
          <w:rFonts w:eastAsia="Times New Roman"/>
          <w:sz w:val="20"/>
        </w:rPr>
        <w:t xml:space="preserve">Socrates," </w:t>
      </w:r>
      <w:r w:rsidRPr="00EF76CF">
        <w:rPr>
          <w:rFonts w:eastAsia="Times New Roman"/>
          <w:i/>
          <w:iCs/>
          <w:sz w:val="22"/>
          <w:szCs w:val="22"/>
        </w:rPr>
        <w:t xml:space="preserve">Classical Quarterly, </w:t>
      </w:r>
      <w:r w:rsidRPr="00EF76CF">
        <w:rPr>
          <w:rFonts w:eastAsia="Times New Roman"/>
          <w:sz w:val="20"/>
        </w:rPr>
        <w:t xml:space="preserve">Vol. XXIII (1973), pp. 25-28. Immerwahr, "Pathology </w:t>
      </w:r>
      <w:r w:rsidRPr="00EF76CF">
        <w:rPr>
          <w:rFonts w:eastAsia="Times New Roman"/>
          <w:sz w:val="22"/>
          <w:szCs w:val="22"/>
        </w:rPr>
        <w:t xml:space="preserve">of </w:t>
      </w:r>
      <w:r w:rsidRPr="00EF76CF">
        <w:rPr>
          <w:rFonts w:eastAsia="Times New Roman"/>
          <w:sz w:val="20"/>
        </w:rPr>
        <w:t xml:space="preserve">Power and the Speeches in Thucydides," </w:t>
      </w:r>
      <w:r w:rsidRPr="00EF76CF">
        <w:rPr>
          <w:rFonts w:eastAsia="Times New Roman"/>
          <w:i/>
          <w:iCs/>
          <w:sz w:val="22"/>
          <w:szCs w:val="22"/>
        </w:rPr>
        <w:t xml:space="preserve">The Speeches in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2"/>
          <w:szCs w:val="22"/>
        </w:rPr>
        <w:lastRenderedPageBreak/>
        <w:t xml:space="preserve">Thucydides, </w:t>
      </w:r>
      <w:r w:rsidRPr="00EF76CF">
        <w:rPr>
          <w:rFonts w:eastAsia="Times New Roman"/>
          <w:sz w:val="20"/>
        </w:rPr>
        <w:t>ed. Stadter (Chapel Hill).</w:t>
      </w:r>
      <w:r w:rsidRPr="00EF76CF">
        <w:rPr>
          <w:rFonts w:eastAsia="Times New Roman"/>
          <w:sz w:val="20"/>
        </w:rPr>
        <w:br/>
        <w:t xml:space="preserve">Jaeger, </w:t>
      </w:r>
      <w:r w:rsidRPr="00EF76CF">
        <w:rPr>
          <w:rFonts w:eastAsia="Times New Roman"/>
          <w:i/>
          <w:iCs/>
          <w:sz w:val="22"/>
          <w:szCs w:val="22"/>
        </w:rPr>
        <w:t xml:space="preserve">Paideia I, </w:t>
      </w:r>
      <w:r w:rsidRPr="00EF76CF">
        <w:rPr>
          <w:rFonts w:eastAsia="Times New Roman"/>
          <w:sz w:val="20"/>
        </w:rPr>
        <w:t>(Oxford, 1939).</w:t>
      </w:r>
      <w:r w:rsidRPr="00EF76CF">
        <w:rPr>
          <w:rFonts w:eastAsia="Times New Roman"/>
          <w:sz w:val="20"/>
        </w:rPr>
        <w:br/>
        <w:t xml:space="preserve">Meiggs, </w:t>
      </w:r>
      <w:r w:rsidRPr="00EF76CF">
        <w:rPr>
          <w:rFonts w:eastAsia="Times New Roman"/>
          <w:i/>
          <w:iCs/>
          <w:sz w:val="22"/>
          <w:szCs w:val="22"/>
        </w:rPr>
        <w:t xml:space="preserve">The Athenian Empire, </w:t>
      </w:r>
      <w:r w:rsidRPr="00EF76CF">
        <w:rPr>
          <w:rFonts w:eastAsia="Times New Roman"/>
          <w:sz w:val="20"/>
        </w:rPr>
        <w:t>(Oxford, 1972).</w:t>
      </w:r>
      <w:r w:rsidRPr="00EF76CF">
        <w:rPr>
          <w:rFonts w:eastAsia="Times New Roman"/>
          <w:sz w:val="20"/>
        </w:rPr>
        <w:br/>
        <w:t xml:space="preserve">Ostwald, </w:t>
      </w:r>
      <w:r w:rsidRPr="00EF76CF">
        <w:rPr>
          <w:rFonts w:eastAsia="Times New Roman"/>
          <w:i/>
          <w:iCs/>
          <w:sz w:val="22"/>
          <w:szCs w:val="22"/>
        </w:rPr>
        <w:t xml:space="preserve">Nomos and the Beginnings </w:t>
      </w:r>
      <w:r w:rsidRPr="00EF76CF">
        <w:rPr>
          <w:rFonts w:eastAsia="Times New Roman"/>
          <w:i/>
          <w:iCs/>
          <w:szCs w:val="24"/>
        </w:rPr>
        <w:t xml:space="preserve">o f </w:t>
      </w:r>
      <w:r w:rsidRPr="00EF76CF">
        <w:rPr>
          <w:rFonts w:eastAsia="Times New Roman"/>
          <w:i/>
          <w:iCs/>
          <w:sz w:val="22"/>
          <w:szCs w:val="22"/>
        </w:rPr>
        <w:t xml:space="preserve">Athenian Democracy </w:t>
      </w:r>
      <w:r w:rsidRPr="00EF76CF">
        <w:rPr>
          <w:rFonts w:eastAsia="Times New Roman"/>
          <w:sz w:val="20"/>
        </w:rPr>
        <w:t xml:space="preserve">(Oxford, 1967). Pemberton, "Dedication by Alkibiades and Thrasyboulos" unpublished manuscript. Plutarch, </w:t>
      </w:r>
      <w:r w:rsidRPr="00EF76CF">
        <w:rPr>
          <w:rFonts w:eastAsia="Times New Roman"/>
          <w:i/>
          <w:iCs/>
          <w:sz w:val="22"/>
          <w:szCs w:val="22"/>
        </w:rPr>
        <w:t xml:space="preserve">Life </w:t>
      </w:r>
      <w:r w:rsidRPr="00EF76CF">
        <w:rPr>
          <w:rFonts w:eastAsia="Times New Roman"/>
          <w:i/>
          <w:iCs/>
          <w:szCs w:val="24"/>
        </w:rPr>
        <w:t xml:space="preserve">of </w:t>
      </w:r>
      <w:r w:rsidRPr="00EF76CF">
        <w:rPr>
          <w:rFonts w:eastAsia="Times New Roman"/>
          <w:i/>
          <w:iCs/>
          <w:sz w:val="22"/>
          <w:szCs w:val="22"/>
        </w:rPr>
        <w:t>Pericles.</w:t>
      </w:r>
      <w:r w:rsidRPr="00EF76CF">
        <w:rPr>
          <w:rFonts w:eastAsia="Times New Roman"/>
          <w:i/>
          <w:iCs/>
          <w:sz w:val="22"/>
          <w:szCs w:val="22"/>
        </w:rPr>
        <w:br/>
      </w:r>
      <w:r w:rsidRPr="00EF76CF">
        <w:rPr>
          <w:rFonts w:eastAsia="Times New Roman"/>
          <w:sz w:val="20"/>
        </w:rPr>
        <w:t xml:space="preserve">Vlastos, "Socrates </w:t>
      </w:r>
      <w:r w:rsidRPr="00EF76CF">
        <w:rPr>
          <w:rFonts w:eastAsia="Times New Roman"/>
          <w:sz w:val="22"/>
          <w:szCs w:val="22"/>
        </w:rPr>
        <w:t xml:space="preserve">on </w:t>
      </w:r>
      <w:r w:rsidRPr="00EF76CF">
        <w:rPr>
          <w:rFonts w:eastAsia="Times New Roman"/>
          <w:sz w:val="20"/>
        </w:rPr>
        <w:t xml:space="preserve">Disobeying the Law," </w:t>
      </w:r>
      <w:r w:rsidRPr="00EF76CF">
        <w:rPr>
          <w:rFonts w:eastAsia="Times New Roman"/>
          <w:i/>
          <w:iCs/>
          <w:sz w:val="22"/>
          <w:szCs w:val="22"/>
        </w:rPr>
        <w:t>Yale Review (1972).</w:t>
      </w:r>
      <w:r w:rsidRPr="00EF76CF">
        <w:rPr>
          <w:rFonts w:eastAsia="Times New Roman"/>
          <w:i/>
          <w:iCs/>
          <w:sz w:val="22"/>
          <w:szCs w:val="22"/>
        </w:rPr>
        <w:br/>
      </w:r>
      <w:r w:rsidRPr="00EF76CF">
        <w:rPr>
          <w:rFonts w:eastAsia="Times New Roman"/>
          <w:sz w:val="20"/>
        </w:rPr>
        <w:t xml:space="preserve">Vlastos, ed. </w:t>
      </w:r>
      <w:r w:rsidRPr="00EF76CF">
        <w:rPr>
          <w:rFonts w:eastAsia="Times New Roman"/>
          <w:i/>
          <w:iCs/>
          <w:sz w:val="22"/>
          <w:szCs w:val="22"/>
        </w:rPr>
        <w:t xml:space="preserve">The Philosophy </w:t>
      </w:r>
      <w:r w:rsidRPr="00EF76CF">
        <w:rPr>
          <w:rFonts w:eastAsia="Times New Roman"/>
          <w:i/>
          <w:iCs/>
          <w:szCs w:val="24"/>
        </w:rPr>
        <w:t xml:space="preserve">of </w:t>
      </w:r>
      <w:r w:rsidRPr="00EF76CF">
        <w:rPr>
          <w:rFonts w:eastAsia="Times New Roman"/>
          <w:i/>
          <w:iCs/>
          <w:sz w:val="22"/>
          <w:szCs w:val="22"/>
        </w:rPr>
        <w:t xml:space="preserve">Socrates </w:t>
      </w:r>
      <w:r w:rsidRPr="00EF76CF">
        <w:rPr>
          <w:rFonts w:eastAsia="Times New Roman"/>
          <w:sz w:val="20"/>
        </w:rPr>
        <w:t xml:space="preserve">(Garden City, NY, 1971). </w:t>
      </w:r>
    </w:p>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lastRenderedPageBreak/>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"/var/folders/l7/cvyhkg5d131g980jpvyd86m00000gn/T/com.microsoft.Word/WebArchiveCopyPasteTempFiles/page3image1341258912"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4784090" cy="7783195"/>
            <wp:effectExtent l="0" t="0" r="3810" b="1905"/>
            <wp:docPr id="6" name="Picture 6" descr="page3image134125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13412589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4090" cy="7783195"/>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A THENS 205 Von Blankenhagen, "The Shield </w:t>
      </w:r>
      <w:r w:rsidRPr="00EF76CF">
        <w:rPr>
          <w:rFonts w:eastAsia="Times New Roman"/>
          <w:sz w:val="22"/>
          <w:szCs w:val="22"/>
        </w:rPr>
        <w:t xml:space="preserve">of </w:t>
      </w:r>
      <w:r w:rsidRPr="00EF76CF">
        <w:rPr>
          <w:rFonts w:eastAsia="Times New Roman"/>
          <w:sz w:val="20"/>
        </w:rPr>
        <w:t xml:space="preserve">Alcibiades," in </w:t>
      </w:r>
      <w:r w:rsidRPr="00EF76CF">
        <w:rPr>
          <w:rFonts w:eastAsia="Times New Roman"/>
          <w:i/>
          <w:iCs/>
          <w:sz w:val="22"/>
          <w:szCs w:val="22"/>
        </w:rPr>
        <w:t xml:space="preserve">Essays in Memory </w:t>
      </w:r>
      <w:r w:rsidRPr="00EF76CF">
        <w:rPr>
          <w:rFonts w:eastAsia="Times New Roman"/>
          <w:i/>
          <w:iCs/>
          <w:szCs w:val="24"/>
        </w:rPr>
        <w:t xml:space="preserve">of </w:t>
      </w:r>
      <w:r w:rsidRPr="00EF76CF">
        <w:rPr>
          <w:rFonts w:eastAsia="Times New Roman"/>
          <w:i/>
          <w:iCs/>
          <w:sz w:val="22"/>
          <w:szCs w:val="22"/>
        </w:rPr>
        <w:t xml:space="preserve">Karl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2"/>
          <w:szCs w:val="22"/>
        </w:rPr>
        <w:lastRenderedPageBreak/>
        <w:t xml:space="preserve">Lehmann, </w:t>
      </w:r>
      <w:r w:rsidRPr="00EF76CF">
        <w:rPr>
          <w:rFonts w:eastAsia="Times New Roman"/>
          <w:sz w:val="20"/>
        </w:rPr>
        <w:t xml:space="preserve">pp. 38-42.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There were additional short selections (from Pausanias, the Pre-Socratics, and Xenophon) distributed as handouts in class, along with study questions, maps and a list </w:t>
      </w:r>
      <w:r w:rsidRPr="00EF76CF">
        <w:rPr>
          <w:rFonts w:eastAsia="Times New Roman"/>
          <w:sz w:val="22"/>
          <w:szCs w:val="22"/>
        </w:rPr>
        <w:t xml:space="preserve">of </w:t>
      </w:r>
      <w:r w:rsidRPr="00EF76CF">
        <w:rPr>
          <w:rFonts w:eastAsia="Times New Roman"/>
          <w:sz w:val="20"/>
        </w:rPr>
        <w:t xml:space="preserve">term paper topics.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Cs w:val="24"/>
        </w:rPr>
        <w:t xml:space="preserve">II. Assigned Philosophical Topics and Emergent Questions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As the resident philosopher</w:t>
      </w:r>
      <w:r w:rsidRPr="00EF76CF">
        <w:rPr>
          <w:rFonts w:eastAsia="Times New Roman"/>
          <w:position w:val="4"/>
          <w:sz w:val="12"/>
          <w:szCs w:val="12"/>
        </w:rPr>
        <w:t>3</w:t>
      </w:r>
      <w:r w:rsidRPr="00EF76CF">
        <w:rPr>
          <w:rFonts w:eastAsia="Times New Roman"/>
          <w:sz w:val="12"/>
          <w:szCs w:val="12"/>
        </w:rPr>
        <w:t xml:space="preserve">, </w:t>
      </w:r>
      <w:r w:rsidRPr="00EF76CF">
        <w:rPr>
          <w:rFonts w:eastAsia="Times New Roman"/>
          <w:szCs w:val="24"/>
        </w:rPr>
        <w:t xml:space="preserve">I was expected to explain and evaluate the philosophical achievements of 5th Century Athens. I began by discussing the philosophical background of Ionian rationalism and the "paradoxical" (i.e., "contrary to common opinion") notions of Parmenides and Zeno. We dis- cussed the then current philosophical issues (ethical relativism, scepticism about human inquiry, the conflict of justice and personal advantage, the teachability of virtue, "humanism"), how they had come into being, how they were debated in the 5th century, and how historically significant they would become. These tasks entailed the presentation and critical evaluation of the ideas of Heraclitus, Parmenides, Socrates, various Sophists and Hippocratic authors, Pericles, and the Plato of the Socratic dialogues, </w:t>
      </w:r>
      <w:r w:rsidRPr="00EF76CF">
        <w:rPr>
          <w:rFonts w:eastAsia="Times New Roman"/>
          <w:i/>
          <w:iCs/>
          <w:szCs w:val="24"/>
        </w:rPr>
        <w:t xml:space="preserve">Symposium, </w:t>
      </w:r>
      <w:r w:rsidRPr="00EF76CF">
        <w:rPr>
          <w:rFonts w:eastAsia="Times New Roman"/>
          <w:szCs w:val="24"/>
        </w:rPr>
        <w:t xml:space="preserve">and parts of the </w:t>
      </w:r>
      <w:r w:rsidRPr="00EF76CF">
        <w:rPr>
          <w:rFonts w:eastAsia="Times New Roman"/>
          <w:i/>
          <w:iCs/>
          <w:szCs w:val="24"/>
        </w:rPr>
        <w:t xml:space="preserve">Republic. </w:t>
      </w:r>
      <w:r w:rsidRPr="00EF76CF">
        <w:rPr>
          <w:rFonts w:eastAsia="Times New Roman"/>
          <w:szCs w:val="24"/>
        </w:rPr>
        <w:t xml:space="preserve">Collectively, </w:t>
      </w:r>
      <w:r w:rsidRPr="00EF76CF">
        <w:rPr>
          <w:rFonts w:eastAsia="Times New Roman"/>
          <w:sz w:val="22"/>
          <w:szCs w:val="22"/>
        </w:rPr>
        <w:t xml:space="preserve">we </w:t>
      </w:r>
      <w:r w:rsidRPr="00EF76CF">
        <w:rPr>
          <w:rFonts w:eastAsia="Times New Roman"/>
          <w:szCs w:val="24"/>
        </w:rPr>
        <w:t xml:space="preserve">would also attempt to connect philosophical ideas with other aspects of Athenian culture, especially political or military events and artistic achievements.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This last aspect of the course was easily the most daunting; students of philosophy are routinely engaged in the analysis of philosophical argument and, occasionally, the study of the historical development of philosophical theories, but even the latter almost always involves treating philosophy as a linear sequence of conceptual disputes and reforms (Locke leading to Berkeley to Hume to Kant, and so on). We are rarely required to consider philosophical ideas in a broader cultural context and most of us lack the requisite historical knowledge or training to do </w:t>
      </w:r>
      <w:r w:rsidRPr="00EF76CF">
        <w:rPr>
          <w:rFonts w:eastAsia="Times New Roman"/>
          <w:sz w:val="22"/>
          <w:szCs w:val="22"/>
        </w:rPr>
        <w:t xml:space="preserve">so </w:t>
      </w:r>
      <w:r w:rsidRPr="00EF76CF">
        <w:rPr>
          <w:rFonts w:eastAsia="Times New Roman"/>
          <w:szCs w:val="24"/>
        </w:rPr>
        <w:t xml:space="preserve">anyway. At the same time, such an approach holds out the prospect of fresh perspectives on familiar material, and explana- tions of some aspects of philosophical disputes and theories that otherwise might remain obscure. During the course of the semester, </w:t>
      </w:r>
      <w:r w:rsidRPr="00EF76CF">
        <w:rPr>
          <w:rFonts w:eastAsia="Times New Roman"/>
          <w:sz w:val="22"/>
          <w:szCs w:val="22"/>
        </w:rPr>
        <w:t xml:space="preserve">we </w:t>
      </w:r>
      <w:r w:rsidRPr="00EF76CF">
        <w:rPr>
          <w:rFonts w:eastAsia="Times New Roman"/>
          <w:szCs w:val="24"/>
        </w:rPr>
        <w:t xml:space="preserve">identified four main aspects of 5th century Athenian life that cut across all our fields of in- quiry. In retrospect, it seems to </w:t>
      </w:r>
      <w:r w:rsidRPr="00EF76CF">
        <w:rPr>
          <w:rFonts w:eastAsia="Times New Roman"/>
          <w:sz w:val="22"/>
          <w:szCs w:val="22"/>
        </w:rPr>
        <w:t xml:space="preserve">us </w:t>
      </w:r>
      <w:r w:rsidRPr="00EF76CF">
        <w:rPr>
          <w:rFonts w:eastAsia="Times New Roman"/>
          <w:szCs w:val="24"/>
        </w:rPr>
        <w:t xml:space="preserve">that any adequate account of Classical Athens, including the ideas of Athenian philosophers, should take the follow- ing pervasive factors into account: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2"/>
          <w:szCs w:val="22"/>
        </w:rPr>
        <w:t xml:space="preserve">1. </w:t>
      </w:r>
      <w:r w:rsidRPr="00EF76CF">
        <w:rPr>
          <w:rFonts w:eastAsia="Times New Roman"/>
          <w:szCs w:val="24"/>
        </w:rPr>
        <w:t xml:space="preserve">The Centrality of the Family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Pericles </w:t>
      </w:r>
      <w:r w:rsidRPr="00EF76CF">
        <w:rPr>
          <w:rFonts w:eastAsia="Times New Roman"/>
          <w:sz w:val="22"/>
          <w:szCs w:val="22"/>
        </w:rPr>
        <w:t xml:space="preserve">is </w:t>
      </w:r>
      <w:r w:rsidRPr="00EF76CF">
        <w:rPr>
          <w:rFonts w:eastAsia="Times New Roman"/>
          <w:szCs w:val="24"/>
        </w:rPr>
        <w:t xml:space="preserve">the most prominent, but not the only, example of the rise of members of noble families to high political office in Athens. The Alcmaeonidae were one of many aristocratic families exerting considerable political power from the 6th down to the end of the 5th century B.C. Solonian reforms had strengthened the legal standings and prerogatives of the </w:t>
      </w:r>
      <w:r w:rsidRPr="00EF76CF">
        <w:rPr>
          <w:rFonts w:eastAsia="Times New Roman"/>
          <w:i/>
          <w:iCs/>
          <w:szCs w:val="24"/>
        </w:rPr>
        <w:t xml:space="preserve">oikos, </w:t>
      </w:r>
      <w:r w:rsidRPr="00EF76CF">
        <w:rPr>
          <w:rFonts w:eastAsia="Times New Roman"/>
          <w:szCs w:val="24"/>
        </w:rPr>
        <w:t xml:space="preserve">and concern for the welfare of the family lies behind a host of marriage practices (e.g., the </w:t>
      </w:r>
    </w:p>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lastRenderedPageBreak/>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"/var/folders/l7/cvyhkg5d131g980jpvyd86m00000gn/T/com.microsoft.Word/WebArchiveCopyPasteTempFiles/page4image1297692736"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4813300" cy="8090535"/>
            <wp:effectExtent l="0" t="0" r="0" b="0"/>
            <wp:docPr id="5" name="Picture 5" descr="page4image129769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12976927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3300" cy="8090535"/>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lastRenderedPageBreak/>
        <w:t xml:space="preserve">206 J. H. LESHER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woman as </w:t>
      </w:r>
      <w:r w:rsidRPr="00EF76CF">
        <w:rPr>
          <w:rFonts w:eastAsia="Times New Roman"/>
          <w:i/>
          <w:iCs/>
          <w:szCs w:val="24"/>
        </w:rPr>
        <w:t xml:space="preserve">epic/eros </w:t>
      </w:r>
      <w:r w:rsidRPr="00EF76CF">
        <w:rPr>
          <w:rFonts w:eastAsia="Times New Roman"/>
          <w:szCs w:val="24"/>
        </w:rPr>
        <w:t xml:space="preserve">through whom the goods of the family must pass) and moral attitudes. Some sense of the power of familial ties can be gained from the depiction of family struggles in the plays of Euripides and in the grave reliefs of the 5th century. A standard depiction includes the departed in the company of the family, receiving the </w:t>
      </w:r>
      <w:r w:rsidRPr="00EF76CF">
        <w:rPr>
          <w:rFonts w:eastAsia="Times New Roman"/>
          <w:i/>
          <w:iCs/>
          <w:szCs w:val="24"/>
        </w:rPr>
        <w:t xml:space="preserve">dexiosis </w:t>
      </w:r>
      <w:r w:rsidRPr="00EF76CF">
        <w:rPr>
          <w:rFonts w:eastAsia="Times New Roman"/>
          <w:szCs w:val="24"/>
        </w:rPr>
        <w:t xml:space="preserve">or farewell handshake; in death as in life, the family provided the focal point for Athenian society.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One measure therefore of the revolutionary and controversial character of Athenian philosophical morality is its departure from this traditional norm. Aristotle is the only philosopher who places any weight on familial ties, arguing (in NE, </w:t>
      </w:r>
      <w:r w:rsidRPr="00EF76CF">
        <w:rPr>
          <w:rFonts w:eastAsia="Times New Roman"/>
          <w:i/>
          <w:iCs/>
          <w:szCs w:val="24"/>
        </w:rPr>
        <w:t xml:space="preserve">viii, </w:t>
      </w:r>
      <w:r w:rsidRPr="00EF76CF">
        <w:rPr>
          <w:rFonts w:eastAsia="Times New Roman"/>
          <w:sz w:val="22"/>
          <w:szCs w:val="22"/>
        </w:rPr>
        <w:t xml:space="preserve">9) </w:t>
      </w:r>
      <w:r w:rsidRPr="00EF76CF">
        <w:rPr>
          <w:rFonts w:eastAsia="Times New Roman"/>
          <w:szCs w:val="24"/>
        </w:rPr>
        <w:t xml:space="preserve">that justice and friendship are overlapping domains, and that the demands of justice increase with the closeness of the relationship. </w:t>
      </w:r>
      <w:r w:rsidRPr="00EF76CF">
        <w:rPr>
          <w:rFonts w:ascii="Helvetica" w:eastAsia="Times New Roman" w:hAnsi="Helvetica"/>
          <w:szCs w:val="24"/>
        </w:rPr>
        <w:t xml:space="preserve">It </w:t>
      </w:r>
      <w:r w:rsidRPr="00EF76CF">
        <w:rPr>
          <w:rFonts w:eastAsia="Times New Roman"/>
          <w:sz w:val="22"/>
          <w:szCs w:val="22"/>
        </w:rPr>
        <w:t xml:space="preserve">is </w:t>
      </w:r>
      <w:r w:rsidRPr="00EF76CF">
        <w:rPr>
          <w:rFonts w:eastAsia="Times New Roman"/>
          <w:szCs w:val="24"/>
        </w:rPr>
        <w:t xml:space="preserve">worst to defraud a fellow citizen than a stranger, worse still to wrong a member of one's own family, and worst of all to wrong one's parents. As might be expected in an ethical theory that places a premium on compatability with existing moral senti- ment, Aristotle's exaltation of the moral centrality of the family </w:t>
      </w:r>
      <w:r w:rsidRPr="00EF76CF">
        <w:rPr>
          <w:rFonts w:eastAsia="Times New Roman"/>
          <w:sz w:val="22"/>
          <w:szCs w:val="22"/>
        </w:rPr>
        <w:t xml:space="preserve">is </w:t>
      </w:r>
      <w:r w:rsidRPr="00EF76CF">
        <w:rPr>
          <w:rFonts w:eastAsia="Times New Roman"/>
          <w:szCs w:val="24"/>
        </w:rPr>
        <w:t xml:space="preserve">highly con- ventional. This </w:t>
      </w:r>
      <w:r w:rsidRPr="00EF76CF">
        <w:rPr>
          <w:rFonts w:eastAsia="Times New Roman"/>
          <w:sz w:val="22"/>
          <w:szCs w:val="22"/>
        </w:rPr>
        <w:t xml:space="preserve">is </w:t>
      </w:r>
      <w:r w:rsidRPr="00EF76CF">
        <w:rPr>
          <w:rFonts w:eastAsia="Times New Roman"/>
          <w:szCs w:val="24"/>
        </w:rPr>
        <w:t xml:space="preserve">not true for either Socrates or Plato, and their denigration of family values helps to explain the hostile reaction to their views. Socrates may occasionally give lip service to parents </w:t>
      </w:r>
      <w:r w:rsidRPr="00EF76CF">
        <w:rPr>
          <w:rFonts w:eastAsia="Times New Roman"/>
          <w:i/>
          <w:iCs/>
          <w:szCs w:val="24"/>
        </w:rPr>
        <w:t xml:space="preserve">(Euthyphro </w:t>
      </w:r>
      <w:r w:rsidRPr="00EF76CF">
        <w:rPr>
          <w:rFonts w:eastAsia="Times New Roman"/>
          <w:szCs w:val="24"/>
        </w:rPr>
        <w:t xml:space="preserve">3-4), and to 'parental' laws </w:t>
      </w:r>
      <w:r w:rsidRPr="00EF76CF">
        <w:rPr>
          <w:rFonts w:eastAsia="Times New Roman"/>
          <w:i/>
          <w:iCs/>
          <w:szCs w:val="24"/>
        </w:rPr>
        <w:t xml:space="preserve">(Crito </w:t>
      </w:r>
      <w:r w:rsidRPr="00EF76CF">
        <w:rPr>
          <w:rFonts w:eastAsia="Times New Roman"/>
          <w:szCs w:val="24"/>
        </w:rPr>
        <w:t xml:space="preserve">50-54), but taking Socratic ethics seriously means taking self-knowledge, self-improvement, justice and holiness (and not one's family relations) as the defining parameters of right conduct. Socrates never actually urged anyone, as perhaps Jesus did, to "leave your family and follow me," but his critics correct- ly sensed that the "new morality" threatened traditional ideas of duties to fami- ly or parents. Aristophanes seizes on just this threat in the </w:t>
      </w:r>
      <w:r w:rsidRPr="00EF76CF">
        <w:rPr>
          <w:rFonts w:eastAsia="Times New Roman"/>
          <w:i/>
          <w:iCs/>
          <w:szCs w:val="24"/>
        </w:rPr>
        <w:t xml:space="preserve">Clouds </w:t>
      </w:r>
      <w:r w:rsidRPr="00EF76CF">
        <w:rPr>
          <w:rFonts w:eastAsia="Times New Roman"/>
          <w:szCs w:val="24"/>
        </w:rPr>
        <w:t xml:space="preserve">portrait of Pheidippides doing in his father, and using the logic of Socrates' 'Thinkateria' moreover to justify the harsh treatment. Similarly, Plato's "psychically just" man will never neglect parents </w:t>
      </w:r>
      <w:r w:rsidRPr="00EF76CF">
        <w:rPr>
          <w:rFonts w:eastAsia="Times New Roman"/>
          <w:i/>
          <w:iCs/>
          <w:szCs w:val="24"/>
        </w:rPr>
        <w:t xml:space="preserve">(Republic IV, </w:t>
      </w:r>
      <w:r w:rsidRPr="00EF76CF">
        <w:rPr>
          <w:rFonts w:eastAsia="Times New Roman"/>
          <w:szCs w:val="24"/>
        </w:rPr>
        <w:t xml:space="preserve">443) but the ideal state demands an abolition of the traditional family, a communalization of family loyalties, retaining the older moral sentiments but placing them in service to the state for the greater good of the whole community.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2. The Emergence of the Individual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The conflict between the heroic individual and the claims of a larger com- munity </w:t>
      </w:r>
      <w:r w:rsidRPr="00EF76CF">
        <w:rPr>
          <w:rFonts w:eastAsia="Times New Roman"/>
          <w:sz w:val="22"/>
          <w:szCs w:val="22"/>
        </w:rPr>
        <w:t xml:space="preserve">is </w:t>
      </w:r>
      <w:r w:rsidRPr="00EF76CF">
        <w:rPr>
          <w:rFonts w:eastAsia="Times New Roman"/>
          <w:szCs w:val="24"/>
        </w:rPr>
        <w:t xml:space="preserve">a perennial theme of Greek literature, seen as early as the Homeric portrait of an offended Achilles sulking in his tent while the Trojans ravage the lesser champions of the Achaeans. In 5th century Athens, the conflict inten- sifies and </w:t>
      </w:r>
      <w:r w:rsidRPr="00EF76CF">
        <w:rPr>
          <w:rFonts w:eastAsia="Times New Roman"/>
          <w:sz w:val="22"/>
          <w:szCs w:val="22"/>
        </w:rPr>
        <w:t xml:space="preserve">is </w:t>
      </w:r>
      <w:r w:rsidRPr="00EF76CF">
        <w:rPr>
          <w:rFonts w:eastAsia="Times New Roman"/>
          <w:szCs w:val="24"/>
        </w:rPr>
        <w:t xml:space="preserve">openly discussed. Sophocles poses the dilemma in the person of An- tigone, acting on behalf of the family and piety. Creon's position </w:t>
      </w:r>
      <w:r w:rsidRPr="00EF76CF">
        <w:rPr>
          <w:rFonts w:eastAsia="Times New Roman"/>
          <w:sz w:val="22"/>
          <w:szCs w:val="22"/>
        </w:rPr>
        <w:t xml:space="preserve">is </w:t>
      </w:r>
      <w:r w:rsidRPr="00EF76CF">
        <w:rPr>
          <w:rFonts w:eastAsia="Times New Roman"/>
          <w:szCs w:val="24"/>
        </w:rPr>
        <w:t xml:space="preserve">however not without moral authority representing as he does the law of the city, the last and highest achievement of the many marvels of man. Thucydides' portrait of Pericles reveals the same dilemma: the state has no substitute for the gifted in- dividual, but equally the individual always poses a danger to the state, and when, as in the case of Pericles' successors, individual leaders lack the requisite qualities of reason and prudence, the state </w:t>
      </w:r>
      <w:r w:rsidRPr="00EF76CF">
        <w:rPr>
          <w:rFonts w:eastAsia="Times New Roman"/>
          <w:sz w:val="22"/>
          <w:szCs w:val="22"/>
        </w:rPr>
        <w:t xml:space="preserve">is </w:t>
      </w:r>
      <w:r w:rsidRPr="00EF76CF">
        <w:rPr>
          <w:rFonts w:eastAsia="Times New Roman"/>
          <w:szCs w:val="24"/>
        </w:rPr>
        <w:t xml:space="preserve">imperiled. Plato's </w:t>
      </w:r>
      <w:r w:rsidRPr="00EF76CF">
        <w:rPr>
          <w:rFonts w:eastAsia="Times New Roman"/>
          <w:i/>
          <w:iCs/>
          <w:szCs w:val="24"/>
        </w:rPr>
        <w:t xml:space="preserve">Republic </w:t>
      </w:r>
      <w:r w:rsidRPr="00EF76CF">
        <w:rPr>
          <w:rFonts w:eastAsia="Times New Roman"/>
          <w:szCs w:val="24"/>
        </w:rPr>
        <w:t xml:space="preserve">also explores the possibility of maximizing individual excellence within the limits of </w:t>
      </w:r>
    </w:p>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lastRenderedPageBreak/>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"/var/folders/l7/cvyhkg5d131g980jpvyd86m00000gn/T/com.microsoft.Word/WebArchiveCopyPasteTempFiles/page5image1341598112"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4835525" cy="7797800"/>
            <wp:effectExtent l="0" t="0" r="3175" b="0"/>
            <wp:docPr id="4" name="Picture 4" descr="page5image134159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341598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5525" cy="7797800"/>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lastRenderedPageBreak/>
        <w:t xml:space="preserve">the needs of the state. Plato's proposal, intensive and extended education of the gifted, contains strict provision for rotation out of office, in effect an automatic ostracism, to prevent the accumulation of wealth and power that </w:t>
      </w:r>
      <w:r w:rsidRPr="00EF76CF">
        <w:rPr>
          <w:rFonts w:eastAsia="Times New Roman"/>
          <w:sz w:val="22"/>
          <w:szCs w:val="22"/>
        </w:rPr>
        <w:t xml:space="preserve">is </w:t>
      </w:r>
      <w:r w:rsidRPr="00EF76CF">
        <w:rPr>
          <w:rFonts w:eastAsia="Times New Roman"/>
          <w:szCs w:val="24"/>
        </w:rPr>
        <w:t xml:space="preserve">the ruin of existing states.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The 5th century offers, in the persons of Pericles, Socrates, and Alcibiades, three </w:t>
      </w:r>
      <w:r w:rsidRPr="00EF76CF">
        <w:rPr>
          <w:rFonts w:ascii="HiddenHorzOCR" w:eastAsia="Times New Roman" w:hAnsi="HiddenHorzOCR"/>
          <w:sz w:val="12"/>
          <w:szCs w:val="12"/>
        </w:rPr>
        <w:t xml:space="preserve">individ~als </w:t>
      </w:r>
      <w:r w:rsidRPr="00EF76CF">
        <w:rPr>
          <w:rFonts w:eastAsia="Times New Roman"/>
          <w:szCs w:val="24"/>
        </w:rPr>
        <w:t xml:space="preserve">whose personality and brilliance set them apart for special praise and condemnation, but there </w:t>
      </w:r>
      <w:r w:rsidRPr="00EF76CF">
        <w:rPr>
          <w:rFonts w:eastAsia="Times New Roman"/>
          <w:sz w:val="22"/>
          <w:szCs w:val="22"/>
        </w:rPr>
        <w:t xml:space="preserve">is </w:t>
      </w:r>
      <w:r w:rsidRPr="00EF76CF">
        <w:rPr>
          <w:rFonts w:eastAsia="Times New Roman"/>
          <w:szCs w:val="24"/>
        </w:rPr>
        <w:t xml:space="preserve">increased recognition of the im- portance of the individual over the course of the century. The Hippocratic treatise </w:t>
      </w:r>
      <w:r w:rsidRPr="00EF76CF">
        <w:rPr>
          <w:rFonts w:eastAsia="Times New Roman"/>
          <w:i/>
          <w:iCs/>
          <w:szCs w:val="24"/>
        </w:rPr>
        <w:t xml:space="preserve">On Ancient Medicine </w:t>
      </w:r>
      <w:r w:rsidRPr="00EF76CF">
        <w:rPr>
          <w:rFonts w:eastAsia="Times New Roman"/>
          <w:szCs w:val="24"/>
        </w:rPr>
        <w:t xml:space="preserve">calls for an "individualized" approach to medicine, putting aside "new fangled" cosmic hypotheses, claiming that the job of the doctor </w:t>
      </w:r>
      <w:r w:rsidRPr="00EF76CF">
        <w:rPr>
          <w:rFonts w:eastAsia="Times New Roman"/>
          <w:sz w:val="22"/>
          <w:szCs w:val="22"/>
        </w:rPr>
        <w:t xml:space="preserve">is </w:t>
      </w:r>
      <w:r w:rsidRPr="00EF76CF">
        <w:rPr>
          <w:rFonts w:eastAsia="Times New Roman"/>
          <w:szCs w:val="24"/>
        </w:rPr>
        <w:t xml:space="preserve">to "know how particulars affect the individual man" (Ch. XX), for </w:t>
      </w:r>
      <w:r w:rsidRPr="00EF76CF">
        <w:rPr>
          <w:rFonts w:ascii="Helvetica" w:eastAsia="Times New Roman" w:hAnsi="Helvetica"/>
          <w:sz w:val="22"/>
          <w:szCs w:val="22"/>
        </w:rPr>
        <w:t xml:space="preserve">it </w:t>
      </w:r>
      <w:r w:rsidRPr="00EF76CF">
        <w:rPr>
          <w:rFonts w:eastAsia="Times New Roman"/>
          <w:sz w:val="22"/>
          <w:szCs w:val="22"/>
        </w:rPr>
        <w:t xml:space="preserve">is </w:t>
      </w:r>
      <w:r w:rsidRPr="00EF76CF">
        <w:rPr>
          <w:rFonts w:eastAsia="Times New Roman"/>
          <w:szCs w:val="24"/>
        </w:rPr>
        <w:t xml:space="preserve">the individual man that must be cured. The Sophistic treatise </w:t>
      </w:r>
      <w:r w:rsidRPr="00EF76CF">
        <w:rPr>
          <w:rFonts w:eastAsia="Times New Roman"/>
          <w:i/>
          <w:iCs/>
          <w:szCs w:val="24"/>
        </w:rPr>
        <w:t xml:space="preserve">Dissoi Logoi </w:t>
      </w:r>
      <w:r w:rsidRPr="00EF76CF">
        <w:rPr>
          <w:rFonts w:eastAsia="Times New Roman"/>
          <w:szCs w:val="24"/>
        </w:rPr>
        <w:t xml:space="preserve">exhibits the </w:t>
      </w:r>
      <w:r w:rsidRPr="00EF76CF">
        <w:rPr>
          <w:rFonts w:eastAsia="Times New Roman"/>
          <w:i/>
          <w:iCs/>
          <w:szCs w:val="24"/>
        </w:rPr>
        <w:t xml:space="preserve">homo mensura </w:t>
      </w:r>
      <w:r w:rsidRPr="00EF76CF">
        <w:rPr>
          <w:rFonts w:eastAsia="Times New Roman"/>
          <w:szCs w:val="24"/>
        </w:rPr>
        <w:t xml:space="preserve">ethical individualism of Protagoras in </w:t>
      </w:r>
      <w:r w:rsidRPr="00EF76CF">
        <w:rPr>
          <w:rFonts w:eastAsia="Times New Roman"/>
          <w:sz w:val="22"/>
          <w:szCs w:val="22"/>
        </w:rPr>
        <w:t xml:space="preserve">ex- </w:t>
      </w:r>
      <w:r w:rsidRPr="00EF76CF">
        <w:rPr>
          <w:rFonts w:eastAsia="Times New Roman"/>
          <w:szCs w:val="24"/>
        </w:rPr>
        <w:t xml:space="preserve">plaining how what </w:t>
      </w:r>
      <w:r w:rsidRPr="00EF76CF">
        <w:rPr>
          <w:rFonts w:eastAsia="Times New Roman"/>
          <w:sz w:val="22"/>
          <w:szCs w:val="22"/>
        </w:rPr>
        <w:t xml:space="preserve">is </w:t>
      </w:r>
      <w:r w:rsidRPr="00EF76CF">
        <w:rPr>
          <w:rFonts w:eastAsia="Times New Roman"/>
          <w:szCs w:val="24"/>
        </w:rPr>
        <w:t xml:space="preserve">good for one person </w:t>
      </w:r>
      <w:r w:rsidRPr="00EF76CF">
        <w:rPr>
          <w:rFonts w:eastAsia="Times New Roman"/>
          <w:sz w:val="22"/>
          <w:szCs w:val="22"/>
        </w:rPr>
        <w:t xml:space="preserve">is </w:t>
      </w:r>
      <w:r w:rsidRPr="00EF76CF">
        <w:rPr>
          <w:rFonts w:eastAsia="Times New Roman"/>
          <w:szCs w:val="24"/>
        </w:rPr>
        <w:t xml:space="preserve">bad for the other, good here but bad there, good now but bad then. In the Athenian theatre, stereotyped masks give </w:t>
      </w:r>
      <w:r w:rsidRPr="00EF76CF">
        <w:rPr>
          <w:rFonts w:eastAsia="Times New Roman"/>
          <w:sz w:val="22"/>
          <w:szCs w:val="22"/>
        </w:rPr>
        <w:t xml:space="preserve">way </w:t>
      </w:r>
      <w:r w:rsidRPr="00EF76CF">
        <w:rPr>
          <w:rFonts w:eastAsia="Times New Roman"/>
          <w:szCs w:val="24"/>
        </w:rPr>
        <w:t xml:space="preserve">to representative likenesses of recognizable individuals. The comedies of Aristophanes displays the faults of real individuals (e.g., the swaggering Socrates in the </w:t>
      </w:r>
      <w:r w:rsidRPr="00EF76CF">
        <w:rPr>
          <w:rFonts w:eastAsia="Times New Roman"/>
          <w:i/>
          <w:iCs/>
          <w:szCs w:val="24"/>
        </w:rPr>
        <w:t xml:space="preserve">Clouds, </w:t>
      </w:r>
      <w:r w:rsidRPr="00EF76CF">
        <w:rPr>
          <w:rFonts w:eastAsia="Times New Roman"/>
          <w:szCs w:val="24"/>
        </w:rPr>
        <w:t xml:space="preserve">Cleon in the </w:t>
      </w:r>
      <w:r w:rsidRPr="00EF76CF">
        <w:rPr>
          <w:rFonts w:eastAsia="Times New Roman"/>
          <w:i/>
          <w:iCs/>
          <w:szCs w:val="24"/>
        </w:rPr>
        <w:t xml:space="preserve">Knights, </w:t>
      </w:r>
      <w:r w:rsidRPr="00EF76CF">
        <w:rPr>
          <w:rFonts w:eastAsia="Times New Roman"/>
          <w:szCs w:val="24"/>
        </w:rPr>
        <w:t xml:space="preserve">and Euripides in the </w:t>
      </w:r>
      <w:r w:rsidRPr="00EF76CF">
        <w:rPr>
          <w:rFonts w:eastAsia="Times New Roman"/>
          <w:i/>
          <w:iCs/>
          <w:szCs w:val="24"/>
        </w:rPr>
        <w:t xml:space="preserve">Thesmophoriazusae). </w:t>
      </w:r>
      <w:r w:rsidRPr="00EF76CF">
        <w:rPr>
          <w:rFonts w:eastAsia="Times New Roman"/>
          <w:szCs w:val="24"/>
        </w:rPr>
        <w:t xml:space="preserve">The dedicated buildings and statues of the 5th century show a similar evolution from the depiction of generalized figures (e.g., the stylized statue of the historical "tyrant killers" Harmodias and Aristogeiton) to more personalized and private dedications beginning in the last quarter of the century, and continuing into the next century.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When placed in this context, Socrates' teaching can be more easily seen </w:t>
      </w:r>
      <w:r w:rsidRPr="00EF76CF">
        <w:rPr>
          <w:rFonts w:eastAsia="Times New Roman"/>
          <w:sz w:val="22"/>
          <w:szCs w:val="22"/>
        </w:rPr>
        <w:t xml:space="preserve">as </w:t>
      </w:r>
      <w:r w:rsidRPr="00EF76CF">
        <w:rPr>
          <w:rFonts w:eastAsia="Times New Roman"/>
          <w:szCs w:val="24"/>
        </w:rPr>
        <w:t xml:space="preserve">the radical and subversive doctrine he was alleged to have taught. In treating </w:t>
      </w:r>
      <w:r w:rsidRPr="00EF76CF">
        <w:rPr>
          <w:rFonts w:eastAsia="Times New Roman"/>
          <w:i/>
          <w:iCs/>
          <w:szCs w:val="24"/>
        </w:rPr>
        <w:t xml:space="preserve">arete </w:t>
      </w:r>
      <w:r w:rsidRPr="00EF76CF">
        <w:rPr>
          <w:rFonts w:eastAsia="Times New Roman"/>
          <w:sz w:val="22"/>
          <w:szCs w:val="22"/>
        </w:rPr>
        <w:t xml:space="preserve">as </w:t>
      </w:r>
      <w:r w:rsidRPr="00EF76CF">
        <w:rPr>
          <w:rFonts w:eastAsia="Times New Roman"/>
          <w:szCs w:val="24"/>
        </w:rPr>
        <w:t xml:space="preserve">an individual matter, he seemed to be allying himself with the "new morality" of such men as Critias and Alcibiades, Athen's two most notorious public individuals. When the laws come to Socrates in the </w:t>
      </w:r>
      <w:r w:rsidRPr="00EF76CF">
        <w:rPr>
          <w:rFonts w:eastAsia="Times New Roman"/>
          <w:i/>
          <w:iCs/>
          <w:sz w:val="22"/>
          <w:szCs w:val="22"/>
        </w:rPr>
        <w:t xml:space="preserve">CrUo </w:t>
      </w:r>
      <w:r w:rsidRPr="00EF76CF">
        <w:rPr>
          <w:rFonts w:eastAsia="Times New Roman"/>
          <w:szCs w:val="24"/>
        </w:rPr>
        <w:t xml:space="preserve">to ask whether states can long endure having individual citizens </w:t>
      </w:r>
      <w:r w:rsidRPr="00EF76CF">
        <w:rPr>
          <w:rFonts w:eastAsia="Times New Roman"/>
          <w:i/>
          <w:iCs/>
          <w:szCs w:val="24"/>
        </w:rPr>
        <w:t xml:space="preserve">(idiolal) </w:t>
      </w:r>
      <w:r w:rsidRPr="00EF76CF">
        <w:rPr>
          <w:rFonts w:eastAsia="Times New Roman"/>
          <w:szCs w:val="24"/>
        </w:rPr>
        <w:t xml:space="preserve">disobeying the law, they </w:t>
      </w:r>
      <w:r w:rsidRPr="00EF76CF">
        <w:rPr>
          <w:rFonts w:eastAsia="Times New Roman"/>
          <w:sz w:val="22"/>
          <w:szCs w:val="22"/>
        </w:rPr>
        <w:t xml:space="preserve">give </w:t>
      </w:r>
      <w:r w:rsidRPr="00EF76CF">
        <w:rPr>
          <w:rFonts w:eastAsia="Times New Roman"/>
          <w:szCs w:val="24"/>
        </w:rPr>
        <w:t xml:space="preserve">expression to a concern about individual license that pervaded 5th century political life and philosophy.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2"/>
          <w:szCs w:val="22"/>
        </w:rPr>
        <w:t xml:space="preserve">3. </w:t>
      </w:r>
      <w:r w:rsidRPr="00EF76CF">
        <w:rPr>
          <w:rFonts w:eastAsia="Times New Roman"/>
          <w:szCs w:val="24"/>
        </w:rPr>
        <w:t xml:space="preserve">Human Nature- </w:t>
      </w:r>
      <w:r w:rsidRPr="00EF76CF">
        <w:rPr>
          <w:rFonts w:eastAsia="Times New Roman"/>
          <w:i/>
          <w:iCs/>
          <w:szCs w:val="24"/>
        </w:rPr>
        <w:t xml:space="preserve">ti estin anthropos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ascii="Helvetica" w:eastAsia="Times New Roman" w:hAnsi="Helvetica"/>
          <w:szCs w:val="24"/>
        </w:rPr>
        <w:t xml:space="preserve">It </w:t>
      </w:r>
      <w:r w:rsidRPr="00EF76CF">
        <w:rPr>
          <w:rFonts w:eastAsia="Times New Roman"/>
          <w:sz w:val="22"/>
          <w:szCs w:val="22"/>
        </w:rPr>
        <w:t xml:space="preserve">is </w:t>
      </w:r>
      <w:r w:rsidRPr="00EF76CF">
        <w:rPr>
          <w:rFonts w:eastAsia="Times New Roman"/>
          <w:szCs w:val="24"/>
        </w:rPr>
        <w:t xml:space="preserve">probably to the medical school of Hippocrates that </w:t>
      </w:r>
      <w:r w:rsidRPr="00EF76CF">
        <w:rPr>
          <w:rFonts w:eastAsia="Times New Roman"/>
          <w:sz w:val="22"/>
          <w:szCs w:val="22"/>
        </w:rPr>
        <w:t xml:space="preserve">we </w:t>
      </w:r>
      <w:r w:rsidRPr="00EF76CF">
        <w:rPr>
          <w:rFonts w:eastAsia="Times New Roman"/>
          <w:szCs w:val="24"/>
        </w:rPr>
        <w:t xml:space="preserve">are indebted for the idea of a human nature-the "what it </w:t>
      </w:r>
      <w:r w:rsidRPr="00EF76CF">
        <w:rPr>
          <w:rFonts w:eastAsia="Times New Roman"/>
          <w:sz w:val="22"/>
          <w:szCs w:val="22"/>
        </w:rPr>
        <w:t xml:space="preserve">is </w:t>
      </w:r>
      <w:r w:rsidRPr="00EF76CF">
        <w:rPr>
          <w:rFonts w:eastAsia="Times New Roman"/>
          <w:szCs w:val="24"/>
        </w:rPr>
        <w:t xml:space="preserve">to be a man" or </w:t>
      </w:r>
      <w:r w:rsidRPr="00EF76CF">
        <w:rPr>
          <w:rFonts w:eastAsia="Times New Roman"/>
          <w:i/>
          <w:iCs/>
          <w:szCs w:val="24"/>
        </w:rPr>
        <w:t xml:space="preserve">to ti estin an- thropos. </w:t>
      </w:r>
      <w:r w:rsidRPr="00EF76CF">
        <w:rPr>
          <w:rFonts w:eastAsia="Times New Roman"/>
          <w:szCs w:val="24"/>
        </w:rPr>
        <w:t xml:space="preserve">During the 5th century the idea appears in a variety of literary, "scien- tific," and philosophical settings, but the most famous </w:t>
      </w:r>
      <w:r w:rsidRPr="00EF76CF">
        <w:rPr>
          <w:rFonts w:eastAsia="Times New Roman"/>
          <w:sz w:val="22"/>
          <w:szCs w:val="22"/>
        </w:rPr>
        <w:t xml:space="preserve">is </w:t>
      </w:r>
      <w:r w:rsidRPr="00EF76CF">
        <w:rPr>
          <w:rFonts w:eastAsia="Times New Roman"/>
          <w:szCs w:val="24"/>
        </w:rPr>
        <w:t xml:space="preserve">probably Sophocles' hymn to man, a listing of distinctly human capacities and achievements </w:t>
      </w:r>
      <w:r w:rsidRPr="00EF76CF">
        <w:rPr>
          <w:rFonts w:eastAsia="Times New Roman"/>
          <w:i/>
          <w:iCs/>
          <w:szCs w:val="24"/>
        </w:rPr>
        <w:t xml:space="preserve">(An- tigone, </w:t>
      </w:r>
      <w:r w:rsidRPr="00EF76CF">
        <w:rPr>
          <w:rFonts w:eastAsia="Times New Roman"/>
          <w:szCs w:val="24"/>
        </w:rPr>
        <w:t xml:space="preserve">1330-65). In a small way, Oedipus' discovery of himself as the murderer of the king and the source of the pollution of Thebes </w:t>
      </w:r>
      <w:r w:rsidRPr="00EF76CF">
        <w:rPr>
          <w:rFonts w:eastAsia="Times New Roman"/>
          <w:sz w:val="22"/>
          <w:szCs w:val="22"/>
        </w:rPr>
        <w:t xml:space="preserve">is </w:t>
      </w:r>
      <w:r w:rsidRPr="00EF76CF">
        <w:rPr>
          <w:rFonts w:eastAsia="Times New Roman"/>
          <w:szCs w:val="24"/>
        </w:rPr>
        <w:t xml:space="preserve">a symbol of the inquir- ing subject becoming the object of inquiry. Protagoras offers his own historical anthropology, paralleling that of Sophocles (Plato'S </w:t>
      </w:r>
      <w:r w:rsidRPr="00EF76CF">
        <w:rPr>
          <w:rFonts w:eastAsia="Times New Roman"/>
          <w:i/>
          <w:iCs/>
          <w:szCs w:val="24"/>
        </w:rPr>
        <w:t xml:space="preserve">Protagoras </w:t>
      </w:r>
      <w:r w:rsidRPr="00EF76CF">
        <w:rPr>
          <w:rFonts w:eastAsia="Times New Roman"/>
          <w:szCs w:val="24"/>
        </w:rPr>
        <w:t xml:space="preserve">320-22), </w:t>
      </w:r>
      <w:r w:rsidRPr="00EF76CF">
        <w:rPr>
          <w:rFonts w:eastAsia="Times New Roman"/>
          <w:sz w:val="22"/>
          <w:szCs w:val="22"/>
        </w:rPr>
        <w:t xml:space="preserve">as </w:t>
      </w:r>
      <w:r w:rsidRPr="00EF76CF">
        <w:rPr>
          <w:rFonts w:eastAsia="Times New Roman"/>
          <w:szCs w:val="24"/>
        </w:rPr>
        <w:t xml:space="preserve">does Democritus, and there are discussions of human language, differing customs among men, the nature of custom and human laws, religious beliefs, etc. Thucydides' </w:t>
      </w:r>
      <w:r w:rsidRPr="00EF76CF">
        <w:rPr>
          <w:rFonts w:eastAsia="Times New Roman"/>
          <w:i/>
          <w:iCs/>
          <w:szCs w:val="24"/>
        </w:rPr>
        <w:t xml:space="preserve">History </w:t>
      </w:r>
      <w:r w:rsidRPr="00EF76CF">
        <w:rPr>
          <w:rFonts w:eastAsia="Times New Roman"/>
          <w:szCs w:val="24"/>
        </w:rPr>
        <w:t xml:space="preserve">reveals the same outlook in analyzing the war between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A THENS 207 </w:t>
      </w:r>
    </w:p>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lastRenderedPageBreak/>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"/var/folders/l7/cvyhkg5d131g980jpvyd86m00000gn/T/com.microsoft.Word/WebArchiveCopyPasteTempFiles/page6image1339876208"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4813300" cy="7783195"/>
            <wp:effectExtent l="0" t="0" r="0" b="1905"/>
            <wp:docPr id="3" name="Picture 3" descr="page6image133987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13398762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300" cy="7783195"/>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208 </w:t>
      </w:r>
      <w:r w:rsidRPr="00EF76CF">
        <w:rPr>
          <w:rFonts w:eastAsia="Times New Roman"/>
          <w:sz w:val="18"/>
          <w:szCs w:val="18"/>
        </w:rPr>
        <w:t xml:space="preserve">J. </w:t>
      </w:r>
      <w:r w:rsidRPr="00EF76CF">
        <w:rPr>
          <w:rFonts w:eastAsia="Times New Roman"/>
          <w:sz w:val="20"/>
        </w:rPr>
        <w:t xml:space="preserve">H. LESHER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lastRenderedPageBreak/>
        <w:t xml:space="preserve">Athens and Sparta in terms of the forces that make up human nature </w:t>
      </w:r>
      <w:r w:rsidRPr="00EF76CF">
        <w:rPr>
          <w:rFonts w:eastAsia="Times New Roman"/>
          <w:i/>
          <w:iCs/>
          <w:szCs w:val="24"/>
        </w:rPr>
        <w:t xml:space="preserve">(to </w:t>
      </w:r>
      <w:r w:rsidRPr="00EF76CF">
        <w:rPr>
          <w:rFonts w:eastAsia="Times New Roman"/>
          <w:i/>
          <w:iCs/>
          <w:sz w:val="22"/>
          <w:szCs w:val="22"/>
        </w:rPr>
        <w:t xml:space="preserve">an- </w:t>
      </w:r>
      <w:r w:rsidRPr="00EF76CF">
        <w:rPr>
          <w:rFonts w:eastAsia="Times New Roman"/>
          <w:i/>
          <w:iCs/>
          <w:szCs w:val="24"/>
        </w:rPr>
        <w:t xml:space="preserve">thropinon </w:t>
      </w:r>
      <w:r w:rsidRPr="00EF76CF">
        <w:rPr>
          <w:rFonts w:eastAsia="Times New Roman"/>
          <w:szCs w:val="24"/>
        </w:rPr>
        <w:t xml:space="preserve">or </w:t>
      </w:r>
      <w:r w:rsidRPr="00EF76CF">
        <w:rPr>
          <w:rFonts w:eastAsia="Times New Roman"/>
          <w:i/>
          <w:iCs/>
          <w:szCs w:val="24"/>
        </w:rPr>
        <w:t>anthropeia physis)</w:t>
      </w:r>
      <w:r w:rsidRPr="00EF76CF">
        <w:rPr>
          <w:rFonts w:eastAsia="Times New Roman"/>
          <w:szCs w:val="24"/>
        </w:rPr>
        <w:t xml:space="preserve">, basically a set of desires (for security, or </w:t>
      </w:r>
      <w:r w:rsidRPr="00EF76CF">
        <w:rPr>
          <w:rFonts w:eastAsia="Times New Roman"/>
          <w:sz w:val="22"/>
          <w:szCs w:val="22"/>
        </w:rPr>
        <w:t xml:space="preserve">ex- </w:t>
      </w:r>
      <w:r w:rsidRPr="00EF76CF">
        <w:rPr>
          <w:rFonts w:eastAsia="Times New Roman"/>
          <w:szCs w:val="24"/>
        </w:rPr>
        <w:t xml:space="preserve">pansion, or patriotic zeal) which when tempered by rational prudence can lead to greatness, or, when allowed to revert to the 'graspingness' </w:t>
      </w:r>
      <w:r w:rsidRPr="00EF76CF">
        <w:rPr>
          <w:rFonts w:eastAsia="Times New Roman"/>
          <w:i/>
          <w:iCs/>
          <w:szCs w:val="24"/>
        </w:rPr>
        <w:t xml:space="preserve">(pleonexia) </w:t>
      </w:r>
      <w:r w:rsidRPr="00EF76CF">
        <w:rPr>
          <w:rFonts w:eastAsia="Times New Roman"/>
          <w:szCs w:val="24"/>
        </w:rPr>
        <w:t xml:space="preserve">of Pericles' successors, to disaster. When therefore Plato sets out an account of justice proper as only analogous to external behavior, and really a matter of the inward self and of harmonious relations between reason and the passions, and injustice </w:t>
      </w:r>
      <w:r w:rsidRPr="00EF76CF">
        <w:rPr>
          <w:rFonts w:eastAsia="Times New Roman"/>
          <w:i/>
          <w:iCs/>
          <w:szCs w:val="24"/>
        </w:rPr>
        <w:t xml:space="preserve">(pleonexia) </w:t>
      </w:r>
      <w:r w:rsidRPr="00EF76CF">
        <w:rPr>
          <w:rFonts w:eastAsia="Times New Roman"/>
          <w:szCs w:val="24"/>
        </w:rPr>
        <w:t xml:space="preserve">as psychic disharmony, he </w:t>
      </w:r>
      <w:r w:rsidRPr="00EF76CF">
        <w:rPr>
          <w:rFonts w:eastAsia="Times New Roman"/>
          <w:sz w:val="22"/>
          <w:szCs w:val="22"/>
        </w:rPr>
        <w:t xml:space="preserve">is </w:t>
      </w:r>
      <w:r w:rsidRPr="00EF76CF">
        <w:rPr>
          <w:rFonts w:eastAsia="Times New Roman"/>
          <w:szCs w:val="24"/>
        </w:rPr>
        <w:t xml:space="preserve">following Thucydides' lead: both proper and improper conduct are explainable by reference to the basic forces that make up human nature. Socrates was probably the first to identify the </w:t>
      </w:r>
      <w:r w:rsidRPr="00EF76CF">
        <w:rPr>
          <w:rFonts w:eastAsia="Times New Roman"/>
          <w:i/>
          <w:iCs/>
          <w:szCs w:val="24"/>
        </w:rPr>
        <w:t xml:space="preserve">psyche </w:t>
      </w:r>
      <w:r w:rsidRPr="00EF76CF">
        <w:rPr>
          <w:rFonts w:eastAsia="Times New Roman"/>
          <w:szCs w:val="24"/>
        </w:rPr>
        <w:t xml:space="preserve">as the person (rather than as something in the person) but in accounting for virtue and vice in terms of the set of capacities within the in- dividual person, his approach reflects a prevalent 5th century idea.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4. Cross-Fertilization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The causes of Athens' rise to prominence as a center of art and ideas are no doubt many and various: political stability resulting from military victories at Marathon and Salamis, the need to rebuild the city after the Persian wars, pros- perity gained through dominance of the Delian league and the tribute of her allies, the cultural initiatives of Pericles bringing Pheideas and Anaxagoras to Athens, a nurturing religious tradition that inspired temple shrines and theatrical festivals, a climate favoring community gatherings in the city's open spaces, a large population of slaves to deal with menial tasks, civic fraternities where Athenian aristrocrats could enjoy new poems and drinking cups commis- sioned for the occasion. Yet philosophical creativity does not always accom- pany political supremacy and economic prosperity. Apart from several Ionian cities (in which philosophers were sometimes outcasts), other flourishing Greek cities had failed to produce similar results.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One interesting possibility </w:t>
      </w:r>
      <w:r w:rsidRPr="00EF76CF">
        <w:rPr>
          <w:rFonts w:eastAsia="Times New Roman"/>
          <w:sz w:val="22"/>
          <w:szCs w:val="22"/>
        </w:rPr>
        <w:t xml:space="preserve">is </w:t>
      </w:r>
      <w:r w:rsidRPr="00EF76CF">
        <w:rPr>
          <w:rFonts w:eastAsia="Times New Roman"/>
          <w:szCs w:val="24"/>
        </w:rPr>
        <w:t xml:space="preserve">that the emergence of Athens as a center of philosophical activity </w:t>
      </w:r>
      <w:r w:rsidRPr="00EF76CF">
        <w:rPr>
          <w:rFonts w:eastAsia="Times New Roman"/>
          <w:sz w:val="22"/>
          <w:szCs w:val="22"/>
        </w:rPr>
        <w:t xml:space="preserve">is </w:t>
      </w:r>
      <w:r w:rsidRPr="00EF76CF">
        <w:rPr>
          <w:rFonts w:eastAsia="Times New Roman"/>
          <w:szCs w:val="24"/>
        </w:rPr>
        <w:t xml:space="preserve">due in part to the same phenomenon that has been observed repeatedly in later scientific discoveries, a cross-fertilization of ideas, or (after Koestler) "bi-sociation," i.e., the treatment of a particular subject or difficulty in the terms, methods, and objectives of a pre-existing but previously unrelated discipline or domain. Something of this sort appears to have played a part in the very beginnings of natural philosophy in Ionia early in the 6th cen- tury. In an ironic way, the discovery of nature as an autonomous domain, i.e., literally "obedient to its own law" was made possible by the utilization of social and legal concepts (equality, retributive, distributive, and commercial justice, law and order, succession of office) in order to express the idea of nature as an ordered cosmos. In 5th century Athens there are many examples of similar adaptation and bi-sociation, but two of them are especially clear: Thucydides' achievement of a critical history, and Democritus' atomism.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Thycydides' description in Book I of the objectives of his account - to set out the symptoms of the dispute between Athens and Sparta </w:t>
      </w:r>
      <w:r w:rsidRPr="00EF76CF">
        <w:rPr>
          <w:rFonts w:eastAsia="Times New Roman"/>
          <w:sz w:val="22"/>
          <w:szCs w:val="22"/>
        </w:rPr>
        <w:t xml:space="preserve">so </w:t>
      </w:r>
      <w:r w:rsidRPr="00EF76CF">
        <w:rPr>
          <w:rFonts w:eastAsia="Times New Roman"/>
          <w:szCs w:val="24"/>
        </w:rPr>
        <w:t xml:space="preserve">that similar out- breaks may be recognized in the future - </w:t>
      </w:r>
      <w:r w:rsidRPr="00EF76CF">
        <w:rPr>
          <w:rFonts w:eastAsia="Times New Roman"/>
          <w:sz w:val="22"/>
          <w:szCs w:val="22"/>
        </w:rPr>
        <w:t xml:space="preserve">is </w:t>
      </w:r>
      <w:r w:rsidRPr="00EF76CF">
        <w:rPr>
          <w:rFonts w:eastAsia="Times New Roman"/>
          <w:szCs w:val="24"/>
        </w:rPr>
        <w:t xml:space="preserve">a clear sign of his intellectual af- </w:t>
      </w:r>
    </w:p>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lastRenderedPageBreak/>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"/var/folders/l7/cvyhkg5d131g980jpvyd86m00000gn/T/com.microsoft.Word/WebArchiveCopyPasteTempFiles/page7image1342127600"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4784090" cy="7783195"/>
            <wp:effectExtent l="0" t="0" r="3810" b="1905"/>
            <wp:docPr id="2" name="Picture 2" descr="page7image134212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1342127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090" cy="7783195"/>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lastRenderedPageBreak/>
        <w:t xml:space="preserve">finities with the medical schools. </w:t>
      </w:r>
      <w:r w:rsidRPr="00EF76CF">
        <w:rPr>
          <w:rFonts w:ascii="Helvetica" w:eastAsia="Times New Roman" w:hAnsi="Helvetica"/>
          <w:szCs w:val="24"/>
        </w:rPr>
        <w:t xml:space="preserve">It </w:t>
      </w:r>
      <w:r w:rsidRPr="00EF76CF">
        <w:rPr>
          <w:rFonts w:eastAsia="Times New Roman"/>
          <w:sz w:val="22"/>
          <w:szCs w:val="22"/>
        </w:rPr>
        <w:t xml:space="preserve">is </w:t>
      </w:r>
      <w:r w:rsidRPr="00EF76CF">
        <w:rPr>
          <w:rFonts w:eastAsia="Times New Roman"/>
          <w:szCs w:val="24"/>
        </w:rPr>
        <w:t xml:space="preserve">evident also in the use of the medical term </w:t>
      </w:r>
      <w:r w:rsidRPr="00EF76CF">
        <w:rPr>
          <w:rFonts w:eastAsia="Times New Roman"/>
          <w:i/>
          <w:iCs/>
          <w:szCs w:val="24"/>
        </w:rPr>
        <w:t xml:space="preserve">prophasias </w:t>
      </w:r>
      <w:r w:rsidRPr="00EF76CF">
        <w:rPr>
          <w:rFonts w:eastAsia="Times New Roman"/>
          <w:szCs w:val="24"/>
        </w:rPr>
        <w:t xml:space="preserve">for the inciting cause, and in the careful description of the effects of the plague. While the doctors explained disease by reference to various </w:t>
      </w:r>
      <w:r w:rsidRPr="00EF76CF">
        <w:rPr>
          <w:rFonts w:eastAsia="Times New Roman"/>
          <w:i/>
          <w:iCs/>
          <w:szCs w:val="24"/>
        </w:rPr>
        <w:t xml:space="preserve">dynameis </w:t>
      </w:r>
      <w:r w:rsidRPr="00EF76CF">
        <w:rPr>
          <w:rFonts w:eastAsia="Times New Roman"/>
          <w:szCs w:val="24"/>
        </w:rPr>
        <w:t xml:space="preserve">of the body (fluids, structure, dietary capacities) Thucydides con- structs a parallel set of human emotional </w:t>
      </w:r>
      <w:r w:rsidRPr="00EF76CF">
        <w:rPr>
          <w:rFonts w:eastAsia="Times New Roman"/>
          <w:i/>
          <w:iCs/>
          <w:szCs w:val="24"/>
        </w:rPr>
        <w:t xml:space="preserve">dynameis </w:t>
      </w:r>
      <w:r w:rsidRPr="00EF76CF">
        <w:rPr>
          <w:rFonts w:eastAsia="Times New Roman"/>
          <w:szCs w:val="24"/>
        </w:rPr>
        <w:t xml:space="preserve">(the emotions of fear, a desire for power, self-advantage) that collectively constitute a human nature leading to </w:t>
      </w:r>
      <w:r w:rsidRPr="00EF76CF">
        <w:rPr>
          <w:rFonts w:eastAsia="Times New Roman"/>
          <w:i/>
          <w:iCs/>
          <w:szCs w:val="24"/>
        </w:rPr>
        <w:t xml:space="preserve">stasis-civil </w:t>
      </w:r>
      <w:r w:rsidRPr="00EF76CF">
        <w:rPr>
          <w:rFonts w:eastAsia="Times New Roman"/>
          <w:szCs w:val="24"/>
        </w:rPr>
        <w:t xml:space="preserve">strife-and war. For Thucydides, history </w:t>
      </w:r>
      <w:r w:rsidRPr="00EF76CF">
        <w:rPr>
          <w:rFonts w:eastAsia="Times New Roman"/>
          <w:sz w:val="22"/>
          <w:szCs w:val="22"/>
        </w:rPr>
        <w:t xml:space="preserve">is </w:t>
      </w:r>
      <w:r w:rsidRPr="00EF76CF">
        <w:rPr>
          <w:rFonts w:eastAsia="Times New Roman"/>
          <w:szCs w:val="24"/>
        </w:rPr>
        <w:t xml:space="preserve">political medicine: its object </w:t>
      </w:r>
      <w:r w:rsidRPr="00EF76CF">
        <w:rPr>
          <w:rFonts w:eastAsia="Times New Roman"/>
          <w:sz w:val="22"/>
          <w:szCs w:val="22"/>
        </w:rPr>
        <w:t xml:space="preserve">is </w:t>
      </w:r>
      <w:r w:rsidRPr="00EF76CF">
        <w:rPr>
          <w:rFonts w:eastAsia="Times New Roman"/>
          <w:szCs w:val="24"/>
        </w:rPr>
        <w:t xml:space="preserve">the "body politic" and its methods imitate the symp- tomatology, diagnosis, prognosis, and preventive therapy of the school of Hip- pocrates.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At the same time, Thucydides' approach shows the influence of the Sophists, both in the use of the double speeches (e.g., the Mitylene debate in Book III) paralleling the </w:t>
      </w:r>
      <w:r w:rsidRPr="00EF76CF">
        <w:rPr>
          <w:rFonts w:eastAsia="Times New Roman"/>
          <w:i/>
          <w:iCs/>
          <w:szCs w:val="24"/>
        </w:rPr>
        <w:t xml:space="preserve">Antilogies </w:t>
      </w:r>
      <w:r w:rsidRPr="00EF76CF">
        <w:rPr>
          <w:rFonts w:eastAsia="Times New Roman"/>
          <w:szCs w:val="24"/>
        </w:rPr>
        <w:t xml:space="preserve">and </w:t>
      </w:r>
      <w:r w:rsidRPr="00EF76CF">
        <w:rPr>
          <w:rFonts w:eastAsia="Times New Roman"/>
          <w:i/>
          <w:iCs/>
          <w:szCs w:val="24"/>
        </w:rPr>
        <w:t xml:space="preserve">Dissoi Logoi, </w:t>
      </w:r>
      <w:r w:rsidRPr="00EF76CF">
        <w:rPr>
          <w:rFonts w:eastAsia="Times New Roman"/>
          <w:szCs w:val="24"/>
        </w:rPr>
        <w:t xml:space="preserve">and the adoption of "probability," "advantage," and "human nature" as critical principles for the tests of accuracy </w:t>
      </w:r>
      <w:r w:rsidRPr="00EF76CF">
        <w:rPr>
          <w:rFonts w:eastAsia="Times New Roman"/>
          <w:i/>
          <w:iCs/>
          <w:szCs w:val="24"/>
        </w:rPr>
        <w:t xml:space="preserve">(akribeia). </w:t>
      </w:r>
      <w:r w:rsidRPr="00EF76CF">
        <w:rPr>
          <w:rFonts w:eastAsia="Times New Roman"/>
          <w:szCs w:val="24"/>
        </w:rPr>
        <w:t xml:space="preserve">There </w:t>
      </w:r>
      <w:r w:rsidRPr="00EF76CF">
        <w:rPr>
          <w:rFonts w:eastAsia="Times New Roman"/>
          <w:sz w:val="22"/>
          <w:szCs w:val="22"/>
        </w:rPr>
        <w:t xml:space="preserve">is </w:t>
      </w:r>
      <w:r w:rsidRPr="00EF76CF">
        <w:rPr>
          <w:rFonts w:eastAsia="Times New Roman"/>
          <w:szCs w:val="24"/>
        </w:rPr>
        <w:t xml:space="preserve">also an element of tragedy in the depiction of Athens' decline, involving both elements of human weakness and the irra- tionality of events (most prominently the plague which devastated Athens crowded with refugees from outlying regions). The end result, an account of the war based on rigorous application of tests for credibility, incorporating the most up-to-date approaches to argument and interpretation of fact, vindicates Thucydides' claim to have surpassed the exaggerated accounts of the poets and the pleasantries of early chroniclers.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The atomism of Leucippus and Democritus provides a more centrally philosophical example of the adaptation of existing ideas to a new purpose. The idea of the true reality as solid, ungenerated, indestructible, and without parts, </w:t>
      </w:r>
      <w:r w:rsidRPr="00EF76CF">
        <w:rPr>
          <w:rFonts w:eastAsia="Times New Roman"/>
          <w:sz w:val="22"/>
          <w:szCs w:val="22"/>
        </w:rPr>
        <w:t xml:space="preserve">is </w:t>
      </w:r>
      <w:r w:rsidRPr="00EF76CF">
        <w:rPr>
          <w:rFonts w:eastAsia="Times New Roman"/>
          <w:szCs w:val="24"/>
        </w:rPr>
        <w:t xml:space="preserve">of course not original with the atomists; as Barnes puts it, the first atoms came from Elea. Democritus shows his Ionian allegiance in opting for a single material substance, and the creation of worlds by a separation out from an original vortex (following Anaximander and Anaxagoras) as he does in affirm- ing a scepticism (no real knowledge about anything, only belief for each group of men) on the model of Xenophanes' Fr. </w:t>
      </w:r>
      <w:r w:rsidRPr="00EF76CF">
        <w:rPr>
          <w:rFonts w:eastAsia="Times New Roman"/>
          <w:sz w:val="22"/>
          <w:szCs w:val="22"/>
        </w:rPr>
        <w:t xml:space="preserve">34 </w:t>
      </w:r>
      <w:r w:rsidRPr="00EF76CF">
        <w:rPr>
          <w:rFonts w:eastAsia="Times New Roman"/>
          <w:sz w:val="20"/>
        </w:rPr>
        <w:t>(u</w:t>
      </w:r>
      <w:r w:rsidRPr="00EF76CF">
        <w:rPr>
          <w:rFonts w:eastAsia="Times New Roman"/>
          <w:sz w:val="22"/>
          <w:szCs w:val="22"/>
        </w:rPr>
        <w:t>•..</w:t>
      </w:r>
      <w:r w:rsidRPr="00EF76CF">
        <w:rPr>
          <w:rFonts w:eastAsia="Times New Roman"/>
          <w:szCs w:val="24"/>
        </w:rPr>
        <w:t xml:space="preserve">still one does not know, but belief </w:t>
      </w:r>
      <w:r w:rsidRPr="00EF76CF">
        <w:rPr>
          <w:rFonts w:eastAsia="Times New Roman"/>
          <w:sz w:val="22"/>
          <w:szCs w:val="22"/>
        </w:rPr>
        <w:t xml:space="preserve">is </w:t>
      </w:r>
      <w:r w:rsidRPr="00EF76CF">
        <w:rPr>
          <w:rFonts w:eastAsia="Times New Roman"/>
          <w:szCs w:val="24"/>
        </w:rPr>
        <w:t xml:space="preserve">allotted to all men"). In pointing out the broader implications of the atomistic view, Democritus adopts the 5th century ethical contrast of nature and custom </w:t>
      </w:r>
      <w:r w:rsidRPr="00EF76CF">
        <w:rPr>
          <w:rFonts w:eastAsia="Times New Roman"/>
          <w:i/>
          <w:iCs/>
          <w:szCs w:val="24"/>
        </w:rPr>
        <w:t xml:space="preserve">(physis/nomos) </w:t>
      </w:r>
      <w:r w:rsidRPr="00EF76CF">
        <w:rPr>
          <w:rFonts w:eastAsia="Times New Roman"/>
          <w:szCs w:val="24"/>
        </w:rPr>
        <w:t xml:space="preserve">to distinguish a set of properties intrinsic to the atoms from those that are mind-dependent. In describing the basic forces at work in the universe, Democritus and Leucippus appeal to a relentless necessi- ty, </w:t>
      </w:r>
      <w:r w:rsidRPr="00EF76CF">
        <w:rPr>
          <w:rFonts w:eastAsia="Times New Roman"/>
          <w:i/>
          <w:iCs/>
          <w:szCs w:val="24"/>
        </w:rPr>
        <w:t xml:space="preserve">ananke, </w:t>
      </w:r>
      <w:r w:rsidRPr="00EF76CF">
        <w:rPr>
          <w:rFonts w:eastAsia="Times New Roman"/>
          <w:szCs w:val="24"/>
        </w:rPr>
        <w:t xml:space="preserve">familiar already as the 'Justice' </w:t>
      </w:r>
      <w:r w:rsidRPr="00EF76CF">
        <w:rPr>
          <w:rFonts w:eastAsia="Times New Roman"/>
          <w:i/>
          <w:iCs/>
          <w:szCs w:val="24"/>
        </w:rPr>
        <w:t xml:space="preserve">(Dike) </w:t>
      </w:r>
      <w:r w:rsidRPr="00EF76CF">
        <w:rPr>
          <w:rFonts w:eastAsia="Times New Roman"/>
          <w:szCs w:val="24"/>
        </w:rPr>
        <w:t xml:space="preserve">of Parmenides which fetters the One, and the 'bond' of Hesiod which confined the devious and shifty Pro- metheus. The atomists' theory </w:t>
      </w:r>
      <w:r w:rsidRPr="00EF76CF">
        <w:rPr>
          <w:rFonts w:eastAsia="Times New Roman"/>
          <w:sz w:val="22"/>
          <w:szCs w:val="22"/>
        </w:rPr>
        <w:t xml:space="preserve">is </w:t>
      </w:r>
      <w:r w:rsidRPr="00EF76CF">
        <w:rPr>
          <w:rFonts w:eastAsia="Times New Roman"/>
          <w:szCs w:val="24"/>
        </w:rPr>
        <w:t xml:space="preserve">not simply an eclectic melange of ideas, but it is the utilization of pre-existing materials into an original synthesis.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Thucydides' </w:t>
      </w:r>
      <w:r w:rsidRPr="00EF76CF">
        <w:rPr>
          <w:rFonts w:eastAsia="Times New Roman"/>
          <w:i/>
          <w:iCs/>
          <w:szCs w:val="24"/>
        </w:rPr>
        <w:t xml:space="preserve">History </w:t>
      </w:r>
      <w:r w:rsidRPr="00EF76CF">
        <w:rPr>
          <w:rFonts w:eastAsia="Times New Roman"/>
          <w:szCs w:val="24"/>
        </w:rPr>
        <w:t xml:space="preserve">and Democritus' atomism are only two examples, but </w:t>
      </w:r>
      <w:r w:rsidRPr="00EF76CF">
        <w:rPr>
          <w:rFonts w:eastAsia="Times New Roman"/>
          <w:sz w:val="22"/>
          <w:szCs w:val="22"/>
        </w:rPr>
        <w:t xml:space="preserve">we </w:t>
      </w:r>
      <w:r w:rsidRPr="00EF76CF">
        <w:rPr>
          <w:rFonts w:eastAsia="Times New Roman"/>
          <w:szCs w:val="24"/>
        </w:rPr>
        <w:t xml:space="preserve">have already made implicit reference to a variety of non-Athenian sources: the medical doctrines from the schools at Cos and Cnidos, the sophists from Sicily, Thrace, Ceos in the Aegean, Elis in the Peloponnese, and the older Io- nian ideas from Colophon, Clazomenae, and Miletus. </w:t>
      </w:r>
      <w:r w:rsidRPr="00EF76CF">
        <w:rPr>
          <w:rFonts w:ascii="Helvetica" w:eastAsia="Times New Roman" w:hAnsi="Helvetica"/>
          <w:szCs w:val="24"/>
        </w:rPr>
        <w:t xml:space="preserve">It </w:t>
      </w:r>
      <w:r w:rsidRPr="00EF76CF">
        <w:rPr>
          <w:rFonts w:eastAsia="Times New Roman"/>
          <w:sz w:val="22"/>
          <w:szCs w:val="22"/>
        </w:rPr>
        <w:t xml:space="preserve">is </w:t>
      </w:r>
      <w:r w:rsidRPr="00EF76CF">
        <w:rPr>
          <w:rFonts w:eastAsia="Times New Roman"/>
          <w:szCs w:val="24"/>
        </w:rPr>
        <w:t xml:space="preserve">therefore difficult to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18"/>
          <w:szCs w:val="18"/>
        </w:rPr>
        <w:t xml:space="preserve">A THENS 209 </w:t>
      </w:r>
    </w:p>
    <w:p w:rsidR="00EF76CF" w:rsidRPr="00EF76CF" w:rsidRDefault="00EF76CF" w:rsidP="00EF76CF">
      <w:pPr>
        <w:rPr>
          <w:rFonts w:ascii="Times New Roman" w:eastAsia="Times New Roman" w:hAnsi="Times New Roman"/>
          <w:szCs w:val="24"/>
        </w:rPr>
      </w:pPr>
      <w:r w:rsidRPr="00EF76CF">
        <w:rPr>
          <w:rFonts w:ascii="Times New Roman" w:eastAsia="Times New Roman" w:hAnsi="Times New Roman"/>
          <w:szCs w:val="24"/>
        </w:rPr>
        <w:lastRenderedPageBreak/>
        <w:fldChar w:fldCharType="begin"/>
      </w:r>
      <w:r w:rsidRPr="00EF76CF">
        <w:rPr>
          <w:rFonts w:ascii="Times New Roman" w:eastAsia="Times New Roman" w:hAnsi="Times New Roman"/>
          <w:szCs w:val="24"/>
        </w:rPr>
        <w:instrText xml:space="preserve"> INCLUDEPICTURE "/var/folders/l7/cvyhkg5d131g980jpvyd86m00000gn/T/com.microsoft.Word/WebArchiveCopyPasteTempFiles/page8image1342092528" \* MERGEFORMATINET </w:instrText>
      </w:r>
      <w:r w:rsidRPr="00EF76CF">
        <w:rPr>
          <w:rFonts w:ascii="Times New Roman" w:eastAsia="Times New Roman" w:hAnsi="Times New Roman"/>
          <w:szCs w:val="24"/>
        </w:rPr>
        <w:fldChar w:fldCharType="separate"/>
      </w:r>
      <w:r w:rsidRPr="00EF76CF">
        <w:rPr>
          <w:rFonts w:ascii="Times New Roman" w:eastAsia="Times New Roman" w:hAnsi="Times New Roman"/>
          <w:noProof/>
          <w:szCs w:val="24"/>
        </w:rPr>
        <w:drawing>
          <wp:inline distT="0" distB="0" distL="0" distR="0">
            <wp:extent cx="4813300" cy="6473825"/>
            <wp:effectExtent l="0" t="0" r="0" b="3175"/>
            <wp:docPr id="1" name="Picture 1" descr="page8image13420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8image13420925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3300" cy="6473825"/>
                    </a:xfrm>
                    <a:prstGeom prst="rect">
                      <a:avLst/>
                    </a:prstGeom>
                    <a:noFill/>
                    <a:ln>
                      <a:noFill/>
                    </a:ln>
                  </pic:spPr>
                </pic:pic>
              </a:graphicData>
            </a:graphic>
          </wp:inline>
        </w:drawing>
      </w:r>
      <w:r w:rsidRPr="00EF76CF">
        <w:rPr>
          <w:rFonts w:ascii="Times New Roman" w:eastAsia="Times New Roman" w:hAnsi="Times New Roman"/>
          <w:szCs w:val="24"/>
        </w:rPr>
        <w:fldChar w:fldCharType="end"/>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210 </w:t>
      </w:r>
      <w:r w:rsidRPr="00EF76CF">
        <w:rPr>
          <w:rFonts w:eastAsia="Times New Roman"/>
          <w:sz w:val="18"/>
          <w:szCs w:val="18"/>
        </w:rPr>
        <w:t xml:space="preserve">J. </w:t>
      </w:r>
      <w:r w:rsidRPr="00EF76CF">
        <w:rPr>
          <w:rFonts w:eastAsia="Times New Roman"/>
          <w:sz w:val="20"/>
        </w:rPr>
        <w:t xml:space="preserve">H. LESHER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assess the achievements of classical Athens without recognizing that what </w:t>
      </w:r>
      <w:r w:rsidRPr="00EF76CF">
        <w:rPr>
          <w:rFonts w:eastAsia="Times New Roman"/>
          <w:sz w:val="22"/>
          <w:szCs w:val="22"/>
        </w:rPr>
        <w:t xml:space="preserve">is </w:t>
      </w:r>
      <w:r w:rsidRPr="00EF76CF">
        <w:rPr>
          <w:rFonts w:eastAsia="Times New Roman"/>
          <w:szCs w:val="24"/>
        </w:rPr>
        <w:t xml:space="preserve">counted as original creation </w:t>
      </w:r>
      <w:r w:rsidRPr="00EF76CF">
        <w:rPr>
          <w:rFonts w:eastAsia="Times New Roman"/>
          <w:sz w:val="22"/>
          <w:szCs w:val="22"/>
        </w:rPr>
        <w:t xml:space="preserve">is </w:t>
      </w:r>
      <w:r w:rsidRPr="00EF76CF">
        <w:rPr>
          <w:rFonts w:eastAsia="Times New Roman"/>
          <w:szCs w:val="24"/>
        </w:rPr>
        <w:t>frequently (as Anaxagoras would have put it) composition from pre-existing materials. Athens was the natural place for creative work, at least in part because, like Miletus a century earlier, it had become a cross-roads for contact and exchange; as Pericles boasted, "...</w:t>
      </w:r>
      <w:r w:rsidRPr="00EF76CF">
        <w:rPr>
          <w:rFonts w:eastAsia="Times New Roman"/>
          <w:sz w:val="22"/>
          <w:szCs w:val="22"/>
        </w:rPr>
        <w:t xml:space="preserve">we </w:t>
      </w:r>
      <w:r w:rsidRPr="00EF76CF">
        <w:rPr>
          <w:rFonts w:eastAsia="Times New Roman"/>
          <w:szCs w:val="24"/>
        </w:rPr>
        <w:t xml:space="preserve">throw our city open to the world."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t xml:space="preserve">III. </w:t>
      </w:r>
      <w:r w:rsidRPr="00EF76CF">
        <w:rPr>
          <w:rFonts w:eastAsia="Times New Roman"/>
          <w:i/>
          <w:iCs/>
          <w:szCs w:val="24"/>
        </w:rPr>
        <w:t xml:space="preserve">Conclusion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Cs w:val="24"/>
        </w:rPr>
        <w:lastRenderedPageBreak/>
        <w:t xml:space="preserve">I would not claim that these four themes are essential to every useful course on 5th century Athens. They do serve to unify large amounts of material, and place philosophizing in the larger social and cultural context. I would also not claim that only through a team-taught course can such material be usefully con- veyed to the students; Guthrie and Jaeger probably taught similar courses single-handedly and Gregory Vlastos still can. For us non-Olympians however, a collaborative approach seems most practical, utilizing the skills and subject knowledge of individuals from several different disciplines. </w:t>
      </w:r>
      <w:r w:rsidRPr="00EF76CF">
        <w:rPr>
          <w:rFonts w:ascii="Helvetica" w:eastAsia="Times New Roman" w:hAnsi="Helvetica"/>
          <w:sz w:val="26"/>
          <w:szCs w:val="26"/>
        </w:rPr>
        <w:t xml:space="preserve">If </w:t>
      </w:r>
      <w:r w:rsidRPr="00EF76CF">
        <w:rPr>
          <w:rFonts w:eastAsia="Times New Roman"/>
          <w:szCs w:val="24"/>
        </w:rPr>
        <w:t xml:space="preserve">on occasion they help us to see familiar material in a new way, then such courses, for all their in- efficiencies, are worth the effort.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Notes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1. "Art, Ideas, and Power in 5th Century Athens" taught at the University </w:t>
      </w:r>
      <w:r w:rsidRPr="00EF76CF">
        <w:rPr>
          <w:rFonts w:eastAsia="Times New Roman"/>
          <w:sz w:val="22"/>
          <w:szCs w:val="22"/>
        </w:rPr>
        <w:t xml:space="preserve">of </w:t>
      </w:r>
      <w:r w:rsidRPr="00EF76CF">
        <w:rPr>
          <w:rFonts w:eastAsia="Times New Roman"/>
          <w:sz w:val="20"/>
        </w:rPr>
        <w:t xml:space="preserve">Maryland, College Park (Spring, 1981). I herewith gratefully acknowledge the cooperation </w:t>
      </w:r>
      <w:r w:rsidRPr="00EF76CF">
        <w:rPr>
          <w:rFonts w:eastAsia="Times New Roman"/>
          <w:sz w:val="22"/>
          <w:szCs w:val="22"/>
        </w:rPr>
        <w:t xml:space="preserve">of </w:t>
      </w:r>
      <w:r w:rsidRPr="00EF76CF">
        <w:rPr>
          <w:rFonts w:eastAsia="Times New Roman"/>
          <w:sz w:val="20"/>
        </w:rPr>
        <w:t xml:space="preserve">my friends and able colleagues, Elizabeth Pemberton (Art) and Ken- neth Holum (History). Our course was cross-listed in Classics, History, Art History, and Philosophy, at the junior-senior level, and enrolled 38 students.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2. There were two additional guest lecturers: Bernard Knox, Director </w:t>
      </w:r>
      <w:r w:rsidRPr="00EF76CF">
        <w:rPr>
          <w:rFonts w:eastAsia="Times New Roman"/>
          <w:sz w:val="22"/>
          <w:szCs w:val="22"/>
        </w:rPr>
        <w:t xml:space="preserve">of </w:t>
      </w:r>
      <w:r w:rsidRPr="00EF76CF">
        <w:rPr>
          <w:rFonts w:eastAsia="Times New Roman"/>
          <w:sz w:val="20"/>
        </w:rPr>
        <w:t xml:space="preserve">the Center for Hellenic Studies, and Richard Kraut (Illinois at Chicago Circle, Fellow </w:t>
      </w:r>
      <w:r w:rsidRPr="00EF76CF">
        <w:rPr>
          <w:rFonts w:eastAsia="Times New Roman"/>
          <w:sz w:val="22"/>
          <w:szCs w:val="22"/>
        </w:rPr>
        <w:t xml:space="preserve">of </w:t>
      </w:r>
      <w:r w:rsidRPr="00EF76CF">
        <w:rPr>
          <w:rFonts w:eastAsia="Times New Roman"/>
          <w:sz w:val="20"/>
        </w:rPr>
        <w:t xml:space="preserve">the Center for Hellenic Studies, 1980-81).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sz w:val="20"/>
        </w:rPr>
        <w:t xml:space="preserve">3. Although temporarily serving as chairman </w:t>
      </w:r>
      <w:r w:rsidRPr="00EF76CF">
        <w:rPr>
          <w:rFonts w:eastAsia="Times New Roman"/>
          <w:sz w:val="22"/>
          <w:szCs w:val="22"/>
        </w:rPr>
        <w:t xml:space="preserve">of </w:t>
      </w:r>
      <w:r w:rsidRPr="00EF76CF">
        <w:rPr>
          <w:rFonts w:eastAsia="Times New Roman"/>
          <w:sz w:val="20"/>
        </w:rPr>
        <w:t xml:space="preserve">the Classics Department. My co- teachers could more properly claim the mantle </w:t>
      </w:r>
      <w:r w:rsidRPr="00EF76CF">
        <w:rPr>
          <w:rFonts w:eastAsia="Times New Roman"/>
          <w:sz w:val="22"/>
          <w:szCs w:val="22"/>
        </w:rPr>
        <w:t xml:space="preserve">of </w:t>
      </w:r>
      <w:r w:rsidRPr="00EF76CF">
        <w:rPr>
          <w:rFonts w:eastAsia="Times New Roman"/>
          <w:sz w:val="20"/>
        </w:rPr>
        <w:t xml:space="preserve">classicist though they hold appoint- ments in the History and Art Departments. This blurring </w:t>
      </w:r>
      <w:r w:rsidRPr="00EF76CF">
        <w:rPr>
          <w:rFonts w:eastAsia="Times New Roman"/>
          <w:sz w:val="22"/>
          <w:szCs w:val="22"/>
        </w:rPr>
        <w:t xml:space="preserve">of </w:t>
      </w:r>
      <w:r w:rsidRPr="00EF76CF">
        <w:rPr>
          <w:rFonts w:eastAsia="Times New Roman"/>
          <w:sz w:val="20"/>
        </w:rPr>
        <w:t xml:space="preserve">professional affiliations probably contributed to the absence </w:t>
      </w:r>
      <w:r w:rsidRPr="00EF76CF">
        <w:rPr>
          <w:rFonts w:eastAsia="Times New Roman"/>
          <w:sz w:val="22"/>
          <w:szCs w:val="22"/>
        </w:rPr>
        <w:t xml:space="preserve">of </w:t>
      </w:r>
      <w:r w:rsidRPr="00EF76CF">
        <w:rPr>
          <w:rFonts w:eastAsia="Times New Roman"/>
          <w:sz w:val="20"/>
        </w:rPr>
        <w:t xml:space="preserve">parochial remarks, but it may not have helped to provide students with a sense </w:t>
      </w:r>
      <w:r w:rsidRPr="00EF76CF">
        <w:rPr>
          <w:rFonts w:eastAsia="Times New Roman"/>
          <w:sz w:val="22"/>
          <w:szCs w:val="22"/>
        </w:rPr>
        <w:t xml:space="preserve">of </w:t>
      </w:r>
      <w:r w:rsidRPr="00EF76CF">
        <w:rPr>
          <w:rFonts w:eastAsia="Times New Roman"/>
          <w:sz w:val="20"/>
        </w:rPr>
        <w:t xml:space="preserve">contrasting methodologies. </w:t>
      </w:r>
    </w:p>
    <w:p w:rsidR="00EF76CF" w:rsidRPr="00EF76CF" w:rsidRDefault="00EF76CF" w:rsidP="00EF76CF">
      <w:pPr>
        <w:spacing w:before="100" w:beforeAutospacing="1" w:after="100" w:afterAutospacing="1"/>
        <w:rPr>
          <w:rFonts w:ascii="Times New Roman" w:eastAsia="Times New Roman" w:hAnsi="Times New Roman"/>
          <w:szCs w:val="24"/>
        </w:rPr>
      </w:pPr>
      <w:r w:rsidRPr="00EF76CF">
        <w:rPr>
          <w:rFonts w:eastAsia="Times New Roman"/>
          <w:i/>
          <w:iCs/>
          <w:sz w:val="20"/>
        </w:rPr>
        <w:t xml:space="preserve">James </w:t>
      </w:r>
      <w:r w:rsidRPr="00EF76CF">
        <w:rPr>
          <w:rFonts w:ascii="Helvetica" w:eastAsia="Times New Roman" w:hAnsi="Helvetica"/>
          <w:i/>
          <w:iCs/>
          <w:sz w:val="18"/>
          <w:szCs w:val="18"/>
        </w:rPr>
        <w:t xml:space="preserve">H. </w:t>
      </w:r>
      <w:r w:rsidRPr="00EF76CF">
        <w:rPr>
          <w:rFonts w:eastAsia="Times New Roman"/>
          <w:i/>
          <w:iCs/>
          <w:sz w:val="20"/>
        </w:rPr>
        <w:t xml:space="preserve">Lesher, Philosophy and Classics, University </w:t>
      </w:r>
      <w:r w:rsidRPr="00EF76CF">
        <w:rPr>
          <w:rFonts w:eastAsia="Times New Roman"/>
          <w:i/>
          <w:iCs/>
          <w:sz w:val="22"/>
          <w:szCs w:val="22"/>
        </w:rPr>
        <w:t xml:space="preserve">of </w:t>
      </w:r>
      <w:r w:rsidRPr="00EF76CF">
        <w:rPr>
          <w:rFonts w:eastAsia="Times New Roman"/>
          <w:i/>
          <w:iCs/>
          <w:sz w:val="20"/>
        </w:rPr>
        <w:t xml:space="preserve">Maryland, College Park, Maryland </w:t>
      </w:r>
      <w:r w:rsidRPr="00EF76CF">
        <w:rPr>
          <w:rFonts w:eastAsia="Times New Roman"/>
          <w:i/>
          <w:iCs/>
          <w:sz w:val="18"/>
          <w:szCs w:val="18"/>
        </w:rPr>
        <w:t xml:space="preserve">20742 </w:t>
      </w:r>
    </w:p>
    <w:p w:rsidR="002A1606" w:rsidRDefault="002A1606">
      <w:bookmarkStart w:id="0" w:name="_GoBack"/>
      <w:bookmarkEnd w:id="0"/>
    </w:p>
    <w:sectPr w:rsidR="002A1606" w:rsidSect="00643F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HiddenHorzOC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6CF"/>
    <w:rsid w:val="000A7F3D"/>
    <w:rsid w:val="00282984"/>
    <w:rsid w:val="002A1606"/>
    <w:rsid w:val="00302D51"/>
    <w:rsid w:val="00643F7D"/>
    <w:rsid w:val="00EF7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DCE824"/>
  <w15:chartTrackingRefBased/>
  <w15:docId w15:val="{A4653BF3-20D2-FB46-99CB-54E3EA4A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76CF"/>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671054">
      <w:bodyDiv w:val="1"/>
      <w:marLeft w:val="0"/>
      <w:marRight w:val="0"/>
      <w:marTop w:val="0"/>
      <w:marBottom w:val="0"/>
      <w:divBdr>
        <w:top w:val="none" w:sz="0" w:space="0" w:color="auto"/>
        <w:left w:val="none" w:sz="0" w:space="0" w:color="auto"/>
        <w:bottom w:val="none" w:sz="0" w:space="0" w:color="auto"/>
        <w:right w:val="none" w:sz="0" w:space="0" w:color="auto"/>
      </w:divBdr>
      <w:divsChild>
        <w:div w:id="292323168">
          <w:marLeft w:val="0"/>
          <w:marRight w:val="0"/>
          <w:marTop w:val="0"/>
          <w:marBottom w:val="0"/>
          <w:divBdr>
            <w:top w:val="none" w:sz="0" w:space="0" w:color="auto"/>
            <w:left w:val="none" w:sz="0" w:space="0" w:color="auto"/>
            <w:bottom w:val="none" w:sz="0" w:space="0" w:color="auto"/>
            <w:right w:val="none" w:sz="0" w:space="0" w:color="auto"/>
          </w:divBdr>
          <w:divsChild>
            <w:div w:id="796947428">
              <w:marLeft w:val="0"/>
              <w:marRight w:val="0"/>
              <w:marTop w:val="0"/>
              <w:marBottom w:val="0"/>
              <w:divBdr>
                <w:top w:val="none" w:sz="0" w:space="0" w:color="auto"/>
                <w:left w:val="none" w:sz="0" w:space="0" w:color="auto"/>
                <w:bottom w:val="none" w:sz="0" w:space="0" w:color="auto"/>
                <w:right w:val="none" w:sz="0" w:space="0" w:color="auto"/>
              </w:divBdr>
              <w:divsChild>
                <w:div w:id="1773738464">
                  <w:marLeft w:val="0"/>
                  <w:marRight w:val="0"/>
                  <w:marTop w:val="0"/>
                  <w:marBottom w:val="0"/>
                  <w:divBdr>
                    <w:top w:val="none" w:sz="0" w:space="0" w:color="auto"/>
                    <w:left w:val="none" w:sz="0" w:space="0" w:color="auto"/>
                    <w:bottom w:val="none" w:sz="0" w:space="0" w:color="auto"/>
                    <w:right w:val="none" w:sz="0" w:space="0" w:color="auto"/>
                  </w:divBdr>
                </w:div>
              </w:divsChild>
            </w:div>
            <w:div w:id="984238192">
              <w:marLeft w:val="0"/>
              <w:marRight w:val="0"/>
              <w:marTop w:val="0"/>
              <w:marBottom w:val="0"/>
              <w:divBdr>
                <w:top w:val="none" w:sz="0" w:space="0" w:color="auto"/>
                <w:left w:val="none" w:sz="0" w:space="0" w:color="auto"/>
                <w:bottom w:val="none" w:sz="0" w:space="0" w:color="auto"/>
                <w:right w:val="none" w:sz="0" w:space="0" w:color="auto"/>
              </w:divBdr>
              <w:divsChild>
                <w:div w:id="235556100">
                  <w:marLeft w:val="0"/>
                  <w:marRight w:val="0"/>
                  <w:marTop w:val="0"/>
                  <w:marBottom w:val="0"/>
                  <w:divBdr>
                    <w:top w:val="none" w:sz="0" w:space="0" w:color="auto"/>
                    <w:left w:val="none" w:sz="0" w:space="0" w:color="auto"/>
                    <w:bottom w:val="none" w:sz="0" w:space="0" w:color="auto"/>
                    <w:right w:val="none" w:sz="0" w:space="0" w:color="auto"/>
                  </w:divBdr>
                </w:div>
              </w:divsChild>
            </w:div>
            <w:div w:id="1109544265">
              <w:marLeft w:val="0"/>
              <w:marRight w:val="0"/>
              <w:marTop w:val="0"/>
              <w:marBottom w:val="0"/>
              <w:divBdr>
                <w:top w:val="none" w:sz="0" w:space="0" w:color="auto"/>
                <w:left w:val="none" w:sz="0" w:space="0" w:color="auto"/>
                <w:bottom w:val="none" w:sz="0" w:space="0" w:color="auto"/>
                <w:right w:val="none" w:sz="0" w:space="0" w:color="auto"/>
              </w:divBdr>
              <w:divsChild>
                <w:div w:id="4199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2629">
          <w:marLeft w:val="0"/>
          <w:marRight w:val="0"/>
          <w:marTop w:val="0"/>
          <w:marBottom w:val="0"/>
          <w:divBdr>
            <w:top w:val="none" w:sz="0" w:space="0" w:color="auto"/>
            <w:left w:val="none" w:sz="0" w:space="0" w:color="auto"/>
            <w:bottom w:val="none" w:sz="0" w:space="0" w:color="auto"/>
            <w:right w:val="none" w:sz="0" w:space="0" w:color="auto"/>
          </w:divBdr>
          <w:divsChild>
            <w:div w:id="1545286653">
              <w:marLeft w:val="0"/>
              <w:marRight w:val="0"/>
              <w:marTop w:val="0"/>
              <w:marBottom w:val="0"/>
              <w:divBdr>
                <w:top w:val="none" w:sz="0" w:space="0" w:color="auto"/>
                <w:left w:val="none" w:sz="0" w:space="0" w:color="auto"/>
                <w:bottom w:val="none" w:sz="0" w:space="0" w:color="auto"/>
                <w:right w:val="none" w:sz="0" w:space="0" w:color="auto"/>
              </w:divBdr>
              <w:divsChild>
                <w:div w:id="616327908">
                  <w:marLeft w:val="0"/>
                  <w:marRight w:val="0"/>
                  <w:marTop w:val="0"/>
                  <w:marBottom w:val="0"/>
                  <w:divBdr>
                    <w:top w:val="none" w:sz="0" w:space="0" w:color="auto"/>
                    <w:left w:val="none" w:sz="0" w:space="0" w:color="auto"/>
                    <w:bottom w:val="none" w:sz="0" w:space="0" w:color="auto"/>
                    <w:right w:val="none" w:sz="0" w:space="0" w:color="auto"/>
                  </w:divBdr>
                </w:div>
                <w:div w:id="1330526615">
                  <w:marLeft w:val="0"/>
                  <w:marRight w:val="0"/>
                  <w:marTop w:val="0"/>
                  <w:marBottom w:val="0"/>
                  <w:divBdr>
                    <w:top w:val="none" w:sz="0" w:space="0" w:color="auto"/>
                    <w:left w:val="none" w:sz="0" w:space="0" w:color="auto"/>
                    <w:bottom w:val="none" w:sz="0" w:space="0" w:color="auto"/>
                    <w:right w:val="none" w:sz="0" w:space="0" w:color="auto"/>
                  </w:divBdr>
                </w:div>
              </w:divsChild>
            </w:div>
            <w:div w:id="922106823">
              <w:marLeft w:val="0"/>
              <w:marRight w:val="0"/>
              <w:marTop w:val="0"/>
              <w:marBottom w:val="0"/>
              <w:divBdr>
                <w:top w:val="none" w:sz="0" w:space="0" w:color="auto"/>
                <w:left w:val="none" w:sz="0" w:space="0" w:color="auto"/>
                <w:bottom w:val="none" w:sz="0" w:space="0" w:color="auto"/>
                <w:right w:val="none" w:sz="0" w:space="0" w:color="auto"/>
              </w:divBdr>
              <w:divsChild>
                <w:div w:id="3116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3517">
          <w:marLeft w:val="0"/>
          <w:marRight w:val="0"/>
          <w:marTop w:val="0"/>
          <w:marBottom w:val="0"/>
          <w:divBdr>
            <w:top w:val="none" w:sz="0" w:space="0" w:color="auto"/>
            <w:left w:val="none" w:sz="0" w:space="0" w:color="auto"/>
            <w:bottom w:val="none" w:sz="0" w:space="0" w:color="auto"/>
            <w:right w:val="none" w:sz="0" w:space="0" w:color="auto"/>
          </w:divBdr>
          <w:divsChild>
            <w:div w:id="812452031">
              <w:marLeft w:val="0"/>
              <w:marRight w:val="0"/>
              <w:marTop w:val="0"/>
              <w:marBottom w:val="0"/>
              <w:divBdr>
                <w:top w:val="none" w:sz="0" w:space="0" w:color="auto"/>
                <w:left w:val="none" w:sz="0" w:space="0" w:color="auto"/>
                <w:bottom w:val="none" w:sz="0" w:space="0" w:color="auto"/>
                <w:right w:val="none" w:sz="0" w:space="0" w:color="auto"/>
              </w:divBdr>
              <w:divsChild>
                <w:div w:id="1710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0727">
          <w:marLeft w:val="0"/>
          <w:marRight w:val="0"/>
          <w:marTop w:val="0"/>
          <w:marBottom w:val="0"/>
          <w:divBdr>
            <w:top w:val="none" w:sz="0" w:space="0" w:color="auto"/>
            <w:left w:val="none" w:sz="0" w:space="0" w:color="auto"/>
            <w:bottom w:val="none" w:sz="0" w:space="0" w:color="auto"/>
            <w:right w:val="none" w:sz="0" w:space="0" w:color="auto"/>
          </w:divBdr>
          <w:divsChild>
            <w:div w:id="140657784">
              <w:marLeft w:val="0"/>
              <w:marRight w:val="0"/>
              <w:marTop w:val="0"/>
              <w:marBottom w:val="0"/>
              <w:divBdr>
                <w:top w:val="none" w:sz="0" w:space="0" w:color="auto"/>
                <w:left w:val="none" w:sz="0" w:space="0" w:color="auto"/>
                <w:bottom w:val="none" w:sz="0" w:space="0" w:color="auto"/>
                <w:right w:val="none" w:sz="0" w:space="0" w:color="auto"/>
              </w:divBdr>
              <w:divsChild>
                <w:div w:id="1144860135">
                  <w:marLeft w:val="0"/>
                  <w:marRight w:val="0"/>
                  <w:marTop w:val="0"/>
                  <w:marBottom w:val="0"/>
                  <w:divBdr>
                    <w:top w:val="none" w:sz="0" w:space="0" w:color="auto"/>
                    <w:left w:val="none" w:sz="0" w:space="0" w:color="auto"/>
                    <w:bottom w:val="none" w:sz="0" w:space="0" w:color="auto"/>
                    <w:right w:val="none" w:sz="0" w:space="0" w:color="auto"/>
                  </w:divBdr>
                </w:div>
              </w:divsChild>
            </w:div>
            <w:div w:id="2109890112">
              <w:marLeft w:val="0"/>
              <w:marRight w:val="0"/>
              <w:marTop w:val="0"/>
              <w:marBottom w:val="0"/>
              <w:divBdr>
                <w:top w:val="none" w:sz="0" w:space="0" w:color="auto"/>
                <w:left w:val="none" w:sz="0" w:space="0" w:color="auto"/>
                <w:bottom w:val="none" w:sz="0" w:space="0" w:color="auto"/>
                <w:right w:val="none" w:sz="0" w:space="0" w:color="auto"/>
              </w:divBdr>
              <w:divsChild>
                <w:div w:id="15925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4229">
          <w:marLeft w:val="0"/>
          <w:marRight w:val="0"/>
          <w:marTop w:val="0"/>
          <w:marBottom w:val="0"/>
          <w:divBdr>
            <w:top w:val="none" w:sz="0" w:space="0" w:color="auto"/>
            <w:left w:val="none" w:sz="0" w:space="0" w:color="auto"/>
            <w:bottom w:val="none" w:sz="0" w:space="0" w:color="auto"/>
            <w:right w:val="none" w:sz="0" w:space="0" w:color="auto"/>
          </w:divBdr>
          <w:divsChild>
            <w:div w:id="61107140">
              <w:marLeft w:val="0"/>
              <w:marRight w:val="0"/>
              <w:marTop w:val="0"/>
              <w:marBottom w:val="0"/>
              <w:divBdr>
                <w:top w:val="none" w:sz="0" w:space="0" w:color="auto"/>
                <w:left w:val="none" w:sz="0" w:space="0" w:color="auto"/>
                <w:bottom w:val="none" w:sz="0" w:space="0" w:color="auto"/>
                <w:right w:val="none" w:sz="0" w:space="0" w:color="auto"/>
              </w:divBdr>
              <w:divsChild>
                <w:div w:id="370497549">
                  <w:marLeft w:val="0"/>
                  <w:marRight w:val="0"/>
                  <w:marTop w:val="0"/>
                  <w:marBottom w:val="0"/>
                  <w:divBdr>
                    <w:top w:val="none" w:sz="0" w:space="0" w:color="auto"/>
                    <w:left w:val="none" w:sz="0" w:space="0" w:color="auto"/>
                    <w:bottom w:val="none" w:sz="0" w:space="0" w:color="auto"/>
                    <w:right w:val="none" w:sz="0" w:space="0" w:color="auto"/>
                  </w:divBdr>
                </w:div>
              </w:divsChild>
            </w:div>
            <w:div w:id="1150101481">
              <w:marLeft w:val="0"/>
              <w:marRight w:val="0"/>
              <w:marTop w:val="0"/>
              <w:marBottom w:val="0"/>
              <w:divBdr>
                <w:top w:val="none" w:sz="0" w:space="0" w:color="auto"/>
                <w:left w:val="none" w:sz="0" w:space="0" w:color="auto"/>
                <w:bottom w:val="none" w:sz="0" w:space="0" w:color="auto"/>
                <w:right w:val="none" w:sz="0" w:space="0" w:color="auto"/>
              </w:divBdr>
              <w:divsChild>
                <w:div w:id="1523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8799">
          <w:marLeft w:val="0"/>
          <w:marRight w:val="0"/>
          <w:marTop w:val="0"/>
          <w:marBottom w:val="0"/>
          <w:divBdr>
            <w:top w:val="none" w:sz="0" w:space="0" w:color="auto"/>
            <w:left w:val="none" w:sz="0" w:space="0" w:color="auto"/>
            <w:bottom w:val="none" w:sz="0" w:space="0" w:color="auto"/>
            <w:right w:val="none" w:sz="0" w:space="0" w:color="auto"/>
          </w:divBdr>
          <w:divsChild>
            <w:div w:id="415977628">
              <w:marLeft w:val="0"/>
              <w:marRight w:val="0"/>
              <w:marTop w:val="0"/>
              <w:marBottom w:val="0"/>
              <w:divBdr>
                <w:top w:val="none" w:sz="0" w:space="0" w:color="auto"/>
                <w:left w:val="none" w:sz="0" w:space="0" w:color="auto"/>
                <w:bottom w:val="none" w:sz="0" w:space="0" w:color="auto"/>
                <w:right w:val="none" w:sz="0" w:space="0" w:color="auto"/>
              </w:divBdr>
              <w:divsChild>
                <w:div w:id="932398539">
                  <w:marLeft w:val="0"/>
                  <w:marRight w:val="0"/>
                  <w:marTop w:val="0"/>
                  <w:marBottom w:val="0"/>
                  <w:divBdr>
                    <w:top w:val="none" w:sz="0" w:space="0" w:color="auto"/>
                    <w:left w:val="none" w:sz="0" w:space="0" w:color="auto"/>
                    <w:bottom w:val="none" w:sz="0" w:space="0" w:color="auto"/>
                    <w:right w:val="none" w:sz="0" w:space="0" w:color="auto"/>
                  </w:divBdr>
                </w:div>
              </w:divsChild>
            </w:div>
            <w:div w:id="1667515086">
              <w:marLeft w:val="0"/>
              <w:marRight w:val="0"/>
              <w:marTop w:val="0"/>
              <w:marBottom w:val="0"/>
              <w:divBdr>
                <w:top w:val="none" w:sz="0" w:space="0" w:color="auto"/>
                <w:left w:val="none" w:sz="0" w:space="0" w:color="auto"/>
                <w:bottom w:val="none" w:sz="0" w:space="0" w:color="auto"/>
                <w:right w:val="none" w:sz="0" w:space="0" w:color="auto"/>
              </w:divBdr>
              <w:divsChild>
                <w:div w:id="5555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40381">
          <w:marLeft w:val="0"/>
          <w:marRight w:val="0"/>
          <w:marTop w:val="0"/>
          <w:marBottom w:val="0"/>
          <w:divBdr>
            <w:top w:val="none" w:sz="0" w:space="0" w:color="auto"/>
            <w:left w:val="none" w:sz="0" w:space="0" w:color="auto"/>
            <w:bottom w:val="none" w:sz="0" w:space="0" w:color="auto"/>
            <w:right w:val="none" w:sz="0" w:space="0" w:color="auto"/>
          </w:divBdr>
          <w:divsChild>
            <w:div w:id="244264276">
              <w:marLeft w:val="0"/>
              <w:marRight w:val="0"/>
              <w:marTop w:val="0"/>
              <w:marBottom w:val="0"/>
              <w:divBdr>
                <w:top w:val="none" w:sz="0" w:space="0" w:color="auto"/>
                <w:left w:val="none" w:sz="0" w:space="0" w:color="auto"/>
                <w:bottom w:val="none" w:sz="0" w:space="0" w:color="auto"/>
                <w:right w:val="none" w:sz="0" w:space="0" w:color="auto"/>
              </w:divBdr>
              <w:divsChild>
                <w:div w:id="883715070">
                  <w:marLeft w:val="0"/>
                  <w:marRight w:val="0"/>
                  <w:marTop w:val="0"/>
                  <w:marBottom w:val="0"/>
                  <w:divBdr>
                    <w:top w:val="none" w:sz="0" w:space="0" w:color="auto"/>
                    <w:left w:val="none" w:sz="0" w:space="0" w:color="auto"/>
                    <w:bottom w:val="none" w:sz="0" w:space="0" w:color="auto"/>
                    <w:right w:val="none" w:sz="0" w:space="0" w:color="auto"/>
                  </w:divBdr>
                </w:div>
              </w:divsChild>
            </w:div>
            <w:div w:id="1957323524">
              <w:marLeft w:val="0"/>
              <w:marRight w:val="0"/>
              <w:marTop w:val="0"/>
              <w:marBottom w:val="0"/>
              <w:divBdr>
                <w:top w:val="none" w:sz="0" w:space="0" w:color="auto"/>
                <w:left w:val="none" w:sz="0" w:space="0" w:color="auto"/>
                <w:bottom w:val="none" w:sz="0" w:space="0" w:color="auto"/>
                <w:right w:val="none" w:sz="0" w:space="0" w:color="auto"/>
              </w:divBdr>
              <w:divsChild>
                <w:div w:id="1996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33438">
          <w:marLeft w:val="0"/>
          <w:marRight w:val="0"/>
          <w:marTop w:val="0"/>
          <w:marBottom w:val="0"/>
          <w:divBdr>
            <w:top w:val="none" w:sz="0" w:space="0" w:color="auto"/>
            <w:left w:val="none" w:sz="0" w:space="0" w:color="auto"/>
            <w:bottom w:val="none" w:sz="0" w:space="0" w:color="auto"/>
            <w:right w:val="none" w:sz="0" w:space="0" w:color="auto"/>
          </w:divBdr>
          <w:divsChild>
            <w:div w:id="1569724033">
              <w:marLeft w:val="0"/>
              <w:marRight w:val="0"/>
              <w:marTop w:val="0"/>
              <w:marBottom w:val="0"/>
              <w:divBdr>
                <w:top w:val="none" w:sz="0" w:space="0" w:color="auto"/>
                <w:left w:val="none" w:sz="0" w:space="0" w:color="auto"/>
                <w:bottom w:val="none" w:sz="0" w:space="0" w:color="auto"/>
                <w:right w:val="none" w:sz="0" w:space="0" w:color="auto"/>
              </w:divBdr>
              <w:divsChild>
                <w:div w:id="563294938">
                  <w:marLeft w:val="0"/>
                  <w:marRight w:val="0"/>
                  <w:marTop w:val="0"/>
                  <w:marBottom w:val="0"/>
                  <w:divBdr>
                    <w:top w:val="none" w:sz="0" w:space="0" w:color="auto"/>
                    <w:left w:val="none" w:sz="0" w:space="0" w:color="auto"/>
                    <w:bottom w:val="none" w:sz="0" w:space="0" w:color="auto"/>
                    <w:right w:val="none" w:sz="0" w:space="0" w:color="auto"/>
                  </w:divBdr>
                </w:div>
              </w:divsChild>
            </w:div>
            <w:div w:id="192886004">
              <w:marLeft w:val="0"/>
              <w:marRight w:val="0"/>
              <w:marTop w:val="0"/>
              <w:marBottom w:val="0"/>
              <w:divBdr>
                <w:top w:val="none" w:sz="0" w:space="0" w:color="auto"/>
                <w:left w:val="none" w:sz="0" w:space="0" w:color="auto"/>
                <w:bottom w:val="none" w:sz="0" w:space="0" w:color="auto"/>
                <w:right w:val="none" w:sz="0" w:space="0" w:color="auto"/>
              </w:divBdr>
              <w:divsChild>
                <w:div w:id="14851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3610</Words>
  <Characters>20581</Characters>
  <Application>Microsoft Office Word</Application>
  <DocSecurity>0</DocSecurity>
  <Lines>171</Lines>
  <Paragraphs>48</Paragraphs>
  <ScaleCrop>false</ScaleCrop>
  <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2022-10-20T16:54:00Z</dcterms:created>
  <dcterms:modified xsi:type="dcterms:W3CDTF">2022-10-20T16:54:00Z</dcterms:modified>
</cp:coreProperties>
</file>