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0443D" w14:textId="7AE57C43" w:rsidR="00150E87" w:rsidRPr="00A3151B" w:rsidRDefault="00FA0E79" w:rsidP="002B246F">
      <w:pPr>
        <w:spacing w:line="480" w:lineRule="auto"/>
        <w:jc w:val="center"/>
        <w:rPr>
          <w:b/>
        </w:rPr>
      </w:pPr>
      <w:r w:rsidRPr="00A3151B">
        <w:rPr>
          <w:b/>
        </w:rPr>
        <w:t>SAFEGUARDING</w:t>
      </w:r>
      <w:r w:rsidR="00F1209D" w:rsidRPr="00A3151B">
        <w:rPr>
          <w:b/>
        </w:rPr>
        <w:t xml:space="preserve"> VULNERABLE AUTONOMY? </w:t>
      </w:r>
      <w:r w:rsidR="004C2B9A" w:rsidRPr="00A3151B">
        <w:rPr>
          <w:b/>
        </w:rPr>
        <w:t xml:space="preserve">SITUATIONAL </w:t>
      </w:r>
      <w:r w:rsidR="00F1209D" w:rsidRPr="00A3151B">
        <w:rPr>
          <w:b/>
        </w:rPr>
        <w:t xml:space="preserve">VULNERABILITY, THE INHERENET JUSRISDICTION AND </w:t>
      </w:r>
      <w:r w:rsidR="0003493C" w:rsidRPr="00A3151B">
        <w:rPr>
          <w:b/>
        </w:rPr>
        <w:t>INSIGHTS FROM FEMINIST PHILOSOPHY</w:t>
      </w:r>
    </w:p>
    <w:p w14:paraId="3FC42CAD" w14:textId="007334C0" w:rsidR="00E44ED1" w:rsidRPr="00A3151B" w:rsidRDefault="00E44ED1" w:rsidP="00314F3D">
      <w:pPr>
        <w:spacing w:line="480" w:lineRule="auto"/>
      </w:pPr>
    </w:p>
    <w:p w14:paraId="52060D7F" w14:textId="77777777" w:rsidR="002B246F" w:rsidRPr="00A3151B" w:rsidRDefault="002B246F" w:rsidP="00314F3D">
      <w:pPr>
        <w:spacing w:line="480" w:lineRule="auto"/>
      </w:pPr>
    </w:p>
    <w:p w14:paraId="7AE5680F" w14:textId="77777777" w:rsidR="00960B62" w:rsidRPr="00A3151B" w:rsidRDefault="00960B62" w:rsidP="00960B62">
      <w:pPr>
        <w:jc w:val="center"/>
        <w:rPr>
          <w:b/>
        </w:rPr>
      </w:pPr>
      <w:r w:rsidRPr="00A3151B">
        <w:rPr>
          <w:b/>
        </w:rPr>
        <w:t>SUMMARY</w:t>
      </w:r>
    </w:p>
    <w:p w14:paraId="252757E8" w14:textId="77777777" w:rsidR="00960B62" w:rsidRPr="00A3151B" w:rsidRDefault="00960B62" w:rsidP="00960B62">
      <w:pPr>
        <w:jc w:val="center"/>
        <w:rPr>
          <w:b/>
        </w:rPr>
      </w:pPr>
    </w:p>
    <w:p w14:paraId="04BCF13C" w14:textId="77777777" w:rsidR="001613DD" w:rsidRPr="00A3151B" w:rsidRDefault="001613DD" w:rsidP="00960B62">
      <w:pPr>
        <w:jc w:val="center"/>
        <w:rPr>
          <w:b/>
        </w:rPr>
      </w:pPr>
    </w:p>
    <w:p w14:paraId="4DA259A3" w14:textId="2068444D" w:rsidR="004C2B9A" w:rsidRPr="00A3151B" w:rsidRDefault="009C0E8C" w:rsidP="0007198E">
      <w:pPr>
        <w:spacing w:line="480" w:lineRule="auto"/>
        <w:jc w:val="both"/>
        <w:rPr>
          <w:bCs/>
        </w:rPr>
      </w:pPr>
      <w:r w:rsidRPr="00A3151B">
        <w:t>T</w:t>
      </w:r>
      <w:r w:rsidR="000E11FB" w:rsidRPr="00A3151B">
        <w:t>he High Court</w:t>
      </w:r>
      <w:r w:rsidR="00EC0CC2" w:rsidRPr="00A3151B">
        <w:t xml:space="preserve"> </w:t>
      </w:r>
      <w:r w:rsidR="00561F18" w:rsidRPr="00A3151B">
        <w:t>continue</w:t>
      </w:r>
      <w:r w:rsidRPr="00A3151B">
        <w:t>s</w:t>
      </w:r>
      <w:r w:rsidR="00561F18" w:rsidRPr="00A3151B">
        <w:t xml:space="preserve"> to </w:t>
      </w:r>
      <w:r w:rsidR="000E11FB" w:rsidRPr="00A3151B">
        <w:t xml:space="preserve">exercise </w:t>
      </w:r>
      <w:r w:rsidR="00EC0CC2" w:rsidRPr="00A3151B">
        <w:t xml:space="preserve">its </w:t>
      </w:r>
      <w:r w:rsidR="000E11FB" w:rsidRPr="00A3151B">
        <w:t xml:space="preserve">inherent jurisdiction to make declarations about interventions into the lives of </w:t>
      </w:r>
      <w:r w:rsidR="00025D7E" w:rsidRPr="00A3151B">
        <w:t xml:space="preserve">situationally </w:t>
      </w:r>
      <w:r w:rsidR="000E11FB" w:rsidRPr="00A3151B">
        <w:t>vulnerable adults</w:t>
      </w:r>
      <w:r w:rsidR="00EC0CC2" w:rsidRPr="00A3151B">
        <w:t xml:space="preserve"> </w:t>
      </w:r>
      <w:r w:rsidR="00EC0CC2" w:rsidRPr="00A3151B">
        <w:rPr>
          <w:i/>
        </w:rPr>
        <w:t>with</w:t>
      </w:r>
      <w:r w:rsidR="00EC0CC2" w:rsidRPr="00A3151B">
        <w:t xml:space="preserve"> mental capacity</w:t>
      </w:r>
      <w:r w:rsidR="000E11FB" w:rsidRPr="00A3151B">
        <w:t xml:space="preserve">. </w:t>
      </w:r>
      <w:r w:rsidR="00561F18" w:rsidRPr="00A3151B">
        <w:t xml:space="preserve">In light of protective </w:t>
      </w:r>
      <w:r w:rsidR="001A01C3" w:rsidRPr="00A3151B">
        <w:t>response</w:t>
      </w:r>
      <w:r w:rsidRPr="00A3151B">
        <w:t>s</w:t>
      </w:r>
      <w:r w:rsidR="00561F18" w:rsidRPr="00A3151B">
        <w:t xml:space="preserve"> </w:t>
      </w:r>
      <w:r w:rsidR="001A01C3" w:rsidRPr="00A3151B">
        <w:t>of</w:t>
      </w:r>
      <w:r w:rsidR="00561F18" w:rsidRPr="00A3151B">
        <w:t xml:space="preserve"> health care providers and the courts </w:t>
      </w:r>
      <w:r w:rsidR="001A01C3" w:rsidRPr="00A3151B">
        <w:t>to</w:t>
      </w:r>
      <w:r w:rsidR="00561F18" w:rsidRPr="00A3151B">
        <w:t xml:space="preserve"> decision-making situations involving capacitous vulnerable adults, this paper has two aims. The first is diagnostic. T</w:t>
      </w:r>
      <w:r w:rsidR="00445B3B" w:rsidRPr="00A3151B">
        <w:t xml:space="preserve">he second is normative. </w:t>
      </w:r>
      <w:r w:rsidR="002B098A" w:rsidRPr="00A3151B">
        <w:t>T</w:t>
      </w:r>
      <w:r w:rsidR="00445B3B" w:rsidRPr="00A3151B">
        <w:t>he first aim is</w:t>
      </w:r>
      <w:r w:rsidR="00DC553C" w:rsidRPr="00A3151B">
        <w:t xml:space="preserve"> to</w:t>
      </w:r>
      <w:r w:rsidR="00445B3B" w:rsidRPr="00A3151B">
        <w:t xml:space="preserve"> identify the harms to a capacitous vulnerable adult’s autonomy that arise on the basis of the characterisation of </w:t>
      </w:r>
      <w:r w:rsidR="00A83F0F" w:rsidRPr="00A3151B">
        <w:t xml:space="preserve">situational </w:t>
      </w:r>
      <w:r w:rsidR="00445B3B" w:rsidRPr="00A3151B">
        <w:t xml:space="preserve">vulnerability and autonomy as fundamentally opposed concepts </w:t>
      </w:r>
      <w:r w:rsidR="00111EB2" w:rsidRPr="00A3151B">
        <w:t>or</w:t>
      </w:r>
      <w:r w:rsidR="00902485" w:rsidRPr="00A3151B">
        <w:t xml:space="preserve"> the failure to adequately acknowledge </w:t>
      </w:r>
      <w:r w:rsidR="00FC7BA2" w:rsidRPr="00A3151B">
        <w:t>the</w:t>
      </w:r>
      <w:r w:rsidR="00C44433" w:rsidRPr="00A3151B">
        <w:t xml:space="preserve"> conceptual</w:t>
      </w:r>
      <w:r w:rsidR="00FC7BA2" w:rsidRPr="00A3151B">
        <w:t xml:space="preserve"> </w:t>
      </w:r>
      <w:r w:rsidR="00902485" w:rsidRPr="00A3151B">
        <w:t xml:space="preserve">relationship between them </w:t>
      </w:r>
      <w:r w:rsidR="00445B3B" w:rsidRPr="00A3151B">
        <w:t>at common law</w:t>
      </w:r>
      <w:r w:rsidR="00BC0045" w:rsidRPr="00A3151B">
        <w:t xml:space="preserve">. </w:t>
      </w:r>
      <w:r w:rsidR="00445B3B" w:rsidRPr="00A3151B">
        <w:t>The second part of this aim is to</w:t>
      </w:r>
      <w:r w:rsidR="00445B3B" w:rsidRPr="00A3151B">
        <w:rPr>
          <w:bCs/>
        </w:rPr>
        <w:t xml:space="preserve"> draw upon developments in analytic feminist philosophy to</w:t>
      </w:r>
      <w:r w:rsidR="0040474A" w:rsidRPr="00A3151B">
        <w:rPr>
          <w:bCs/>
        </w:rPr>
        <w:t xml:space="preserve"> illustrate how standard approaches to autonomy are ill-equipped to </w:t>
      </w:r>
      <w:r w:rsidR="00445B3B" w:rsidRPr="00A3151B">
        <w:rPr>
          <w:bCs/>
        </w:rPr>
        <w:t>capture the autonomy</w:t>
      </w:r>
      <w:r w:rsidR="000A46D3" w:rsidRPr="00A3151B">
        <w:rPr>
          <w:bCs/>
        </w:rPr>
        <w:t xml:space="preserve"> issues</w:t>
      </w:r>
      <w:r w:rsidR="00445B3B" w:rsidRPr="00A3151B">
        <w:rPr>
          <w:bCs/>
        </w:rPr>
        <w:t xml:space="preserve"> </w:t>
      </w:r>
      <w:r w:rsidR="000A46D3" w:rsidRPr="00A3151B">
        <w:rPr>
          <w:bCs/>
        </w:rPr>
        <w:t>of</w:t>
      </w:r>
      <w:r w:rsidR="00445B3B" w:rsidRPr="00A3151B">
        <w:rPr>
          <w:bCs/>
        </w:rPr>
        <w:t xml:space="preserve"> </w:t>
      </w:r>
      <w:r w:rsidR="000A46D3" w:rsidRPr="00A3151B">
        <w:rPr>
          <w:bCs/>
        </w:rPr>
        <w:t xml:space="preserve">capacitous </w:t>
      </w:r>
      <w:r w:rsidR="00445B3B" w:rsidRPr="00A3151B">
        <w:rPr>
          <w:bCs/>
        </w:rPr>
        <w:t xml:space="preserve">vulnerable adults </w:t>
      </w:r>
      <w:r w:rsidR="000A46D3" w:rsidRPr="00A3151B">
        <w:rPr>
          <w:bCs/>
        </w:rPr>
        <w:t>when their decisions regarding care and treatment are at stake</w:t>
      </w:r>
      <w:r w:rsidR="0040474A" w:rsidRPr="00A3151B">
        <w:rPr>
          <w:bCs/>
        </w:rPr>
        <w:t xml:space="preserve">. </w:t>
      </w:r>
      <w:r w:rsidR="00841B60" w:rsidRPr="00A3151B">
        <w:rPr>
          <w:bCs/>
        </w:rPr>
        <w:t xml:space="preserve">The second (normative) aim is </w:t>
      </w:r>
      <w:r w:rsidR="003C6C96" w:rsidRPr="00A3151B">
        <w:rPr>
          <w:bCs/>
        </w:rPr>
        <w:t xml:space="preserve">to develop an account of </w:t>
      </w:r>
      <w:r w:rsidR="003C6C96" w:rsidRPr="00A3151B">
        <w:rPr>
          <w:bCs/>
          <w:i/>
        </w:rPr>
        <w:t xml:space="preserve">self-authorised, intersubjective autonomy </w:t>
      </w:r>
      <w:r w:rsidR="003C6C96" w:rsidRPr="00A3151B">
        <w:rPr>
          <w:bCs/>
        </w:rPr>
        <w:t xml:space="preserve">on the basis of analytic feminist insights into the relational practices of recognition. This account not only </w:t>
      </w:r>
      <w:r w:rsidR="00A94FCE" w:rsidRPr="00A3151B">
        <w:rPr>
          <w:bCs/>
        </w:rPr>
        <w:t>attempts to</w:t>
      </w:r>
      <w:r w:rsidR="003C6C96" w:rsidRPr="00A3151B">
        <w:rPr>
          <w:bCs/>
        </w:rPr>
        <w:t xml:space="preserve"> capture the autonomy of capacitous vulnerable adults and account for the </w:t>
      </w:r>
      <w:r w:rsidR="003C6C96" w:rsidRPr="00A3151B">
        <w:rPr>
          <w:bCs/>
          <w:i/>
        </w:rPr>
        <w:t>necessary</w:t>
      </w:r>
      <w:r w:rsidR="003C6C96" w:rsidRPr="00A3151B">
        <w:rPr>
          <w:bCs/>
        </w:rPr>
        <w:t xml:space="preserve"> harms to their autonomy that arise from standard common law response</w:t>
      </w:r>
      <w:r w:rsidR="00F612AE" w:rsidRPr="00A3151B">
        <w:rPr>
          <w:bCs/>
        </w:rPr>
        <w:t>s</w:t>
      </w:r>
      <w:r w:rsidR="003C6C96" w:rsidRPr="00A3151B">
        <w:rPr>
          <w:bCs/>
        </w:rPr>
        <w:t xml:space="preserve"> to </w:t>
      </w:r>
      <w:r w:rsidR="00025D7E" w:rsidRPr="00A3151B">
        <w:rPr>
          <w:bCs/>
        </w:rPr>
        <w:t xml:space="preserve">their situational </w:t>
      </w:r>
      <w:r w:rsidR="003C6C96" w:rsidRPr="00A3151B">
        <w:rPr>
          <w:bCs/>
        </w:rPr>
        <w:t xml:space="preserve">vulnerability, </w:t>
      </w:r>
      <w:r w:rsidR="00A94FCE" w:rsidRPr="00A3151B">
        <w:rPr>
          <w:bCs/>
        </w:rPr>
        <w:t xml:space="preserve">it </w:t>
      </w:r>
      <w:r w:rsidR="004A62B6" w:rsidRPr="00A3151B">
        <w:rPr>
          <w:bCs/>
        </w:rPr>
        <w:t>is also predicated on the distinction</w:t>
      </w:r>
      <w:r w:rsidR="00D865DB" w:rsidRPr="00A3151B">
        <w:rPr>
          <w:bCs/>
        </w:rPr>
        <w:t>s</w:t>
      </w:r>
      <w:r w:rsidR="004A62B6" w:rsidRPr="00A3151B">
        <w:rPr>
          <w:bCs/>
        </w:rPr>
        <w:t xml:space="preserve"> between </w:t>
      </w:r>
      <w:r w:rsidR="00D865DB" w:rsidRPr="00A3151B">
        <w:rPr>
          <w:bCs/>
        </w:rPr>
        <w:t>mental capacity, the</w:t>
      </w:r>
      <w:r w:rsidR="00A94FCE" w:rsidRPr="00A3151B">
        <w:rPr>
          <w:bCs/>
        </w:rPr>
        <w:t xml:space="preserve"> satisfaction of </w:t>
      </w:r>
      <w:r w:rsidR="004A62B6" w:rsidRPr="00A3151B">
        <w:rPr>
          <w:bCs/>
        </w:rPr>
        <w:t xml:space="preserve">conditions for informed consent and </w:t>
      </w:r>
      <w:r w:rsidR="00A94FCE" w:rsidRPr="00A3151B">
        <w:rPr>
          <w:bCs/>
        </w:rPr>
        <w:t>the exercise of</w:t>
      </w:r>
      <w:r w:rsidR="004A62B6" w:rsidRPr="00A3151B">
        <w:rPr>
          <w:bCs/>
        </w:rPr>
        <w:t xml:space="preserve"> autonomy, meaning that</w:t>
      </w:r>
      <w:r w:rsidR="00A94FCE" w:rsidRPr="00A3151B">
        <w:rPr>
          <w:bCs/>
        </w:rPr>
        <w:t xml:space="preserve"> </w:t>
      </w:r>
      <w:r w:rsidR="004A62B6" w:rsidRPr="00A3151B">
        <w:rPr>
          <w:bCs/>
        </w:rPr>
        <w:t>it is better placed to fulfil the primary aim of the inherent jurisdiction</w:t>
      </w:r>
      <w:r w:rsidR="00AA0E24" w:rsidRPr="00A3151B">
        <w:rPr>
          <w:bCs/>
        </w:rPr>
        <w:t xml:space="preserve"> – to </w:t>
      </w:r>
      <w:r w:rsidR="004A62B6" w:rsidRPr="00A3151B">
        <w:rPr>
          <w:bCs/>
        </w:rPr>
        <w:t>facilitate</w:t>
      </w:r>
      <w:r w:rsidR="00A94FCE" w:rsidRPr="00A3151B">
        <w:rPr>
          <w:bCs/>
        </w:rPr>
        <w:t xml:space="preserve"> the</w:t>
      </w:r>
      <w:r w:rsidR="004A62B6" w:rsidRPr="00A3151B">
        <w:rPr>
          <w:bCs/>
        </w:rPr>
        <w:t xml:space="preserve"> autonomy </w:t>
      </w:r>
      <w:r w:rsidR="00A94FCE" w:rsidRPr="00A3151B">
        <w:rPr>
          <w:bCs/>
        </w:rPr>
        <w:t>of vulnerable adults with capacity.</w:t>
      </w:r>
    </w:p>
    <w:p w14:paraId="02F9708E" w14:textId="4603AC29" w:rsidR="0007198E" w:rsidRPr="00A3151B" w:rsidRDefault="0007198E" w:rsidP="0007198E">
      <w:pPr>
        <w:spacing w:line="480" w:lineRule="auto"/>
        <w:jc w:val="both"/>
      </w:pPr>
      <w:r w:rsidRPr="00A3151B">
        <w:rPr>
          <w:b/>
        </w:rPr>
        <w:lastRenderedPageBreak/>
        <w:t xml:space="preserve">Keywords: </w:t>
      </w:r>
      <w:r w:rsidRPr="00A3151B">
        <w:t xml:space="preserve">Autonomy, Feminism, Informed consent, Inherent Jurisdiction, Liberty, </w:t>
      </w:r>
      <w:r w:rsidR="00714432" w:rsidRPr="00A3151B">
        <w:t xml:space="preserve">Situational </w:t>
      </w:r>
      <w:r w:rsidRPr="00A3151B">
        <w:t>Vulnerability</w:t>
      </w:r>
    </w:p>
    <w:p w14:paraId="1FAC51BA" w14:textId="77777777" w:rsidR="00BC0045" w:rsidRPr="00A3151B" w:rsidRDefault="00BC0045" w:rsidP="00A16AA2">
      <w:pPr>
        <w:spacing w:line="480" w:lineRule="auto"/>
        <w:jc w:val="both"/>
      </w:pPr>
    </w:p>
    <w:p w14:paraId="4E7A92B6" w14:textId="77777777" w:rsidR="000E11FB" w:rsidRPr="00A3151B" w:rsidRDefault="000E11FB" w:rsidP="001613DD">
      <w:pPr>
        <w:jc w:val="both"/>
      </w:pPr>
    </w:p>
    <w:p w14:paraId="49EF42E0" w14:textId="4DD5FBBD" w:rsidR="00960B62" w:rsidRPr="00A3151B" w:rsidRDefault="00960B62" w:rsidP="00960B62">
      <w:pPr>
        <w:jc w:val="both"/>
        <w:rPr>
          <w:b/>
        </w:rPr>
      </w:pPr>
      <w:r w:rsidRPr="00A3151B">
        <w:rPr>
          <w:b/>
        </w:rPr>
        <w:br w:type="page"/>
      </w:r>
    </w:p>
    <w:p w14:paraId="63F2B413" w14:textId="4059A3D7" w:rsidR="00E44ED1" w:rsidRPr="00A3151B" w:rsidRDefault="00314F3D" w:rsidP="00314F3D">
      <w:pPr>
        <w:pStyle w:val="ListParagraph"/>
        <w:spacing w:line="480" w:lineRule="auto"/>
        <w:ind w:left="0"/>
        <w:jc w:val="center"/>
        <w:rPr>
          <w:rFonts w:ascii="Times New Roman" w:hAnsi="Times New Roman" w:cs="Times New Roman"/>
          <w:b/>
          <w:lang w:val="en-GB"/>
        </w:rPr>
      </w:pPr>
      <w:r w:rsidRPr="00A3151B">
        <w:rPr>
          <w:rFonts w:ascii="Times New Roman" w:hAnsi="Times New Roman" w:cs="Times New Roman"/>
          <w:b/>
          <w:lang w:val="en-GB"/>
        </w:rPr>
        <w:lastRenderedPageBreak/>
        <w:t>INTRODUCTION</w:t>
      </w:r>
    </w:p>
    <w:p w14:paraId="70F324D3" w14:textId="77777777" w:rsidR="00E44ED1" w:rsidRPr="00A3151B" w:rsidRDefault="00E44ED1" w:rsidP="00314F3D">
      <w:pPr>
        <w:spacing w:line="480" w:lineRule="auto"/>
        <w:jc w:val="both"/>
      </w:pPr>
    </w:p>
    <w:p w14:paraId="7C945A04" w14:textId="5D36D87B" w:rsidR="00D20623" w:rsidRPr="00A3151B" w:rsidRDefault="00D20623" w:rsidP="00314F3D">
      <w:pPr>
        <w:spacing w:line="480" w:lineRule="auto"/>
        <w:jc w:val="both"/>
      </w:pPr>
      <w:r w:rsidRPr="00A3151B">
        <w:t>Recently,</w:t>
      </w:r>
      <w:r w:rsidR="00F2085A" w:rsidRPr="00A3151B">
        <w:t xml:space="preserve"> i</w:t>
      </w:r>
      <w:r w:rsidRPr="00A3151B">
        <w:t xml:space="preserve">ncreased </w:t>
      </w:r>
      <w:r w:rsidR="00F2085A" w:rsidRPr="00A3151B">
        <w:t xml:space="preserve">legal, ethical and philosophical </w:t>
      </w:r>
      <w:r w:rsidR="00025D7E" w:rsidRPr="00A3151B">
        <w:t>attention</w:t>
      </w:r>
      <w:r w:rsidRPr="00A3151B">
        <w:t xml:space="preserve"> on </w:t>
      </w:r>
      <w:r w:rsidR="005F7DC6" w:rsidRPr="00A3151B">
        <w:t xml:space="preserve">different </w:t>
      </w:r>
      <w:r w:rsidR="00385BBF" w:rsidRPr="00A3151B">
        <w:t>conceptions</w:t>
      </w:r>
      <w:r w:rsidR="005F7DC6" w:rsidRPr="00A3151B">
        <w:t xml:space="preserve"> of </w:t>
      </w:r>
      <w:r w:rsidRPr="00A3151B">
        <w:t xml:space="preserve">vulnerability has paralleled developments concerning the respect for, and protection of, patient autonomy. By responding and adapting to issues concerning </w:t>
      </w:r>
      <w:r w:rsidR="00F2085A" w:rsidRPr="00A3151B">
        <w:t>conceptualisations</w:t>
      </w:r>
      <w:r w:rsidR="00385BBF" w:rsidRPr="00A3151B">
        <w:t xml:space="preserve"> of the </w:t>
      </w:r>
      <w:proofErr w:type="gramStart"/>
      <w:r w:rsidR="00385BBF" w:rsidRPr="00A3151B">
        <w:t>term</w:t>
      </w:r>
      <w:r w:rsidR="00F2085A" w:rsidRPr="00A3151B">
        <w:t>s</w:t>
      </w:r>
      <w:proofErr w:type="gramEnd"/>
      <w:r w:rsidR="00385BBF" w:rsidRPr="00A3151B">
        <w:t xml:space="preserve"> ‘</w:t>
      </w:r>
      <w:r w:rsidRPr="00A3151B">
        <w:t>vulnerability</w:t>
      </w:r>
      <w:r w:rsidR="00385BBF" w:rsidRPr="00A3151B">
        <w:t>’</w:t>
      </w:r>
      <w:r w:rsidR="00F2085A" w:rsidRPr="00A3151B">
        <w:t xml:space="preserve"> and ‘autonomy’</w:t>
      </w:r>
      <w:r w:rsidR="005F7DC6" w:rsidRPr="00A3151B">
        <w:t xml:space="preserve"> in </w:t>
      </w:r>
      <w:r w:rsidR="00385BBF" w:rsidRPr="00A3151B">
        <w:t>legal contexts focused on care and treatment decisions</w:t>
      </w:r>
      <w:r w:rsidRPr="00A3151B">
        <w:t xml:space="preserve">, </w:t>
      </w:r>
      <w:r w:rsidR="00FA73CD" w:rsidRPr="00A3151B">
        <w:t>legal scholars</w:t>
      </w:r>
      <w:r w:rsidRPr="00A3151B">
        <w:t xml:space="preserve"> </w:t>
      </w:r>
      <w:r w:rsidR="00AF60F5" w:rsidRPr="00A3151B">
        <w:t xml:space="preserve">and feminist philosophers </w:t>
      </w:r>
      <w:r w:rsidRPr="00A3151B">
        <w:t xml:space="preserve">have called into question the adequacy of </w:t>
      </w:r>
      <w:r w:rsidR="0055799A" w:rsidRPr="00A3151B">
        <w:t xml:space="preserve">common law approaches to </w:t>
      </w:r>
      <w:r w:rsidRPr="00A3151B">
        <w:t xml:space="preserve">autonomy. In addition, these </w:t>
      </w:r>
      <w:r w:rsidR="005F7DC6" w:rsidRPr="00A3151B">
        <w:t>criticisms</w:t>
      </w:r>
      <w:r w:rsidRPr="00A3151B">
        <w:t xml:space="preserve"> have raised substantive problems with the application of standards of rationality and reason at law. </w:t>
      </w:r>
    </w:p>
    <w:p w14:paraId="624E437D" w14:textId="3007AA51" w:rsidR="00D20623" w:rsidRPr="00A3151B" w:rsidRDefault="00D20623" w:rsidP="00133EAF">
      <w:pPr>
        <w:spacing w:line="480" w:lineRule="auto"/>
        <w:ind w:firstLine="720"/>
        <w:jc w:val="both"/>
      </w:pPr>
      <w:r w:rsidRPr="00A3151B">
        <w:t xml:space="preserve">The most important issue </w:t>
      </w:r>
      <w:r w:rsidR="00E321F0" w:rsidRPr="00A3151B">
        <w:t xml:space="preserve">concerns </w:t>
      </w:r>
      <w:r w:rsidR="00E82235" w:rsidRPr="00A3151B">
        <w:t>the perception</w:t>
      </w:r>
      <w:r w:rsidR="00E321F0" w:rsidRPr="00A3151B">
        <w:t xml:space="preserve"> of</w:t>
      </w:r>
      <w:r w:rsidRPr="00A3151B">
        <w:t xml:space="preserve"> </w:t>
      </w:r>
      <w:r w:rsidR="00E321F0" w:rsidRPr="00A3151B">
        <w:t xml:space="preserve">autonomy and </w:t>
      </w:r>
      <w:r w:rsidR="001D4B0C" w:rsidRPr="00A3151B">
        <w:t xml:space="preserve">situational </w:t>
      </w:r>
      <w:r w:rsidR="00E321F0" w:rsidRPr="00A3151B">
        <w:t>vulnerability</w:t>
      </w:r>
      <w:r w:rsidR="005F7DC6" w:rsidRPr="00A3151B">
        <w:t xml:space="preserve"> (in the sense of </w:t>
      </w:r>
      <w:r w:rsidR="00650B5D" w:rsidRPr="00A3151B">
        <w:t xml:space="preserve">situational </w:t>
      </w:r>
      <w:r w:rsidR="005F7DC6" w:rsidRPr="00A3151B">
        <w:t xml:space="preserve">risks to an individual’s </w:t>
      </w:r>
      <w:r w:rsidR="009B4C13" w:rsidRPr="00A3151B">
        <w:t>autonomy of decision making</w:t>
      </w:r>
      <w:r w:rsidR="005F7DC6" w:rsidRPr="00A3151B">
        <w:t>)</w:t>
      </w:r>
      <w:r w:rsidR="00E321F0" w:rsidRPr="00A3151B">
        <w:t xml:space="preserve"> as oppositional concepts</w:t>
      </w:r>
      <w:r w:rsidR="00E82235" w:rsidRPr="00A3151B">
        <w:t xml:space="preserve"> at common law</w:t>
      </w:r>
      <w:r w:rsidRPr="00A3151B">
        <w:t xml:space="preserve">. </w:t>
      </w:r>
      <w:r w:rsidR="00DE610D" w:rsidRPr="00A3151B">
        <w:t>The courts</w:t>
      </w:r>
      <w:r w:rsidRPr="00A3151B">
        <w:t xml:space="preserve"> have been compelled to exercise the inherent jurisdiction to make declarations about intervention</w:t>
      </w:r>
      <w:r w:rsidR="00E321F0" w:rsidRPr="00A3151B">
        <w:t xml:space="preserve">s into the lives of </w:t>
      </w:r>
      <w:r w:rsidR="005F7DC6" w:rsidRPr="00A3151B">
        <w:t xml:space="preserve">those deemed to be at risk of constraint, coercion, undue influence, </w:t>
      </w:r>
      <w:r w:rsidR="00DE610D" w:rsidRPr="00A3151B">
        <w:t>and so on, even when they are deemed to have mental capacity</w:t>
      </w:r>
      <w:r w:rsidRPr="00A3151B">
        <w:t>.</w:t>
      </w:r>
      <w:r w:rsidR="001F5516" w:rsidRPr="00A3151B">
        <w:t xml:space="preserve"> </w:t>
      </w:r>
      <w:r w:rsidR="00BB0EFF" w:rsidRPr="00A3151B">
        <w:t xml:space="preserve">As Paul </w:t>
      </w:r>
      <w:proofErr w:type="spellStart"/>
      <w:r w:rsidR="00BB0EFF" w:rsidRPr="00A3151B">
        <w:t>Skowron</w:t>
      </w:r>
      <w:proofErr w:type="spellEnd"/>
      <w:r w:rsidR="00BB0EFF" w:rsidRPr="00A3151B">
        <w:t xml:space="preserve"> has observed by descriptively teasing out the way in which the concept of autonomy </w:t>
      </w:r>
      <w:r w:rsidR="00FB7E05" w:rsidRPr="00A3151B">
        <w:t>has been</w:t>
      </w:r>
      <w:r w:rsidR="00BB0EFF" w:rsidRPr="00A3151B">
        <w:t xml:space="preserve"> employed across a range of mental capacity cases, ‘i</w:t>
      </w:r>
      <w:r w:rsidR="00133EAF" w:rsidRPr="00A3151B">
        <w:t>f a person is found to have capacity, then they will be presumed to be autonomous, but that presumption may be rebutted if they are found to be vulnerable and subject to coercion</w:t>
      </w:r>
      <w:r w:rsidR="00BB0EFF" w:rsidRPr="00A3151B">
        <w:t>’</w:t>
      </w:r>
      <w:r w:rsidR="00133EAF" w:rsidRPr="00A3151B">
        <w:t>.</w:t>
      </w:r>
      <w:r w:rsidR="00BB0EFF" w:rsidRPr="00A3151B">
        <w:rPr>
          <w:rStyle w:val="FootnoteReference"/>
        </w:rPr>
        <w:footnoteReference w:id="1"/>
      </w:r>
      <w:r w:rsidRPr="00A3151B">
        <w:t xml:space="preserve"> It follows that</w:t>
      </w:r>
      <w:r w:rsidR="00403E44" w:rsidRPr="00A3151B">
        <w:t xml:space="preserve"> capacitous</w:t>
      </w:r>
      <w:r w:rsidRPr="00A3151B">
        <w:t xml:space="preserve"> vulnerable adults can be denied their decision-mak</w:t>
      </w:r>
      <w:r w:rsidR="0079171F" w:rsidRPr="00A3151B">
        <w:t xml:space="preserve">ing authority not only so that </w:t>
      </w:r>
      <w:r w:rsidR="007A4499" w:rsidRPr="00A3151B">
        <w:t>–</w:t>
      </w:r>
      <w:r w:rsidR="00A22701" w:rsidRPr="00A3151B">
        <w:t xml:space="preserve"> </w:t>
      </w:r>
      <w:r w:rsidR="007A4499" w:rsidRPr="00A3151B">
        <w:t xml:space="preserve">what the law presumes to be – more </w:t>
      </w:r>
      <w:r w:rsidR="0079171F" w:rsidRPr="00A3151B">
        <w:t>rational</w:t>
      </w:r>
      <w:r w:rsidRPr="00A3151B">
        <w:t xml:space="preserve"> decisions may be effected, but</w:t>
      </w:r>
      <w:r w:rsidR="00503D19" w:rsidRPr="00A3151B">
        <w:t xml:space="preserve"> also</w:t>
      </w:r>
      <w:r w:rsidRPr="00A3151B">
        <w:t xml:space="preserve"> in order to protect them from </w:t>
      </w:r>
      <w:r w:rsidR="00DE610D" w:rsidRPr="00A3151B">
        <w:t>malign external</w:t>
      </w:r>
      <w:r w:rsidRPr="00A3151B">
        <w:t xml:space="preserve"> influence</w:t>
      </w:r>
      <w:r w:rsidR="00DE610D" w:rsidRPr="00A3151B">
        <w:t>s</w:t>
      </w:r>
      <w:r w:rsidRPr="00A3151B">
        <w:t xml:space="preserve"> that would otherwise vitiate the</w:t>
      </w:r>
      <w:r w:rsidR="0079171F" w:rsidRPr="00A3151B">
        <w:t>ir consent to medical treatment</w:t>
      </w:r>
      <w:r w:rsidRPr="00A3151B">
        <w:t xml:space="preserve">. </w:t>
      </w:r>
    </w:p>
    <w:p w14:paraId="65EBAB9C" w14:textId="73E7E923" w:rsidR="00367FEE" w:rsidRPr="00A3151B" w:rsidRDefault="00E04BED" w:rsidP="0055799A">
      <w:pPr>
        <w:spacing w:line="480" w:lineRule="auto"/>
        <w:ind w:firstLine="720"/>
        <w:jc w:val="both"/>
      </w:pPr>
      <w:r w:rsidRPr="00A3151B">
        <w:lastRenderedPageBreak/>
        <w:t xml:space="preserve">Although recent legal scholarship – </w:t>
      </w:r>
      <w:r w:rsidR="003854FD" w:rsidRPr="00A3151B">
        <w:t>in dialogue with</w:t>
      </w:r>
      <w:r w:rsidRPr="00A3151B">
        <w:t xml:space="preserve"> feminist philosophy – has focused on the broader dimensions of vulnerability, </w:t>
      </w:r>
      <w:r w:rsidR="003854FD" w:rsidRPr="00A3151B">
        <w:t>including</w:t>
      </w:r>
      <w:r w:rsidRPr="00A3151B">
        <w:t xml:space="preserve"> </w:t>
      </w:r>
      <w:r w:rsidRPr="00A3151B">
        <w:rPr>
          <w:i/>
        </w:rPr>
        <w:t>ontological</w:t>
      </w:r>
      <w:r w:rsidRPr="00A3151B">
        <w:t xml:space="preserve"> and </w:t>
      </w:r>
      <w:r w:rsidRPr="00A3151B">
        <w:rPr>
          <w:i/>
        </w:rPr>
        <w:t>pathogenic</w:t>
      </w:r>
      <w:r w:rsidRPr="00A3151B">
        <w:t xml:space="preserve"> </w:t>
      </w:r>
      <w:r w:rsidR="003854FD" w:rsidRPr="00A3151B">
        <w:t xml:space="preserve">forms of </w:t>
      </w:r>
      <w:r w:rsidRPr="00A3151B">
        <w:t>vulnerability,</w:t>
      </w:r>
      <w:r w:rsidR="006F7143" w:rsidRPr="00A3151B">
        <w:rPr>
          <w:rStyle w:val="FootnoteReference"/>
        </w:rPr>
        <w:footnoteReference w:id="2"/>
      </w:r>
      <w:r w:rsidRPr="00A3151B">
        <w:t xml:space="preserve"> this paper is primarily concerned with diagnosing the problems with the </w:t>
      </w:r>
      <w:r w:rsidR="00A71D60" w:rsidRPr="00A3151B">
        <w:t xml:space="preserve">two </w:t>
      </w:r>
      <w:r w:rsidRPr="00A3151B">
        <w:t>standard common law response</w:t>
      </w:r>
      <w:r w:rsidR="00416013" w:rsidRPr="00A3151B">
        <w:t>s</w:t>
      </w:r>
      <w:r w:rsidRPr="00A3151B">
        <w:t xml:space="preserve"> to the</w:t>
      </w:r>
      <w:r w:rsidR="006424EC" w:rsidRPr="00A3151B">
        <w:t xml:space="preserve"> </w:t>
      </w:r>
      <w:r w:rsidR="006424EC" w:rsidRPr="00A3151B">
        <w:rPr>
          <w:i/>
        </w:rPr>
        <w:t>situational</w:t>
      </w:r>
      <w:r w:rsidRPr="00A3151B">
        <w:t xml:space="preserve"> vulnerability of capacitous adults</w:t>
      </w:r>
      <w:r w:rsidR="003854FD" w:rsidRPr="00A3151B">
        <w:t xml:space="preserve"> </w:t>
      </w:r>
      <w:r w:rsidR="006F7143" w:rsidRPr="00A3151B">
        <w:t>understood in terms of the risks to an individual’s autonomy of decision making</w:t>
      </w:r>
      <w:r w:rsidR="001D4B0C" w:rsidRPr="00A3151B">
        <w:t xml:space="preserve"> </w:t>
      </w:r>
      <w:r w:rsidR="001D4B0C" w:rsidRPr="00A3151B">
        <w:t>– for the sake of clarity, and unless otherwise stated, when the term ‘</w:t>
      </w:r>
      <w:r w:rsidR="001D4B0C" w:rsidRPr="00A3151B">
        <w:t xml:space="preserve">capacitous </w:t>
      </w:r>
      <w:r w:rsidR="001D4B0C" w:rsidRPr="00A3151B">
        <w:t>vulnerab</w:t>
      </w:r>
      <w:r w:rsidR="001D4B0C" w:rsidRPr="00A3151B">
        <w:t>le adults</w:t>
      </w:r>
      <w:r w:rsidR="001D4B0C" w:rsidRPr="00A3151B">
        <w:t xml:space="preserve">’ is employed in this paper, </w:t>
      </w:r>
      <w:r w:rsidR="001D4B0C" w:rsidRPr="00A3151B">
        <w:t xml:space="preserve">vulnerability is to interpreted in its </w:t>
      </w:r>
      <w:r w:rsidR="001D4B0C" w:rsidRPr="00A3151B">
        <w:rPr>
          <w:i/>
          <w:iCs/>
        </w:rPr>
        <w:t>situational</w:t>
      </w:r>
      <w:r w:rsidR="001D4B0C" w:rsidRPr="00A3151B">
        <w:t xml:space="preserve"> </w:t>
      </w:r>
      <w:r w:rsidR="001D4B0C" w:rsidRPr="00A3151B">
        <w:t>sense</w:t>
      </w:r>
      <w:r w:rsidR="003854FD" w:rsidRPr="00A3151B">
        <w:t>.</w:t>
      </w:r>
      <w:r w:rsidR="00E13D1D" w:rsidRPr="00A3151B">
        <w:rPr>
          <w:rStyle w:val="FootnoteReference"/>
        </w:rPr>
        <w:footnoteReference w:id="3"/>
      </w:r>
      <w:r w:rsidR="003854FD" w:rsidRPr="00A3151B">
        <w:t xml:space="preserve"> It also aims to develop</w:t>
      </w:r>
      <w:r w:rsidR="006F7143" w:rsidRPr="00A3151B">
        <w:t xml:space="preserve"> a reasonable normative framework by which to capture and promote the autonomy of capacitous vulnerable adults</w:t>
      </w:r>
      <w:r w:rsidRPr="00A3151B">
        <w:t>.</w:t>
      </w:r>
      <w:r w:rsidR="009018D4" w:rsidRPr="00A3151B">
        <w:rPr>
          <w:rStyle w:val="FootnoteReference"/>
        </w:rPr>
        <w:footnoteReference w:id="4"/>
      </w:r>
      <w:r w:rsidRPr="00A3151B">
        <w:t xml:space="preserve"> It</w:t>
      </w:r>
      <w:r w:rsidR="0055799A" w:rsidRPr="00A3151B">
        <w:t xml:space="preserve"> begins by explaining the standard characterisation</w:t>
      </w:r>
      <w:r w:rsidR="00921B15" w:rsidRPr="00A3151B">
        <w:t xml:space="preserve"> of vulnerability at common law</w:t>
      </w:r>
      <w:r w:rsidR="0055799A" w:rsidRPr="00A3151B">
        <w:t xml:space="preserve"> (§1)</w:t>
      </w:r>
      <w:r w:rsidR="00921B15" w:rsidRPr="00A3151B">
        <w:t xml:space="preserve">. </w:t>
      </w:r>
      <w:r w:rsidR="0055799A" w:rsidRPr="00A3151B">
        <w:t>It also s</w:t>
      </w:r>
      <w:r w:rsidR="00EC5E1A" w:rsidRPr="00A3151B">
        <w:t>ituate</w:t>
      </w:r>
      <w:r w:rsidR="0055799A" w:rsidRPr="00A3151B">
        <w:t>s</w:t>
      </w:r>
      <w:r w:rsidR="00EC5E1A" w:rsidRPr="00A3151B">
        <w:t xml:space="preserve"> </w:t>
      </w:r>
      <w:r w:rsidR="0055799A" w:rsidRPr="00A3151B">
        <w:t>the courts’ responses</w:t>
      </w:r>
      <w:r w:rsidR="00EC5E1A" w:rsidRPr="00A3151B">
        <w:t xml:space="preserve"> to the </w:t>
      </w:r>
      <w:r w:rsidR="00F2085A" w:rsidRPr="00A3151B">
        <w:t xml:space="preserve">situational </w:t>
      </w:r>
      <w:r w:rsidR="00EC5E1A" w:rsidRPr="00A3151B">
        <w:t xml:space="preserve">vulnerability of adults </w:t>
      </w:r>
      <w:r w:rsidR="00EC5E1A" w:rsidRPr="00A3151B">
        <w:lastRenderedPageBreak/>
        <w:t xml:space="preserve">with mental capacity in relation to John Coggon’s and José </w:t>
      </w:r>
      <w:proofErr w:type="spellStart"/>
      <w:r w:rsidR="00EC5E1A" w:rsidRPr="00A3151B">
        <w:t>Miola’s</w:t>
      </w:r>
      <w:proofErr w:type="spellEnd"/>
      <w:r w:rsidR="00EC5E1A" w:rsidRPr="00A3151B">
        <w:t xml:space="preserve"> distinction</w:t>
      </w:r>
      <w:r w:rsidR="007C01BC" w:rsidRPr="00A3151B">
        <w:t xml:space="preserve"> </w:t>
      </w:r>
      <w:r w:rsidR="00EC5E1A" w:rsidRPr="00A3151B">
        <w:t>between autonomy and liberty</w:t>
      </w:r>
      <w:r w:rsidR="007C01BC" w:rsidRPr="00A3151B">
        <w:t xml:space="preserve"> and their analysis of the competing standards that have been employed at common law to assess the rationality of decision-making processes.</w:t>
      </w:r>
      <w:r w:rsidR="0055799A" w:rsidRPr="00A3151B">
        <w:t xml:space="preserve"> </w:t>
      </w:r>
      <w:r w:rsidR="007C01BC" w:rsidRPr="00A3151B">
        <w:t xml:space="preserve">In </w:t>
      </w:r>
      <w:r w:rsidR="00557CB6" w:rsidRPr="00A3151B">
        <w:t>light of</w:t>
      </w:r>
      <w:r w:rsidR="007C01BC" w:rsidRPr="00A3151B">
        <w:t xml:space="preserve"> recent developments in feminist philosophy, specifically, the branch of feminist theory known as </w:t>
      </w:r>
      <w:r w:rsidR="007C01BC" w:rsidRPr="00A3151B">
        <w:rPr>
          <w:i/>
        </w:rPr>
        <w:t>analytic feminism</w:t>
      </w:r>
      <w:r w:rsidR="007C01BC" w:rsidRPr="00A3151B">
        <w:t xml:space="preserve">, </w:t>
      </w:r>
      <w:r w:rsidR="00346356" w:rsidRPr="00A3151B">
        <w:t xml:space="preserve">the following section </w:t>
      </w:r>
      <w:r w:rsidR="0055799A" w:rsidRPr="00A3151B">
        <w:t xml:space="preserve">(§2) </w:t>
      </w:r>
      <w:r w:rsidR="00346356" w:rsidRPr="00A3151B">
        <w:t xml:space="preserve">explores </w:t>
      </w:r>
      <w:r w:rsidR="00557CB6" w:rsidRPr="00A3151B">
        <w:t>the</w:t>
      </w:r>
      <w:r w:rsidR="00346356" w:rsidRPr="00A3151B">
        <w:t xml:space="preserve"> ways in which </w:t>
      </w:r>
      <w:r w:rsidR="00557CB6" w:rsidRPr="00A3151B">
        <w:t xml:space="preserve">this literature has problematised </w:t>
      </w:r>
      <w:r w:rsidR="0055799A" w:rsidRPr="00A3151B">
        <w:t xml:space="preserve">the </w:t>
      </w:r>
      <w:r w:rsidR="00FD2829" w:rsidRPr="00A3151B">
        <w:t xml:space="preserve">two </w:t>
      </w:r>
      <w:r w:rsidR="0055799A" w:rsidRPr="00A3151B">
        <w:t>standard common law response</w:t>
      </w:r>
      <w:r w:rsidR="00FD2829" w:rsidRPr="00A3151B">
        <w:t>s</w:t>
      </w:r>
      <w:r w:rsidR="00346356" w:rsidRPr="00A3151B">
        <w:t xml:space="preserve"> to the </w:t>
      </w:r>
      <w:r w:rsidR="00025D7E" w:rsidRPr="00A3151B">
        <w:t xml:space="preserve">situational </w:t>
      </w:r>
      <w:r w:rsidR="00346356" w:rsidRPr="00A3151B">
        <w:t>vulnerability</w:t>
      </w:r>
      <w:r w:rsidR="00557CB6" w:rsidRPr="00A3151B">
        <w:t xml:space="preserve"> of capacitous patients. It not only demonstrates the ways in which the courts have</w:t>
      </w:r>
      <w:r w:rsidR="00345D29" w:rsidRPr="00A3151B">
        <w:t xml:space="preserve"> either</w:t>
      </w:r>
      <w:r w:rsidR="00557CB6" w:rsidRPr="00A3151B">
        <w:t xml:space="preserve"> perceived </w:t>
      </w:r>
      <w:r w:rsidR="00102D03" w:rsidRPr="00A3151B">
        <w:t xml:space="preserve">the concepts of </w:t>
      </w:r>
      <w:r w:rsidR="00025D7E" w:rsidRPr="00A3151B">
        <w:t xml:space="preserve">situational </w:t>
      </w:r>
      <w:r w:rsidR="00557CB6" w:rsidRPr="00A3151B">
        <w:t xml:space="preserve">vulnerability and autonomy </w:t>
      </w:r>
      <w:r w:rsidR="00345D29" w:rsidRPr="00A3151B">
        <w:t xml:space="preserve">as </w:t>
      </w:r>
      <w:r w:rsidR="00102D03" w:rsidRPr="00A3151B">
        <w:t xml:space="preserve">conceptually </w:t>
      </w:r>
      <w:r w:rsidR="00557CB6" w:rsidRPr="00A3151B">
        <w:t xml:space="preserve">oppositional </w:t>
      </w:r>
      <w:r w:rsidR="00FD2829" w:rsidRPr="00A3151B">
        <w:t>or</w:t>
      </w:r>
      <w:r w:rsidR="00345D29" w:rsidRPr="00A3151B">
        <w:t xml:space="preserve"> failed to </w:t>
      </w:r>
      <w:r w:rsidR="00D24829" w:rsidRPr="00A3151B">
        <w:t xml:space="preserve">adequately </w:t>
      </w:r>
      <w:r w:rsidR="00345D29" w:rsidRPr="00A3151B">
        <w:t xml:space="preserve">acknowledge the </w:t>
      </w:r>
      <w:r w:rsidR="00102D03" w:rsidRPr="00A3151B">
        <w:t xml:space="preserve">conceptual </w:t>
      </w:r>
      <w:r w:rsidR="00F756BC" w:rsidRPr="00A3151B">
        <w:t>relationship</w:t>
      </w:r>
      <w:r w:rsidR="00FD2829" w:rsidRPr="00A3151B">
        <w:t xml:space="preserve"> </w:t>
      </w:r>
      <w:r w:rsidR="00F756BC" w:rsidRPr="00A3151B">
        <w:t>between them</w:t>
      </w:r>
      <w:r w:rsidR="00557CB6" w:rsidRPr="00A3151B">
        <w:t xml:space="preserve">, but also articulates the </w:t>
      </w:r>
      <w:r w:rsidR="00102D03" w:rsidRPr="00A3151B">
        <w:t xml:space="preserve">effects on an individual’s autonomy when </w:t>
      </w:r>
      <w:r w:rsidR="00DA084E" w:rsidRPr="00A3151B">
        <w:t xml:space="preserve">the courts </w:t>
      </w:r>
      <w:r w:rsidR="00102D03" w:rsidRPr="00A3151B">
        <w:t>respond to a competent</w:t>
      </w:r>
      <w:r w:rsidR="00DA084E" w:rsidRPr="00A3151B">
        <w:t xml:space="preserve"> patient’s </w:t>
      </w:r>
      <w:r w:rsidR="00025D7E" w:rsidRPr="00A3151B">
        <w:t xml:space="preserve">situational </w:t>
      </w:r>
      <w:r w:rsidR="00DA084E" w:rsidRPr="00A3151B">
        <w:t>vulnerability</w:t>
      </w:r>
      <w:r w:rsidR="00102D03" w:rsidRPr="00A3151B">
        <w:t xml:space="preserve"> on the basis of the perceived conceptual incompatibility between vulnerability and autonomy</w:t>
      </w:r>
      <w:r w:rsidR="00557CB6" w:rsidRPr="00A3151B">
        <w:t>.</w:t>
      </w:r>
      <w:r w:rsidR="007C01BC" w:rsidRPr="00A3151B">
        <w:t xml:space="preserve"> </w:t>
      </w:r>
      <w:r w:rsidR="00DA084E" w:rsidRPr="00A3151B">
        <w:t>In response to this perceived opposition</w:t>
      </w:r>
      <w:r w:rsidR="00D151EB" w:rsidRPr="00A3151B">
        <w:t xml:space="preserve"> </w:t>
      </w:r>
      <w:r w:rsidR="00BB7775" w:rsidRPr="00A3151B">
        <w:t>and</w:t>
      </w:r>
      <w:r w:rsidR="002734C9" w:rsidRPr="00A3151B">
        <w:t xml:space="preserve"> insufficiently acknowledged </w:t>
      </w:r>
      <w:r w:rsidR="00025D7E" w:rsidRPr="00A3151B">
        <w:t xml:space="preserve">conceptual </w:t>
      </w:r>
      <w:r w:rsidR="002734C9" w:rsidRPr="00A3151B">
        <w:t>relatedness</w:t>
      </w:r>
      <w:r w:rsidR="00DA084E" w:rsidRPr="00A3151B">
        <w:t xml:space="preserve">, </w:t>
      </w:r>
      <w:r w:rsidR="0055799A" w:rsidRPr="00A3151B">
        <w:t>certain</w:t>
      </w:r>
      <w:r w:rsidR="00447735" w:rsidRPr="00A3151B">
        <w:t xml:space="preserve"> </w:t>
      </w:r>
      <w:r w:rsidR="00DA084E" w:rsidRPr="00A3151B">
        <w:t xml:space="preserve">analytic feminists have argued that autonomy and </w:t>
      </w:r>
      <w:r w:rsidR="004C2B9A" w:rsidRPr="00A3151B">
        <w:t xml:space="preserve">situational </w:t>
      </w:r>
      <w:r w:rsidR="00DA084E" w:rsidRPr="00A3151B">
        <w:t xml:space="preserve">vulnerability are, in fact, </w:t>
      </w:r>
      <w:r w:rsidR="00C26B52" w:rsidRPr="00A3151B">
        <w:rPr>
          <w:i/>
        </w:rPr>
        <w:t>necessarily</w:t>
      </w:r>
      <w:r w:rsidR="00C26B52" w:rsidRPr="00A3151B">
        <w:t xml:space="preserve"> </w:t>
      </w:r>
      <w:r w:rsidR="00DA084E" w:rsidRPr="00A3151B">
        <w:t>entwined</w:t>
      </w:r>
      <w:r w:rsidR="00102D03" w:rsidRPr="00A3151B">
        <w:t xml:space="preserve"> concepts</w:t>
      </w:r>
      <w:r w:rsidR="00DA084E" w:rsidRPr="00A3151B">
        <w:t>.</w:t>
      </w:r>
      <w:r w:rsidR="0055799A" w:rsidRPr="00A3151B">
        <w:t xml:space="preserve"> </w:t>
      </w:r>
      <w:r w:rsidR="00C26B52" w:rsidRPr="00A3151B">
        <w:t>However, as the following section</w:t>
      </w:r>
      <w:r w:rsidR="0055799A" w:rsidRPr="00A3151B">
        <w:t xml:space="preserve"> (§3)</w:t>
      </w:r>
      <w:r w:rsidR="00C26B52" w:rsidRPr="00A3151B">
        <w:t xml:space="preserve"> illustrates, </w:t>
      </w:r>
      <w:r w:rsidR="00DA084E" w:rsidRPr="00A3151B">
        <w:t xml:space="preserve">the claim that the concepts of autonomy and </w:t>
      </w:r>
      <w:r w:rsidR="00025D7E" w:rsidRPr="00A3151B">
        <w:t xml:space="preserve">situational </w:t>
      </w:r>
      <w:r w:rsidR="00DA084E" w:rsidRPr="00A3151B">
        <w:t xml:space="preserve">vulnerability are </w:t>
      </w:r>
      <w:r w:rsidR="00DA084E" w:rsidRPr="00A3151B">
        <w:rPr>
          <w:i/>
        </w:rPr>
        <w:t>necessarily</w:t>
      </w:r>
      <w:r w:rsidR="00DA084E" w:rsidRPr="00A3151B">
        <w:t xml:space="preserve"> entwined cannot be based solely on mental capacity considerations, standards of informed consent or processes of ‘unencumbered decision making’ as traditionally employed in discussions of vulnerable adults and, more generally, patient autonomy.</w:t>
      </w:r>
      <w:r w:rsidR="00E579A2" w:rsidRPr="00A3151B">
        <w:t xml:space="preserve"> Furthermore, it will be shown </w:t>
      </w:r>
      <w:r w:rsidR="00447735" w:rsidRPr="00A3151B">
        <w:t>that</w:t>
      </w:r>
      <w:r w:rsidR="00E579A2" w:rsidRPr="00A3151B">
        <w:t xml:space="preserve"> </w:t>
      </w:r>
      <w:r w:rsidR="0055799A" w:rsidRPr="00A3151B">
        <w:t xml:space="preserve">certain </w:t>
      </w:r>
      <w:r w:rsidR="00367FEE" w:rsidRPr="00A3151B">
        <w:t>approaches to the concept of</w:t>
      </w:r>
      <w:r w:rsidR="0055799A" w:rsidRPr="00A3151B">
        <w:t xml:space="preserve"> ‘relational autonomy’</w:t>
      </w:r>
      <w:r w:rsidR="00367FEE" w:rsidRPr="00A3151B">
        <w:t xml:space="preserve"> in analytic feminism </w:t>
      </w:r>
      <w:r w:rsidR="00E579A2" w:rsidRPr="00A3151B">
        <w:t xml:space="preserve">also fail to capture the </w:t>
      </w:r>
      <w:r w:rsidR="00E579A2" w:rsidRPr="00A3151B">
        <w:rPr>
          <w:i/>
        </w:rPr>
        <w:t>necessary</w:t>
      </w:r>
      <w:r w:rsidR="00E579A2" w:rsidRPr="00A3151B">
        <w:t xml:space="preserve"> harms to the autonomy of capacitous vulnerable adults that result from common law </w:t>
      </w:r>
      <w:r w:rsidR="00025D7E" w:rsidRPr="00A3151B">
        <w:t>approaches to the conceptual relationship between autonomy and situational vulnerability</w:t>
      </w:r>
      <w:r w:rsidR="00E579A2" w:rsidRPr="00A3151B">
        <w:t>.</w:t>
      </w:r>
      <w:r w:rsidR="0055799A" w:rsidRPr="00A3151B">
        <w:t xml:space="preserve"> </w:t>
      </w:r>
    </w:p>
    <w:p w14:paraId="27709808" w14:textId="6AD93DC3" w:rsidR="00FB7E05" w:rsidRPr="00A3151B" w:rsidRDefault="00217FFD" w:rsidP="00863619">
      <w:pPr>
        <w:spacing w:line="480" w:lineRule="auto"/>
        <w:ind w:firstLine="720"/>
        <w:jc w:val="both"/>
      </w:pPr>
      <w:r w:rsidRPr="00A3151B">
        <w:t>Having diagnosed the problems with</w:t>
      </w:r>
      <w:r w:rsidR="006424EC" w:rsidRPr="00A3151B">
        <w:t xml:space="preserve"> common law response</w:t>
      </w:r>
      <w:r w:rsidR="00BB7775" w:rsidRPr="00A3151B">
        <w:t>s</w:t>
      </w:r>
      <w:r w:rsidRPr="00A3151B">
        <w:t xml:space="preserve"> to the </w:t>
      </w:r>
      <w:r w:rsidR="00025D7E" w:rsidRPr="00A3151B">
        <w:t xml:space="preserve">situational </w:t>
      </w:r>
      <w:r w:rsidRPr="00A3151B">
        <w:t>vulnerability of capacitous adults, the final section</w:t>
      </w:r>
      <w:r w:rsidR="0055799A" w:rsidRPr="00A3151B">
        <w:t xml:space="preserve"> (§4)</w:t>
      </w:r>
      <w:r w:rsidRPr="00A3151B">
        <w:t xml:space="preserve"> </w:t>
      </w:r>
      <w:r w:rsidR="00174CEA" w:rsidRPr="00A3151B">
        <w:t>extends</w:t>
      </w:r>
      <w:r w:rsidRPr="00A3151B">
        <w:t xml:space="preserve"> recent analytic feminist scholarship </w:t>
      </w:r>
      <w:r w:rsidR="00E579A2" w:rsidRPr="00A3151B">
        <w:t>to</w:t>
      </w:r>
      <w:r w:rsidRPr="00A3151B">
        <w:t xml:space="preserve"> </w:t>
      </w:r>
      <w:r w:rsidR="00E579A2" w:rsidRPr="00A3151B">
        <w:t>argue</w:t>
      </w:r>
      <w:r w:rsidRPr="00A3151B">
        <w:t xml:space="preserve"> for a particular approach to relational autonomy, one that </w:t>
      </w:r>
      <w:r w:rsidR="00E579A2" w:rsidRPr="00A3151B">
        <w:t xml:space="preserve">not only </w:t>
      </w:r>
      <w:r w:rsidR="00684B02" w:rsidRPr="00A3151B">
        <w:t xml:space="preserve">better </w:t>
      </w:r>
      <w:r w:rsidR="00684B02" w:rsidRPr="00A3151B">
        <w:lastRenderedPageBreak/>
        <w:t>supports the primary aim of the inherent jurisdiction (i.e., to facilitate autonomy of decision making)</w:t>
      </w:r>
      <w:r w:rsidR="00E579A2" w:rsidRPr="00A3151B">
        <w:t xml:space="preserve">, but </w:t>
      </w:r>
      <w:r w:rsidR="00966874" w:rsidRPr="00A3151B">
        <w:t>also</w:t>
      </w:r>
      <w:r w:rsidR="00D20623" w:rsidRPr="00A3151B">
        <w:t xml:space="preserve"> bridg</w:t>
      </w:r>
      <w:r w:rsidRPr="00A3151B">
        <w:t>es</w:t>
      </w:r>
      <w:r w:rsidR="00D20623" w:rsidRPr="00A3151B">
        <w:t xml:space="preserve"> the gap between a patient’s autonomy and their liberty at law</w:t>
      </w:r>
      <w:r w:rsidRPr="00A3151B">
        <w:t xml:space="preserve"> (</w:t>
      </w:r>
      <w:r w:rsidR="00D20623" w:rsidRPr="00A3151B">
        <w:t>a gap that, according to legal scholars, has proven to be particularly difficult to navigate</w:t>
      </w:r>
      <w:r w:rsidRPr="00A3151B">
        <w:t>)</w:t>
      </w:r>
      <w:r w:rsidR="00D20623" w:rsidRPr="00A3151B">
        <w:t>.</w:t>
      </w:r>
      <w:r w:rsidR="00D20623" w:rsidRPr="00A3151B">
        <w:rPr>
          <w:vertAlign w:val="superscript"/>
        </w:rPr>
        <w:footnoteReference w:id="5"/>
      </w:r>
      <w:r w:rsidR="00313809" w:rsidRPr="00A3151B">
        <w:t xml:space="preserve"> </w:t>
      </w:r>
      <w:r w:rsidR="0055799A" w:rsidRPr="00A3151B">
        <w:t xml:space="preserve">This particular approach to autonomy is used to argue </w:t>
      </w:r>
      <w:r w:rsidR="00E24A8E" w:rsidRPr="00A3151B">
        <w:t>for the</w:t>
      </w:r>
      <w:r w:rsidRPr="00A3151B">
        <w:t xml:space="preserve"> duty to promote the autonomy of capacitous vulnerable adults </w:t>
      </w:r>
      <w:r w:rsidRPr="00A3151B">
        <w:rPr>
          <w:i/>
        </w:rPr>
        <w:t>where possible</w:t>
      </w:r>
      <w:r w:rsidRPr="00A3151B">
        <w:t>, whilst rema</w:t>
      </w:r>
      <w:r w:rsidR="00174CEA" w:rsidRPr="00A3151B">
        <w:t>ining considerate of, and poten</w:t>
      </w:r>
      <w:r w:rsidRPr="00A3151B">
        <w:t>t</w:t>
      </w:r>
      <w:r w:rsidR="00174CEA" w:rsidRPr="00A3151B">
        <w:t>ially</w:t>
      </w:r>
      <w:r w:rsidRPr="00A3151B">
        <w:t xml:space="preserve"> responsive to</w:t>
      </w:r>
      <w:r w:rsidR="00174CEA" w:rsidRPr="00A3151B">
        <w:t>,</w:t>
      </w:r>
      <w:r w:rsidRPr="00A3151B">
        <w:t xml:space="preserve"> </w:t>
      </w:r>
      <w:r w:rsidR="00174CEA" w:rsidRPr="00A3151B">
        <w:t xml:space="preserve">more established duties of protection. </w:t>
      </w:r>
      <w:r w:rsidR="0086693F" w:rsidRPr="00A3151B">
        <w:t>Consequently, this section presents some general normative considerations by which health care practitioners</w:t>
      </w:r>
      <w:r w:rsidR="00025D7E" w:rsidRPr="00A3151B">
        <w:t xml:space="preserve"> and the courts</w:t>
      </w:r>
      <w:r w:rsidR="0086693F" w:rsidRPr="00A3151B">
        <w:t xml:space="preserve"> can navigate the tension between their duty to promote the autonomy of capacitous vulnerable adults and the duty to protect them from harms to their </w:t>
      </w:r>
      <w:r w:rsidR="0055799A" w:rsidRPr="00A3151B">
        <w:t xml:space="preserve">health and </w:t>
      </w:r>
      <w:r w:rsidR="0086693F" w:rsidRPr="00A3151B">
        <w:t xml:space="preserve">well-being </w:t>
      </w:r>
      <w:r w:rsidR="0055799A" w:rsidRPr="00A3151B">
        <w:t>in general</w:t>
      </w:r>
      <w:r w:rsidR="0086693F" w:rsidRPr="00A3151B">
        <w:t xml:space="preserve">. </w:t>
      </w:r>
      <w:r w:rsidR="00D20623" w:rsidRPr="00A3151B">
        <w:t xml:space="preserve"> </w:t>
      </w:r>
      <w:r w:rsidR="00811B13" w:rsidRPr="00A3151B">
        <w:t xml:space="preserve"> </w:t>
      </w:r>
    </w:p>
    <w:p w14:paraId="2B234413" w14:textId="77777777" w:rsidR="00025D7E" w:rsidRPr="00A3151B" w:rsidRDefault="00025D7E" w:rsidP="00863619">
      <w:pPr>
        <w:spacing w:line="480" w:lineRule="auto"/>
        <w:ind w:firstLine="720"/>
        <w:jc w:val="both"/>
      </w:pPr>
    </w:p>
    <w:p w14:paraId="139927A5" w14:textId="78B34423" w:rsidR="00BD3975" w:rsidRPr="00A3151B" w:rsidRDefault="007E7AE9" w:rsidP="00314F3D">
      <w:pPr>
        <w:pStyle w:val="ListParagraph"/>
        <w:numPr>
          <w:ilvl w:val="0"/>
          <w:numId w:val="18"/>
        </w:numPr>
        <w:tabs>
          <w:tab w:val="left" w:pos="5020"/>
        </w:tabs>
        <w:spacing w:line="480" w:lineRule="auto"/>
        <w:ind w:left="360" w:hanging="360"/>
        <w:jc w:val="center"/>
        <w:rPr>
          <w:rFonts w:ascii="Times New Roman" w:hAnsi="Times New Roman" w:cs="Times New Roman"/>
          <w:b/>
          <w:lang w:val="en-GB"/>
        </w:rPr>
      </w:pPr>
      <w:r w:rsidRPr="00A3151B">
        <w:rPr>
          <w:rFonts w:ascii="Times New Roman" w:hAnsi="Times New Roman" w:cs="Times New Roman"/>
          <w:b/>
          <w:lang w:val="en-GB"/>
        </w:rPr>
        <w:t>LIBERTY</w:t>
      </w:r>
      <w:r w:rsidR="00314F3D" w:rsidRPr="00A3151B">
        <w:rPr>
          <w:rFonts w:ascii="Times New Roman" w:hAnsi="Times New Roman" w:cs="Times New Roman"/>
          <w:b/>
          <w:lang w:val="en-GB"/>
        </w:rPr>
        <w:t xml:space="preserve">, AUTONOMY AND THE </w:t>
      </w:r>
      <w:r w:rsidR="00E82235" w:rsidRPr="00A3151B">
        <w:rPr>
          <w:rFonts w:ascii="Times New Roman" w:hAnsi="Times New Roman" w:cs="Times New Roman"/>
          <w:b/>
          <w:lang w:val="en-GB"/>
        </w:rPr>
        <w:t xml:space="preserve">SITUATIONALLY </w:t>
      </w:r>
      <w:r w:rsidR="00314F3D" w:rsidRPr="00A3151B">
        <w:rPr>
          <w:rFonts w:ascii="Times New Roman" w:hAnsi="Times New Roman" w:cs="Times New Roman"/>
          <w:b/>
          <w:lang w:val="en-GB"/>
        </w:rPr>
        <w:t>VULNERABLE ADULT</w:t>
      </w:r>
    </w:p>
    <w:p w14:paraId="6B46C81C" w14:textId="77777777" w:rsidR="00BD3975" w:rsidRPr="00A3151B" w:rsidRDefault="00BD3975" w:rsidP="00314F3D">
      <w:pPr>
        <w:tabs>
          <w:tab w:val="left" w:pos="5020"/>
        </w:tabs>
        <w:spacing w:line="480" w:lineRule="auto"/>
        <w:jc w:val="both"/>
        <w:rPr>
          <w:b/>
        </w:rPr>
      </w:pPr>
    </w:p>
    <w:p w14:paraId="45A6C9C0" w14:textId="488D4AF6" w:rsidR="00150E87" w:rsidRPr="00A3151B" w:rsidRDefault="00E321F0" w:rsidP="00314F3D">
      <w:pPr>
        <w:tabs>
          <w:tab w:val="left" w:pos="5020"/>
        </w:tabs>
        <w:spacing w:line="480" w:lineRule="auto"/>
        <w:jc w:val="both"/>
      </w:pPr>
      <w:r w:rsidRPr="00A3151B">
        <w:t xml:space="preserve">Informed consent </w:t>
      </w:r>
      <w:r w:rsidR="00BB18BF" w:rsidRPr="00A3151B">
        <w:t xml:space="preserve">is the standard mechanism through which a patient </w:t>
      </w:r>
      <w:r w:rsidR="0021177C" w:rsidRPr="00A3151B">
        <w:t xml:space="preserve">exercises their liberty at law to reach a decision on the basis of their </w:t>
      </w:r>
      <w:r w:rsidR="0021177C" w:rsidRPr="00A3151B">
        <w:rPr>
          <w:i/>
        </w:rPr>
        <w:t>sovereignty</w:t>
      </w:r>
      <w:r w:rsidR="00794151" w:rsidRPr="00A3151B">
        <w:t xml:space="preserve"> – the </w:t>
      </w:r>
      <w:r w:rsidR="000E71B5" w:rsidRPr="00A3151B">
        <w:t xml:space="preserve">domain that </w:t>
      </w:r>
      <w:r w:rsidR="00BC6114" w:rsidRPr="00A3151B">
        <w:t>protects individuals from non-consensual bodily interference</w:t>
      </w:r>
      <w:r w:rsidR="000E71B5" w:rsidRPr="00A3151B">
        <w:t>.</w:t>
      </w:r>
      <w:r w:rsidR="000E71B5" w:rsidRPr="00A3151B">
        <w:rPr>
          <w:rStyle w:val="FootnoteReference"/>
        </w:rPr>
        <w:footnoteReference w:id="6"/>
      </w:r>
      <w:r w:rsidR="003B66D6" w:rsidRPr="00A3151B">
        <w:t xml:space="preserve"> </w:t>
      </w:r>
      <w:r w:rsidRPr="00A3151B">
        <w:t>V</w:t>
      </w:r>
      <w:r w:rsidR="003B66D6" w:rsidRPr="00A3151B">
        <w:t>iolations of a pati</w:t>
      </w:r>
      <w:r w:rsidRPr="00A3151B">
        <w:t xml:space="preserve">ent’s sovereignty are wrong because </w:t>
      </w:r>
      <w:r w:rsidR="003B66D6" w:rsidRPr="00A3151B">
        <w:t>they are</w:t>
      </w:r>
      <w:r w:rsidR="00A24BC7" w:rsidRPr="00A3151B">
        <w:t xml:space="preserve"> considered to be trespasses</w:t>
      </w:r>
      <w:r w:rsidR="003B66D6" w:rsidRPr="00A3151B">
        <w:t xml:space="preserve"> upon t</w:t>
      </w:r>
      <w:r w:rsidR="00A24BC7" w:rsidRPr="00A3151B">
        <w:t xml:space="preserve">he body </w:t>
      </w:r>
      <w:r w:rsidR="00BC6114" w:rsidRPr="00A3151B">
        <w:t>without</w:t>
      </w:r>
      <w:r w:rsidR="001E1047" w:rsidRPr="00A3151B">
        <w:t xml:space="preserve"> explicit, voluntary </w:t>
      </w:r>
      <w:r w:rsidR="003B66D6" w:rsidRPr="00A3151B">
        <w:t>consent as opposed to specif</w:t>
      </w:r>
      <w:r w:rsidR="00A24BC7" w:rsidRPr="00A3151B">
        <w:t xml:space="preserve">ic interferences </w:t>
      </w:r>
      <w:r w:rsidR="00794151" w:rsidRPr="00A3151B">
        <w:t>with the reasoning processes</w:t>
      </w:r>
      <w:r w:rsidR="003B66D6" w:rsidRPr="00A3151B">
        <w:t xml:space="preserve"> </w:t>
      </w:r>
      <w:r w:rsidR="00794151" w:rsidRPr="00A3151B">
        <w:t xml:space="preserve">that govern </w:t>
      </w:r>
      <w:r w:rsidRPr="00A3151B">
        <w:t>a patient’s</w:t>
      </w:r>
      <w:r w:rsidR="00794151" w:rsidRPr="00A3151B">
        <w:t xml:space="preserve"> behaviour</w:t>
      </w:r>
      <w:r w:rsidR="003B66D6" w:rsidRPr="00A3151B">
        <w:t>.</w:t>
      </w:r>
      <w:r w:rsidR="00A06BAE" w:rsidRPr="00A3151B">
        <w:t xml:space="preserve"> Consequently, </w:t>
      </w:r>
      <w:r w:rsidR="00BC6114" w:rsidRPr="00A3151B">
        <w:t xml:space="preserve">if there is a domain over which the patient is sovereign, </w:t>
      </w:r>
      <w:r w:rsidR="007A1EA0" w:rsidRPr="00A3151B">
        <w:t xml:space="preserve">then, on the basis of </w:t>
      </w:r>
      <w:r w:rsidR="00BD3382" w:rsidRPr="00A3151B">
        <w:t>settled leg</w:t>
      </w:r>
      <w:r w:rsidR="007A1EA0" w:rsidRPr="00A3151B">
        <w:t xml:space="preserve">al principle, </w:t>
      </w:r>
      <w:r w:rsidR="00BC6114" w:rsidRPr="00A3151B">
        <w:t xml:space="preserve">lawful reason is required before it </w:t>
      </w:r>
      <w:r w:rsidR="00BD3382" w:rsidRPr="00A3151B">
        <w:t xml:space="preserve">is permissible to breach </w:t>
      </w:r>
      <w:r w:rsidR="003D65AC" w:rsidRPr="00A3151B">
        <w:t xml:space="preserve">her </w:t>
      </w:r>
      <w:r w:rsidR="00794151" w:rsidRPr="00A3151B">
        <w:t>bodily integrity</w:t>
      </w:r>
      <w:r w:rsidR="00BC6114" w:rsidRPr="00A3151B">
        <w:t>.</w:t>
      </w:r>
      <w:r w:rsidR="00BD3382" w:rsidRPr="00A3151B">
        <w:rPr>
          <w:rStyle w:val="FootnoteReference"/>
        </w:rPr>
        <w:footnoteReference w:id="7"/>
      </w:r>
      <w:r w:rsidR="00BD3382" w:rsidRPr="00A3151B">
        <w:t xml:space="preserve"> </w:t>
      </w:r>
      <w:r w:rsidR="001E1047" w:rsidRPr="00A3151B">
        <w:t xml:space="preserve">However, </w:t>
      </w:r>
      <w:r w:rsidR="00BD3382" w:rsidRPr="00A3151B">
        <w:t>juvenility, mental impairment and factual ignorance all may bar a person from h</w:t>
      </w:r>
      <w:r w:rsidR="00503D19" w:rsidRPr="00A3151B">
        <w:t>aving liberty at law</w:t>
      </w:r>
      <w:r w:rsidR="00BD3382" w:rsidRPr="00A3151B">
        <w:t>.</w:t>
      </w:r>
      <w:r w:rsidR="00BD3382" w:rsidRPr="00A3151B">
        <w:rPr>
          <w:rStyle w:val="FootnoteReference"/>
        </w:rPr>
        <w:footnoteReference w:id="8"/>
      </w:r>
      <w:r w:rsidR="00BD3382" w:rsidRPr="00A3151B">
        <w:t xml:space="preserve"> </w:t>
      </w:r>
    </w:p>
    <w:p w14:paraId="1F6F0640" w14:textId="1049D998" w:rsidR="007631CF" w:rsidRPr="00A3151B" w:rsidRDefault="00EE7F08" w:rsidP="00314F3D">
      <w:pPr>
        <w:tabs>
          <w:tab w:val="left" w:pos="720"/>
        </w:tabs>
        <w:spacing w:line="480" w:lineRule="auto"/>
        <w:jc w:val="both"/>
        <w:rPr>
          <w:lang w:val="en-US"/>
        </w:rPr>
      </w:pPr>
      <w:r w:rsidRPr="00A3151B">
        <w:lastRenderedPageBreak/>
        <w:tab/>
      </w:r>
      <w:r w:rsidR="00794151" w:rsidRPr="00A3151B">
        <w:t>E</w:t>
      </w:r>
      <w:r w:rsidR="00055A8E" w:rsidRPr="00A3151B">
        <w:t>mploying informed consent as the instrument through which an individual exerts their rightful authority to make a medical decision</w:t>
      </w:r>
      <w:r w:rsidR="007A1EA0" w:rsidRPr="00A3151B">
        <w:t xml:space="preserve"> is problematic because</w:t>
      </w:r>
      <w:r w:rsidR="00055A8E" w:rsidRPr="00A3151B">
        <w:t xml:space="preserve"> it has led to</w:t>
      </w:r>
      <w:r w:rsidR="003716AB" w:rsidRPr="00A3151B">
        <w:t xml:space="preserve">: </w:t>
      </w:r>
      <w:r w:rsidR="00E82235" w:rsidRPr="00A3151B">
        <w:t>(</w:t>
      </w:r>
      <w:proofErr w:type="spellStart"/>
      <w:r w:rsidR="003716AB" w:rsidRPr="00A3151B">
        <w:t>i</w:t>
      </w:r>
      <w:proofErr w:type="spellEnd"/>
      <w:r w:rsidR="003716AB" w:rsidRPr="00A3151B">
        <w:t>)</w:t>
      </w:r>
      <w:r w:rsidR="00055A8E" w:rsidRPr="00A3151B">
        <w:t xml:space="preserve"> the courts confusing the language of autonomy with the concept of liberty</w:t>
      </w:r>
      <w:r w:rsidR="003716AB" w:rsidRPr="00A3151B">
        <w:t>;</w:t>
      </w:r>
      <w:r w:rsidR="00BC7A00" w:rsidRPr="00A3151B">
        <w:t xml:space="preserve"> </w:t>
      </w:r>
      <w:r w:rsidR="003F6149" w:rsidRPr="00A3151B">
        <w:t>and</w:t>
      </w:r>
      <w:r w:rsidR="003716AB" w:rsidRPr="00A3151B">
        <w:t xml:space="preserve"> </w:t>
      </w:r>
      <w:r w:rsidR="00BC4431" w:rsidRPr="00A3151B">
        <w:t xml:space="preserve">(ii) </w:t>
      </w:r>
      <w:r w:rsidR="003716AB" w:rsidRPr="00A3151B">
        <w:t>the</w:t>
      </w:r>
      <w:r w:rsidR="00BC4431" w:rsidRPr="00A3151B">
        <w:t xml:space="preserve"> running together of the</w:t>
      </w:r>
      <w:r w:rsidR="003716AB" w:rsidRPr="00A3151B">
        <w:t xml:space="preserve"> conditions for autonomy </w:t>
      </w:r>
      <w:r w:rsidR="00BC4431" w:rsidRPr="00A3151B">
        <w:t>and</w:t>
      </w:r>
      <w:r w:rsidR="003716AB" w:rsidRPr="00A3151B">
        <w:t xml:space="preserve"> the conditions for mental capacity</w:t>
      </w:r>
      <w:r w:rsidR="00BC4431" w:rsidRPr="00A3151B">
        <w:t xml:space="preserve"> in the M</w:t>
      </w:r>
      <w:r w:rsidR="00C73114" w:rsidRPr="00A3151B">
        <w:t xml:space="preserve">ental </w:t>
      </w:r>
      <w:r w:rsidR="00BC4431" w:rsidRPr="00A3151B">
        <w:t>C</w:t>
      </w:r>
      <w:r w:rsidR="00C73114" w:rsidRPr="00A3151B">
        <w:t xml:space="preserve">apacity </w:t>
      </w:r>
      <w:r w:rsidR="00BC4431" w:rsidRPr="00A3151B">
        <w:t>A</w:t>
      </w:r>
      <w:r w:rsidR="00C73114" w:rsidRPr="00A3151B">
        <w:t>ct</w:t>
      </w:r>
      <w:r w:rsidR="00773614" w:rsidRPr="00A3151B">
        <w:t xml:space="preserve"> 2005</w:t>
      </w:r>
      <w:r w:rsidR="003716AB" w:rsidRPr="00A3151B">
        <w:t>.</w:t>
      </w:r>
      <w:r w:rsidR="00773614" w:rsidRPr="00A3151B">
        <w:t xml:space="preserve"> In terms of the autonomy</w:t>
      </w:r>
      <w:r w:rsidR="00C73114" w:rsidRPr="00A3151B">
        <w:t>-</w:t>
      </w:r>
      <w:r w:rsidR="00773614" w:rsidRPr="00A3151B">
        <w:t xml:space="preserve">liberty distinction, </w:t>
      </w:r>
      <w:r w:rsidR="007A1EA0" w:rsidRPr="00A3151B">
        <w:t>t</w:t>
      </w:r>
      <w:r w:rsidR="009B4507" w:rsidRPr="00A3151B">
        <w:t xml:space="preserve">he courts have assumed that if a physician imparts to a patient a list of </w:t>
      </w:r>
      <w:r w:rsidR="00A169C7" w:rsidRPr="00A3151B">
        <w:t>medically relevant information</w:t>
      </w:r>
      <w:r w:rsidR="009B4507" w:rsidRPr="00A3151B">
        <w:t xml:space="preserve"> associated with a treatment and allows the </w:t>
      </w:r>
      <w:r w:rsidR="00C62E1E" w:rsidRPr="00A3151B">
        <w:t>latter</w:t>
      </w:r>
      <w:r w:rsidR="009B4507" w:rsidRPr="00A3151B">
        <w:t xml:space="preserve"> to choose based on that information, then the patient’s decision is rendered autonomous.</w:t>
      </w:r>
      <w:r w:rsidR="007A1EA0" w:rsidRPr="00A3151B">
        <w:rPr>
          <w:rStyle w:val="FootnoteReference"/>
        </w:rPr>
        <w:footnoteReference w:id="9"/>
      </w:r>
      <w:r w:rsidR="00FC4CE2" w:rsidRPr="00A3151B">
        <w:t xml:space="preserve"> </w:t>
      </w:r>
      <w:r w:rsidR="007A1EA0" w:rsidRPr="00A3151B">
        <w:t>However</w:t>
      </w:r>
      <w:r w:rsidR="00956C27" w:rsidRPr="00A3151B">
        <w:t>, s</w:t>
      </w:r>
      <w:r w:rsidR="009B4507" w:rsidRPr="00A3151B">
        <w:t xml:space="preserve">uch an approach </w:t>
      </w:r>
      <w:r w:rsidR="00E45F20" w:rsidRPr="00A3151B">
        <w:t>provides no assurances</w:t>
      </w:r>
      <w:r w:rsidR="000A1E89" w:rsidRPr="00A3151B">
        <w:t xml:space="preserve"> </w:t>
      </w:r>
      <w:r w:rsidR="00956C27" w:rsidRPr="00A3151B">
        <w:t xml:space="preserve">that </w:t>
      </w:r>
      <w:r w:rsidR="00E321F0" w:rsidRPr="00A3151B">
        <w:t>the patient</w:t>
      </w:r>
      <w:r w:rsidR="00C62E1E" w:rsidRPr="00A3151B">
        <w:t xml:space="preserve"> </w:t>
      </w:r>
      <w:r w:rsidR="00956C27" w:rsidRPr="00A3151B">
        <w:t>has, in fact, understood</w:t>
      </w:r>
      <w:r w:rsidR="007A1EA0" w:rsidRPr="00A3151B">
        <w:t xml:space="preserve"> or rationally deliberated on</w:t>
      </w:r>
      <w:r w:rsidR="00956C27" w:rsidRPr="00A3151B">
        <w:t xml:space="preserve"> </w:t>
      </w:r>
      <w:r w:rsidR="00191CFA" w:rsidRPr="00A3151B">
        <w:t>the information w</w:t>
      </w:r>
      <w:r w:rsidR="007A1EA0" w:rsidRPr="00A3151B">
        <w:t>ith which she has been provided</w:t>
      </w:r>
      <w:r w:rsidR="007631CF" w:rsidRPr="00A3151B">
        <w:t>.</w:t>
      </w:r>
      <w:r w:rsidR="008813CC" w:rsidRPr="00A3151B">
        <w:rPr>
          <w:rStyle w:val="FootnoteReference"/>
        </w:rPr>
        <w:footnoteReference w:id="10"/>
      </w:r>
      <w:r w:rsidR="007631CF" w:rsidRPr="00A3151B">
        <w:t xml:space="preserve"> </w:t>
      </w:r>
      <w:r w:rsidR="008C4722" w:rsidRPr="00A3151B">
        <w:t>Furthermore, with regards to mental capacity and autonomy</w:t>
      </w:r>
      <w:r w:rsidR="008501C3" w:rsidRPr="00A3151B">
        <w:t xml:space="preserve">, </w:t>
      </w:r>
      <w:r w:rsidR="004B48E2" w:rsidRPr="00A3151B">
        <w:t xml:space="preserve">although </w:t>
      </w:r>
      <w:r w:rsidR="008166CF" w:rsidRPr="00A3151B">
        <w:t>the former</w:t>
      </w:r>
      <w:r w:rsidR="00457193" w:rsidRPr="00A3151B">
        <w:t xml:space="preserve"> </w:t>
      </w:r>
      <w:r w:rsidR="0005626C" w:rsidRPr="00A3151B">
        <w:t xml:space="preserve">is </w:t>
      </w:r>
      <w:r w:rsidR="00D10D03" w:rsidRPr="00A3151B">
        <w:t xml:space="preserve">often taken to be necessary condition of the </w:t>
      </w:r>
      <w:r w:rsidR="00D10D03" w:rsidRPr="00A3151B">
        <w:rPr>
          <w:i/>
          <w:iCs/>
        </w:rPr>
        <w:t>capacity</w:t>
      </w:r>
      <w:r w:rsidR="00D10D03" w:rsidRPr="00A3151B">
        <w:t xml:space="preserve"> </w:t>
      </w:r>
      <w:r w:rsidR="00D10D03" w:rsidRPr="00A3151B">
        <w:rPr>
          <w:i/>
          <w:iCs/>
        </w:rPr>
        <w:t>for autonomy</w:t>
      </w:r>
      <w:r w:rsidR="00E93FDF" w:rsidRPr="00A3151B">
        <w:t xml:space="preserve"> to the extent that </w:t>
      </w:r>
      <w:r w:rsidR="0016752F" w:rsidRPr="00A3151B">
        <w:t>the latter</w:t>
      </w:r>
      <w:r w:rsidR="00E93FDF" w:rsidRPr="00A3151B">
        <w:t xml:space="preserve"> involve</w:t>
      </w:r>
      <w:r w:rsidR="0016752F" w:rsidRPr="00A3151B">
        <w:t>s</w:t>
      </w:r>
      <w:r w:rsidR="00E93FDF" w:rsidRPr="00A3151B">
        <w:t xml:space="preserve"> one’s capacities to understand, retain, use or weigh information relevant to a decision and communicate a decision</w:t>
      </w:r>
      <w:r w:rsidR="00D10D03" w:rsidRPr="00A3151B">
        <w:t xml:space="preserve">, </w:t>
      </w:r>
      <w:r w:rsidR="00DF19FC" w:rsidRPr="00A3151B">
        <w:t>the MCA 2005</w:t>
      </w:r>
      <w:r w:rsidR="00025D7E" w:rsidRPr="00A3151B">
        <w:t xml:space="preserve"> </w:t>
      </w:r>
      <w:r w:rsidR="0016752F" w:rsidRPr="00A3151B">
        <w:t>does</w:t>
      </w:r>
      <w:r w:rsidR="00DF19FC" w:rsidRPr="00A3151B">
        <w:t xml:space="preserve"> </w:t>
      </w:r>
      <w:r w:rsidR="00FC4CE2" w:rsidRPr="00A3151B">
        <w:rPr>
          <w:rFonts w:eastAsiaTheme="minorHAnsi"/>
          <w:lang w:eastAsia="en-US"/>
        </w:rPr>
        <w:t>not sufficiently distinguish between</w:t>
      </w:r>
      <w:r w:rsidR="00FC4CE2" w:rsidRPr="00A3151B">
        <w:t xml:space="preserve"> the </w:t>
      </w:r>
      <w:r w:rsidR="006C7BF6" w:rsidRPr="00A3151B">
        <w:t xml:space="preserve">conditions for </w:t>
      </w:r>
      <w:r w:rsidR="00FC4CE2" w:rsidRPr="00A3151B">
        <w:rPr>
          <w:rFonts w:eastAsiaTheme="minorHAnsi"/>
          <w:lang w:eastAsia="en-US"/>
        </w:rPr>
        <w:t xml:space="preserve">mental capacity and the conditions </w:t>
      </w:r>
      <w:r w:rsidR="00536387" w:rsidRPr="00A3151B">
        <w:t>for</w:t>
      </w:r>
      <w:r w:rsidR="00FC4CE2" w:rsidRPr="00A3151B">
        <w:rPr>
          <w:rFonts w:eastAsiaTheme="minorHAnsi"/>
          <w:lang w:eastAsia="en-US"/>
        </w:rPr>
        <w:t xml:space="preserve"> autonomous choice and action</w:t>
      </w:r>
      <w:r w:rsidR="006C7BF6" w:rsidRPr="00A3151B">
        <w:t>.</w:t>
      </w:r>
      <w:r w:rsidR="006C7BF6" w:rsidRPr="00A3151B">
        <w:rPr>
          <w:rStyle w:val="FootnoteReference"/>
        </w:rPr>
        <w:footnoteReference w:id="11"/>
      </w:r>
      <w:r w:rsidR="00C146C1" w:rsidRPr="00A3151B">
        <w:t xml:space="preserve"> </w:t>
      </w:r>
      <w:r w:rsidR="009E118B" w:rsidRPr="00A3151B">
        <w:t xml:space="preserve">Consequently, neither satisfactory fulfilment of the </w:t>
      </w:r>
      <w:r w:rsidR="009E118B" w:rsidRPr="00A3151B">
        <w:rPr>
          <w:i/>
          <w:iCs/>
        </w:rPr>
        <w:t>capacity</w:t>
      </w:r>
      <w:r w:rsidR="009E118B" w:rsidRPr="00A3151B">
        <w:t xml:space="preserve"> to understand and deliberate nor the provision of medically relevant information in a way that does not undermine the voluntariness of the decision are, in themselves</w:t>
      </w:r>
      <w:r w:rsidR="00FD6866" w:rsidRPr="00A3151B">
        <w:t xml:space="preserve"> or taken together</w:t>
      </w:r>
      <w:r w:rsidR="009E118B" w:rsidRPr="00A3151B">
        <w:t>, sufficient to ensure that the resulting decision is autonomous.</w:t>
      </w:r>
    </w:p>
    <w:p w14:paraId="7AEA8C06" w14:textId="37540CDB" w:rsidR="00A60A41" w:rsidRPr="00A3151B" w:rsidRDefault="004D2DA3" w:rsidP="00314F3D">
      <w:pPr>
        <w:tabs>
          <w:tab w:val="left" w:pos="720"/>
        </w:tabs>
        <w:spacing w:line="480" w:lineRule="auto"/>
        <w:jc w:val="both"/>
      </w:pPr>
      <w:r w:rsidRPr="00A3151B">
        <w:tab/>
        <w:t xml:space="preserve">In order to avoid confusing autonomy </w:t>
      </w:r>
      <w:r w:rsidR="00E44AC3" w:rsidRPr="00A3151B">
        <w:t>with</w:t>
      </w:r>
      <w:r w:rsidRPr="00A3151B">
        <w:t xml:space="preserve"> liberty</w:t>
      </w:r>
      <w:r w:rsidR="0012234E" w:rsidRPr="00A3151B">
        <w:t xml:space="preserve"> </w:t>
      </w:r>
      <w:r w:rsidR="001C1075" w:rsidRPr="00A3151B">
        <w:t>as well as the running together of the conditions for mental capacity and the exercise of autonomy,</w:t>
      </w:r>
      <w:r w:rsidRPr="00A3151B">
        <w:t xml:space="preserve"> </w:t>
      </w:r>
      <w:r w:rsidR="00E347A9" w:rsidRPr="00A3151B">
        <w:t>t</w:t>
      </w:r>
      <w:r w:rsidR="00DB3A06" w:rsidRPr="00A3151B">
        <w:t xml:space="preserve">here have been developments at common law that </w:t>
      </w:r>
      <w:r w:rsidR="007A1EA0" w:rsidRPr="00A3151B">
        <w:t>oblige</w:t>
      </w:r>
      <w:r w:rsidR="00DB3A06" w:rsidRPr="00A3151B">
        <w:t xml:space="preserve"> a physician to ensure that a patient has adequately understood the </w:t>
      </w:r>
      <w:r w:rsidR="00DB3A06" w:rsidRPr="00A3151B">
        <w:lastRenderedPageBreak/>
        <w:t>information with which they have been provided</w:t>
      </w:r>
      <w:r w:rsidR="001711B0" w:rsidRPr="00A3151B">
        <w:t xml:space="preserve"> and has</w:t>
      </w:r>
      <w:r w:rsidR="001B21C4" w:rsidRPr="00A3151B">
        <w:t xml:space="preserve"> </w:t>
      </w:r>
      <w:r w:rsidR="00977FFD" w:rsidRPr="00A3151B">
        <w:t xml:space="preserve">reflected </w:t>
      </w:r>
      <w:r w:rsidR="00D8516E" w:rsidRPr="00A3151B">
        <w:t xml:space="preserve">on that information in light of her own values, desires and motivations </w:t>
      </w:r>
      <w:r w:rsidR="00977FFD" w:rsidRPr="00A3151B">
        <w:t>in accordance with certain standards of rationality</w:t>
      </w:r>
      <w:r w:rsidR="00DB3A06" w:rsidRPr="00A3151B">
        <w:t>.</w:t>
      </w:r>
      <w:r w:rsidR="00DB3A06" w:rsidRPr="00A3151B">
        <w:rPr>
          <w:rStyle w:val="FootnoteReference"/>
        </w:rPr>
        <w:footnoteReference w:id="12"/>
      </w:r>
      <w:r w:rsidR="00794151" w:rsidRPr="00A3151B">
        <w:t xml:space="preserve"> </w:t>
      </w:r>
      <w:r w:rsidR="00D8516E" w:rsidRPr="00A3151B">
        <w:t>Thus, w</w:t>
      </w:r>
      <w:r w:rsidR="00B20C2C" w:rsidRPr="00A3151B">
        <w:t xml:space="preserve">hen the statutory test for capacity is interpreted in the light of established medical jurisprudence, </w:t>
      </w:r>
      <w:r w:rsidR="00AF3265" w:rsidRPr="00A3151B">
        <w:t>‘there is a concern not just for the capacity for reason, but also for the effective use of it’.</w:t>
      </w:r>
      <w:r w:rsidR="00AF3265" w:rsidRPr="00A3151B">
        <w:rPr>
          <w:vertAlign w:val="superscript"/>
        </w:rPr>
        <w:footnoteReference w:id="13"/>
      </w:r>
      <w:r w:rsidR="00AF3265" w:rsidRPr="00A3151B">
        <w:t xml:space="preserve"> </w:t>
      </w:r>
      <w:r w:rsidR="00E24A8E" w:rsidRPr="00A3151B">
        <w:t>In short,</w:t>
      </w:r>
      <w:r w:rsidR="00894ACF" w:rsidRPr="00A3151B">
        <w:t xml:space="preserve"> we are required to ‘judge the quality of a person’s exercise of autonomy by the soundness of her reaso</w:t>
      </w:r>
      <w:r w:rsidR="009A7E01" w:rsidRPr="00A3151B">
        <w:t>ning, given her own values’.</w:t>
      </w:r>
      <w:r w:rsidR="009A7E01" w:rsidRPr="00A3151B">
        <w:rPr>
          <w:rStyle w:val="FootnoteReference"/>
        </w:rPr>
        <w:footnoteReference w:id="14"/>
      </w:r>
      <w:r w:rsidR="00894ACF" w:rsidRPr="00A3151B">
        <w:t xml:space="preserve"> </w:t>
      </w:r>
      <w:r w:rsidR="00E01F92" w:rsidRPr="00A3151B">
        <w:t>W</w:t>
      </w:r>
      <w:r w:rsidR="007D2CB5" w:rsidRPr="00A3151B">
        <w:t>here autonomy (as opposed to liberty</w:t>
      </w:r>
      <w:r w:rsidR="0053658A" w:rsidRPr="00A3151B">
        <w:t xml:space="preserve"> or mental capacity</w:t>
      </w:r>
      <w:r w:rsidR="007D2CB5" w:rsidRPr="00A3151B">
        <w:t>) is concerned,</w:t>
      </w:r>
      <w:r w:rsidR="00391F14" w:rsidRPr="00A3151B">
        <w:t xml:space="preserve"> English </w:t>
      </w:r>
      <w:r w:rsidR="001A1019" w:rsidRPr="00A3151B">
        <w:t xml:space="preserve">and Welsh </w:t>
      </w:r>
      <w:r w:rsidR="00391F14" w:rsidRPr="00A3151B">
        <w:t>medical law</w:t>
      </w:r>
      <w:r w:rsidR="00A04AF5" w:rsidRPr="00A3151B">
        <w:t xml:space="preserve"> </w:t>
      </w:r>
      <w:r w:rsidR="00391F14" w:rsidRPr="00A3151B">
        <w:t xml:space="preserve">demands non-prejudicial deference to </w:t>
      </w:r>
      <w:r w:rsidR="004B6E0D" w:rsidRPr="00A3151B">
        <w:t>the rationality of a patient’s decision</w:t>
      </w:r>
      <w:r w:rsidR="00E44AC3" w:rsidRPr="00A3151B">
        <w:t xml:space="preserve"> </w:t>
      </w:r>
      <w:r w:rsidR="004B6E0D" w:rsidRPr="00A3151B">
        <w:t xml:space="preserve">and, simultaneously, the </w:t>
      </w:r>
      <w:r w:rsidR="00E44AC3" w:rsidRPr="00A3151B">
        <w:t>values</w:t>
      </w:r>
      <w:r w:rsidR="00391F14" w:rsidRPr="00A3151B">
        <w:t xml:space="preserve"> </w:t>
      </w:r>
      <w:r w:rsidR="00E44AC3" w:rsidRPr="00A3151B">
        <w:t xml:space="preserve">on which </w:t>
      </w:r>
      <w:r w:rsidR="00C62E1E" w:rsidRPr="00A3151B">
        <w:t>her</w:t>
      </w:r>
      <w:r w:rsidR="00E44AC3" w:rsidRPr="00A3151B">
        <w:t xml:space="preserve"> decision is based. </w:t>
      </w:r>
      <w:r w:rsidR="00531813" w:rsidRPr="00A3151B">
        <w:t xml:space="preserve">Thus, we see </w:t>
      </w:r>
      <w:r w:rsidR="00A45D0C" w:rsidRPr="00A3151B">
        <w:t xml:space="preserve">in the Supreme Court’s landmark judgment in </w:t>
      </w:r>
      <w:r w:rsidR="00A45D0C" w:rsidRPr="00A3151B">
        <w:rPr>
          <w:i/>
        </w:rPr>
        <w:t>Montgomery v Lanarkshire HB</w:t>
      </w:r>
      <w:r w:rsidR="00A45D0C" w:rsidRPr="00A3151B">
        <w:t xml:space="preserve"> [2015]</w:t>
      </w:r>
      <w:r w:rsidR="000D0D9A" w:rsidRPr="00A3151B">
        <w:t xml:space="preserve"> that</w:t>
      </w:r>
      <w:r w:rsidR="00D074ED" w:rsidRPr="00A3151B">
        <w:t xml:space="preserve"> </w:t>
      </w:r>
      <w:r w:rsidR="000D0D9A" w:rsidRPr="00A3151B">
        <w:t>‘a</w:t>
      </w:r>
      <w:r w:rsidR="00D074ED" w:rsidRPr="00A3151B">
        <w:t xml:space="preserve"> patient is entitled to take into account her own values, her own assessment of the comparative merits of giving birth in the “natural” and traditional way and of giving birth by caesarean section, whatever medical opinion may say, alongside the medical evaluation of the risks to herself and her baby</w:t>
      </w:r>
      <w:r w:rsidR="00980405" w:rsidRPr="00A3151B">
        <w:t>’</w:t>
      </w:r>
      <w:r w:rsidR="00D074ED" w:rsidRPr="00A3151B">
        <w:t>.</w:t>
      </w:r>
      <w:r w:rsidR="00980405" w:rsidRPr="00A3151B">
        <w:rPr>
          <w:rStyle w:val="FootnoteReference"/>
        </w:rPr>
        <w:footnoteReference w:id="15"/>
      </w:r>
      <w:r w:rsidR="00D074ED" w:rsidRPr="00A3151B">
        <w:t xml:space="preserve"> </w:t>
      </w:r>
      <w:r w:rsidR="00C71CE7" w:rsidRPr="00A3151B">
        <w:t xml:space="preserve">Observing that a patient may value one procedure over another, </w:t>
      </w:r>
      <w:r w:rsidR="00002ADD" w:rsidRPr="00A3151B">
        <w:t>Lady</w:t>
      </w:r>
      <w:r w:rsidR="00C839A3" w:rsidRPr="00A3151B">
        <w:t xml:space="preserve"> </w:t>
      </w:r>
      <w:r w:rsidR="00C71CE7" w:rsidRPr="00A3151B">
        <w:t>Hale</w:t>
      </w:r>
      <w:r w:rsidR="000A76E9" w:rsidRPr="00A3151B">
        <w:t xml:space="preserve"> </w:t>
      </w:r>
      <w:r w:rsidR="00C71CE7" w:rsidRPr="00A3151B">
        <w:t>state</w:t>
      </w:r>
      <w:r w:rsidR="003D65AC" w:rsidRPr="00A3151B">
        <w:t>s</w:t>
      </w:r>
      <w:r w:rsidR="00C71CE7" w:rsidRPr="00A3151B">
        <w:t xml:space="preserve"> that ‘t</w:t>
      </w:r>
      <w:r w:rsidR="00D074ED" w:rsidRPr="00A3151B">
        <w:t>he medical profession must respect her choice, unless she lac</w:t>
      </w:r>
      <w:r w:rsidR="00C71CE7" w:rsidRPr="00A3151B">
        <w:t>ks the legal capacity to decide’.</w:t>
      </w:r>
      <w:r w:rsidR="00C71CE7" w:rsidRPr="00A3151B">
        <w:rPr>
          <w:rStyle w:val="FootnoteReference"/>
        </w:rPr>
        <w:footnoteReference w:id="16"/>
      </w:r>
    </w:p>
    <w:p w14:paraId="232A5BE5" w14:textId="6BC0FE99" w:rsidR="00795737" w:rsidRPr="00A3151B" w:rsidRDefault="00421708" w:rsidP="00314F3D">
      <w:pPr>
        <w:tabs>
          <w:tab w:val="left" w:pos="720"/>
        </w:tabs>
        <w:spacing w:line="480" w:lineRule="auto"/>
        <w:jc w:val="both"/>
      </w:pPr>
      <w:r w:rsidRPr="00A3151B">
        <w:tab/>
      </w:r>
      <w:r w:rsidR="001E1444" w:rsidRPr="00A3151B">
        <w:t>O</w:t>
      </w:r>
      <w:r w:rsidR="00CB6C5D" w:rsidRPr="00A3151B">
        <w:t xml:space="preserve">ne of the reasons </w:t>
      </w:r>
      <w:r w:rsidR="00D61B28" w:rsidRPr="00A3151B">
        <w:t xml:space="preserve">for disambiguating </w:t>
      </w:r>
      <w:r w:rsidR="00CE3E61" w:rsidRPr="00A3151B">
        <w:t xml:space="preserve">between </w:t>
      </w:r>
      <w:r w:rsidR="00D61B28" w:rsidRPr="00A3151B">
        <w:t>patient autonomy</w:t>
      </w:r>
      <w:r w:rsidR="00097C7C" w:rsidRPr="00A3151B">
        <w:t xml:space="preserve">, </w:t>
      </w:r>
      <w:r w:rsidR="00D61B28" w:rsidRPr="00A3151B">
        <w:t>liberty at law</w:t>
      </w:r>
      <w:r w:rsidR="00097C7C" w:rsidRPr="00A3151B">
        <w:t xml:space="preserve"> and mental capacity</w:t>
      </w:r>
      <w:r w:rsidR="00D61B28" w:rsidRPr="00A3151B">
        <w:t xml:space="preserve"> is that </w:t>
      </w:r>
      <w:r w:rsidR="00B20C2C" w:rsidRPr="00A3151B">
        <w:t>the former</w:t>
      </w:r>
      <w:r w:rsidR="00C63201" w:rsidRPr="00A3151B">
        <w:t xml:space="preserve"> is concerned with the requirement to</w:t>
      </w:r>
      <w:r w:rsidR="005838A2" w:rsidRPr="00A3151B">
        <w:t xml:space="preserve"> </w:t>
      </w:r>
      <w:r w:rsidR="00C63201" w:rsidRPr="00A3151B">
        <w:t>permit</w:t>
      </w:r>
      <w:r w:rsidR="005838A2" w:rsidRPr="00A3151B">
        <w:t xml:space="preserve"> </w:t>
      </w:r>
      <w:r w:rsidR="00B20C2C" w:rsidRPr="00A3151B">
        <w:t>competent,</w:t>
      </w:r>
      <w:r w:rsidR="00737237" w:rsidRPr="00A3151B">
        <w:t xml:space="preserve"> legally </w:t>
      </w:r>
      <w:r w:rsidR="00B20C2C" w:rsidRPr="00A3151B">
        <w:t>non-vulnerable</w:t>
      </w:r>
      <w:r w:rsidR="005838A2" w:rsidRPr="00A3151B">
        <w:t xml:space="preserve"> individuals to effect changes in their lives in a manner that is consistent with the values, desires and motivations that they themselves would voluntarily endorse. </w:t>
      </w:r>
      <w:r w:rsidR="00D61B28" w:rsidRPr="00A3151B">
        <w:t>At the same time,</w:t>
      </w:r>
      <w:r w:rsidR="00A448A6" w:rsidRPr="00A3151B">
        <w:t xml:space="preserve"> the ‘effective use of reason’ approach to autonomy </w:t>
      </w:r>
      <w:r w:rsidR="007D2CB5" w:rsidRPr="00A3151B">
        <w:t xml:space="preserve">is needed in order </w:t>
      </w:r>
      <w:r w:rsidR="008902CD" w:rsidRPr="00A3151B">
        <w:t>to identify and respond to</w:t>
      </w:r>
      <w:r w:rsidR="00E443D0" w:rsidRPr="00A3151B">
        <w:t xml:space="preserve"> concern</w:t>
      </w:r>
      <w:r w:rsidR="008902CD" w:rsidRPr="00A3151B">
        <w:t>s</w:t>
      </w:r>
      <w:r w:rsidR="00E443D0" w:rsidRPr="00A3151B">
        <w:t xml:space="preserve"> </w:t>
      </w:r>
      <w:r w:rsidR="00705BB1" w:rsidRPr="00A3151B">
        <w:t>regarding</w:t>
      </w:r>
      <w:r w:rsidR="00E443D0" w:rsidRPr="00A3151B">
        <w:t xml:space="preserve"> the wel</w:t>
      </w:r>
      <w:r w:rsidR="00CD70FA" w:rsidRPr="00A3151B">
        <w:t xml:space="preserve">fare of </w:t>
      </w:r>
      <w:r w:rsidR="00CD70FA" w:rsidRPr="00A3151B">
        <w:rPr>
          <w:i/>
        </w:rPr>
        <w:t xml:space="preserve">vulnerable </w:t>
      </w:r>
      <w:r w:rsidR="00737237" w:rsidRPr="00A3151B">
        <w:rPr>
          <w:i/>
        </w:rPr>
        <w:t>adults</w:t>
      </w:r>
      <w:r w:rsidR="00CD70FA" w:rsidRPr="00A3151B">
        <w:t xml:space="preserve">. As </w:t>
      </w:r>
      <w:r w:rsidR="00524ADF" w:rsidRPr="00A3151B">
        <w:t>legal scholars</w:t>
      </w:r>
      <w:r w:rsidR="00CD70FA" w:rsidRPr="00A3151B">
        <w:t xml:space="preserve"> have </w:t>
      </w:r>
      <w:r w:rsidR="00CD70FA" w:rsidRPr="00A3151B">
        <w:lastRenderedPageBreak/>
        <w:t xml:space="preserve">observed, if </w:t>
      </w:r>
      <w:r w:rsidR="00A04AF5" w:rsidRPr="00A3151B">
        <w:t>the law was to ignore</w:t>
      </w:r>
      <w:r w:rsidR="00CD70FA" w:rsidRPr="00A3151B">
        <w:t xml:space="preserve"> </w:t>
      </w:r>
      <w:r w:rsidR="00A04AF5" w:rsidRPr="00A3151B">
        <w:t>a patient’s exercise</w:t>
      </w:r>
      <w:r w:rsidR="00CD70FA" w:rsidRPr="00A3151B">
        <w:t xml:space="preserve"> of </w:t>
      </w:r>
      <w:r w:rsidR="00A04AF5" w:rsidRPr="00A3151B">
        <w:t xml:space="preserve">their </w:t>
      </w:r>
      <w:r w:rsidR="00CD70FA" w:rsidRPr="00A3151B">
        <w:t>capacity for reason in favour of a purely statutory approach to capacity that supports a patient’s liberty to partake in informed consent,</w:t>
      </w:r>
      <w:r w:rsidR="00CD70FA" w:rsidRPr="00A3151B">
        <w:rPr>
          <w:rStyle w:val="FootnoteReference"/>
        </w:rPr>
        <w:footnoteReference w:id="17"/>
      </w:r>
      <w:r w:rsidR="00CD70FA" w:rsidRPr="00A3151B">
        <w:t xml:space="preserve"> then this formalised ‘stand-</w:t>
      </w:r>
      <w:proofErr w:type="spellStart"/>
      <w:r w:rsidR="00CD70FA" w:rsidRPr="00A3151B">
        <w:t>offishness</w:t>
      </w:r>
      <w:proofErr w:type="spellEnd"/>
      <w:r w:rsidR="00CD70FA" w:rsidRPr="00A3151B">
        <w:t xml:space="preserve">’ would </w:t>
      </w:r>
      <w:r w:rsidR="00A04AF5" w:rsidRPr="00A3151B">
        <w:t>fail to address</w:t>
      </w:r>
      <w:r w:rsidR="00CD70FA" w:rsidRPr="00A3151B">
        <w:t xml:space="preserve"> </w:t>
      </w:r>
      <w:r w:rsidR="00A04AF5" w:rsidRPr="00A3151B">
        <w:t>questions concerning the</w:t>
      </w:r>
      <w:r w:rsidR="00CD70FA" w:rsidRPr="00A3151B">
        <w:t xml:space="preserve"> welfare of </w:t>
      </w:r>
      <w:r w:rsidR="004C2B9A" w:rsidRPr="00A3151B">
        <w:t xml:space="preserve">those deemed to be </w:t>
      </w:r>
      <w:r w:rsidR="004C2B9A" w:rsidRPr="00A3151B">
        <w:rPr>
          <w:i/>
          <w:iCs/>
        </w:rPr>
        <w:t>situationally</w:t>
      </w:r>
      <w:r w:rsidR="00CD70FA" w:rsidRPr="00A3151B">
        <w:t xml:space="preserve"> vulnerable.</w:t>
      </w:r>
      <w:r w:rsidR="00CD70FA" w:rsidRPr="00A3151B">
        <w:rPr>
          <w:rStyle w:val="FootnoteReference"/>
        </w:rPr>
        <w:footnoteReference w:id="18"/>
      </w:r>
      <w:r w:rsidR="00D54ABB" w:rsidRPr="00A3151B">
        <w:t xml:space="preserve"> </w:t>
      </w:r>
    </w:p>
    <w:p w14:paraId="3A0041E5" w14:textId="391D127E" w:rsidR="00727520" w:rsidRPr="00A3151B" w:rsidRDefault="00727520" w:rsidP="00314F3D">
      <w:pPr>
        <w:tabs>
          <w:tab w:val="left" w:pos="720"/>
        </w:tabs>
        <w:spacing w:line="480" w:lineRule="auto"/>
        <w:jc w:val="both"/>
      </w:pPr>
      <w:r w:rsidRPr="00A3151B">
        <w:tab/>
        <w:t xml:space="preserve">According to Robert E. </w:t>
      </w:r>
      <w:proofErr w:type="spellStart"/>
      <w:r w:rsidRPr="00A3151B">
        <w:t>Goodin</w:t>
      </w:r>
      <w:proofErr w:type="spellEnd"/>
      <w:r w:rsidRPr="00A3151B">
        <w:t>, to be vulnerable is to be susceptible to threats to one’s interests from particular agents.</w:t>
      </w:r>
      <w:r w:rsidRPr="00A3151B">
        <w:rPr>
          <w:vertAlign w:val="superscript"/>
        </w:rPr>
        <w:footnoteReference w:id="19"/>
      </w:r>
      <w:r w:rsidRPr="00A3151B">
        <w:t xml:space="preserve"> Although everyone is potentially vulnerable to such threats, what makes some persons or groups ‘vulnerable’ from the point of view of the law is their dependency on others for care and/or their diminished power to protect themselves from harm or exploitation by others.</w:t>
      </w:r>
      <w:r w:rsidRPr="00A3151B">
        <w:rPr>
          <w:vertAlign w:val="superscript"/>
        </w:rPr>
        <w:footnoteReference w:id="20"/>
      </w:r>
      <w:r w:rsidRPr="00A3151B">
        <w:t xml:space="preserve"> </w:t>
      </w:r>
      <w:r w:rsidR="00277D75" w:rsidRPr="00A3151B">
        <w:t>Since the introduction of the MCA 2005, there has been debate regarding the High Court’s inherent jurisdiction to make declarations about interventions into the lives of capacitous adults</w:t>
      </w:r>
      <w:r w:rsidR="00650B5D" w:rsidRPr="00A3151B">
        <w:t xml:space="preserve"> who are </w:t>
      </w:r>
      <w:r w:rsidR="00650B5D" w:rsidRPr="00A3151B">
        <w:rPr>
          <w:i/>
          <w:iCs/>
        </w:rPr>
        <w:t>situationally</w:t>
      </w:r>
      <w:r w:rsidR="00650B5D" w:rsidRPr="00A3151B">
        <w:t xml:space="preserve"> vulnerable</w:t>
      </w:r>
      <w:r w:rsidR="00277D75" w:rsidRPr="00A3151B">
        <w:t>.</w:t>
      </w:r>
      <w:r w:rsidR="00277D75" w:rsidRPr="00A3151B">
        <w:rPr>
          <w:vertAlign w:val="superscript"/>
        </w:rPr>
        <w:footnoteReference w:id="21"/>
      </w:r>
      <w:r w:rsidR="00277D75" w:rsidRPr="00A3151B">
        <w:t xml:space="preserve"> Exercises of</w:t>
      </w:r>
      <w:r w:rsidRPr="00A3151B">
        <w:t xml:space="preserve"> the inherent jurisdiction</w:t>
      </w:r>
      <w:r w:rsidR="00277D75" w:rsidRPr="00A3151B">
        <w:t xml:space="preserve"> </w:t>
      </w:r>
      <w:r w:rsidRPr="00A3151B">
        <w:t>are based upon ‘external’ and ‘objective’ assessments of risks to an individual’s power to exercise her autonomy</w:t>
      </w:r>
      <w:r w:rsidR="001D4B0C" w:rsidRPr="00A3151B">
        <w:t>.</w:t>
      </w:r>
      <w:r w:rsidR="009772DC" w:rsidRPr="00A3151B">
        <w:rPr>
          <w:vertAlign w:val="superscript"/>
        </w:rPr>
        <w:footnoteReference w:id="22"/>
      </w:r>
      <w:r w:rsidR="001D4B0C" w:rsidRPr="00A3151B">
        <w:t xml:space="preserve"> </w:t>
      </w:r>
      <w:r w:rsidR="009772DC" w:rsidRPr="00A3151B">
        <w:rPr>
          <w:rStyle w:val="FootnoteReference"/>
        </w:rPr>
        <w:footnoteReference w:id="23"/>
      </w:r>
      <w:r w:rsidRPr="00A3151B">
        <w:t xml:space="preserve"> </w:t>
      </w:r>
      <w:r w:rsidR="00A83F0F" w:rsidRPr="00A3151B">
        <w:t>Although r</w:t>
      </w:r>
      <w:r w:rsidRPr="00A3151B">
        <w:t xml:space="preserve">isks </w:t>
      </w:r>
      <w:r w:rsidR="00DE610D" w:rsidRPr="00A3151B">
        <w:t>can sometimes be</w:t>
      </w:r>
      <w:r w:rsidRPr="00A3151B">
        <w:t xml:space="preserve"> identified on the basis of an individual’s characteristics, such as mental impairment or other disability, being deaf, blind or dumb or handicapped by illness, injury or deformity</w:t>
      </w:r>
      <w:r w:rsidR="00A83F0F" w:rsidRPr="00A3151B">
        <w:t>,</w:t>
      </w:r>
      <w:r w:rsidRPr="00A3151B">
        <w:rPr>
          <w:vertAlign w:val="superscript"/>
        </w:rPr>
        <w:footnoteReference w:id="24"/>
      </w:r>
      <w:r w:rsidRPr="00A3151B">
        <w:t xml:space="preserve"> </w:t>
      </w:r>
      <w:r w:rsidR="00A83F0F" w:rsidRPr="00A3151B">
        <w:t xml:space="preserve">legal determinations regarding an individual’s </w:t>
      </w:r>
      <w:r w:rsidR="00A83F0F" w:rsidRPr="00A3151B">
        <w:rPr>
          <w:i/>
          <w:iCs/>
        </w:rPr>
        <w:t>situational</w:t>
      </w:r>
      <w:r w:rsidR="00A83F0F" w:rsidRPr="00A3151B">
        <w:t xml:space="preserve"> vulnerability are specifically concerned with identifying </w:t>
      </w:r>
      <w:r w:rsidR="00DF68F0" w:rsidRPr="00A3151B">
        <w:t xml:space="preserve">the risks of </w:t>
      </w:r>
      <w:r w:rsidR="00DF68F0" w:rsidRPr="00A3151B">
        <w:lastRenderedPageBreak/>
        <w:t>an</w:t>
      </w:r>
      <w:r w:rsidRPr="00A3151B">
        <w:t xml:space="preserve"> individual </w:t>
      </w:r>
      <w:r w:rsidR="00DF68F0" w:rsidRPr="00A3151B">
        <w:t>being</w:t>
      </w:r>
      <w:r w:rsidRPr="00A3151B">
        <w:t xml:space="preserve"> constrained, coerced, influenced unduly, otherwise ‘incapacitated’ or ‘disabled from giving or expressing a real and genuine consent’ (despite being judged to have the mental capacity to make the decision in question).</w:t>
      </w:r>
      <w:r w:rsidRPr="00A3151B">
        <w:rPr>
          <w:vertAlign w:val="superscript"/>
        </w:rPr>
        <w:footnoteReference w:id="25"/>
      </w:r>
      <w:r w:rsidRPr="00A3151B">
        <w:t xml:space="preserve"> Furthermore, the High Court recognises that the exercise of the inherent jurisdiction is not necessarily linked to a specific decision that a vulnerable adult is required to make. Indeed, the aim is (often) to prevent circumstances within which an adult might not have the power to make a voluntary decision at an ascertainable point in the future.</w:t>
      </w:r>
      <w:r w:rsidRPr="00A3151B">
        <w:rPr>
          <w:vertAlign w:val="superscript"/>
        </w:rPr>
        <w:footnoteReference w:id="26"/>
      </w:r>
      <w:r w:rsidRPr="00A3151B">
        <w:t xml:space="preserve"> Such an approach parallels the public policy ‘safeguarding’ of vulnerable adults from abuse in care services and the statutory protection of vulnerable witnesses in the criminal justice system.</w:t>
      </w:r>
      <w:r w:rsidRPr="00A3151B">
        <w:rPr>
          <w:vertAlign w:val="superscript"/>
        </w:rPr>
        <w:footnoteReference w:id="27"/>
      </w:r>
      <w:r w:rsidRPr="00A3151B">
        <w:t xml:space="preserve"> </w:t>
      </w:r>
    </w:p>
    <w:p w14:paraId="3DC2FB40" w14:textId="0731557A" w:rsidR="00C13F91" w:rsidRPr="00A3151B" w:rsidRDefault="00795737" w:rsidP="00314F3D">
      <w:pPr>
        <w:tabs>
          <w:tab w:val="left" w:pos="720"/>
        </w:tabs>
        <w:spacing w:line="480" w:lineRule="auto"/>
        <w:jc w:val="both"/>
      </w:pPr>
      <w:r w:rsidRPr="00A3151B">
        <w:tab/>
      </w:r>
      <w:r w:rsidR="000627D1" w:rsidRPr="00A3151B">
        <w:t>There ar</w:t>
      </w:r>
      <w:r w:rsidR="007E3E5D" w:rsidRPr="00A3151B">
        <w:t>e two standards common law responses to the</w:t>
      </w:r>
      <w:r w:rsidR="004C2B9A" w:rsidRPr="00A3151B">
        <w:t xml:space="preserve"> situational</w:t>
      </w:r>
      <w:r w:rsidR="007E3E5D" w:rsidRPr="00A3151B">
        <w:t xml:space="preserve"> vulnerability of capacitous individuals. Firstly, t</w:t>
      </w:r>
      <w:r w:rsidR="00E0375B" w:rsidRPr="00A3151B">
        <w:t xml:space="preserve">he High Court </w:t>
      </w:r>
      <w:r w:rsidR="00F96FF5" w:rsidRPr="00A3151B">
        <w:t>has suggested that</w:t>
      </w:r>
      <w:r w:rsidR="007E3E5D" w:rsidRPr="00A3151B">
        <w:t xml:space="preserve"> </w:t>
      </w:r>
      <w:r w:rsidR="00F96FF5" w:rsidRPr="00A3151B">
        <w:t>it will</w:t>
      </w:r>
      <w:r w:rsidR="00E0375B" w:rsidRPr="00A3151B">
        <w:t xml:space="preserve"> seek to exercise the inherent jurisdiction so as to facilitate the process of </w:t>
      </w:r>
      <w:r w:rsidR="007A31DD" w:rsidRPr="00A3151B">
        <w:t>‘</w:t>
      </w:r>
      <w:r w:rsidR="00E0375B" w:rsidRPr="00A3151B">
        <w:t>unencumbere</w:t>
      </w:r>
      <w:r w:rsidR="00417151" w:rsidRPr="00A3151B">
        <w:t>d decision making</w:t>
      </w:r>
      <w:r w:rsidR="007A31DD" w:rsidRPr="00A3151B">
        <w:t>’</w:t>
      </w:r>
      <w:r w:rsidR="008728EE" w:rsidRPr="00A3151B">
        <w:t>,</w:t>
      </w:r>
      <w:r w:rsidR="00E0375B" w:rsidRPr="00A3151B">
        <w:rPr>
          <w:rStyle w:val="FootnoteReference"/>
        </w:rPr>
        <w:footnoteReference w:id="28"/>
      </w:r>
      <w:r w:rsidR="00D53D90" w:rsidRPr="00A3151B">
        <w:t xml:space="preserve"> </w:t>
      </w:r>
      <w:r w:rsidR="008728EE" w:rsidRPr="00A3151B">
        <w:t>the purpose of which</w:t>
      </w:r>
      <w:r w:rsidR="00A83F0F" w:rsidRPr="00A3151B">
        <w:t xml:space="preserve"> </w:t>
      </w:r>
      <w:r w:rsidR="008728EE" w:rsidRPr="00A3151B">
        <w:t xml:space="preserve">is to </w:t>
      </w:r>
      <w:r w:rsidR="00D53D90" w:rsidRPr="00A3151B">
        <w:t xml:space="preserve">‘allow the individual to be able to regain their </w:t>
      </w:r>
      <w:r w:rsidR="00145E52" w:rsidRPr="00A3151B">
        <w:t>autonomy of decision making’.</w:t>
      </w:r>
      <w:r w:rsidR="00145E52" w:rsidRPr="00A3151B">
        <w:rPr>
          <w:rStyle w:val="FootnoteReference"/>
        </w:rPr>
        <w:footnoteReference w:id="29"/>
      </w:r>
      <w:r w:rsidR="00C9591F" w:rsidRPr="00A3151B">
        <w:t xml:space="preserve"> </w:t>
      </w:r>
      <w:r w:rsidR="007A31DD" w:rsidRPr="00A3151B">
        <w:t>Such a process attempts to alleviate</w:t>
      </w:r>
      <w:r w:rsidR="004C2B9A" w:rsidRPr="00A3151B">
        <w:t xml:space="preserve"> </w:t>
      </w:r>
      <w:r w:rsidR="007A31DD" w:rsidRPr="00A3151B">
        <w:t>vulnerability by supporting capacitous vulne</w:t>
      </w:r>
      <w:r w:rsidR="00C13F91" w:rsidRPr="00A3151B">
        <w:t xml:space="preserve">rable adults to make decisions </w:t>
      </w:r>
      <w:r w:rsidR="007A31DD" w:rsidRPr="00A3151B">
        <w:t>free of external pre</w:t>
      </w:r>
      <w:r w:rsidR="00C13F91" w:rsidRPr="00A3151B">
        <w:t>ssure or physical restraint,</w:t>
      </w:r>
      <w:r w:rsidR="0019090A" w:rsidRPr="00A3151B">
        <w:rPr>
          <w:rStyle w:val="FootnoteReference"/>
        </w:rPr>
        <w:footnoteReference w:id="30"/>
      </w:r>
      <w:r w:rsidR="00C13F91" w:rsidRPr="00A3151B">
        <w:t xml:space="preserve"> which would otherwise impact upon their ‘free will and ability and capacity to reach decisions’</w:t>
      </w:r>
      <w:r w:rsidR="00145E52" w:rsidRPr="00A3151B">
        <w:t>.</w:t>
      </w:r>
      <w:r w:rsidR="00145E52" w:rsidRPr="00A3151B">
        <w:rPr>
          <w:rStyle w:val="FootnoteReference"/>
        </w:rPr>
        <w:footnoteReference w:id="31"/>
      </w:r>
      <w:r w:rsidR="007A31DD" w:rsidRPr="00A3151B">
        <w:t xml:space="preserve"> </w:t>
      </w:r>
      <w:r w:rsidR="00C13F91" w:rsidRPr="00A3151B">
        <w:t>In terms of alleviating vulnerability,</w:t>
      </w:r>
      <w:r w:rsidR="007A31DD" w:rsidRPr="00A3151B">
        <w:t xml:space="preserve"> ‘the purpose, in respect of a capacitated but vulnerable adult, </w:t>
      </w:r>
      <w:r w:rsidR="007A31DD" w:rsidRPr="00A3151B">
        <w:lastRenderedPageBreak/>
        <w:t>is to create a situation where he or she can receive outside help free of coercion, to enable him or her to weigh things up and decide freely what he or she wishes to do’.</w:t>
      </w:r>
      <w:r w:rsidR="00D53D90" w:rsidRPr="00A3151B">
        <w:rPr>
          <w:vertAlign w:val="superscript"/>
        </w:rPr>
        <w:footnoteReference w:id="32"/>
      </w:r>
      <w:r w:rsidR="007A31DD" w:rsidRPr="00A3151B">
        <w:t xml:space="preserve"> </w:t>
      </w:r>
    </w:p>
    <w:p w14:paraId="03A458F7" w14:textId="2D0CE740" w:rsidR="008728EE" w:rsidRPr="00A3151B" w:rsidRDefault="00C13F91" w:rsidP="00314F3D">
      <w:pPr>
        <w:tabs>
          <w:tab w:val="left" w:pos="720"/>
        </w:tabs>
        <w:spacing w:line="480" w:lineRule="auto"/>
        <w:jc w:val="both"/>
      </w:pPr>
      <w:r w:rsidRPr="00A3151B">
        <w:tab/>
        <w:t>However, a</w:t>
      </w:r>
      <w:r w:rsidR="00D53D90" w:rsidRPr="00A3151B">
        <w:t xml:space="preserve">lthough the courts have stated that </w:t>
      </w:r>
      <w:r w:rsidR="007A31DD" w:rsidRPr="00A3151B">
        <w:t>‘unencumbered decision making’</w:t>
      </w:r>
      <w:r w:rsidR="00D53D90" w:rsidRPr="00A3151B">
        <w:t xml:space="preserve"> is meant to help </w:t>
      </w:r>
      <w:r w:rsidR="004C2B9A" w:rsidRPr="00A3151B">
        <w:t xml:space="preserve">situationally </w:t>
      </w:r>
      <w:r w:rsidR="00D53D90" w:rsidRPr="00A3151B">
        <w:t xml:space="preserve">vulnerable adults with capacity to </w:t>
      </w:r>
      <w:r w:rsidR="00AB36B8" w:rsidRPr="00A3151B">
        <w:t>‘regain their autonomy of decision making’ in the face of risks to their autonomy</w:t>
      </w:r>
      <w:r w:rsidR="007A31DD" w:rsidRPr="00A3151B">
        <w:t xml:space="preserve">, the </w:t>
      </w:r>
      <w:r w:rsidR="00AB36B8" w:rsidRPr="00A3151B">
        <w:rPr>
          <w:i/>
        </w:rPr>
        <w:t>actual</w:t>
      </w:r>
      <w:r w:rsidR="00AB36B8" w:rsidRPr="00A3151B">
        <w:t xml:space="preserve"> aim</w:t>
      </w:r>
      <w:r w:rsidR="007A31DD" w:rsidRPr="00A3151B">
        <w:t xml:space="preserve"> </w:t>
      </w:r>
      <w:r w:rsidR="00AB36B8" w:rsidRPr="00A3151B">
        <w:t>– when we take into account the distinction</w:t>
      </w:r>
      <w:r w:rsidR="00051F2C" w:rsidRPr="00A3151B">
        <w:t>s</w:t>
      </w:r>
      <w:r w:rsidR="00AB36B8" w:rsidRPr="00A3151B">
        <w:t xml:space="preserve"> between autonomy</w:t>
      </w:r>
      <w:r w:rsidR="00051F2C" w:rsidRPr="00A3151B">
        <w:t xml:space="preserve">, </w:t>
      </w:r>
      <w:r w:rsidR="00AB36B8" w:rsidRPr="00A3151B">
        <w:t>liberty</w:t>
      </w:r>
      <w:r w:rsidR="00051F2C" w:rsidRPr="00A3151B">
        <w:t xml:space="preserve"> and mental capacity</w:t>
      </w:r>
      <w:r w:rsidR="005F37A8" w:rsidRPr="00A3151B">
        <w:t xml:space="preserve"> </w:t>
      </w:r>
      <w:r w:rsidR="00A96853" w:rsidRPr="00A3151B">
        <w:t>as outlined above</w:t>
      </w:r>
      <w:r w:rsidR="00AB36B8" w:rsidRPr="00A3151B">
        <w:t xml:space="preserve"> – is </w:t>
      </w:r>
      <w:r w:rsidR="007A31DD" w:rsidRPr="00A3151B">
        <w:t>to support a capacitous vulnerable adult to fulfil the typical conditions required for informed consent, thereby, in effect, securing her liberty at law.</w:t>
      </w:r>
      <w:r w:rsidRPr="00A3151B">
        <w:rPr>
          <w:rStyle w:val="FootnoteReference"/>
        </w:rPr>
        <w:footnoteReference w:id="33"/>
      </w:r>
      <w:r w:rsidR="007A31DD" w:rsidRPr="00A3151B">
        <w:t xml:space="preserve"> </w:t>
      </w:r>
      <w:r w:rsidR="00CC63E1" w:rsidRPr="00A3151B">
        <w:t>Notably,</w:t>
      </w:r>
      <w:r w:rsidR="000A570D" w:rsidRPr="00A3151B">
        <w:t xml:space="preserve"> then,</w:t>
      </w:r>
      <w:r w:rsidR="00CC63E1" w:rsidRPr="00A3151B">
        <w:t xml:space="preserve"> the first standard response to </w:t>
      </w:r>
      <w:r w:rsidR="004C2B9A" w:rsidRPr="00A3151B">
        <w:t xml:space="preserve">situational </w:t>
      </w:r>
      <w:r w:rsidR="00CC63E1" w:rsidRPr="00A3151B">
        <w:t xml:space="preserve">vulnerability at common law fails, at least in principle, </w:t>
      </w:r>
      <w:r w:rsidR="00505592" w:rsidRPr="00A3151B">
        <w:t>to fulfil its stated aim, that is, to ‘allow the individual to be able to regain their autonomy of decision making’.</w:t>
      </w:r>
      <w:r w:rsidR="00CC63E1" w:rsidRPr="00A3151B">
        <w:t xml:space="preserve"> </w:t>
      </w:r>
      <w:r w:rsidR="003A521B" w:rsidRPr="00A3151B">
        <w:t xml:space="preserve">And the reason for </w:t>
      </w:r>
      <w:r w:rsidR="005517BE" w:rsidRPr="00A3151B">
        <w:t>this</w:t>
      </w:r>
      <w:r w:rsidR="00612282" w:rsidRPr="00A3151B">
        <w:t xml:space="preserve"> comes down </w:t>
      </w:r>
      <w:r w:rsidR="00DE09F3" w:rsidRPr="00A3151B">
        <w:t xml:space="preserve">to lack of appreciation for the </w:t>
      </w:r>
      <w:r w:rsidR="0008135D" w:rsidRPr="00A3151B">
        <w:t xml:space="preserve">specific </w:t>
      </w:r>
      <w:r w:rsidR="004C2B9A" w:rsidRPr="00A3151B">
        <w:t xml:space="preserve">conceptual </w:t>
      </w:r>
      <w:r w:rsidR="0008135D" w:rsidRPr="00A3151B">
        <w:t xml:space="preserve">relationship between the concepts of </w:t>
      </w:r>
      <w:r w:rsidR="00A83F0F" w:rsidRPr="00A3151B">
        <w:t xml:space="preserve">situational </w:t>
      </w:r>
      <w:r w:rsidR="0008135D" w:rsidRPr="00A3151B">
        <w:t>vulnerability and autonomy (see §3).</w:t>
      </w:r>
      <w:r w:rsidR="003A521B" w:rsidRPr="00A3151B">
        <w:t xml:space="preserve"> </w:t>
      </w:r>
    </w:p>
    <w:p w14:paraId="14EFDC0E" w14:textId="0E212290" w:rsidR="00570535" w:rsidRPr="00A3151B" w:rsidRDefault="00F6650F" w:rsidP="00570535">
      <w:pPr>
        <w:tabs>
          <w:tab w:val="left" w:pos="720"/>
        </w:tabs>
        <w:spacing w:line="480" w:lineRule="auto"/>
        <w:jc w:val="both"/>
      </w:pPr>
      <w:r w:rsidRPr="00A3151B">
        <w:tab/>
      </w:r>
      <w:r w:rsidR="00570535" w:rsidRPr="00A3151B">
        <w:t>The second standard common law response to</w:t>
      </w:r>
      <w:r w:rsidR="004C2B9A" w:rsidRPr="00A3151B">
        <w:t xml:space="preserve"> situational</w:t>
      </w:r>
      <w:r w:rsidR="00570535" w:rsidRPr="00A3151B">
        <w:t xml:space="preserve"> vulnerability </w:t>
      </w:r>
      <w:r w:rsidR="00632737" w:rsidRPr="00A3151B">
        <w:t>implies that the High Court is, at least in principle,</w:t>
      </w:r>
      <w:r w:rsidR="00570535" w:rsidRPr="00A3151B">
        <w:t xml:space="preserve"> </w:t>
      </w:r>
      <w:r w:rsidR="00332CED" w:rsidRPr="00A3151B">
        <w:t>concerned with</w:t>
      </w:r>
      <w:r w:rsidR="00570535" w:rsidRPr="00A3151B">
        <w:t xml:space="preserve"> restor</w:t>
      </w:r>
      <w:r w:rsidR="00332CED" w:rsidRPr="00A3151B">
        <w:t>ing</w:t>
      </w:r>
      <w:r w:rsidR="00570535" w:rsidRPr="00A3151B">
        <w:t xml:space="preserve"> </w:t>
      </w:r>
      <w:r w:rsidR="007607CC" w:rsidRPr="00A3151B">
        <w:t xml:space="preserve">a certain amount of </w:t>
      </w:r>
      <w:r w:rsidR="00570535" w:rsidRPr="00A3151B">
        <w:t>autonomy to a decision-making situation</w:t>
      </w:r>
      <w:r w:rsidR="00332CED" w:rsidRPr="00A3151B">
        <w:t xml:space="preserve">. However, whereas the first standard response </w:t>
      </w:r>
      <w:r w:rsidR="00570535" w:rsidRPr="00A3151B">
        <w:t>attempt</w:t>
      </w:r>
      <w:r w:rsidR="00332CED" w:rsidRPr="00A3151B">
        <w:t>s</w:t>
      </w:r>
      <w:r w:rsidR="00570535" w:rsidRPr="00A3151B">
        <w:t xml:space="preserve"> to alleviate the vulnerability of the adult </w:t>
      </w:r>
      <w:r w:rsidR="00332CED" w:rsidRPr="00A3151B">
        <w:t>through the process of ‘unencumbered decision making’, the second aims to</w:t>
      </w:r>
      <w:r w:rsidR="00570535" w:rsidRPr="00A3151B">
        <w:t xml:space="preserve"> remove vulnerability from the decision-making </w:t>
      </w:r>
      <w:r w:rsidR="00632737" w:rsidRPr="00A3151B">
        <w:t xml:space="preserve">situation </w:t>
      </w:r>
      <w:r w:rsidR="00332CED" w:rsidRPr="00A3151B">
        <w:t xml:space="preserve">altogether. </w:t>
      </w:r>
      <w:r w:rsidR="00487C7D" w:rsidRPr="00A3151B">
        <w:t>This</w:t>
      </w:r>
      <w:r w:rsidR="00263352" w:rsidRPr="00A3151B">
        <w:t xml:space="preserve"> is</w:t>
      </w:r>
      <w:r w:rsidR="00487C7D" w:rsidRPr="00A3151B">
        <w:t xml:space="preserve"> achieved by granting decision-making authority to a designated non-vulnerable third party to </w:t>
      </w:r>
      <w:r w:rsidRPr="00A3151B">
        <w:t>make decisions in the best interests of</w:t>
      </w:r>
      <w:r w:rsidR="00DE2D6A" w:rsidRPr="00A3151B">
        <w:t xml:space="preserve"> the</w:t>
      </w:r>
      <w:r w:rsidRPr="00A3151B">
        <w:t xml:space="preserve"> vulnerable individual in question.</w:t>
      </w:r>
      <w:r w:rsidR="0018491F" w:rsidRPr="00A3151B">
        <w:t xml:space="preserve"> As will be demonstrated below</w:t>
      </w:r>
      <w:r w:rsidR="00C21CBE" w:rsidRPr="00A3151B">
        <w:t xml:space="preserve"> (§2)</w:t>
      </w:r>
      <w:r w:rsidR="0018491F" w:rsidRPr="00A3151B">
        <w:t xml:space="preserve">, such a response is predicated on </w:t>
      </w:r>
      <w:r w:rsidR="00C21CBE" w:rsidRPr="00A3151B">
        <w:t>the</w:t>
      </w:r>
      <w:r w:rsidR="0018491F" w:rsidRPr="00A3151B">
        <w:t xml:space="preserve"> perceived </w:t>
      </w:r>
      <w:r w:rsidR="00C21CBE" w:rsidRPr="00A3151B">
        <w:t xml:space="preserve">conceptual incompatibility between the concept of </w:t>
      </w:r>
      <w:r w:rsidR="00A83F0F" w:rsidRPr="00A3151B">
        <w:t xml:space="preserve">situational </w:t>
      </w:r>
      <w:r w:rsidR="00C21CBE" w:rsidRPr="00A3151B">
        <w:t>vulnerability and the concept of autonomy.</w:t>
      </w:r>
    </w:p>
    <w:p w14:paraId="20826544" w14:textId="7612C60E" w:rsidR="00E0375B" w:rsidRPr="00A3151B" w:rsidRDefault="0010559B" w:rsidP="00314F3D">
      <w:pPr>
        <w:tabs>
          <w:tab w:val="left" w:pos="720"/>
        </w:tabs>
        <w:spacing w:line="480" w:lineRule="auto"/>
        <w:jc w:val="both"/>
      </w:pPr>
      <w:r w:rsidRPr="00A3151B">
        <w:tab/>
      </w:r>
      <w:r w:rsidR="008728EE" w:rsidRPr="00A3151B">
        <w:t>W</w:t>
      </w:r>
      <w:r w:rsidR="007A31DD" w:rsidRPr="00A3151B">
        <w:t xml:space="preserve">here questions of autonomy, as opposed to liberty, are specifically concerned, </w:t>
      </w:r>
      <w:r w:rsidR="00A04AF5" w:rsidRPr="00A3151B">
        <w:t>legal scholars</w:t>
      </w:r>
      <w:r w:rsidR="00795737" w:rsidRPr="00A3151B">
        <w:t xml:space="preserve"> </w:t>
      </w:r>
      <w:r w:rsidR="00E0375B" w:rsidRPr="00A3151B">
        <w:t xml:space="preserve">have </w:t>
      </w:r>
      <w:r w:rsidR="00A04AF5" w:rsidRPr="00A3151B">
        <w:t>shown</w:t>
      </w:r>
      <w:r w:rsidR="00D54ABB" w:rsidRPr="00A3151B">
        <w:t xml:space="preserve"> that</w:t>
      </w:r>
      <w:r w:rsidR="00E0375B" w:rsidRPr="00A3151B">
        <w:t>, through the exercise of court powers,</w:t>
      </w:r>
      <w:r w:rsidR="003614B0" w:rsidRPr="00A3151B">
        <w:t xml:space="preserve"> </w:t>
      </w:r>
      <w:r w:rsidR="00421708" w:rsidRPr="00A3151B">
        <w:t xml:space="preserve">the law has developed on the </w:t>
      </w:r>
      <w:r w:rsidR="00421708" w:rsidRPr="00A3151B">
        <w:lastRenderedPageBreak/>
        <w:t>ba</w:t>
      </w:r>
      <w:r w:rsidR="00740149" w:rsidRPr="00A3151B">
        <w:t>ck of two contradictory bases: (1)</w:t>
      </w:r>
      <w:r w:rsidR="00D54ABB" w:rsidRPr="00A3151B">
        <w:t xml:space="preserve"> ‘</w:t>
      </w:r>
      <w:r w:rsidR="00421708" w:rsidRPr="00A3151B">
        <w:t>rational decision-making g</w:t>
      </w:r>
      <w:r w:rsidR="00740149" w:rsidRPr="00A3151B">
        <w:t>iven an individual’s own values</w:t>
      </w:r>
      <w:r w:rsidR="00A04AF5" w:rsidRPr="00A3151B">
        <w:t>’</w:t>
      </w:r>
      <w:r w:rsidR="00740149" w:rsidRPr="00A3151B">
        <w:t>;</w:t>
      </w:r>
      <w:r w:rsidR="00421708" w:rsidRPr="00A3151B">
        <w:t xml:space="preserve"> and </w:t>
      </w:r>
      <w:r w:rsidR="00740149" w:rsidRPr="00A3151B">
        <w:t xml:space="preserve">(2) </w:t>
      </w:r>
      <w:r w:rsidR="00A04AF5" w:rsidRPr="00A3151B">
        <w:t>‘</w:t>
      </w:r>
      <w:r w:rsidR="00421708" w:rsidRPr="00A3151B">
        <w:t xml:space="preserve">rational decision-making given some objective or in principle universally acceptable </w:t>
      </w:r>
      <w:proofErr w:type="gramStart"/>
      <w:r w:rsidR="00421708" w:rsidRPr="00A3151B">
        <w:t>values</w:t>
      </w:r>
      <w:r w:rsidR="00D54ABB" w:rsidRPr="00A3151B">
        <w:t>’</w:t>
      </w:r>
      <w:proofErr w:type="gramEnd"/>
      <w:r w:rsidR="00421708" w:rsidRPr="00A3151B">
        <w:t>.</w:t>
      </w:r>
      <w:r w:rsidR="00D54ABB" w:rsidRPr="00A3151B">
        <w:rPr>
          <w:rStyle w:val="FootnoteReference"/>
        </w:rPr>
        <w:footnoteReference w:id="34"/>
      </w:r>
      <w:r w:rsidR="00421708" w:rsidRPr="00A3151B">
        <w:t xml:space="preserve"> </w:t>
      </w:r>
      <w:r w:rsidR="00722D9C" w:rsidRPr="00A3151B">
        <w:t>T</w:t>
      </w:r>
      <w:r w:rsidR="003D00F5" w:rsidRPr="00A3151B">
        <w:t>he former</w:t>
      </w:r>
      <w:r w:rsidR="008902CD" w:rsidRPr="00A3151B">
        <w:t xml:space="preserve"> </w:t>
      </w:r>
      <w:r w:rsidR="00722D9C" w:rsidRPr="00A3151B">
        <w:t xml:space="preserve">is meant to provide a level of autonomy </w:t>
      </w:r>
      <w:r w:rsidR="003D00F5" w:rsidRPr="00A3151B">
        <w:t>protection</w:t>
      </w:r>
      <w:r w:rsidR="000B1F95" w:rsidRPr="00A3151B">
        <w:t xml:space="preserve"> at law for </w:t>
      </w:r>
      <w:r w:rsidR="00722D9C" w:rsidRPr="00A3151B">
        <w:t>those that are</w:t>
      </w:r>
      <w:r w:rsidR="004C2B9A" w:rsidRPr="00A3151B">
        <w:t xml:space="preserve"> legally</w:t>
      </w:r>
      <w:r w:rsidR="000B1F95" w:rsidRPr="00A3151B">
        <w:t xml:space="preserve"> </w:t>
      </w:r>
      <w:r w:rsidR="003D00F5" w:rsidRPr="00A3151B">
        <w:rPr>
          <w:i/>
        </w:rPr>
        <w:t>non-vulnerable</w:t>
      </w:r>
      <w:r w:rsidR="00722D9C" w:rsidRPr="00A3151B">
        <w:t>. T</w:t>
      </w:r>
      <w:r w:rsidR="005E3187" w:rsidRPr="00A3151B">
        <w:t>he latter</w:t>
      </w:r>
      <w:r w:rsidR="00722D9C" w:rsidRPr="00A3151B">
        <w:t xml:space="preserve"> standard is applied to </w:t>
      </w:r>
      <w:r w:rsidR="004C2B9A" w:rsidRPr="00A3151B">
        <w:t xml:space="preserve">legally </w:t>
      </w:r>
      <w:r w:rsidR="00722D9C" w:rsidRPr="00A3151B">
        <w:t>vulnerable adults</w:t>
      </w:r>
      <w:r w:rsidR="005E3187" w:rsidRPr="00A3151B">
        <w:t xml:space="preserve"> </w:t>
      </w:r>
      <w:r w:rsidR="006C16A8" w:rsidRPr="00A3151B">
        <w:t xml:space="preserve">in order </w:t>
      </w:r>
      <w:r w:rsidR="00722D9C" w:rsidRPr="00A3151B">
        <w:t xml:space="preserve">to ensure that </w:t>
      </w:r>
      <w:r w:rsidR="003D00F5" w:rsidRPr="00A3151B">
        <w:t xml:space="preserve">‘more rational’ decisions are </w:t>
      </w:r>
      <w:proofErr w:type="gramStart"/>
      <w:r w:rsidR="003D00F5" w:rsidRPr="00A3151B">
        <w:t>effected</w:t>
      </w:r>
      <w:proofErr w:type="gramEnd"/>
      <w:r w:rsidR="006C16A8" w:rsidRPr="00A3151B">
        <w:t xml:space="preserve"> </w:t>
      </w:r>
      <w:r w:rsidR="00722D9C" w:rsidRPr="00A3151B">
        <w:t>for the protection of their</w:t>
      </w:r>
      <w:r w:rsidR="00456095" w:rsidRPr="00A3151B">
        <w:t xml:space="preserve"> </w:t>
      </w:r>
      <w:r w:rsidR="00DF68F0" w:rsidRPr="00A3151B">
        <w:t xml:space="preserve">health or </w:t>
      </w:r>
      <w:r w:rsidR="00456095" w:rsidRPr="00A3151B">
        <w:t>well-being</w:t>
      </w:r>
      <w:r w:rsidR="00DF68F0" w:rsidRPr="00A3151B">
        <w:t xml:space="preserve"> in general</w:t>
      </w:r>
      <w:r w:rsidR="003D00F5" w:rsidRPr="00A3151B">
        <w:t xml:space="preserve">. </w:t>
      </w:r>
    </w:p>
    <w:p w14:paraId="397C6A1F" w14:textId="22A1E148" w:rsidR="007A31DD" w:rsidRPr="00A3151B" w:rsidRDefault="00E0375B" w:rsidP="007A31DD">
      <w:pPr>
        <w:tabs>
          <w:tab w:val="left" w:pos="720"/>
        </w:tabs>
        <w:spacing w:line="480" w:lineRule="auto"/>
        <w:jc w:val="both"/>
      </w:pPr>
      <w:r w:rsidRPr="00A3151B">
        <w:tab/>
      </w:r>
      <w:r w:rsidR="00C83002" w:rsidRPr="00A3151B">
        <w:t xml:space="preserve">Where interventions into the lives of </w:t>
      </w:r>
      <w:r w:rsidR="004C2B9A" w:rsidRPr="00A3151B">
        <w:t xml:space="preserve">situationally </w:t>
      </w:r>
      <w:r w:rsidR="00C83002" w:rsidRPr="00A3151B">
        <w:t>vulnerable adults with capacity are concerned, t</w:t>
      </w:r>
      <w:r w:rsidR="007A31DD" w:rsidRPr="00A3151B">
        <w:t xml:space="preserve">here are two problems tied to </w:t>
      </w:r>
      <w:r w:rsidR="00503D19" w:rsidRPr="00A3151B">
        <w:t>the development of two incompatible standards for rational decision making</w:t>
      </w:r>
      <w:r w:rsidR="00C83002" w:rsidRPr="00A3151B">
        <w:t xml:space="preserve">, both of which are based on </w:t>
      </w:r>
      <w:r w:rsidR="00D51CE9" w:rsidRPr="00A3151B">
        <w:t>the two standard</w:t>
      </w:r>
      <w:r w:rsidR="007A31DD" w:rsidRPr="00A3151B">
        <w:t xml:space="preserve"> </w:t>
      </w:r>
      <w:r w:rsidR="001E6859" w:rsidRPr="00A3151B">
        <w:t xml:space="preserve">common law </w:t>
      </w:r>
      <w:r w:rsidR="007A31DD" w:rsidRPr="00A3151B">
        <w:t>response</w:t>
      </w:r>
      <w:r w:rsidR="00533640" w:rsidRPr="00A3151B">
        <w:t>s</w:t>
      </w:r>
      <w:r w:rsidR="007A31DD" w:rsidRPr="00A3151B">
        <w:t xml:space="preserve"> to capacitous adults who are judged to be </w:t>
      </w:r>
      <w:r w:rsidR="004C2B9A" w:rsidRPr="00A3151B">
        <w:t xml:space="preserve">situationally </w:t>
      </w:r>
      <w:r w:rsidR="007A31DD" w:rsidRPr="00A3151B">
        <w:t>vulnerable</w:t>
      </w:r>
      <w:r w:rsidR="00C83002" w:rsidRPr="00A3151B">
        <w:t xml:space="preserve">. </w:t>
      </w:r>
      <w:r w:rsidR="00814D53" w:rsidRPr="00A3151B">
        <w:t>W</w:t>
      </w:r>
      <w:r w:rsidR="00F0468B" w:rsidRPr="00A3151B">
        <w:t xml:space="preserve">here determinations of </w:t>
      </w:r>
      <w:r w:rsidR="00142B92" w:rsidRPr="00A3151B">
        <w:t xml:space="preserve">a vulnerable adult’s ability to make medical decisions for themselves are </w:t>
      </w:r>
      <w:r w:rsidR="00814D53" w:rsidRPr="00A3151B">
        <w:t>at stake</w:t>
      </w:r>
      <w:r w:rsidR="00142B92" w:rsidRPr="00A3151B">
        <w:t xml:space="preserve">, </w:t>
      </w:r>
      <w:r w:rsidR="00814D53" w:rsidRPr="00A3151B">
        <w:t>the first problem</w:t>
      </w:r>
      <w:r w:rsidR="009F0937" w:rsidRPr="00A3151B">
        <w:t xml:space="preserve"> is</w:t>
      </w:r>
      <w:r w:rsidR="00814D53" w:rsidRPr="00A3151B">
        <w:t xml:space="preserve"> that the High Court is primarily concerned with the effects of constraint, coercion or undue influence on her ability to fulfil the typical conditions required for giving </w:t>
      </w:r>
      <w:r w:rsidR="00814D53" w:rsidRPr="00A3151B">
        <w:rPr>
          <w:i/>
        </w:rPr>
        <w:t>genuine</w:t>
      </w:r>
      <w:r w:rsidR="00814D53" w:rsidRPr="00A3151B">
        <w:t xml:space="preserve"> consent</w:t>
      </w:r>
      <w:r w:rsidR="007A31DD" w:rsidRPr="00A3151B">
        <w:t xml:space="preserve">. </w:t>
      </w:r>
      <w:r w:rsidR="00722D9C" w:rsidRPr="00A3151B">
        <w:t>A</w:t>
      </w:r>
      <w:r w:rsidR="00A35A02" w:rsidRPr="00A3151B">
        <w:t xml:space="preserve">s </w:t>
      </w:r>
      <w:proofErr w:type="spellStart"/>
      <w:r w:rsidR="00A35A02" w:rsidRPr="00A3151B">
        <w:t>B</w:t>
      </w:r>
      <w:r w:rsidR="007A31DD" w:rsidRPr="00A3151B">
        <w:t>odey</w:t>
      </w:r>
      <w:proofErr w:type="spellEnd"/>
      <w:r w:rsidR="007A31DD" w:rsidRPr="00A3151B">
        <w:t xml:space="preserve"> J</w:t>
      </w:r>
      <w:r w:rsidR="00722D9C" w:rsidRPr="00A3151B">
        <w:t>.</w:t>
      </w:r>
      <w:r w:rsidR="007A31DD" w:rsidRPr="00A3151B">
        <w:t xml:space="preserve"> observed, determinations regarding </w:t>
      </w:r>
      <w:r w:rsidR="00722D9C" w:rsidRPr="00A3151B">
        <w:t xml:space="preserve">a capacitous vulnerable adult’s ability to give or express </w:t>
      </w:r>
      <w:r w:rsidR="00722D9C" w:rsidRPr="00A3151B">
        <w:rPr>
          <w:i/>
        </w:rPr>
        <w:t>genuine</w:t>
      </w:r>
      <w:r w:rsidR="00722D9C" w:rsidRPr="00A3151B">
        <w:t xml:space="preserve"> consent</w:t>
      </w:r>
      <w:r w:rsidR="007A31DD" w:rsidRPr="00A3151B">
        <w:t xml:space="preserve"> should focus </w:t>
      </w:r>
      <w:r w:rsidR="007A31DD" w:rsidRPr="00A3151B">
        <w:rPr>
          <w:i/>
        </w:rPr>
        <w:t>solely</w:t>
      </w:r>
      <w:r w:rsidR="007A31DD" w:rsidRPr="00A3151B">
        <w:t xml:space="preserve"> on the </w:t>
      </w:r>
      <w:r w:rsidR="00722D9C" w:rsidRPr="00A3151B">
        <w:t xml:space="preserve">effects of </w:t>
      </w:r>
      <w:r w:rsidR="00A35A02" w:rsidRPr="00A3151B">
        <w:t>malign external influences</w:t>
      </w:r>
      <w:r w:rsidR="007A31DD" w:rsidRPr="00A3151B">
        <w:t xml:space="preserve"> on the patient’s </w:t>
      </w:r>
      <w:r w:rsidR="00722D9C" w:rsidRPr="00A3151B">
        <w:t>capacity</w:t>
      </w:r>
      <w:r w:rsidR="007A31DD" w:rsidRPr="00A3151B">
        <w:t xml:space="preserve"> to manage information relating to ‘proximate medical issues’.</w:t>
      </w:r>
      <w:r w:rsidR="00C9591F" w:rsidRPr="00A3151B">
        <w:rPr>
          <w:vertAlign w:val="superscript"/>
        </w:rPr>
        <w:footnoteReference w:id="35"/>
      </w:r>
      <w:r w:rsidR="00722D9C" w:rsidRPr="00A3151B">
        <w:t xml:space="preserve"> </w:t>
      </w:r>
      <w:r w:rsidR="00A35A02" w:rsidRPr="00A3151B">
        <w:t xml:space="preserve">The point is that such determinations ought </w:t>
      </w:r>
      <w:r w:rsidR="00A35A02" w:rsidRPr="00A3151B">
        <w:rPr>
          <w:i/>
        </w:rPr>
        <w:t>not</w:t>
      </w:r>
      <w:r w:rsidR="00A35A02" w:rsidRPr="00A3151B">
        <w:t xml:space="preserve"> to be based on </w:t>
      </w:r>
      <w:r w:rsidR="007A31DD" w:rsidRPr="00A3151B">
        <w:t>effect</w:t>
      </w:r>
      <w:r w:rsidR="00A35A02" w:rsidRPr="00A3151B">
        <w:t>s</w:t>
      </w:r>
      <w:r w:rsidR="007A31DD" w:rsidRPr="00A3151B">
        <w:t xml:space="preserve"> of </w:t>
      </w:r>
      <w:r w:rsidR="00A35A02" w:rsidRPr="00A3151B">
        <w:t xml:space="preserve">constraint, coercion, undue influence, and so on, </w:t>
      </w:r>
      <w:r w:rsidR="007A31DD" w:rsidRPr="00A3151B">
        <w:t>on the</w:t>
      </w:r>
      <w:r w:rsidR="00A35A02" w:rsidRPr="00A3151B">
        <w:t xml:space="preserve"> soundness of the</w:t>
      </w:r>
      <w:r w:rsidR="007A31DD" w:rsidRPr="00A3151B">
        <w:t xml:space="preserve"> capacitous vulnerable adult’s reasoning </w:t>
      </w:r>
      <w:r w:rsidR="00A35A02" w:rsidRPr="00A3151B">
        <w:t>in light of her own</w:t>
      </w:r>
      <w:r w:rsidR="007A31DD" w:rsidRPr="00A3151B">
        <w:t xml:space="preserve"> values, desires and motives. </w:t>
      </w:r>
      <w:r w:rsidR="00816F89" w:rsidRPr="00A3151B">
        <w:t xml:space="preserve">Second, and relatedly, the </w:t>
      </w:r>
      <w:r w:rsidR="004C26DB" w:rsidRPr="00A3151B">
        <w:t xml:space="preserve">High Court’s </w:t>
      </w:r>
      <w:r w:rsidR="00816F89" w:rsidRPr="00A3151B">
        <w:t xml:space="preserve">focus on the effects of an individual’s </w:t>
      </w:r>
      <w:r w:rsidR="004C2B9A" w:rsidRPr="00A3151B">
        <w:t xml:space="preserve">situational </w:t>
      </w:r>
      <w:r w:rsidR="00816F89" w:rsidRPr="00A3151B">
        <w:t xml:space="preserve">vulnerability </w:t>
      </w:r>
      <w:r w:rsidR="0075795D" w:rsidRPr="00A3151B">
        <w:t>on their ability to</w:t>
      </w:r>
      <w:r w:rsidR="00816F89" w:rsidRPr="00A3151B">
        <w:t xml:space="preserve"> exercise their liberty at law</w:t>
      </w:r>
      <w:r w:rsidR="00A35A02" w:rsidRPr="00A3151B">
        <w:t xml:space="preserve"> </w:t>
      </w:r>
      <w:r w:rsidR="00816F89" w:rsidRPr="00A3151B">
        <w:t>precludes</w:t>
      </w:r>
      <w:r w:rsidR="004C26DB" w:rsidRPr="00A3151B">
        <w:t xml:space="preserve"> adequate engagement with </w:t>
      </w:r>
      <w:r w:rsidR="00A35A02" w:rsidRPr="00A3151B">
        <w:t xml:space="preserve">the very question of their </w:t>
      </w:r>
      <w:r w:rsidR="001C03A3" w:rsidRPr="00A3151B">
        <w:t xml:space="preserve">autonomy. Specifically, </w:t>
      </w:r>
      <w:r w:rsidR="00843C55" w:rsidRPr="00A3151B">
        <w:t xml:space="preserve">because giving </w:t>
      </w:r>
      <w:r w:rsidR="00843C55" w:rsidRPr="00A3151B">
        <w:rPr>
          <w:i/>
        </w:rPr>
        <w:t>genuine</w:t>
      </w:r>
      <w:r w:rsidR="00843C55" w:rsidRPr="00A3151B">
        <w:t xml:space="preserve"> consent cannot be equated with exercising </w:t>
      </w:r>
      <w:r w:rsidR="00843C55" w:rsidRPr="00A3151B">
        <w:lastRenderedPageBreak/>
        <w:t>personal autonomy,</w:t>
      </w:r>
      <w:r w:rsidR="00A35A02" w:rsidRPr="00A3151B">
        <w:rPr>
          <w:rStyle w:val="FootnoteReference"/>
        </w:rPr>
        <w:footnoteReference w:id="36"/>
      </w:r>
      <w:r w:rsidR="00687E55" w:rsidRPr="00A3151B">
        <w:t xml:space="preserve"> </w:t>
      </w:r>
      <w:r w:rsidR="001C03A3" w:rsidRPr="00A3151B">
        <w:t>such an approach ignores the possibility that</w:t>
      </w:r>
      <w:r w:rsidR="00816F89" w:rsidRPr="00A3151B">
        <w:t xml:space="preserve"> </w:t>
      </w:r>
      <w:r w:rsidR="004C2B9A" w:rsidRPr="00A3151B">
        <w:t xml:space="preserve">situationally </w:t>
      </w:r>
      <w:r w:rsidR="00816F89" w:rsidRPr="00A3151B">
        <w:rPr>
          <w:bCs/>
        </w:rPr>
        <w:t>vulnerable adults</w:t>
      </w:r>
      <w:r w:rsidR="00816F89" w:rsidRPr="00A3151B">
        <w:rPr>
          <w:bCs/>
          <w:i/>
        </w:rPr>
        <w:t xml:space="preserve"> </w:t>
      </w:r>
      <w:r w:rsidR="001C03A3" w:rsidRPr="00A3151B">
        <w:rPr>
          <w:bCs/>
        </w:rPr>
        <w:t>with capacity</w:t>
      </w:r>
      <w:r w:rsidR="001C03A3" w:rsidRPr="00A3151B">
        <w:rPr>
          <w:bCs/>
          <w:i/>
        </w:rPr>
        <w:t xml:space="preserve"> </w:t>
      </w:r>
      <w:r w:rsidR="00816F89" w:rsidRPr="00A3151B">
        <w:rPr>
          <w:bCs/>
        </w:rPr>
        <w:t xml:space="preserve">can reason soundly in accordance with their own values, desires and motives and come to a decision that coheres with those motivating reasons, thereby fulfilling the conditions of rational deliberation that </w:t>
      </w:r>
      <w:r w:rsidR="0075795D" w:rsidRPr="00A3151B">
        <w:rPr>
          <w:bCs/>
        </w:rPr>
        <w:t xml:space="preserve">philosophers and moral psychologists </w:t>
      </w:r>
      <w:r w:rsidR="00816F89" w:rsidRPr="00A3151B">
        <w:rPr>
          <w:bCs/>
        </w:rPr>
        <w:t>take to be a necessary feature of autonomy</w:t>
      </w:r>
      <w:r w:rsidR="001C03A3" w:rsidRPr="00A3151B">
        <w:rPr>
          <w:bCs/>
        </w:rPr>
        <w:t>.</w:t>
      </w:r>
      <w:r w:rsidR="00975D6D" w:rsidRPr="00A3151B">
        <w:rPr>
          <w:rStyle w:val="FootnoteReference"/>
          <w:bCs/>
        </w:rPr>
        <w:footnoteReference w:id="37"/>
      </w:r>
    </w:p>
    <w:p w14:paraId="33D8E679" w14:textId="77777777" w:rsidR="007A31DD" w:rsidRPr="00A3151B" w:rsidRDefault="007A31DD" w:rsidP="00314F3D">
      <w:pPr>
        <w:tabs>
          <w:tab w:val="left" w:pos="720"/>
        </w:tabs>
        <w:spacing w:line="480" w:lineRule="auto"/>
        <w:jc w:val="both"/>
      </w:pPr>
    </w:p>
    <w:p w14:paraId="1C70F3FD" w14:textId="460E3994" w:rsidR="00EE7F08" w:rsidRPr="00A3151B" w:rsidRDefault="00D51361" w:rsidP="00D51361">
      <w:pPr>
        <w:pStyle w:val="ListParagraph"/>
        <w:numPr>
          <w:ilvl w:val="0"/>
          <w:numId w:val="18"/>
        </w:numPr>
        <w:tabs>
          <w:tab w:val="left" w:pos="720"/>
        </w:tabs>
        <w:spacing w:line="480" w:lineRule="auto"/>
        <w:ind w:left="360" w:hanging="360"/>
        <w:jc w:val="center"/>
        <w:rPr>
          <w:rFonts w:ascii="Times New Roman" w:hAnsi="Times New Roman" w:cs="Times New Roman"/>
          <w:b/>
          <w:lang w:val="en-GB"/>
        </w:rPr>
      </w:pPr>
      <w:r w:rsidRPr="00A3151B">
        <w:rPr>
          <w:rFonts w:ascii="Times New Roman" w:hAnsi="Times New Roman" w:cs="Times New Roman"/>
          <w:b/>
          <w:lang w:val="en-GB"/>
        </w:rPr>
        <w:t>ANALYTIC FEMINISM AND ITS RESPONSES TO VULNERABILITY AND AUTONOMY</w:t>
      </w:r>
    </w:p>
    <w:p w14:paraId="5EA6F4E7" w14:textId="77777777" w:rsidR="00D51361" w:rsidRPr="00A3151B" w:rsidRDefault="00D51361" w:rsidP="00D51361">
      <w:pPr>
        <w:pStyle w:val="ListParagraph"/>
        <w:tabs>
          <w:tab w:val="left" w:pos="720"/>
        </w:tabs>
        <w:spacing w:line="480" w:lineRule="auto"/>
        <w:ind w:left="1080"/>
        <w:jc w:val="both"/>
        <w:rPr>
          <w:rFonts w:ascii="Times New Roman" w:hAnsi="Times New Roman" w:cs="Times New Roman"/>
          <w:b/>
          <w:lang w:val="en-GB"/>
        </w:rPr>
      </w:pPr>
    </w:p>
    <w:p w14:paraId="52847C1B" w14:textId="77777777" w:rsidR="00B930C5" w:rsidRPr="00A3151B" w:rsidRDefault="00F82C64" w:rsidP="00314F3D">
      <w:pPr>
        <w:tabs>
          <w:tab w:val="left" w:pos="720"/>
        </w:tabs>
        <w:spacing w:line="480" w:lineRule="auto"/>
        <w:jc w:val="both"/>
      </w:pPr>
      <w:r w:rsidRPr="00A3151B">
        <w:t>L</w:t>
      </w:r>
      <w:r w:rsidR="008A237B" w:rsidRPr="00A3151B">
        <w:t xml:space="preserve">ike other feminist </w:t>
      </w:r>
      <w:r w:rsidR="005E3187" w:rsidRPr="00A3151B">
        <w:t>philosophers</w:t>
      </w:r>
      <w:r w:rsidR="008A237B" w:rsidRPr="00A3151B">
        <w:t xml:space="preserve">, </w:t>
      </w:r>
      <w:r w:rsidRPr="00A3151B">
        <w:t xml:space="preserve">analytic feminists </w:t>
      </w:r>
      <w:r w:rsidR="00737237" w:rsidRPr="00A3151B">
        <w:t>argue</w:t>
      </w:r>
      <w:r w:rsidR="008A237B" w:rsidRPr="00A3151B">
        <w:t xml:space="preserve"> that traditional </w:t>
      </w:r>
      <w:r w:rsidRPr="00A3151B">
        <w:t>concepts</w:t>
      </w:r>
      <w:r w:rsidR="008A237B" w:rsidRPr="00A3151B">
        <w:t>, such as autonomy, rationality, truth and objectivity, have been ‘perverted’ by androcentrism and sexism throughout the history of philosophy</w:t>
      </w:r>
      <w:r w:rsidR="0087235D" w:rsidRPr="00A3151B">
        <w:t>.</w:t>
      </w:r>
      <w:r w:rsidR="007F539A" w:rsidRPr="00A3151B">
        <w:rPr>
          <w:rStyle w:val="FootnoteReference"/>
        </w:rPr>
        <w:footnoteReference w:id="38"/>
      </w:r>
      <w:r w:rsidR="0087235D" w:rsidRPr="00A3151B">
        <w:t xml:space="preserve"> </w:t>
      </w:r>
      <w:r w:rsidR="00083200" w:rsidRPr="00A3151B">
        <w:t>However, unlike other feminist approaches</w:t>
      </w:r>
      <w:r w:rsidR="00FF542E" w:rsidRPr="00A3151B">
        <w:t xml:space="preserve">, </w:t>
      </w:r>
      <w:r w:rsidR="005E3187" w:rsidRPr="00A3151B">
        <w:t xml:space="preserve">there is </w:t>
      </w:r>
      <w:r w:rsidR="00FF542E" w:rsidRPr="00A3151B">
        <w:t xml:space="preserve">a ‘core desire’ to retain, and form clear conceptions of, </w:t>
      </w:r>
      <w:r w:rsidR="00083200" w:rsidRPr="00A3151B">
        <w:t>these</w:t>
      </w:r>
      <w:r w:rsidR="00C7786E" w:rsidRPr="00A3151B">
        <w:t xml:space="preserve"> </w:t>
      </w:r>
      <w:r w:rsidR="00FF542E" w:rsidRPr="00A3151B">
        <w:t>concepts.</w:t>
      </w:r>
      <w:r w:rsidR="00FF542E" w:rsidRPr="00A3151B">
        <w:rPr>
          <w:rStyle w:val="FootnoteReference"/>
        </w:rPr>
        <w:footnoteReference w:id="39"/>
      </w:r>
      <w:r w:rsidR="00FF542E" w:rsidRPr="00A3151B">
        <w:t xml:space="preserve"> </w:t>
      </w:r>
      <w:r w:rsidR="00083200" w:rsidRPr="00A3151B">
        <w:t>By</w:t>
      </w:r>
      <w:r w:rsidR="00DC27E6" w:rsidRPr="00A3151B">
        <w:t xml:space="preserve"> reproducing </w:t>
      </w:r>
      <w:r w:rsidR="00B71BE2" w:rsidRPr="00A3151B">
        <w:t>philosophical</w:t>
      </w:r>
      <w:r w:rsidR="00DC27E6" w:rsidRPr="00A3151B">
        <w:t xml:space="preserve"> concepts</w:t>
      </w:r>
      <w:r w:rsidR="009238CC" w:rsidRPr="00A3151B">
        <w:t xml:space="preserve"> </w:t>
      </w:r>
      <w:r w:rsidR="00DC27E6" w:rsidRPr="00A3151B">
        <w:t>through the application of feminist insights</w:t>
      </w:r>
      <w:r w:rsidR="00083200" w:rsidRPr="00A3151B">
        <w:t>, analytic feminists</w:t>
      </w:r>
      <w:r w:rsidR="00DC27E6" w:rsidRPr="00A3151B">
        <w:t xml:space="preserve"> </w:t>
      </w:r>
      <w:r w:rsidR="00083200" w:rsidRPr="00A3151B">
        <w:t>aim to</w:t>
      </w:r>
      <w:r w:rsidR="00DC27E6" w:rsidRPr="00A3151B">
        <w:t xml:space="preserve"> </w:t>
      </w:r>
      <w:r w:rsidR="00083200" w:rsidRPr="00A3151B">
        <w:t xml:space="preserve">not only </w:t>
      </w:r>
      <w:r w:rsidR="00737237" w:rsidRPr="00A3151B">
        <w:t>cast</w:t>
      </w:r>
      <w:r w:rsidR="00DC27E6" w:rsidRPr="00A3151B">
        <w:t xml:space="preserve"> new light on issues in philosophy,</w:t>
      </w:r>
      <w:r w:rsidR="00424D5D" w:rsidRPr="00A3151B">
        <w:rPr>
          <w:rStyle w:val="FootnoteReference"/>
        </w:rPr>
        <w:footnoteReference w:id="40"/>
      </w:r>
      <w:r w:rsidR="00424D5D" w:rsidRPr="00A3151B">
        <w:t xml:space="preserve"> </w:t>
      </w:r>
      <w:r w:rsidR="00DC27E6" w:rsidRPr="00A3151B">
        <w:t xml:space="preserve">but </w:t>
      </w:r>
      <w:r w:rsidR="00B03D1B" w:rsidRPr="00A3151B">
        <w:t xml:space="preserve">also </w:t>
      </w:r>
      <w:r w:rsidR="00424D5D" w:rsidRPr="00A3151B">
        <w:t xml:space="preserve">generate ‘inclusive’ philosophical theories that ‘work’ for </w:t>
      </w:r>
      <w:r w:rsidR="00055A7E" w:rsidRPr="00A3151B">
        <w:t>all sorts of</w:t>
      </w:r>
      <w:r w:rsidR="00424D5D" w:rsidRPr="00A3151B">
        <w:t xml:space="preserve"> women and men, </w:t>
      </w:r>
      <w:r w:rsidR="00791274" w:rsidRPr="00A3151B">
        <w:t xml:space="preserve">that </w:t>
      </w:r>
      <w:r w:rsidR="00DC27E6" w:rsidRPr="00A3151B">
        <w:t>counter sexism and androcentrism</w:t>
      </w:r>
      <w:r w:rsidR="00424D5D" w:rsidRPr="00A3151B">
        <w:t xml:space="preserve"> and </w:t>
      </w:r>
      <w:r w:rsidR="00791274" w:rsidRPr="00A3151B">
        <w:t xml:space="preserve">that </w:t>
      </w:r>
      <w:r w:rsidR="00DC27E6" w:rsidRPr="00A3151B">
        <w:t>empower and liberate women.</w:t>
      </w:r>
      <w:r w:rsidR="00055A7E" w:rsidRPr="00A3151B">
        <w:rPr>
          <w:rStyle w:val="FootnoteReference"/>
        </w:rPr>
        <w:footnoteReference w:id="41"/>
      </w:r>
      <w:r w:rsidR="00DC27E6" w:rsidRPr="00A3151B">
        <w:t xml:space="preserve"> </w:t>
      </w:r>
    </w:p>
    <w:p w14:paraId="6A48214F" w14:textId="13F855F8" w:rsidR="00DA7F0F" w:rsidRPr="00A3151B" w:rsidRDefault="00B930C5" w:rsidP="00314F3D">
      <w:pPr>
        <w:tabs>
          <w:tab w:val="left" w:pos="720"/>
        </w:tabs>
        <w:spacing w:line="480" w:lineRule="auto"/>
        <w:jc w:val="both"/>
      </w:pPr>
      <w:r w:rsidRPr="00A3151B">
        <w:lastRenderedPageBreak/>
        <w:tab/>
      </w:r>
      <w:r w:rsidR="00B36F6E" w:rsidRPr="00A3151B">
        <w:t xml:space="preserve">For </w:t>
      </w:r>
      <w:r w:rsidR="00B71BE2" w:rsidRPr="00A3151B">
        <w:t>the</w:t>
      </w:r>
      <w:r w:rsidR="00B36F6E" w:rsidRPr="00A3151B">
        <w:t xml:space="preserve"> purposes</w:t>
      </w:r>
      <w:r w:rsidR="00B71BE2" w:rsidRPr="00A3151B">
        <w:t xml:space="preserve"> of this paper</w:t>
      </w:r>
      <w:r w:rsidR="00B36F6E" w:rsidRPr="00A3151B">
        <w:t xml:space="preserve">, one of the </w:t>
      </w:r>
      <w:r w:rsidR="00083200" w:rsidRPr="00A3151B">
        <w:t xml:space="preserve">discipline’s </w:t>
      </w:r>
      <w:r w:rsidR="00B36F6E" w:rsidRPr="00A3151B">
        <w:t xml:space="preserve">most important developments has been </w:t>
      </w:r>
      <w:r w:rsidR="00823AD8" w:rsidRPr="00A3151B">
        <w:t xml:space="preserve">to challenge the </w:t>
      </w:r>
      <w:r w:rsidR="008060E1" w:rsidRPr="00A3151B">
        <w:t>‘</w:t>
      </w:r>
      <w:r w:rsidR="00CD0C30" w:rsidRPr="00A3151B">
        <w:t>individualistic</w:t>
      </w:r>
      <w:r w:rsidR="008060E1" w:rsidRPr="00A3151B">
        <w:t xml:space="preserve">’ and ‘abstract’ </w:t>
      </w:r>
      <w:r w:rsidR="00823AD8" w:rsidRPr="00A3151B">
        <w:t xml:space="preserve">paradigm of </w:t>
      </w:r>
      <w:r w:rsidR="00F94388" w:rsidRPr="00A3151B">
        <w:t xml:space="preserve">the autonomous </w:t>
      </w:r>
      <w:r w:rsidR="008060E1" w:rsidRPr="00A3151B">
        <w:t>agent by, firstly,</w:t>
      </w:r>
      <w:r w:rsidR="00CE0E99" w:rsidRPr="00A3151B">
        <w:t xml:space="preserve"> </w:t>
      </w:r>
      <w:r w:rsidR="008A237B" w:rsidRPr="00A3151B">
        <w:t xml:space="preserve">emphasising </w:t>
      </w:r>
      <w:r w:rsidR="00CE0E99" w:rsidRPr="00A3151B">
        <w:t>the</w:t>
      </w:r>
      <w:r w:rsidR="008060E1" w:rsidRPr="00A3151B">
        <w:t xml:space="preserve"> </w:t>
      </w:r>
      <w:r w:rsidR="00952945" w:rsidRPr="00A3151B">
        <w:t>concrete facets of situations</w:t>
      </w:r>
      <w:r w:rsidR="00791274" w:rsidRPr="00A3151B">
        <w:t xml:space="preserve"> in which autonomy capacities are exercised</w:t>
      </w:r>
      <w:r w:rsidR="00B06049" w:rsidRPr="00A3151B">
        <w:t>.</w:t>
      </w:r>
      <w:r w:rsidR="00B06049" w:rsidRPr="00A3151B">
        <w:rPr>
          <w:rStyle w:val="FootnoteReference"/>
        </w:rPr>
        <w:footnoteReference w:id="42"/>
      </w:r>
      <w:r w:rsidR="00B06049" w:rsidRPr="00A3151B">
        <w:t xml:space="preserve"> S</w:t>
      </w:r>
      <w:r w:rsidR="00952945" w:rsidRPr="00A3151B">
        <w:t xml:space="preserve">econdly, </w:t>
      </w:r>
      <w:r w:rsidR="00B06049" w:rsidRPr="00A3151B">
        <w:t xml:space="preserve">rather than focus on the dichotomy between the </w:t>
      </w:r>
      <w:r w:rsidR="00F05940" w:rsidRPr="00A3151B">
        <w:t>‘</w:t>
      </w:r>
      <w:r w:rsidR="00B06049" w:rsidRPr="00A3151B">
        <w:t>rational individual</w:t>
      </w:r>
      <w:r w:rsidR="00F05940" w:rsidRPr="00A3151B">
        <w:t>’</w:t>
      </w:r>
      <w:r w:rsidR="0003625C" w:rsidRPr="00A3151B">
        <w:t xml:space="preserve"> and the </w:t>
      </w:r>
      <w:r w:rsidR="00F05940" w:rsidRPr="00A3151B">
        <w:t>‘</w:t>
      </w:r>
      <w:r w:rsidR="0003625C" w:rsidRPr="00A3151B">
        <w:t>social</w:t>
      </w:r>
      <w:r w:rsidR="00F05940" w:rsidRPr="00A3151B">
        <w:t>’</w:t>
      </w:r>
      <w:r w:rsidR="00B06049" w:rsidRPr="00A3151B">
        <w:t>, analytic feminist</w:t>
      </w:r>
      <w:r w:rsidR="00E801FC" w:rsidRPr="00A3151B">
        <w:t>s</w:t>
      </w:r>
      <w:r w:rsidR="00B06049" w:rsidRPr="00A3151B">
        <w:t xml:space="preserve"> have developed arguments that place greater attention on the roles of </w:t>
      </w:r>
      <w:r w:rsidR="00AD3F62" w:rsidRPr="00A3151B">
        <w:t>interpersonal relations</w:t>
      </w:r>
      <w:r w:rsidR="007E2A34" w:rsidRPr="00A3151B">
        <w:t>, social interaction</w:t>
      </w:r>
      <w:r w:rsidR="00AD3F62" w:rsidRPr="00A3151B">
        <w:t xml:space="preserve"> and communities</w:t>
      </w:r>
      <w:r w:rsidR="00B06049" w:rsidRPr="00A3151B">
        <w:t xml:space="preserve"> in autonomy-determining contexts</w:t>
      </w:r>
      <w:r w:rsidR="008060E1" w:rsidRPr="00A3151B">
        <w:t>.</w:t>
      </w:r>
      <w:r w:rsidR="00DA7F0F" w:rsidRPr="00A3151B">
        <w:t xml:space="preserve"> </w:t>
      </w:r>
      <w:r w:rsidR="00B71BE2" w:rsidRPr="00A3151B">
        <w:t>T</w:t>
      </w:r>
      <w:r w:rsidR="00E801FC" w:rsidRPr="00A3151B">
        <w:t>his shift of focus from the ‘abstract’ and the ‘individual’ to the ‘concrete’ and the ‘relational</w:t>
      </w:r>
      <w:r w:rsidR="00FA4FCF" w:rsidRPr="00A3151B">
        <w:t xml:space="preserve">’ has informed </w:t>
      </w:r>
      <w:r w:rsidR="00B71BE2" w:rsidRPr="00A3151B">
        <w:t xml:space="preserve">feminist </w:t>
      </w:r>
      <w:r w:rsidR="00EA674B" w:rsidRPr="00A3151B">
        <w:t>criticisms of</w:t>
      </w:r>
      <w:r w:rsidR="00791274" w:rsidRPr="00A3151B">
        <w:t xml:space="preserve"> </w:t>
      </w:r>
      <w:r w:rsidR="00B71BE2" w:rsidRPr="00A3151B">
        <w:t>the law’s</w:t>
      </w:r>
      <w:r w:rsidR="00791274" w:rsidRPr="00A3151B">
        <w:t xml:space="preserve"> </w:t>
      </w:r>
      <w:r w:rsidR="00B71BE2" w:rsidRPr="00A3151B">
        <w:t>approach</w:t>
      </w:r>
      <w:r w:rsidR="00EA674B" w:rsidRPr="00A3151B">
        <w:t xml:space="preserve"> to </w:t>
      </w:r>
      <w:r w:rsidR="003F30DC" w:rsidRPr="00A3151B">
        <w:t xml:space="preserve">situational </w:t>
      </w:r>
      <w:r w:rsidR="00EA674B" w:rsidRPr="00A3151B">
        <w:t>vulnerability</w:t>
      </w:r>
      <w:r w:rsidR="0051721C" w:rsidRPr="00A3151B">
        <w:t xml:space="preserve">. </w:t>
      </w:r>
    </w:p>
    <w:p w14:paraId="749C0DDC" w14:textId="77777777" w:rsidR="00980C9E" w:rsidRPr="00A3151B" w:rsidRDefault="00DA7F0F" w:rsidP="00980C9E">
      <w:pPr>
        <w:tabs>
          <w:tab w:val="left" w:pos="720"/>
        </w:tabs>
        <w:spacing w:line="480" w:lineRule="auto"/>
        <w:jc w:val="both"/>
      </w:pPr>
      <w:r w:rsidRPr="00A3151B">
        <w:tab/>
        <w:t>E</w:t>
      </w:r>
      <w:r w:rsidR="00C31912" w:rsidRPr="00A3151B">
        <w:t>ven though</w:t>
      </w:r>
      <w:r w:rsidRPr="00A3151B">
        <w:t xml:space="preserve"> the</w:t>
      </w:r>
      <w:r w:rsidR="00C31912" w:rsidRPr="00A3151B">
        <w:t xml:space="preserve"> </w:t>
      </w:r>
      <w:r w:rsidRPr="00A3151B">
        <w:t xml:space="preserve">‘effective use of reason’ </w:t>
      </w:r>
      <w:r w:rsidR="00CE0E99" w:rsidRPr="00A3151B">
        <w:t>approach</w:t>
      </w:r>
      <w:r w:rsidRPr="00A3151B">
        <w:t xml:space="preserve"> to autonomy</w:t>
      </w:r>
      <w:r w:rsidR="00C31912" w:rsidRPr="00A3151B">
        <w:t xml:space="preserve"> is applied</w:t>
      </w:r>
      <w:r w:rsidRPr="00A3151B">
        <w:t xml:space="preserve"> </w:t>
      </w:r>
      <w:r w:rsidR="00B71BE2" w:rsidRPr="00A3151B">
        <w:t>at</w:t>
      </w:r>
      <w:r w:rsidRPr="00A3151B">
        <w:t xml:space="preserve"> law</w:t>
      </w:r>
      <w:r w:rsidR="00C31912" w:rsidRPr="00A3151B">
        <w:t xml:space="preserve"> to protect the welfare of vulnerable individuals</w:t>
      </w:r>
      <w:r w:rsidR="00B71BE2" w:rsidRPr="00A3151B">
        <w:t>, there is a danger</w:t>
      </w:r>
      <w:r w:rsidR="00B63BA0" w:rsidRPr="00A3151B">
        <w:t>, according to analytic feminists,</w:t>
      </w:r>
      <w:r w:rsidR="00B71BE2" w:rsidRPr="00A3151B">
        <w:t xml:space="preserve"> </w:t>
      </w:r>
      <w:r w:rsidR="00C31912" w:rsidRPr="00A3151B">
        <w:t>of removing ‘general protections’, such as liberty at law and respect for autonomy, ‘with less clearly agreed or articulated protections’.</w:t>
      </w:r>
      <w:r w:rsidR="004B13B7" w:rsidRPr="00A3151B">
        <w:rPr>
          <w:rStyle w:val="FootnoteReference"/>
        </w:rPr>
        <w:footnoteReference w:id="43"/>
      </w:r>
      <w:r w:rsidR="004B13B7" w:rsidRPr="00A3151B">
        <w:t xml:space="preserve"> </w:t>
      </w:r>
      <w:r w:rsidR="00B63BA0" w:rsidRPr="00A3151B">
        <w:t>It has been argued that t</w:t>
      </w:r>
      <w:r w:rsidR="00FB4B8C" w:rsidRPr="00A3151B">
        <w:t xml:space="preserve">his tension </w:t>
      </w:r>
      <w:r w:rsidR="004B13B7" w:rsidRPr="00A3151B">
        <w:t>between general protections for ‘shared vulnerabilities’ and special considerations for the especially vulnerable</w:t>
      </w:r>
      <w:r w:rsidR="00FB4B8C" w:rsidRPr="00A3151B">
        <w:t xml:space="preserve"> </w:t>
      </w:r>
      <w:r w:rsidR="004B13B7" w:rsidRPr="00A3151B">
        <w:t xml:space="preserve">can have a number of effects. </w:t>
      </w:r>
      <w:r w:rsidR="00990505" w:rsidRPr="00A3151B">
        <w:t xml:space="preserve">Firstly, </w:t>
      </w:r>
      <w:r w:rsidR="00C9591F" w:rsidRPr="00A3151B">
        <w:t xml:space="preserve">the courts’ focus on the effects of coercion, constraint and undue influence on a vulnerable adult’s ability to give </w:t>
      </w:r>
      <w:r w:rsidR="00C9591F" w:rsidRPr="00A3151B">
        <w:rPr>
          <w:i/>
        </w:rPr>
        <w:t xml:space="preserve">genuine </w:t>
      </w:r>
      <w:r w:rsidR="00C9591F" w:rsidRPr="00A3151B">
        <w:t xml:space="preserve">consent, and the primary concern with </w:t>
      </w:r>
      <w:r w:rsidR="00BB5DE5" w:rsidRPr="00A3151B">
        <w:t>facilitat</w:t>
      </w:r>
      <w:r w:rsidR="00C9591F" w:rsidRPr="00A3151B">
        <w:t>ing</w:t>
      </w:r>
      <w:r w:rsidR="00BB5DE5" w:rsidRPr="00A3151B">
        <w:t xml:space="preserve"> ‘</w:t>
      </w:r>
      <w:r w:rsidR="00E20CB6" w:rsidRPr="00A3151B">
        <w:t xml:space="preserve">unencumbered decision </w:t>
      </w:r>
      <w:r w:rsidR="00BB5DE5" w:rsidRPr="00A3151B">
        <w:t>making’</w:t>
      </w:r>
      <w:r w:rsidR="00D53D90" w:rsidRPr="00A3151B">
        <w:t>,</w:t>
      </w:r>
      <w:r w:rsidR="003E0324" w:rsidRPr="00A3151B">
        <w:t xml:space="preserve"> </w:t>
      </w:r>
      <w:r w:rsidR="00D53D90" w:rsidRPr="00A3151B">
        <w:t xml:space="preserve">is </w:t>
      </w:r>
      <w:r w:rsidR="00B076A9" w:rsidRPr="00A3151B">
        <w:t xml:space="preserve">premised upon </w:t>
      </w:r>
      <w:r w:rsidR="00D031AB" w:rsidRPr="00A3151B">
        <w:t>the liberal ideal of</w:t>
      </w:r>
      <w:r w:rsidR="00B076A9" w:rsidRPr="00A3151B">
        <w:t xml:space="preserve"> </w:t>
      </w:r>
      <w:r w:rsidR="00D031AB" w:rsidRPr="00A3151B">
        <w:t xml:space="preserve">a </w:t>
      </w:r>
      <w:r w:rsidR="00B076A9" w:rsidRPr="00A3151B">
        <w:t>free</w:t>
      </w:r>
      <w:r w:rsidR="00EC1E57" w:rsidRPr="00A3151B">
        <w:t>, independent</w:t>
      </w:r>
      <w:r w:rsidR="00B076A9" w:rsidRPr="00A3151B">
        <w:t xml:space="preserve"> decision</w:t>
      </w:r>
      <w:r w:rsidR="00D031AB" w:rsidRPr="00A3151B">
        <w:t xml:space="preserve"> or choice, </w:t>
      </w:r>
      <w:r w:rsidR="00D53D90" w:rsidRPr="00A3151B">
        <w:t xml:space="preserve">which </w:t>
      </w:r>
      <w:r w:rsidR="00F061B2" w:rsidRPr="00A3151B">
        <w:t>seem</w:t>
      </w:r>
      <w:r w:rsidR="00D53D90" w:rsidRPr="00A3151B">
        <w:t>s</w:t>
      </w:r>
      <w:r w:rsidR="00F061B2" w:rsidRPr="00A3151B">
        <w:t xml:space="preserve"> to treat vulnerability as a contingent matter</w:t>
      </w:r>
      <w:r w:rsidR="0005099B" w:rsidRPr="00A3151B">
        <w:t xml:space="preserve"> with law</w:t>
      </w:r>
      <w:r w:rsidR="00DD0C40" w:rsidRPr="00A3151B">
        <w:t>makers</w:t>
      </w:r>
      <w:r w:rsidR="0005099B" w:rsidRPr="00A3151B">
        <w:t xml:space="preserve"> ‘seeking to restore or impose individual responsibility for independence on those who are dependent and vulnerable’.</w:t>
      </w:r>
      <w:r w:rsidR="00FE4FEF" w:rsidRPr="00A3151B">
        <w:rPr>
          <w:rStyle w:val="FootnoteReference"/>
        </w:rPr>
        <w:footnoteReference w:id="44"/>
      </w:r>
      <w:r w:rsidR="0005099B" w:rsidRPr="00A3151B">
        <w:t xml:space="preserve"> </w:t>
      </w:r>
      <w:r w:rsidR="00B71BE2" w:rsidRPr="00A3151B">
        <w:t>T</w:t>
      </w:r>
      <w:r w:rsidR="00FE4FEF" w:rsidRPr="00A3151B">
        <w:t>his</w:t>
      </w:r>
      <w:r w:rsidR="00575570" w:rsidRPr="00A3151B">
        <w:t xml:space="preserve"> kind of facilitative approach too readily discounts</w:t>
      </w:r>
      <w:r w:rsidR="00FE4FEF" w:rsidRPr="00A3151B">
        <w:t xml:space="preserve"> the ways </w:t>
      </w:r>
      <w:r w:rsidR="00575570" w:rsidRPr="00A3151B">
        <w:t xml:space="preserve">in which </w:t>
      </w:r>
      <w:r w:rsidR="00D53D90" w:rsidRPr="00A3151B">
        <w:t>a vulnerable adult’s ability to exercise their autonomy in decision-making situations is dependent on</w:t>
      </w:r>
      <w:r w:rsidR="00575570" w:rsidRPr="00A3151B">
        <w:t xml:space="preserve"> legal </w:t>
      </w:r>
      <w:r w:rsidR="005E7A8D" w:rsidRPr="00A3151B">
        <w:t xml:space="preserve">and health care </w:t>
      </w:r>
      <w:r w:rsidR="00575570" w:rsidRPr="00A3151B">
        <w:t>recognition</w:t>
      </w:r>
      <w:r w:rsidR="00FE4FEF" w:rsidRPr="00A3151B">
        <w:t>.</w:t>
      </w:r>
      <w:r w:rsidR="00FE4FEF" w:rsidRPr="00A3151B">
        <w:rPr>
          <w:rStyle w:val="FootnoteReference"/>
        </w:rPr>
        <w:footnoteReference w:id="45"/>
      </w:r>
      <w:r w:rsidR="00FE4FEF" w:rsidRPr="00A3151B">
        <w:t xml:space="preserve"> Secondly, </w:t>
      </w:r>
      <w:r w:rsidR="00ED10F6" w:rsidRPr="00A3151B">
        <w:t xml:space="preserve">for </w:t>
      </w:r>
      <w:r w:rsidR="00990505" w:rsidRPr="00A3151B">
        <w:t>those</w:t>
      </w:r>
      <w:r w:rsidR="00D53D90" w:rsidRPr="00A3151B">
        <w:t xml:space="preserve"> </w:t>
      </w:r>
      <w:r w:rsidR="00D53D90" w:rsidRPr="00A3151B">
        <w:lastRenderedPageBreak/>
        <w:t>vulnerable adults that are, on the basis of legal definition,</w:t>
      </w:r>
      <w:r w:rsidR="0007032A" w:rsidRPr="00A3151B">
        <w:rPr>
          <w:rStyle w:val="FootnoteReference"/>
        </w:rPr>
        <w:footnoteReference w:id="46"/>
      </w:r>
      <w:r w:rsidR="00D53D90" w:rsidRPr="00A3151B">
        <w:t xml:space="preserve"> </w:t>
      </w:r>
      <w:r w:rsidR="00B71BE2" w:rsidRPr="00A3151B">
        <w:t>taken</w:t>
      </w:r>
      <w:r w:rsidR="00422C63" w:rsidRPr="00A3151B">
        <w:t xml:space="preserve"> to be </w:t>
      </w:r>
      <w:r w:rsidR="00990505" w:rsidRPr="00A3151B">
        <w:t xml:space="preserve">at risk to threats to their </w:t>
      </w:r>
      <w:r w:rsidR="00AB36B8" w:rsidRPr="00A3151B">
        <w:t xml:space="preserve">‘autonomy of decision making’, </w:t>
      </w:r>
      <w:r w:rsidR="00ED10F6" w:rsidRPr="00A3151B">
        <w:t>the denial of decision-making authority</w:t>
      </w:r>
      <w:r w:rsidR="001D3171" w:rsidRPr="00A3151B">
        <w:t xml:space="preserve">, and its replacement with substituted decision making or best-interests decisions, </w:t>
      </w:r>
      <w:r w:rsidR="00ED10F6" w:rsidRPr="00A3151B">
        <w:t xml:space="preserve">can compound rather than alleviate such </w:t>
      </w:r>
      <w:r w:rsidR="00422C63" w:rsidRPr="00A3151B">
        <w:t>threats</w:t>
      </w:r>
      <w:r w:rsidR="00ED10F6" w:rsidRPr="00A3151B">
        <w:t>.</w:t>
      </w:r>
      <w:r w:rsidR="00EF0E43" w:rsidRPr="00A3151B">
        <w:rPr>
          <w:rStyle w:val="FootnoteReference"/>
        </w:rPr>
        <w:footnoteReference w:id="47"/>
      </w:r>
      <w:r w:rsidR="00ED10F6" w:rsidRPr="00A3151B">
        <w:t xml:space="preserve"> </w:t>
      </w:r>
      <w:r w:rsidR="00FE4FEF" w:rsidRPr="00A3151B">
        <w:t>Thirdly</w:t>
      </w:r>
      <w:r w:rsidR="00426854" w:rsidRPr="00A3151B">
        <w:t xml:space="preserve">, </w:t>
      </w:r>
      <w:r w:rsidR="00EE574C" w:rsidRPr="00A3151B">
        <w:t xml:space="preserve">those </w:t>
      </w:r>
      <w:r w:rsidR="00B71BE2" w:rsidRPr="00A3151B">
        <w:t>that are</w:t>
      </w:r>
      <w:r w:rsidR="00EE574C" w:rsidRPr="00A3151B">
        <w:t xml:space="preserve"> denied their liberty to partake in decision-making processes that guard against coercion and misinformation</w:t>
      </w:r>
      <w:r w:rsidR="00845651" w:rsidRPr="00A3151B">
        <w:t xml:space="preserve"> may find </w:t>
      </w:r>
      <w:r w:rsidR="00B0188D" w:rsidRPr="00A3151B">
        <w:t>that they are even more susceptible to malign external influences.</w:t>
      </w:r>
      <w:r w:rsidR="00B0188D" w:rsidRPr="00A3151B">
        <w:rPr>
          <w:rStyle w:val="FootnoteReference"/>
        </w:rPr>
        <w:footnoteReference w:id="48"/>
      </w:r>
      <w:r w:rsidR="00B0188D" w:rsidRPr="00A3151B">
        <w:t xml:space="preserve"> </w:t>
      </w:r>
      <w:r w:rsidR="00FE4FEF" w:rsidRPr="00A3151B">
        <w:t>Fourthly</w:t>
      </w:r>
      <w:r w:rsidR="00B0188D" w:rsidRPr="00A3151B">
        <w:t>, analytic feminists have cautioned about the dangers attendant upon labe</w:t>
      </w:r>
      <w:r w:rsidR="00081ABB" w:rsidRPr="00A3151B">
        <w:t>l</w:t>
      </w:r>
      <w:r w:rsidR="00B0188D" w:rsidRPr="00A3151B">
        <w:t>ling particular individuals or groups as vulnerable, arguing that this can lead to discrimination, stereotyping and objectionably paternalistic social relations and policies.</w:t>
      </w:r>
      <w:r w:rsidR="00B0188D" w:rsidRPr="00A3151B">
        <w:rPr>
          <w:rStyle w:val="FootnoteReference"/>
        </w:rPr>
        <w:footnoteReference w:id="49"/>
      </w:r>
      <w:r w:rsidR="009D70FE" w:rsidRPr="00A3151B">
        <w:t xml:space="preserve"> </w:t>
      </w:r>
      <w:r w:rsidR="00FE4FEF" w:rsidRPr="00A3151B">
        <w:t>Fifthly</w:t>
      </w:r>
      <w:r w:rsidR="009D70FE" w:rsidRPr="00A3151B">
        <w:t xml:space="preserve">, the </w:t>
      </w:r>
      <w:r w:rsidR="00EA5528" w:rsidRPr="00A3151B">
        <w:t xml:space="preserve">tendency to </w:t>
      </w:r>
      <w:r w:rsidR="009D70FE" w:rsidRPr="00A3151B">
        <w:t>focus</w:t>
      </w:r>
      <w:r w:rsidR="00B65753" w:rsidRPr="00A3151B">
        <w:t xml:space="preserve"> on </w:t>
      </w:r>
      <w:r w:rsidR="00EA5528" w:rsidRPr="00A3151B">
        <w:t xml:space="preserve">a narrow set of </w:t>
      </w:r>
      <w:r w:rsidR="00B65753" w:rsidRPr="00A3151B">
        <w:t>duties of protection</w:t>
      </w:r>
      <w:r w:rsidR="009D70FE" w:rsidRPr="00A3151B">
        <w:t xml:space="preserve"> for the especially vulnerable</w:t>
      </w:r>
      <w:r w:rsidR="00B65753" w:rsidRPr="00A3151B">
        <w:t xml:space="preserve"> </w:t>
      </w:r>
      <w:r w:rsidR="00EA5528" w:rsidRPr="00A3151B">
        <w:t>largely ignores</w:t>
      </w:r>
      <w:r w:rsidR="00B65753" w:rsidRPr="00A3151B">
        <w:t xml:space="preserve"> obligations to promote autonomy wherever possible</w:t>
      </w:r>
      <w:r w:rsidR="009D70FE" w:rsidRPr="00A3151B">
        <w:t>.</w:t>
      </w:r>
      <w:r w:rsidR="009D70FE" w:rsidRPr="00A3151B">
        <w:rPr>
          <w:rStyle w:val="FootnoteReference"/>
        </w:rPr>
        <w:footnoteReference w:id="50"/>
      </w:r>
    </w:p>
    <w:p w14:paraId="3BCCE5D1" w14:textId="77777777" w:rsidR="006D7F19" w:rsidRPr="00A3151B" w:rsidRDefault="00980C9E" w:rsidP="006D7F19">
      <w:pPr>
        <w:tabs>
          <w:tab w:val="left" w:pos="720"/>
        </w:tabs>
        <w:spacing w:line="480" w:lineRule="auto"/>
        <w:jc w:val="both"/>
      </w:pPr>
      <w:r w:rsidRPr="00A3151B">
        <w:tab/>
      </w:r>
      <w:r w:rsidR="00241E55" w:rsidRPr="00A3151B">
        <w:t xml:space="preserve">These </w:t>
      </w:r>
      <w:r w:rsidR="00432EF6" w:rsidRPr="00A3151B">
        <w:t>five</w:t>
      </w:r>
      <w:r w:rsidR="00241E55" w:rsidRPr="00A3151B">
        <w:t xml:space="preserve"> </w:t>
      </w:r>
      <w:r w:rsidR="00281C8D" w:rsidRPr="00A3151B">
        <w:t>criticism</w:t>
      </w:r>
      <w:r w:rsidR="00241E55" w:rsidRPr="00A3151B">
        <w:t xml:space="preserve">s </w:t>
      </w:r>
      <w:r w:rsidR="005B7FB9" w:rsidRPr="00A3151B">
        <w:t>respond</w:t>
      </w:r>
      <w:r w:rsidR="005A29F0" w:rsidRPr="00A3151B">
        <w:t xml:space="preserve"> to</w:t>
      </w:r>
      <w:r w:rsidR="00736A1E" w:rsidRPr="00A3151B">
        <w:t xml:space="preserve"> a </w:t>
      </w:r>
      <w:r w:rsidR="005A29F0" w:rsidRPr="00A3151B">
        <w:t>particular</w:t>
      </w:r>
      <w:r w:rsidR="00736A1E" w:rsidRPr="00A3151B">
        <w:t xml:space="preserve"> conception of </w:t>
      </w:r>
      <w:r w:rsidR="00281C8D" w:rsidRPr="00A3151B">
        <w:t xml:space="preserve">the relationship between autonomy and vulnerability in </w:t>
      </w:r>
      <w:r w:rsidR="00081ABB" w:rsidRPr="00A3151B">
        <w:t>law</w:t>
      </w:r>
      <w:r w:rsidR="00B71BE2" w:rsidRPr="00A3151B">
        <w:t xml:space="preserve"> </w:t>
      </w:r>
      <w:r w:rsidR="00281C8D" w:rsidRPr="00A3151B">
        <w:t xml:space="preserve">and public policy. </w:t>
      </w:r>
      <w:r w:rsidR="00241E55" w:rsidRPr="00A3151B">
        <w:t xml:space="preserve">As Mackenzie, Rogers and </w:t>
      </w:r>
      <w:proofErr w:type="spellStart"/>
      <w:r w:rsidR="00241E55" w:rsidRPr="00A3151B">
        <w:t>Dodds</w:t>
      </w:r>
      <w:proofErr w:type="spellEnd"/>
      <w:r w:rsidR="00241E55" w:rsidRPr="00A3151B">
        <w:t xml:space="preserve"> observe, autonomy and vulnerability </w:t>
      </w:r>
      <w:r w:rsidR="00530754" w:rsidRPr="00A3151B">
        <w:t>can be perceived</w:t>
      </w:r>
      <w:r w:rsidR="00241E55" w:rsidRPr="00A3151B">
        <w:t xml:space="preserve"> as oppositional concepts</w:t>
      </w:r>
      <w:r w:rsidR="00CA3AAE" w:rsidRPr="00A3151B">
        <w:t xml:space="preserve"> in these </w:t>
      </w:r>
      <w:r w:rsidR="00B63BA0" w:rsidRPr="00A3151B">
        <w:t xml:space="preserve">two </w:t>
      </w:r>
      <w:r w:rsidR="00CA3AAE" w:rsidRPr="00A3151B">
        <w:t>areas</w:t>
      </w:r>
      <w:r w:rsidR="00454329" w:rsidRPr="00A3151B">
        <w:t>.</w:t>
      </w:r>
      <w:r w:rsidR="006A6D47" w:rsidRPr="00A3151B">
        <w:t xml:space="preserve"> Specifically, </w:t>
      </w:r>
      <w:r w:rsidR="0062529A" w:rsidRPr="00A3151B">
        <w:t>they</w:t>
      </w:r>
      <w:r w:rsidR="00B63BA0" w:rsidRPr="00A3151B">
        <w:t xml:space="preserve"> </w:t>
      </w:r>
      <w:r w:rsidR="006A6D47" w:rsidRPr="00A3151B">
        <w:t>interpret the opposition as a</w:t>
      </w:r>
      <w:r w:rsidR="00241E55" w:rsidRPr="00A3151B">
        <w:t xml:space="preserve"> contrast</w:t>
      </w:r>
      <w:r w:rsidR="006A6D47" w:rsidRPr="00A3151B">
        <w:t xml:space="preserve"> between</w:t>
      </w:r>
      <w:r w:rsidR="00241E55" w:rsidRPr="00A3151B">
        <w:t xml:space="preserve"> </w:t>
      </w:r>
      <w:r w:rsidR="006A6D47" w:rsidRPr="00A3151B">
        <w:t>‘</w:t>
      </w:r>
      <w:r w:rsidR="00241E55" w:rsidRPr="00A3151B">
        <w:t>the liberal (autonomous) subject</w:t>
      </w:r>
      <w:r w:rsidR="006A6D47" w:rsidRPr="00A3151B">
        <w:t>’</w:t>
      </w:r>
      <w:r w:rsidR="00241E55" w:rsidRPr="00A3151B">
        <w:t xml:space="preserve"> </w:t>
      </w:r>
      <w:r w:rsidR="006A6D47" w:rsidRPr="00A3151B">
        <w:t>and ‘</w:t>
      </w:r>
      <w:r w:rsidR="00241E55" w:rsidRPr="00A3151B">
        <w:t>the vulnerable subject’.</w:t>
      </w:r>
      <w:r w:rsidR="00241E55" w:rsidRPr="00A3151B">
        <w:rPr>
          <w:rStyle w:val="FootnoteReference"/>
        </w:rPr>
        <w:footnoteReference w:id="51"/>
      </w:r>
      <w:r w:rsidR="00281C8D" w:rsidRPr="00A3151B">
        <w:t xml:space="preserve"> </w:t>
      </w:r>
      <w:r w:rsidR="00B614F7" w:rsidRPr="00A3151B">
        <w:t xml:space="preserve">This interpretation of the opposition reflects </w:t>
      </w:r>
      <w:r w:rsidR="00046524" w:rsidRPr="00A3151B">
        <w:t xml:space="preserve">the </w:t>
      </w:r>
      <w:r w:rsidR="00530754" w:rsidRPr="00A3151B">
        <w:t xml:space="preserve">second </w:t>
      </w:r>
      <w:r w:rsidR="00046524" w:rsidRPr="00A3151B">
        <w:t>standard common law response</w:t>
      </w:r>
      <w:r w:rsidR="00B614F7" w:rsidRPr="00A3151B">
        <w:t xml:space="preserve"> to the </w:t>
      </w:r>
      <w:r w:rsidR="003F30DC" w:rsidRPr="00A3151B">
        <w:t xml:space="preserve">situational </w:t>
      </w:r>
      <w:r w:rsidR="00B614F7" w:rsidRPr="00A3151B">
        <w:t xml:space="preserve">vulnerability of capacitous adults. As we have seen, the High Court’s exercise of its inherent jurisdiction is predicated on the distinction </w:t>
      </w:r>
      <w:r w:rsidR="00B614F7" w:rsidRPr="00A3151B">
        <w:lastRenderedPageBreak/>
        <w:t xml:space="preserve">between the liberal subject, who is legally recognised as able to give </w:t>
      </w:r>
      <w:r w:rsidR="00B614F7" w:rsidRPr="00A3151B">
        <w:rPr>
          <w:i/>
        </w:rPr>
        <w:t>genuine</w:t>
      </w:r>
      <w:r w:rsidR="0007032A" w:rsidRPr="00A3151B">
        <w:t xml:space="preserve"> consent</w:t>
      </w:r>
      <w:r w:rsidR="00B614F7" w:rsidRPr="00A3151B">
        <w:t xml:space="preserve"> without additional support, and the </w:t>
      </w:r>
      <w:r w:rsidRPr="00A3151B">
        <w:t xml:space="preserve">situationally </w:t>
      </w:r>
      <w:r w:rsidR="00B614F7" w:rsidRPr="00A3151B">
        <w:t>vulnerable subject, who</w:t>
      </w:r>
      <w:r w:rsidR="0007032A" w:rsidRPr="00A3151B">
        <w:t xml:space="preserve"> </w:t>
      </w:r>
      <w:r w:rsidR="00B614F7" w:rsidRPr="00A3151B">
        <w:t xml:space="preserve">is recognised as unable to give </w:t>
      </w:r>
      <w:r w:rsidR="0007032A" w:rsidRPr="00A3151B">
        <w:rPr>
          <w:i/>
        </w:rPr>
        <w:t>genuine</w:t>
      </w:r>
      <w:r w:rsidR="0007032A" w:rsidRPr="00A3151B">
        <w:t xml:space="preserve"> consent</w:t>
      </w:r>
      <w:r w:rsidR="00B614F7" w:rsidRPr="00A3151B">
        <w:t xml:space="preserve"> </w:t>
      </w:r>
      <w:r w:rsidR="0007032A" w:rsidRPr="00A3151B">
        <w:t xml:space="preserve">(without the additional support of ‘unencumbered decision making’) </w:t>
      </w:r>
      <w:r w:rsidR="00B614F7" w:rsidRPr="00A3151B">
        <w:t xml:space="preserve">and thereby denied the opportunity to exercise their liberty at law. </w:t>
      </w:r>
      <w:r w:rsidR="00ED2AB8" w:rsidRPr="00A3151B">
        <w:t xml:space="preserve">For analytic feminists, </w:t>
      </w:r>
      <w:r w:rsidR="00B71BE2" w:rsidRPr="00A3151B">
        <w:t>the opposition</w:t>
      </w:r>
      <w:r w:rsidR="00B614F7" w:rsidRPr="00A3151B">
        <w:t xml:space="preserve"> between ‘the liberal (autonomous) subject’ and ‘the vulnerable subject’</w:t>
      </w:r>
      <w:r w:rsidR="00BD6F0D" w:rsidRPr="00A3151B">
        <w:t xml:space="preserve"> is problematic for two reasons. Fi</w:t>
      </w:r>
      <w:r w:rsidR="00B71BE2" w:rsidRPr="00A3151B">
        <w:t>rstly,</w:t>
      </w:r>
      <w:r w:rsidR="00F512DD" w:rsidRPr="00A3151B">
        <w:t xml:space="preserve"> </w:t>
      </w:r>
      <w:r w:rsidR="00B614F7" w:rsidRPr="00A3151B">
        <w:t xml:space="preserve">when the courts respond to the </w:t>
      </w:r>
      <w:r w:rsidRPr="00A3151B">
        <w:t xml:space="preserve">situational </w:t>
      </w:r>
      <w:r w:rsidR="00B614F7" w:rsidRPr="00A3151B">
        <w:t xml:space="preserve">vulnerability of a competent adult by </w:t>
      </w:r>
      <w:r w:rsidR="00F512DD" w:rsidRPr="00A3151B">
        <w:t xml:space="preserve">focussing </w:t>
      </w:r>
      <w:r w:rsidR="00F65C77" w:rsidRPr="00A3151B">
        <w:t>on a narrow set of</w:t>
      </w:r>
      <w:r w:rsidR="00F512DD" w:rsidRPr="00A3151B">
        <w:t xml:space="preserve"> </w:t>
      </w:r>
      <w:r w:rsidR="00B2444C" w:rsidRPr="00A3151B">
        <w:t>duties to protect</w:t>
      </w:r>
      <w:r w:rsidR="00F512DD" w:rsidRPr="00A3151B">
        <w:t xml:space="preserve"> </w:t>
      </w:r>
      <w:r w:rsidR="00B614F7" w:rsidRPr="00A3151B">
        <w:t>her</w:t>
      </w:r>
      <w:r w:rsidR="00F512DD" w:rsidRPr="00A3151B">
        <w:t xml:space="preserve"> welfare, </w:t>
      </w:r>
      <w:r w:rsidR="00D36B25" w:rsidRPr="00A3151B">
        <w:t xml:space="preserve">the </w:t>
      </w:r>
      <w:r w:rsidR="00F512DD" w:rsidRPr="00A3151B">
        <w:t xml:space="preserve">door </w:t>
      </w:r>
      <w:r w:rsidR="00D36B25" w:rsidRPr="00A3151B">
        <w:t xml:space="preserve">can be opened </w:t>
      </w:r>
      <w:r w:rsidR="00F512DD" w:rsidRPr="00A3151B">
        <w:t xml:space="preserve">to objectionably paternalistic </w:t>
      </w:r>
      <w:r w:rsidR="00BD6F0D" w:rsidRPr="00A3151B">
        <w:t>forms of intervention</w:t>
      </w:r>
      <w:r w:rsidR="006A1209" w:rsidRPr="00A3151B">
        <w:t xml:space="preserve"> that </w:t>
      </w:r>
      <w:r w:rsidR="00CD542F" w:rsidRPr="00A3151B">
        <w:t>violate her autonomy</w:t>
      </w:r>
      <w:r w:rsidR="00BD6F0D" w:rsidRPr="00A3151B">
        <w:t>.</w:t>
      </w:r>
      <w:r w:rsidR="00E662EB" w:rsidRPr="00A3151B">
        <w:rPr>
          <w:rStyle w:val="FootnoteReference"/>
        </w:rPr>
        <w:footnoteReference w:id="52"/>
      </w:r>
      <w:r w:rsidR="00BD6F0D" w:rsidRPr="00A3151B">
        <w:t xml:space="preserve"> </w:t>
      </w:r>
      <w:r w:rsidR="00C214A8" w:rsidRPr="00A3151B">
        <w:t>In order to understand how</w:t>
      </w:r>
      <w:r w:rsidR="007E1513" w:rsidRPr="00A3151B">
        <w:t xml:space="preserve"> </w:t>
      </w:r>
      <w:r w:rsidR="00EC0711" w:rsidRPr="00A3151B">
        <w:t>this</w:t>
      </w:r>
      <w:r w:rsidR="007E1513" w:rsidRPr="00A3151B">
        <w:t xml:space="preserve"> common law response</w:t>
      </w:r>
      <w:r w:rsidR="00C214A8" w:rsidRPr="00A3151B">
        <w:t xml:space="preserve"> to </w:t>
      </w:r>
      <w:r w:rsidRPr="00A3151B">
        <w:t xml:space="preserve">situational </w:t>
      </w:r>
      <w:r w:rsidR="00C214A8" w:rsidRPr="00A3151B">
        <w:t>vulnerability violate</w:t>
      </w:r>
      <w:r w:rsidR="007E1513" w:rsidRPr="00A3151B">
        <w:t>s</w:t>
      </w:r>
      <w:r w:rsidR="00C214A8" w:rsidRPr="00A3151B">
        <w:t xml:space="preserve"> the autonomy of capacitous vulnerable adults, it is worth exploring one of the </w:t>
      </w:r>
      <w:r w:rsidRPr="00A3151B">
        <w:t>very limited number of</w:t>
      </w:r>
      <w:r w:rsidR="00C214A8" w:rsidRPr="00A3151B">
        <w:t xml:space="preserve"> cases </w:t>
      </w:r>
      <w:r w:rsidRPr="00A3151B">
        <w:t xml:space="preserve">to deal with questions of health care decision making (as opposed to questions of contact, residence, sexual </w:t>
      </w:r>
      <w:proofErr w:type="spellStart"/>
      <w:r w:rsidRPr="00A3151B">
        <w:t xml:space="preserve">consent, </w:t>
      </w:r>
      <w:proofErr w:type="spellEnd"/>
      <w:r w:rsidRPr="00A3151B">
        <w:t>and so on)</w:t>
      </w:r>
      <w:r w:rsidR="00C214A8" w:rsidRPr="00A3151B">
        <w:t>.</w:t>
      </w:r>
      <w:r w:rsidR="00C214A8" w:rsidRPr="00A3151B">
        <w:rPr>
          <w:vertAlign w:val="superscript"/>
        </w:rPr>
        <w:footnoteReference w:id="53"/>
      </w:r>
      <w:r w:rsidR="00C214A8" w:rsidRPr="00A3151B">
        <w:t xml:space="preserve">  </w:t>
      </w:r>
    </w:p>
    <w:p w14:paraId="2B74C4CC" w14:textId="12AA64BB" w:rsidR="00C214A8" w:rsidRPr="00A3151B" w:rsidRDefault="006D7F19" w:rsidP="00C214A8">
      <w:pPr>
        <w:tabs>
          <w:tab w:val="left" w:pos="720"/>
        </w:tabs>
        <w:spacing w:line="480" w:lineRule="auto"/>
        <w:jc w:val="both"/>
      </w:pPr>
      <w:r w:rsidRPr="00A3151B">
        <w:tab/>
      </w:r>
      <w:r w:rsidR="00C214A8" w:rsidRPr="00A3151B">
        <w:t xml:space="preserve">In </w:t>
      </w:r>
      <w:r w:rsidR="00C214A8" w:rsidRPr="00A3151B">
        <w:rPr>
          <w:i/>
        </w:rPr>
        <w:t>Mazhar v Lord Chancellor</w:t>
      </w:r>
      <w:r w:rsidR="00C214A8" w:rsidRPr="00A3151B">
        <w:t xml:space="preserve"> [2017], the court heard how an N</w:t>
      </w:r>
      <w:r w:rsidR="0004221C" w:rsidRPr="00A3151B">
        <w:t>HS Trust had made a</w:t>
      </w:r>
      <w:r w:rsidR="00C214A8" w:rsidRPr="00A3151B">
        <w:t xml:space="preserve"> without notice, out-of-hours application to the High Court </w:t>
      </w:r>
      <w:r w:rsidR="0004221C" w:rsidRPr="00A3151B">
        <w:t>seeking</w:t>
      </w:r>
      <w:r w:rsidR="00C214A8" w:rsidRPr="00A3151B">
        <w:t xml:space="preserve"> to remove Mr Mazhar, a 26-year-old with muscular dystrophy, from his home </w:t>
      </w:r>
      <w:r w:rsidR="0004221C" w:rsidRPr="00A3151B">
        <w:t>and</w:t>
      </w:r>
      <w:r w:rsidR="00C214A8" w:rsidRPr="00A3151B">
        <w:t xml:space="preserve"> to treat him in hospital.</w:t>
      </w:r>
      <w:r w:rsidR="00C214A8" w:rsidRPr="00A3151B">
        <w:rPr>
          <w:vertAlign w:val="superscript"/>
        </w:rPr>
        <w:footnoteReference w:id="54"/>
      </w:r>
      <w:r w:rsidR="00C214A8" w:rsidRPr="00A3151B">
        <w:t xml:space="preserve"> The claimant had a tracheostomy and was equipped with a ventilator, with care provided in his home by NHS care staff. </w:t>
      </w:r>
      <w:r w:rsidR="0004221C" w:rsidRPr="00A3151B">
        <w:t>He lived with his mother and sisters, who</w:t>
      </w:r>
      <w:r w:rsidR="00C214A8" w:rsidRPr="00A3151B">
        <w:t xml:space="preserve"> had also been trained to provide specialist care. In all material respects, and, in particular, with regard to decisions about his care, Mr Mazhar </w:t>
      </w:r>
      <w:r w:rsidR="0004221C" w:rsidRPr="00A3151B">
        <w:t>was deemed to have</w:t>
      </w:r>
      <w:r w:rsidR="00C214A8" w:rsidRPr="00A3151B">
        <w:t xml:space="preserve"> mental capacity. However, the Trust made an application to the High Court on the basis that: (1) care staff were not available to tend to Mr Mazhar at his home for one weekend; (2) his mother was not trained to provide specialist care for him; </w:t>
      </w:r>
      <w:r w:rsidR="00C214A8" w:rsidRPr="00A3151B">
        <w:lastRenderedPageBreak/>
        <w:t xml:space="preserve">and (3) according to a witness statement made by an employee of the Trust, he was oppressively influenced by the </w:t>
      </w:r>
      <w:proofErr w:type="gramStart"/>
      <w:r w:rsidR="00C214A8" w:rsidRPr="00A3151B">
        <w:t>forcefully-expressed</w:t>
      </w:r>
      <w:proofErr w:type="gramEnd"/>
      <w:r w:rsidR="00C214A8" w:rsidRPr="00A3151B">
        <w:t xml:space="preserve"> views of a number of his relatives. Based on the evidence available, </w:t>
      </w:r>
      <w:r w:rsidR="007E1513" w:rsidRPr="00A3151B">
        <w:t xml:space="preserve">the judge </w:t>
      </w:r>
      <w:r w:rsidR="00C214A8" w:rsidRPr="00A3151B">
        <w:t xml:space="preserve">decided that this was sufficient to make an order under the inherent jurisdiction for Mr Mazhar to be taken to hospital and deprived of his liberty while there. </w:t>
      </w:r>
      <w:r w:rsidR="007E1513" w:rsidRPr="00A3151B">
        <w:t>The</w:t>
      </w:r>
      <w:r w:rsidR="00C214A8" w:rsidRPr="00A3151B">
        <w:t xml:space="preserve"> order </w:t>
      </w:r>
      <w:r w:rsidR="007E1513" w:rsidRPr="00A3151B">
        <w:t xml:space="preserve">was made </w:t>
      </w:r>
      <w:r w:rsidR="00C214A8" w:rsidRPr="00A3151B">
        <w:t xml:space="preserve">without Mr Mazhar being notified and without any opportunity to communicate with the court. </w:t>
      </w:r>
      <w:r w:rsidR="00B773A1" w:rsidRPr="00A3151B">
        <w:t xml:space="preserve">Furthermore, the order went against Mr Mazhar’s explicit wish not to be taken to hospital. </w:t>
      </w:r>
      <w:r w:rsidR="005044F7" w:rsidRPr="00A3151B">
        <w:t>The case was heard on appeal in October 2020,</w:t>
      </w:r>
      <w:r w:rsidR="005044F7" w:rsidRPr="00A3151B">
        <w:rPr>
          <w:rStyle w:val="FootnoteReference"/>
        </w:rPr>
        <w:footnoteReference w:id="55"/>
      </w:r>
      <w:r w:rsidR="005044F7" w:rsidRPr="00A3151B">
        <w:t xml:space="preserve"> during which Baker L.J. stated that although </w:t>
      </w:r>
      <w:bookmarkStart w:id="0" w:name="para52"/>
      <w:r w:rsidR="005044F7" w:rsidRPr="00A3151B">
        <w:t xml:space="preserve">it </w:t>
      </w:r>
      <w:r w:rsidR="005044F7" w:rsidRPr="00A3151B">
        <w:t>was</w:t>
      </w:r>
      <w:r w:rsidR="005044F7" w:rsidRPr="00A3151B">
        <w:t xml:space="preserve"> unnecessary for the purposes of </w:t>
      </w:r>
      <w:r w:rsidR="00876057" w:rsidRPr="00A3151B">
        <w:t>this</w:t>
      </w:r>
      <w:r w:rsidR="005044F7" w:rsidRPr="00A3151B">
        <w:t xml:space="preserve"> judgment </w:t>
      </w:r>
      <w:r w:rsidR="005044F7" w:rsidRPr="00A3151B">
        <w:t>‘</w:t>
      </w:r>
      <w:r w:rsidR="005044F7" w:rsidRPr="00A3151B">
        <w:t>to consider the extent of the inherent jurisdiction in respect of vulnerable adults and, in particular, whether it extends to the making of an order that has the effect of depriving a vulnerable adult of liberty, provided the provisions of article 5 are met</w:t>
      </w:r>
      <w:bookmarkEnd w:id="0"/>
      <w:r w:rsidR="005044F7" w:rsidRPr="00A3151B">
        <w:t>’,</w:t>
      </w:r>
      <w:r w:rsidR="00876057" w:rsidRPr="00A3151B">
        <w:rPr>
          <w:rStyle w:val="FootnoteReference"/>
        </w:rPr>
        <w:footnoteReference w:id="56"/>
      </w:r>
      <w:r w:rsidR="005044F7" w:rsidRPr="00A3151B">
        <w:t xml:space="preserve"> </w:t>
      </w:r>
      <w:r w:rsidR="00876057" w:rsidRPr="00A3151B">
        <w:t xml:space="preserve">the initial judgment was wrong. Firstly, </w:t>
      </w:r>
      <w:r w:rsidRPr="00A3151B">
        <w:t>the Trust’s application</w:t>
      </w:r>
      <w:r w:rsidRPr="00A3151B">
        <w:t xml:space="preserve"> contained a statement that did not ‘</w:t>
      </w:r>
      <w:r w:rsidRPr="00A3151B">
        <w:t>explain whether and, if so, why it was necessary to proceed without proper notice to Mr Mazhar or affording him the opportunity to make representations</w:t>
      </w:r>
      <w:r w:rsidRPr="00A3151B">
        <w:t>’ – such an explanation was also absent from both the draft and sealed orders.</w:t>
      </w:r>
      <w:r w:rsidRPr="00A3151B">
        <w:rPr>
          <w:rStyle w:val="FootnoteReference"/>
        </w:rPr>
        <w:footnoteReference w:id="57"/>
      </w:r>
      <w:r w:rsidRPr="00A3151B">
        <w:t xml:space="preserve"> Secondly, </w:t>
      </w:r>
      <w:bookmarkStart w:id="1" w:name="para68"/>
      <w:r w:rsidRPr="00A3151B">
        <w:t xml:space="preserve">although Baker L.J. acknowledged that the High Court has jurisdiction to make an interim order in an emergency situation if </w:t>
      </w:r>
      <w:r w:rsidRPr="00A3151B">
        <w:t xml:space="preserve">the </w:t>
      </w:r>
      <w:r w:rsidRPr="00A3151B">
        <w:t>court</w:t>
      </w:r>
      <w:r w:rsidRPr="00A3151B">
        <w:t xml:space="preserve"> </w:t>
      </w:r>
      <w:r w:rsidRPr="00A3151B">
        <w:t>has</w:t>
      </w:r>
      <w:r w:rsidRPr="00A3151B">
        <w:t xml:space="preserve"> </w:t>
      </w:r>
      <w:r w:rsidRPr="00A3151B">
        <w:t>‘</w:t>
      </w:r>
      <w:r w:rsidRPr="00A3151B">
        <w:t>reason to believe</w:t>
      </w:r>
      <w:r w:rsidRPr="00A3151B">
        <w:t xml:space="preserve">’ that </w:t>
      </w:r>
      <w:proofErr w:type="spellStart"/>
      <w:r w:rsidRPr="00A3151B">
        <w:t>a</w:t>
      </w:r>
      <w:proofErr w:type="spellEnd"/>
      <w:r w:rsidRPr="00A3151B">
        <w:t xml:space="preserve"> vulnerable individual is being unduly influenced, the point is that there was nothing in the sealed order to indicate whether the judge </w:t>
      </w:r>
      <w:r w:rsidR="007850D9" w:rsidRPr="00A3151B">
        <w:t>had</w:t>
      </w:r>
      <w:r w:rsidRPr="00A3151B">
        <w:t xml:space="preserve"> applied this test to Mr Mazhar’s case</w:t>
      </w:r>
      <w:r w:rsidR="009E31AB" w:rsidRPr="00A3151B">
        <w:t xml:space="preserve"> or on what basis it had been satisfied</w:t>
      </w:r>
      <w:r w:rsidRPr="00A3151B">
        <w:t>.</w:t>
      </w:r>
      <w:r w:rsidR="009E31AB" w:rsidRPr="00A3151B">
        <w:rPr>
          <w:rStyle w:val="FootnoteReference"/>
        </w:rPr>
        <w:footnoteReference w:id="58"/>
      </w:r>
      <w:r w:rsidRPr="00A3151B">
        <w:t xml:space="preserve"> Thirdly, even if the judge had applied this test, Baker L.J. observed that there </w:t>
      </w:r>
      <w:bookmarkStart w:id="2" w:name="para69"/>
      <w:bookmarkEnd w:id="1"/>
      <w:r w:rsidRPr="00A3151B">
        <w:t>‘</w:t>
      </w:r>
      <w:r w:rsidRPr="006D7F19">
        <w:t>was manifestly insufficient evidence to satisfy it</w:t>
      </w:r>
      <w:bookmarkEnd w:id="2"/>
      <w:r w:rsidRPr="00A3151B">
        <w:t>’.</w:t>
      </w:r>
      <w:r w:rsidRPr="00A3151B">
        <w:rPr>
          <w:rStyle w:val="FootnoteReference"/>
        </w:rPr>
        <w:footnoteReference w:id="59"/>
      </w:r>
    </w:p>
    <w:p w14:paraId="758B0971" w14:textId="77777777" w:rsidR="004B4550" w:rsidRPr="00A3151B" w:rsidRDefault="00ED68BF" w:rsidP="004B4550">
      <w:pPr>
        <w:tabs>
          <w:tab w:val="left" w:pos="720"/>
        </w:tabs>
        <w:spacing w:line="480" w:lineRule="auto"/>
        <w:jc w:val="both"/>
      </w:pPr>
      <w:r w:rsidRPr="00A3151B">
        <w:tab/>
      </w:r>
      <w:r w:rsidR="001B796F" w:rsidRPr="00A3151B">
        <w:t xml:space="preserve">In one sense, it is obvious how the denial of decision-making authority can violate the autonomy of capacitous vulnerable adults. The point is that the speech acts that Mr Mazhar </w:t>
      </w:r>
      <w:r w:rsidR="001B796F" w:rsidRPr="00A3151B">
        <w:lastRenderedPageBreak/>
        <w:t xml:space="preserve">was denied from performing – refusals – are precisely those speech acts that are otherwise used to deny permissions and exert the boundaries of one’s sovereign authority over one’s body. By denying Mr Mazhar the ability to successfully make refusals regarding the intervention that the NHS Trust deemed to be in his best interest, the court’s exercise of its inherent jurisdiction led to the violation of his autonomy </w:t>
      </w:r>
      <w:r w:rsidR="001B796F" w:rsidRPr="00A3151B">
        <w:rPr>
          <w:i/>
        </w:rPr>
        <w:t>qua</w:t>
      </w:r>
      <w:r w:rsidR="001B796F" w:rsidRPr="00A3151B">
        <w:t xml:space="preserve"> his sovereignty.</w:t>
      </w:r>
    </w:p>
    <w:p w14:paraId="7FA95C85" w14:textId="6C1E8AFB" w:rsidR="00500C10" w:rsidRPr="00A3151B" w:rsidRDefault="004B4550" w:rsidP="00314F3D">
      <w:pPr>
        <w:tabs>
          <w:tab w:val="left" w:pos="720"/>
        </w:tabs>
        <w:spacing w:line="480" w:lineRule="auto"/>
        <w:jc w:val="both"/>
      </w:pPr>
      <w:r w:rsidRPr="00A3151B">
        <w:tab/>
      </w:r>
      <w:r w:rsidR="001B796F" w:rsidRPr="00A3151B">
        <w:t>However</w:t>
      </w:r>
      <w:r w:rsidR="00ED68BF" w:rsidRPr="00A3151B">
        <w:t xml:space="preserve">, </w:t>
      </w:r>
      <w:r w:rsidR="009E31AB" w:rsidRPr="00A3151B">
        <w:t xml:space="preserve">as Baker L.J acknowledged, </w:t>
      </w:r>
      <w:r w:rsidR="00ED68BF" w:rsidRPr="00A3151B">
        <w:t xml:space="preserve">one might argue that this specific violation of Mr Mazhar’s autonomy resulted from </w:t>
      </w:r>
      <w:r w:rsidR="009E31AB" w:rsidRPr="00A3151B">
        <w:t>a ‘gross and obvious irregularity’</w:t>
      </w:r>
      <w:r w:rsidR="00ED68BF" w:rsidRPr="00A3151B">
        <w:t xml:space="preserve"> in the application of legal reasoning rather than from </w:t>
      </w:r>
      <w:r w:rsidR="009E31AB" w:rsidRPr="00A3151B">
        <w:t>the exercise of</w:t>
      </w:r>
      <w:r w:rsidR="009E31AB" w:rsidRPr="00A3151B">
        <w:t xml:space="preserve"> a jurisdiction that </w:t>
      </w:r>
      <w:r w:rsidR="009E31AB" w:rsidRPr="00A3151B">
        <w:t>the courts perceive to be</w:t>
      </w:r>
      <w:r w:rsidR="009E31AB" w:rsidRPr="00A3151B">
        <w:t xml:space="preserve"> </w:t>
      </w:r>
      <w:r w:rsidR="009E31AB" w:rsidRPr="00A3151B">
        <w:t>‘</w:t>
      </w:r>
      <w:r w:rsidR="009E31AB" w:rsidRPr="00A3151B">
        <w:t>substantially protective in nature</w:t>
      </w:r>
      <w:r w:rsidR="009E31AB" w:rsidRPr="00A3151B">
        <w:t>’</w:t>
      </w:r>
      <w:r w:rsidR="009E31AB" w:rsidRPr="00A3151B">
        <w:t>.</w:t>
      </w:r>
      <w:r w:rsidR="009E31AB" w:rsidRPr="00A3151B">
        <w:rPr>
          <w:rStyle w:val="FootnoteReference"/>
        </w:rPr>
        <w:footnoteReference w:id="60"/>
      </w:r>
      <w:r w:rsidR="006A77C0" w:rsidRPr="00A3151B">
        <w:t xml:space="preserve"> </w:t>
      </w:r>
      <w:r w:rsidR="006D4CB4" w:rsidRPr="00A3151B">
        <w:t xml:space="preserve">After all, </w:t>
      </w:r>
      <w:r w:rsidR="006A77C0" w:rsidRPr="00A3151B">
        <w:t>the judge was not party to the agreed facts</w:t>
      </w:r>
      <w:r w:rsidR="006A77C0" w:rsidRPr="00A3151B">
        <w:t xml:space="preserve"> and made the </w:t>
      </w:r>
      <w:r w:rsidR="00ED68BF" w:rsidRPr="00A3151B">
        <w:t>order on the basis of the presented eviden</w:t>
      </w:r>
      <w:r w:rsidR="006D4CB4" w:rsidRPr="00A3151B">
        <w:t>ce</w:t>
      </w:r>
      <w:r w:rsidR="006A77C0" w:rsidRPr="00A3151B">
        <w:t xml:space="preserve">. Baker L.J. considered the possibility that NHS Trust may have believed that the </w:t>
      </w:r>
      <w:r w:rsidR="00ED68BF" w:rsidRPr="00A3151B">
        <w:t xml:space="preserve">order </w:t>
      </w:r>
      <w:r w:rsidR="003B2CE3" w:rsidRPr="00A3151B">
        <w:t xml:space="preserve">was an appropriate intervention to the extent that it was </w:t>
      </w:r>
      <w:r w:rsidR="00ED68BF" w:rsidRPr="00A3151B">
        <w:t xml:space="preserve">made in Mr Mazhar’s best interests </w:t>
      </w:r>
      <w:r w:rsidR="006A77C0" w:rsidRPr="00A3151B">
        <w:t xml:space="preserve">given that: </w:t>
      </w:r>
      <w:bookmarkStart w:id="3" w:name="para67"/>
      <w:r w:rsidR="006A77C0" w:rsidRPr="00A3151B">
        <w:t>‘</w:t>
      </w:r>
      <w:r w:rsidR="006A77C0" w:rsidRPr="00A3151B">
        <w:t>(1) Mr Mazhar was in urgent need of specialist medical care; (2) the Trust could not provide that care at home overnight, and (3) on the Trust's case (contested by Mr Mazhar), the family members were not qualified to provide it</w:t>
      </w:r>
      <w:bookmarkEnd w:id="3"/>
      <w:r w:rsidR="006A77C0" w:rsidRPr="00A3151B">
        <w:t>’.</w:t>
      </w:r>
      <w:r w:rsidR="006A77C0" w:rsidRPr="00A3151B">
        <w:rPr>
          <w:rStyle w:val="FootnoteReference"/>
        </w:rPr>
        <w:footnoteReference w:id="61"/>
      </w:r>
      <w:r w:rsidR="00ED68BF" w:rsidRPr="00A3151B">
        <w:t xml:space="preserve"> </w:t>
      </w:r>
      <w:r w:rsidR="003B2CE3" w:rsidRPr="00A3151B">
        <w:t xml:space="preserve">The problem with this interpretation of the appropriateness of the order is that it ignores the fact that Mr Mazhar is a vulnerable adult </w:t>
      </w:r>
      <w:r w:rsidR="003B2CE3" w:rsidRPr="00A3151B">
        <w:rPr>
          <w:i/>
        </w:rPr>
        <w:t>with</w:t>
      </w:r>
      <w:r w:rsidR="00ED68BF" w:rsidRPr="00A3151B">
        <w:rPr>
          <w:i/>
        </w:rPr>
        <w:t xml:space="preserve"> mental capacity</w:t>
      </w:r>
      <w:r w:rsidR="00ED68BF" w:rsidRPr="00A3151B">
        <w:t>.</w:t>
      </w:r>
      <w:r w:rsidR="00A62636" w:rsidRPr="00A3151B">
        <w:rPr>
          <w:vertAlign w:val="superscript"/>
        </w:rPr>
        <w:footnoteReference w:id="62"/>
      </w:r>
      <w:r w:rsidR="00A62636" w:rsidRPr="00A3151B">
        <w:t xml:space="preserve"> </w:t>
      </w:r>
      <w:r w:rsidR="003B2CE3" w:rsidRPr="00A3151B">
        <w:t xml:space="preserve">In light of the MCA 2005, </w:t>
      </w:r>
      <w:r w:rsidR="003B2CE3" w:rsidRPr="00A3151B">
        <w:lastRenderedPageBreak/>
        <w:t>such an order</w:t>
      </w:r>
      <w:r w:rsidR="00ED68BF" w:rsidRPr="00A3151B">
        <w:t xml:space="preserve"> would be unlawful </w:t>
      </w:r>
      <w:r w:rsidR="003B2CE3" w:rsidRPr="00A3151B">
        <w:t>if it was made regarding</w:t>
      </w:r>
      <w:r w:rsidR="00ED68BF" w:rsidRPr="00A3151B">
        <w:t xml:space="preserve"> a </w:t>
      </w:r>
      <w:r w:rsidR="00980C9E" w:rsidRPr="00A3151B">
        <w:t xml:space="preserve">legally </w:t>
      </w:r>
      <w:r w:rsidR="00ED68BF" w:rsidRPr="00A3151B">
        <w:t xml:space="preserve">non-vulnerable adult with capacity. </w:t>
      </w:r>
      <w:r w:rsidR="003B2CE3" w:rsidRPr="00A3151B">
        <w:t>Due to the fact that the judge was aware that Mr Mazhar had capacity in all material respects</w:t>
      </w:r>
      <w:r w:rsidR="00ED68BF" w:rsidRPr="00A3151B">
        <w:t xml:space="preserve">, </w:t>
      </w:r>
      <w:r w:rsidR="003B2CE3" w:rsidRPr="00A3151B">
        <w:t>it was the latter’s</w:t>
      </w:r>
      <w:r w:rsidR="00ED68BF" w:rsidRPr="00A3151B">
        <w:t xml:space="preserve"> </w:t>
      </w:r>
      <w:proofErr w:type="gramStart"/>
      <w:r w:rsidR="00980C9E" w:rsidRPr="00A3151B">
        <w:t>legally-deemed</w:t>
      </w:r>
      <w:proofErr w:type="gramEnd"/>
      <w:r w:rsidR="00980C9E" w:rsidRPr="00A3151B">
        <w:t xml:space="preserve"> </w:t>
      </w:r>
      <w:r w:rsidR="00ED68BF" w:rsidRPr="00A3151B">
        <w:t xml:space="preserve">status as a vulnerable person </w:t>
      </w:r>
      <w:r w:rsidR="003B2CE3" w:rsidRPr="00A3151B">
        <w:t>that, ultimately, determined the court’s</w:t>
      </w:r>
      <w:r w:rsidR="00ED68BF" w:rsidRPr="00A3151B">
        <w:t xml:space="preserve"> response to the NHS Trust</w:t>
      </w:r>
      <w:r w:rsidR="003B2CE3" w:rsidRPr="00A3151B">
        <w:t>’s application</w:t>
      </w:r>
      <w:r w:rsidR="00ED68BF" w:rsidRPr="00A3151B">
        <w:t>.</w:t>
      </w:r>
      <w:r w:rsidR="00A62636" w:rsidRPr="00A3151B">
        <w:t xml:space="preserve"> Specifically, the</w:t>
      </w:r>
      <w:r w:rsidR="00980C9E" w:rsidRPr="00A3151B">
        <w:t xml:space="preserve"> legal</w:t>
      </w:r>
      <w:r w:rsidR="00A62636" w:rsidRPr="00A3151B">
        <w:t xml:space="preserve"> identification of Mr Mazhar as ‘vulnerable’ would have led </w:t>
      </w:r>
      <w:r w:rsidR="003B2CE3" w:rsidRPr="00A3151B">
        <w:t>the judge</w:t>
      </w:r>
      <w:r w:rsidR="00A62636" w:rsidRPr="00A3151B">
        <w:t xml:space="preserve"> </w:t>
      </w:r>
      <w:r w:rsidR="00526AF2" w:rsidRPr="00A3151B">
        <w:t xml:space="preserve">to </w:t>
      </w:r>
      <w:r w:rsidR="00A62636" w:rsidRPr="00A3151B">
        <w:t xml:space="preserve">question whether Mr Mazhar’s refusal to undertake medical treatment in hospital could be given voluntarily and thereby whether the undue influence vitiated the refusal. </w:t>
      </w:r>
      <w:r w:rsidR="007661BD" w:rsidRPr="00A3151B">
        <w:t xml:space="preserve">Therefore, because </w:t>
      </w:r>
      <w:r w:rsidR="002A36D1" w:rsidRPr="00A3151B">
        <w:t xml:space="preserve">the </w:t>
      </w:r>
      <w:r w:rsidR="007661BD" w:rsidRPr="00A3151B">
        <w:t>judge’s response to the case was, in effect, grounded in legal precedent, which</w:t>
      </w:r>
      <w:r w:rsidR="007850D9" w:rsidRPr="00A3151B">
        <w:t>, as Baker L.J. acknowledged,</w:t>
      </w:r>
      <w:r w:rsidR="007661BD" w:rsidRPr="00A3151B">
        <w:t xml:space="preserve"> has established </w:t>
      </w:r>
      <w:r w:rsidR="00980C9E" w:rsidRPr="00A3151B">
        <w:t xml:space="preserve">situational </w:t>
      </w:r>
      <w:r w:rsidR="007661BD" w:rsidRPr="00A3151B">
        <w:t xml:space="preserve">vulnerability in terms of the risks of being constrained, coerced or otherwise prevented from giving genuine consent, the violation of Mr Mazhar’s autonomy stemmed from </w:t>
      </w:r>
      <w:r w:rsidRPr="00A3151B">
        <w:t>– what Baker L.J. refers to as the – ‘protection imperative’, which tends to</w:t>
      </w:r>
      <w:r w:rsidRPr="00A3151B">
        <w:t xml:space="preserve"> </w:t>
      </w:r>
      <w:r w:rsidRPr="00A3151B">
        <w:t>‘</w:t>
      </w:r>
      <w:r w:rsidRPr="00A3151B">
        <w:t>arise whenever a court is exercising a jurisdiction that is substantially protective in nature</w:t>
      </w:r>
      <w:r w:rsidRPr="00A3151B">
        <w:t>’,</w:t>
      </w:r>
      <w:r w:rsidRPr="00A3151B">
        <w:rPr>
          <w:rStyle w:val="FootnoteReference"/>
        </w:rPr>
        <w:footnoteReference w:id="63"/>
      </w:r>
      <w:r w:rsidRPr="00A3151B">
        <w:t xml:space="preserve"> </w:t>
      </w:r>
      <w:r w:rsidR="007661BD" w:rsidRPr="00A3151B">
        <w:t xml:space="preserve">rather than from a problematic application of legal reasoning in this specific instance. Furthermore, </w:t>
      </w:r>
      <w:r w:rsidR="00396AB2" w:rsidRPr="00A3151B">
        <w:t>this kind of</w:t>
      </w:r>
      <w:r w:rsidR="007661BD" w:rsidRPr="00A3151B">
        <w:t xml:space="preserve"> response to </w:t>
      </w:r>
      <w:r w:rsidR="00980C9E" w:rsidRPr="00A3151B">
        <w:t xml:space="preserve">situational </w:t>
      </w:r>
      <w:r w:rsidR="007661BD" w:rsidRPr="00A3151B">
        <w:t xml:space="preserve">vulnerability led to the violation of Mr Mazhar’s autonomy because it </w:t>
      </w:r>
      <w:r w:rsidR="00E71791" w:rsidRPr="00A3151B">
        <w:t>supports best-interest</w:t>
      </w:r>
      <w:r w:rsidR="007661BD" w:rsidRPr="00A3151B">
        <w:t xml:space="preserve"> intervention</w:t>
      </w:r>
      <w:r w:rsidR="00E71791" w:rsidRPr="00A3151B">
        <w:t>s</w:t>
      </w:r>
      <w:r w:rsidR="007661BD" w:rsidRPr="00A3151B">
        <w:t xml:space="preserve"> that </w:t>
      </w:r>
      <w:r w:rsidR="00E71791" w:rsidRPr="00A3151B">
        <w:t>not only violate</w:t>
      </w:r>
      <w:r w:rsidR="007661BD" w:rsidRPr="00A3151B">
        <w:t xml:space="preserve"> </w:t>
      </w:r>
      <w:r w:rsidR="00E71791" w:rsidRPr="00A3151B">
        <w:t xml:space="preserve">a </w:t>
      </w:r>
      <w:r w:rsidR="00E71791" w:rsidRPr="00A3151B">
        <w:lastRenderedPageBreak/>
        <w:t>capacitous vulnerable adult’s</w:t>
      </w:r>
      <w:r w:rsidR="007661BD" w:rsidRPr="00A3151B">
        <w:t xml:space="preserve"> sovereign authority over his body, </w:t>
      </w:r>
      <w:r w:rsidR="00E71791" w:rsidRPr="00A3151B">
        <w:t xml:space="preserve">but also </w:t>
      </w:r>
      <w:r w:rsidR="007661BD" w:rsidRPr="00A3151B">
        <w:t>preclude capacitous vulnerable adults like Mr Mazhar from making cl</w:t>
      </w:r>
      <w:r w:rsidR="00E71791" w:rsidRPr="00A3151B">
        <w:t>aims to autonomy altogether.</w:t>
      </w:r>
      <w:r w:rsidR="00E71791" w:rsidRPr="00A3151B">
        <w:rPr>
          <w:rStyle w:val="FootnoteReference"/>
        </w:rPr>
        <w:footnoteReference w:id="64"/>
      </w:r>
      <w:r w:rsidR="00E7136A" w:rsidRPr="00A3151B">
        <w:t xml:space="preserve"> </w:t>
      </w:r>
      <w:r w:rsidR="00E7136A" w:rsidRPr="00A3151B">
        <w:rPr>
          <w:rStyle w:val="FootnoteReference"/>
        </w:rPr>
        <w:footnoteReference w:id="65"/>
      </w:r>
    </w:p>
    <w:p w14:paraId="48B0BE54" w14:textId="63F8E8AA" w:rsidR="00A1630D" w:rsidRPr="00A3151B" w:rsidRDefault="00453554" w:rsidP="00314F3D">
      <w:pPr>
        <w:tabs>
          <w:tab w:val="left" w:pos="720"/>
        </w:tabs>
        <w:spacing w:line="480" w:lineRule="auto"/>
        <w:jc w:val="both"/>
      </w:pPr>
      <w:r w:rsidRPr="00A3151B">
        <w:tab/>
        <w:t>To the extent that interventions based on the</w:t>
      </w:r>
      <w:r w:rsidR="00396AB2" w:rsidRPr="00A3151B">
        <w:t xml:space="preserve"> perceived</w:t>
      </w:r>
      <w:r w:rsidRPr="00A3151B">
        <w:t xml:space="preserve"> </w:t>
      </w:r>
      <w:r w:rsidR="00980C9E" w:rsidRPr="00A3151B">
        <w:t xml:space="preserve">conceptual </w:t>
      </w:r>
      <w:r w:rsidRPr="00A3151B">
        <w:t xml:space="preserve">opposition between </w:t>
      </w:r>
      <w:r w:rsidR="00980C9E" w:rsidRPr="00A3151B">
        <w:t xml:space="preserve">situational </w:t>
      </w:r>
      <w:r w:rsidRPr="00A3151B">
        <w:t xml:space="preserve">vulnerability and autonomy preclude </w:t>
      </w:r>
      <w:r w:rsidR="00980C9E" w:rsidRPr="00A3151B">
        <w:t xml:space="preserve">situationally </w:t>
      </w:r>
      <w:r w:rsidRPr="00A3151B">
        <w:t xml:space="preserve">vulnerable adults with capacity from making claims to autonomy, </w:t>
      </w:r>
      <w:r w:rsidR="00443B4B" w:rsidRPr="00A3151B">
        <w:t xml:space="preserve">analytic feminists have suggested that such responses give rise to another form vulnerability - </w:t>
      </w:r>
      <w:r w:rsidR="00271A7C" w:rsidRPr="00A3151B">
        <w:rPr>
          <w:i/>
        </w:rPr>
        <w:t>pathogenic vulnerability</w:t>
      </w:r>
      <w:r w:rsidR="00705BB1" w:rsidRPr="00A3151B">
        <w:t>.</w:t>
      </w:r>
      <w:r w:rsidR="00B26871" w:rsidRPr="00A3151B">
        <w:rPr>
          <w:rStyle w:val="FootnoteReference"/>
        </w:rPr>
        <w:footnoteReference w:id="66"/>
      </w:r>
      <w:r w:rsidR="00705BB1" w:rsidRPr="00A3151B">
        <w:t xml:space="preserve"> </w:t>
      </w:r>
      <w:r w:rsidR="006E4B5A" w:rsidRPr="00A3151B">
        <w:t xml:space="preserve">What distinguishes </w:t>
      </w:r>
      <w:r w:rsidR="006E4B5A" w:rsidRPr="00A3151B">
        <w:rPr>
          <w:i/>
        </w:rPr>
        <w:t>pathogenic vulnerability</w:t>
      </w:r>
      <w:r w:rsidR="006E4B5A" w:rsidRPr="00A3151B">
        <w:t xml:space="preserve"> from </w:t>
      </w:r>
      <w:r w:rsidR="00443B4B" w:rsidRPr="00A3151B">
        <w:t>the concept of vulnerability invoked by the English and Welsh courts</w:t>
      </w:r>
      <w:r w:rsidR="006E4B5A" w:rsidRPr="00A3151B">
        <w:t xml:space="preserve"> is the fact that the former </w:t>
      </w:r>
      <w:r w:rsidR="00C53551" w:rsidRPr="00A3151B">
        <w:t xml:space="preserve">represents the exacerbation of </w:t>
      </w:r>
      <w:r w:rsidR="006E4B5A" w:rsidRPr="00A3151B">
        <w:t xml:space="preserve">an individual’s already compromised power </w:t>
      </w:r>
      <w:r w:rsidR="00F83F79" w:rsidRPr="00A3151B">
        <w:t>to exercise her autonomy</w:t>
      </w:r>
      <w:r w:rsidR="006E4B5A" w:rsidRPr="00A3151B">
        <w:t xml:space="preserve"> as engendered by</w:t>
      </w:r>
      <w:r w:rsidR="00BC27F5" w:rsidRPr="00A3151B">
        <w:t xml:space="preserve"> </w:t>
      </w:r>
      <w:r w:rsidR="006E4B5A" w:rsidRPr="00A3151B">
        <w:t xml:space="preserve">her </w:t>
      </w:r>
      <w:r w:rsidR="00B71E07" w:rsidRPr="00A3151B">
        <w:t xml:space="preserve"> legal characterisation as someone who is unable to give genuine consent </w:t>
      </w:r>
      <w:r w:rsidR="009B6C1D" w:rsidRPr="00A3151B">
        <w:t>(</w:t>
      </w:r>
      <w:r w:rsidR="00B71E07" w:rsidRPr="00A3151B">
        <w:t>due to being at risk of coercion, constraint, undue influence, and so on</w:t>
      </w:r>
      <w:r w:rsidR="009B6C1D" w:rsidRPr="00A3151B">
        <w:t>)</w:t>
      </w:r>
      <w:r w:rsidR="006E4B5A" w:rsidRPr="00A3151B">
        <w:t xml:space="preserve">. </w:t>
      </w:r>
      <w:r w:rsidR="00B71E07" w:rsidRPr="00A3151B">
        <w:t>For analytic feminists, t</w:t>
      </w:r>
      <w:r w:rsidR="008066C9" w:rsidRPr="00A3151B">
        <w:t xml:space="preserve">he problem with contrasting autonomy and </w:t>
      </w:r>
      <w:r w:rsidR="00A04E96" w:rsidRPr="00A3151B">
        <w:t xml:space="preserve">situational </w:t>
      </w:r>
      <w:r w:rsidR="008066C9" w:rsidRPr="00A3151B">
        <w:t xml:space="preserve">vulnerability, and </w:t>
      </w:r>
      <w:r w:rsidR="00B71E07" w:rsidRPr="00A3151B">
        <w:t xml:space="preserve">thereby </w:t>
      </w:r>
      <w:r w:rsidR="008066C9" w:rsidRPr="00A3151B">
        <w:t>responding to the latter</w:t>
      </w:r>
      <w:r w:rsidR="00BF38D8" w:rsidRPr="00A3151B">
        <w:t xml:space="preserve"> </w:t>
      </w:r>
      <w:r w:rsidR="00E20CB6" w:rsidRPr="00A3151B">
        <w:t>by imposing</w:t>
      </w:r>
      <w:r w:rsidR="008066C9" w:rsidRPr="00A3151B">
        <w:t xml:space="preserve"> a protective framework that </w:t>
      </w:r>
      <w:r w:rsidR="00BF38D8" w:rsidRPr="00A3151B">
        <w:t xml:space="preserve">denies a </w:t>
      </w:r>
      <w:r w:rsidR="00A04E96" w:rsidRPr="00A3151B">
        <w:t xml:space="preserve">situationally </w:t>
      </w:r>
      <w:r w:rsidR="00BF38D8" w:rsidRPr="00A3151B">
        <w:t xml:space="preserve">vulnerable adult </w:t>
      </w:r>
      <w:r w:rsidR="009A6512" w:rsidRPr="00A3151B">
        <w:t xml:space="preserve">her </w:t>
      </w:r>
      <w:r w:rsidR="009C481B" w:rsidRPr="00A3151B">
        <w:t>decision-making authority</w:t>
      </w:r>
      <w:r w:rsidR="00BF38D8" w:rsidRPr="00A3151B">
        <w:t>, is that</w:t>
      </w:r>
      <w:r w:rsidR="00B71E07" w:rsidRPr="00A3151B">
        <w:t>, as we have seen with the case of Mazhar,</w:t>
      </w:r>
      <w:r w:rsidR="00BF38D8" w:rsidRPr="00A3151B">
        <w:t xml:space="preserve"> it can have the paradoxical effect of </w:t>
      </w:r>
      <w:r w:rsidR="009D050F" w:rsidRPr="00A3151B">
        <w:t>r</w:t>
      </w:r>
      <w:r w:rsidR="009B6C1D" w:rsidRPr="00A3151B">
        <w:t>ender</w:t>
      </w:r>
      <w:r w:rsidR="009D050F" w:rsidRPr="00A3151B">
        <w:t>ing</w:t>
      </w:r>
      <w:r w:rsidR="009B6C1D" w:rsidRPr="00A3151B">
        <w:t xml:space="preserve"> an already vulnerable</w:t>
      </w:r>
      <w:r w:rsidR="0093511D" w:rsidRPr="00A3151B">
        <w:t xml:space="preserve"> individual even more </w:t>
      </w:r>
      <w:r w:rsidR="005125D6" w:rsidRPr="00A3151B">
        <w:t>powerless</w:t>
      </w:r>
      <w:r w:rsidR="001D6196" w:rsidRPr="00A3151B">
        <w:t xml:space="preserve"> to</w:t>
      </w:r>
      <w:r w:rsidR="005125D6" w:rsidRPr="00A3151B">
        <w:t xml:space="preserve"> exercise her autonomy.</w:t>
      </w:r>
      <w:r w:rsidR="005125D6" w:rsidRPr="00A3151B">
        <w:rPr>
          <w:rStyle w:val="FootnoteReference"/>
        </w:rPr>
        <w:footnoteReference w:id="67"/>
      </w:r>
      <w:r w:rsidR="001D6196" w:rsidRPr="00A3151B">
        <w:t xml:space="preserve"> </w:t>
      </w:r>
    </w:p>
    <w:p w14:paraId="7A818A10" w14:textId="72F97727" w:rsidR="001F42E0" w:rsidRPr="00A3151B" w:rsidRDefault="00B71E07" w:rsidP="00314F3D">
      <w:pPr>
        <w:tabs>
          <w:tab w:val="left" w:pos="720"/>
        </w:tabs>
        <w:spacing w:line="480" w:lineRule="auto"/>
        <w:jc w:val="both"/>
        <w:rPr>
          <w:bCs/>
        </w:rPr>
      </w:pPr>
      <w:r w:rsidRPr="00A3151B">
        <w:lastRenderedPageBreak/>
        <w:tab/>
        <w:t xml:space="preserve">It was previously stated that analytic feminists take the opposition between ‘the liberal (autonomous) subject’ and ‘the vulnerable subject’ to be problematic for two reasons. </w:t>
      </w:r>
      <w:r w:rsidR="00C26B7A" w:rsidRPr="00A3151B">
        <w:t xml:space="preserve">The second reason </w:t>
      </w:r>
      <w:r w:rsidR="00544729" w:rsidRPr="00A3151B">
        <w:t xml:space="preserve">is because </w:t>
      </w:r>
      <w:r w:rsidR="00C26B7A" w:rsidRPr="00A3151B">
        <w:t>the idealised conception of the liberal (autonomous) person fails to attend appropriately to the</w:t>
      </w:r>
      <w:r w:rsidR="0093511D" w:rsidRPr="00A3151B">
        <w:t xml:space="preserve"> ways </w:t>
      </w:r>
      <w:r w:rsidR="00B7346C" w:rsidRPr="00A3151B">
        <w:t>in which</w:t>
      </w:r>
      <w:r w:rsidR="0093511D" w:rsidRPr="00A3151B">
        <w:t xml:space="preserve"> </w:t>
      </w:r>
      <w:r w:rsidR="00B7346C" w:rsidRPr="00A3151B">
        <w:t>an individual’s</w:t>
      </w:r>
      <w:r w:rsidR="0093511D" w:rsidRPr="00A3151B">
        <w:t xml:space="preserve"> ability to exercise their autonomy in decision-making situations </w:t>
      </w:r>
      <w:r w:rsidR="00B7346C" w:rsidRPr="00A3151B">
        <w:t xml:space="preserve">– whether vulnerable or non-vulnerable – is </w:t>
      </w:r>
      <w:r w:rsidR="0093511D" w:rsidRPr="00A3151B">
        <w:t>dependent on legal and health care recognition</w:t>
      </w:r>
      <w:r w:rsidR="00B7346C" w:rsidRPr="00A3151B">
        <w:t>.</w:t>
      </w:r>
      <w:r w:rsidR="008F1867" w:rsidRPr="00A3151B">
        <w:rPr>
          <w:rStyle w:val="FootnoteReference"/>
        </w:rPr>
        <w:footnoteReference w:id="68"/>
      </w:r>
      <w:r w:rsidR="00C26B7A" w:rsidRPr="00A3151B">
        <w:t xml:space="preserve"> </w:t>
      </w:r>
      <w:r w:rsidR="000F16A5" w:rsidRPr="00A3151B">
        <w:t xml:space="preserve">For example, </w:t>
      </w:r>
      <w:r w:rsidR="00B7346C" w:rsidRPr="00A3151B">
        <w:t xml:space="preserve">where liberty is concerned, </w:t>
      </w:r>
      <w:r w:rsidR="00D96407" w:rsidRPr="00A3151B">
        <w:t>th</w:t>
      </w:r>
      <w:r w:rsidR="00B930C5" w:rsidRPr="00A3151B">
        <w:t xml:space="preserve">e practice of informed consent </w:t>
      </w:r>
      <w:r w:rsidR="00D96407" w:rsidRPr="00A3151B">
        <w:t>does not just require</w:t>
      </w:r>
      <w:r w:rsidR="001F42E0" w:rsidRPr="00A3151B">
        <w:t xml:space="preserve"> a capacitous</w:t>
      </w:r>
      <w:r w:rsidR="00907FF0" w:rsidRPr="00A3151B">
        <w:t xml:space="preserve"> adult</w:t>
      </w:r>
      <w:r w:rsidR="006E0B32" w:rsidRPr="00A3151B">
        <w:t xml:space="preserve"> patient </w:t>
      </w:r>
      <w:r w:rsidR="00907FF0" w:rsidRPr="00A3151B">
        <w:t xml:space="preserve">to communicate a decision </w:t>
      </w:r>
      <w:r w:rsidR="00670AF1" w:rsidRPr="00A3151B">
        <w:t>having been</w:t>
      </w:r>
      <w:r w:rsidR="00D96407" w:rsidRPr="00A3151B">
        <w:t xml:space="preserve"> </w:t>
      </w:r>
      <w:r w:rsidR="008776D6" w:rsidRPr="00A3151B">
        <w:t>sufficiently informed of the material</w:t>
      </w:r>
      <w:r w:rsidR="001F42E0" w:rsidRPr="00A3151B">
        <w:t xml:space="preserve"> treatment risks. Successful participation in an economy of consent depends on the </w:t>
      </w:r>
      <w:r w:rsidR="001F42E0" w:rsidRPr="00A3151B">
        <w:rPr>
          <w:i/>
        </w:rPr>
        <w:t>recognition</w:t>
      </w:r>
      <w:r w:rsidR="001F42E0" w:rsidRPr="00A3151B">
        <w:t xml:space="preserve"> of the patient’s speech acts as </w:t>
      </w:r>
      <w:r w:rsidR="00EE46C0" w:rsidRPr="00A3151B">
        <w:t xml:space="preserve">the kinds of </w:t>
      </w:r>
      <w:r w:rsidR="003F6804" w:rsidRPr="00A3151B">
        <w:t>acts</w:t>
      </w:r>
      <w:r w:rsidR="001F42E0" w:rsidRPr="00A3151B">
        <w:t xml:space="preserve"> that they are, specifically, permissions and refusals.</w:t>
      </w:r>
      <w:r w:rsidR="001F42E0" w:rsidRPr="00A3151B">
        <w:rPr>
          <w:vertAlign w:val="superscript"/>
        </w:rPr>
        <w:footnoteReference w:id="69"/>
      </w:r>
      <w:r w:rsidR="001F42E0" w:rsidRPr="00A3151B">
        <w:t xml:space="preserve"> </w:t>
      </w:r>
      <w:r w:rsidR="00AD411D" w:rsidRPr="00A3151B">
        <w:t xml:space="preserve">Similarly, </w:t>
      </w:r>
      <w:r w:rsidR="00B7346C" w:rsidRPr="00A3151B">
        <w:t>where autonomy is concerned, succeeding in making claims to one’s autonomy is impossible for one to do on one’s own (as demonstrated by the case of Mr Mazhar)</w:t>
      </w:r>
      <w:r w:rsidR="009B6C1D" w:rsidRPr="00A3151B">
        <w:t>. According to Catriona Mackenzie,</w:t>
      </w:r>
      <w:r w:rsidR="00B7346C" w:rsidRPr="00A3151B">
        <w:t xml:space="preserve"> </w:t>
      </w:r>
      <w:r w:rsidR="00AD411D" w:rsidRPr="00A3151B">
        <w:t xml:space="preserve">‘a self-determining life requires not just having the capacities and opportunities to do so but also regarding oneself, and being recognised by others, as having the social </w:t>
      </w:r>
      <w:r w:rsidR="00AD411D" w:rsidRPr="00A3151B">
        <w:rPr>
          <w:i/>
          <w:iCs/>
        </w:rPr>
        <w:t xml:space="preserve">status </w:t>
      </w:r>
      <w:r w:rsidR="00AD411D" w:rsidRPr="00A3151B">
        <w:t>of an autonomous agent’.</w:t>
      </w:r>
      <w:r w:rsidR="00AD411D" w:rsidRPr="00A3151B">
        <w:rPr>
          <w:rStyle w:val="FootnoteReference"/>
        </w:rPr>
        <w:footnoteReference w:id="70"/>
      </w:r>
      <w:r w:rsidR="00AD411D" w:rsidRPr="00A3151B">
        <w:t xml:space="preserve"> </w:t>
      </w:r>
      <w:r w:rsidR="000D3BE1" w:rsidRPr="00A3151B">
        <w:t xml:space="preserve">The point is that although a patient </w:t>
      </w:r>
      <w:r w:rsidR="00BC51CF" w:rsidRPr="00A3151B">
        <w:t xml:space="preserve">may have </w:t>
      </w:r>
      <w:r w:rsidR="00CE1186" w:rsidRPr="00A3151B">
        <w:t>the necessary cognitive capacities for reason</w:t>
      </w:r>
      <w:r w:rsidR="006C482B" w:rsidRPr="00A3151B">
        <w:t xml:space="preserve">, </w:t>
      </w:r>
      <w:r w:rsidR="00606646" w:rsidRPr="00A3151B">
        <w:t xml:space="preserve">her attempts at exercising and achieving autonomy will fail if </w:t>
      </w:r>
      <w:r w:rsidR="00591508" w:rsidRPr="00A3151B">
        <w:t xml:space="preserve">her </w:t>
      </w:r>
      <w:r w:rsidR="005B4AFB" w:rsidRPr="00A3151B">
        <w:t>commitme</w:t>
      </w:r>
      <w:r w:rsidR="00241139" w:rsidRPr="00A3151B">
        <w:t xml:space="preserve">nts, </w:t>
      </w:r>
      <w:r w:rsidR="005B4AFB" w:rsidRPr="00A3151B">
        <w:t>decisions</w:t>
      </w:r>
      <w:r w:rsidR="00241139" w:rsidRPr="00A3151B">
        <w:t xml:space="preserve"> or status as an autonomous agent</w:t>
      </w:r>
      <w:r w:rsidR="005B4AFB" w:rsidRPr="00A3151B">
        <w:t xml:space="preserve"> </w:t>
      </w:r>
      <w:r w:rsidR="00E738B6" w:rsidRPr="00A3151B">
        <w:t>are</w:t>
      </w:r>
      <w:r w:rsidR="00591508" w:rsidRPr="00A3151B">
        <w:t xml:space="preserve"> not </w:t>
      </w:r>
      <w:r w:rsidR="00842176" w:rsidRPr="00A3151B">
        <w:t>accorded appropriate recognition.</w:t>
      </w:r>
      <w:r w:rsidR="00591508" w:rsidRPr="00A3151B">
        <w:t xml:space="preserve"> </w:t>
      </w:r>
      <w:r w:rsidR="00B7346C" w:rsidRPr="00A3151B">
        <w:t xml:space="preserve">Therefore, in medical decision-making contexts, succeeding in exercising one’s autonomy </w:t>
      </w:r>
      <w:r w:rsidR="00C53551" w:rsidRPr="00A3151B">
        <w:t>is dependent not only on</w:t>
      </w:r>
      <w:r w:rsidR="00B7346C" w:rsidRPr="00A3151B">
        <w:rPr>
          <w:i/>
        </w:rPr>
        <w:t xml:space="preserve"> </w:t>
      </w:r>
      <w:r w:rsidR="00C53551" w:rsidRPr="00A3151B">
        <w:t>the</w:t>
      </w:r>
      <w:r w:rsidR="00B7346C" w:rsidRPr="00A3151B">
        <w:t xml:space="preserve"> </w:t>
      </w:r>
      <w:r w:rsidR="00B7346C" w:rsidRPr="00A3151B">
        <w:rPr>
          <w:i/>
        </w:rPr>
        <w:t>recogni</w:t>
      </w:r>
      <w:r w:rsidR="00C53551" w:rsidRPr="00A3151B">
        <w:rPr>
          <w:i/>
        </w:rPr>
        <w:t>tion</w:t>
      </w:r>
      <w:r w:rsidR="00B7346C" w:rsidRPr="00A3151B">
        <w:t xml:space="preserve"> that one has the </w:t>
      </w:r>
      <w:r w:rsidR="00B7346C" w:rsidRPr="00A3151B">
        <w:rPr>
          <w:i/>
        </w:rPr>
        <w:t>status</w:t>
      </w:r>
      <w:r w:rsidR="00B7346C" w:rsidRPr="00A3151B">
        <w:t xml:space="preserve"> of autonomy, </w:t>
      </w:r>
      <w:r w:rsidR="00C53551" w:rsidRPr="00A3151B">
        <w:t>but also on health care staff and/or the courts</w:t>
      </w:r>
      <w:r w:rsidR="00B7346C" w:rsidRPr="00A3151B">
        <w:t xml:space="preserve"> meet</w:t>
      </w:r>
      <w:r w:rsidR="00C53551" w:rsidRPr="00A3151B">
        <w:t>ing</w:t>
      </w:r>
      <w:r w:rsidR="00B7346C" w:rsidRPr="00A3151B">
        <w:t xml:space="preserve"> the prescribed uptake conditions associated with one’s permissions and refusals.</w:t>
      </w:r>
      <w:r w:rsidR="002F5C0A" w:rsidRPr="00A3151B">
        <w:t xml:space="preserve"> It follows that when a capacitous vulnerable adult recognises herself as someone </w:t>
      </w:r>
      <w:r w:rsidR="002F5C0A" w:rsidRPr="00A3151B">
        <w:lastRenderedPageBreak/>
        <w:t xml:space="preserve">with the normative authority to make medical decisions on the basis of her </w:t>
      </w:r>
      <w:r w:rsidR="00821FA8" w:rsidRPr="00A3151B">
        <w:t>own values, desires and motives</w:t>
      </w:r>
      <w:r w:rsidR="002F5C0A" w:rsidRPr="00A3151B">
        <w:t xml:space="preserve">, the denial of that authority not only violates her sovereignty (when medical interventions go against her decisions), it also violates her status of, and claims to, autonomy. </w:t>
      </w:r>
      <w:r w:rsidR="004C04B6" w:rsidRPr="00A3151B">
        <w:t xml:space="preserve">Due </w:t>
      </w:r>
      <w:r w:rsidR="002F5C0A" w:rsidRPr="00A3151B">
        <w:t>to the fact that a</w:t>
      </w:r>
      <w:r w:rsidR="002F5C0A" w:rsidRPr="00A3151B">
        <w:rPr>
          <w:bCs/>
        </w:rPr>
        <w:t xml:space="preserve"> </w:t>
      </w:r>
      <w:r w:rsidR="00A04E96" w:rsidRPr="00A3151B">
        <w:rPr>
          <w:bCs/>
        </w:rPr>
        <w:t xml:space="preserve">situationally </w:t>
      </w:r>
      <w:r w:rsidR="002F5C0A" w:rsidRPr="00A3151B">
        <w:rPr>
          <w:bCs/>
        </w:rPr>
        <w:t>vulnerable patient’s</w:t>
      </w:r>
      <w:r w:rsidR="007B75CF" w:rsidRPr="00A3151B">
        <w:rPr>
          <w:bCs/>
        </w:rPr>
        <w:t xml:space="preserve"> status of and claims to </w:t>
      </w:r>
      <w:r w:rsidR="002F5C0A" w:rsidRPr="00A3151B">
        <w:rPr>
          <w:bCs/>
        </w:rPr>
        <w:t xml:space="preserve">autonomy, and thereby </w:t>
      </w:r>
      <w:r w:rsidR="00821FA8" w:rsidRPr="00A3151B">
        <w:rPr>
          <w:bCs/>
        </w:rPr>
        <w:t>the</w:t>
      </w:r>
      <w:r w:rsidR="002F5C0A" w:rsidRPr="00A3151B">
        <w:rPr>
          <w:bCs/>
        </w:rPr>
        <w:t xml:space="preserve"> desired outcomes of her decisions, are ultimately dependent on rela</w:t>
      </w:r>
      <w:r w:rsidR="004C04B6" w:rsidRPr="00A3151B">
        <w:rPr>
          <w:bCs/>
        </w:rPr>
        <w:t xml:space="preserve">tional practices of recognition, </w:t>
      </w:r>
      <w:r w:rsidR="005A7373" w:rsidRPr="00A3151B">
        <w:rPr>
          <w:bCs/>
        </w:rPr>
        <w:t xml:space="preserve">some </w:t>
      </w:r>
      <w:r w:rsidR="006E489E" w:rsidRPr="00A3151B">
        <w:t xml:space="preserve">analytic feminists </w:t>
      </w:r>
      <w:r w:rsidR="008350C8" w:rsidRPr="00A3151B">
        <w:t xml:space="preserve">have </w:t>
      </w:r>
      <w:r w:rsidR="006E489E" w:rsidRPr="00A3151B">
        <w:t>argue</w:t>
      </w:r>
      <w:r w:rsidR="008350C8" w:rsidRPr="00A3151B">
        <w:t>d</w:t>
      </w:r>
      <w:r w:rsidR="006E489E" w:rsidRPr="00A3151B">
        <w:t xml:space="preserve"> that autonomy </w:t>
      </w:r>
      <w:r w:rsidR="004C04B6" w:rsidRPr="00A3151B">
        <w:t xml:space="preserve">is </w:t>
      </w:r>
      <w:r w:rsidR="00B7346C" w:rsidRPr="00A3151B">
        <w:t>‘</w:t>
      </w:r>
      <w:r w:rsidR="006E489E" w:rsidRPr="00A3151B">
        <w:t>vulnerable</w:t>
      </w:r>
      <w:r w:rsidR="00B7346C" w:rsidRPr="00A3151B">
        <w:t>’</w:t>
      </w:r>
      <w:r w:rsidR="006E489E" w:rsidRPr="00A3151B">
        <w:t xml:space="preserve"> </w:t>
      </w:r>
      <w:r w:rsidR="008350C8" w:rsidRPr="00A3151B">
        <w:t>to the denial of recognition</w:t>
      </w:r>
      <w:r w:rsidR="004C04B6" w:rsidRPr="00A3151B">
        <w:t>.</w:t>
      </w:r>
      <w:r w:rsidR="008350C8" w:rsidRPr="00A3151B">
        <w:rPr>
          <w:rStyle w:val="FootnoteReference"/>
        </w:rPr>
        <w:footnoteReference w:id="71"/>
      </w:r>
      <w:r w:rsidR="006E489E" w:rsidRPr="00A3151B">
        <w:t xml:space="preserve"> </w:t>
      </w:r>
      <w:r w:rsidR="004C04B6" w:rsidRPr="00A3151B">
        <w:t xml:space="preserve">On that basis, </w:t>
      </w:r>
      <w:r w:rsidR="008350C8" w:rsidRPr="00A3151B">
        <w:t>they</w:t>
      </w:r>
      <w:r w:rsidR="004C04B6" w:rsidRPr="00A3151B">
        <w:t xml:space="preserve"> have concluded that </w:t>
      </w:r>
      <w:r w:rsidR="004C04B6" w:rsidRPr="00A3151B">
        <w:rPr>
          <w:bCs/>
        </w:rPr>
        <w:t xml:space="preserve">the concepts of vulnerability and autonomy are </w:t>
      </w:r>
      <w:r w:rsidR="004C04B6" w:rsidRPr="00A3151B">
        <w:rPr>
          <w:bCs/>
          <w:i/>
        </w:rPr>
        <w:t>necessarily</w:t>
      </w:r>
      <w:r w:rsidR="004C04B6" w:rsidRPr="00A3151B">
        <w:rPr>
          <w:bCs/>
        </w:rPr>
        <w:t xml:space="preserve"> entwined rather than opposed. </w:t>
      </w:r>
      <w:r w:rsidR="008350C8" w:rsidRPr="00A3151B">
        <w:rPr>
          <w:bCs/>
        </w:rPr>
        <w:t>In short,</w:t>
      </w:r>
      <w:r w:rsidR="00A75001" w:rsidRPr="00A3151B">
        <w:rPr>
          <w:bCs/>
        </w:rPr>
        <w:t xml:space="preserve"> they are </w:t>
      </w:r>
      <w:r w:rsidR="00613CEB" w:rsidRPr="00A3151B">
        <w:rPr>
          <w:bCs/>
          <w:i/>
        </w:rPr>
        <w:t>necessarily</w:t>
      </w:r>
      <w:r w:rsidR="00613CEB" w:rsidRPr="00A3151B">
        <w:rPr>
          <w:bCs/>
        </w:rPr>
        <w:t xml:space="preserve"> </w:t>
      </w:r>
      <w:r w:rsidR="00A75001" w:rsidRPr="00A3151B">
        <w:rPr>
          <w:bCs/>
        </w:rPr>
        <w:t>entwined</w:t>
      </w:r>
      <w:r w:rsidR="004C04B6" w:rsidRPr="00A3151B">
        <w:rPr>
          <w:bCs/>
        </w:rPr>
        <w:t xml:space="preserve"> because whether </w:t>
      </w:r>
      <w:r w:rsidR="00A75001" w:rsidRPr="00A3151B">
        <w:rPr>
          <w:bCs/>
        </w:rPr>
        <w:t>a person – vulnerable or not – has</w:t>
      </w:r>
      <w:r w:rsidR="004C04B6" w:rsidRPr="00A3151B">
        <w:rPr>
          <w:bCs/>
        </w:rPr>
        <w:t xml:space="preserve"> the </w:t>
      </w:r>
      <w:r w:rsidR="004C04B6" w:rsidRPr="00A3151B">
        <w:rPr>
          <w:bCs/>
          <w:i/>
        </w:rPr>
        <w:t>status</w:t>
      </w:r>
      <w:r w:rsidR="004C04B6" w:rsidRPr="00A3151B">
        <w:rPr>
          <w:bCs/>
        </w:rPr>
        <w:t xml:space="preserve"> of someone with the authority to be self-governing and self-determining, and, accordingly, whether they are able to make claims to, exercise and achieve their autonomy, is, in part, dependent on the actions of others in ways that are outside of the person’s control.</w:t>
      </w:r>
    </w:p>
    <w:p w14:paraId="780CE41F" w14:textId="603746FB" w:rsidR="000F5451" w:rsidRPr="00A3151B" w:rsidRDefault="000F5451" w:rsidP="00314F3D">
      <w:pPr>
        <w:tabs>
          <w:tab w:val="left" w:pos="720"/>
        </w:tabs>
        <w:spacing w:line="480" w:lineRule="auto"/>
        <w:jc w:val="both"/>
        <w:rPr>
          <w:bCs/>
        </w:rPr>
      </w:pPr>
      <w:r w:rsidRPr="00A3151B">
        <w:rPr>
          <w:bCs/>
        </w:rPr>
        <w:tab/>
        <w:t xml:space="preserve">At this point, it should be mentioned that </w:t>
      </w:r>
      <w:r w:rsidR="000751F3" w:rsidRPr="00A3151B">
        <w:rPr>
          <w:bCs/>
        </w:rPr>
        <w:t xml:space="preserve">legal scholars have also acknowledged </w:t>
      </w:r>
      <w:r w:rsidRPr="00A3151B">
        <w:rPr>
          <w:bCs/>
        </w:rPr>
        <w:t xml:space="preserve">the problems </w:t>
      </w:r>
      <w:r w:rsidR="00403734" w:rsidRPr="00A3151B">
        <w:rPr>
          <w:bCs/>
        </w:rPr>
        <w:t xml:space="preserve">that </w:t>
      </w:r>
      <w:r w:rsidR="000751F3" w:rsidRPr="00A3151B">
        <w:rPr>
          <w:bCs/>
        </w:rPr>
        <w:t>arise</w:t>
      </w:r>
      <w:r w:rsidR="00403734" w:rsidRPr="00A3151B">
        <w:rPr>
          <w:bCs/>
        </w:rPr>
        <w:t xml:space="preserve"> </w:t>
      </w:r>
      <w:r w:rsidR="00CA67CB" w:rsidRPr="00A3151B">
        <w:rPr>
          <w:bCs/>
        </w:rPr>
        <w:t>when</w:t>
      </w:r>
      <w:r w:rsidR="000751F3" w:rsidRPr="00A3151B">
        <w:rPr>
          <w:bCs/>
        </w:rPr>
        <w:t xml:space="preserve"> </w:t>
      </w:r>
      <w:r w:rsidR="00403734" w:rsidRPr="00A3151B">
        <w:rPr>
          <w:bCs/>
        </w:rPr>
        <w:t>‘general protections’</w:t>
      </w:r>
      <w:r w:rsidR="00FE30BC" w:rsidRPr="00A3151B">
        <w:rPr>
          <w:bCs/>
        </w:rPr>
        <w:t xml:space="preserve"> for capacitous </w:t>
      </w:r>
      <w:r w:rsidR="002A76F9" w:rsidRPr="00A3151B">
        <w:rPr>
          <w:bCs/>
        </w:rPr>
        <w:t xml:space="preserve">individuals </w:t>
      </w:r>
      <w:r w:rsidR="00CA67CB" w:rsidRPr="00A3151B">
        <w:rPr>
          <w:bCs/>
        </w:rPr>
        <w:t xml:space="preserve">are </w:t>
      </w:r>
      <w:r w:rsidR="002A76F9" w:rsidRPr="00A3151B">
        <w:rPr>
          <w:bCs/>
        </w:rPr>
        <w:t>supplanted by</w:t>
      </w:r>
      <w:r w:rsidR="00CA67CB" w:rsidRPr="00A3151B">
        <w:rPr>
          <w:bCs/>
        </w:rPr>
        <w:t xml:space="preserve"> </w:t>
      </w:r>
      <w:r w:rsidR="00403734" w:rsidRPr="00A3151B">
        <w:rPr>
          <w:bCs/>
        </w:rPr>
        <w:t xml:space="preserve">‘special protections’ for </w:t>
      </w:r>
      <w:r w:rsidR="007850D9" w:rsidRPr="00A3151B">
        <w:rPr>
          <w:bCs/>
        </w:rPr>
        <w:t xml:space="preserve">legally </w:t>
      </w:r>
      <w:r w:rsidR="00403734" w:rsidRPr="00A3151B">
        <w:rPr>
          <w:bCs/>
        </w:rPr>
        <w:t>vulnerable</w:t>
      </w:r>
      <w:r w:rsidR="002A76F9" w:rsidRPr="00A3151B">
        <w:rPr>
          <w:bCs/>
        </w:rPr>
        <w:t xml:space="preserve"> individuals</w:t>
      </w:r>
      <w:r w:rsidR="00403734" w:rsidRPr="00A3151B">
        <w:rPr>
          <w:bCs/>
        </w:rPr>
        <w:t xml:space="preserve">. Indeed, </w:t>
      </w:r>
      <w:r w:rsidR="000751F3" w:rsidRPr="00A3151B">
        <w:rPr>
          <w:bCs/>
        </w:rPr>
        <w:t xml:space="preserve">in some cases, </w:t>
      </w:r>
      <w:r w:rsidR="00403734" w:rsidRPr="00A3151B">
        <w:rPr>
          <w:bCs/>
        </w:rPr>
        <w:t xml:space="preserve">these problems have been identified, in part, </w:t>
      </w:r>
      <w:r w:rsidR="000751F3" w:rsidRPr="00A3151B">
        <w:rPr>
          <w:bCs/>
        </w:rPr>
        <w:t>via</w:t>
      </w:r>
      <w:r w:rsidR="00403734" w:rsidRPr="00A3151B">
        <w:rPr>
          <w:bCs/>
        </w:rPr>
        <w:t xml:space="preserve"> engagement with feminist philosophy.</w:t>
      </w:r>
      <w:r w:rsidR="00403734" w:rsidRPr="00A3151B">
        <w:rPr>
          <w:rStyle w:val="FootnoteReference"/>
          <w:bCs/>
        </w:rPr>
        <w:footnoteReference w:id="72"/>
      </w:r>
      <w:r w:rsidR="00403734" w:rsidRPr="00A3151B">
        <w:rPr>
          <w:bCs/>
        </w:rPr>
        <w:t xml:space="preserve"> So why is this paper returning to analytic feminist approaches to vulnerability and autonomy rather than seeking to develop those </w:t>
      </w:r>
      <w:r w:rsidR="00CA67CB" w:rsidRPr="00A3151B">
        <w:rPr>
          <w:bCs/>
        </w:rPr>
        <w:t>responses</w:t>
      </w:r>
      <w:r w:rsidR="00403734" w:rsidRPr="00A3151B">
        <w:rPr>
          <w:bCs/>
        </w:rPr>
        <w:t xml:space="preserve"> to vulnerability</w:t>
      </w:r>
      <w:r w:rsidRPr="00A3151B">
        <w:rPr>
          <w:bCs/>
        </w:rPr>
        <w:t xml:space="preserve"> </w:t>
      </w:r>
      <w:r w:rsidR="00403734" w:rsidRPr="00A3151B">
        <w:rPr>
          <w:bCs/>
        </w:rPr>
        <w:t>that have been</w:t>
      </w:r>
      <w:r w:rsidR="000751F3" w:rsidRPr="00A3151B">
        <w:rPr>
          <w:bCs/>
        </w:rPr>
        <w:t xml:space="preserve"> presented in feminist legal scholarship?</w:t>
      </w:r>
      <w:r w:rsidR="00403734" w:rsidRPr="00A3151B">
        <w:rPr>
          <w:bCs/>
        </w:rPr>
        <w:t xml:space="preserve"> </w:t>
      </w:r>
      <w:r w:rsidR="00974E0B" w:rsidRPr="00A3151B">
        <w:rPr>
          <w:bCs/>
        </w:rPr>
        <w:t xml:space="preserve">Although it is beyond the </w:t>
      </w:r>
      <w:r w:rsidR="000751F3" w:rsidRPr="00A3151B">
        <w:rPr>
          <w:bCs/>
        </w:rPr>
        <w:t>scope</w:t>
      </w:r>
      <w:r w:rsidR="00974E0B" w:rsidRPr="00A3151B">
        <w:rPr>
          <w:bCs/>
        </w:rPr>
        <w:t xml:space="preserve"> of this paper to offer a comprehensive analysis of the relevant legal literature, I suggest that the return to analytic feminism is needed because</w:t>
      </w:r>
      <w:r w:rsidR="000855F0" w:rsidRPr="00A3151B">
        <w:rPr>
          <w:bCs/>
        </w:rPr>
        <w:t xml:space="preserve">: </w:t>
      </w:r>
      <w:r w:rsidR="00141977" w:rsidRPr="00A3151B">
        <w:rPr>
          <w:bCs/>
        </w:rPr>
        <w:t xml:space="preserve">either </w:t>
      </w:r>
      <w:r w:rsidR="007850D9" w:rsidRPr="00A3151B">
        <w:rPr>
          <w:bCs/>
        </w:rPr>
        <w:t>(1</w:t>
      </w:r>
      <w:r w:rsidR="000855F0" w:rsidRPr="00A3151B">
        <w:rPr>
          <w:bCs/>
        </w:rPr>
        <w:t xml:space="preserve">) </w:t>
      </w:r>
      <w:r w:rsidR="00530E79" w:rsidRPr="00A3151B">
        <w:rPr>
          <w:bCs/>
        </w:rPr>
        <w:t xml:space="preserve">key </w:t>
      </w:r>
      <w:r w:rsidR="00530E79" w:rsidRPr="00A3151B">
        <w:rPr>
          <w:bCs/>
        </w:rPr>
        <w:lastRenderedPageBreak/>
        <w:t xml:space="preserve">proposals for legal and social policy reform in matters concerning </w:t>
      </w:r>
      <w:r w:rsidR="00A04E96" w:rsidRPr="00A3151B">
        <w:rPr>
          <w:bCs/>
        </w:rPr>
        <w:t xml:space="preserve">situationally </w:t>
      </w:r>
      <w:r w:rsidR="00530E79" w:rsidRPr="00A3151B">
        <w:rPr>
          <w:bCs/>
        </w:rPr>
        <w:t xml:space="preserve">vulnerable adults have addressed </w:t>
      </w:r>
      <w:r w:rsidR="00F06D20" w:rsidRPr="00A3151B">
        <w:rPr>
          <w:bCs/>
        </w:rPr>
        <w:t xml:space="preserve">current </w:t>
      </w:r>
      <w:r w:rsidR="00530E79" w:rsidRPr="00A3151B">
        <w:rPr>
          <w:bCs/>
        </w:rPr>
        <w:t xml:space="preserve">legal </w:t>
      </w:r>
      <w:r w:rsidR="00153205" w:rsidRPr="00A3151B">
        <w:rPr>
          <w:bCs/>
        </w:rPr>
        <w:t xml:space="preserve">responses to vulnerable adults </w:t>
      </w:r>
      <w:r w:rsidR="009E7026" w:rsidRPr="00A3151B">
        <w:rPr>
          <w:bCs/>
          <w:i/>
          <w:iCs/>
        </w:rPr>
        <w:t>in general</w:t>
      </w:r>
      <w:r w:rsidR="009E7026" w:rsidRPr="00A3151B">
        <w:rPr>
          <w:bCs/>
        </w:rPr>
        <w:t xml:space="preserve"> and </w:t>
      </w:r>
      <w:r w:rsidR="00734412" w:rsidRPr="00A3151B">
        <w:rPr>
          <w:bCs/>
        </w:rPr>
        <w:t xml:space="preserve">have </w:t>
      </w:r>
      <w:r w:rsidR="00F06D20" w:rsidRPr="00A3151B">
        <w:rPr>
          <w:bCs/>
        </w:rPr>
        <w:t>t</w:t>
      </w:r>
      <w:r w:rsidR="009E7026" w:rsidRPr="00A3151B">
        <w:rPr>
          <w:bCs/>
        </w:rPr>
        <w:t xml:space="preserve">hereby not adequately captured or resolved </w:t>
      </w:r>
      <w:r w:rsidR="00D138A0" w:rsidRPr="00A3151B">
        <w:rPr>
          <w:bCs/>
        </w:rPr>
        <w:t xml:space="preserve">the </w:t>
      </w:r>
      <w:r w:rsidR="008B58F6" w:rsidRPr="00A3151B">
        <w:rPr>
          <w:bCs/>
        </w:rPr>
        <w:t>specific</w:t>
      </w:r>
      <w:r w:rsidR="00734412" w:rsidRPr="00A3151B">
        <w:rPr>
          <w:bCs/>
        </w:rPr>
        <w:t xml:space="preserve"> </w:t>
      </w:r>
      <w:r w:rsidR="00D138A0" w:rsidRPr="00A3151B">
        <w:rPr>
          <w:bCs/>
        </w:rPr>
        <w:t>autonomy concerns of</w:t>
      </w:r>
      <w:r w:rsidR="00734412" w:rsidRPr="00A3151B">
        <w:rPr>
          <w:bCs/>
        </w:rPr>
        <w:t xml:space="preserve"> </w:t>
      </w:r>
      <w:r w:rsidR="0021399D" w:rsidRPr="00A3151B">
        <w:rPr>
          <w:bCs/>
          <w:i/>
          <w:iCs/>
        </w:rPr>
        <w:t>capacitous</w:t>
      </w:r>
      <w:r w:rsidR="0021399D" w:rsidRPr="00A3151B">
        <w:rPr>
          <w:bCs/>
        </w:rPr>
        <w:t xml:space="preserve"> vulnerable adults (see footnote </w:t>
      </w:r>
      <w:r w:rsidR="006F6984" w:rsidRPr="00A3151B">
        <w:rPr>
          <w:bCs/>
        </w:rPr>
        <w:t>4</w:t>
      </w:r>
      <w:r w:rsidR="0021399D" w:rsidRPr="00A3151B">
        <w:rPr>
          <w:bCs/>
        </w:rPr>
        <w:t xml:space="preserve"> for further details);</w:t>
      </w:r>
      <w:r w:rsidR="0021399D" w:rsidRPr="00A3151B">
        <w:rPr>
          <w:rStyle w:val="FootnoteReference"/>
          <w:bCs/>
        </w:rPr>
        <w:footnoteReference w:id="73"/>
      </w:r>
      <w:r w:rsidR="0021399D" w:rsidRPr="00A3151B">
        <w:rPr>
          <w:bCs/>
        </w:rPr>
        <w:t xml:space="preserve"> </w:t>
      </w:r>
      <w:r w:rsidR="002504C8" w:rsidRPr="00A3151B">
        <w:rPr>
          <w:bCs/>
        </w:rPr>
        <w:t>or</w:t>
      </w:r>
      <w:r w:rsidR="0021399D" w:rsidRPr="00A3151B">
        <w:rPr>
          <w:bCs/>
        </w:rPr>
        <w:t xml:space="preserve"> (</w:t>
      </w:r>
      <w:r w:rsidR="000E42A6" w:rsidRPr="00A3151B">
        <w:rPr>
          <w:bCs/>
        </w:rPr>
        <w:t>2</w:t>
      </w:r>
      <w:r w:rsidR="0021399D" w:rsidRPr="00A3151B">
        <w:rPr>
          <w:bCs/>
        </w:rPr>
        <w:t>)</w:t>
      </w:r>
      <w:r w:rsidR="00D138A0" w:rsidRPr="00A3151B">
        <w:rPr>
          <w:bCs/>
        </w:rPr>
        <w:t xml:space="preserve"> </w:t>
      </w:r>
      <w:r w:rsidR="007A7001" w:rsidRPr="00A3151B">
        <w:rPr>
          <w:bCs/>
        </w:rPr>
        <w:t>where</w:t>
      </w:r>
      <w:r w:rsidR="005453BE" w:rsidRPr="00A3151B">
        <w:rPr>
          <w:bCs/>
        </w:rPr>
        <w:t xml:space="preserve"> proposals </w:t>
      </w:r>
      <w:r w:rsidR="007A7001" w:rsidRPr="00A3151B">
        <w:rPr>
          <w:bCs/>
        </w:rPr>
        <w:t>have the potential to impact upon</w:t>
      </w:r>
      <w:r w:rsidR="0051583D" w:rsidRPr="00A3151B">
        <w:rPr>
          <w:bCs/>
        </w:rPr>
        <w:t xml:space="preserve"> current legal responses to</w:t>
      </w:r>
      <w:r w:rsidR="007A7001" w:rsidRPr="00A3151B">
        <w:rPr>
          <w:bCs/>
        </w:rPr>
        <w:t xml:space="preserve"> </w:t>
      </w:r>
      <w:r w:rsidR="007A7001" w:rsidRPr="00A3151B">
        <w:rPr>
          <w:bCs/>
          <w:i/>
          <w:iCs/>
        </w:rPr>
        <w:t>capacitous</w:t>
      </w:r>
      <w:r w:rsidR="007A7001" w:rsidRPr="00A3151B">
        <w:rPr>
          <w:bCs/>
        </w:rPr>
        <w:t xml:space="preserve"> vulnerable adults</w:t>
      </w:r>
      <w:r w:rsidR="0051583D" w:rsidRPr="00A3151B">
        <w:rPr>
          <w:bCs/>
        </w:rPr>
        <w:t>,</w:t>
      </w:r>
      <w:r w:rsidR="007A7001" w:rsidRPr="00A3151B">
        <w:rPr>
          <w:bCs/>
        </w:rPr>
        <w:t xml:space="preserve"> </w:t>
      </w:r>
      <w:r w:rsidR="0051583D" w:rsidRPr="00A3151B">
        <w:rPr>
          <w:bCs/>
        </w:rPr>
        <w:t xml:space="preserve">they </w:t>
      </w:r>
      <w:r w:rsidR="000751F3" w:rsidRPr="00A3151B">
        <w:rPr>
          <w:bCs/>
        </w:rPr>
        <w:t xml:space="preserve">have </w:t>
      </w:r>
      <w:r w:rsidR="005453BE" w:rsidRPr="00A3151B">
        <w:rPr>
          <w:bCs/>
        </w:rPr>
        <w:t xml:space="preserve">not adequately </w:t>
      </w:r>
      <w:r w:rsidR="00087AA2" w:rsidRPr="00A3151B">
        <w:rPr>
          <w:bCs/>
        </w:rPr>
        <w:t>considered</w:t>
      </w:r>
      <w:r w:rsidR="005453BE" w:rsidRPr="00A3151B">
        <w:rPr>
          <w:bCs/>
        </w:rPr>
        <w:t xml:space="preserve"> the claim that the concepts of autonomy and </w:t>
      </w:r>
      <w:r w:rsidR="000E42A6" w:rsidRPr="00A3151B">
        <w:rPr>
          <w:bCs/>
        </w:rPr>
        <w:t xml:space="preserve">situational </w:t>
      </w:r>
      <w:r w:rsidR="005453BE" w:rsidRPr="00A3151B">
        <w:rPr>
          <w:bCs/>
        </w:rPr>
        <w:t xml:space="preserve">vulnerability are </w:t>
      </w:r>
      <w:r w:rsidR="005453BE" w:rsidRPr="00A3151B">
        <w:rPr>
          <w:bCs/>
          <w:i/>
        </w:rPr>
        <w:t>necessarily</w:t>
      </w:r>
      <w:r w:rsidR="005453BE" w:rsidRPr="00A3151B">
        <w:rPr>
          <w:bCs/>
        </w:rPr>
        <w:t xml:space="preserve"> entwined.</w:t>
      </w:r>
      <w:r w:rsidR="0051583D" w:rsidRPr="00A3151B">
        <w:rPr>
          <w:rStyle w:val="FootnoteReference"/>
          <w:bCs/>
        </w:rPr>
        <w:footnoteReference w:id="74"/>
      </w:r>
      <w:r w:rsidR="005453BE" w:rsidRPr="00A3151B">
        <w:rPr>
          <w:bCs/>
        </w:rPr>
        <w:t xml:space="preserve"> By not grounding proposals in this </w:t>
      </w:r>
      <w:r w:rsidR="00A04E96" w:rsidRPr="00A3151B">
        <w:rPr>
          <w:bCs/>
        </w:rPr>
        <w:t xml:space="preserve">conceptual </w:t>
      </w:r>
      <w:r w:rsidR="005453BE" w:rsidRPr="00A3151B">
        <w:rPr>
          <w:bCs/>
        </w:rPr>
        <w:t xml:space="preserve">relationship between autonomy and </w:t>
      </w:r>
      <w:r w:rsidR="000E42A6" w:rsidRPr="00A3151B">
        <w:rPr>
          <w:bCs/>
        </w:rPr>
        <w:t xml:space="preserve">situational </w:t>
      </w:r>
      <w:r w:rsidR="005453BE" w:rsidRPr="00A3151B">
        <w:rPr>
          <w:bCs/>
        </w:rPr>
        <w:t>vulnerability,</w:t>
      </w:r>
      <w:r w:rsidR="000751F3" w:rsidRPr="00A3151B">
        <w:rPr>
          <w:bCs/>
        </w:rPr>
        <w:t xml:space="preserve"> the ability of these legal accounts to successfully capture and promote the autonomy </w:t>
      </w:r>
      <w:r w:rsidR="00871693" w:rsidRPr="00A3151B">
        <w:rPr>
          <w:bCs/>
        </w:rPr>
        <w:t xml:space="preserve">and liberty </w:t>
      </w:r>
      <w:r w:rsidR="000751F3" w:rsidRPr="00A3151B">
        <w:rPr>
          <w:bCs/>
        </w:rPr>
        <w:t xml:space="preserve">of capacitous vulnerable adults </w:t>
      </w:r>
      <w:r w:rsidR="002A76F9" w:rsidRPr="00A3151B">
        <w:rPr>
          <w:bCs/>
        </w:rPr>
        <w:t>is</w:t>
      </w:r>
      <w:r w:rsidR="000751F3" w:rsidRPr="00A3151B">
        <w:rPr>
          <w:bCs/>
        </w:rPr>
        <w:t xml:space="preserve"> </w:t>
      </w:r>
      <w:r w:rsidR="00620EC8" w:rsidRPr="00A3151B">
        <w:rPr>
          <w:bCs/>
        </w:rPr>
        <w:t>significant</w:t>
      </w:r>
      <w:r w:rsidR="000751F3" w:rsidRPr="00A3151B">
        <w:rPr>
          <w:bCs/>
        </w:rPr>
        <w:t>ly</w:t>
      </w:r>
      <w:r w:rsidR="00620EC8" w:rsidRPr="00A3151B">
        <w:rPr>
          <w:bCs/>
        </w:rPr>
        <w:t xml:space="preserve"> </w:t>
      </w:r>
      <w:r w:rsidR="000751F3" w:rsidRPr="00A3151B">
        <w:rPr>
          <w:bCs/>
        </w:rPr>
        <w:t xml:space="preserve">limited. </w:t>
      </w:r>
      <w:r w:rsidR="00620EC8" w:rsidRPr="00A3151B">
        <w:rPr>
          <w:bCs/>
        </w:rPr>
        <w:t xml:space="preserve"> </w:t>
      </w:r>
      <w:r w:rsidR="005453BE" w:rsidRPr="00A3151B">
        <w:rPr>
          <w:bCs/>
        </w:rPr>
        <w:t xml:space="preserve">  </w:t>
      </w:r>
    </w:p>
    <w:p w14:paraId="3F6E9BBA" w14:textId="5EC5BEA9" w:rsidR="0035437A" w:rsidRPr="00A3151B" w:rsidRDefault="00CA67CB" w:rsidP="00F93CDE">
      <w:pPr>
        <w:tabs>
          <w:tab w:val="left" w:pos="720"/>
        </w:tabs>
        <w:spacing w:line="480" w:lineRule="auto"/>
        <w:jc w:val="both"/>
        <w:rPr>
          <w:bCs/>
        </w:rPr>
      </w:pPr>
      <w:r w:rsidRPr="00A3151B">
        <w:rPr>
          <w:bCs/>
        </w:rPr>
        <w:tab/>
      </w:r>
      <w:r w:rsidR="00E16D9D" w:rsidRPr="00A3151B">
        <w:rPr>
          <w:bCs/>
        </w:rPr>
        <w:t xml:space="preserve">By way of an example, </w:t>
      </w:r>
      <w:r w:rsidR="0035437A" w:rsidRPr="00A3151B">
        <w:rPr>
          <w:bCs/>
        </w:rPr>
        <w:t xml:space="preserve">Martha </w:t>
      </w:r>
      <w:r w:rsidRPr="00A3151B">
        <w:rPr>
          <w:bCs/>
        </w:rPr>
        <w:t xml:space="preserve">Fineman </w:t>
      </w:r>
      <w:r w:rsidR="0071360C" w:rsidRPr="00A3151B">
        <w:rPr>
          <w:bCs/>
        </w:rPr>
        <w:t xml:space="preserve">has focused on the concept of </w:t>
      </w:r>
      <w:r w:rsidR="0071360C" w:rsidRPr="00A3151B">
        <w:rPr>
          <w:bCs/>
          <w:i/>
        </w:rPr>
        <w:t>ontological</w:t>
      </w:r>
      <w:r w:rsidR="0035437A" w:rsidRPr="00A3151B">
        <w:rPr>
          <w:bCs/>
          <w:i/>
        </w:rPr>
        <w:t xml:space="preserve"> vulnerability</w:t>
      </w:r>
      <w:r w:rsidR="0071360C" w:rsidRPr="00A3151B">
        <w:rPr>
          <w:bCs/>
          <w:i/>
        </w:rPr>
        <w:t xml:space="preserve"> </w:t>
      </w:r>
      <w:r w:rsidR="0071360C" w:rsidRPr="00A3151B">
        <w:rPr>
          <w:bCs/>
        </w:rPr>
        <w:t>as</w:t>
      </w:r>
      <w:r w:rsidR="0035437A" w:rsidRPr="00A3151B">
        <w:rPr>
          <w:bCs/>
        </w:rPr>
        <w:t xml:space="preserve"> </w:t>
      </w:r>
      <w:r w:rsidR="0071360C" w:rsidRPr="00A3151B">
        <w:rPr>
          <w:bCs/>
        </w:rPr>
        <w:t xml:space="preserve">a ‘universal, inevitable, enduring aspect of the human condition’ in order to address </w:t>
      </w:r>
      <w:r w:rsidR="00323542" w:rsidRPr="00A3151B">
        <w:rPr>
          <w:bCs/>
        </w:rPr>
        <w:t xml:space="preserve">the </w:t>
      </w:r>
      <w:r w:rsidR="0071360C" w:rsidRPr="00A3151B">
        <w:rPr>
          <w:bCs/>
        </w:rPr>
        <w:t xml:space="preserve">limitations of accounts of inequality and </w:t>
      </w:r>
      <w:r w:rsidR="002E388E" w:rsidRPr="00A3151B">
        <w:rPr>
          <w:bCs/>
        </w:rPr>
        <w:t>injustice</w:t>
      </w:r>
      <w:r w:rsidR="0071360C" w:rsidRPr="00A3151B">
        <w:rPr>
          <w:bCs/>
        </w:rPr>
        <w:t xml:space="preserve"> in liberal legal theory.</w:t>
      </w:r>
      <w:r w:rsidR="0071360C" w:rsidRPr="00A3151B">
        <w:rPr>
          <w:rStyle w:val="FootnoteReference"/>
          <w:bCs/>
        </w:rPr>
        <w:footnoteReference w:id="75"/>
      </w:r>
      <w:r w:rsidR="00E86A78" w:rsidRPr="00A3151B">
        <w:rPr>
          <w:bCs/>
        </w:rPr>
        <w:t xml:space="preserve"> Like analytic feminists, Fineman </w:t>
      </w:r>
      <w:r w:rsidR="00323542" w:rsidRPr="00A3151B">
        <w:rPr>
          <w:bCs/>
        </w:rPr>
        <w:t>takes</w:t>
      </w:r>
      <w:r w:rsidR="00E86A78" w:rsidRPr="00A3151B">
        <w:rPr>
          <w:bCs/>
        </w:rPr>
        <w:t xml:space="preserve"> issue with the concept of the liberal ideal of a free, independent, autonomous</w:t>
      </w:r>
      <w:r w:rsidR="008B4965" w:rsidRPr="00A3151B">
        <w:rPr>
          <w:bCs/>
        </w:rPr>
        <w:t>, rational</w:t>
      </w:r>
      <w:r w:rsidR="00E86A78" w:rsidRPr="00A3151B">
        <w:rPr>
          <w:bCs/>
        </w:rPr>
        <w:t xml:space="preserve"> subject. </w:t>
      </w:r>
      <w:r w:rsidR="000E42A6" w:rsidRPr="00A3151B">
        <w:rPr>
          <w:bCs/>
        </w:rPr>
        <w:t>S</w:t>
      </w:r>
      <w:r w:rsidR="00E86A78" w:rsidRPr="00A3151B">
        <w:rPr>
          <w:bCs/>
        </w:rPr>
        <w:t xml:space="preserve">he argues for a reorientation of legal theory focused on the </w:t>
      </w:r>
      <w:r w:rsidR="00E86A78" w:rsidRPr="00A3151B">
        <w:rPr>
          <w:bCs/>
          <w:i/>
        </w:rPr>
        <w:t xml:space="preserve">vulnerable </w:t>
      </w:r>
      <w:r w:rsidR="00E86A78" w:rsidRPr="00A3151B">
        <w:rPr>
          <w:bCs/>
        </w:rPr>
        <w:t xml:space="preserve">subject, one </w:t>
      </w:r>
      <w:r w:rsidR="00221BAF" w:rsidRPr="00A3151B">
        <w:rPr>
          <w:bCs/>
        </w:rPr>
        <w:t>that</w:t>
      </w:r>
      <w:r w:rsidR="00E86A78" w:rsidRPr="00A3151B">
        <w:rPr>
          <w:bCs/>
        </w:rPr>
        <w:t xml:space="preserve"> ‘encompasses a wide range of differing and interdependent abilities over the span of a lifetime’.</w:t>
      </w:r>
      <w:r w:rsidR="00E86A78" w:rsidRPr="00A3151B">
        <w:rPr>
          <w:rStyle w:val="FootnoteReference"/>
          <w:bCs/>
        </w:rPr>
        <w:footnoteReference w:id="76"/>
      </w:r>
      <w:r w:rsidR="00E86A78" w:rsidRPr="00A3151B">
        <w:rPr>
          <w:bCs/>
        </w:rPr>
        <w:t xml:space="preserve"> Ultimately, as Mackenzie has demonstrated,</w:t>
      </w:r>
      <w:r w:rsidR="00E86A78" w:rsidRPr="00A3151B">
        <w:rPr>
          <w:rStyle w:val="FootnoteReference"/>
          <w:bCs/>
        </w:rPr>
        <w:footnoteReference w:id="77"/>
      </w:r>
      <w:r w:rsidR="00E86A78" w:rsidRPr="00A3151B">
        <w:rPr>
          <w:bCs/>
        </w:rPr>
        <w:t xml:space="preserve"> the problem</w:t>
      </w:r>
      <w:r w:rsidR="00221BAF" w:rsidRPr="00A3151B">
        <w:rPr>
          <w:bCs/>
        </w:rPr>
        <w:t>s</w:t>
      </w:r>
      <w:r w:rsidR="00E86A78" w:rsidRPr="00A3151B">
        <w:rPr>
          <w:bCs/>
        </w:rPr>
        <w:t xml:space="preserve"> with Fineman’s approach</w:t>
      </w:r>
      <w:r w:rsidR="00221BAF" w:rsidRPr="00A3151B">
        <w:rPr>
          <w:bCs/>
        </w:rPr>
        <w:t xml:space="preserve"> </w:t>
      </w:r>
      <w:r w:rsidR="007E3D67" w:rsidRPr="00A3151B">
        <w:rPr>
          <w:bCs/>
        </w:rPr>
        <w:t>are</w:t>
      </w:r>
      <w:r w:rsidR="00221BAF" w:rsidRPr="00A3151B">
        <w:rPr>
          <w:bCs/>
        </w:rPr>
        <w:t xml:space="preserve"> that it does not explicitly deal with other forms of vulnerability, including </w:t>
      </w:r>
      <w:r w:rsidR="007E3D67" w:rsidRPr="00A3151B">
        <w:rPr>
          <w:bCs/>
        </w:rPr>
        <w:t xml:space="preserve">the </w:t>
      </w:r>
      <w:r w:rsidR="00221BAF" w:rsidRPr="00A3151B">
        <w:rPr>
          <w:bCs/>
        </w:rPr>
        <w:t xml:space="preserve">situational </w:t>
      </w:r>
      <w:r w:rsidR="007E3D67" w:rsidRPr="00A3151B">
        <w:rPr>
          <w:bCs/>
        </w:rPr>
        <w:t xml:space="preserve">vulnerability that comes under the High </w:t>
      </w:r>
      <w:r w:rsidR="007E3D67" w:rsidRPr="00A3151B">
        <w:rPr>
          <w:bCs/>
        </w:rPr>
        <w:lastRenderedPageBreak/>
        <w:t>Court’s inherent jurisdiction,</w:t>
      </w:r>
      <w:r w:rsidR="00221BAF" w:rsidRPr="00A3151B">
        <w:rPr>
          <w:bCs/>
        </w:rPr>
        <w:t xml:space="preserve"> </w:t>
      </w:r>
      <w:r w:rsidR="007E3D67" w:rsidRPr="00A3151B">
        <w:rPr>
          <w:bCs/>
        </w:rPr>
        <w:t xml:space="preserve">and, more importantly, </w:t>
      </w:r>
      <w:r w:rsidR="003649BC" w:rsidRPr="00A3151B">
        <w:rPr>
          <w:bCs/>
        </w:rPr>
        <w:t>it sets up the vulnerable subject and the autonomous subject as oppositional concepts</w:t>
      </w:r>
      <w:r w:rsidR="00B84E82" w:rsidRPr="00A3151B">
        <w:rPr>
          <w:bCs/>
        </w:rPr>
        <w:t xml:space="preserve"> in much the same way as </w:t>
      </w:r>
      <w:r w:rsidR="000E42A6" w:rsidRPr="00A3151B">
        <w:rPr>
          <w:bCs/>
        </w:rPr>
        <w:t>we find in common law responses</w:t>
      </w:r>
      <w:r w:rsidR="00B84E82" w:rsidRPr="00A3151B">
        <w:rPr>
          <w:bCs/>
        </w:rPr>
        <w:t xml:space="preserve"> to situationally vulnerable adults. </w:t>
      </w:r>
      <w:r w:rsidR="008B4965" w:rsidRPr="00A3151B">
        <w:rPr>
          <w:bCs/>
        </w:rPr>
        <w:t xml:space="preserve">As we have seen, when </w:t>
      </w:r>
      <w:r w:rsidR="000E42A6" w:rsidRPr="00A3151B">
        <w:rPr>
          <w:bCs/>
        </w:rPr>
        <w:t xml:space="preserve">situational </w:t>
      </w:r>
      <w:r w:rsidR="008B4965" w:rsidRPr="00A3151B">
        <w:rPr>
          <w:bCs/>
        </w:rPr>
        <w:t xml:space="preserve">vulnerability and autonomy are conceived as fundamentally opposed, </w:t>
      </w:r>
      <w:r w:rsidR="00821960" w:rsidRPr="00A3151B">
        <w:rPr>
          <w:bCs/>
        </w:rPr>
        <w:t xml:space="preserve">duties of protection can be invoked to justify overly paternalistic forms of intervention that violate autonomy </w:t>
      </w:r>
      <w:r w:rsidR="00434C28" w:rsidRPr="00A3151B">
        <w:rPr>
          <w:bCs/>
        </w:rPr>
        <w:t xml:space="preserve">and generate forms of </w:t>
      </w:r>
      <w:r w:rsidR="00434C28" w:rsidRPr="00A3151B">
        <w:rPr>
          <w:bCs/>
          <w:i/>
        </w:rPr>
        <w:t>pathogenic vulnerability</w:t>
      </w:r>
      <w:r w:rsidR="00821960" w:rsidRPr="00A3151B">
        <w:rPr>
          <w:bCs/>
        </w:rPr>
        <w:t xml:space="preserve">. </w:t>
      </w:r>
      <w:r w:rsidR="00C12820" w:rsidRPr="00A3151B">
        <w:rPr>
          <w:bCs/>
        </w:rPr>
        <w:t xml:space="preserve">By contrast, as shall be demonstrated in the following sections, if </w:t>
      </w:r>
      <w:r w:rsidR="000E42A6" w:rsidRPr="00A3151B">
        <w:rPr>
          <w:bCs/>
        </w:rPr>
        <w:t xml:space="preserve">situational </w:t>
      </w:r>
      <w:r w:rsidR="00C12820" w:rsidRPr="00A3151B">
        <w:rPr>
          <w:bCs/>
        </w:rPr>
        <w:t xml:space="preserve">vulnerability and autonomy are conceived as necessarily entwined, then we can argue for the promotion of </w:t>
      </w:r>
      <w:r w:rsidR="002B0183" w:rsidRPr="00A3151B">
        <w:rPr>
          <w:bCs/>
        </w:rPr>
        <w:t>a capacitous vulnerable adult’</w:t>
      </w:r>
      <w:r w:rsidR="00FC0801" w:rsidRPr="00A3151B">
        <w:rPr>
          <w:bCs/>
        </w:rPr>
        <w:t>s autonomy</w:t>
      </w:r>
      <w:r w:rsidR="002B0183" w:rsidRPr="00A3151B">
        <w:rPr>
          <w:bCs/>
        </w:rPr>
        <w:t xml:space="preserve"> </w:t>
      </w:r>
      <w:r w:rsidR="002B0183" w:rsidRPr="00A3151B">
        <w:rPr>
          <w:bCs/>
          <w:i/>
        </w:rPr>
        <w:t>where possible</w:t>
      </w:r>
      <w:r w:rsidR="002B0183" w:rsidRPr="00A3151B">
        <w:rPr>
          <w:bCs/>
        </w:rPr>
        <w:t xml:space="preserve">, </w:t>
      </w:r>
      <w:r w:rsidR="00FC0801" w:rsidRPr="00A3151B">
        <w:rPr>
          <w:bCs/>
        </w:rPr>
        <w:t>thereby fulfilling the primary purpose of the inherent jurisdiction as it relates to vulnerable adults with mental capacity, that is, to facilitate ‘autonomy of decision making’.</w:t>
      </w:r>
      <w:r w:rsidR="00C53385" w:rsidRPr="00A3151B">
        <w:rPr>
          <w:bCs/>
        </w:rPr>
        <w:t xml:space="preserve"> However, in arguing for this response to </w:t>
      </w:r>
      <w:r w:rsidR="00A04E96" w:rsidRPr="00A3151B">
        <w:rPr>
          <w:bCs/>
        </w:rPr>
        <w:t xml:space="preserve">situational </w:t>
      </w:r>
      <w:r w:rsidR="00C53385" w:rsidRPr="00A3151B">
        <w:rPr>
          <w:bCs/>
        </w:rPr>
        <w:t>vulnerability, autonomy will not be conflated with an individualised, abstract, liberal conception of autonomy</w:t>
      </w:r>
      <w:r w:rsidR="000E42A6" w:rsidRPr="00A3151B">
        <w:rPr>
          <w:bCs/>
        </w:rPr>
        <w:t xml:space="preserve"> </w:t>
      </w:r>
      <w:r w:rsidR="002913B8" w:rsidRPr="00A3151B">
        <w:rPr>
          <w:bCs/>
        </w:rPr>
        <w:t xml:space="preserve">nor will it be conflated with </w:t>
      </w:r>
      <w:r w:rsidR="00FF499A" w:rsidRPr="00A3151B">
        <w:rPr>
          <w:bCs/>
        </w:rPr>
        <w:t>the fulfilment of the typical conditions required for informed consent</w:t>
      </w:r>
      <w:r w:rsidR="00523E3D" w:rsidRPr="00A3151B">
        <w:rPr>
          <w:bCs/>
        </w:rPr>
        <w:t xml:space="preserve">, which, as we have seen, is the stated aim of the High Court’s first standard response </w:t>
      </w:r>
      <w:r w:rsidR="006935AE" w:rsidRPr="00A3151B">
        <w:rPr>
          <w:bCs/>
        </w:rPr>
        <w:t xml:space="preserve">to </w:t>
      </w:r>
      <w:r w:rsidR="00A04E96" w:rsidRPr="00A3151B">
        <w:rPr>
          <w:bCs/>
        </w:rPr>
        <w:t xml:space="preserve">situational </w:t>
      </w:r>
      <w:r w:rsidR="006935AE" w:rsidRPr="00A3151B">
        <w:rPr>
          <w:bCs/>
        </w:rPr>
        <w:t>vulnerability</w:t>
      </w:r>
      <w:r w:rsidR="00C53385" w:rsidRPr="00A3151B">
        <w:rPr>
          <w:bCs/>
        </w:rPr>
        <w:t>. In order to capture the autonomy of capacitous vulnerable adults, a specific conception of autonomy in analytic feminism will be developed, one that is relational and necessarily dependent on concrete</w:t>
      </w:r>
      <w:r w:rsidR="002A76F9" w:rsidRPr="00A3151B">
        <w:rPr>
          <w:bCs/>
        </w:rPr>
        <w:t>,</w:t>
      </w:r>
      <w:r w:rsidR="00C53385" w:rsidRPr="00A3151B">
        <w:rPr>
          <w:bCs/>
        </w:rPr>
        <w:t xml:space="preserve"> intersubjective practices of recognition. </w:t>
      </w:r>
    </w:p>
    <w:p w14:paraId="34D5BB65" w14:textId="3B330A79" w:rsidR="00323542" w:rsidRPr="00A3151B" w:rsidRDefault="002A76F9" w:rsidP="00314F3D">
      <w:pPr>
        <w:tabs>
          <w:tab w:val="left" w:pos="720"/>
        </w:tabs>
        <w:spacing w:line="480" w:lineRule="auto"/>
        <w:jc w:val="both"/>
        <w:rPr>
          <w:bCs/>
        </w:rPr>
      </w:pPr>
      <w:r w:rsidRPr="00A3151B">
        <w:rPr>
          <w:bCs/>
        </w:rPr>
        <w:tab/>
        <w:t xml:space="preserve">Like Fineman, Kay E. Wilson has also </w:t>
      </w:r>
      <w:r w:rsidR="005E6E2D" w:rsidRPr="00A3151B">
        <w:rPr>
          <w:bCs/>
        </w:rPr>
        <w:t>considered the deficiencies in the concept of the liberal, autonomous subject.</w:t>
      </w:r>
      <w:r w:rsidR="005E6E2D" w:rsidRPr="00A3151B">
        <w:rPr>
          <w:rStyle w:val="FootnoteReference"/>
          <w:bCs/>
        </w:rPr>
        <w:footnoteReference w:id="78"/>
      </w:r>
      <w:r w:rsidR="005E6E2D" w:rsidRPr="00A3151B">
        <w:rPr>
          <w:bCs/>
        </w:rPr>
        <w:t xml:space="preserve"> </w:t>
      </w:r>
      <w:r w:rsidR="00833BEF" w:rsidRPr="00A3151B">
        <w:rPr>
          <w:bCs/>
        </w:rPr>
        <w:t xml:space="preserve">However, she also acknowledges the problems that can arise when approaches that focus solely on </w:t>
      </w:r>
      <w:r w:rsidR="00833BEF" w:rsidRPr="00A3151B">
        <w:rPr>
          <w:bCs/>
          <w:i/>
        </w:rPr>
        <w:t>ontological vulnerability</w:t>
      </w:r>
      <w:r w:rsidR="00833BEF" w:rsidRPr="00A3151B">
        <w:rPr>
          <w:bCs/>
        </w:rPr>
        <w:t xml:space="preserve"> fail to address the situational vulnerability that leads to</w:t>
      </w:r>
      <w:r w:rsidR="006F6241" w:rsidRPr="00A3151B">
        <w:rPr>
          <w:bCs/>
        </w:rPr>
        <w:t xml:space="preserve"> the</w:t>
      </w:r>
      <w:r w:rsidR="00833BEF" w:rsidRPr="00A3151B">
        <w:rPr>
          <w:bCs/>
        </w:rPr>
        <w:t xml:space="preserve"> characterisation of certain adults as ‘vulnerable’ at law. </w:t>
      </w:r>
      <w:r w:rsidR="00E26496" w:rsidRPr="00A3151B">
        <w:rPr>
          <w:bCs/>
        </w:rPr>
        <w:t xml:space="preserve">Responding to the </w:t>
      </w:r>
      <w:r w:rsidR="00323542" w:rsidRPr="00A3151B">
        <w:rPr>
          <w:bCs/>
        </w:rPr>
        <w:t>feminist scholarship</w:t>
      </w:r>
      <w:r w:rsidR="00E26496" w:rsidRPr="00A3151B">
        <w:rPr>
          <w:bCs/>
        </w:rPr>
        <w:t xml:space="preserve"> of Mackenzie, Rogers and </w:t>
      </w:r>
      <w:proofErr w:type="spellStart"/>
      <w:r w:rsidR="00E26496" w:rsidRPr="00A3151B">
        <w:rPr>
          <w:bCs/>
        </w:rPr>
        <w:t>Dodds</w:t>
      </w:r>
      <w:proofErr w:type="spellEnd"/>
      <w:r w:rsidR="00E26496" w:rsidRPr="00A3151B">
        <w:rPr>
          <w:bCs/>
        </w:rPr>
        <w:t xml:space="preserve">, Wilson </w:t>
      </w:r>
      <w:r w:rsidR="00E45021" w:rsidRPr="00A3151B">
        <w:rPr>
          <w:bCs/>
        </w:rPr>
        <w:t xml:space="preserve">explores the ways in which </w:t>
      </w:r>
      <w:r w:rsidR="00CF745F" w:rsidRPr="00A3151B">
        <w:rPr>
          <w:bCs/>
        </w:rPr>
        <w:t xml:space="preserve">three different types of vulnerability – inherent, situational and pathogenic – can and cannot account for the vulnerability of persons with mental impairments in the light of </w:t>
      </w:r>
      <w:r w:rsidR="00CF745F" w:rsidRPr="00A3151B">
        <w:rPr>
          <w:bCs/>
        </w:rPr>
        <w:lastRenderedPageBreak/>
        <w:t>current mental health law.</w:t>
      </w:r>
      <w:r w:rsidR="00581E72" w:rsidRPr="00A3151B">
        <w:rPr>
          <w:rStyle w:val="FootnoteReference"/>
          <w:bCs/>
        </w:rPr>
        <w:footnoteReference w:id="79"/>
      </w:r>
      <w:r w:rsidR="00CF745F" w:rsidRPr="00A3151B">
        <w:rPr>
          <w:bCs/>
        </w:rPr>
        <w:t xml:space="preserve"> </w:t>
      </w:r>
      <w:r w:rsidR="00C54E03" w:rsidRPr="00A3151B">
        <w:rPr>
          <w:bCs/>
        </w:rPr>
        <w:t xml:space="preserve">In much the same way </w:t>
      </w:r>
      <w:r w:rsidR="003B0E45" w:rsidRPr="00A3151B">
        <w:rPr>
          <w:bCs/>
        </w:rPr>
        <w:t xml:space="preserve">as this paper has </w:t>
      </w:r>
      <w:r w:rsidR="0011629D" w:rsidRPr="00A3151B">
        <w:rPr>
          <w:bCs/>
        </w:rPr>
        <w:t xml:space="preserve">diagnosed the problems with responses to </w:t>
      </w:r>
      <w:r w:rsidR="00A04E96" w:rsidRPr="00A3151B">
        <w:rPr>
          <w:bCs/>
        </w:rPr>
        <w:t xml:space="preserve">situationally </w:t>
      </w:r>
      <w:r w:rsidR="0011629D" w:rsidRPr="00A3151B">
        <w:rPr>
          <w:bCs/>
        </w:rPr>
        <w:t>vulnerable capacitous adults at common law, Wilson identifies ‘mental health law as a cause of, rather than the solution to, vulnerability’</w:t>
      </w:r>
      <w:r w:rsidR="008E063D" w:rsidRPr="00A3151B">
        <w:rPr>
          <w:bCs/>
        </w:rPr>
        <w:t xml:space="preserve"> in the sense that it is both discriminatory and ‘unnecessarily restrictive of the legal capacity, liberty, and bodily integrity of persons with mental impairments’</w:t>
      </w:r>
      <w:r w:rsidR="0011629D" w:rsidRPr="00A3151B">
        <w:rPr>
          <w:bCs/>
        </w:rPr>
        <w:t>.</w:t>
      </w:r>
      <w:r w:rsidR="0011629D" w:rsidRPr="00A3151B">
        <w:rPr>
          <w:rStyle w:val="FootnoteReference"/>
          <w:bCs/>
        </w:rPr>
        <w:footnoteReference w:id="80"/>
      </w:r>
      <w:r w:rsidR="0011629D" w:rsidRPr="00A3151B">
        <w:rPr>
          <w:bCs/>
        </w:rPr>
        <w:t xml:space="preserve"> </w:t>
      </w:r>
      <w:r w:rsidR="000E42A6" w:rsidRPr="00A3151B">
        <w:rPr>
          <w:bCs/>
        </w:rPr>
        <w:t>She also</w:t>
      </w:r>
      <w:r w:rsidR="008E063D" w:rsidRPr="00A3151B">
        <w:rPr>
          <w:bCs/>
        </w:rPr>
        <w:t xml:space="preserve"> </w:t>
      </w:r>
      <w:r w:rsidR="000E42A6" w:rsidRPr="00A3151B">
        <w:rPr>
          <w:bCs/>
        </w:rPr>
        <w:t>identifies</w:t>
      </w:r>
      <w:r w:rsidR="008E063D" w:rsidRPr="00A3151B">
        <w:rPr>
          <w:bCs/>
        </w:rPr>
        <w:t xml:space="preserve"> three main approaches to legal reform or abolition: 1) the Abolition with Support; 2) Mental Capacity with Support; and 3) Support Except Where There is Harm Models. As she acknowledges, ‘all three approaches to the abolition or reform of mental health law and some recent case law developments expanding the meaning of “best interests” </w:t>
      </w:r>
      <w:r w:rsidR="007057B2" w:rsidRPr="00A3151B">
        <w:rPr>
          <w:bCs/>
        </w:rPr>
        <w:t xml:space="preserve">[i.e., in light of s.4(4) and s.4(6) of the MCA 2005] </w:t>
      </w:r>
      <w:r w:rsidR="008E063D" w:rsidRPr="00A3151B">
        <w:rPr>
          <w:bCs/>
        </w:rPr>
        <w:t>are directed towards giving more empowerment and new legal recognition to the subjective wishes of persons with mental impairments and disabilities’.</w:t>
      </w:r>
      <w:r w:rsidR="008E063D" w:rsidRPr="00A3151B">
        <w:rPr>
          <w:rStyle w:val="FootnoteReference"/>
          <w:bCs/>
        </w:rPr>
        <w:footnoteReference w:id="81"/>
      </w:r>
      <w:r w:rsidR="00881679" w:rsidRPr="00A3151B">
        <w:rPr>
          <w:bCs/>
        </w:rPr>
        <w:t xml:space="preserve"> Of the three approaches, Wilson </w:t>
      </w:r>
      <w:r w:rsidR="0035791C" w:rsidRPr="00A3151B">
        <w:rPr>
          <w:bCs/>
        </w:rPr>
        <w:t>argues for the Mental Capacity with Support Model</w:t>
      </w:r>
      <w:r w:rsidR="007463A3" w:rsidRPr="00A3151B">
        <w:rPr>
          <w:bCs/>
        </w:rPr>
        <w:t xml:space="preserve">, which </w:t>
      </w:r>
      <w:r w:rsidR="0035791C" w:rsidRPr="00A3151B">
        <w:rPr>
          <w:bCs/>
        </w:rPr>
        <w:t xml:space="preserve">involves the employment of a protective framework if, after receiving support that allows her to consider her options, a person </w:t>
      </w:r>
      <w:r w:rsidR="00CF3A00" w:rsidRPr="00A3151B">
        <w:rPr>
          <w:bCs/>
        </w:rPr>
        <w:t xml:space="preserve">with mental impairment </w:t>
      </w:r>
      <w:r w:rsidR="007463A3" w:rsidRPr="00A3151B">
        <w:rPr>
          <w:bCs/>
        </w:rPr>
        <w:t xml:space="preserve">is deemed </w:t>
      </w:r>
      <w:r w:rsidR="0035791C" w:rsidRPr="00A3151B">
        <w:rPr>
          <w:bCs/>
        </w:rPr>
        <w:t>to lack mental capacity.</w:t>
      </w:r>
      <w:r w:rsidR="0035791C" w:rsidRPr="00A3151B">
        <w:rPr>
          <w:rStyle w:val="FootnoteReference"/>
          <w:bCs/>
        </w:rPr>
        <w:footnoteReference w:id="82"/>
      </w:r>
      <w:r w:rsidR="0035791C" w:rsidRPr="00A3151B">
        <w:rPr>
          <w:bCs/>
        </w:rPr>
        <w:t xml:space="preserve"> Otherwise, persons with mental impairments should be accorded legal recognition with regards to their care and treatment decisions. </w:t>
      </w:r>
    </w:p>
    <w:p w14:paraId="152BADC6" w14:textId="3D35653F" w:rsidR="00443EB3" w:rsidRPr="00A3151B" w:rsidRDefault="00323542" w:rsidP="00314F3D">
      <w:pPr>
        <w:tabs>
          <w:tab w:val="left" w:pos="720"/>
        </w:tabs>
        <w:spacing w:line="480" w:lineRule="auto"/>
        <w:jc w:val="both"/>
        <w:rPr>
          <w:bCs/>
        </w:rPr>
      </w:pPr>
      <w:r w:rsidRPr="00A3151B">
        <w:rPr>
          <w:bCs/>
        </w:rPr>
        <w:tab/>
      </w:r>
      <w:r w:rsidR="006C0B9A" w:rsidRPr="00A3151B">
        <w:rPr>
          <w:bCs/>
        </w:rPr>
        <w:t xml:space="preserve">Although Wilson appropriates the work of analytic feminists to diagnose the </w:t>
      </w:r>
      <w:r w:rsidRPr="00A3151B">
        <w:rPr>
          <w:bCs/>
        </w:rPr>
        <w:t>issues</w:t>
      </w:r>
      <w:r w:rsidR="006C0B9A" w:rsidRPr="00A3151B">
        <w:rPr>
          <w:bCs/>
        </w:rPr>
        <w:t xml:space="preserve"> </w:t>
      </w:r>
      <w:r w:rsidRPr="00A3151B">
        <w:rPr>
          <w:bCs/>
        </w:rPr>
        <w:t>surrounding</w:t>
      </w:r>
      <w:r w:rsidR="006C0B9A" w:rsidRPr="00A3151B">
        <w:rPr>
          <w:bCs/>
        </w:rPr>
        <w:t xml:space="preserve"> typical responses to vulnerability in mental health law, the problem with her proposal for a Mental Capacity with Support Model is that it does not </w:t>
      </w:r>
      <w:r w:rsidR="002F5038" w:rsidRPr="00A3151B">
        <w:rPr>
          <w:bCs/>
        </w:rPr>
        <w:t>follow on from the argument made by those same analytic feminist</w:t>
      </w:r>
      <w:r w:rsidR="00FF58E0" w:rsidRPr="00A3151B">
        <w:rPr>
          <w:bCs/>
        </w:rPr>
        <w:t>s</w:t>
      </w:r>
      <w:r w:rsidR="002F5038" w:rsidRPr="00A3151B">
        <w:rPr>
          <w:bCs/>
        </w:rPr>
        <w:t xml:space="preserve"> that</w:t>
      </w:r>
      <w:r w:rsidR="00A04E96" w:rsidRPr="00A3151B">
        <w:rPr>
          <w:bCs/>
        </w:rPr>
        <w:t xml:space="preserve"> the concepts of</w:t>
      </w:r>
      <w:r w:rsidR="002F5038" w:rsidRPr="00A3151B">
        <w:rPr>
          <w:bCs/>
        </w:rPr>
        <w:t xml:space="preserve"> autonomy and </w:t>
      </w:r>
      <w:r w:rsidR="000E42A6" w:rsidRPr="00A3151B">
        <w:rPr>
          <w:bCs/>
        </w:rPr>
        <w:t xml:space="preserve">situational </w:t>
      </w:r>
      <w:r w:rsidR="002F5038" w:rsidRPr="00A3151B">
        <w:rPr>
          <w:bCs/>
        </w:rPr>
        <w:t xml:space="preserve">vulnerability are </w:t>
      </w:r>
      <w:r w:rsidR="00A04E96" w:rsidRPr="00A3151B">
        <w:rPr>
          <w:bCs/>
        </w:rPr>
        <w:t xml:space="preserve">conceptually </w:t>
      </w:r>
      <w:r w:rsidR="002F5038" w:rsidRPr="00A3151B">
        <w:rPr>
          <w:bCs/>
        </w:rPr>
        <w:t xml:space="preserve">entwined. </w:t>
      </w:r>
      <w:r w:rsidR="00BE55E2" w:rsidRPr="00A3151B">
        <w:rPr>
          <w:bCs/>
        </w:rPr>
        <w:t xml:space="preserve">Although Wilson argues that persons with mental impairments should be accorded the same legal recognition as </w:t>
      </w:r>
      <w:r w:rsidR="000E42A6" w:rsidRPr="00A3151B">
        <w:rPr>
          <w:bCs/>
        </w:rPr>
        <w:t xml:space="preserve">legally </w:t>
      </w:r>
      <w:r w:rsidR="00BE55E2" w:rsidRPr="00A3151B">
        <w:rPr>
          <w:bCs/>
        </w:rPr>
        <w:t xml:space="preserve">non-vulnerable individuals with capacity if they are judged to have mental capacity, the problem, as we have </w:t>
      </w:r>
      <w:r w:rsidR="00BE55E2" w:rsidRPr="00A3151B">
        <w:rPr>
          <w:bCs/>
        </w:rPr>
        <w:lastRenderedPageBreak/>
        <w:t xml:space="preserve">already observed, is that even though </w:t>
      </w:r>
      <w:r w:rsidR="00A04E96" w:rsidRPr="00A3151B">
        <w:rPr>
          <w:bCs/>
        </w:rPr>
        <w:t xml:space="preserve">situationally </w:t>
      </w:r>
      <w:r w:rsidR="00BE55E2" w:rsidRPr="00A3151B">
        <w:rPr>
          <w:bCs/>
        </w:rPr>
        <w:t xml:space="preserve">vulnerable adults are judged to have capacity, </w:t>
      </w:r>
      <w:r w:rsidR="001B49C6" w:rsidRPr="00A3151B">
        <w:rPr>
          <w:bCs/>
        </w:rPr>
        <w:t>one of the</w:t>
      </w:r>
      <w:r w:rsidR="00BE55E2" w:rsidRPr="00A3151B">
        <w:rPr>
          <w:bCs/>
        </w:rPr>
        <w:t xml:space="preserve"> standard response</w:t>
      </w:r>
      <w:r w:rsidR="001B49C6" w:rsidRPr="00A3151B">
        <w:rPr>
          <w:bCs/>
        </w:rPr>
        <w:t>s</w:t>
      </w:r>
      <w:r w:rsidR="00BE55E2" w:rsidRPr="00A3151B">
        <w:rPr>
          <w:bCs/>
        </w:rPr>
        <w:t xml:space="preserve"> at common law </w:t>
      </w:r>
      <w:r w:rsidR="006B61E6" w:rsidRPr="00A3151B">
        <w:rPr>
          <w:bCs/>
        </w:rPr>
        <w:t>involves</w:t>
      </w:r>
      <w:r w:rsidR="00BE55E2" w:rsidRPr="00A3151B">
        <w:rPr>
          <w:bCs/>
        </w:rPr>
        <w:t xml:space="preserve"> deny</w:t>
      </w:r>
      <w:r w:rsidR="006B61E6" w:rsidRPr="00A3151B">
        <w:rPr>
          <w:bCs/>
        </w:rPr>
        <w:t>ing</w:t>
      </w:r>
      <w:r w:rsidR="00BE55E2" w:rsidRPr="00A3151B">
        <w:rPr>
          <w:bCs/>
        </w:rPr>
        <w:t xml:space="preserve"> </w:t>
      </w:r>
      <w:r w:rsidRPr="00A3151B">
        <w:rPr>
          <w:bCs/>
        </w:rPr>
        <w:t>them</w:t>
      </w:r>
      <w:r w:rsidR="00BE55E2" w:rsidRPr="00A3151B">
        <w:rPr>
          <w:bCs/>
        </w:rPr>
        <w:t xml:space="preserve"> their decision-making authority on the basis that they are deemed unable to give </w:t>
      </w:r>
      <w:r w:rsidR="00BE55E2" w:rsidRPr="00A3151B">
        <w:rPr>
          <w:bCs/>
          <w:i/>
        </w:rPr>
        <w:t>genuine</w:t>
      </w:r>
      <w:r w:rsidR="00BE55E2" w:rsidRPr="00A3151B">
        <w:rPr>
          <w:bCs/>
        </w:rPr>
        <w:t xml:space="preserve"> consent</w:t>
      </w:r>
      <w:r w:rsidR="00C21116" w:rsidRPr="00A3151B">
        <w:rPr>
          <w:bCs/>
        </w:rPr>
        <w:t>. In other words, the success of Wilson’s proposal is, ultimately, dependent on common law response</w:t>
      </w:r>
      <w:r w:rsidR="00D55920" w:rsidRPr="00A3151B">
        <w:rPr>
          <w:bCs/>
        </w:rPr>
        <w:t>s</w:t>
      </w:r>
      <w:r w:rsidR="00C21116" w:rsidRPr="00A3151B">
        <w:rPr>
          <w:bCs/>
        </w:rPr>
        <w:t xml:space="preserve"> that </w:t>
      </w:r>
      <w:r w:rsidR="00270880" w:rsidRPr="00A3151B">
        <w:rPr>
          <w:bCs/>
        </w:rPr>
        <w:t>either</w:t>
      </w:r>
      <w:r w:rsidR="00C21116" w:rsidRPr="00A3151B">
        <w:rPr>
          <w:bCs/>
        </w:rPr>
        <w:t xml:space="preserve"> consider </w:t>
      </w:r>
      <w:r w:rsidR="000E42A6" w:rsidRPr="00A3151B">
        <w:rPr>
          <w:bCs/>
        </w:rPr>
        <w:t xml:space="preserve">situational </w:t>
      </w:r>
      <w:r w:rsidR="00C21116" w:rsidRPr="00A3151B">
        <w:rPr>
          <w:bCs/>
        </w:rPr>
        <w:t>vulnerability and autonomy to be incompatible concepts</w:t>
      </w:r>
      <w:r w:rsidR="00270880" w:rsidRPr="00A3151B">
        <w:rPr>
          <w:bCs/>
        </w:rPr>
        <w:t xml:space="preserve"> or fail to adequately acknowledge </w:t>
      </w:r>
      <w:r w:rsidR="00817E41" w:rsidRPr="00A3151B">
        <w:rPr>
          <w:bCs/>
        </w:rPr>
        <w:t xml:space="preserve">the </w:t>
      </w:r>
      <w:r w:rsidR="00A04E96" w:rsidRPr="00A3151B">
        <w:rPr>
          <w:bCs/>
        </w:rPr>
        <w:t xml:space="preserve">conceptual </w:t>
      </w:r>
      <w:r w:rsidR="00AD0147" w:rsidRPr="00A3151B">
        <w:rPr>
          <w:bCs/>
        </w:rPr>
        <w:t>relationship</w:t>
      </w:r>
      <w:r w:rsidR="00817E41" w:rsidRPr="00A3151B">
        <w:rPr>
          <w:bCs/>
        </w:rPr>
        <w:t xml:space="preserve"> between them</w:t>
      </w:r>
      <w:r w:rsidR="00C21116" w:rsidRPr="00A3151B">
        <w:rPr>
          <w:bCs/>
        </w:rPr>
        <w:t>.</w:t>
      </w:r>
      <w:r w:rsidR="002A1737" w:rsidRPr="00A3151B">
        <w:rPr>
          <w:rStyle w:val="FootnoteReference"/>
          <w:bCs/>
        </w:rPr>
        <w:footnoteReference w:id="83"/>
      </w:r>
      <w:r w:rsidR="00C21116" w:rsidRPr="00A3151B">
        <w:rPr>
          <w:bCs/>
        </w:rPr>
        <w:t xml:space="preserve"> Thus, as shall be explained further in the following section, by basing her approach solely on mental capacity, Wilson’s proposal is unable to capture the autonomy and liberty of capacitous vulnerable persons, let alone guarantee legitimate legal recognition for </w:t>
      </w:r>
      <w:r w:rsidR="00A04E96" w:rsidRPr="00A3151B">
        <w:rPr>
          <w:bCs/>
        </w:rPr>
        <w:t xml:space="preserve">situationally </w:t>
      </w:r>
      <w:r w:rsidR="00C21116" w:rsidRPr="00A3151B">
        <w:rPr>
          <w:bCs/>
        </w:rPr>
        <w:t xml:space="preserve">vulnerable individuals in concrete decision-making contexts.   </w:t>
      </w:r>
    </w:p>
    <w:p w14:paraId="1F71E79D" w14:textId="77777777" w:rsidR="00D20623" w:rsidRPr="00A3151B" w:rsidRDefault="00D20623" w:rsidP="00314F3D">
      <w:pPr>
        <w:tabs>
          <w:tab w:val="left" w:pos="720"/>
        </w:tabs>
        <w:spacing w:line="480" w:lineRule="auto"/>
        <w:jc w:val="both"/>
      </w:pPr>
    </w:p>
    <w:p w14:paraId="6FCF3817" w14:textId="49B81BC2" w:rsidR="00D20623" w:rsidRPr="00A3151B" w:rsidRDefault="007E4EE1" w:rsidP="00D51361">
      <w:pPr>
        <w:pStyle w:val="ListParagraph"/>
        <w:numPr>
          <w:ilvl w:val="0"/>
          <w:numId w:val="18"/>
        </w:numPr>
        <w:spacing w:line="480" w:lineRule="auto"/>
        <w:ind w:left="360" w:hanging="360"/>
        <w:jc w:val="center"/>
        <w:rPr>
          <w:rFonts w:ascii="Times New Roman" w:hAnsi="Times New Roman" w:cs="Times New Roman"/>
          <w:b/>
          <w:lang w:val="en-GB"/>
        </w:rPr>
      </w:pPr>
      <w:r w:rsidRPr="00A3151B">
        <w:rPr>
          <w:rFonts w:ascii="Times New Roman" w:hAnsi="Times New Roman" w:cs="Times New Roman"/>
          <w:b/>
          <w:lang w:val="en-GB"/>
        </w:rPr>
        <w:t xml:space="preserve"> </w:t>
      </w:r>
      <w:r w:rsidR="00E06740" w:rsidRPr="00A3151B">
        <w:rPr>
          <w:rFonts w:ascii="Times New Roman" w:hAnsi="Times New Roman" w:cs="Times New Roman"/>
          <w:b/>
          <w:lang w:val="en-GB"/>
        </w:rPr>
        <w:t>ACCOUNTING FOR THE ENTWINEMENT OF</w:t>
      </w:r>
      <w:r w:rsidR="00D51361" w:rsidRPr="00A3151B">
        <w:rPr>
          <w:rFonts w:ascii="Times New Roman" w:hAnsi="Times New Roman" w:cs="Times New Roman"/>
          <w:b/>
          <w:lang w:val="en-GB"/>
        </w:rPr>
        <w:t xml:space="preserve"> AUTONOMY AND VULNERABILITY</w:t>
      </w:r>
    </w:p>
    <w:p w14:paraId="7BA7C430" w14:textId="77777777" w:rsidR="00D20623" w:rsidRPr="00A3151B" w:rsidRDefault="00D20623" w:rsidP="00314F3D">
      <w:pPr>
        <w:tabs>
          <w:tab w:val="left" w:pos="720"/>
        </w:tabs>
        <w:spacing w:line="480" w:lineRule="auto"/>
        <w:jc w:val="both"/>
      </w:pPr>
    </w:p>
    <w:p w14:paraId="4EF79AA8" w14:textId="10784C43" w:rsidR="007B75CF" w:rsidRPr="00A3151B" w:rsidRDefault="00B1587D" w:rsidP="00314F3D">
      <w:pPr>
        <w:tabs>
          <w:tab w:val="left" w:pos="720"/>
        </w:tabs>
        <w:spacing w:line="480" w:lineRule="auto"/>
        <w:jc w:val="both"/>
      </w:pPr>
      <w:r w:rsidRPr="00A3151B">
        <w:t xml:space="preserve">From an analytic feminist perspective that emphasises the ‘concrete’ and ‘relational’ dimensions of autonomy, </w:t>
      </w:r>
      <w:r w:rsidR="007B75CF" w:rsidRPr="00A3151B">
        <w:rPr>
          <w:bCs/>
        </w:rPr>
        <w:t xml:space="preserve">the argument that </w:t>
      </w:r>
      <w:r w:rsidR="00A04E96" w:rsidRPr="00A3151B">
        <w:rPr>
          <w:bCs/>
        </w:rPr>
        <w:t>the concepts ‘</w:t>
      </w:r>
      <w:r w:rsidR="007B75CF" w:rsidRPr="00A3151B">
        <w:rPr>
          <w:bCs/>
        </w:rPr>
        <w:t>autonomy</w:t>
      </w:r>
      <w:r w:rsidR="00A04E96" w:rsidRPr="00A3151B">
        <w:rPr>
          <w:bCs/>
        </w:rPr>
        <w:t>’</w:t>
      </w:r>
      <w:r w:rsidR="007B75CF" w:rsidRPr="00A3151B">
        <w:rPr>
          <w:bCs/>
        </w:rPr>
        <w:t xml:space="preserve"> and </w:t>
      </w:r>
      <w:r w:rsidR="00A04E96" w:rsidRPr="00A3151B">
        <w:rPr>
          <w:bCs/>
        </w:rPr>
        <w:t>‘</w:t>
      </w:r>
      <w:r w:rsidR="000E42A6" w:rsidRPr="00A3151B">
        <w:rPr>
          <w:bCs/>
        </w:rPr>
        <w:t xml:space="preserve">situational </w:t>
      </w:r>
      <w:r w:rsidR="007B75CF" w:rsidRPr="00A3151B">
        <w:rPr>
          <w:bCs/>
        </w:rPr>
        <w:lastRenderedPageBreak/>
        <w:t>vulnerability</w:t>
      </w:r>
      <w:r w:rsidR="00A04E96" w:rsidRPr="00A3151B">
        <w:rPr>
          <w:bCs/>
        </w:rPr>
        <w:t>’</w:t>
      </w:r>
      <w:r w:rsidR="007B75CF" w:rsidRPr="00A3151B">
        <w:rPr>
          <w:bCs/>
        </w:rPr>
        <w:t xml:space="preserve"> are necessarily entwined cannot appeal merely to mental capacity, standards of informed consent or processes of ‘unencumbered decision making’</w:t>
      </w:r>
      <w:r w:rsidR="00A52E4D" w:rsidRPr="00A3151B">
        <w:t xml:space="preserve">. </w:t>
      </w:r>
    </w:p>
    <w:p w14:paraId="69F5B51A" w14:textId="6DF9E8CF" w:rsidR="00195D86" w:rsidRPr="00A3151B" w:rsidRDefault="00A27907" w:rsidP="00314F3D">
      <w:pPr>
        <w:tabs>
          <w:tab w:val="left" w:pos="720"/>
        </w:tabs>
        <w:spacing w:line="480" w:lineRule="auto"/>
        <w:jc w:val="both"/>
      </w:pPr>
      <w:r w:rsidRPr="00A3151B">
        <w:tab/>
      </w:r>
      <w:r w:rsidR="00BD7AEA" w:rsidRPr="00A3151B">
        <w:t>T</w:t>
      </w:r>
      <w:r w:rsidR="001579BD" w:rsidRPr="00A3151B">
        <w:t xml:space="preserve">he test for incapacity in section 3(1) of the </w:t>
      </w:r>
      <w:r w:rsidR="003A1B64" w:rsidRPr="00A3151B">
        <w:t>MCA</w:t>
      </w:r>
      <w:r w:rsidR="001579BD" w:rsidRPr="00A3151B">
        <w:t xml:space="preserve"> 2005 raises a strong, neg</w:t>
      </w:r>
      <w:r w:rsidR="003A1B64" w:rsidRPr="00A3151B">
        <w:t>ative</w:t>
      </w:r>
      <w:r w:rsidR="00A27FE2" w:rsidRPr="00A3151B">
        <w:t xml:space="preserve"> </w:t>
      </w:r>
      <w:r w:rsidR="003A1B64" w:rsidRPr="00A3151B">
        <w:t>affirmation of autonomy, whereby an individual is unable to make a decision if they are unable to understand, retain, use or weigh information relevant to</w:t>
      </w:r>
      <w:r w:rsidR="00195D86" w:rsidRPr="00A3151B">
        <w:t xml:space="preserve"> a</w:t>
      </w:r>
      <w:r w:rsidR="003A1B64" w:rsidRPr="00A3151B">
        <w:t xml:space="preserve"> decision or </w:t>
      </w:r>
      <w:r w:rsidR="00575570" w:rsidRPr="00A3151B">
        <w:t xml:space="preserve">if they are unable to </w:t>
      </w:r>
      <w:r w:rsidR="003A1B64" w:rsidRPr="00A3151B">
        <w:t xml:space="preserve">communicate </w:t>
      </w:r>
      <w:r w:rsidR="00575570" w:rsidRPr="00A3151B">
        <w:t>a</w:t>
      </w:r>
      <w:r w:rsidR="003A1B64" w:rsidRPr="00A3151B">
        <w:t xml:space="preserve"> de</w:t>
      </w:r>
      <w:r w:rsidR="00E554FA" w:rsidRPr="00A3151B">
        <w:t>cision</w:t>
      </w:r>
      <w:r w:rsidR="0045043B" w:rsidRPr="00A3151B">
        <w:t xml:space="preserve">. </w:t>
      </w:r>
      <w:r w:rsidR="000F20FB" w:rsidRPr="00A3151B">
        <w:t>Similarly</w:t>
      </w:r>
      <w:r w:rsidR="00B10100" w:rsidRPr="00A3151B">
        <w:t xml:space="preserve">, </w:t>
      </w:r>
      <w:r w:rsidR="009A5AA1" w:rsidRPr="00A3151B">
        <w:t>medical ethicists</w:t>
      </w:r>
      <w:r w:rsidR="00E554FA" w:rsidRPr="00A3151B">
        <w:t xml:space="preserve"> have </w:t>
      </w:r>
      <w:r w:rsidR="00D73583" w:rsidRPr="00A3151B">
        <w:t>appealed to the idea of autonomous patients as competent patients</w:t>
      </w:r>
      <w:r w:rsidR="00E554FA" w:rsidRPr="00A3151B">
        <w:t>, whereby competency tends to require the capacities to comprehend</w:t>
      </w:r>
      <w:r w:rsidR="00FB1691" w:rsidRPr="00A3151B">
        <w:t xml:space="preserve"> and</w:t>
      </w:r>
      <w:r w:rsidR="00E554FA" w:rsidRPr="00A3151B">
        <w:t xml:space="preserve"> critically reflect on</w:t>
      </w:r>
      <w:r w:rsidR="00FB1691" w:rsidRPr="00A3151B">
        <w:t xml:space="preserve"> information,</w:t>
      </w:r>
      <w:r w:rsidR="00E554FA" w:rsidRPr="00A3151B">
        <w:t xml:space="preserve"> revise beliefs and make a decision in the light of information.</w:t>
      </w:r>
      <w:r w:rsidR="00E554FA" w:rsidRPr="00A3151B">
        <w:rPr>
          <w:rStyle w:val="FootnoteReference"/>
        </w:rPr>
        <w:footnoteReference w:id="84"/>
      </w:r>
      <w:r w:rsidR="00D73583" w:rsidRPr="00A3151B">
        <w:t xml:space="preserve"> </w:t>
      </w:r>
      <w:r w:rsidRPr="00A3151B">
        <w:t>Mental capacity</w:t>
      </w:r>
      <w:r w:rsidR="00E554FA" w:rsidRPr="00A3151B">
        <w:t xml:space="preserve"> not only grounds traditional approaches to the principle of respect for patient autonomy in </w:t>
      </w:r>
      <w:r w:rsidR="009A5AA1" w:rsidRPr="00A3151B">
        <w:t>medical ethics</w:t>
      </w:r>
      <w:r w:rsidR="00E554FA" w:rsidRPr="00A3151B">
        <w:t xml:space="preserve">, but, </w:t>
      </w:r>
      <w:r w:rsidR="007116EB" w:rsidRPr="00A3151B">
        <w:t>in accordance with</w:t>
      </w:r>
      <w:r w:rsidR="00E554FA" w:rsidRPr="00A3151B">
        <w:t xml:space="preserve"> common law doctrine, </w:t>
      </w:r>
      <w:r w:rsidR="00420196" w:rsidRPr="00A3151B">
        <w:t>it</w:t>
      </w:r>
      <w:r w:rsidR="00E554FA" w:rsidRPr="00A3151B">
        <w:t xml:space="preserve"> </w:t>
      </w:r>
      <w:r w:rsidR="00A67C2C" w:rsidRPr="00A3151B">
        <w:t xml:space="preserve">supports an individual’s legal capacity to partake in processes of informed consent and </w:t>
      </w:r>
      <w:r w:rsidR="0083344D" w:rsidRPr="00A3151B">
        <w:t xml:space="preserve">thereby </w:t>
      </w:r>
      <w:r w:rsidR="00EA762A" w:rsidRPr="00A3151B">
        <w:t xml:space="preserve">– at least implicitly – provides </w:t>
      </w:r>
      <w:r w:rsidR="0083344D" w:rsidRPr="00A3151B">
        <w:t xml:space="preserve">her with the legal </w:t>
      </w:r>
      <w:r w:rsidR="00250F7B" w:rsidRPr="00A3151B">
        <w:t>opportunity</w:t>
      </w:r>
      <w:r w:rsidR="0006601B" w:rsidRPr="00A3151B">
        <w:t xml:space="preserve"> </w:t>
      </w:r>
      <w:r w:rsidR="00E554FA" w:rsidRPr="00A3151B">
        <w:t xml:space="preserve">to make decisions on the basis of </w:t>
      </w:r>
      <w:r w:rsidR="00250F7B" w:rsidRPr="00A3151B">
        <w:t>her</w:t>
      </w:r>
      <w:r w:rsidR="00E554FA" w:rsidRPr="00A3151B">
        <w:t xml:space="preserve"> own values, desires and motivations</w:t>
      </w:r>
      <w:r w:rsidR="00420196" w:rsidRPr="00A3151B">
        <w:t xml:space="preserve">. </w:t>
      </w:r>
    </w:p>
    <w:p w14:paraId="34551E53" w14:textId="04462522" w:rsidR="0045043B" w:rsidRPr="00A3151B" w:rsidRDefault="00195D86" w:rsidP="00314F3D">
      <w:pPr>
        <w:tabs>
          <w:tab w:val="left" w:pos="720"/>
        </w:tabs>
        <w:spacing w:line="480" w:lineRule="auto"/>
        <w:jc w:val="both"/>
      </w:pPr>
      <w:r w:rsidRPr="00A3151B">
        <w:tab/>
      </w:r>
      <w:r w:rsidR="002459AF" w:rsidRPr="00A3151B">
        <w:t xml:space="preserve">The issues here are manifold. Firstly, </w:t>
      </w:r>
      <w:r w:rsidR="004309D1" w:rsidRPr="00A3151B">
        <w:t xml:space="preserve">as already observed, a problem with the MCA 2005 is that it fails to distinguish between the conditions for mental capacity and the conditions for the exercise of </w:t>
      </w:r>
      <w:r w:rsidR="00014C88" w:rsidRPr="00A3151B">
        <w:t xml:space="preserve">autonomy. </w:t>
      </w:r>
      <w:r w:rsidR="00863619" w:rsidRPr="00A3151B">
        <w:t xml:space="preserve">As </w:t>
      </w:r>
      <w:r w:rsidR="00A04E96" w:rsidRPr="00A3151B">
        <w:t xml:space="preserve">Jonathan </w:t>
      </w:r>
      <w:r w:rsidR="00863619" w:rsidRPr="00A3151B">
        <w:t xml:space="preserve">Herring and </w:t>
      </w:r>
      <w:r w:rsidR="00A04E96" w:rsidRPr="00A3151B">
        <w:t xml:space="preserve">Jesse </w:t>
      </w:r>
      <w:r w:rsidR="00863619" w:rsidRPr="00A3151B">
        <w:t>Wall observe,</w:t>
      </w:r>
      <w:r w:rsidR="00863619" w:rsidRPr="00A3151B">
        <w:rPr>
          <w:rStyle w:val="FootnoteReference"/>
        </w:rPr>
        <w:footnoteReference w:id="85"/>
      </w:r>
      <w:r w:rsidR="00863619" w:rsidRPr="00A3151B">
        <w:t xml:space="preserve"> the exercise of autonomy ‘is the result of the combination of a cognitive process (understanding facts) and an affective process (attributing value to an outcome)’ whereby the affective process requires ‘that a person’s (first-order) desires are accompanied by the (second-order) appropriation of, or identification with, the desires’ and that the motivating attitudes that an individual endorses or rationally responds to are her own (i.e., they are </w:t>
      </w:r>
      <w:r w:rsidR="00863619" w:rsidRPr="00A3151B">
        <w:rPr>
          <w:i/>
          <w:iCs/>
        </w:rPr>
        <w:t>authentic</w:t>
      </w:r>
      <w:r w:rsidR="00863619" w:rsidRPr="00A3151B">
        <w:t xml:space="preserve">). </w:t>
      </w:r>
      <w:r w:rsidR="00020BF7" w:rsidRPr="00A3151B">
        <w:t xml:space="preserve">By contrast, under the MCA 2005, </w:t>
      </w:r>
      <w:r w:rsidR="00A04E96" w:rsidRPr="00A3151B">
        <w:t xml:space="preserve">capacity </w:t>
      </w:r>
      <w:r w:rsidR="00020BF7" w:rsidRPr="00A3151B">
        <w:t xml:space="preserve">is expressed in terms of a capacity for reason, that is, a capacity for understanding </w:t>
      </w:r>
      <w:r w:rsidR="00020BF7" w:rsidRPr="00A3151B">
        <w:lastRenderedPageBreak/>
        <w:t>relevant information, using it and weighing it.</w:t>
      </w:r>
      <w:r w:rsidR="00020BF7" w:rsidRPr="00A3151B">
        <w:rPr>
          <w:rStyle w:val="FootnoteReference"/>
        </w:rPr>
        <w:footnoteReference w:id="86"/>
      </w:r>
      <w:r w:rsidR="00020BF7" w:rsidRPr="00A3151B">
        <w:t xml:space="preserve"> Therefore, a</w:t>
      </w:r>
      <w:r w:rsidR="00831CA1" w:rsidRPr="00A3151B">
        <w:t xml:space="preserve">lthough the conditions </w:t>
      </w:r>
      <w:r w:rsidR="005531AC" w:rsidRPr="00A3151B">
        <w:t>for</w:t>
      </w:r>
      <w:r w:rsidR="00831CA1" w:rsidRPr="00A3151B">
        <w:t xml:space="preserve"> mental capacity are often taken to be necessary conditions for the </w:t>
      </w:r>
      <w:r w:rsidR="00831CA1" w:rsidRPr="00A3151B">
        <w:rPr>
          <w:i/>
          <w:iCs/>
        </w:rPr>
        <w:t>capacity for autonomy</w:t>
      </w:r>
      <w:r w:rsidR="00831CA1" w:rsidRPr="00A3151B">
        <w:t xml:space="preserve">, they do not sufficiently guarantee one’s ability to successfully </w:t>
      </w:r>
      <w:r w:rsidR="00831CA1" w:rsidRPr="00A3151B">
        <w:rPr>
          <w:i/>
          <w:iCs/>
        </w:rPr>
        <w:t>exercise one’s autonomy</w:t>
      </w:r>
      <w:r w:rsidR="00831CA1" w:rsidRPr="00A3151B">
        <w:t>.</w:t>
      </w:r>
      <w:r w:rsidR="000747CB" w:rsidRPr="00A3151B">
        <w:t xml:space="preserve"> </w:t>
      </w:r>
      <w:r w:rsidR="006D7C8C" w:rsidRPr="00A3151B">
        <w:t xml:space="preserve">Hence, mere recourse to the MCA 2005 is </w:t>
      </w:r>
      <w:r w:rsidR="005531AC" w:rsidRPr="00A3151B">
        <w:t xml:space="preserve">especially </w:t>
      </w:r>
      <w:r w:rsidR="006D7C8C" w:rsidRPr="00A3151B">
        <w:t xml:space="preserve">problematic </w:t>
      </w:r>
      <w:r w:rsidR="007D0901" w:rsidRPr="00A3151B">
        <w:t>in cases concerning</w:t>
      </w:r>
      <w:r w:rsidR="00831CA1" w:rsidRPr="00A3151B">
        <w:t xml:space="preserve"> </w:t>
      </w:r>
      <w:r w:rsidR="00D02136" w:rsidRPr="00A3151B">
        <w:rPr>
          <w:i/>
          <w:iCs/>
        </w:rPr>
        <w:t>capacitous</w:t>
      </w:r>
      <w:r w:rsidR="00D02136" w:rsidRPr="00A3151B">
        <w:t xml:space="preserve"> vulnerable adults</w:t>
      </w:r>
      <w:r w:rsidR="007D0901" w:rsidRPr="00A3151B">
        <w:t>, who</w:t>
      </w:r>
      <w:r w:rsidR="00D02136" w:rsidRPr="00A3151B">
        <w:t xml:space="preserve"> are</w:t>
      </w:r>
      <w:r w:rsidR="005651E2" w:rsidRPr="00A3151B">
        <w:t>, by definition,</w:t>
      </w:r>
      <w:r w:rsidR="00D02136" w:rsidRPr="00A3151B">
        <w:t xml:space="preserve"> already competent</w:t>
      </w:r>
      <w:r w:rsidR="007D0901" w:rsidRPr="00A3151B">
        <w:t xml:space="preserve">, </w:t>
      </w:r>
      <w:r w:rsidR="003119A3" w:rsidRPr="00A3151B">
        <w:t>because</w:t>
      </w:r>
      <w:r w:rsidR="00383544" w:rsidRPr="00A3151B">
        <w:t>, given the conceptual apparatus afforded by the Act,</w:t>
      </w:r>
      <w:r w:rsidR="003119A3" w:rsidRPr="00A3151B">
        <w:t xml:space="preserve"> their judged vulnerability at law</w:t>
      </w:r>
      <w:r w:rsidR="00383544" w:rsidRPr="00A3151B">
        <w:t xml:space="preserve"> precludes </w:t>
      </w:r>
      <w:r w:rsidR="00E2673B" w:rsidRPr="00A3151B">
        <w:t xml:space="preserve">any </w:t>
      </w:r>
      <w:r w:rsidR="00F33439" w:rsidRPr="00A3151B">
        <w:t xml:space="preserve">statutory-based </w:t>
      </w:r>
      <w:r w:rsidR="00E2673B" w:rsidRPr="00A3151B">
        <w:t>engagement with</w:t>
      </w:r>
      <w:r w:rsidR="00F33439" w:rsidRPr="00A3151B">
        <w:t xml:space="preserve"> the question of whether they are able to exercise </w:t>
      </w:r>
      <w:r w:rsidR="00631F2F" w:rsidRPr="00A3151B">
        <w:t>their mental capacity in light of their own values, desires and motivations</w:t>
      </w:r>
      <w:r w:rsidR="00941582" w:rsidRPr="00A3151B">
        <w:t xml:space="preserve"> and</w:t>
      </w:r>
      <w:r w:rsidR="007E6827" w:rsidRPr="00A3151B">
        <w:t xml:space="preserve"> i</w:t>
      </w:r>
      <w:r w:rsidR="00941582" w:rsidRPr="00A3151B">
        <w:t xml:space="preserve">n accordance with the standards </w:t>
      </w:r>
      <w:r w:rsidR="006805F3" w:rsidRPr="00A3151B">
        <w:t>of</w:t>
      </w:r>
      <w:r w:rsidR="00E83945" w:rsidRPr="00A3151B">
        <w:t xml:space="preserve"> rationality commonly required by theories of autonomy</w:t>
      </w:r>
      <w:r w:rsidR="00020BF7" w:rsidRPr="00A3151B">
        <w:t>.</w:t>
      </w:r>
      <w:r w:rsidR="00020BF7" w:rsidRPr="00A3151B">
        <w:rPr>
          <w:rStyle w:val="FootnoteReference"/>
        </w:rPr>
        <w:footnoteReference w:id="87"/>
      </w:r>
      <w:r w:rsidR="00020BF7" w:rsidRPr="00A3151B">
        <w:t xml:space="preserve"> </w:t>
      </w:r>
      <w:r w:rsidR="00E83945" w:rsidRPr="00A3151B">
        <w:t>Secondly</w:t>
      </w:r>
      <w:r w:rsidR="00D02136" w:rsidRPr="00A3151B">
        <w:t>, appealing to mental capacity</w:t>
      </w:r>
      <w:r w:rsidR="00F2407E" w:rsidRPr="00A3151B">
        <w:t xml:space="preserve"> and, by extension, the MCA 2005</w:t>
      </w:r>
      <w:r w:rsidR="00D02136" w:rsidRPr="00A3151B">
        <w:t xml:space="preserve"> as the basis for </w:t>
      </w:r>
      <w:r w:rsidR="00D02136" w:rsidRPr="00A3151B">
        <w:rPr>
          <w:bCs/>
        </w:rPr>
        <w:t xml:space="preserve">the claim that autonomy and vulnerability are </w:t>
      </w:r>
      <w:r w:rsidR="00D02136" w:rsidRPr="00A3151B">
        <w:rPr>
          <w:bCs/>
          <w:i/>
        </w:rPr>
        <w:t>necessarily</w:t>
      </w:r>
      <w:r w:rsidR="00D02136" w:rsidRPr="00A3151B">
        <w:rPr>
          <w:bCs/>
        </w:rPr>
        <w:t xml:space="preserve"> entwined fails, in practice, to capture the autonomy of vulnerable adults with capacity.</w:t>
      </w:r>
      <w:r w:rsidR="00AD30C8" w:rsidRPr="00A3151B">
        <w:rPr>
          <w:rStyle w:val="FootnoteReference"/>
          <w:bCs/>
        </w:rPr>
        <w:footnoteReference w:id="88"/>
      </w:r>
      <w:r w:rsidR="00D02136" w:rsidRPr="00A3151B">
        <w:t xml:space="preserve"> </w:t>
      </w:r>
      <w:r w:rsidR="00BD7AEA" w:rsidRPr="00A3151B">
        <w:t>As we have seen,</w:t>
      </w:r>
      <w:r w:rsidR="00D02136" w:rsidRPr="00A3151B">
        <w:t xml:space="preserve"> </w:t>
      </w:r>
      <w:r w:rsidR="00FB363D" w:rsidRPr="00A3151B">
        <w:t xml:space="preserve">even when </w:t>
      </w:r>
      <w:r w:rsidR="00DE1E84" w:rsidRPr="00A3151B">
        <w:t>an individual</w:t>
      </w:r>
      <w:r w:rsidR="00FB363D" w:rsidRPr="00A3151B">
        <w:t xml:space="preserve"> is judged </w:t>
      </w:r>
      <w:r w:rsidR="0027475E" w:rsidRPr="00A3151B">
        <w:t xml:space="preserve">to have mental capacity in accordance with the standards </w:t>
      </w:r>
      <w:r w:rsidR="006805F3" w:rsidRPr="00A3151B">
        <w:t>listed</w:t>
      </w:r>
      <w:r w:rsidR="0027475E" w:rsidRPr="00A3151B">
        <w:t xml:space="preserve"> in s</w:t>
      </w:r>
      <w:r w:rsidR="00756CFA" w:rsidRPr="00A3151B">
        <w:t xml:space="preserve">ection </w:t>
      </w:r>
      <w:r w:rsidR="0027475E" w:rsidRPr="00A3151B">
        <w:t>3(1) of the MCA 2005</w:t>
      </w:r>
      <w:r w:rsidR="009F21E5" w:rsidRPr="00A3151B">
        <w:t>,</w:t>
      </w:r>
      <w:r w:rsidR="00DE1E84" w:rsidRPr="00A3151B">
        <w:t xml:space="preserve"> </w:t>
      </w:r>
      <w:r w:rsidR="009F21E5" w:rsidRPr="00A3151B">
        <w:t>the consideration of her capacity</w:t>
      </w:r>
      <w:r w:rsidR="00DE1E84" w:rsidRPr="00A3151B">
        <w:t xml:space="preserve"> in the light of</w:t>
      </w:r>
      <w:r w:rsidR="004E6B28" w:rsidRPr="00A3151B">
        <w:t xml:space="preserve"> her vulnerability at law, specifically, in the light of those risks that are deemed to compromise her ‘autonomy of decision making’, </w:t>
      </w:r>
      <w:r w:rsidR="00D02136" w:rsidRPr="00A3151B">
        <w:t xml:space="preserve">results in the denial of </w:t>
      </w:r>
      <w:r w:rsidR="00DE1E84" w:rsidRPr="00A3151B">
        <w:t xml:space="preserve">her </w:t>
      </w:r>
      <w:r w:rsidR="00D02136" w:rsidRPr="00A3151B">
        <w:t xml:space="preserve">decision-making authority in order </w:t>
      </w:r>
      <w:r w:rsidR="004E6B28" w:rsidRPr="00A3151B">
        <w:t xml:space="preserve">to </w:t>
      </w:r>
      <w:r w:rsidR="00630AE5" w:rsidRPr="00A3151B">
        <w:t xml:space="preserve">ensure </w:t>
      </w:r>
      <w:r w:rsidR="008D4675" w:rsidRPr="00A3151B">
        <w:t xml:space="preserve">that </w:t>
      </w:r>
      <w:r w:rsidR="00EF79E2" w:rsidRPr="00A3151B">
        <w:t xml:space="preserve">either </w:t>
      </w:r>
      <w:r w:rsidR="00630AE5" w:rsidRPr="00A3151B">
        <w:t xml:space="preserve">the standards of informed consent are fulfilled through a facilitative process or </w:t>
      </w:r>
      <w:r w:rsidR="004E6B28" w:rsidRPr="00A3151B">
        <w:t>decisions in</w:t>
      </w:r>
      <w:r w:rsidR="00C135D7" w:rsidRPr="00A3151B">
        <w:t xml:space="preserve"> </w:t>
      </w:r>
      <w:r w:rsidR="00DE1E84" w:rsidRPr="00A3151B">
        <w:t>her</w:t>
      </w:r>
      <w:r w:rsidR="00E1184D" w:rsidRPr="00A3151B">
        <w:t xml:space="preserve"> best interests</w:t>
      </w:r>
      <w:r w:rsidR="00630AE5" w:rsidRPr="00A3151B">
        <w:t xml:space="preserve"> are effected</w:t>
      </w:r>
      <w:r w:rsidR="00D02136" w:rsidRPr="00A3151B">
        <w:t>.</w:t>
      </w:r>
      <w:r w:rsidR="00020BF7" w:rsidRPr="00A3151B">
        <w:rPr>
          <w:rStyle w:val="FootnoteReference"/>
        </w:rPr>
        <w:footnoteReference w:id="89"/>
      </w:r>
      <w:r w:rsidR="00E1184D" w:rsidRPr="00A3151B">
        <w:t xml:space="preserve"> Not only</w:t>
      </w:r>
      <w:r w:rsidR="00DE1E84" w:rsidRPr="00A3151B">
        <w:t xml:space="preserve"> </w:t>
      </w:r>
      <w:r w:rsidR="00E1184D" w:rsidRPr="00A3151B">
        <w:t xml:space="preserve">do </w:t>
      </w:r>
      <w:r w:rsidR="007776A5" w:rsidRPr="00A3151B">
        <w:t>these</w:t>
      </w:r>
      <w:r w:rsidR="00E1184D" w:rsidRPr="00A3151B">
        <w:t xml:space="preserve"> common law response</w:t>
      </w:r>
      <w:r w:rsidR="007776A5" w:rsidRPr="00A3151B">
        <w:t>s</w:t>
      </w:r>
      <w:r w:rsidR="00E1184D" w:rsidRPr="00A3151B">
        <w:t xml:space="preserve"> to </w:t>
      </w:r>
      <w:r w:rsidR="00756CFA" w:rsidRPr="00A3151B">
        <w:t xml:space="preserve">situational </w:t>
      </w:r>
      <w:r w:rsidR="00E1184D" w:rsidRPr="00A3151B">
        <w:t>vulnerability</w:t>
      </w:r>
      <w:r w:rsidR="00135C45" w:rsidRPr="00A3151B">
        <w:t xml:space="preserve"> combined with standards set in the MCA 2005</w:t>
      </w:r>
      <w:r w:rsidR="00E1184D" w:rsidRPr="00A3151B">
        <w:t xml:space="preserve"> </w:t>
      </w:r>
      <w:r w:rsidR="00897F5D" w:rsidRPr="00A3151B">
        <w:t>fail to capture a capacitous vulnerable adult’s autonomy</w:t>
      </w:r>
      <w:r w:rsidR="00E1184D" w:rsidRPr="00A3151B">
        <w:t xml:space="preserve">, analytic feminists have argued that responding to vulnerability through a protective framework can </w:t>
      </w:r>
      <w:r w:rsidR="00630AE5" w:rsidRPr="00A3151B">
        <w:t xml:space="preserve">violate her autonomy as well as </w:t>
      </w:r>
      <w:r w:rsidR="00E1184D" w:rsidRPr="00A3151B">
        <w:t xml:space="preserve">undermine </w:t>
      </w:r>
      <w:r w:rsidR="00630AE5" w:rsidRPr="00A3151B">
        <w:t>it</w:t>
      </w:r>
      <w:r w:rsidR="00E1184D" w:rsidRPr="00A3151B">
        <w:t xml:space="preserve"> in other ways. It </w:t>
      </w:r>
      <w:r w:rsidR="00B40C17" w:rsidRPr="00A3151B">
        <w:t>can contribute to the format</w:t>
      </w:r>
      <w:r w:rsidR="00CE35BA" w:rsidRPr="00A3151B">
        <w:t xml:space="preserve">ion of false </w:t>
      </w:r>
      <w:r w:rsidR="00CE35BA" w:rsidRPr="00A3151B">
        <w:lastRenderedPageBreak/>
        <w:t xml:space="preserve">norms and beliefs or </w:t>
      </w:r>
      <w:r w:rsidR="009170B2" w:rsidRPr="00A3151B">
        <w:t>non-authentic</w:t>
      </w:r>
      <w:r w:rsidR="00B40C17" w:rsidRPr="00A3151B">
        <w:t xml:space="preserve"> values</w:t>
      </w:r>
      <w:r w:rsidR="009170B2" w:rsidRPr="00A3151B">
        <w:t>, desires and preferences</w:t>
      </w:r>
      <w:r w:rsidR="00151755" w:rsidRPr="00A3151B">
        <w:t>.</w:t>
      </w:r>
      <w:r w:rsidR="009170B2" w:rsidRPr="00A3151B">
        <w:rPr>
          <w:rStyle w:val="FootnoteReference"/>
        </w:rPr>
        <w:footnoteReference w:id="90"/>
      </w:r>
      <w:r w:rsidR="00B40C17" w:rsidRPr="00A3151B">
        <w:t xml:space="preserve"> </w:t>
      </w:r>
      <w:r w:rsidR="002F0E25" w:rsidRPr="00A3151B">
        <w:t xml:space="preserve">It </w:t>
      </w:r>
      <w:r w:rsidR="00811ADE" w:rsidRPr="00A3151B">
        <w:t>can limit</w:t>
      </w:r>
      <w:r w:rsidR="00B40C17" w:rsidRPr="00A3151B">
        <w:t xml:space="preserve"> </w:t>
      </w:r>
      <w:r w:rsidR="00151755" w:rsidRPr="00A3151B">
        <w:t>the sorts of</w:t>
      </w:r>
      <w:r w:rsidR="00B40C17" w:rsidRPr="00A3151B">
        <w:t xml:space="preserve"> values, desires and motives </w:t>
      </w:r>
      <w:r w:rsidR="004E6B28" w:rsidRPr="00A3151B">
        <w:t>she is</w:t>
      </w:r>
      <w:r w:rsidR="00151755" w:rsidRPr="00A3151B">
        <w:t xml:space="preserve"> able to recognise.</w:t>
      </w:r>
      <w:r w:rsidR="00151755" w:rsidRPr="00A3151B">
        <w:rPr>
          <w:rStyle w:val="FootnoteReference"/>
        </w:rPr>
        <w:footnoteReference w:id="91"/>
      </w:r>
      <w:r w:rsidR="00151755" w:rsidRPr="00A3151B">
        <w:t xml:space="preserve"> In addition, </w:t>
      </w:r>
      <w:r w:rsidR="002F0E25" w:rsidRPr="00A3151B">
        <w:t xml:space="preserve">it </w:t>
      </w:r>
      <w:r w:rsidR="00151755" w:rsidRPr="00A3151B">
        <w:t>can contribute to</w:t>
      </w:r>
      <w:r w:rsidR="00B40C17" w:rsidRPr="00A3151B">
        <w:t xml:space="preserve"> a lack of self-respect</w:t>
      </w:r>
      <w:r w:rsidR="00B110EB" w:rsidRPr="00A3151B">
        <w:t xml:space="preserve"> and self-esteem</w:t>
      </w:r>
      <w:r w:rsidR="00B40C17" w:rsidRPr="00A3151B">
        <w:t>,</w:t>
      </w:r>
      <w:r w:rsidR="00151755" w:rsidRPr="00A3151B">
        <w:rPr>
          <w:rStyle w:val="FootnoteReference"/>
        </w:rPr>
        <w:footnoteReference w:id="92"/>
      </w:r>
      <w:r w:rsidR="00B40C17" w:rsidRPr="00A3151B">
        <w:t xml:space="preserve"> mistrust of </w:t>
      </w:r>
      <w:r w:rsidR="004E6B28" w:rsidRPr="00A3151B">
        <w:t xml:space="preserve">her </w:t>
      </w:r>
      <w:r w:rsidR="00B40C17" w:rsidRPr="00A3151B">
        <w:t>own decisions</w:t>
      </w:r>
      <w:r w:rsidR="00E93EA8" w:rsidRPr="00A3151B">
        <w:t>,</w:t>
      </w:r>
      <w:r w:rsidR="00E93EA8" w:rsidRPr="00A3151B">
        <w:rPr>
          <w:rStyle w:val="FootnoteReference"/>
        </w:rPr>
        <w:footnoteReference w:id="93"/>
      </w:r>
      <w:r w:rsidR="00B40C17" w:rsidRPr="00A3151B">
        <w:t xml:space="preserve"> or an inability to recognise </w:t>
      </w:r>
      <w:r w:rsidR="004E6B28" w:rsidRPr="00A3151B">
        <w:t xml:space="preserve">her </w:t>
      </w:r>
      <w:r w:rsidR="00B40C17" w:rsidRPr="00A3151B">
        <w:t>decisions</w:t>
      </w:r>
      <w:r w:rsidR="00B110EB" w:rsidRPr="00A3151B">
        <w:t xml:space="preserve"> and commitments</w:t>
      </w:r>
      <w:r w:rsidR="00B40C17" w:rsidRPr="00A3151B">
        <w:t xml:space="preserve"> as meaningful, worthwhile and valuable.</w:t>
      </w:r>
      <w:r w:rsidR="00B110EB" w:rsidRPr="00A3151B">
        <w:rPr>
          <w:rStyle w:val="FootnoteReference"/>
        </w:rPr>
        <w:footnoteReference w:id="94"/>
      </w:r>
      <w:r w:rsidR="00B40C17" w:rsidRPr="00A3151B">
        <w:t xml:space="preserve"> </w:t>
      </w:r>
      <w:r w:rsidR="002F0E25" w:rsidRPr="00A3151B">
        <w:t xml:space="preserve">The point is that overly paternalistic approaches to </w:t>
      </w:r>
      <w:r w:rsidR="00756CFA" w:rsidRPr="00A3151B">
        <w:t xml:space="preserve">situational </w:t>
      </w:r>
      <w:r w:rsidR="002F0E25" w:rsidRPr="00A3151B">
        <w:t>vulnerability</w:t>
      </w:r>
      <w:r w:rsidR="00E1184D" w:rsidRPr="00A3151B">
        <w:t xml:space="preserve"> can causally shape </w:t>
      </w:r>
      <w:r w:rsidR="002F0E25" w:rsidRPr="00A3151B">
        <w:t>a vulnerable adult’s</w:t>
      </w:r>
      <w:r w:rsidR="00E1184D" w:rsidRPr="00A3151B">
        <w:t xml:space="preserve"> practical identity and self-understanding (and thereby her values, desires, motivations and reasoning processes) in a manner beyond her initial control and in ways that undermine her ability to flourish.</w:t>
      </w:r>
      <w:r w:rsidR="002F0E25" w:rsidRPr="00A3151B">
        <w:t xml:space="preserve"> </w:t>
      </w:r>
      <w:r w:rsidR="0045043B" w:rsidRPr="00A3151B">
        <w:t xml:space="preserve">In such circumstances, even though the </w:t>
      </w:r>
      <w:r w:rsidR="00756CFA" w:rsidRPr="00A3151B">
        <w:t xml:space="preserve">situationally </w:t>
      </w:r>
      <w:r w:rsidR="002F0E25" w:rsidRPr="00A3151B">
        <w:t xml:space="preserve">vulnerable adult is deemed to be competent, </w:t>
      </w:r>
      <w:r w:rsidR="005434E8" w:rsidRPr="00A3151B">
        <w:t xml:space="preserve">and despite </w:t>
      </w:r>
      <w:r w:rsidR="00791274" w:rsidRPr="00A3151B">
        <w:t>appearing to demonstrate ‘effective use of reason’,</w:t>
      </w:r>
      <w:r w:rsidR="00AB22AA" w:rsidRPr="00A3151B">
        <w:t xml:space="preserve"> </w:t>
      </w:r>
      <w:r w:rsidR="00277325" w:rsidRPr="00A3151B">
        <w:t>it has been argued that her</w:t>
      </w:r>
      <w:r w:rsidR="00791274" w:rsidRPr="00A3151B">
        <w:t xml:space="preserve"> power behind whatever reasoning that gives rise to her behaviour has been </w:t>
      </w:r>
      <w:r w:rsidR="0045043B" w:rsidRPr="00A3151B">
        <w:t>compromised such that resp</w:t>
      </w:r>
      <w:r w:rsidR="00FB1691" w:rsidRPr="00A3151B">
        <w:t xml:space="preserve">ecting her decisions would not </w:t>
      </w:r>
      <w:r w:rsidR="0045043B" w:rsidRPr="00A3151B">
        <w:t>be consistent with respecting her autonomy.</w:t>
      </w:r>
      <w:r w:rsidR="0045043B" w:rsidRPr="00A3151B">
        <w:rPr>
          <w:vertAlign w:val="superscript"/>
        </w:rPr>
        <w:footnoteReference w:id="95"/>
      </w:r>
    </w:p>
    <w:p w14:paraId="10DD0C78" w14:textId="120B3D48" w:rsidR="00794C91" w:rsidRPr="00A3151B" w:rsidRDefault="003F4BF9" w:rsidP="00314F3D">
      <w:pPr>
        <w:tabs>
          <w:tab w:val="left" w:pos="720"/>
        </w:tabs>
        <w:spacing w:line="480" w:lineRule="auto"/>
        <w:jc w:val="both"/>
      </w:pPr>
      <w:r w:rsidRPr="00A3151B">
        <w:tab/>
        <w:t>When it comes to accounting for the</w:t>
      </w:r>
      <w:r w:rsidR="00756CFA" w:rsidRPr="00A3151B">
        <w:t xml:space="preserve"> conceptual</w:t>
      </w:r>
      <w:r w:rsidRPr="00A3151B">
        <w:t xml:space="preserve"> entwinement of vulnerability and autonomy, s</w:t>
      </w:r>
      <w:r w:rsidR="00B00204" w:rsidRPr="00A3151B">
        <w:t>tandard approaches to informed consent in medical law</w:t>
      </w:r>
      <w:r w:rsidR="00146DD1" w:rsidRPr="00A3151B">
        <w:t xml:space="preserve"> </w:t>
      </w:r>
      <w:r w:rsidR="009A5AA1" w:rsidRPr="00A3151B">
        <w:t xml:space="preserve">and medical ethics </w:t>
      </w:r>
      <w:r w:rsidR="00146DD1" w:rsidRPr="00A3151B">
        <w:t>are equally problematic</w:t>
      </w:r>
      <w:r w:rsidR="002504AB" w:rsidRPr="00A3151B">
        <w:t xml:space="preserve">. </w:t>
      </w:r>
      <w:r w:rsidR="0073445F" w:rsidRPr="00A3151B">
        <w:t xml:space="preserve">Due to the </w:t>
      </w:r>
      <w:r w:rsidRPr="00A3151B">
        <w:t xml:space="preserve">establishment </w:t>
      </w:r>
      <w:r w:rsidR="003519D3" w:rsidRPr="00A3151B">
        <w:t>of the</w:t>
      </w:r>
      <w:r w:rsidR="0073445F" w:rsidRPr="00A3151B">
        <w:t xml:space="preserve"> </w:t>
      </w:r>
      <w:r w:rsidR="00283943" w:rsidRPr="00A3151B">
        <w:t xml:space="preserve">conception </w:t>
      </w:r>
      <w:r w:rsidR="0073445F" w:rsidRPr="00A3151B">
        <w:t xml:space="preserve">of </w:t>
      </w:r>
      <w:r w:rsidR="00036AC3" w:rsidRPr="00A3151B">
        <w:t xml:space="preserve">situational </w:t>
      </w:r>
      <w:r w:rsidR="0073445F" w:rsidRPr="00A3151B">
        <w:t xml:space="preserve">vulnerability in </w:t>
      </w:r>
      <w:r w:rsidR="0073445F" w:rsidRPr="00A3151B">
        <w:rPr>
          <w:i/>
        </w:rPr>
        <w:t xml:space="preserve">Re SA </w:t>
      </w:r>
      <w:r w:rsidRPr="00A3151B">
        <w:t xml:space="preserve">as </w:t>
      </w:r>
      <w:r w:rsidR="00283943" w:rsidRPr="00A3151B">
        <w:t>a legal precedent for</w:t>
      </w:r>
      <w:r w:rsidR="0073445F" w:rsidRPr="00A3151B">
        <w:t xml:space="preserve"> subsequent judgments involving the exercise of the inherent </w:t>
      </w:r>
      <w:r w:rsidR="0073445F" w:rsidRPr="00A3151B">
        <w:lastRenderedPageBreak/>
        <w:t>jurisdiction</w:t>
      </w:r>
      <w:r w:rsidR="00AA1B65" w:rsidRPr="00A3151B">
        <w:t xml:space="preserve">, the model of informed consent </w:t>
      </w:r>
      <w:r w:rsidR="00283943" w:rsidRPr="00A3151B">
        <w:t xml:space="preserve">is </w:t>
      </w:r>
      <w:r w:rsidR="00AA1B65" w:rsidRPr="00A3151B">
        <w:t xml:space="preserve">incompatible with </w:t>
      </w:r>
      <w:r w:rsidR="00036AC3" w:rsidRPr="00A3151B">
        <w:t xml:space="preserve">situational </w:t>
      </w:r>
      <w:r w:rsidR="00AA1B65" w:rsidRPr="00A3151B">
        <w:t>vulnerability.</w:t>
      </w:r>
      <w:r w:rsidR="00AA1B65" w:rsidRPr="00A3151B">
        <w:rPr>
          <w:rStyle w:val="FootnoteReference"/>
        </w:rPr>
        <w:footnoteReference w:id="96"/>
      </w:r>
      <w:r w:rsidR="00AA1B65" w:rsidRPr="00A3151B">
        <w:t xml:space="preserve"> </w:t>
      </w:r>
      <w:r w:rsidR="009A0660" w:rsidRPr="00A3151B">
        <w:t xml:space="preserve">Legally valid consent requires that it be given voluntarily. However, according to </w:t>
      </w:r>
      <w:r w:rsidR="0073445F" w:rsidRPr="00A3151B">
        <w:t>Munby J</w:t>
      </w:r>
      <w:r w:rsidR="009A5AA1" w:rsidRPr="00A3151B">
        <w:t>.</w:t>
      </w:r>
      <w:r w:rsidR="009A0660" w:rsidRPr="00A3151B">
        <w:t xml:space="preserve">, </w:t>
      </w:r>
      <w:r w:rsidR="00A95440" w:rsidRPr="00A3151B">
        <w:t>the inherent jurisdiction can be exercised in relation t</w:t>
      </w:r>
      <w:r w:rsidR="00CE0E99" w:rsidRPr="00A3151B">
        <w:t xml:space="preserve">o a vulnerable adult who is </w:t>
      </w:r>
      <w:r w:rsidR="00A95440" w:rsidRPr="00A3151B">
        <w:t>at risk of not being able to exercise a real and genuine decision to consent</w:t>
      </w:r>
      <w:r w:rsidR="00AA1B65" w:rsidRPr="00A3151B">
        <w:t>.</w:t>
      </w:r>
      <w:r w:rsidR="00A95440" w:rsidRPr="00A3151B">
        <w:rPr>
          <w:rStyle w:val="FootnoteReference"/>
        </w:rPr>
        <w:footnoteReference w:id="97"/>
      </w:r>
      <w:r w:rsidR="002F1E13" w:rsidRPr="00A3151B">
        <w:t xml:space="preserve"> </w:t>
      </w:r>
      <w:r w:rsidR="00C93305" w:rsidRPr="00A3151B">
        <w:t>On the basis that</w:t>
      </w:r>
      <w:r w:rsidR="009A0660" w:rsidRPr="00A3151B">
        <w:t xml:space="preserve"> legal precedent</w:t>
      </w:r>
      <w:r w:rsidR="005E4622" w:rsidRPr="00A3151B">
        <w:t xml:space="preserve"> has established</w:t>
      </w:r>
      <w:r w:rsidR="00045416" w:rsidRPr="00A3151B">
        <w:t xml:space="preserve"> </w:t>
      </w:r>
      <w:r w:rsidR="00036AC3" w:rsidRPr="00A3151B">
        <w:t xml:space="preserve">situational </w:t>
      </w:r>
      <w:r w:rsidR="00045416" w:rsidRPr="00A3151B">
        <w:t>vulnerability in terms of the risks of being constrained, coerced or prevented from ‘forming or expressing a real and genuine consent’,</w:t>
      </w:r>
      <w:r w:rsidR="00C93305" w:rsidRPr="00A3151B">
        <w:t xml:space="preserve"> </w:t>
      </w:r>
      <w:r w:rsidR="00DF24FB" w:rsidRPr="00A3151B">
        <w:t xml:space="preserve">the model of informed consent excludes those who have been </w:t>
      </w:r>
      <w:r w:rsidR="00036AC3" w:rsidRPr="00A3151B">
        <w:t xml:space="preserve">legally </w:t>
      </w:r>
      <w:r w:rsidR="00DF24FB" w:rsidRPr="00A3151B">
        <w:t>identified as vulnerable precisely because the voluntariness of their decisions is deemed to be at risk</w:t>
      </w:r>
      <w:r w:rsidR="00156DA9" w:rsidRPr="00A3151B">
        <w:t>.</w:t>
      </w:r>
      <w:r w:rsidR="007C30BD" w:rsidRPr="00A3151B">
        <w:t xml:space="preserve"> As Michael Dunn, Isabel Clare and Anthony Holland observe, a judgment that a person has the capacity to consent ‘will be considered an inconvenient truth when that person is also judged to be at risk of being constrained, coerced, or unduly influenced’.</w:t>
      </w:r>
      <w:r w:rsidR="007C30BD" w:rsidRPr="00A3151B">
        <w:rPr>
          <w:rStyle w:val="FootnoteReference"/>
        </w:rPr>
        <w:footnoteReference w:id="98"/>
      </w:r>
      <w:r w:rsidR="00F94D3A" w:rsidRPr="00A3151B">
        <w:t xml:space="preserve"> </w:t>
      </w:r>
    </w:p>
    <w:p w14:paraId="6D5F72F1" w14:textId="7D5FD561" w:rsidR="00283943" w:rsidRPr="00A3151B" w:rsidRDefault="00283943" w:rsidP="00314F3D">
      <w:pPr>
        <w:tabs>
          <w:tab w:val="left" w:pos="720"/>
        </w:tabs>
        <w:spacing w:line="480" w:lineRule="auto"/>
        <w:jc w:val="both"/>
      </w:pPr>
      <w:r w:rsidRPr="00A3151B">
        <w:tab/>
      </w:r>
      <w:r w:rsidRPr="00A3151B">
        <w:rPr>
          <w:bCs/>
        </w:rPr>
        <w:t xml:space="preserve">In terms of ‘unencumbered decision making’, not only is this facilitative approach to the exercise of the inherent jurisdiction not be confused with the restoration of autonomy, </w:t>
      </w:r>
      <w:r w:rsidR="004E6B28" w:rsidRPr="00A3151B">
        <w:rPr>
          <w:bCs/>
        </w:rPr>
        <w:t xml:space="preserve">its </w:t>
      </w:r>
      <w:r w:rsidRPr="00A3151B">
        <w:rPr>
          <w:bCs/>
        </w:rPr>
        <w:t xml:space="preserve">success </w:t>
      </w:r>
      <w:r w:rsidR="004E6B28" w:rsidRPr="00A3151B">
        <w:rPr>
          <w:bCs/>
        </w:rPr>
        <w:t xml:space="preserve">falls outside of the control of </w:t>
      </w:r>
      <w:r w:rsidR="004C75A7" w:rsidRPr="00A3151B">
        <w:rPr>
          <w:bCs/>
        </w:rPr>
        <w:t xml:space="preserve">situationally </w:t>
      </w:r>
      <w:r w:rsidR="004E6B28" w:rsidRPr="00A3151B">
        <w:rPr>
          <w:bCs/>
        </w:rPr>
        <w:t>vulnerable adults</w:t>
      </w:r>
      <w:r w:rsidRPr="00A3151B">
        <w:rPr>
          <w:bCs/>
        </w:rPr>
        <w:t xml:space="preserve">. For example, assuming that the goal is for capacitous vulnerable adults to fulfil the standards of informed consent, we </w:t>
      </w:r>
      <w:r w:rsidR="004E6B28" w:rsidRPr="00A3151B">
        <w:rPr>
          <w:bCs/>
        </w:rPr>
        <w:t>have already acknowledged that</w:t>
      </w:r>
      <w:r w:rsidRPr="00A3151B">
        <w:rPr>
          <w:bCs/>
        </w:rPr>
        <w:t xml:space="preserve"> successful participation in an economy of consent depends on the </w:t>
      </w:r>
      <w:r w:rsidRPr="00A3151B">
        <w:rPr>
          <w:bCs/>
          <w:i/>
        </w:rPr>
        <w:t>recognition</w:t>
      </w:r>
      <w:r w:rsidRPr="00A3151B">
        <w:rPr>
          <w:bCs/>
        </w:rPr>
        <w:t xml:space="preserve"> of the patient’s permissions and refusals as those made by individuals who take themselves to have the </w:t>
      </w:r>
      <w:r w:rsidRPr="00A3151B">
        <w:rPr>
          <w:bCs/>
          <w:i/>
        </w:rPr>
        <w:t>status</w:t>
      </w:r>
      <w:r w:rsidRPr="00A3151B">
        <w:rPr>
          <w:bCs/>
        </w:rPr>
        <w:t xml:space="preserve"> of autonomy. Thus, </w:t>
      </w:r>
      <w:r w:rsidR="00A23A70" w:rsidRPr="00A3151B">
        <w:rPr>
          <w:bCs/>
        </w:rPr>
        <w:t xml:space="preserve">the problem with the model of ‘unencumbered decision making’ is that it fails to acknowledge the fact that whether such a process enables, promotes, or, indeed, undermines or violates a </w:t>
      </w:r>
      <w:r w:rsidR="00036AC3" w:rsidRPr="00A3151B">
        <w:rPr>
          <w:bCs/>
        </w:rPr>
        <w:t xml:space="preserve">situationally </w:t>
      </w:r>
      <w:r w:rsidR="00A23A70" w:rsidRPr="00A3151B">
        <w:rPr>
          <w:bCs/>
        </w:rPr>
        <w:t xml:space="preserve">vulnerable adult’s ‘autonomy of decision making’ is, in part, dependent on legal and/or health care recognition of her </w:t>
      </w:r>
      <w:r w:rsidR="00A23A70" w:rsidRPr="00A3151B">
        <w:rPr>
          <w:bCs/>
          <w:i/>
        </w:rPr>
        <w:t>status</w:t>
      </w:r>
      <w:r w:rsidR="00A23A70" w:rsidRPr="00A3151B">
        <w:rPr>
          <w:bCs/>
        </w:rPr>
        <w:t xml:space="preserve"> as someone with the authority to make </w:t>
      </w:r>
      <w:proofErr w:type="gramStart"/>
      <w:r w:rsidR="00A23A70" w:rsidRPr="00A3151B">
        <w:rPr>
          <w:bCs/>
        </w:rPr>
        <w:t>normatively-significant</w:t>
      </w:r>
      <w:proofErr w:type="gramEnd"/>
      <w:r w:rsidR="00A23A70" w:rsidRPr="00A3151B">
        <w:rPr>
          <w:bCs/>
        </w:rPr>
        <w:t xml:space="preserve"> judgments regarding her own care and medical treatment. </w:t>
      </w:r>
    </w:p>
    <w:p w14:paraId="0759D883" w14:textId="7B373C37" w:rsidR="00B4692B" w:rsidRPr="00A3151B" w:rsidRDefault="00006115" w:rsidP="00B4692B">
      <w:pPr>
        <w:tabs>
          <w:tab w:val="left" w:pos="720"/>
        </w:tabs>
        <w:spacing w:line="480" w:lineRule="auto"/>
        <w:jc w:val="both"/>
      </w:pPr>
      <w:r w:rsidRPr="00A3151B">
        <w:lastRenderedPageBreak/>
        <w:tab/>
        <w:t>As a challenge to the idealised conception of the liberal (autonomous) person</w:t>
      </w:r>
      <w:r w:rsidR="00340161" w:rsidRPr="00A3151B">
        <w:t xml:space="preserve">, analytic feminists have </w:t>
      </w:r>
      <w:r w:rsidR="00036AC3" w:rsidRPr="00A3151B">
        <w:t>developed</w:t>
      </w:r>
      <w:r w:rsidR="00340161" w:rsidRPr="00A3151B">
        <w:t xml:space="preserve"> ‘relational’ accounts of autonomy, which </w:t>
      </w:r>
      <w:r w:rsidR="00640D14" w:rsidRPr="00A3151B">
        <w:t>highlight the</w:t>
      </w:r>
      <w:r w:rsidR="00340161" w:rsidRPr="00A3151B">
        <w:t xml:space="preserve"> ‘vulnerability’ of personal autonomy</w:t>
      </w:r>
      <w:r w:rsidR="00B62E16" w:rsidRPr="00A3151B">
        <w:t>.</w:t>
      </w:r>
      <w:r w:rsidR="000D2BF3" w:rsidRPr="00A3151B">
        <w:t xml:space="preserve"> </w:t>
      </w:r>
      <w:r w:rsidR="004C75A7" w:rsidRPr="00A3151B">
        <w:t>S</w:t>
      </w:r>
      <w:r w:rsidR="00036AC3" w:rsidRPr="00A3151B">
        <w:t>uch</w:t>
      </w:r>
      <w:r w:rsidR="00640D14" w:rsidRPr="00A3151B">
        <w:t xml:space="preserve"> accounts are</w:t>
      </w:r>
      <w:r w:rsidR="000D2BF3" w:rsidRPr="00A3151B">
        <w:t xml:space="preserve"> </w:t>
      </w:r>
      <w:r w:rsidR="00640D14" w:rsidRPr="00A3151B">
        <w:t>premised on</w:t>
      </w:r>
      <w:r w:rsidR="000D2BF3" w:rsidRPr="00A3151B">
        <w:t xml:space="preserve"> an understanding of interpersonal and social relationships as background conditions for the </w:t>
      </w:r>
      <w:r w:rsidR="00640D14" w:rsidRPr="00A3151B">
        <w:t xml:space="preserve">development, </w:t>
      </w:r>
      <w:r w:rsidR="000D2BF3" w:rsidRPr="00A3151B">
        <w:t>exercise and achievement of autonomy.</w:t>
      </w:r>
      <w:r w:rsidR="000D2BF3" w:rsidRPr="00A3151B">
        <w:rPr>
          <w:vertAlign w:val="superscript"/>
        </w:rPr>
        <w:footnoteReference w:id="99"/>
      </w:r>
      <w:r w:rsidR="006E1BEF" w:rsidRPr="00A3151B">
        <w:t xml:space="preserve"> </w:t>
      </w:r>
      <w:r w:rsidR="00B5781E" w:rsidRPr="00A3151B">
        <w:t xml:space="preserve">On that basis, </w:t>
      </w:r>
      <w:r w:rsidR="004C75A7" w:rsidRPr="00A3151B">
        <w:t>relational theorists</w:t>
      </w:r>
      <w:r w:rsidR="00B5781E" w:rsidRPr="00A3151B">
        <w:t xml:space="preserve"> have argued that some relationships are hostile to autonomy.</w:t>
      </w:r>
      <w:r w:rsidR="00B5781E" w:rsidRPr="00A3151B">
        <w:rPr>
          <w:rStyle w:val="FootnoteReference"/>
        </w:rPr>
        <w:footnoteReference w:id="100"/>
      </w:r>
      <w:r w:rsidR="00B4692B" w:rsidRPr="00A3151B">
        <w:t xml:space="preserve"> Not only can relations of domination, oppression and exclusion undermine the capacities required for autonomy,</w:t>
      </w:r>
      <w:r w:rsidR="00B4692B" w:rsidRPr="00A3151B">
        <w:rPr>
          <w:rStyle w:val="FootnoteReference"/>
        </w:rPr>
        <w:footnoteReference w:id="101"/>
      </w:r>
      <w:r w:rsidR="00B4692B" w:rsidRPr="00A3151B">
        <w:t xml:space="preserve"> they can constrain the sorts of values, desires and motives </w:t>
      </w:r>
      <w:r w:rsidR="00D43228" w:rsidRPr="00A3151B">
        <w:t>an individual is</w:t>
      </w:r>
      <w:r w:rsidR="00B4692B" w:rsidRPr="00A3151B">
        <w:t xml:space="preserve"> able to recognise and undermine </w:t>
      </w:r>
      <w:r w:rsidR="00D43228" w:rsidRPr="00A3151B">
        <w:t>her</w:t>
      </w:r>
      <w:r w:rsidR="00B4692B" w:rsidRPr="00A3151B">
        <w:t xml:space="preserve"> respect for </w:t>
      </w:r>
      <w:r w:rsidR="00D43228" w:rsidRPr="00A3151B">
        <w:t>herself</w:t>
      </w:r>
      <w:r w:rsidR="00B4692B" w:rsidRPr="00A3151B">
        <w:t xml:space="preserve"> and </w:t>
      </w:r>
      <w:r w:rsidR="00D43228" w:rsidRPr="00A3151B">
        <w:t>her</w:t>
      </w:r>
      <w:r w:rsidR="00B4692B" w:rsidRPr="00A3151B">
        <w:t xml:space="preserve"> decisions.</w:t>
      </w:r>
      <w:r w:rsidR="00B4692B" w:rsidRPr="00A3151B">
        <w:rPr>
          <w:vertAlign w:val="superscript"/>
        </w:rPr>
        <w:footnoteReference w:id="102"/>
      </w:r>
      <w:r w:rsidR="00B4692B" w:rsidRPr="00A3151B">
        <w:t xml:space="preserve"> </w:t>
      </w:r>
      <w:r w:rsidR="008350C8" w:rsidRPr="00A3151B">
        <w:t>Specifically</w:t>
      </w:r>
      <w:r w:rsidR="00F94292" w:rsidRPr="00A3151B">
        <w:t xml:space="preserve">, relational theorists </w:t>
      </w:r>
      <w:r w:rsidR="00DD513C" w:rsidRPr="00A3151B">
        <w:t>have tended to focus on the ways in which interpersonal and social relations affect</w:t>
      </w:r>
      <w:r w:rsidR="00F94292" w:rsidRPr="00A3151B">
        <w:t xml:space="preserve"> the </w:t>
      </w:r>
      <w:r w:rsidR="00F94292" w:rsidRPr="00A3151B">
        <w:rPr>
          <w:i/>
        </w:rPr>
        <w:t>authenticity</w:t>
      </w:r>
      <w:r w:rsidR="00F94292" w:rsidRPr="00A3151B">
        <w:t xml:space="preserve"> conditions for autonomy.</w:t>
      </w:r>
      <w:r w:rsidR="00F94292" w:rsidRPr="00A3151B">
        <w:rPr>
          <w:vertAlign w:val="superscript"/>
        </w:rPr>
        <w:footnoteReference w:id="103"/>
      </w:r>
      <w:r w:rsidR="00F94292" w:rsidRPr="00A3151B">
        <w:t xml:space="preserve"> This coincides with the broader focus on autonomy understood as </w:t>
      </w:r>
      <w:r w:rsidR="00F94292" w:rsidRPr="00A3151B">
        <w:rPr>
          <w:i/>
        </w:rPr>
        <w:t>self-governance</w:t>
      </w:r>
      <w:r w:rsidR="004D34C4" w:rsidRPr="00A3151B">
        <w:t xml:space="preserve"> – an </w:t>
      </w:r>
      <w:r w:rsidR="00F94292" w:rsidRPr="00A3151B">
        <w:t>individual’s power behind whatever reasoning directly gives rise to their behaviour.</w:t>
      </w:r>
      <w:r w:rsidR="00DD513C" w:rsidRPr="00A3151B">
        <w:rPr>
          <w:rStyle w:val="FootnoteReference"/>
        </w:rPr>
        <w:footnoteReference w:id="104"/>
      </w:r>
    </w:p>
    <w:p w14:paraId="0DA4E60E" w14:textId="31EFFA42" w:rsidR="00E66CDE" w:rsidRPr="00A3151B" w:rsidRDefault="0026424E" w:rsidP="00CE712F">
      <w:pPr>
        <w:tabs>
          <w:tab w:val="left" w:pos="720"/>
        </w:tabs>
        <w:spacing w:line="480" w:lineRule="auto"/>
        <w:jc w:val="both"/>
        <w:rPr>
          <w:bCs/>
        </w:rPr>
      </w:pPr>
      <w:r w:rsidRPr="00A3151B">
        <w:tab/>
        <w:t xml:space="preserve">To the extent that relational approaches to autonomy have </w:t>
      </w:r>
      <w:r w:rsidR="008350C8" w:rsidRPr="00A3151B">
        <w:t>tended to focus</w:t>
      </w:r>
      <w:r w:rsidRPr="00A3151B">
        <w:t xml:space="preserve"> on the ways in which interpersonal and social relationships affect the </w:t>
      </w:r>
      <w:r w:rsidRPr="00A3151B">
        <w:rPr>
          <w:i/>
        </w:rPr>
        <w:t>authenticity</w:t>
      </w:r>
      <w:r w:rsidRPr="00A3151B">
        <w:t xml:space="preserve"> conditions for autonomy, they cannot </w:t>
      </w:r>
      <w:r w:rsidRPr="00A3151B">
        <w:rPr>
          <w:bCs/>
        </w:rPr>
        <w:t xml:space="preserve">function as a plausible interpretation of the </w:t>
      </w:r>
      <w:r w:rsidRPr="00A3151B">
        <w:rPr>
          <w:bCs/>
          <w:i/>
        </w:rPr>
        <w:t>necessary</w:t>
      </w:r>
      <w:r w:rsidRPr="00A3151B">
        <w:rPr>
          <w:bCs/>
        </w:rPr>
        <w:t xml:space="preserve"> </w:t>
      </w:r>
      <w:r w:rsidR="004D34C4" w:rsidRPr="00A3151B">
        <w:rPr>
          <w:bCs/>
        </w:rPr>
        <w:t xml:space="preserve">conceptual </w:t>
      </w:r>
      <w:r w:rsidRPr="00A3151B">
        <w:rPr>
          <w:bCs/>
        </w:rPr>
        <w:t xml:space="preserve">entwinement of the concepts of </w:t>
      </w:r>
      <w:r w:rsidR="004C75A7" w:rsidRPr="00A3151B">
        <w:rPr>
          <w:bCs/>
        </w:rPr>
        <w:t xml:space="preserve">situational </w:t>
      </w:r>
      <w:r w:rsidRPr="00A3151B">
        <w:rPr>
          <w:bCs/>
        </w:rPr>
        <w:t xml:space="preserve">vulnerability and autonomy. </w:t>
      </w:r>
      <w:r w:rsidR="004B26AE" w:rsidRPr="00A3151B">
        <w:rPr>
          <w:bCs/>
        </w:rPr>
        <w:t xml:space="preserve">Framing this claim in relation to </w:t>
      </w:r>
      <w:r w:rsidR="00567E05" w:rsidRPr="00A3151B">
        <w:rPr>
          <w:bCs/>
        </w:rPr>
        <w:t xml:space="preserve">the </w:t>
      </w:r>
      <w:r w:rsidR="00202205" w:rsidRPr="00A3151B">
        <w:rPr>
          <w:bCs/>
        </w:rPr>
        <w:t>second</w:t>
      </w:r>
      <w:r w:rsidR="00567E05" w:rsidRPr="00A3151B">
        <w:rPr>
          <w:bCs/>
        </w:rPr>
        <w:t xml:space="preserve"> common law response</w:t>
      </w:r>
      <w:r w:rsidR="004B26AE" w:rsidRPr="00A3151B">
        <w:rPr>
          <w:bCs/>
        </w:rPr>
        <w:t xml:space="preserve"> to the </w:t>
      </w:r>
      <w:r w:rsidR="004D34C4" w:rsidRPr="00A3151B">
        <w:rPr>
          <w:bCs/>
        </w:rPr>
        <w:t xml:space="preserve">situational </w:t>
      </w:r>
      <w:r w:rsidR="004B26AE" w:rsidRPr="00A3151B">
        <w:rPr>
          <w:bCs/>
        </w:rPr>
        <w:t>vulnerability of capacitous adults, we have already noted that overly paternalistic approaches can contribute to</w:t>
      </w:r>
      <w:r w:rsidR="00AC7A5B" w:rsidRPr="00A3151B">
        <w:rPr>
          <w:bCs/>
        </w:rPr>
        <w:t xml:space="preserve"> </w:t>
      </w:r>
      <w:r w:rsidR="004B26AE" w:rsidRPr="00A3151B">
        <w:rPr>
          <w:bCs/>
        </w:rPr>
        <w:t xml:space="preserve">non-authentic values, </w:t>
      </w:r>
      <w:r w:rsidR="004B26AE" w:rsidRPr="00A3151B">
        <w:rPr>
          <w:bCs/>
        </w:rPr>
        <w:lastRenderedPageBreak/>
        <w:t xml:space="preserve">desires and motives, a lack of self-respect, mistrust of one’s own decisions </w:t>
      </w:r>
      <w:r w:rsidR="00905CD2" w:rsidRPr="00A3151B">
        <w:rPr>
          <w:bCs/>
        </w:rPr>
        <w:t xml:space="preserve">and an inability to recognise one’s decisions and commitments as meaningful, worthwhile and valuable. The point is that these ‘harms’ to the autonomy of vulnerable adults with capacity are </w:t>
      </w:r>
      <w:r w:rsidR="00905CD2" w:rsidRPr="00A3151B">
        <w:rPr>
          <w:bCs/>
          <w:i/>
        </w:rPr>
        <w:t>contingent</w:t>
      </w:r>
      <w:r w:rsidR="00905CD2" w:rsidRPr="00A3151B">
        <w:rPr>
          <w:bCs/>
        </w:rPr>
        <w:t xml:space="preserve"> rather than </w:t>
      </w:r>
      <w:r w:rsidR="00905CD2" w:rsidRPr="00A3151B">
        <w:rPr>
          <w:bCs/>
          <w:i/>
        </w:rPr>
        <w:t>necessary</w:t>
      </w:r>
      <w:r w:rsidR="00905CD2" w:rsidRPr="00A3151B">
        <w:rPr>
          <w:bCs/>
        </w:rPr>
        <w:t xml:space="preserve">. </w:t>
      </w:r>
      <w:r w:rsidR="00243E4D" w:rsidRPr="00A3151B">
        <w:rPr>
          <w:bCs/>
        </w:rPr>
        <w:t>What this means is that whether a</w:t>
      </w:r>
      <w:r w:rsidR="00905CD2" w:rsidRPr="00A3151B">
        <w:rPr>
          <w:bCs/>
        </w:rPr>
        <w:t xml:space="preserve"> specific capacitous vulnerable adult </w:t>
      </w:r>
      <w:r w:rsidR="00243E4D" w:rsidRPr="00A3151B">
        <w:rPr>
          <w:bCs/>
        </w:rPr>
        <w:t xml:space="preserve">experiences these effects </w:t>
      </w:r>
      <w:r w:rsidR="00912B77" w:rsidRPr="00A3151B">
        <w:rPr>
          <w:bCs/>
        </w:rPr>
        <w:t>to</w:t>
      </w:r>
      <w:r w:rsidR="00243E4D" w:rsidRPr="00A3151B">
        <w:rPr>
          <w:bCs/>
        </w:rPr>
        <w:t xml:space="preserve"> her autonomy will, ultimately, </w:t>
      </w:r>
      <w:r w:rsidR="00905CD2" w:rsidRPr="00A3151B">
        <w:rPr>
          <w:bCs/>
        </w:rPr>
        <w:t>depend on her psychological states and dispositions, which, in part, constitute her practical identity and self-understanding (and thereby determine her values, desires, motivations and reasoning processes</w:t>
      </w:r>
      <w:r w:rsidR="00243E4D" w:rsidRPr="00A3151B">
        <w:rPr>
          <w:bCs/>
        </w:rPr>
        <w:t xml:space="preserve">). </w:t>
      </w:r>
      <w:r w:rsidR="00DC2A61" w:rsidRPr="00A3151B">
        <w:rPr>
          <w:bCs/>
        </w:rPr>
        <w:t xml:space="preserve">Thus, to the extent that </w:t>
      </w:r>
      <w:r w:rsidR="008350C8" w:rsidRPr="00A3151B">
        <w:rPr>
          <w:bCs/>
        </w:rPr>
        <w:t xml:space="preserve">certain </w:t>
      </w:r>
      <w:r w:rsidR="00DC2A61" w:rsidRPr="00A3151B">
        <w:rPr>
          <w:bCs/>
        </w:rPr>
        <w:t xml:space="preserve">analytic feminists have focused on the relational dimensions of self-governance, their approaches are only able to explain the ways in which autonomy and </w:t>
      </w:r>
      <w:r w:rsidR="004C75A7" w:rsidRPr="00A3151B">
        <w:rPr>
          <w:bCs/>
        </w:rPr>
        <w:t xml:space="preserve">situational </w:t>
      </w:r>
      <w:r w:rsidR="00DC2A61" w:rsidRPr="00A3151B">
        <w:rPr>
          <w:bCs/>
        </w:rPr>
        <w:t xml:space="preserve">vulnerability are </w:t>
      </w:r>
      <w:r w:rsidR="00DC2A61" w:rsidRPr="00A3151B">
        <w:rPr>
          <w:bCs/>
          <w:i/>
        </w:rPr>
        <w:t>contingently</w:t>
      </w:r>
      <w:r w:rsidR="00DC2A61" w:rsidRPr="00A3151B">
        <w:rPr>
          <w:bCs/>
        </w:rPr>
        <w:t xml:space="preserve"> entwined. </w:t>
      </w:r>
      <w:r w:rsidR="007A2B6C" w:rsidRPr="00A3151B">
        <w:rPr>
          <w:bCs/>
        </w:rPr>
        <w:t xml:space="preserve">In order to account for </w:t>
      </w:r>
      <w:r w:rsidR="007A2B6C" w:rsidRPr="00A3151B">
        <w:rPr>
          <w:bCs/>
          <w:i/>
        </w:rPr>
        <w:t>necessary</w:t>
      </w:r>
      <w:r w:rsidR="007A2B6C" w:rsidRPr="00A3151B">
        <w:rPr>
          <w:bCs/>
        </w:rPr>
        <w:t xml:space="preserve"> </w:t>
      </w:r>
      <w:r w:rsidR="004D34C4" w:rsidRPr="00A3151B">
        <w:rPr>
          <w:bCs/>
        </w:rPr>
        <w:t xml:space="preserve">conceptual </w:t>
      </w:r>
      <w:r w:rsidR="007A2B6C" w:rsidRPr="00A3151B">
        <w:rPr>
          <w:bCs/>
        </w:rPr>
        <w:t xml:space="preserve">entwinement of autonomy and </w:t>
      </w:r>
      <w:r w:rsidR="004C75A7" w:rsidRPr="00A3151B">
        <w:rPr>
          <w:bCs/>
        </w:rPr>
        <w:t xml:space="preserve">situational </w:t>
      </w:r>
      <w:r w:rsidR="007A2B6C" w:rsidRPr="00A3151B">
        <w:rPr>
          <w:bCs/>
        </w:rPr>
        <w:t xml:space="preserve">vulnerability, what needs to be explained is how denials of a capacitous vulnerable adult’s decision-making authority generates harms to </w:t>
      </w:r>
      <w:r w:rsidR="00912B77" w:rsidRPr="00A3151B">
        <w:rPr>
          <w:bCs/>
        </w:rPr>
        <w:t>her</w:t>
      </w:r>
      <w:r w:rsidR="007A2B6C" w:rsidRPr="00A3151B">
        <w:rPr>
          <w:bCs/>
        </w:rPr>
        <w:t xml:space="preserve"> autonomy regardless of </w:t>
      </w:r>
      <w:r w:rsidR="00912B77" w:rsidRPr="00A3151B">
        <w:rPr>
          <w:bCs/>
        </w:rPr>
        <w:t>her</w:t>
      </w:r>
      <w:r w:rsidR="007A2B6C" w:rsidRPr="00A3151B">
        <w:rPr>
          <w:bCs/>
        </w:rPr>
        <w:t xml:space="preserve"> individual characteristics and resiliency to the effects of paternalistic intervention.</w:t>
      </w:r>
    </w:p>
    <w:p w14:paraId="558B01A3" w14:textId="5400748A" w:rsidR="00BE0E1C" w:rsidRPr="00A3151B" w:rsidRDefault="00E66CDE" w:rsidP="00E66CDE">
      <w:pPr>
        <w:tabs>
          <w:tab w:val="left" w:pos="720"/>
        </w:tabs>
        <w:spacing w:line="480" w:lineRule="auto"/>
        <w:jc w:val="both"/>
        <w:rPr>
          <w:bCs/>
        </w:rPr>
      </w:pPr>
      <w:r w:rsidRPr="00A3151B">
        <w:rPr>
          <w:bCs/>
        </w:rPr>
        <w:tab/>
      </w:r>
      <w:r w:rsidR="007A2B6C" w:rsidRPr="00A3151B">
        <w:rPr>
          <w:bCs/>
        </w:rPr>
        <w:t>Returning to the</w:t>
      </w:r>
      <w:r w:rsidRPr="00A3151B">
        <w:rPr>
          <w:bCs/>
        </w:rPr>
        <w:t xml:space="preserve"> case of</w:t>
      </w:r>
      <w:r w:rsidR="0078260C" w:rsidRPr="00A3151B">
        <w:rPr>
          <w:bCs/>
        </w:rPr>
        <w:t xml:space="preserve"> Mr Mazhar,</w:t>
      </w:r>
      <w:r w:rsidRPr="00A3151B">
        <w:rPr>
          <w:bCs/>
        </w:rPr>
        <w:t xml:space="preserve"> </w:t>
      </w:r>
      <w:r w:rsidR="007A2B6C" w:rsidRPr="00A3151B">
        <w:rPr>
          <w:bCs/>
        </w:rPr>
        <w:t>the</w:t>
      </w:r>
      <w:r w:rsidRPr="00A3151B">
        <w:rPr>
          <w:bCs/>
        </w:rPr>
        <w:t xml:space="preserve"> NHS Trust</w:t>
      </w:r>
      <w:r w:rsidR="007A2B6C" w:rsidRPr="00A3151B">
        <w:rPr>
          <w:bCs/>
        </w:rPr>
        <w:t xml:space="preserve"> and the</w:t>
      </w:r>
      <w:r w:rsidR="00912B77" w:rsidRPr="00A3151B">
        <w:rPr>
          <w:bCs/>
        </w:rPr>
        <w:t xml:space="preserve"> High C</w:t>
      </w:r>
      <w:r w:rsidR="007A2B6C" w:rsidRPr="00A3151B">
        <w:rPr>
          <w:bCs/>
        </w:rPr>
        <w:t>ourt</w:t>
      </w:r>
      <w:r w:rsidRPr="00A3151B">
        <w:rPr>
          <w:bCs/>
        </w:rPr>
        <w:t xml:space="preserve"> </w:t>
      </w:r>
      <w:r w:rsidR="007A2B6C" w:rsidRPr="00A3151B">
        <w:rPr>
          <w:bCs/>
        </w:rPr>
        <w:t>were</w:t>
      </w:r>
      <w:r w:rsidRPr="00A3151B">
        <w:rPr>
          <w:bCs/>
        </w:rPr>
        <w:t xml:space="preserve"> not interfering with </w:t>
      </w:r>
      <w:r w:rsidR="0078260C" w:rsidRPr="00A3151B">
        <w:rPr>
          <w:bCs/>
        </w:rPr>
        <w:t>his</w:t>
      </w:r>
      <w:r w:rsidR="007A2B6C" w:rsidRPr="00A3151B">
        <w:rPr>
          <w:bCs/>
        </w:rPr>
        <w:t xml:space="preserve"> </w:t>
      </w:r>
      <w:r w:rsidR="002547DA" w:rsidRPr="00A3151B">
        <w:rPr>
          <w:bCs/>
        </w:rPr>
        <w:t>internal cognitive processes that, in part, determined his ability</w:t>
      </w:r>
      <w:r w:rsidRPr="00A3151B">
        <w:rPr>
          <w:bCs/>
        </w:rPr>
        <w:t xml:space="preserve"> to self-govern. In other words, the paternalistic response to </w:t>
      </w:r>
      <w:r w:rsidR="007A2B6C" w:rsidRPr="00A3151B">
        <w:rPr>
          <w:bCs/>
        </w:rPr>
        <w:t>Mr Mazhar’s refusal of treatment in hospital</w:t>
      </w:r>
      <w:r w:rsidRPr="00A3151B">
        <w:rPr>
          <w:bCs/>
        </w:rPr>
        <w:t xml:space="preserve"> </w:t>
      </w:r>
      <w:r w:rsidR="007A2B6C" w:rsidRPr="00A3151B">
        <w:rPr>
          <w:bCs/>
        </w:rPr>
        <w:t>did</w:t>
      </w:r>
      <w:r w:rsidRPr="00A3151B">
        <w:rPr>
          <w:bCs/>
        </w:rPr>
        <w:t xml:space="preserve"> not seem to directly affect the power behind whatever reasoning directly </w:t>
      </w:r>
      <w:r w:rsidR="007A2B6C" w:rsidRPr="00A3151B">
        <w:rPr>
          <w:bCs/>
        </w:rPr>
        <w:t>gave</w:t>
      </w:r>
      <w:r w:rsidRPr="00A3151B">
        <w:rPr>
          <w:bCs/>
        </w:rPr>
        <w:t xml:space="preserve"> rise to </w:t>
      </w:r>
      <w:r w:rsidR="007A2B6C" w:rsidRPr="00A3151B">
        <w:rPr>
          <w:bCs/>
        </w:rPr>
        <w:t>his</w:t>
      </w:r>
      <w:r w:rsidRPr="00A3151B">
        <w:rPr>
          <w:bCs/>
        </w:rPr>
        <w:t xml:space="preserve"> behaviour. The fact that </w:t>
      </w:r>
      <w:r w:rsidR="007A2B6C" w:rsidRPr="00A3151B">
        <w:rPr>
          <w:bCs/>
        </w:rPr>
        <w:t>Mr Mazhar</w:t>
      </w:r>
      <w:r w:rsidRPr="00A3151B">
        <w:rPr>
          <w:bCs/>
        </w:rPr>
        <w:t xml:space="preserve"> remained committed to </w:t>
      </w:r>
      <w:r w:rsidR="007A2B6C" w:rsidRPr="00A3151B">
        <w:rPr>
          <w:bCs/>
        </w:rPr>
        <w:t>his</w:t>
      </w:r>
      <w:r w:rsidRPr="00A3151B">
        <w:rPr>
          <w:bCs/>
        </w:rPr>
        <w:t xml:space="preserve"> refusal </w:t>
      </w:r>
      <w:r w:rsidR="007A2B6C" w:rsidRPr="00A3151B">
        <w:rPr>
          <w:bCs/>
        </w:rPr>
        <w:t>throughout the appeal process</w:t>
      </w:r>
      <w:r w:rsidR="004C75A7" w:rsidRPr="00A3151B">
        <w:rPr>
          <w:bCs/>
        </w:rPr>
        <w:t xml:space="preserve"> </w:t>
      </w:r>
      <w:r w:rsidRPr="00A3151B">
        <w:rPr>
          <w:bCs/>
        </w:rPr>
        <w:t xml:space="preserve">demonstrates that </w:t>
      </w:r>
      <w:r w:rsidR="007A2B6C" w:rsidRPr="00A3151B">
        <w:rPr>
          <w:bCs/>
        </w:rPr>
        <w:t>he</w:t>
      </w:r>
      <w:r w:rsidRPr="00A3151B">
        <w:rPr>
          <w:bCs/>
        </w:rPr>
        <w:t xml:space="preserve"> </w:t>
      </w:r>
      <w:r w:rsidR="00912B77" w:rsidRPr="00A3151B">
        <w:rPr>
          <w:bCs/>
        </w:rPr>
        <w:t>continued to hold</w:t>
      </w:r>
      <w:r w:rsidRPr="00A3151B">
        <w:rPr>
          <w:bCs/>
        </w:rPr>
        <w:t xml:space="preserve"> power over </w:t>
      </w:r>
      <w:r w:rsidR="007A2B6C" w:rsidRPr="00A3151B">
        <w:rPr>
          <w:bCs/>
        </w:rPr>
        <w:t>his</w:t>
      </w:r>
      <w:r w:rsidRPr="00A3151B">
        <w:rPr>
          <w:bCs/>
        </w:rPr>
        <w:t xml:space="preserve"> reasoning. Instead, </w:t>
      </w:r>
      <w:r w:rsidR="007A2B6C" w:rsidRPr="00A3151B">
        <w:rPr>
          <w:bCs/>
        </w:rPr>
        <w:t xml:space="preserve">as we have seen, what had been </w:t>
      </w:r>
      <w:r w:rsidR="002547DA" w:rsidRPr="00A3151B">
        <w:rPr>
          <w:bCs/>
        </w:rPr>
        <w:t>ignored</w:t>
      </w:r>
      <w:r w:rsidR="007A2B6C" w:rsidRPr="00A3151B">
        <w:rPr>
          <w:bCs/>
        </w:rPr>
        <w:t xml:space="preserve"> by the health care staff and the </w:t>
      </w:r>
      <w:r w:rsidR="00912B77" w:rsidRPr="00A3151B">
        <w:rPr>
          <w:bCs/>
        </w:rPr>
        <w:t>High C</w:t>
      </w:r>
      <w:r w:rsidR="007A2B6C" w:rsidRPr="00A3151B">
        <w:rPr>
          <w:bCs/>
        </w:rPr>
        <w:t xml:space="preserve">ourt </w:t>
      </w:r>
      <w:r w:rsidR="002547DA" w:rsidRPr="00A3151B">
        <w:rPr>
          <w:bCs/>
        </w:rPr>
        <w:t>was his</w:t>
      </w:r>
      <w:r w:rsidR="00831FCB" w:rsidRPr="00A3151B">
        <w:rPr>
          <w:bCs/>
        </w:rPr>
        <w:t xml:space="preserve"> </w:t>
      </w:r>
      <w:r w:rsidR="00D22FDE" w:rsidRPr="00A3151B">
        <w:rPr>
          <w:bCs/>
          <w:i/>
        </w:rPr>
        <w:t>status</w:t>
      </w:r>
      <w:r w:rsidR="00D22FDE" w:rsidRPr="00A3151B">
        <w:rPr>
          <w:bCs/>
        </w:rPr>
        <w:t xml:space="preserve"> as someone with the authority to be self-governing</w:t>
      </w:r>
      <w:r w:rsidR="002547DA" w:rsidRPr="00A3151B">
        <w:rPr>
          <w:bCs/>
        </w:rPr>
        <w:t xml:space="preserve">, an act that led to the violation of his </w:t>
      </w:r>
      <w:r w:rsidR="004D34C4" w:rsidRPr="00A3151B">
        <w:rPr>
          <w:bCs/>
        </w:rPr>
        <w:t>autonomy</w:t>
      </w:r>
      <w:r w:rsidR="00032312" w:rsidRPr="00A3151B">
        <w:rPr>
          <w:bCs/>
        </w:rPr>
        <w:t xml:space="preserve">. </w:t>
      </w:r>
    </w:p>
    <w:p w14:paraId="7B700ABC" w14:textId="1A6500C2" w:rsidR="00CA19BC" w:rsidRPr="00A3151B" w:rsidRDefault="00BE0E1C" w:rsidP="00314F3D">
      <w:pPr>
        <w:tabs>
          <w:tab w:val="left" w:pos="720"/>
        </w:tabs>
        <w:spacing w:line="480" w:lineRule="auto"/>
        <w:jc w:val="both"/>
        <w:rPr>
          <w:bCs/>
        </w:rPr>
      </w:pPr>
      <w:r w:rsidRPr="00A3151B">
        <w:rPr>
          <w:bCs/>
        </w:rPr>
        <w:tab/>
      </w:r>
      <w:r w:rsidR="00D15CD2" w:rsidRPr="00A3151B">
        <w:rPr>
          <w:bCs/>
        </w:rPr>
        <w:t xml:space="preserve">As we have already observed, </w:t>
      </w:r>
      <w:r w:rsidR="00AC7A5B" w:rsidRPr="00A3151B">
        <w:rPr>
          <w:bCs/>
        </w:rPr>
        <w:t xml:space="preserve">some analytic feminists </w:t>
      </w:r>
      <w:r w:rsidR="00D21081" w:rsidRPr="00A3151B">
        <w:rPr>
          <w:bCs/>
        </w:rPr>
        <w:t xml:space="preserve">have been able to explain the harms to autonomy that Mr Mazhar experienced. This has involved the exploration of </w:t>
      </w:r>
      <w:r w:rsidR="00D15CD2" w:rsidRPr="00A3151B">
        <w:rPr>
          <w:bCs/>
        </w:rPr>
        <w:t xml:space="preserve">the </w:t>
      </w:r>
      <w:r w:rsidR="00D15CD2" w:rsidRPr="00A3151B">
        <w:rPr>
          <w:bCs/>
        </w:rPr>
        <w:lastRenderedPageBreak/>
        <w:t xml:space="preserve">relational dimensions of autonomy beyond the effects of interpersonal and social relationships on </w:t>
      </w:r>
      <w:r w:rsidR="006751A0" w:rsidRPr="00A3151B">
        <w:rPr>
          <w:bCs/>
        </w:rPr>
        <w:t xml:space="preserve">one’s reasoning processes and the values on which they are based. For </w:t>
      </w:r>
      <w:r w:rsidR="00D21081" w:rsidRPr="00A3151B">
        <w:rPr>
          <w:bCs/>
        </w:rPr>
        <w:t>these theorists</w:t>
      </w:r>
      <w:r w:rsidR="006751A0" w:rsidRPr="00A3151B">
        <w:rPr>
          <w:bCs/>
        </w:rPr>
        <w:t xml:space="preserve">, what accounts for the </w:t>
      </w:r>
      <w:r w:rsidR="006751A0" w:rsidRPr="00A3151B">
        <w:rPr>
          <w:bCs/>
          <w:i/>
        </w:rPr>
        <w:t>necessary</w:t>
      </w:r>
      <w:r w:rsidR="006751A0" w:rsidRPr="00A3151B">
        <w:rPr>
          <w:bCs/>
        </w:rPr>
        <w:t xml:space="preserve"> </w:t>
      </w:r>
      <w:r w:rsidR="004D34C4" w:rsidRPr="00A3151B">
        <w:rPr>
          <w:bCs/>
        </w:rPr>
        <w:t xml:space="preserve">conceptual </w:t>
      </w:r>
      <w:r w:rsidR="006751A0" w:rsidRPr="00A3151B">
        <w:rPr>
          <w:bCs/>
        </w:rPr>
        <w:t xml:space="preserve">entwinement of autonomy and </w:t>
      </w:r>
      <w:r w:rsidR="004C75A7" w:rsidRPr="00A3151B">
        <w:rPr>
          <w:bCs/>
        </w:rPr>
        <w:t xml:space="preserve">situational </w:t>
      </w:r>
      <w:r w:rsidR="006751A0" w:rsidRPr="00A3151B">
        <w:rPr>
          <w:bCs/>
        </w:rPr>
        <w:t>vulnerability is the fact</w:t>
      </w:r>
      <w:r w:rsidR="0042757A" w:rsidRPr="00A3151B">
        <w:rPr>
          <w:bCs/>
        </w:rPr>
        <w:t xml:space="preserve"> that</w:t>
      </w:r>
      <w:r w:rsidR="006751A0" w:rsidRPr="00A3151B">
        <w:rPr>
          <w:bCs/>
        </w:rPr>
        <w:t xml:space="preserve"> autonomy is necessarily dependent on relational practices of recognition.</w:t>
      </w:r>
      <w:r w:rsidR="006751A0" w:rsidRPr="00A3151B">
        <w:rPr>
          <w:bCs/>
          <w:vertAlign w:val="superscript"/>
        </w:rPr>
        <w:footnoteReference w:id="105"/>
      </w:r>
    </w:p>
    <w:p w14:paraId="1458D5C5" w14:textId="77777777" w:rsidR="00CA19BC" w:rsidRPr="00A3151B" w:rsidRDefault="00CA19BC" w:rsidP="00314F3D">
      <w:pPr>
        <w:tabs>
          <w:tab w:val="left" w:pos="720"/>
        </w:tabs>
        <w:spacing w:line="480" w:lineRule="auto"/>
        <w:jc w:val="both"/>
      </w:pPr>
    </w:p>
    <w:p w14:paraId="13841FC0" w14:textId="47C8A36D" w:rsidR="00DD513C" w:rsidRPr="00A3151B" w:rsidRDefault="00912B77" w:rsidP="001E3AA1">
      <w:pPr>
        <w:pStyle w:val="ListParagraph"/>
        <w:numPr>
          <w:ilvl w:val="0"/>
          <w:numId w:val="18"/>
        </w:numPr>
        <w:tabs>
          <w:tab w:val="left" w:pos="720"/>
        </w:tabs>
        <w:spacing w:line="480" w:lineRule="auto"/>
        <w:ind w:left="450" w:hanging="450"/>
        <w:jc w:val="center"/>
        <w:rPr>
          <w:rFonts w:ascii="Times New Roman" w:hAnsi="Times New Roman" w:cs="Times New Roman"/>
          <w:b/>
          <w:lang w:val="en-GB"/>
        </w:rPr>
      </w:pPr>
      <w:r w:rsidRPr="00A3151B">
        <w:rPr>
          <w:rFonts w:ascii="Times New Roman" w:hAnsi="Times New Roman" w:cs="Times New Roman"/>
          <w:b/>
          <w:lang w:val="en-GB"/>
        </w:rPr>
        <w:t>PROMOTING THE AUTONOMY OF CAPACITOUS VULNERABLE ADULTS</w:t>
      </w:r>
      <w:r w:rsidR="00C30C60" w:rsidRPr="00A3151B">
        <w:rPr>
          <w:rFonts w:ascii="Times New Roman" w:hAnsi="Times New Roman" w:cs="Times New Roman"/>
          <w:b/>
          <w:lang w:val="en-GB"/>
        </w:rPr>
        <w:t xml:space="preserve"> AND THE DUTY OF PROTECTION</w:t>
      </w:r>
    </w:p>
    <w:p w14:paraId="38BE4FD9" w14:textId="3C1AC789" w:rsidR="00D20623" w:rsidRPr="00A3151B" w:rsidRDefault="00D20623" w:rsidP="00E66CDE">
      <w:pPr>
        <w:tabs>
          <w:tab w:val="left" w:pos="720"/>
        </w:tabs>
        <w:spacing w:line="480" w:lineRule="auto"/>
        <w:jc w:val="both"/>
        <w:rPr>
          <w:bCs/>
        </w:rPr>
      </w:pPr>
    </w:p>
    <w:p w14:paraId="36C66EA7" w14:textId="38BE17BD" w:rsidR="00813686" w:rsidRPr="00A3151B" w:rsidRDefault="004D34C4" w:rsidP="00813686">
      <w:pPr>
        <w:tabs>
          <w:tab w:val="left" w:pos="720"/>
        </w:tabs>
        <w:spacing w:line="480" w:lineRule="auto"/>
        <w:jc w:val="both"/>
        <w:rPr>
          <w:bCs/>
        </w:rPr>
      </w:pPr>
      <w:r w:rsidRPr="00A3151B">
        <w:rPr>
          <w:bCs/>
        </w:rPr>
        <w:t>A</w:t>
      </w:r>
      <w:r w:rsidR="0068546D" w:rsidRPr="00A3151B">
        <w:rPr>
          <w:bCs/>
        </w:rPr>
        <w:t xml:space="preserve"> capacitous vulnerable patient cannot determine whether the decisions she makes regarding her care and treatment will be respected. T</w:t>
      </w:r>
      <w:r w:rsidR="00D977CD" w:rsidRPr="00A3151B">
        <w:rPr>
          <w:bCs/>
        </w:rPr>
        <w:t xml:space="preserve">o </w:t>
      </w:r>
      <w:r w:rsidR="00372E27" w:rsidRPr="00A3151B">
        <w:rPr>
          <w:bCs/>
        </w:rPr>
        <w:t>succ</w:t>
      </w:r>
      <w:r w:rsidR="00342C64" w:rsidRPr="00A3151B">
        <w:rPr>
          <w:bCs/>
        </w:rPr>
        <w:t>eed</w:t>
      </w:r>
      <w:r w:rsidR="00D977CD" w:rsidRPr="00A3151B">
        <w:rPr>
          <w:bCs/>
        </w:rPr>
        <w:t xml:space="preserve">, she </w:t>
      </w:r>
      <w:r w:rsidR="00D20623" w:rsidRPr="00A3151B">
        <w:rPr>
          <w:bCs/>
        </w:rPr>
        <w:t>must</w:t>
      </w:r>
      <w:r w:rsidR="00D977CD" w:rsidRPr="00A3151B">
        <w:rPr>
          <w:bCs/>
        </w:rPr>
        <w:t>, ultimately,</w:t>
      </w:r>
      <w:r w:rsidR="00D20623" w:rsidRPr="00A3151B">
        <w:rPr>
          <w:bCs/>
        </w:rPr>
        <w:t xml:space="preserve"> be recognised as an individual with the </w:t>
      </w:r>
      <w:r w:rsidR="00D20623" w:rsidRPr="00A3151B">
        <w:rPr>
          <w:bCs/>
          <w:i/>
        </w:rPr>
        <w:t>status</w:t>
      </w:r>
      <w:r w:rsidR="00D20623" w:rsidRPr="00A3151B">
        <w:rPr>
          <w:bCs/>
        </w:rPr>
        <w:t xml:space="preserve"> of someone who has the authority to make normatively-significant judgments </w:t>
      </w:r>
      <w:r w:rsidR="00D977CD" w:rsidRPr="00A3151B">
        <w:rPr>
          <w:bCs/>
        </w:rPr>
        <w:t xml:space="preserve">about matters that concern </w:t>
      </w:r>
      <w:r w:rsidR="00551722" w:rsidRPr="00A3151B">
        <w:rPr>
          <w:bCs/>
        </w:rPr>
        <w:t>her</w:t>
      </w:r>
      <w:r w:rsidR="00D20623" w:rsidRPr="00A3151B">
        <w:rPr>
          <w:bCs/>
        </w:rPr>
        <w:t>. This is what Mackenzie has referred to as the ‘self-authorisation’ dimension of autonomy, which ‘involves regarding oneself [and being recognised by others] as having the normative authority to be self-determining and self-governing’.</w:t>
      </w:r>
      <w:r w:rsidR="00D20623" w:rsidRPr="00A3151B">
        <w:rPr>
          <w:bCs/>
          <w:vertAlign w:val="superscript"/>
        </w:rPr>
        <w:footnoteReference w:id="106"/>
      </w:r>
      <w:r w:rsidR="0068546D" w:rsidRPr="00A3151B">
        <w:rPr>
          <w:bCs/>
        </w:rPr>
        <w:t xml:space="preserve"> </w:t>
      </w:r>
      <w:r w:rsidR="00D0563A" w:rsidRPr="00A3151B">
        <w:rPr>
          <w:bCs/>
        </w:rPr>
        <w:t xml:space="preserve">Accordingly, to regard oneself as having the authority to raise and defend claims to one’s autonomy as a person with equal standing, </w:t>
      </w:r>
      <w:r w:rsidR="00813686" w:rsidRPr="00A3151B">
        <w:rPr>
          <w:bCs/>
        </w:rPr>
        <w:t>one must view oneself as a ‘legitimate source of reasons for acting’</w:t>
      </w:r>
      <w:r w:rsidR="00D0563A" w:rsidRPr="00A3151B">
        <w:rPr>
          <w:bCs/>
        </w:rPr>
        <w:t>.</w:t>
      </w:r>
      <w:r w:rsidR="00D0563A" w:rsidRPr="00A3151B">
        <w:rPr>
          <w:rStyle w:val="FootnoteReference"/>
          <w:bCs/>
        </w:rPr>
        <w:footnoteReference w:id="107"/>
      </w:r>
      <w:r w:rsidR="00813686" w:rsidRPr="00A3151B">
        <w:rPr>
          <w:bCs/>
        </w:rPr>
        <w:t xml:space="preserve"> </w:t>
      </w:r>
      <w:r w:rsidR="005750D2" w:rsidRPr="00A3151B">
        <w:rPr>
          <w:bCs/>
        </w:rPr>
        <w:t>As Honneth and Anderson observe, ‘if one cannot think of oneself as a competent deliberator and legitimate co-author of decisions, it is hard to see how one can take oneself seriously in one’s own practical reasoning about what to do’.</w:t>
      </w:r>
      <w:r w:rsidR="005750D2" w:rsidRPr="00A3151B">
        <w:rPr>
          <w:rStyle w:val="FootnoteReference"/>
          <w:bCs/>
        </w:rPr>
        <w:footnoteReference w:id="108"/>
      </w:r>
      <w:r w:rsidR="005750D2" w:rsidRPr="00A3151B">
        <w:rPr>
          <w:bCs/>
        </w:rPr>
        <w:t xml:space="preserve"> However, such ‘self-respect’</w:t>
      </w:r>
      <w:r w:rsidRPr="00A3151B">
        <w:rPr>
          <w:bCs/>
        </w:rPr>
        <w:t xml:space="preserve"> </w:t>
      </w:r>
      <w:r w:rsidR="005750D2" w:rsidRPr="00A3151B">
        <w:rPr>
          <w:bCs/>
        </w:rPr>
        <w:t xml:space="preserve">must be </w:t>
      </w:r>
      <w:r w:rsidR="005750D2" w:rsidRPr="00A3151B">
        <w:rPr>
          <w:bCs/>
          <w:i/>
        </w:rPr>
        <w:t xml:space="preserve">genuine </w:t>
      </w:r>
      <w:r w:rsidR="005750D2" w:rsidRPr="00A3151B">
        <w:rPr>
          <w:bCs/>
        </w:rPr>
        <w:t xml:space="preserve">in the sense that one must be </w:t>
      </w:r>
      <w:r w:rsidRPr="00A3151B">
        <w:rPr>
          <w:bCs/>
        </w:rPr>
        <w:t>disposed</w:t>
      </w:r>
      <w:r w:rsidR="005750D2" w:rsidRPr="00A3151B">
        <w:rPr>
          <w:bCs/>
        </w:rPr>
        <w:t xml:space="preserve"> to vouch for </w:t>
      </w:r>
      <w:r w:rsidR="00FC4161" w:rsidRPr="00A3151B">
        <w:rPr>
          <w:bCs/>
        </w:rPr>
        <w:t>self-</w:t>
      </w:r>
      <w:r w:rsidR="005750D2" w:rsidRPr="00A3151B">
        <w:rPr>
          <w:bCs/>
        </w:rPr>
        <w:t xml:space="preserve">recognition of one’s normative authority </w:t>
      </w:r>
      <w:r w:rsidR="00813686" w:rsidRPr="00A3151B">
        <w:rPr>
          <w:bCs/>
        </w:rPr>
        <w:t xml:space="preserve">as </w:t>
      </w:r>
      <w:r w:rsidR="00813686" w:rsidRPr="00A3151B">
        <w:rPr>
          <w:bCs/>
          <w:i/>
        </w:rPr>
        <w:t xml:space="preserve">warranted </w:t>
      </w:r>
      <w:r w:rsidR="00813686" w:rsidRPr="00A3151B">
        <w:rPr>
          <w:bCs/>
        </w:rPr>
        <w:t xml:space="preserve">or </w:t>
      </w:r>
      <w:r w:rsidR="00813686" w:rsidRPr="00A3151B">
        <w:rPr>
          <w:bCs/>
          <w:i/>
        </w:rPr>
        <w:t>deserve</w:t>
      </w:r>
      <w:r w:rsidR="008827B3" w:rsidRPr="00A3151B">
        <w:rPr>
          <w:bCs/>
          <w:i/>
        </w:rPr>
        <w:t>d</w:t>
      </w:r>
      <w:r w:rsidR="005750D2" w:rsidRPr="00A3151B">
        <w:rPr>
          <w:bCs/>
        </w:rPr>
        <w:t>.</w:t>
      </w:r>
      <w:r w:rsidR="005750D2" w:rsidRPr="00A3151B">
        <w:rPr>
          <w:rStyle w:val="FootnoteReference"/>
          <w:bCs/>
        </w:rPr>
        <w:footnoteReference w:id="109"/>
      </w:r>
      <w:r w:rsidR="00813686" w:rsidRPr="00A3151B">
        <w:rPr>
          <w:bCs/>
        </w:rPr>
        <w:t xml:space="preserve"> </w:t>
      </w:r>
      <w:r w:rsidR="00DD61C4" w:rsidRPr="00A3151B">
        <w:rPr>
          <w:bCs/>
        </w:rPr>
        <w:t xml:space="preserve">According to analytic </w:t>
      </w:r>
      <w:r w:rsidR="00DD61C4" w:rsidRPr="00A3151B">
        <w:rPr>
          <w:bCs/>
        </w:rPr>
        <w:lastRenderedPageBreak/>
        <w:t>feminists who have explored this account of self-authorisation, one’s normative authority should be recognised as warranted or deserved if one is</w:t>
      </w:r>
      <w:r w:rsidR="00813686" w:rsidRPr="00A3151B">
        <w:rPr>
          <w:bCs/>
        </w:rPr>
        <w:t xml:space="preserve"> in control of </w:t>
      </w:r>
      <w:r w:rsidR="00DD61C4" w:rsidRPr="00A3151B">
        <w:rPr>
          <w:bCs/>
        </w:rPr>
        <w:t>one’s</w:t>
      </w:r>
      <w:r w:rsidR="00813686" w:rsidRPr="00A3151B">
        <w:rPr>
          <w:bCs/>
        </w:rPr>
        <w:t xml:space="preserve"> values, desires and motivations</w:t>
      </w:r>
      <w:r w:rsidR="00DD61C4" w:rsidRPr="00A3151B">
        <w:rPr>
          <w:bCs/>
        </w:rPr>
        <w:t xml:space="preserve">. In short, I must recognise that the values on which I </w:t>
      </w:r>
      <w:r w:rsidR="00BE57C0" w:rsidRPr="00A3151B">
        <w:rPr>
          <w:bCs/>
        </w:rPr>
        <w:t>deliberate</w:t>
      </w:r>
      <w:r w:rsidR="00DD61C4" w:rsidRPr="00A3151B">
        <w:rPr>
          <w:bCs/>
        </w:rPr>
        <w:t xml:space="preserve"> are </w:t>
      </w:r>
      <w:r w:rsidR="00DD61C4" w:rsidRPr="00A3151B">
        <w:rPr>
          <w:bCs/>
          <w:i/>
        </w:rPr>
        <w:t>my</w:t>
      </w:r>
      <w:r w:rsidR="00DD61C4" w:rsidRPr="00A3151B">
        <w:rPr>
          <w:bCs/>
        </w:rPr>
        <w:t xml:space="preserve"> </w:t>
      </w:r>
      <w:r w:rsidR="00DD61C4" w:rsidRPr="00A3151B">
        <w:rPr>
          <w:bCs/>
          <w:i/>
        </w:rPr>
        <w:t>own</w:t>
      </w:r>
      <w:r w:rsidR="00DD61C4" w:rsidRPr="00A3151B">
        <w:rPr>
          <w:bCs/>
        </w:rPr>
        <w:t xml:space="preserve"> </w:t>
      </w:r>
      <w:r w:rsidR="00813686" w:rsidRPr="00A3151B">
        <w:rPr>
          <w:bCs/>
        </w:rPr>
        <w:t xml:space="preserve">rather than </w:t>
      </w:r>
      <w:r w:rsidR="00DD61C4" w:rsidRPr="00A3151B">
        <w:rPr>
          <w:bCs/>
        </w:rPr>
        <w:t xml:space="preserve">the products of </w:t>
      </w:r>
      <w:r w:rsidR="00813686" w:rsidRPr="00A3151B">
        <w:rPr>
          <w:bCs/>
        </w:rPr>
        <w:t>malign external influence</w:t>
      </w:r>
      <w:r w:rsidR="00DD61C4" w:rsidRPr="00A3151B">
        <w:rPr>
          <w:bCs/>
        </w:rPr>
        <w:t>s.</w:t>
      </w:r>
      <w:r w:rsidR="00DD61C4" w:rsidRPr="00A3151B">
        <w:rPr>
          <w:rStyle w:val="FootnoteReference"/>
          <w:bCs/>
        </w:rPr>
        <w:footnoteReference w:id="110"/>
      </w:r>
      <w:r w:rsidR="00813686" w:rsidRPr="00A3151B">
        <w:rPr>
          <w:bCs/>
        </w:rPr>
        <w:t xml:space="preserve"> In turn, </w:t>
      </w:r>
      <w:r w:rsidR="00BE57C0" w:rsidRPr="00A3151B">
        <w:rPr>
          <w:bCs/>
        </w:rPr>
        <w:t xml:space="preserve">analytic feminists have argued that </w:t>
      </w:r>
      <w:r w:rsidR="00813686" w:rsidRPr="00A3151B">
        <w:rPr>
          <w:bCs/>
        </w:rPr>
        <w:t>once one takes one’s authority to be legitimate, then one accepts that one is able to speak for oneself and thereby answer to others.</w:t>
      </w:r>
      <w:r w:rsidR="00BE57C0" w:rsidRPr="00A3151B">
        <w:rPr>
          <w:rStyle w:val="FootnoteReference"/>
          <w:bCs/>
        </w:rPr>
        <w:footnoteReference w:id="111"/>
      </w:r>
    </w:p>
    <w:p w14:paraId="758FC545" w14:textId="415770BE" w:rsidR="00813686" w:rsidRPr="00A3151B" w:rsidRDefault="00813686" w:rsidP="00813686">
      <w:pPr>
        <w:tabs>
          <w:tab w:val="left" w:pos="720"/>
        </w:tabs>
        <w:spacing w:line="480" w:lineRule="auto"/>
        <w:jc w:val="both"/>
        <w:rPr>
          <w:bCs/>
        </w:rPr>
      </w:pPr>
      <w:r w:rsidRPr="00A3151B">
        <w:rPr>
          <w:bCs/>
        </w:rPr>
        <w:tab/>
      </w:r>
      <w:r w:rsidR="00697740" w:rsidRPr="00A3151B">
        <w:rPr>
          <w:bCs/>
        </w:rPr>
        <w:t>On the basis that viewing oneself as having legitimate authority to make decisions is a necessary condition of autonomy, this account can be employed to bridge</w:t>
      </w:r>
      <w:r w:rsidRPr="00A3151B">
        <w:rPr>
          <w:bCs/>
        </w:rPr>
        <w:t xml:space="preserve"> the gap between autonomy and liberty in medical law. Specifically, self-authorisation includes the idea that patients have the right to protect their domain of sovereignty by expressing their permissions and refusals.</w:t>
      </w:r>
      <w:r w:rsidR="00BE57C0" w:rsidRPr="00A3151B">
        <w:rPr>
          <w:rStyle w:val="FootnoteReference"/>
          <w:bCs/>
        </w:rPr>
        <w:footnoteReference w:id="112"/>
      </w:r>
      <w:r w:rsidRPr="00A3151B">
        <w:rPr>
          <w:bCs/>
        </w:rPr>
        <w:t xml:space="preserve"> </w:t>
      </w:r>
      <w:r w:rsidR="00504170" w:rsidRPr="00A3151B">
        <w:rPr>
          <w:bCs/>
        </w:rPr>
        <w:t xml:space="preserve">Consequently, from a normative standpoint, </w:t>
      </w:r>
      <w:r w:rsidR="009B7BEA" w:rsidRPr="00A3151B">
        <w:rPr>
          <w:bCs/>
        </w:rPr>
        <w:t xml:space="preserve">self-authorisation grounds the extension of liberty at law to </w:t>
      </w:r>
      <w:r w:rsidR="004B098D" w:rsidRPr="00A3151B">
        <w:rPr>
          <w:bCs/>
        </w:rPr>
        <w:t xml:space="preserve">situationally </w:t>
      </w:r>
      <w:r w:rsidR="009B7BEA" w:rsidRPr="00A3151B">
        <w:rPr>
          <w:bCs/>
        </w:rPr>
        <w:t xml:space="preserve">vulnerable adults with capacity. The point is that even though an individual is </w:t>
      </w:r>
      <w:r w:rsidR="004B098D" w:rsidRPr="00A3151B">
        <w:rPr>
          <w:bCs/>
        </w:rPr>
        <w:t xml:space="preserve">situationally </w:t>
      </w:r>
      <w:r w:rsidRPr="00A3151B">
        <w:rPr>
          <w:bCs/>
        </w:rPr>
        <w:t xml:space="preserve">vulnerable and, therefore, on the basis of legal definition, deemed unable to </w:t>
      </w:r>
      <w:r w:rsidR="009B7BEA" w:rsidRPr="00A3151B">
        <w:rPr>
          <w:bCs/>
        </w:rPr>
        <w:t xml:space="preserve">give genuine </w:t>
      </w:r>
      <w:r w:rsidRPr="00A3151B">
        <w:rPr>
          <w:bCs/>
        </w:rPr>
        <w:t xml:space="preserve">consent according </w:t>
      </w:r>
      <w:r w:rsidR="009B7BEA" w:rsidRPr="00A3151B">
        <w:rPr>
          <w:bCs/>
        </w:rPr>
        <w:t>to standards of voluntariness, she</w:t>
      </w:r>
      <w:r w:rsidRPr="00A3151B">
        <w:rPr>
          <w:bCs/>
        </w:rPr>
        <w:t xml:space="preserve"> </w:t>
      </w:r>
      <w:r w:rsidR="009B7BEA" w:rsidRPr="00A3151B">
        <w:rPr>
          <w:bCs/>
        </w:rPr>
        <w:t>regards as herself</w:t>
      </w:r>
      <w:r w:rsidRPr="00A3151B">
        <w:rPr>
          <w:bCs/>
        </w:rPr>
        <w:t xml:space="preserve"> as someone who has the </w:t>
      </w:r>
      <w:r w:rsidRPr="00A3151B">
        <w:rPr>
          <w:bCs/>
          <w:i/>
        </w:rPr>
        <w:t>status</w:t>
      </w:r>
      <w:r w:rsidRPr="00A3151B">
        <w:rPr>
          <w:bCs/>
        </w:rPr>
        <w:t xml:space="preserve"> of being a</w:t>
      </w:r>
      <w:r w:rsidR="009B7BEA" w:rsidRPr="00A3151B">
        <w:rPr>
          <w:bCs/>
        </w:rPr>
        <w:t>n autonomous individual. She</w:t>
      </w:r>
      <w:r w:rsidRPr="00A3151B">
        <w:rPr>
          <w:bCs/>
        </w:rPr>
        <w:t xml:space="preserve"> recognise</w:t>
      </w:r>
      <w:r w:rsidR="009B7BEA" w:rsidRPr="00A3151B">
        <w:rPr>
          <w:bCs/>
        </w:rPr>
        <w:t>s that she</w:t>
      </w:r>
      <w:r w:rsidRPr="00A3151B">
        <w:rPr>
          <w:bCs/>
        </w:rPr>
        <w:t xml:space="preserve"> </w:t>
      </w:r>
      <w:r w:rsidR="009B7BEA" w:rsidRPr="00A3151B">
        <w:rPr>
          <w:bCs/>
        </w:rPr>
        <w:t xml:space="preserve">is </w:t>
      </w:r>
      <w:r w:rsidR="002E3DCB" w:rsidRPr="00A3151B">
        <w:rPr>
          <w:bCs/>
        </w:rPr>
        <w:t>competent enough and in control of her values, desires and motivations. As a result, she recognises that she fulfils the conditions</w:t>
      </w:r>
      <w:r w:rsidRPr="00A3151B">
        <w:rPr>
          <w:bCs/>
        </w:rPr>
        <w:t xml:space="preserve"> necessary to make </w:t>
      </w:r>
      <w:r w:rsidR="002E3DCB" w:rsidRPr="00A3151B">
        <w:rPr>
          <w:bCs/>
        </w:rPr>
        <w:t>legitimate</w:t>
      </w:r>
      <w:r w:rsidRPr="00A3151B">
        <w:rPr>
          <w:bCs/>
        </w:rPr>
        <w:t xml:space="preserve"> decisions </w:t>
      </w:r>
      <w:r w:rsidRPr="00A3151B">
        <w:rPr>
          <w:bCs/>
        </w:rPr>
        <w:lastRenderedPageBreak/>
        <w:t xml:space="preserve">regarding </w:t>
      </w:r>
      <w:r w:rsidR="002E3DCB" w:rsidRPr="00A3151B">
        <w:rPr>
          <w:bCs/>
        </w:rPr>
        <w:t>her</w:t>
      </w:r>
      <w:r w:rsidRPr="00A3151B">
        <w:rPr>
          <w:bCs/>
        </w:rPr>
        <w:t xml:space="preserve"> care and treatment. Ultimately, from </w:t>
      </w:r>
      <w:r w:rsidR="002E3DCB" w:rsidRPr="00A3151B">
        <w:rPr>
          <w:bCs/>
        </w:rPr>
        <w:t>both an</w:t>
      </w:r>
      <w:r w:rsidRPr="00A3151B">
        <w:rPr>
          <w:bCs/>
        </w:rPr>
        <w:t xml:space="preserve"> autonomy</w:t>
      </w:r>
      <w:r w:rsidR="002E3DCB" w:rsidRPr="00A3151B">
        <w:rPr>
          <w:bCs/>
        </w:rPr>
        <w:t xml:space="preserve"> and</w:t>
      </w:r>
      <w:r w:rsidR="00AA1941" w:rsidRPr="00A3151B">
        <w:rPr>
          <w:bCs/>
        </w:rPr>
        <w:t xml:space="preserve"> a</w:t>
      </w:r>
      <w:r w:rsidR="002E3DCB" w:rsidRPr="00A3151B">
        <w:rPr>
          <w:bCs/>
        </w:rPr>
        <w:t xml:space="preserve"> liberty perspective, she</w:t>
      </w:r>
      <w:r w:rsidRPr="00A3151B">
        <w:rPr>
          <w:bCs/>
        </w:rPr>
        <w:t xml:space="preserve"> </w:t>
      </w:r>
      <w:r w:rsidR="00AE298E" w:rsidRPr="00A3151B">
        <w:rPr>
          <w:bCs/>
        </w:rPr>
        <w:t>takes herself</w:t>
      </w:r>
      <w:r w:rsidRPr="00A3151B">
        <w:rPr>
          <w:bCs/>
        </w:rPr>
        <w:t xml:space="preserve"> </w:t>
      </w:r>
      <w:r w:rsidR="002E3DCB" w:rsidRPr="00A3151B">
        <w:rPr>
          <w:bCs/>
        </w:rPr>
        <w:t>to be of equal standing with</w:t>
      </w:r>
      <w:r w:rsidRPr="00A3151B">
        <w:rPr>
          <w:bCs/>
        </w:rPr>
        <w:t xml:space="preserve"> capacitous patients </w:t>
      </w:r>
      <w:r w:rsidR="004B098D" w:rsidRPr="00A3151B">
        <w:rPr>
          <w:bCs/>
        </w:rPr>
        <w:t>that</w:t>
      </w:r>
      <w:r w:rsidRPr="00A3151B">
        <w:rPr>
          <w:bCs/>
        </w:rPr>
        <w:t xml:space="preserve"> the law deems to be non-vulnerable. </w:t>
      </w:r>
    </w:p>
    <w:p w14:paraId="278FE8A5" w14:textId="39055DE5" w:rsidR="00813686" w:rsidRPr="00A3151B" w:rsidRDefault="00813686" w:rsidP="00813686">
      <w:pPr>
        <w:tabs>
          <w:tab w:val="left" w:pos="720"/>
        </w:tabs>
        <w:spacing w:line="480" w:lineRule="auto"/>
        <w:jc w:val="both"/>
        <w:rPr>
          <w:bCs/>
        </w:rPr>
      </w:pPr>
      <w:r w:rsidRPr="00A3151B">
        <w:rPr>
          <w:bCs/>
        </w:rPr>
        <w:tab/>
      </w:r>
      <w:r w:rsidR="00ED7980" w:rsidRPr="00A3151B">
        <w:rPr>
          <w:bCs/>
        </w:rPr>
        <w:t xml:space="preserve">Recall that </w:t>
      </w:r>
      <w:r w:rsidR="003214B0" w:rsidRPr="00A3151B">
        <w:rPr>
          <w:bCs/>
        </w:rPr>
        <w:t xml:space="preserve">self-authorisation, as well as requiring that one regard oneself </w:t>
      </w:r>
      <w:r w:rsidR="00ED7980" w:rsidRPr="00A3151B">
        <w:rPr>
          <w:bCs/>
        </w:rPr>
        <w:t>as having the authority to be self</w:t>
      </w:r>
      <w:r w:rsidR="003214B0" w:rsidRPr="00A3151B">
        <w:rPr>
          <w:bCs/>
        </w:rPr>
        <w:t xml:space="preserve">-determining and self-governing, demands that one be recognised by those to whom claims to autonomy are addressed. After all, as analytic feminists have demonstrated, </w:t>
      </w:r>
      <w:r w:rsidR="003214B0" w:rsidRPr="00A3151B">
        <w:rPr>
          <w:bCs/>
          <w:iCs/>
        </w:rPr>
        <w:t>self-authorisation</w:t>
      </w:r>
      <w:r w:rsidR="003214B0" w:rsidRPr="00A3151B">
        <w:rPr>
          <w:bCs/>
        </w:rPr>
        <w:t xml:space="preserve"> implies that autonomy is anathema to insulating oneself from critique.</w:t>
      </w:r>
      <w:r w:rsidR="003214B0" w:rsidRPr="00A3151B">
        <w:rPr>
          <w:rStyle w:val="FootnoteReference"/>
          <w:bCs/>
        </w:rPr>
        <w:footnoteReference w:id="113"/>
      </w:r>
      <w:r w:rsidR="003214B0" w:rsidRPr="00A3151B">
        <w:rPr>
          <w:bCs/>
        </w:rPr>
        <w:t xml:space="preserve"> It follows that</w:t>
      </w:r>
      <w:r w:rsidR="00FC4161" w:rsidRPr="00A3151B">
        <w:rPr>
          <w:bCs/>
        </w:rPr>
        <w:t xml:space="preserve"> </w:t>
      </w:r>
      <w:r w:rsidR="003214B0" w:rsidRPr="00A3151B">
        <w:rPr>
          <w:bCs/>
        </w:rPr>
        <w:t>‘vouching for oneself puts one’s claim to respect and esteem into the public domain as open to dispute’.</w:t>
      </w:r>
      <w:r w:rsidR="003214B0" w:rsidRPr="00A3151B">
        <w:rPr>
          <w:rStyle w:val="FootnoteReference"/>
          <w:bCs/>
        </w:rPr>
        <w:footnoteReference w:id="114"/>
      </w:r>
      <w:r w:rsidR="003214B0" w:rsidRPr="00A3151B">
        <w:rPr>
          <w:bCs/>
        </w:rPr>
        <w:t xml:space="preserve"> Accordingly</w:t>
      </w:r>
      <w:r w:rsidRPr="00A3151B">
        <w:rPr>
          <w:bCs/>
        </w:rPr>
        <w:t>, autonomy is also intersubjective. When</w:t>
      </w:r>
      <w:r w:rsidR="003214B0" w:rsidRPr="00A3151B">
        <w:rPr>
          <w:bCs/>
        </w:rPr>
        <w:t xml:space="preserve"> a</w:t>
      </w:r>
      <w:r w:rsidRPr="00A3151B">
        <w:rPr>
          <w:bCs/>
        </w:rPr>
        <w:t xml:space="preserve"> </w:t>
      </w:r>
      <w:r w:rsidR="003214B0" w:rsidRPr="00A3151B">
        <w:rPr>
          <w:bCs/>
        </w:rPr>
        <w:t>capacitous vulnerable patient expresses her</w:t>
      </w:r>
      <w:r w:rsidRPr="00A3151B">
        <w:rPr>
          <w:bCs/>
        </w:rPr>
        <w:t xml:space="preserve"> permissions and refusals in relation to specific health care interventions, </w:t>
      </w:r>
      <w:r w:rsidR="003214B0" w:rsidRPr="00A3151B">
        <w:rPr>
          <w:bCs/>
        </w:rPr>
        <w:t>she</w:t>
      </w:r>
      <w:r w:rsidRPr="00A3151B">
        <w:rPr>
          <w:bCs/>
        </w:rPr>
        <w:t xml:space="preserve"> is appealing to clinical practitioners and the courts for recognition of her legitimate authority to make her own decisions regarding her care and treatment in line with her own values, motives and desires. </w:t>
      </w:r>
      <w:r w:rsidR="00543F5D" w:rsidRPr="00A3151B">
        <w:rPr>
          <w:bCs/>
        </w:rPr>
        <w:t>As Anderson observes, ‘without intersubjective recognition, the “actuality” of what one is vouching for is left in suspension’.</w:t>
      </w:r>
      <w:r w:rsidR="00543F5D" w:rsidRPr="00A3151B">
        <w:rPr>
          <w:rStyle w:val="FootnoteReference"/>
          <w:bCs/>
        </w:rPr>
        <w:footnoteReference w:id="115"/>
      </w:r>
    </w:p>
    <w:p w14:paraId="7936A6B1" w14:textId="4B84E219" w:rsidR="00A9116B" w:rsidRPr="00A3151B" w:rsidRDefault="00813686" w:rsidP="00813686">
      <w:pPr>
        <w:tabs>
          <w:tab w:val="left" w:pos="720"/>
        </w:tabs>
        <w:spacing w:line="480" w:lineRule="auto"/>
        <w:jc w:val="both"/>
        <w:rPr>
          <w:bCs/>
        </w:rPr>
      </w:pPr>
      <w:r w:rsidRPr="00A3151B">
        <w:rPr>
          <w:bCs/>
        </w:rPr>
        <w:tab/>
      </w:r>
      <w:r w:rsidR="00A9116B" w:rsidRPr="00A3151B">
        <w:rPr>
          <w:bCs/>
        </w:rPr>
        <w:t xml:space="preserve">Having outlined a conception of legitimate, self-authorised autonomy that is </w:t>
      </w:r>
      <w:r w:rsidR="00A9116B" w:rsidRPr="00A3151B">
        <w:rPr>
          <w:bCs/>
          <w:i/>
        </w:rPr>
        <w:t>necessarily</w:t>
      </w:r>
      <w:r w:rsidR="00A9116B" w:rsidRPr="00A3151B">
        <w:rPr>
          <w:bCs/>
        </w:rPr>
        <w:t xml:space="preserve"> dependent on interpersonal recognition, the question remains as to how this approach to autonomy could be applied by health care staff and the courts not only to overcome the problems with standard common law response</w:t>
      </w:r>
      <w:r w:rsidR="00950655" w:rsidRPr="00A3151B">
        <w:rPr>
          <w:bCs/>
        </w:rPr>
        <w:t>s</w:t>
      </w:r>
      <w:r w:rsidR="00A9116B" w:rsidRPr="00A3151B">
        <w:rPr>
          <w:bCs/>
        </w:rPr>
        <w:t xml:space="preserve"> to the </w:t>
      </w:r>
      <w:r w:rsidR="00950655" w:rsidRPr="00A3151B">
        <w:rPr>
          <w:bCs/>
        </w:rPr>
        <w:t xml:space="preserve">situational </w:t>
      </w:r>
      <w:r w:rsidR="00A9116B" w:rsidRPr="00A3151B">
        <w:rPr>
          <w:bCs/>
        </w:rPr>
        <w:t>vulnerability of capacitous adults, but also to deal with the tension</w:t>
      </w:r>
      <w:r w:rsidRPr="00A3151B">
        <w:rPr>
          <w:bCs/>
        </w:rPr>
        <w:t xml:space="preserve"> </w:t>
      </w:r>
      <w:r w:rsidR="000525F7" w:rsidRPr="00A3151B">
        <w:rPr>
          <w:bCs/>
        </w:rPr>
        <w:t xml:space="preserve">between two incompatible obligations: (1) the </w:t>
      </w:r>
      <w:r w:rsidR="00A9116B" w:rsidRPr="00A3151B">
        <w:rPr>
          <w:bCs/>
        </w:rPr>
        <w:t xml:space="preserve">self-prescribed </w:t>
      </w:r>
      <w:r w:rsidR="000525F7" w:rsidRPr="00A3151B">
        <w:rPr>
          <w:bCs/>
        </w:rPr>
        <w:t xml:space="preserve">duty </w:t>
      </w:r>
      <w:r w:rsidR="00A9116B" w:rsidRPr="00A3151B">
        <w:rPr>
          <w:bCs/>
        </w:rPr>
        <w:t>of the courts to promote the autonomy of capacitous vulnerable adults</w:t>
      </w:r>
      <w:r w:rsidR="000525F7" w:rsidRPr="00A3151B">
        <w:rPr>
          <w:bCs/>
        </w:rPr>
        <w:t>; and (2) the duty to protect them from harms to their</w:t>
      </w:r>
      <w:r w:rsidR="00A9116B" w:rsidRPr="00A3151B">
        <w:rPr>
          <w:bCs/>
        </w:rPr>
        <w:t xml:space="preserve"> health,</w:t>
      </w:r>
      <w:r w:rsidR="000525F7" w:rsidRPr="00A3151B">
        <w:rPr>
          <w:bCs/>
        </w:rPr>
        <w:t xml:space="preserve"> well-being and other interests.</w:t>
      </w:r>
      <w:r w:rsidR="00A9116B" w:rsidRPr="00A3151B">
        <w:rPr>
          <w:bCs/>
        </w:rPr>
        <w:t xml:space="preserve"> </w:t>
      </w:r>
      <w:r w:rsidR="000E3842" w:rsidRPr="00A3151B">
        <w:rPr>
          <w:bCs/>
        </w:rPr>
        <w:t>Unlike standard common law response</w:t>
      </w:r>
      <w:r w:rsidR="006B1B86" w:rsidRPr="00A3151B">
        <w:rPr>
          <w:bCs/>
        </w:rPr>
        <w:t>s</w:t>
      </w:r>
      <w:r w:rsidR="000E3842" w:rsidRPr="00A3151B">
        <w:rPr>
          <w:bCs/>
        </w:rPr>
        <w:t xml:space="preserve"> to </w:t>
      </w:r>
      <w:r w:rsidR="00950655" w:rsidRPr="00A3151B">
        <w:rPr>
          <w:bCs/>
        </w:rPr>
        <w:t xml:space="preserve">situational </w:t>
      </w:r>
      <w:r w:rsidR="000E3842" w:rsidRPr="00A3151B">
        <w:rPr>
          <w:bCs/>
        </w:rPr>
        <w:t xml:space="preserve">vulnerability, an approach </w:t>
      </w:r>
      <w:r w:rsidR="00EC65E2" w:rsidRPr="00A3151B">
        <w:rPr>
          <w:bCs/>
        </w:rPr>
        <w:t xml:space="preserve">to autonomy </w:t>
      </w:r>
      <w:r w:rsidR="000E3842" w:rsidRPr="00A3151B">
        <w:rPr>
          <w:bCs/>
        </w:rPr>
        <w:t>that</w:t>
      </w:r>
      <w:r w:rsidR="00EC65E2" w:rsidRPr="00A3151B">
        <w:rPr>
          <w:bCs/>
        </w:rPr>
        <w:t xml:space="preserve"> is based on self-authorisation does not treat the concepts of </w:t>
      </w:r>
      <w:r w:rsidR="00FC4161" w:rsidRPr="00A3151B">
        <w:rPr>
          <w:bCs/>
        </w:rPr>
        <w:t xml:space="preserve">situational </w:t>
      </w:r>
      <w:r w:rsidR="00EC65E2" w:rsidRPr="00A3151B">
        <w:rPr>
          <w:bCs/>
        </w:rPr>
        <w:t xml:space="preserve">vulnerability and </w:t>
      </w:r>
      <w:r w:rsidR="00EC65E2" w:rsidRPr="00A3151B">
        <w:rPr>
          <w:bCs/>
        </w:rPr>
        <w:lastRenderedPageBreak/>
        <w:t>autonomy as</w:t>
      </w:r>
      <w:r w:rsidR="006B1B86" w:rsidRPr="00A3151B">
        <w:rPr>
          <w:bCs/>
        </w:rPr>
        <w:t xml:space="preserve"> conceptually</w:t>
      </w:r>
      <w:r w:rsidR="00EC65E2" w:rsidRPr="00A3151B">
        <w:rPr>
          <w:bCs/>
        </w:rPr>
        <w:t xml:space="preserve"> incompatible. Quite the opposite; it is predicated on the </w:t>
      </w:r>
      <w:r w:rsidR="00EC65E2" w:rsidRPr="00A3151B">
        <w:rPr>
          <w:bCs/>
          <w:i/>
        </w:rPr>
        <w:t>necessary</w:t>
      </w:r>
      <w:r w:rsidR="00EC65E2" w:rsidRPr="00A3151B">
        <w:rPr>
          <w:bCs/>
        </w:rPr>
        <w:t xml:space="preserve"> entwinement of </w:t>
      </w:r>
      <w:r w:rsidR="00FC4161" w:rsidRPr="00A3151B">
        <w:rPr>
          <w:bCs/>
        </w:rPr>
        <w:t xml:space="preserve">situational </w:t>
      </w:r>
      <w:r w:rsidR="00EC65E2" w:rsidRPr="00A3151B">
        <w:rPr>
          <w:bCs/>
        </w:rPr>
        <w:t xml:space="preserve">vulnerability and autonomy in the sense that an individual’s autonomy is, in part, necessarily ‘vulnerable’ to the denial of legitimate recognition. </w:t>
      </w:r>
      <w:r w:rsidR="00AE298E" w:rsidRPr="00A3151B">
        <w:rPr>
          <w:bCs/>
        </w:rPr>
        <w:t xml:space="preserve">As a result, so long as a </w:t>
      </w:r>
      <w:r w:rsidR="00950655" w:rsidRPr="00A3151B">
        <w:rPr>
          <w:bCs/>
        </w:rPr>
        <w:t xml:space="preserve">situationally </w:t>
      </w:r>
      <w:r w:rsidR="00AE298E" w:rsidRPr="00A3151B">
        <w:rPr>
          <w:bCs/>
        </w:rPr>
        <w:t>vulnerable</w:t>
      </w:r>
      <w:r w:rsidR="00EC65E2" w:rsidRPr="00A3151B">
        <w:rPr>
          <w:bCs/>
        </w:rPr>
        <w:t xml:space="preserve"> individual</w:t>
      </w:r>
      <w:r w:rsidR="00AE298E" w:rsidRPr="00A3151B">
        <w:rPr>
          <w:bCs/>
        </w:rPr>
        <w:t xml:space="preserve"> with capacity</w:t>
      </w:r>
      <w:r w:rsidR="00EC65E2" w:rsidRPr="00A3151B">
        <w:rPr>
          <w:bCs/>
        </w:rPr>
        <w:t xml:space="preserve"> satisfies the conditions of legitimacy that have already been detailed </w:t>
      </w:r>
      <w:r w:rsidR="00AE298E" w:rsidRPr="00A3151B">
        <w:rPr>
          <w:bCs/>
        </w:rPr>
        <w:t xml:space="preserve">and thereby recognises that she is of equal standing with all other </w:t>
      </w:r>
      <w:r w:rsidR="00950655" w:rsidRPr="00A3151B">
        <w:rPr>
          <w:bCs/>
        </w:rPr>
        <w:t xml:space="preserve">(legally non-vulnerable) </w:t>
      </w:r>
      <w:r w:rsidR="00AE298E" w:rsidRPr="00A3151B">
        <w:rPr>
          <w:bCs/>
        </w:rPr>
        <w:t>capacitous patients</w:t>
      </w:r>
      <w:r w:rsidR="00EC65E2" w:rsidRPr="00A3151B">
        <w:rPr>
          <w:bCs/>
        </w:rPr>
        <w:t xml:space="preserve">, </w:t>
      </w:r>
      <w:r w:rsidR="00AE298E" w:rsidRPr="00A3151B">
        <w:rPr>
          <w:bCs/>
        </w:rPr>
        <w:t xml:space="preserve">there should be no autonomy-based reasons for treating her any differently to a </w:t>
      </w:r>
      <w:r w:rsidR="00950655" w:rsidRPr="00A3151B">
        <w:rPr>
          <w:bCs/>
        </w:rPr>
        <w:t xml:space="preserve">legally </w:t>
      </w:r>
      <w:r w:rsidR="00AE298E" w:rsidRPr="00A3151B">
        <w:rPr>
          <w:bCs/>
          <w:i/>
        </w:rPr>
        <w:t>non-vulnerable</w:t>
      </w:r>
      <w:r w:rsidR="00AE298E" w:rsidRPr="00A3151B">
        <w:rPr>
          <w:bCs/>
        </w:rPr>
        <w:t xml:space="preserve"> patient. It follows that the guiding principle for health care staff and the courts is to promote the autonomy of capacitous vulnerable patients </w:t>
      </w:r>
      <w:r w:rsidR="00AE298E" w:rsidRPr="00A3151B">
        <w:rPr>
          <w:bCs/>
          <w:i/>
        </w:rPr>
        <w:t>where possible</w:t>
      </w:r>
      <w:r w:rsidR="00AE298E" w:rsidRPr="00A3151B">
        <w:rPr>
          <w:bCs/>
        </w:rPr>
        <w:t xml:space="preserve">. </w:t>
      </w:r>
      <w:r w:rsidR="00C44B18" w:rsidRPr="00A3151B">
        <w:rPr>
          <w:bCs/>
        </w:rPr>
        <w:t xml:space="preserve">Due to the fact that this principle should guide health care staff in their responses to vulnerable adults in clinical or care-based decision-making contexts, it is worth noting that if this approach to self-authorised autonomy is successfully employed, then, </w:t>
      </w:r>
      <w:r w:rsidR="00A9116B" w:rsidRPr="00A3151B">
        <w:rPr>
          <w:bCs/>
        </w:rPr>
        <w:t xml:space="preserve">in principle, </w:t>
      </w:r>
      <w:r w:rsidR="00C44B18" w:rsidRPr="00A3151B">
        <w:rPr>
          <w:bCs/>
        </w:rPr>
        <w:t xml:space="preserve">it should </w:t>
      </w:r>
      <w:r w:rsidR="00A9116B" w:rsidRPr="00A3151B">
        <w:rPr>
          <w:bCs/>
        </w:rPr>
        <w:t xml:space="preserve">reduce the number of applications for pre-emptive, protective intervention made by health care providers to the </w:t>
      </w:r>
      <w:r w:rsidR="00C44B18" w:rsidRPr="00A3151B">
        <w:rPr>
          <w:bCs/>
        </w:rPr>
        <w:t>courts.</w:t>
      </w:r>
    </w:p>
    <w:p w14:paraId="3957D53A" w14:textId="310AF7AB" w:rsidR="0068546D" w:rsidRPr="00A3151B" w:rsidRDefault="0068546D" w:rsidP="0068546D">
      <w:pPr>
        <w:tabs>
          <w:tab w:val="left" w:pos="720"/>
        </w:tabs>
        <w:spacing w:line="480" w:lineRule="auto"/>
        <w:jc w:val="both"/>
        <w:rPr>
          <w:bCs/>
        </w:rPr>
      </w:pPr>
      <w:r w:rsidRPr="00A3151B">
        <w:rPr>
          <w:bCs/>
        </w:rPr>
        <w:tab/>
      </w:r>
      <w:r w:rsidR="00B365A2" w:rsidRPr="00A3151B">
        <w:rPr>
          <w:bCs/>
        </w:rPr>
        <w:t xml:space="preserve">If the guiding principle for health care staff and the courts is to promote the autonomy of capacitous vulnerable patients </w:t>
      </w:r>
      <w:r w:rsidR="00B365A2" w:rsidRPr="00A3151B">
        <w:rPr>
          <w:bCs/>
          <w:i/>
        </w:rPr>
        <w:t>where possible</w:t>
      </w:r>
      <w:r w:rsidR="00B365A2" w:rsidRPr="00A3151B">
        <w:rPr>
          <w:bCs/>
        </w:rPr>
        <w:t xml:space="preserve">, then there are three main normative considerations </w:t>
      </w:r>
      <w:r w:rsidR="00DA780C" w:rsidRPr="00A3151B">
        <w:rPr>
          <w:bCs/>
        </w:rPr>
        <w:t>for</w:t>
      </w:r>
      <w:r w:rsidR="00B365A2" w:rsidRPr="00A3151B">
        <w:rPr>
          <w:bCs/>
        </w:rPr>
        <w:t xml:space="preserve"> navigating the tension between the duty to promote their autonomy and the duty to protect them from other harms. First</w:t>
      </w:r>
      <w:r w:rsidRPr="00A3151B">
        <w:rPr>
          <w:bCs/>
        </w:rPr>
        <w:t xml:space="preserve">, if the </w:t>
      </w:r>
      <w:r w:rsidR="00950655" w:rsidRPr="00A3151B">
        <w:rPr>
          <w:bCs/>
        </w:rPr>
        <w:t xml:space="preserve">situationally </w:t>
      </w:r>
      <w:r w:rsidR="00B365A2" w:rsidRPr="00A3151B">
        <w:rPr>
          <w:bCs/>
        </w:rPr>
        <w:t>vulnerable individual</w:t>
      </w:r>
      <w:r w:rsidRPr="00A3151B">
        <w:rPr>
          <w:bCs/>
        </w:rPr>
        <w:t xml:space="preserve"> chooses not to defer the care or treatment decision to health care practitioners</w:t>
      </w:r>
      <w:r w:rsidR="00B365A2" w:rsidRPr="00A3151B">
        <w:rPr>
          <w:bCs/>
        </w:rPr>
        <w:t xml:space="preserve"> or the courts</w:t>
      </w:r>
      <w:r w:rsidRPr="00A3151B">
        <w:rPr>
          <w:bCs/>
        </w:rPr>
        <w:t>, then</w:t>
      </w:r>
      <w:r w:rsidR="00B365A2" w:rsidRPr="00A3151B">
        <w:rPr>
          <w:bCs/>
        </w:rPr>
        <w:t>, as we have seen,</w:t>
      </w:r>
      <w:r w:rsidRPr="00A3151B">
        <w:rPr>
          <w:bCs/>
        </w:rPr>
        <w:t xml:space="preserve"> she will need to </w:t>
      </w:r>
      <w:r w:rsidR="00B365A2" w:rsidRPr="00A3151B">
        <w:rPr>
          <w:bCs/>
        </w:rPr>
        <w:t>determine</w:t>
      </w:r>
      <w:r w:rsidRPr="00A3151B">
        <w:rPr>
          <w:bCs/>
        </w:rPr>
        <w:t xml:space="preserve"> whether she has </w:t>
      </w:r>
      <w:proofErr w:type="gramStart"/>
      <w:r w:rsidR="00B365A2" w:rsidRPr="00A3151B">
        <w:rPr>
          <w:bCs/>
        </w:rPr>
        <w:t>legitimate</w:t>
      </w:r>
      <w:proofErr w:type="gramEnd"/>
      <w:r w:rsidR="00B365A2" w:rsidRPr="00A3151B">
        <w:rPr>
          <w:bCs/>
        </w:rPr>
        <w:t xml:space="preserve"> normative authority to be self-determining and self-governing and thereby to make</w:t>
      </w:r>
      <w:r w:rsidRPr="00A3151B">
        <w:rPr>
          <w:bCs/>
        </w:rPr>
        <w:t xml:space="preserve"> specific care or treatment decision</w:t>
      </w:r>
      <w:r w:rsidR="00B365A2" w:rsidRPr="00A3151B">
        <w:rPr>
          <w:bCs/>
        </w:rPr>
        <w:t xml:space="preserve">s on the basis of </w:t>
      </w:r>
      <w:r w:rsidR="00B365A2" w:rsidRPr="00A3151B">
        <w:rPr>
          <w:bCs/>
          <w:i/>
        </w:rPr>
        <w:t>her own</w:t>
      </w:r>
      <w:r w:rsidR="00B365A2" w:rsidRPr="00A3151B">
        <w:rPr>
          <w:bCs/>
        </w:rPr>
        <w:t xml:space="preserve"> values, desires and motivations</w:t>
      </w:r>
      <w:r w:rsidRPr="00A3151B">
        <w:rPr>
          <w:bCs/>
        </w:rPr>
        <w:t xml:space="preserve">. </w:t>
      </w:r>
      <w:r w:rsidR="00B365A2" w:rsidRPr="00A3151B">
        <w:rPr>
          <w:bCs/>
        </w:rPr>
        <w:t>Thus, she will need to determine that</w:t>
      </w:r>
      <w:r w:rsidRPr="00A3151B">
        <w:rPr>
          <w:bCs/>
        </w:rPr>
        <w:t xml:space="preserve"> the reasons on which her decision is based </w:t>
      </w:r>
      <w:r w:rsidR="00B365A2" w:rsidRPr="00A3151B">
        <w:rPr>
          <w:bCs/>
        </w:rPr>
        <w:t xml:space="preserve">are not </w:t>
      </w:r>
      <w:r w:rsidRPr="00A3151B">
        <w:rPr>
          <w:bCs/>
        </w:rPr>
        <w:t xml:space="preserve">the results of </w:t>
      </w:r>
      <w:r w:rsidR="00B365A2" w:rsidRPr="00A3151B">
        <w:rPr>
          <w:bCs/>
        </w:rPr>
        <w:t>constraint</w:t>
      </w:r>
      <w:r w:rsidRPr="00A3151B">
        <w:rPr>
          <w:bCs/>
        </w:rPr>
        <w:t xml:space="preserve">, </w:t>
      </w:r>
      <w:r w:rsidR="00B365A2" w:rsidRPr="00A3151B">
        <w:rPr>
          <w:bCs/>
        </w:rPr>
        <w:t xml:space="preserve">coercion, undue influence, and so on. </w:t>
      </w:r>
      <w:r w:rsidRPr="00A3151B">
        <w:rPr>
          <w:bCs/>
        </w:rPr>
        <w:t xml:space="preserve">If </w:t>
      </w:r>
      <w:r w:rsidR="00B365A2" w:rsidRPr="00A3151B">
        <w:rPr>
          <w:bCs/>
        </w:rPr>
        <w:t>she</w:t>
      </w:r>
      <w:r w:rsidRPr="00A3151B">
        <w:rPr>
          <w:bCs/>
        </w:rPr>
        <w:t xml:space="preserve"> is unable to </w:t>
      </w:r>
      <w:proofErr w:type="gramStart"/>
      <w:r w:rsidR="00C03C7D" w:rsidRPr="00A3151B">
        <w:rPr>
          <w:bCs/>
        </w:rPr>
        <w:t>effect</w:t>
      </w:r>
      <w:proofErr w:type="gramEnd"/>
      <w:r w:rsidR="00C03C7D" w:rsidRPr="00A3151B">
        <w:rPr>
          <w:bCs/>
        </w:rPr>
        <w:t xml:space="preserve"> an attitude of self-respect necessary to </w:t>
      </w:r>
      <w:r w:rsidRPr="00A3151B">
        <w:rPr>
          <w:bCs/>
        </w:rPr>
        <w:t>take herself to be a legitimate source of reasons for acting, and if support</w:t>
      </w:r>
      <w:r w:rsidR="00CE5B63" w:rsidRPr="00A3151B">
        <w:rPr>
          <w:bCs/>
        </w:rPr>
        <w:t>ed decision making</w:t>
      </w:r>
      <w:r w:rsidRPr="00A3151B">
        <w:rPr>
          <w:bCs/>
        </w:rPr>
        <w:t xml:space="preserve"> </w:t>
      </w:r>
      <w:r w:rsidR="00CE5B63" w:rsidRPr="00A3151B">
        <w:rPr>
          <w:bCs/>
        </w:rPr>
        <w:t>facilitated by</w:t>
      </w:r>
      <w:r w:rsidRPr="00A3151B">
        <w:rPr>
          <w:bCs/>
        </w:rPr>
        <w:t>, for example, health care staff, social care staff</w:t>
      </w:r>
      <w:r w:rsidR="00B365A2" w:rsidRPr="00A3151B">
        <w:rPr>
          <w:bCs/>
        </w:rPr>
        <w:t>,</w:t>
      </w:r>
      <w:r w:rsidRPr="00A3151B">
        <w:rPr>
          <w:bCs/>
        </w:rPr>
        <w:t xml:space="preserve"> her family</w:t>
      </w:r>
      <w:r w:rsidR="00B365A2" w:rsidRPr="00A3151B">
        <w:rPr>
          <w:bCs/>
        </w:rPr>
        <w:t xml:space="preserve"> or, indeed, the courts</w:t>
      </w:r>
      <w:r w:rsidRPr="00A3151B">
        <w:rPr>
          <w:bCs/>
        </w:rPr>
        <w:t xml:space="preserve"> </w:t>
      </w:r>
      <w:r w:rsidRPr="00A3151B">
        <w:rPr>
          <w:bCs/>
        </w:rPr>
        <w:lastRenderedPageBreak/>
        <w:t>cannot help her overcome any barriers stopping her from successfully identifying her own values, desires and motives,</w:t>
      </w:r>
      <w:r w:rsidR="00067861" w:rsidRPr="00A3151B">
        <w:rPr>
          <w:rStyle w:val="FootnoteReference"/>
          <w:bCs/>
        </w:rPr>
        <w:footnoteReference w:id="116"/>
      </w:r>
      <w:r w:rsidRPr="00A3151B">
        <w:rPr>
          <w:bCs/>
        </w:rPr>
        <w:t xml:space="preserve"> then </w:t>
      </w:r>
      <w:r w:rsidR="00672C63" w:rsidRPr="00A3151B">
        <w:rPr>
          <w:bCs/>
        </w:rPr>
        <w:t>this</w:t>
      </w:r>
      <w:r w:rsidRPr="00A3151B">
        <w:rPr>
          <w:bCs/>
        </w:rPr>
        <w:t xml:space="preserve"> is a reasonable basis for </w:t>
      </w:r>
      <w:r w:rsidR="00672C63" w:rsidRPr="00A3151B">
        <w:rPr>
          <w:bCs/>
        </w:rPr>
        <w:t>overriding the duty to promote her autonomy. In short, it is a reason that counts in favour of the duty to protect her from harms to her health, well-being and other interests through, for example</w:t>
      </w:r>
      <w:r w:rsidRPr="00A3151B">
        <w:rPr>
          <w:bCs/>
        </w:rPr>
        <w:t>, an application under</w:t>
      </w:r>
      <w:r w:rsidR="00B365A2" w:rsidRPr="00A3151B">
        <w:rPr>
          <w:bCs/>
        </w:rPr>
        <w:t>, or the exercise of,</w:t>
      </w:r>
      <w:r w:rsidRPr="00A3151B">
        <w:rPr>
          <w:bCs/>
        </w:rPr>
        <w:t xml:space="preserve"> the inherent jurisdiction.</w:t>
      </w:r>
      <w:r w:rsidR="00141CBA" w:rsidRPr="00A3151B">
        <w:rPr>
          <w:rStyle w:val="FootnoteReference"/>
          <w:bCs/>
        </w:rPr>
        <w:footnoteReference w:id="117"/>
      </w:r>
      <w:r w:rsidRPr="00A3151B">
        <w:rPr>
          <w:bCs/>
        </w:rPr>
        <w:t xml:space="preserve"> </w:t>
      </w:r>
    </w:p>
    <w:p w14:paraId="31131CF7" w14:textId="3A8E833D" w:rsidR="00A95ED5" w:rsidRPr="00A3151B" w:rsidRDefault="00A95ED5" w:rsidP="0068546D">
      <w:pPr>
        <w:tabs>
          <w:tab w:val="left" w:pos="720"/>
        </w:tabs>
        <w:spacing w:line="480" w:lineRule="auto"/>
        <w:jc w:val="both"/>
        <w:rPr>
          <w:bCs/>
        </w:rPr>
      </w:pPr>
      <w:r w:rsidRPr="00A3151B">
        <w:rPr>
          <w:bCs/>
        </w:rPr>
        <w:tab/>
        <w:t xml:space="preserve">This first normative consideration is primarily concerned with whether a capacitous vulnerable patient fulfils the ‘first-person’ conditions required for the exercise of autonomy. However, given that capacitous vulnerable individuals are, on the basis of legal definition, deemed to be at risk of malign external influence, we should consider what responses might usefully be employed at </w:t>
      </w:r>
      <w:r w:rsidR="00C03C7D" w:rsidRPr="00A3151B">
        <w:rPr>
          <w:bCs/>
        </w:rPr>
        <w:t>a</w:t>
      </w:r>
      <w:r w:rsidRPr="00A3151B">
        <w:rPr>
          <w:bCs/>
        </w:rPr>
        <w:t xml:space="preserve"> broader level to facilitate autonomy. Whereas the courts have tended to focus ‘on labelling and monitoring the vulnerable adult’, an alternative approach could involve the employment of targeted civil law interventions to </w:t>
      </w:r>
      <w:r w:rsidRPr="00A3151B">
        <w:rPr>
          <w:bCs/>
          <w:i/>
          <w:iCs/>
        </w:rPr>
        <w:t>only</w:t>
      </w:r>
      <w:r w:rsidRPr="00A3151B">
        <w:rPr>
          <w:bCs/>
        </w:rPr>
        <w:t xml:space="preserve"> restrict the situational cause of the individual’s vulnerability (i.e., the source of coercion, oppression, manipulation, and so on).</w:t>
      </w:r>
      <w:r w:rsidR="000C3266" w:rsidRPr="00A3151B">
        <w:rPr>
          <w:rStyle w:val="FootnoteReference"/>
          <w:bCs/>
        </w:rPr>
        <w:footnoteReference w:id="118"/>
      </w:r>
      <w:r w:rsidRPr="00A3151B">
        <w:rPr>
          <w:bCs/>
        </w:rPr>
        <w:t xml:space="preserve"> </w:t>
      </w:r>
      <w:r w:rsidR="00C03C7D" w:rsidRPr="00A3151B">
        <w:rPr>
          <w:bCs/>
        </w:rPr>
        <w:t xml:space="preserve">It should be noted that such a response differs from the current employment of the inherent jurisdiction. </w:t>
      </w:r>
      <w:r w:rsidRPr="00A3151B">
        <w:rPr>
          <w:bCs/>
        </w:rPr>
        <w:t xml:space="preserve">By not targeting the vulnerable individual, such a response would, in principle, involve the least risk of generating pathogenic forms of vulnerability that, as we have seen, can render a </w:t>
      </w:r>
      <w:r w:rsidR="00FC4161" w:rsidRPr="00A3151B">
        <w:rPr>
          <w:bCs/>
        </w:rPr>
        <w:t xml:space="preserve">situationally </w:t>
      </w:r>
      <w:r w:rsidRPr="00A3151B">
        <w:rPr>
          <w:bCs/>
        </w:rPr>
        <w:t xml:space="preserve">vulnerable individual even more powerless to make claims to, </w:t>
      </w:r>
      <w:r w:rsidRPr="00A3151B">
        <w:rPr>
          <w:bCs/>
        </w:rPr>
        <w:lastRenderedPageBreak/>
        <w:t xml:space="preserve">and exercise, </w:t>
      </w:r>
      <w:r w:rsidR="00FC4161" w:rsidRPr="00A3151B">
        <w:rPr>
          <w:bCs/>
        </w:rPr>
        <w:t>her</w:t>
      </w:r>
      <w:r w:rsidRPr="00A3151B">
        <w:rPr>
          <w:bCs/>
        </w:rPr>
        <w:t xml:space="preserve"> autonomy. </w:t>
      </w:r>
      <w:r w:rsidR="00C03C7D" w:rsidRPr="00A3151B">
        <w:rPr>
          <w:bCs/>
        </w:rPr>
        <w:t>In addition</w:t>
      </w:r>
      <w:r w:rsidRPr="00A3151B">
        <w:rPr>
          <w:bCs/>
        </w:rPr>
        <w:t>, although such an intervention may generate the same result as current employments of the inherent jurisdiction (i.e., a space for unencumbered decision making), the purpose of the intervention is not facilitate the</w:t>
      </w:r>
      <w:r w:rsidR="00C03C7D" w:rsidRPr="00A3151B">
        <w:rPr>
          <w:bCs/>
        </w:rPr>
        <w:t xml:space="preserve"> typical</w:t>
      </w:r>
      <w:r w:rsidRPr="00A3151B">
        <w:rPr>
          <w:bCs/>
        </w:rPr>
        <w:t xml:space="preserve"> conditions </w:t>
      </w:r>
      <w:r w:rsidR="00C03C7D" w:rsidRPr="00A3151B">
        <w:rPr>
          <w:bCs/>
        </w:rPr>
        <w:t>required for informed consent</w:t>
      </w:r>
      <w:r w:rsidRPr="00A3151B">
        <w:rPr>
          <w:bCs/>
        </w:rPr>
        <w:t>, but to support the individual’s ability to exercise her autonomy, which</w:t>
      </w:r>
      <w:r w:rsidR="00C03C7D" w:rsidRPr="00A3151B">
        <w:rPr>
          <w:bCs/>
        </w:rPr>
        <w:t xml:space="preserve"> </w:t>
      </w:r>
      <w:r w:rsidRPr="00A3151B">
        <w:rPr>
          <w:bCs/>
        </w:rPr>
        <w:t>is both conceptually and pragmatically different from informed consent.</w:t>
      </w:r>
      <w:r w:rsidR="000C3266" w:rsidRPr="00A3151B">
        <w:rPr>
          <w:rStyle w:val="FootnoteReference"/>
          <w:bCs/>
        </w:rPr>
        <w:footnoteReference w:id="119"/>
      </w:r>
      <w:r w:rsidRPr="00A3151B">
        <w:rPr>
          <w:bCs/>
        </w:rPr>
        <w:t xml:space="preserve"> Targeting the situational source of vulnerability might also be supported by a capacitous vulnerable adult’s network of family, friends and social care support.</w:t>
      </w:r>
      <w:r w:rsidR="000C3266" w:rsidRPr="00A3151B">
        <w:rPr>
          <w:rStyle w:val="FootnoteReference"/>
          <w:bCs/>
        </w:rPr>
        <w:footnoteReference w:id="120"/>
      </w:r>
      <w:r w:rsidRPr="00A3151B">
        <w:rPr>
          <w:bCs/>
        </w:rPr>
        <w:t xml:space="preserve"> Indeed, </w:t>
      </w:r>
      <w:r w:rsidR="00C03C7D" w:rsidRPr="00A3151B">
        <w:rPr>
          <w:bCs/>
        </w:rPr>
        <w:t xml:space="preserve">Jaime </w:t>
      </w:r>
      <w:r w:rsidRPr="00A3151B">
        <w:rPr>
          <w:bCs/>
        </w:rPr>
        <w:t>Lindsey observes that it would wrong to argue that the law can provide a complete solution to what is a significant social problem.</w:t>
      </w:r>
      <w:r w:rsidR="000C3266" w:rsidRPr="00A3151B">
        <w:rPr>
          <w:rStyle w:val="FootnoteReference"/>
          <w:bCs/>
        </w:rPr>
        <w:footnoteReference w:id="121"/>
      </w:r>
      <w:r w:rsidRPr="00A3151B">
        <w:rPr>
          <w:bCs/>
        </w:rPr>
        <w:t xml:space="preserve"> </w:t>
      </w:r>
      <w:r w:rsidR="005D31A6" w:rsidRPr="00A3151B">
        <w:rPr>
          <w:bCs/>
        </w:rPr>
        <w:t xml:space="preserve">Beverley </w:t>
      </w:r>
      <w:r w:rsidRPr="00A3151B">
        <w:rPr>
          <w:bCs/>
        </w:rPr>
        <w:t>Clough, for example, has explored the implications of a ‘responsive state’ for the provision of supportive background conditions for autonomy</w:t>
      </w:r>
      <w:r w:rsidR="000C3266" w:rsidRPr="00A3151B">
        <w:rPr>
          <w:bCs/>
        </w:rPr>
        <w:t>. On the basis that ‘</w:t>
      </w:r>
      <w:r w:rsidRPr="00A3151B">
        <w:rPr>
          <w:bCs/>
        </w:rPr>
        <w:t>the development and sustained exercise of the capacity for self-determination requires ongoing interpersonal, social and institutional scaffolding which can be thwarted by social domination, oppression and disadvantage</w:t>
      </w:r>
      <w:r w:rsidR="000C3266" w:rsidRPr="00A3151B">
        <w:rPr>
          <w:bCs/>
        </w:rPr>
        <w:t>’,</w:t>
      </w:r>
      <w:r w:rsidRPr="00A3151B">
        <w:rPr>
          <w:bCs/>
        </w:rPr>
        <w:t xml:space="preserve"> </w:t>
      </w:r>
      <w:r w:rsidR="00746C5C" w:rsidRPr="00A3151B">
        <w:rPr>
          <w:bCs/>
        </w:rPr>
        <w:t xml:space="preserve">she </w:t>
      </w:r>
      <w:proofErr w:type="spellStart"/>
      <w:r w:rsidR="00746C5C" w:rsidRPr="00A3151B">
        <w:rPr>
          <w:bCs/>
        </w:rPr>
        <w:t>argues tha</w:t>
      </w:r>
      <w:proofErr w:type="spellEnd"/>
      <w:r w:rsidR="00746C5C" w:rsidRPr="00A3151B">
        <w:rPr>
          <w:bCs/>
        </w:rPr>
        <w:t xml:space="preserve">t </w:t>
      </w:r>
      <w:r w:rsidR="000C3266" w:rsidRPr="00A3151B">
        <w:rPr>
          <w:bCs/>
        </w:rPr>
        <w:t>‘</w:t>
      </w:r>
      <w:r w:rsidRPr="00A3151B">
        <w:rPr>
          <w:bCs/>
        </w:rPr>
        <w:t>the state has obligations to develop social, political and legal institutions that foster the autonomy of citizens’.</w:t>
      </w:r>
      <w:r w:rsidR="000C3266" w:rsidRPr="00A3151B">
        <w:rPr>
          <w:rStyle w:val="FootnoteReference"/>
          <w:bCs/>
        </w:rPr>
        <w:footnoteReference w:id="122"/>
      </w:r>
    </w:p>
    <w:p w14:paraId="63308AF7" w14:textId="5EE6B0FF" w:rsidR="00462937" w:rsidRPr="00A3151B" w:rsidRDefault="00547552" w:rsidP="0068546D">
      <w:pPr>
        <w:tabs>
          <w:tab w:val="left" w:pos="720"/>
        </w:tabs>
        <w:spacing w:line="480" w:lineRule="auto"/>
        <w:jc w:val="both"/>
        <w:rPr>
          <w:bCs/>
        </w:rPr>
      </w:pPr>
      <w:r w:rsidRPr="00A3151B">
        <w:rPr>
          <w:bCs/>
        </w:rPr>
        <w:tab/>
      </w:r>
      <w:r w:rsidR="000C3266" w:rsidRPr="00A3151B">
        <w:rPr>
          <w:bCs/>
        </w:rPr>
        <w:t>In terms of the second normative consideration</w:t>
      </w:r>
      <w:r w:rsidR="0068546D" w:rsidRPr="00A3151B">
        <w:rPr>
          <w:bCs/>
        </w:rPr>
        <w:t>, if the</w:t>
      </w:r>
      <w:r w:rsidR="005D31A6" w:rsidRPr="00A3151B">
        <w:rPr>
          <w:bCs/>
        </w:rPr>
        <w:t xml:space="preserve"> situationally </w:t>
      </w:r>
      <w:r w:rsidRPr="00A3151B">
        <w:rPr>
          <w:bCs/>
        </w:rPr>
        <w:t>vulnerable individual</w:t>
      </w:r>
      <w:r w:rsidR="0068546D" w:rsidRPr="00A3151B">
        <w:rPr>
          <w:bCs/>
        </w:rPr>
        <w:t xml:space="preserve"> is able to recognise herself as having legitimate authority to make her own decisions regarding her care and treatment, then, bearing in mind that </w:t>
      </w:r>
      <w:r w:rsidRPr="00A3151B">
        <w:rPr>
          <w:bCs/>
          <w:iCs/>
        </w:rPr>
        <w:t>self-authorisation</w:t>
      </w:r>
      <w:r w:rsidRPr="00A3151B">
        <w:rPr>
          <w:bCs/>
        </w:rPr>
        <w:t xml:space="preserve"> implies that autonomy is anathema to insulating oneself from critique</w:t>
      </w:r>
      <w:r w:rsidR="0068546D" w:rsidRPr="00A3151B">
        <w:rPr>
          <w:bCs/>
        </w:rPr>
        <w:t xml:space="preserve">, she should be </w:t>
      </w:r>
      <w:r w:rsidR="0068546D" w:rsidRPr="00A3151B">
        <w:rPr>
          <w:bCs/>
          <w:i/>
          <w:iCs/>
        </w:rPr>
        <w:t>disposed</w:t>
      </w:r>
      <w:r w:rsidR="0068546D" w:rsidRPr="00A3151B">
        <w:rPr>
          <w:bCs/>
        </w:rPr>
        <w:t xml:space="preserve"> to answer for that decision.</w:t>
      </w:r>
      <w:r w:rsidRPr="00A3151B">
        <w:rPr>
          <w:rStyle w:val="FootnoteReference"/>
          <w:bCs/>
        </w:rPr>
        <w:footnoteReference w:id="123"/>
      </w:r>
      <w:r w:rsidR="0068546D" w:rsidRPr="00A3151B">
        <w:rPr>
          <w:bCs/>
        </w:rPr>
        <w:t xml:space="preserve"> In other words, she should be disposed to demonstrate that her treatment decision coheres with her own values, motives or values.</w:t>
      </w:r>
      <w:r w:rsidRPr="00A3151B">
        <w:rPr>
          <w:bCs/>
        </w:rPr>
        <w:t xml:space="preserve"> Although being disposed to vouch for her legitimate normative authority does not </w:t>
      </w:r>
      <w:r w:rsidR="005D31A6" w:rsidRPr="00A3151B">
        <w:rPr>
          <w:bCs/>
        </w:rPr>
        <w:t xml:space="preserve">morally </w:t>
      </w:r>
      <w:r w:rsidRPr="00A3151B">
        <w:rPr>
          <w:bCs/>
        </w:rPr>
        <w:t xml:space="preserve">require a </w:t>
      </w:r>
      <w:r w:rsidR="007E50F5" w:rsidRPr="00A3151B">
        <w:rPr>
          <w:bCs/>
        </w:rPr>
        <w:t xml:space="preserve">capacitous </w:t>
      </w:r>
      <w:r w:rsidRPr="00A3151B">
        <w:rPr>
          <w:bCs/>
        </w:rPr>
        <w:t xml:space="preserve">vulnerable individual </w:t>
      </w:r>
      <w:r w:rsidR="00462937" w:rsidRPr="00A3151B">
        <w:rPr>
          <w:bCs/>
        </w:rPr>
        <w:t xml:space="preserve">to </w:t>
      </w:r>
      <w:r w:rsidRPr="00A3151B">
        <w:rPr>
          <w:bCs/>
        </w:rPr>
        <w:t xml:space="preserve">answer </w:t>
      </w:r>
      <w:r w:rsidR="00462937" w:rsidRPr="00A3151B">
        <w:rPr>
          <w:bCs/>
        </w:rPr>
        <w:t xml:space="preserve">for her decisions, health care staff may reasonably request her to do so in </w:t>
      </w:r>
      <w:r w:rsidR="00462937" w:rsidRPr="00A3151B">
        <w:rPr>
          <w:bCs/>
        </w:rPr>
        <w:lastRenderedPageBreak/>
        <w:t xml:space="preserve">a particular </w:t>
      </w:r>
      <w:r w:rsidR="0056644A" w:rsidRPr="00A3151B">
        <w:rPr>
          <w:bCs/>
        </w:rPr>
        <w:t>decision-making instance</w:t>
      </w:r>
      <w:r w:rsidR="00462937" w:rsidRPr="00A3151B">
        <w:rPr>
          <w:bCs/>
        </w:rPr>
        <w:t xml:space="preserve"> in order to ensure – what Cogg</w:t>
      </w:r>
      <w:r w:rsidR="0068172F" w:rsidRPr="00A3151B">
        <w:rPr>
          <w:bCs/>
        </w:rPr>
        <w:t>o</w:t>
      </w:r>
      <w:r w:rsidR="00462937" w:rsidRPr="00A3151B">
        <w:rPr>
          <w:bCs/>
        </w:rPr>
        <w:t xml:space="preserve">n and </w:t>
      </w:r>
      <w:proofErr w:type="spellStart"/>
      <w:r w:rsidR="00462937" w:rsidRPr="00A3151B">
        <w:rPr>
          <w:bCs/>
        </w:rPr>
        <w:t>Miola</w:t>
      </w:r>
      <w:proofErr w:type="spellEnd"/>
      <w:r w:rsidR="00462937" w:rsidRPr="00A3151B">
        <w:rPr>
          <w:bCs/>
        </w:rPr>
        <w:t xml:space="preserve"> refer to as – the </w:t>
      </w:r>
      <w:r w:rsidR="00462937" w:rsidRPr="00A3151B">
        <w:rPr>
          <w:bCs/>
          <w:i/>
        </w:rPr>
        <w:t>effective use</w:t>
      </w:r>
      <w:r w:rsidR="00462937" w:rsidRPr="00A3151B">
        <w:rPr>
          <w:bCs/>
        </w:rPr>
        <w:t xml:space="preserve"> of her reasoning</w:t>
      </w:r>
      <w:r w:rsidR="005D31A6" w:rsidRPr="00A3151B">
        <w:rPr>
          <w:bCs/>
        </w:rPr>
        <w:t xml:space="preserve"> and thereby to avoid seeking declarations from the courts</w:t>
      </w:r>
      <w:r w:rsidR="00462937" w:rsidRPr="00A3151B">
        <w:rPr>
          <w:bCs/>
        </w:rPr>
        <w:t xml:space="preserve">. Again, if, in such a situation, a capacitous vulnerable adult is unable or unwilling to demonstrate that her permission or refusal coheres with her motivating attitudes, then there is a reasonable basis for the health care staff </w:t>
      </w:r>
      <w:r w:rsidR="005D31A6" w:rsidRPr="00A3151B">
        <w:rPr>
          <w:bCs/>
        </w:rPr>
        <w:t xml:space="preserve">and/or the courts </w:t>
      </w:r>
      <w:r w:rsidR="00462937" w:rsidRPr="00A3151B">
        <w:rPr>
          <w:bCs/>
        </w:rPr>
        <w:t xml:space="preserve">to focus on their duties of protection. </w:t>
      </w:r>
    </w:p>
    <w:p w14:paraId="3F2A65CE" w14:textId="322E3DCB" w:rsidR="006B1B86" w:rsidRPr="00A3151B" w:rsidRDefault="006B1B86" w:rsidP="0068546D">
      <w:pPr>
        <w:tabs>
          <w:tab w:val="left" w:pos="720"/>
        </w:tabs>
        <w:spacing w:line="480" w:lineRule="auto"/>
        <w:jc w:val="both"/>
        <w:rPr>
          <w:bCs/>
        </w:rPr>
      </w:pPr>
      <w:r w:rsidRPr="00A3151B">
        <w:rPr>
          <w:bCs/>
        </w:rPr>
        <w:tab/>
        <w:t xml:space="preserve">At this point, one might question why capacitous vulnerable adults in particular are required to be disposed to answer for their decisions. From a pragmatic perspective, unlike for other capacitous patients (i.e., those that are legally non-vulnerable), mere capacity is not sufficient to guarantee a vulnerable adult’s autonomy of decision making at law. Developing a normative framework to capture the autonomy of capacitous vulnerable adults involves moving beyond capacity and considering whether an individual is able to exercise their autonomy by effectively employing their capacity for reason to identify with, endorse or rationally respond to their motivating attitudes. Relatedly, and from a theoretical perspective, commitment to the proposed relational conception of autonomy demands that if a patient sees herself as legitimate source of reasons for action, then it is necessarily the case that she is disposed to answer for those decisions. One’s fulfilment of the conditions for the </w:t>
      </w:r>
      <w:r w:rsidRPr="00A3151B">
        <w:rPr>
          <w:bCs/>
          <w:i/>
          <w:iCs/>
        </w:rPr>
        <w:t>effective use</w:t>
      </w:r>
      <w:r w:rsidRPr="00A3151B">
        <w:rPr>
          <w:bCs/>
        </w:rPr>
        <w:t xml:space="preserve"> of reason cannot be separated from one’s </w:t>
      </w:r>
      <w:r w:rsidR="005D31A6" w:rsidRPr="00A3151B">
        <w:rPr>
          <w:bCs/>
        </w:rPr>
        <w:t>recognition</w:t>
      </w:r>
      <w:r w:rsidRPr="00A3151B">
        <w:rPr>
          <w:bCs/>
        </w:rPr>
        <w:t xml:space="preserve"> that one is able to speak for oneself and thereby answer to others. This leads to an important epistemic consideration. </w:t>
      </w:r>
      <w:r w:rsidR="00A95ED5" w:rsidRPr="00A3151B">
        <w:rPr>
          <w:bCs/>
        </w:rPr>
        <w:t>In terms of who judges this ability, a</w:t>
      </w:r>
      <w:r w:rsidRPr="00A3151B">
        <w:rPr>
          <w:bCs/>
        </w:rPr>
        <w:t>s advocates of Shared Decision Making in clinical practice have recognised,</w:t>
      </w:r>
      <w:r w:rsidRPr="00A3151B">
        <w:rPr>
          <w:rStyle w:val="FootnoteReference"/>
          <w:bCs/>
        </w:rPr>
        <w:footnoteReference w:id="124"/>
      </w:r>
      <w:r w:rsidRPr="00A3151B">
        <w:rPr>
          <w:bCs/>
        </w:rPr>
        <w:t xml:space="preserve"> the patient is epistemically best placed to identify, endorse and rationally respond to </w:t>
      </w:r>
      <w:r w:rsidR="00FC4161" w:rsidRPr="00A3151B">
        <w:rPr>
          <w:bCs/>
        </w:rPr>
        <w:t>her</w:t>
      </w:r>
      <w:r w:rsidRPr="00A3151B">
        <w:rPr>
          <w:bCs/>
        </w:rPr>
        <w:t xml:space="preserve"> values. Therefore, in accordance with s</w:t>
      </w:r>
      <w:r w:rsidR="005D31A6" w:rsidRPr="00A3151B">
        <w:rPr>
          <w:bCs/>
        </w:rPr>
        <w:t xml:space="preserve">ection </w:t>
      </w:r>
      <w:r w:rsidRPr="00A3151B">
        <w:rPr>
          <w:bCs/>
        </w:rPr>
        <w:t xml:space="preserve">1(4) of the MCA 2005, it is not for the health practitioner or the courts to determine or question the values underpinning a capacitous vulnerable patient’s decision. However, judgments of coherence, as a standard of moral justification, </w:t>
      </w:r>
      <w:r w:rsidR="00A95ED5" w:rsidRPr="00A3151B">
        <w:rPr>
          <w:bCs/>
        </w:rPr>
        <w:t>are</w:t>
      </w:r>
      <w:r w:rsidRPr="00A3151B">
        <w:rPr>
          <w:bCs/>
        </w:rPr>
        <w:t xml:space="preserve">, in </w:t>
      </w:r>
      <w:r w:rsidRPr="00A3151B">
        <w:rPr>
          <w:bCs/>
        </w:rPr>
        <w:lastRenderedPageBreak/>
        <w:t xml:space="preserve">principle, </w:t>
      </w:r>
      <w:r w:rsidR="00A95ED5" w:rsidRPr="00A3151B">
        <w:rPr>
          <w:bCs/>
        </w:rPr>
        <w:t>judgments</w:t>
      </w:r>
      <w:r w:rsidRPr="00A3151B">
        <w:rPr>
          <w:bCs/>
        </w:rPr>
        <w:t xml:space="preserve"> that any third party, including practitioners and the courts, can </w:t>
      </w:r>
      <w:r w:rsidR="00A95ED5" w:rsidRPr="00A3151B">
        <w:rPr>
          <w:bCs/>
        </w:rPr>
        <w:t>arrive at</w:t>
      </w:r>
      <w:r w:rsidRPr="00A3151B">
        <w:rPr>
          <w:bCs/>
        </w:rPr>
        <w:t xml:space="preserve"> once the patient provides them with </w:t>
      </w:r>
      <w:r w:rsidR="00FC4161" w:rsidRPr="00A3151B">
        <w:rPr>
          <w:bCs/>
        </w:rPr>
        <w:t>her</w:t>
      </w:r>
      <w:r w:rsidRPr="00A3151B">
        <w:rPr>
          <w:bCs/>
        </w:rPr>
        <w:t xml:space="preserve"> decision and values. Ideally, if we could reform the</w:t>
      </w:r>
      <w:r w:rsidR="00A95ED5" w:rsidRPr="00A3151B">
        <w:rPr>
          <w:bCs/>
        </w:rPr>
        <w:t xml:space="preserve"> </w:t>
      </w:r>
      <w:r w:rsidRPr="00A3151B">
        <w:rPr>
          <w:bCs/>
        </w:rPr>
        <w:t>MCA</w:t>
      </w:r>
      <w:r w:rsidR="00A95ED5" w:rsidRPr="00A3151B">
        <w:rPr>
          <w:bCs/>
        </w:rPr>
        <w:t xml:space="preserve"> 2005</w:t>
      </w:r>
      <w:r w:rsidRPr="00A3151B">
        <w:rPr>
          <w:bCs/>
        </w:rPr>
        <w:t xml:space="preserve"> along autonomy (rather than capacity) lines, then all capacitous individuals (</w:t>
      </w:r>
      <w:r w:rsidR="00A95ED5" w:rsidRPr="00A3151B">
        <w:rPr>
          <w:bCs/>
        </w:rPr>
        <w:t xml:space="preserve">i.e., </w:t>
      </w:r>
      <w:r w:rsidRPr="00A3151B">
        <w:rPr>
          <w:bCs/>
        </w:rPr>
        <w:t xml:space="preserve">whether legally vulnerable or non-vulnerable) would be required to be disposed to demonstrate the soundness of their reasoning. However, given that there is a gap in the Act through which capacitous vulnerable individuals have fallen, and given that consideration of their autonomy is something that is thereby contingent on responses at common law, the </w:t>
      </w:r>
      <w:r w:rsidR="00A95ED5" w:rsidRPr="00A3151B">
        <w:rPr>
          <w:bCs/>
        </w:rPr>
        <w:t>normative framework presented here is</w:t>
      </w:r>
      <w:r w:rsidRPr="00A3151B">
        <w:rPr>
          <w:bCs/>
        </w:rPr>
        <w:t xml:space="preserve"> primarily concerned with offering health care practitioners</w:t>
      </w:r>
      <w:r w:rsidR="00A95ED5" w:rsidRPr="00A3151B">
        <w:rPr>
          <w:bCs/>
        </w:rPr>
        <w:t xml:space="preserve"> and the courts</w:t>
      </w:r>
      <w:r w:rsidRPr="00A3151B">
        <w:rPr>
          <w:bCs/>
        </w:rPr>
        <w:t xml:space="preserve"> a way to consider the autonomy of these individuals in order to better support the primary aim of the inherent jurisdiction</w:t>
      </w:r>
      <w:r w:rsidR="005D31A6" w:rsidRPr="00A3151B">
        <w:rPr>
          <w:bCs/>
        </w:rPr>
        <w:t xml:space="preserve"> – to </w:t>
      </w:r>
      <w:r w:rsidRPr="00A3151B">
        <w:rPr>
          <w:bCs/>
        </w:rPr>
        <w:t>facilitate autonomy of decision making.</w:t>
      </w:r>
    </w:p>
    <w:p w14:paraId="6D545FB6" w14:textId="13F43BC5" w:rsidR="0068546D" w:rsidRPr="00A3151B" w:rsidRDefault="00462937" w:rsidP="0068546D">
      <w:pPr>
        <w:tabs>
          <w:tab w:val="left" w:pos="720"/>
        </w:tabs>
        <w:spacing w:line="480" w:lineRule="auto"/>
        <w:jc w:val="both"/>
        <w:rPr>
          <w:bCs/>
        </w:rPr>
      </w:pPr>
      <w:r w:rsidRPr="00A3151B">
        <w:rPr>
          <w:bCs/>
        </w:rPr>
        <w:tab/>
      </w:r>
      <w:r w:rsidR="00A95ED5" w:rsidRPr="00A3151B">
        <w:rPr>
          <w:bCs/>
        </w:rPr>
        <w:t xml:space="preserve">The third consideration relates to the necessary dependence of a </w:t>
      </w:r>
      <w:r w:rsidR="0068546D" w:rsidRPr="00A3151B">
        <w:rPr>
          <w:bCs/>
        </w:rPr>
        <w:t xml:space="preserve">vulnerable patient’s autonomy </w:t>
      </w:r>
      <w:r w:rsidR="00FB5ACE" w:rsidRPr="00A3151B">
        <w:rPr>
          <w:bCs/>
        </w:rPr>
        <w:t xml:space="preserve">on </w:t>
      </w:r>
      <w:r w:rsidR="002F2ACB" w:rsidRPr="00A3151B">
        <w:rPr>
          <w:bCs/>
        </w:rPr>
        <w:t>the recognition of those to whom her claims to autonomy are addressed.</w:t>
      </w:r>
      <w:r w:rsidR="00A95ED5" w:rsidRPr="00A3151B">
        <w:rPr>
          <w:bCs/>
        </w:rPr>
        <w:t xml:space="preserve"> The point is that</w:t>
      </w:r>
      <w:r w:rsidR="002F2ACB" w:rsidRPr="00A3151B">
        <w:rPr>
          <w:bCs/>
        </w:rPr>
        <w:t xml:space="preserve"> if she satisfies the criteria associated with the preceding two normative considerations, then </w:t>
      </w:r>
      <w:r w:rsidR="0068546D" w:rsidRPr="00A3151B">
        <w:rPr>
          <w:bCs/>
        </w:rPr>
        <w:t>her legitimate authority to make her own decisions regarding her care and treatment should be recognised by health care practitioners</w:t>
      </w:r>
      <w:r w:rsidR="00F226EA" w:rsidRPr="00A3151B">
        <w:rPr>
          <w:bCs/>
        </w:rPr>
        <w:t xml:space="preserve"> and/or the courts</w:t>
      </w:r>
      <w:r w:rsidR="0068546D" w:rsidRPr="00A3151B">
        <w:rPr>
          <w:bCs/>
        </w:rPr>
        <w:t xml:space="preserve"> thereby securing her status as an autonomous individual.</w:t>
      </w:r>
      <w:r w:rsidR="00F20FC8" w:rsidRPr="00A3151B">
        <w:rPr>
          <w:bCs/>
        </w:rPr>
        <w:t xml:space="preserve"> Furthermore, </w:t>
      </w:r>
      <w:r w:rsidR="00A009C5" w:rsidRPr="00A3151B">
        <w:rPr>
          <w:bCs/>
        </w:rPr>
        <w:t>if health care staff and/or the courts</w:t>
      </w:r>
      <w:r w:rsidR="00DF3BBD" w:rsidRPr="00A3151B">
        <w:rPr>
          <w:bCs/>
        </w:rPr>
        <w:t xml:space="preserve"> reco</w:t>
      </w:r>
      <w:r w:rsidR="00A009C5" w:rsidRPr="00A3151B">
        <w:rPr>
          <w:bCs/>
        </w:rPr>
        <w:t>gnise</w:t>
      </w:r>
      <w:r w:rsidR="00DF3BBD" w:rsidRPr="00A3151B">
        <w:rPr>
          <w:bCs/>
        </w:rPr>
        <w:t xml:space="preserve"> that a </w:t>
      </w:r>
      <w:r w:rsidR="00FC4161" w:rsidRPr="00A3151B">
        <w:rPr>
          <w:bCs/>
        </w:rPr>
        <w:t xml:space="preserve">situationally </w:t>
      </w:r>
      <w:r w:rsidR="00DF3BBD" w:rsidRPr="00A3151B">
        <w:rPr>
          <w:bCs/>
        </w:rPr>
        <w:t>vulnerable adult has the status of autonomy</w:t>
      </w:r>
      <w:r w:rsidR="00A009C5" w:rsidRPr="00A3151B">
        <w:rPr>
          <w:bCs/>
        </w:rPr>
        <w:t xml:space="preserve"> like any other capacitous patient</w:t>
      </w:r>
      <w:r w:rsidR="00DF3BBD" w:rsidRPr="00A3151B">
        <w:rPr>
          <w:bCs/>
        </w:rPr>
        <w:t>,</w:t>
      </w:r>
      <w:r w:rsidR="00A009C5" w:rsidRPr="00A3151B">
        <w:rPr>
          <w:bCs/>
        </w:rPr>
        <w:t xml:space="preserve"> then, in keeping with s</w:t>
      </w:r>
      <w:r w:rsidR="005D31A6" w:rsidRPr="00A3151B">
        <w:rPr>
          <w:bCs/>
        </w:rPr>
        <w:t xml:space="preserve">ection </w:t>
      </w:r>
      <w:r w:rsidR="00A009C5" w:rsidRPr="00A3151B">
        <w:rPr>
          <w:bCs/>
        </w:rPr>
        <w:t xml:space="preserve">1(4) of the MCA 2005, </w:t>
      </w:r>
      <w:r w:rsidR="00E64125" w:rsidRPr="00A3151B">
        <w:rPr>
          <w:bCs/>
        </w:rPr>
        <w:t>she should be allowed to make her decisions</w:t>
      </w:r>
      <w:r w:rsidR="005D31A6" w:rsidRPr="00A3151B">
        <w:rPr>
          <w:bCs/>
        </w:rPr>
        <w:t xml:space="preserve"> </w:t>
      </w:r>
      <w:r w:rsidR="00E64125" w:rsidRPr="00A3151B">
        <w:rPr>
          <w:bCs/>
        </w:rPr>
        <w:t>no matter how ‘unwise’ they may seem and ‘no matter how unpalatable they may appear to the public’.</w:t>
      </w:r>
      <w:r w:rsidR="00E64125" w:rsidRPr="00A3151B">
        <w:rPr>
          <w:rStyle w:val="FootnoteReference"/>
          <w:bCs/>
        </w:rPr>
        <w:footnoteReference w:id="125"/>
      </w:r>
      <w:r w:rsidR="00A009C5" w:rsidRPr="00A3151B">
        <w:rPr>
          <w:bCs/>
        </w:rPr>
        <w:t xml:space="preserve"> </w:t>
      </w:r>
      <w:r w:rsidR="00A95ED5" w:rsidRPr="00A3151B">
        <w:rPr>
          <w:bCs/>
        </w:rPr>
        <w:t>Ultimately,</w:t>
      </w:r>
      <w:r w:rsidR="00E64125" w:rsidRPr="00A3151B">
        <w:rPr>
          <w:bCs/>
        </w:rPr>
        <w:t xml:space="preserve"> i</w:t>
      </w:r>
      <w:r w:rsidR="0068546D" w:rsidRPr="00A3151B">
        <w:rPr>
          <w:bCs/>
        </w:rPr>
        <w:t xml:space="preserve">f such recognition is granted, then there is no autonomy-based reason not to respect her decision, including her permissions and refusals regarding specific care or therapeutic interventions. </w:t>
      </w:r>
    </w:p>
    <w:p w14:paraId="1A2CE819" w14:textId="1CD49A94" w:rsidR="00FE5F78" w:rsidRPr="00A3151B" w:rsidRDefault="002F2ACB" w:rsidP="00082C12">
      <w:pPr>
        <w:tabs>
          <w:tab w:val="left" w:pos="720"/>
        </w:tabs>
        <w:spacing w:line="480" w:lineRule="auto"/>
        <w:jc w:val="both"/>
        <w:rPr>
          <w:bCs/>
        </w:rPr>
      </w:pPr>
      <w:r w:rsidRPr="00A3151B">
        <w:rPr>
          <w:bCs/>
        </w:rPr>
        <w:tab/>
      </w:r>
      <w:r w:rsidR="00512D3A" w:rsidRPr="00A3151B">
        <w:rPr>
          <w:bCs/>
        </w:rPr>
        <w:t xml:space="preserve">What we can extrapolate from these three normative considerations is a specified version of the claim </w:t>
      </w:r>
      <w:r w:rsidRPr="00A3151B">
        <w:rPr>
          <w:bCs/>
        </w:rPr>
        <w:t xml:space="preserve">that health care staff and the courts should promote the autonomy of </w:t>
      </w:r>
      <w:r w:rsidRPr="00A3151B">
        <w:rPr>
          <w:bCs/>
        </w:rPr>
        <w:lastRenderedPageBreak/>
        <w:t xml:space="preserve">capacitous vulnerable patients </w:t>
      </w:r>
      <w:r w:rsidRPr="00A3151B">
        <w:rPr>
          <w:bCs/>
          <w:i/>
        </w:rPr>
        <w:t>where possible</w:t>
      </w:r>
      <w:r w:rsidR="00512D3A" w:rsidRPr="00A3151B">
        <w:rPr>
          <w:bCs/>
        </w:rPr>
        <w:t>. Specifically, as these three considerations show, f</w:t>
      </w:r>
      <w:r w:rsidR="0068546D" w:rsidRPr="00A3151B">
        <w:rPr>
          <w:bCs/>
        </w:rPr>
        <w:t xml:space="preserve">or any </w:t>
      </w:r>
      <w:r w:rsidR="00512D3A" w:rsidRPr="00A3151B">
        <w:rPr>
          <w:bCs/>
        </w:rPr>
        <w:t xml:space="preserve">normative </w:t>
      </w:r>
      <w:r w:rsidR="0068546D" w:rsidRPr="00A3151B">
        <w:rPr>
          <w:bCs/>
        </w:rPr>
        <w:t xml:space="preserve">framework </w:t>
      </w:r>
      <w:r w:rsidR="00512D3A" w:rsidRPr="00A3151B">
        <w:rPr>
          <w:bCs/>
        </w:rPr>
        <w:t>based on the</w:t>
      </w:r>
      <w:r w:rsidR="0068546D" w:rsidRPr="00A3151B">
        <w:rPr>
          <w:bCs/>
        </w:rPr>
        <w:t xml:space="preserve"> concept of self-authorised autonomy, there is the requirement for health care providers and the courts to provide the opportunity for </w:t>
      </w:r>
      <w:r w:rsidR="005D31A6" w:rsidRPr="00A3151B">
        <w:rPr>
          <w:bCs/>
        </w:rPr>
        <w:t xml:space="preserve">situationally </w:t>
      </w:r>
      <w:r w:rsidR="0068546D" w:rsidRPr="00A3151B">
        <w:rPr>
          <w:bCs/>
        </w:rPr>
        <w:t xml:space="preserve">vulnerable patients </w:t>
      </w:r>
      <w:r w:rsidR="00512D3A" w:rsidRPr="00A3151B">
        <w:rPr>
          <w:bCs/>
        </w:rPr>
        <w:t>(</w:t>
      </w:r>
      <w:r w:rsidR="0068546D" w:rsidRPr="00A3151B">
        <w:rPr>
          <w:bCs/>
        </w:rPr>
        <w:t xml:space="preserve">and </w:t>
      </w:r>
      <w:r w:rsidR="00FC4161" w:rsidRPr="00A3151B">
        <w:rPr>
          <w:bCs/>
        </w:rPr>
        <w:t>those performing a supportive role</w:t>
      </w:r>
      <w:r w:rsidR="0068546D" w:rsidRPr="00A3151B">
        <w:rPr>
          <w:bCs/>
        </w:rPr>
        <w:t xml:space="preserve"> in the decision-making process</w:t>
      </w:r>
      <w:r w:rsidR="00512D3A" w:rsidRPr="00A3151B">
        <w:rPr>
          <w:bCs/>
        </w:rPr>
        <w:t>)</w:t>
      </w:r>
      <w:r w:rsidR="0068546D" w:rsidRPr="00A3151B">
        <w:rPr>
          <w:bCs/>
        </w:rPr>
        <w:t xml:space="preserve"> to fulfil the aforementioned conditions before any pre-emptive duties of protection are </w:t>
      </w:r>
      <w:proofErr w:type="gramStart"/>
      <w:r w:rsidR="0068546D" w:rsidRPr="00A3151B">
        <w:rPr>
          <w:bCs/>
        </w:rPr>
        <w:t>effected</w:t>
      </w:r>
      <w:proofErr w:type="gramEnd"/>
      <w:r w:rsidR="0068546D" w:rsidRPr="00A3151B">
        <w:rPr>
          <w:bCs/>
        </w:rPr>
        <w:t xml:space="preserve">. </w:t>
      </w:r>
      <w:r w:rsidR="00512D3A" w:rsidRPr="00A3151B">
        <w:rPr>
          <w:bCs/>
        </w:rPr>
        <w:t>As already implied, s</w:t>
      </w:r>
      <w:r w:rsidR="0068546D" w:rsidRPr="00A3151B">
        <w:rPr>
          <w:bCs/>
        </w:rPr>
        <w:t xml:space="preserve">ome </w:t>
      </w:r>
      <w:r w:rsidR="00512D3A" w:rsidRPr="00A3151B">
        <w:rPr>
          <w:bCs/>
        </w:rPr>
        <w:t>health care practitioners</w:t>
      </w:r>
      <w:r w:rsidR="0068546D" w:rsidRPr="00A3151B">
        <w:rPr>
          <w:bCs/>
        </w:rPr>
        <w:t xml:space="preserve"> may be satisfied to recognise a </w:t>
      </w:r>
      <w:r w:rsidR="005D31A6" w:rsidRPr="00A3151B">
        <w:rPr>
          <w:bCs/>
        </w:rPr>
        <w:t xml:space="preserve">situationally </w:t>
      </w:r>
      <w:r w:rsidR="0068546D" w:rsidRPr="00A3151B">
        <w:rPr>
          <w:bCs/>
        </w:rPr>
        <w:t xml:space="preserve">vulnerable </w:t>
      </w:r>
      <w:r w:rsidR="00512D3A" w:rsidRPr="00A3151B">
        <w:rPr>
          <w:bCs/>
        </w:rPr>
        <w:t>patient</w:t>
      </w:r>
      <w:r w:rsidR="0068546D" w:rsidRPr="00A3151B">
        <w:rPr>
          <w:bCs/>
        </w:rPr>
        <w:t xml:space="preserve"> as someone with the status of autonomy without requiring </w:t>
      </w:r>
      <w:r w:rsidR="00512D3A" w:rsidRPr="00A3151B">
        <w:rPr>
          <w:bCs/>
        </w:rPr>
        <w:t>her</w:t>
      </w:r>
      <w:r w:rsidR="0068546D" w:rsidRPr="00A3151B">
        <w:rPr>
          <w:bCs/>
        </w:rPr>
        <w:t xml:space="preserve"> to </w:t>
      </w:r>
      <w:r w:rsidR="00512D3A" w:rsidRPr="00A3151B">
        <w:rPr>
          <w:bCs/>
        </w:rPr>
        <w:t>explicitly vouch for</w:t>
      </w:r>
      <w:r w:rsidR="0068546D" w:rsidRPr="00A3151B">
        <w:rPr>
          <w:bCs/>
        </w:rPr>
        <w:t xml:space="preserve"> the </w:t>
      </w:r>
      <w:r w:rsidR="005D31A6" w:rsidRPr="00A3151B">
        <w:rPr>
          <w:bCs/>
        </w:rPr>
        <w:t>coherence</w:t>
      </w:r>
      <w:r w:rsidR="0068546D" w:rsidRPr="00A3151B">
        <w:rPr>
          <w:bCs/>
        </w:rPr>
        <w:t xml:space="preserve"> of </w:t>
      </w:r>
      <w:r w:rsidR="005D31A6" w:rsidRPr="00A3151B">
        <w:rPr>
          <w:bCs/>
        </w:rPr>
        <w:t>her decisions</w:t>
      </w:r>
      <w:r w:rsidR="0068546D" w:rsidRPr="00A3151B">
        <w:rPr>
          <w:bCs/>
        </w:rPr>
        <w:t>. However, if one of the aims of promoting the autonomy of capacitous vulnerable adults is to</w:t>
      </w:r>
      <w:r w:rsidR="008D1B6E" w:rsidRPr="00A3151B">
        <w:rPr>
          <w:bCs/>
        </w:rPr>
        <w:t xml:space="preserve"> avoid legal interventions that</w:t>
      </w:r>
      <w:r w:rsidR="00314890" w:rsidRPr="00A3151B">
        <w:rPr>
          <w:bCs/>
        </w:rPr>
        <w:t xml:space="preserve"> currently</w:t>
      </w:r>
      <w:r w:rsidR="0068546D" w:rsidRPr="00A3151B">
        <w:rPr>
          <w:bCs/>
        </w:rPr>
        <w:t xml:space="preserve"> lead to the denial of decision-making authority and</w:t>
      </w:r>
      <w:r w:rsidR="002E2DE8" w:rsidRPr="00A3151B">
        <w:rPr>
          <w:bCs/>
        </w:rPr>
        <w:t xml:space="preserve"> the violation of autonomy, then the attending clinical practitioner</w:t>
      </w:r>
      <w:r w:rsidR="0068546D" w:rsidRPr="00A3151B">
        <w:rPr>
          <w:bCs/>
        </w:rPr>
        <w:t xml:space="preserve"> </w:t>
      </w:r>
      <w:r w:rsidR="00644CAC" w:rsidRPr="00A3151B">
        <w:rPr>
          <w:bCs/>
        </w:rPr>
        <w:t xml:space="preserve">may reasonably </w:t>
      </w:r>
      <w:r w:rsidR="008F6DE2" w:rsidRPr="00A3151B">
        <w:rPr>
          <w:bCs/>
        </w:rPr>
        <w:t xml:space="preserve">request </w:t>
      </w:r>
      <w:r w:rsidR="002E2DE8" w:rsidRPr="00A3151B">
        <w:rPr>
          <w:bCs/>
        </w:rPr>
        <w:t xml:space="preserve">a </w:t>
      </w:r>
      <w:r w:rsidR="005D31A6" w:rsidRPr="00A3151B">
        <w:rPr>
          <w:bCs/>
        </w:rPr>
        <w:t xml:space="preserve">situationally </w:t>
      </w:r>
      <w:r w:rsidR="002E2DE8" w:rsidRPr="00A3151B">
        <w:rPr>
          <w:bCs/>
        </w:rPr>
        <w:t>vulnerable patient</w:t>
      </w:r>
      <w:r w:rsidR="008F6DE2" w:rsidRPr="00A3151B">
        <w:rPr>
          <w:bCs/>
        </w:rPr>
        <w:t xml:space="preserve"> </w:t>
      </w:r>
      <w:r w:rsidR="002E2DE8" w:rsidRPr="00A3151B">
        <w:rPr>
          <w:bCs/>
        </w:rPr>
        <w:t xml:space="preserve">to provide details of her reasons for her </w:t>
      </w:r>
      <w:r w:rsidR="008261BB" w:rsidRPr="00A3151B">
        <w:rPr>
          <w:bCs/>
        </w:rPr>
        <w:t>permission or refusal</w:t>
      </w:r>
      <w:r w:rsidR="002E2DE8" w:rsidRPr="00A3151B">
        <w:rPr>
          <w:bCs/>
        </w:rPr>
        <w:t xml:space="preserve"> in order to determine that her treatment decision does, in fact, cohere with those values, desires and motives</w:t>
      </w:r>
      <w:r w:rsidR="00A95ED5" w:rsidRPr="00A3151B">
        <w:rPr>
          <w:bCs/>
        </w:rPr>
        <w:t xml:space="preserve">. </w:t>
      </w:r>
      <w:r w:rsidR="002E2DE8" w:rsidRPr="00A3151B">
        <w:rPr>
          <w:bCs/>
        </w:rPr>
        <w:t xml:space="preserve">Of course, the process of having a </w:t>
      </w:r>
      <w:r w:rsidR="005D31A6" w:rsidRPr="00A3151B">
        <w:rPr>
          <w:bCs/>
        </w:rPr>
        <w:t xml:space="preserve">situationally </w:t>
      </w:r>
      <w:r w:rsidR="002E2DE8" w:rsidRPr="00A3151B">
        <w:rPr>
          <w:bCs/>
        </w:rPr>
        <w:t xml:space="preserve">vulnerable, yet capacitous, patient answer for the legitimacy of her normative authority and thereby the legitimacy of her resulting decisions may </w:t>
      </w:r>
      <w:r w:rsidR="00B85CBD" w:rsidRPr="00A3151B">
        <w:rPr>
          <w:bCs/>
        </w:rPr>
        <w:t xml:space="preserve">require </w:t>
      </w:r>
      <w:r w:rsidR="00136488" w:rsidRPr="00A3151B">
        <w:rPr>
          <w:bCs/>
        </w:rPr>
        <w:t xml:space="preserve">greater levels of health care practitioner </w:t>
      </w:r>
      <w:r w:rsidR="00F226EA" w:rsidRPr="00A3151B">
        <w:rPr>
          <w:bCs/>
        </w:rPr>
        <w:t xml:space="preserve">and/or court </w:t>
      </w:r>
      <w:r w:rsidR="00136488" w:rsidRPr="00A3151B">
        <w:rPr>
          <w:bCs/>
        </w:rPr>
        <w:t xml:space="preserve">support than would usually be accorded a </w:t>
      </w:r>
      <w:r w:rsidR="005D31A6" w:rsidRPr="00A3151B">
        <w:rPr>
          <w:bCs/>
        </w:rPr>
        <w:t>legally</w:t>
      </w:r>
      <w:r w:rsidR="00136488" w:rsidRPr="00A3151B">
        <w:rPr>
          <w:bCs/>
        </w:rPr>
        <w:t xml:space="preserve"> non-vulnerable patient. </w:t>
      </w:r>
      <w:r w:rsidR="00954B22" w:rsidRPr="00A3151B">
        <w:rPr>
          <w:bCs/>
        </w:rPr>
        <w:t>But just because such a process may require more health care</w:t>
      </w:r>
      <w:r w:rsidR="00F226EA" w:rsidRPr="00A3151B">
        <w:rPr>
          <w:bCs/>
        </w:rPr>
        <w:t>/court</w:t>
      </w:r>
      <w:r w:rsidR="00954B22" w:rsidRPr="00A3151B">
        <w:rPr>
          <w:bCs/>
        </w:rPr>
        <w:t xml:space="preserve"> resources, more time and, potentially, more detailed exploration of a patient’</w:t>
      </w:r>
      <w:r w:rsidR="008261BB" w:rsidRPr="00A3151B">
        <w:rPr>
          <w:bCs/>
        </w:rPr>
        <w:t xml:space="preserve">s motivating attitudes, this is </w:t>
      </w:r>
      <w:r w:rsidR="00954B22" w:rsidRPr="00A3151B">
        <w:rPr>
          <w:bCs/>
        </w:rPr>
        <w:t xml:space="preserve">not a good reason for </w:t>
      </w:r>
      <w:r w:rsidR="00F226EA" w:rsidRPr="00A3151B">
        <w:rPr>
          <w:bCs/>
        </w:rPr>
        <w:t xml:space="preserve">either health care staff </w:t>
      </w:r>
      <w:r w:rsidR="00954B22" w:rsidRPr="00A3151B">
        <w:rPr>
          <w:bCs/>
        </w:rPr>
        <w:t xml:space="preserve">or the courts to avoid prioritising the promotion of a </w:t>
      </w:r>
      <w:r w:rsidR="005D31A6" w:rsidRPr="00A3151B">
        <w:rPr>
          <w:bCs/>
        </w:rPr>
        <w:t xml:space="preserve">situationally </w:t>
      </w:r>
      <w:r w:rsidR="00954B22" w:rsidRPr="00A3151B">
        <w:rPr>
          <w:bCs/>
        </w:rPr>
        <w:t>vulnerable adult’s autonomy.</w:t>
      </w:r>
      <w:r w:rsidR="00136488" w:rsidRPr="00A3151B">
        <w:rPr>
          <w:bCs/>
        </w:rPr>
        <w:t xml:space="preserve"> </w:t>
      </w:r>
      <w:r w:rsidR="005D31A6" w:rsidRPr="00A3151B">
        <w:rPr>
          <w:bCs/>
        </w:rPr>
        <w:t xml:space="preserve">Indeed, </w:t>
      </w:r>
      <w:r w:rsidR="008261BB" w:rsidRPr="00A3151B">
        <w:rPr>
          <w:bCs/>
        </w:rPr>
        <w:t xml:space="preserve">this does nothing to undermine the guiding principle implied by the self-authorisation approach to autonomy; specifically, that, </w:t>
      </w:r>
      <w:r w:rsidR="008261BB" w:rsidRPr="00A3151B">
        <w:rPr>
          <w:bCs/>
          <w:i/>
        </w:rPr>
        <w:t>where possible</w:t>
      </w:r>
      <w:r w:rsidR="008261BB" w:rsidRPr="00A3151B">
        <w:rPr>
          <w:bCs/>
        </w:rPr>
        <w:t xml:space="preserve">, a </w:t>
      </w:r>
      <w:r w:rsidR="005D31A6" w:rsidRPr="00A3151B">
        <w:rPr>
          <w:bCs/>
        </w:rPr>
        <w:t xml:space="preserve">situationally </w:t>
      </w:r>
      <w:r w:rsidR="008261BB" w:rsidRPr="00A3151B">
        <w:rPr>
          <w:bCs/>
        </w:rPr>
        <w:t>vulnerable patient</w:t>
      </w:r>
      <w:r w:rsidR="005D31A6" w:rsidRPr="00A3151B">
        <w:rPr>
          <w:bCs/>
        </w:rPr>
        <w:t>,</w:t>
      </w:r>
      <w:r w:rsidR="008261BB" w:rsidRPr="00A3151B">
        <w:rPr>
          <w:bCs/>
        </w:rPr>
        <w:t xml:space="preserve"> who legitimately recognises herself as someone with the status of autonomy</w:t>
      </w:r>
      <w:r w:rsidR="005D31A6" w:rsidRPr="00A3151B">
        <w:rPr>
          <w:bCs/>
        </w:rPr>
        <w:t>,</w:t>
      </w:r>
      <w:r w:rsidR="008261BB" w:rsidRPr="00A3151B">
        <w:rPr>
          <w:bCs/>
        </w:rPr>
        <w:t xml:space="preserve"> should be given the opportunity to express her decision regarding her care or treatment before any pre-emptive duties of protection are </w:t>
      </w:r>
      <w:proofErr w:type="gramStart"/>
      <w:r w:rsidR="008261BB" w:rsidRPr="00A3151B">
        <w:rPr>
          <w:bCs/>
        </w:rPr>
        <w:t>effected</w:t>
      </w:r>
      <w:proofErr w:type="gramEnd"/>
      <w:r w:rsidR="008261BB" w:rsidRPr="00A3151B">
        <w:rPr>
          <w:bCs/>
        </w:rPr>
        <w:t>.</w:t>
      </w:r>
    </w:p>
    <w:p w14:paraId="73576F7A" w14:textId="18CC4E59" w:rsidR="00D20623" w:rsidRPr="00A3151B" w:rsidRDefault="00D20623" w:rsidP="00314F3D">
      <w:pPr>
        <w:tabs>
          <w:tab w:val="left" w:pos="720"/>
        </w:tabs>
        <w:spacing w:line="480" w:lineRule="auto"/>
        <w:jc w:val="both"/>
        <w:rPr>
          <w:bCs/>
        </w:rPr>
      </w:pPr>
    </w:p>
    <w:p w14:paraId="57CE1BAA" w14:textId="190829B8" w:rsidR="00D51361" w:rsidRPr="00A3151B" w:rsidRDefault="00D51361" w:rsidP="00D51361">
      <w:pPr>
        <w:tabs>
          <w:tab w:val="left" w:pos="720"/>
        </w:tabs>
        <w:spacing w:line="480" w:lineRule="auto"/>
        <w:jc w:val="center"/>
        <w:rPr>
          <w:b/>
        </w:rPr>
      </w:pPr>
      <w:r w:rsidRPr="00A3151B">
        <w:rPr>
          <w:b/>
        </w:rPr>
        <w:t>CONCLUSION</w:t>
      </w:r>
    </w:p>
    <w:p w14:paraId="43A6245F" w14:textId="77777777" w:rsidR="00D51361" w:rsidRPr="00A3151B" w:rsidRDefault="00D51361" w:rsidP="00314F3D">
      <w:pPr>
        <w:tabs>
          <w:tab w:val="left" w:pos="720"/>
        </w:tabs>
        <w:spacing w:line="480" w:lineRule="auto"/>
        <w:jc w:val="both"/>
        <w:rPr>
          <w:b/>
          <w:bCs/>
        </w:rPr>
      </w:pPr>
    </w:p>
    <w:p w14:paraId="74C4C241" w14:textId="26E02E16" w:rsidR="009B0E6F" w:rsidRPr="00833BEF" w:rsidRDefault="00EB22D9" w:rsidP="00314F3D">
      <w:pPr>
        <w:tabs>
          <w:tab w:val="left" w:pos="720"/>
        </w:tabs>
        <w:spacing w:line="480" w:lineRule="auto"/>
        <w:jc w:val="both"/>
        <w:rPr>
          <w:bCs/>
        </w:rPr>
      </w:pPr>
      <w:r w:rsidRPr="00A3151B">
        <w:rPr>
          <w:bCs/>
        </w:rPr>
        <w:t>Standard common law responses to situational vulnerability</w:t>
      </w:r>
      <w:r w:rsidR="00530CED" w:rsidRPr="00A3151B">
        <w:rPr>
          <w:bCs/>
        </w:rPr>
        <w:t xml:space="preserve"> </w:t>
      </w:r>
      <w:proofErr w:type="gramStart"/>
      <w:r w:rsidR="00D20623" w:rsidRPr="00A3151B">
        <w:rPr>
          <w:bCs/>
        </w:rPr>
        <w:t>lead</w:t>
      </w:r>
      <w:proofErr w:type="gramEnd"/>
      <w:r w:rsidR="00D20623" w:rsidRPr="00A3151B">
        <w:rPr>
          <w:bCs/>
        </w:rPr>
        <w:t xml:space="preserve"> to a failure to grant those the law deems to be vulnerable the same opportunities as </w:t>
      </w:r>
      <w:r w:rsidRPr="00A3151B">
        <w:rPr>
          <w:bCs/>
        </w:rPr>
        <w:t xml:space="preserve">legally </w:t>
      </w:r>
      <w:r w:rsidR="00D20623" w:rsidRPr="00A3151B">
        <w:rPr>
          <w:bCs/>
        </w:rPr>
        <w:t xml:space="preserve">non-vulnerable individuals to </w:t>
      </w:r>
      <w:r w:rsidRPr="00A3151B">
        <w:rPr>
          <w:bCs/>
        </w:rPr>
        <w:t>make claims to autonomy</w:t>
      </w:r>
      <w:r w:rsidR="00D20623" w:rsidRPr="00A3151B">
        <w:rPr>
          <w:bCs/>
        </w:rPr>
        <w:t>. Although such approach</w:t>
      </w:r>
      <w:r w:rsidRPr="00A3151B">
        <w:rPr>
          <w:bCs/>
        </w:rPr>
        <w:t>es</w:t>
      </w:r>
      <w:r w:rsidR="00D20623" w:rsidRPr="00A3151B">
        <w:rPr>
          <w:bCs/>
        </w:rPr>
        <w:t xml:space="preserve"> </w:t>
      </w:r>
      <w:r w:rsidRPr="00A3151B">
        <w:rPr>
          <w:bCs/>
        </w:rPr>
        <w:t>have</w:t>
      </w:r>
      <w:r w:rsidR="00D20623" w:rsidRPr="00A3151B">
        <w:rPr>
          <w:bCs/>
        </w:rPr>
        <w:t xml:space="preserve"> been defended on the grounds that </w:t>
      </w:r>
      <w:r w:rsidRPr="00A3151B">
        <w:rPr>
          <w:bCs/>
        </w:rPr>
        <w:t>they</w:t>
      </w:r>
      <w:r w:rsidR="00D20623" w:rsidRPr="00A3151B">
        <w:rPr>
          <w:bCs/>
        </w:rPr>
        <w:t xml:space="preserve"> protect </w:t>
      </w:r>
      <w:r w:rsidR="003F2132" w:rsidRPr="00A3151B">
        <w:rPr>
          <w:bCs/>
        </w:rPr>
        <w:t xml:space="preserve">capacitous </w:t>
      </w:r>
      <w:r w:rsidR="00D20623" w:rsidRPr="00A3151B">
        <w:rPr>
          <w:bCs/>
        </w:rPr>
        <w:t xml:space="preserve">vulnerable individuals from envisaged harms and exploitation, </w:t>
      </w:r>
      <w:r w:rsidR="004156AC" w:rsidRPr="00A3151B">
        <w:rPr>
          <w:bCs/>
        </w:rPr>
        <w:t>such protection comes</w:t>
      </w:r>
      <w:r w:rsidR="00D20623" w:rsidRPr="00A3151B">
        <w:rPr>
          <w:bCs/>
        </w:rPr>
        <w:t xml:space="preserve"> at the ethical expense of </w:t>
      </w:r>
      <w:r w:rsidRPr="00A3151B">
        <w:rPr>
          <w:bCs/>
        </w:rPr>
        <w:t xml:space="preserve">either precluding engagement with the very question of their autonomy or </w:t>
      </w:r>
      <w:r w:rsidR="00D20623" w:rsidRPr="00A3151B">
        <w:rPr>
          <w:bCs/>
        </w:rPr>
        <w:t>violating their autonomy</w:t>
      </w:r>
      <w:r w:rsidRPr="00A3151B">
        <w:rPr>
          <w:bCs/>
        </w:rPr>
        <w:t xml:space="preserve"> and </w:t>
      </w:r>
      <w:r w:rsidR="00D20623" w:rsidRPr="00A3151B">
        <w:rPr>
          <w:bCs/>
        </w:rPr>
        <w:t>their liberty</w:t>
      </w:r>
      <w:r w:rsidR="00EB035B" w:rsidRPr="00A3151B">
        <w:rPr>
          <w:bCs/>
        </w:rPr>
        <w:t xml:space="preserve"> at law</w:t>
      </w:r>
      <w:r w:rsidR="00D20623" w:rsidRPr="00A3151B">
        <w:rPr>
          <w:bCs/>
        </w:rPr>
        <w:t xml:space="preserve">. An approach that calls for the promotion of autonomy wherever possible does not demand that </w:t>
      </w:r>
      <w:r w:rsidR="003F2132" w:rsidRPr="00A3151B">
        <w:rPr>
          <w:bCs/>
        </w:rPr>
        <w:t xml:space="preserve">capacitous </w:t>
      </w:r>
      <w:r w:rsidR="00D20623" w:rsidRPr="00A3151B">
        <w:rPr>
          <w:bCs/>
        </w:rPr>
        <w:t xml:space="preserve">vulnerable patients should always be granted authority to make medical decisions where they concern them. Rather, in the sense that a </w:t>
      </w:r>
      <w:r w:rsidR="003F2132" w:rsidRPr="00A3151B">
        <w:rPr>
          <w:bCs/>
        </w:rPr>
        <w:t xml:space="preserve">capacitous </w:t>
      </w:r>
      <w:r w:rsidR="00D20623" w:rsidRPr="00A3151B">
        <w:rPr>
          <w:bCs/>
        </w:rPr>
        <w:t>vulnerable patient’s recognition of herself as having the status to make medical decisions is</w:t>
      </w:r>
      <w:r w:rsidR="00530CED" w:rsidRPr="00A3151B">
        <w:rPr>
          <w:bCs/>
        </w:rPr>
        <w:t xml:space="preserve"> </w:t>
      </w:r>
      <w:r w:rsidR="003F2132" w:rsidRPr="00A3151B">
        <w:rPr>
          <w:bCs/>
        </w:rPr>
        <w:t xml:space="preserve">both </w:t>
      </w:r>
      <w:r w:rsidR="00530CED" w:rsidRPr="00A3151B">
        <w:rPr>
          <w:bCs/>
        </w:rPr>
        <w:t>normatively significant</w:t>
      </w:r>
      <w:r w:rsidR="003F2132" w:rsidRPr="00A3151B">
        <w:rPr>
          <w:bCs/>
        </w:rPr>
        <w:t xml:space="preserve"> and intersubjectively dependent</w:t>
      </w:r>
      <w:r w:rsidR="00530CED" w:rsidRPr="00A3151B">
        <w:rPr>
          <w:bCs/>
        </w:rPr>
        <w:t xml:space="preserve">, then </w:t>
      </w:r>
      <w:r w:rsidR="00D20623" w:rsidRPr="00A3151B">
        <w:rPr>
          <w:bCs/>
        </w:rPr>
        <w:t>a patient who recognises herself in such way should</w:t>
      </w:r>
      <w:r w:rsidR="00EB035B" w:rsidRPr="00A3151B">
        <w:rPr>
          <w:bCs/>
        </w:rPr>
        <w:t>, where possible,</w:t>
      </w:r>
      <w:r w:rsidR="00D20623" w:rsidRPr="00A3151B">
        <w:rPr>
          <w:bCs/>
        </w:rPr>
        <w:t xml:space="preserve"> be given the opportunity</w:t>
      </w:r>
      <w:r w:rsidR="00EB035B" w:rsidRPr="00A3151B">
        <w:rPr>
          <w:bCs/>
        </w:rPr>
        <w:t xml:space="preserve"> </w:t>
      </w:r>
      <w:r w:rsidR="00D20623" w:rsidRPr="00A3151B">
        <w:rPr>
          <w:bCs/>
        </w:rPr>
        <w:t>to perform those speech acts that express her choice</w:t>
      </w:r>
      <w:r w:rsidRPr="00A3151B">
        <w:rPr>
          <w:bCs/>
        </w:rPr>
        <w:t xml:space="preserve"> in line with her own motivating attitudes</w:t>
      </w:r>
      <w:r w:rsidR="00D20623" w:rsidRPr="00A3151B">
        <w:rPr>
          <w:bCs/>
        </w:rPr>
        <w:t xml:space="preserve"> before </w:t>
      </w:r>
      <w:r w:rsidR="00E55236" w:rsidRPr="00A3151B">
        <w:rPr>
          <w:bCs/>
        </w:rPr>
        <w:t>health care staff and the courts decide to focus</w:t>
      </w:r>
      <w:r w:rsidR="00D20623" w:rsidRPr="00A3151B">
        <w:rPr>
          <w:bCs/>
        </w:rPr>
        <w:t xml:space="preserve"> </w:t>
      </w:r>
      <w:r w:rsidR="00E55236" w:rsidRPr="00A3151B">
        <w:rPr>
          <w:bCs/>
        </w:rPr>
        <w:t xml:space="preserve">their response on </w:t>
      </w:r>
      <w:r w:rsidR="00314890" w:rsidRPr="00A3151B">
        <w:rPr>
          <w:bCs/>
        </w:rPr>
        <w:t xml:space="preserve">more established </w:t>
      </w:r>
      <w:r w:rsidR="00E55236" w:rsidRPr="00A3151B">
        <w:rPr>
          <w:bCs/>
        </w:rPr>
        <w:t>duties of protection</w:t>
      </w:r>
      <w:r w:rsidR="00D20623" w:rsidRPr="00A3151B">
        <w:rPr>
          <w:bCs/>
        </w:rPr>
        <w:t>.</w:t>
      </w:r>
      <w:r w:rsidR="00D20623" w:rsidRPr="00833BEF">
        <w:rPr>
          <w:bCs/>
        </w:rPr>
        <w:t xml:space="preserve"> </w:t>
      </w:r>
    </w:p>
    <w:p w14:paraId="1718869F" w14:textId="2A58EB76" w:rsidR="00A84A96" w:rsidRPr="00833BEF" w:rsidRDefault="00A84A96" w:rsidP="00314F3D">
      <w:pPr>
        <w:tabs>
          <w:tab w:val="left" w:pos="720"/>
        </w:tabs>
        <w:spacing w:line="480" w:lineRule="auto"/>
        <w:jc w:val="both"/>
      </w:pPr>
    </w:p>
    <w:sectPr w:rsidR="00A84A96" w:rsidRPr="00833BEF" w:rsidSect="00AB216C">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D38E9" w14:textId="77777777" w:rsidR="009A2A83" w:rsidRDefault="009A2A83" w:rsidP="00627449">
      <w:r>
        <w:separator/>
      </w:r>
    </w:p>
  </w:endnote>
  <w:endnote w:type="continuationSeparator" w:id="0">
    <w:p w14:paraId="1AA91D96" w14:textId="77777777" w:rsidR="009A2A83" w:rsidRDefault="009A2A83" w:rsidP="0062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E0F26" w14:textId="77777777" w:rsidR="009C0E8C" w:rsidRDefault="009C0E8C" w:rsidP="00550E2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C3EFAA" w14:textId="77777777" w:rsidR="009C0E8C" w:rsidRDefault="009C0E8C" w:rsidP="00AD04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87520" w14:textId="77777777" w:rsidR="009C0E8C" w:rsidRDefault="009C0E8C" w:rsidP="00550E2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3F5839" w14:textId="77777777" w:rsidR="009C0E8C" w:rsidRDefault="009C0E8C" w:rsidP="00AD04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40E89" w14:textId="77777777" w:rsidR="009A2A83" w:rsidRDefault="009A2A83" w:rsidP="00627449">
      <w:r>
        <w:separator/>
      </w:r>
    </w:p>
  </w:footnote>
  <w:footnote w:type="continuationSeparator" w:id="0">
    <w:p w14:paraId="5170BD1F" w14:textId="77777777" w:rsidR="009A2A83" w:rsidRDefault="009A2A83" w:rsidP="00627449">
      <w:r>
        <w:continuationSeparator/>
      </w:r>
    </w:p>
  </w:footnote>
  <w:footnote w:id="1">
    <w:p w14:paraId="713487FB" w14:textId="0A09723F" w:rsidR="009C0E8C" w:rsidRPr="00A3151B" w:rsidRDefault="009C0E8C" w:rsidP="002B2B9A">
      <w:pPr>
        <w:pStyle w:val="FootnoteText"/>
        <w:jc w:val="both"/>
        <w:rPr>
          <w:rFonts w:ascii="Times New Roman" w:hAnsi="Times New Roman" w:cs="Times New Roman"/>
          <w:sz w:val="20"/>
          <w:szCs w:val="20"/>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P </w:t>
      </w:r>
      <w:proofErr w:type="spellStart"/>
      <w:r w:rsidRPr="00A3151B">
        <w:rPr>
          <w:rFonts w:ascii="Times New Roman" w:hAnsi="Times New Roman" w:cs="Times New Roman"/>
          <w:sz w:val="20"/>
          <w:szCs w:val="20"/>
        </w:rPr>
        <w:t>Skowron</w:t>
      </w:r>
      <w:proofErr w:type="spellEnd"/>
      <w:r w:rsidRPr="00A3151B">
        <w:rPr>
          <w:rFonts w:ascii="Times New Roman" w:hAnsi="Times New Roman" w:cs="Times New Roman"/>
          <w:sz w:val="20"/>
          <w:szCs w:val="20"/>
        </w:rPr>
        <w:t>, ‘The relationship between autonomy and adult mental capacity in the law of England and Wales’, (2019) </w:t>
      </w:r>
      <w:r w:rsidRPr="00A3151B">
        <w:rPr>
          <w:rFonts w:ascii="Times New Roman" w:hAnsi="Times New Roman" w:cs="Times New Roman"/>
          <w:i/>
          <w:iCs/>
          <w:sz w:val="20"/>
          <w:szCs w:val="20"/>
        </w:rPr>
        <w:t>Medical Law Review</w:t>
      </w:r>
      <w:r w:rsidRPr="00A3151B">
        <w:rPr>
          <w:rFonts w:ascii="Times New Roman" w:hAnsi="Times New Roman" w:cs="Times New Roman"/>
          <w:sz w:val="20"/>
          <w:szCs w:val="20"/>
        </w:rPr>
        <w:t xml:space="preserve"> 27(1), 32–58, 54. </w:t>
      </w:r>
    </w:p>
  </w:footnote>
  <w:footnote w:id="2">
    <w:p w14:paraId="242A97DD" w14:textId="3A905735" w:rsidR="009C0E8C" w:rsidRPr="00A3151B" w:rsidRDefault="009C0E8C" w:rsidP="002B2B9A">
      <w:pPr>
        <w:pStyle w:val="FootnoteText"/>
        <w:jc w:val="both"/>
        <w:rPr>
          <w:rFonts w:ascii="Times New Roman" w:hAnsi="Times New Roman" w:cs="Times New Roman"/>
          <w:sz w:val="20"/>
          <w:szCs w:val="20"/>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i/>
          <w:sz w:val="20"/>
          <w:szCs w:val="20"/>
        </w:rPr>
        <w:t>E.g.</w:t>
      </w:r>
      <w:r w:rsidRPr="00A3151B">
        <w:rPr>
          <w:rFonts w:ascii="Times New Roman" w:hAnsi="Times New Roman" w:cs="Times New Roman"/>
          <w:sz w:val="20"/>
          <w:szCs w:val="20"/>
        </w:rPr>
        <w:t xml:space="preserve">, M Fineman, ‘The vulnerable subject: Anchoring equality in the human condition’, (2008) </w:t>
      </w:r>
      <w:r w:rsidRPr="00A3151B">
        <w:rPr>
          <w:rFonts w:ascii="Times New Roman" w:hAnsi="Times New Roman" w:cs="Times New Roman"/>
          <w:i/>
          <w:iCs/>
          <w:sz w:val="20"/>
          <w:szCs w:val="20"/>
        </w:rPr>
        <w:t>Yale Journal of Law and Feminism</w:t>
      </w:r>
      <w:r w:rsidRPr="00A3151B">
        <w:rPr>
          <w:rFonts w:ascii="Times New Roman" w:hAnsi="Times New Roman" w:cs="Times New Roman"/>
          <w:sz w:val="20"/>
          <w:szCs w:val="20"/>
        </w:rPr>
        <w:t xml:space="preserve"> 20(1), 1–23; M Fineman, ‘The vulnerable subject and the responsive state’, (2010) </w:t>
      </w:r>
      <w:r w:rsidRPr="00A3151B">
        <w:rPr>
          <w:rFonts w:ascii="Times New Roman" w:hAnsi="Times New Roman" w:cs="Times New Roman"/>
          <w:i/>
          <w:iCs/>
          <w:sz w:val="20"/>
          <w:szCs w:val="20"/>
        </w:rPr>
        <w:t>Emory Law Journal</w:t>
      </w:r>
      <w:r w:rsidRPr="00A3151B">
        <w:rPr>
          <w:rFonts w:ascii="Times New Roman" w:hAnsi="Times New Roman" w:cs="Times New Roman"/>
          <w:sz w:val="20"/>
          <w:szCs w:val="20"/>
        </w:rPr>
        <w:t xml:space="preserve"> 60(2), 251–275; KE Wilson, ‘The abolition or reform of mental health law: How should the law </w:t>
      </w:r>
      <w:proofErr w:type="spellStart"/>
      <w:r w:rsidRPr="00A3151B">
        <w:rPr>
          <w:rFonts w:ascii="Times New Roman" w:hAnsi="Times New Roman" w:cs="Times New Roman"/>
          <w:sz w:val="20"/>
          <w:szCs w:val="20"/>
        </w:rPr>
        <w:t>recognise</w:t>
      </w:r>
      <w:proofErr w:type="spellEnd"/>
      <w:r w:rsidRPr="00A3151B">
        <w:rPr>
          <w:rFonts w:ascii="Times New Roman" w:hAnsi="Times New Roman" w:cs="Times New Roman"/>
          <w:sz w:val="20"/>
          <w:szCs w:val="20"/>
        </w:rPr>
        <w:t xml:space="preserve"> and respond to the vulnerability of persons with mental impairment?’ (2020) </w:t>
      </w:r>
      <w:r w:rsidRPr="00A3151B">
        <w:rPr>
          <w:rFonts w:ascii="Times New Roman" w:hAnsi="Times New Roman" w:cs="Times New Roman"/>
          <w:i/>
          <w:iCs/>
          <w:sz w:val="20"/>
          <w:szCs w:val="20"/>
        </w:rPr>
        <w:t>Medical Law Review</w:t>
      </w:r>
      <w:r w:rsidRPr="00A3151B">
        <w:rPr>
          <w:rFonts w:ascii="Times New Roman" w:hAnsi="Times New Roman" w:cs="Times New Roman"/>
          <w:sz w:val="20"/>
          <w:szCs w:val="20"/>
        </w:rPr>
        <w:t xml:space="preserve"> 28(1), 30–64.</w:t>
      </w:r>
    </w:p>
  </w:footnote>
  <w:footnote w:id="3">
    <w:p w14:paraId="78BA7317" w14:textId="51E3E240" w:rsidR="009C0E8C" w:rsidRPr="00A3151B" w:rsidRDefault="009C0E8C" w:rsidP="006F169A">
      <w:pPr>
        <w:pStyle w:val="FootnoteText"/>
        <w:jc w:val="both"/>
        <w:rPr>
          <w:rFonts w:ascii="Times New Roman" w:hAnsi="Times New Roman" w:cs="Times New Roman"/>
          <w:sz w:val="20"/>
          <w:szCs w:val="20"/>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sz w:val="20"/>
          <w:szCs w:val="20"/>
          <w:lang w:val="en-GB"/>
        </w:rPr>
        <w:t>For engage</w:t>
      </w:r>
      <w:r w:rsidR="00C91179" w:rsidRPr="00A3151B">
        <w:rPr>
          <w:rFonts w:ascii="Times New Roman" w:hAnsi="Times New Roman" w:cs="Times New Roman"/>
          <w:sz w:val="20"/>
          <w:szCs w:val="20"/>
          <w:lang w:val="en-GB"/>
        </w:rPr>
        <w:t>ment</w:t>
      </w:r>
      <w:r w:rsidRPr="00A3151B">
        <w:rPr>
          <w:rFonts w:ascii="Times New Roman" w:hAnsi="Times New Roman" w:cs="Times New Roman"/>
          <w:sz w:val="20"/>
          <w:szCs w:val="20"/>
          <w:lang w:val="en-GB"/>
        </w:rPr>
        <w:t xml:space="preserve"> with current legal responses to the situational vulnerability of </w:t>
      </w:r>
      <w:proofErr w:type="spellStart"/>
      <w:r w:rsidRPr="00A3151B">
        <w:rPr>
          <w:rFonts w:ascii="Times New Roman" w:hAnsi="Times New Roman" w:cs="Times New Roman"/>
          <w:sz w:val="20"/>
          <w:szCs w:val="20"/>
          <w:lang w:val="en-GB"/>
        </w:rPr>
        <w:t>incapacitous</w:t>
      </w:r>
      <w:proofErr w:type="spellEnd"/>
      <w:r w:rsidRPr="00A3151B">
        <w:rPr>
          <w:rFonts w:ascii="Times New Roman" w:hAnsi="Times New Roman" w:cs="Times New Roman"/>
          <w:sz w:val="20"/>
          <w:szCs w:val="20"/>
          <w:lang w:val="en-GB"/>
        </w:rPr>
        <w:t xml:space="preserve"> individuals in particular, see </w:t>
      </w:r>
      <w:r w:rsidRPr="00A3151B">
        <w:rPr>
          <w:rFonts w:ascii="Times New Roman" w:hAnsi="Times New Roman" w:cs="Times New Roman"/>
          <w:sz w:val="20"/>
          <w:szCs w:val="20"/>
        </w:rPr>
        <w:t xml:space="preserve">Clough B. ‘Vulnerability and capacity to consent to sex - Asking the right questions’, (2014) </w:t>
      </w:r>
      <w:r w:rsidRPr="00A3151B">
        <w:rPr>
          <w:rFonts w:ascii="Times New Roman" w:hAnsi="Times New Roman" w:cs="Times New Roman"/>
          <w:i/>
          <w:iCs/>
          <w:sz w:val="20"/>
          <w:szCs w:val="20"/>
        </w:rPr>
        <w:t xml:space="preserve">Child and Family Law Quarterly </w:t>
      </w:r>
      <w:r w:rsidRPr="00A3151B">
        <w:rPr>
          <w:rFonts w:ascii="Times New Roman" w:hAnsi="Times New Roman" w:cs="Times New Roman"/>
          <w:sz w:val="20"/>
          <w:szCs w:val="20"/>
        </w:rPr>
        <w:t xml:space="preserve">26(4), 371-396; </w:t>
      </w:r>
      <w:r w:rsidRPr="00A3151B">
        <w:rPr>
          <w:rFonts w:ascii="Times New Roman" w:hAnsi="Times New Roman" w:cs="Times New Roman"/>
          <w:sz w:val="20"/>
          <w:szCs w:val="20"/>
          <w:lang w:val="en-GB"/>
        </w:rPr>
        <w:t xml:space="preserve">J Lindsey, ‘Developing vulnerability: A situational response to the abuse of women with mental disabilities’, (2016) </w:t>
      </w:r>
      <w:r w:rsidRPr="00A3151B">
        <w:rPr>
          <w:rFonts w:ascii="Times New Roman" w:hAnsi="Times New Roman" w:cs="Times New Roman"/>
          <w:i/>
          <w:iCs/>
          <w:sz w:val="20"/>
          <w:szCs w:val="20"/>
          <w:lang w:val="en-GB"/>
        </w:rPr>
        <w:t>Feminist Legal Studies</w:t>
      </w:r>
      <w:r w:rsidRPr="00A3151B">
        <w:rPr>
          <w:rFonts w:ascii="Times New Roman" w:hAnsi="Times New Roman" w:cs="Times New Roman"/>
          <w:sz w:val="20"/>
          <w:szCs w:val="20"/>
          <w:lang w:val="en-GB"/>
        </w:rPr>
        <w:t xml:space="preserve"> 24, 295-314; B Clough. ‘Disability and vulnerability: Challenging the capacity/incapacity binary’, (2017) </w:t>
      </w:r>
      <w:r w:rsidRPr="00A3151B">
        <w:rPr>
          <w:rFonts w:ascii="Times New Roman" w:hAnsi="Times New Roman" w:cs="Times New Roman"/>
          <w:i/>
          <w:iCs/>
          <w:sz w:val="20"/>
          <w:szCs w:val="20"/>
          <w:lang w:val="en-GB"/>
        </w:rPr>
        <w:t>Social Policy and Society</w:t>
      </w:r>
      <w:r w:rsidRPr="00A3151B">
        <w:rPr>
          <w:rFonts w:ascii="Times New Roman" w:hAnsi="Times New Roman" w:cs="Times New Roman"/>
          <w:sz w:val="20"/>
          <w:szCs w:val="20"/>
          <w:lang w:val="en-GB"/>
        </w:rPr>
        <w:t xml:space="preserve"> 16(3), 469-481.</w:t>
      </w:r>
    </w:p>
  </w:footnote>
  <w:footnote w:id="4">
    <w:p w14:paraId="76C25C75" w14:textId="77ADA743" w:rsidR="009C0E8C" w:rsidRPr="00A3151B" w:rsidRDefault="009C0E8C" w:rsidP="00975A85">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There are two reasons for focusing on current legal responses to the </w:t>
      </w:r>
      <w:r w:rsidR="00C91179" w:rsidRPr="00A3151B">
        <w:rPr>
          <w:rFonts w:ascii="Times New Roman" w:hAnsi="Times New Roman" w:cs="Times New Roman"/>
          <w:sz w:val="20"/>
          <w:szCs w:val="20"/>
        </w:rPr>
        <w:t xml:space="preserve">situational </w:t>
      </w:r>
      <w:r w:rsidRPr="00A3151B">
        <w:rPr>
          <w:rFonts w:ascii="Times New Roman" w:hAnsi="Times New Roman" w:cs="Times New Roman"/>
          <w:sz w:val="20"/>
          <w:szCs w:val="20"/>
        </w:rPr>
        <w:t xml:space="preserve">vulnerability and autonomy of specifically </w:t>
      </w:r>
      <w:r w:rsidRPr="00A3151B">
        <w:rPr>
          <w:rFonts w:ascii="Times New Roman" w:hAnsi="Times New Roman" w:cs="Times New Roman"/>
          <w:i/>
          <w:iCs/>
          <w:sz w:val="20"/>
          <w:szCs w:val="20"/>
        </w:rPr>
        <w:t>capacitous</w:t>
      </w:r>
      <w:r w:rsidRPr="00A3151B">
        <w:rPr>
          <w:rFonts w:ascii="Times New Roman" w:hAnsi="Times New Roman" w:cs="Times New Roman"/>
          <w:sz w:val="20"/>
          <w:szCs w:val="20"/>
        </w:rPr>
        <w:t xml:space="preserve"> adults. Firstly, from an autonomy perspective, I endorse the distinction between mental capacity and incapacity in principle. </w:t>
      </w:r>
      <w:r w:rsidRPr="00A3151B">
        <w:rPr>
          <w:rFonts w:ascii="Times New Roman" w:hAnsi="Times New Roman" w:cs="Times New Roman"/>
          <w:sz w:val="20"/>
          <w:szCs w:val="20"/>
          <w:lang w:val="en-GB"/>
        </w:rPr>
        <w:t xml:space="preserve">The conditions of mental capacity presented in s.3(1) of the Mental Capacity Act 2005, for example, are standardly taken by theorists of autonomy to be necessary (though insufficient) conditions for the </w:t>
      </w:r>
      <w:r w:rsidRPr="00A3151B">
        <w:rPr>
          <w:rFonts w:ascii="Times New Roman" w:hAnsi="Times New Roman" w:cs="Times New Roman"/>
          <w:i/>
          <w:iCs/>
          <w:sz w:val="20"/>
          <w:szCs w:val="20"/>
          <w:lang w:val="en-GB"/>
        </w:rPr>
        <w:t>capacity</w:t>
      </w:r>
      <w:r w:rsidRPr="00A3151B">
        <w:rPr>
          <w:rFonts w:ascii="Times New Roman" w:hAnsi="Times New Roman" w:cs="Times New Roman"/>
          <w:sz w:val="20"/>
          <w:szCs w:val="20"/>
          <w:lang w:val="en-GB"/>
        </w:rPr>
        <w:t xml:space="preserve"> for autonomy. Thus, in principle, if an individual is </w:t>
      </w:r>
      <w:r w:rsidRPr="00A3151B">
        <w:rPr>
          <w:rFonts w:ascii="Times New Roman" w:hAnsi="Times New Roman" w:cs="Times New Roman"/>
          <w:i/>
          <w:iCs/>
          <w:sz w:val="20"/>
          <w:szCs w:val="20"/>
          <w:lang w:val="en-GB"/>
        </w:rPr>
        <w:t>correctly</w:t>
      </w:r>
      <w:r w:rsidRPr="00A3151B">
        <w:rPr>
          <w:rFonts w:ascii="Times New Roman" w:hAnsi="Times New Roman" w:cs="Times New Roman"/>
          <w:sz w:val="20"/>
          <w:szCs w:val="20"/>
          <w:lang w:val="en-GB"/>
        </w:rPr>
        <w:t xml:space="preserve"> judged to lack capacity, then she will not be able to satisfactorily exercise her autonomy because she lacks the necessary cognitive capacities necessary to do so. Of course, as Clough (2014; 2017) (</w:t>
      </w:r>
      <w:r w:rsidRPr="00A3151B">
        <w:rPr>
          <w:rFonts w:ascii="Times New Roman" w:hAnsi="Times New Roman" w:cs="Times New Roman"/>
          <w:i/>
          <w:iCs/>
          <w:sz w:val="20"/>
          <w:szCs w:val="20"/>
          <w:lang w:val="en-GB"/>
        </w:rPr>
        <w:t xml:space="preserve">op. </w:t>
      </w:r>
      <w:proofErr w:type="spellStart"/>
      <w:r w:rsidRPr="00A3151B">
        <w:rPr>
          <w:rFonts w:ascii="Times New Roman" w:hAnsi="Times New Roman" w:cs="Times New Roman"/>
          <w:i/>
          <w:iCs/>
          <w:sz w:val="20"/>
          <w:szCs w:val="20"/>
          <w:lang w:val="en-GB"/>
        </w:rPr>
        <w:t xml:space="preserve">cit. </w:t>
      </w:r>
      <w:proofErr w:type="spellEnd"/>
      <w:r w:rsidRPr="00A3151B">
        <w:rPr>
          <w:rFonts w:ascii="Times New Roman" w:hAnsi="Times New Roman" w:cs="Times New Roman"/>
          <w:sz w:val="20"/>
          <w:szCs w:val="20"/>
          <w:lang w:val="en-GB"/>
        </w:rPr>
        <w:t xml:space="preserve">note </w:t>
      </w:r>
      <w:r w:rsidR="00C91179" w:rsidRPr="00A3151B">
        <w:rPr>
          <w:rFonts w:ascii="Times New Roman" w:hAnsi="Times New Roman" w:cs="Times New Roman"/>
          <w:sz w:val="20"/>
          <w:szCs w:val="20"/>
          <w:lang w:val="en-GB"/>
        </w:rPr>
        <w:t>3</w:t>
      </w:r>
      <w:r w:rsidRPr="00A3151B">
        <w:rPr>
          <w:rFonts w:ascii="Times New Roman" w:hAnsi="Times New Roman" w:cs="Times New Roman"/>
          <w:sz w:val="20"/>
          <w:szCs w:val="20"/>
          <w:lang w:val="en-GB"/>
        </w:rPr>
        <w:t>) and Lindsey (</w:t>
      </w:r>
      <w:r w:rsidRPr="00A3151B">
        <w:rPr>
          <w:rFonts w:ascii="Times New Roman" w:hAnsi="Times New Roman" w:cs="Times New Roman"/>
          <w:i/>
          <w:iCs/>
          <w:sz w:val="20"/>
          <w:szCs w:val="20"/>
          <w:lang w:val="en-GB"/>
        </w:rPr>
        <w:t xml:space="preserve">op. cit. </w:t>
      </w:r>
      <w:r w:rsidRPr="00A3151B">
        <w:rPr>
          <w:rFonts w:ascii="Times New Roman" w:hAnsi="Times New Roman" w:cs="Times New Roman"/>
          <w:sz w:val="20"/>
          <w:szCs w:val="20"/>
          <w:lang w:val="en-GB"/>
        </w:rPr>
        <w:t xml:space="preserve">note </w:t>
      </w:r>
      <w:r w:rsidR="00C91179" w:rsidRPr="00A3151B">
        <w:rPr>
          <w:rFonts w:ascii="Times New Roman" w:hAnsi="Times New Roman" w:cs="Times New Roman"/>
          <w:sz w:val="20"/>
          <w:szCs w:val="20"/>
          <w:lang w:val="en-GB"/>
        </w:rPr>
        <w:t>3</w:t>
      </w:r>
      <w:r w:rsidRPr="00A3151B">
        <w:rPr>
          <w:rFonts w:ascii="Times New Roman" w:hAnsi="Times New Roman" w:cs="Times New Roman"/>
          <w:sz w:val="20"/>
          <w:szCs w:val="20"/>
          <w:lang w:val="en-GB"/>
        </w:rPr>
        <w:t>) argue, the lack of capacity should not be straightforwardly assumed on the basis of a person’s intrinsic or inherent vulnerability (i.e., their physical or intellectual disabilities). Secondly, Jonathan Herring and Jesse Wall (2015) and Clough (2014; 2017) (</w:t>
      </w:r>
      <w:r w:rsidRPr="00A3151B">
        <w:rPr>
          <w:rFonts w:ascii="Times New Roman" w:hAnsi="Times New Roman" w:cs="Times New Roman"/>
          <w:i/>
          <w:iCs/>
          <w:sz w:val="20"/>
          <w:szCs w:val="20"/>
          <w:lang w:val="en-GB"/>
        </w:rPr>
        <w:t>op cit.</w:t>
      </w:r>
      <w:r w:rsidRPr="00A3151B">
        <w:rPr>
          <w:rFonts w:ascii="Times New Roman" w:hAnsi="Times New Roman" w:cs="Times New Roman"/>
          <w:sz w:val="20"/>
          <w:szCs w:val="20"/>
          <w:lang w:val="en-GB"/>
        </w:rPr>
        <w:t xml:space="preserve"> note </w:t>
      </w:r>
      <w:r w:rsidR="00C91179" w:rsidRPr="00A3151B">
        <w:rPr>
          <w:rFonts w:ascii="Times New Roman" w:hAnsi="Times New Roman" w:cs="Times New Roman"/>
          <w:sz w:val="20"/>
          <w:szCs w:val="20"/>
          <w:lang w:val="en-GB"/>
        </w:rPr>
        <w:t>3</w:t>
      </w:r>
      <w:r w:rsidRPr="00A3151B">
        <w:rPr>
          <w:rFonts w:ascii="Times New Roman" w:hAnsi="Times New Roman" w:cs="Times New Roman"/>
          <w:sz w:val="20"/>
          <w:szCs w:val="20"/>
          <w:lang w:val="en-GB"/>
        </w:rPr>
        <w:t xml:space="preserve">) have observed that the MCA 2005 does not sufficiently distinguish between mental capacity and autonomy (see J Herring &amp; J Wall. ‘Autonomy, capacity and vulnerable adults: Filling the gaps in the Mental Capacity Act’, (2015) </w:t>
      </w:r>
      <w:r w:rsidRPr="00A3151B">
        <w:rPr>
          <w:rFonts w:ascii="Times New Roman" w:hAnsi="Times New Roman" w:cs="Times New Roman"/>
          <w:i/>
          <w:iCs/>
          <w:sz w:val="20"/>
          <w:szCs w:val="20"/>
          <w:lang w:val="en-GB"/>
        </w:rPr>
        <w:t>Legal Studies</w:t>
      </w:r>
      <w:r w:rsidRPr="00A3151B">
        <w:rPr>
          <w:rFonts w:ascii="Times New Roman" w:hAnsi="Times New Roman" w:cs="Times New Roman"/>
          <w:sz w:val="20"/>
          <w:szCs w:val="20"/>
          <w:lang w:val="en-GB"/>
        </w:rPr>
        <w:t xml:space="preserve"> 35(4), 698-719). As a result, the MCA 2005 is unable to deal with cases where individuals, despite being judged to have capacity and despite their ability to genuinely exercise their autonomy, are judged to be </w:t>
      </w:r>
      <w:r w:rsidR="00C91179" w:rsidRPr="00A3151B">
        <w:rPr>
          <w:rFonts w:ascii="Times New Roman" w:hAnsi="Times New Roman" w:cs="Times New Roman"/>
          <w:sz w:val="20"/>
          <w:szCs w:val="20"/>
          <w:lang w:val="en-GB"/>
        </w:rPr>
        <w:t xml:space="preserve">situationally </w:t>
      </w:r>
      <w:r w:rsidRPr="00A3151B">
        <w:rPr>
          <w:rFonts w:ascii="Times New Roman" w:hAnsi="Times New Roman" w:cs="Times New Roman"/>
          <w:sz w:val="20"/>
          <w:szCs w:val="20"/>
          <w:lang w:val="en-GB"/>
        </w:rPr>
        <w:t xml:space="preserve">vulnerable. Therefore, in order to capture the autonomy of this specific group of vulnerable individuals, we need to move away from capacity tests and develop a normative framework that can sufficiently delineate mental capacity from the exercise of autonomy (see §4). Furthermore, as this paper will demonstrate (§1 and §3), because the primary aim of the High Court’s inherent jurisdiction is to facilitate ‘unencumbered decision making’ in order to support capacitous vulnerable individuals to deliver </w:t>
      </w:r>
      <w:r w:rsidRPr="00A3151B">
        <w:rPr>
          <w:rFonts w:ascii="Times New Roman" w:hAnsi="Times New Roman" w:cs="Times New Roman"/>
          <w:i/>
          <w:iCs/>
          <w:sz w:val="20"/>
          <w:szCs w:val="20"/>
          <w:lang w:val="en-GB"/>
        </w:rPr>
        <w:t>genuine</w:t>
      </w:r>
      <w:r w:rsidRPr="00A3151B">
        <w:rPr>
          <w:rFonts w:ascii="Times New Roman" w:hAnsi="Times New Roman" w:cs="Times New Roman"/>
          <w:sz w:val="20"/>
          <w:szCs w:val="20"/>
          <w:lang w:val="en-GB"/>
        </w:rPr>
        <w:t xml:space="preserve"> consent, common law responses to the</w:t>
      </w:r>
      <w:r w:rsidR="00C73F22" w:rsidRPr="00A3151B">
        <w:rPr>
          <w:rFonts w:ascii="Times New Roman" w:hAnsi="Times New Roman" w:cs="Times New Roman"/>
          <w:sz w:val="20"/>
          <w:szCs w:val="20"/>
          <w:lang w:val="en-GB"/>
        </w:rPr>
        <w:t>ir situational</w:t>
      </w:r>
      <w:r w:rsidRPr="00A3151B">
        <w:rPr>
          <w:rFonts w:ascii="Times New Roman" w:hAnsi="Times New Roman" w:cs="Times New Roman"/>
          <w:sz w:val="20"/>
          <w:szCs w:val="20"/>
          <w:lang w:val="en-GB"/>
        </w:rPr>
        <w:t xml:space="preserve"> vulnerability precludes adequate engagement with the very question of their autonomy (or lack thereof). And the reason for this is because the fulfilment of the typical conditions for informed consent cannot be equated with the fulfilment of the conditions required for the exercise of autonomy. Consequently, in order to facilitate autonomy of decision making for vulnerable adults with capacity, the basis on which the inherent jurisdiction is currently employed requires reform along autonomy (rather than consent) lines (§4).</w:t>
      </w:r>
    </w:p>
    <w:p w14:paraId="2541865F" w14:textId="1961FE00" w:rsidR="009C0E8C" w:rsidRPr="00A3151B" w:rsidRDefault="009C0E8C" w:rsidP="00975A85">
      <w:pPr>
        <w:pStyle w:val="FootnoteText"/>
        <w:jc w:val="both"/>
        <w:rPr>
          <w:rFonts w:ascii="Times New Roman" w:hAnsi="Times New Roman" w:cs="Times New Roman"/>
          <w:sz w:val="20"/>
          <w:szCs w:val="20"/>
          <w:lang w:val="en-GB"/>
        </w:rPr>
      </w:pPr>
    </w:p>
  </w:footnote>
  <w:footnote w:id="5">
    <w:p w14:paraId="1FD357C8" w14:textId="14423A6B" w:rsidR="009C0E8C" w:rsidRPr="00A3151B" w:rsidRDefault="009C0E8C" w:rsidP="00FB7E05">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J Coggon &amp; J </w:t>
      </w:r>
      <w:proofErr w:type="spellStart"/>
      <w:r w:rsidRPr="00A3151B">
        <w:rPr>
          <w:rFonts w:ascii="Times New Roman" w:hAnsi="Times New Roman" w:cs="Times New Roman"/>
          <w:sz w:val="20"/>
          <w:szCs w:val="20"/>
          <w:lang w:val="en-GB"/>
        </w:rPr>
        <w:t>Miola</w:t>
      </w:r>
      <w:proofErr w:type="spellEnd"/>
      <w:r w:rsidRPr="00A3151B">
        <w:rPr>
          <w:rFonts w:ascii="Times New Roman" w:hAnsi="Times New Roman" w:cs="Times New Roman"/>
          <w:sz w:val="20"/>
          <w:szCs w:val="20"/>
          <w:lang w:val="en-GB"/>
        </w:rPr>
        <w:t xml:space="preserve">, ‘Autonomy, liberty, and medical decision-making’, (2011) </w:t>
      </w:r>
      <w:r w:rsidRPr="00A3151B">
        <w:rPr>
          <w:rFonts w:ascii="Times New Roman" w:hAnsi="Times New Roman" w:cs="Times New Roman"/>
          <w:i/>
          <w:sz w:val="20"/>
          <w:szCs w:val="20"/>
          <w:lang w:val="en-GB"/>
        </w:rPr>
        <w:t>Cambridge Law Journal</w:t>
      </w:r>
      <w:r w:rsidRPr="00A3151B">
        <w:rPr>
          <w:rFonts w:ascii="MS Mincho" w:eastAsia="MS Mincho" w:hAnsi="MS Mincho" w:cs="MS Mincho"/>
          <w:sz w:val="20"/>
          <w:szCs w:val="20"/>
          <w:lang w:val="en-GB"/>
        </w:rPr>
        <w:t> </w:t>
      </w:r>
      <w:r w:rsidRPr="00A3151B">
        <w:rPr>
          <w:rFonts w:ascii="Times New Roman" w:hAnsi="Times New Roman" w:cs="Times New Roman"/>
          <w:sz w:val="20"/>
          <w:szCs w:val="20"/>
          <w:lang w:val="en-GB"/>
        </w:rPr>
        <w:t xml:space="preserve">70(3), 523–47. </w:t>
      </w:r>
      <w:r w:rsidRPr="00A3151B">
        <w:rPr>
          <w:rFonts w:ascii="MS Mincho" w:eastAsia="MS Mincho" w:hAnsi="MS Mincho" w:cs="MS Mincho"/>
          <w:sz w:val="20"/>
          <w:szCs w:val="20"/>
          <w:lang w:val="en-GB"/>
        </w:rPr>
        <w:t> </w:t>
      </w:r>
    </w:p>
  </w:footnote>
  <w:footnote w:id="6">
    <w:p w14:paraId="134DE035" w14:textId="5BF6ABE0" w:rsidR="009C0E8C" w:rsidRPr="00A3151B" w:rsidRDefault="009C0E8C" w:rsidP="00091E28">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J Lewis, ‘Getting obligations right: Autonomy and shared decision making’, (2020) </w:t>
      </w:r>
      <w:r w:rsidRPr="00A3151B">
        <w:rPr>
          <w:rFonts w:ascii="Times New Roman" w:hAnsi="Times New Roman" w:cs="Times New Roman"/>
          <w:i/>
          <w:sz w:val="20"/>
          <w:szCs w:val="20"/>
          <w:lang w:val="en-GB"/>
        </w:rPr>
        <w:t>Journal of Applied Philosophy</w:t>
      </w:r>
      <w:r w:rsidRPr="00A3151B">
        <w:rPr>
          <w:rFonts w:ascii="Times New Roman" w:hAnsi="Times New Roman" w:cs="Times New Roman"/>
          <w:sz w:val="20"/>
          <w:szCs w:val="20"/>
          <w:lang w:val="en-GB"/>
        </w:rPr>
        <w:t xml:space="preserve"> 37(1), 118-40.</w:t>
      </w:r>
      <w:r w:rsidRPr="00A3151B">
        <w:rPr>
          <w:rFonts w:ascii="MS Mincho" w:eastAsia="MS Mincho" w:hAnsi="MS Mincho" w:cs="MS Mincho"/>
          <w:sz w:val="20"/>
          <w:szCs w:val="20"/>
          <w:lang w:val="en-GB"/>
        </w:rPr>
        <w:t> </w:t>
      </w:r>
    </w:p>
  </w:footnote>
  <w:footnote w:id="7">
    <w:p w14:paraId="00CDC236" w14:textId="31A20342" w:rsidR="009C0E8C" w:rsidRPr="00A3151B" w:rsidRDefault="009C0E8C" w:rsidP="00091E28">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J Coggon, ‘Mental capacity law, autonomy, and best interests: An argument for conceptual and practical clarity in the court of protection’, (2016) </w:t>
      </w:r>
      <w:r w:rsidRPr="00A3151B">
        <w:rPr>
          <w:rFonts w:ascii="Times New Roman" w:hAnsi="Times New Roman" w:cs="Times New Roman"/>
          <w:i/>
          <w:sz w:val="20"/>
          <w:szCs w:val="20"/>
          <w:lang w:val="en-GB"/>
        </w:rPr>
        <w:t>Medical Law Review</w:t>
      </w:r>
      <w:r w:rsidRPr="00A3151B">
        <w:rPr>
          <w:rFonts w:ascii="Times New Roman" w:hAnsi="Times New Roman" w:cs="Times New Roman"/>
          <w:sz w:val="20"/>
          <w:szCs w:val="20"/>
          <w:lang w:val="en-GB"/>
        </w:rPr>
        <w:t xml:space="preserve"> 24(3), 396–414, 405.</w:t>
      </w:r>
    </w:p>
  </w:footnote>
  <w:footnote w:id="8">
    <w:p w14:paraId="2DAFD748" w14:textId="3BC64874" w:rsidR="009C0E8C" w:rsidRPr="00A3151B" w:rsidRDefault="009C0E8C" w:rsidP="00091E28">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Lewis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6, 121. </w:t>
      </w:r>
    </w:p>
  </w:footnote>
  <w:footnote w:id="9">
    <w:p w14:paraId="1874BC23" w14:textId="09D6C87E" w:rsidR="009C0E8C" w:rsidRPr="00A3151B" w:rsidRDefault="009C0E8C" w:rsidP="007A1EA0">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Coggon and </w:t>
      </w:r>
      <w:proofErr w:type="spellStart"/>
      <w:r w:rsidRPr="00A3151B">
        <w:rPr>
          <w:rFonts w:ascii="Times New Roman" w:hAnsi="Times New Roman" w:cs="Times New Roman"/>
          <w:sz w:val="20"/>
          <w:szCs w:val="20"/>
          <w:lang w:val="en-GB"/>
        </w:rPr>
        <w:t>Miola</w:t>
      </w:r>
      <w:proofErr w:type="spellEnd"/>
      <w:r w:rsidRPr="00A3151B">
        <w:rPr>
          <w:rFonts w:ascii="Times New Roman" w:hAnsi="Times New Roman" w:cs="Times New Roman"/>
          <w:sz w:val="20"/>
          <w:szCs w:val="20"/>
          <w:lang w:val="en-GB"/>
        </w:rPr>
        <w:t xml:space="preserve">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5, 535-36. </w:t>
      </w:r>
    </w:p>
  </w:footnote>
  <w:footnote w:id="10">
    <w:p w14:paraId="6686121D" w14:textId="387CC8F1" w:rsidR="009C0E8C" w:rsidRPr="00A3151B" w:rsidRDefault="009C0E8C" w:rsidP="00091E28">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Similar criticisms of the model of informed consent have been developed within medical ethics. </w:t>
      </w:r>
      <w:r w:rsidRPr="00A3151B">
        <w:rPr>
          <w:rFonts w:ascii="Times New Roman" w:hAnsi="Times New Roman" w:cs="Times New Roman"/>
          <w:i/>
          <w:sz w:val="20"/>
          <w:szCs w:val="20"/>
          <w:lang w:val="en-GB"/>
        </w:rPr>
        <w:t>E.g</w:t>
      </w:r>
      <w:r w:rsidRPr="00A3151B">
        <w:rPr>
          <w:rFonts w:ascii="Times New Roman" w:hAnsi="Times New Roman" w:cs="Times New Roman"/>
          <w:sz w:val="20"/>
          <w:szCs w:val="20"/>
          <w:lang w:val="en-GB"/>
        </w:rPr>
        <w:t xml:space="preserve">., S </w:t>
      </w:r>
      <w:proofErr w:type="spellStart"/>
      <w:r w:rsidRPr="00A3151B">
        <w:rPr>
          <w:rFonts w:ascii="Times New Roman" w:hAnsi="Times New Roman" w:cs="Times New Roman"/>
          <w:sz w:val="20"/>
          <w:szCs w:val="20"/>
          <w:lang w:val="en-GB"/>
        </w:rPr>
        <w:t>Dodds</w:t>
      </w:r>
      <w:proofErr w:type="spellEnd"/>
      <w:r w:rsidRPr="00A3151B">
        <w:rPr>
          <w:rFonts w:ascii="Times New Roman" w:hAnsi="Times New Roman" w:cs="Times New Roman"/>
          <w:sz w:val="20"/>
          <w:szCs w:val="20"/>
          <w:lang w:val="en-GB"/>
        </w:rPr>
        <w:t xml:space="preserve">, ‘Choice and control in feminist bioethics’ in C Mackenzie &amp; N </w:t>
      </w:r>
      <w:proofErr w:type="spellStart"/>
      <w:r w:rsidRPr="00A3151B">
        <w:rPr>
          <w:rFonts w:ascii="Times New Roman" w:hAnsi="Times New Roman" w:cs="Times New Roman"/>
          <w:sz w:val="20"/>
          <w:szCs w:val="20"/>
          <w:lang w:val="en-GB"/>
        </w:rPr>
        <w:t>Stoljar</w:t>
      </w:r>
      <w:proofErr w:type="spellEnd"/>
      <w:r w:rsidRPr="00A3151B">
        <w:rPr>
          <w:rFonts w:ascii="Times New Roman" w:hAnsi="Times New Roman" w:cs="Times New Roman"/>
          <w:sz w:val="20"/>
          <w:szCs w:val="20"/>
          <w:lang w:val="en-GB"/>
        </w:rPr>
        <w:t xml:space="preserve"> (eds), </w:t>
      </w:r>
      <w:r w:rsidRPr="00A3151B">
        <w:rPr>
          <w:rFonts w:ascii="Times New Roman" w:hAnsi="Times New Roman" w:cs="Times New Roman"/>
          <w:i/>
          <w:sz w:val="20"/>
          <w:szCs w:val="20"/>
          <w:lang w:val="en-GB"/>
        </w:rPr>
        <w:t>Relational autonomy: Feminist perspectives on autonomy, agency and the social self</w:t>
      </w:r>
      <w:r w:rsidRPr="00A3151B">
        <w:rPr>
          <w:rFonts w:ascii="Times New Roman" w:hAnsi="Times New Roman" w:cs="Times New Roman"/>
          <w:sz w:val="20"/>
          <w:szCs w:val="20"/>
          <w:lang w:val="en-GB"/>
        </w:rPr>
        <w:t xml:space="preserve"> (Oxford: Oxford University Press, 2000), 213–35; O O’Neill, </w:t>
      </w:r>
      <w:r w:rsidRPr="00A3151B">
        <w:rPr>
          <w:rFonts w:ascii="Times New Roman" w:hAnsi="Times New Roman" w:cs="Times New Roman"/>
          <w:i/>
          <w:sz w:val="20"/>
          <w:szCs w:val="20"/>
          <w:lang w:val="en-GB"/>
        </w:rPr>
        <w:t>Autonomy and trust in bioethics</w:t>
      </w:r>
      <w:r w:rsidRPr="00A3151B">
        <w:rPr>
          <w:rFonts w:ascii="Times New Roman" w:hAnsi="Times New Roman" w:cs="Times New Roman"/>
          <w:sz w:val="20"/>
          <w:szCs w:val="20"/>
          <w:lang w:val="en-GB"/>
        </w:rPr>
        <w:t xml:space="preserve"> (Cambridge: Cambridge University Press, 2002); R </w:t>
      </w:r>
      <w:proofErr w:type="spellStart"/>
      <w:r w:rsidRPr="00A3151B">
        <w:rPr>
          <w:rFonts w:ascii="Times New Roman" w:hAnsi="Times New Roman" w:cs="Times New Roman"/>
          <w:sz w:val="20"/>
          <w:szCs w:val="20"/>
          <w:lang w:val="en-GB"/>
        </w:rPr>
        <w:t>Kukla</w:t>
      </w:r>
      <w:proofErr w:type="spellEnd"/>
      <w:r w:rsidRPr="00A3151B">
        <w:rPr>
          <w:rFonts w:ascii="Times New Roman" w:hAnsi="Times New Roman" w:cs="Times New Roman"/>
          <w:sz w:val="20"/>
          <w:szCs w:val="20"/>
          <w:lang w:val="en-GB"/>
        </w:rPr>
        <w:t xml:space="preserve">, ‘Conscientious autonomy: Displacing decisions in healthcare’, (2005) </w:t>
      </w:r>
      <w:r w:rsidRPr="00A3151B">
        <w:rPr>
          <w:rFonts w:ascii="Times New Roman" w:hAnsi="Times New Roman" w:cs="Times New Roman"/>
          <w:i/>
          <w:sz w:val="20"/>
          <w:szCs w:val="20"/>
          <w:lang w:val="en-GB"/>
        </w:rPr>
        <w:t xml:space="preserve">Hastings </w:t>
      </w:r>
      <w:proofErr w:type="spellStart"/>
      <w:r w:rsidRPr="00A3151B">
        <w:rPr>
          <w:rFonts w:ascii="Times New Roman" w:hAnsi="Times New Roman" w:cs="Times New Roman"/>
          <w:i/>
          <w:sz w:val="20"/>
          <w:szCs w:val="20"/>
          <w:lang w:val="en-GB"/>
        </w:rPr>
        <w:t>Center</w:t>
      </w:r>
      <w:proofErr w:type="spellEnd"/>
      <w:r w:rsidRPr="00A3151B">
        <w:rPr>
          <w:rFonts w:ascii="Times New Roman" w:hAnsi="Times New Roman" w:cs="Times New Roman"/>
          <w:i/>
          <w:sz w:val="20"/>
          <w:szCs w:val="20"/>
          <w:lang w:val="en-GB"/>
        </w:rPr>
        <w:t xml:space="preserve"> Report</w:t>
      </w:r>
      <w:r w:rsidRPr="00A3151B">
        <w:rPr>
          <w:rFonts w:ascii="Times New Roman" w:hAnsi="Times New Roman" w:cs="Times New Roman"/>
          <w:sz w:val="20"/>
          <w:szCs w:val="20"/>
          <w:lang w:val="en-GB"/>
        </w:rPr>
        <w:t xml:space="preserve"> 35(2), 34–44. </w:t>
      </w:r>
    </w:p>
  </w:footnote>
  <w:footnote w:id="11">
    <w:p w14:paraId="2EAA8B0F" w14:textId="1CFB7BE5" w:rsidR="009C0E8C" w:rsidRPr="00A3151B" w:rsidRDefault="009C0E8C" w:rsidP="009B50B6">
      <w:pPr>
        <w:pStyle w:val="FootnoteText"/>
        <w:jc w:val="both"/>
        <w:rPr>
          <w:rFonts w:ascii="Times New Roman" w:hAnsi="Times New Roman" w:cs="Times New Roman"/>
          <w:color w:val="000000" w:themeColor="text1"/>
          <w:sz w:val="20"/>
          <w:szCs w:val="20"/>
          <w:shd w:val="clear" w:color="auto" w:fill="FFFF0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sz w:val="20"/>
          <w:szCs w:val="20"/>
          <w:lang w:val="en-GB"/>
        </w:rPr>
        <w:t xml:space="preserve">Herring and Wall </w:t>
      </w:r>
      <w:r w:rsidRPr="00A3151B">
        <w:rPr>
          <w:rFonts w:ascii="Times New Roman" w:hAnsi="Times New Roman" w:cs="Times New Roman"/>
          <w:i/>
          <w:iCs/>
          <w:sz w:val="20"/>
          <w:szCs w:val="20"/>
          <w:lang w:val="en-GB"/>
        </w:rPr>
        <w:t>op. cit</w:t>
      </w:r>
      <w:r w:rsidRPr="00A3151B">
        <w:rPr>
          <w:rFonts w:ascii="Times New Roman" w:hAnsi="Times New Roman" w:cs="Times New Roman"/>
          <w:i/>
          <w:iCs/>
          <w:color w:val="000000" w:themeColor="text1"/>
          <w:sz w:val="20"/>
          <w:szCs w:val="20"/>
          <w:lang w:val="en-GB"/>
        </w:rPr>
        <w:t xml:space="preserve">. </w:t>
      </w:r>
      <w:r w:rsidRPr="00A3151B">
        <w:rPr>
          <w:rFonts w:ascii="Times New Roman" w:hAnsi="Times New Roman" w:cs="Times New Roman"/>
          <w:color w:val="000000" w:themeColor="text1"/>
          <w:sz w:val="20"/>
          <w:szCs w:val="20"/>
          <w:lang w:val="en-GB"/>
        </w:rPr>
        <w:t xml:space="preserve">note </w:t>
      </w:r>
      <w:r w:rsidR="00A9624B" w:rsidRPr="00A3151B">
        <w:rPr>
          <w:rFonts w:ascii="Times New Roman" w:hAnsi="Times New Roman" w:cs="Times New Roman"/>
          <w:color w:val="000000" w:themeColor="text1"/>
          <w:sz w:val="20"/>
          <w:szCs w:val="20"/>
          <w:lang w:val="en-GB"/>
        </w:rPr>
        <w:t>4</w:t>
      </w:r>
      <w:r w:rsidR="00E134A4">
        <w:rPr>
          <w:rFonts w:ascii="Times New Roman" w:hAnsi="Times New Roman" w:cs="Times New Roman"/>
          <w:color w:val="000000" w:themeColor="text1"/>
          <w:sz w:val="20"/>
          <w:szCs w:val="20"/>
          <w:lang w:val="en-GB"/>
        </w:rPr>
        <w:t xml:space="preserve">; </w:t>
      </w:r>
      <w:r w:rsidR="00E134A4" w:rsidRPr="00E134A4">
        <w:rPr>
          <w:rFonts w:ascii="Times New Roman" w:hAnsi="Times New Roman" w:cs="Times New Roman"/>
          <w:color w:val="000000" w:themeColor="text1"/>
          <w:sz w:val="20"/>
          <w:szCs w:val="20"/>
          <w:lang w:val="en-GB"/>
        </w:rPr>
        <w:t xml:space="preserve">Clough (2014) </w:t>
      </w:r>
      <w:r w:rsidR="00E134A4" w:rsidRPr="00E134A4">
        <w:rPr>
          <w:rFonts w:ascii="Times New Roman" w:hAnsi="Times New Roman" w:cs="Times New Roman"/>
          <w:i/>
          <w:iCs/>
          <w:color w:val="000000" w:themeColor="text1"/>
          <w:sz w:val="20"/>
          <w:szCs w:val="20"/>
          <w:lang w:val="en-GB"/>
        </w:rPr>
        <w:t xml:space="preserve">op. cit. </w:t>
      </w:r>
      <w:r w:rsidR="00E134A4" w:rsidRPr="00E134A4">
        <w:rPr>
          <w:rFonts w:ascii="Times New Roman" w:hAnsi="Times New Roman" w:cs="Times New Roman"/>
          <w:color w:val="000000" w:themeColor="text1"/>
          <w:sz w:val="20"/>
          <w:szCs w:val="20"/>
          <w:lang w:val="en-GB"/>
        </w:rPr>
        <w:t xml:space="preserve">note 3; Clough (2017) </w:t>
      </w:r>
      <w:r w:rsidR="00E134A4" w:rsidRPr="00E134A4">
        <w:rPr>
          <w:rFonts w:ascii="Times New Roman" w:hAnsi="Times New Roman" w:cs="Times New Roman"/>
          <w:i/>
          <w:iCs/>
          <w:color w:val="000000" w:themeColor="text1"/>
          <w:sz w:val="20"/>
          <w:szCs w:val="20"/>
          <w:lang w:val="en-GB"/>
        </w:rPr>
        <w:t xml:space="preserve">op. cit. </w:t>
      </w:r>
      <w:r w:rsidR="00E134A4" w:rsidRPr="00E134A4">
        <w:rPr>
          <w:rFonts w:ascii="Times New Roman" w:hAnsi="Times New Roman" w:cs="Times New Roman"/>
          <w:color w:val="000000" w:themeColor="text1"/>
          <w:sz w:val="20"/>
          <w:szCs w:val="20"/>
          <w:lang w:val="en-GB"/>
        </w:rPr>
        <w:t>note 3</w:t>
      </w:r>
      <w:r w:rsidR="00E134A4">
        <w:rPr>
          <w:rFonts w:ascii="Times New Roman" w:hAnsi="Times New Roman" w:cs="Times New Roman"/>
          <w:color w:val="000000" w:themeColor="text1"/>
          <w:sz w:val="20"/>
          <w:szCs w:val="20"/>
          <w:lang w:val="en-GB"/>
        </w:rPr>
        <w:t>.</w:t>
      </w:r>
    </w:p>
  </w:footnote>
  <w:footnote w:id="12">
    <w:p w14:paraId="5F48C69B" w14:textId="56A4B454" w:rsidR="009C0E8C" w:rsidRPr="00A3151B" w:rsidRDefault="009C0E8C" w:rsidP="00465D08">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Coggon and </w:t>
      </w:r>
      <w:proofErr w:type="spellStart"/>
      <w:r w:rsidRPr="00A3151B">
        <w:rPr>
          <w:rFonts w:ascii="Times New Roman" w:hAnsi="Times New Roman" w:cs="Times New Roman"/>
          <w:sz w:val="20"/>
          <w:szCs w:val="20"/>
          <w:lang w:val="en-GB"/>
        </w:rPr>
        <w:t>Miola</w:t>
      </w:r>
      <w:proofErr w:type="spellEnd"/>
      <w:r w:rsidRPr="00A3151B">
        <w:rPr>
          <w:rFonts w:ascii="Times New Roman" w:hAnsi="Times New Roman" w:cs="Times New Roman"/>
          <w:sz w:val="20"/>
          <w:szCs w:val="20"/>
          <w:lang w:val="en-GB"/>
        </w:rPr>
        <w:t xml:space="preserve">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5, 537-43. Herring and Wall </w:t>
      </w:r>
      <w:r w:rsidRPr="00A3151B">
        <w:rPr>
          <w:rFonts w:ascii="Times New Roman" w:hAnsi="Times New Roman" w:cs="Times New Roman"/>
          <w:i/>
          <w:iCs/>
          <w:sz w:val="20"/>
          <w:szCs w:val="20"/>
          <w:lang w:val="en-GB"/>
        </w:rPr>
        <w:t xml:space="preserve">op. cit. </w:t>
      </w:r>
      <w:r w:rsidRPr="00A3151B">
        <w:rPr>
          <w:rFonts w:ascii="Times New Roman" w:hAnsi="Times New Roman" w:cs="Times New Roman"/>
          <w:sz w:val="20"/>
          <w:szCs w:val="20"/>
          <w:lang w:val="en-GB"/>
        </w:rPr>
        <w:t xml:space="preserve">note </w:t>
      </w:r>
      <w:r w:rsidR="00A9624B" w:rsidRPr="00A3151B">
        <w:rPr>
          <w:rFonts w:ascii="Times New Roman" w:hAnsi="Times New Roman" w:cs="Times New Roman"/>
          <w:sz w:val="20"/>
          <w:szCs w:val="20"/>
          <w:lang w:val="en-GB"/>
        </w:rPr>
        <w:t>4</w:t>
      </w:r>
      <w:r w:rsidRPr="00A3151B">
        <w:rPr>
          <w:rFonts w:ascii="Times New Roman" w:hAnsi="Times New Roman" w:cs="Times New Roman"/>
          <w:sz w:val="20"/>
          <w:szCs w:val="20"/>
          <w:lang w:val="en-GB"/>
        </w:rPr>
        <w:t>, 704.</w:t>
      </w:r>
    </w:p>
  </w:footnote>
  <w:footnote w:id="13">
    <w:p w14:paraId="773FC629" w14:textId="614DF09E" w:rsidR="009C0E8C" w:rsidRPr="00A3151B" w:rsidRDefault="009C0E8C" w:rsidP="002F1329">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w:t>
      </w:r>
      <w:r w:rsidR="00C54E7E" w:rsidRPr="00A3151B">
        <w:rPr>
          <w:rFonts w:ascii="Times New Roman" w:hAnsi="Times New Roman" w:cs="Times New Roman"/>
          <w:iCs/>
          <w:sz w:val="20"/>
          <w:szCs w:val="20"/>
          <w:lang w:val="en-GB"/>
        </w:rPr>
        <w:t xml:space="preserve">Coggon and </w:t>
      </w:r>
      <w:proofErr w:type="spellStart"/>
      <w:r w:rsidR="00C54E7E" w:rsidRPr="00A3151B">
        <w:rPr>
          <w:rFonts w:ascii="Times New Roman" w:hAnsi="Times New Roman" w:cs="Times New Roman"/>
          <w:iCs/>
          <w:sz w:val="20"/>
          <w:szCs w:val="20"/>
          <w:lang w:val="en-GB"/>
        </w:rPr>
        <w:t>Miola</w:t>
      </w:r>
      <w:proofErr w:type="spellEnd"/>
      <w:r w:rsidR="00C54E7E" w:rsidRPr="00A3151B">
        <w:rPr>
          <w:rFonts w:ascii="Times New Roman" w:hAnsi="Times New Roman" w:cs="Times New Roman"/>
          <w:i/>
          <w:sz w:val="20"/>
          <w:szCs w:val="20"/>
          <w:lang w:val="en-GB"/>
        </w:rPr>
        <w:t xml:space="preserve"> op. cit. </w:t>
      </w:r>
      <w:r w:rsidR="00C54E7E" w:rsidRPr="00A3151B">
        <w:rPr>
          <w:rFonts w:ascii="Times New Roman" w:hAnsi="Times New Roman" w:cs="Times New Roman"/>
          <w:iCs/>
          <w:sz w:val="20"/>
          <w:szCs w:val="20"/>
          <w:lang w:val="en-GB"/>
        </w:rPr>
        <w:t>note 5</w:t>
      </w:r>
      <w:r w:rsidRPr="00A3151B">
        <w:rPr>
          <w:rFonts w:ascii="Times New Roman" w:hAnsi="Times New Roman" w:cs="Times New Roman"/>
          <w:sz w:val="20"/>
          <w:szCs w:val="20"/>
          <w:lang w:val="en-GB"/>
        </w:rPr>
        <w:t xml:space="preserve">, 528. This coincides with more recent developments in medical ethics where it has been argued that a patient’s autonomy pertains to </w:t>
      </w:r>
      <w:r w:rsidRPr="00A3151B">
        <w:rPr>
          <w:rFonts w:ascii="Times New Roman" w:hAnsi="Times New Roman" w:cs="Times New Roman"/>
          <w:i/>
          <w:sz w:val="20"/>
          <w:szCs w:val="20"/>
          <w:lang w:val="en-GB"/>
        </w:rPr>
        <w:t>exercises</w:t>
      </w:r>
      <w:r w:rsidRPr="00A3151B">
        <w:rPr>
          <w:rFonts w:ascii="Times New Roman" w:hAnsi="Times New Roman" w:cs="Times New Roman"/>
          <w:sz w:val="20"/>
          <w:szCs w:val="20"/>
          <w:lang w:val="en-GB"/>
        </w:rPr>
        <w:t xml:space="preserve"> of her capacity for reason</w:t>
      </w:r>
      <w:r w:rsidR="00C73F22" w:rsidRPr="00A3151B">
        <w:rPr>
          <w:rFonts w:ascii="Times New Roman" w:hAnsi="Times New Roman" w:cs="Times New Roman"/>
          <w:sz w:val="20"/>
          <w:szCs w:val="20"/>
          <w:lang w:val="en-GB"/>
        </w:rPr>
        <w:t xml:space="preserve">. </w:t>
      </w:r>
      <w:r w:rsidRPr="00A3151B">
        <w:rPr>
          <w:rFonts w:ascii="Times New Roman" w:hAnsi="Times New Roman" w:cs="Times New Roman"/>
          <w:sz w:val="20"/>
          <w:szCs w:val="20"/>
          <w:lang w:val="en-GB"/>
        </w:rPr>
        <w:t xml:space="preserve">See J Holroyd, ‘Relational autonomy and paternalistic interventions’, (2009) </w:t>
      </w:r>
      <w:r w:rsidRPr="00A3151B">
        <w:rPr>
          <w:rFonts w:ascii="Times New Roman" w:hAnsi="Times New Roman" w:cs="Times New Roman"/>
          <w:i/>
          <w:sz w:val="20"/>
          <w:szCs w:val="20"/>
          <w:lang w:val="en-GB"/>
        </w:rPr>
        <w:t>Res Publica</w:t>
      </w:r>
      <w:r w:rsidRPr="00A3151B">
        <w:rPr>
          <w:rFonts w:ascii="Times New Roman" w:hAnsi="Times New Roman" w:cs="Times New Roman"/>
          <w:sz w:val="20"/>
          <w:szCs w:val="20"/>
          <w:lang w:val="en-GB"/>
        </w:rPr>
        <w:t xml:space="preserve"> 15, 325-26; GO Schaefer, G </w:t>
      </w:r>
      <w:proofErr w:type="spellStart"/>
      <w:r w:rsidRPr="00A3151B">
        <w:rPr>
          <w:rFonts w:ascii="Times New Roman" w:hAnsi="Times New Roman" w:cs="Times New Roman"/>
          <w:sz w:val="20"/>
          <w:szCs w:val="20"/>
          <w:lang w:val="en-GB"/>
        </w:rPr>
        <w:t>Kahane</w:t>
      </w:r>
      <w:proofErr w:type="spellEnd"/>
      <w:r w:rsidRPr="00A3151B">
        <w:rPr>
          <w:rFonts w:ascii="Times New Roman" w:hAnsi="Times New Roman" w:cs="Times New Roman"/>
          <w:sz w:val="20"/>
          <w:szCs w:val="20"/>
          <w:lang w:val="en-GB"/>
        </w:rPr>
        <w:t xml:space="preserve"> &amp; J Savulescu, ‘Autonomy and enhancement’, (2014) </w:t>
      </w:r>
      <w:r w:rsidRPr="00A3151B">
        <w:rPr>
          <w:rFonts w:ascii="Times New Roman" w:hAnsi="Times New Roman" w:cs="Times New Roman"/>
          <w:i/>
          <w:sz w:val="20"/>
          <w:szCs w:val="20"/>
          <w:lang w:val="en-GB"/>
        </w:rPr>
        <w:t>Neuroethics</w:t>
      </w:r>
      <w:r w:rsidRPr="00A3151B">
        <w:rPr>
          <w:rFonts w:ascii="Times New Roman" w:hAnsi="Times New Roman" w:cs="Times New Roman"/>
          <w:sz w:val="20"/>
          <w:szCs w:val="20"/>
          <w:lang w:val="en-GB"/>
        </w:rPr>
        <w:t xml:space="preserve"> 7, 127-29; J Lewis, ‘Autonomy and the Limits of Cognitive Enhancement’, (2020) </w:t>
      </w:r>
      <w:r w:rsidRPr="00A3151B">
        <w:rPr>
          <w:rFonts w:ascii="Times New Roman" w:hAnsi="Times New Roman" w:cs="Times New Roman"/>
          <w:i/>
          <w:sz w:val="20"/>
          <w:szCs w:val="20"/>
          <w:lang w:val="en-GB"/>
        </w:rPr>
        <w:t xml:space="preserve">Bioethics </w:t>
      </w:r>
      <w:r w:rsidRPr="00A3151B">
        <w:rPr>
          <w:rFonts w:ascii="Times New Roman" w:hAnsi="Times New Roman" w:cs="Times New Roman"/>
          <w:sz w:val="20"/>
          <w:szCs w:val="20"/>
          <w:lang w:val="en-GB"/>
        </w:rPr>
        <w:t xml:space="preserve">(online ahead of print). </w:t>
      </w:r>
      <w:proofErr w:type="spellStart"/>
      <w:r w:rsidRPr="00A3151B">
        <w:rPr>
          <w:rFonts w:ascii="Times New Roman" w:hAnsi="Times New Roman" w:cs="Times New Roman"/>
          <w:sz w:val="20"/>
          <w:szCs w:val="20"/>
          <w:lang w:val="en-GB"/>
        </w:rPr>
        <w:t>doi</w:t>
      </w:r>
      <w:proofErr w:type="spellEnd"/>
      <w:r w:rsidRPr="00A3151B">
        <w:rPr>
          <w:rFonts w:ascii="Times New Roman" w:hAnsi="Times New Roman" w:cs="Times New Roman"/>
          <w:sz w:val="20"/>
          <w:szCs w:val="20"/>
          <w:lang w:val="en-GB"/>
        </w:rPr>
        <w:t xml:space="preserve">: </w:t>
      </w:r>
      <w:r w:rsidRPr="00A3151B">
        <w:rPr>
          <w:rFonts w:ascii="Times New Roman" w:hAnsi="Times New Roman" w:cs="Times New Roman"/>
          <w:sz w:val="20"/>
          <w:szCs w:val="20"/>
        </w:rPr>
        <w:t>10.1111/BIOE.12791.</w:t>
      </w:r>
    </w:p>
  </w:footnote>
  <w:footnote w:id="14">
    <w:p w14:paraId="1C909CE0" w14:textId="11E8FE1D" w:rsidR="009C0E8C" w:rsidRPr="00A3151B" w:rsidRDefault="009C0E8C" w:rsidP="002F1329">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sz w:val="20"/>
          <w:szCs w:val="20"/>
          <w:lang w:val="en-GB"/>
        </w:rPr>
        <w:t xml:space="preserve">Coggon and </w:t>
      </w:r>
      <w:proofErr w:type="spellStart"/>
      <w:r w:rsidRPr="00A3151B">
        <w:rPr>
          <w:rFonts w:ascii="Times New Roman" w:hAnsi="Times New Roman" w:cs="Times New Roman"/>
          <w:sz w:val="20"/>
          <w:szCs w:val="20"/>
          <w:lang w:val="en-GB"/>
        </w:rPr>
        <w:t>Miola</w:t>
      </w:r>
      <w:proofErr w:type="spellEnd"/>
      <w:r w:rsidRPr="00A3151B">
        <w:rPr>
          <w:rFonts w:ascii="Times New Roman" w:hAnsi="Times New Roman" w:cs="Times New Roman"/>
          <w:sz w:val="20"/>
          <w:szCs w:val="20"/>
          <w:lang w:val="en-GB"/>
        </w:rPr>
        <w:t xml:space="preserve"> </w:t>
      </w:r>
      <w:r w:rsidRPr="00A3151B">
        <w:rPr>
          <w:rFonts w:ascii="Times New Roman" w:hAnsi="Times New Roman" w:cs="Times New Roman"/>
          <w:i/>
          <w:sz w:val="20"/>
          <w:szCs w:val="20"/>
          <w:lang w:val="en-GB"/>
        </w:rPr>
        <w:t xml:space="preserve">op. cit. </w:t>
      </w:r>
      <w:r w:rsidRPr="00A3151B">
        <w:rPr>
          <w:rFonts w:ascii="Times New Roman" w:hAnsi="Times New Roman" w:cs="Times New Roman"/>
          <w:sz w:val="20"/>
          <w:szCs w:val="20"/>
          <w:lang w:val="en-GB"/>
        </w:rPr>
        <w:t xml:space="preserve">note 5, 531. </w:t>
      </w:r>
    </w:p>
  </w:footnote>
  <w:footnote w:id="15">
    <w:p w14:paraId="146FAEDF" w14:textId="4361680C" w:rsidR="009C0E8C" w:rsidRPr="00A3151B" w:rsidRDefault="009C0E8C" w:rsidP="002F1329">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w:t>
      </w:r>
      <w:r w:rsidRPr="00A3151B">
        <w:rPr>
          <w:rFonts w:ascii="Times New Roman" w:hAnsi="Times New Roman" w:cs="Times New Roman"/>
          <w:i/>
          <w:sz w:val="20"/>
          <w:szCs w:val="20"/>
          <w:lang w:val="en-GB"/>
        </w:rPr>
        <w:t>Montgomery v Lanarkshire Health Board</w:t>
      </w:r>
      <w:r w:rsidRPr="00A3151B">
        <w:rPr>
          <w:rFonts w:ascii="Times New Roman" w:hAnsi="Times New Roman" w:cs="Times New Roman"/>
          <w:sz w:val="20"/>
          <w:szCs w:val="20"/>
          <w:lang w:val="en-GB"/>
        </w:rPr>
        <w:t xml:space="preserve"> [2015] UKSC 11, [2015] 1 AC 1430 at [115] per </w:t>
      </w:r>
      <w:r w:rsidR="00C54E7E" w:rsidRPr="00A3151B">
        <w:rPr>
          <w:rFonts w:ascii="Times New Roman" w:hAnsi="Times New Roman" w:cs="Times New Roman"/>
          <w:sz w:val="20"/>
          <w:szCs w:val="20"/>
          <w:lang w:val="en-GB"/>
        </w:rPr>
        <w:t>Lady</w:t>
      </w:r>
      <w:r w:rsidRPr="00A3151B">
        <w:rPr>
          <w:rFonts w:ascii="Times New Roman" w:hAnsi="Times New Roman" w:cs="Times New Roman"/>
          <w:sz w:val="20"/>
          <w:szCs w:val="20"/>
          <w:lang w:val="en-GB"/>
        </w:rPr>
        <w:t xml:space="preserve"> Hale. </w:t>
      </w:r>
    </w:p>
  </w:footnote>
  <w:footnote w:id="16">
    <w:p w14:paraId="115949A4" w14:textId="46CF7A17" w:rsidR="009C0E8C" w:rsidRPr="00A3151B" w:rsidRDefault="009C0E8C" w:rsidP="002F1329">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w:t>
      </w:r>
      <w:r w:rsidRPr="00A3151B">
        <w:rPr>
          <w:rFonts w:ascii="Times New Roman" w:hAnsi="Times New Roman" w:cs="Times New Roman"/>
          <w:i/>
          <w:sz w:val="20"/>
          <w:szCs w:val="20"/>
          <w:lang w:val="en-GB"/>
        </w:rPr>
        <w:t>ibid.</w:t>
      </w:r>
    </w:p>
  </w:footnote>
  <w:footnote w:id="17">
    <w:p w14:paraId="37ED5F76" w14:textId="5432998F" w:rsidR="009C0E8C" w:rsidRPr="00A3151B" w:rsidRDefault="009C0E8C" w:rsidP="00E0375B">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w:t>
      </w:r>
      <w:r w:rsidRPr="00A3151B">
        <w:rPr>
          <w:rFonts w:ascii="Times New Roman" w:hAnsi="Times New Roman" w:cs="Times New Roman"/>
          <w:i/>
          <w:sz w:val="20"/>
          <w:szCs w:val="20"/>
          <w:lang w:val="en-GB"/>
        </w:rPr>
        <w:t>E.g.</w:t>
      </w:r>
      <w:r w:rsidRPr="00A3151B">
        <w:rPr>
          <w:rFonts w:ascii="Times New Roman" w:hAnsi="Times New Roman" w:cs="Times New Roman"/>
          <w:sz w:val="20"/>
          <w:szCs w:val="20"/>
          <w:lang w:val="en-GB"/>
        </w:rPr>
        <w:t xml:space="preserve">, </w:t>
      </w:r>
      <w:r w:rsidRPr="00A3151B">
        <w:rPr>
          <w:rFonts w:ascii="Times New Roman" w:hAnsi="Times New Roman" w:cs="Times New Roman"/>
          <w:i/>
          <w:sz w:val="20"/>
          <w:szCs w:val="20"/>
          <w:lang w:val="en-GB"/>
        </w:rPr>
        <w:t>Re T (Adult: Refusal of Treatment)</w:t>
      </w:r>
      <w:r w:rsidRPr="00A3151B">
        <w:rPr>
          <w:rFonts w:ascii="Times New Roman" w:hAnsi="Times New Roman" w:cs="Times New Roman"/>
          <w:sz w:val="20"/>
          <w:szCs w:val="20"/>
          <w:lang w:val="en-GB"/>
        </w:rPr>
        <w:t xml:space="preserve"> [1992] EWCA </w:t>
      </w:r>
      <w:proofErr w:type="spellStart"/>
      <w:r w:rsidRPr="00A3151B">
        <w:rPr>
          <w:rFonts w:ascii="Times New Roman" w:hAnsi="Times New Roman" w:cs="Times New Roman"/>
          <w:sz w:val="20"/>
          <w:szCs w:val="20"/>
          <w:lang w:val="en-GB"/>
        </w:rPr>
        <w:t>Civ</w:t>
      </w:r>
      <w:proofErr w:type="spellEnd"/>
      <w:r w:rsidRPr="00A3151B">
        <w:rPr>
          <w:rFonts w:ascii="Times New Roman" w:hAnsi="Times New Roman" w:cs="Times New Roman"/>
          <w:sz w:val="20"/>
          <w:szCs w:val="20"/>
          <w:lang w:val="en-GB"/>
        </w:rPr>
        <w:t xml:space="preserve"> 18, [1993] Fam 95 at [116]</w:t>
      </w:r>
      <w:proofErr w:type="gramStart"/>
      <w:r w:rsidRPr="00A3151B">
        <w:rPr>
          <w:rFonts w:ascii="Times New Roman" w:hAnsi="Times New Roman" w:cs="Times New Roman"/>
          <w:sz w:val="20"/>
          <w:szCs w:val="20"/>
          <w:lang w:val="en-GB"/>
        </w:rPr>
        <w:t>–[</w:t>
      </w:r>
      <w:proofErr w:type="gramEnd"/>
      <w:r w:rsidRPr="00A3151B">
        <w:rPr>
          <w:rFonts w:ascii="Times New Roman" w:hAnsi="Times New Roman" w:cs="Times New Roman"/>
          <w:sz w:val="20"/>
          <w:szCs w:val="20"/>
          <w:lang w:val="en-GB"/>
        </w:rPr>
        <w:t>117] per Lord Donaldson M.R..</w:t>
      </w:r>
    </w:p>
  </w:footnote>
  <w:footnote w:id="18">
    <w:p w14:paraId="1E02601F" w14:textId="280D8323" w:rsidR="009C0E8C" w:rsidRPr="00A3151B" w:rsidRDefault="009C0E8C" w:rsidP="00E0375B">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Coggon and </w:t>
      </w:r>
      <w:proofErr w:type="spellStart"/>
      <w:r w:rsidRPr="00A3151B">
        <w:rPr>
          <w:rFonts w:ascii="Times New Roman" w:hAnsi="Times New Roman" w:cs="Times New Roman"/>
          <w:sz w:val="20"/>
          <w:szCs w:val="20"/>
          <w:lang w:val="en-GB"/>
        </w:rPr>
        <w:t>Miola</w:t>
      </w:r>
      <w:proofErr w:type="spellEnd"/>
      <w:r w:rsidRPr="00A3151B">
        <w:rPr>
          <w:rFonts w:ascii="Times New Roman" w:hAnsi="Times New Roman" w:cs="Times New Roman"/>
          <w:sz w:val="20"/>
          <w:szCs w:val="20"/>
          <w:lang w:val="en-GB"/>
        </w:rPr>
        <w:t xml:space="preserve">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5, 527-28; Clough (2014) </w:t>
      </w:r>
      <w:r w:rsidRPr="00A3151B">
        <w:rPr>
          <w:rFonts w:ascii="Times New Roman" w:hAnsi="Times New Roman" w:cs="Times New Roman"/>
          <w:i/>
          <w:iCs/>
          <w:sz w:val="20"/>
          <w:szCs w:val="20"/>
          <w:lang w:val="en-GB"/>
        </w:rPr>
        <w:t xml:space="preserve">op. cit. </w:t>
      </w:r>
      <w:r w:rsidRPr="00A3151B">
        <w:rPr>
          <w:rFonts w:ascii="Times New Roman" w:hAnsi="Times New Roman" w:cs="Times New Roman"/>
          <w:sz w:val="20"/>
          <w:szCs w:val="20"/>
          <w:lang w:val="en-GB"/>
        </w:rPr>
        <w:t xml:space="preserve">note </w:t>
      </w:r>
      <w:r w:rsidR="00A9624B" w:rsidRPr="00A3151B">
        <w:rPr>
          <w:rFonts w:ascii="Times New Roman" w:hAnsi="Times New Roman" w:cs="Times New Roman"/>
          <w:sz w:val="20"/>
          <w:szCs w:val="20"/>
          <w:lang w:val="en-GB"/>
        </w:rPr>
        <w:t>3</w:t>
      </w:r>
      <w:r w:rsidRPr="00A3151B">
        <w:rPr>
          <w:rFonts w:ascii="Times New Roman" w:hAnsi="Times New Roman" w:cs="Times New Roman"/>
          <w:sz w:val="20"/>
          <w:szCs w:val="20"/>
          <w:lang w:val="en-GB"/>
        </w:rPr>
        <w:t xml:space="preserve">; Herring and Wall </w:t>
      </w:r>
      <w:r w:rsidRPr="00A3151B">
        <w:rPr>
          <w:rFonts w:ascii="Times New Roman" w:hAnsi="Times New Roman" w:cs="Times New Roman"/>
          <w:i/>
          <w:iCs/>
          <w:sz w:val="20"/>
          <w:szCs w:val="20"/>
          <w:lang w:val="en-GB"/>
        </w:rPr>
        <w:t xml:space="preserve">op. cit. </w:t>
      </w:r>
      <w:r w:rsidRPr="00A3151B">
        <w:rPr>
          <w:rFonts w:ascii="Times New Roman" w:hAnsi="Times New Roman" w:cs="Times New Roman"/>
          <w:sz w:val="20"/>
          <w:szCs w:val="20"/>
          <w:lang w:val="en-GB"/>
        </w:rPr>
        <w:t xml:space="preserve">note </w:t>
      </w:r>
      <w:r w:rsidR="00A9624B" w:rsidRPr="00A3151B">
        <w:rPr>
          <w:rFonts w:ascii="Times New Roman" w:hAnsi="Times New Roman" w:cs="Times New Roman"/>
          <w:sz w:val="20"/>
          <w:szCs w:val="20"/>
          <w:lang w:val="en-GB"/>
        </w:rPr>
        <w:t>4</w:t>
      </w:r>
      <w:r w:rsidRPr="00A3151B">
        <w:rPr>
          <w:rFonts w:ascii="Times New Roman" w:hAnsi="Times New Roman" w:cs="Times New Roman"/>
          <w:sz w:val="20"/>
          <w:szCs w:val="20"/>
          <w:lang w:val="en-GB"/>
        </w:rPr>
        <w:t xml:space="preserve">; </w:t>
      </w:r>
      <w:r w:rsidRPr="00A3151B">
        <w:rPr>
          <w:rFonts w:ascii="Times New Roman" w:hAnsi="Times New Roman" w:cs="Times New Roman"/>
          <w:sz w:val="20"/>
          <w:szCs w:val="20"/>
        </w:rPr>
        <w:t xml:space="preserve">E Cave, ‘Protecting patients from their bad decisions: Rebalancing rights, relationships, and risk.’ (2017) </w:t>
      </w:r>
      <w:r w:rsidRPr="00A3151B">
        <w:rPr>
          <w:rFonts w:ascii="Times New Roman" w:hAnsi="Times New Roman" w:cs="Times New Roman"/>
          <w:i/>
          <w:iCs/>
          <w:sz w:val="20"/>
          <w:szCs w:val="20"/>
        </w:rPr>
        <w:t>Medical Law Review</w:t>
      </w:r>
      <w:r w:rsidRPr="00A3151B">
        <w:rPr>
          <w:rFonts w:ascii="Times New Roman" w:hAnsi="Times New Roman" w:cs="Times New Roman"/>
          <w:sz w:val="20"/>
          <w:szCs w:val="20"/>
        </w:rPr>
        <w:t xml:space="preserve"> 25(4), 527–553, 546;</w:t>
      </w:r>
      <w:r w:rsidRPr="00A3151B">
        <w:rPr>
          <w:rFonts w:ascii="Times New Roman" w:hAnsi="Times New Roman" w:cs="Times New Roman"/>
          <w:sz w:val="20"/>
          <w:szCs w:val="20"/>
          <w:lang w:val="en-GB"/>
        </w:rPr>
        <w:t xml:space="preserve"> Clough (2017) </w:t>
      </w:r>
      <w:r w:rsidRPr="00A3151B">
        <w:rPr>
          <w:rFonts w:ascii="Times New Roman" w:hAnsi="Times New Roman" w:cs="Times New Roman"/>
          <w:i/>
          <w:iCs/>
          <w:sz w:val="20"/>
          <w:szCs w:val="20"/>
          <w:lang w:val="en-GB"/>
        </w:rPr>
        <w:t xml:space="preserve">op. cit. </w:t>
      </w:r>
      <w:r w:rsidRPr="00A3151B">
        <w:rPr>
          <w:rFonts w:ascii="Times New Roman" w:hAnsi="Times New Roman" w:cs="Times New Roman"/>
          <w:sz w:val="20"/>
          <w:szCs w:val="20"/>
          <w:lang w:val="en-GB"/>
        </w:rPr>
        <w:t xml:space="preserve">note </w:t>
      </w:r>
      <w:r w:rsidR="00A9624B" w:rsidRPr="00A3151B">
        <w:rPr>
          <w:rFonts w:ascii="Times New Roman" w:hAnsi="Times New Roman" w:cs="Times New Roman"/>
          <w:sz w:val="20"/>
          <w:szCs w:val="20"/>
          <w:lang w:val="en-GB"/>
        </w:rPr>
        <w:t>3</w:t>
      </w:r>
      <w:r w:rsidRPr="00A3151B">
        <w:rPr>
          <w:rFonts w:ascii="Times New Roman" w:hAnsi="Times New Roman" w:cs="Times New Roman"/>
          <w:sz w:val="20"/>
          <w:szCs w:val="20"/>
          <w:lang w:val="en-GB"/>
        </w:rPr>
        <w:t xml:space="preserve">; </w:t>
      </w:r>
      <w:proofErr w:type="spellStart"/>
      <w:r w:rsidRPr="00A3151B">
        <w:rPr>
          <w:rFonts w:ascii="Times New Roman" w:hAnsi="Times New Roman" w:cs="Times New Roman"/>
          <w:sz w:val="20"/>
          <w:szCs w:val="20"/>
          <w:lang w:val="en-GB"/>
        </w:rPr>
        <w:t>Skowron</w:t>
      </w:r>
      <w:proofErr w:type="spellEnd"/>
      <w:r w:rsidRPr="00A3151B">
        <w:rPr>
          <w:rFonts w:ascii="Times New Roman" w:hAnsi="Times New Roman" w:cs="Times New Roman"/>
          <w:sz w:val="20"/>
          <w:szCs w:val="20"/>
          <w:lang w:val="en-GB"/>
        </w:rPr>
        <w:t xml:space="preserve">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w:t>
      </w:r>
      <w:r w:rsidR="00A9624B" w:rsidRPr="00A3151B">
        <w:rPr>
          <w:rFonts w:ascii="Times New Roman" w:hAnsi="Times New Roman" w:cs="Times New Roman"/>
          <w:sz w:val="20"/>
          <w:szCs w:val="20"/>
          <w:lang w:val="en-GB"/>
        </w:rPr>
        <w:t>1</w:t>
      </w:r>
      <w:r w:rsidRPr="00A3151B">
        <w:rPr>
          <w:rFonts w:ascii="Times New Roman" w:hAnsi="Times New Roman" w:cs="Times New Roman"/>
          <w:sz w:val="20"/>
          <w:szCs w:val="20"/>
          <w:lang w:val="en-GB"/>
        </w:rPr>
        <w:t xml:space="preserve">. </w:t>
      </w:r>
    </w:p>
  </w:footnote>
  <w:footnote w:id="19">
    <w:p w14:paraId="32DCF0D2" w14:textId="77777777" w:rsidR="009C0E8C" w:rsidRPr="00A3151B" w:rsidRDefault="009C0E8C" w:rsidP="000879D2">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RE </w:t>
      </w:r>
      <w:proofErr w:type="spellStart"/>
      <w:r w:rsidRPr="00A3151B">
        <w:rPr>
          <w:rFonts w:ascii="Times New Roman" w:hAnsi="Times New Roman" w:cs="Times New Roman"/>
          <w:sz w:val="20"/>
          <w:szCs w:val="20"/>
          <w:lang w:val="en-GB"/>
        </w:rPr>
        <w:t>Goodin</w:t>
      </w:r>
      <w:proofErr w:type="spellEnd"/>
      <w:r w:rsidRPr="00A3151B">
        <w:rPr>
          <w:rFonts w:ascii="Times New Roman" w:hAnsi="Times New Roman" w:cs="Times New Roman"/>
          <w:sz w:val="20"/>
          <w:szCs w:val="20"/>
          <w:lang w:val="en-GB"/>
        </w:rPr>
        <w:t xml:space="preserve">, </w:t>
      </w:r>
      <w:r w:rsidRPr="00A3151B">
        <w:rPr>
          <w:rFonts w:ascii="Times New Roman" w:hAnsi="Times New Roman" w:cs="Times New Roman"/>
          <w:i/>
          <w:iCs/>
          <w:sz w:val="20"/>
          <w:szCs w:val="20"/>
          <w:lang w:val="en-GB"/>
        </w:rPr>
        <w:t>Protecting the vulnerable: A reanalysis of our social responsibilities</w:t>
      </w:r>
      <w:r w:rsidRPr="00A3151B">
        <w:rPr>
          <w:rFonts w:ascii="Times New Roman" w:hAnsi="Times New Roman" w:cs="Times New Roman"/>
          <w:sz w:val="20"/>
          <w:szCs w:val="20"/>
          <w:lang w:val="en-GB"/>
        </w:rPr>
        <w:t xml:space="preserve"> (Chicago, IL: University of Chicago Press, 1985), 112. </w:t>
      </w:r>
    </w:p>
  </w:footnote>
  <w:footnote w:id="20">
    <w:p w14:paraId="610F82CD" w14:textId="77777777" w:rsidR="009C0E8C" w:rsidRPr="00A3151B" w:rsidRDefault="009C0E8C" w:rsidP="000879D2">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Lord Chancellor’s Department, </w:t>
      </w:r>
      <w:proofErr w:type="gramStart"/>
      <w:r w:rsidRPr="00A3151B">
        <w:rPr>
          <w:rFonts w:ascii="Times New Roman" w:hAnsi="Times New Roman" w:cs="Times New Roman"/>
          <w:i/>
          <w:sz w:val="20"/>
          <w:szCs w:val="20"/>
          <w:lang w:val="en-GB"/>
        </w:rPr>
        <w:t>Who</w:t>
      </w:r>
      <w:proofErr w:type="gramEnd"/>
      <w:r w:rsidRPr="00A3151B">
        <w:rPr>
          <w:rFonts w:ascii="Times New Roman" w:hAnsi="Times New Roman" w:cs="Times New Roman"/>
          <w:i/>
          <w:sz w:val="20"/>
          <w:szCs w:val="20"/>
          <w:lang w:val="en-GB"/>
        </w:rPr>
        <w:t xml:space="preserve"> decides? Making decisions on behalf of mentally incapacitated adults</w:t>
      </w:r>
      <w:r w:rsidRPr="00A3151B">
        <w:rPr>
          <w:rFonts w:ascii="Times New Roman" w:hAnsi="Times New Roman" w:cs="Times New Roman"/>
          <w:sz w:val="20"/>
          <w:szCs w:val="20"/>
          <w:lang w:val="en-GB"/>
        </w:rPr>
        <w:t xml:space="preserve"> (London: Stationery Office, 1997). Also see </w:t>
      </w:r>
      <w:r w:rsidRPr="00A3151B">
        <w:rPr>
          <w:rFonts w:ascii="Times New Roman" w:hAnsi="Times New Roman" w:cs="Times New Roman"/>
          <w:i/>
          <w:sz w:val="20"/>
          <w:szCs w:val="20"/>
          <w:lang w:val="en-GB"/>
        </w:rPr>
        <w:t>Re SA (Vulnerable Adult with Capacity: Marriage)</w:t>
      </w:r>
      <w:r w:rsidRPr="00A3151B">
        <w:rPr>
          <w:rFonts w:ascii="Times New Roman" w:hAnsi="Times New Roman" w:cs="Times New Roman"/>
          <w:sz w:val="20"/>
          <w:szCs w:val="20"/>
          <w:lang w:val="en-GB"/>
        </w:rPr>
        <w:t xml:space="preserve"> [2005] EWHC 2942 (Fam), [2006] 1 FLR 867 at [82] per Munby J.</w:t>
      </w:r>
    </w:p>
  </w:footnote>
  <w:footnote w:id="21">
    <w:p w14:paraId="0B283B1F" w14:textId="1FE08816" w:rsidR="009C0E8C" w:rsidRPr="00A3151B" w:rsidRDefault="009C0E8C" w:rsidP="000879D2">
      <w:pPr>
        <w:pStyle w:val="FootnoteText"/>
        <w:jc w:val="both"/>
        <w:rPr>
          <w:rFonts w:ascii="Times New Roman" w:hAnsi="Times New Roman" w:cs="Times New Roman"/>
          <w:sz w:val="20"/>
          <w:szCs w:val="20"/>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M Dunn, I Clare &amp; A Holland, ‘To empower or to protect? Constructing the “vulnerable adult” in English law and public policy’ (2008) </w:t>
      </w:r>
      <w:r w:rsidRPr="00A3151B">
        <w:rPr>
          <w:rFonts w:ascii="Times New Roman" w:hAnsi="Times New Roman" w:cs="Times New Roman"/>
          <w:i/>
          <w:sz w:val="20"/>
          <w:szCs w:val="20"/>
          <w:lang w:val="en-GB"/>
        </w:rPr>
        <w:t xml:space="preserve">Legal Studies </w:t>
      </w:r>
      <w:r w:rsidRPr="00A3151B">
        <w:rPr>
          <w:rFonts w:ascii="Times New Roman" w:hAnsi="Times New Roman" w:cs="Times New Roman"/>
          <w:sz w:val="20"/>
          <w:szCs w:val="20"/>
          <w:lang w:val="en-GB"/>
        </w:rPr>
        <w:t xml:space="preserve">28(2), 234-53; </w:t>
      </w:r>
      <w:r w:rsidRPr="00A3151B">
        <w:rPr>
          <w:rFonts w:ascii="Times New Roman" w:hAnsi="Times New Roman" w:cs="Times New Roman"/>
          <w:sz w:val="20"/>
          <w:szCs w:val="20"/>
        </w:rPr>
        <w:t xml:space="preserve">Cave </w:t>
      </w:r>
      <w:r w:rsidRPr="00A3151B">
        <w:rPr>
          <w:rFonts w:ascii="Times New Roman" w:hAnsi="Times New Roman" w:cs="Times New Roman"/>
          <w:i/>
          <w:sz w:val="20"/>
          <w:szCs w:val="20"/>
        </w:rPr>
        <w:t>op. cit.</w:t>
      </w:r>
      <w:r w:rsidRPr="00A3151B">
        <w:rPr>
          <w:rFonts w:ascii="Times New Roman" w:hAnsi="Times New Roman" w:cs="Times New Roman"/>
          <w:sz w:val="20"/>
          <w:szCs w:val="20"/>
        </w:rPr>
        <w:t xml:space="preserve"> note 18. </w:t>
      </w:r>
      <w:r w:rsidRPr="00A3151B">
        <w:rPr>
          <w:rFonts w:ascii="Times New Roman" w:hAnsi="Times New Roman" w:cs="Times New Roman"/>
          <w:sz w:val="20"/>
          <w:szCs w:val="20"/>
          <w:lang w:val="en-GB"/>
        </w:rPr>
        <w:t xml:space="preserve">The question of whether the inherent jurisdiction has survived so as to protect vulnerable adults who are deemed to have mental capacity has, seemingly, been answered by the decision of the Court of Appeal in </w:t>
      </w:r>
      <w:r w:rsidRPr="00A3151B">
        <w:rPr>
          <w:rFonts w:ascii="Times New Roman" w:hAnsi="Times New Roman" w:cs="Times New Roman"/>
          <w:i/>
          <w:sz w:val="20"/>
          <w:szCs w:val="20"/>
          <w:lang w:val="en-GB"/>
        </w:rPr>
        <w:t>DL v A Local Authority</w:t>
      </w:r>
      <w:r w:rsidRPr="00A3151B">
        <w:rPr>
          <w:rFonts w:ascii="Times New Roman" w:hAnsi="Times New Roman" w:cs="Times New Roman"/>
          <w:sz w:val="20"/>
          <w:szCs w:val="20"/>
          <w:lang w:val="en-GB"/>
        </w:rPr>
        <w:t xml:space="preserve"> [2012] EWCA </w:t>
      </w:r>
      <w:proofErr w:type="spellStart"/>
      <w:r w:rsidRPr="00A3151B">
        <w:rPr>
          <w:rFonts w:ascii="Times New Roman" w:hAnsi="Times New Roman" w:cs="Times New Roman"/>
          <w:sz w:val="20"/>
          <w:szCs w:val="20"/>
          <w:lang w:val="en-GB"/>
        </w:rPr>
        <w:t>Civ</w:t>
      </w:r>
      <w:proofErr w:type="spellEnd"/>
      <w:r w:rsidRPr="00A3151B">
        <w:rPr>
          <w:rFonts w:ascii="Times New Roman" w:hAnsi="Times New Roman" w:cs="Times New Roman"/>
          <w:sz w:val="20"/>
          <w:szCs w:val="20"/>
          <w:lang w:val="en-GB"/>
        </w:rPr>
        <w:t xml:space="preserve"> 253, [2012] CPLR 504. Also see </w:t>
      </w:r>
      <w:r w:rsidRPr="00A3151B">
        <w:rPr>
          <w:rFonts w:ascii="Times New Roman" w:hAnsi="Times New Roman" w:cs="Times New Roman"/>
          <w:i/>
          <w:sz w:val="20"/>
          <w:szCs w:val="20"/>
          <w:lang w:val="en-GB"/>
        </w:rPr>
        <w:t xml:space="preserve">London Borough of Wandsworth v M &amp; </w:t>
      </w:r>
      <w:proofErr w:type="spellStart"/>
      <w:r w:rsidRPr="00A3151B">
        <w:rPr>
          <w:rFonts w:ascii="Times New Roman" w:hAnsi="Times New Roman" w:cs="Times New Roman"/>
          <w:i/>
          <w:sz w:val="20"/>
          <w:szCs w:val="20"/>
          <w:lang w:val="en-GB"/>
        </w:rPr>
        <w:t>Ors</w:t>
      </w:r>
      <w:proofErr w:type="spellEnd"/>
      <w:r w:rsidRPr="00A3151B">
        <w:rPr>
          <w:rFonts w:ascii="Times New Roman" w:hAnsi="Times New Roman" w:cs="Times New Roman"/>
          <w:i/>
          <w:sz w:val="20"/>
          <w:szCs w:val="20"/>
          <w:lang w:val="en-GB"/>
        </w:rPr>
        <w:t xml:space="preserve"> </w:t>
      </w:r>
      <w:r w:rsidRPr="00A3151B">
        <w:rPr>
          <w:rFonts w:ascii="Times New Roman" w:hAnsi="Times New Roman" w:cs="Times New Roman"/>
          <w:sz w:val="20"/>
          <w:szCs w:val="20"/>
          <w:lang w:val="en-GB"/>
        </w:rPr>
        <w:t xml:space="preserve">[2017] EWHC 2435 (Fam), [2018] 1 FLR 919; </w:t>
      </w:r>
      <w:r w:rsidRPr="00A3151B">
        <w:rPr>
          <w:rFonts w:ascii="Times New Roman" w:hAnsi="Times New Roman" w:cs="Times New Roman"/>
          <w:i/>
          <w:sz w:val="20"/>
          <w:szCs w:val="20"/>
          <w:lang w:val="en-GB"/>
        </w:rPr>
        <w:t>Southend-on-Sea Borough Council v Meyers</w:t>
      </w:r>
      <w:r w:rsidRPr="00A3151B">
        <w:rPr>
          <w:rFonts w:ascii="Times New Roman" w:hAnsi="Times New Roman" w:cs="Times New Roman"/>
          <w:sz w:val="20"/>
          <w:szCs w:val="20"/>
          <w:lang w:val="en-GB"/>
        </w:rPr>
        <w:t xml:space="preserve"> [2019] EWHC 399 (Fam). </w:t>
      </w:r>
    </w:p>
  </w:footnote>
  <w:footnote w:id="22">
    <w:p w14:paraId="6D5F0C28" w14:textId="6BFCB75A" w:rsidR="009C0E8C" w:rsidRPr="00A3151B" w:rsidRDefault="009C0E8C" w:rsidP="000879D2">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Dunn, Clare and Holland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21, 241.</w:t>
      </w:r>
    </w:p>
  </w:footnote>
  <w:footnote w:id="23">
    <w:p w14:paraId="01B1D002" w14:textId="23A52344" w:rsidR="009C0E8C" w:rsidRPr="00A3151B" w:rsidRDefault="009C0E8C" w:rsidP="000879D2">
      <w:pPr>
        <w:pStyle w:val="FootnoteText"/>
        <w:jc w:val="both"/>
        <w:rPr>
          <w:rFonts w:ascii="Times New Roman" w:hAnsi="Times New Roman" w:cs="Times New Roman"/>
          <w:sz w:val="20"/>
          <w:szCs w:val="20"/>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sz w:val="20"/>
          <w:szCs w:val="20"/>
          <w:lang w:val="en-GB"/>
        </w:rPr>
        <w:t xml:space="preserve">For a broader exploration of vulnerability, beyond capacitous vulnerable adults and the characterisation of </w:t>
      </w:r>
      <w:r w:rsidR="00C73F22" w:rsidRPr="00A3151B">
        <w:rPr>
          <w:rFonts w:ascii="Times New Roman" w:hAnsi="Times New Roman" w:cs="Times New Roman"/>
          <w:sz w:val="20"/>
          <w:szCs w:val="20"/>
          <w:lang w:val="en-GB"/>
        </w:rPr>
        <w:t xml:space="preserve">situational </w:t>
      </w:r>
      <w:r w:rsidRPr="00A3151B">
        <w:rPr>
          <w:rFonts w:ascii="Times New Roman" w:hAnsi="Times New Roman" w:cs="Times New Roman"/>
          <w:sz w:val="20"/>
          <w:szCs w:val="20"/>
          <w:lang w:val="en-GB"/>
        </w:rPr>
        <w:t>vulnerability at common law, see</w:t>
      </w:r>
      <w:r w:rsidRPr="00A3151B">
        <w:rPr>
          <w:rFonts w:ascii="Times New Roman" w:hAnsi="Times New Roman" w:cs="Times New Roman"/>
          <w:sz w:val="20"/>
          <w:szCs w:val="20"/>
        </w:rPr>
        <w:t xml:space="preserve"> Wilson </w:t>
      </w:r>
      <w:r w:rsidRPr="00A3151B">
        <w:rPr>
          <w:rFonts w:ascii="Times New Roman" w:hAnsi="Times New Roman" w:cs="Times New Roman"/>
          <w:i/>
          <w:sz w:val="20"/>
          <w:szCs w:val="20"/>
        </w:rPr>
        <w:t>op. cit.</w:t>
      </w:r>
      <w:r w:rsidRPr="00A3151B">
        <w:rPr>
          <w:rFonts w:ascii="Times New Roman" w:hAnsi="Times New Roman" w:cs="Times New Roman"/>
          <w:sz w:val="20"/>
          <w:szCs w:val="20"/>
        </w:rPr>
        <w:t xml:space="preserve"> note </w:t>
      </w:r>
      <w:r w:rsidR="00A9624B" w:rsidRPr="00A3151B">
        <w:rPr>
          <w:rFonts w:ascii="Times New Roman" w:hAnsi="Times New Roman" w:cs="Times New Roman"/>
          <w:sz w:val="20"/>
          <w:szCs w:val="20"/>
        </w:rPr>
        <w:t>2</w:t>
      </w:r>
      <w:r w:rsidRPr="00A3151B">
        <w:rPr>
          <w:rFonts w:ascii="Times New Roman" w:hAnsi="Times New Roman" w:cs="Times New Roman"/>
          <w:sz w:val="20"/>
          <w:szCs w:val="20"/>
        </w:rPr>
        <w:t>.</w:t>
      </w:r>
    </w:p>
  </w:footnote>
  <w:footnote w:id="24">
    <w:p w14:paraId="1A2CCECD" w14:textId="77777777" w:rsidR="009C0E8C" w:rsidRPr="00A3151B" w:rsidRDefault="009C0E8C" w:rsidP="000879D2">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w:t>
      </w:r>
      <w:r w:rsidRPr="00A3151B">
        <w:rPr>
          <w:rFonts w:ascii="Times New Roman" w:hAnsi="Times New Roman" w:cs="Times New Roman"/>
          <w:i/>
          <w:sz w:val="20"/>
          <w:szCs w:val="20"/>
          <w:lang w:val="en-GB"/>
        </w:rPr>
        <w:t>Re SA (Vulnerable Adult with Capacity: Marriage)</w:t>
      </w:r>
      <w:r w:rsidRPr="00A3151B">
        <w:rPr>
          <w:rFonts w:ascii="Times New Roman" w:hAnsi="Times New Roman" w:cs="Times New Roman"/>
          <w:sz w:val="20"/>
          <w:szCs w:val="20"/>
          <w:lang w:val="en-GB"/>
        </w:rPr>
        <w:t xml:space="preserve"> [2005] EWHC 2942 (Fam), [2006] 1 FLR 867 at [79] and [82] per Munby J.</w:t>
      </w:r>
    </w:p>
  </w:footnote>
  <w:footnote w:id="25">
    <w:p w14:paraId="44066012" w14:textId="4F4DBA57" w:rsidR="009C0E8C" w:rsidRPr="00A3151B" w:rsidRDefault="009C0E8C" w:rsidP="000879D2">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According to Munby J., such circumstances include ‘the effects of deception, misinformation, physical disability, illness, weakness (physical, mental or moral), tiredness, shock, fatigue, depression, pain or drugs’. See </w:t>
      </w:r>
      <w:r w:rsidRPr="00A3151B">
        <w:rPr>
          <w:rFonts w:ascii="Times New Roman" w:hAnsi="Times New Roman" w:cs="Times New Roman"/>
          <w:i/>
          <w:sz w:val="20"/>
          <w:szCs w:val="20"/>
          <w:lang w:val="en-GB"/>
        </w:rPr>
        <w:t>Re SA (Vulnerable Adult with Capacity: Marriage)</w:t>
      </w:r>
      <w:r w:rsidRPr="00A3151B">
        <w:rPr>
          <w:rFonts w:ascii="Times New Roman" w:hAnsi="Times New Roman" w:cs="Times New Roman"/>
          <w:sz w:val="20"/>
          <w:szCs w:val="20"/>
          <w:lang w:val="en-GB"/>
        </w:rPr>
        <w:t xml:space="preserve"> [2005] EWHC 2942 (Fam), [2006] 1 FLR 867 at [78] per Munby J.</w:t>
      </w:r>
    </w:p>
  </w:footnote>
  <w:footnote w:id="26">
    <w:p w14:paraId="43A064F6" w14:textId="46305626" w:rsidR="009C0E8C" w:rsidRPr="00A3151B" w:rsidRDefault="009C0E8C" w:rsidP="006551A1">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Dunn, Clare and Holland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21, 236.</w:t>
      </w:r>
    </w:p>
  </w:footnote>
  <w:footnote w:id="27">
    <w:p w14:paraId="7B4E03B6" w14:textId="2E1E4C6A" w:rsidR="009C0E8C" w:rsidRPr="00A3151B" w:rsidRDefault="009C0E8C" w:rsidP="006551A1">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Although medical ethicists recognise that vulnerability is an ontological condition of all human existence, they have also employed the concept to identify those who are especially vulnerable to threats to their ‘dignity’, ‘rights’ and ‘capacity to live as free, autonomous individual[s]’ as a result of situational features. </w:t>
      </w:r>
      <w:r w:rsidRPr="00A3151B">
        <w:rPr>
          <w:rFonts w:ascii="Times New Roman" w:hAnsi="Times New Roman" w:cs="Times New Roman"/>
          <w:i/>
          <w:sz w:val="20"/>
          <w:szCs w:val="20"/>
          <w:lang w:val="en-GB"/>
        </w:rPr>
        <w:t>E.g.,</w:t>
      </w:r>
      <w:r w:rsidRPr="00A3151B">
        <w:rPr>
          <w:rFonts w:ascii="Times New Roman" w:hAnsi="Times New Roman" w:cs="Times New Roman"/>
          <w:sz w:val="20"/>
          <w:szCs w:val="20"/>
          <w:lang w:val="en-GB"/>
        </w:rPr>
        <w:t xml:space="preserve"> UNESCO, </w:t>
      </w:r>
      <w:r w:rsidRPr="00A3151B">
        <w:rPr>
          <w:rFonts w:ascii="Times New Roman" w:hAnsi="Times New Roman" w:cs="Times New Roman"/>
          <w:i/>
          <w:sz w:val="20"/>
          <w:szCs w:val="20"/>
          <w:lang w:val="en-GB"/>
        </w:rPr>
        <w:t>The principle of respect for human vulnerability and personal integrity: Report of the International Bioethics Committee of UNESCO (IBC)</w:t>
      </w:r>
      <w:r w:rsidRPr="00A3151B">
        <w:rPr>
          <w:rFonts w:ascii="Times New Roman" w:hAnsi="Times New Roman" w:cs="Times New Roman"/>
          <w:sz w:val="20"/>
          <w:szCs w:val="20"/>
          <w:lang w:val="en-GB"/>
        </w:rPr>
        <w:t xml:space="preserve"> (Paris: UNESCO, 2013), 9-16. Retrieved from https://unesdoc.unesco.org/ark:/48223/pf0000219494.</w:t>
      </w:r>
    </w:p>
  </w:footnote>
  <w:footnote w:id="28">
    <w:p w14:paraId="4F623B64" w14:textId="1BBBB82E" w:rsidR="009C0E8C" w:rsidRPr="00A3151B" w:rsidRDefault="009C0E8C" w:rsidP="002F1329">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w:t>
      </w:r>
      <w:r w:rsidRPr="00A3151B">
        <w:rPr>
          <w:rFonts w:ascii="Times New Roman" w:hAnsi="Times New Roman" w:cs="Times New Roman"/>
          <w:i/>
          <w:sz w:val="20"/>
          <w:szCs w:val="20"/>
          <w:lang w:val="en-GB"/>
        </w:rPr>
        <w:t>LBL v RYJ and VJ</w:t>
      </w:r>
      <w:r w:rsidRPr="00A3151B">
        <w:rPr>
          <w:rFonts w:ascii="Times New Roman" w:hAnsi="Times New Roman" w:cs="Times New Roman"/>
          <w:sz w:val="20"/>
          <w:szCs w:val="20"/>
          <w:lang w:val="en-GB"/>
        </w:rPr>
        <w:t xml:space="preserve"> [2010] EWHC 2665 (COP) at [62] per </w:t>
      </w:r>
      <w:proofErr w:type="spellStart"/>
      <w:r w:rsidRPr="00A3151B">
        <w:rPr>
          <w:rFonts w:ascii="Times New Roman" w:hAnsi="Times New Roman" w:cs="Times New Roman"/>
          <w:sz w:val="20"/>
          <w:szCs w:val="20"/>
          <w:lang w:val="en-GB"/>
        </w:rPr>
        <w:t>Macur</w:t>
      </w:r>
      <w:proofErr w:type="spellEnd"/>
      <w:r w:rsidRPr="00A3151B">
        <w:rPr>
          <w:rFonts w:ascii="Times New Roman" w:hAnsi="Times New Roman" w:cs="Times New Roman"/>
          <w:sz w:val="20"/>
          <w:szCs w:val="20"/>
          <w:lang w:val="en-GB"/>
        </w:rPr>
        <w:t xml:space="preserve"> J.; </w:t>
      </w:r>
      <w:r w:rsidRPr="00A3151B">
        <w:rPr>
          <w:rFonts w:ascii="Times New Roman" w:hAnsi="Times New Roman" w:cs="Times New Roman"/>
          <w:i/>
          <w:sz w:val="20"/>
          <w:szCs w:val="20"/>
          <w:lang w:val="en-GB"/>
        </w:rPr>
        <w:t>DL v A Local Authority</w:t>
      </w:r>
      <w:r w:rsidRPr="00A3151B">
        <w:rPr>
          <w:rFonts w:ascii="Times New Roman" w:hAnsi="Times New Roman" w:cs="Times New Roman"/>
          <w:sz w:val="20"/>
          <w:szCs w:val="20"/>
          <w:lang w:val="en-GB"/>
        </w:rPr>
        <w:t xml:space="preserve"> [2012] EWCA </w:t>
      </w:r>
      <w:proofErr w:type="spellStart"/>
      <w:r w:rsidRPr="00A3151B">
        <w:rPr>
          <w:rFonts w:ascii="Times New Roman" w:hAnsi="Times New Roman" w:cs="Times New Roman"/>
          <w:sz w:val="20"/>
          <w:szCs w:val="20"/>
          <w:lang w:val="en-GB"/>
        </w:rPr>
        <w:t>Civ</w:t>
      </w:r>
      <w:proofErr w:type="spellEnd"/>
      <w:r w:rsidRPr="00A3151B">
        <w:rPr>
          <w:rFonts w:ascii="Times New Roman" w:hAnsi="Times New Roman" w:cs="Times New Roman"/>
          <w:sz w:val="20"/>
          <w:szCs w:val="20"/>
          <w:lang w:val="en-GB"/>
        </w:rPr>
        <w:t xml:space="preserve"> 253, [2012] CPLR 504 at [67] per McFarlane L.J.</w:t>
      </w:r>
    </w:p>
  </w:footnote>
  <w:footnote w:id="29">
    <w:p w14:paraId="0AB05909" w14:textId="4BBC799F" w:rsidR="009C0E8C" w:rsidRPr="00A3151B" w:rsidRDefault="009C0E8C" w:rsidP="002F1329">
      <w:pPr>
        <w:pStyle w:val="FootnoteText"/>
        <w:jc w:val="both"/>
        <w:rPr>
          <w:rFonts w:ascii="Times New Roman" w:hAnsi="Times New Roman" w:cs="Times New Roman"/>
          <w:sz w:val="20"/>
          <w:szCs w:val="20"/>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i/>
          <w:sz w:val="20"/>
          <w:szCs w:val="20"/>
          <w:lang w:val="en-GB"/>
        </w:rPr>
        <w:t>DL v A Local Authority</w:t>
      </w:r>
      <w:r w:rsidRPr="00A3151B">
        <w:rPr>
          <w:rFonts w:ascii="Times New Roman" w:hAnsi="Times New Roman" w:cs="Times New Roman"/>
          <w:sz w:val="20"/>
          <w:szCs w:val="20"/>
          <w:lang w:val="en-GB"/>
        </w:rPr>
        <w:t xml:space="preserve"> [2012] EWCA </w:t>
      </w:r>
      <w:proofErr w:type="spellStart"/>
      <w:r w:rsidRPr="00A3151B">
        <w:rPr>
          <w:rFonts w:ascii="Times New Roman" w:hAnsi="Times New Roman" w:cs="Times New Roman"/>
          <w:sz w:val="20"/>
          <w:szCs w:val="20"/>
          <w:lang w:val="en-GB"/>
        </w:rPr>
        <w:t>Civ</w:t>
      </w:r>
      <w:proofErr w:type="spellEnd"/>
      <w:r w:rsidRPr="00A3151B">
        <w:rPr>
          <w:rFonts w:ascii="Times New Roman" w:hAnsi="Times New Roman" w:cs="Times New Roman"/>
          <w:sz w:val="20"/>
          <w:szCs w:val="20"/>
          <w:lang w:val="en-GB"/>
        </w:rPr>
        <w:t xml:space="preserve"> 253, [2012] CPLR 504 at [67] per McFarlane L.J.; </w:t>
      </w:r>
      <w:r w:rsidRPr="00A3151B">
        <w:rPr>
          <w:rFonts w:ascii="Times New Roman" w:hAnsi="Times New Roman" w:cs="Times New Roman"/>
          <w:i/>
          <w:sz w:val="20"/>
          <w:szCs w:val="20"/>
        </w:rPr>
        <w:t>London Borough of Croydon v KR &amp; Anor</w:t>
      </w:r>
      <w:r w:rsidRPr="00A3151B">
        <w:rPr>
          <w:rFonts w:ascii="Times New Roman" w:hAnsi="Times New Roman" w:cs="Times New Roman"/>
          <w:sz w:val="20"/>
          <w:szCs w:val="20"/>
        </w:rPr>
        <w:t xml:space="preserve"> [2019] EWHC 2498 (Fam) at [40] per Lieven J.</w:t>
      </w:r>
    </w:p>
  </w:footnote>
  <w:footnote w:id="30">
    <w:p w14:paraId="60A2D2E0" w14:textId="6B2EA23F" w:rsidR="009C0E8C" w:rsidRPr="00A3151B" w:rsidRDefault="009C0E8C" w:rsidP="0019090A">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sz w:val="20"/>
          <w:szCs w:val="20"/>
          <w:lang w:val="en-GB"/>
        </w:rPr>
        <w:t xml:space="preserve">Cave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18, 533.</w:t>
      </w:r>
    </w:p>
  </w:footnote>
  <w:footnote w:id="31">
    <w:p w14:paraId="0BC16658" w14:textId="73EF7F64" w:rsidR="009C0E8C" w:rsidRPr="00A3151B" w:rsidRDefault="009C0E8C" w:rsidP="0019090A">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i/>
          <w:sz w:val="20"/>
          <w:szCs w:val="20"/>
          <w:lang w:val="en-GB"/>
        </w:rPr>
        <w:t>LBL v RYJ and VJ</w:t>
      </w:r>
      <w:r w:rsidRPr="00A3151B">
        <w:rPr>
          <w:rFonts w:ascii="Times New Roman" w:hAnsi="Times New Roman" w:cs="Times New Roman"/>
          <w:sz w:val="20"/>
          <w:szCs w:val="20"/>
          <w:lang w:val="en-GB"/>
        </w:rPr>
        <w:t xml:space="preserve"> [2010] EWHC 2665 (COP) at [62]-[63] per </w:t>
      </w:r>
      <w:proofErr w:type="spellStart"/>
      <w:r w:rsidRPr="00A3151B">
        <w:rPr>
          <w:rFonts w:ascii="Times New Roman" w:hAnsi="Times New Roman" w:cs="Times New Roman"/>
          <w:sz w:val="20"/>
          <w:szCs w:val="20"/>
          <w:lang w:val="en-GB"/>
        </w:rPr>
        <w:t>Macur</w:t>
      </w:r>
      <w:proofErr w:type="spellEnd"/>
      <w:r w:rsidRPr="00A3151B">
        <w:rPr>
          <w:rFonts w:ascii="Times New Roman" w:hAnsi="Times New Roman" w:cs="Times New Roman"/>
          <w:sz w:val="20"/>
          <w:szCs w:val="20"/>
          <w:lang w:val="en-GB"/>
        </w:rPr>
        <w:t xml:space="preserve"> J.</w:t>
      </w:r>
    </w:p>
  </w:footnote>
  <w:footnote w:id="32">
    <w:p w14:paraId="2E772EF0" w14:textId="73DFDD84" w:rsidR="009C0E8C" w:rsidRPr="00A3151B" w:rsidRDefault="009C0E8C" w:rsidP="0019090A">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w:t>
      </w:r>
      <w:r w:rsidRPr="00A3151B">
        <w:rPr>
          <w:rFonts w:ascii="Times New Roman" w:hAnsi="Times New Roman" w:cs="Times New Roman"/>
          <w:i/>
          <w:sz w:val="20"/>
          <w:szCs w:val="20"/>
          <w:lang w:val="en-GB"/>
        </w:rPr>
        <w:t xml:space="preserve">A Local Authority v Mrs A and Mr A </w:t>
      </w:r>
      <w:r w:rsidRPr="00A3151B">
        <w:rPr>
          <w:rFonts w:ascii="Times New Roman" w:hAnsi="Times New Roman" w:cs="Times New Roman"/>
          <w:sz w:val="20"/>
          <w:szCs w:val="20"/>
          <w:lang w:val="en-GB"/>
        </w:rPr>
        <w:t>[2010]</w:t>
      </w:r>
      <w:r w:rsidRPr="00A3151B">
        <w:rPr>
          <w:rFonts w:ascii="Times New Roman" w:hAnsi="Times New Roman" w:cs="Times New Roman"/>
          <w:i/>
          <w:sz w:val="20"/>
          <w:szCs w:val="20"/>
          <w:lang w:val="en-GB"/>
        </w:rPr>
        <w:t xml:space="preserve"> </w:t>
      </w:r>
      <w:r w:rsidRPr="00A3151B">
        <w:rPr>
          <w:rFonts w:ascii="Times New Roman" w:hAnsi="Times New Roman" w:cs="Times New Roman"/>
          <w:sz w:val="20"/>
          <w:szCs w:val="20"/>
          <w:lang w:val="en-GB"/>
        </w:rPr>
        <w:t xml:space="preserve">EWHC 1549 (Fam) (COP) at [79] per </w:t>
      </w:r>
      <w:proofErr w:type="spellStart"/>
      <w:r w:rsidRPr="00A3151B">
        <w:rPr>
          <w:rFonts w:ascii="Times New Roman" w:hAnsi="Times New Roman" w:cs="Times New Roman"/>
          <w:sz w:val="20"/>
          <w:szCs w:val="20"/>
          <w:lang w:val="en-GB"/>
        </w:rPr>
        <w:t>Bodey</w:t>
      </w:r>
      <w:proofErr w:type="spellEnd"/>
      <w:r w:rsidRPr="00A3151B">
        <w:rPr>
          <w:rFonts w:ascii="Times New Roman" w:hAnsi="Times New Roman" w:cs="Times New Roman"/>
          <w:sz w:val="20"/>
          <w:szCs w:val="20"/>
          <w:lang w:val="en-GB"/>
        </w:rPr>
        <w:t xml:space="preserve"> J.</w:t>
      </w:r>
    </w:p>
  </w:footnote>
  <w:footnote w:id="33">
    <w:p w14:paraId="3C0BECE7" w14:textId="4EF0EBAF" w:rsidR="009C0E8C" w:rsidRPr="00A3151B" w:rsidRDefault="009C0E8C" w:rsidP="002F1329">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sz w:val="20"/>
          <w:szCs w:val="20"/>
          <w:lang w:val="en-GB"/>
        </w:rPr>
        <w:t xml:space="preserve">J Lewis, ‘Capturing and promoting the autonomy of capacitous vulnerable adults’, (2020) </w:t>
      </w:r>
      <w:r w:rsidRPr="00A3151B">
        <w:rPr>
          <w:rFonts w:ascii="Times New Roman" w:hAnsi="Times New Roman" w:cs="Times New Roman"/>
          <w:i/>
          <w:sz w:val="20"/>
          <w:szCs w:val="20"/>
          <w:lang w:val="en-GB"/>
        </w:rPr>
        <w:t>Journal of Medical Ethics</w:t>
      </w:r>
      <w:r w:rsidRPr="00A3151B">
        <w:rPr>
          <w:rFonts w:ascii="Times New Roman" w:hAnsi="Times New Roman" w:cs="Times New Roman"/>
          <w:sz w:val="20"/>
          <w:szCs w:val="20"/>
          <w:lang w:val="en-GB"/>
        </w:rPr>
        <w:t xml:space="preserve"> (online ahead of print). </w:t>
      </w:r>
      <w:proofErr w:type="spellStart"/>
      <w:r w:rsidRPr="00A3151B">
        <w:rPr>
          <w:rFonts w:ascii="Times New Roman" w:hAnsi="Times New Roman" w:cs="Times New Roman"/>
          <w:sz w:val="20"/>
          <w:szCs w:val="20"/>
          <w:lang w:val="en-GB"/>
        </w:rPr>
        <w:t>doi</w:t>
      </w:r>
      <w:proofErr w:type="spellEnd"/>
      <w:r w:rsidRPr="00A3151B">
        <w:rPr>
          <w:rFonts w:ascii="Times New Roman" w:hAnsi="Times New Roman" w:cs="Times New Roman"/>
          <w:sz w:val="20"/>
          <w:szCs w:val="20"/>
          <w:lang w:val="en-GB"/>
        </w:rPr>
        <w:t xml:space="preserve">: </w:t>
      </w:r>
      <w:r w:rsidRPr="00A3151B">
        <w:rPr>
          <w:rFonts w:ascii="Times New Roman" w:hAnsi="Times New Roman" w:cs="Times New Roman"/>
          <w:sz w:val="20"/>
          <w:szCs w:val="20"/>
        </w:rPr>
        <w:t>10.1136/medethics-2020-106835.</w:t>
      </w:r>
    </w:p>
  </w:footnote>
  <w:footnote w:id="34">
    <w:p w14:paraId="4079BDFA" w14:textId="26ECF101" w:rsidR="009C0E8C" w:rsidRPr="00A3151B" w:rsidRDefault="009C0E8C" w:rsidP="002F1329">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Coggon and </w:t>
      </w:r>
      <w:proofErr w:type="spellStart"/>
      <w:r w:rsidRPr="00A3151B">
        <w:rPr>
          <w:rFonts w:ascii="Times New Roman" w:hAnsi="Times New Roman" w:cs="Times New Roman"/>
          <w:sz w:val="20"/>
          <w:szCs w:val="20"/>
          <w:lang w:val="en-GB"/>
        </w:rPr>
        <w:t>Miola</w:t>
      </w:r>
      <w:proofErr w:type="spellEnd"/>
      <w:r w:rsidRPr="00A3151B">
        <w:rPr>
          <w:rFonts w:ascii="Times New Roman" w:hAnsi="Times New Roman" w:cs="Times New Roman"/>
          <w:sz w:val="20"/>
          <w:szCs w:val="20"/>
          <w:lang w:val="en-GB"/>
        </w:rPr>
        <w:t xml:space="preserve">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5, 543. </w:t>
      </w:r>
    </w:p>
  </w:footnote>
  <w:footnote w:id="35">
    <w:p w14:paraId="7ED0778E" w14:textId="602340DE" w:rsidR="009C0E8C" w:rsidRPr="00A3151B" w:rsidRDefault="009C0E8C" w:rsidP="002F1329">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w:t>
      </w:r>
      <w:r w:rsidRPr="00A3151B">
        <w:rPr>
          <w:rFonts w:ascii="Times New Roman" w:hAnsi="Times New Roman" w:cs="Times New Roman"/>
          <w:i/>
          <w:sz w:val="20"/>
          <w:szCs w:val="20"/>
          <w:lang w:val="en-GB"/>
        </w:rPr>
        <w:t xml:space="preserve">A Local Authority v Mrs A and Mr A </w:t>
      </w:r>
      <w:r w:rsidRPr="00A3151B">
        <w:rPr>
          <w:rFonts w:ascii="Times New Roman" w:hAnsi="Times New Roman" w:cs="Times New Roman"/>
          <w:sz w:val="20"/>
          <w:szCs w:val="20"/>
          <w:lang w:val="en-GB"/>
        </w:rPr>
        <w:t>[2010]</w:t>
      </w:r>
      <w:r w:rsidRPr="00A3151B">
        <w:rPr>
          <w:rFonts w:ascii="Times New Roman" w:hAnsi="Times New Roman" w:cs="Times New Roman"/>
          <w:i/>
          <w:sz w:val="20"/>
          <w:szCs w:val="20"/>
          <w:lang w:val="en-GB"/>
        </w:rPr>
        <w:t xml:space="preserve"> </w:t>
      </w:r>
      <w:r w:rsidRPr="00A3151B">
        <w:rPr>
          <w:rFonts w:ascii="Times New Roman" w:hAnsi="Times New Roman" w:cs="Times New Roman"/>
          <w:sz w:val="20"/>
          <w:szCs w:val="20"/>
          <w:lang w:val="en-GB"/>
        </w:rPr>
        <w:t xml:space="preserve">EWHC 1549 (Fam) (COP) at [64] per </w:t>
      </w:r>
      <w:proofErr w:type="spellStart"/>
      <w:r w:rsidRPr="00A3151B">
        <w:rPr>
          <w:rFonts w:ascii="Times New Roman" w:hAnsi="Times New Roman" w:cs="Times New Roman"/>
          <w:sz w:val="20"/>
          <w:szCs w:val="20"/>
          <w:lang w:val="en-GB"/>
        </w:rPr>
        <w:t>Bodey</w:t>
      </w:r>
      <w:proofErr w:type="spellEnd"/>
      <w:r w:rsidRPr="00A3151B">
        <w:rPr>
          <w:rFonts w:ascii="Times New Roman" w:hAnsi="Times New Roman" w:cs="Times New Roman"/>
          <w:sz w:val="20"/>
          <w:szCs w:val="20"/>
          <w:lang w:val="en-GB"/>
        </w:rPr>
        <w:t xml:space="preserve"> J. For further discussion, see K </w:t>
      </w:r>
      <w:proofErr w:type="spellStart"/>
      <w:r w:rsidRPr="00A3151B">
        <w:rPr>
          <w:rFonts w:ascii="Times New Roman" w:hAnsi="Times New Roman" w:cs="Times New Roman"/>
          <w:sz w:val="20"/>
          <w:szCs w:val="20"/>
          <w:lang w:val="en-GB"/>
        </w:rPr>
        <w:t>Keywood</w:t>
      </w:r>
      <w:proofErr w:type="spellEnd"/>
      <w:r w:rsidRPr="00A3151B">
        <w:rPr>
          <w:rFonts w:ascii="Times New Roman" w:hAnsi="Times New Roman" w:cs="Times New Roman"/>
          <w:sz w:val="20"/>
          <w:szCs w:val="20"/>
          <w:lang w:val="en-GB"/>
        </w:rPr>
        <w:t xml:space="preserve">. ‘Safeguarding reproductive health? The inherent jurisdiction, contraception and mental capacity’, (2011) </w:t>
      </w:r>
      <w:r w:rsidRPr="00A3151B">
        <w:rPr>
          <w:rFonts w:ascii="Times New Roman" w:hAnsi="Times New Roman" w:cs="Times New Roman"/>
          <w:i/>
          <w:iCs/>
          <w:sz w:val="20"/>
          <w:szCs w:val="20"/>
          <w:lang w:val="en-GB"/>
        </w:rPr>
        <w:t>Medical Law Review</w:t>
      </w:r>
      <w:r w:rsidRPr="00A3151B">
        <w:rPr>
          <w:rFonts w:ascii="Times New Roman" w:hAnsi="Times New Roman" w:cs="Times New Roman"/>
          <w:sz w:val="20"/>
          <w:szCs w:val="20"/>
          <w:lang w:val="en-GB"/>
        </w:rPr>
        <w:t xml:space="preserve"> 19, 326-333.</w:t>
      </w:r>
    </w:p>
  </w:footnote>
  <w:footnote w:id="36">
    <w:p w14:paraId="6A705BBC" w14:textId="50A2E5E9" w:rsidR="009C0E8C" w:rsidRPr="00A3151B" w:rsidRDefault="009C0E8C" w:rsidP="002F1329">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sz w:val="20"/>
          <w:szCs w:val="20"/>
          <w:lang w:val="en-GB"/>
        </w:rPr>
        <w:t xml:space="preserve">Coggon and </w:t>
      </w:r>
      <w:proofErr w:type="spellStart"/>
      <w:r w:rsidRPr="00A3151B">
        <w:rPr>
          <w:rFonts w:ascii="Times New Roman" w:hAnsi="Times New Roman" w:cs="Times New Roman"/>
          <w:sz w:val="20"/>
          <w:szCs w:val="20"/>
          <w:lang w:val="en-GB"/>
        </w:rPr>
        <w:t>Miola</w:t>
      </w:r>
      <w:proofErr w:type="spellEnd"/>
      <w:r w:rsidRPr="00A3151B">
        <w:rPr>
          <w:rFonts w:ascii="Times New Roman" w:hAnsi="Times New Roman" w:cs="Times New Roman"/>
          <w:sz w:val="20"/>
          <w:szCs w:val="20"/>
          <w:lang w:val="en-GB"/>
        </w:rPr>
        <w:t xml:space="preserve">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5; Cave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18; Lewis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33.</w:t>
      </w:r>
    </w:p>
  </w:footnote>
  <w:footnote w:id="37">
    <w:p w14:paraId="57F8CC3A" w14:textId="342BBA7F" w:rsidR="009C0E8C" w:rsidRPr="00A3151B" w:rsidRDefault="009C0E8C" w:rsidP="00FE2A50">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sz w:val="20"/>
          <w:szCs w:val="20"/>
          <w:lang w:val="en-GB"/>
        </w:rPr>
        <w:t>Section 4 of this paper, therefore, offers a normative approach, the employment of which could, in principle, satisfy the High Court’s aim to facilitate the autonomy of capacitous vulnerable adults.</w:t>
      </w:r>
    </w:p>
  </w:footnote>
  <w:footnote w:id="38">
    <w:p w14:paraId="2AAAC326" w14:textId="184EC8B7" w:rsidR="009C0E8C" w:rsidRPr="00A3151B" w:rsidRDefault="009C0E8C" w:rsidP="002F1329">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w:t>
      </w:r>
      <w:r w:rsidRPr="00A3151B">
        <w:rPr>
          <w:rFonts w:ascii="Times New Roman" w:hAnsi="Times New Roman" w:cs="Times New Roman"/>
          <w:i/>
          <w:sz w:val="20"/>
          <w:szCs w:val="20"/>
          <w:lang w:val="en-GB"/>
        </w:rPr>
        <w:t>E.g.</w:t>
      </w:r>
      <w:r w:rsidRPr="00A3151B">
        <w:rPr>
          <w:rFonts w:ascii="Times New Roman" w:hAnsi="Times New Roman" w:cs="Times New Roman"/>
          <w:sz w:val="20"/>
          <w:szCs w:val="20"/>
          <w:lang w:val="en-GB"/>
        </w:rPr>
        <w:t>, AE Cudd, ‘Analytic feminism’ in DM Borchert (ed), </w:t>
      </w:r>
      <w:r w:rsidRPr="00A3151B">
        <w:rPr>
          <w:rFonts w:ascii="Times New Roman" w:hAnsi="Times New Roman" w:cs="Times New Roman"/>
          <w:i/>
          <w:iCs/>
          <w:sz w:val="20"/>
          <w:szCs w:val="20"/>
          <w:lang w:val="en-GB"/>
        </w:rPr>
        <w:t xml:space="preserve">The </w:t>
      </w:r>
      <w:proofErr w:type="spellStart"/>
      <w:r w:rsidRPr="00A3151B">
        <w:rPr>
          <w:rFonts w:ascii="Times New Roman" w:hAnsi="Times New Roman" w:cs="Times New Roman"/>
          <w:i/>
          <w:iCs/>
          <w:sz w:val="20"/>
          <w:szCs w:val="20"/>
          <w:lang w:val="en-GB"/>
        </w:rPr>
        <w:t>encyclopedia</w:t>
      </w:r>
      <w:proofErr w:type="spellEnd"/>
      <w:r w:rsidRPr="00A3151B">
        <w:rPr>
          <w:rFonts w:ascii="Times New Roman" w:hAnsi="Times New Roman" w:cs="Times New Roman"/>
          <w:i/>
          <w:iCs/>
          <w:sz w:val="20"/>
          <w:szCs w:val="20"/>
          <w:lang w:val="en-GB"/>
        </w:rPr>
        <w:t xml:space="preserve"> of philosophy supplement</w:t>
      </w:r>
      <w:r w:rsidRPr="00A3151B">
        <w:rPr>
          <w:rFonts w:ascii="Times New Roman" w:hAnsi="Times New Roman" w:cs="Times New Roman"/>
          <w:sz w:val="20"/>
          <w:szCs w:val="20"/>
          <w:lang w:val="en-GB"/>
        </w:rPr>
        <w:t xml:space="preserve"> (New York: Macmillan, 1996), 20–21; M Fricker &amp; J Hornsby (eds), </w:t>
      </w:r>
      <w:r w:rsidRPr="00A3151B">
        <w:rPr>
          <w:rFonts w:ascii="Times New Roman" w:hAnsi="Times New Roman" w:cs="Times New Roman"/>
          <w:i/>
          <w:sz w:val="20"/>
          <w:szCs w:val="20"/>
          <w:lang w:val="en-GB"/>
        </w:rPr>
        <w:t>The Cambridge companion to feminism in philosophy</w:t>
      </w:r>
      <w:r w:rsidRPr="00A3151B">
        <w:rPr>
          <w:rFonts w:ascii="Times New Roman" w:hAnsi="Times New Roman" w:cs="Times New Roman"/>
          <w:sz w:val="20"/>
          <w:szCs w:val="20"/>
          <w:lang w:val="en-GB"/>
        </w:rPr>
        <w:t xml:space="preserve"> (Cambridge: Cambridge University Press, 2000); S </w:t>
      </w:r>
      <w:proofErr w:type="spellStart"/>
      <w:r w:rsidRPr="00A3151B">
        <w:rPr>
          <w:rFonts w:ascii="Times New Roman" w:hAnsi="Times New Roman" w:cs="Times New Roman"/>
          <w:sz w:val="20"/>
          <w:szCs w:val="20"/>
          <w:lang w:val="en-GB"/>
        </w:rPr>
        <w:t>Crasnow</w:t>
      </w:r>
      <w:proofErr w:type="spellEnd"/>
      <w:r w:rsidRPr="00A3151B">
        <w:rPr>
          <w:rFonts w:ascii="Times New Roman" w:hAnsi="Times New Roman" w:cs="Times New Roman"/>
          <w:sz w:val="20"/>
          <w:szCs w:val="20"/>
          <w:lang w:val="en-GB"/>
        </w:rPr>
        <w:t xml:space="preserve"> &amp; A </w:t>
      </w:r>
      <w:proofErr w:type="spellStart"/>
      <w:r w:rsidRPr="00A3151B">
        <w:rPr>
          <w:rFonts w:ascii="Times New Roman" w:hAnsi="Times New Roman" w:cs="Times New Roman"/>
          <w:sz w:val="20"/>
          <w:szCs w:val="20"/>
          <w:lang w:val="en-GB"/>
        </w:rPr>
        <w:t>Superson</w:t>
      </w:r>
      <w:proofErr w:type="spellEnd"/>
      <w:r w:rsidRPr="00A3151B">
        <w:rPr>
          <w:rFonts w:ascii="Times New Roman" w:hAnsi="Times New Roman" w:cs="Times New Roman"/>
          <w:sz w:val="20"/>
          <w:szCs w:val="20"/>
          <w:lang w:val="en-GB"/>
        </w:rPr>
        <w:t xml:space="preserve"> (eds), </w:t>
      </w:r>
      <w:r w:rsidRPr="00A3151B">
        <w:rPr>
          <w:rFonts w:ascii="Times New Roman" w:hAnsi="Times New Roman" w:cs="Times New Roman"/>
          <w:i/>
          <w:sz w:val="20"/>
          <w:szCs w:val="20"/>
          <w:lang w:val="en-GB"/>
        </w:rPr>
        <w:t>Out from the shadows: Analytical feminist contributions to traditional philosophy</w:t>
      </w:r>
      <w:r w:rsidRPr="00A3151B">
        <w:rPr>
          <w:rFonts w:ascii="Times New Roman" w:hAnsi="Times New Roman" w:cs="Times New Roman"/>
          <w:sz w:val="20"/>
          <w:szCs w:val="20"/>
          <w:lang w:val="en-GB"/>
        </w:rPr>
        <w:t xml:space="preserve"> (Oxford: Oxford University Press, 2012); P </w:t>
      </w:r>
      <w:proofErr w:type="spellStart"/>
      <w:r w:rsidRPr="00A3151B">
        <w:rPr>
          <w:rFonts w:ascii="Times New Roman" w:hAnsi="Times New Roman" w:cs="Times New Roman"/>
          <w:sz w:val="20"/>
          <w:szCs w:val="20"/>
          <w:lang w:val="en-GB"/>
        </w:rPr>
        <w:t>Garavaso</w:t>
      </w:r>
      <w:proofErr w:type="spellEnd"/>
      <w:r w:rsidRPr="00A3151B">
        <w:rPr>
          <w:rFonts w:ascii="Times New Roman" w:hAnsi="Times New Roman" w:cs="Times New Roman"/>
          <w:sz w:val="20"/>
          <w:szCs w:val="20"/>
          <w:lang w:val="en-GB"/>
        </w:rPr>
        <w:t xml:space="preserve"> (ed), </w:t>
      </w:r>
      <w:r w:rsidRPr="00A3151B">
        <w:rPr>
          <w:rFonts w:ascii="Times New Roman" w:hAnsi="Times New Roman" w:cs="Times New Roman"/>
          <w:i/>
          <w:sz w:val="20"/>
          <w:szCs w:val="20"/>
          <w:lang w:val="en-GB"/>
        </w:rPr>
        <w:t>The Bloomsbury companion to analytic feminism</w:t>
      </w:r>
      <w:r w:rsidRPr="00A3151B">
        <w:rPr>
          <w:rFonts w:ascii="Times New Roman" w:hAnsi="Times New Roman" w:cs="Times New Roman"/>
          <w:sz w:val="20"/>
          <w:szCs w:val="20"/>
          <w:lang w:val="en-GB"/>
        </w:rPr>
        <w:t xml:space="preserve"> (London and New York: Bloomsbury, 2018); A Garry, ‘Analytic feminism’ in EN </w:t>
      </w:r>
      <w:proofErr w:type="spellStart"/>
      <w:r w:rsidRPr="00A3151B">
        <w:rPr>
          <w:rFonts w:ascii="Times New Roman" w:hAnsi="Times New Roman" w:cs="Times New Roman"/>
          <w:sz w:val="20"/>
          <w:szCs w:val="20"/>
          <w:lang w:val="en-GB"/>
        </w:rPr>
        <w:t>Zalta</w:t>
      </w:r>
      <w:proofErr w:type="spellEnd"/>
      <w:r w:rsidRPr="00A3151B">
        <w:rPr>
          <w:rFonts w:ascii="Times New Roman" w:hAnsi="Times New Roman" w:cs="Times New Roman"/>
          <w:sz w:val="20"/>
          <w:szCs w:val="20"/>
          <w:lang w:val="en-GB"/>
        </w:rPr>
        <w:t xml:space="preserve"> (ed), </w:t>
      </w:r>
      <w:r w:rsidRPr="00A3151B">
        <w:rPr>
          <w:rFonts w:ascii="Times New Roman" w:hAnsi="Times New Roman" w:cs="Times New Roman"/>
          <w:i/>
          <w:sz w:val="20"/>
          <w:szCs w:val="20"/>
          <w:lang w:val="en-GB"/>
        </w:rPr>
        <w:t xml:space="preserve">The Stanford </w:t>
      </w:r>
      <w:proofErr w:type="spellStart"/>
      <w:r w:rsidRPr="00A3151B">
        <w:rPr>
          <w:rFonts w:ascii="Times New Roman" w:hAnsi="Times New Roman" w:cs="Times New Roman"/>
          <w:i/>
          <w:sz w:val="20"/>
          <w:szCs w:val="20"/>
          <w:lang w:val="en-GB"/>
        </w:rPr>
        <w:t>encyclopedia</w:t>
      </w:r>
      <w:proofErr w:type="spellEnd"/>
      <w:r w:rsidRPr="00A3151B">
        <w:rPr>
          <w:rFonts w:ascii="Times New Roman" w:hAnsi="Times New Roman" w:cs="Times New Roman"/>
          <w:i/>
          <w:sz w:val="20"/>
          <w:szCs w:val="20"/>
          <w:lang w:val="en-GB"/>
        </w:rPr>
        <w:t xml:space="preserve"> of philosophy </w:t>
      </w:r>
      <w:r w:rsidRPr="00A3151B">
        <w:rPr>
          <w:rFonts w:ascii="Times New Roman" w:hAnsi="Times New Roman" w:cs="Times New Roman"/>
          <w:sz w:val="20"/>
          <w:szCs w:val="20"/>
          <w:lang w:val="en-GB"/>
        </w:rPr>
        <w:t>(2018).  Retrieved from https://plato.stanford.edu/archives/fall2018/entries/femapproach-analytic/.</w:t>
      </w:r>
    </w:p>
  </w:footnote>
  <w:footnote w:id="39">
    <w:p w14:paraId="1EDE9783" w14:textId="06ECA494" w:rsidR="009C0E8C" w:rsidRPr="00A3151B" w:rsidRDefault="009C0E8C" w:rsidP="002F1329">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Garry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3</w:t>
      </w:r>
      <w:r w:rsidR="006F6984" w:rsidRPr="00A3151B">
        <w:rPr>
          <w:rFonts w:ascii="Times New Roman" w:hAnsi="Times New Roman" w:cs="Times New Roman"/>
          <w:sz w:val="20"/>
          <w:szCs w:val="20"/>
          <w:lang w:val="en-GB"/>
        </w:rPr>
        <w:t>8</w:t>
      </w:r>
      <w:r w:rsidRPr="00A3151B">
        <w:rPr>
          <w:rFonts w:ascii="Times New Roman" w:hAnsi="Times New Roman" w:cs="Times New Roman"/>
          <w:sz w:val="20"/>
          <w:szCs w:val="20"/>
          <w:lang w:val="en-GB"/>
        </w:rPr>
        <w:t>.</w:t>
      </w:r>
    </w:p>
  </w:footnote>
  <w:footnote w:id="40">
    <w:p w14:paraId="0E325612" w14:textId="1A85C37D" w:rsidR="009C0E8C" w:rsidRPr="00A3151B" w:rsidRDefault="009C0E8C" w:rsidP="002F1329">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AE Cudd, ‘Analytic feminism’ in E Craig (ed), </w:t>
      </w:r>
      <w:proofErr w:type="spellStart"/>
      <w:r w:rsidRPr="00A3151B">
        <w:rPr>
          <w:rFonts w:ascii="Times New Roman" w:hAnsi="Times New Roman" w:cs="Times New Roman"/>
          <w:i/>
          <w:iCs/>
          <w:sz w:val="20"/>
          <w:szCs w:val="20"/>
          <w:lang w:val="en-GB"/>
        </w:rPr>
        <w:t>Encyclopedia</w:t>
      </w:r>
      <w:proofErr w:type="spellEnd"/>
      <w:r w:rsidRPr="00A3151B">
        <w:rPr>
          <w:rFonts w:ascii="Times New Roman" w:hAnsi="Times New Roman" w:cs="Times New Roman"/>
          <w:i/>
          <w:iCs/>
          <w:sz w:val="20"/>
          <w:szCs w:val="20"/>
          <w:lang w:val="en-GB"/>
        </w:rPr>
        <w:t xml:space="preserve"> of philosophy</w:t>
      </w:r>
      <w:r w:rsidRPr="00A3151B">
        <w:rPr>
          <w:rFonts w:ascii="Times New Roman" w:hAnsi="Times New Roman" w:cs="Times New Roman"/>
          <w:sz w:val="20"/>
          <w:szCs w:val="20"/>
          <w:lang w:val="en-GB"/>
        </w:rPr>
        <w:t xml:space="preserve"> (New York: Routledge, 2005), 157–59.</w:t>
      </w:r>
    </w:p>
  </w:footnote>
  <w:footnote w:id="41">
    <w:p w14:paraId="0D134BF3" w14:textId="25E8D31C" w:rsidR="009C0E8C" w:rsidRPr="00A3151B" w:rsidRDefault="009C0E8C" w:rsidP="002F1329">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Garry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3</w:t>
      </w:r>
      <w:r w:rsidR="006F6984" w:rsidRPr="00A3151B">
        <w:rPr>
          <w:rFonts w:ascii="Times New Roman" w:hAnsi="Times New Roman" w:cs="Times New Roman"/>
          <w:sz w:val="20"/>
          <w:szCs w:val="20"/>
          <w:lang w:val="en-GB"/>
        </w:rPr>
        <w:t>8</w:t>
      </w:r>
      <w:r w:rsidRPr="00A3151B">
        <w:rPr>
          <w:rFonts w:ascii="Times New Roman" w:hAnsi="Times New Roman" w:cs="Times New Roman"/>
          <w:sz w:val="20"/>
          <w:szCs w:val="20"/>
          <w:lang w:val="en-GB"/>
        </w:rPr>
        <w:t>.</w:t>
      </w:r>
    </w:p>
  </w:footnote>
  <w:footnote w:id="42">
    <w:p w14:paraId="4FD34BCC" w14:textId="7C31FA39" w:rsidR="009C0E8C" w:rsidRPr="00A3151B" w:rsidRDefault="009C0E8C" w:rsidP="002F1329">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w:t>
      </w:r>
      <w:r w:rsidRPr="00A3151B">
        <w:rPr>
          <w:rFonts w:ascii="Times New Roman" w:hAnsi="Times New Roman" w:cs="Times New Roman"/>
          <w:iCs/>
          <w:sz w:val="20"/>
          <w:szCs w:val="20"/>
          <w:lang w:val="en-GB"/>
        </w:rPr>
        <w:t xml:space="preserve">P </w:t>
      </w:r>
      <w:proofErr w:type="spellStart"/>
      <w:r w:rsidRPr="00A3151B">
        <w:rPr>
          <w:rFonts w:ascii="Times New Roman" w:hAnsi="Times New Roman" w:cs="Times New Roman"/>
          <w:iCs/>
          <w:sz w:val="20"/>
          <w:szCs w:val="20"/>
          <w:lang w:val="en-GB"/>
        </w:rPr>
        <w:t>Garavaso</w:t>
      </w:r>
      <w:proofErr w:type="spellEnd"/>
      <w:r w:rsidRPr="00A3151B">
        <w:rPr>
          <w:rFonts w:ascii="Times New Roman" w:hAnsi="Times New Roman" w:cs="Times New Roman"/>
          <w:iCs/>
          <w:sz w:val="20"/>
          <w:szCs w:val="20"/>
          <w:lang w:val="en-GB"/>
        </w:rPr>
        <w:t>, ‘</w:t>
      </w:r>
      <w:r w:rsidRPr="00A3151B">
        <w:rPr>
          <w:rFonts w:ascii="Times New Roman" w:hAnsi="Times New Roman" w:cs="Times New Roman"/>
          <w:sz w:val="20"/>
          <w:szCs w:val="20"/>
          <w:lang w:val="en-GB"/>
        </w:rPr>
        <w:t xml:space="preserve">Introduction to feminist epistemology’ in P </w:t>
      </w:r>
      <w:proofErr w:type="spellStart"/>
      <w:r w:rsidRPr="00A3151B">
        <w:rPr>
          <w:rFonts w:ascii="Times New Roman" w:hAnsi="Times New Roman" w:cs="Times New Roman"/>
          <w:sz w:val="20"/>
          <w:szCs w:val="20"/>
          <w:lang w:val="en-GB"/>
        </w:rPr>
        <w:t>Garavaso</w:t>
      </w:r>
      <w:proofErr w:type="spellEnd"/>
      <w:r w:rsidRPr="00A3151B">
        <w:rPr>
          <w:rFonts w:ascii="Times New Roman" w:hAnsi="Times New Roman" w:cs="Times New Roman"/>
          <w:sz w:val="20"/>
          <w:szCs w:val="20"/>
          <w:lang w:val="en-GB"/>
        </w:rPr>
        <w:t xml:space="preserve"> (ed), </w:t>
      </w:r>
      <w:r w:rsidRPr="00A3151B">
        <w:rPr>
          <w:rFonts w:ascii="Times New Roman" w:hAnsi="Times New Roman" w:cs="Times New Roman"/>
          <w:i/>
          <w:sz w:val="20"/>
          <w:szCs w:val="20"/>
          <w:lang w:val="en-GB"/>
        </w:rPr>
        <w:t>The Bloomsbury companion to analytic feminism</w:t>
      </w:r>
      <w:r w:rsidRPr="00A3151B">
        <w:rPr>
          <w:rFonts w:ascii="Times New Roman" w:hAnsi="Times New Roman" w:cs="Times New Roman"/>
          <w:sz w:val="20"/>
          <w:szCs w:val="20"/>
          <w:lang w:val="en-GB"/>
        </w:rPr>
        <w:t xml:space="preserve"> (London and New York: Bloomsbury, 2018), 171-87; </w:t>
      </w:r>
      <w:r w:rsidRPr="00A3151B">
        <w:rPr>
          <w:rFonts w:ascii="Times New Roman" w:hAnsi="Times New Roman" w:cs="Times New Roman"/>
          <w:iCs/>
          <w:sz w:val="20"/>
          <w:szCs w:val="20"/>
          <w:lang w:val="en-GB"/>
        </w:rPr>
        <w:t xml:space="preserve">A Roth &amp; P </w:t>
      </w:r>
      <w:proofErr w:type="spellStart"/>
      <w:r w:rsidRPr="00A3151B">
        <w:rPr>
          <w:rFonts w:ascii="Times New Roman" w:hAnsi="Times New Roman" w:cs="Times New Roman"/>
          <w:iCs/>
          <w:sz w:val="20"/>
          <w:szCs w:val="20"/>
          <w:lang w:val="en-GB"/>
        </w:rPr>
        <w:t>Garavaso</w:t>
      </w:r>
      <w:proofErr w:type="spellEnd"/>
      <w:r w:rsidRPr="00A3151B">
        <w:rPr>
          <w:rFonts w:ascii="Times New Roman" w:hAnsi="Times New Roman" w:cs="Times New Roman"/>
          <w:iCs/>
          <w:sz w:val="20"/>
          <w:szCs w:val="20"/>
          <w:lang w:val="en-GB"/>
        </w:rPr>
        <w:t>, ‘</w:t>
      </w:r>
      <w:r w:rsidRPr="00A3151B">
        <w:rPr>
          <w:rFonts w:ascii="Times New Roman" w:hAnsi="Times New Roman" w:cs="Times New Roman"/>
          <w:sz w:val="20"/>
          <w:szCs w:val="20"/>
          <w:lang w:val="en-GB"/>
        </w:rPr>
        <w:t xml:space="preserve">Introduction to feminist value theory’ in P </w:t>
      </w:r>
      <w:proofErr w:type="spellStart"/>
      <w:r w:rsidRPr="00A3151B">
        <w:rPr>
          <w:rFonts w:ascii="Times New Roman" w:hAnsi="Times New Roman" w:cs="Times New Roman"/>
          <w:sz w:val="20"/>
          <w:szCs w:val="20"/>
          <w:lang w:val="en-GB"/>
        </w:rPr>
        <w:t>Garavaso</w:t>
      </w:r>
      <w:proofErr w:type="spellEnd"/>
      <w:r w:rsidRPr="00A3151B">
        <w:rPr>
          <w:rFonts w:ascii="Times New Roman" w:hAnsi="Times New Roman" w:cs="Times New Roman"/>
          <w:sz w:val="20"/>
          <w:szCs w:val="20"/>
          <w:lang w:val="en-GB"/>
        </w:rPr>
        <w:t xml:space="preserve"> (ed), </w:t>
      </w:r>
      <w:r w:rsidRPr="00A3151B">
        <w:rPr>
          <w:rFonts w:ascii="Times New Roman" w:hAnsi="Times New Roman" w:cs="Times New Roman"/>
          <w:i/>
          <w:sz w:val="20"/>
          <w:szCs w:val="20"/>
          <w:lang w:val="en-GB"/>
        </w:rPr>
        <w:t>The Bloomsbury companion to analytic feminism</w:t>
      </w:r>
      <w:r w:rsidRPr="00A3151B">
        <w:rPr>
          <w:rFonts w:ascii="Times New Roman" w:hAnsi="Times New Roman" w:cs="Times New Roman"/>
          <w:sz w:val="20"/>
          <w:szCs w:val="20"/>
          <w:lang w:val="en-GB"/>
        </w:rPr>
        <w:t xml:space="preserve"> (London and New York: Bloomsbury, 2018), 355-74. </w:t>
      </w:r>
    </w:p>
  </w:footnote>
  <w:footnote w:id="43">
    <w:p w14:paraId="426AD567" w14:textId="50855959" w:rsidR="009C0E8C" w:rsidRPr="00A3151B" w:rsidRDefault="009C0E8C" w:rsidP="002F1329">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W Rogers, ‘Vulnerability and bioethics</w:t>
      </w:r>
      <w:r w:rsidRPr="00A3151B">
        <w:rPr>
          <w:rFonts w:ascii="Times New Roman" w:hAnsi="Times New Roman" w:cs="Times New Roman"/>
          <w:bCs/>
          <w:sz w:val="20"/>
          <w:szCs w:val="20"/>
          <w:lang w:val="en-GB"/>
        </w:rPr>
        <w:t>’</w:t>
      </w:r>
      <w:r w:rsidRPr="00A3151B">
        <w:rPr>
          <w:rFonts w:ascii="Times New Roman" w:hAnsi="Times New Roman" w:cs="Times New Roman"/>
          <w:sz w:val="20"/>
          <w:szCs w:val="20"/>
          <w:lang w:val="en-GB"/>
        </w:rPr>
        <w:t xml:space="preserve"> in C Mackenzie, W Rogers &amp; S </w:t>
      </w:r>
      <w:proofErr w:type="spellStart"/>
      <w:r w:rsidRPr="00A3151B">
        <w:rPr>
          <w:rFonts w:ascii="Times New Roman" w:hAnsi="Times New Roman" w:cs="Times New Roman"/>
          <w:sz w:val="20"/>
          <w:szCs w:val="20"/>
          <w:lang w:val="en-GB"/>
        </w:rPr>
        <w:t>Dodds</w:t>
      </w:r>
      <w:proofErr w:type="spellEnd"/>
      <w:r w:rsidRPr="00A3151B">
        <w:rPr>
          <w:rFonts w:ascii="Times New Roman" w:hAnsi="Times New Roman" w:cs="Times New Roman"/>
          <w:sz w:val="20"/>
          <w:szCs w:val="20"/>
          <w:lang w:val="en-GB"/>
        </w:rPr>
        <w:t xml:space="preserve"> (eds), </w:t>
      </w:r>
      <w:r w:rsidRPr="00A3151B">
        <w:rPr>
          <w:rFonts w:ascii="Times New Roman" w:hAnsi="Times New Roman" w:cs="Times New Roman"/>
          <w:i/>
          <w:iCs/>
          <w:sz w:val="20"/>
          <w:szCs w:val="20"/>
          <w:lang w:val="en-GB"/>
        </w:rPr>
        <w:t>Vulnerability: New essays in ethics and feminist philosophy </w:t>
      </w:r>
      <w:r w:rsidRPr="00A3151B">
        <w:rPr>
          <w:rFonts w:ascii="Times New Roman" w:hAnsi="Times New Roman" w:cs="Times New Roman"/>
          <w:sz w:val="20"/>
          <w:szCs w:val="20"/>
          <w:lang w:val="en-GB"/>
        </w:rPr>
        <w:t>(Oxford: Oxford University Press, 2014), 60-87, 73.</w:t>
      </w:r>
    </w:p>
  </w:footnote>
  <w:footnote w:id="44">
    <w:p w14:paraId="122EE19E" w14:textId="4AD71960" w:rsidR="009C0E8C" w:rsidRPr="00A3151B" w:rsidRDefault="009C0E8C" w:rsidP="002F1329">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S </w:t>
      </w:r>
      <w:proofErr w:type="spellStart"/>
      <w:r w:rsidRPr="00A3151B">
        <w:rPr>
          <w:rFonts w:ascii="Times New Roman" w:hAnsi="Times New Roman" w:cs="Times New Roman"/>
          <w:sz w:val="20"/>
          <w:szCs w:val="20"/>
          <w:lang w:val="en-GB"/>
        </w:rPr>
        <w:t>Dodds</w:t>
      </w:r>
      <w:proofErr w:type="spellEnd"/>
      <w:r w:rsidRPr="00A3151B">
        <w:rPr>
          <w:rFonts w:ascii="Times New Roman" w:hAnsi="Times New Roman" w:cs="Times New Roman"/>
          <w:sz w:val="20"/>
          <w:szCs w:val="20"/>
          <w:lang w:val="en-GB"/>
        </w:rPr>
        <w:t xml:space="preserve">, ‘Dependence, care and vulnerability’ in C Mackenzie, W Rogers &amp; S </w:t>
      </w:r>
      <w:proofErr w:type="spellStart"/>
      <w:r w:rsidRPr="00A3151B">
        <w:rPr>
          <w:rFonts w:ascii="Times New Roman" w:hAnsi="Times New Roman" w:cs="Times New Roman"/>
          <w:sz w:val="20"/>
          <w:szCs w:val="20"/>
          <w:lang w:val="en-GB"/>
        </w:rPr>
        <w:t>Dodds</w:t>
      </w:r>
      <w:proofErr w:type="spellEnd"/>
      <w:r w:rsidRPr="00A3151B">
        <w:rPr>
          <w:rFonts w:ascii="Times New Roman" w:hAnsi="Times New Roman" w:cs="Times New Roman"/>
          <w:sz w:val="20"/>
          <w:szCs w:val="20"/>
          <w:lang w:val="en-GB"/>
        </w:rPr>
        <w:t xml:space="preserve"> (eds), </w:t>
      </w:r>
      <w:r w:rsidRPr="00A3151B">
        <w:rPr>
          <w:rFonts w:ascii="Times New Roman" w:hAnsi="Times New Roman" w:cs="Times New Roman"/>
          <w:i/>
          <w:iCs/>
          <w:sz w:val="20"/>
          <w:szCs w:val="20"/>
          <w:lang w:val="en-GB"/>
        </w:rPr>
        <w:t>Vulnerability: New essays in ethics and feminist philosophy </w:t>
      </w:r>
      <w:r w:rsidRPr="00A3151B">
        <w:rPr>
          <w:rFonts w:ascii="Times New Roman" w:hAnsi="Times New Roman" w:cs="Times New Roman"/>
          <w:sz w:val="20"/>
          <w:szCs w:val="20"/>
          <w:lang w:val="en-GB"/>
        </w:rPr>
        <w:t>(Oxford: Oxford University Press, 2014): 181-203, 198.</w:t>
      </w:r>
    </w:p>
  </w:footnote>
  <w:footnote w:id="45">
    <w:p w14:paraId="47FD9F93" w14:textId="357234FB" w:rsidR="009C0E8C" w:rsidRPr="00A3151B" w:rsidRDefault="009C0E8C" w:rsidP="002F1329">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w:t>
      </w:r>
      <w:r w:rsidRPr="00A3151B">
        <w:rPr>
          <w:rFonts w:ascii="Times New Roman" w:hAnsi="Times New Roman" w:cs="Times New Roman"/>
          <w:i/>
          <w:sz w:val="20"/>
          <w:szCs w:val="20"/>
          <w:lang w:val="en-GB"/>
        </w:rPr>
        <w:t>ibid.</w:t>
      </w:r>
    </w:p>
  </w:footnote>
  <w:footnote w:id="46">
    <w:p w14:paraId="2298EFCF" w14:textId="0C66DE90" w:rsidR="009C0E8C" w:rsidRPr="00A3151B" w:rsidRDefault="009C0E8C" w:rsidP="002F1329">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i/>
          <w:sz w:val="20"/>
          <w:szCs w:val="20"/>
          <w:lang w:val="en-GB"/>
        </w:rPr>
        <w:t>Re SA (Vulnerable Adult with Capacity: Marriage)</w:t>
      </w:r>
      <w:r w:rsidRPr="00A3151B">
        <w:rPr>
          <w:rFonts w:ascii="Times New Roman" w:hAnsi="Times New Roman" w:cs="Times New Roman"/>
          <w:sz w:val="20"/>
          <w:szCs w:val="20"/>
          <w:lang w:val="en-GB"/>
        </w:rPr>
        <w:t xml:space="preserve"> [2005] EWHC 2942 (Fam), [2006] 1 FLR 867 at [79] and [82] per Munby J.</w:t>
      </w:r>
    </w:p>
  </w:footnote>
  <w:footnote w:id="47">
    <w:p w14:paraId="5AFDCEB6" w14:textId="0AC84078" w:rsidR="009C0E8C" w:rsidRPr="00A3151B" w:rsidRDefault="009C0E8C" w:rsidP="002F1329">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C Mackenzie, ‘Th</w:t>
      </w:r>
      <w:r w:rsidRPr="00A3151B">
        <w:rPr>
          <w:rFonts w:ascii="Times New Roman" w:hAnsi="Times New Roman" w:cs="Times New Roman"/>
          <w:bCs/>
          <w:sz w:val="20"/>
          <w:szCs w:val="20"/>
          <w:lang w:val="en-GB"/>
        </w:rPr>
        <w:t>e importance of relational autonomy and capabilities for an ethics of vulnerability’</w:t>
      </w:r>
      <w:r w:rsidRPr="00A3151B">
        <w:rPr>
          <w:rFonts w:ascii="Times New Roman" w:hAnsi="Times New Roman" w:cs="Times New Roman"/>
          <w:sz w:val="20"/>
          <w:szCs w:val="20"/>
          <w:lang w:val="en-GB"/>
        </w:rPr>
        <w:t xml:space="preserve"> in C Mackenzie, W Rogers &amp; S </w:t>
      </w:r>
      <w:proofErr w:type="spellStart"/>
      <w:r w:rsidRPr="00A3151B">
        <w:rPr>
          <w:rFonts w:ascii="Times New Roman" w:hAnsi="Times New Roman" w:cs="Times New Roman"/>
          <w:sz w:val="20"/>
          <w:szCs w:val="20"/>
          <w:lang w:val="en-GB"/>
        </w:rPr>
        <w:t>Dodds</w:t>
      </w:r>
      <w:proofErr w:type="spellEnd"/>
      <w:r w:rsidRPr="00A3151B">
        <w:rPr>
          <w:rFonts w:ascii="Times New Roman" w:hAnsi="Times New Roman" w:cs="Times New Roman"/>
          <w:sz w:val="20"/>
          <w:szCs w:val="20"/>
          <w:lang w:val="en-GB"/>
        </w:rPr>
        <w:t xml:space="preserve"> (eds) </w:t>
      </w:r>
      <w:r w:rsidRPr="00A3151B">
        <w:rPr>
          <w:rFonts w:ascii="Times New Roman" w:hAnsi="Times New Roman" w:cs="Times New Roman"/>
          <w:i/>
          <w:iCs/>
          <w:sz w:val="20"/>
          <w:szCs w:val="20"/>
          <w:lang w:val="en-GB"/>
        </w:rPr>
        <w:t>Vulnerability: New essays in ethics and feminist philosophy </w:t>
      </w:r>
      <w:r w:rsidRPr="00A3151B">
        <w:rPr>
          <w:rFonts w:ascii="Times New Roman" w:hAnsi="Times New Roman" w:cs="Times New Roman"/>
          <w:sz w:val="20"/>
          <w:szCs w:val="20"/>
          <w:lang w:val="en-GB"/>
        </w:rPr>
        <w:t xml:space="preserve">(Oxford: Oxford University Press, 2014): 33-59, 39. </w:t>
      </w:r>
    </w:p>
  </w:footnote>
  <w:footnote w:id="48">
    <w:p w14:paraId="75874064" w14:textId="0A5C65A1" w:rsidR="009C0E8C" w:rsidRPr="00A3151B" w:rsidRDefault="009C0E8C" w:rsidP="002F1329">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Rogers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4</w:t>
      </w:r>
      <w:r w:rsidR="006F6984" w:rsidRPr="00A3151B">
        <w:rPr>
          <w:rFonts w:ascii="Times New Roman" w:hAnsi="Times New Roman" w:cs="Times New Roman"/>
          <w:sz w:val="20"/>
          <w:szCs w:val="20"/>
          <w:lang w:val="en-GB"/>
        </w:rPr>
        <w:t>3</w:t>
      </w:r>
      <w:r w:rsidRPr="00A3151B">
        <w:rPr>
          <w:rFonts w:ascii="Times New Roman" w:hAnsi="Times New Roman" w:cs="Times New Roman"/>
          <w:sz w:val="20"/>
          <w:szCs w:val="20"/>
          <w:lang w:val="en-GB"/>
        </w:rPr>
        <w:t xml:space="preserve">, 73. </w:t>
      </w:r>
    </w:p>
  </w:footnote>
  <w:footnote w:id="49">
    <w:p w14:paraId="680607AD" w14:textId="25BE29D9" w:rsidR="009C0E8C" w:rsidRPr="00A3151B" w:rsidRDefault="009C0E8C" w:rsidP="002F1329">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S </w:t>
      </w:r>
      <w:proofErr w:type="spellStart"/>
      <w:r w:rsidRPr="00A3151B">
        <w:rPr>
          <w:rFonts w:ascii="Times New Roman" w:hAnsi="Times New Roman" w:cs="Times New Roman"/>
          <w:sz w:val="20"/>
          <w:szCs w:val="20"/>
          <w:lang w:val="en-GB"/>
        </w:rPr>
        <w:t>Dodds</w:t>
      </w:r>
      <w:proofErr w:type="spellEnd"/>
      <w:r w:rsidRPr="00A3151B">
        <w:rPr>
          <w:rFonts w:ascii="Times New Roman" w:hAnsi="Times New Roman" w:cs="Times New Roman"/>
          <w:sz w:val="20"/>
          <w:szCs w:val="20"/>
          <w:lang w:val="en-GB"/>
        </w:rPr>
        <w:t xml:space="preserve">, ‘Inclusion and exclusion in women’s access to health and medicine’, (2008) </w:t>
      </w:r>
      <w:r w:rsidRPr="00A3151B">
        <w:rPr>
          <w:rFonts w:ascii="Times New Roman" w:hAnsi="Times New Roman" w:cs="Times New Roman"/>
          <w:i/>
          <w:iCs/>
          <w:sz w:val="20"/>
          <w:szCs w:val="20"/>
          <w:lang w:val="en-GB"/>
        </w:rPr>
        <w:t xml:space="preserve">International Journal of Feminist Approaches to Bioethics </w:t>
      </w:r>
      <w:r w:rsidRPr="00A3151B">
        <w:rPr>
          <w:rFonts w:ascii="Times New Roman" w:hAnsi="Times New Roman" w:cs="Times New Roman"/>
          <w:sz w:val="20"/>
          <w:szCs w:val="20"/>
          <w:lang w:val="en-GB"/>
        </w:rPr>
        <w:t xml:space="preserve">1(2), 58-79; F Luna, ‘Elucidating the concept of vulnerability: Layers </w:t>
      </w:r>
      <w:proofErr w:type="gramStart"/>
      <w:r w:rsidRPr="00A3151B">
        <w:rPr>
          <w:rFonts w:ascii="Times New Roman" w:hAnsi="Times New Roman" w:cs="Times New Roman"/>
          <w:sz w:val="20"/>
          <w:szCs w:val="20"/>
          <w:lang w:val="en-GB"/>
        </w:rPr>
        <w:t>not labels</w:t>
      </w:r>
      <w:proofErr w:type="gramEnd"/>
      <w:r w:rsidRPr="00A3151B">
        <w:rPr>
          <w:rFonts w:ascii="Times New Roman" w:hAnsi="Times New Roman" w:cs="Times New Roman"/>
          <w:sz w:val="20"/>
          <w:szCs w:val="20"/>
          <w:lang w:val="en-GB"/>
        </w:rPr>
        <w:t xml:space="preserve">’, (2009) </w:t>
      </w:r>
      <w:r w:rsidRPr="00A3151B">
        <w:rPr>
          <w:rFonts w:ascii="Times New Roman" w:hAnsi="Times New Roman" w:cs="Times New Roman"/>
          <w:i/>
          <w:iCs/>
          <w:sz w:val="20"/>
          <w:szCs w:val="20"/>
          <w:lang w:val="en-GB"/>
        </w:rPr>
        <w:t>International Journal of Feminist Approaches to Bioethics</w:t>
      </w:r>
      <w:r w:rsidRPr="00A3151B">
        <w:rPr>
          <w:rFonts w:ascii="Times New Roman" w:hAnsi="Times New Roman" w:cs="Times New Roman"/>
          <w:sz w:val="20"/>
          <w:szCs w:val="20"/>
          <w:lang w:val="en-GB"/>
        </w:rPr>
        <w:t xml:space="preserve"> 2(1), 121–39; W Rogers, C Mackenzie &amp; S </w:t>
      </w:r>
      <w:proofErr w:type="spellStart"/>
      <w:r w:rsidRPr="00A3151B">
        <w:rPr>
          <w:rFonts w:ascii="Times New Roman" w:hAnsi="Times New Roman" w:cs="Times New Roman"/>
          <w:sz w:val="20"/>
          <w:szCs w:val="20"/>
          <w:lang w:val="en-GB"/>
        </w:rPr>
        <w:t>Dodds</w:t>
      </w:r>
      <w:proofErr w:type="spellEnd"/>
      <w:r w:rsidRPr="00A3151B">
        <w:rPr>
          <w:rFonts w:ascii="Times New Roman" w:hAnsi="Times New Roman" w:cs="Times New Roman"/>
          <w:sz w:val="20"/>
          <w:szCs w:val="20"/>
          <w:lang w:val="en-GB"/>
        </w:rPr>
        <w:t xml:space="preserve">, ‘Why bioethics needs a concept of vulnerability’, (2012) </w:t>
      </w:r>
      <w:r w:rsidRPr="00A3151B">
        <w:rPr>
          <w:rFonts w:ascii="Times New Roman" w:hAnsi="Times New Roman" w:cs="Times New Roman"/>
          <w:i/>
          <w:iCs/>
          <w:sz w:val="20"/>
          <w:szCs w:val="20"/>
          <w:lang w:val="en-GB"/>
        </w:rPr>
        <w:t>International Journal of Feminist Approaches to Bioethics</w:t>
      </w:r>
      <w:r w:rsidRPr="00A3151B">
        <w:rPr>
          <w:rFonts w:ascii="Times New Roman" w:hAnsi="Times New Roman" w:cs="Times New Roman"/>
          <w:sz w:val="20"/>
          <w:szCs w:val="20"/>
          <w:lang w:val="en-GB"/>
        </w:rPr>
        <w:t xml:space="preserve"> 5(2), 11–38; </w:t>
      </w:r>
      <w:proofErr w:type="spellStart"/>
      <w:r w:rsidRPr="00A3151B">
        <w:rPr>
          <w:rFonts w:ascii="Times New Roman" w:hAnsi="Times New Roman" w:cs="Times New Roman"/>
          <w:sz w:val="20"/>
          <w:szCs w:val="20"/>
          <w:lang w:val="en-GB"/>
        </w:rPr>
        <w:t>Dodds</w:t>
      </w:r>
      <w:proofErr w:type="spellEnd"/>
      <w:r w:rsidRPr="00A3151B">
        <w:rPr>
          <w:rFonts w:ascii="Times New Roman" w:hAnsi="Times New Roman" w:cs="Times New Roman"/>
          <w:sz w:val="20"/>
          <w:szCs w:val="20"/>
          <w:lang w:val="en-GB"/>
        </w:rPr>
        <w:t xml:space="preserve">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4</w:t>
      </w:r>
      <w:r w:rsidR="006F6984" w:rsidRPr="00A3151B">
        <w:rPr>
          <w:rFonts w:ascii="Times New Roman" w:hAnsi="Times New Roman" w:cs="Times New Roman"/>
          <w:sz w:val="20"/>
          <w:szCs w:val="20"/>
          <w:lang w:val="en-GB"/>
        </w:rPr>
        <w:t>4</w:t>
      </w:r>
      <w:r w:rsidRPr="00A3151B">
        <w:rPr>
          <w:rFonts w:ascii="Times New Roman" w:hAnsi="Times New Roman" w:cs="Times New Roman"/>
          <w:sz w:val="20"/>
          <w:szCs w:val="20"/>
          <w:lang w:val="en-GB"/>
        </w:rPr>
        <w:t>.</w:t>
      </w:r>
    </w:p>
  </w:footnote>
  <w:footnote w:id="50">
    <w:p w14:paraId="298BB1A1" w14:textId="628D36D8" w:rsidR="009C0E8C" w:rsidRPr="00A3151B" w:rsidRDefault="009C0E8C" w:rsidP="002F1329">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Mackenzie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4</w:t>
      </w:r>
      <w:r w:rsidR="006F6984" w:rsidRPr="00A3151B">
        <w:rPr>
          <w:rFonts w:ascii="Times New Roman" w:hAnsi="Times New Roman" w:cs="Times New Roman"/>
          <w:sz w:val="20"/>
          <w:szCs w:val="20"/>
          <w:lang w:val="en-GB"/>
        </w:rPr>
        <w:t>7</w:t>
      </w:r>
      <w:r w:rsidRPr="00A3151B">
        <w:rPr>
          <w:rFonts w:ascii="Times New Roman" w:hAnsi="Times New Roman" w:cs="Times New Roman"/>
          <w:sz w:val="20"/>
          <w:szCs w:val="20"/>
          <w:lang w:val="en-GB"/>
        </w:rPr>
        <w:t xml:space="preserve">; </w:t>
      </w:r>
      <w:proofErr w:type="spellStart"/>
      <w:r w:rsidRPr="00A3151B">
        <w:rPr>
          <w:rFonts w:ascii="Times New Roman" w:hAnsi="Times New Roman" w:cs="Times New Roman"/>
          <w:sz w:val="20"/>
          <w:szCs w:val="20"/>
          <w:lang w:val="en-GB"/>
        </w:rPr>
        <w:t>Dodds</w:t>
      </w:r>
      <w:proofErr w:type="spellEnd"/>
      <w:r w:rsidRPr="00A3151B">
        <w:rPr>
          <w:rFonts w:ascii="Times New Roman" w:hAnsi="Times New Roman" w:cs="Times New Roman"/>
          <w:sz w:val="20"/>
          <w:szCs w:val="20"/>
          <w:lang w:val="en-GB"/>
        </w:rPr>
        <w:t xml:space="preserve"> </w:t>
      </w:r>
      <w:r w:rsidRPr="00A3151B">
        <w:rPr>
          <w:rFonts w:ascii="Times New Roman" w:hAnsi="Times New Roman" w:cs="Times New Roman"/>
          <w:i/>
          <w:sz w:val="20"/>
          <w:szCs w:val="20"/>
          <w:lang w:val="en-GB"/>
        </w:rPr>
        <w:t xml:space="preserve">op. cit. </w:t>
      </w:r>
      <w:r w:rsidRPr="00A3151B">
        <w:rPr>
          <w:rFonts w:ascii="Times New Roman" w:hAnsi="Times New Roman" w:cs="Times New Roman"/>
          <w:sz w:val="20"/>
          <w:szCs w:val="20"/>
          <w:lang w:val="en-GB"/>
        </w:rPr>
        <w:t>note 4</w:t>
      </w:r>
      <w:r w:rsidR="006F6984" w:rsidRPr="00A3151B">
        <w:rPr>
          <w:rFonts w:ascii="Times New Roman" w:hAnsi="Times New Roman" w:cs="Times New Roman"/>
          <w:sz w:val="20"/>
          <w:szCs w:val="20"/>
          <w:lang w:val="en-GB"/>
        </w:rPr>
        <w:t>4</w:t>
      </w:r>
      <w:r w:rsidRPr="00A3151B">
        <w:rPr>
          <w:rFonts w:ascii="Times New Roman" w:hAnsi="Times New Roman" w:cs="Times New Roman"/>
          <w:sz w:val="20"/>
          <w:szCs w:val="20"/>
          <w:lang w:val="en-GB"/>
        </w:rPr>
        <w:t>.</w:t>
      </w:r>
    </w:p>
  </w:footnote>
  <w:footnote w:id="51">
    <w:p w14:paraId="41DCACA1" w14:textId="29887411" w:rsidR="009C0E8C" w:rsidRPr="00A3151B" w:rsidRDefault="009C0E8C" w:rsidP="00B26871">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C Mackenzie, W Rogers &amp; S </w:t>
      </w:r>
      <w:proofErr w:type="spellStart"/>
      <w:r w:rsidRPr="00A3151B">
        <w:rPr>
          <w:rFonts w:ascii="Times New Roman" w:hAnsi="Times New Roman" w:cs="Times New Roman"/>
          <w:sz w:val="20"/>
          <w:szCs w:val="20"/>
          <w:lang w:val="en-GB"/>
        </w:rPr>
        <w:t>Dodds</w:t>
      </w:r>
      <w:proofErr w:type="spellEnd"/>
      <w:r w:rsidRPr="00A3151B">
        <w:rPr>
          <w:rFonts w:ascii="Times New Roman" w:hAnsi="Times New Roman" w:cs="Times New Roman"/>
          <w:sz w:val="20"/>
          <w:szCs w:val="20"/>
          <w:lang w:val="en-GB"/>
        </w:rPr>
        <w:t xml:space="preserve">, ‘What is vulnerability and why does it matter for moral theory?’ in C Mackenzie, W Rogers &amp; S </w:t>
      </w:r>
      <w:proofErr w:type="spellStart"/>
      <w:r w:rsidRPr="00A3151B">
        <w:rPr>
          <w:rFonts w:ascii="Times New Roman" w:hAnsi="Times New Roman" w:cs="Times New Roman"/>
          <w:sz w:val="20"/>
          <w:szCs w:val="20"/>
          <w:lang w:val="en-GB"/>
        </w:rPr>
        <w:t>Dodds</w:t>
      </w:r>
      <w:proofErr w:type="spellEnd"/>
      <w:r w:rsidRPr="00A3151B">
        <w:rPr>
          <w:rFonts w:ascii="Times New Roman" w:hAnsi="Times New Roman" w:cs="Times New Roman"/>
          <w:sz w:val="20"/>
          <w:szCs w:val="20"/>
          <w:lang w:val="en-GB"/>
        </w:rPr>
        <w:t xml:space="preserve"> (eds), </w:t>
      </w:r>
      <w:r w:rsidRPr="00A3151B">
        <w:rPr>
          <w:rFonts w:ascii="Times New Roman" w:hAnsi="Times New Roman" w:cs="Times New Roman"/>
          <w:i/>
          <w:iCs/>
          <w:sz w:val="20"/>
          <w:szCs w:val="20"/>
          <w:lang w:val="en-GB"/>
        </w:rPr>
        <w:t>Vulnerability: New essays in ethics and feminist philosophy </w:t>
      </w:r>
      <w:r w:rsidRPr="00A3151B">
        <w:rPr>
          <w:rFonts w:ascii="Times New Roman" w:hAnsi="Times New Roman" w:cs="Times New Roman"/>
          <w:sz w:val="20"/>
          <w:szCs w:val="20"/>
          <w:lang w:val="en-GB"/>
        </w:rPr>
        <w:t xml:space="preserve">(Oxford: Oxford University Press, 2014), 1-29, 16. </w:t>
      </w:r>
    </w:p>
  </w:footnote>
  <w:footnote w:id="52">
    <w:p w14:paraId="4EE96FB3" w14:textId="5329B39B" w:rsidR="009C0E8C" w:rsidRPr="00A3151B" w:rsidRDefault="009C0E8C" w:rsidP="00E662EB">
      <w:pPr>
        <w:pStyle w:val="FootnoteText"/>
        <w:jc w:val="both"/>
        <w:rPr>
          <w:rFonts w:ascii="Times New Roman" w:hAnsi="Times New Roman" w:cs="Times New Roman"/>
          <w:sz w:val="20"/>
          <w:szCs w:val="20"/>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sz w:val="20"/>
          <w:szCs w:val="20"/>
          <w:lang w:val="en-GB"/>
        </w:rPr>
        <w:t xml:space="preserve">For a detailed discussion of how the inherent jurisdiction is set up to yield ‘draconian decisions’ that harm vulnerable adults, see </w:t>
      </w:r>
      <w:r w:rsidRPr="00A3151B">
        <w:rPr>
          <w:rFonts w:ascii="Times New Roman" w:hAnsi="Times New Roman" w:cs="Times New Roman"/>
          <w:sz w:val="20"/>
          <w:szCs w:val="20"/>
        </w:rPr>
        <w:t>A Pugh, ‘Emergencies and equivocality under the inherent jurisdiction: </w:t>
      </w:r>
      <w:r w:rsidRPr="00A3151B">
        <w:rPr>
          <w:rFonts w:ascii="Times New Roman" w:hAnsi="Times New Roman" w:cs="Times New Roman"/>
          <w:i/>
          <w:iCs/>
          <w:sz w:val="20"/>
          <w:szCs w:val="20"/>
        </w:rPr>
        <w:t>A Local Authority v BF</w:t>
      </w:r>
      <w:r w:rsidRPr="00A3151B">
        <w:rPr>
          <w:rFonts w:ascii="Times New Roman" w:hAnsi="Times New Roman" w:cs="Times New Roman"/>
          <w:sz w:val="20"/>
          <w:szCs w:val="20"/>
        </w:rPr>
        <w:t> [2018] EWCA CIV 2962 and </w:t>
      </w:r>
      <w:r w:rsidRPr="00A3151B">
        <w:rPr>
          <w:rFonts w:ascii="Times New Roman" w:hAnsi="Times New Roman" w:cs="Times New Roman"/>
          <w:i/>
          <w:iCs/>
          <w:sz w:val="20"/>
          <w:szCs w:val="20"/>
        </w:rPr>
        <w:t>Southend-On-Sea Borough Council v Meyers</w:t>
      </w:r>
      <w:r w:rsidRPr="00A3151B">
        <w:rPr>
          <w:rFonts w:ascii="Times New Roman" w:hAnsi="Times New Roman" w:cs="Times New Roman"/>
          <w:sz w:val="20"/>
          <w:szCs w:val="20"/>
        </w:rPr>
        <w:t> [2019] EWHC 399 (FAM)’, (2019) </w:t>
      </w:r>
      <w:r w:rsidRPr="00A3151B">
        <w:rPr>
          <w:rFonts w:ascii="Times New Roman" w:hAnsi="Times New Roman" w:cs="Times New Roman"/>
          <w:i/>
          <w:iCs/>
          <w:sz w:val="20"/>
          <w:szCs w:val="20"/>
        </w:rPr>
        <w:t>Medical Law Review</w:t>
      </w:r>
      <w:r w:rsidRPr="00A3151B">
        <w:rPr>
          <w:rFonts w:ascii="Times New Roman" w:hAnsi="Times New Roman" w:cs="Times New Roman"/>
          <w:sz w:val="20"/>
          <w:szCs w:val="20"/>
        </w:rPr>
        <w:t xml:space="preserve"> 27(4), 675-86. Also see </w:t>
      </w:r>
      <w:r w:rsidRPr="00A3151B">
        <w:rPr>
          <w:rFonts w:ascii="Times New Roman" w:hAnsi="Times New Roman" w:cs="Times New Roman"/>
          <w:sz w:val="20"/>
          <w:szCs w:val="20"/>
          <w:lang w:val="en-GB"/>
        </w:rPr>
        <w:t xml:space="preserve">Cave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18, 541-6. </w:t>
      </w:r>
    </w:p>
  </w:footnote>
  <w:footnote w:id="53">
    <w:p w14:paraId="50278A15" w14:textId="0194FB2F" w:rsidR="009C0E8C" w:rsidRPr="00A3151B" w:rsidRDefault="009C0E8C" w:rsidP="00E662EB">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See also </w:t>
      </w:r>
      <w:r w:rsidRPr="00A3151B">
        <w:rPr>
          <w:rFonts w:ascii="Times New Roman" w:hAnsi="Times New Roman" w:cs="Times New Roman"/>
          <w:i/>
          <w:sz w:val="20"/>
          <w:szCs w:val="20"/>
          <w:lang w:val="en-GB"/>
        </w:rPr>
        <w:t>A Local Authority v Mrs A and Mr A</w:t>
      </w:r>
      <w:r w:rsidRPr="00A3151B">
        <w:rPr>
          <w:rFonts w:ascii="Times New Roman" w:hAnsi="Times New Roman" w:cs="Times New Roman"/>
          <w:sz w:val="20"/>
          <w:szCs w:val="20"/>
          <w:lang w:val="en-GB"/>
        </w:rPr>
        <w:t xml:space="preserve"> [2010] EWHC 1549 (Fam) (COP). For a more detailed discussion of this case, see footnote </w:t>
      </w:r>
      <w:r w:rsidR="006F6984" w:rsidRPr="00A3151B">
        <w:rPr>
          <w:rFonts w:ascii="Times New Roman" w:hAnsi="Times New Roman" w:cs="Times New Roman"/>
          <w:sz w:val="20"/>
          <w:szCs w:val="20"/>
          <w:lang w:val="en-GB"/>
        </w:rPr>
        <w:t>62</w:t>
      </w:r>
      <w:r w:rsidRPr="00A3151B">
        <w:rPr>
          <w:rFonts w:ascii="Times New Roman" w:hAnsi="Times New Roman" w:cs="Times New Roman"/>
          <w:sz w:val="20"/>
          <w:szCs w:val="20"/>
          <w:lang w:val="en-GB"/>
        </w:rPr>
        <w:t>.</w:t>
      </w:r>
    </w:p>
  </w:footnote>
  <w:footnote w:id="54">
    <w:p w14:paraId="786C5F47" w14:textId="77777777" w:rsidR="009C0E8C" w:rsidRPr="00A3151B" w:rsidRDefault="009C0E8C" w:rsidP="00E662EB">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w:t>
      </w:r>
      <w:r w:rsidRPr="00A3151B">
        <w:rPr>
          <w:rFonts w:ascii="Times New Roman" w:hAnsi="Times New Roman" w:cs="Times New Roman"/>
          <w:i/>
          <w:sz w:val="20"/>
          <w:szCs w:val="20"/>
          <w:lang w:val="en-GB"/>
        </w:rPr>
        <w:t>Mazhar v Lord Chancellor</w:t>
      </w:r>
      <w:r w:rsidRPr="00A3151B">
        <w:rPr>
          <w:rFonts w:ascii="Times New Roman" w:hAnsi="Times New Roman" w:cs="Times New Roman"/>
          <w:sz w:val="20"/>
          <w:szCs w:val="20"/>
          <w:lang w:val="en-GB"/>
        </w:rPr>
        <w:t xml:space="preserve"> [2017] EWHC 2536 (Fam), [2018] Fam 257.</w:t>
      </w:r>
    </w:p>
  </w:footnote>
  <w:footnote w:id="55">
    <w:p w14:paraId="14664662" w14:textId="0C8D66E2" w:rsidR="005044F7" w:rsidRPr="00A3151B" w:rsidRDefault="005044F7" w:rsidP="005044F7">
      <w:pPr>
        <w:pStyle w:val="FootnoteText"/>
        <w:jc w:val="both"/>
        <w:rPr>
          <w:rFonts w:ascii="Times New Roman" w:hAnsi="Times New Roman" w:cs="Times New Roman"/>
          <w:sz w:val="20"/>
          <w:szCs w:val="20"/>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i/>
          <w:iCs/>
          <w:sz w:val="20"/>
          <w:szCs w:val="20"/>
          <w:lang w:val="en-GB"/>
        </w:rPr>
        <w:t xml:space="preserve">Mazhar v Birmingham Community Healthcare Foundation NHS Trust &amp; </w:t>
      </w:r>
      <w:proofErr w:type="spellStart"/>
      <w:r w:rsidRPr="00A3151B">
        <w:rPr>
          <w:rFonts w:ascii="Times New Roman" w:hAnsi="Times New Roman" w:cs="Times New Roman"/>
          <w:i/>
          <w:iCs/>
          <w:sz w:val="20"/>
          <w:szCs w:val="20"/>
          <w:lang w:val="en-GB"/>
        </w:rPr>
        <w:t>Ors</w:t>
      </w:r>
      <w:proofErr w:type="spellEnd"/>
      <w:r w:rsidRPr="00A3151B">
        <w:rPr>
          <w:rFonts w:ascii="Times New Roman" w:hAnsi="Times New Roman" w:cs="Times New Roman"/>
          <w:i/>
          <w:iCs/>
          <w:sz w:val="20"/>
          <w:szCs w:val="20"/>
          <w:lang w:val="en-GB"/>
        </w:rPr>
        <w:t xml:space="preserve"> (Rev 1)</w:t>
      </w:r>
      <w:r w:rsidRPr="00A3151B">
        <w:rPr>
          <w:rFonts w:ascii="Times New Roman" w:hAnsi="Times New Roman" w:cs="Times New Roman"/>
          <w:sz w:val="20"/>
          <w:szCs w:val="20"/>
          <w:lang w:val="en-GB"/>
        </w:rPr>
        <w:t xml:space="preserve"> [2020] EWCA </w:t>
      </w:r>
      <w:proofErr w:type="spellStart"/>
      <w:r w:rsidRPr="00A3151B">
        <w:rPr>
          <w:rFonts w:ascii="Times New Roman" w:hAnsi="Times New Roman" w:cs="Times New Roman"/>
          <w:sz w:val="20"/>
          <w:szCs w:val="20"/>
          <w:lang w:val="en-GB"/>
        </w:rPr>
        <w:t>Civ</w:t>
      </w:r>
      <w:proofErr w:type="spellEnd"/>
      <w:r w:rsidRPr="00A3151B">
        <w:rPr>
          <w:rFonts w:ascii="Times New Roman" w:hAnsi="Times New Roman" w:cs="Times New Roman"/>
          <w:sz w:val="20"/>
          <w:szCs w:val="20"/>
          <w:lang w:val="en-GB"/>
        </w:rPr>
        <w:t xml:space="preserve"> 1377</w:t>
      </w:r>
      <w:r w:rsidRPr="00A3151B">
        <w:rPr>
          <w:rFonts w:ascii="Times New Roman" w:hAnsi="Times New Roman" w:cs="Times New Roman"/>
          <w:sz w:val="20"/>
          <w:szCs w:val="20"/>
          <w:lang w:val="en-GB"/>
        </w:rPr>
        <w:t xml:space="preserve">, </w:t>
      </w:r>
      <w:r w:rsidRPr="00A3151B">
        <w:rPr>
          <w:rFonts w:ascii="Times New Roman" w:hAnsi="Times New Roman" w:cs="Times New Roman"/>
          <w:sz w:val="20"/>
          <w:szCs w:val="20"/>
        </w:rPr>
        <w:t>[2020] WLR(D) 579</w:t>
      </w:r>
      <w:r w:rsidRPr="00A3151B">
        <w:rPr>
          <w:rFonts w:ascii="Times New Roman" w:hAnsi="Times New Roman" w:cs="Times New Roman"/>
          <w:sz w:val="20"/>
          <w:szCs w:val="20"/>
        </w:rPr>
        <w:t>.</w:t>
      </w:r>
    </w:p>
  </w:footnote>
  <w:footnote w:id="56">
    <w:p w14:paraId="30BF86DB" w14:textId="12882DE4" w:rsidR="00876057" w:rsidRPr="00A3151B" w:rsidRDefault="00876057">
      <w:pPr>
        <w:pStyle w:val="FootnoteText"/>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i/>
          <w:iCs/>
          <w:sz w:val="20"/>
          <w:szCs w:val="20"/>
          <w:lang w:val="en-GB"/>
        </w:rPr>
        <w:t>ibid.</w:t>
      </w:r>
      <w:r w:rsidRPr="00A3151B">
        <w:rPr>
          <w:rFonts w:ascii="Times New Roman" w:hAnsi="Times New Roman" w:cs="Times New Roman"/>
          <w:sz w:val="20"/>
          <w:szCs w:val="20"/>
          <w:lang w:val="en-GB"/>
        </w:rPr>
        <w:t>, at [52] per Baker L.J.</w:t>
      </w:r>
    </w:p>
  </w:footnote>
  <w:footnote w:id="57">
    <w:p w14:paraId="7A4973B7" w14:textId="665EAA48" w:rsidR="006D7F19" w:rsidRPr="00A3151B" w:rsidRDefault="006D7F19">
      <w:pPr>
        <w:pStyle w:val="FootnoteText"/>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i/>
          <w:iCs/>
          <w:sz w:val="20"/>
          <w:szCs w:val="20"/>
          <w:lang w:val="en-GB"/>
        </w:rPr>
        <w:t>ibid.</w:t>
      </w:r>
      <w:r w:rsidRPr="00A3151B">
        <w:rPr>
          <w:rFonts w:ascii="Times New Roman" w:hAnsi="Times New Roman" w:cs="Times New Roman"/>
          <w:sz w:val="20"/>
          <w:szCs w:val="20"/>
          <w:lang w:val="en-GB"/>
        </w:rPr>
        <w:t>, at [</w:t>
      </w:r>
      <w:r w:rsidRPr="00A3151B">
        <w:rPr>
          <w:rFonts w:ascii="Times New Roman" w:hAnsi="Times New Roman" w:cs="Times New Roman"/>
          <w:sz w:val="20"/>
          <w:szCs w:val="20"/>
          <w:lang w:val="en-GB"/>
        </w:rPr>
        <w:t>64</w:t>
      </w:r>
      <w:r w:rsidRPr="00A3151B">
        <w:rPr>
          <w:rFonts w:ascii="Times New Roman" w:hAnsi="Times New Roman" w:cs="Times New Roman"/>
          <w:sz w:val="20"/>
          <w:szCs w:val="20"/>
          <w:lang w:val="en-GB"/>
        </w:rPr>
        <w:t>] per Baker L.J.</w:t>
      </w:r>
    </w:p>
  </w:footnote>
  <w:footnote w:id="58">
    <w:p w14:paraId="1F2183ED" w14:textId="1EC33DB3" w:rsidR="009E31AB" w:rsidRPr="00A3151B" w:rsidRDefault="009E31AB">
      <w:pPr>
        <w:pStyle w:val="FootnoteText"/>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i/>
          <w:iCs/>
          <w:sz w:val="20"/>
          <w:szCs w:val="20"/>
          <w:lang w:val="en-GB"/>
        </w:rPr>
        <w:t>ibid.</w:t>
      </w:r>
      <w:r w:rsidRPr="00A3151B">
        <w:rPr>
          <w:rFonts w:ascii="Times New Roman" w:hAnsi="Times New Roman" w:cs="Times New Roman"/>
          <w:sz w:val="20"/>
          <w:szCs w:val="20"/>
          <w:lang w:val="en-GB"/>
        </w:rPr>
        <w:t>, at [6</w:t>
      </w:r>
      <w:r w:rsidRPr="00A3151B">
        <w:rPr>
          <w:rFonts w:ascii="Times New Roman" w:hAnsi="Times New Roman" w:cs="Times New Roman"/>
          <w:sz w:val="20"/>
          <w:szCs w:val="20"/>
          <w:lang w:val="en-GB"/>
        </w:rPr>
        <w:t>8</w:t>
      </w:r>
      <w:r w:rsidRPr="00A3151B">
        <w:rPr>
          <w:rFonts w:ascii="Times New Roman" w:hAnsi="Times New Roman" w:cs="Times New Roman"/>
          <w:sz w:val="20"/>
          <w:szCs w:val="20"/>
          <w:lang w:val="en-GB"/>
        </w:rPr>
        <w:t>] per Baker L.J.</w:t>
      </w:r>
    </w:p>
  </w:footnote>
  <w:footnote w:id="59">
    <w:p w14:paraId="6926D9BA" w14:textId="3E03BB41" w:rsidR="006D7F19" w:rsidRPr="00A3151B" w:rsidRDefault="006D7F19">
      <w:pPr>
        <w:pStyle w:val="FootnoteText"/>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i/>
          <w:iCs/>
          <w:sz w:val="20"/>
          <w:szCs w:val="20"/>
          <w:lang w:val="en-GB"/>
        </w:rPr>
        <w:t>ibid.</w:t>
      </w:r>
      <w:r w:rsidRPr="00A3151B">
        <w:rPr>
          <w:rFonts w:ascii="Times New Roman" w:hAnsi="Times New Roman" w:cs="Times New Roman"/>
          <w:sz w:val="20"/>
          <w:szCs w:val="20"/>
          <w:lang w:val="en-GB"/>
        </w:rPr>
        <w:t>, at [6</w:t>
      </w:r>
      <w:r w:rsidRPr="00A3151B">
        <w:rPr>
          <w:rFonts w:ascii="Times New Roman" w:hAnsi="Times New Roman" w:cs="Times New Roman"/>
          <w:sz w:val="20"/>
          <w:szCs w:val="20"/>
          <w:lang w:val="en-GB"/>
        </w:rPr>
        <w:t>9</w:t>
      </w:r>
      <w:r w:rsidRPr="00A3151B">
        <w:rPr>
          <w:rFonts w:ascii="Times New Roman" w:hAnsi="Times New Roman" w:cs="Times New Roman"/>
          <w:sz w:val="20"/>
          <w:szCs w:val="20"/>
          <w:lang w:val="en-GB"/>
        </w:rPr>
        <w:t>] per Baker L.J.</w:t>
      </w:r>
    </w:p>
  </w:footnote>
  <w:footnote w:id="60">
    <w:p w14:paraId="2F3AA844" w14:textId="40BAB9B7" w:rsidR="009E31AB" w:rsidRPr="00A3151B" w:rsidRDefault="009E31AB">
      <w:pPr>
        <w:pStyle w:val="FootnoteText"/>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i/>
          <w:iCs/>
          <w:sz w:val="20"/>
          <w:szCs w:val="20"/>
          <w:lang w:val="en-GB"/>
        </w:rPr>
        <w:t>ibid.</w:t>
      </w:r>
      <w:r w:rsidRPr="00A3151B">
        <w:rPr>
          <w:rFonts w:ascii="Times New Roman" w:hAnsi="Times New Roman" w:cs="Times New Roman"/>
          <w:sz w:val="20"/>
          <w:szCs w:val="20"/>
          <w:lang w:val="en-GB"/>
        </w:rPr>
        <w:t>, at [</w:t>
      </w:r>
      <w:r w:rsidRPr="00A3151B">
        <w:rPr>
          <w:rFonts w:ascii="Times New Roman" w:hAnsi="Times New Roman" w:cs="Times New Roman"/>
          <w:sz w:val="20"/>
          <w:szCs w:val="20"/>
          <w:lang w:val="en-GB"/>
        </w:rPr>
        <w:t>71</w:t>
      </w:r>
      <w:r w:rsidRPr="00A3151B">
        <w:rPr>
          <w:rFonts w:ascii="Times New Roman" w:hAnsi="Times New Roman" w:cs="Times New Roman"/>
          <w:sz w:val="20"/>
          <w:szCs w:val="20"/>
          <w:lang w:val="en-GB"/>
        </w:rPr>
        <w:t xml:space="preserve">] </w:t>
      </w:r>
      <w:r w:rsidRPr="00A3151B">
        <w:rPr>
          <w:rFonts w:ascii="Times New Roman" w:hAnsi="Times New Roman" w:cs="Times New Roman"/>
          <w:sz w:val="20"/>
          <w:szCs w:val="20"/>
          <w:lang w:val="en-GB"/>
        </w:rPr>
        <w:t xml:space="preserve">and [56] </w:t>
      </w:r>
      <w:r w:rsidRPr="00A3151B">
        <w:rPr>
          <w:rFonts w:ascii="Times New Roman" w:hAnsi="Times New Roman" w:cs="Times New Roman"/>
          <w:sz w:val="20"/>
          <w:szCs w:val="20"/>
          <w:lang w:val="en-GB"/>
        </w:rPr>
        <w:t>per Baker L.J.</w:t>
      </w:r>
    </w:p>
  </w:footnote>
  <w:footnote w:id="61">
    <w:p w14:paraId="64FDF9B6" w14:textId="28FE1B19" w:rsidR="006A77C0" w:rsidRPr="00A3151B" w:rsidRDefault="006A77C0">
      <w:pPr>
        <w:pStyle w:val="FootnoteText"/>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i/>
          <w:iCs/>
          <w:sz w:val="20"/>
          <w:szCs w:val="20"/>
          <w:lang w:val="en-GB"/>
        </w:rPr>
        <w:t>ibid.</w:t>
      </w:r>
      <w:r w:rsidRPr="00A3151B">
        <w:rPr>
          <w:rFonts w:ascii="Times New Roman" w:hAnsi="Times New Roman" w:cs="Times New Roman"/>
          <w:sz w:val="20"/>
          <w:szCs w:val="20"/>
          <w:lang w:val="en-GB"/>
        </w:rPr>
        <w:t>, at [</w:t>
      </w:r>
      <w:r w:rsidRPr="00A3151B">
        <w:rPr>
          <w:rFonts w:ascii="Times New Roman" w:hAnsi="Times New Roman" w:cs="Times New Roman"/>
          <w:sz w:val="20"/>
          <w:szCs w:val="20"/>
          <w:lang w:val="en-GB"/>
        </w:rPr>
        <w:t>67</w:t>
      </w:r>
      <w:r w:rsidRPr="00A3151B">
        <w:rPr>
          <w:rFonts w:ascii="Times New Roman" w:hAnsi="Times New Roman" w:cs="Times New Roman"/>
          <w:sz w:val="20"/>
          <w:szCs w:val="20"/>
          <w:lang w:val="en-GB"/>
        </w:rPr>
        <w:t>] per Baker L.J.</w:t>
      </w:r>
    </w:p>
  </w:footnote>
  <w:footnote w:id="62">
    <w:p w14:paraId="4AB66A05" w14:textId="191CB546" w:rsidR="009C0E8C" w:rsidRPr="00A3151B" w:rsidRDefault="009C0E8C" w:rsidP="00A62636">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In this sense, the case differs from </w:t>
      </w:r>
      <w:r w:rsidRPr="00A3151B">
        <w:rPr>
          <w:rFonts w:ascii="Times New Roman" w:hAnsi="Times New Roman" w:cs="Times New Roman"/>
          <w:i/>
          <w:sz w:val="20"/>
          <w:szCs w:val="20"/>
          <w:lang w:val="en-GB"/>
        </w:rPr>
        <w:t>A Local Authority v Mrs A and Mr A</w:t>
      </w:r>
      <w:r w:rsidRPr="00A3151B">
        <w:rPr>
          <w:rFonts w:ascii="Times New Roman" w:hAnsi="Times New Roman" w:cs="Times New Roman"/>
          <w:sz w:val="20"/>
          <w:szCs w:val="20"/>
          <w:lang w:val="en-GB"/>
        </w:rPr>
        <w:t xml:space="preserve"> [2010], where, on the one hand, Mrs A was deemed to lack capacity to consent to contraceptive treatment, even though such an absence of capacity resulted primarily from the unequal dynamic in the relationship between Mr and Mrs A such that ‘her decision not to continue taking contraception [was] not the product of her own free will’. See </w:t>
      </w:r>
      <w:r w:rsidRPr="00A3151B">
        <w:rPr>
          <w:rFonts w:ascii="Times New Roman" w:hAnsi="Times New Roman" w:cs="Times New Roman"/>
          <w:i/>
          <w:sz w:val="20"/>
          <w:szCs w:val="20"/>
          <w:lang w:val="en-GB"/>
        </w:rPr>
        <w:t xml:space="preserve">A Local Authority v Mrs A and Mr A [2010] </w:t>
      </w:r>
      <w:r w:rsidRPr="00A3151B">
        <w:rPr>
          <w:rFonts w:ascii="Times New Roman" w:hAnsi="Times New Roman" w:cs="Times New Roman"/>
          <w:sz w:val="20"/>
          <w:szCs w:val="20"/>
          <w:lang w:val="en-GB"/>
        </w:rPr>
        <w:t xml:space="preserve">EWHC 1549 (Fam) (COP) at [73] per </w:t>
      </w:r>
      <w:proofErr w:type="spellStart"/>
      <w:r w:rsidRPr="00A3151B">
        <w:rPr>
          <w:rFonts w:ascii="Times New Roman" w:hAnsi="Times New Roman" w:cs="Times New Roman"/>
          <w:sz w:val="20"/>
          <w:szCs w:val="20"/>
          <w:lang w:val="en-GB"/>
        </w:rPr>
        <w:t>Bodey</w:t>
      </w:r>
      <w:proofErr w:type="spellEnd"/>
      <w:r w:rsidRPr="00A3151B">
        <w:rPr>
          <w:rFonts w:ascii="Times New Roman" w:hAnsi="Times New Roman" w:cs="Times New Roman"/>
          <w:sz w:val="20"/>
          <w:szCs w:val="20"/>
          <w:lang w:val="en-GB"/>
        </w:rPr>
        <w:t xml:space="preserve"> J. The point is that, from an autonomy perspective, Mrs A was deemed to lack mental capacity, the conditions of which are commonly taken to be necessary conditions for the </w:t>
      </w:r>
      <w:r w:rsidRPr="00A3151B">
        <w:rPr>
          <w:rFonts w:ascii="Times New Roman" w:hAnsi="Times New Roman" w:cs="Times New Roman"/>
          <w:i/>
          <w:iCs/>
          <w:sz w:val="20"/>
          <w:szCs w:val="20"/>
          <w:lang w:val="en-GB"/>
        </w:rPr>
        <w:t>capacity</w:t>
      </w:r>
      <w:r w:rsidRPr="00A3151B">
        <w:rPr>
          <w:rFonts w:ascii="Times New Roman" w:hAnsi="Times New Roman" w:cs="Times New Roman"/>
          <w:sz w:val="20"/>
          <w:szCs w:val="20"/>
          <w:lang w:val="en-GB"/>
        </w:rPr>
        <w:t xml:space="preserve"> of autonomy. Thus, in principle, although it is possible to capture the autonomy of someone like Mr Mazhar, who has the capacity for autonomy, by drawing upon the </w:t>
      </w:r>
      <w:proofErr w:type="gramStart"/>
      <w:r w:rsidRPr="00A3151B">
        <w:rPr>
          <w:rFonts w:ascii="Times New Roman" w:hAnsi="Times New Roman" w:cs="Times New Roman"/>
          <w:sz w:val="20"/>
          <w:szCs w:val="20"/>
          <w:lang w:val="en-GB"/>
        </w:rPr>
        <w:t>cognitively-based</w:t>
      </w:r>
      <w:proofErr w:type="gramEnd"/>
      <w:r w:rsidRPr="00A3151B">
        <w:rPr>
          <w:rFonts w:ascii="Times New Roman" w:hAnsi="Times New Roman" w:cs="Times New Roman"/>
          <w:sz w:val="20"/>
          <w:szCs w:val="20"/>
          <w:lang w:val="en-GB"/>
        </w:rPr>
        <w:t xml:space="preserve"> procedural conditions commonly taken to be the central features of autonomous choice and action, it is not possible, at least in this specific context, to capture the autonomy of Mrs A using the same theoretical tools (assuming that Mrs A was correctly judged to lack capacity). Instead, as </w:t>
      </w:r>
      <w:proofErr w:type="spellStart"/>
      <w:r w:rsidRPr="00A3151B">
        <w:rPr>
          <w:rFonts w:ascii="Times New Roman" w:hAnsi="Times New Roman" w:cs="Times New Roman"/>
          <w:sz w:val="20"/>
          <w:szCs w:val="20"/>
          <w:lang w:val="en-GB"/>
        </w:rPr>
        <w:t>Bodey</w:t>
      </w:r>
      <w:proofErr w:type="spellEnd"/>
      <w:r w:rsidRPr="00A3151B">
        <w:rPr>
          <w:rFonts w:ascii="Times New Roman" w:hAnsi="Times New Roman" w:cs="Times New Roman"/>
          <w:sz w:val="20"/>
          <w:szCs w:val="20"/>
          <w:lang w:val="en-GB"/>
        </w:rPr>
        <w:t xml:space="preserve"> J implicitly acknowledged (at [75]) in calling for ‘a capacitated decision from Mrs A’, the first step was to restore her capacity. Relying heavily on the primary aim of the inherent jurisdiction, the Court of Protection’s preferred outcome was for Mrs A to fulfil the typical conditions required for informed consent. To the extent that the typical conditions for informed consent are also the conditions required for mental capacity, such an outcome would have meant that Mrs A would, in principle, have fulfilled the conditions commonly required for the </w:t>
      </w:r>
      <w:r w:rsidRPr="00A3151B">
        <w:rPr>
          <w:rFonts w:ascii="Times New Roman" w:hAnsi="Times New Roman" w:cs="Times New Roman"/>
          <w:i/>
          <w:iCs/>
          <w:sz w:val="20"/>
          <w:szCs w:val="20"/>
          <w:lang w:val="en-GB"/>
        </w:rPr>
        <w:t xml:space="preserve">capacity </w:t>
      </w:r>
      <w:r w:rsidRPr="00A3151B">
        <w:rPr>
          <w:rFonts w:ascii="Times New Roman" w:hAnsi="Times New Roman" w:cs="Times New Roman"/>
          <w:sz w:val="20"/>
          <w:szCs w:val="20"/>
          <w:lang w:val="en-GB"/>
        </w:rPr>
        <w:t>for autonomy. However, as already acknowledged, fulfilling the typical conditions required for informed consent cannot be equated with the exercise of one’s autonomy (</w:t>
      </w:r>
      <w:proofErr w:type="spellStart"/>
      <w:r w:rsidRPr="00A3151B">
        <w:rPr>
          <w:rFonts w:ascii="Times New Roman" w:hAnsi="Times New Roman" w:cs="Times New Roman"/>
          <w:sz w:val="20"/>
          <w:szCs w:val="20"/>
          <w:lang w:val="en-GB"/>
        </w:rPr>
        <w:t>Keywood</w:t>
      </w:r>
      <w:proofErr w:type="spellEnd"/>
      <w:r w:rsidRPr="00A3151B">
        <w:rPr>
          <w:rFonts w:ascii="Times New Roman" w:hAnsi="Times New Roman" w:cs="Times New Roman"/>
          <w:sz w:val="20"/>
          <w:szCs w:val="20"/>
          <w:lang w:val="en-GB"/>
        </w:rPr>
        <w:t xml:space="preserve"> (</w:t>
      </w:r>
      <w:r w:rsidRPr="00A3151B">
        <w:rPr>
          <w:rFonts w:ascii="Times New Roman" w:hAnsi="Times New Roman" w:cs="Times New Roman"/>
          <w:i/>
          <w:iCs/>
          <w:sz w:val="20"/>
          <w:szCs w:val="20"/>
          <w:lang w:val="en-GB"/>
        </w:rPr>
        <w:t xml:space="preserve">op. </w:t>
      </w:r>
      <w:proofErr w:type="spellStart"/>
      <w:r w:rsidRPr="00A3151B">
        <w:rPr>
          <w:rFonts w:ascii="Times New Roman" w:hAnsi="Times New Roman" w:cs="Times New Roman"/>
          <w:i/>
          <w:iCs/>
          <w:sz w:val="20"/>
          <w:szCs w:val="20"/>
          <w:lang w:val="en-GB"/>
        </w:rPr>
        <w:t>cit.</w:t>
      </w:r>
      <w:r w:rsidRPr="00A3151B">
        <w:rPr>
          <w:rFonts w:ascii="Times New Roman" w:hAnsi="Times New Roman" w:cs="Times New Roman"/>
          <w:sz w:val="20"/>
          <w:szCs w:val="20"/>
          <w:lang w:val="en-GB"/>
        </w:rPr>
        <w:t xml:space="preserve"> </w:t>
      </w:r>
      <w:proofErr w:type="spellEnd"/>
      <w:r w:rsidRPr="00A3151B">
        <w:rPr>
          <w:rFonts w:ascii="Times New Roman" w:hAnsi="Times New Roman" w:cs="Times New Roman"/>
          <w:sz w:val="20"/>
          <w:szCs w:val="20"/>
          <w:lang w:val="en-GB"/>
        </w:rPr>
        <w:t>note 3</w:t>
      </w:r>
      <w:r w:rsidR="006F6984" w:rsidRPr="00A3151B">
        <w:rPr>
          <w:rFonts w:ascii="Times New Roman" w:hAnsi="Times New Roman" w:cs="Times New Roman"/>
          <w:sz w:val="20"/>
          <w:szCs w:val="20"/>
          <w:lang w:val="en-GB"/>
        </w:rPr>
        <w:t>5</w:t>
      </w:r>
      <w:r w:rsidRPr="00A3151B">
        <w:rPr>
          <w:rFonts w:ascii="Times New Roman" w:hAnsi="Times New Roman" w:cs="Times New Roman"/>
          <w:sz w:val="20"/>
          <w:szCs w:val="20"/>
          <w:lang w:val="en-GB"/>
        </w:rPr>
        <w:t xml:space="preserve">, 330) also makes this point in relation to </w:t>
      </w:r>
      <w:proofErr w:type="spellStart"/>
      <w:r w:rsidRPr="00A3151B">
        <w:rPr>
          <w:rFonts w:ascii="Times New Roman" w:hAnsi="Times New Roman" w:cs="Times New Roman"/>
          <w:sz w:val="20"/>
          <w:szCs w:val="20"/>
          <w:lang w:val="en-GB"/>
        </w:rPr>
        <w:t>Bodey</w:t>
      </w:r>
      <w:proofErr w:type="spellEnd"/>
      <w:r w:rsidRPr="00A3151B">
        <w:rPr>
          <w:rFonts w:ascii="Times New Roman" w:hAnsi="Times New Roman" w:cs="Times New Roman"/>
          <w:sz w:val="20"/>
          <w:szCs w:val="20"/>
          <w:lang w:val="en-GB"/>
        </w:rPr>
        <w:t xml:space="preserve"> J.’s judgment). Consequently, Mrs A would face the same problems encountered by Mr Mazhar: specifically, that neither the MCA 2005 nor the facilitation of a capacitated decision ‘through “ability appropriate” help and discussion without undue contrary pressure from Mr A’ [75] can capture or promote her autonomy because: </w:t>
      </w:r>
      <w:proofErr w:type="spellStart"/>
      <w:r w:rsidRPr="00A3151B">
        <w:rPr>
          <w:rFonts w:ascii="Times New Roman" w:hAnsi="Times New Roman" w:cs="Times New Roman"/>
          <w:sz w:val="20"/>
          <w:szCs w:val="20"/>
          <w:lang w:val="en-GB"/>
        </w:rPr>
        <w:t>i</w:t>
      </w:r>
      <w:proofErr w:type="spellEnd"/>
      <w:r w:rsidRPr="00A3151B">
        <w:rPr>
          <w:rFonts w:ascii="Times New Roman" w:hAnsi="Times New Roman" w:cs="Times New Roman"/>
          <w:sz w:val="20"/>
          <w:szCs w:val="20"/>
          <w:lang w:val="en-GB"/>
        </w:rPr>
        <w:t xml:space="preserve">) the MCA 2005 fails to distinguish between the conditions for mental capacity and the conditions for autonomy; and ii) current applications of the inherent jurisdiction, to the extent that they are concerned with unencumbered decision making, </w:t>
      </w:r>
      <w:r w:rsidRPr="00A3151B">
        <w:rPr>
          <w:rFonts w:ascii="Times New Roman" w:hAnsi="Times New Roman" w:cs="Times New Roman"/>
          <w:bCs/>
          <w:sz w:val="20"/>
          <w:szCs w:val="20"/>
          <w:lang w:val="en-GB"/>
        </w:rPr>
        <w:t>fail to engage with the question of whether a capacitous vulnerable individual fulfils the conditions of rational deliberation that philosophers and moral psychologists take to be a necessary feature of autonomy</w:t>
      </w:r>
      <w:r w:rsidRPr="00A3151B">
        <w:rPr>
          <w:rFonts w:ascii="Times New Roman" w:hAnsi="Times New Roman" w:cs="Times New Roman"/>
          <w:sz w:val="20"/>
          <w:szCs w:val="20"/>
          <w:lang w:val="en-GB"/>
        </w:rPr>
        <w:t>. In other words, such an approach precludes engagement with the question of whether Mrs A could</w:t>
      </w:r>
      <w:r w:rsidRPr="00A3151B">
        <w:rPr>
          <w:rFonts w:ascii="Times New Roman" w:hAnsi="Times New Roman" w:cs="Times New Roman"/>
          <w:bCs/>
          <w:sz w:val="20"/>
          <w:szCs w:val="20"/>
          <w:lang w:val="en-GB"/>
        </w:rPr>
        <w:t xml:space="preserve"> reason soundly in accordance with her own values, desires and motives and come to a decision that coheres with those motivating reasons. </w:t>
      </w:r>
      <w:r w:rsidRPr="00A3151B">
        <w:rPr>
          <w:rFonts w:ascii="Times New Roman" w:hAnsi="Times New Roman" w:cs="Times New Roman"/>
          <w:sz w:val="20"/>
          <w:szCs w:val="20"/>
          <w:lang w:val="en-GB"/>
        </w:rPr>
        <w:t xml:space="preserve">Therefore, discounting Mrs A’s lack of capacity, although the case in itself does not reflect a perceived incompatibility between the concepts of autonomy and vulnerability, it reveals the problem with the first standard common law response to vulnerability, that is, the failure of the court to adequately acknowledge the relationship between the concept of autonomy and the concept of vulnerability. More worryingly, as </w:t>
      </w:r>
      <w:proofErr w:type="spellStart"/>
      <w:r w:rsidRPr="00A3151B">
        <w:rPr>
          <w:rFonts w:ascii="Times New Roman" w:hAnsi="Times New Roman" w:cs="Times New Roman"/>
          <w:sz w:val="20"/>
          <w:szCs w:val="20"/>
          <w:lang w:val="en-GB"/>
        </w:rPr>
        <w:t>Keywood</w:t>
      </w:r>
      <w:proofErr w:type="spellEnd"/>
      <w:r w:rsidRPr="00A3151B">
        <w:rPr>
          <w:rFonts w:ascii="Times New Roman" w:hAnsi="Times New Roman" w:cs="Times New Roman"/>
          <w:sz w:val="20"/>
          <w:szCs w:val="20"/>
          <w:lang w:val="en-GB"/>
        </w:rPr>
        <w:t xml:space="preserve"> (</w:t>
      </w:r>
      <w:r w:rsidRPr="00A3151B">
        <w:rPr>
          <w:rFonts w:ascii="Times New Roman" w:hAnsi="Times New Roman" w:cs="Times New Roman"/>
          <w:i/>
          <w:iCs/>
          <w:sz w:val="20"/>
          <w:szCs w:val="20"/>
          <w:lang w:val="en-GB"/>
        </w:rPr>
        <w:t>op. cit.</w:t>
      </w:r>
      <w:r w:rsidRPr="00A3151B">
        <w:rPr>
          <w:rFonts w:ascii="Times New Roman" w:hAnsi="Times New Roman" w:cs="Times New Roman"/>
          <w:sz w:val="20"/>
          <w:szCs w:val="20"/>
          <w:lang w:val="en-GB"/>
        </w:rPr>
        <w:t xml:space="preserve"> note 3</w:t>
      </w:r>
      <w:r w:rsidR="006F6984" w:rsidRPr="00A3151B">
        <w:rPr>
          <w:rFonts w:ascii="Times New Roman" w:hAnsi="Times New Roman" w:cs="Times New Roman"/>
          <w:sz w:val="20"/>
          <w:szCs w:val="20"/>
          <w:lang w:val="en-GB"/>
        </w:rPr>
        <w:t>5</w:t>
      </w:r>
      <w:r w:rsidRPr="00A3151B">
        <w:rPr>
          <w:rFonts w:ascii="Times New Roman" w:hAnsi="Times New Roman" w:cs="Times New Roman"/>
          <w:sz w:val="20"/>
          <w:szCs w:val="20"/>
          <w:lang w:val="en-GB"/>
        </w:rPr>
        <w:t xml:space="preserve">, 332) notes, </w:t>
      </w:r>
      <w:proofErr w:type="spellStart"/>
      <w:r w:rsidRPr="00A3151B">
        <w:rPr>
          <w:rFonts w:ascii="Times New Roman" w:hAnsi="Times New Roman" w:cs="Times New Roman"/>
          <w:sz w:val="20"/>
          <w:szCs w:val="20"/>
          <w:lang w:val="en-GB"/>
        </w:rPr>
        <w:t>Bodey</w:t>
      </w:r>
      <w:proofErr w:type="spellEnd"/>
      <w:r w:rsidRPr="00A3151B">
        <w:rPr>
          <w:rFonts w:ascii="Times New Roman" w:hAnsi="Times New Roman" w:cs="Times New Roman"/>
          <w:sz w:val="20"/>
          <w:szCs w:val="20"/>
          <w:lang w:val="en-GB"/>
        </w:rPr>
        <w:t xml:space="preserve"> J.’s concern with liberty rather than autonomy means that even if Mrs A was able to make a capacitated decision having received third-party support, it is by no means clear that Mr A’s malign influence would not provide reasonable grounds for the vitiation of that consent in line with preceding legal responses to the vulnerability of a capacitous individual. Following Lindsey (</w:t>
      </w:r>
      <w:r w:rsidRPr="00A3151B">
        <w:rPr>
          <w:rFonts w:ascii="Times New Roman" w:hAnsi="Times New Roman" w:cs="Times New Roman"/>
          <w:i/>
          <w:iCs/>
          <w:sz w:val="20"/>
          <w:szCs w:val="20"/>
          <w:lang w:val="en-GB"/>
        </w:rPr>
        <w:t>op. cit.</w:t>
      </w:r>
      <w:r w:rsidRPr="00A3151B">
        <w:rPr>
          <w:rFonts w:ascii="Times New Roman" w:hAnsi="Times New Roman" w:cs="Times New Roman"/>
          <w:sz w:val="20"/>
          <w:szCs w:val="20"/>
          <w:lang w:val="en-GB"/>
        </w:rPr>
        <w:t xml:space="preserve"> note </w:t>
      </w:r>
      <w:r w:rsidR="00A9624B" w:rsidRPr="00A3151B">
        <w:rPr>
          <w:rFonts w:ascii="Times New Roman" w:hAnsi="Times New Roman" w:cs="Times New Roman"/>
          <w:sz w:val="20"/>
          <w:szCs w:val="20"/>
          <w:lang w:val="en-GB"/>
        </w:rPr>
        <w:t>3</w:t>
      </w:r>
      <w:r w:rsidRPr="00A3151B">
        <w:rPr>
          <w:rFonts w:ascii="Times New Roman" w:hAnsi="Times New Roman" w:cs="Times New Roman"/>
          <w:sz w:val="20"/>
          <w:szCs w:val="20"/>
          <w:lang w:val="en-GB"/>
        </w:rPr>
        <w:t xml:space="preserve">), section 4 of this paper proposes a normative framework that can reasonably overcome the problems with this kind of common law response to vulnerability and thereby fulfil the High Court’s stated aim to facilitate autonomy of decision making.  </w:t>
      </w:r>
    </w:p>
  </w:footnote>
  <w:footnote w:id="63">
    <w:p w14:paraId="4099E5D6" w14:textId="441CAFDC" w:rsidR="004B4550" w:rsidRPr="00A3151B" w:rsidRDefault="004B4550" w:rsidP="004B4550">
      <w:pPr>
        <w:pStyle w:val="FootnoteText"/>
        <w:jc w:val="both"/>
        <w:rPr>
          <w:rFonts w:ascii="Times New Roman" w:hAnsi="Times New Roman" w:cs="Times New Roman"/>
          <w:sz w:val="20"/>
          <w:szCs w:val="20"/>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i/>
          <w:iCs/>
          <w:sz w:val="20"/>
          <w:szCs w:val="20"/>
          <w:lang w:val="en-GB"/>
        </w:rPr>
        <w:t xml:space="preserve">Mazhar v Birmingham Community Healthcare Foundation NHS Trust &amp; </w:t>
      </w:r>
      <w:proofErr w:type="spellStart"/>
      <w:r w:rsidRPr="00A3151B">
        <w:rPr>
          <w:rFonts w:ascii="Times New Roman" w:hAnsi="Times New Roman" w:cs="Times New Roman"/>
          <w:i/>
          <w:iCs/>
          <w:sz w:val="20"/>
          <w:szCs w:val="20"/>
          <w:lang w:val="en-GB"/>
        </w:rPr>
        <w:t>Ors</w:t>
      </w:r>
      <w:proofErr w:type="spellEnd"/>
      <w:r w:rsidRPr="00A3151B">
        <w:rPr>
          <w:rFonts w:ascii="Times New Roman" w:hAnsi="Times New Roman" w:cs="Times New Roman"/>
          <w:i/>
          <w:iCs/>
          <w:sz w:val="20"/>
          <w:szCs w:val="20"/>
          <w:lang w:val="en-GB"/>
        </w:rPr>
        <w:t xml:space="preserve"> (Rev 1)</w:t>
      </w:r>
      <w:r w:rsidRPr="00A3151B">
        <w:rPr>
          <w:rFonts w:ascii="Times New Roman" w:hAnsi="Times New Roman" w:cs="Times New Roman"/>
          <w:sz w:val="20"/>
          <w:szCs w:val="20"/>
          <w:lang w:val="en-GB"/>
        </w:rPr>
        <w:t xml:space="preserve"> [2020] EWCA </w:t>
      </w:r>
      <w:proofErr w:type="spellStart"/>
      <w:r w:rsidRPr="00A3151B">
        <w:rPr>
          <w:rFonts w:ascii="Times New Roman" w:hAnsi="Times New Roman" w:cs="Times New Roman"/>
          <w:sz w:val="20"/>
          <w:szCs w:val="20"/>
          <w:lang w:val="en-GB"/>
        </w:rPr>
        <w:t>Civ</w:t>
      </w:r>
      <w:proofErr w:type="spellEnd"/>
      <w:r w:rsidRPr="00A3151B">
        <w:rPr>
          <w:rFonts w:ascii="Times New Roman" w:hAnsi="Times New Roman" w:cs="Times New Roman"/>
          <w:sz w:val="20"/>
          <w:szCs w:val="20"/>
          <w:lang w:val="en-GB"/>
        </w:rPr>
        <w:t xml:space="preserve"> 1377, </w:t>
      </w:r>
      <w:r w:rsidRPr="00A3151B">
        <w:rPr>
          <w:rFonts w:ascii="Times New Roman" w:hAnsi="Times New Roman" w:cs="Times New Roman"/>
          <w:sz w:val="20"/>
          <w:szCs w:val="20"/>
        </w:rPr>
        <w:t>[2020] WLR(D) 579</w:t>
      </w:r>
      <w:r w:rsidRPr="00A3151B">
        <w:rPr>
          <w:rFonts w:ascii="Times New Roman" w:hAnsi="Times New Roman" w:cs="Times New Roman"/>
          <w:sz w:val="20"/>
          <w:szCs w:val="20"/>
        </w:rPr>
        <w:t xml:space="preserve"> at [56] per Baker L.J.</w:t>
      </w:r>
    </w:p>
    <w:p w14:paraId="2473D164" w14:textId="6B131DED" w:rsidR="004B4550" w:rsidRPr="00A3151B" w:rsidRDefault="004B4550">
      <w:pPr>
        <w:pStyle w:val="FootnoteText"/>
        <w:rPr>
          <w:lang w:val="en-GB"/>
        </w:rPr>
      </w:pPr>
    </w:p>
  </w:footnote>
  <w:footnote w:id="64">
    <w:p w14:paraId="06C130B0" w14:textId="735FF404" w:rsidR="009C0E8C" w:rsidRPr="00A3151B" w:rsidRDefault="009C0E8C" w:rsidP="002F1329">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J. </w:t>
      </w:r>
      <w:r w:rsidRPr="00A3151B">
        <w:rPr>
          <w:rFonts w:ascii="Times New Roman" w:hAnsi="Times New Roman" w:cs="Times New Roman"/>
          <w:bCs/>
          <w:sz w:val="20"/>
          <w:szCs w:val="20"/>
          <w:lang w:val="en-GB"/>
        </w:rPr>
        <w:t xml:space="preserve">Anderson, ‘Autonomy and vulnerability entwined.’ in C Mackenzie, W Rogers &amp; S </w:t>
      </w:r>
      <w:proofErr w:type="spellStart"/>
      <w:r w:rsidRPr="00A3151B">
        <w:rPr>
          <w:rFonts w:ascii="Times New Roman" w:hAnsi="Times New Roman" w:cs="Times New Roman"/>
          <w:bCs/>
          <w:sz w:val="20"/>
          <w:szCs w:val="20"/>
          <w:lang w:val="en-GB"/>
        </w:rPr>
        <w:t>Dodds</w:t>
      </w:r>
      <w:proofErr w:type="spellEnd"/>
      <w:r w:rsidRPr="00A3151B">
        <w:rPr>
          <w:rFonts w:ascii="Times New Roman" w:hAnsi="Times New Roman" w:cs="Times New Roman"/>
          <w:bCs/>
          <w:sz w:val="20"/>
          <w:szCs w:val="20"/>
          <w:lang w:val="en-GB"/>
        </w:rPr>
        <w:t xml:space="preserve"> (eds), </w:t>
      </w:r>
      <w:r w:rsidRPr="00A3151B">
        <w:rPr>
          <w:rFonts w:ascii="Times New Roman" w:hAnsi="Times New Roman" w:cs="Times New Roman"/>
          <w:bCs/>
          <w:i/>
          <w:iCs/>
          <w:sz w:val="20"/>
          <w:szCs w:val="20"/>
          <w:lang w:val="en-GB"/>
        </w:rPr>
        <w:t>Vulnerability: New essays in ethics and feminist philosophy </w:t>
      </w:r>
      <w:r w:rsidRPr="00A3151B">
        <w:rPr>
          <w:rFonts w:ascii="Times New Roman" w:hAnsi="Times New Roman" w:cs="Times New Roman"/>
          <w:bCs/>
          <w:sz w:val="20"/>
          <w:szCs w:val="20"/>
          <w:lang w:val="en-GB"/>
        </w:rPr>
        <w:t>(Oxford: Oxford University Press, 2014), 134-61, 144-5.</w:t>
      </w:r>
      <w:r w:rsidR="004B4550" w:rsidRPr="00A3151B">
        <w:rPr>
          <w:rFonts w:ascii="Times New Roman" w:hAnsi="Times New Roman" w:cs="Times New Roman"/>
          <w:bCs/>
          <w:sz w:val="20"/>
          <w:szCs w:val="20"/>
          <w:lang w:val="en-GB"/>
        </w:rPr>
        <w:t xml:space="preserve"> This point was acknowledged by Baker L.J. in the case of Mr Mazhar </w:t>
      </w:r>
      <w:r w:rsidR="007850D9" w:rsidRPr="00A3151B">
        <w:rPr>
          <w:rFonts w:ascii="Times New Roman" w:hAnsi="Times New Roman" w:cs="Times New Roman"/>
          <w:bCs/>
          <w:sz w:val="20"/>
          <w:szCs w:val="20"/>
          <w:lang w:val="en-GB"/>
        </w:rPr>
        <w:t>heard on appeal (</w:t>
      </w:r>
      <w:r w:rsidR="007850D9" w:rsidRPr="00A3151B">
        <w:rPr>
          <w:rFonts w:ascii="Times New Roman" w:hAnsi="Times New Roman" w:cs="Times New Roman"/>
          <w:bCs/>
          <w:i/>
          <w:iCs/>
          <w:sz w:val="20"/>
          <w:szCs w:val="20"/>
          <w:lang w:val="en-GB"/>
        </w:rPr>
        <w:t xml:space="preserve">Mazhar v Birmingham Community Healthcare Foundation NHS Trust &amp; </w:t>
      </w:r>
      <w:proofErr w:type="spellStart"/>
      <w:r w:rsidR="007850D9" w:rsidRPr="00A3151B">
        <w:rPr>
          <w:rFonts w:ascii="Times New Roman" w:hAnsi="Times New Roman" w:cs="Times New Roman"/>
          <w:bCs/>
          <w:i/>
          <w:iCs/>
          <w:sz w:val="20"/>
          <w:szCs w:val="20"/>
          <w:lang w:val="en-GB"/>
        </w:rPr>
        <w:t>Ors</w:t>
      </w:r>
      <w:proofErr w:type="spellEnd"/>
      <w:r w:rsidR="007850D9" w:rsidRPr="00A3151B">
        <w:rPr>
          <w:rFonts w:ascii="Times New Roman" w:hAnsi="Times New Roman" w:cs="Times New Roman"/>
          <w:bCs/>
          <w:i/>
          <w:iCs/>
          <w:sz w:val="20"/>
          <w:szCs w:val="20"/>
          <w:lang w:val="en-GB"/>
        </w:rPr>
        <w:t xml:space="preserve"> (Rev 1)</w:t>
      </w:r>
      <w:r w:rsidR="007850D9" w:rsidRPr="00A3151B">
        <w:rPr>
          <w:rFonts w:ascii="Times New Roman" w:hAnsi="Times New Roman" w:cs="Times New Roman"/>
          <w:bCs/>
          <w:sz w:val="20"/>
          <w:szCs w:val="20"/>
          <w:lang w:val="en-GB"/>
        </w:rPr>
        <w:t xml:space="preserve"> [2020] EWCA </w:t>
      </w:r>
      <w:proofErr w:type="spellStart"/>
      <w:r w:rsidR="007850D9" w:rsidRPr="00A3151B">
        <w:rPr>
          <w:rFonts w:ascii="Times New Roman" w:hAnsi="Times New Roman" w:cs="Times New Roman"/>
          <w:bCs/>
          <w:sz w:val="20"/>
          <w:szCs w:val="20"/>
          <w:lang w:val="en-GB"/>
        </w:rPr>
        <w:t>Civ</w:t>
      </w:r>
      <w:proofErr w:type="spellEnd"/>
      <w:r w:rsidR="007850D9" w:rsidRPr="00A3151B">
        <w:rPr>
          <w:rFonts w:ascii="Times New Roman" w:hAnsi="Times New Roman" w:cs="Times New Roman"/>
          <w:bCs/>
          <w:sz w:val="20"/>
          <w:szCs w:val="20"/>
          <w:lang w:val="en-GB"/>
        </w:rPr>
        <w:t xml:space="preserve"> 1377, [2020] WLR(D) 579 at [5</w:t>
      </w:r>
      <w:r w:rsidR="007850D9" w:rsidRPr="00A3151B">
        <w:rPr>
          <w:rFonts w:ascii="Times New Roman" w:hAnsi="Times New Roman" w:cs="Times New Roman"/>
          <w:bCs/>
          <w:sz w:val="20"/>
          <w:szCs w:val="20"/>
          <w:lang w:val="en-GB"/>
        </w:rPr>
        <w:t>7</w:t>
      </w:r>
      <w:r w:rsidR="007850D9" w:rsidRPr="00A3151B">
        <w:rPr>
          <w:rFonts w:ascii="Times New Roman" w:hAnsi="Times New Roman" w:cs="Times New Roman"/>
          <w:bCs/>
          <w:sz w:val="20"/>
          <w:szCs w:val="20"/>
          <w:lang w:val="en-GB"/>
        </w:rPr>
        <w:t>] per Baker L.J</w:t>
      </w:r>
      <w:r w:rsidR="007850D9" w:rsidRPr="00A3151B">
        <w:rPr>
          <w:rFonts w:ascii="Times New Roman" w:hAnsi="Times New Roman" w:cs="Times New Roman"/>
          <w:bCs/>
          <w:sz w:val="20"/>
          <w:szCs w:val="20"/>
          <w:lang w:val="en-GB"/>
        </w:rPr>
        <w:t>)</w:t>
      </w:r>
      <w:r w:rsidR="007850D9" w:rsidRPr="00A3151B">
        <w:rPr>
          <w:rFonts w:ascii="Times New Roman" w:hAnsi="Times New Roman" w:cs="Times New Roman"/>
          <w:bCs/>
          <w:sz w:val="20"/>
          <w:szCs w:val="20"/>
          <w:lang w:val="en-GB"/>
        </w:rPr>
        <w:t>.</w:t>
      </w:r>
    </w:p>
  </w:footnote>
  <w:footnote w:id="65">
    <w:p w14:paraId="2EB6C424" w14:textId="1807797F" w:rsidR="009C0E8C" w:rsidRPr="00A3151B" w:rsidRDefault="009C0E8C" w:rsidP="00D7063C">
      <w:pPr>
        <w:pStyle w:val="FootnoteText"/>
        <w:jc w:val="both"/>
        <w:rPr>
          <w:rFonts w:ascii="Times New Roman" w:hAnsi="Times New Roman" w:cs="Times New Roman"/>
          <w:sz w:val="20"/>
          <w:szCs w:val="20"/>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sz w:val="20"/>
          <w:szCs w:val="20"/>
          <w:lang w:val="en-GB"/>
        </w:rPr>
        <w:t xml:space="preserve">The undermining of a capacitous vulnerable adult’s ability to make claims to autonomy is something that also results from a protectionist response by the High Court in the series of </w:t>
      </w:r>
      <w:r w:rsidRPr="00A3151B">
        <w:rPr>
          <w:rFonts w:ascii="Times New Roman" w:hAnsi="Times New Roman" w:cs="Times New Roman"/>
          <w:i/>
          <w:iCs/>
          <w:sz w:val="20"/>
          <w:szCs w:val="20"/>
          <w:lang w:val="en-GB"/>
        </w:rPr>
        <w:t xml:space="preserve">TZ </w:t>
      </w:r>
      <w:r w:rsidRPr="00A3151B">
        <w:rPr>
          <w:rFonts w:ascii="Times New Roman" w:hAnsi="Times New Roman" w:cs="Times New Roman"/>
          <w:sz w:val="20"/>
          <w:szCs w:val="20"/>
          <w:lang w:val="en-GB"/>
        </w:rPr>
        <w:t>cases (</w:t>
      </w:r>
      <w:r w:rsidRPr="00A3151B">
        <w:rPr>
          <w:rFonts w:ascii="Times New Roman" w:hAnsi="Times New Roman" w:cs="Times New Roman"/>
          <w:i/>
          <w:iCs/>
          <w:sz w:val="20"/>
          <w:szCs w:val="20"/>
        </w:rPr>
        <w:t>A Local Authority v TZ (By his Litigation Friend, the Official Solicitor)</w:t>
      </w:r>
      <w:r w:rsidRPr="00A3151B">
        <w:rPr>
          <w:rFonts w:ascii="Times New Roman" w:hAnsi="Times New Roman" w:cs="Times New Roman"/>
          <w:sz w:val="20"/>
          <w:szCs w:val="20"/>
        </w:rPr>
        <w:t xml:space="preserve"> [2013] EWHC 2322 (COP); </w:t>
      </w:r>
      <w:r w:rsidRPr="00A3151B">
        <w:rPr>
          <w:rFonts w:ascii="Times New Roman" w:hAnsi="Times New Roman" w:cs="Times New Roman"/>
          <w:i/>
          <w:iCs/>
          <w:sz w:val="20"/>
          <w:szCs w:val="20"/>
        </w:rPr>
        <w:t>A Local Authority v TZ (By His Litigation Friend the Official Solicitor)</w:t>
      </w:r>
      <w:r w:rsidRPr="00A3151B">
        <w:rPr>
          <w:rFonts w:ascii="Times New Roman" w:hAnsi="Times New Roman" w:cs="Times New Roman"/>
          <w:sz w:val="20"/>
          <w:szCs w:val="20"/>
        </w:rPr>
        <w:t xml:space="preserve"> </w:t>
      </w:r>
      <w:r w:rsidRPr="00A3151B">
        <w:rPr>
          <w:rFonts w:ascii="Times New Roman" w:hAnsi="Times New Roman" w:cs="Times New Roman"/>
          <w:i/>
          <w:iCs/>
          <w:sz w:val="20"/>
          <w:szCs w:val="20"/>
        </w:rPr>
        <w:t>(No 2)</w:t>
      </w:r>
      <w:r w:rsidRPr="00A3151B">
        <w:rPr>
          <w:rFonts w:ascii="Times New Roman" w:hAnsi="Times New Roman" w:cs="Times New Roman"/>
          <w:sz w:val="20"/>
          <w:szCs w:val="20"/>
        </w:rPr>
        <w:t xml:space="preserve"> [2014] EWHC 973 (COP)). Here we find that </w:t>
      </w:r>
      <w:r w:rsidRPr="00A3151B">
        <w:rPr>
          <w:rFonts w:ascii="Times New Roman" w:hAnsi="Times New Roman" w:cs="Times New Roman"/>
          <w:sz w:val="20"/>
          <w:szCs w:val="20"/>
          <w:lang w:val="en-GB"/>
        </w:rPr>
        <w:t xml:space="preserve">even though TZ was declared to have capacity to consent to sexual relations, there was a concern that TZ, in exercising this in particular instances, might lack capacity as a result of their vulnerability to malign external influences. To resolve this issue, </w:t>
      </w:r>
      <w:r w:rsidRPr="00A3151B">
        <w:rPr>
          <w:rFonts w:ascii="Times New Roman" w:hAnsi="Times New Roman" w:cs="Times New Roman"/>
          <w:sz w:val="20"/>
          <w:szCs w:val="20"/>
        </w:rPr>
        <w:t xml:space="preserve">a distinction was made between the capacity to consent to sex and the capacity to consent to contact. </w:t>
      </w:r>
      <w:r w:rsidRPr="00A3151B">
        <w:rPr>
          <w:rFonts w:ascii="Times New Roman" w:hAnsi="Times New Roman" w:cs="Times New Roman"/>
          <w:sz w:val="20"/>
          <w:szCs w:val="20"/>
          <w:lang w:val="en-GB"/>
        </w:rPr>
        <w:t>As Clough (2014) (</w:t>
      </w:r>
      <w:r w:rsidRPr="00A3151B">
        <w:rPr>
          <w:rFonts w:ascii="Times New Roman" w:hAnsi="Times New Roman" w:cs="Times New Roman"/>
          <w:i/>
          <w:iCs/>
          <w:sz w:val="20"/>
          <w:szCs w:val="20"/>
          <w:lang w:val="en-GB"/>
        </w:rPr>
        <w:t>op. cit.</w:t>
      </w:r>
      <w:r w:rsidRPr="00A3151B">
        <w:rPr>
          <w:rFonts w:ascii="Times New Roman" w:hAnsi="Times New Roman" w:cs="Times New Roman"/>
          <w:sz w:val="20"/>
          <w:szCs w:val="20"/>
          <w:lang w:val="en-GB"/>
        </w:rPr>
        <w:t xml:space="preserve"> note </w:t>
      </w:r>
      <w:r w:rsidR="00A9624B" w:rsidRPr="00A3151B">
        <w:rPr>
          <w:rFonts w:ascii="Times New Roman" w:hAnsi="Times New Roman" w:cs="Times New Roman"/>
          <w:sz w:val="20"/>
          <w:szCs w:val="20"/>
          <w:lang w:val="en-GB"/>
        </w:rPr>
        <w:t>3</w:t>
      </w:r>
      <w:r w:rsidRPr="00A3151B">
        <w:rPr>
          <w:rFonts w:ascii="Times New Roman" w:hAnsi="Times New Roman" w:cs="Times New Roman"/>
          <w:sz w:val="20"/>
          <w:szCs w:val="20"/>
          <w:lang w:val="en-GB"/>
        </w:rPr>
        <w:t>, 388) observes, by drawing such a distinction, ‘</w:t>
      </w:r>
      <w:r w:rsidRPr="00A3151B">
        <w:rPr>
          <w:rFonts w:ascii="Times New Roman" w:hAnsi="Times New Roman" w:cs="Times New Roman"/>
          <w:sz w:val="20"/>
          <w:szCs w:val="20"/>
        </w:rPr>
        <w:t xml:space="preserve">the court is entitled to then make best </w:t>
      </w:r>
      <w:proofErr w:type="gramStart"/>
      <w:r w:rsidRPr="00A3151B">
        <w:rPr>
          <w:rFonts w:ascii="Times New Roman" w:hAnsi="Times New Roman" w:cs="Times New Roman"/>
          <w:sz w:val="20"/>
          <w:szCs w:val="20"/>
        </w:rPr>
        <w:t>interests</w:t>
      </w:r>
      <w:proofErr w:type="gramEnd"/>
      <w:r w:rsidRPr="00A3151B">
        <w:rPr>
          <w:rFonts w:ascii="Times New Roman" w:hAnsi="Times New Roman" w:cs="Times New Roman"/>
          <w:sz w:val="20"/>
          <w:szCs w:val="20"/>
        </w:rPr>
        <w:t xml:space="preserve"> decisions on behalf of TZ in relation to particular relationships, as it becomes not a question of sexual capacity, but a point of emphasis on contact’. Despite the ability of the court to purportedly make declarations to </w:t>
      </w:r>
      <w:r w:rsidRPr="00A3151B">
        <w:rPr>
          <w:rFonts w:ascii="Times New Roman" w:hAnsi="Times New Roman" w:cs="Times New Roman"/>
          <w:sz w:val="20"/>
          <w:szCs w:val="20"/>
          <w:lang w:val="en-GB"/>
        </w:rPr>
        <w:t>support TZ to have contact and sexual relations with another individual, such an approach ‘h</w:t>
      </w:r>
      <w:proofErr w:type="spellStart"/>
      <w:r w:rsidRPr="00A3151B">
        <w:rPr>
          <w:rFonts w:ascii="Times New Roman" w:hAnsi="Times New Roman" w:cs="Times New Roman"/>
          <w:sz w:val="20"/>
          <w:szCs w:val="20"/>
        </w:rPr>
        <w:t>inges</w:t>
      </w:r>
      <w:proofErr w:type="spellEnd"/>
      <w:r w:rsidRPr="00A3151B">
        <w:rPr>
          <w:rFonts w:ascii="Times New Roman" w:hAnsi="Times New Roman" w:cs="Times New Roman"/>
          <w:sz w:val="20"/>
          <w:szCs w:val="20"/>
        </w:rPr>
        <w:t xml:space="preserve"> the type of support on what is deemed to be in their best interests in relation to contact’. Thus, 'support' is something that can be, in principle, imposed ‘against TZ's own will and preferences in his best interests’ without adequate consideration of the exercise of his autonomy.</w:t>
      </w:r>
    </w:p>
  </w:footnote>
  <w:footnote w:id="66">
    <w:p w14:paraId="3DAA11A2" w14:textId="60485C84" w:rsidR="009C0E8C" w:rsidRPr="00A3151B" w:rsidRDefault="009C0E8C" w:rsidP="002F1329">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The development of the concept of pathogenic vulnerability is built upon </w:t>
      </w:r>
      <w:proofErr w:type="spellStart"/>
      <w:r w:rsidRPr="00A3151B">
        <w:rPr>
          <w:rFonts w:ascii="Times New Roman" w:hAnsi="Times New Roman" w:cs="Times New Roman"/>
          <w:sz w:val="20"/>
          <w:szCs w:val="20"/>
          <w:lang w:val="en-GB"/>
        </w:rPr>
        <w:t>Goodin</w:t>
      </w:r>
      <w:proofErr w:type="spellEnd"/>
      <w:r w:rsidR="00C73F22" w:rsidRPr="00A3151B">
        <w:rPr>
          <w:rFonts w:ascii="Times New Roman" w:hAnsi="Times New Roman" w:cs="Times New Roman"/>
          <w:sz w:val="20"/>
          <w:szCs w:val="20"/>
          <w:lang w:val="en-GB"/>
        </w:rPr>
        <w:t xml:space="preserve">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19, 194-201. For a discussion of pathogenic vulnerability of persons with mental impairment, see </w:t>
      </w:r>
      <w:r w:rsidRPr="00A3151B">
        <w:rPr>
          <w:rFonts w:ascii="Times New Roman" w:hAnsi="Times New Roman" w:cs="Times New Roman"/>
          <w:sz w:val="20"/>
          <w:szCs w:val="20"/>
        </w:rPr>
        <w:t xml:space="preserve">Wilson </w:t>
      </w:r>
      <w:r w:rsidRPr="00A3151B">
        <w:rPr>
          <w:rFonts w:ascii="Times New Roman" w:hAnsi="Times New Roman" w:cs="Times New Roman"/>
          <w:i/>
          <w:sz w:val="20"/>
          <w:szCs w:val="20"/>
        </w:rPr>
        <w:t>op. cit.</w:t>
      </w:r>
      <w:r w:rsidRPr="00A3151B">
        <w:rPr>
          <w:rFonts w:ascii="Times New Roman" w:hAnsi="Times New Roman" w:cs="Times New Roman"/>
          <w:sz w:val="20"/>
          <w:szCs w:val="20"/>
        </w:rPr>
        <w:t xml:space="preserve"> note </w:t>
      </w:r>
      <w:r w:rsidR="00A9624B" w:rsidRPr="00A3151B">
        <w:rPr>
          <w:rFonts w:ascii="Times New Roman" w:hAnsi="Times New Roman" w:cs="Times New Roman"/>
          <w:sz w:val="20"/>
          <w:szCs w:val="20"/>
        </w:rPr>
        <w:t>2</w:t>
      </w:r>
      <w:r w:rsidRPr="00A3151B">
        <w:rPr>
          <w:rFonts w:ascii="Times New Roman" w:hAnsi="Times New Roman" w:cs="Times New Roman"/>
          <w:sz w:val="20"/>
          <w:szCs w:val="20"/>
        </w:rPr>
        <w:t>.</w:t>
      </w:r>
    </w:p>
  </w:footnote>
  <w:footnote w:id="67">
    <w:p w14:paraId="1B4144F2" w14:textId="1DE8718A" w:rsidR="009C0E8C" w:rsidRPr="00A3151B" w:rsidRDefault="009C0E8C" w:rsidP="002F1329">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Mackenzie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4</w:t>
      </w:r>
      <w:r w:rsidR="006F6984" w:rsidRPr="00A3151B">
        <w:rPr>
          <w:rFonts w:ascii="Times New Roman" w:hAnsi="Times New Roman" w:cs="Times New Roman"/>
          <w:sz w:val="20"/>
          <w:szCs w:val="20"/>
          <w:lang w:val="en-GB"/>
        </w:rPr>
        <w:t>7</w:t>
      </w:r>
      <w:r w:rsidRPr="00A3151B">
        <w:rPr>
          <w:rFonts w:ascii="Times New Roman" w:hAnsi="Times New Roman" w:cs="Times New Roman"/>
          <w:sz w:val="20"/>
          <w:szCs w:val="20"/>
          <w:lang w:val="en-GB"/>
        </w:rPr>
        <w:t xml:space="preserve">, 39. </w:t>
      </w:r>
      <w:proofErr w:type="spellStart"/>
      <w:r w:rsidRPr="00A3151B">
        <w:rPr>
          <w:rFonts w:ascii="Times New Roman" w:hAnsi="Times New Roman" w:cs="Times New Roman"/>
          <w:sz w:val="20"/>
          <w:szCs w:val="20"/>
          <w:lang w:val="en-GB"/>
        </w:rPr>
        <w:t>Dodds</w:t>
      </w:r>
      <w:proofErr w:type="spellEnd"/>
      <w:r w:rsidRPr="00A3151B">
        <w:rPr>
          <w:rFonts w:ascii="Times New Roman" w:hAnsi="Times New Roman" w:cs="Times New Roman"/>
          <w:sz w:val="20"/>
          <w:szCs w:val="20"/>
          <w:lang w:val="en-GB"/>
        </w:rPr>
        <w:t xml:space="preserve">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4</w:t>
      </w:r>
      <w:r w:rsidR="006F6984" w:rsidRPr="00A3151B">
        <w:rPr>
          <w:rFonts w:ascii="Times New Roman" w:hAnsi="Times New Roman" w:cs="Times New Roman"/>
          <w:sz w:val="20"/>
          <w:szCs w:val="20"/>
          <w:lang w:val="en-GB"/>
        </w:rPr>
        <w:t>4</w:t>
      </w:r>
      <w:r w:rsidRPr="00A3151B">
        <w:rPr>
          <w:rFonts w:ascii="Times New Roman" w:hAnsi="Times New Roman" w:cs="Times New Roman"/>
          <w:sz w:val="20"/>
          <w:szCs w:val="20"/>
          <w:lang w:val="en-GB"/>
        </w:rPr>
        <w:t>, 197-201.</w:t>
      </w:r>
    </w:p>
  </w:footnote>
  <w:footnote w:id="68">
    <w:p w14:paraId="34760D30" w14:textId="7A14CD47" w:rsidR="009C0E8C" w:rsidRPr="00A3151B" w:rsidRDefault="009C0E8C" w:rsidP="002F1329">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proofErr w:type="spellStart"/>
      <w:r w:rsidRPr="00A3151B">
        <w:rPr>
          <w:rFonts w:ascii="Times New Roman" w:hAnsi="Times New Roman" w:cs="Times New Roman"/>
          <w:sz w:val="20"/>
          <w:szCs w:val="20"/>
          <w:lang w:val="en-GB"/>
        </w:rPr>
        <w:t>Dodds</w:t>
      </w:r>
      <w:proofErr w:type="spellEnd"/>
      <w:r w:rsidRPr="00A3151B">
        <w:rPr>
          <w:rFonts w:ascii="Times New Roman" w:hAnsi="Times New Roman" w:cs="Times New Roman"/>
          <w:sz w:val="20"/>
          <w:szCs w:val="20"/>
          <w:lang w:val="en-GB"/>
        </w:rPr>
        <w:t xml:space="preserve">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4</w:t>
      </w:r>
      <w:r w:rsidR="006F6984" w:rsidRPr="00A3151B">
        <w:rPr>
          <w:rFonts w:ascii="Times New Roman" w:hAnsi="Times New Roman" w:cs="Times New Roman"/>
          <w:sz w:val="20"/>
          <w:szCs w:val="20"/>
          <w:lang w:val="en-GB"/>
        </w:rPr>
        <w:t>4</w:t>
      </w:r>
      <w:r w:rsidRPr="00A3151B">
        <w:rPr>
          <w:rFonts w:ascii="Times New Roman" w:hAnsi="Times New Roman" w:cs="Times New Roman"/>
          <w:sz w:val="20"/>
          <w:szCs w:val="20"/>
          <w:lang w:val="en-GB"/>
        </w:rPr>
        <w:t>, 198.</w:t>
      </w:r>
    </w:p>
  </w:footnote>
  <w:footnote w:id="69">
    <w:p w14:paraId="569A91C1" w14:textId="6867121C" w:rsidR="009C0E8C" w:rsidRPr="00A3151B" w:rsidRDefault="009C0E8C" w:rsidP="002F1329">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w:t>
      </w:r>
      <w:r w:rsidR="007850D9" w:rsidRPr="00A3151B">
        <w:rPr>
          <w:rFonts w:ascii="Times New Roman" w:hAnsi="Times New Roman" w:cs="Times New Roman"/>
          <w:iCs/>
          <w:sz w:val="20"/>
          <w:szCs w:val="20"/>
          <w:lang w:val="en-GB"/>
        </w:rPr>
        <w:t xml:space="preserve">A </w:t>
      </w:r>
      <w:proofErr w:type="spellStart"/>
      <w:r w:rsidR="007850D9" w:rsidRPr="00A3151B">
        <w:rPr>
          <w:rFonts w:ascii="Times New Roman" w:hAnsi="Times New Roman" w:cs="Times New Roman"/>
          <w:iCs/>
          <w:sz w:val="20"/>
          <w:szCs w:val="20"/>
          <w:lang w:val="en-GB"/>
        </w:rPr>
        <w:t>Westlund</w:t>
      </w:r>
      <w:proofErr w:type="spellEnd"/>
      <w:r w:rsidR="007850D9" w:rsidRPr="00A3151B">
        <w:rPr>
          <w:rFonts w:ascii="Times New Roman" w:hAnsi="Times New Roman" w:cs="Times New Roman"/>
          <w:iCs/>
          <w:sz w:val="20"/>
          <w:szCs w:val="20"/>
          <w:lang w:val="en-GB"/>
        </w:rPr>
        <w:t>, ‘</w:t>
      </w:r>
      <w:r w:rsidR="007850D9" w:rsidRPr="00A3151B">
        <w:rPr>
          <w:rFonts w:ascii="Times New Roman" w:hAnsi="Times New Roman" w:cs="Times New Roman"/>
          <w:sz w:val="20"/>
          <w:szCs w:val="20"/>
          <w:lang w:val="en-GB"/>
        </w:rPr>
        <w:t xml:space="preserve">Relational autonomy and practical authority’ in P </w:t>
      </w:r>
      <w:proofErr w:type="spellStart"/>
      <w:r w:rsidR="007850D9" w:rsidRPr="00A3151B">
        <w:rPr>
          <w:rFonts w:ascii="Times New Roman" w:hAnsi="Times New Roman" w:cs="Times New Roman"/>
          <w:sz w:val="20"/>
          <w:szCs w:val="20"/>
          <w:lang w:val="en-GB"/>
        </w:rPr>
        <w:t>Garavaso</w:t>
      </w:r>
      <w:proofErr w:type="spellEnd"/>
      <w:r w:rsidR="007850D9" w:rsidRPr="00A3151B">
        <w:rPr>
          <w:rFonts w:ascii="Times New Roman" w:hAnsi="Times New Roman" w:cs="Times New Roman"/>
          <w:sz w:val="20"/>
          <w:szCs w:val="20"/>
          <w:lang w:val="en-GB"/>
        </w:rPr>
        <w:t xml:space="preserve"> (ed), </w:t>
      </w:r>
      <w:r w:rsidR="007850D9" w:rsidRPr="00A3151B">
        <w:rPr>
          <w:rFonts w:ascii="Times New Roman" w:hAnsi="Times New Roman" w:cs="Times New Roman"/>
          <w:i/>
          <w:sz w:val="20"/>
          <w:szCs w:val="20"/>
          <w:lang w:val="en-GB"/>
        </w:rPr>
        <w:t>The Bloomsbury companion to analytic feminism</w:t>
      </w:r>
      <w:r w:rsidR="007850D9" w:rsidRPr="00A3151B">
        <w:rPr>
          <w:rFonts w:ascii="Times New Roman" w:hAnsi="Times New Roman" w:cs="Times New Roman"/>
          <w:sz w:val="20"/>
          <w:szCs w:val="20"/>
          <w:lang w:val="en-GB"/>
        </w:rPr>
        <w:t xml:space="preserve"> (London and New York: Bloomsbury, 2018), 375-93, 381.</w:t>
      </w:r>
      <w:r w:rsidR="007850D9" w:rsidRPr="00A3151B">
        <w:rPr>
          <w:rFonts w:ascii="Times New Roman" w:hAnsi="Times New Roman" w:cs="Times New Roman"/>
          <w:sz w:val="20"/>
          <w:szCs w:val="20"/>
          <w:lang w:val="en-GB"/>
        </w:rPr>
        <w:t xml:space="preserve"> </w:t>
      </w:r>
      <w:r w:rsidRPr="00A3151B">
        <w:rPr>
          <w:rFonts w:ascii="Times New Roman" w:hAnsi="Times New Roman" w:cs="Times New Roman"/>
          <w:sz w:val="20"/>
          <w:szCs w:val="20"/>
          <w:lang w:val="en-GB"/>
        </w:rPr>
        <w:t xml:space="preserve">Analytic feminists have a long-standing concern for conceptions of consent and refusal as well as the exacerbation of pathogenic vulnerabilities through ‘illocutionary disablement’. </w:t>
      </w:r>
      <w:r w:rsidRPr="00A3151B">
        <w:rPr>
          <w:rFonts w:ascii="Times New Roman" w:hAnsi="Times New Roman" w:cs="Times New Roman"/>
          <w:i/>
          <w:sz w:val="20"/>
          <w:szCs w:val="20"/>
          <w:lang w:val="en-GB"/>
        </w:rPr>
        <w:t>E.g.</w:t>
      </w:r>
      <w:r w:rsidRPr="00A3151B">
        <w:rPr>
          <w:rFonts w:ascii="Times New Roman" w:hAnsi="Times New Roman" w:cs="Times New Roman"/>
          <w:sz w:val="20"/>
          <w:szCs w:val="20"/>
          <w:lang w:val="en-GB"/>
        </w:rPr>
        <w:t xml:space="preserve">, J Hornsby &amp; R Langton, ‘Free speech and illocution’, (1998) </w:t>
      </w:r>
      <w:r w:rsidRPr="00A3151B">
        <w:rPr>
          <w:rFonts w:ascii="Times New Roman" w:hAnsi="Times New Roman" w:cs="Times New Roman"/>
          <w:i/>
          <w:iCs/>
          <w:sz w:val="20"/>
          <w:szCs w:val="20"/>
          <w:lang w:val="en-GB"/>
        </w:rPr>
        <w:t>Legal Theory</w:t>
      </w:r>
      <w:r w:rsidRPr="00A3151B">
        <w:rPr>
          <w:rFonts w:ascii="Times New Roman" w:hAnsi="Times New Roman" w:cs="Times New Roman"/>
          <w:sz w:val="20"/>
          <w:szCs w:val="20"/>
          <w:lang w:val="en-GB"/>
        </w:rPr>
        <w:t xml:space="preserve"> 4(1), 21–37; R Langton, </w:t>
      </w:r>
      <w:r w:rsidRPr="00A3151B">
        <w:rPr>
          <w:rFonts w:ascii="Times New Roman" w:hAnsi="Times New Roman" w:cs="Times New Roman"/>
          <w:i/>
          <w:sz w:val="20"/>
          <w:szCs w:val="20"/>
          <w:lang w:val="en-GB"/>
        </w:rPr>
        <w:t xml:space="preserve">Sexual solipsism: </w:t>
      </w:r>
      <w:r w:rsidRPr="00A3151B">
        <w:rPr>
          <w:rFonts w:ascii="Times New Roman" w:hAnsi="Times New Roman" w:cs="Times New Roman"/>
          <w:i/>
          <w:iCs/>
          <w:sz w:val="20"/>
          <w:szCs w:val="20"/>
          <w:lang w:val="en-GB"/>
        </w:rPr>
        <w:t>Philosophical essays on pornography and objectification</w:t>
      </w:r>
      <w:r w:rsidRPr="00A3151B">
        <w:rPr>
          <w:rFonts w:ascii="Times New Roman" w:hAnsi="Times New Roman" w:cs="Times New Roman"/>
          <w:sz w:val="20"/>
          <w:szCs w:val="20"/>
          <w:lang w:val="en-GB"/>
        </w:rPr>
        <w:t xml:space="preserve"> (Oxford: Oxford University Press, 2009), 25-64; I Maitra &amp; MK McGowan, ‘Discussion: On silencing, rape, and responsibility’, (2010) </w:t>
      </w:r>
      <w:r w:rsidRPr="00A3151B">
        <w:rPr>
          <w:rFonts w:ascii="Times New Roman" w:hAnsi="Times New Roman" w:cs="Times New Roman"/>
          <w:i/>
          <w:iCs/>
          <w:sz w:val="20"/>
          <w:szCs w:val="20"/>
          <w:lang w:val="en-GB"/>
        </w:rPr>
        <w:t xml:space="preserve">Australasian Journal of Philosophy </w:t>
      </w:r>
      <w:r w:rsidRPr="00A3151B">
        <w:rPr>
          <w:rFonts w:ascii="Times New Roman" w:hAnsi="Times New Roman" w:cs="Times New Roman"/>
          <w:sz w:val="20"/>
          <w:szCs w:val="20"/>
          <w:lang w:val="en-GB"/>
        </w:rPr>
        <w:t xml:space="preserve">88(1), 167–72. </w:t>
      </w:r>
    </w:p>
  </w:footnote>
  <w:footnote w:id="70">
    <w:p w14:paraId="43C7F6DA" w14:textId="553B52EE" w:rsidR="009C0E8C" w:rsidRPr="00A3151B" w:rsidRDefault="009C0E8C" w:rsidP="002F1329">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Mackenzie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4</w:t>
      </w:r>
      <w:r w:rsidR="006F6984" w:rsidRPr="00A3151B">
        <w:rPr>
          <w:rFonts w:ascii="Times New Roman" w:hAnsi="Times New Roman" w:cs="Times New Roman"/>
          <w:sz w:val="20"/>
          <w:szCs w:val="20"/>
          <w:lang w:val="en-GB"/>
        </w:rPr>
        <w:t>7</w:t>
      </w:r>
      <w:r w:rsidRPr="00A3151B">
        <w:rPr>
          <w:rFonts w:ascii="Times New Roman" w:hAnsi="Times New Roman" w:cs="Times New Roman"/>
          <w:sz w:val="20"/>
          <w:szCs w:val="20"/>
          <w:lang w:val="en-GB"/>
        </w:rPr>
        <w:t>, 44.</w:t>
      </w:r>
    </w:p>
  </w:footnote>
  <w:footnote w:id="71">
    <w:p w14:paraId="5E108C89" w14:textId="7F098147" w:rsidR="009C0E8C" w:rsidRPr="00A3151B" w:rsidRDefault="009C0E8C" w:rsidP="00403734">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i/>
          <w:sz w:val="20"/>
          <w:szCs w:val="20"/>
        </w:rPr>
        <w:t>E.g.</w:t>
      </w:r>
      <w:r w:rsidRPr="00A3151B">
        <w:rPr>
          <w:rFonts w:ascii="Times New Roman" w:hAnsi="Times New Roman" w:cs="Times New Roman"/>
          <w:sz w:val="20"/>
          <w:szCs w:val="20"/>
        </w:rPr>
        <w:t xml:space="preserve">, J </w:t>
      </w:r>
      <w:r w:rsidRPr="00A3151B">
        <w:rPr>
          <w:rFonts w:ascii="Times New Roman" w:hAnsi="Times New Roman" w:cs="Times New Roman"/>
          <w:bCs/>
          <w:sz w:val="20"/>
          <w:szCs w:val="20"/>
          <w:lang w:val="en-GB"/>
        </w:rPr>
        <w:t xml:space="preserve">Anderson, ‘Autonomy and the authority of personal commitments: From internal coherence to social normativity.’ (2003) </w:t>
      </w:r>
      <w:r w:rsidRPr="00A3151B">
        <w:rPr>
          <w:rFonts w:ascii="Times New Roman" w:hAnsi="Times New Roman" w:cs="Times New Roman"/>
          <w:bCs/>
          <w:i/>
          <w:sz w:val="20"/>
          <w:szCs w:val="20"/>
          <w:lang w:val="en-GB"/>
        </w:rPr>
        <w:t>Philosophical Explorations</w:t>
      </w:r>
      <w:r w:rsidRPr="00A3151B">
        <w:rPr>
          <w:rFonts w:ascii="Times New Roman" w:hAnsi="Times New Roman" w:cs="Times New Roman"/>
          <w:bCs/>
          <w:sz w:val="20"/>
          <w:szCs w:val="20"/>
          <w:lang w:val="en-GB"/>
        </w:rPr>
        <w:t xml:space="preserve"> 6(2), 90-108; J Anderson &amp; A Honneth, ‘Autonomy, vulnerability, recognition, and justice’, in J </w:t>
      </w:r>
      <w:proofErr w:type="spellStart"/>
      <w:r w:rsidRPr="00A3151B">
        <w:rPr>
          <w:rFonts w:ascii="Times New Roman" w:hAnsi="Times New Roman" w:cs="Times New Roman"/>
          <w:bCs/>
          <w:sz w:val="20"/>
          <w:szCs w:val="20"/>
          <w:lang w:val="en-GB"/>
        </w:rPr>
        <w:t>Christman</w:t>
      </w:r>
      <w:proofErr w:type="spellEnd"/>
      <w:r w:rsidRPr="00A3151B">
        <w:rPr>
          <w:rFonts w:ascii="Times New Roman" w:hAnsi="Times New Roman" w:cs="Times New Roman"/>
          <w:bCs/>
          <w:sz w:val="20"/>
          <w:szCs w:val="20"/>
          <w:lang w:val="en-GB"/>
        </w:rPr>
        <w:t xml:space="preserve"> &amp; J Anderson (eds), </w:t>
      </w:r>
      <w:r w:rsidRPr="00A3151B">
        <w:rPr>
          <w:rFonts w:ascii="Times New Roman" w:hAnsi="Times New Roman" w:cs="Times New Roman"/>
          <w:bCs/>
          <w:i/>
          <w:iCs/>
          <w:sz w:val="20"/>
          <w:szCs w:val="20"/>
          <w:lang w:val="en-GB"/>
        </w:rPr>
        <w:t>Autonomy and the challenges to liberalism: New essays</w:t>
      </w:r>
      <w:r w:rsidRPr="00A3151B">
        <w:rPr>
          <w:rFonts w:ascii="Times New Roman" w:hAnsi="Times New Roman" w:cs="Times New Roman"/>
          <w:bCs/>
          <w:iCs/>
          <w:sz w:val="20"/>
          <w:szCs w:val="20"/>
          <w:lang w:val="en-GB"/>
        </w:rPr>
        <w:t xml:space="preserve"> (</w:t>
      </w:r>
      <w:r w:rsidRPr="00A3151B">
        <w:rPr>
          <w:rFonts w:ascii="Times New Roman" w:hAnsi="Times New Roman" w:cs="Times New Roman"/>
          <w:bCs/>
          <w:sz w:val="20"/>
          <w:szCs w:val="20"/>
          <w:lang w:val="en-GB"/>
        </w:rPr>
        <w:t xml:space="preserve">Cambridge: Cambridge University Press, 2005), 127-49; C Mackenzie, ‘Relational autonomy, normative authority and perfectionism’, (2008) </w:t>
      </w:r>
      <w:r w:rsidRPr="00A3151B">
        <w:rPr>
          <w:rFonts w:ascii="Times New Roman" w:hAnsi="Times New Roman" w:cs="Times New Roman"/>
          <w:bCs/>
          <w:i/>
          <w:sz w:val="20"/>
          <w:szCs w:val="20"/>
          <w:lang w:val="en-GB"/>
        </w:rPr>
        <w:t xml:space="preserve">Journal of Social Philosophy </w:t>
      </w:r>
      <w:r w:rsidRPr="00A3151B">
        <w:rPr>
          <w:rFonts w:ascii="Times New Roman" w:hAnsi="Times New Roman" w:cs="Times New Roman"/>
          <w:bCs/>
          <w:sz w:val="20"/>
          <w:szCs w:val="20"/>
          <w:lang w:val="en-GB"/>
        </w:rPr>
        <w:t xml:space="preserve">39(4), 512-33; A </w:t>
      </w:r>
      <w:proofErr w:type="spellStart"/>
      <w:r w:rsidRPr="00A3151B">
        <w:rPr>
          <w:rFonts w:ascii="Times New Roman" w:hAnsi="Times New Roman" w:cs="Times New Roman"/>
          <w:bCs/>
          <w:sz w:val="20"/>
          <w:szCs w:val="20"/>
          <w:lang w:val="en-GB"/>
        </w:rPr>
        <w:t>Westlund</w:t>
      </w:r>
      <w:proofErr w:type="spellEnd"/>
      <w:r w:rsidRPr="00A3151B">
        <w:rPr>
          <w:rFonts w:ascii="Times New Roman" w:hAnsi="Times New Roman" w:cs="Times New Roman"/>
          <w:bCs/>
          <w:sz w:val="20"/>
          <w:szCs w:val="20"/>
          <w:lang w:val="en-GB"/>
        </w:rPr>
        <w:t xml:space="preserve">, ‘Rethinking Relational Autonomy.’ (2009) </w:t>
      </w:r>
      <w:r w:rsidRPr="00A3151B">
        <w:rPr>
          <w:rFonts w:ascii="Times New Roman" w:hAnsi="Times New Roman" w:cs="Times New Roman"/>
          <w:bCs/>
          <w:i/>
          <w:sz w:val="20"/>
          <w:szCs w:val="20"/>
          <w:lang w:val="en-GB"/>
        </w:rPr>
        <w:t xml:space="preserve">Hypatia </w:t>
      </w:r>
      <w:r w:rsidRPr="00A3151B">
        <w:rPr>
          <w:rFonts w:ascii="Times New Roman" w:hAnsi="Times New Roman" w:cs="Times New Roman"/>
          <w:bCs/>
          <w:sz w:val="20"/>
          <w:szCs w:val="20"/>
          <w:lang w:val="en-GB"/>
        </w:rPr>
        <w:t xml:space="preserve">24(4), 26-69; Anderson </w:t>
      </w:r>
      <w:r w:rsidRPr="00A3151B">
        <w:rPr>
          <w:rFonts w:ascii="Times New Roman" w:hAnsi="Times New Roman" w:cs="Times New Roman"/>
          <w:bCs/>
          <w:i/>
          <w:sz w:val="20"/>
          <w:szCs w:val="20"/>
          <w:lang w:val="en-GB"/>
        </w:rPr>
        <w:t>op. cit.</w:t>
      </w:r>
      <w:r w:rsidRPr="00A3151B">
        <w:rPr>
          <w:rFonts w:ascii="Times New Roman" w:hAnsi="Times New Roman" w:cs="Times New Roman"/>
          <w:bCs/>
          <w:sz w:val="20"/>
          <w:szCs w:val="20"/>
          <w:lang w:val="en-GB"/>
        </w:rPr>
        <w:t xml:space="preserve"> note </w:t>
      </w:r>
      <w:r w:rsidR="003F2A1E" w:rsidRPr="00A3151B">
        <w:rPr>
          <w:rFonts w:ascii="Times New Roman" w:hAnsi="Times New Roman" w:cs="Times New Roman"/>
          <w:bCs/>
          <w:sz w:val="20"/>
          <w:szCs w:val="20"/>
          <w:lang w:val="en-GB"/>
        </w:rPr>
        <w:t>64</w:t>
      </w:r>
      <w:r w:rsidRPr="00A3151B">
        <w:rPr>
          <w:rFonts w:ascii="Times New Roman" w:hAnsi="Times New Roman" w:cs="Times New Roman"/>
          <w:bCs/>
          <w:sz w:val="20"/>
          <w:szCs w:val="20"/>
          <w:lang w:val="en-GB"/>
        </w:rPr>
        <w:t xml:space="preserve">; </w:t>
      </w:r>
      <w:r w:rsidRPr="00A3151B">
        <w:rPr>
          <w:rFonts w:ascii="Times New Roman" w:hAnsi="Times New Roman" w:cs="Times New Roman"/>
          <w:sz w:val="20"/>
          <w:szCs w:val="20"/>
          <w:lang w:val="en-GB"/>
        </w:rPr>
        <w:t xml:space="preserve">Mackenzie, Rogers and </w:t>
      </w:r>
      <w:proofErr w:type="spellStart"/>
      <w:r w:rsidRPr="00A3151B">
        <w:rPr>
          <w:rFonts w:ascii="Times New Roman" w:hAnsi="Times New Roman" w:cs="Times New Roman"/>
          <w:sz w:val="20"/>
          <w:szCs w:val="20"/>
          <w:lang w:val="en-GB"/>
        </w:rPr>
        <w:t>Dodds</w:t>
      </w:r>
      <w:proofErr w:type="spellEnd"/>
      <w:r w:rsidRPr="00A3151B">
        <w:rPr>
          <w:rFonts w:ascii="Times New Roman" w:hAnsi="Times New Roman" w:cs="Times New Roman"/>
          <w:sz w:val="20"/>
          <w:szCs w:val="20"/>
          <w:lang w:val="en-GB"/>
        </w:rPr>
        <w:t xml:space="preserve">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5</w:t>
      </w:r>
      <w:r w:rsidR="006F6984" w:rsidRPr="00A3151B">
        <w:rPr>
          <w:rFonts w:ascii="Times New Roman" w:hAnsi="Times New Roman" w:cs="Times New Roman"/>
          <w:sz w:val="20"/>
          <w:szCs w:val="20"/>
          <w:lang w:val="en-GB"/>
        </w:rPr>
        <w:t>1</w:t>
      </w:r>
      <w:r w:rsidRPr="00A3151B">
        <w:rPr>
          <w:rFonts w:ascii="Times New Roman" w:hAnsi="Times New Roman" w:cs="Times New Roman"/>
          <w:sz w:val="20"/>
          <w:szCs w:val="20"/>
          <w:lang w:val="en-GB"/>
        </w:rPr>
        <w:t xml:space="preserve">; </w:t>
      </w:r>
      <w:r w:rsidRPr="00A3151B">
        <w:rPr>
          <w:rFonts w:ascii="Times New Roman" w:hAnsi="Times New Roman" w:cs="Times New Roman"/>
          <w:bCs/>
          <w:sz w:val="20"/>
          <w:szCs w:val="20"/>
          <w:lang w:val="en-GB"/>
        </w:rPr>
        <w:t xml:space="preserve">C Mackenzie, ‘Responding to the agency dilemma: Autonomy, adaptive preferences, and internalized oppression’ in M Oshana (ed), </w:t>
      </w:r>
      <w:r w:rsidRPr="00A3151B">
        <w:rPr>
          <w:rFonts w:ascii="Times New Roman" w:hAnsi="Times New Roman" w:cs="Times New Roman"/>
          <w:bCs/>
          <w:i/>
          <w:iCs/>
          <w:sz w:val="20"/>
          <w:szCs w:val="20"/>
          <w:lang w:val="en-GB"/>
        </w:rPr>
        <w:t>Personal autonomy and social oppression</w:t>
      </w:r>
      <w:r w:rsidRPr="00A3151B">
        <w:rPr>
          <w:rFonts w:ascii="Times New Roman" w:hAnsi="Times New Roman" w:cs="Times New Roman"/>
          <w:bCs/>
          <w:sz w:val="20"/>
          <w:szCs w:val="20"/>
          <w:lang w:val="en-GB"/>
        </w:rPr>
        <w:t xml:space="preserve"> (New York: Routledge, 2015), 48-67; </w:t>
      </w:r>
      <w:proofErr w:type="spellStart"/>
      <w:r w:rsidRPr="00A3151B">
        <w:rPr>
          <w:rFonts w:ascii="Times New Roman" w:hAnsi="Times New Roman" w:cs="Times New Roman"/>
          <w:bCs/>
          <w:iCs/>
          <w:sz w:val="20"/>
          <w:szCs w:val="20"/>
          <w:lang w:val="en-GB"/>
        </w:rPr>
        <w:t>Westlund</w:t>
      </w:r>
      <w:proofErr w:type="spellEnd"/>
      <w:r w:rsidRPr="00A3151B">
        <w:rPr>
          <w:rFonts w:ascii="Times New Roman" w:hAnsi="Times New Roman" w:cs="Times New Roman"/>
          <w:bCs/>
          <w:iCs/>
          <w:sz w:val="20"/>
          <w:szCs w:val="20"/>
          <w:lang w:val="en-GB"/>
        </w:rPr>
        <w:t xml:space="preserve"> </w:t>
      </w:r>
      <w:r w:rsidRPr="00A3151B">
        <w:rPr>
          <w:rFonts w:ascii="Times New Roman" w:hAnsi="Times New Roman" w:cs="Times New Roman"/>
          <w:bCs/>
          <w:i/>
          <w:iCs/>
          <w:sz w:val="20"/>
          <w:szCs w:val="20"/>
          <w:lang w:val="en-GB"/>
        </w:rPr>
        <w:t>op. cit.</w:t>
      </w:r>
      <w:r w:rsidRPr="00A3151B">
        <w:rPr>
          <w:rFonts w:ascii="Times New Roman" w:hAnsi="Times New Roman" w:cs="Times New Roman"/>
          <w:bCs/>
          <w:iCs/>
          <w:sz w:val="20"/>
          <w:szCs w:val="20"/>
          <w:lang w:val="en-GB"/>
        </w:rPr>
        <w:t xml:space="preserve"> note 6</w:t>
      </w:r>
      <w:r w:rsidR="003F2A1E" w:rsidRPr="00A3151B">
        <w:rPr>
          <w:rFonts w:ascii="Times New Roman" w:hAnsi="Times New Roman" w:cs="Times New Roman"/>
          <w:bCs/>
          <w:iCs/>
          <w:sz w:val="20"/>
          <w:szCs w:val="20"/>
          <w:lang w:val="en-GB"/>
        </w:rPr>
        <w:t>9</w:t>
      </w:r>
      <w:r w:rsidRPr="00A3151B">
        <w:rPr>
          <w:rFonts w:ascii="Times New Roman" w:hAnsi="Times New Roman" w:cs="Times New Roman"/>
          <w:bCs/>
          <w:iCs/>
          <w:sz w:val="20"/>
          <w:szCs w:val="20"/>
          <w:lang w:val="en-GB"/>
        </w:rPr>
        <w:t xml:space="preserve">. </w:t>
      </w:r>
    </w:p>
  </w:footnote>
  <w:footnote w:id="72">
    <w:p w14:paraId="1B488F68" w14:textId="193DF7C6" w:rsidR="009C0E8C" w:rsidRPr="00A3151B" w:rsidRDefault="009C0E8C" w:rsidP="00403734">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i/>
          <w:sz w:val="20"/>
          <w:szCs w:val="20"/>
        </w:rPr>
        <w:t>E.g.</w:t>
      </w:r>
      <w:r w:rsidRPr="00A3151B">
        <w:rPr>
          <w:rFonts w:ascii="Times New Roman" w:hAnsi="Times New Roman" w:cs="Times New Roman"/>
          <w:sz w:val="20"/>
          <w:szCs w:val="20"/>
        </w:rPr>
        <w:t xml:space="preserve">, Fineman (2008) </w:t>
      </w:r>
      <w:r w:rsidRPr="00A3151B">
        <w:rPr>
          <w:rFonts w:ascii="Times New Roman" w:hAnsi="Times New Roman" w:cs="Times New Roman"/>
          <w:i/>
          <w:sz w:val="20"/>
          <w:szCs w:val="20"/>
        </w:rPr>
        <w:t>op. cit.</w:t>
      </w:r>
      <w:r w:rsidRPr="00A3151B">
        <w:rPr>
          <w:rFonts w:ascii="Times New Roman" w:hAnsi="Times New Roman" w:cs="Times New Roman"/>
          <w:sz w:val="20"/>
          <w:szCs w:val="20"/>
        </w:rPr>
        <w:t xml:space="preserve"> note </w:t>
      </w:r>
      <w:r w:rsidR="00A9624B" w:rsidRPr="00A3151B">
        <w:rPr>
          <w:rFonts w:ascii="Times New Roman" w:hAnsi="Times New Roman" w:cs="Times New Roman"/>
          <w:sz w:val="20"/>
          <w:szCs w:val="20"/>
        </w:rPr>
        <w:t>2</w:t>
      </w:r>
      <w:r w:rsidRPr="00A3151B">
        <w:rPr>
          <w:rFonts w:ascii="Times New Roman" w:hAnsi="Times New Roman" w:cs="Times New Roman"/>
          <w:sz w:val="20"/>
          <w:szCs w:val="20"/>
        </w:rPr>
        <w:t xml:space="preserve">; Fineman (2010) </w:t>
      </w:r>
      <w:r w:rsidRPr="00A3151B">
        <w:rPr>
          <w:rFonts w:ascii="Times New Roman" w:hAnsi="Times New Roman" w:cs="Times New Roman"/>
          <w:i/>
          <w:sz w:val="20"/>
          <w:szCs w:val="20"/>
        </w:rPr>
        <w:t>op. cit.</w:t>
      </w:r>
      <w:r w:rsidRPr="00A3151B">
        <w:rPr>
          <w:rFonts w:ascii="Times New Roman" w:hAnsi="Times New Roman" w:cs="Times New Roman"/>
          <w:sz w:val="20"/>
          <w:szCs w:val="20"/>
        </w:rPr>
        <w:t xml:space="preserve"> note </w:t>
      </w:r>
      <w:r w:rsidR="00A9624B" w:rsidRPr="00A3151B">
        <w:rPr>
          <w:rFonts w:ascii="Times New Roman" w:hAnsi="Times New Roman" w:cs="Times New Roman"/>
          <w:sz w:val="20"/>
          <w:szCs w:val="20"/>
        </w:rPr>
        <w:t>2</w:t>
      </w:r>
      <w:r w:rsidRPr="00A3151B">
        <w:rPr>
          <w:rFonts w:ascii="Times New Roman" w:hAnsi="Times New Roman" w:cs="Times New Roman"/>
          <w:sz w:val="20"/>
          <w:szCs w:val="20"/>
        </w:rPr>
        <w:t xml:space="preserve">; Clough (2014) </w:t>
      </w:r>
      <w:r w:rsidRPr="00A3151B">
        <w:rPr>
          <w:rFonts w:ascii="Times New Roman" w:hAnsi="Times New Roman" w:cs="Times New Roman"/>
          <w:i/>
          <w:iCs/>
          <w:sz w:val="20"/>
          <w:szCs w:val="20"/>
        </w:rPr>
        <w:t xml:space="preserve">op. cit. </w:t>
      </w:r>
      <w:r w:rsidRPr="00A3151B">
        <w:rPr>
          <w:rFonts w:ascii="Times New Roman" w:hAnsi="Times New Roman" w:cs="Times New Roman"/>
          <w:sz w:val="20"/>
          <w:szCs w:val="20"/>
        </w:rPr>
        <w:t xml:space="preserve">note </w:t>
      </w:r>
      <w:r w:rsidR="00A9624B" w:rsidRPr="00A3151B">
        <w:rPr>
          <w:rFonts w:ascii="Times New Roman" w:hAnsi="Times New Roman" w:cs="Times New Roman"/>
          <w:sz w:val="20"/>
          <w:szCs w:val="20"/>
        </w:rPr>
        <w:t>3</w:t>
      </w:r>
      <w:r w:rsidRPr="00A3151B">
        <w:rPr>
          <w:rFonts w:ascii="Times New Roman" w:hAnsi="Times New Roman" w:cs="Times New Roman"/>
          <w:sz w:val="20"/>
          <w:szCs w:val="20"/>
        </w:rPr>
        <w:t xml:space="preserve">; Lindsey </w:t>
      </w:r>
      <w:r w:rsidRPr="00A3151B">
        <w:rPr>
          <w:rFonts w:ascii="Times New Roman" w:hAnsi="Times New Roman" w:cs="Times New Roman"/>
          <w:i/>
          <w:iCs/>
          <w:sz w:val="20"/>
          <w:szCs w:val="20"/>
        </w:rPr>
        <w:t xml:space="preserve">op. cit. </w:t>
      </w:r>
      <w:r w:rsidRPr="00A3151B">
        <w:rPr>
          <w:rFonts w:ascii="Times New Roman" w:hAnsi="Times New Roman" w:cs="Times New Roman"/>
          <w:sz w:val="20"/>
          <w:szCs w:val="20"/>
        </w:rPr>
        <w:t xml:space="preserve">note </w:t>
      </w:r>
      <w:r w:rsidR="00A9624B" w:rsidRPr="00A3151B">
        <w:rPr>
          <w:rFonts w:ascii="Times New Roman" w:hAnsi="Times New Roman" w:cs="Times New Roman"/>
          <w:sz w:val="20"/>
          <w:szCs w:val="20"/>
        </w:rPr>
        <w:t>3</w:t>
      </w:r>
      <w:r w:rsidRPr="00A3151B">
        <w:rPr>
          <w:rFonts w:ascii="Times New Roman" w:hAnsi="Times New Roman" w:cs="Times New Roman"/>
          <w:sz w:val="20"/>
          <w:szCs w:val="20"/>
        </w:rPr>
        <w:t xml:space="preserve">; Clough (2017) </w:t>
      </w:r>
      <w:r w:rsidRPr="00A3151B">
        <w:rPr>
          <w:rFonts w:ascii="Times New Roman" w:hAnsi="Times New Roman" w:cs="Times New Roman"/>
          <w:i/>
          <w:iCs/>
          <w:sz w:val="20"/>
          <w:szCs w:val="20"/>
        </w:rPr>
        <w:t xml:space="preserve">op. cit. </w:t>
      </w:r>
      <w:r w:rsidRPr="00A3151B">
        <w:rPr>
          <w:rFonts w:ascii="Times New Roman" w:hAnsi="Times New Roman" w:cs="Times New Roman"/>
          <w:sz w:val="20"/>
          <w:szCs w:val="20"/>
        </w:rPr>
        <w:t xml:space="preserve">note </w:t>
      </w:r>
      <w:r w:rsidR="00A9624B" w:rsidRPr="00A3151B">
        <w:rPr>
          <w:rFonts w:ascii="Times New Roman" w:hAnsi="Times New Roman" w:cs="Times New Roman"/>
          <w:sz w:val="20"/>
          <w:szCs w:val="20"/>
        </w:rPr>
        <w:t>3</w:t>
      </w:r>
      <w:r w:rsidRPr="00A3151B">
        <w:rPr>
          <w:rFonts w:ascii="Times New Roman" w:hAnsi="Times New Roman" w:cs="Times New Roman"/>
          <w:sz w:val="20"/>
          <w:szCs w:val="20"/>
        </w:rPr>
        <w:t xml:space="preserve">; Wilson </w:t>
      </w:r>
      <w:r w:rsidRPr="00A3151B">
        <w:rPr>
          <w:rFonts w:ascii="Times New Roman" w:hAnsi="Times New Roman" w:cs="Times New Roman"/>
          <w:i/>
          <w:sz w:val="20"/>
          <w:szCs w:val="20"/>
        </w:rPr>
        <w:t>op. cit.</w:t>
      </w:r>
      <w:r w:rsidRPr="00A3151B">
        <w:rPr>
          <w:rFonts w:ascii="Times New Roman" w:hAnsi="Times New Roman" w:cs="Times New Roman"/>
          <w:sz w:val="20"/>
          <w:szCs w:val="20"/>
        </w:rPr>
        <w:t xml:space="preserve"> note </w:t>
      </w:r>
      <w:r w:rsidR="00A9624B" w:rsidRPr="00A3151B">
        <w:rPr>
          <w:rFonts w:ascii="Times New Roman" w:hAnsi="Times New Roman" w:cs="Times New Roman"/>
          <w:sz w:val="20"/>
          <w:szCs w:val="20"/>
        </w:rPr>
        <w:t>2</w:t>
      </w:r>
      <w:r w:rsidRPr="00A3151B">
        <w:rPr>
          <w:rFonts w:ascii="Times New Roman" w:hAnsi="Times New Roman" w:cs="Times New Roman"/>
          <w:sz w:val="20"/>
          <w:szCs w:val="20"/>
        </w:rPr>
        <w:t>.</w:t>
      </w:r>
    </w:p>
  </w:footnote>
  <w:footnote w:id="73">
    <w:p w14:paraId="49A69C30" w14:textId="0C33D861" w:rsidR="009C0E8C" w:rsidRPr="00A3151B" w:rsidRDefault="009C0E8C" w:rsidP="00141977">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i/>
          <w:iCs/>
          <w:sz w:val="20"/>
          <w:szCs w:val="20"/>
          <w:lang w:val="en-GB"/>
        </w:rPr>
        <w:t>E.g.,</w:t>
      </w:r>
      <w:r w:rsidRPr="00A3151B">
        <w:rPr>
          <w:rFonts w:ascii="Times New Roman" w:hAnsi="Times New Roman" w:cs="Times New Roman"/>
          <w:sz w:val="20"/>
          <w:szCs w:val="20"/>
          <w:lang w:val="en-GB"/>
        </w:rPr>
        <w:t xml:space="preserve"> Clough (2014) </w:t>
      </w:r>
      <w:r w:rsidRPr="00A3151B">
        <w:rPr>
          <w:rFonts w:ascii="Times New Roman" w:hAnsi="Times New Roman" w:cs="Times New Roman"/>
          <w:i/>
          <w:iCs/>
          <w:sz w:val="20"/>
          <w:szCs w:val="20"/>
          <w:lang w:val="en-GB"/>
        </w:rPr>
        <w:t xml:space="preserve">op. cit. </w:t>
      </w:r>
      <w:r w:rsidRPr="00A3151B">
        <w:rPr>
          <w:rFonts w:ascii="Times New Roman" w:hAnsi="Times New Roman" w:cs="Times New Roman"/>
          <w:sz w:val="20"/>
          <w:szCs w:val="20"/>
          <w:lang w:val="en-GB"/>
        </w:rPr>
        <w:t xml:space="preserve">note </w:t>
      </w:r>
      <w:r w:rsidR="00A9624B" w:rsidRPr="00A3151B">
        <w:rPr>
          <w:rFonts w:ascii="Times New Roman" w:hAnsi="Times New Roman" w:cs="Times New Roman"/>
          <w:sz w:val="20"/>
          <w:szCs w:val="20"/>
          <w:lang w:val="en-GB"/>
        </w:rPr>
        <w:t>3</w:t>
      </w:r>
      <w:r w:rsidRPr="00A3151B">
        <w:rPr>
          <w:rFonts w:ascii="Times New Roman" w:hAnsi="Times New Roman" w:cs="Times New Roman"/>
          <w:sz w:val="20"/>
          <w:szCs w:val="20"/>
          <w:lang w:val="en-GB"/>
        </w:rPr>
        <w:t xml:space="preserve">; </w:t>
      </w:r>
      <w:r w:rsidRPr="00A3151B">
        <w:rPr>
          <w:rFonts w:ascii="Times New Roman" w:hAnsi="Times New Roman" w:cs="Times New Roman"/>
          <w:sz w:val="20"/>
          <w:szCs w:val="20"/>
        </w:rPr>
        <w:t xml:space="preserve">Lindsey </w:t>
      </w:r>
      <w:r w:rsidRPr="00A3151B">
        <w:rPr>
          <w:rFonts w:ascii="Times New Roman" w:hAnsi="Times New Roman" w:cs="Times New Roman"/>
          <w:i/>
          <w:iCs/>
          <w:sz w:val="20"/>
          <w:szCs w:val="20"/>
        </w:rPr>
        <w:t xml:space="preserve">op. cit. </w:t>
      </w:r>
      <w:r w:rsidRPr="00A3151B">
        <w:rPr>
          <w:rFonts w:ascii="Times New Roman" w:hAnsi="Times New Roman" w:cs="Times New Roman"/>
          <w:sz w:val="20"/>
          <w:szCs w:val="20"/>
        </w:rPr>
        <w:t xml:space="preserve">note </w:t>
      </w:r>
      <w:r w:rsidR="00A9624B" w:rsidRPr="00A3151B">
        <w:rPr>
          <w:rFonts w:ascii="Times New Roman" w:hAnsi="Times New Roman" w:cs="Times New Roman"/>
          <w:sz w:val="20"/>
          <w:szCs w:val="20"/>
        </w:rPr>
        <w:t>3</w:t>
      </w:r>
      <w:r w:rsidRPr="00A3151B">
        <w:rPr>
          <w:rFonts w:ascii="Times New Roman" w:hAnsi="Times New Roman" w:cs="Times New Roman"/>
          <w:sz w:val="20"/>
          <w:szCs w:val="20"/>
        </w:rPr>
        <w:t xml:space="preserve">; Clough (2017) </w:t>
      </w:r>
      <w:r w:rsidRPr="00A3151B">
        <w:rPr>
          <w:rFonts w:ascii="Times New Roman" w:hAnsi="Times New Roman" w:cs="Times New Roman"/>
          <w:i/>
          <w:iCs/>
          <w:sz w:val="20"/>
          <w:szCs w:val="20"/>
        </w:rPr>
        <w:t xml:space="preserve">op. cit. </w:t>
      </w:r>
      <w:r w:rsidRPr="00A3151B">
        <w:rPr>
          <w:rFonts w:ascii="Times New Roman" w:hAnsi="Times New Roman" w:cs="Times New Roman"/>
          <w:sz w:val="20"/>
          <w:szCs w:val="20"/>
        </w:rPr>
        <w:t xml:space="preserve">note </w:t>
      </w:r>
      <w:r w:rsidR="00A9624B" w:rsidRPr="00A3151B">
        <w:rPr>
          <w:rFonts w:ascii="Times New Roman" w:hAnsi="Times New Roman" w:cs="Times New Roman"/>
          <w:sz w:val="20"/>
          <w:szCs w:val="20"/>
        </w:rPr>
        <w:t>3</w:t>
      </w:r>
      <w:r w:rsidRPr="00A3151B">
        <w:rPr>
          <w:rFonts w:ascii="Times New Roman" w:hAnsi="Times New Roman" w:cs="Times New Roman"/>
          <w:sz w:val="20"/>
          <w:szCs w:val="20"/>
        </w:rPr>
        <w:t xml:space="preserve">. Ultimately, the problem with these proposals is that they are, in part, informed by the suggestion that </w:t>
      </w:r>
      <w:r w:rsidRPr="00A3151B">
        <w:rPr>
          <w:rFonts w:ascii="Times New Roman" w:hAnsi="Times New Roman" w:cs="Times New Roman"/>
          <w:sz w:val="20"/>
          <w:szCs w:val="20"/>
          <w:lang w:val="en-GB"/>
        </w:rPr>
        <w:t>for those deemed to be capacitous, situational sources of vulnerability will remain undisclosed, meaning that they will be seen as ‘invulnerable’. However, as the case</w:t>
      </w:r>
      <w:r w:rsidR="00C73F22" w:rsidRPr="00A3151B">
        <w:rPr>
          <w:rFonts w:ascii="Times New Roman" w:hAnsi="Times New Roman" w:cs="Times New Roman"/>
          <w:sz w:val="20"/>
          <w:szCs w:val="20"/>
          <w:lang w:val="en-GB"/>
        </w:rPr>
        <w:t>s</w:t>
      </w:r>
      <w:r w:rsidRPr="00A3151B">
        <w:rPr>
          <w:rFonts w:ascii="Times New Roman" w:hAnsi="Times New Roman" w:cs="Times New Roman"/>
          <w:sz w:val="20"/>
          <w:szCs w:val="20"/>
          <w:lang w:val="en-GB"/>
        </w:rPr>
        <w:t xml:space="preserve"> of Mr Mazhar</w:t>
      </w:r>
      <w:r w:rsidR="00C73F22" w:rsidRPr="00A3151B">
        <w:rPr>
          <w:rFonts w:ascii="Times New Roman" w:hAnsi="Times New Roman" w:cs="Times New Roman"/>
          <w:sz w:val="20"/>
          <w:szCs w:val="20"/>
          <w:lang w:val="en-GB"/>
        </w:rPr>
        <w:t xml:space="preserve"> and TZ</w:t>
      </w:r>
      <w:r w:rsidRPr="00A3151B">
        <w:rPr>
          <w:rFonts w:ascii="Times New Roman" w:hAnsi="Times New Roman" w:cs="Times New Roman"/>
          <w:sz w:val="20"/>
          <w:szCs w:val="20"/>
          <w:lang w:val="en-GB"/>
        </w:rPr>
        <w:t xml:space="preserve"> demonstrate, situational sources of vulnerability do inform common law responses in ways that undermine a capacitous vulnerable adult’s ability to exercise their autonomy. Therefore, one cannot reasonably assume that mere capacity is sufficient to protect a vulnerable individual’s autonomy at law. </w:t>
      </w:r>
      <w:r w:rsidRPr="00A3151B">
        <w:rPr>
          <w:rFonts w:ascii="Times New Roman" w:hAnsi="Times New Roman" w:cs="Times New Roman"/>
          <w:sz w:val="20"/>
          <w:szCs w:val="20"/>
        </w:rPr>
        <w:t xml:space="preserve">Nevertheless, as shall be shown in section 4, some of Lindsey’s and Clough’s respective proposals regarding the common law treatment of vulnerable adults can be usefully appropriated to enhance this paper’s proposal for capturing and promoting the autonomy of capacitous vulnerable adults.   </w:t>
      </w:r>
    </w:p>
  </w:footnote>
  <w:footnote w:id="74">
    <w:p w14:paraId="68D90DE6" w14:textId="546C9F7C" w:rsidR="009C0E8C" w:rsidRPr="00A3151B" w:rsidRDefault="009C0E8C" w:rsidP="00141977">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i/>
          <w:iCs/>
          <w:sz w:val="20"/>
          <w:szCs w:val="20"/>
          <w:lang w:val="en-GB"/>
        </w:rPr>
        <w:t>E.g.,</w:t>
      </w:r>
      <w:r w:rsidRPr="00A3151B">
        <w:rPr>
          <w:rFonts w:ascii="Times New Roman" w:hAnsi="Times New Roman" w:cs="Times New Roman"/>
          <w:sz w:val="20"/>
          <w:szCs w:val="20"/>
          <w:lang w:val="en-GB"/>
        </w:rPr>
        <w:t xml:space="preserve"> </w:t>
      </w:r>
      <w:r w:rsidRPr="00A3151B">
        <w:rPr>
          <w:rFonts w:ascii="Times New Roman" w:hAnsi="Times New Roman" w:cs="Times New Roman"/>
          <w:sz w:val="20"/>
          <w:szCs w:val="20"/>
        </w:rPr>
        <w:t xml:space="preserve">Fineman (2008) </w:t>
      </w:r>
      <w:r w:rsidRPr="00A3151B">
        <w:rPr>
          <w:rFonts w:ascii="Times New Roman" w:hAnsi="Times New Roman" w:cs="Times New Roman"/>
          <w:i/>
          <w:sz w:val="20"/>
          <w:szCs w:val="20"/>
        </w:rPr>
        <w:t>op. cit.</w:t>
      </w:r>
      <w:r w:rsidRPr="00A3151B">
        <w:rPr>
          <w:rFonts w:ascii="Times New Roman" w:hAnsi="Times New Roman" w:cs="Times New Roman"/>
          <w:sz w:val="20"/>
          <w:szCs w:val="20"/>
        </w:rPr>
        <w:t xml:space="preserve"> note </w:t>
      </w:r>
      <w:r w:rsidR="00A9624B" w:rsidRPr="00A3151B">
        <w:rPr>
          <w:rFonts w:ascii="Times New Roman" w:hAnsi="Times New Roman" w:cs="Times New Roman"/>
          <w:sz w:val="20"/>
          <w:szCs w:val="20"/>
        </w:rPr>
        <w:t>2</w:t>
      </w:r>
      <w:r w:rsidRPr="00A3151B">
        <w:rPr>
          <w:rFonts w:ascii="Times New Roman" w:hAnsi="Times New Roman" w:cs="Times New Roman"/>
          <w:sz w:val="20"/>
          <w:szCs w:val="20"/>
        </w:rPr>
        <w:t xml:space="preserve">; Fineman (2010) </w:t>
      </w:r>
      <w:r w:rsidRPr="00A3151B">
        <w:rPr>
          <w:rFonts w:ascii="Times New Roman" w:hAnsi="Times New Roman" w:cs="Times New Roman"/>
          <w:i/>
          <w:sz w:val="20"/>
          <w:szCs w:val="20"/>
        </w:rPr>
        <w:t>op. cit.</w:t>
      </w:r>
      <w:r w:rsidRPr="00A3151B">
        <w:rPr>
          <w:rFonts w:ascii="Times New Roman" w:hAnsi="Times New Roman" w:cs="Times New Roman"/>
          <w:sz w:val="20"/>
          <w:szCs w:val="20"/>
        </w:rPr>
        <w:t xml:space="preserve"> note </w:t>
      </w:r>
      <w:r w:rsidR="00A9624B" w:rsidRPr="00A3151B">
        <w:rPr>
          <w:rFonts w:ascii="Times New Roman" w:hAnsi="Times New Roman" w:cs="Times New Roman"/>
          <w:sz w:val="20"/>
          <w:szCs w:val="20"/>
        </w:rPr>
        <w:t>2</w:t>
      </w:r>
      <w:r w:rsidRPr="00A3151B">
        <w:rPr>
          <w:rFonts w:ascii="Times New Roman" w:hAnsi="Times New Roman" w:cs="Times New Roman"/>
          <w:sz w:val="20"/>
          <w:szCs w:val="20"/>
        </w:rPr>
        <w:t xml:space="preserve">; Wilson </w:t>
      </w:r>
      <w:r w:rsidRPr="00A3151B">
        <w:rPr>
          <w:rFonts w:ascii="Times New Roman" w:hAnsi="Times New Roman" w:cs="Times New Roman"/>
          <w:i/>
          <w:sz w:val="20"/>
          <w:szCs w:val="20"/>
        </w:rPr>
        <w:t>op. cit.</w:t>
      </w:r>
      <w:r w:rsidRPr="00A3151B">
        <w:rPr>
          <w:rFonts w:ascii="Times New Roman" w:hAnsi="Times New Roman" w:cs="Times New Roman"/>
          <w:sz w:val="20"/>
          <w:szCs w:val="20"/>
        </w:rPr>
        <w:t xml:space="preserve"> note </w:t>
      </w:r>
      <w:r w:rsidR="00A9624B" w:rsidRPr="00A3151B">
        <w:rPr>
          <w:rFonts w:ascii="Times New Roman" w:hAnsi="Times New Roman" w:cs="Times New Roman"/>
          <w:sz w:val="20"/>
          <w:szCs w:val="20"/>
        </w:rPr>
        <w:t>2</w:t>
      </w:r>
      <w:r w:rsidRPr="00A3151B">
        <w:rPr>
          <w:rFonts w:ascii="Times New Roman" w:hAnsi="Times New Roman" w:cs="Times New Roman"/>
          <w:sz w:val="20"/>
          <w:szCs w:val="20"/>
        </w:rPr>
        <w:t xml:space="preserve">. </w:t>
      </w:r>
      <w:r w:rsidR="00831FC0" w:rsidRPr="00A3151B">
        <w:rPr>
          <w:rFonts w:ascii="Times New Roman" w:hAnsi="Times New Roman" w:cs="Times New Roman"/>
          <w:sz w:val="20"/>
          <w:szCs w:val="20"/>
        </w:rPr>
        <w:t>S</w:t>
      </w:r>
      <w:r w:rsidRPr="00A3151B">
        <w:rPr>
          <w:rFonts w:ascii="Times New Roman" w:hAnsi="Times New Roman" w:cs="Times New Roman"/>
          <w:sz w:val="20"/>
          <w:szCs w:val="20"/>
        </w:rPr>
        <w:t>ection 4 shows how some of Wilson’s ideas can complement this paper’s proposal for capturing and promoting the autonomy of capacitous vulnerable adults.</w:t>
      </w:r>
    </w:p>
  </w:footnote>
  <w:footnote w:id="75">
    <w:p w14:paraId="35C223CA" w14:textId="3E570395" w:rsidR="009C0E8C" w:rsidRPr="00A3151B" w:rsidRDefault="009C0E8C" w:rsidP="00141977">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Fineman (2008) </w:t>
      </w:r>
      <w:r w:rsidRPr="00A3151B">
        <w:rPr>
          <w:rFonts w:ascii="Times New Roman" w:hAnsi="Times New Roman" w:cs="Times New Roman"/>
          <w:i/>
          <w:sz w:val="20"/>
          <w:szCs w:val="20"/>
        </w:rPr>
        <w:t>op. cit.</w:t>
      </w:r>
      <w:r w:rsidRPr="00A3151B">
        <w:rPr>
          <w:rFonts w:ascii="Times New Roman" w:hAnsi="Times New Roman" w:cs="Times New Roman"/>
          <w:sz w:val="20"/>
          <w:szCs w:val="20"/>
        </w:rPr>
        <w:t xml:space="preserve"> note </w:t>
      </w:r>
      <w:r w:rsidR="00A9624B" w:rsidRPr="00A3151B">
        <w:rPr>
          <w:rFonts w:ascii="Times New Roman" w:hAnsi="Times New Roman" w:cs="Times New Roman"/>
          <w:sz w:val="20"/>
          <w:szCs w:val="20"/>
        </w:rPr>
        <w:t>2</w:t>
      </w:r>
      <w:r w:rsidRPr="00A3151B">
        <w:rPr>
          <w:rFonts w:ascii="Times New Roman" w:hAnsi="Times New Roman" w:cs="Times New Roman"/>
          <w:sz w:val="20"/>
          <w:szCs w:val="20"/>
        </w:rPr>
        <w:t>, 8.</w:t>
      </w:r>
    </w:p>
  </w:footnote>
  <w:footnote w:id="76">
    <w:p w14:paraId="1DD68581" w14:textId="3A02C7AE" w:rsidR="009C0E8C" w:rsidRPr="00A3151B" w:rsidRDefault="009C0E8C" w:rsidP="00141977">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i/>
          <w:sz w:val="20"/>
          <w:szCs w:val="20"/>
          <w:lang w:val="en-GB"/>
        </w:rPr>
        <w:t>ibid.</w:t>
      </w:r>
      <w:r w:rsidRPr="00A3151B">
        <w:rPr>
          <w:rFonts w:ascii="Times New Roman" w:hAnsi="Times New Roman" w:cs="Times New Roman"/>
          <w:sz w:val="20"/>
          <w:szCs w:val="20"/>
          <w:lang w:val="en-GB"/>
        </w:rPr>
        <w:t>, 12</w:t>
      </w:r>
    </w:p>
  </w:footnote>
  <w:footnote w:id="77">
    <w:p w14:paraId="04E69D15" w14:textId="18058843" w:rsidR="009C0E8C" w:rsidRPr="00A3151B" w:rsidRDefault="009C0E8C" w:rsidP="00141977">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sz w:val="20"/>
          <w:szCs w:val="20"/>
          <w:lang w:val="en-GB"/>
        </w:rPr>
        <w:t xml:space="preserve">Mackenzie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4</w:t>
      </w:r>
      <w:r w:rsidR="006F6984" w:rsidRPr="00A3151B">
        <w:rPr>
          <w:rFonts w:ascii="Times New Roman" w:hAnsi="Times New Roman" w:cs="Times New Roman"/>
          <w:sz w:val="20"/>
          <w:szCs w:val="20"/>
          <w:lang w:val="en-GB"/>
        </w:rPr>
        <w:t>7</w:t>
      </w:r>
      <w:r w:rsidRPr="00A3151B">
        <w:rPr>
          <w:rFonts w:ascii="Times New Roman" w:hAnsi="Times New Roman" w:cs="Times New Roman"/>
          <w:sz w:val="20"/>
          <w:szCs w:val="20"/>
          <w:lang w:val="en-GB"/>
        </w:rPr>
        <w:t>.</w:t>
      </w:r>
    </w:p>
  </w:footnote>
  <w:footnote w:id="78">
    <w:p w14:paraId="273FAB28" w14:textId="1AE7FE83" w:rsidR="009C0E8C" w:rsidRPr="00A3151B" w:rsidRDefault="009C0E8C">
      <w:pPr>
        <w:pStyle w:val="FootnoteText"/>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sz w:val="20"/>
          <w:szCs w:val="20"/>
          <w:lang w:val="en-GB"/>
        </w:rPr>
        <w:t xml:space="preserve">Wilson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w:t>
      </w:r>
      <w:r w:rsidR="00A9624B" w:rsidRPr="00A3151B">
        <w:rPr>
          <w:rFonts w:ascii="Times New Roman" w:hAnsi="Times New Roman" w:cs="Times New Roman"/>
          <w:sz w:val="20"/>
          <w:szCs w:val="20"/>
          <w:lang w:val="en-GB"/>
        </w:rPr>
        <w:t>2</w:t>
      </w:r>
      <w:r w:rsidRPr="00A3151B">
        <w:rPr>
          <w:rFonts w:ascii="Times New Roman" w:hAnsi="Times New Roman" w:cs="Times New Roman"/>
          <w:sz w:val="20"/>
          <w:szCs w:val="20"/>
          <w:lang w:val="en-GB"/>
        </w:rPr>
        <w:t>, 31.</w:t>
      </w:r>
    </w:p>
  </w:footnote>
  <w:footnote w:id="79">
    <w:p w14:paraId="282EE290" w14:textId="12489480" w:rsidR="009C0E8C" w:rsidRPr="00A3151B" w:rsidRDefault="009C0E8C">
      <w:pPr>
        <w:pStyle w:val="FootnoteText"/>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i/>
          <w:sz w:val="20"/>
          <w:szCs w:val="20"/>
          <w:lang w:val="en-GB"/>
        </w:rPr>
        <w:t>ibid.</w:t>
      </w:r>
      <w:r w:rsidRPr="00A3151B">
        <w:rPr>
          <w:rFonts w:ascii="Times New Roman" w:hAnsi="Times New Roman" w:cs="Times New Roman"/>
          <w:sz w:val="20"/>
          <w:szCs w:val="20"/>
          <w:lang w:val="en-GB"/>
        </w:rPr>
        <w:t xml:space="preserve">, 38-47.  </w:t>
      </w:r>
    </w:p>
  </w:footnote>
  <w:footnote w:id="80">
    <w:p w14:paraId="3657E9D6" w14:textId="155F4707" w:rsidR="009C0E8C" w:rsidRPr="00A3151B" w:rsidRDefault="009C0E8C">
      <w:pPr>
        <w:pStyle w:val="FootnoteText"/>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i/>
          <w:sz w:val="20"/>
          <w:szCs w:val="20"/>
          <w:lang w:val="en-GB"/>
        </w:rPr>
        <w:t>ibid.</w:t>
      </w:r>
      <w:r w:rsidRPr="00A3151B">
        <w:rPr>
          <w:rFonts w:ascii="Times New Roman" w:hAnsi="Times New Roman" w:cs="Times New Roman"/>
          <w:sz w:val="20"/>
          <w:szCs w:val="20"/>
          <w:lang w:val="en-GB"/>
        </w:rPr>
        <w:t>, 31-2.</w:t>
      </w:r>
    </w:p>
  </w:footnote>
  <w:footnote w:id="81">
    <w:p w14:paraId="06099AD2" w14:textId="685550CC" w:rsidR="009C0E8C" w:rsidRPr="00A3151B" w:rsidRDefault="009C0E8C">
      <w:pPr>
        <w:pStyle w:val="FootnoteText"/>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i/>
          <w:sz w:val="20"/>
          <w:szCs w:val="20"/>
          <w:lang w:val="en-GB"/>
        </w:rPr>
        <w:t>ibid.</w:t>
      </w:r>
      <w:r w:rsidRPr="00A3151B">
        <w:rPr>
          <w:rFonts w:ascii="Times New Roman" w:hAnsi="Times New Roman" w:cs="Times New Roman"/>
          <w:sz w:val="20"/>
          <w:szCs w:val="20"/>
          <w:lang w:val="en-GB"/>
        </w:rPr>
        <w:t>, 33.</w:t>
      </w:r>
    </w:p>
  </w:footnote>
  <w:footnote w:id="82">
    <w:p w14:paraId="73A004BA" w14:textId="69CE60A1" w:rsidR="009C0E8C" w:rsidRPr="00A3151B" w:rsidRDefault="009C0E8C">
      <w:pPr>
        <w:pStyle w:val="FootnoteText"/>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i/>
          <w:sz w:val="20"/>
          <w:szCs w:val="20"/>
          <w:lang w:val="en-GB"/>
        </w:rPr>
        <w:t>ibid.</w:t>
      </w:r>
      <w:r w:rsidRPr="00A3151B">
        <w:rPr>
          <w:rFonts w:ascii="Times New Roman" w:hAnsi="Times New Roman" w:cs="Times New Roman"/>
          <w:sz w:val="20"/>
          <w:szCs w:val="20"/>
          <w:lang w:val="en-GB"/>
        </w:rPr>
        <w:t xml:space="preserve">, 55-6. </w:t>
      </w:r>
    </w:p>
  </w:footnote>
  <w:footnote w:id="83">
    <w:p w14:paraId="360C6A44" w14:textId="09A98380" w:rsidR="009C0E8C" w:rsidRPr="00A3151B" w:rsidRDefault="009C0E8C" w:rsidP="007539E1">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sz w:val="20"/>
          <w:szCs w:val="20"/>
          <w:lang w:val="en-GB"/>
        </w:rPr>
        <w:t>Because Herring and Wall (</w:t>
      </w:r>
      <w:r w:rsidRPr="00A3151B">
        <w:rPr>
          <w:rFonts w:ascii="Times New Roman" w:hAnsi="Times New Roman" w:cs="Times New Roman"/>
          <w:i/>
          <w:iCs/>
          <w:sz w:val="20"/>
          <w:szCs w:val="20"/>
          <w:lang w:val="en-GB"/>
        </w:rPr>
        <w:t xml:space="preserve">op. cit. </w:t>
      </w:r>
      <w:r w:rsidRPr="00A3151B">
        <w:rPr>
          <w:rFonts w:ascii="Times New Roman" w:hAnsi="Times New Roman" w:cs="Times New Roman"/>
          <w:sz w:val="20"/>
          <w:szCs w:val="20"/>
          <w:lang w:val="en-GB"/>
        </w:rPr>
        <w:t xml:space="preserve">note </w:t>
      </w:r>
      <w:r w:rsidR="00A9624B" w:rsidRPr="00A3151B">
        <w:rPr>
          <w:rFonts w:ascii="Times New Roman" w:hAnsi="Times New Roman" w:cs="Times New Roman"/>
          <w:sz w:val="20"/>
          <w:szCs w:val="20"/>
          <w:lang w:val="en-GB"/>
        </w:rPr>
        <w:t>4</w:t>
      </w:r>
      <w:r w:rsidRPr="00A3151B">
        <w:rPr>
          <w:rFonts w:ascii="Times New Roman" w:hAnsi="Times New Roman" w:cs="Times New Roman"/>
          <w:sz w:val="20"/>
          <w:szCs w:val="20"/>
          <w:lang w:val="en-GB"/>
        </w:rPr>
        <w:t>) and Clough (2014) (</w:t>
      </w:r>
      <w:r w:rsidRPr="00A3151B">
        <w:rPr>
          <w:rFonts w:ascii="Times New Roman" w:hAnsi="Times New Roman" w:cs="Times New Roman"/>
          <w:i/>
          <w:iCs/>
          <w:sz w:val="20"/>
          <w:szCs w:val="20"/>
          <w:lang w:val="en-GB"/>
        </w:rPr>
        <w:t>op. cit.</w:t>
      </w:r>
      <w:r w:rsidRPr="00A3151B">
        <w:rPr>
          <w:rFonts w:ascii="Times New Roman" w:hAnsi="Times New Roman" w:cs="Times New Roman"/>
          <w:sz w:val="20"/>
          <w:szCs w:val="20"/>
          <w:lang w:val="en-GB"/>
        </w:rPr>
        <w:t xml:space="preserve"> note </w:t>
      </w:r>
      <w:r w:rsidR="00A9624B" w:rsidRPr="00A3151B">
        <w:rPr>
          <w:rFonts w:ascii="Times New Roman" w:hAnsi="Times New Roman" w:cs="Times New Roman"/>
          <w:sz w:val="20"/>
          <w:szCs w:val="20"/>
          <w:lang w:val="en-GB"/>
        </w:rPr>
        <w:t>3</w:t>
      </w:r>
      <w:r w:rsidRPr="00A3151B">
        <w:rPr>
          <w:rFonts w:ascii="Times New Roman" w:hAnsi="Times New Roman" w:cs="Times New Roman"/>
          <w:sz w:val="20"/>
          <w:szCs w:val="20"/>
          <w:lang w:val="en-GB"/>
        </w:rPr>
        <w:t xml:space="preserve">) endorse the employment of inherent jurisdiction in relation to vulnerable adults based on a largely uncritical acceptance of the High Court’s stated aim to facilitate autonomy of decision making, which, as we have seen, is a highly problematic interpretation of the aim of the inherent jurisdiction, the same criticism can be applied to their proposals. It should be noted that although Clough (2014) does not question the High Court’s ability to fulfil its stated aim based on the terms according to which unencumbered decision making has been </w:t>
      </w:r>
      <w:proofErr w:type="gramStart"/>
      <w:r w:rsidRPr="00A3151B">
        <w:rPr>
          <w:rFonts w:ascii="Times New Roman" w:hAnsi="Times New Roman" w:cs="Times New Roman"/>
          <w:sz w:val="20"/>
          <w:szCs w:val="20"/>
          <w:lang w:val="en-GB"/>
        </w:rPr>
        <w:t>defined,</w:t>
      </w:r>
      <w:proofErr w:type="gramEnd"/>
      <w:r w:rsidRPr="00A3151B">
        <w:rPr>
          <w:rFonts w:ascii="Times New Roman" w:hAnsi="Times New Roman" w:cs="Times New Roman"/>
          <w:sz w:val="20"/>
          <w:szCs w:val="20"/>
          <w:lang w:val="en-GB"/>
        </w:rPr>
        <w:t xml:space="preserve"> she does recognise the lack of clarity surrounding the principles underpinning the inherent jurisdiction. Thus, she claims, ‘there is a legitimate concern that if principles such as a presumption of capacity, the least restrictive alternative, and the protection of unwise decisions, are ignored, then there is a possibility of purportedly supported decisions becoming coercive, rather than empowering’ (394). By contrast, Lindsey (</w:t>
      </w:r>
      <w:r w:rsidRPr="00A3151B">
        <w:rPr>
          <w:rFonts w:ascii="Times New Roman" w:hAnsi="Times New Roman" w:cs="Times New Roman"/>
          <w:i/>
          <w:iCs/>
          <w:sz w:val="20"/>
          <w:szCs w:val="20"/>
          <w:lang w:val="en-GB"/>
        </w:rPr>
        <w:t xml:space="preserve">op. cit. </w:t>
      </w:r>
      <w:r w:rsidRPr="00A3151B">
        <w:rPr>
          <w:rFonts w:ascii="Times New Roman" w:hAnsi="Times New Roman" w:cs="Times New Roman"/>
          <w:sz w:val="20"/>
          <w:szCs w:val="20"/>
          <w:lang w:val="en-GB"/>
        </w:rPr>
        <w:t xml:space="preserve">note </w:t>
      </w:r>
      <w:r w:rsidR="00A9624B" w:rsidRPr="00A3151B">
        <w:rPr>
          <w:rFonts w:ascii="Times New Roman" w:hAnsi="Times New Roman" w:cs="Times New Roman"/>
          <w:sz w:val="20"/>
          <w:szCs w:val="20"/>
          <w:lang w:val="en-GB"/>
        </w:rPr>
        <w:t>3</w:t>
      </w:r>
      <w:r w:rsidRPr="00A3151B">
        <w:rPr>
          <w:rFonts w:ascii="Times New Roman" w:hAnsi="Times New Roman" w:cs="Times New Roman"/>
          <w:sz w:val="20"/>
          <w:szCs w:val="20"/>
          <w:lang w:val="en-GB"/>
        </w:rPr>
        <w:t xml:space="preserve">) acknowledges the need for changes to the way in which the inherent jurisdiction is currently employed, arguing that the courts should aim to analyse vulnerability from an embodied perspective. However, the embodied dimension of autonomy is highly contested by theorists of autonomy (see N </w:t>
      </w:r>
      <w:proofErr w:type="spellStart"/>
      <w:r w:rsidRPr="00A3151B">
        <w:rPr>
          <w:rFonts w:ascii="Times New Roman" w:hAnsi="Times New Roman" w:cs="Times New Roman"/>
          <w:sz w:val="20"/>
          <w:szCs w:val="20"/>
          <w:lang w:val="en-GB"/>
        </w:rPr>
        <w:t>Stoljar</w:t>
      </w:r>
      <w:proofErr w:type="spellEnd"/>
      <w:r w:rsidRPr="00A3151B">
        <w:rPr>
          <w:rFonts w:ascii="Times New Roman" w:hAnsi="Times New Roman" w:cs="Times New Roman"/>
          <w:sz w:val="20"/>
          <w:szCs w:val="20"/>
          <w:lang w:val="en-GB"/>
        </w:rPr>
        <w:t xml:space="preserve">, ‘Feminist perspectives on autonomy’, in EN </w:t>
      </w:r>
      <w:proofErr w:type="spellStart"/>
      <w:r w:rsidRPr="00A3151B">
        <w:rPr>
          <w:rFonts w:ascii="Times New Roman" w:hAnsi="Times New Roman" w:cs="Times New Roman"/>
          <w:sz w:val="20"/>
          <w:szCs w:val="20"/>
          <w:lang w:val="en-GB"/>
        </w:rPr>
        <w:t>Zalta</w:t>
      </w:r>
      <w:proofErr w:type="spellEnd"/>
      <w:r w:rsidRPr="00A3151B">
        <w:rPr>
          <w:rFonts w:ascii="Times New Roman" w:hAnsi="Times New Roman" w:cs="Times New Roman"/>
          <w:sz w:val="20"/>
          <w:szCs w:val="20"/>
          <w:lang w:val="en-GB"/>
        </w:rPr>
        <w:t xml:space="preserve"> (ed), </w:t>
      </w:r>
      <w:r w:rsidRPr="00A3151B">
        <w:rPr>
          <w:rFonts w:ascii="Times New Roman" w:hAnsi="Times New Roman" w:cs="Times New Roman"/>
          <w:i/>
          <w:sz w:val="20"/>
          <w:szCs w:val="20"/>
          <w:lang w:val="en-GB"/>
        </w:rPr>
        <w:t xml:space="preserve">The Stanford </w:t>
      </w:r>
      <w:proofErr w:type="spellStart"/>
      <w:r w:rsidRPr="00A3151B">
        <w:rPr>
          <w:rFonts w:ascii="Times New Roman" w:hAnsi="Times New Roman" w:cs="Times New Roman"/>
          <w:i/>
          <w:sz w:val="20"/>
          <w:szCs w:val="20"/>
          <w:lang w:val="en-GB"/>
        </w:rPr>
        <w:t>encyclopedia</w:t>
      </w:r>
      <w:proofErr w:type="spellEnd"/>
      <w:r w:rsidRPr="00A3151B">
        <w:rPr>
          <w:rFonts w:ascii="Times New Roman" w:hAnsi="Times New Roman" w:cs="Times New Roman"/>
          <w:i/>
          <w:sz w:val="20"/>
          <w:szCs w:val="20"/>
          <w:lang w:val="en-GB"/>
        </w:rPr>
        <w:t xml:space="preserve"> of philosophy </w:t>
      </w:r>
      <w:r w:rsidRPr="00A3151B">
        <w:rPr>
          <w:rFonts w:ascii="Times New Roman" w:hAnsi="Times New Roman" w:cs="Times New Roman"/>
          <w:sz w:val="20"/>
          <w:szCs w:val="20"/>
          <w:lang w:val="en-GB"/>
        </w:rPr>
        <w:t>(2018). Retrieved from</w:t>
      </w:r>
      <w:r w:rsidRPr="00A3151B">
        <w:rPr>
          <w:rFonts w:ascii="Times New Roman" w:hAnsi="Times New Roman" w:cs="Times New Roman"/>
          <w:i/>
          <w:iCs/>
          <w:sz w:val="20"/>
          <w:szCs w:val="20"/>
          <w:lang w:val="en-GB"/>
        </w:rPr>
        <w:t xml:space="preserve"> </w:t>
      </w:r>
      <w:r w:rsidRPr="00A3151B">
        <w:rPr>
          <w:rFonts w:ascii="Times New Roman" w:hAnsi="Times New Roman" w:cs="Times New Roman"/>
          <w:sz w:val="20"/>
          <w:szCs w:val="20"/>
          <w:lang w:val="en-GB"/>
        </w:rPr>
        <w:t xml:space="preserve">https://plato.stanford.edu/archives/win2018/entries/feminism-autonomy/). On that basis, in developing an approach that captures the autonomy of capacitous vulnerable adults (§4), I have based my account on the straightforwardly cognitive and rational dimension of autonomy that most theorists of autonomy, medical ethicists and, indeed, legal scholars like Coggon, </w:t>
      </w:r>
      <w:proofErr w:type="spellStart"/>
      <w:r w:rsidRPr="00A3151B">
        <w:rPr>
          <w:rFonts w:ascii="Times New Roman" w:hAnsi="Times New Roman" w:cs="Times New Roman"/>
          <w:sz w:val="20"/>
          <w:szCs w:val="20"/>
          <w:lang w:val="en-GB"/>
        </w:rPr>
        <w:t>Miola</w:t>
      </w:r>
      <w:proofErr w:type="spellEnd"/>
      <w:r w:rsidRPr="00A3151B">
        <w:rPr>
          <w:rFonts w:ascii="Times New Roman" w:hAnsi="Times New Roman" w:cs="Times New Roman"/>
          <w:sz w:val="20"/>
          <w:szCs w:val="20"/>
          <w:lang w:val="en-GB"/>
        </w:rPr>
        <w:t>, Herring and Wall take to be the central feature of autonomous choice and action.</w:t>
      </w:r>
    </w:p>
  </w:footnote>
  <w:footnote w:id="84">
    <w:p w14:paraId="6DBACAE6" w14:textId="2407719F" w:rsidR="009C0E8C" w:rsidRPr="00A3151B" w:rsidRDefault="009C0E8C" w:rsidP="005117F0">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w:t>
      </w:r>
      <w:r w:rsidRPr="00A3151B">
        <w:rPr>
          <w:rFonts w:ascii="Times New Roman" w:hAnsi="Times New Roman" w:cs="Times New Roman"/>
          <w:i/>
          <w:sz w:val="20"/>
          <w:szCs w:val="20"/>
          <w:lang w:val="en-GB"/>
        </w:rPr>
        <w:t>E.g.</w:t>
      </w:r>
      <w:r w:rsidRPr="00A3151B">
        <w:rPr>
          <w:rFonts w:ascii="Times New Roman" w:hAnsi="Times New Roman" w:cs="Times New Roman"/>
          <w:sz w:val="20"/>
          <w:szCs w:val="20"/>
          <w:lang w:val="en-GB"/>
        </w:rPr>
        <w:t xml:space="preserve">, L </w:t>
      </w:r>
      <w:proofErr w:type="spellStart"/>
      <w:r w:rsidRPr="00A3151B">
        <w:rPr>
          <w:rFonts w:ascii="Times New Roman" w:hAnsi="Times New Roman" w:cs="Times New Roman"/>
          <w:sz w:val="20"/>
          <w:szCs w:val="20"/>
          <w:lang w:val="en-GB"/>
        </w:rPr>
        <w:t>Charland</w:t>
      </w:r>
      <w:proofErr w:type="spellEnd"/>
      <w:r w:rsidRPr="00A3151B">
        <w:rPr>
          <w:rFonts w:ascii="Times New Roman" w:hAnsi="Times New Roman" w:cs="Times New Roman"/>
          <w:sz w:val="20"/>
          <w:szCs w:val="20"/>
          <w:lang w:val="en-GB"/>
        </w:rPr>
        <w:t xml:space="preserve">, ‘Cynthia’s dilemma: Consenting to heroin prescription’, (2002) </w:t>
      </w:r>
      <w:r w:rsidRPr="00A3151B">
        <w:rPr>
          <w:rFonts w:ascii="Times New Roman" w:hAnsi="Times New Roman" w:cs="Times New Roman"/>
          <w:i/>
          <w:sz w:val="20"/>
          <w:szCs w:val="20"/>
          <w:lang w:val="en-GB"/>
        </w:rPr>
        <w:t>The American Journal of Bioethics</w:t>
      </w:r>
      <w:r w:rsidRPr="00A3151B">
        <w:rPr>
          <w:rFonts w:ascii="Times New Roman" w:hAnsi="Times New Roman" w:cs="Times New Roman"/>
          <w:sz w:val="20"/>
          <w:szCs w:val="20"/>
          <w:lang w:val="en-GB"/>
        </w:rPr>
        <w:t xml:space="preserve"> 2(2), 37–47; B </w:t>
      </w:r>
      <w:proofErr w:type="spellStart"/>
      <w:r w:rsidRPr="00A3151B">
        <w:rPr>
          <w:rFonts w:ascii="Times New Roman" w:hAnsi="Times New Roman" w:cs="Times New Roman"/>
          <w:sz w:val="20"/>
          <w:szCs w:val="20"/>
          <w:lang w:val="en-GB"/>
        </w:rPr>
        <w:t>Foddy</w:t>
      </w:r>
      <w:proofErr w:type="spellEnd"/>
      <w:r w:rsidRPr="00A3151B">
        <w:rPr>
          <w:rFonts w:ascii="Times New Roman" w:hAnsi="Times New Roman" w:cs="Times New Roman"/>
          <w:sz w:val="20"/>
          <w:szCs w:val="20"/>
          <w:lang w:val="en-GB"/>
        </w:rPr>
        <w:t xml:space="preserve"> &amp; J Savulescu, ‘Addiction and autonomy: Can addicted people consent to the prescription of their drug of addiction?’ (2006) </w:t>
      </w:r>
      <w:r w:rsidRPr="00A3151B">
        <w:rPr>
          <w:rFonts w:ascii="Times New Roman" w:hAnsi="Times New Roman" w:cs="Times New Roman"/>
          <w:i/>
          <w:sz w:val="20"/>
          <w:szCs w:val="20"/>
          <w:lang w:val="en-GB"/>
        </w:rPr>
        <w:t xml:space="preserve">Bioethics </w:t>
      </w:r>
      <w:r w:rsidRPr="00A3151B">
        <w:rPr>
          <w:rFonts w:ascii="Times New Roman" w:hAnsi="Times New Roman" w:cs="Times New Roman"/>
          <w:sz w:val="20"/>
          <w:szCs w:val="20"/>
          <w:lang w:val="en-GB"/>
        </w:rPr>
        <w:t>20(1), 1-15.</w:t>
      </w:r>
    </w:p>
  </w:footnote>
  <w:footnote w:id="85">
    <w:p w14:paraId="6FE44EA3" w14:textId="2CF2BE5A" w:rsidR="009C0E8C" w:rsidRPr="00A3151B" w:rsidRDefault="009C0E8C">
      <w:pPr>
        <w:pStyle w:val="FootnoteText"/>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sz w:val="20"/>
          <w:szCs w:val="20"/>
          <w:lang w:val="en-GB"/>
        </w:rPr>
        <w:t xml:space="preserve">Herring and Wall </w:t>
      </w:r>
      <w:r w:rsidRPr="00A3151B">
        <w:rPr>
          <w:rFonts w:ascii="Times New Roman" w:hAnsi="Times New Roman" w:cs="Times New Roman"/>
          <w:i/>
          <w:iCs/>
          <w:sz w:val="20"/>
          <w:szCs w:val="20"/>
          <w:lang w:val="en-GB"/>
        </w:rPr>
        <w:t>op. cit.</w:t>
      </w:r>
      <w:r w:rsidRPr="00A3151B">
        <w:rPr>
          <w:rFonts w:ascii="Times New Roman" w:hAnsi="Times New Roman" w:cs="Times New Roman"/>
          <w:sz w:val="20"/>
          <w:szCs w:val="20"/>
          <w:lang w:val="en-GB"/>
        </w:rPr>
        <w:t xml:space="preserve"> note </w:t>
      </w:r>
      <w:r w:rsidR="00A9624B" w:rsidRPr="00A3151B">
        <w:rPr>
          <w:rFonts w:ascii="Times New Roman" w:hAnsi="Times New Roman" w:cs="Times New Roman"/>
          <w:sz w:val="20"/>
          <w:szCs w:val="20"/>
          <w:lang w:val="en-GB"/>
        </w:rPr>
        <w:t>4</w:t>
      </w:r>
      <w:r w:rsidRPr="00A3151B">
        <w:rPr>
          <w:rFonts w:ascii="Times New Roman" w:hAnsi="Times New Roman" w:cs="Times New Roman"/>
          <w:sz w:val="20"/>
          <w:szCs w:val="20"/>
          <w:lang w:val="en-GB"/>
        </w:rPr>
        <w:t>, 699-700, 708.</w:t>
      </w:r>
    </w:p>
  </w:footnote>
  <w:footnote w:id="86">
    <w:p w14:paraId="025E5792" w14:textId="5B7C19B2" w:rsidR="009C0E8C" w:rsidRPr="00A3151B" w:rsidRDefault="009C0E8C" w:rsidP="00020BF7">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proofErr w:type="spellStart"/>
      <w:r w:rsidRPr="00A3151B">
        <w:rPr>
          <w:rFonts w:ascii="Times New Roman" w:hAnsi="Times New Roman" w:cs="Times New Roman"/>
          <w:sz w:val="20"/>
          <w:szCs w:val="20"/>
          <w:lang w:val="en-GB"/>
        </w:rPr>
        <w:t>Keywood</w:t>
      </w:r>
      <w:proofErr w:type="spellEnd"/>
      <w:r w:rsidRPr="00A3151B">
        <w:rPr>
          <w:rFonts w:ascii="Times New Roman" w:hAnsi="Times New Roman" w:cs="Times New Roman"/>
          <w:sz w:val="20"/>
          <w:szCs w:val="20"/>
          <w:lang w:val="en-GB"/>
        </w:rPr>
        <w:t xml:space="preserve"> </w:t>
      </w:r>
      <w:r w:rsidRPr="00A3151B">
        <w:rPr>
          <w:rFonts w:ascii="Times New Roman" w:hAnsi="Times New Roman" w:cs="Times New Roman"/>
          <w:i/>
          <w:iCs/>
          <w:sz w:val="20"/>
          <w:szCs w:val="20"/>
          <w:lang w:val="en-GB"/>
        </w:rPr>
        <w:t>op. cit.</w:t>
      </w:r>
      <w:r w:rsidRPr="00A3151B">
        <w:rPr>
          <w:rFonts w:ascii="Times New Roman" w:hAnsi="Times New Roman" w:cs="Times New Roman"/>
          <w:sz w:val="20"/>
          <w:szCs w:val="20"/>
          <w:lang w:val="en-GB"/>
        </w:rPr>
        <w:t xml:space="preserve"> note 3</w:t>
      </w:r>
      <w:r w:rsidR="006F6984" w:rsidRPr="00A3151B">
        <w:rPr>
          <w:rFonts w:ascii="Times New Roman" w:hAnsi="Times New Roman" w:cs="Times New Roman"/>
          <w:sz w:val="20"/>
          <w:szCs w:val="20"/>
          <w:lang w:val="en-GB"/>
        </w:rPr>
        <w:t>5</w:t>
      </w:r>
      <w:r w:rsidRPr="00A3151B">
        <w:rPr>
          <w:rFonts w:ascii="Times New Roman" w:hAnsi="Times New Roman" w:cs="Times New Roman"/>
          <w:sz w:val="20"/>
          <w:szCs w:val="20"/>
          <w:lang w:val="en-GB"/>
        </w:rPr>
        <w:t xml:space="preserve">, 329-330; Clough (2014) </w:t>
      </w:r>
      <w:r w:rsidRPr="00A3151B">
        <w:rPr>
          <w:rFonts w:ascii="Times New Roman" w:hAnsi="Times New Roman" w:cs="Times New Roman"/>
          <w:i/>
          <w:iCs/>
          <w:sz w:val="20"/>
          <w:szCs w:val="20"/>
          <w:lang w:val="en-GB"/>
        </w:rPr>
        <w:t>op cit.</w:t>
      </w:r>
      <w:r w:rsidRPr="00A3151B">
        <w:rPr>
          <w:rFonts w:ascii="Times New Roman" w:hAnsi="Times New Roman" w:cs="Times New Roman"/>
          <w:sz w:val="20"/>
          <w:szCs w:val="20"/>
          <w:lang w:val="en-GB"/>
        </w:rPr>
        <w:t xml:space="preserve"> note </w:t>
      </w:r>
      <w:r w:rsidR="00A9624B" w:rsidRPr="00A3151B">
        <w:rPr>
          <w:rFonts w:ascii="Times New Roman" w:hAnsi="Times New Roman" w:cs="Times New Roman"/>
          <w:sz w:val="20"/>
          <w:szCs w:val="20"/>
          <w:lang w:val="en-GB"/>
        </w:rPr>
        <w:t>3</w:t>
      </w:r>
      <w:r w:rsidRPr="00A3151B">
        <w:rPr>
          <w:rFonts w:ascii="Times New Roman" w:hAnsi="Times New Roman" w:cs="Times New Roman"/>
          <w:sz w:val="20"/>
          <w:szCs w:val="20"/>
          <w:lang w:val="en-GB"/>
        </w:rPr>
        <w:t xml:space="preserve">, 372; Herring and Wall </w:t>
      </w:r>
      <w:r w:rsidRPr="00A3151B">
        <w:rPr>
          <w:rFonts w:ascii="Times New Roman" w:hAnsi="Times New Roman" w:cs="Times New Roman"/>
          <w:i/>
          <w:iCs/>
          <w:sz w:val="20"/>
          <w:szCs w:val="20"/>
          <w:lang w:val="en-GB"/>
        </w:rPr>
        <w:t>op. cit.</w:t>
      </w:r>
      <w:r w:rsidRPr="00A3151B">
        <w:rPr>
          <w:rFonts w:ascii="Times New Roman" w:hAnsi="Times New Roman" w:cs="Times New Roman"/>
          <w:sz w:val="20"/>
          <w:szCs w:val="20"/>
          <w:lang w:val="en-GB"/>
        </w:rPr>
        <w:t xml:space="preserve"> note </w:t>
      </w:r>
      <w:r w:rsidR="00A9624B" w:rsidRPr="00A3151B">
        <w:rPr>
          <w:rFonts w:ascii="Times New Roman" w:hAnsi="Times New Roman" w:cs="Times New Roman"/>
          <w:sz w:val="20"/>
          <w:szCs w:val="20"/>
          <w:lang w:val="en-GB"/>
        </w:rPr>
        <w:t>4</w:t>
      </w:r>
      <w:r w:rsidRPr="00A3151B">
        <w:rPr>
          <w:rFonts w:ascii="Times New Roman" w:hAnsi="Times New Roman" w:cs="Times New Roman"/>
          <w:sz w:val="20"/>
          <w:szCs w:val="20"/>
          <w:lang w:val="en-GB"/>
        </w:rPr>
        <w:t>, 699-700, 708.</w:t>
      </w:r>
    </w:p>
  </w:footnote>
  <w:footnote w:id="87">
    <w:p w14:paraId="3EE723C7" w14:textId="746C05AF" w:rsidR="009C0E8C" w:rsidRPr="00A3151B" w:rsidRDefault="009C0E8C" w:rsidP="00020BF7">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proofErr w:type="spellStart"/>
      <w:r w:rsidRPr="00A3151B">
        <w:rPr>
          <w:rFonts w:ascii="Times New Roman" w:hAnsi="Times New Roman" w:cs="Times New Roman"/>
          <w:sz w:val="20"/>
          <w:szCs w:val="20"/>
          <w:lang w:val="en-GB"/>
        </w:rPr>
        <w:t>Keywood</w:t>
      </w:r>
      <w:proofErr w:type="spellEnd"/>
      <w:r w:rsidRPr="00A3151B">
        <w:rPr>
          <w:rFonts w:ascii="Times New Roman" w:hAnsi="Times New Roman" w:cs="Times New Roman"/>
          <w:sz w:val="20"/>
          <w:szCs w:val="20"/>
          <w:lang w:val="en-GB"/>
        </w:rPr>
        <w:t xml:space="preserve"> </w:t>
      </w:r>
      <w:r w:rsidRPr="00A3151B">
        <w:rPr>
          <w:rFonts w:ascii="Times New Roman" w:hAnsi="Times New Roman" w:cs="Times New Roman"/>
          <w:i/>
          <w:iCs/>
          <w:sz w:val="20"/>
          <w:szCs w:val="20"/>
          <w:lang w:val="en-GB"/>
        </w:rPr>
        <w:t>op. cit.</w:t>
      </w:r>
      <w:r w:rsidRPr="00A3151B">
        <w:rPr>
          <w:rFonts w:ascii="Times New Roman" w:hAnsi="Times New Roman" w:cs="Times New Roman"/>
          <w:sz w:val="20"/>
          <w:szCs w:val="20"/>
          <w:lang w:val="en-GB"/>
        </w:rPr>
        <w:t xml:space="preserve"> note 3</w:t>
      </w:r>
      <w:r w:rsidR="006F6984" w:rsidRPr="00A3151B">
        <w:rPr>
          <w:rFonts w:ascii="Times New Roman" w:hAnsi="Times New Roman" w:cs="Times New Roman"/>
          <w:sz w:val="20"/>
          <w:szCs w:val="20"/>
          <w:lang w:val="en-GB"/>
        </w:rPr>
        <w:t>5</w:t>
      </w:r>
      <w:r w:rsidRPr="00A3151B">
        <w:rPr>
          <w:rFonts w:ascii="Times New Roman" w:hAnsi="Times New Roman" w:cs="Times New Roman"/>
          <w:sz w:val="20"/>
          <w:szCs w:val="20"/>
          <w:lang w:val="en-GB"/>
        </w:rPr>
        <w:t>, 329-330.</w:t>
      </w:r>
    </w:p>
  </w:footnote>
  <w:footnote w:id="88">
    <w:p w14:paraId="2AD9F579" w14:textId="613F03EB" w:rsidR="009C0E8C" w:rsidRPr="00A3151B" w:rsidRDefault="009C0E8C" w:rsidP="00AD30C8">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sz w:val="20"/>
          <w:szCs w:val="20"/>
          <w:lang w:val="en-GB"/>
        </w:rPr>
        <w:t xml:space="preserve">For an explanation of why mental capacity cannot be merely equated with autonomy in general and the autonomy of vulnerable adults in particular, see </w:t>
      </w:r>
      <w:proofErr w:type="spellStart"/>
      <w:r w:rsidRPr="00A3151B">
        <w:rPr>
          <w:rFonts w:ascii="Times New Roman" w:hAnsi="Times New Roman" w:cs="Times New Roman"/>
          <w:sz w:val="20"/>
          <w:szCs w:val="20"/>
          <w:lang w:val="en-GB"/>
        </w:rPr>
        <w:t>Skowron’s</w:t>
      </w:r>
      <w:proofErr w:type="spellEnd"/>
      <w:r w:rsidRPr="00A3151B">
        <w:rPr>
          <w:rFonts w:ascii="Times New Roman" w:hAnsi="Times New Roman" w:cs="Times New Roman"/>
          <w:sz w:val="20"/>
          <w:szCs w:val="20"/>
          <w:lang w:val="en-GB"/>
        </w:rPr>
        <w:t xml:space="preserve"> analysis of the use of the concept of autonomy in mental capacity law (</w:t>
      </w:r>
      <w:proofErr w:type="spellStart"/>
      <w:r w:rsidRPr="00A3151B">
        <w:rPr>
          <w:rFonts w:ascii="Times New Roman" w:hAnsi="Times New Roman" w:cs="Times New Roman"/>
          <w:sz w:val="20"/>
          <w:szCs w:val="20"/>
          <w:lang w:val="en-GB"/>
        </w:rPr>
        <w:t>Skowron</w:t>
      </w:r>
      <w:proofErr w:type="spellEnd"/>
      <w:r w:rsidRPr="00A3151B">
        <w:rPr>
          <w:rFonts w:ascii="Times New Roman" w:hAnsi="Times New Roman" w:cs="Times New Roman"/>
          <w:sz w:val="20"/>
          <w:szCs w:val="20"/>
          <w:lang w:val="en-GB"/>
        </w:rPr>
        <w:t xml:space="preserve">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w:t>
      </w:r>
      <w:r w:rsidR="00A9624B" w:rsidRPr="00A3151B">
        <w:rPr>
          <w:rFonts w:ascii="Times New Roman" w:hAnsi="Times New Roman" w:cs="Times New Roman"/>
          <w:sz w:val="20"/>
          <w:szCs w:val="20"/>
          <w:lang w:val="en-GB"/>
        </w:rPr>
        <w:t>1</w:t>
      </w:r>
      <w:r w:rsidRPr="00A3151B">
        <w:rPr>
          <w:rFonts w:ascii="Times New Roman" w:hAnsi="Times New Roman" w:cs="Times New Roman"/>
          <w:sz w:val="20"/>
          <w:szCs w:val="20"/>
          <w:lang w:val="en-GB"/>
        </w:rPr>
        <w:t xml:space="preserve">). </w:t>
      </w:r>
    </w:p>
  </w:footnote>
  <w:footnote w:id="89">
    <w:p w14:paraId="22BEE64C" w14:textId="4FB2399F" w:rsidR="009C0E8C" w:rsidRPr="00A3151B" w:rsidRDefault="009C0E8C" w:rsidP="00756CFA">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sz w:val="20"/>
          <w:szCs w:val="20"/>
          <w:lang w:val="en-GB"/>
        </w:rPr>
        <w:t xml:space="preserve">The normative framework proposed in section 4 is, therefore, justified to the extent that the MCA 2005 does not provide the apparatus to address scenarios where the impaired interaction between the affective component and the cognitive component limits or undermines autonomous decision making. </w:t>
      </w:r>
    </w:p>
  </w:footnote>
  <w:footnote w:id="90">
    <w:p w14:paraId="183A4F9B" w14:textId="155906AD" w:rsidR="009C0E8C" w:rsidRPr="00A3151B" w:rsidRDefault="009C0E8C" w:rsidP="00AD30C8">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w:t>
      </w:r>
      <w:r w:rsidRPr="00A3151B">
        <w:rPr>
          <w:rFonts w:ascii="Times New Roman" w:hAnsi="Times New Roman" w:cs="Times New Roman"/>
          <w:i/>
          <w:sz w:val="20"/>
          <w:szCs w:val="20"/>
          <w:lang w:val="en-GB"/>
        </w:rPr>
        <w:t>E.g.,</w:t>
      </w:r>
      <w:r w:rsidRPr="00A3151B">
        <w:rPr>
          <w:rFonts w:ascii="Times New Roman" w:hAnsi="Times New Roman" w:cs="Times New Roman"/>
          <w:sz w:val="20"/>
          <w:szCs w:val="20"/>
          <w:lang w:val="en-GB"/>
        </w:rPr>
        <w:t xml:space="preserve"> D Meyers, ‘Personal autonomy and the paradox of feminine socialization’, (1987) </w:t>
      </w:r>
      <w:r w:rsidRPr="00A3151B">
        <w:rPr>
          <w:rFonts w:ascii="Times New Roman" w:hAnsi="Times New Roman" w:cs="Times New Roman"/>
          <w:i/>
          <w:iCs/>
          <w:sz w:val="20"/>
          <w:szCs w:val="20"/>
          <w:lang w:val="en-GB"/>
        </w:rPr>
        <w:t>Journal of Philosophy</w:t>
      </w:r>
      <w:r w:rsidRPr="00A3151B">
        <w:rPr>
          <w:rFonts w:ascii="Times New Roman" w:hAnsi="Times New Roman" w:cs="Times New Roman"/>
          <w:sz w:val="20"/>
          <w:szCs w:val="20"/>
          <w:lang w:val="en-GB"/>
        </w:rPr>
        <w:t xml:space="preserve"> 84, 619–68; D Meyers, </w:t>
      </w:r>
      <w:r w:rsidRPr="00A3151B">
        <w:rPr>
          <w:rFonts w:ascii="Times New Roman" w:hAnsi="Times New Roman" w:cs="Times New Roman"/>
          <w:i/>
          <w:iCs/>
          <w:sz w:val="20"/>
          <w:szCs w:val="20"/>
          <w:lang w:val="en-GB"/>
        </w:rPr>
        <w:t xml:space="preserve">Self, society, and personal choice </w:t>
      </w:r>
      <w:r w:rsidRPr="00A3151B">
        <w:rPr>
          <w:rFonts w:ascii="Times New Roman" w:hAnsi="Times New Roman" w:cs="Times New Roman"/>
          <w:iCs/>
          <w:sz w:val="20"/>
          <w:szCs w:val="20"/>
          <w:lang w:val="en-GB"/>
        </w:rPr>
        <w:t>(</w:t>
      </w:r>
      <w:r w:rsidRPr="00A3151B">
        <w:rPr>
          <w:rFonts w:ascii="Times New Roman" w:hAnsi="Times New Roman" w:cs="Times New Roman"/>
          <w:sz w:val="20"/>
          <w:szCs w:val="20"/>
          <w:lang w:val="en-GB"/>
        </w:rPr>
        <w:t xml:space="preserve">New York: Columbia University Press, 1989); D Meyers, ‘Intersectional identity and the authentic self? Opposites attract!’ in C Mackenzie &amp; N </w:t>
      </w:r>
      <w:proofErr w:type="spellStart"/>
      <w:r w:rsidRPr="00A3151B">
        <w:rPr>
          <w:rFonts w:ascii="Times New Roman" w:hAnsi="Times New Roman" w:cs="Times New Roman"/>
          <w:sz w:val="20"/>
          <w:szCs w:val="20"/>
          <w:lang w:val="en-GB"/>
        </w:rPr>
        <w:t>Stoljar</w:t>
      </w:r>
      <w:proofErr w:type="spellEnd"/>
      <w:r w:rsidRPr="00A3151B">
        <w:rPr>
          <w:rFonts w:ascii="Times New Roman" w:hAnsi="Times New Roman" w:cs="Times New Roman"/>
          <w:sz w:val="20"/>
          <w:szCs w:val="20"/>
          <w:lang w:val="en-GB"/>
        </w:rPr>
        <w:t xml:space="preserve"> (eds), </w:t>
      </w:r>
      <w:r w:rsidRPr="00A3151B">
        <w:rPr>
          <w:rFonts w:ascii="Times New Roman" w:hAnsi="Times New Roman" w:cs="Times New Roman"/>
          <w:i/>
          <w:sz w:val="20"/>
          <w:szCs w:val="20"/>
          <w:lang w:val="en-GB"/>
        </w:rPr>
        <w:t>Relational autonomy: Feminist perspectives on autonomy, agency and the social self</w:t>
      </w:r>
      <w:r w:rsidRPr="00A3151B">
        <w:rPr>
          <w:rFonts w:ascii="Times New Roman" w:hAnsi="Times New Roman" w:cs="Times New Roman"/>
          <w:sz w:val="20"/>
          <w:szCs w:val="20"/>
          <w:lang w:val="en-GB"/>
        </w:rPr>
        <w:t xml:space="preserve"> (Oxford: Oxford University Press, 2000), 151-80; M Friedman, </w:t>
      </w:r>
      <w:r w:rsidRPr="00A3151B">
        <w:rPr>
          <w:rFonts w:ascii="Times New Roman" w:hAnsi="Times New Roman" w:cs="Times New Roman"/>
          <w:i/>
          <w:sz w:val="20"/>
          <w:szCs w:val="20"/>
          <w:lang w:val="en-GB"/>
        </w:rPr>
        <w:t>Autonomy, gender, politics</w:t>
      </w:r>
      <w:r w:rsidRPr="00A3151B">
        <w:rPr>
          <w:rFonts w:ascii="Times New Roman" w:hAnsi="Times New Roman" w:cs="Times New Roman"/>
          <w:sz w:val="20"/>
          <w:szCs w:val="20"/>
          <w:lang w:val="en-GB"/>
        </w:rPr>
        <w:t xml:space="preserve"> (Oxford: Oxford University Press, 2003); J </w:t>
      </w:r>
      <w:proofErr w:type="spellStart"/>
      <w:r w:rsidRPr="00A3151B">
        <w:rPr>
          <w:rFonts w:ascii="Times New Roman" w:hAnsi="Times New Roman" w:cs="Times New Roman"/>
          <w:sz w:val="20"/>
          <w:szCs w:val="20"/>
          <w:lang w:val="en-GB"/>
        </w:rPr>
        <w:t>Christman</w:t>
      </w:r>
      <w:proofErr w:type="spellEnd"/>
      <w:r w:rsidRPr="00A3151B">
        <w:rPr>
          <w:rFonts w:ascii="Times New Roman" w:hAnsi="Times New Roman" w:cs="Times New Roman"/>
          <w:sz w:val="20"/>
          <w:szCs w:val="20"/>
          <w:lang w:val="en-GB"/>
        </w:rPr>
        <w:t xml:space="preserve">, ‘Relational autonomy, liberal individualism and the social constitution of selves’, (2004) </w:t>
      </w:r>
      <w:r w:rsidRPr="00A3151B">
        <w:rPr>
          <w:rFonts w:ascii="Times New Roman" w:hAnsi="Times New Roman" w:cs="Times New Roman"/>
          <w:i/>
          <w:sz w:val="20"/>
          <w:szCs w:val="20"/>
          <w:lang w:val="en-GB"/>
        </w:rPr>
        <w:t>Philosophical Studies</w:t>
      </w:r>
      <w:r w:rsidRPr="00A3151B">
        <w:rPr>
          <w:rFonts w:ascii="Times New Roman" w:hAnsi="Times New Roman" w:cs="Times New Roman"/>
          <w:sz w:val="20"/>
          <w:szCs w:val="20"/>
          <w:lang w:val="en-GB"/>
        </w:rPr>
        <w:t xml:space="preserve"> 117(1/2), 143-64; J </w:t>
      </w:r>
      <w:proofErr w:type="spellStart"/>
      <w:r w:rsidRPr="00A3151B">
        <w:rPr>
          <w:rFonts w:ascii="Times New Roman" w:hAnsi="Times New Roman" w:cs="Times New Roman"/>
          <w:sz w:val="20"/>
          <w:szCs w:val="20"/>
          <w:lang w:val="en-GB"/>
        </w:rPr>
        <w:t>Christman</w:t>
      </w:r>
      <w:proofErr w:type="spellEnd"/>
      <w:r w:rsidRPr="00A3151B">
        <w:rPr>
          <w:rFonts w:ascii="Times New Roman" w:hAnsi="Times New Roman" w:cs="Times New Roman"/>
          <w:sz w:val="20"/>
          <w:szCs w:val="20"/>
          <w:lang w:val="en-GB"/>
        </w:rPr>
        <w:t xml:space="preserve">, </w:t>
      </w:r>
      <w:r w:rsidRPr="00A3151B">
        <w:rPr>
          <w:rFonts w:ascii="Times New Roman" w:hAnsi="Times New Roman" w:cs="Times New Roman"/>
          <w:i/>
          <w:sz w:val="20"/>
          <w:szCs w:val="20"/>
          <w:lang w:val="en-GB"/>
        </w:rPr>
        <w:t>The politics of persons: Individual autonomy and socio-historical selves</w:t>
      </w:r>
      <w:r w:rsidRPr="00A3151B">
        <w:rPr>
          <w:rFonts w:ascii="Times New Roman" w:hAnsi="Times New Roman" w:cs="Times New Roman"/>
          <w:sz w:val="20"/>
          <w:szCs w:val="20"/>
          <w:lang w:val="en-GB"/>
        </w:rPr>
        <w:t xml:space="preserve"> (Cambridge: Cambridge University Press, 2009).</w:t>
      </w:r>
    </w:p>
  </w:footnote>
  <w:footnote w:id="91">
    <w:p w14:paraId="665E8FC3" w14:textId="5A2201B8" w:rsidR="009C0E8C" w:rsidRPr="00A3151B" w:rsidRDefault="009C0E8C" w:rsidP="00AD30C8">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P Benson, ‘Autonomy and oppressive socialization’, (1991) </w:t>
      </w:r>
      <w:r w:rsidRPr="00A3151B">
        <w:rPr>
          <w:rFonts w:ascii="Times New Roman" w:hAnsi="Times New Roman" w:cs="Times New Roman"/>
          <w:i/>
          <w:iCs/>
          <w:sz w:val="20"/>
          <w:szCs w:val="20"/>
          <w:lang w:val="en-GB"/>
        </w:rPr>
        <w:t>Social Theory and Practice</w:t>
      </w:r>
      <w:r w:rsidRPr="00A3151B">
        <w:rPr>
          <w:rFonts w:ascii="Times New Roman" w:hAnsi="Times New Roman" w:cs="Times New Roman"/>
          <w:sz w:val="20"/>
          <w:szCs w:val="20"/>
          <w:lang w:val="en-GB"/>
        </w:rPr>
        <w:t xml:space="preserve"> 17, 385–408; C Mackenzie &amp; N </w:t>
      </w:r>
      <w:proofErr w:type="spellStart"/>
      <w:r w:rsidRPr="00A3151B">
        <w:rPr>
          <w:rFonts w:ascii="Times New Roman" w:hAnsi="Times New Roman" w:cs="Times New Roman"/>
          <w:sz w:val="20"/>
          <w:szCs w:val="20"/>
          <w:lang w:val="en-GB"/>
        </w:rPr>
        <w:t>Stoljar</w:t>
      </w:r>
      <w:proofErr w:type="spellEnd"/>
      <w:r w:rsidRPr="00A3151B">
        <w:rPr>
          <w:rFonts w:ascii="Times New Roman" w:hAnsi="Times New Roman" w:cs="Times New Roman"/>
          <w:sz w:val="20"/>
          <w:szCs w:val="20"/>
          <w:lang w:val="en-GB"/>
        </w:rPr>
        <w:t xml:space="preserve">, ‘Autonomy refigured’ in C Mackenzie and N </w:t>
      </w:r>
      <w:proofErr w:type="spellStart"/>
      <w:r w:rsidRPr="00A3151B">
        <w:rPr>
          <w:rFonts w:ascii="Times New Roman" w:hAnsi="Times New Roman" w:cs="Times New Roman"/>
          <w:sz w:val="20"/>
          <w:szCs w:val="20"/>
          <w:lang w:val="en-GB"/>
        </w:rPr>
        <w:t>Stoljar</w:t>
      </w:r>
      <w:proofErr w:type="spellEnd"/>
      <w:r w:rsidRPr="00A3151B">
        <w:rPr>
          <w:rFonts w:ascii="Times New Roman" w:hAnsi="Times New Roman" w:cs="Times New Roman"/>
          <w:sz w:val="20"/>
          <w:szCs w:val="20"/>
          <w:lang w:val="en-GB"/>
        </w:rPr>
        <w:t xml:space="preserve"> (eds), </w:t>
      </w:r>
      <w:r w:rsidRPr="00A3151B">
        <w:rPr>
          <w:rFonts w:ascii="Times New Roman" w:hAnsi="Times New Roman" w:cs="Times New Roman"/>
          <w:i/>
          <w:sz w:val="20"/>
          <w:szCs w:val="20"/>
          <w:lang w:val="en-GB"/>
        </w:rPr>
        <w:t>Relational autonomy: Feminist perspectives on autonomy, agency and the social self</w:t>
      </w:r>
      <w:r w:rsidRPr="00A3151B">
        <w:rPr>
          <w:rFonts w:ascii="Times New Roman" w:hAnsi="Times New Roman" w:cs="Times New Roman"/>
          <w:sz w:val="20"/>
          <w:szCs w:val="20"/>
          <w:lang w:val="en-GB"/>
        </w:rPr>
        <w:t xml:space="preserve"> (Oxford: Oxford University Press, 2000), 3–31.</w:t>
      </w:r>
    </w:p>
  </w:footnote>
  <w:footnote w:id="92">
    <w:p w14:paraId="70B42429" w14:textId="4D59AF4B" w:rsidR="009C0E8C" w:rsidRPr="00A3151B" w:rsidRDefault="009C0E8C" w:rsidP="00AD30C8">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Anderson and Honneth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w:t>
      </w:r>
      <w:r w:rsidR="003F2A1E" w:rsidRPr="00A3151B">
        <w:rPr>
          <w:rFonts w:ascii="Times New Roman" w:hAnsi="Times New Roman" w:cs="Times New Roman"/>
          <w:sz w:val="20"/>
          <w:szCs w:val="20"/>
          <w:lang w:val="en-GB"/>
        </w:rPr>
        <w:t>71</w:t>
      </w:r>
      <w:r w:rsidRPr="00A3151B">
        <w:rPr>
          <w:rFonts w:ascii="Times New Roman" w:hAnsi="Times New Roman" w:cs="Times New Roman"/>
          <w:sz w:val="20"/>
          <w:szCs w:val="20"/>
          <w:lang w:val="en-GB"/>
        </w:rPr>
        <w:t xml:space="preserve">; P Benson, ‘Feminist intuitions and the normative substance of autonomy’, in JS Taylor (ed), </w:t>
      </w:r>
      <w:r w:rsidRPr="00A3151B">
        <w:rPr>
          <w:rFonts w:ascii="Times New Roman" w:hAnsi="Times New Roman" w:cs="Times New Roman"/>
          <w:i/>
          <w:sz w:val="20"/>
          <w:szCs w:val="20"/>
          <w:lang w:val="en-GB"/>
        </w:rPr>
        <w:t>Personal autonomy: New essays on personal autonomy and its role in contemporary moral philosophy</w:t>
      </w:r>
      <w:r w:rsidRPr="00A3151B">
        <w:rPr>
          <w:rFonts w:ascii="Times New Roman" w:hAnsi="Times New Roman" w:cs="Times New Roman"/>
          <w:sz w:val="20"/>
          <w:szCs w:val="20"/>
          <w:lang w:val="en-GB"/>
        </w:rPr>
        <w:t xml:space="preserve"> (Cambridge: Cambridge University Press, 2005), 124-42; Mackenzie (2008)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w:t>
      </w:r>
      <w:r w:rsidR="003F2A1E" w:rsidRPr="00A3151B">
        <w:rPr>
          <w:rFonts w:ascii="Times New Roman" w:hAnsi="Times New Roman" w:cs="Times New Roman"/>
          <w:sz w:val="20"/>
          <w:szCs w:val="20"/>
          <w:lang w:val="en-GB"/>
        </w:rPr>
        <w:t>71</w:t>
      </w:r>
      <w:r w:rsidRPr="00A3151B">
        <w:rPr>
          <w:rFonts w:ascii="Times New Roman" w:hAnsi="Times New Roman" w:cs="Times New Roman"/>
          <w:sz w:val="20"/>
          <w:szCs w:val="20"/>
          <w:lang w:val="en-GB"/>
        </w:rPr>
        <w:t>.</w:t>
      </w:r>
    </w:p>
  </w:footnote>
  <w:footnote w:id="93">
    <w:p w14:paraId="62AD5C49" w14:textId="2E2602EB" w:rsidR="009C0E8C" w:rsidRPr="00A3151B" w:rsidRDefault="009C0E8C" w:rsidP="00AD30C8">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T </w:t>
      </w:r>
      <w:proofErr w:type="spellStart"/>
      <w:r w:rsidRPr="00A3151B">
        <w:rPr>
          <w:rFonts w:ascii="Times New Roman" w:hAnsi="Times New Roman" w:cs="Times New Roman"/>
          <w:sz w:val="20"/>
          <w:szCs w:val="20"/>
          <w:lang w:val="en-GB"/>
        </w:rPr>
        <w:t>Govier</w:t>
      </w:r>
      <w:proofErr w:type="spellEnd"/>
      <w:r w:rsidRPr="00A3151B">
        <w:rPr>
          <w:rFonts w:ascii="Times New Roman" w:hAnsi="Times New Roman" w:cs="Times New Roman"/>
          <w:sz w:val="20"/>
          <w:szCs w:val="20"/>
          <w:lang w:val="en-GB"/>
        </w:rPr>
        <w:t>, ‘Self-trust, autonomy, and self-esteem’, (1993) </w:t>
      </w:r>
      <w:r w:rsidRPr="00A3151B">
        <w:rPr>
          <w:rFonts w:ascii="Times New Roman" w:hAnsi="Times New Roman" w:cs="Times New Roman"/>
          <w:i/>
          <w:iCs/>
          <w:sz w:val="20"/>
          <w:szCs w:val="20"/>
          <w:lang w:val="en-GB"/>
        </w:rPr>
        <w:t>Hypatia</w:t>
      </w:r>
      <w:r w:rsidRPr="00A3151B">
        <w:rPr>
          <w:rFonts w:ascii="Times New Roman" w:hAnsi="Times New Roman" w:cs="Times New Roman"/>
          <w:sz w:val="20"/>
          <w:szCs w:val="20"/>
          <w:lang w:val="en-GB"/>
        </w:rPr>
        <w:t xml:space="preserve"> 8, 99-120; C McLeod, </w:t>
      </w:r>
      <w:r w:rsidRPr="00A3151B">
        <w:rPr>
          <w:rFonts w:ascii="Times New Roman" w:hAnsi="Times New Roman" w:cs="Times New Roman"/>
          <w:i/>
          <w:iCs/>
          <w:sz w:val="20"/>
          <w:szCs w:val="20"/>
          <w:lang w:val="en-GB"/>
        </w:rPr>
        <w:t>Self-trust and reproductive autonomy</w:t>
      </w:r>
      <w:r w:rsidRPr="00A3151B">
        <w:rPr>
          <w:rFonts w:ascii="Times New Roman" w:hAnsi="Times New Roman" w:cs="Times New Roman"/>
          <w:sz w:val="20"/>
          <w:szCs w:val="20"/>
          <w:lang w:val="en-GB"/>
        </w:rPr>
        <w:t xml:space="preserve"> (Cambridge, MA: MIT Press, 2002); Mackenzie (2008)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w:t>
      </w:r>
      <w:r w:rsidR="003F2A1E" w:rsidRPr="00A3151B">
        <w:rPr>
          <w:rFonts w:ascii="Times New Roman" w:hAnsi="Times New Roman" w:cs="Times New Roman"/>
          <w:sz w:val="20"/>
          <w:szCs w:val="20"/>
          <w:lang w:val="en-GB"/>
        </w:rPr>
        <w:t>71</w:t>
      </w:r>
      <w:r w:rsidRPr="00A3151B">
        <w:rPr>
          <w:rFonts w:ascii="Times New Roman" w:hAnsi="Times New Roman" w:cs="Times New Roman"/>
          <w:sz w:val="20"/>
          <w:szCs w:val="20"/>
          <w:lang w:val="en-GB"/>
        </w:rPr>
        <w:t>.</w:t>
      </w:r>
    </w:p>
  </w:footnote>
  <w:footnote w:id="94">
    <w:p w14:paraId="069EC603" w14:textId="6E67954A" w:rsidR="009C0E8C" w:rsidRPr="00A3151B" w:rsidRDefault="009C0E8C" w:rsidP="00AD30C8">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Mackenzie (2008)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w:t>
      </w:r>
      <w:r w:rsidR="003F2A1E" w:rsidRPr="00A3151B">
        <w:rPr>
          <w:rFonts w:ascii="Times New Roman" w:hAnsi="Times New Roman" w:cs="Times New Roman"/>
          <w:sz w:val="20"/>
          <w:szCs w:val="20"/>
          <w:lang w:val="en-GB"/>
        </w:rPr>
        <w:t>71</w:t>
      </w:r>
      <w:r w:rsidRPr="00A3151B">
        <w:rPr>
          <w:rFonts w:ascii="Times New Roman" w:hAnsi="Times New Roman" w:cs="Times New Roman"/>
          <w:sz w:val="20"/>
          <w:szCs w:val="20"/>
          <w:lang w:val="en-GB"/>
        </w:rPr>
        <w:t>.</w:t>
      </w:r>
    </w:p>
  </w:footnote>
  <w:footnote w:id="95">
    <w:p w14:paraId="0089DF1C" w14:textId="1F3953A6" w:rsidR="009C0E8C" w:rsidRPr="00A3151B" w:rsidRDefault="009C0E8C" w:rsidP="00AD30C8">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w:t>
      </w:r>
      <w:r w:rsidRPr="00A3151B">
        <w:rPr>
          <w:rFonts w:ascii="Times New Roman" w:hAnsi="Times New Roman" w:cs="Times New Roman"/>
          <w:i/>
          <w:sz w:val="20"/>
          <w:szCs w:val="20"/>
          <w:lang w:val="en-GB"/>
        </w:rPr>
        <w:t>ibid.</w:t>
      </w:r>
      <w:r w:rsidRPr="00A3151B">
        <w:rPr>
          <w:rFonts w:ascii="Times New Roman" w:hAnsi="Times New Roman" w:cs="Times New Roman"/>
          <w:sz w:val="20"/>
          <w:szCs w:val="20"/>
          <w:lang w:val="en-GB"/>
        </w:rPr>
        <w:t>, 518–9.</w:t>
      </w:r>
    </w:p>
  </w:footnote>
  <w:footnote w:id="96">
    <w:p w14:paraId="33D7F264" w14:textId="5D937AA5" w:rsidR="009C0E8C" w:rsidRPr="00A3151B" w:rsidRDefault="009C0E8C" w:rsidP="00B42035">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Coggon and </w:t>
      </w:r>
      <w:proofErr w:type="spellStart"/>
      <w:r w:rsidRPr="00A3151B">
        <w:rPr>
          <w:rFonts w:ascii="Times New Roman" w:hAnsi="Times New Roman" w:cs="Times New Roman"/>
          <w:sz w:val="20"/>
          <w:szCs w:val="20"/>
          <w:lang w:val="en-GB"/>
        </w:rPr>
        <w:t>Miola</w:t>
      </w:r>
      <w:proofErr w:type="spellEnd"/>
      <w:r w:rsidRPr="00A3151B">
        <w:rPr>
          <w:rFonts w:ascii="Times New Roman" w:hAnsi="Times New Roman" w:cs="Times New Roman"/>
          <w:sz w:val="20"/>
          <w:szCs w:val="20"/>
          <w:lang w:val="en-GB"/>
        </w:rPr>
        <w:t xml:space="preserve">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5, 527-28.</w:t>
      </w:r>
    </w:p>
  </w:footnote>
  <w:footnote w:id="97">
    <w:p w14:paraId="73512014" w14:textId="3368F57A" w:rsidR="009C0E8C" w:rsidRPr="00A3151B" w:rsidRDefault="009C0E8C" w:rsidP="007549AD">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w:t>
      </w:r>
      <w:r w:rsidRPr="00A3151B">
        <w:rPr>
          <w:rFonts w:ascii="Times New Roman" w:hAnsi="Times New Roman" w:cs="Times New Roman"/>
          <w:i/>
          <w:sz w:val="20"/>
          <w:szCs w:val="20"/>
          <w:lang w:val="en-GB"/>
        </w:rPr>
        <w:t>Re SA (Vulnerable Adult with Capacity: Marriage)</w:t>
      </w:r>
      <w:r w:rsidRPr="00A3151B">
        <w:rPr>
          <w:rFonts w:ascii="Times New Roman" w:hAnsi="Times New Roman" w:cs="Times New Roman"/>
          <w:sz w:val="20"/>
          <w:szCs w:val="20"/>
          <w:lang w:val="en-GB"/>
        </w:rPr>
        <w:t xml:space="preserve"> [2005] EWHC 2942 (Fam), [2006] 1 FLR 867 at [77] per Munby J.</w:t>
      </w:r>
    </w:p>
  </w:footnote>
  <w:footnote w:id="98">
    <w:p w14:paraId="1FAF55C8" w14:textId="3E4AE88D" w:rsidR="009C0E8C" w:rsidRPr="00A3151B" w:rsidRDefault="009C0E8C" w:rsidP="007549AD">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Dunn, Clare and Holland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21, 247. Also see </w:t>
      </w:r>
      <w:proofErr w:type="spellStart"/>
      <w:r w:rsidRPr="00A3151B">
        <w:rPr>
          <w:rFonts w:ascii="Times New Roman" w:hAnsi="Times New Roman" w:cs="Times New Roman"/>
          <w:sz w:val="20"/>
          <w:szCs w:val="20"/>
          <w:lang w:val="en-GB"/>
        </w:rPr>
        <w:t>Skowron</w:t>
      </w:r>
      <w:proofErr w:type="spellEnd"/>
      <w:r w:rsidRPr="00A3151B">
        <w:rPr>
          <w:rFonts w:ascii="Times New Roman" w:hAnsi="Times New Roman" w:cs="Times New Roman"/>
          <w:sz w:val="20"/>
          <w:szCs w:val="20"/>
          <w:lang w:val="en-GB"/>
        </w:rPr>
        <w:t xml:space="preserve">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w:t>
      </w:r>
      <w:r w:rsidR="00A9624B" w:rsidRPr="00A3151B">
        <w:rPr>
          <w:rFonts w:ascii="Times New Roman" w:hAnsi="Times New Roman" w:cs="Times New Roman"/>
          <w:sz w:val="20"/>
          <w:szCs w:val="20"/>
          <w:lang w:val="en-GB"/>
        </w:rPr>
        <w:t>1</w:t>
      </w:r>
      <w:r w:rsidRPr="00A3151B">
        <w:rPr>
          <w:rFonts w:ascii="Times New Roman" w:hAnsi="Times New Roman" w:cs="Times New Roman"/>
          <w:sz w:val="20"/>
          <w:szCs w:val="20"/>
          <w:lang w:val="en-GB"/>
        </w:rPr>
        <w:t>.</w:t>
      </w:r>
    </w:p>
  </w:footnote>
  <w:footnote w:id="99">
    <w:p w14:paraId="563409BD" w14:textId="0DB50409" w:rsidR="009C0E8C" w:rsidRPr="00A3151B" w:rsidRDefault="009C0E8C" w:rsidP="00DD513C">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w:t>
      </w:r>
      <w:proofErr w:type="spellStart"/>
      <w:r w:rsidRPr="00A3151B">
        <w:rPr>
          <w:rFonts w:ascii="Times New Roman" w:hAnsi="Times New Roman" w:cs="Times New Roman"/>
          <w:sz w:val="20"/>
          <w:szCs w:val="20"/>
          <w:lang w:val="en-GB"/>
        </w:rPr>
        <w:t>Christman</w:t>
      </w:r>
      <w:proofErr w:type="spellEnd"/>
      <w:r w:rsidRPr="00A3151B">
        <w:rPr>
          <w:rFonts w:ascii="Times New Roman" w:hAnsi="Times New Roman" w:cs="Times New Roman"/>
          <w:sz w:val="20"/>
          <w:szCs w:val="20"/>
          <w:lang w:val="en-GB"/>
        </w:rPr>
        <w:t xml:space="preserve"> (2004)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w:t>
      </w:r>
      <w:r w:rsidR="00B54FCB" w:rsidRPr="00A3151B">
        <w:rPr>
          <w:rFonts w:ascii="Times New Roman" w:hAnsi="Times New Roman" w:cs="Times New Roman"/>
          <w:sz w:val="20"/>
          <w:szCs w:val="20"/>
          <w:lang w:val="en-GB"/>
        </w:rPr>
        <w:t>90</w:t>
      </w:r>
      <w:r w:rsidRPr="00A3151B">
        <w:rPr>
          <w:rFonts w:ascii="Times New Roman" w:hAnsi="Times New Roman" w:cs="Times New Roman"/>
          <w:sz w:val="20"/>
          <w:szCs w:val="20"/>
          <w:lang w:val="en-GB"/>
        </w:rPr>
        <w:t xml:space="preserve">, 158. </w:t>
      </w:r>
      <w:r w:rsidRPr="00A3151B">
        <w:rPr>
          <w:rFonts w:ascii="MS Mincho" w:eastAsia="MS Mincho" w:hAnsi="MS Mincho" w:cs="MS Mincho"/>
          <w:sz w:val="20"/>
          <w:szCs w:val="20"/>
          <w:lang w:val="en-GB"/>
        </w:rPr>
        <w:t> </w:t>
      </w:r>
    </w:p>
  </w:footnote>
  <w:footnote w:id="100">
    <w:p w14:paraId="6EC4207C" w14:textId="77777777" w:rsidR="009C0E8C" w:rsidRPr="00A3151B" w:rsidRDefault="009C0E8C" w:rsidP="0026424E">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N </w:t>
      </w:r>
      <w:proofErr w:type="spellStart"/>
      <w:r w:rsidRPr="00A3151B">
        <w:rPr>
          <w:rFonts w:ascii="Times New Roman" w:hAnsi="Times New Roman" w:cs="Times New Roman"/>
          <w:sz w:val="20"/>
          <w:szCs w:val="20"/>
          <w:lang w:val="en-GB"/>
        </w:rPr>
        <w:t>Stoljar</w:t>
      </w:r>
      <w:proofErr w:type="spellEnd"/>
      <w:r w:rsidRPr="00A3151B">
        <w:rPr>
          <w:rFonts w:ascii="Times New Roman" w:hAnsi="Times New Roman" w:cs="Times New Roman"/>
          <w:sz w:val="20"/>
          <w:szCs w:val="20"/>
          <w:lang w:val="en-GB"/>
        </w:rPr>
        <w:t xml:space="preserve">, ‘Feminist perspectives on autonomy’, in EN </w:t>
      </w:r>
      <w:proofErr w:type="spellStart"/>
      <w:r w:rsidRPr="00A3151B">
        <w:rPr>
          <w:rFonts w:ascii="Times New Roman" w:hAnsi="Times New Roman" w:cs="Times New Roman"/>
          <w:sz w:val="20"/>
          <w:szCs w:val="20"/>
          <w:lang w:val="en-GB"/>
        </w:rPr>
        <w:t>Zalta</w:t>
      </w:r>
      <w:proofErr w:type="spellEnd"/>
      <w:r w:rsidRPr="00A3151B">
        <w:rPr>
          <w:rFonts w:ascii="Times New Roman" w:hAnsi="Times New Roman" w:cs="Times New Roman"/>
          <w:sz w:val="20"/>
          <w:szCs w:val="20"/>
          <w:lang w:val="en-GB"/>
        </w:rPr>
        <w:t xml:space="preserve"> (ed), </w:t>
      </w:r>
      <w:r w:rsidRPr="00A3151B">
        <w:rPr>
          <w:rFonts w:ascii="Times New Roman" w:hAnsi="Times New Roman" w:cs="Times New Roman"/>
          <w:i/>
          <w:sz w:val="20"/>
          <w:szCs w:val="20"/>
          <w:lang w:val="en-GB"/>
        </w:rPr>
        <w:t xml:space="preserve">The Stanford </w:t>
      </w:r>
      <w:proofErr w:type="spellStart"/>
      <w:r w:rsidRPr="00A3151B">
        <w:rPr>
          <w:rFonts w:ascii="Times New Roman" w:hAnsi="Times New Roman" w:cs="Times New Roman"/>
          <w:i/>
          <w:sz w:val="20"/>
          <w:szCs w:val="20"/>
          <w:lang w:val="en-GB"/>
        </w:rPr>
        <w:t>encyclopedia</w:t>
      </w:r>
      <w:proofErr w:type="spellEnd"/>
      <w:r w:rsidRPr="00A3151B">
        <w:rPr>
          <w:rFonts w:ascii="Times New Roman" w:hAnsi="Times New Roman" w:cs="Times New Roman"/>
          <w:i/>
          <w:sz w:val="20"/>
          <w:szCs w:val="20"/>
          <w:lang w:val="en-GB"/>
        </w:rPr>
        <w:t xml:space="preserve"> of philosophy </w:t>
      </w:r>
      <w:r w:rsidRPr="00A3151B">
        <w:rPr>
          <w:rFonts w:ascii="Times New Roman" w:hAnsi="Times New Roman" w:cs="Times New Roman"/>
          <w:sz w:val="20"/>
          <w:szCs w:val="20"/>
          <w:lang w:val="en-GB"/>
        </w:rPr>
        <w:t>(2018). Retrieved from</w:t>
      </w:r>
      <w:r w:rsidRPr="00A3151B">
        <w:rPr>
          <w:rFonts w:ascii="Times New Roman" w:hAnsi="Times New Roman" w:cs="Times New Roman"/>
          <w:i/>
          <w:iCs/>
          <w:sz w:val="20"/>
          <w:szCs w:val="20"/>
          <w:lang w:val="en-GB"/>
        </w:rPr>
        <w:t xml:space="preserve"> </w:t>
      </w:r>
      <w:r w:rsidRPr="00A3151B">
        <w:rPr>
          <w:rFonts w:ascii="Times New Roman" w:hAnsi="Times New Roman" w:cs="Times New Roman"/>
          <w:sz w:val="20"/>
          <w:szCs w:val="20"/>
          <w:lang w:val="en-GB"/>
        </w:rPr>
        <w:t xml:space="preserve">https://plato.stanford.edu/archives/win2018/entries/feminism-autonomy/. </w:t>
      </w:r>
    </w:p>
  </w:footnote>
  <w:footnote w:id="101">
    <w:p w14:paraId="12AD5E48" w14:textId="3798DFAE" w:rsidR="009C0E8C" w:rsidRPr="00A3151B" w:rsidRDefault="009C0E8C" w:rsidP="0026424E">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w:t>
      </w:r>
      <w:r w:rsidRPr="00A3151B">
        <w:rPr>
          <w:rFonts w:ascii="Times New Roman" w:hAnsi="Times New Roman" w:cs="Times New Roman"/>
          <w:i/>
          <w:sz w:val="20"/>
          <w:szCs w:val="20"/>
          <w:lang w:val="en-GB"/>
        </w:rPr>
        <w:t>E.g.,</w:t>
      </w:r>
      <w:r w:rsidRPr="00A3151B">
        <w:rPr>
          <w:rFonts w:ascii="Times New Roman" w:hAnsi="Times New Roman" w:cs="Times New Roman"/>
          <w:sz w:val="20"/>
          <w:szCs w:val="20"/>
          <w:lang w:val="en-GB"/>
        </w:rPr>
        <w:t xml:space="preserve"> Meyers (1989)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w:t>
      </w:r>
      <w:r w:rsidR="00B54FCB" w:rsidRPr="00A3151B">
        <w:rPr>
          <w:rFonts w:ascii="Times New Roman" w:hAnsi="Times New Roman" w:cs="Times New Roman"/>
          <w:sz w:val="20"/>
          <w:szCs w:val="20"/>
          <w:lang w:val="en-GB"/>
        </w:rPr>
        <w:t>90</w:t>
      </w:r>
      <w:r w:rsidRPr="00A3151B">
        <w:rPr>
          <w:rFonts w:ascii="Times New Roman" w:hAnsi="Times New Roman" w:cs="Times New Roman"/>
          <w:sz w:val="20"/>
          <w:szCs w:val="20"/>
          <w:lang w:val="en-GB"/>
        </w:rPr>
        <w:t xml:space="preserve">; Friedman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w:t>
      </w:r>
      <w:r w:rsidR="00B54FCB" w:rsidRPr="00A3151B">
        <w:rPr>
          <w:rFonts w:ascii="Times New Roman" w:hAnsi="Times New Roman" w:cs="Times New Roman"/>
          <w:sz w:val="20"/>
          <w:szCs w:val="20"/>
          <w:lang w:val="en-GB"/>
        </w:rPr>
        <w:t>90</w:t>
      </w:r>
      <w:r w:rsidRPr="00A3151B">
        <w:rPr>
          <w:rFonts w:ascii="Times New Roman" w:hAnsi="Times New Roman" w:cs="Times New Roman"/>
          <w:sz w:val="20"/>
          <w:szCs w:val="20"/>
          <w:lang w:val="en-GB"/>
        </w:rPr>
        <w:t xml:space="preserve">; </w:t>
      </w:r>
      <w:proofErr w:type="spellStart"/>
      <w:r w:rsidRPr="00A3151B">
        <w:rPr>
          <w:rFonts w:ascii="Times New Roman" w:hAnsi="Times New Roman" w:cs="Times New Roman"/>
          <w:sz w:val="20"/>
          <w:szCs w:val="20"/>
          <w:lang w:val="en-GB"/>
        </w:rPr>
        <w:t>Christman</w:t>
      </w:r>
      <w:proofErr w:type="spellEnd"/>
      <w:r w:rsidRPr="00A3151B">
        <w:rPr>
          <w:rFonts w:ascii="Times New Roman" w:hAnsi="Times New Roman" w:cs="Times New Roman"/>
          <w:sz w:val="20"/>
          <w:szCs w:val="20"/>
          <w:lang w:val="en-GB"/>
        </w:rPr>
        <w:t xml:space="preserve"> (2009)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w:t>
      </w:r>
      <w:r w:rsidR="00B54FCB" w:rsidRPr="00A3151B">
        <w:rPr>
          <w:rFonts w:ascii="Times New Roman" w:hAnsi="Times New Roman" w:cs="Times New Roman"/>
          <w:sz w:val="20"/>
          <w:szCs w:val="20"/>
          <w:lang w:val="en-GB"/>
        </w:rPr>
        <w:t>90</w:t>
      </w:r>
      <w:r w:rsidRPr="00A3151B">
        <w:rPr>
          <w:rFonts w:ascii="Times New Roman" w:hAnsi="Times New Roman" w:cs="Times New Roman"/>
          <w:sz w:val="20"/>
          <w:szCs w:val="20"/>
          <w:lang w:val="en-GB"/>
        </w:rPr>
        <w:t>.</w:t>
      </w:r>
    </w:p>
  </w:footnote>
  <w:footnote w:id="102">
    <w:p w14:paraId="2006AA9A" w14:textId="491F6793" w:rsidR="009C0E8C" w:rsidRPr="00A3151B" w:rsidRDefault="009C0E8C" w:rsidP="0026424E">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w:t>
      </w:r>
      <w:r w:rsidRPr="00A3151B">
        <w:rPr>
          <w:rFonts w:ascii="Times New Roman" w:hAnsi="Times New Roman" w:cs="Times New Roman"/>
          <w:i/>
          <w:sz w:val="20"/>
          <w:szCs w:val="20"/>
          <w:lang w:val="en-GB"/>
        </w:rPr>
        <w:t>E.g.,</w:t>
      </w:r>
      <w:r w:rsidRPr="00A3151B">
        <w:rPr>
          <w:rFonts w:ascii="Times New Roman" w:hAnsi="Times New Roman" w:cs="Times New Roman"/>
          <w:sz w:val="20"/>
          <w:szCs w:val="20"/>
          <w:lang w:val="en-GB"/>
        </w:rPr>
        <w:t xml:space="preserve"> Benson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w:t>
      </w:r>
      <w:r w:rsidR="00B54FCB" w:rsidRPr="00A3151B">
        <w:rPr>
          <w:rFonts w:ascii="Times New Roman" w:hAnsi="Times New Roman" w:cs="Times New Roman"/>
          <w:sz w:val="20"/>
          <w:szCs w:val="20"/>
          <w:lang w:val="en-GB"/>
        </w:rPr>
        <w:t>91</w:t>
      </w:r>
      <w:r w:rsidRPr="00A3151B">
        <w:rPr>
          <w:rFonts w:ascii="Times New Roman" w:hAnsi="Times New Roman" w:cs="Times New Roman"/>
          <w:sz w:val="20"/>
          <w:szCs w:val="20"/>
          <w:lang w:val="en-GB"/>
        </w:rPr>
        <w:t xml:space="preserve">; </w:t>
      </w:r>
      <w:proofErr w:type="spellStart"/>
      <w:r w:rsidRPr="00A3151B">
        <w:rPr>
          <w:rFonts w:ascii="Times New Roman" w:hAnsi="Times New Roman" w:cs="Times New Roman"/>
          <w:sz w:val="20"/>
          <w:szCs w:val="20"/>
          <w:lang w:val="en-GB"/>
        </w:rPr>
        <w:t>Govier</w:t>
      </w:r>
      <w:proofErr w:type="spellEnd"/>
      <w:r w:rsidRPr="00A3151B">
        <w:rPr>
          <w:rFonts w:ascii="Times New Roman" w:hAnsi="Times New Roman" w:cs="Times New Roman"/>
          <w:sz w:val="20"/>
          <w:szCs w:val="20"/>
          <w:lang w:val="en-GB"/>
        </w:rPr>
        <w:t xml:space="preserve">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w:t>
      </w:r>
      <w:r w:rsidR="00B54FCB" w:rsidRPr="00A3151B">
        <w:rPr>
          <w:rFonts w:ascii="Times New Roman" w:hAnsi="Times New Roman" w:cs="Times New Roman"/>
          <w:sz w:val="20"/>
          <w:szCs w:val="20"/>
          <w:lang w:val="en-GB"/>
        </w:rPr>
        <w:t>93</w:t>
      </w:r>
      <w:r w:rsidRPr="00A3151B">
        <w:rPr>
          <w:rFonts w:ascii="Times New Roman" w:hAnsi="Times New Roman" w:cs="Times New Roman"/>
          <w:sz w:val="20"/>
          <w:szCs w:val="20"/>
          <w:lang w:val="en-GB"/>
        </w:rPr>
        <w:t xml:space="preserve">; Mackenzie and </w:t>
      </w:r>
      <w:proofErr w:type="spellStart"/>
      <w:r w:rsidRPr="00A3151B">
        <w:rPr>
          <w:rFonts w:ascii="Times New Roman" w:hAnsi="Times New Roman" w:cs="Times New Roman"/>
          <w:sz w:val="20"/>
          <w:szCs w:val="20"/>
          <w:lang w:val="en-GB"/>
        </w:rPr>
        <w:t>Stoljar</w:t>
      </w:r>
      <w:proofErr w:type="spellEnd"/>
      <w:r w:rsidRPr="00A3151B">
        <w:rPr>
          <w:rFonts w:ascii="Times New Roman" w:hAnsi="Times New Roman" w:cs="Times New Roman"/>
          <w:sz w:val="20"/>
          <w:szCs w:val="20"/>
          <w:lang w:val="en-GB"/>
        </w:rPr>
        <w:t xml:space="preserve">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w:t>
      </w:r>
      <w:r w:rsidR="00B54FCB" w:rsidRPr="00A3151B">
        <w:rPr>
          <w:rFonts w:ascii="Times New Roman" w:hAnsi="Times New Roman" w:cs="Times New Roman"/>
          <w:sz w:val="20"/>
          <w:szCs w:val="20"/>
          <w:lang w:val="en-GB"/>
        </w:rPr>
        <w:t>91</w:t>
      </w:r>
      <w:r w:rsidRPr="00A3151B">
        <w:rPr>
          <w:rFonts w:ascii="Times New Roman" w:hAnsi="Times New Roman" w:cs="Times New Roman"/>
          <w:sz w:val="20"/>
          <w:szCs w:val="20"/>
          <w:lang w:val="en-GB"/>
        </w:rPr>
        <w:t xml:space="preserve">; McLeod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w:t>
      </w:r>
      <w:r w:rsidR="00B54FCB" w:rsidRPr="00A3151B">
        <w:rPr>
          <w:rFonts w:ascii="Times New Roman" w:hAnsi="Times New Roman" w:cs="Times New Roman"/>
          <w:sz w:val="20"/>
          <w:szCs w:val="20"/>
          <w:lang w:val="en-GB"/>
        </w:rPr>
        <w:t>93</w:t>
      </w:r>
      <w:r w:rsidRPr="00A3151B">
        <w:rPr>
          <w:rFonts w:ascii="Times New Roman" w:hAnsi="Times New Roman" w:cs="Times New Roman"/>
          <w:sz w:val="20"/>
          <w:szCs w:val="20"/>
          <w:lang w:val="en-GB"/>
        </w:rPr>
        <w:t xml:space="preserve">; Anderson and Honneth </w:t>
      </w:r>
      <w:r w:rsidRPr="00A3151B">
        <w:rPr>
          <w:rFonts w:ascii="Times New Roman" w:hAnsi="Times New Roman" w:cs="Times New Roman"/>
          <w:i/>
          <w:sz w:val="20"/>
          <w:szCs w:val="20"/>
          <w:lang w:val="en-GB"/>
        </w:rPr>
        <w:t xml:space="preserve">op. cit. </w:t>
      </w:r>
      <w:r w:rsidRPr="00A3151B">
        <w:rPr>
          <w:rFonts w:ascii="Times New Roman" w:hAnsi="Times New Roman" w:cs="Times New Roman"/>
          <w:sz w:val="20"/>
          <w:szCs w:val="20"/>
          <w:lang w:val="en-GB"/>
        </w:rPr>
        <w:t xml:space="preserve">note </w:t>
      </w:r>
      <w:r w:rsidR="003F2A1E" w:rsidRPr="00A3151B">
        <w:rPr>
          <w:rFonts w:ascii="Times New Roman" w:hAnsi="Times New Roman" w:cs="Times New Roman"/>
          <w:sz w:val="20"/>
          <w:szCs w:val="20"/>
          <w:lang w:val="en-GB"/>
        </w:rPr>
        <w:t>71</w:t>
      </w:r>
      <w:r w:rsidRPr="00A3151B">
        <w:rPr>
          <w:rFonts w:ascii="Times New Roman" w:hAnsi="Times New Roman" w:cs="Times New Roman"/>
          <w:sz w:val="20"/>
          <w:szCs w:val="20"/>
          <w:lang w:val="en-GB"/>
        </w:rPr>
        <w:t xml:space="preserve">; Benson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w:t>
      </w:r>
      <w:r w:rsidR="00B54FCB" w:rsidRPr="00A3151B">
        <w:rPr>
          <w:rFonts w:ascii="Times New Roman" w:hAnsi="Times New Roman" w:cs="Times New Roman"/>
          <w:sz w:val="20"/>
          <w:szCs w:val="20"/>
          <w:lang w:val="en-GB"/>
        </w:rPr>
        <w:t>92</w:t>
      </w:r>
      <w:r w:rsidRPr="00A3151B">
        <w:rPr>
          <w:rFonts w:ascii="Times New Roman" w:hAnsi="Times New Roman" w:cs="Times New Roman"/>
          <w:sz w:val="20"/>
          <w:szCs w:val="20"/>
          <w:lang w:val="en-GB"/>
        </w:rPr>
        <w:t xml:space="preserve">; Mackenzie (2008) </w:t>
      </w:r>
      <w:r w:rsidRPr="00A3151B">
        <w:rPr>
          <w:rFonts w:ascii="Times New Roman" w:hAnsi="Times New Roman" w:cs="Times New Roman"/>
          <w:i/>
          <w:sz w:val="20"/>
          <w:szCs w:val="20"/>
          <w:lang w:val="en-GB"/>
        </w:rPr>
        <w:t xml:space="preserve">op. cit. </w:t>
      </w:r>
      <w:r w:rsidRPr="00A3151B">
        <w:rPr>
          <w:rFonts w:ascii="Times New Roman" w:hAnsi="Times New Roman" w:cs="Times New Roman"/>
          <w:sz w:val="20"/>
          <w:szCs w:val="20"/>
          <w:lang w:val="en-GB"/>
        </w:rPr>
        <w:t xml:space="preserve">note </w:t>
      </w:r>
      <w:r w:rsidR="003F2A1E" w:rsidRPr="00A3151B">
        <w:rPr>
          <w:rFonts w:ascii="Times New Roman" w:hAnsi="Times New Roman" w:cs="Times New Roman"/>
          <w:sz w:val="20"/>
          <w:szCs w:val="20"/>
          <w:lang w:val="en-GB"/>
        </w:rPr>
        <w:t>71</w:t>
      </w:r>
      <w:r w:rsidRPr="00A3151B">
        <w:rPr>
          <w:rFonts w:ascii="Times New Roman" w:hAnsi="Times New Roman" w:cs="Times New Roman"/>
          <w:sz w:val="20"/>
          <w:szCs w:val="20"/>
          <w:lang w:val="en-GB"/>
        </w:rPr>
        <w:t xml:space="preserve">; Mackenzie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4</w:t>
      </w:r>
      <w:r w:rsidR="006F6984" w:rsidRPr="00A3151B">
        <w:rPr>
          <w:rFonts w:ascii="Times New Roman" w:hAnsi="Times New Roman" w:cs="Times New Roman"/>
          <w:sz w:val="20"/>
          <w:szCs w:val="20"/>
          <w:lang w:val="en-GB"/>
        </w:rPr>
        <w:t>7</w:t>
      </w:r>
      <w:r w:rsidRPr="00A3151B">
        <w:rPr>
          <w:rFonts w:ascii="Times New Roman" w:hAnsi="Times New Roman" w:cs="Times New Roman"/>
          <w:sz w:val="20"/>
          <w:szCs w:val="20"/>
          <w:lang w:val="en-GB"/>
        </w:rPr>
        <w:t>.</w:t>
      </w:r>
    </w:p>
  </w:footnote>
  <w:footnote w:id="103">
    <w:p w14:paraId="4A05116A" w14:textId="70AFC8DC" w:rsidR="009C0E8C" w:rsidRPr="00A3151B" w:rsidRDefault="009C0E8C" w:rsidP="0026424E">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w:t>
      </w:r>
      <w:proofErr w:type="spellStart"/>
      <w:r w:rsidRPr="00A3151B">
        <w:rPr>
          <w:rFonts w:ascii="Times New Roman" w:hAnsi="Times New Roman" w:cs="Times New Roman"/>
          <w:sz w:val="20"/>
          <w:szCs w:val="20"/>
          <w:lang w:val="en-GB"/>
        </w:rPr>
        <w:t>Christman</w:t>
      </w:r>
      <w:proofErr w:type="spellEnd"/>
      <w:r w:rsidRPr="00A3151B">
        <w:rPr>
          <w:rFonts w:ascii="Times New Roman" w:hAnsi="Times New Roman" w:cs="Times New Roman"/>
          <w:sz w:val="20"/>
          <w:szCs w:val="20"/>
          <w:lang w:val="en-GB"/>
        </w:rPr>
        <w:t xml:space="preserve"> (2009)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w:t>
      </w:r>
      <w:r w:rsidR="00B54FCB" w:rsidRPr="00A3151B">
        <w:rPr>
          <w:rFonts w:ascii="Times New Roman" w:hAnsi="Times New Roman" w:cs="Times New Roman"/>
          <w:sz w:val="20"/>
          <w:szCs w:val="20"/>
          <w:lang w:val="en-GB"/>
        </w:rPr>
        <w:t>90</w:t>
      </w:r>
      <w:r w:rsidRPr="00A3151B">
        <w:rPr>
          <w:rFonts w:ascii="Times New Roman" w:hAnsi="Times New Roman" w:cs="Times New Roman"/>
          <w:sz w:val="20"/>
          <w:szCs w:val="20"/>
          <w:lang w:val="en-GB"/>
        </w:rPr>
        <w:t xml:space="preserve">. </w:t>
      </w:r>
    </w:p>
  </w:footnote>
  <w:footnote w:id="104">
    <w:p w14:paraId="3AE75BF3" w14:textId="39738785" w:rsidR="009C0E8C" w:rsidRPr="00A3151B" w:rsidRDefault="009C0E8C" w:rsidP="00DC553C">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sz w:val="20"/>
          <w:szCs w:val="20"/>
          <w:lang w:val="en-GB"/>
        </w:rPr>
        <w:t xml:space="preserve">Analytic feminists working on issues in medical ethics have already begun to employ relational approaches to autonomy in order to demonstrate the ways in which – what we might call – </w:t>
      </w:r>
      <w:r w:rsidRPr="00A3151B">
        <w:rPr>
          <w:rFonts w:ascii="Times New Roman" w:hAnsi="Times New Roman" w:cs="Times New Roman"/>
          <w:i/>
          <w:sz w:val="20"/>
          <w:szCs w:val="20"/>
          <w:lang w:val="en-GB"/>
        </w:rPr>
        <w:t xml:space="preserve">vulnerable autonomy </w:t>
      </w:r>
      <w:r w:rsidRPr="00A3151B">
        <w:rPr>
          <w:rFonts w:ascii="Times New Roman" w:hAnsi="Times New Roman" w:cs="Times New Roman"/>
          <w:sz w:val="20"/>
          <w:szCs w:val="20"/>
          <w:lang w:val="en-GB"/>
        </w:rPr>
        <w:t xml:space="preserve">can be incorporated in, and promoted or undermined by, clinical decision-making practices (see, for example, A </w:t>
      </w:r>
      <w:proofErr w:type="spellStart"/>
      <w:r w:rsidRPr="00A3151B">
        <w:rPr>
          <w:rFonts w:ascii="Times New Roman" w:hAnsi="Times New Roman" w:cs="Times New Roman"/>
          <w:sz w:val="20"/>
          <w:szCs w:val="20"/>
          <w:lang w:val="en-GB"/>
        </w:rPr>
        <w:t>Donchin</w:t>
      </w:r>
      <w:proofErr w:type="spellEnd"/>
      <w:r w:rsidRPr="00A3151B">
        <w:rPr>
          <w:rFonts w:ascii="Times New Roman" w:hAnsi="Times New Roman" w:cs="Times New Roman"/>
          <w:sz w:val="20"/>
          <w:szCs w:val="20"/>
          <w:lang w:val="en-GB"/>
        </w:rPr>
        <w:t xml:space="preserve">, ‘Autonomy, interdependence, and assisted suicide: Respecting boundaries/crossing lines’, (2000) </w:t>
      </w:r>
      <w:r w:rsidRPr="00A3151B">
        <w:rPr>
          <w:rFonts w:ascii="Times New Roman" w:hAnsi="Times New Roman" w:cs="Times New Roman"/>
          <w:i/>
          <w:sz w:val="20"/>
          <w:szCs w:val="20"/>
          <w:lang w:val="en-GB"/>
        </w:rPr>
        <w:t>Bioethics</w:t>
      </w:r>
      <w:r w:rsidRPr="00A3151B">
        <w:rPr>
          <w:rFonts w:ascii="Times New Roman" w:hAnsi="Times New Roman" w:cs="Times New Roman"/>
          <w:sz w:val="20"/>
          <w:szCs w:val="20"/>
          <w:lang w:val="en-GB"/>
        </w:rPr>
        <w:t xml:space="preserve"> 14(3), 187–204; </w:t>
      </w:r>
      <w:proofErr w:type="spellStart"/>
      <w:r w:rsidRPr="00A3151B">
        <w:rPr>
          <w:rFonts w:ascii="Times New Roman" w:hAnsi="Times New Roman" w:cs="Times New Roman"/>
          <w:sz w:val="20"/>
          <w:szCs w:val="20"/>
          <w:lang w:val="en-GB"/>
        </w:rPr>
        <w:t>Dodds</w:t>
      </w:r>
      <w:proofErr w:type="spellEnd"/>
      <w:r w:rsidRPr="00A3151B">
        <w:rPr>
          <w:rFonts w:ascii="Times New Roman" w:hAnsi="Times New Roman" w:cs="Times New Roman"/>
          <w:sz w:val="20"/>
          <w:szCs w:val="20"/>
          <w:lang w:val="en-GB"/>
        </w:rPr>
        <w:t xml:space="preserve"> (2000)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10; A </w:t>
      </w:r>
      <w:proofErr w:type="spellStart"/>
      <w:r w:rsidRPr="00A3151B">
        <w:rPr>
          <w:rFonts w:ascii="Times New Roman" w:hAnsi="Times New Roman" w:cs="Times New Roman"/>
          <w:sz w:val="20"/>
          <w:szCs w:val="20"/>
          <w:lang w:val="en-GB"/>
        </w:rPr>
        <w:t>Donchin</w:t>
      </w:r>
      <w:proofErr w:type="spellEnd"/>
      <w:r w:rsidRPr="00A3151B">
        <w:rPr>
          <w:rFonts w:ascii="Times New Roman" w:hAnsi="Times New Roman" w:cs="Times New Roman"/>
          <w:sz w:val="20"/>
          <w:szCs w:val="20"/>
          <w:lang w:val="en-GB"/>
        </w:rPr>
        <w:t>, ‘</w:t>
      </w:r>
      <w:r w:rsidRPr="00A3151B">
        <w:rPr>
          <w:rFonts w:ascii="Times New Roman" w:hAnsi="Times New Roman" w:cs="Times New Roman"/>
          <w:bCs/>
          <w:sz w:val="20"/>
          <w:szCs w:val="20"/>
          <w:lang w:val="en-GB"/>
        </w:rPr>
        <w:t xml:space="preserve">Understanding autonomy relationally: Toward a reconfiguration of bioethical principles’, (2001) </w:t>
      </w:r>
      <w:r w:rsidRPr="00A3151B">
        <w:rPr>
          <w:rFonts w:ascii="Times New Roman" w:hAnsi="Times New Roman" w:cs="Times New Roman"/>
          <w:bCs/>
          <w:i/>
          <w:iCs/>
          <w:sz w:val="20"/>
          <w:szCs w:val="20"/>
          <w:lang w:val="en-GB"/>
        </w:rPr>
        <w:t>The Journal of Medicine and Philosophy</w:t>
      </w:r>
      <w:r w:rsidRPr="00A3151B">
        <w:rPr>
          <w:rFonts w:ascii="Times New Roman" w:hAnsi="Times New Roman" w:cs="Times New Roman"/>
          <w:bCs/>
          <w:sz w:val="20"/>
          <w:szCs w:val="20"/>
          <w:lang w:val="en-GB"/>
        </w:rPr>
        <w:t xml:space="preserve"> 26(4),</w:t>
      </w:r>
      <w:r w:rsidRPr="00A3151B">
        <w:rPr>
          <w:rFonts w:ascii="Times New Roman" w:hAnsi="Times New Roman" w:cs="Times New Roman"/>
          <w:sz w:val="20"/>
          <w:szCs w:val="20"/>
          <w:lang w:val="en-GB"/>
        </w:rPr>
        <w:t xml:space="preserve"> 365-86; Mackenzie (2008)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w:t>
      </w:r>
      <w:r w:rsidR="003F2A1E" w:rsidRPr="00A3151B">
        <w:rPr>
          <w:rFonts w:ascii="Times New Roman" w:hAnsi="Times New Roman" w:cs="Times New Roman"/>
          <w:sz w:val="20"/>
          <w:szCs w:val="20"/>
          <w:lang w:val="en-GB"/>
        </w:rPr>
        <w:t>71</w:t>
      </w:r>
      <w:r w:rsidRPr="00A3151B">
        <w:rPr>
          <w:rFonts w:ascii="Times New Roman" w:hAnsi="Times New Roman" w:cs="Times New Roman"/>
          <w:bCs/>
          <w:sz w:val="20"/>
          <w:szCs w:val="20"/>
          <w:lang w:val="en-GB"/>
        </w:rPr>
        <w:t xml:space="preserve">; </w:t>
      </w:r>
      <w:r w:rsidRPr="00A3151B">
        <w:rPr>
          <w:rFonts w:ascii="Times New Roman" w:hAnsi="Times New Roman" w:cs="Times New Roman"/>
          <w:sz w:val="20"/>
          <w:szCs w:val="20"/>
          <w:lang w:val="en-GB"/>
        </w:rPr>
        <w:t xml:space="preserve">Lewis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6).</w:t>
      </w:r>
    </w:p>
  </w:footnote>
  <w:footnote w:id="105">
    <w:p w14:paraId="1FB6150A" w14:textId="40213568" w:rsidR="009C0E8C" w:rsidRPr="00A3151B" w:rsidRDefault="009C0E8C" w:rsidP="00CA19BC">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i/>
          <w:sz w:val="20"/>
          <w:szCs w:val="20"/>
        </w:rPr>
        <w:t>E.g.</w:t>
      </w:r>
      <w:r w:rsidRPr="00A3151B">
        <w:rPr>
          <w:rFonts w:ascii="Times New Roman" w:hAnsi="Times New Roman" w:cs="Times New Roman"/>
          <w:sz w:val="20"/>
          <w:szCs w:val="20"/>
        </w:rPr>
        <w:t xml:space="preserve">, </w:t>
      </w:r>
      <w:r w:rsidRPr="00A3151B">
        <w:rPr>
          <w:rFonts w:ascii="Times New Roman" w:hAnsi="Times New Roman" w:cs="Times New Roman"/>
          <w:bCs/>
          <w:sz w:val="20"/>
          <w:szCs w:val="20"/>
          <w:lang w:val="en-GB"/>
        </w:rPr>
        <w:t xml:space="preserve">Anderson (2003) </w:t>
      </w:r>
      <w:r w:rsidRPr="00A3151B">
        <w:rPr>
          <w:rFonts w:ascii="Times New Roman" w:hAnsi="Times New Roman" w:cs="Times New Roman"/>
          <w:bCs/>
          <w:i/>
          <w:sz w:val="20"/>
          <w:szCs w:val="20"/>
          <w:lang w:val="en-GB"/>
        </w:rPr>
        <w:t>op. cit.</w:t>
      </w:r>
      <w:r w:rsidRPr="00A3151B">
        <w:rPr>
          <w:rFonts w:ascii="Times New Roman" w:hAnsi="Times New Roman" w:cs="Times New Roman"/>
          <w:bCs/>
          <w:sz w:val="20"/>
          <w:szCs w:val="20"/>
          <w:lang w:val="en-GB"/>
        </w:rPr>
        <w:t xml:space="preserve"> note </w:t>
      </w:r>
      <w:r w:rsidR="003F2A1E" w:rsidRPr="00A3151B">
        <w:rPr>
          <w:rFonts w:ascii="Times New Roman" w:hAnsi="Times New Roman" w:cs="Times New Roman"/>
          <w:bCs/>
          <w:sz w:val="20"/>
          <w:szCs w:val="20"/>
          <w:lang w:val="en-GB"/>
        </w:rPr>
        <w:t>71</w:t>
      </w:r>
      <w:r w:rsidRPr="00A3151B">
        <w:rPr>
          <w:rFonts w:ascii="Times New Roman" w:hAnsi="Times New Roman" w:cs="Times New Roman"/>
          <w:bCs/>
          <w:sz w:val="20"/>
          <w:szCs w:val="20"/>
          <w:lang w:val="en-GB"/>
        </w:rPr>
        <w:t xml:space="preserve">; Anderson and Honneth </w:t>
      </w:r>
      <w:r w:rsidRPr="00A3151B">
        <w:rPr>
          <w:rFonts w:ascii="Times New Roman" w:hAnsi="Times New Roman" w:cs="Times New Roman"/>
          <w:bCs/>
          <w:i/>
          <w:sz w:val="20"/>
          <w:szCs w:val="20"/>
          <w:lang w:val="en-GB"/>
        </w:rPr>
        <w:t>op. cit.</w:t>
      </w:r>
      <w:r w:rsidRPr="00A3151B">
        <w:rPr>
          <w:rFonts w:ascii="Times New Roman" w:hAnsi="Times New Roman" w:cs="Times New Roman"/>
          <w:bCs/>
          <w:sz w:val="20"/>
          <w:szCs w:val="20"/>
          <w:lang w:val="en-GB"/>
        </w:rPr>
        <w:t xml:space="preserve"> note </w:t>
      </w:r>
      <w:r w:rsidR="003F2A1E" w:rsidRPr="00A3151B">
        <w:rPr>
          <w:rFonts w:ascii="Times New Roman" w:hAnsi="Times New Roman" w:cs="Times New Roman"/>
          <w:bCs/>
          <w:sz w:val="20"/>
          <w:szCs w:val="20"/>
          <w:lang w:val="en-GB"/>
        </w:rPr>
        <w:t>71</w:t>
      </w:r>
      <w:r w:rsidRPr="00A3151B">
        <w:rPr>
          <w:rFonts w:ascii="Times New Roman" w:hAnsi="Times New Roman" w:cs="Times New Roman"/>
          <w:bCs/>
          <w:sz w:val="20"/>
          <w:szCs w:val="20"/>
          <w:lang w:val="en-GB"/>
        </w:rPr>
        <w:t xml:space="preserve">; Mackenzie (2008) </w:t>
      </w:r>
      <w:r w:rsidRPr="00A3151B">
        <w:rPr>
          <w:rFonts w:ascii="Times New Roman" w:hAnsi="Times New Roman" w:cs="Times New Roman"/>
          <w:bCs/>
          <w:i/>
          <w:sz w:val="20"/>
          <w:szCs w:val="20"/>
          <w:lang w:val="en-GB"/>
        </w:rPr>
        <w:t>op. cit.</w:t>
      </w:r>
      <w:r w:rsidRPr="00A3151B">
        <w:rPr>
          <w:rFonts w:ascii="Times New Roman" w:hAnsi="Times New Roman" w:cs="Times New Roman"/>
          <w:bCs/>
          <w:sz w:val="20"/>
          <w:szCs w:val="20"/>
          <w:lang w:val="en-GB"/>
        </w:rPr>
        <w:t xml:space="preserve"> note </w:t>
      </w:r>
      <w:r w:rsidR="003F2A1E" w:rsidRPr="00A3151B">
        <w:rPr>
          <w:rFonts w:ascii="Times New Roman" w:hAnsi="Times New Roman" w:cs="Times New Roman"/>
          <w:bCs/>
          <w:sz w:val="20"/>
          <w:szCs w:val="20"/>
          <w:lang w:val="en-GB"/>
        </w:rPr>
        <w:t>71</w:t>
      </w:r>
      <w:r w:rsidRPr="00A3151B">
        <w:rPr>
          <w:rFonts w:ascii="Times New Roman" w:hAnsi="Times New Roman" w:cs="Times New Roman"/>
          <w:bCs/>
          <w:sz w:val="20"/>
          <w:szCs w:val="20"/>
          <w:lang w:val="en-GB"/>
        </w:rPr>
        <w:t xml:space="preserve">; </w:t>
      </w:r>
      <w:proofErr w:type="spellStart"/>
      <w:r w:rsidRPr="00A3151B">
        <w:rPr>
          <w:rFonts w:ascii="Times New Roman" w:hAnsi="Times New Roman" w:cs="Times New Roman"/>
          <w:bCs/>
          <w:sz w:val="20"/>
          <w:szCs w:val="20"/>
          <w:lang w:val="en-GB"/>
        </w:rPr>
        <w:t>Westlund</w:t>
      </w:r>
      <w:proofErr w:type="spellEnd"/>
      <w:r w:rsidRPr="00A3151B">
        <w:rPr>
          <w:rFonts w:ascii="Times New Roman" w:hAnsi="Times New Roman" w:cs="Times New Roman"/>
          <w:bCs/>
          <w:sz w:val="20"/>
          <w:szCs w:val="20"/>
          <w:lang w:val="en-GB"/>
        </w:rPr>
        <w:t xml:space="preserve"> (2009) </w:t>
      </w:r>
      <w:r w:rsidRPr="00A3151B">
        <w:rPr>
          <w:rFonts w:ascii="Times New Roman" w:hAnsi="Times New Roman" w:cs="Times New Roman"/>
          <w:bCs/>
          <w:i/>
          <w:sz w:val="20"/>
          <w:szCs w:val="20"/>
          <w:lang w:val="en-GB"/>
        </w:rPr>
        <w:t>op. cit.</w:t>
      </w:r>
      <w:r w:rsidRPr="00A3151B">
        <w:rPr>
          <w:rFonts w:ascii="Times New Roman" w:hAnsi="Times New Roman" w:cs="Times New Roman"/>
          <w:bCs/>
          <w:sz w:val="20"/>
          <w:szCs w:val="20"/>
          <w:lang w:val="en-GB"/>
        </w:rPr>
        <w:t xml:space="preserve"> note </w:t>
      </w:r>
      <w:r w:rsidR="003F2A1E" w:rsidRPr="00A3151B">
        <w:rPr>
          <w:rFonts w:ascii="Times New Roman" w:hAnsi="Times New Roman" w:cs="Times New Roman"/>
          <w:bCs/>
          <w:sz w:val="20"/>
          <w:szCs w:val="20"/>
          <w:lang w:val="en-GB"/>
        </w:rPr>
        <w:t>71</w:t>
      </w:r>
      <w:r w:rsidRPr="00A3151B">
        <w:rPr>
          <w:rFonts w:ascii="Times New Roman" w:hAnsi="Times New Roman" w:cs="Times New Roman"/>
          <w:bCs/>
          <w:sz w:val="20"/>
          <w:szCs w:val="20"/>
          <w:lang w:val="en-GB"/>
        </w:rPr>
        <w:t xml:space="preserve">; Anderson (2014) </w:t>
      </w:r>
      <w:r w:rsidRPr="00A3151B">
        <w:rPr>
          <w:rFonts w:ascii="Times New Roman" w:hAnsi="Times New Roman" w:cs="Times New Roman"/>
          <w:bCs/>
          <w:i/>
          <w:sz w:val="20"/>
          <w:szCs w:val="20"/>
          <w:lang w:val="en-GB"/>
        </w:rPr>
        <w:t>op. cit.</w:t>
      </w:r>
      <w:r w:rsidRPr="00A3151B">
        <w:rPr>
          <w:rFonts w:ascii="Times New Roman" w:hAnsi="Times New Roman" w:cs="Times New Roman"/>
          <w:bCs/>
          <w:sz w:val="20"/>
          <w:szCs w:val="20"/>
          <w:lang w:val="en-GB"/>
        </w:rPr>
        <w:t xml:space="preserve"> note </w:t>
      </w:r>
      <w:r w:rsidR="003F2A1E" w:rsidRPr="00A3151B">
        <w:rPr>
          <w:rFonts w:ascii="Times New Roman" w:hAnsi="Times New Roman" w:cs="Times New Roman"/>
          <w:bCs/>
          <w:sz w:val="20"/>
          <w:szCs w:val="20"/>
          <w:lang w:val="en-GB"/>
        </w:rPr>
        <w:t>64</w:t>
      </w:r>
      <w:r w:rsidRPr="00A3151B">
        <w:rPr>
          <w:rFonts w:ascii="Times New Roman" w:hAnsi="Times New Roman" w:cs="Times New Roman"/>
          <w:bCs/>
          <w:sz w:val="20"/>
          <w:szCs w:val="20"/>
          <w:lang w:val="en-GB"/>
        </w:rPr>
        <w:t xml:space="preserve">; </w:t>
      </w:r>
      <w:r w:rsidRPr="00A3151B">
        <w:rPr>
          <w:rFonts w:ascii="Times New Roman" w:hAnsi="Times New Roman" w:cs="Times New Roman"/>
          <w:sz w:val="20"/>
          <w:szCs w:val="20"/>
          <w:lang w:val="en-GB"/>
        </w:rPr>
        <w:t xml:space="preserve">Mackenzie, Rogers and </w:t>
      </w:r>
      <w:proofErr w:type="spellStart"/>
      <w:r w:rsidRPr="00A3151B">
        <w:rPr>
          <w:rFonts w:ascii="Times New Roman" w:hAnsi="Times New Roman" w:cs="Times New Roman"/>
          <w:sz w:val="20"/>
          <w:szCs w:val="20"/>
          <w:lang w:val="en-GB"/>
        </w:rPr>
        <w:t>Dodds</w:t>
      </w:r>
      <w:proofErr w:type="spellEnd"/>
      <w:r w:rsidRPr="00A3151B">
        <w:rPr>
          <w:rFonts w:ascii="Times New Roman" w:hAnsi="Times New Roman" w:cs="Times New Roman"/>
          <w:sz w:val="20"/>
          <w:szCs w:val="20"/>
          <w:lang w:val="en-GB"/>
        </w:rPr>
        <w:t xml:space="preserve">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5</w:t>
      </w:r>
      <w:r w:rsidR="006F6984" w:rsidRPr="00A3151B">
        <w:rPr>
          <w:rFonts w:ascii="Times New Roman" w:hAnsi="Times New Roman" w:cs="Times New Roman"/>
          <w:sz w:val="20"/>
          <w:szCs w:val="20"/>
          <w:lang w:val="en-GB"/>
        </w:rPr>
        <w:t>1</w:t>
      </w:r>
      <w:r w:rsidRPr="00A3151B">
        <w:rPr>
          <w:rFonts w:ascii="Times New Roman" w:hAnsi="Times New Roman" w:cs="Times New Roman"/>
          <w:sz w:val="20"/>
          <w:szCs w:val="20"/>
          <w:lang w:val="en-GB"/>
        </w:rPr>
        <w:t xml:space="preserve">; </w:t>
      </w:r>
      <w:r w:rsidRPr="00A3151B">
        <w:rPr>
          <w:rFonts w:ascii="Times New Roman" w:hAnsi="Times New Roman" w:cs="Times New Roman"/>
          <w:bCs/>
          <w:sz w:val="20"/>
          <w:szCs w:val="20"/>
          <w:lang w:val="en-GB"/>
        </w:rPr>
        <w:t xml:space="preserve">Mackenzie (2015) </w:t>
      </w:r>
      <w:r w:rsidRPr="00A3151B">
        <w:rPr>
          <w:rFonts w:ascii="Times New Roman" w:hAnsi="Times New Roman" w:cs="Times New Roman"/>
          <w:bCs/>
          <w:i/>
          <w:sz w:val="20"/>
          <w:szCs w:val="20"/>
          <w:lang w:val="en-GB"/>
        </w:rPr>
        <w:t>op. cit.</w:t>
      </w:r>
      <w:r w:rsidRPr="00A3151B">
        <w:rPr>
          <w:rFonts w:ascii="Times New Roman" w:hAnsi="Times New Roman" w:cs="Times New Roman"/>
          <w:bCs/>
          <w:sz w:val="20"/>
          <w:szCs w:val="20"/>
          <w:lang w:val="en-GB"/>
        </w:rPr>
        <w:t xml:space="preserve"> note </w:t>
      </w:r>
      <w:r w:rsidR="00B54FCB" w:rsidRPr="00A3151B">
        <w:rPr>
          <w:rFonts w:ascii="Times New Roman" w:hAnsi="Times New Roman" w:cs="Times New Roman"/>
          <w:bCs/>
          <w:sz w:val="20"/>
          <w:szCs w:val="20"/>
          <w:lang w:val="en-GB"/>
        </w:rPr>
        <w:t>71</w:t>
      </w:r>
      <w:r w:rsidRPr="00A3151B">
        <w:rPr>
          <w:rFonts w:ascii="Times New Roman" w:hAnsi="Times New Roman" w:cs="Times New Roman"/>
          <w:bCs/>
          <w:sz w:val="20"/>
          <w:szCs w:val="20"/>
          <w:lang w:val="en-GB"/>
        </w:rPr>
        <w:t xml:space="preserve">; </w:t>
      </w:r>
      <w:proofErr w:type="spellStart"/>
      <w:r w:rsidRPr="00A3151B">
        <w:rPr>
          <w:rFonts w:ascii="Times New Roman" w:hAnsi="Times New Roman" w:cs="Times New Roman"/>
          <w:bCs/>
          <w:iCs/>
          <w:sz w:val="20"/>
          <w:szCs w:val="20"/>
          <w:lang w:val="en-GB"/>
        </w:rPr>
        <w:t>Westlund</w:t>
      </w:r>
      <w:proofErr w:type="spellEnd"/>
      <w:r w:rsidRPr="00A3151B">
        <w:rPr>
          <w:rFonts w:ascii="Times New Roman" w:hAnsi="Times New Roman" w:cs="Times New Roman"/>
          <w:bCs/>
          <w:iCs/>
          <w:sz w:val="20"/>
          <w:szCs w:val="20"/>
          <w:lang w:val="en-GB"/>
        </w:rPr>
        <w:t xml:space="preserve"> (2018) </w:t>
      </w:r>
      <w:r w:rsidRPr="00A3151B">
        <w:rPr>
          <w:rFonts w:ascii="Times New Roman" w:hAnsi="Times New Roman" w:cs="Times New Roman"/>
          <w:bCs/>
          <w:i/>
          <w:iCs/>
          <w:sz w:val="20"/>
          <w:szCs w:val="20"/>
          <w:lang w:val="en-GB"/>
        </w:rPr>
        <w:t>op. cit.</w:t>
      </w:r>
      <w:r w:rsidRPr="00A3151B">
        <w:rPr>
          <w:rFonts w:ascii="Times New Roman" w:hAnsi="Times New Roman" w:cs="Times New Roman"/>
          <w:bCs/>
          <w:iCs/>
          <w:sz w:val="20"/>
          <w:szCs w:val="20"/>
          <w:lang w:val="en-GB"/>
        </w:rPr>
        <w:t xml:space="preserve"> note 6</w:t>
      </w:r>
      <w:r w:rsidR="003F2A1E" w:rsidRPr="00A3151B">
        <w:rPr>
          <w:rFonts w:ascii="Times New Roman" w:hAnsi="Times New Roman" w:cs="Times New Roman"/>
          <w:bCs/>
          <w:iCs/>
          <w:sz w:val="20"/>
          <w:szCs w:val="20"/>
          <w:lang w:val="en-GB"/>
        </w:rPr>
        <w:t>9</w:t>
      </w:r>
      <w:r w:rsidRPr="00A3151B">
        <w:rPr>
          <w:rFonts w:ascii="Times New Roman" w:hAnsi="Times New Roman" w:cs="Times New Roman"/>
          <w:bCs/>
          <w:iCs/>
          <w:sz w:val="20"/>
          <w:szCs w:val="20"/>
          <w:lang w:val="en-GB"/>
        </w:rPr>
        <w:t>.</w:t>
      </w:r>
    </w:p>
  </w:footnote>
  <w:footnote w:id="106">
    <w:p w14:paraId="2F60697A" w14:textId="078AA9E6" w:rsidR="009C0E8C" w:rsidRPr="00A3151B" w:rsidRDefault="009C0E8C" w:rsidP="00CA19BC">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lang w:val="en-GB"/>
        </w:rPr>
        <w:footnoteRef/>
      </w:r>
      <w:r w:rsidRPr="00A3151B">
        <w:rPr>
          <w:rFonts w:ascii="Times New Roman" w:hAnsi="Times New Roman" w:cs="Times New Roman"/>
          <w:sz w:val="20"/>
          <w:szCs w:val="20"/>
          <w:lang w:val="en-GB"/>
        </w:rPr>
        <w:t xml:space="preserve"> </w:t>
      </w:r>
      <w:r w:rsidRPr="00A3151B">
        <w:rPr>
          <w:rFonts w:ascii="Times New Roman" w:hAnsi="Times New Roman" w:cs="Times New Roman"/>
          <w:bCs/>
          <w:sz w:val="20"/>
          <w:szCs w:val="20"/>
          <w:lang w:val="en-GB"/>
        </w:rPr>
        <w:t xml:space="preserve">Mackenzie (2015) </w:t>
      </w:r>
      <w:r w:rsidRPr="00A3151B">
        <w:rPr>
          <w:rFonts w:ascii="Times New Roman" w:hAnsi="Times New Roman" w:cs="Times New Roman"/>
          <w:bCs/>
          <w:i/>
          <w:sz w:val="20"/>
          <w:szCs w:val="20"/>
          <w:lang w:val="en-GB"/>
        </w:rPr>
        <w:t>op. cit.</w:t>
      </w:r>
      <w:r w:rsidRPr="00A3151B">
        <w:rPr>
          <w:rFonts w:ascii="Times New Roman" w:hAnsi="Times New Roman" w:cs="Times New Roman"/>
          <w:bCs/>
          <w:sz w:val="20"/>
          <w:szCs w:val="20"/>
          <w:lang w:val="en-GB"/>
        </w:rPr>
        <w:t xml:space="preserve"> note </w:t>
      </w:r>
      <w:r w:rsidR="00B54FCB" w:rsidRPr="00A3151B">
        <w:rPr>
          <w:rFonts w:ascii="Times New Roman" w:hAnsi="Times New Roman" w:cs="Times New Roman"/>
          <w:bCs/>
          <w:sz w:val="20"/>
          <w:szCs w:val="20"/>
          <w:lang w:val="en-GB"/>
        </w:rPr>
        <w:t>71</w:t>
      </w:r>
      <w:r w:rsidRPr="00A3151B">
        <w:rPr>
          <w:rFonts w:ascii="Times New Roman" w:hAnsi="Times New Roman" w:cs="Times New Roman"/>
          <w:sz w:val="20"/>
          <w:szCs w:val="20"/>
          <w:lang w:val="en-GB"/>
        </w:rPr>
        <w:t>, 55.</w:t>
      </w:r>
    </w:p>
  </w:footnote>
  <w:footnote w:id="107">
    <w:p w14:paraId="0BC15A0D" w14:textId="67CAB0F0" w:rsidR="009C0E8C" w:rsidRPr="00A3151B" w:rsidRDefault="009C0E8C" w:rsidP="00CA19BC">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bCs/>
          <w:sz w:val="20"/>
          <w:szCs w:val="20"/>
          <w:lang w:val="en-GB"/>
        </w:rPr>
        <w:t xml:space="preserve">Anderson and Honneth </w:t>
      </w:r>
      <w:r w:rsidRPr="00A3151B">
        <w:rPr>
          <w:rFonts w:ascii="Times New Roman" w:hAnsi="Times New Roman" w:cs="Times New Roman"/>
          <w:bCs/>
          <w:i/>
          <w:sz w:val="20"/>
          <w:szCs w:val="20"/>
          <w:lang w:val="en-GB"/>
        </w:rPr>
        <w:t>op. cit.</w:t>
      </w:r>
      <w:r w:rsidRPr="00A3151B">
        <w:rPr>
          <w:rFonts w:ascii="Times New Roman" w:hAnsi="Times New Roman" w:cs="Times New Roman"/>
          <w:bCs/>
          <w:sz w:val="20"/>
          <w:szCs w:val="20"/>
          <w:lang w:val="en-GB"/>
        </w:rPr>
        <w:t xml:space="preserve"> note </w:t>
      </w:r>
      <w:r w:rsidR="003F2A1E" w:rsidRPr="00A3151B">
        <w:rPr>
          <w:rFonts w:ascii="Times New Roman" w:hAnsi="Times New Roman" w:cs="Times New Roman"/>
          <w:bCs/>
          <w:sz w:val="20"/>
          <w:szCs w:val="20"/>
          <w:lang w:val="en-GB"/>
        </w:rPr>
        <w:t>71</w:t>
      </w:r>
      <w:r w:rsidRPr="00A3151B">
        <w:rPr>
          <w:rFonts w:ascii="Times New Roman" w:hAnsi="Times New Roman" w:cs="Times New Roman"/>
          <w:bCs/>
          <w:sz w:val="20"/>
          <w:szCs w:val="20"/>
          <w:lang w:val="en-GB"/>
        </w:rPr>
        <w:t>, 132.</w:t>
      </w:r>
    </w:p>
  </w:footnote>
  <w:footnote w:id="108">
    <w:p w14:paraId="30C19D79" w14:textId="69190DBB" w:rsidR="009C0E8C" w:rsidRPr="00A3151B" w:rsidRDefault="009C0E8C" w:rsidP="00CA19BC">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i/>
          <w:sz w:val="20"/>
          <w:szCs w:val="20"/>
          <w:lang w:val="en-GB"/>
        </w:rPr>
        <w:t>ibid.</w:t>
      </w:r>
    </w:p>
  </w:footnote>
  <w:footnote w:id="109">
    <w:p w14:paraId="1609443B" w14:textId="4A689BAC" w:rsidR="009C0E8C" w:rsidRPr="00A3151B" w:rsidRDefault="009C0E8C" w:rsidP="00CA19BC">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bCs/>
          <w:sz w:val="20"/>
          <w:szCs w:val="20"/>
          <w:lang w:val="en-GB"/>
        </w:rPr>
        <w:t xml:space="preserve">Anderson </w:t>
      </w:r>
      <w:r w:rsidRPr="00A3151B">
        <w:rPr>
          <w:rFonts w:ascii="Times New Roman" w:hAnsi="Times New Roman" w:cs="Times New Roman"/>
          <w:bCs/>
          <w:i/>
          <w:sz w:val="20"/>
          <w:szCs w:val="20"/>
          <w:lang w:val="en-GB"/>
        </w:rPr>
        <w:t>op. cit.</w:t>
      </w:r>
      <w:r w:rsidRPr="00A3151B">
        <w:rPr>
          <w:rFonts w:ascii="Times New Roman" w:hAnsi="Times New Roman" w:cs="Times New Roman"/>
          <w:bCs/>
          <w:sz w:val="20"/>
          <w:szCs w:val="20"/>
          <w:lang w:val="en-GB"/>
        </w:rPr>
        <w:t xml:space="preserve"> note </w:t>
      </w:r>
      <w:r w:rsidR="003F2A1E" w:rsidRPr="00A3151B">
        <w:rPr>
          <w:rFonts w:ascii="Times New Roman" w:hAnsi="Times New Roman" w:cs="Times New Roman"/>
          <w:bCs/>
          <w:sz w:val="20"/>
          <w:szCs w:val="20"/>
          <w:lang w:val="en-GB"/>
        </w:rPr>
        <w:t>64</w:t>
      </w:r>
      <w:r w:rsidRPr="00A3151B">
        <w:rPr>
          <w:rFonts w:ascii="Times New Roman" w:hAnsi="Times New Roman" w:cs="Times New Roman"/>
          <w:bCs/>
          <w:sz w:val="20"/>
          <w:szCs w:val="20"/>
          <w:lang w:val="en-GB"/>
        </w:rPr>
        <w:t xml:space="preserve">, 144. </w:t>
      </w:r>
    </w:p>
  </w:footnote>
  <w:footnote w:id="110">
    <w:p w14:paraId="289EE751" w14:textId="7B772DBF" w:rsidR="009C0E8C" w:rsidRPr="00A3151B" w:rsidRDefault="009C0E8C" w:rsidP="00CA19BC">
      <w:pPr>
        <w:pStyle w:val="FootnoteText"/>
        <w:jc w:val="both"/>
        <w:rPr>
          <w:rFonts w:ascii="Times New Roman" w:hAnsi="Times New Roman" w:cs="Times New Roman"/>
          <w:bCs/>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proofErr w:type="spellStart"/>
      <w:r w:rsidRPr="00A3151B">
        <w:rPr>
          <w:rFonts w:ascii="Times New Roman" w:hAnsi="Times New Roman" w:cs="Times New Roman"/>
          <w:bCs/>
          <w:sz w:val="20"/>
          <w:szCs w:val="20"/>
          <w:lang w:val="en-GB"/>
        </w:rPr>
        <w:t>Westlund</w:t>
      </w:r>
      <w:proofErr w:type="spellEnd"/>
      <w:r w:rsidRPr="00A3151B">
        <w:rPr>
          <w:rFonts w:ascii="Times New Roman" w:hAnsi="Times New Roman" w:cs="Times New Roman"/>
          <w:bCs/>
          <w:sz w:val="20"/>
          <w:szCs w:val="20"/>
          <w:lang w:val="en-GB"/>
        </w:rPr>
        <w:t xml:space="preserve"> (2009) </w:t>
      </w:r>
      <w:r w:rsidRPr="00A3151B">
        <w:rPr>
          <w:rFonts w:ascii="Times New Roman" w:hAnsi="Times New Roman" w:cs="Times New Roman"/>
          <w:bCs/>
          <w:i/>
          <w:sz w:val="20"/>
          <w:szCs w:val="20"/>
          <w:lang w:val="en-GB"/>
        </w:rPr>
        <w:t>op. cit.</w:t>
      </w:r>
      <w:r w:rsidRPr="00A3151B">
        <w:rPr>
          <w:rFonts w:ascii="Times New Roman" w:hAnsi="Times New Roman" w:cs="Times New Roman"/>
          <w:bCs/>
          <w:sz w:val="20"/>
          <w:szCs w:val="20"/>
          <w:lang w:val="en-GB"/>
        </w:rPr>
        <w:t xml:space="preserve"> note </w:t>
      </w:r>
      <w:r w:rsidR="003F2A1E" w:rsidRPr="00A3151B">
        <w:rPr>
          <w:rFonts w:ascii="Times New Roman" w:hAnsi="Times New Roman" w:cs="Times New Roman"/>
          <w:bCs/>
          <w:sz w:val="20"/>
          <w:szCs w:val="20"/>
          <w:lang w:val="en-GB"/>
        </w:rPr>
        <w:t>71</w:t>
      </w:r>
      <w:r w:rsidRPr="00A3151B">
        <w:rPr>
          <w:rFonts w:ascii="Times New Roman" w:hAnsi="Times New Roman" w:cs="Times New Roman"/>
          <w:bCs/>
          <w:sz w:val="20"/>
          <w:szCs w:val="20"/>
          <w:lang w:val="en-GB"/>
        </w:rPr>
        <w:t xml:space="preserve">, 30. In order to account for the necessary relationship between vulnerability and autonomy, the analytic feminists cited in footnote </w:t>
      </w:r>
      <w:r w:rsidR="006F6984" w:rsidRPr="00A3151B">
        <w:rPr>
          <w:rFonts w:ascii="Times New Roman" w:hAnsi="Times New Roman" w:cs="Times New Roman"/>
          <w:bCs/>
          <w:sz w:val="20"/>
          <w:szCs w:val="20"/>
          <w:lang w:val="en-GB"/>
        </w:rPr>
        <w:t>105</w:t>
      </w:r>
      <w:r w:rsidRPr="00A3151B">
        <w:rPr>
          <w:rFonts w:ascii="Times New Roman" w:hAnsi="Times New Roman" w:cs="Times New Roman"/>
          <w:bCs/>
          <w:sz w:val="20"/>
          <w:szCs w:val="20"/>
          <w:lang w:val="en-GB"/>
        </w:rPr>
        <w:t xml:space="preserve"> seemingly invoke what Coggon refers to as ‘best desire autonomy’ whereby a decided upon action ‘reflects a person’s overall desire given his own values, even if this runs contrary to his immediate desire’. Coggon considers this to be the best approach to autonomy when serious decisions are at stake. See J Coggan, ‘Varied and principled understandings of autonomy in English law: Justifiable inconsistency or blinkered moralism?’ (2007) </w:t>
      </w:r>
      <w:r w:rsidRPr="00A3151B">
        <w:rPr>
          <w:rFonts w:ascii="Times New Roman" w:hAnsi="Times New Roman" w:cs="Times New Roman"/>
          <w:bCs/>
          <w:i/>
          <w:iCs/>
          <w:sz w:val="20"/>
          <w:szCs w:val="20"/>
          <w:lang w:val="en-GB"/>
        </w:rPr>
        <w:t>Health Care Analysis</w:t>
      </w:r>
      <w:r w:rsidRPr="00A3151B">
        <w:rPr>
          <w:rFonts w:ascii="Times New Roman" w:hAnsi="Times New Roman" w:cs="Times New Roman"/>
          <w:bCs/>
          <w:sz w:val="20"/>
          <w:szCs w:val="20"/>
          <w:lang w:val="en-GB"/>
        </w:rPr>
        <w:t xml:space="preserve"> 15, 235. This raises an important question about how an individual can discern her own motivating attitudes from those that have been formed by malign external influences. Following the accounts of those relational theorists cited in footnote </w:t>
      </w:r>
      <w:r w:rsidR="006F6984" w:rsidRPr="00A3151B">
        <w:rPr>
          <w:rFonts w:ascii="Times New Roman" w:hAnsi="Times New Roman" w:cs="Times New Roman"/>
          <w:bCs/>
          <w:sz w:val="20"/>
          <w:szCs w:val="20"/>
          <w:lang w:val="en-GB"/>
        </w:rPr>
        <w:t>105</w:t>
      </w:r>
      <w:r w:rsidRPr="00A3151B">
        <w:rPr>
          <w:rFonts w:ascii="Times New Roman" w:hAnsi="Times New Roman" w:cs="Times New Roman"/>
          <w:bCs/>
          <w:sz w:val="20"/>
          <w:szCs w:val="20"/>
          <w:lang w:val="en-GB"/>
        </w:rPr>
        <w:t xml:space="preserve">, this account is predicated on an affective attitude of </w:t>
      </w:r>
      <w:r w:rsidRPr="00A3151B">
        <w:rPr>
          <w:rFonts w:ascii="Times New Roman" w:hAnsi="Times New Roman" w:cs="Times New Roman"/>
          <w:bCs/>
          <w:i/>
          <w:iCs/>
          <w:sz w:val="20"/>
          <w:szCs w:val="20"/>
          <w:lang w:val="en-GB"/>
        </w:rPr>
        <w:t>genuine</w:t>
      </w:r>
      <w:r w:rsidRPr="00A3151B">
        <w:rPr>
          <w:rFonts w:ascii="Times New Roman" w:hAnsi="Times New Roman" w:cs="Times New Roman"/>
          <w:bCs/>
          <w:sz w:val="20"/>
          <w:szCs w:val="20"/>
          <w:lang w:val="en-GB"/>
        </w:rPr>
        <w:t xml:space="preserve"> self-respect, which necessarily includes a disposition to answer for the soundness of one’s decisions. However, even when someone views themselves with respect, they may nonetheless adapt their preferences and desires because of the social conditions in which they live. Nevertheless, the adaption of (</w:t>
      </w:r>
      <w:proofErr w:type="gramStart"/>
      <w:r w:rsidRPr="00A3151B">
        <w:rPr>
          <w:rFonts w:ascii="Times New Roman" w:hAnsi="Times New Roman" w:cs="Times New Roman"/>
          <w:bCs/>
          <w:sz w:val="20"/>
          <w:szCs w:val="20"/>
          <w:lang w:val="en-GB"/>
        </w:rPr>
        <w:t>first-order</w:t>
      </w:r>
      <w:proofErr w:type="gramEnd"/>
      <w:r w:rsidRPr="00A3151B">
        <w:rPr>
          <w:rFonts w:ascii="Times New Roman" w:hAnsi="Times New Roman" w:cs="Times New Roman"/>
          <w:bCs/>
          <w:sz w:val="20"/>
          <w:szCs w:val="20"/>
          <w:lang w:val="en-GB"/>
        </w:rPr>
        <w:t>) preferences and desires is not problematic provided that it is accompanied by the (second-order) critical reflection about one’s own preferences, desires, goals, values and so on.</w:t>
      </w:r>
    </w:p>
  </w:footnote>
  <w:footnote w:id="111">
    <w:p w14:paraId="02DCE18F" w14:textId="2B91E699" w:rsidR="009C0E8C" w:rsidRPr="00A3151B" w:rsidRDefault="009C0E8C" w:rsidP="005D22EA">
      <w:pPr>
        <w:pStyle w:val="FootnoteText"/>
        <w:jc w:val="both"/>
        <w:rPr>
          <w:rFonts w:ascii="Times New Roman" w:hAnsi="Times New Roman" w:cs="Times New Roman"/>
          <w:sz w:val="20"/>
          <w:szCs w:val="20"/>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i/>
          <w:sz w:val="20"/>
          <w:szCs w:val="20"/>
        </w:rPr>
        <w:t>E.g.</w:t>
      </w:r>
      <w:r w:rsidRPr="00A3151B">
        <w:rPr>
          <w:rFonts w:ascii="Times New Roman" w:hAnsi="Times New Roman" w:cs="Times New Roman"/>
          <w:sz w:val="20"/>
          <w:szCs w:val="20"/>
        </w:rPr>
        <w:t xml:space="preserve">, </w:t>
      </w:r>
      <w:r w:rsidRPr="00A3151B">
        <w:rPr>
          <w:rFonts w:ascii="Times New Roman" w:hAnsi="Times New Roman" w:cs="Times New Roman"/>
          <w:bCs/>
          <w:sz w:val="20"/>
          <w:szCs w:val="20"/>
          <w:lang w:val="en-GB"/>
        </w:rPr>
        <w:t xml:space="preserve">Anderson (2003) </w:t>
      </w:r>
      <w:r w:rsidRPr="00A3151B">
        <w:rPr>
          <w:rFonts w:ascii="Times New Roman" w:hAnsi="Times New Roman" w:cs="Times New Roman"/>
          <w:bCs/>
          <w:i/>
          <w:sz w:val="20"/>
          <w:szCs w:val="20"/>
          <w:lang w:val="en-GB"/>
        </w:rPr>
        <w:t>op. cit.</w:t>
      </w:r>
      <w:r w:rsidRPr="00A3151B">
        <w:rPr>
          <w:rFonts w:ascii="Times New Roman" w:hAnsi="Times New Roman" w:cs="Times New Roman"/>
          <w:bCs/>
          <w:sz w:val="20"/>
          <w:szCs w:val="20"/>
          <w:lang w:val="en-GB"/>
        </w:rPr>
        <w:t xml:space="preserve"> note </w:t>
      </w:r>
      <w:r w:rsidR="003F2A1E" w:rsidRPr="00A3151B">
        <w:rPr>
          <w:rFonts w:ascii="Times New Roman" w:hAnsi="Times New Roman" w:cs="Times New Roman"/>
          <w:bCs/>
          <w:sz w:val="20"/>
          <w:szCs w:val="20"/>
          <w:lang w:val="en-GB"/>
        </w:rPr>
        <w:t>71</w:t>
      </w:r>
      <w:r w:rsidRPr="00A3151B">
        <w:rPr>
          <w:rFonts w:ascii="Times New Roman" w:hAnsi="Times New Roman" w:cs="Times New Roman"/>
          <w:bCs/>
          <w:sz w:val="20"/>
          <w:szCs w:val="20"/>
          <w:lang w:val="en-GB"/>
        </w:rPr>
        <w:t xml:space="preserve">; P </w:t>
      </w:r>
      <w:r w:rsidRPr="00A3151B">
        <w:rPr>
          <w:rFonts w:ascii="Times New Roman" w:hAnsi="Times New Roman" w:cs="Times New Roman"/>
          <w:sz w:val="20"/>
          <w:szCs w:val="20"/>
        </w:rPr>
        <w:t xml:space="preserve">Benson, ‘Taking ownership: Authority and voice in autonomous agency’, </w:t>
      </w:r>
      <w:r w:rsidRPr="00A3151B">
        <w:rPr>
          <w:rFonts w:ascii="Times New Roman" w:hAnsi="Times New Roman" w:cs="Times New Roman"/>
          <w:bCs/>
          <w:sz w:val="20"/>
          <w:szCs w:val="20"/>
          <w:lang w:val="en-GB"/>
        </w:rPr>
        <w:t xml:space="preserve">in J </w:t>
      </w:r>
      <w:proofErr w:type="spellStart"/>
      <w:r w:rsidRPr="00A3151B">
        <w:rPr>
          <w:rFonts w:ascii="Times New Roman" w:hAnsi="Times New Roman" w:cs="Times New Roman"/>
          <w:bCs/>
          <w:sz w:val="20"/>
          <w:szCs w:val="20"/>
          <w:lang w:val="en-GB"/>
        </w:rPr>
        <w:t>Christman</w:t>
      </w:r>
      <w:proofErr w:type="spellEnd"/>
      <w:r w:rsidRPr="00A3151B">
        <w:rPr>
          <w:rFonts w:ascii="Times New Roman" w:hAnsi="Times New Roman" w:cs="Times New Roman"/>
          <w:bCs/>
          <w:sz w:val="20"/>
          <w:szCs w:val="20"/>
          <w:lang w:val="en-GB"/>
        </w:rPr>
        <w:t xml:space="preserve"> &amp; J Anderson (eds), </w:t>
      </w:r>
      <w:r w:rsidRPr="00A3151B">
        <w:rPr>
          <w:rFonts w:ascii="Times New Roman" w:hAnsi="Times New Roman" w:cs="Times New Roman"/>
          <w:bCs/>
          <w:i/>
          <w:iCs/>
          <w:sz w:val="20"/>
          <w:szCs w:val="20"/>
          <w:lang w:val="en-GB"/>
        </w:rPr>
        <w:t>Autonomy and the challenges to liberalism: New essays</w:t>
      </w:r>
      <w:r w:rsidRPr="00A3151B">
        <w:rPr>
          <w:rFonts w:ascii="Times New Roman" w:hAnsi="Times New Roman" w:cs="Times New Roman"/>
          <w:bCs/>
          <w:iCs/>
          <w:sz w:val="20"/>
          <w:szCs w:val="20"/>
          <w:lang w:val="en-GB"/>
        </w:rPr>
        <w:t xml:space="preserve"> (</w:t>
      </w:r>
      <w:r w:rsidRPr="00A3151B">
        <w:rPr>
          <w:rFonts w:ascii="Times New Roman" w:hAnsi="Times New Roman" w:cs="Times New Roman"/>
          <w:bCs/>
          <w:sz w:val="20"/>
          <w:szCs w:val="20"/>
          <w:lang w:val="en-GB"/>
        </w:rPr>
        <w:t xml:space="preserve">Cambridge: Cambridge University Press, 2005), </w:t>
      </w:r>
      <w:r w:rsidRPr="00A3151B">
        <w:rPr>
          <w:rFonts w:ascii="Times New Roman" w:hAnsi="Times New Roman" w:cs="Times New Roman"/>
          <w:sz w:val="20"/>
          <w:szCs w:val="20"/>
        </w:rPr>
        <w:t xml:space="preserve">101–126; </w:t>
      </w:r>
      <w:r w:rsidRPr="00A3151B">
        <w:rPr>
          <w:rFonts w:ascii="Times New Roman" w:hAnsi="Times New Roman" w:cs="Times New Roman"/>
          <w:bCs/>
          <w:sz w:val="20"/>
          <w:szCs w:val="20"/>
          <w:lang w:val="en-GB"/>
        </w:rPr>
        <w:t xml:space="preserve">Mackenzie (2008) </w:t>
      </w:r>
      <w:r w:rsidRPr="00A3151B">
        <w:rPr>
          <w:rFonts w:ascii="Times New Roman" w:hAnsi="Times New Roman" w:cs="Times New Roman"/>
          <w:bCs/>
          <w:i/>
          <w:sz w:val="20"/>
          <w:szCs w:val="20"/>
          <w:lang w:val="en-GB"/>
        </w:rPr>
        <w:t>op. cit.</w:t>
      </w:r>
      <w:r w:rsidRPr="00A3151B">
        <w:rPr>
          <w:rFonts w:ascii="Times New Roman" w:hAnsi="Times New Roman" w:cs="Times New Roman"/>
          <w:bCs/>
          <w:sz w:val="20"/>
          <w:szCs w:val="20"/>
          <w:lang w:val="en-GB"/>
        </w:rPr>
        <w:t xml:space="preserve"> note </w:t>
      </w:r>
      <w:r w:rsidR="003F2A1E" w:rsidRPr="00A3151B">
        <w:rPr>
          <w:rFonts w:ascii="Times New Roman" w:hAnsi="Times New Roman" w:cs="Times New Roman"/>
          <w:bCs/>
          <w:sz w:val="20"/>
          <w:szCs w:val="20"/>
          <w:lang w:val="en-GB"/>
        </w:rPr>
        <w:t>71</w:t>
      </w:r>
      <w:r w:rsidRPr="00A3151B">
        <w:rPr>
          <w:rFonts w:ascii="Times New Roman" w:hAnsi="Times New Roman" w:cs="Times New Roman"/>
          <w:bCs/>
          <w:sz w:val="20"/>
          <w:szCs w:val="20"/>
          <w:lang w:val="en-GB"/>
        </w:rPr>
        <w:t xml:space="preserve">; </w:t>
      </w:r>
      <w:proofErr w:type="spellStart"/>
      <w:r w:rsidRPr="00A3151B">
        <w:rPr>
          <w:rFonts w:ascii="Times New Roman" w:hAnsi="Times New Roman" w:cs="Times New Roman"/>
          <w:bCs/>
          <w:sz w:val="20"/>
          <w:szCs w:val="20"/>
          <w:lang w:val="en-GB"/>
        </w:rPr>
        <w:t>Westlund</w:t>
      </w:r>
      <w:proofErr w:type="spellEnd"/>
      <w:r w:rsidRPr="00A3151B">
        <w:rPr>
          <w:rFonts w:ascii="Times New Roman" w:hAnsi="Times New Roman" w:cs="Times New Roman"/>
          <w:bCs/>
          <w:sz w:val="20"/>
          <w:szCs w:val="20"/>
          <w:lang w:val="en-GB"/>
        </w:rPr>
        <w:t xml:space="preserve"> (2009) </w:t>
      </w:r>
      <w:r w:rsidRPr="00A3151B">
        <w:rPr>
          <w:rFonts w:ascii="Times New Roman" w:hAnsi="Times New Roman" w:cs="Times New Roman"/>
          <w:bCs/>
          <w:i/>
          <w:sz w:val="20"/>
          <w:szCs w:val="20"/>
          <w:lang w:val="en-GB"/>
        </w:rPr>
        <w:t>op. cit.</w:t>
      </w:r>
      <w:r w:rsidRPr="00A3151B">
        <w:rPr>
          <w:rFonts w:ascii="Times New Roman" w:hAnsi="Times New Roman" w:cs="Times New Roman"/>
          <w:bCs/>
          <w:sz w:val="20"/>
          <w:szCs w:val="20"/>
          <w:lang w:val="en-GB"/>
        </w:rPr>
        <w:t xml:space="preserve"> note </w:t>
      </w:r>
      <w:r w:rsidR="003F2A1E" w:rsidRPr="00A3151B">
        <w:rPr>
          <w:rFonts w:ascii="Times New Roman" w:hAnsi="Times New Roman" w:cs="Times New Roman"/>
          <w:bCs/>
          <w:sz w:val="20"/>
          <w:szCs w:val="20"/>
          <w:lang w:val="en-GB"/>
        </w:rPr>
        <w:t>71</w:t>
      </w:r>
      <w:r w:rsidRPr="00A3151B">
        <w:rPr>
          <w:rFonts w:ascii="Times New Roman" w:hAnsi="Times New Roman" w:cs="Times New Roman"/>
          <w:bCs/>
          <w:sz w:val="20"/>
          <w:szCs w:val="20"/>
          <w:lang w:val="en-GB"/>
        </w:rPr>
        <w:t xml:space="preserve">; Anderson (2014) </w:t>
      </w:r>
      <w:r w:rsidRPr="00A3151B">
        <w:rPr>
          <w:rFonts w:ascii="Times New Roman" w:hAnsi="Times New Roman" w:cs="Times New Roman"/>
          <w:bCs/>
          <w:i/>
          <w:sz w:val="20"/>
          <w:szCs w:val="20"/>
          <w:lang w:val="en-GB"/>
        </w:rPr>
        <w:t>op. cit.</w:t>
      </w:r>
      <w:r w:rsidRPr="00A3151B">
        <w:rPr>
          <w:rFonts w:ascii="Times New Roman" w:hAnsi="Times New Roman" w:cs="Times New Roman"/>
          <w:bCs/>
          <w:sz w:val="20"/>
          <w:szCs w:val="20"/>
          <w:lang w:val="en-GB"/>
        </w:rPr>
        <w:t xml:space="preserve"> note </w:t>
      </w:r>
      <w:r w:rsidR="003F2A1E" w:rsidRPr="00A3151B">
        <w:rPr>
          <w:rFonts w:ascii="Times New Roman" w:hAnsi="Times New Roman" w:cs="Times New Roman"/>
          <w:bCs/>
          <w:sz w:val="20"/>
          <w:szCs w:val="20"/>
          <w:lang w:val="en-GB"/>
        </w:rPr>
        <w:t>64</w:t>
      </w:r>
      <w:r w:rsidRPr="00A3151B">
        <w:rPr>
          <w:rFonts w:ascii="Times New Roman" w:hAnsi="Times New Roman" w:cs="Times New Roman"/>
          <w:bCs/>
          <w:sz w:val="20"/>
          <w:szCs w:val="20"/>
          <w:lang w:val="en-GB"/>
        </w:rPr>
        <w:t xml:space="preserve">; </w:t>
      </w:r>
      <w:proofErr w:type="spellStart"/>
      <w:r w:rsidRPr="00A3151B">
        <w:rPr>
          <w:rFonts w:ascii="Times New Roman" w:hAnsi="Times New Roman" w:cs="Times New Roman"/>
          <w:bCs/>
          <w:iCs/>
          <w:sz w:val="20"/>
          <w:szCs w:val="20"/>
          <w:lang w:val="en-GB"/>
        </w:rPr>
        <w:t>Westlund</w:t>
      </w:r>
      <w:proofErr w:type="spellEnd"/>
      <w:r w:rsidRPr="00A3151B">
        <w:rPr>
          <w:rFonts w:ascii="Times New Roman" w:hAnsi="Times New Roman" w:cs="Times New Roman"/>
          <w:bCs/>
          <w:iCs/>
          <w:sz w:val="20"/>
          <w:szCs w:val="20"/>
          <w:lang w:val="en-GB"/>
        </w:rPr>
        <w:t xml:space="preserve"> (2018) </w:t>
      </w:r>
      <w:r w:rsidRPr="00A3151B">
        <w:rPr>
          <w:rFonts w:ascii="Times New Roman" w:hAnsi="Times New Roman" w:cs="Times New Roman"/>
          <w:bCs/>
          <w:i/>
          <w:iCs/>
          <w:sz w:val="20"/>
          <w:szCs w:val="20"/>
          <w:lang w:val="en-GB"/>
        </w:rPr>
        <w:t>op. cit.</w:t>
      </w:r>
      <w:r w:rsidRPr="00A3151B">
        <w:rPr>
          <w:rFonts w:ascii="Times New Roman" w:hAnsi="Times New Roman" w:cs="Times New Roman"/>
          <w:bCs/>
          <w:iCs/>
          <w:sz w:val="20"/>
          <w:szCs w:val="20"/>
          <w:lang w:val="en-GB"/>
        </w:rPr>
        <w:t xml:space="preserve"> note 6</w:t>
      </w:r>
      <w:r w:rsidR="003F2A1E" w:rsidRPr="00A3151B">
        <w:rPr>
          <w:rFonts w:ascii="Times New Roman" w:hAnsi="Times New Roman" w:cs="Times New Roman"/>
          <w:bCs/>
          <w:iCs/>
          <w:sz w:val="20"/>
          <w:szCs w:val="20"/>
          <w:lang w:val="en-GB"/>
        </w:rPr>
        <w:t>9</w:t>
      </w:r>
      <w:r w:rsidRPr="00A3151B">
        <w:rPr>
          <w:rFonts w:ascii="Times New Roman" w:hAnsi="Times New Roman" w:cs="Times New Roman"/>
          <w:bCs/>
          <w:sz w:val="20"/>
          <w:szCs w:val="20"/>
          <w:lang w:val="en-GB"/>
        </w:rPr>
        <w:t>.</w:t>
      </w:r>
    </w:p>
  </w:footnote>
  <w:footnote w:id="112">
    <w:p w14:paraId="63387933" w14:textId="27228314" w:rsidR="009C0E8C" w:rsidRPr="00A3151B" w:rsidRDefault="009C0E8C" w:rsidP="005D22EA">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proofErr w:type="spellStart"/>
      <w:r w:rsidRPr="00A3151B">
        <w:rPr>
          <w:rFonts w:ascii="Times New Roman" w:hAnsi="Times New Roman" w:cs="Times New Roman"/>
          <w:bCs/>
          <w:iCs/>
          <w:sz w:val="20"/>
          <w:szCs w:val="20"/>
          <w:lang w:val="en-GB"/>
        </w:rPr>
        <w:t>Westlund</w:t>
      </w:r>
      <w:proofErr w:type="spellEnd"/>
      <w:r w:rsidRPr="00A3151B">
        <w:rPr>
          <w:rFonts w:ascii="Times New Roman" w:hAnsi="Times New Roman" w:cs="Times New Roman"/>
          <w:bCs/>
          <w:iCs/>
          <w:sz w:val="20"/>
          <w:szCs w:val="20"/>
          <w:lang w:val="en-GB"/>
        </w:rPr>
        <w:t xml:space="preserve"> </w:t>
      </w:r>
      <w:r w:rsidRPr="00A3151B">
        <w:rPr>
          <w:rFonts w:ascii="Times New Roman" w:hAnsi="Times New Roman" w:cs="Times New Roman"/>
          <w:bCs/>
          <w:i/>
          <w:iCs/>
          <w:sz w:val="20"/>
          <w:szCs w:val="20"/>
          <w:lang w:val="en-GB"/>
        </w:rPr>
        <w:t>op. cit.</w:t>
      </w:r>
      <w:r w:rsidRPr="00A3151B">
        <w:rPr>
          <w:rFonts w:ascii="Times New Roman" w:hAnsi="Times New Roman" w:cs="Times New Roman"/>
          <w:bCs/>
          <w:iCs/>
          <w:sz w:val="20"/>
          <w:szCs w:val="20"/>
          <w:lang w:val="en-GB"/>
        </w:rPr>
        <w:t xml:space="preserve"> note 6</w:t>
      </w:r>
      <w:r w:rsidR="003F2A1E" w:rsidRPr="00A3151B">
        <w:rPr>
          <w:rFonts w:ascii="Times New Roman" w:hAnsi="Times New Roman" w:cs="Times New Roman"/>
          <w:bCs/>
          <w:iCs/>
          <w:sz w:val="20"/>
          <w:szCs w:val="20"/>
          <w:lang w:val="en-GB"/>
        </w:rPr>
        <w:t>9</w:t>
      </w:r>
      <w:r w:rsidRPr="00A3151B">
        <w:rPr>
          <w:rFonts w:ascii="Times New Roman" w:hAnsi="Times New Roman" w:cs="Times New Roman"/>
          <w:bCs/>
          <w:iCs/>
          <w:sz w:val="20"/>
          <w:szCs w:val="20"/>
          <w:lang w:val="en-GB"/>
        </w:rPr>
        <w:t>.</w:t>
      </w:r>
    </w:p>
  </w:footnote>
  <w:footnote w:id="113">
    <w:p w14:paraId="4895C416" w14:textId="16929CA1" w:rsidR="009C0E8C" w:rsidRPr="00A3151B" w:rsidRDefault="009C0E8C" w:rsidP="005D22EA">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i/>
          <w:sz w:val="20"/>
          <w:szCs w:val="20"/>
        </w:rPr>
        <w:t>E.g.</w:t>
      </w:r>
      <w:r w:rsidRPr="00A3151B">
        <w:rPr>
          <w:rFonts w:ascii="Times New Roman" w:hAnsi="Times New Roman" w:cs="Times New Roman"/>
          <w:sz w:val="20"/>
          <w:szCs w:val="20"/>
        </w:rPr>
        <w:t xml:space="preserve">, </w:t>
      </w:r>
      <w:r w:rsidRPr="00A3151B">
        <w:rPr>
          <w:rFonts w:ascii="Times New Roman" w:hAnsi="Times New Roman" w:cs="Times New Roman"/>
          <w:bCs/>
          <w:sz w:val="20"/>
          <w:szCs w:val="20"/>
          <w:lang w:val="en-GB"/>
        </w:rPr>
        <w:t xml:space="preserve">Anderson (2003) </w:t>
      </w:r>
      <w:r w:rsidRPr="00A3151B">
        <w:rPr>
          <w:rFonts w:ascii="Times New Roman" w:hAnsi="Times New Roman" w:cs="Times New Roman"/>
          <w:bCs/>
          <w:i/>
          <w:sz w:val="20"/>
          <w:szCs w:val="20"/>
          <w:lang w:val="en-GB"/>
        </w:rPr>
        <w:t>op. cit.</w:t>
      </w:r>
      <w:r w:rsidRPr="00A3151B">
        <w:rPr>
          <w:rFonts w:ascii="Times New Roman" w:hAnsi="Times New Roman" w:cs="Times New Roman"/>
          <w:bCs/>
          <w:sz w:val="20"/>
          <w:szCs w:val="20"/>
          <w:lang w:val="en-GB"/>
        </w:rPr>
        <w:t xml:space="preserve"> note </w:t>
      </w:r>
      <w:r w:rsidR="003F2A1E" w:rsidRPr="00A3151B">
        <w:rPr>
          <w:rFonts w:ascii="Times New Roman" w:hAnsi="Times New Roman" w:cs="Times New Roman"/>
          <w:bCs/>
          <w:sz w:val="20"/>
          <w:szCs w:val="20"/>
          <w:lang w:val="en-GB"/>
        </w:rPr>
        <w:t>71</w:t>
      </w:r>
      <w:r w:rsidRPr="00A3151B">
        <w:rPr>
          <w:rFonts w:ascii="Times New Roman" w:hAnsi="Times New Roman" w:cs="Times New Roman"/>
          <w:bCs/>
          <w:sz w:val="20"/>
          <w:szCs w:val="20"/>
          <w:lang w:val="en-GB"/>
        </w:rPr>
        <w:t xml:space="preserve">; </w:t>
      </w:r>
      <w:r w:rsidRPr="00A3151B">
        <w:rPr>
          <w:rFonts w:ascii="Times New Roman" w:hAnsi="Times New Roman" w:cs="Times New Roman"/>
          <w:sz w:val="20"/>
          <w:szCs w:val="20"/>
        </w:rPr>
        <w:t xml:space="preserve">Benson </w:t>
      </w:r>
      <w:r w:rsidRPr="00A3151B">
        <w:rPr>
          <w:rFonts w:ascii="Times New Roman" w:hAnsi="Times New Roman" w:cs="Times New Roman"/>
          <w:i/>
          <w:sz w:val="20"/>
          <w:szCs w:val="20"/>
        </w:rPr>
        <w:t>op. cit.</w:t>
      </w:r>
      <w:r w:rsidRPr="00A3151B">
        <w:rPr>
          <w:rFonts w:ascii="Times New Roman" w:hAnsi="Times New Roman" w:cs="Times New Roman"/>
          <w:sz w:val="20"/>
          <w:szCs w:val="20"/>
        </w:rPr>
        <w:t xml:space="preserve"> note </w:t>
      </w:r>
      <w:r w:rsidR="00B54FCB" w:rsidRPr="00A3151B">
        <w:rPr>
          <w:rFonts w:ascii="Times New Roman" w:hAnsi="Times New Roman" w:cs="Times New Roman"/>
          <w:sz w:val="20"/>
          <w:szCs w:val="20"/>
        </w:rPr>
        <w:t>111</w:t>
      </w:r>
      <w:r w:rsidRPr="00A3151B">
        <w:rPr>
          <w:rFonts w:ascii="Times New Roman" w:hAnsi="Times New Roman" w:cs="Times New Roman"/>
          <w:sz w:val="20"/>
          <w:szCs w:val="20"/>
        </w:rPr>
        <w:t xml:space="preserve">; </w:t>
      </w:r>
      <w:r w:rsidRPr="00A3151B">
        <w:rPr>
          <w:rFonts w:ascii="Times New Roman" w:hAnsi="Times New Roman" w:cs="Times New Roman"/>
          <w:bCs/>
          <w:sz w:val="20"/>
          <w:szCs w:val="20"/>
          <w:lang w:val="en-GB"/>
        </w:rPr>
        <w:t xml:space="preserve">Mackenzie (2008) </w:t>
      </w:r>
      <w:r w:rsidRPr="00A3151B">
        <w:rPr>
          <w:rFonts w:ascii="Times New Roman" w:hAnsi="Times New Roman" w:cs="Times New Roman"/>
          <w:bCs/>
          <w:i/>
          <w:sz w:val="20"/>
          <w:szCs w:val="20"/>
          <w:lang w:val="en-GB"/>
        </w:rPr>
        <w:t>op. cit.</w:t>
      </w:r>
      <w:r w:rsidRPr="00A3151B">
        <w:rPr>
          <w:rFonts w:ascii="Times New Roman" w:hAnsi="Times New Roman" w:cs="Times New Roman"/>
          <w:bCs/>
          <w:sz w:val="20"/>
          <w:szCs w:val="20"/>
          <w:lang w:val="en-GB"/>
        </w:rPr>
        <w:t xml:space="preserve"> note </w:t>
      </w:r>
      <w:r w:rsidR="003F2A1E" w:rsidRPr="00A3151B">
        <w:rPr>
          <w:rFonts w:ascii="Times New Roman" w:hAnsi="Times New Roman" w:cs="Times New Roman"/>
          <w:bCs/>
          <w:sz w:val="20"/>
          <w:szCs w:val="20"/>
          <w:lang w:val="en-GB"/>
        </w:rPr>
        <w:t>71</w:t>
      </w:r>
      <w:r w:rsidRPr="00A3151B">
        <w:rPr>
          <w:rFonts w:ascii="Times New Roman" w:hAnsi="Times New Roman" w:cs="Times New Roman"/>
          <w:bCs/>
          <w:sz w:val="20"/>
          <w:szCs w:val="20"/>
          <w:lang w:val="en-GB"/>
        </w:rPr>
        <w:t xml:space="preserve">; </w:t>
      </w:r>
      <w:proofErr w:type="spellStart"/>
      <w:r w:rsidRPr="00A3151B">
        <w:rPr>
          <w:rFonts w:ascii="Times New Roman" w:hAnsi="Times New Roman" w:cs="Times New Roman"/>
          <w:bCs/>
          <w:sz w:val="20"/>
          <w:szCs w:val="20"/>
          <w:lang w:val="en-GB"/>
        </w:rPr>
        <w:t>Westlund</w:t>
      </w:r>
      <w:proofErr w:type="spellEnd"/>
      <w:r w:rsidRPr="00A3151B">
        <w:rPr>
          <w:rFonts w:ascii="Times New Roman" w:hAnsi="Times New Roman" w:cs="Times New Roman"/>
          <w:bCs/>
          <w:sz w:val="20"/>
          <w:szCs w:val="20"/>
          <w:lang w:val="en-GB"/>
        </w:rPr>
        <w:t xml:space="preserve"> (2009) </w:t>
      </w:r>
      <w:r w:rsidRPr="00A3151B">
        <w:rPr>
          <w:rFonts w:ascii="Times New Roman" w:hAnsi="Times New Roman" w:cs="Times New Roman"/>
          <w:bCs/>
          <w:i/>
          <w:sz w:val="20"/>
          <w:szCs w:val="20"/>
          <w:lang w:val="en-GB"/>
        </w:rPr>
        <w:t>op. cit.</w:t>
      </w:r>
      <w:r w:rsidRPr="00A3151B">
        <w:rPr>
          <w:rFonts w:ascii="Times New Roman" w:hAnsi="Times New Roman" w:cs="Times New Roman"/>
          <w:bCs/>
          <w:sz w:val="20"/>
          <w:szCs w:val="20"/>
          <w:lang w:val="en-GB"/>
        </w:rPr>
        <w:t xml:space="preserve"> note </w:t>
      </w:r>
      <w:r w:rsidR="00B54FCB" w:rsidRPr="00A3151B">
        <w:rPr>
          <w:rFonts w:ascii="Times New Roman" w:hAnsi="Times New Roman" w:cs="Times New Roman"/>
          <w:bCs/>
          <w:sz w:val="20"/>
          <w:szCs w:val="20"/>
          <w:lang w:val="en-GB"/>
        </w:rPr>
        <w:t>71</w:t>
      </w:r>
      <w:r w:rsidRPr="00A3151B">
        <w:rPr>
          <w:rFonts w:ascii="Times New Roman" w:hAnsi="Times New Roman" w:cs="Times New Roman"/>
          <w:bCs/>
          <w:sz w:val="20"/>
          <w:szCs w:val="20"/>
          <w:lang w:val="en-GB"/>
        </w:rPr>
        <w:t xml:space="preserve">; Anderson (2014) </w:t>
      </w:r>
      <w:r w:rsidRPr="00A3151B">
        <w:rPr>
          <w:rFonts w:ascii="Times New Roman" w:hAnsi="Times New Roman" w:cs="Times New Roman"/>
          <w:bCs/>
          <w:i/>
          <w:sz w:val="20"/>
          <w:szCs w:val="20"/>
          <w:lang w:val="en-GB"/>
        </w:rPr>
        <w:t>op. cit.</w:t>
      </w:r>
      <w:r w:rsidRPr="00A3151B">
        <w:rPr>
          <w:rFonts w:ascii="Times New Roman" w:hAnsi="Times New Roman" w:cs="Times New Roman"/>
          <w:bCs/>
          <w:sz w:val="20"/>
          <w:szCs w:val="20"/>
          <w:lang w:val="en-GB"/>
        </w:rPr>
        <w:t xml:space="preserve"> note </w:t>
      </w:r>
      <w:r w:rsidR="003F2A1E" w:rsidRPr="00A3151B">
        <w:rPr>
          <w:rFonts w:ascii="Times New Roman" w:hAnsi="Times New Roman" w:cs="Times New Roman"/>
          <w:bCs/>
          <w:sz w:val="20"/>
          <w:szCs w:val="20"/>
          <w:lang w:val="en-GB"/>
        </w:rPr>
        <w:t>64</w:t>
      </w:r>
      <w:r w:rsidRPr="00A3151B">
        <w:rPr>
          <w:rFonts w:ascii="Times New Roman" w:hAnsi="Times New Roman" w:cs="Times New Roman"/>
          <w:bCs/>
          <w:sz w:val="20"/>
          <w:szCs w:val="20"/>
          <w:lang w:val="en-GB"/>
        </w:rPr>
        <w:t>;</w:t>
      </w:r>
      <w:r w:rsidRPr="00A3151B">
        <w:rPr>
          <w:rFonts w:ascii="Times New Roman" w:hAnsi="Times New Roman" w:cs="Times New Roman"/>
          <w:sz w:val="20"/>
          <w:szCs w:val="20"/>
        </w:rPr>
        <w:t xml:space="preserve"> </w:t>
      </w:r>
      <w:proofErr w:type="spellStart"/>
      <w:r w:rsidRPr="00A3151B">
        <w:rPr>
          <w:rFonts w:ascii="Times New Roman" w:hAnsi="Times New Roman" w:cs="Times New Roman"/>
          <w:bCs/>
          <w:iCs/>
          <w:sz w:val="20"/>
          <w:szCs w:val="20"/>
          <w:lang w:val="en-GB"/>
        </w:rPr>
        <w:t>Westlund</w:t>
      </w:r>
      <w:proofErr w:type="spellEnd"/>
      <w:r w:rsidRPr="00A3151B">
        <w:rPr>
          <w:rFonts w:ascii="Times New Roman" w:hAnsi="Times New Roman" w:cs="Times New Roman"/>
          <w:bCs/>
          <w:iCs/>
          <w:sz w:val="20"/>
          <w:szCs w:val="20"/>
          <w:lang w:val="en-GB"/>
        </w:rPr>
        <w:t xml:space="preserve"> (2018) </w:t>
      </w:r>
      <w:r w:rsidRPr="00A3151B">
        <w:rPr>
          <w:rFonts w:ascii="Times New Roman" w:hAnsi="Times New Roman" w:cs="Times New Roman"/>
          <w:bCs/>
          <w:i/>
          <w:iCs/>
          <w:sz w:val="20"/>
          <w:szCs w:val="20"/>
          <w:lang w:val="en-GB"/>
        </w:rPr>
        <w:t>op. cit.</w:t>
      </w:r>
      <w:r w:rsidRPr="00A3151B">
        <w:rPr>
          <w:rFonts w:ascii="Times New Roman" w:hAnsi="Times New Roman" w:cs="Times New Roman"/>
          <w:bCs/>
          <w:iCs/>
          <w:sz w:val="20"/>
          <w:szCs w:val="20"/>
          <w:lang w:val="en-GB"/>
        </w:rPr>
        <w:t xml:space="preserve"> note 6</w:t>
      </w:r>
      <w:r w:rsidR="003F2A1E" w:rsidRPr="00A3151B">
        <w:rPr>
          <w:rFonts w:ascii="Times New Roman" w:hAnsi="Times New Roman" w:cs="Times New Roman"/>
          <w:bCs/>
          <w:iCs/>
          <w:sz w:val="20"/>
          <w:szCs w:val="20"/>
          <w:lang w:val="en-GB"/>
        </w:rPr>
        <w:t>9</w:t>
      </w:r>
      <w:r w:rsidRPr="00A3151B">
        <w:rPr>
          <w:rFonts w:ascii="Times New Roman" w:hAnsi="Times New Roman" w:cs="Times New Roman"/>
          <w:bCs/>
          <w:iCs/>
          <w:sz w:val="20"/>
          <w:szCs w:val="20"/>
          <w:lang w:val="en-GB"/>
        </w:rPr>
        <w:t>.</w:t>
      </w:r>
    </w:p>
  </w:footnote>
  <w:footnote w:id="114">
    <w:p w14:paraId="54946BC2" w14:textId="132EF46B" w:rsidR="009C0E8C" w:rsidRPr="00A3151B" w:rsidRDefault="009C0E8C">
      <w:pPr>
        <w:pStyle w:val="FootnoteText"/>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bCs/>
          <w:sz w:val="20"/>
          <w:szCs w:val="20"/>
          <w:lang w:val="en-GB"/>
        </w:rPr>
        <w:t xml:space="preserve">Anderson </w:t>
      </w:r>
      <w:r w:rsidRPr="00A3151B">
        <w:rPr>
          <w:rFonts w:ascii="Times New Roman" w:hAnsi="Times New Roman" w:cs="Times New Roman"/>
          <w:bCs/>
          <w:i/>
          <w:sz w:val="20"/>
          <w:szCs w:val="20"/>
          <w:lang w:val="en-GB"/>
        </w:rPr>
        <w:t>op. cit.</w:t>
      </w:r>
      <w:r w:rsidRPr="00A3151B">
        <w:rPr>
          <w:rFonts w:ascii="Times New Roman" w:hAnsi="Times New Roman" w:cs="Times New Roman"/>
          <w:bCs/>
          <w:sz w:val="20"/>
          <w:szCs w:val="20"/>
          <w:lang w:val="en-GB"/>
        </w:rPr>
        <w:t xml:space="preserve"> note </w:t>
      </w:r>
      <w:r w:rsidR="003F2A1E" w:rsidRPr="00A3151B">
        <w:rPr>
          <w:rFonts w:ascii="Times New Roman" w:hAnsi="Times New Roman" w:cs="Times New Roman"/>
          <w:bCs/>
          <w:sz w:val="20"/>
          <w:szCs w:val="20"/>
          <w:lang w:val="en-GB"/>
        </w:rPr>
        <w:t>64</w:t>
      </w:r>
      <w:r w:rsidRPr="00A3151B">
        <w:rPr>
          <w:rFonts w:ascii="Times New Roman" w:hAnsi="Times New Roman" w:cs="Times New Roman"/>
          <w:bCs/>
          <w:sz w:val="20"/>
          <w:szCs w:val="20"/>
          <w:lang w:val="en-GB"/>
        </w:rPr>
        <w:t>, 144.</w:t>
      </w:r>
    </w:p>
  </w:footnote>
  <w:footnote w:id="115">
    <w:p w14:paraId="57002481" w14:textId="08CDD907" w:rsidR="009C0E8C" w:rsidRPr="00A3151B" w:rsidRDefault="009C0E8C">
      <w:pPr>
        <w:pStyle w:val="FootnoteText"/>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bCs/>
          <w:i/>
          <w:sz w:val="20"/>
          <w:szCs w:val="20"/>
          <w:lang w:val="en-GB"/>
        </w:rPr>
        <w:t>ibid.</w:t>
      </w:r>
      <w:r w:rsidRPr="00A3151B">
        <w:rPr>
          <w:rFonts w:ascii="Times New Roman" w:hAnsi="Times New Roman" w:cs="Times New Roman"/>
          <w:bCs/>
          <w:sz w:val="20"/>
          <w:szCs w:val="20"/>
          <w:lang w:val="en-GB"/>
        </w:rPr>
        <w:t xml:space="preserve">, 145. </w:t>
      </w:r>
    </w:p>
  </w:footnote>
  <w:footnote w:id="116">
    <w:p w14:paraId="145109A1" w14:textId="625782B0" w:rsidR="009C0E8C" w:rsidRPr="00A3151B" w:rsidRDefault="009C0E8C" w:rsidP="00E21075">
      <w:pPr>
        <w:pStyle w:val="FootnoteText"/>
        <w:jc w:val="both"/>
        <w:rPr>
          <w:rFonts w:ascii="Times New Roman" w:hAnsi="Times New Roman" w:cs="Times New Roman"/>
          <w:sz w:val="20"/>
          <w:szCs w:val="20"/>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Referring to Article 12 of the UN’s </w:t>
      </w:r>
      <w:r w:rsidRPr="00A3151B">
        <w:rPr>
          <w:rFonts w:ascii="Times New Roman" w:hAnsi="Times New Roman" w:cs="Times New Roman"/>
          <w:sz w:val="20"/>
          <w:szCs w:val="20"/>
          <w:lang w:val="en-GB"/>
        </w:rPr>
        <w:t>Convention on the Rights of Persons with Disabilities (‘UNCRPD’)</w:t>
      </w:r>
      <w:r w:rsidRPr="00A3151B">
        <w:rPr>
          <w:rFonts w:ascii="Times New Roman" w:hAnsi="Times New Roman" w:cs="Times New Roman"/>
          <w:sz w:val="20"/>
          <w:szCs w:val="20"/>
        </w:rPr>
        <w:t>, Clough (2014) (</w:t>
      </w:r>
      <w:r w:rsidRPr="00A3151B">
        <w:rPr>
          <w:rFonts w:ascii="Times New Roman" w:hAnsi="Times New Roman" w:cs="Times New Roman"/>
          <w:i/>
          <w:iCs/>
          <w:sz w:val="20"/>
          <w:szCs w:val="20"/>
        </w:rPr>
        <w:t>op. cit.</w:t>
      </w:r>
      <w:r w:rsidRPr="00A3151B">
        <w:rPr>
          <w:rFonts w:ascii="Times New Roman" w:hAnsi="Times New Roman" w:cs="Times New Roman"/>
          <w:sz w:val="20"/>
          <w:szCs w:val="20"/>
        </w:rPr>
        <w:t xml:space="preserve"> note </w:t>
      </w:r>
      <w:r w:rsidR="00A9624B" w:rsidRPr="00A3151B">
        <w:rPr>
          <w:rFonts w:ascii="Times New Roman" w:hAnsi="Times New Roman" w:cs="Times New Roman"/>
          <w:sz w:val="20"/>
          <w:szCs w:val="20"/>
        </w:rPr>
        <w:t>3</w:t>
      </w:r>
      <w:r w:rsidRPr="00A3151B">
        <w:rPr>
          <w:rFonts w:ascii="Times New Roman" w:hAnsi="Times New Roman" w:cs="Times New Roman"/>
          <w:sz w:val="20"/>
          <w:szCs w:val="20"/>
        </w:rPr>
        <w:t xml:space="preserve">, 383-6) also argues that supported decision making should play a vital role in promoting the autonomy of vulnerable individuals. </w:t>
      </w:r>
      <w:r w:rsidRPr="00A3151B">
        <w:rPr>
          <w:rFonts w:ascii="Times New Roman" w:hAnsi="Times New Roman" w:cs="Times New Roman"/>
          <w:sz w:val="20"/>
          <w:szCs w:val="20"/>
          <w:lang w:val="en-GB"/>
        </w:rPr>
        <w:t>If a vulnerable capacitous patient requires support to identify her values, desires and motivations, then this process is akin to – what Wilson refers to as – the ‘Abolition with Support Model’ for responding to</w:t>
      </w:r>
      <w:r w:rsidRPr="00A3151B">
        <w:rPr>
          <w:rFonts w:ascii="Times New Roman" w:hAnsi="Times New Roman" w:cs="Times New Roman"/>
          <w:sz w:val="20"/>
          <w:szCs w:val="20"/>
        </w:rPr>
        <w:t xml:space="preserve"> the vulnerability of persons with mental impairment (Wilson </w:t>
      </w:r>
      <w:r w:rsidRPr="00A3151B">
        <w:rPr>
          <w:rFonts w:ascii="Times New Roman" w:hAnsi="Times New Roman" w:cs="Times New Roman"/>
          <w:i/>
          <w:sz w:val="20"/>
          <w:szCs w:val="20"/>
        </w:rPr>
        <w:t>op. cit.</w:t>
      </w:r>
      <w:r w:rsidRPr="00A3151B">
        <w:rPr>
          <w:rFonts w:ascii="Times New Roman" w:hAnsi="Times New Roman" w:cs="Times New Roman"/>
          <w:sz w:val="20"/>
          <w:szCs w:val="20"/>
        </w:rPr>
        <w:t xml:space="preserve"> note </w:t>
      </w:r>
      <w:r w:rsidR="00A9624B" w:rsidRPr="00A3151B">
        <w:rPr>
          <w:rFonts w:ascii="Times New Roman" w:hAnsi="Times New Roman" w:cs="Times New Roman"/>
          <w:sz w:val="20"/>
          <w:szCs w:val="20"/>
        </w:rPr>
        <w:t>2</w:t>
      </w:r>
      <w:r w:rsidRPr="00A3151B">
        <w:rPr>
          <w:rFonts w:ascii="Times New Roman" w:hAnsi="Times New Roman" w:cs="Times New Roman"/>
          <w:sz w:val="20"/>
          <w:szCs w:val="20"/>
        </w:rPr>
        <w:t>, 48-54). However, whereas Wilson addresses this model as a sufficient means for involving vulnerable adults in decision-making processes that concern them, I view this as a single and contingent step in a multi-step process of capturing and promoting the autonomy of capacitous vulnerable adults. The main benefit of a response to vulnerability based on self-</w:t>
      </w:r>
      <w:proofErr w:type="spellStart"/>
      <w:r w:rsidRPr="00A3151B">
        <w:rPr>
          <w:rFonts w:ascii="Times New Roman" w:hAnsi="Times New Roman" w:cs="Times New Roman"/>
          <w:sz w:val="20"/>
          <w:szCs w:val="20"/>
        </w:rPr>
        <w:t>authorisation</w:t>
      </w:r>
      <w:proofErr w:type="spellEnd"/>
      <w:r w:rsidRPr="00A3151B">
        <w:rPr>
          <w:rFonts w:ascii="Times New Roman" w:hAnsi="Times New Roman" w:cs="Times New Roman"/>
          <w:sz w:val="20"/>
          <w:szCs w:val="20"/>
        </w:rPr>
        <w:t xml:space="preserve"> and intersubjective recognition is that, like the ‘Abolition with Support Model’, it can alleviate situational and pathogenic forms of vulnerability, but it is not anywhere near as radical. Rather than abolishing mental health law altogether, the approach outlined here suggests that legal reform is required. In particular, allowing vulnerable patients to make decisions regarding their care and treatment should be a legal obligation grounded in autonomy rather than in (shifting) interpretations of the UNCRPD.</w:t>
      </w:r>
    </w:p>
  </w:footnote>
  <w:footnote w:id="117">
    <w:p w14:paraId="7D4F34A2" w14:textId="38C9B0A3" w:rsidR="009C0E8C" w:rsidRPr="00A3151B" w:rsidRDefault="009C0E8C" w:rsidP="00141CBA">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sz w:val="20"/>
          <w:szCs w:val="20"/>
          <w:lang w:val="en-GB"/>
        </w:rPr>
        <w:t>Even though a protective response may be justified</w:t>
      </w:r>
      <w:r w:rsidR="00831FC0" w:rsidRPr="00A3151B">
        <w:rPr>
          <w:rFonts w:ascii="Times New Roman" w:hAnsi="Times New Roman" w:cs="Times New Roman"/>
          <w:sz w:val="20"/>
          <w:szCs w:val="20"/>
          <w:lang w:val="en-GB"/>
        </w:rPr>
        <w:t xml:space="preserve">, </w:t>
      </w:r>
      <w:r w:rsidRPr="00A3151B">
        <w:rPr>
          <w:rFonts w:ascii="Times New Roman" w:hAnsi="Times New Roman" w:cs="Times New Roman"/>
          <w:sz w:val="20"/>
          <w:szCs w:val="20"/>
          <w:lang w:val="en-GB"/>
        </w:rPr>
        <w:t>at least that response will be derived from considerations of autonomy, rather than</w:t>
      </w:r>
      <w:r w:rsidR="00831FC0" w:rsidRPr="00A3151B">
        <w:rPr>
          <w:rFonts w:ascii="Times New Roman" w:hAnsi="Times New Roman" w:cs="Times New Roman"/>
          <w:sz w:val="20"/>
          <w:szCs w:val="20"/>
          <w:lang w:val="en-GB"/>
        </w:rPr>
        <w:t xml:space="preserve"> </w:t>
      </w:r>
      <w:r w:rsidRPr="00A3151B">
        <w:rPr>
          <w:rFonts w:ascii="Times New Roman" w:hAnsi="Times New Roman" w:cs="Times New Roman"/>
          <w:sz w:val="20"/>
          <w:szCs w:val="20"/>
          <w:lang w:val="en-GB"/>
        </w:rPr>
        <w:t xml:space="preserve">considerations of the effects of malign external influences on an individual’s ability to fulfil the typical conditions required for giving </w:t>
      </w:r>
      <w:r w:rsidRPr="00A3151B">
        <w:rPr>
          <w:rFonts w:ascii="Times New Roman" w:hAnsi="Times New Roman" w:cs="Times New Roman"/>
          <w:i/>
          <w:sz w:val="20"/>
          <w:szCs w:val="20"/>
          <w:lang w:val="en-GB"/>
        </w:rPr>
        <w:t>genuine</w:t>
      </w:r>
      <w:r w:rsidRPr="00A3151B">
        <w:rPr>
          <w:rFonts w:ascii="Times New Roman" w:hAnsi="Times New Roman" w:cs="Times New Roman"/>
          <w:sz w:val="20"/>
          <w:szCs w:val="20"/>
          <w:lang w:val="en-GB"/>
        </w:rPr>
        <w:t xml:space="preserve"> consent</w:t>
      </w:r>
      <w:r w:rsidR="00831FC0" w:rsidRPr="00A3151B">
        <w:rPr>
          <w:rFonts w:ascii="Times New Roman" w:hAnsi="Times New Roman" w:cs="Times New Roman"/>
          <w:sz w:val="20"/>
          <w:szCs w:val="20"/>
          <w:lang w:val="en-GB"/>
        </w:rPr>
        <w:t xml:space="preserve">, the focus on which </w:t>
      </w:r>
      <w:r w:rsidRPr="00A3151B">
        <w:rPr>
          <w:rFonts w:ascii="Times New Roman" w:hAnsi="Times New Roman" w:cs="Times New Roman"/>
          <w:sz w:val="20"/>
          <w:szCs w:val="20"/>
          <w:lang w:val="en-GB"/>
        </w:rPr>
        <w:t>precludes adequate engagement with the very question of that individual’s autonomy</w:t>
      </w:r>
      <w:r w:rsidR="00831FC0" w:rsidRPr="00A3151B">
        <w:rPr>
          <w:rFonts w:ascii="Times New Roman" w:hAnsi="Times New Roman" w:cs="Times New Roman"/>
          <w:sz w:val="20"/>
          <w:szCs w:val="20"/>
          <w:lang w:val="en-GB"/>
        </w:rPr>
        <w:t>.</w:t>
      </w:r>
    </w:p>
  </w:footnote>
  <w:footnote w:id="118">
    <w:p w14:paraId="7DC7092B" w14:textId="56CB0FBF" w:rsidR="009C0E8C" w:rsidRPr="00A3151B" w:rsidRDefault="009C0E8C">
      <w:pPr>
        <w:pStyle w:val="FootnoteText"/>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bCs/>
          <w:sz w:val="20"/>
          <w:szCs w:val="20"/>
          <w:lang w:val="en-GB"/>
        </w:rPr>
        <w:t xml:space="preserve">Lindsey </w:t>
      </w:r>
      <w:r w:rsidRPr="00A3151B">
        <w:rPr>
          <w:rFonts w:ascii="Times New Roman" w:hAnsi="Times New Roman" w:cs="Times New Roman"/>
          <w:bCs/>
          <w:i/>
          <w:iCs/>
          <w:sz w:val="20"/>
          <w:szCs w:val="20"/>
          <w:lang w:val="en-GB"/>
        </w:rPr>
        <w:t>op. cit.</w:t>
      </w:r>
      <w:r w:rsidRPr="00A3151B">
        <w:rPr>
          <w:rFonts w:ascii="Times New Roman" w:hAnsi="Times New Roman" w:cs="Times New Roman"/>
          <w:bCs/>
          <w:sz w:val="20"/>
          <w:szCs w:val="20"/>
          <w:lang w:val="en-GB"/>
        </w:rPr>
        <w:t xml:space="preserve"> note </w:t>
      </w:r>
      <w:r w:rsidR="00A9624B" w:rsidRPr="00A3151B">
        <w:rPr>
          <w:rFonts w:ascii="Times New Roman" w:hAnsi="Times New Roman" w:cs="Times New Roman"/>
          <w:bCs/>
          <w:sz w:val="20"/>
          <w:szCs w:val="20"/>
          <w:lang w:val="en-GB"/>
        </w:rPr>
        <w:t>3</w:t>
      </w:r>
      <w:r w:rsidRPr="00A3151B">
        <w:rPr>
          <w:rFonts w:ascii="Times New Roman" w:hAnsi="Times New Roman" w:cs="Times New Roman"/>
          <w:bCs/>
          <w:sz w:val="20"/>
          <w:szCs w:val="20"/>
          <w:lang w:val="en-GB"/>
        </w:rPr>
        <w:t>, 309-311.</w:t>
      </w:r>
    </w:p>
  </w:footnote>
  <w:footnote w:id="119">
    <w:p w14:paraId="48F386E8" w14:textId="2A05F838" w:rsidR="009C0E8C" w:rsidRPr="00A3151B" w:rsidRDefault="009C0E8C">
      <w:pPr>
        <w:pStyle w:val="FootnoteText"/>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proofErr w:type="spellStart"/>
      <w:r w:rsidRPr="00A3151B">
        <w:rPr>
          <w:rFonts w:ascii="Times New Roman" w:hAnsi="Times New Roman" w:cs="Times New Roman"/>
          <w:bCs/>
          <w:sz w:val="20"/>
          <w:szCs w:val="20"/>
          <w:lang w:val="en-GB"/>
        </w:rPr>
        <w:t>Keywood</w:t>
      </w:r>
      <w:proofErr w:type="spellEnd"/>
      <w:r w:rsidRPr="00A3151B">
        <w:rPr>
          <w:rFonts w:ascii="Times New Roman" w:hAnsi="Times New Roman" w:cs="Times New Roman"/>
          <w:bCs/>
          <w:sz w:val="20"/>
          <w:szCs w:val="20"/>
          <w:lang w:val="en-GB"/>
        </w:rPr>
        <w:t xml:space="preserve"> </w:t>
      </w:r>
      <w:r w:rsidRPr="00A3151B">
        <w:rPr>
          <w:rFonts w:ascii="Times New Roman" w:hAnsi="Times New Roman" w:cs="Times New Roman"/>
          <w:bCs/>
          <w:i/>
          <w:iCs/>
          <w:sz w:val="20"/>
          <w:szCs w:val="20"/>
          <w:lang w:val="en-GB"/>
        </w:rPr>
        <w:t>op. cit.</w:t>
      </w:r>
      <w:r w:rsidRPr="00A3151B">
        <w:rPr>
          <w:rFonts w:ascii="Times New Roman" w:hAnsi="Times New Roman" w:cs="Times New Roman"/>
          <w:bCs/>
          <w:sz w:val="20"/>
          <w:szCs w:val="20"/>
          <w:lang w:val="en-GB"/>
        </w:rPr>
        <w:t xml:space="preserve"> note 3</w:t>
      </w:r>
      <w:r w:rsidR="006F6984" w:rsidRPr="00A3151B">
        <w:rPr>
          <w:rFonts w:ascii="Times New Roman" w:hAnsi="Times New Roman" w:cs="Times New Roman"/>
          <w:bCs/>
          <w:sz w:val="20"/>
          <w:szCs w:val="20"/>
          <w:lang w:val="en-GB"/>
        </w:rPr>
        <w:t>5</w:t>
      </w:r>
      <w:r w:rsidRPr="00A3151B">
        <w:rPr>
          <w:rFonts w:ascii="Times New Roman" w:hAnsi="Times New Roman" w:cs="Times New Roman"/>
          <w:bCs/>
          <w:sz w:val="20"/>
          <w:szCs w:val="20"/>
          <w:lang w:val="en-GB"/>
        </w:rPr>
        <w:t>, 329-330; Clough (2014)</w:t>
      </w:r>
      <w:r w:rsidRPr="00A3151B">
        <w:rPr>
          <w:rFonts w:ascii="Times New Roman" w:eastAsia="Times New Roman" w:hAnsi="Times New Roman" w:cs="Times New Roman"/>
          <w:bCs/>
          <w:i/>
          <w:iCs/>
          <w:sz w:val="20"/>
          <w:szCs w:val="20"/>
          <w:lang w:val="en-GB" w:eastAsia="en-GB"/>
        </w:rPr>
        <w:t xml:space="preserve"> </w:t>
      </w:r>
      <w:r w:rsidRPr="00A3151B">
        <w:rPr>
          <w:rFonts w:ascii="Times New Roman" w:hAnsi="Times New Roman" w:cs="Times New Roman"/>
          <w:bCs/>
          <w:i/>
          <w:iCs/>
          <w:sz w:val="20"/>
          <w:szCs w:val="20"/>
          <w:lang w:val="en-GB"/>
        </w:rPr>
        <w:t xml:space="preserve">op. cit. </w:t>
      </w:r>
      <w:r w:rsidRPr="00A3151B">
        <w:rPr>
          <w:rFonts w:ascii="Times New Roman" w:hAnsi="Times New Roman" w:cs="Times New Roman"/>
          <w:bCs/>
          <w:sz w:val="20"/>
          <w:szCs w:val="20"/>
          <w:lang w:val="en-GB"/>
        </w:rPr>
        <w:t xml:space="preserve">note </w:t>
      </w:r>
      <w:r w:rsidR="00A9624B" w:rsidRPr="00A3151B">
        <w:rPr>
          <w:rFonts w:ascii="Times New Roman" w:hAnsi="Times New Roman" w:cs="Times New Roman"/>
          <w:bCs/>
          <w:sz w:val="20"/>
          <w:szCs w:val="20"/>
          <w:lang w:val="en-GB"/>
        </w:rPr>
        <w:t>3</w:t>
      </w:r>
      <w:r w:rsidRPr="00A3151B">
        <w:rPr>
          <w:rFonts w:ascii="Times New Roman" w:hAnsi="Times New Roman" w:cs="Times New Roman"/>
          <w:bCs/>
          <w:sz w:val="20"/>
          <w:szCs w:val="20"/>
          <w:lang w:val="en-GB"/>
        </w:rPr>
        <w:t xml:space="preserve">, 372; Herring and Wall </w:t>
      </w:r>
      <w:r w:rsidRPr="00A3151B">
        <w:rPr>
          <w:rFonts w:ascii="Times New Roman" w:hAnsi="Times New Roman" w:cs="Times New Roman"/>
          <w:bCs/>
          <w:i/>
          <w:iCs/>
          <w:sz w:val="20"/>
          <w:szCs w:val="20"/>
          <w:lang w:val="en-GB"/>
        </w:rPr>
        <w:t>op. cit.</w:t>
      </w:r>
      <w:r w:rsidRPr="00A3151B">
        <w:rPr>
          <w:rFonts w:ascii="Times New Roman" w:hAnsi="Times New Roman" w:cs="Times New Roman"/>
          <w:bCs/>
          <w:sz w:val="20"/>
          <w:szCs w:val="20"/>
          <w:lang w:val="en-GB"/>
        </w:rPr>
        <w:t xml:space="preserve"> note </w:t>
      </w:r>
      <w:r w:rsidR="00A9624B" w:rsidRPr="00A3151B">
        <w:rPr>
          <w:rFonts w:ascii="Times New Roman" w:hAnsi="Times New Roman" w:cs="Times New Roman"/>
          <w:bCs/>
          <w:sz w:val="20"/>
          <w:szCs w:val="20"/>
          <w:lang w:val="en-GB"/>
        </w:rPr>
        <w:t>4</w:t>
      </w:r>
      <w:r w:rsidRPr="00A3151B">
        <w:rPr>
          <w:rFonts w:ascii="Times New Roman" w:hAnsi="Times New Roman" w:cs="Times New Roman"/>
          <w:bCs/>
          <w:sz w:val="20"/>
          <w:szCs w:val="20"/>
          <w:lang w:val="en-GB"/>
        </w:rPr>
        <w:t>, 699.</w:t>
      </w:r>
    </w:p>
  </w:footnote>
  <w:footnote w:id="120">
    <w:p w14:paraId="3FFB1F7D" w14:textId="0F25DBC8" w:rsidR="009C0E8C" w:rsidRPr="00A3151B" w:rsidRDefault="009C0E8C">
      <w:pPr>
        <w:pStyle w:val="FootnoteText"/>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bCs/>
          <w:sz w:val="20"/>
          <w:szCs w:val="20"/>
          <w:lang w:val="en-GB"/>
        </w:rPr>
        <w:t>Clough (2014)</w:t>
      </w:r>
      <w:r w:rsidRPr="00A3151B">
        <w:rPr>
          <w:rFonts w:ascii="Times New Roman" w:hAnsi="Times New Roman" w:cs="Times New Roman"/>
          <w:bCs/>
          <w:i/>
          <w:iCs/>
          <w:sz w:val="20"/>
          <w:szCs w:val="20"/>
          <w:lang w:val="en-GB"/>
        </w:rPr>
        <w:t xml:space="preserve"> op. cit. </w:t>
      </w:r>
      <w:r w:rsidRPr="00A3151B">
        <w:rPr>
          <w:rFonts w:ascii="Times New Roman" w:hAnsi="Times New Roman" w:cs="Times New Roman"/>
          <w:bCs/>
          <w:sz w:val="20"/>
          <w:szCs w:val="20"/>
          <w:lang w:val="en-GB"/>
        </w:rPr>
        <w:t xml:space="preserve">note </w:t>
      </w:r>
      <w:r w:rsidR="00A9624B" w:rsidRPr="00A3151B">
        <w:rPr>
          <w:rFonts w:ascii="Times New Roman" w:hAnsi="Times New Roman" w:cs="Times New Roman"/>
          <w:bCs/>
          <w:sz w:val="20"/>
          <w:szCs w:val="20"/>
          <w:lang w:val="en-GB"/>
        </w:rPr>
        <w:t>3</w:t>
      </w:r>
      <w:r w:rsidRPr="00A3151B">
        <w:rPr>
          <w:rFonts w:ascii="Times New Roman" w:hAnsi="Times New Roman" w:cs="Times New Roman"/>
          <w:bCs/>
          <w:sz w:val="20"/>
          <w:szCs w:val="20"/>
          <w:lang w:val="en-GB"/>
        </w:rPr>
        <w:t>, 391.</w:t>
      </w:r>
    </w:p>
  </w:footnote>
  <w:footnote w:id="121">
    <w:p w14:paraId="082AAEA9" w14:textId="0B79B96A" w:rsidR="009C0E8C" w:rsidRPr="00A3151B" w:rsidRDefault="009C0E8C">
      <w:pPr>
        <w:pStyle w:val="FootnoteText"/>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bCs/>
          <w:sz w:val="20"/>
          <w:szCs w:val="20"/>
          <w:lang w:val="en-GB"/>
        </w:rPr>
        <w:t xml:space="preserve">Lindsey </w:t>
      </w:r>
      <w:r w:rsidRPr="00A3151B">
        <w:rPr>
          <w:rFonts w:ascii="Times New Roman" w:hAnsi="Times New Roman" w:cs="Times New Roman"/>
          <w:bCs/>
          <w:i/>
          <w:iCs/>
          <w:sz w:val="20"/>
          <w:szCs w:val="20"/>
          <w:lang w:val="en-GB"/>
        </w:rPr>
        <w:t>op. cit.</w:t>
      </w:r>
      <w:r w:rsidRPr="00A3151B">
        <w:rPr>
          <w:rFonts w:ascii="Times New Roman" w:hAnsi="Times New Roman" w:cs="Times New Roman"/>
          <w:bCs/>
          <w:sz w:val="20"/>
          <w:szCs w:val="20"/>
          <w:lang w:val="en-GB"/>
        </w:rPr>
        <w:t xml:space="preserve"> note </w:t>
      </w:r>
      <w:r w:rsidR="00A9624B" w:rsidRPr="00A3151B">
        <w:rPr>
          <w:rFonts w:ascii="Times New Roman" w:hAnsi="Times New Roman" w:cs="Times New Roman"/>
          <w:bCs/>
          <w:sz w:val="20"/>
          <w:szCs w:val="20"/>
          <w:lang w:val="en-GB"/>
        </w:rPr>
        <w:t>3</w:t>
      </w:r>
      <w:r w:rsidRPr="00A3151B">
        <w:rPr>
          <w:rFonts w:ascii="Times New Roman" w:hAnsi="Times New Roman" w:cs="Times New Roman"/>
          <w:bCs/>
          <w:sz w:val="20"/>
          <w:szCs w:val="20"/>
          <w:lang w:val="en-GB"/>
        </w:rPr>
        <w:t>, 312.</w:t>
      </w:r>
    </w:p>
  </w:footnote>
  <w:footnote w:id="122">
    <w:p w14:paraId="78408998" w14:textId="1BA302A9" w:rsidR="009C0E8C" w:rsidRPr="00A3151B" w:rsidRDefault="009C0E8C">
      <w:pPr>
        <w:pStyle w:val="FootnoteText"/>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bCs/>
          <w:sz w:val="20"/>
          <w:szCs w:val="20"/>
          <w:lang w:val="en-GB"/>
        </w:rPr>
        <w:t>Clough (2014)</w:t>
      </w:r>
      <w:r w:rsidRPr="00A3151B">
        <w:rPr>
          <w:rFonts w:ascii="Times New Roman" w:hAnsi="Times New Roman" w:cs="Times New Roman"/>
          <w:bCs/>
          <w:i/>
          <w:iCs/>
          <w:sz w:val="20"/>
          <w:szCs w:val="20"/>
          <w:lang w:val="en-GB"/>
        </w:rPr>
        <w:t xml:space="preserve"> op. cit. </w:t>
      </w:r>
      <w:r w:rsidRPr="00A3151B">
        <w:rPr>
          <w:rFonts w:ascii="Times New Roman" w:hAnsi="Times New Roman" w:cs="Times New Roman"/>
          <w:bCs/>
          <w:sz w:val="20"/>
          <w:szCs w:val="20"/>
          <w:lang w:val="en-GB"/>
        </w:rPr>
        <w:t xml:space="preserve">note </w:t>
      </w:r>
      <w:r w:rsidR="00A9624B" w:rsidRPr="00A3151B">
        <w:rPr>
          <w:rFonts w:ascii="Times New Roman" w:hAnsi="Times New Roman" w:cs="Times New Roman"/>
          <w:bCs/>
          <w:sz w:val="20"/>
          <w:szCs w:val="20"/>
          <w:lang w:val="en-GB"/>
        </w:rPr>
        <w:t>3</w:t>
      </w:r>
      <w:r w:rsidRPr="00A3151B">
        <w:rPr>
          <w:rFonts w:ascii="Times New Roman" w:hAnsi="Times New Roman" w:cs="Times New Roman"/>
          <w:bCs/>
          <w:sz w:val="20"/>
          <w:szCs w:val="20"/>
          <w:lang w:val="en-GB"/>
        </w:rPr>
        <w:t>, 382-3.</w:t>
      </w:r>
    </w:p>
  </w:footnote>
  <w:footnote w:id="123">
    <w:p w14:paraId="4C236CBD" w14:textId="124431F0" w:rsidR="009C0E8C" w:rsidRPr="00A3151B" w:rsidRDefault="009C0E8C" w:rsidP="00E64125">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proofErr w:type="spellStart"/>
      <w:r w:rsidRPr="00A3151B">
        <w:rPr>
          <w:rFonts w:ascii="Times New Roman" w:hAnsi="Times New Roman" w:cs="Times New Roman"/>
          <w:bCs/>
          <w:sz w:val="20"/>
          <w:szCs w:val="20"/>
          <w:lang w:val="en-GB"/>
        </w:rPr>
        <w:t>Westlund</w:t>
      </w:r>
      <w:proofErr w:type="spellEnd"/>
      <w:r w:rsidRPr="00A3151B">
        <w:rPr>
          <w:rFonts w:ascii="Times New Roman" w:hAnsi="Times New Roman" w:cs="Times New Roman"/>
          <w:bCs/>
          <w:sz w:val="20"/>
          <w:szCs w:val="20"/>
          <w:lang w:val="en-GB"/>
        </w:rPr>
        <w:t xml:space="preserve"> (2009) </w:t>
      </w:r>
      <w:r w:rsidRPr="00A3151B">
        <w:rPr>
          <w:rFonts w:ascii="Times New Roman" w:hAnsi="Times New Roman" w:cs="Times New Roman"/>
          <w:bCs/>
          <w:i/>
          <w:sz w:val="20"/>
          <w:szCs w:val="20"/>
          <w:lang w:val="en-GB"/>
        </w:rPr>
        <w:t>op. cit.</w:t>
      </w:r>
      <w:r w:rsidRPr="00A3151B">
        <w:rPr>
          <w:rFonts w:ascii="Times New Roman" w:hAnsi="Times New Roman" w:cs="Times New Roman"/>
          <w:bCs/>
          <w:sz w:val="20"/>
          <w:szCs w:val="20"/>
          <w:lang w:val="en-GB"/>
        </w:rPr>
        <w:t xml:space="preserve"> note </w:t>
      </w:r>
      <w:r w:rsidR="00B54FCB" w:rsidRPr="00A3151B">
        <w:rPr>
          <w:rFonts w:ascii="Times New Roman" w:hAnsi="Times New Roman" w:cs="Times New Roman"/>
          <w:bCs/>
          <w:sz w:val="20"/>
          <w:szCs w:val="20"/>
          <w:lang w:val="en-GB"/>
        </w:rPr>
        <w:t>71</w:t>
      </w:r>
      <w:r w:rsidRPr="00A3151B">
        <w:rPr>
          <w:rFonts w:ascii="Times New Roman" w:hAnsi="Times New Roman" w:cs="Times New Roman"/>
          <w:bCs/>
          <w:sz w:val="20"/>
          <w:szCs w:val="20"/>
          <w:lang w:val="en-GB"/>
        </w:rPr>
        <w:t>.</w:t>
      </w:r>
    </w:p>
  </w:footnote>
  <w:footnote w:id="124">
    <w:p w14:paraId="5FE01B02" w14:textId="441FCB3D" w:rsidR="009C0E8C" w:rsidRPr="00A3151B" w:rsidRDefault="009C0E8C">
      <w:pPr>
        <w:pStyle w:val="FootnoteText"/>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sz w:val="20"/>
          <w:szCs w:val="20"/>
          <w:lang w:val="en-GB"/>
        </w:rPr>
        <w:t xml:space="preserve">Lewis op. cit. note </w:t>
      </w:r>
      <w:r w:rsidR="00A9624B" w:rsidRPr="00A3151B">
        <w:rPr>
          <w:rFonts w:ascii="Times New Roman" w:hAnsi="Times New Roman" w:cs="Times New Roman"/>
          <w:sz w:val="20"/>
          <w:szCs w:val="20"/>
          <w:lang w:val="en-GB"/>
        </w:rPr>
        <w:t>6</w:t>
      </w:r>
      <w:r w:rsidRPr="00A3151B">
        <w:rPr>
          <w:rFonts w:ascii="Times New Roman" w:hAnsi="Times New Roman" w:cs="Times New Roman"/>
          <w:sz w:val="20"/>
          <w:szCs w:val="20"/>
          <w:lang w:val="en-GB"/>
        </w:rPr>
        <w:t xml:space="preserve">. </w:t>
      </w:r>
    </w:p>
  </w:footnote>
  <w:footnote w:id="125">
    <w:p w14:paraId="4690E661" w14:textId="1855E068" w:rsidR="009C0E8C" w:rsidRPr="00E64125" w:rsidRDefault="009C0E8C" w:rsidP="00E64125">
      <w:pPr>
        <w:pStyle w:val="FootnoteText"/>
        <w:jc w:val="both"/>
        <w:rPr>
          <w:rFonts w:ascii="Times New Roman" w:hAnsi="Times New Roman" w:cs="Times New Roman"/>
          <w:sz w:val="20"/>
          <w:szCs w:val="20"/>
          <w:lang w:val="en-GB"/>
        </w:rPr>
      </w:pPr>
      <w:r w:rsidRPr="00A3151B">
        <w:rPr>
          <w:rStyle w:val="FootnoteReference"/>
          <w:rFonts w:ascii="Times New Roman" w:hAnsi="Times New Roman" w:cs="Times New Roman"/>
          <w:sz w:val="20"/>
          <w:szCs w:val="20"/>
        </w:rPr>
        <w:footnoteRef/>
      </w:r>
      <w:r w:rsidRPr="00A3151B">
        <w:rPr>
          <w:rFonts w:ascii="Times New Roman" w:hAnsi="Times New Roman" w:cs="Times New Roman"/>
          <w:sz w:val="20"/>
          <w:szCs w:val="20"/>
        </w:rPr>
        <w:t xml:space="preserve"> </w:t>
      </w:r>
      <w:r w:rsidRPr="00A3151B">
        <w:rPr>
          <w:rFonts w:ascii="Times New Roman" w:hAnsi="Times New Roman" w:cs="Times New Roman"/>
          <w:sz w:val="20"/>
          <w:szCs w:val="20"/>
          <w:lang w:val="en-GB"/>
        </w:rPr>
        <w:t xml:space="preserve">Pugh </w:t>
      </w:r>
      <w:r w:rsidRPr="00A3151B">
        <w:rPr>
          <w:rFonts w:ascii="Times New Roman" w:hAnsi="Times New Roman" w:cs="Times New Roman"/>
          <w:i/>
          <w:sz w:val="20"/>
          <w:szCs w:val="20"/>
          <w:lang w:val="en-GB"/>
        </w:rPr>
        <w:t>op. cit.</w:t>
      </w:r>
      <w:r w:rsidRPr="00A3151B">
        <w:rPr>
          <w:rFonts w:ascii="Times New Roman" w:hAnsi="Times New Roman" w:cs="Times New Roman"/>
          <w:sz w:val="20"/>
          <w:szCs w:val="20"/>
          <w:lang w:val="en-GB"/>
        </w:rPr>
        <w:t xml:space="preserve"> note 5</w:t>
      </w:r>
      <w:r w:rsidR="006F6984" w:rsidRPr="00A3151B">
        <w:rPr>
          <w:rFonts w:ascii="Times New Roman" w:hAnsi="Times New Roman" w:cs="Times New Roman"/>
          <w:sz w:val="20"/>
          <w:szCs w:val="20"/>
          <w:lang w:val="en-GB"/>
        </w:rPr>
        <w:t>2</w:t>
      </w:r>
      <w:r w:rsidRPr="00A3151B">
        <w:rPr>
          <w:rFonts w:ascii="Times New Roman" w:hAnsi="Times New Roman" w:cs="Times New Roman"/>
          <w:sz w:val="20"/>
          <w:szCs w:val="20"/>
          <w:lang w:val="en-GB"/>
        </w:rPr>
        <w:t>, 686.</w:t>
      </w:r>
      <w:r w:rsidRPr="00E64125">
        <w:rPr>
          <w:rFonts w:ascii="Times New Roman" w:hAnsi="Times New Roman" w:cs="Times New Roman"/>
          <w:sz w:val="20"/>
          <w:szCs w:val="20"/>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D35F87"/>
    <w:multiLevelType w:val="hybridMultilevel"/>
    <w:tmpl w:val="7D048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22D7E"/>
    <w:multiLevelType w:val="hybridMultilevel"/>
    <w:tmpl w:val="32BCE81A"/>
    <w:lvl w:ilvl="0" w:tplc="85BAD9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D61B2"/>
    <w:multiLevelType w:val="hybridMultilevel"/>
    <w:tmpl w:val="7D048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209C7"/>
    <w:multiLevelType w:val="multilevel"/>
    <w:tmpl w:val="999ED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9616A6"/>
    <w:multiLevelType w:val="multilevel"/>
    <w:tmpl w:val="999ED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A70CBA"/>
    <w:multiLevelType w:val="hybridMultilevel"/>
    <w:tmpl w:val="9E883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64E88"/>
    <w:multiLevelType w:val="hybridMultilevel"/>
    <w:tmpl w:val="3B8E286C"/>
    <w:lvl w:ilvl="0" w:tplc="4BB4AE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21A81"/>
    <w:multiLevelType w:val="hybridMultilevel"/>
    <w:tmpl w:val="7D048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95054"/>
    <w:multiLevelType w:val="hybridMultilevel"/>
    <w:tmpl w:val="2C32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32D31"/>
    <w:multiLevelType w:val="hybridMultilevel"/>
    <w:tmpl w:val="C29A19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491EE9"/>
    <w:multiLevelType w:val="multilevel"/>
    <w:tmpl w:val="1444E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5B514C"/>
    <w:multiLevelType w:val="multilevel"/>
    <w:tmpl w:val="1444E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9E5BD8"/>
    <w:multiLevelType w:val="hybridMultilevel"/>
    <w:tmpl w:val="763A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D86B5C"/>
    <w:multiLevelType w:val="hybridMultilevel"/>
    <w:tmpl w:val="A47A72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B04AFF"/>
    <w:multiLevelType w:val="hybridMultilevel"/>
    <w:tmpl w:val="C3DECB26"/>
    <w:lvl w:ilvl="0" w:tplc="741230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C31B1B"/>
    <w:multiLevelType w:val="hybridMultilevel"/>
    <w:tmpl w:val="1BB428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87067"/>
    <w:multiLevelType w:val="hybridMultilevel"/>
    <w:tmpl w:val="A70E2C44"/>
    <w:lvl w:ilvl="0" w:tplc="045A2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502214"/>
    <w:multiLevelType w:val="hybridMultilevel"/>
    <w:tmpl w:val="7B9A45C4"/>
    <w:lvl w:ilvl="0" w:tplc="953E1B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770557"/>
    <w:multiLevelType w:val="hybridMultilevel"/>
    <w:tmpl w:val="FAEC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3"/>
  </w:num>
  <w:num w:numId="4">
    <w:abstractNumId w:val="9"/>
  </w:num>
  <w:num w:numId="5">
    <w:abstractNumId w:val="13"/>
  </w:num>
  <w:num w:numId="6">
    <w:abstractNumId w:val="6"/>
  </w:num>
  <w:num w:numId="7">
    <w:abstractNumId w:val="10"/>
  </w:num>
  <w:num w:numId="8">
    <w:abstractNumId w:val="19"/>
  </w:num>
  <w:num w:numId="9">
    <w:abstractNumId w:val="4"/>
    <w:lvlOverride w:ilvl="0">
      <w:startOverride w:val="10"/>
    </w:lvlOverride>
  </w:num>
  <w:num w:numId="10">
    <w:abstractNumId w:val="4"/>
    <w:lvlOverride w:ilvl="0">
      <w:startOverride w:val="11"/>
    </w:lvlOverride>
  </w:num>
  <w:num w:numId="11">
    <w:abstractNumId w:val="5"/>
  </w:num>
  <w:num w:numId="12">
    <w:abstractNumId w:val="1"/>
  </w:num>
  <w:num w:numId="13">
    <w:abstractNumId w:val="8"/>
  </w:num>
  <w:num w:numId="14">
    <w:abstractNumId w:val="15"/>
  </w:num>
  <w:num w:numId="15">
    <w:abstractNumId w:val="2"/>
  </w:num>
  <w:num w:numId="16">
    <w:abstractNumId w:val="18"/>
  </w:num>
  <w:num w:numId="17">
    <w:abstractNumId w:val="7"/>
  </w:num>
  <w:num w:numId="18">
    <w:abstractNumId w:val="17"/>
  </w:num>
  <w:num w:numId="19">
    <w:abstractNumId w:val="16"/>
  </w:num>
  <w:num w:numId="20">
    <w:abstractNumId w:val="12"/>
    <w:lvlOverride w:ilvl="0">
      <w:startOverride w:val="68"/>
    </w:lvlOverride>
  </w:num>
  <w:num w:numId="21">
    <w:abstractNumId w:val="12"/>
    <w:lvlOverride w:ilvl="0">
      <w:startOverride w:val="69"/>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61C"/>
    <w:rsid w:val="0000008B"/>
    <w:rsid w:val="000000EB"/>
    <w:rsid w:val="00000899"/>
    <w:rsid w:val="00000EEB"/>
    <w:rsid w:val="00002ADD"/>
    <w:rsid w:val="0000342F"/>
    <w:rsid w:val="00006115"/>
    <w:rsid w:val="00007EBA"/>
    <w:rsid w:val="00011B31"/>
    <w:rsid w:val="000122B2"/>
    <w:rsid w:val="00013058"/>
    <w:rsid w:val="00014C88"/>
    <w:rsid w:val="00014F2C"/>
    <w:rsid w:val="00020454"/>
    <w:rsid w:val="000209E7"/>
    <w:rsid w:val="00020BF7"/>
    <w:rsid w:val="00021BF0"/>
    <w:rsid w:val="00023812"/>
    <w:rsid w:val="00025A34"/>
    <w:rsid w:val="00025D7E"/>
    <w:rsid w:val="000265F1"/>
    <w:rsid w:val="00030050"/>
    <w:rsid w:val="00030816"/>
    <w:rsid w:val="00032312"/>
    <w:rsid w:val="0003493C"/>
    <w:rsid w:val="0003625C"/>
    <w:rsid w:val="00036AC3"/>
    <w:rsid w:val="000402FE"/>
    <w:rsid w:val="00040DC8"/>
    <w:rsid w:val="0004221C"/>
    <w:rsid w:val="000438E0"/>
    <w:rsid w:val="00044CA8"/>
    <w:rsid w:val="00045416"/>
    <w:rsid w:val="00046524"/>
    <w:rsid w:val="0005025B"/>
    <w:rsid w:val="0005099B"/>
    <w:rsid w:val="00051F2C"/>
    <w:rsid w:val="000525F7"/>
    <w:rsid w:val="00052728"/>
    <w:rsid w:val="0005287A"/>
    <w:rsid w:val="0005302E"/>
    <w:rsid w:val="00053242"/>
    <w:rsid w:val="00055A7E"/>
    <w:rsid w:val="00055A8E"/>
    <w:rsid w:val="0005626C"/>
    <w:rsid w:val="00056281"/>
    <w:rsid w:val="000566C2"/>
    <w:rsid w:val="0005711A"/>
    <w:rsid w:val="000572B8"/>
    <w:rsid w:val="00057A8A"/>
    <w:rsid w:val="000627D1"/>
    <w:rsid w:val="00062AEB"/>
    <w:rsid w:val="00065599"/>
    <w:rsid w:val="0006601B"/>
    <w:rsid w:val="00067768"/>
    <w:rsid w:val="00067861"/>
    <w:rsid w:val="0007032A"/>
    <w:rsid w:val="00071050"/>
    <w:rsid w:val="0007198E"/>
    <w:rsid w:val="00071B13"/>
    <w:rsid w:val="0007391E"/>
    <w:rsid w:val="000747CB"/>
    <w:rsid w:val="000751F3"/>
    <w:rsid w:val="00075414"/>
    <w:rsid w:val="00075FF2"/>
    <w:rsid w:val="00076622"/>
    <w:rsid w:val="00076998"/>
    <w:rsid w:val="0008135D"/>
    <w:rsid w:val="000819FA"/>
    <w:rsid w:val="00081ABB"/>
    <w:rsid w:val="00082C12"/>
    <w:rsid w:val="00083200"/>
    <w:rsid w:val="000833D1"/>
    <w:rsid w:val="000855F0"/>
    <w:rsid w:val="00086B33"/>
    <w:rsid w:val="0008781C"/>
    <w:rsid w:val="000879D2"/>
    <w:rsid w:val="00087AA2"/>
    <w:rsid w:val="00087BAB"/>
    <w:rsid w:val="00091E28"/>
    <w:rsid w:val="00093F8C"/>
    <w:rsid w:val="0009501E"/>
    <w:rsid w:val="00096096"/>
    <w:rsid w:val="00097C7C"/>
    <w:rsid w:val="000A1E89"/>
    <w:rsid w:val="000A46D3"/>
    <w:rsid w:val="000A570D"/>
    <w:rsid w:val="000A7464"/>
    <w:rsid w:val="000A76E9"/>
    <w:rsid w:val="000B094C"/>
    <w:rsid w:val="000B18B9"/>
    <w:rsid w:val="000B1F95"/>
    <w:rsid w:val="000B2618"/>
    <w:rsid w:val="000B3F18"/>
    <w:rsid w:val="000B4A08"/>
    <w:rsid w:val="000B6390"/>
    <w:rsid w:val="000C0A81"/>
    <w:rsid w:val="000C3266"/>
    <w:rsid w:val="000C4E90"/>
    <w:rsid w:val="000C65B3"/>
    <w:rsid w:val="000D0257"/>
    <w:rsid w:val="000D0D9A"/>
    <w:rsid w:val="000D2233"/>
    <w:rsid w:val="000D2BF3"/>
    <w:rsid w:val="000D3BE1"/>
    <w:rsid w:val="000D7D1C"/>
    <w:rsid w:val="000E0892"/>
    <w:rsid w:val="000E11FB"/>
    <w:rsid w:val="000E2569"/>
    <w:rsid w:val="000E3842"/>
    <w:rsid w:val="000E3A36"/>
    <w:rsid w:val="000E42A6"/>
    <w:rsid w:val="000E4915"/>
    <w:rsid w:val="000E5291"/>
    <w:rsid w:val="000E71B5"/>
    <w:rsid w:val="000E74CC"/>
    <w:rsid w:val="000E74DF"/>
    <w:rsid w:val="000F07AF"/>
    <w:rsid w:val="000F09C0"/>
    <w:rsid w:val="000F1438"/>
    <w:rsid w:val="000F16A5"/>
    <w:rsid w:val="000F20FB"/>
    <w:rsid w:val="000F5451"/>
    <w:rsid w:val="000F5D89"/>
    <w:rsid w:val="00102D03"/>
    <w:rsid w:val="00104DF4"/>
    <w:rsid w:val="0010559B"/>
    <w:rsid w:val="0010764F"/>
    <w:rsid w:val="001105AF"/>
    <w:rsid w:val="0011136F"/>
    <w:rsid w:val="00111EB2"/>
    <w:rsid w:val="00112DFE"/>
    <w:rsid w:val="001133A2"/>
    <w:rsid w:val="00115C3E"/>
    <w:rsid w:val="0011629D"/>
    <w:rsid w:val="001173FA"/>
    <w:rsid w:val="001204D3"/>
    <w:rsid w:val="0012234E"/>
    <w:rsid w:val="00126306"/>
    <w:rsid w:val="001270B1"/>
    <w:rsid w:val="0013367D"/>
    <w:rsid w:val="00133EAF"/>
    <w:rsid w:val="00135C45"/>
    <w:rsid w:val="00136232"/>
    <w:rsid w:val="00136488"/>
    <w:rsid w:val="001372A9"/>
    <w:rsid w:val="00140C97"/>
    <w:rsid w:val="001416B6"/>
    <w:rsid w:val="00141977"/>
    <w:rsid w:val="00141CBA"/>
    <w:rsid w:val="00141D05"/>
    <w:rsid w:val="001420DC"/>
    <w:rsid w:val="00142B92"/>
    <w:rsid w:val="001439E1"/>
    <w:rsid w:val="00143EFC"/>
    <w:rsid w:val="001458C8"/>
    <w:rsid w:val="00145E52"/>
    <w:rsid w:val="00146DD1"/>
    <w:rsid w:val="00147592"/>
    <w:rsid w:val="00150CA4"/>
    <w:rsid w:val="00150E87"/>
    <w:rsid w:val="00151755"/>
    <w:rsid w:val="00151C43"/>
    <w:rsid w:val="00153205"/>
    <w:rsid w:val="00153EE1"/>
    <w:rsid w:val="001545BF"/>
    <w:rsid w:val="001546C7"/>
    <w:rsid w:val="00154F12"/>
    <w:rsid w:val="00156C29"/>
    <w:rsid w:val="00156DA9"/>
    <w:rsid w:val="001579BD"/>
    <w:rsid w:val="001613DD"/>
    <w:rsid w:val="0016141E"/>
    <w:rsid w:val="00161A91"/>
    <w:rsid w:val="00163B86"/>
    <w:rsid w:val="001673EF"/>
    <w:rsid w:val="0016752F"/>
    <w:rsid w:val="001707E1"/>
    <w:rsid w:val="0017101C"/>
    <w:rsid w:val="001711B0"/>
    <w:rsid w:val="00174CEA"/>
    <w:rsid w:val="00175703"/>
    <w:rsid w:val="001763F8"/>
    <w:rsid w:val="00181943"/>
    <w:rsid w:val="00182C2E"/>
    <w:rsid w:val="00183643"/>
    <w:rsid w:val="00183695"/>
    <w:rsid w:val="0018491F"/>
    <w:rsid w:val="0018501C"/>
    <w:rsid w:val="001851E8"/>
    <w:rsid w:val="00187B37"/>
    <w:rsid w:val="0019090A"/>
    <w:rsid w:val="00191CFA"/>
    <w:rsid w:val="00191DDA"/>
    <w:rsid w:val="00193022"/>
    <w:rsid w:val="00193981"/>
    <w:rsid w:val="00195D86"/>
    <w:rsid w:val="00196161"/>
    <w:rsid w:val="00196373"/>
    <w:rsid w:val="00197ED6"/>
    <w:rsid w:val="001A01C3"/>
    <w:rsid w:val="001A1019"/>
    <w:rsid w:val="001A3093"/>
    <w:rsid w:val="001A43F0"/>
    <w:rsid w:val="001A623E"/>
    <w:rsid w:val="001A6CFD"/>
    <w:rsid w:val="001A7575"/>
    <w:rsid w:val="001B211A"/>
    <w:rsid w:val="001B21C4"/>
    <w:rsid w:val="001B2587"/>
    <w:rsid w:val="001B28CB"/>
    <w:rsid w:val="001B2DB6"/>
    <w:rsid w:val="001B49C6"/>
    <w:rsid w:val="001B796F"/>
    <w:rsid w:val="001B7C3C"/>
    <w:rsid w:val="001C03A3"/>
    <w:rsid w:val="001C1075"/>
    <w:rsid w:val="001C48FE"/>
    <w:rsid w:val="001D2B0A"/>
    <w:rsid w:val="001D3171"/>
    <w:rsid w:val="001D3E6F"/>
    <w:rsid w:val="001D4A0F"/>
    <w:rsid w:val="001D4B0C"/>
    <w:rsid w:val="001D5C32"/>
    <w:rsid w:val="001D6196"/>
    <w:rsid w:val="001D65D2"/>
    <w:rsid w:val="001D7523"/>
    <w:rsid w:val="001E0C44"/>
    <w:rsid w:val="001E1047"/>
    <w:rsid w:val="001E1444"/>
    <w:rsid w:val="001E3AA1"/>
    <w:rsid w:val="001E6859"/>
    <w:rsid w:val="001E6C12"/>
    <w:rsid w:val="001F075C"/>
    <w:rsid w:val="001F17B7"/>
    <w:rsid w:val="001F2378"/>
    <w:rsid w:val="001F3C9E"/>
    <w:rsid w:val="001F42E0"/>
    <w:rsid w:val="001F5516"/>
    <w:rsid w:val="002006EE"/>
    <w:rsid w:val="00202205"/>
    <w:rsid w:val="00202D75"/>
    <w:rsid w:val="00204D41"/>
    <w:rsid w:val="0020586C"/>
    <w:rsid w:val="0021177C"/>
    <w:rsid w:val="0021264F"/>
    <w:rsid w:val="0021399D"/>
    <w:rsid w:val="00217FFD"/>
    <w:rsid w:val="00220202"/>
    <w:rsid w:val="00221BAF"/>
    <w:rsid w:val="0022461C"/>
    <w:rsid w:val="00224B02"/>
    <w:rsid w:val="002256C4"/>
    <w:rsid w:val="00227984"/>
    <w:rsid w:val="002313F7"/>
    <w:rsid w:val="002367F6"/>
    <w:rsid w:val="00236D3C"/>
    <w:rsid w:val="00237D62"/>
    <w:rsid w:val="00241139"/>
    <w:rsid w:val="00241502"/>
    <w:rsid w:val="0024159A"/>
    <w:rsid w:val="00241E55"/>
    <w:rsid w:val="00243E4D"/>
    <w:rsid w:val="002459AF"/>
    <w:rsid w:val="002504AB"/>
    <w:rsid w:val="002504C8"/>
    <w:rsid w:val="00250AAF"/>
    <w:rsid w:val="00250F7B"/>
    <w:rsid w:val="00251A1C"/>
    <w:rsid w:val="00253580"/>
    <w:rsid w:val="00253A08"/>
    <w:rsid w:val="002547DA"/>
    <w:rsid w:val="0025504A"/>
    <w:rsid w:val="00261CD1"/>
    <w:rsid w:val="00262F74"/>
    <w:rsid w:val="00263352"/>
    <w:rsid w:val="0026424E"/>
    <w:rsid w:val="002644C7"/>
    <w:rsid w:val="00265D05"/>
    <w:rsid w:val="002667FE"/>
    <w:rsid w:val="00266C2D"/>
    <w:rsid w:val="00266FBC"/>
    <w:rsid w:val="0027018F"/>
    <w:rsid w:val="00270525"/>
    <w:rsid w:val="00270880"/>
    <w:rsid w:val="00270A9B"/>
    <w:rsid w:val="002719D5"/>
    <w:rsid w:val="00271A7C"/>
    <w:rsid w:val="00271A8B"/>
    <w:rsid w:val="0027260E"/>
    <w:rsid w:val="002734C9"/>
    <w:rsid w:val="00273D04"/>
    <w:rsid w:val="00274281"/>
    <w:rsid w:val="0027475E"/>
    <w:rsid w:val="00276880"/>
    <w:rsid w:val="00276D98"/>
    <w:rsid w:val="00277325"/>
    <w:rsid w:val="00277D75"/>
    <w:rsid w:val="00280775"/>
    <w:rsid w:val="00280F1D"/>
    <w:rsid w:val="00281C8D"/>
    <w:rsid w:val="00281E03"/>
    <w:rsid w:val="0028234E"/>
    <w:rsid w:val="00283943"/>
    <w:rsid w:val="00283BFC"/>
    <w:rsid w:val="00286108"/>
    <w:rsid w:val="002913B8"/>
    <w:rsid w:val="00292172"/>
    <w:rsid w:val="0029386C"/>
    <w:rsid w:val="00294E63"/>
    <w:rsid w:val="00295A9B"/>
    <w:rsid w:val="002961F9"/>
    <w:rsid w:val="0029626D"/>
    <w:rsid w:val="00296713"/>
    <w:rsid w:val="002A0B76"/>
    <w:rsid w:val="002A1146"/>
    <w:rsid w:val="002A1737"/>
    <w:rsid w:val="002A36D1"/>
    <w:rsid w:val="002A4DD5"/>
    <w:rsid w:val="002A53CC"/>
    <w:rsid w:val="002A732B"/>
    <w:rsid w:val="002A76F9"/>
    <w:rsid w:val="002B0183"/>
    <w:rsid w:val="002B098A"/>
    <w:rsid w:val="002B1805"/>
    <w:rsid w:val="002B246F"/>
    <w:rsid w:val="002B2B9A"/>
    <w:rsid w:val="002B3DA4"/>
    <w:rsid w:val="002B3E38"/>
    <w:rsid w:val="002B49F6"/>
    <w:rsid w:val="002B7D9A"/>
    <w:rsid w:val="002C06CD"/>
    <w:rsid w:val="002C0ECF"/>
    <w:rsid w:val="002C60B4"/>
    <w:rsid w:val="002C78C4"/>
    <w:rsid w:val="002C7F25"/>
    <w:rsid w:val="002D6C76"/>
    <w:rsid w:val="002D7363"/>
    <w:rsid w:val="002E0A83"/>
    <w:rsid w:val="002E222E"/>
    <w:rsid w:val="002E2DE8"/>
    <w:rsid w:val="002E388E"/>
    <w:rsid w:val="002E3DCB"/>
    <w:rsid w:val="002E4F80"/>
    <w:rsid w:val="002E6245"/>
    <w:rsid w:val="002F00E5"/>
    <w:rsid w:val="002F0296"/>
    <w:rsid w:val="002F0E25"/>
    <w:rsid w:val="002F0EF9"/>
    <w:rsid w:val="002F1185"/>
    <w:rsid w:val="002F1329"/>
    <w:rsid w:val="002F1E13"/>
    <w:rsid w:val="002F2337"/>
    <w:rsid w:val="002F2ACB"/>
    <w:rsid w:val="002F3763"/>
    <w:rsid w:val="002F4B00"/>
    <w:rsid w:val="002F5038"/>
    <w:rsid w:val="002F5AD7"/>
    <w:rsid w:val="002F5C0A"/>
    <w:rsid w:val="002F66DE"/>
    <w:rsid w:val="002F7580"/>
    <w:rsid w:val="00300A3A"/>
    <w:rsid w:val="00301240"/>
    <w:rsid w:val="0030149A"/>
    <w:rsid w:val="00301DCC"/>
    <w:rsid w:val="003029E4"/>
    <w:rsid w:val="003033C5"/>
    <w:rsid w:val="00304284"/>
    <w:rsid w:val="00304ED6"/>
    <w:rsid w:val="00306015"/>
    <w:rsid w:val="003072C7"/>
    <w:rsid w:val="003076ED"/>
    <w:rsid w:val="00310B1E"/>
    <w:rsid w:val="00310BF8"/>
    <w:rsid w:val="003119A3"/>
    <w:rsid w:val="00313809"/>
    <w:rsid w:val="00314091"/>
    <w:rsid w:val="00314890"/>
    <w:rsid w:val="00314F3D"/>
    <w:rsid w:val="0031647D"/>
    <w:rsid w:val="003214B0"/>
    <w:rsid w:val="00321830"/>
    <w:rsid w:val="0032191B"/>
    <w:rsid w:val="003220C0"/>
    <w:rsid w:val="00322194"/>
    <w:rsid w:val="00322CF0"/>
    <w:rsid w:val="00323542"/>
    <w:rsid w:val="0032369C"/>
    <w:rsid w:val="00323A9B"/>
    <w:rsid w:val="00323CA5"/>
    <w:rsid w:val="00325408"/>
    <w:rsid w:val="00326D9B"/>
    <w:rsid w:val="00327EFD"/>
    <w:rsid w:val="00331702"/>
    <w:rsid w:val="00332CED"/>
    <w:rsid w:val="0033329F"/>
    <w:rsid w:val="00333698"/>
    <w:rsid w:val="00334596"/>
    <w:rsid w:val="003345E8"/>
    <w:rsid w:val="00340161"/>
    <w:rsid w:val="00340C4E"/>
    <w:rsid w:val="00342C64"/>
    <w:rsid w:val="0034362C"/>
    <w:rsid w:val="003440DE"/>
    <w:rsid w:val="00344BEC"/>
    <w:rsid w:val="0034574A"/>
    <w:rsid w:val="00345D29"/>
    <w:rsid w:val="00346356"/>
    <w:rsid w:val="00346D3C"/>
    <w:rsid w:val="003474AD"/>
    <w:rsid w:val="00350C67"/>
    <w:rsid w:val="003519D3"/>
    <w:rsid w:val="00353BD6"/>
    <w:rsid w:val="00353ED1"/>
    <w:rsid w:val="0035437A"/>
    <w:rsid w:val="0035749E"/>
    <w:rsid w:val="0035791C"/>
    <w:rsid w:val="003614B0"/>
    <w:rsid w:val="003649BC"/>
    <w:rsid w:val="003661D4"/>
    <w:rsid w:val="00366E34"/>
    <w:rsid w:val="00367FEE"/>
    <w:rsid w:val="003716AB"/>
    <w:rsid w:val="003721AD"/>
    <w:rsid w:val="00372A41"/>
    <w:rsid w:val="00372E27"/>
    <w:rsid w:val="00373148"/>
    <w:rsid w:val="00373C24"/>
    <w:rsid w:val="00375F5E"/>
    <w:rsid w:val="0037789D"/>
    <w:rsid w:val="0038256F"/>
    <w:rsid w:val="00382B88"/>
    <w:rsid w:val="00382BAB"/>
    <w:rsid w:val="003833A2"/>
    <w:rsid w:val="00383544"/>
    <w:rsid w:val="003854FD"/>
    <w:rsid w:val="00385BBF"/>
    <w:rsid w:val="00385C72"/>
    <w:rsid w:val="0038697D"/>
    <w:rsid w:val="00386D23"/>
    <w:rsid w:val="00390451"/>
    <w:rsid w:val="00390D8A"/>
    <w:rsid w:val="00391F14"/>
    <w:rsid w:val="003934F1"/>
    <w:rsid w:val="0039408D"/>
    <w:rsid w:val="00394BA4"/>
    <w:rsid w:val="00396A59"/>
    <w:rsid w:val="00396AB2"/>
    <w:rsid w:val="00396E07"/>
    <w:rsid w:val="00397793"/>
    <w:rsid w:val="003A076D"/>
    <w:rsid w:val="003A1B64"/>
    <w:rsid w:val="003A3749"/>
    <w:rsid w:val="003A37DA"/>
    <w:rsid w:val="003A410A"/>
    <w:rsid w:val="003A521B"/>
    <w:rsid w:val="003A5271"/>
    <w:rsid w:val="003A56BE"/>
    <w:rsid w:val="003B017F"/>
    <w:rsid w:val="003B06EC"/>
    <w:rsid w:val="003B0E45"/>
    <w:rsid w:val="003B1F9E"/>
    <w:rsid w:val="003B2281"/>
    <w:rsid w:val="003B2CE3"/>
    <w:rsid w:val="003B3290"/>
    <w:rsid w:val="003B3434"/>
    <w:rsid w:val="003B3CB4"/>
    <w:rsid w:val="003B66D6"/>
    <w:rsid w:val="003B6DD2"/>
    <w:rsid w:val="003C1E7F"/>
    <w:rsid w:val="003C5E18"/>
    <w:rsid w:val="003C6C96"/>
    <w:rsid w:val="003D00F5"/>
    <w:rsid w:val="003D02E7"/>
    <w:rsid w:val="003D1299"/>
    <w:rsid w:val="003D65AC"/>
    <w:rsid w:val="003D7114"/>
    <w:rsid w:val="003D72B2"/>
    <w:rsid w:val="003E02E8"/>
    <w:rsid w:val="003E0324"/>
    <w:rsid w:val="003E14CE"/>
    <w:rsid w:val="003E26CE"/>
    <w:rsid w:val="003E2864"/>
    <w:rsid w:val="003E2C3D"/>
    <w:rsid w:val="003E454E"/>
    <w:rsid w:val="003E6B32"/>
    <w:rsid w:val="003E6EA9"/>
    <w:rsid w:val="003F1205"/>
    <w:rsid w:val="003F2132"/>
    <w:rsid w:val="003F2A1E"/>
    <w:rsid w:val="003F30DC"/>
    <w:rsid w:val="003F4BF9"/>
    <w:rsid w:val="003F6149"/>
    <w:rsid w:val="003F6804"/>
    <w:rsid w:val="00403734"/>
    <w:rsid w:val="00403E44"/>
    <w:rsid w:val="0040420E"/>
    <w:rsid w:val="0040474A"/>
    <w:rsid w:val="00405893"/>
    <w:rsid w:val="00406B1C"/>
    <w:rsid w:val="004109F1"/>
    <w:rsid w:val="00413606"/>
    <w:rsid w:val="0041472C"/>
    <w:rsid w:val="00415354"/>
    <w:rsid w:val="004156AC"/>
    <w:rsid w:val="00416013"/>
    <w:rsid w:val="0041653C"/>
    <w:rsid w:val="00416574"/>
    <w:rsid w:val="00416D52"/>
    <w:rsid w:val="00417151"/>
    <w:rsid w:val="00420196"/>
    <w:rsid w:val="004209C9"/>
    <w:rsid w:val="004210D7"/>
    <w:rsid w:val="00421264"/>
    <w:rsid w:val="00421708"/>
    <w:rsid w:val="00422C63"/>
    <w:rsid w:val="004247D7"/>
    <w:rsid w:val="0042487F"/>
    <w:rsid w:val="00424D5D"/>
    <w:rsid w:val="00426854"/>
    <w:rsid w:val="0042757A"/>
    <w:rsid w:val="004309D1"/>
    <w:rsid w:val="00430DC6"/>
    <w:rsid w:val="00432EF6"/>
    <w:rsid w:val="00434676"/>
    <w:rsid w:val="00434C28"/>
    <w:rsid w:val="004362AA"/>
    <w:rsid w:val="0043701B"/>
    <w:rsid w:val="0044086D"/>
    <w:rsid w:val="00440C8E"/>
    <w:rsid w:val="0044157F"/>
    <w:rsid w:val="00442B8E"/>
    <w:rsid w:val="0044315C"/>
    <w:rsid w:val="00443B4B"/>
    <w:rsid w:val="00443EB3"/>
    <w:rsid w:val="00445B3B"/>
    <w:rsid w:val="00446336"/>
    <w:rsid w:val="00447735"/>
    <w:rsid w:val="0045043B"/>
    <w:rsid w:val="00453554"/>
    <w:rsid w:val="004536B9"/>
    <w:rsid w:val="00454329"/>
    <w:rsid w:val="0045457A"/>
    <w:rsid w:val="00456095"/>
    <w:rsid w:val="00457193"/>
    <w:rsid w:val="00460203"/>
    <w:rsid w:val="00460A64"/>
    <w:rsid w:val="00461BAA"/>
    <w:rsid w:val="00462937"/>
    <w:rsid w:val="004634C0"/>
    <w:rsid w:val="00465D08"/>
    <w:rsid w:val="00466385"/>
    <w:rsid w:val="00467076"/>
    <w:rsid w:val="00467AB2"/>
    <w:rsid w:val="00475CCC"/>
    <w:rsid w:val="00477696"/>
    <w:rsid w:val="00480849"/>
    <w:rsid w:val="0048350A"/>
    <w:rsid w:val="00484B3E"/>
    <w:rsid w:val="00485B46"/>
    <w:rsid w:val="00485B50"/>
    <w:rsid w:val="00487C7D"/>
    <w:rsid w:val="00490853"/>
    <w:rsid w:val="004925BC"/>
    <w:rsid w:val="004937C8"/>
    <w:rsid w:val="004940E7"/>
    <w:rsid w:val="0049583A"/>
    <w:rsid w:val="004A10A6"/>
    <w:rsid w:val="004A2D09"/>
    <w:rsid w:val="004A62B6"/>
    <w:rsid w:val="004B098D"/>
    <w:rsid w:val="004B0D0F"/>
    <w:rsid w:val="004B13B7"/>
    <w:rsid w:val="004B1EA3"/>
    <w:rsid w:val="004B26AE"/>
    <w:rsid w:val="004B4502"/>
    <w:rsid w:val="004B4550"/>
    <w:rsid w:val="004B48E2"/>
    <w:rsid w:val="004B5027"/>
    <w:rsid w:val="004B5C09"/>
    <w:rsid w:val="004B6E0D"/>
    <w:rsid w:val="004B7919"/>
    <w:rsid w:val="004B7B68"/>
    <w:rsid w:val="004C04B6"/>
    <w:rsid w:val="004C087E"/>
    <w:rsid w:val="004C2600"/>
    <w:rsid w:val="004C26DB"/>
    <w:rsid w:val="004C2B9A"/>
    <w:rsid w:val="004C517A"/>
    <w:rsid w:val="004C75A7"/>
    <w:rsid w:val="004D268A"/>
    <w:rsid w:val="004D2BD6"/>
    <w:rsid w:val="004D2DA3"/>
    <w:rsid w:val="004D3052"/>
    <w:rsid w:val="004D34C4"/>
    <w:rsid w:val="004D6C69"/>
    <w:rsid w:val="004D6F4B"/>
    <w:rsid w:val="004E3E2B"/>
    <w:rsid w:val="004E4233"/>
    <w:rsid w:val="004E4933"/>
    <w:rsid w:val="004E54E1"/>
    <w:rsid w:val="004E6B28"/>
    <w:rsid w:val="004E7D58"/>
    <w:rsid w:val="004E7DFE"/>
    <w:rsid w:val="004E7E10"/>
    <w:rsid w:val="004F0535"/>
    <w:rsid w:val="004F150C"/>
    <w:rsid w:val="004F6B21"/>
    <w:rsid w:val="00500C0A"/>
    <w:rsid w:val="00500C10"/>
    <w:rsid w:val="005011BF"/>
    <w:rsid w:val="00503D19"/>
    <w:rsid w:val="00504170"/>
    <w:rsid w:val="005044F7"/>
    <w:rsid w:val="00504BEE"/>
    <w:rsid w:val="00505592"/>
    <w:rsid w:val="005117F0"/>
    <w:rsid w:val="00512116"/>
    <w:rsid w:val="005125D6"/>
    <w:rsid w:val="00512D3A"/>
    <w:rsid w:val="00514B85"/>
    <w:rsid w:val="00514E9B"/>
    <w:rsid w:val="0051583D"/>
    <w:rsid w:val="0051721C"/>
    <w:rsid w:val="005178E2"/>
    <w:rsid w:val="00523E3D"/>
    <w:rsid w:val="00524ADF"/>
    <w:rsid w:val="00526AF2"/>
    <w:rsid w:val="00527A79"/>
    <w:rsid w:val="005300F7"/>
    <w:rsid w:val="00530754"/>
    <w:rsid w:val="00530CED"/>
    <w:rsid w:val="00530E79"/>
    <w:rsid w:val="00530E8C"/>
    <w:rsid w:val="00531813"/>
    <w:rsid w:val="00531BF7"/>
    <w:rsid w:val="00531E3D"/>
    <w:rsid w:val="00533640"/>
    <w:rsid w:val="00533B1C"/>
    <w:rsid w:val="00536387"/>
    <w:rsid w:val="0053658A"/>
    <w:rsid w:val="00536DFE"/>
    <w:rsid w:val="00537160"/>
    <w:rsid w:val="005377FD"/>
    <w:rsid w:val="005402B1"/>
    <w:rsid w:val="00541102"/>
    <w:rsid w:val="00541628"/>
    <w:rsid w:val="005434E8"/>
    <w:rsid w:val="00543F5D"/>
    <w:rsid w:val="00544092"/>
    <w:rsid w:val="00544729"/>
    <w:rsid w:val="005453BE"/>
    <w:rsid w:val="005462C7"/>
    <w:rsid w:val="00547552"/>
    <w:rsid w:val="0054783B"/>
    <w:rsid w:val="005503D8"/>
    <w:rsid w:val="00550E26"/>
    <w:rsid w:val="00551722"/>
    <w:rsid w:val="005517BE"/>
    <w:rsid w:val="00552E0E"/>
    <w:rsid w:val="005531AC"/>
    <w:rsid w:val="00554A57"/>
    <w:rsid w:val="00554F5D"/>
    <w:rsid w:val="0055799A"/>
    <w:rsid w:val="00557CB6"/>
    <w:rsid w:val="00561F18"/>
    <w:rsid w:val="005651E2"/>
    <w:rsid w:val="005660C6"/>
    <w:rsid w:val="0056644A"/>
    <w:rsid w:val="005667B1"/>
    <w:rsid w:val="00567E05"/>
    <w:rsid w:val="00567E1C"/>
    <w:rsid w:val="00570535"/>
    <w:rsid w:val="0057058B"/>
    <w:rsid w:val="00570E3E"/>
    <w:rsid w:val="00571F37"/>
    <w:rsid w:val="0057293C"/>
    <w:rsid w:val="00572D58"/>
    <w:rsid w:val="0057395E"/>
    <w:rsid w:val="00573F8B"/>
    <w:rsid w:val="005750D2"/>
    <w:rsid w:val="00575570"/>
    <w:rsid w:val="00576A31"/>
    <w:rsid w:val="005811EE"/>
    <w:rsid w:val="00581E72"/>
    <w:rsid w:val="005838A2"/>
    <w:rsid w:val="00584747"/>
    <w:rsid w:val="00585F1E"/>
    <w:rsid w:val="00587021"/>
    <w:rsid w:val="00587717"/>
    <w:rsid w:val="00591508"/>
    <w:rsid w:val="0059174A"/>
    <w:rsid w:val="0059306A"/>
    <w:rsid w:val="0059361D"/>
    <w:rsid w:val="00593B7B"/>
    <w:rsid w:val="005951AD"/>
    <w:rsid w:val="005960FD"/>
    <w:rsid w:val="005A03FB"/>
    <w:rsid w:val="005A1EBD"/>
    <w:rsid w:val="005A2235"/>
    <w:rsid w:val="005A29F0"/>
    <w:rsid w:val="005A37B6"/>
    <w:rsid w:val="005A5726"/>
    <w:rsid w:val="005A7373"/>
    <w:rsid w:val="005B14B5"/>
    <w:rsid w:val="005B280A"/>
    <w:rsid w:val="005B47E0"/>
    <w:rsid w:val="005B4AFB"/>
    <w:rsid w:val="005B53EF"/>
    <w:rsid w:val="005B7FB9"/>
    <w:rsid w:val="005C2104"/>
    <w:rsid w:val="005C2D66"/>
    <w:rsid w:val="005C3FE8"/>
    <w:rsid w:val="005C6B69"/>
    <w:rsid w:val="005D107A"/>
    <w:rsid w:val="005D1D7E"/>
    <w:rsid w:val="005D22EA"/>
    <w:rsid w:val="005D31A6"/>
    <w:rsid w:val="005D5052"/>
    <w:rsid w:val="005D760A"/>
    <w:rsid w:val="005D76C1"/>
    <w:rsid w:val="005D7FC9"/>
    <w:rsid w:val="005E0BD8"/>
    <w:rsid w:val="005E3187"/>
    <w:rsid w:val="005E42D5"/>
    <w:rsid w:val="005E4622"/>
    <w:rsid w:val="005E4BAA"/>
    <w:rsid w:val="005E5E99"/>
    <w:rsid w:val="005E6E2D"/>
    <w:rsid w:val="005E7A5D"/>
    <w:rsid w:val="005E7A8D"/>
    <w:rsid w:val="005F0C77"/>
    <w:rsid w:val="005F3547"/>
    <w:rsid w:val="005F37A8"/>
    <w:rsid w:val="005F5C9E"/>
    <w:rsid w:val="005F7DC6"/>
    <w:rsid w:val="0060044F"/>
    <w:rsid w:val="00600870"/>
    <w:rsid w:val="00601359"/>
    <w:rsid w:val="00602F41"/>
    <w:rsid w:val="00603D61"/>
    <w:rsid w:val="00605571"/>
    <w:rsid w:val="00605895"/>
    <w:rsid w:val="0060622D"/>
    <w:rsid w:val="00606646"/>
    <w:rsid w:val="00610AC4"/>
    <w:rsid w:val="0061143A"/>
    <w:rsid w:val="00611508"/>
    <w:rsid w:val="00611A3E"/>
    <w:rsid w:val="00612282"/>
    <w:rsid w:val="006122F2"/>
    <w:rsid w:val="00613CEB"/>
    <w:rsid w:val="006152C7"/>
    <w:rsid w:val="006173EB"/>
    <w:rsid w:val="00620EC8"/>
    <w:rsid w:val="006222FC"/>
    <w:rsid w:val="0062529A"/>
    <w:rsid w:val="00627449"/>
    <w:rsid w:val="0062761E"/>
    <w:rsid w:val="00630A70"/>
    <w:rsid w:val="00630AE5"/>
    <w:rsid w:val="00631800"/>
    <w:rsid w:val="00631F2F"/>
    <w:rsid w:val="00632737"/>
    <w:rsid w:val="00632E62"/>
    <w:rsid w:val="00634B88"/>
    <w:rsid w:val="00634FD1"/>
    <w:rsid w:val="00635FED"/>
    <w:rsid w:val="00640D14"/>
    <w:rsid w:val="006424EC"/>
    <w:rsid w:val="00644CAC"/>
    <w:rsid w:val="00647741"/>
    <w:rsid w:val="00650B5D"/>
    <w:rsid w:val="00652459"/>
    <w:rsid w:val="006551A1"/>
    <w:rsid w:val="006551EC"/>
    <w:rsid w:val="006559E5"/>
    <w:rsid w:val="00660162"/>
    <w:rsid w:val="00662FC5"/>
    <w:rsid w:val="0066365A"/>
    <w:rsid w:val="00664E48"/>
    <w:rsid w:val="00667BDE"/>
    <w:rsid w:val="00670AF1"/>
    <w:rsid w:val="00671B83"/>
    <w:rsid w:val="00672C63"/>
    <w:rsid w:val="00673286"/>
    <w:rsid w:val="006751A0"/>
    <w:rsid w:val="0067552C"/>
    <w:rsid w:val="0067615D"/>
    <w:rsid w:val="00677713"/>
    <w:rsid w:val="006805B5"/>
    <w:rsid w:val="006805F3"/>
    <w:rsid w:val="00680D16"/>
    <w:rsid w:val="0068172F"/>
    <w:rsid w:val="006835D5"/>
    <w:rsid w:val="00684B02"/>
    <w:rsid w:val="0068546D"/>
    <w:rsid w:val="006856C2"/>
    <w:rsid w:val="0068590E"/>
    <w:rsid w:val="00687E55"/>
    <w:rsid w:val="006913DA"/>
    <w:rsid w:val="0069150F"/>
    <w:rsid w:val="006935AE"/>
    <w:rsid w:val="00695D4B"/>
    <w:rsid w:val="00696676"/>
    <w:rsid w:val="006974CD"/>
    <w:rsid w:val="00697740"/>
    <w:rsid w:val="0069776A"/>
    <w:rsid w:val="006A1209"/>
    <w:rsid w:val="006A13EA"/>
    <w:rsid w:val="006A1C13"/>
    <w:rsid w:val="006A1EC8"/>
    <w:rsid w:val="006A3E76"/>
    <w:rsid w:val="006A42FA"/>
    <w:rsid w:val="006A450E"/>
    <w:rsid w:val="006A599D"/>
    <w:rsid w:val="006A6D47"/>
    <w:rsid w:val="006A77C0"/>
    <w:rsid w:val="006A7E38"/>
    <w:rsid w:val="006B125A"/>
    <w:rsid w:val="006B1B86"/>
    <w:rsid w:val="006B2193"/>
    <w:rsid w:val="006B3C5F"/>
    <w:rsid w:val="006B61E6"/>
    <w:rsid w:val="006B799D"/>
    <w:rsid w:val="006B7E2F"/>
    <w:rsid w:val="006C0B9A"/>
    <w:rsid w:val="006C16A8"/>
    <w:rsid w:val="006C2B16"/>
    <w:rsid w:val="006C3C38"/>
    <w:rsid w:val="006C482B"/>
    <w:rsid w:val="006C7BF6"/>
    <w:rsid w:val="006D1636"/>
    <w:rsid w:val="006D1A91"/>
    <w:rsid w:val="006D4CB4"/>
    <w:rsid w:val="006D68B8"/>
    <w:rsid w:val="006D7C62"/>
    <w:rsid w:val="006D7C8C"/>
    <w:rsid w:val="006D7F19"/>
    <w:rsid w:val="006E0AB1"/>
    <w:rsid w:val="006E0B32"/>
    <w:rsid w:val="006E1BEF"/>
    <w:rsid w:val="006E269F"/>
    <w:rsid w:val="006E38CF"/>
    <w:rsid w:val="006E489E"/>
    <w:rsid w:val="006E4B5A"/>
    <w:rsid w:val="006E52B6"/>
    <w:rsid w:val="006E612F"/>
    <w:rsid w:val="006E6782"/>
    <w:rsid w:val="006E69EA"/>
    <w:rsid w:val="006F169A"/>
    <w:rsid w:val="006F2C22"/>
    <w:rsid w:val="006F2EC0"/>
    <w:rsid w:val="006F347B"/>
    <w:rsid w:val="006F363A"/>
    <w:rsid w:val="006F5407"/>
    <w:rsid w:val="006F6241"/>
    <w:rsid w:val="006F6984"/>
    <w:rsid w:val="006F7143"/>
    <w:rsid w:val="006F7BB6"/>
    <w:rsid w:val="007005B9"/>
    <w:rsid w:val="00700ACE"/>
    <w:rsid w:val="007049B7"/>
    <w:rsid w:val="00704EE8"/>
    <w:rsid w:val="007057B2"/>
    <w:rsid w:val="00705BB1"/>
    <w:rsid w:val="00707EC8"/>
    <w:rsid w:val="007101E0"/>
    <w:rsid w:val="007116EB"/>
    <w:rsid w:val="00711AE1"/>
    <w:rsid w:val="0071263B"/>
    <w:rsid w:val="0071360C"/>
    <w:rsid w:val="00714432"/>
    <w:rsid w:val="00715351"/>
    <w:rsid w:val="00717EF2"/>
    <w:rsid w:val="00722D9C"/>
    <w:rsid w:val="00725094"/>
    <w:rsid w:val="0072551E"/>
    <w:rsid w:val="0072606C"/>
    <w:rsid w:val="00727520"/>
    <w:rsid w:val="00732DF7"/>
    <w:rsid w:val="007331B3"/>
    <w:rsid w:val="00733C9D"/>
    <w:rsid w:val="00734412"/>
    <w:rsid w:val="0073445F"/>
    <w:rsid w:val="0073460D"/>
    <w:rsid w:val="0073490A"/>
    <w:rsid w:val="00736A1E"/>
    <w:rsid w:val="00737237"/>
    <w:rsid w:val="007373D0"/>
    <w:rsid w:val="00740149"/>
    <w:rsid w:val="0074064F"/>
    <w:rsid w:val="00740D92"/>
    <w:rsid w:val="00742395"/>
    <w:rsid w:val="00744964"/>
    <w:rsid w:val="00745229"/>
    <w:rsid w:val="007463A3"/>
    <w:rsid w:val="00746C5C"/>
    <w:rsid w:val="007539E1"/>
    <w:rsid w:val="00753F03"/>
    <w:rsid w:val="007541D7"/>
    <w:rsid w:val="007549AD"/>
    <w:rsid w:val="00756020"/>
    <w:rsid w:val="00756249"/>
    <w:rsid w:val="00756CFA"/>
    <w:rsid w:val="0075795D"/>
    <w:rsid w:val="007607CC"/>
    <w:rsid w:val="00760AF6"/>
    <w:rsid w:val="007631CF"/>
    <w:rsid w:val="007661BD"/>
    <w:rsid w:val="00770171"/>
    <w:rsid w:val="0077142B"/>
    <w:rsid w:val="00773601"/>
    <w:rsid w:val="00773614"/>
    <w:rsid w:val="00775686"/>
    <w:rsid w:val="00775B1D"/>
    <w:rsid w:val="0077711D"/>
    <w:rsid w:val="00777341"/>
    <w:rsid w:val="007776A5"/>
    <w:rsid w:val="00780010"/>
    <w:rsid w:val="0078108D"/>
    <w:rsid w:val="00781182"/>
    <w:rsid w:val="0078260C"/>
    <w:rsid w:val="007831FC"/>
    <w:rsid w:val="007850D9"/>
    <w:rsid w:val="00785305"/>
    <w:rsid w:val="007905A8"/>
    <w:rsid w:val="00790797"/>
    <w:rsid w:val="0079094B"/>
    <w:rsid w:val="007911CF"/>
    <w:rsid w:val="00791274"/>
    <w:rsid w:val="0079171F"/>
    <w:rsid w:val="00791ACE"/>
    <w:rsid w:val="00791D50"/>
    <w:rsid w:val="00792E17"/>
    <w:rsid w:val="00794151"/>
    <w:rsid w:val="00794327"/>
    <w:rsid w:val="00794C91"/>
    <w:rsid w:val="00795411"/>
    <w:rsid w:val="00795737"/>
    <w:rsid w:val="007A06DE"/>
    <w:rsid w:val="007A0770"/>
    <w:rsid w:val="007A0AE0"/>
    <w:rsid w:val="007A19FF"/>
    <w:rsid w:val="007A1EA0"/>
    <w:rsid w:val="007A2B6C"/>
    <w:rsid w:val="007A31DD"/>
    <w:rsid w:val="007A35AA"/>
    <w:rsid w:val="007A4499"/>
    <w:rsid w:val="007A4600"/>
    <w:rsid w:val="007A6E0F"/>
    <w:rsid w:val="007A7001"/>
    <w:rsid w:val="007B09CF"/>
    <w:rsid w:val="007B0F2A"/>
    <w:rsid w:val="007B30F7"/>
    <w:rsid w:val="007B3296"/>
    <w:rsid w:val="007B4DAA"/>
    <w:rsid w:val="007B520D"/>
    <w:rsid w:val="007B5FD1"/>
    <w:rsid w:val="007B75CF"/>
    <w:rsid w:val="007B7A35"/>
    <w:rsid w:val="007C01BC"/>
    <w:rsid w:val="007C0C68"/>
    <w:rsid w:val="007C30BD"/>
    <w:rsid w:val="007C382C"/>
    <w:rsid w:val="007C3BE0"/>
    <w:rsid w:val="007C4498"/>
    <w:rsid w:val="007C48C3"/>
    <w:rsid w:val="007C6A83"/>
    <w:rsid w:val="007D072A"/>
    <w:rsid w:val="007D0901"/>
    <w:rsid w:val="007D15DD"/>
    <w:rsid w:val="007D2CB5"/>
    <w:rsid w:val="007D5350"/>
    <w:rsid w:val="007D5891"/>
    <w:rsid w:val="007E1513"/>
    <w:rsid w:val="007E20FB"/>
    <w:rsid w:val="007E2A34"/>
    <w:rsid w:val="007E3D67"/>
    <w:rsid w:val="007E3E5D"/>
    <w:rsid w:val="007E4EE1"/>
    <w:rsid w:val="007E50F5"/>
    <w:rsid w:val="007E5222"/>
    <w:rsid w:val="007E6827"/>
    <w:rsid w:val="007E7955"/>
    <w:rsid w:val="007E7AE9"/>
    <w:rsid w:val="007F0F24"/>
    <w:rsid w:val="007F29D9"/>
    <w:rsid w:val="007F3239"/>
    <w:rsid w:val="007F34EF"/>
    <w:rsid w:val="007F372A"/>
    <w:rsid w:val="007F539A"/>
    <w:rsid w:val="008056BB"/>
    <w:rsid w:val="008060E1"/>
    <w:rsid w:val="008066C9"/>
    <w:rsid w:val="00807D66"/>
    <w:rsid w:val="00811ADE"/>
    <w:rsid w:val="00811B13"/>
    <w:rsid w:val="00813686"/>
    <w:rsid w:val="008142D3"/>
    <w:rsid w:val="00814D53"/>
    <w:rsid w:val="008150AF"/>
    <w:rsid w:val="008166CF"/>
    <w:rsid w:val="00816F89"/>
    <w:rsid w:val="00817E41"/>
    <w:rsid w:val="00821960"/>
    <w:rsid w:val="00821FA8"/>
    <w:rsid w:val="00823AD8"/>
    <w:rsid w:val="008261BB"/>
    <w:rsid w:val="00826F65"/>
    <w:rsid w:val="00827002"/>
    <w:rsid w:val="00827E15"/>
    <w:rsid w:val="008307E3"/>
    <w:rsid w:val="00831CA1"/>
    <w:rsid w:val="00831FC0"/>
    <w:rsid w:val="00831FCB"/>
    <w:rsid w:val="00832229"/>
    <w:rsid w:val="0083344D"/>
    <w:rsid w:val="00833A21"/>
    <w:rsid w:val="00833BAD"/>
    <w:rsid w:val="00833BEF"/>
    <w:rsid w:val="008341AA"/>
    <w:rsid w:val="008350C8"/>
    <w:rsid w:val="008403F1"/>
    <w:rsid w:val="00841B60"/>
    <w:rsid w:val="00842176"/>
    <w:rsid w:val="00843C55"/>
    <w:rsid w:val="00845597"/>
    <w:rsid w:val="00845651"/>
    <w:rsid w:val="008501C3"/>
    <w:rsid w:val="00850521"/>
    <w:rsid w:val="00850AB8"/>
    <w:rsid w:val="00851024"/>
    <w:rsid w:val="00851B94"/>
    <w:rsid w:val="00856823"/>
    <w:rsid w:val="0085774E"/>
    <w:rsid w:val="00862199"/>
    <w:rsid w:val="0086297C"/>
    <w:rsid w:val="008634CE"/>
    <w:rsid w:val="00863619"/>
    <w:rsid w:val="0086693F"/>
    <w:rsid w:val="00871514"/>
    <w:rsid w:val="00871693"/>
    <w:rsid w:val="0087235D"/>
    <w:rsid w:val="008728EE"/>
    <w:rsid w:val="008743BC"/>
    <w:rsid w:val="00874573"/>
    <w:rsid w:val="00876057"/>
    <w:rsid w:val="00876A90"/>
    <w:rsid w:val="008776D6"/>
    <w:rsid w:val="008813CC"/>
    <w:rsid w:val="00881679"/>
    <w:rsid w:val="008827B3"/>
    <w:rsid w:val="00882927"/>
    <w:rsid w:val="00884762"/>
    <w:rsid w:val="00884928"/>
    <w:rsid w:val="00885616"/>
    <w:rsid w:val="008864D0"/>
    <w:rsid w:val="00886FC6"/>
    <w:rsid w:val="0088781D"/>
    <w:rsid w:val="008902CD"/>
    <w:rsid w:val="0089048D"/>
    <w:rsid w:val="008937BC"/>
    <w:rsid w:val="00894ACF"/>
    <w:rsid w:val="008950C2"/>
    <w:rsid w:val="00897F5D"/>
    <w:rsid w:val="008A1419"/>
    <w:rsid w:val="008A176A"/>
    <w:rsid w:val="008A237B"/>
    <w:rsid w:val="008A2493"/>
    <w:rsid w:val="008A3842"/>
    <w:rsid w:val="008A3C28"/>
    <w:rsid w:val="008A4030"/>
    <w:rsid w:val="008A6D72"/>
    <w:rsid w:val="008A7DA0"/>
    <w:rsid w:val="008B004F"/>
    <w:rsid w:val="008B0EFA"/>
    <w:rsid w:val="008B12F1"/>
    <w:rsid w:val="008B4965"/>
    <w:rsid w:val="008B58F6"/>
    <w:rsid w:val="008B5A9F"/>
    <w:rsid w:val="008B7516"/>
    <w:rsid w:val="008C0444"/>
    <w:rsid w:val="008C1F98"/>
    <w:rsid w:val="008C2BDA"/>
    <w:rsid w:val="008C3127"/>
    <w:rsid w:val="008C3193"/>
    <w:rsid w:val="008C31B1"/>
    <w:rsid w:val="008C444E"/>
    <w:rsid w:val="008C4649"/>
    <w:rsid w:val="008C4722"/>
    <w:rsid w:val="008C4DBF"/>
    <w:rsid w:val="008D17FC"/>
    <w:rsid w:val="008D1B54"/>
    <w:rsid w:val="008D1B6E"/>
    <w:rsid w:val="008D2344"/>
    <w:rsid w:val="008D2C63"/>
    <w:rsid w:val="008D32F3"/>
    <w:rsid w:val="008D3A61"/>
    <w:rsid w:val="008D3B8B"/>
    <w:rsid w:val="008D4389"/>
    <w:rsid w:val="008D4675"/>
    <w:rsid w:val="008D4B41"/>
    <w:rsid w:val="008D50B0"/>
    <w:rsid w:val="008D6850"/>
    <w:rsid w:val="008D6990"/>
    <w:rsid w:val="008E063D"/>
    <w:rsid w:val="008E1DCE"/>
    <w:rsid w:val="008E3768"/>
    <w:rsid w:val="008E3B7E"/>
    <w:rsid w:val="008E719A"/>
    <w:rsid w:val="008F0BEF"/>
    <w:rsid w:val="008F1867"/>
    <w:rsid w:val="008F24EE"/>
    <w:rsid w:val="008F532F"/>
    <w:rsid w:val="008F5C74"/>
    <w:rsid w:val="008F633D"/>
    <w:rsid w:val="008F6DE2"/>
    <w:rsid w:val="009018D4"/>
    <w:rsid w:val="00901A77"/>
    <w:rsid w:val="00902485"/>
    <w:rsid w:val="00903175"/>
    <w:rsid w:val="0090526B"/>
    <w:rsid w:val="0090591E"/>
    <w:rsid w:val="00905CD2"/>
    <w:rsid w:val="00907FF0"/>
    <w:rsid w:val="0091115D"/>
    <w:rsid w:val="00912B77"/>
    <w:rsid w:val="009170B2"/>
    <w:rsid w:val="00921B15"/>
    <w:rsid w:val="009238CC"/>
    <w:rsid w:val="00931E4A"/>
    <w:rsid w:val="009350C6"/>
    <w:rsid w:val="0093511D"/>
    <w:rsid w:val="009408E7"/>
    <w:rsid w:val="00941582"/>
    <w:rsid w:val="00942E8B"/>
    <w:rsid w:val="00944B1A"/>
    <w:rsid w:val="0094599A"/>
    <w:rsid w:val="00950655"/>
    <w:rsid w:val="00952945"/>
    <w:rsid w:val="009530E8"/>
    <w:rsid w:val="00954B22"/>
    <w:rsid w:val="00954CB1"/>
    <w:rsid w:val="00954EC8"/>
    <w:rsid w:val="009554F2"/>
    <w:rsid w:val="0095618A"/>
    <w:rsid w:val="00956C27"/>
    <w:rsid w:val="00960B62"/>
    <w:rsid w:val="00961385"/>
    <w:rsid w:val="009667F7"/>
    <w:rsid w:val="00966874"/>
    <w:rsid w:val="00966D4A"/>
    <w:rsid w:val="009675DC"/>
    <w:rsid w:val="0097128E"/>
    <w:rsid w:val="00973302"/>
    <w:rsid w:val="0097371C"/>
    <w:rsid w:val="00974E0B"/>
    <w:rsid w:val="00975293"/>
    <w:rsid w:val="00975A85"/>
    <w:rsid w:val="00975D6D"/>
    <w:rsid w:val="0097620A"/>
    <w:rsid w:val="00976480"/>
    <w:rsid w:val="009772DC"/>
    <w:rsid w:val="00977FFD"/>
    <w:rsid w:val="00980405"/>
    <w:rsid w:val="00980C9E"/>
    <w:rsid w:val="00982737"/>
    <w:rsid w:val="00982FC5"/>
    <w:rsid w:val="009838A5"/>
    <w:rsid w:val="00983E65"/>
    <w:rsid w:val="0098406C"/>
    <w:rsid w:val="00984318"/>
    <w:rsid w:val="0098533A"/>
    <w:rsid w:val="009860B8"/>
    <w:rsid w:val="00987647"/>
    <w:rsid w:val="00987805"/>
    <w:rsid w:val="00990398"/>
    <w:rsid w:val="00990505"/>
    <w:rsid w:val="00990D5C"/>
    <w:rsid w:val="0099123D"/>
    <w:rsid w:val="00993715"/>
    <w:rsid w:val="00994EEA"/>
    <w:rsid w:val="00995A93"/>
    <w:rsid w:val="00995D2F"/>
    <w:rsid w:val="009973DA"/>
    <w:rsid w:val="00997477"/>
    <w:rsid w:val="00997D31"/>
    <w:rsid w:val="009A0660"/>
    <w:rsid w:val="009A2A83"/>
    <w:rsid w:val="009A35FB"/>
    <w:rsid w:val="009A3B37"/>
    <w:rsid w:val="009A4040"/>
    <w:rsid w:val="009A5AA1"/>
    <w:rsid w:val="009A6512"/>
    <w:rsid w:val="009A7B47"/>
    <w:rsid w:val="009A7E01"/>
    <w:rsid w:val="009B0E6F"/>
    <w:rsid w:val="009B1565"/>
    <w:rsid w:val="009B4507"/>
    <w:rsid w:val="009B4C13"/>
    <w:rsid w:val="009B50B6"/>
    <w:rsid w:val="009B6C1D"/>
    <w:rsid w:val="009B7BEA"/>
    <w:rsid w:val="009C0948"/>
    <w:rsid w:val="009C0E8C"/>
    <w:rsid w:val="009C117B"/>
    <w:rsid w:val="009C1525"/>
    <w:rsid w:val="009C39F7"/>
    <w:rsid w:val="009C481B"/>
    <w:rsid w:val="009C5CE4"/>
    <w:rsid w:val="009C79B5"/>
    <w:rsid w:val="009D050F"/>
    <w:rsid w:val="009D08DA"/>
    <w:rsid w:val="009D70FE"/>
    <w:rsid w:val="009E0672"/>
    <w:rsid w:val="009E118B"/>
    <w:rsid w:val="009E2771"/>
    <w:rsid w:val="009E31AB"/>
    <w:rsid w:val="009E629D"/>
    <w:rsid w:val="009E7026"/>
    <w:rsid w:val="009F079A"/>
    <w:rsid w:val="009F0937"/>
    <w:rsid w:val="009F100C"/>
    <w:rsid w:val="009F1608"/>
    <w:rsid w:val="009F21E5"/>
    <w:rsid w:val="009F2253"/>
    <w:rsid w:val="009F34B6"/>
    <w:rsid w:val="009F3CF2"/>
    <w:rsid w:val="009F625D"/>
    <w:rsid w:val="009F68E8"/>
    <w:rsid w:val="00A009C5"/>
    <w:rsid w:val="00A01323"/>
    <w:rsid w:val="00A04AB5"/>
    <w:rsid w:val="00A04AF5"/>
    <w:rsid w:val="00A04BA6"/>
    <w:rsid w:val="00A04E96"/>
    <w:rsid w:val="00A06BAE"/>
    <w:rsid w:val="00A07481"/>
    <w:rsid w:val="00A0767B"/>
    <w:rsid w:val="00A07A20"/>
    <w:rsid w:val="00A124CA"/>
    <w:rsid w:val="00A13CA0"/>
    <w:rsid w:val="00A14451"/>
    <w:rsid w:val="00A14BCB"/>
    <w:rsid w:val="00A154A0"/>
    <w:rsid w:val="00A1630D"/>
    <w:rsid w:val="00A169C7"/>
    <w:rsid w:val="00A16AA2"/>
    <w:rsid w:val="00A17831"/>
    <w:rsid w:val="00A21EB2"/>
    <w:rsid w:val="00A22701"/>
    <w:rsid w:val="00A23A70"/>
    <w:rsid w:val="00A24BC7"/>
    <w:rsid w:val="00A27907"/>
    <w:rsid w:val="00A27FE2"/>
    <w:rsid w:val="00A31286"/>
    <w:rsid w:val="00A3151B"/>
    <w:rsid w:val="00A32CA8"/>
    <w:rsid w:val="00A340C5"/>
    <w:rsid w:val="00A342C9"/>
    <w:rsid w:val="00A35A02"/>
    <w:rsid w:val="00A3611E"/>
    <w:rsid w:val="00A36579"/>
    <w:rsid w:val="00A3680C"/>
    <w:rsid w:val="00A412EE"/>
    <w:rsid w:val="00A42430"/>
    <w:rsid w:val="00A42C27"/>
    <w:rsid w:val="00A43E8C"/>
    <w:rsid w:val="00A448A6"/>
    <w:rsid w:val="00A45D0C"/>
    <w:rsid w:val="00A47397"/>
    <w:rsid w:val="00A47BF9"/>
    <w:rsid w:val="00A5197C"/>
    <w:rsid w:val="00A51A8D"/>
    <w:rsid w:val="00A52E4D"/>
    <w:rsid w:val="00A60A41"/>
    <w:rsid w:val="00A616C3"/>
    <w:rsid w:val="00A62636"/>
    <w:rsid w:val="00A6330A"/>
    <w:rsid w:val="00A646C4"/>
    <w:rsid w:val="00A67C2C"/>
    <w:rsid w:val="00A67D8D"/>
    <w:rsid w:val="00A71D60"/>
    <w:rsid w:val="00A75001"/>
    <w:rsid w:val="00A75369"/>
    <w:rsid w:val="00A75D41"/>
    <w:rsid w:val="00A80C51"/>
    <w:rsid w:val="00A83709"/>
    <w:rsid w:val="00A83F0F"/>
    <w:rsid w:val="00A84A96"/>
    <w:rsid w:val="00A86E57"/>
    <w:rsid w:val="00A9116B"/>
    <w:rsid w:val="00A935F8"/>
    <w:rsid w:val="00A94FCE"/>
    <w:rsid w:val="00A95440"/>
    <w:rsid w:val="00A95ED5"/>
    <w:rsid w:val="00A9624B"/>
    <w:rsid w:val="00A96853"/>
    <w:rsid w:val="00AA0E24"/>
    <w:rsid w:val="00AA1941"/>
    <w:rsid w:val="00AA1B65"/>
    <w:rsid w:val="00AA1FA2"/>
    <w:rsid w:val="00AA23EC"/>
    <w:rsid w:val="00AA2C0E"/>
    <w:rsid w:val="00AA3E87"/>
    <w:rsid w:val="00AA5084"/>
    <w:rsid w:val="00AA58F9"/>
    <w:rsid w:val="00AA743A"/>
    <w:rsid w:val="00AB0773"/>
    <w:rsid w:val="00AB216C"/>
    <w:rsid w:val="00AB22AA"/>
    <w:rsid w:val="00AB23C1"/>
    <w:rsid w:val="00AB25F2"/>
    <w:rsid w:val="00AB3693"/>
    <w:rsid w:val="00AB36B8"/>
    <w:rsid w:val="00AB545E"/>
    <w:rsid w:val="00AC6E77"/>
    <w:rsid w:val="00AC7A5B"/>
    <w:rsid w:val="00AD0147"/>
    <w:rsid w:val="00AD04F1"/>
    <w:rsid w:val="00AD0B23"/>
    <w:rsid w:val="00AD30C8"/>
    <w:rsid w:val="00AD3F62"/>
    <w:rsid w:val="00AD411D"/>
    <w:rsid w:val="00AD477C"/>
    <w:rsid w:val="00AD550C"/>
    <w:rsid w:val="00AD5832"/>
    <w:rsid w:val="00AD7B8D"/>
    <w:rsid w:val="00AE1374"/>
    <w:rsid w:val="00AE24B2"/>
    <w:rsid w:val="00AE2556"/>
    <w:rsid w:val="00AE298E"/>
    <w:rsid w:val="00AE3DA9"/>
    <w:rsid w:val="00AE4E58"/>
    <w:rsid w:val="00AE693A"/>
    <w:rsid w:val="00AE6FBA"/>
    <w:rsid w:val="00AF0C2F"/>
    <w:rsid w:val="00AF1F13"/>
    <w:rsid w:val="00AF3265"/>
    <w:rsid w:val="00AF4CF1"/>
    <w:rsid w:val="00AF58C4"/>
    <w:rsid w:val="00AF60F5"/>
    <w:rsid w:val="00B00204"/>
    <w:rsid w:val="00B0188D"/>
    <w:rsid w:val="00B03D1B"/>
    <w:rsid w:val="00B03F9C"/>
    <w:rsid w:val="00B06049"/>
    <w:rsid w:val="00B066B2"/>
    <w:rsid w:val="00B06BE3"/>
    <w:rsid w:val="00B076A9"/>
    <w:rsid w:val="00B10100"/>
    <w:rsid w:val="00B1045B"/>
    <w:rsid w:val="00B1052F"/>
    <w:rsid w:val="00B110EB"/>
    <w:rsid w:val="00B11312"/>
    <w:rsid w:val="00B12135"/>
    <w:rsid w:val="00B13F28"/>
    <w:rsid w:val="00B1587D"/>
    <w:rsid w:val="00B15BE3"/>
    <w:rsid w:val="00B179B8"/>
    <w:rsid w:val="00B202F6"/>
    <w:rsid w:val="00B20C2C"/>
    <w:rsid w:val="00B21882"/>
    <w:rsid w:val="00B21B34"/>
    <w:rsid w:val="00B2436B"/>
    <w:rsid w:val="00B2444C"/>
    <w:rsid w:val="00B24685"/>
    <w:rsid w:val="00B2566B"/>
    <w:rsid w:val="00B26871"/>
    <w:rsid w:val="00B3028D"/>
    <w:rsid w:val="00B324A1"/>
    <w:rsid w:val="00B32C77"/>
    <w:rsid w:val="00B365A2"/>
    <w:rsid w:val="00B368D3"/>
    <w:rsid w:val="00B36F6E"/>
    <w:rsid w:val="00B409E8"/>
    <w:rsid w:val="00B40C17"/>
    <w:rsid w:val="00B42035"/>
    <w:rsid w:val="00B42DAA"/>
    <w:rsid w:val="00B44362"/>
    <w:rsid w:val="00B4653D"/>
    <w:rsid w:val="00B4692B"/>
    <w:rsid w:val="00B46FD1"/>
    <w:rsid w:val="00B47817"/>
    <w:rsid w:val="00B478E3"/>
    <w:rsid w:val="00B47F52"/>
    <w:rsid w:val="00B54FCB"/>
    <w:rsid w:val="00B56214"/>
    <w:rsid w:val="00B577EF"/>
    <w:rsid w:val="00B5781E"/>
    <w:rsid w:val="00B6055D"/>
    <w:rsid w:val="00B614F7"/>
    <w:rsid w:val="00B6237A"/>
    <w:rsid w:val="00B627C5"/>
    <w:rsid w:val="00B628C0"/>
    <w:rsid w:val="00B62E16"/>
    <w:rsid w:val="00B63BA0"/>
    <w:rsid w:val="00B65753"/>
    <w:rsid w:val="00B65E5D"/>
    <w:rsid w:val="00B66A0F"/>
    <w:rsid w:val="00B71990"/>
    <w:rsid w:val="00B71BE2"/>
    <w:rsid w:val="00B71E07"/>
    <w:rsid w:val="00B72171"/>
    <w:rsid w:val="00B7221B"/>
    <w:rsid w:val="00B7346C"/>
    <w:rsid w:val="00B734B3"/>
    <w:rsid w:val="00B749E2"/>
    <w:rsid w:val="00B773A1"/>
    <w:rsid w:val="00B8030A"/>
    <w:rsid w:val="00B83DF0"/>
    <w:rsid w:val="00B84E82"/>
    <w:rsid w:val="00B85CBD"/>
    <w:rsid w:val="00B86BA2"/>
    <w:rsid w:val="00B8737F"/>
    <w:rsid w:val="00B8745A"/>
    <w:rsid w:val="00B930C5"/>
    <w:rsid w:val="00B935A5"/>
    <w:rsid w:val="00B946A4"/>
    <w:rsid w:val="00B946AA"/>
    <w:rsid w:val="00B9495E"/>
    <w:rsid w:val="00BA07B7"/>
    <w:rsid w:val="00BA182B"/>
    <w:rsid w:val="00BA1D2C"/>
    <w:rsid w:val="00BA1FD2"/>
    <w:rsid w:val="00BA4F08"/>
    <w:rsid w:val="00BA51B7"/>
    <w:rsid w:val="00BB0EFF"/>
    <w:rsid w:val="00BB18BF"/>
    <w:rsid w:val="00BB5DE5"/>
    <w:rsid w:val="00BB699F"/>
    <w:rsid w:val="00BB7240"/>
    <w:rsid w:val="00BB74CD"/>
    <w:rsid w:val="00BB7775"/>
    <w:rsid w:val="00BB7E1E"/>
    <w:rsid w:val="00BC0045"/>
    <w:rsid w:val="00BC27F5"/>
    <w:rsid w:val="00BC284C"/>
    <w:rsid w:val="00BC4431"/>
    <w:rsid w:val="00BC4C6E"/>
    <w:rsid w:val="00BC505C"/>
    <w:rsid w:val="00BC51CF"/>
    <w:rsid w:val="00BC6114"/>
    <w:rsid w:val="00BC6A6F"/>
    <w:rsid w:val="00BC7A00"/>
    <w:rsid w:val="00BD095C"/>
    <w:rsid w:val="00BD1DC5"/>
    <w:rsid w:val="00BD2AC0"/>
    <w:rsid w:val="00BD302A"/>
    <w:rsid w:val="00BD3382"/>
    <w:rsid w:val="00BD3975"/>
    <w:rsid w:val="00BD535D"/>
    <w:rsid w:val="00BD6F0D"/>
    <w:rsid w:val="00BD7045"/>
    <w:rsid w:val="00BD7AEA"/>
    <w:rsid w:val="00BD7FC9"/>
    <w:rsid w:val="00BE0E1C"/>
    <w:rsid w:val="00BE17AA"/>
    <w:rsid w:val="00BE286B"/>
    <w:rsid w:val="00BE2AA1"/>
    <w:rsid w:val="00BE2EBA"/>
    <w:rsid w:val="00BE308F"/>
    <w:rsid w:val="00BE55E2"/>
    <w:rsid w:val="00BE57C0"/>
    <w:rsid w:val="00BE5B55"/>
    <w:rsid w:val="00BF0325"/>
    <w:rsid w:val="00BF2FE3"/>
    <w:rsid w:val="00BF360A"/>
    <w:rsid w:val="00BF38D8"/>
    <w:rsid w:val="00BF3F60"/>
    <w:rsid w:val="00BF5F32"/>
    <w:rsid w:val="00BF6362"/>
    <w:rsid w:val="00BF6DE8"/>
    <w:rsid w:val="00BF7514"/>
    <w:rsid w:val="00BF79B5"/>
    <w:rsid w:val="00C00CC6"/>
    <w:rsid w:val="00C00DA1"/>
    <w:rsid w:val="00C03851"/>
    <w:rsid w:val="00C03C7D"/>
    <w:rsid w:val="00C03D80"/>
    <w:rsid w:val="00C04E2D"/>
    <w:rsid w:val="00C0507B"/>
    <w:rsid w:val="00C052D4"/>
    <w:rsid w:val="00C103D9"/>
    <w:rsid w:val="00C10E37"/>
    <w:rsid w:val="00C12820"/>
    <w:rsid w:val="00C12EDB"/>
    <w:rsid w:val="00C135D7"/>
    <w:rsid w:val="00C13F91"/>
    <w:rsid w:val="00C146C1"/>
    <w:rsid w:val="00C172CE"/>
    <w:rsid w:val="00C20905"/>
    <w:rsid w:val="00C21116"/>
    <w:rsid w:val="00C214A8"/>
    <w:rsid w:val="00C21CBE"/>
    <w:rsid w:val="00C247CE"/>
    <w:rsid w:val="00C2607A"/>
    <w:rsid w:val="00C2683F"/>
    <w:rsid w:val="00C26B52"/>
    <w:rsid w:val="00C26B7A"/>
    <w:rsid w:val="00C308FD"/>
    <w:rsid w:val="00C30C60"/>
    <w:rsid w:val="00C31912"/>
    <w:rsid w:val="00C31CA8"/>
    <w:rsid w:val="00C31F87"/>
    <w:rsid w:val="00C33610"/>
    <w:rsid w:val="00C33AC1"/>
    <w:rsid w:val="00C3496F"/>
    <w:rsid w:val="00C35EF6"/>
    <w:rsid w:val="00C44433"/>
    <w:rsid w:val="00C44442"/>
    <w:rsid w:val="00C4471B"/>
    <w:rsid w:val="00C447FA"/>
    <w:rsid w:val="00C44B18"/>
    <w:rsid w:val="00C46353"/>
    <w:rsid w:val="00C470BC"/>
    <w:rsid w:val="00C47EBF"/>
    <w:rsid w:val="00C52432"/>
    <w:rsid w:val="00C52BAF"/>
    <w:rsid w:val="00C53385"/>
    <w:rsid w:val="00C53551"/>
    <w:rsid w:val="00C54E03"/>
    <w:rsid w:val="00C54E7E"/>
    <w:rsid w:val="00C55C44"/>
    <w:rsid w:val="00C57614"/>
    <w:rsid w:val="00C61526"/>
    <w:rsid w:val="00C62E1E"/>
    <w:rsid w:val="00C63201"/>
    <w:rsid w:val="00C6432C"/>
    <w:rsid w:val="00C64865"/>
    <w:rsid w:val="00C70658"/>
    <w:rsid w:val="00C71CE7"/>
    <w:rsid w:val="00C724E9"/>
    <w:rsid w:val="00C73114"/>
    <w:rsid w:val="00C73F22"/>
    <w:rsid w:val="00C74FB4"/>
    <w:rsid w:val="00C76E14"/>
    <w:rsid w:val="00C7786E"/>
    <w:rsid w:val="00C811F5"/>
    <w:rsid w:val="00C82710"/>
    <w:rsid w:val="00C82E9D"/>
    <w:rsid w:val="00C83002"/>
    <w:rsid w:val="00C839A3"/>
    <w:rsid w:val="00C85B69"/>
    <w:rsid w:val="00C872BC"/>
    <w:rsid w:val="00C87964"/>
    <w:rsid w:val="00C91179"/>
    <w:rsid w:val="00C91634"/>
    <w:rsid w:val="00C916B5"/>
    <w:rsid w:val="00C91E46"/>
    <w:rsid w:val="00C91FB8"/>
    <w:rsid w:val="00C932DE"/>
    <w:rsid w:val="00C93305"/>
    <w:rsid w:val="00C9340E"/>
    <w:rsid w:val="00C9591F"/>
    <w:rsid w:val="00C95A69"/>
    <w:rsid w:val="00CA19BC"/>
    <w:rsid w:val="00CA3AAE"/>
    <w:rsid w:val="00CA5D38"/>
    <w:rsid w:val="00CA61CD"/>
    <w:rsid w:val="00CA6786"/>
    <w:rsid w:val="00CA67CB"/>
    <w:rsid w:val="00CA794F"/>
    <w:rsid w:val="00CB004A"/>
    <w:rsid w:val="00CB0293"/>
    <w:rsid w:val="00CB1289"/>
    <w:rsid w:val="00CB3176"/>
    <w:rsid w:val="00CB44B6"/>
    <w:rsid w:val="00CB4DAE"/>
    <w:rsid w:val="00CB5B62"/>
    <w:rsid w:val="00CB616F"/>
    <w:rsid w:val="00CB6C5D"/>
    <w:rsid w:val="00CB7986"/>
    <w:rsid w:val="00CC1D5C"/>
    <w:rsid w:val="00CC3002"/>
    <w:rsid w:val="00CC4322"/>
    <w:rsid w:val="00CC63E1"/>
    <w:rsid w:val="00CC6C27"/>
    <w:rsid w:val="00CC7B66"/>
    <w:rsid w:val="00CD0C30"/>
    <w:rsid w:val="00CD190F"/>
    <w:rsid w:val="00CD2907"/>
    <w:rsid w:val="00CD542F"/>
    <w:rsid w:val="00CD70FA"/>
    <w:rsid w:val="00CE0E99"/>
    <w:rsid w:val="00CE1186"/>
    <w:rsid w:val="00CE1AEA"/>
    <w:rsid w:val="00CE242C"/>
    <w:rsid w:val="00CE31E0"/>
    <w:rsid w:val="00CE35BA"/>
    <w:rsid w:val="00CE3E61"/>
    <w:rsid w:val="00CE43E5"/>
    <w:rsid w:val="00CE4901"/>
    <w:rsid w:val="00CE4C2D"/>
    <w:rsid w:val="00CE5B63"/>
    <w:rsid w:val="00CE712F"/>
    <w:rsid w:val="00CF39DC"/>
    <w:rsid w:val="00CF3A00"/>
    <w:rsid w:val="00CF5188"/>
    <w:rsid w:val="00CF745F"/>
    <w:rsid w:val="00CF7AC4"/>
    <w:rsid w:val="00CF7C98"/>
    <w:rsid w:val="00CF7E6E"/>
    <w:rsid w:val="00D00059"/>
    <w:rsid w:val="00D00E8F"/>
    <w:rsid w:val="00D02136"/>
    <w:rsid w:val="00D031AB"/>
    <w:rsid w:val="00D0461D"/>
    <w:rsid w:val="00D0563A"/>
    <w:rsid w:val="00D064AD"/>
    <w:rsid w:val="00D074ED"/>
    <w:rsid w:val="00D10D03"/>
    <w:rsid w:val="00D1104F"/>
    <w:rsid w:val="00D1280C"/>
    <w:rsid w:val="00D138A0"/>
    <w:rsid w:val="00D13BB1"/>
    <w:rsid w:val="00D151EB"/>
    <w:rsid w:val="00D15CD2"/>
    <w:rsid w:val="00D16AAC"/>
    <w:rsid w:val="00D20623"/>
    <w:rsid w:val="00D20B00"/>
    <w:rsid w:val="00D21081"/>
    <w:rsid w:val="00D22FDE"/>
    <w:rsid w:val="00D23C00"/>
    <w:rsid w:val="00D24829"/>
    <w:rsid w:val="00D2568E"/>
    <w:rsid w:val="00D25C38"/>
    <w:rsid w:val="00D3073F"/>
    <w:rsid w:val="00D31172"/>
    <w:rsid w:val="00D3258B"/>
    <w:rsid w:val="00D33003"/>
    <w:rsid w:val="00D341C6"/>
    <w:rsid w:val="00D36B25"/>
    <w:rsid w:val="00D416EA"/>
    <w:rsid w:val="00D43228"/>
    <w:rsid w:val="00D45BE4"/>
    <w:rsid w:val="00D46872"/>
    <w:rsid w:val="00D46EE7"/>
    <w:rsid w:val="00D5045B"/>
    <w:rsid w:val="00D50CA7"/>
    <w:rsid w:val="00D51361"/>
    <w:rsid w:val="00D51CE9"/>
    <w:rsid w:val="00D52D88"/>
    <w:rsid w:val="00D5360F"/>
    <w:rsid w:val="00D53D90"/>
    <w:rsid w:val="00D54ABB"/>
    <w:rsid w:val="00D55920"/>
    <w:rsid w:val="00D56987"/>
    <w:rsid w:val="00D56D0A"/>
    <w:rsid w:val="00D56D9A"/>
    <w:rsid w:val="00D5737B"/>
    <w:rsid w:val="00D57B27"/>
    <w:rsid w:val="00D60F58"/>
    <w:rsid w:val="00D61B28"/>
    <w:rsid w:val="00D62622"/>
    <w:rsid w:val="00D62996"/>
    <w:rsid w:val="00D6366B"/>
    <w:rsid w:val="00D67588"/>
    <w:rsid w:val="00D67779"/>
    <w:rsid w:val="00D7063C"/>
    <w:rsid w:val="00D70C5D"/>
    <w:rsid w:val="00D70CC4"/>
    <w:rsid w:val="00D71856"/>
    <w:rsid w:val="00D73583"/>
    <w:rsid w:val="00D748FF"/>
    <w:rsid w:val="00D74D3D"/>
    <w:rsid w:val="00D763A4"/>
    <w:rsid w:val="00D77A04"/>
    <w:rsid w:val="00D83229"/>
    <w:rsid w:val="00D8516E"/>
    <w:rsid w:val="00D85407"/>
    <w:rsid w:val="00D865DB"/>
    <w:rsid w:val="00D87BE2"/>
    <w:rsid w:val="00D90056"/>
    <w:rsid w:val="00D957E7"/>
    <w:rsid w:val="00D96407"/>
    <w:rsid w:val="00D965F9"/>
    <w:rsid w:val="00D977CD"/>
    <w:rsid w:val="00DA084E"/>
    <w:rsid w:val="00DA1D6A"/>
    <w:rsid w:val="00DA43B5"/>
    <w:rsid w:val="00DA4B2F"/>
    <w:rsid w:val="00DA600E"/>
    <w:rsid w:val="00DA780C"/>
    <w:rsid w:val="00DA7F0F"/>
    <w:rsid w:val="00DB3A06"/>
    <w:rsid w:val="00DB6A5F"/>
    <w:rsid w:val="00DC1122"/>
    <w:rsid w:val="00DC27E6"/>
    <w:rsid w:val="00DC2A61"/>
    <w:rsid w:val="00DC5104"/>
    <w:rsid w:val="00DC553C"/>
    <w:rsid w:val="00DC6FD8"/>
    <w:rsid w:val="00DD0079"/>
    <w:rsid w:val="00DD0C40"/>
    <w:rsid w:val="00DD2555"/>
    <w:rsid w:val="00DD2669"/>
    <w:rsid w:val="00DD48D3"/>
    <w:rsid w:val="00DD4B45"/>
    <w:rsid w:val="00DD513C"/>
    <w:rsid w:val="00DD61C4"/>
    <w:rsid w:val="00DE09F3"/>
    <w:rsid w:val="00DE1E84"/>
    <w:rsid w:val="00DE2D6A"/>
    <w:rsid w:val="00DE3647"/>
    <w:rsid w:val="00DE610D"/>
    <w:rsid w:val="00DE6DB6"/>
    <w:rsid w:val="00DE6F6C"/>
    <w:rsid w:val="00DF105D"/>
    <w:rsid w:val="00DF19FC"/>
    <w:rsid w:val="00DF24FB"/>
    <w:rsid w:val="00DF3BBD"/>
    <w:rsid w:val="00DF4F44"/>
    <w:rsid w:val="00DF56F8"/>
    <w:rsid w:val="00DF68F0"/>
    <w:rsid w:val="00E01F92"/>
    <w:rsid w:val="00E0375B"/>
    <w:rsid w:val="00E043FD"/>
    <w:rsid w:val="00E04BED"/>
    <w:rsid w:val="00E06740"/>
    <w:rsid w:val="00E07AA6"/>
    <w:rsid w:val="00E113AA"/>
    <w:rsid w:val="00E1184D"/>
    <w:rsid w:val="00E12327"/>
    <w:rsid w:val="00E134A4"/>
    <w:rsid w:val="00E13D1D"/>
    <w:rsid w:val="00E16D9D"/>
    <w:rsid w:val="00E20CB6"/>
    <w:rsid w:val="00E21075"/>
    <w:rsid w:val="00E21810"/>
    <w:rsid w:val="00E24A8E"/>
    <w:rsid w:val="00E26496"/>
    <w:rsid w:val="00E2673B"/>
    <w:rsid w:val="00E321F0"/>
    <w:rsid w:val="00E32A0B"/>
    <w:rsid w:val="00E347A9"/>
    <w:rsid w:val="00E34BE8"/>
    <w:rsid w:val="00E34E5A"/>
    <w:rsid w:val="00E34F86"/>
    <w:rsid w:val="00E36CFE"/>
    <w:rsid w:val="00E404A6"/>
    <w:rsid w:val="00E429A9"/>
    <w:rsid w:val="00E443D0"/>
    <w:rsid w:val="00E44659"/>
    <w:rsid w:val="00E44AC3"/>
    <w:rsid w:val="00E44ED1"/>
    <w:rsid w:val="00E45021"/>
    <w:rsid w:val="00E45F20"/>
    <w:rsid w:val="00E47C89"/>
    <w:rsid w:val="00E51192"/>
    <w:rsid w:val="00E51596"/>
    <w:rsid w:val="00E51812"/>
    <w:rsid w:val="00E519A1"/>
    <w:rsid w:val="00E519A2"/>
    <w:rsid w:val="00E543C7"/>
    <w:rsid w:val="00E55236"/>
    <w:rsid w:val="00E554FA"/>
    <w:rsid w:val="00E570FB"/>
    <w:rsid w:val="00E579A2"/>
    <w:rsid w:val="00E60D75"/>
    <w:rsid w:val="00E635A6"/>
    <w:rsid w:val="00E64125"/>
    <w:rsid w:val="00E662EB"/>
    <w:rsid w:val="00E667A3"/>
    <w:rsid w:val="00E66A59"/>
    <w:rsid w:val="00E66CDE"/>
    <w:rsid w:val="00E67AB4"/>
    <w:rsid w:val="00E70AF7"/>
    <w:rsid w:val="00E7124C"/>
    <w:rsid w:val="00E7136A"/>
    <w:rsid w:val="00E71791"/>
    <w:rsid w:val="00E738B6"/>
    <w:rsid w:val="00E7598C"/>
    <w:rsid w:val="00E77B50"/>
    <w:rsid w:val="00E801FC"/>
    <w:rsid w:val="00E81098"/>
    <w:rsid w:val="00E81371"/>
    <w:rsid w:val="00E82235"/>
    <w:rsid w:val="00E8341A"/>
    <w:rsid w:val="00E83945"/>
    <w:rsid w:val="00E8452A"/>
    <w:rsid w:val="00E85B41"/>
    <w:rsid w:val="00E86A78"/>
    <w:rsid w:val="00E92C25"/>
    <w:rsid w:val="00E93EA8"/>
    <w:rsid w:val="00E93FDF"/>
    <w:rsid w:val="00E96014"/>
    <w:rsid w:val="00EA0AE9"/>
    <w:rsid w:val="00EA2408"/>
    <w:rsid w:val="00EA290B"/>
    <w:rsid w:val="00EA3E82"/>
    <w:rsid w:val="00EA3F3B"/>
    <w:rsid w:val="00EA4159"/>
    <w:rsid w:val="00EA4D1A"/>
    <w:rsid w:val="00EA5528"/>
    <w:rsid w:val="00EA563D"/>
    <w:rsid w:val="00EA674B"/>
    <w:rsid w:val="00EA762A"/>
    <w:rsid w:val="00EA7E73"/>
    <w:rsid w:val="00EB035B"/>
    <w:rsid w:val="00EB22D9"/>
    <w:rsid w:val="00EB382C"/>
    <w:rsid w:val="00EB520F"/>
    <w:rsid w:val="00EC0711"/>
    <w:rsid w:val="00EC0CC2"/>
    <w:rsid w:val="00EC1775"/>
    <w:rsid w:val="00EC1E57"/>
    <w:rsid w:val="00EC295F"/>
    <w:rsid w:val="00EC5E1A"/>
    <w:rsid w:val="00EC65E2"/>
    <w:rsid w:val="00ED0EFF"/>
    <w:rsid w:val="00ED10F6"/>
    <w:rsid w:val="00ED2AB8"/>
    <w:rsid w:val="00ED4236"/>
    <w:rsid w:val="00ED4741"/>
    <w:rsid w:val="00ED68BF"/>
    <w:rsid w:val="00ED7980"/>
    <w:rsid w:val="00EE0034"/>
    <w:rsid w:val="00EE46C0"/>
    <w:rsid w:val="00EE5321"/>
    <w:rsid w:val="00EE574C"/>
    <w:rsid w:val="00EE7A8C"/>
    <w:rsid w:val="00EE7F08"/>
    <w:rsid w:val="00EF0E43"/>
    <w:rsid w:val="00EF3786"/>
    <w:rsid w:val="00EF614B"/>
    <w:rsid w:val="00EF61BB"/>
    <w:rsid w:val="00EF6681"/>
    <w:rsid w:val="00EF70F8"/>
    <w:rsid w:val="00EF79E2"/>
    <w:rsid w:val="00F00F40"/>
    <w:rsid w:val="00F0341D"/>
    <w:rsid w:val="00F0468B"/>
    <w:rsid w:val="00F05940"/>
    <w:rsid w:val="00F061B2"/>
    <w:rsid w:val="00F06D20"/>
    <w:rsid w:val="00F10290"/>
    <w:rsid w:val="00F110A2"/>
    <w:rsid w:val="00F1209D"/>
    <w:rsid w:val="00F1722C"/>
    <w:rsid w:val="00F2085A"/>
    <w:rsid w:val="00F20FC8"/>
    <w:rsid w:val="00F226EA"/>
    <w:rsid w:val="00F2407E"/>
    <w:rsid w:val="00F26AB0"/>
    <w:rsid w:val="00F311FD"/>
    <w:rsid w:val="00F316DB"/>
    <w:rsid w:val="00F32AC9"/>
    <w:rsid w:val="00F33439"/>
    <w:rsid w:val="00F34451"/>
    <w:rsid w:val="00F37DAC"/>
    <w:rsid w:val="00F40DAA"/>
    <w:rsid w:val="00F41569"/>
    <w:rsid w:val="00F42712"/>
    <w:rsid w:val="00F440FD"/>
    <w:rsid w:val="00F44B31"/>
    <w:rsid w:val="00F50DB7"/>
    <w:rsid w:val="00F512DD"/>
    <w:rsid w:val="00F51736"/>
    <w:rsid w:val="00F52076"/>
    <w:rsid w:val="00F52B17"/>
    <w:rsid w:val="00F55DE6"/>
    <w:rsid w:val="00F576B2"/>
    <w:rsid w:val="00F57992"/>
    <w:rsid w:val="00F6003F"/>
    <w:rsid w:val="00F600D2"/>
    <w:rsid w:val="00F612AE"/>
    <w:rsid w:val="00F65C77"/>
    <w:rsid w:val="00F6650F"/>
    <w:rsid w:val="00F6799A"/>
    <w:rsid w:val="00F67CC7"/>
    <w:rsid w:val="00F756BC"/>
    <w:rsid w:val="00F76444"/>
    <w:rsid w:val="00F77549"/>
    <w:rsid w:val="00F80F15"/>
    <w:rsid w:val="00F81B6B"/>
    <w:rsid w:val="00F81C8C"/>
    <w:rsid w:val="00F82C64"/>
    <w:rsid w:val="00F83F79"/>
    <w:rsid w:val="00F84FF3"/>
    <w:rsid w:val="00F855FE"/>
    <w:rsid w:val="00F86614"/>
    <w:rsid w:val="00F866B9"/>
    <w:rsid w:val="00F876AB"/>
    <w:rsid w:val="00F9103A"/>
    <w:rsid w:val="00F922FC"/>
    <w:rsid w:val="00F93CDE"/>
    <w:rsid w:val="00F940E0"/>
    <w:rsid w:val="00F94292"/>
    <w:rsid w:val="00F94388"/>
    <w:rsid w:val="00F94A73"/>
    <w:rsid w:val="00F94D3A"/>
    <w:rsid w:val="00F959EC"/>
    <w:rsid w:val="00F969FA"/>
    <w:rsid w:val="00F96C58"/>
    <w:rsid w:val="00F96FF5"/>
    <w:rsid w:val="00F9761D"/>
    <w:rsid w:val="00F97FE7"/>
    <w:rsid w:val="00FA0E79"/>
    <w:rsid w:val="00FA1C7D"/>
    <w:rsid w:val="00FA23FB"/>
    <w:rsid w:val="00FA4FCF"/>
    <w:rsid w:val="00FA62A2"/>
    <w:rsid w:val="00FA73CD"/>
    <w:rsid w:val="00FB0B39"/>
    <w:rsid w:val="00FB1691"/>
    <w:rsid w:val="00FB16C9"/>
    <w:rsid w:val="00FB1832"/>
    <w:rsid w:val="00FB22DF"/>
    <w:rsid w:val="00FB2668"/>
    <w:rsid w:val="00FB2F2B"/>
    <w:rsid w:val="00FB350D"/>
    <w:rsid w:val="00FB3605"/>
    <w:rsid w:val="00FB363D"/>
    <w:rsid w:val="00FB4B8C"/>
    <w:rsid w:val="00FB5ACE"/>
    <w:rsid w:val="00FB7B08"/>
    <w:rsid w:val="00FB7E05"/>
    <w:rsid w:val="00FC05AD"/>
    <w:rsid w:val="00FC0801"/>
    <w:rsid w:val="00FC2123"/>
    <w:rsid w:val="00FC2DE7"/>
    <w:rsid w:val="00FC4161"/>
    <w:rsid w:val="00FC4CE2"/>
    <w:rsid w:val="00FC62A6"/>
    <w:rsid w:val="00FC637A"/>
    <w:rsid w:val="00FC6C1F"/>
    <w:rsid w:val="00FC7286"/>
    <w:rsid w:val="00FC7BA2"/>
    <w:rsid w:val="00FD19A1"/>
    <w:rsid w:val="00FD2706"/>
    <w:rsid w:val="00FD2829"/>
    <w:rsid w:val="00FD5505"/>
    <w:rsid w:val="00FD6315"/>
    <w:rsid w:val="00FD6866"/>
    <w:rsid w:val="00FE0599"/>
    <w:rsid w:val="00FE1750"/>
    <w:rsid w:val="00FE2A50"/>
    <w:rsid w:val="00FE30BC"/>
    <w:rsid w:val="00FE3F18"/>
    <w:rsid w:val="00FE4FEF"/>
    <w:rsid w:val="00FE5B72"/>
    <w:rsid w:val="00FE5F78"/>
    <w:rsid w:val="00FF02DF"/>
    <w:rsid w:val="00FF036B"/>
    <w:rsid w:val="00FF44A0"/>
    <w:rsid w:val="00FF499A"/>
    <w:rsid w:val="00FF522C"/>
    <w:rsid w:val="00FF542E"/>
    <w:rsid w:val="00FF58E0"/>
    <w:rsid w:val="00FF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1B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136A"/>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3D72B2"/>
    <w:pPr>
      <w:keepNext/>
      <w:keepLines/>
      <w:spacing w:before="240"/>
      <w:outlineLvl w:val="0"/>
    </w:pPr>
    <w:rPr>
      <w:rFonts w:asciiTheme="majorHAnsi" w:eastAsiaTheme="majorEastAsia" w:hAnsiTheme="majorHAnsi" w:cstheme="majorBidi"/>
      <w:color w:val="2F5496" w:themeColor="accent1" w:themeShade="BF"/>
      <w:sz w:val="32"/>
      <w:szCs w:val="3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60F"/>
    <w:pPr>
      <w:ind w:left="720"/>
      <w:contextualSpacing/>
    </w:pPr>
    <w:rPr>
      <w:rFonts w:asciiTheme="minorHAnsi" w:eastAsiaTheme="minorHAnsi" w:hAnsiTheme="minorHAnsi" w:cstheme="minorBidi"/>
      <w:lang w:val="en-US" w:eastAsia="en-US"/>
    </w:rPr>
  </w:style>
  <w:style w:type="paragraph" w:styleId="FootnoteText">
    <w:name w:val="footnote text"/>
    <w:basedOn w:val="Normal"/>
    <w:link w:val="FootnoteTextChar"/>
    <w:uiPriority w:val="99"/>
    <w:unhideWhenUsed/>
    <w:rsid w:val="00627449"/>
    <w:rPr>
      <w:rFonts w:asciiTheme="minorHAnsi" w:eastAsiaTheme="minorHAnsi" w:hAnsiTheme="minorHAnsi" w:cstheme="minorBidi"/>
      <w:lang w:val="en-US" w:eastAsia="en-US"/>
    </w:rPr>
  </w:style>
  <w:style w:type="character" w:customStyle="1" w:styleId="FootnoteTextChar">
    <w:name w:val="Footnote Text Char"/>
    <w:basedOn w:val="DefaultParagraphFont"/>
    <w:link w:val="FootnoteText"/>
    <w:uiPriority w:val="99"/>
    <w:rsid w:val="00627449"/>
  </w:style>
  <w:style w:type="character" w:styleId="FootnoteReference">
    <w:name w:val="footnote reference"/>
    <w:basedOn w:val="DefaultParagraphFont"/>
    <w:uiPriority w:val="99"/>
    <w:unhideWhenUsed/>
    <w:rsid w:val="00627449"/>
    <w:rPr>
      <w:vertAlign w:val="superscript"/>
    </w:rPr>
  </w:style>
  <w:style w:type="character" w:styleId="Hyperlink">
    <w:name w:val="Hyperlink"/>
    <w:basedOn w:val="DefaultParagraphFont"/>
    <w:uiPriority w:val="99"/>
    <w:unhideWhenUsed/>
    <w:rsid w:val="00322CF0"/>
    <w:rPr>
      <w:color w:val="0563C1" w:themeColor="hyperlink"/>
      <w:u w:val="single"/>
    </w:rPr>
  </w:style>
  <w:style w:type="paragraph" w:styleId="Footer">
    <w:name w:val="footer"/>
    <w:basedOn w:val="Normal"/>
    <w:link w:val="FooterChar"/>
    <w:uiPriority w:val="99"/>
    <w:unhideWhenUsed/>
    <w:rsid w:val="00AD04F1"/>
    <w:pPr>
      <w:tabs>
        <w:tab w:val="center" w:pos="4513"/>
        <w:tab w:val="right" w:pos="9026"/>
      </w:tabs>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AD04F1"/>
  </w:style>
  <w:style w:type="character" w:styleId="PageNumber">
    <w:name w:val="page number"/>
    <w:basedOn w:val="DefaultParagraphFont"/>
    <w:uiPriority w:val="99"/>
    <w:semiHidden/>
    <w:unhideWhenUsed/>
    <w:rsid w:val="00AD04F1"/>
  </w:style>
  <w:style w:type="character" w:styleId="FollowedHyperlink">
    <w:name w:val="FollowedHyperlink"/>
    <w:basedOn w:val="DefaultParagraphFont"/>
    <w:uiPriority w:val="99"/>
    <w:semiHidden/>
    <w:unhideWhenUsed/>
    <w:rsid w:val="00E47C89"/>
    <w:rPr>
      <w:color w:val="954F72" w:themeColor="followedHyperlink"/>
      <w:u w:val="single"/>
    </w:rPr>
  </w:style>
  <w:style w:type="character" w:customStyle="1" w:styleId="Heading1Char">
    <w:name w:val="Heading 1 Char"/>
    <w:basedOn w:val="DefaultParagraphFont"/>
    <w:link w:val="Heading1"/>
    <w:uiPriority w:val="9"/>
    <w:rsid w:val="003D72B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7293C"/>
    <w:pPr>
      <w:tabs>
        <w:tab w:val="center" w:pos="4513"/>
        <w:tab w:val="right" w:pos="9026"/>
      </w:tabs>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57293C"/>
  </w:style>
  <w:style w:type="paragraph" w:styleId="BalloonText">
    <w:name w:val="Balloon Text"/>
    <w:basedOn w:val="Normal"/>
    <w:link w:val="BalloonTextChar"/>
    <w:uiPriority w:val="99"/>
    <w:semiHidden/>
    <w:unhideWhenUsed/>
    <w:rsid w:val="00313809"/>
    <w:rPr>
      <w:rFonts w:eastAsiaTheme="minorHAnsi"/>
      <w:sz w:val="18"/>
      <w:szCs w:val="18"/>
      <w:lang w:val="en-US" w:eastAsia="en-US"/>
    </w:rPr>
  </w:style>
  <w:style w:type="character" w:customStyle="1" w:styleId="BalloonTextChar">
    <w:name w:val="Balloon Text Char"/>
    <w:basedOn w:val="DefaultParagraphFont"/>
    <w:link w:val="BalloonText"/>
    <w:uiPriority w:val="99"/>
    <w:semiHidden/>
    <w:rsid w:val="00313809"/>
    <w:rPr>
      <w:rFonts w:ascii="Times New Roman" w:hAnsi="Times New Roman" w:cs="Times New Roman"/>
      <w:sz w:val="18"/>
      <w:szCs w:val="18"/>
    </w:rPr>
  </w:style>
  <w:style w:type="paragraph" w:styleId="NormalWeb">
    <w:name w:val="Normal (Web)"/>
    <w:basedOn w:val="Normal"/>
    <w:uiPriority w:val="99"/>
    <w:semiHidden/>
    <w:unhideWhenUsed/>
    <w:rsid w:val="00FC4CE2"/>
    <w:pPr>
      <w:spacing w:before="100" w:beforeAutospacing="1" w:after="100" w:afterAutospacing="1"/>
    </w:pPr>
  </w:style>
  <w:style w:type="character" w:styleId="UnresolvedMention">
    <w:name w:val="Unresolved Mention"/>
    <w:basedOn w:val="DefaultParagraphFont"/>
    <w:uiPriority w:val="99"/>
    <w:rsid w:val="00B25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9825">
      <w:bodyDiv w:val="1"/>
      <w:marLeft w:val="0"/>
      <w:marRight w:val="0"/>
      <w:marTop w:val="0"/>
      <w:marBottom w:val="0"/>
      <w:divBdr>
        <w:top w:val="none" w:sz="0" w:space="0" w:color="auto"/>
        <w:left w:val="none" w:sz="0" w:space="0" w:color="auto"/>
        <w:bottom w:val="none" w:sz="0" w:space="0" w:color="auto"/>
        <w:right w:val="none" w:sz="0" w:space="0" w:color="auto"/>
      </w:divBdr>
      <w:divsChild>
        <w:div w:id="291012434">
          <w:marLeft w:val="0"/>
          <w:marRight w:val="0"/>
          <w:marTop w:val="0"/>
          <w:marBottom w:val="0"/>
          <w:divBdr>
            <w:top w:val="none" w:sz="0" w:space="0" w:color="auto"/>
            <w:left w:val="none" w:sz="0" w:space="0" w:color="auto"/>
            <w:bottom w:val="none" w:sz="0" w:space="0" w:color="auto"/>
            <w:right w:val="none" w:sz="0" w:space="0" w:color="auto"/>
          </w:divBdr>
        </w:div>
        <w:div w:id="478807385">
          <w:marLeft w:val="0"/>
          <w:marRight w:val="0"/>
          <w:marTop w:val="0"/>
          <w:marBottom w:val="0"/>
          <w:divBdr>
            <w:top w:val="none" w:sz="0" w:space="0" w:color="auto"/>
            <w:left w:val="none" w:sz="0" w:space="0" w:color="auto"/>
            <w:bottom w:val="none" w:sz="0" w:space="0" w:color="auto"/>
            <w:right w:val="none" w:sz="0" w:space="0" w:color="auto"/>
          </w:divBdr>
        </w:div>
        <w:div w:id="847787542">
          <w:marLeft w:val="0"/>
          <w:marRight w:val="0"/>
          <w:marTop w:val="0"/>
          <w:marBottom w:val="0"/>
          <w:divBdr>
            <w:top w:val="none" w:sz="0" w:space="0" w:color="auto"/>
            <w:left w:val="none" w:sz="0" w:space="0" w:color="auto"/>
            <w:bottom w:val="none" w:sz="0" w:space="0" w:color="auto"/>
            <w:right w:val="none" w:sz="0" w:space="0" w:color="auto"/>
          </w:divBdr>
        </w:div>
      </w:divsChild>
    </w:div>
    <w:div w:id="13195958">
      <w:bodyDiv w:val="1"/>
      <w:marLeft w:val="0"/>
      <w:marRight w:val="0"/>
      <w:marTop w:val="0"/>
      <w:marBottom w:val="0"/>
      <w:divBdr>
        <w:top w:val="none" w:sz="0" w:space="0" w:color="auto"/>
        <w:left w:val="none" w:sz="0" w:space="0" w:color="auto"/>
        <w:bottom w:val="none" w:sz="0" w:space="0" w:color="auto"/>
        <w:right w:val="none" w:sz="0" w:space="0" w:color="auto"/>
      </w:divBdr>
    </w:div>
    <w:div w:id="73086022">
      <w:bodyDiv w:val="1"/>
      <w:marLeft w:val="0"/>
      <w:marRight w:val="0"/>
      <w:marTop w:val="0"/>
      <w:marBottom w:val="0"/>
      <w:divBdr>
        <w:top w:val="none" w:sz="0" w:space="0" w:color="auto"/>
        <w:left w:val="none" w:sz="0" w:space="0" w:color="auto"/>
        <w:bottom w:val="none" w:sz="0" w:space="0" w:color="auto"/>
        <w:right w:val="none" w:sz="0" w:space="0" w:color="auto"/>
      </w:divBdr>
    </w:div>
    <w:div w:id="87167485">
      <w:bodyDiv w:val="1"/>
      <w:marLeft w:val="0"/>
      <w:marRight w:val="0"/>
      <w:marTop w:val="0"/>
      <w:marBottom w:val="0"/>
      <w:divBdr>
        <w:top w:val="none" w:sz="0" w:space="0" w:color="auto"/>
        <w:left w:val="none" w:sz="0" w:space="0" w:color="auto"/>
        <w:bottom w:val="none" w:sz="0" w:space="0" w:color="auto"/>
        <w:right w:val="none" w:sz="0" w:space="0" w:color="auto"/>
      </w:divBdr>
    </w:div>
    <w:div w:id="87583005">
      <w:bodyDiv w:val="1"/>
      <w:marLeft w:val="0"/>
      <w:marRight w:val="0"/>
      <w:marTop w:val="0"/>
      <w:marBottom w:val="0"/>
      <w:divBdr>
        <w:top w:val="none" w:sz="0" w:space="0" w:color="auto"/>
        <w:left w:val="none" w:sz="0" w:space="0" w:color="auto"/>
        <w:bottom w:val="none" w:sz="0" w:space="0" w:color="auto"/>
        <w:right w:val="none" w:sz="0" w:space="0" w:color="auto"/>
      </w:divBdr>
    </w:div>
    <w:div w:id="92631589">
      <w:bodyDiv w:val="1"/>
      <w:marLeft w:val="0"/>
      <w:marRight w:val="0"/>
      <w:marTop w:val="0"/>
      <w:marBottom w:val="0"/>
      <w:divBdr>
        <w:top w:val="none" w:sz="0" w:space="0" w:color="auto"/>
        <w:left w:val="none" w:sz="0" w:space="0" w:color="auto"/>
        <w:bottom w:val="none" w:sz="0" w:space="0" w:color="auto"/>
        <w:right w:val="none" w:sz="0" w:space="0" w:color="auto"/>
      </w:divBdr>
    </w:div>
    <w:div w:id="103038180">
      <w:bodyDiv w:val="1"/>
      <w:marLeft w:val="0"/>
      <w:marRight w:val="0"/>
      <w:marTop w:val="0"/>
      <w:marBottom w:val="0"/>
      <w:divBdr>
        <w:top w:val="none" w:sz="0" w:space="0" w:color="auto"/>
        <w:left w:val="none" w:sz="0" w:space="0" w:color="auto"/>
        <w:bottom w:val="none" w:sz="0" w:space="0" w:color="auto"/>
        <w:right w:val="none" w:sz="0" w:space="0" w:color="auto"/>
      </w:divBdr>
    </w:div>
    <w:div w:id="122113393">
      <w:bodyDiv w:val="1"/>
      <w:marLeft w:val="0"/>
      <w:marRight w:val="0"/>
      <w:marTop w:val="0"/>
      <w:marBottom w:val="0"/>
      <w:divBdr>
        <w:top w:val="none" w:sz="0" w:space="0" w:color="auto"/>
        <w:left w:val="none" w:sz="0" w:space="0" w:color="auto"/>
        <w:bottom w:val="none" w:sz="0" w:space="0" w:color="auto"/>
        <w:right w:val="none" w:sz="0" w:space="0" w:color="auto"/>
      </w:divBdr>
    </w:div>
    <w:div w:id="127406317">
      <w:bodyDiv w:val="1"/>
      <w:marLeft w:val="0"/>
      <w:marRight w:val="0"/>
      <w:marTop w:val="0"/>
      <w:marBottom w:val="0"/>
      <w:divBdr>
        <w:top w:val="none" w:sz="0" w:space="0" w:color="auto"/>
        <w:left w:val="none" w:sz="0" w:space="0" w:color="auto"/>
        <w:bottom w:val="none" w:sz="0" w:space="0" w:color="auto"/>
        <w:right w:val="none" w:sz="0" w:space="0" w:color="auto"/>
      </w:divBdr>
    </w:div>
    <w:div w:id="131482769">
      <w:bodyDiv w:val="1"/>
      <w:marLeft w:val="0"/>
      <w:marRight w:val="0"/>
      <w:marTop w:val="0"/>
      <w:marBottom w:val="0"/>
      <w:divBdr>
        <w:top w:val="none" w:sz="0" w:space="0" w:color="auto"/>
        <w:left w:val="none" w:sz="0" w:space="0" w:color="auto"/>
        <w:bottom w:val="none" w:sz="0" w:space="0" w:color="auto"/>
        <w:right w:val="none" w:sz="0" w:space="0" w:color="auto"/>
      </w:divBdr>
    </w:div>
    <w:div w:id="134642902">
      <w:bodyDiv w:val="1"/>
      <w:marLeft w:val="0"/>
      <w:marRight w:val="0"/>
      <w:marTop w:val="0"/>
      <w:marBottom w:val="0"/>
      <w:divBdr>
        <w:top w:val="none" w:sz="0" w:space="0" w:color="auto"/>
        <w:left w:val="none" w:sz="0" w:space="0" w:color="auto"/>
        <w:bottom w:val="none" w:sz="0" w:space="0" w:color="auto"/>
        <w:right w:val="none" w:sz="0" w:space="0" w:color="auto"/>
      </w:divBdr>
    </w:div>
    <w:div w:id="148600517">
      <w:bodyDiv w:val="1"/>
      <w:marLeft w:val="0"/>
      <w:marRight w:val="0"/>
      <w:marTop w:val="0"/>
      <w:marBottom w:val="0"/>
      <w:divBdr>
        <w:top w:val="none" w:sz="0" w:space="0" w:color="auto"/>
        <w:left w:val="none" w:sz="0" w:space="0" w:color="auto"/>
        <w:bottom w:val="none" w:sz="0" w:space="0" w:color="auto"/>
        <w:right w:val="none" w:sz="0" w:space="0" w:color="auto"/>
      </w:divBdr>
    </w:div>
    <w:div w:id="163979341">
      <w:bodyDiv w:val="1"/>
      <w:marLeft w:val="0"/>
      <w:marRight w:val="0"/>
      <w:marTop w:val="0"/>
      <w:marBottom w:val="0"/>
      <w:divBdr>
        <w:top w:val="none" w:sz="0" w:space="0" w:color="auto"/>
        <w:left w:val="none" w:sz="0" w:space="0" w:color="auto"/>
        <w:bottom w:val="none" w:sz="0" w:space="0" w:color="auto"/>
        <w:right w:val="none" w:sz="0" w:space="0" w:color="auto"/>
      </w:divBdr>
    </w:div>
    <w:div w:id="166137001">
      <w:bodyDiv w:val="1"/>
      <w:marLeft w:val="0"/>
      <w:marRight w:val="0"/>
      <w:marTop w:val="0"/>
      <w:marBottom w:val="0"/>
      <w:divBdr>
        <w:top w:val="none" w:sz="0" w:space="0" w:color="auto"/>
        <w:left w:val="none" w:sz="0" w:space="0" w:color="auto"/>
        <w:bottom w:val="none" w:sz="0" w:space="0" w:color="auto"/>
        <w:right w:val="none" w:sz="0" w:space="0" w:color="auto"/>
      </w:divBdr>
    </w:div>
    <w:div w:id="174613036">
      <w:bodyDiv w:val="1"/>
      <w:marLeft w:val="0"/>
      <w:marRight w:val="0"/>
      <w:marTop w:val="0"/>
      <w:marBottom w:val="0"/>
      <w:divBdr>
        <w:top w:val="none" w:sz="0" w:space="0" w:color="auto"/>
        <w:left w:val="none" w:sz="0" w:space="0" w:color="auto"/>
        <w:bottom w:val="none" w:sz="0" w:space="0" w:color="auto"/>
        <w:right w:val="none" w:sz="0" w:space="0" w:color="auto"/>
      </w:divBdr>
    </w:div>
    <w:div w:id="175580846">
      <w:bodyDiv w:val="1"/>
      <w:marLeft w:val="0"/>
      <w:marRight w:val="0"/>
      <w:marTop w:val="0"/>
      <w:marBottom w:val="0"/>
      <w:divBdr>
        <w:top w:val="none" w:sz="0" w:space="0" w:color="auto"/>
        <w:left w:val="none" w:sz="0" w:space="0" w:color="auto"/>
        <w:bottom w:val="none" w:sz="0" w:space="0" w:color="auto"/>
        <w:right w:val="none" w:sz="0" w:space="0" w:color="auto"/>
      </w:divBdr>
    </w:div>
    <w:div w:id="177738247">
      <w:bodyDiv w:val="1"/>
      <w:marLeft w:val="0"/>
      <w:marRight w:val="0"/>
      <w:marTop w:val="0"/>
      <w:marBottom w:val="0"/>
      <w:divBdr>
        <w:top w:val="none" w:sz="0" w:space="0" w:color="auto"/>
        <w:left w:val="none" w:sz="0" w:space="0" w:color="auto"/>
        <w:bottom w:val="none" w:sz="0" w:space="0" w:color="auto"/>
        <w:right w:val="none" w:sz="0" w:space="0" w:color="auto"/>
      </w:divBdr>
    </w:div>
    <w:div w:id="183637564">
      <w:bodyDiv w:val="1"/>
      <w:marLeft w:val="0"/>
      <w:marRight w:val="0"/>
      <w:marTop w:val="0"/>
      <w:marBottom w:val="0"/>
      <w:divBdr>
        <w:top w:val="none" w:sz="0" w:space="0" w:color="auto"/>
        <w:left w:val="none" w:sz="0" w:space="0" w:color="auto"/>
        <w:bottom w:val="none" w:sz="0" w:space="0" w:color="auto"/>
        <w:right w:val="none" w:sz="0" w:space="0" w:color="auto"/>
      </w:divBdr>
    </w:div>
    <w:div w:id="189757240">
      <w:bodyDiv w:val="1"/>
      <w:marLeft w:val="0"/>
      <w:marRight w:val="0"/>
      <w:marTop w:val="0"/>
      <w:marBottom w:val="0"/>
      <w:divBdr>
        <w:top w:val="none" w:sz="0" w:space="0" w:color="auto"/>
        <w:left w:val="none" w:sz="0" w:space="0" w:color="auto"/>
        <w:bottom w:val="none" w:sz="0" w:space="0" w:color="auto"/>
        <w:right w:val="none" w:sz="0" w:space="0" w:color="auto"/>
      </w:divBdr>
    </w:div>
    <w:div w:id="190802041">
      <w:bodyDiv w:val="1"/>
      <w:marLeft w:val="0"/>
      <w:marRight w:val="0"/>
      <w:marTop w:val="0"/>
      <w:marBottom w:val="0"/>
      <w:divBdr>
        <w:top w:val="none" w:sz="0" w:space="0" w:color="auto"/>
        <w:left w:val="none" w:sz="0" w:space="0" w:color="auto"/>
        <w:bottom w:val="none" w:sz="0" w:space="0" w:color="auto"/>
        <w:right w:val="none" w:sz="0" w:space="0" w:color="auto"/>
      </w:divBdr>
    </w:div>
    <w:div w:id="208568257">
      <w:bodyDiv w:val="1"/>
      <w:marLeft w:val="0"/>
      <w:marRight w:val="0"/>
      <w:marTop w:val="0"/>
      <w:marBottom w:val="0"/>
      <w:divBdr>
        <w:top w:val="none" w:sz="0" w:space="0" w:color="auto"/>
        <w:left w:val="none" w:sz="0" w:space="0" w:color="auto"/>
        <w:bottom w:val="none" w:sz="0" w:space="0" w:color="auto"/>
        <w:right w:val="none" w:sz="0" w:space="0" w:color="auto"/>
      </w:divBdr>
    </w:div>
    <w:div w:id="227501340">
      <w:bodyDiv w:val="1"/>
      <w:marLeft w:val="0"/>
      <w:marRight w:val="0"/>
      <w:marTop w:val="0"/>
      <w:marBottom w:val="0"/>
      <w:divBdr>
        <w:top w:val="none" w:sz="0" w:space="0" w:color="auto"/>
        <w:left w:val="none" w:sz="0" w:space="0" w:color="auto"/>
        <w:bottom w:val="none" w:sz="0" w:space="0" w:color="auto"/>
        <w:right w:val="none" w:sz="0" w:space="0" w:color="auto"/>
      </w:divBdr>
    </w:div>
    <w:div w:id="248664657">
      <w:bodyDiv w:val="1"/>
      <w:marLeft w:val="0"/>
      <w:marRight w:val="0"/>
      <w:marTop w:val="0"/>
      <w:marBottom w:val="0"/>
      <w:divBdr>
        <w:top w:val="none" w:sz="0" w:space="0" w:color="auto"/>
        <w:left w:val="none" w:sz="0" w:space="0" w:color="auto"/>
        <w:bottom w:val="none" w:sz="0" w:space="0" w:color="auto"/>
        <w:right w:val="none" w:sz="0" w:space="0" w:color="auto"/>
      </w:divBdr>
    </w:div>
    <w:div w:id="280108550">
      <w:bodyDiv w:val="1"/>
      <w:marLeft w:val="0"/>
      <w:marRight w:val="0"/>
      <w:marTop w:val="0"/>
      <w:marBottom w:val="0"/>
      <w:divBdr>
        <w:top w:val="none" w:sz="0" w:space="0" w:color="auto"/>
        <w:left w:val="none" w:sz="0" w:space="0" w:color="auto"/>
        <w:bottom w:val="none" w:sz="0" w:space="0" w:color="auto"/>
        <w:right w:val="none" w:sz="0" w:space="0" w:color="auto"/>
      </w:divBdr>
    </w:div>
    <w:div w:id="295448183">
      <w:bodyDiv w:val="1"/>
      <w:marLeft w:val="0"/>
      <w:marRight w:val="0"/>
      <w:marTop w:val="0"/>
      <w:marBottom w:val="0"/>
      <w:divBdr>
        <w:top w:val="none" w:sz="0" w:space="0" w:color="auto"/>
        <w:left w:val="none" w:sz="0" w:space="0" w:color="auto"/>
        <w:bottom w:val="none" w:sz="0" w:space="0" w:color="auto"/>
        <w:right w:val="none" w:sz="0" w:space="0" w:color="auto"/>
      </w:divBdr>
    </w:div>
    <w:div w:id="306976261">
      <w:bodyDiv w:val="1"/>
      <w:marLeft w:val="0"/>
      <w:marRight w:val="0"/>
      <w:marTop w:val="0"/>
      <w:marBottom w:val="0"/>
      <w:divBdr>
        <w:top w:val="none" w:sz="0" w:space="0" w:color="auto"/>
        <w:left w:val="none" w:sz="0" w:space="0" w:color="auto"/>
        <w:bottom w:val="none" w:sz="0" w:space="0" w:color="auto"/>
        <w:right w:val="none" w:sz="0" w:space="0" w:color="auto"/>
      </w:divBdr>
      <w:divsChild>
        <w:div w:id="1490944214">
          <w:marLeft w:val="0"/>
          <w:marRight w:val="0"/>
          <w:marTop w:val="0"/>
          <w:marBottom w:val="0"/>
          <w:divBdr>
            <w:top w:val="none" w:sz="0" w:space="0" w:color="auto"/>
            <w:left w:val="none" w:sz="0" w:space="0" w:color="auto"/>
            <w:bottom w:val="none" w:sz="0" w:space="0" w:color="auto"/>
            <w:right w:val="none" w:sz="0" w:space="0" w:color="auto"/>
          </w:divBdr>
          <w:divsChild>
            <w:div w:id="1692106633">
              <w:marLeft w:val="0"/>
              <w:marRight w:val="0"/>
              <w:marTop w:val="0"/>
              <w:marBottom w:val="0"/>
              <w:divBdr>
                <w:top w:val="none" w:sz="0" w:space="0" w:color="auto"/>
                <w:left w:val="none" w:sz="0" w:space="0" w:color="auto"/>
                <w:bottom w:val="none" w:sz="0" w:space="0" w:color="auto"/>
                <w:right w:val="none" w:sz="0" w:space="0" w:color="auto"/>
              </w:divBdr>
              <w:divsChild>
                <w:div w:id="226575574">
                  <w:marLeft w:val="0"/>
                  <w:marRight w:val="0"/>
                  <w:marTop w:val="0"/>
                  <w:marBottom w:val="0"/>
                  <w:divBdr>
                    <w:top w:val="none" w:sz="0" w:space="0" w:color="auto"/>
                    <w:left w:val="none" w:sz="0" w:space="0" w:color="auto"/>
                    <w:bottom w:val="none" w:sz="0" w:space="0" w:color="auto"/>
                    <w:right w:val="none" w:sz="0" w:space="0" w:color="auto"/>
                  </w:divBdr>
                  <w:divsChild>
                    <w:div w:id="22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013077">
      <w:bodyDiv w:val="1"/>
      <w:marLeft w:val="0"/>
      <w:marRight w:val="0"/>
      <w:marTop w:val="0"/>
      <w:marBottom w:val="0"/>
      <w:divBdr>
        <w:top w:val="none" w:sz="0" w:space="0" w:color="auto"/>
        <w:left w:val="none" w:sz="0" w:space="0" w:color="auto"/>
        <w:bottom w:val="none" w:sz="0" w:space="0" w:color="auto"/>
        <w:right w:val="none" w:sz="0" w:space="0" w:color="auto"/>
      </w:divBdr>
    </w:div>
    <w:div w:id="377516841">
      <w:bodyDiv w:val="1"/>
      <w:marLeft w:val="0"/>
      <w:marRight w:val="0"/>
      <w:marTop w:val="0"/>
      <w:marBottom w:val="0"/>
      <w:divBdr>
        <w:top w:val="none" w:sz="0" w:space="0" w:color="auto"/>
        <w:left w:val="none" w:sz="0" w:space="0" w:color="auto"/>
        <w:bottom w:val="none" w:sz="0" w:space="0" w:color="auto"/>
        <w:right w:val="none" w:sz="0" w:space="0" w:color="auto"/>
      </w:divBdr>
    </w:div>
    <w:div w:id="390737046">
      <w:bodyDiv w:val="1"/>
      <w:marLeft w:val="0"/>
      <w:marRight w:val="0"/>
      <w:marTop w:val="0"/>
      <w:marBottom w:val="0"/>
      <w:divBdr>
        <w:top w:val="none" w:sz="0" w:space="0" w:color="auto"/>
        <w:left w:val="none" w:sz="0" w:space="0" w:color="auto"/>
        <w:bottom w:val="none" w:sz="0" w:space="0" w:color="auto"/>
        <w:right w:val="none" w:sz="0" w:space="0" w:color="auto"/>
      </w:divBdr>
    </w:div>
    <w:div w:id="409040251">
      <w:bodyDiv w:val="1"/>
      <w:marLeft w:val="0"/>
      <w:marRight w:val="0"/>
      <w:marTop w:val="0"/>
      <w:marBottom w:val="0"/>
      <w:divBdr>
        <w:top w:val="none" w:sz="0" w:space="0" w:color="auto"/>
        <w:left w:val="none" w:sz="0" w:space="0" w:color="auto"/>
        <w:bottom w:val="none" w:sz="0" w:space="0" w:color="auto"/>
        <w:right w:val="none" w:sz="0" w:space="0" w:color="auto"/>
      </w:divBdr>
    </w:div>
    <w:div w:id="413281053">
      <w:bodyDiv w:val="1"/>
      <w:marLeft w:val="0"/>
      <w:marRight w:val="0"/>
      <w:marTop w:val="0"/>
      <w:marBottom w:val="0"/>
      <w:divBdr>
        <w:top w:val="none" w:sz="0" w:space="0" w:color="auto"/>
        <w:left w:val="none" w:sz="0" w:space="0" w:color="auto"/>
        <w:bottom w:val="none" w:sz="0" w:space="0" w:color="auto"/>
        <w:right w:val="none" w:sz="0" w:space="0" w:color="auto"/>
      </w:divBdr>
    </w:div>
    <w:div w:id="416250070">
      <w:bodyDiv w:val="1"/>
      <w:marLeft w:val="0"/>
      <w:marRight w:val="0"/>
      <w:marTop w:val="0"/>
      <w:marBottom w:val="0"/>
      <w:divBdr>
        <w:top w:val="none" w:sz="0" w:space="0" w:color="auto"/>
        <w:left w:val="none" w:sz="0" w:space="0" w:color="auto"/>
        <w:bottom w:val="none" w:sz="0" w:space="0" w:color="auto"/>
        <w:right w:val="none" w:sz="0" w:space="0" w:color="auto"/>
      </w:divBdr>
    </w:div>
    <w:div w:id="432894388">
      <w:bodyDiv w:val="1"/>
      <w:marLeft w:val="0"/>
      <w:marRight w:val="0"/>
      <w:marTop w:val="0"/>
      <w:marBottom w:val="0"/>
      <w:divBdr>
        <w:top w:val="none" w:sz="0" w:space="0" w:color="auto"/>
        <w:left w:val="none" w:sz="0" w:space="0" w:color="auto"/>
        <w:bottom w:val="none" w:sz="0" w:space="0" w:color="auto"/>
        <w:right w:val="none" w:sz="0" w:space="0" w:color="auto"/>
      </w:divBdr>
    </w:div>
    <w:div w:id="440153143">
      <w:bodyDiv w:val="1"/>
      <w:marLeft w:val="0"/>
      <w:marRight w:val="0"/>
      <w:marTop w:val="0"/>
      <w:marBottom w:val="0"/>
      <w:divBdr>
        <w:top w:val="none" w:sz="0" w:space="0" w:color="auto"/>
        <w:left w:val="none" w:sz="0" w:space="0" w:color="auto"/>
        <w:bottom w:val="none" w:sz="0" w:space="0" w:color="auto"/>
        <w:right w:val="none" w:sz="0" w:space="0" w:color="auto"/>
      </w:divBdr>
    </w:div>
    <w:div w:id="463885576">
      <w:bodyDiv w:val="1"/>
      <w:marLeft w:val="0"/>
      <w:marRight w:val="0"/>
      <w:marTop w:val="0"/>
      <w:marBottom w:val="0"/>
      <w:divBdr>
        <w:top w:val="none" w:sz="0" w:space="0" w:color="auto"/>
        <w:left w:val="none" w:sz="0" w:space="0" w:color="auto"/>
        <w:bottom w:val="none" w:sz="0" w:space="0" w:color="auto"/>
        <w:right w:val="none" w:sz="0" w:space="0" w:color="auto"/>
      </w:divBdr>
    </w:div>
    <w:div w:id="479808590">
      <w:bodyDiv w:val="1"/>
      <w:marLeft w:val="0"/>
      <w:marRight w:val="0"/>
      <w:marTop w:val="0"/>
      <w:marBottom w:val="0"/>
      <w:divBdr>
        <w:top w:val="none" w:sz="0" w:space="0" w:color="auto"/>
        <w:left w:val="none" w:sz="0" w:space="0" w:color="auto"/>
        <w:bottom w:val="none" w:sz="0" w:space="0" w:color="auto"/>
        <w:right w:val="none" w:sz="0" w:space="0" w:color="auto"/>
      </w:divBdr>
    </w:div>
    <w:div w:id="538662260">
      <w:bodyDiv w:val="1"/>
      <w:marLeft w:val="0"/>
      <w:marRight w:val="0"/>
      <w:marTop w:val="0"/>
      <w:marBottom w:val="0"/>
      <w:divBdr>
        <w:top w:val="none" w:sz="0" w:space="0" w:color="auto"/>
        <w:left w:val="none" w:sz="0" w:space="0" w:color="auto"/>
        <w:bottom w:val="none" w:sz="0" w:space="0" w:color="auto"/>
        <w:right w:val="none" w:sz="0" w:space="0" w:color="auto"/>
      </w:divBdr>
    </w:div>
    <w:div w:id="542600581">
      <w:bodyDiv w:val="1"/>
      <w:marLeft w:val="0"/>
      <w:marRight w:val="0"/>
      <w:marTop w:val="0"/>
      <w:marBottom w:val="0"/>
      <w:divBdr>
        <w:top w:val="none" w:sz="0" w:space="0" w:color="auto"/>
        <w:left w:val="none" w:sz="0" w:space="0" w:color="auto"/>
        <w:bottom w:val="none" w:sz="0" w:space="0" w:color="auto"/>
        <w:right w:val="none" w:sz="0" w:space="0" w:color="auto"/>
      </w:divBdr>
    </w:div>
    <w:div w:id="545723782">
      <w:bodyDiv w:val="1"/>
      <w:marLeft w:val="0"/>
      <w:marRight w:val="0"/>
      <w:marTop w:val="0"/>
      <w:marBottom w:val="0"/>
      <w:divBdr>
        <w:top w:val="none" w:sz="0" w:space="0" w:color="auto"/>
        <w:left w:val="none" w:sz="0" w:space="0" w:color="auto"/>
        <w:bottom w:val="none" w:sz="0" w:space="0" w:color="auto"/>
        <w:right w:val="none" w:sz="0" w:space="0" w:color="auto"/>
      </w:divBdr>
    </w:div>
    <w:div w:id="576592080">
      <w:bodyDiv w:val="1"/>
      <w:marLeft w:val="0"/>
      <w:marRight w:val="0"/>
      <w:marTop w:val="0"/>
      <w:marBottom w:val="0"/>
      <w:divBdr>
        <w:top w:val="none" w:sz="0" w:space="0" w:color="auto"/>
        <w:left w:val="none" w:sz="0" w:space="0" w:color="auto"/>
        <w:bottom w:val="none" w:sz="0" w:space="0" w:color="auto"/>
        <w:right w:val="none" w:sz="0" w:space="0" w:color="auto"/>
      </w:divBdr>
    </w:div>
    <w:div w:id="585189626">
      <w:bodyDiv w:val="1"/>
      <w:marLeft w:val="0"/>
      <w:marRight w:val="0"/>
      <w:marTop w:val="0"/>
      <w:marBottom w:val="0"/>
      <w:divBdr>
        <w:top w:val="none" w:sz="0" w:space="0" w:color="auto"/>
        <w:left w:val="none" w:sz="0" w:space="0" w:color="auto"/>
        <w:bottom w:val="none" w:sz="0" w:space="0" w:color="auto"/>
        <w:right w:val="none" w:sz="0" w:space="0" w:color="auto"/>
      </w:divBdr>
    </w:div>
    <w:div w:id="602806093">
      <w:bodyDiv w:val="1"/>
      <w:marLeft w:val="0"/>
      <w:marRight w:val="0"/>
      <w:marTop w:val="0"/>
      <w:marBottom w:val="0"/>
      <w:divBdr>
        <w:top w:val="none" w:sz="0" w:space="0" w:color="auto"/>
        <w:left w:val="none" w:sz="0" w:space="0" w:color="auto"/>
        <w:bottom w:val="none" w:sz="0" w:space="0" w:color="auto"/>
        <w:right w:val="none" w:sz="0" w:space="0" w:color="auto"/>
      </w:divBdr>
    </w:div>
    <w:div w:id="614487025">
      <w:bodyDiv w:val="1"/>
      <w:marLeft w:val="0"/>
      <w:marRight w:val="0"/>
      <w:marTop w:val="0"/>
      <w:marBottom w:val="0"/>
      <w:divBdr>
        <w:top w:val="none" w:sz="0" w:space="0" w:color="auto"/>
        <w:left w:val="none" w:sz="0" w:space="0" w:color="auto"/>
        <w:bottom w:val="none" w:sz="0" w:space="0" w:color="auto"/>
        <w:right w:val="none" w:sz="0" w:space="0" w:color="auto"/>
      </w:divBdr>
    </w:div>
    <w:div w:id="674260377">
      <w:bodyDiv w:val="1"/>
      <w:marLeft w:val="0"/>
      <w:marRight w:val="0"/>
      <w:marTop w:val="0"/>
      <w:marBottom w:val="0"/>
      <w:divBdr>
        <w:top w:val="none" w:sz="0" w:space="0" w:color="auto"/>
        <w:left w:val="none" w:sz="0" w:space="0" w:color="auto"/>
        <w:bottom w:val="none" w:sz="0" w:space="0" w:color="auto"/>
        <w:right w:val="none" w:sz="0" w:space="0" w:color="auto"/>
      </w:divBdr>
    </w:div>
    <w:div w:id="678386530">
      <w:bodyDiv w:val="1"/>
      <w:marLeft w:val="0"/>
      <w:marRight w:val="0"/>
      <w:marTop w:val="0"/>
      <w:marBottom w:val="0"/>
      <w:divBdr>
        <w:top w:val="none" w:sz="0" w:space="0" w:color="auto"/>
        <w:left w:val="none" w:sz="0" w:space="0" w:color="auto"/>
        <w:bottom w:val="none" w:sz="0" w:space="0" w:color="auto"/>
        <w:right w:val="none" w:sz="0" w:space="0" w:color="auto"/>
      </w:divBdr>
    </w:div>
    <w:div w:id="710308686">
      <w:bodyDiv w:val="1"/>
      <w:marLeft w:val="0"/>
      <w:marRight w:val="0"/>
      <w:marTop w:val="0"/>
      <w:marBottom w:val="0"/>
      <w:divBdr>
        <w:top w:val="none" w:sz="0" w:space="0" w:color="auto"/>
        <w:left w:val="none" w:sz="0" w:space="0" w:color="auto"/>
        <w:bottom w:val="none" w:sz="0" w:space="0" w:color="auto"/>
        <w:right w:val="none" w:sz="0" w:space="0" w:color="auto"/>
      </w:divBdr>
    </w:div>
    <w:div w:id="712653753">
      <w:bodyDiv w:val="1"/>
      <w:marLeft w:val="0"/>
      <w:marRight w:val="0"/>
      <w:marTop w:val="0"/>
      <w:marBottom w:val="0"/>
      <w:divBdr>
        <w:top w:val="none" w:sz="0" w:space="0" w:color="auto"/>
        <w:left w:val="none" w:sz="0" w:space="0" w:color="auto"/>
        <w:bottom w:val="none" w:sz="0" w:space="0" w:color="auto"/>
        <w:right w:val="none" w:sz="0" w:space="0" w:color="auto"/>
      </w:divBdr>
    </w:div>
    <w:div w:id="724062551">
      <w:bodyDiv w:val="1"/>
      <w:marLeft w:val="0"/>
      <w:marRight w:val="0"/>
      <w:marTop w:val="0"/>
      <w:marBottom w:val="0"/>
      <w:divBdr>
        <w:top w:val="none" w:sz="0" w:space="0" w:color="auto"/>
        <w:left w:val="none" w:sz="0" w:space="0" w:color="auto"/>
        <w:bottom w:val="none" w:sz="0" w:space="0" w:color="auto"/>
        <w:right w:val="none" w:sz="0" w:space="0" w:color="auto"/>
      </w:divBdr>
    </w:div>
    <w:div w:id="727805419">
      <w:bodyDiv w:val="1"/>
      <w:marLeft w:val="0"/>
      <w:marRight w:val="0"/>
      <w:marTop w:val="0"/>
      <w:marBottom w:val="0"/>
      <w:divBdr>
        <w:top w:val="none" w:sz="0" w:space="0" w:color="auto"/>
        <w:left w:val="none" w:sz="0" w:space="0" w:color="auto"/>
        <w:bottom w:val="none" w:sz="0" w:space="0" w:color="auto"/>
        <w:right w:val="none" w:sz="0" w:space="0" w:color="auto"/>
      </w:divBdr>
    </w:div>
    <w:div w:id="731275098">
      <w:bodyDiv w:val="1"/>
      <w:marLeft w:val="0"/>
      <w:marRight w:val="0"/>
      <w:marTop w:val="0"/>
      <w:marBottom w:val="0"/>
      <w:divBdr>
        <w:top w:val="none" w:sz="0" w:space="0" w:color="auto"/>
        <w:left w:val="none" w:sz="0" w:space="0" w:color="auto"/>
        <w:bottom w:val="none" w:sz="0" w:space="0" w:color="auto"/>
        <w:right w:val="none" w:sz="0" w:space="0" w:color="auto"/>
      </w:divBdr>
    </w:div>
    <w:div w:id="740253142">
      <w:bodyDiv w:val="1"/>
      <w:marLeft w:val="0"/>
      <w:marRight w:val="0"/>
      <w:marTop w:val="0"/>
      <w:marBottom w:val="0"/>
      <w:divBdr>
        <w:top w:val="none" w:sz="0" w:space="0" w:color="auto"/>
        <w:left w:val="none" w:sz="0" w:space="0" w:color="auto"/>
        <w:bottom w:val="none" w:sz="0" w:space="0" w:color="auto"/>
        <w:right w:val="none" w:sz="0" w:space="0" w:color="auto"/>
      </w:divBdr>
    </w:div>
    <w:div w:id="753824332">
      <w:bodyDiv w:val="1"/>
      <w:marLeft w:val="0"/>
      <w:marRight w:val="0"/>
      <w:marTop w:val="0"/>
      <w:marBottom w:val="0"/>
      <w:divBdr>
        <w:top w:val="none" w:sz="0" w:space="0" w:color="auto"/>
        <w:left w:val="none" w:sz="0" w:space="0" w:color="auto"/>
        <w:bottom w:val="none" w:sz="0" w:space="0" w:color="auto"/>
        <w:right w:val="none" w:sz="0" w:space="0" w:color="auto"/>
      </w:divBdr>
    </w:div>
    <w:div w:id="757293113">
      <w:bodyDiv w:val="1"/>
      <w:marLeft w:val="0"/>
      <w:marRight w:val="0"/>
      <w:marTop w:val="0"/>
      <w:marBottom w:val="0"/>
      <w:divBdr>
        <w:top w:val="none" w:sz="0" w:space="0" w:color="auto"/>
        <w:left w:val="none" w:sz="0" w:space="0" w:color="auto"/>
        <w:bottom w:val="none" w:sz="0" w:space="0" w:color="auto"/>
        <w:right w:val="none" w:sz="0" w:space="0" w:color="auto"/>
      </w:divBdr>
    </w:div>
    <w:div w:id="757561803">
      <w:bodyDiv w:val="1"/>
      <w:marLeft w:val="0"/>
      <w:marRight w:val="0"/>
      <w:marTop w:val="0"/>
      <w:marBottom w:val="0"/>
      <w:divBdr>
        <w:top w:val="none" w:sz="0" w:space="0" w:color="auto"/>
        <w:left w:val="none" w:sz="0" w:space="0" w:color="auto"/>
        <w:bottom w:val="none" w:sz="0" w:space="0" w:color="auto"/>
        <w:right w:val="none" w:sz="0" w:space="0" w:color="auto"/>
      </w:divBdr>
    </w:div>
    <w:div w:id="803893094">
      <w:bodyDiv w:val="1"/>
      <w:marLeft w:val="0"/>
      <w:marRight w:val="0"/>
      <w:marTop w:val="0"/>
      <w:marBottom w:val="0"/>
      <w:divBdr>
        <w:top w:val="none" w:sz="0" w:space="0" w:color="auto"/>
        <w:left w:val="none" w:sz="0" w:space="0" w:color="auto"/>
        <w:bottom w:val="none" w:sz="0" w:space="0" w:color="auto"/>
        <w:right w:val="none" w:sz="0" w:space="0" w:color="auto"/>
      </w:divBdr>
    </w:div>
    <w:div w:id="805663927">
      <w:bodyDiv w:val="1"/>
      <w:marLeft w:val="0"/>
      <w:marRight w:val="0"/>
      <w:marTop w:val="0"/>
      <w:marBottom w:val="0"/>
      <w:divBdr>
        <w:top w:val="none" w:sz="0" w:space="0" w:color="auto"/>
        <w:left w:val="none" w:sz="0" w:space="0" w:color="auto"/>
        <w:bottom w:val="none" w:sz="0" w:space="0" w:color="auto"/>
        <w:right w:val="none" w:sz="0" w:space="0" w:color="auto"/>
      </w:divBdr>
    </w:div>
    <w:div w:id="816337441">
      <w:bodyDiv w:val="1"/>
      <w:marLeft w:val="0"/>
      <w:marRight w:val="0"/>
      <w:marTop w:val="0"/>
      <w:marBottom w:val="0"/>
      <w:divBdr>
        <w:top w:val="none" w:sz="0" w:space="0" w:color="auto"/>
        <w:left w:val="none" w:sz="0" w:space="0" w:color="auto"/>
        <w:bottom w:val="none" w:sz="0" w:space="0" w:color="auto"/>
        <w:right w:val="none" w:sz="0" w:space="0" w:color="auto"/>
      </w:divBdr>
    </w:div>
    <w:div w:id="818036542">
      <w:bodyDiv w:val="1"/>
      <w:marLeft w:val="0"/>
      <w:marRight w:val="0"/>
      <w:marTop w:val="0"/>
      <w:marBottom w:val="0"/>
      <w:divBdr>
        <w:top w:val="none" w:sz="0" w:space="0" w:color="auto"/>
        <w:left w:val="none" w:sz="0" w:space="0" w:color="auto"/>
        <w:bottom w:val="none" w:sz="0" w:space="0" w:color="auto"/>
        <w:right w:val="none" w:sz="0" w:space="0" w:color="auto"/>
      </w:divBdr>
    </w:div>
    <w:div w:id="818767787">
      <w:bodyDiv w:val="1"/>
      <w:marLeft w:val="0"/>
      <w:marRight w:val="0"/>
      <w:marTop w:val="0"/>
      <w:marBottom w:val="0"/>
      <w:divBdr>
        <w:top w:val="none" w:sz="0" w:space="0" w:color="auto"/>
        <w:left w:val="none" w:sz="0" w:space="0" w:color="auto"/>
        <w:bottom w:val="none" w:sz="0" w:space="0" w:color="auto"/>
        <w:right w:val="none" w:sz="0" w:space="0" w:color="auto"/>
      </w:divBdr>
    </w:div>
    <w:div w:id="824978974">
      <w:bodyDiv w:val="1"/>
      <w:marLeft w:val="0"/>
      <w:marRight w:val="0"/>
      <w:marTop w:val="0"/>
      <w:marBottom w:val="0"/>
      <w:divBdr>
        <w:top w:val="none" w:sz="0" w:space="0" w:color="auto"/>
        <w:left w:val="none" w:sz="0" w:space="0" w:color="auto"/>
        <w:bottom w:val="none" w:sz="0" w:space="0" w:color="auto"/>
        <w:right w:val="none" w:sz="0" w:space="0" w:color="auto"/>
      </w:divBdr>
    </w:div>
    <w:div w:id="826018223">
      <w:bodyDiv w:val="1"/>
      <w:marLeft w:val="0"/>
      <w:marRight w:val="0"/>
      <w:marTop w:val="0"/>
      <w:marBottom w:val="0"/>
      <w:divBdr>
        <w:top w:val="none" w:sz="0" w:space="0" w:color="auto"/>
        <w:left w:val="none" w:sz="0" w:space="0" w:color="auto"/>
        <w:bottom w:val="none" w:sz="0" w:space="0" w:color="auto"/>
        <w:right w:val="none" w:sz="0" w:space="0" w:color="auto"/>
      </w:divBdr>
    </w:div>
    <w:div w:id="855773905">
      <w:bodyDiv w:val="1"/>
      <w:marLeft w:val="0"/>
      <w:marRight w:val="0"/>
      <w:marTop w:val="0"/>
      <w:marBottom w:val="0"/>
      <w:divBdr>
        <w:top w:val="none" w:sz="0" w:space="0" w:color="auto"/>
        <w:left w:val="none" w:sz="0" w:space="0" w:color="auto"/>
        <w:bottom w:val="none" w:sz="0" w:space="0" w:color="auto"/>
        <w:right w:val="none" w:sz="0" w:space="0" w:color="auto"/>
      </w:divBdr>
    </w:div>
    <w:div w:id="856306557">
      <w:bodyDiv w:val="1"/>
      <w:marLeft w:val="0"/>
      <w:marRight w:val="0"/>
      <w:marTop w:val="0"/>
      <w:marBottom w:val="0"/>
      <w:divBdr>
        <w:top w:val="none" w:sz="0" w:space="0" w:color="auto"/>
        <w:left w:val="none" w:sz="0" w:space="0" w:color="auto"/>
        <w:bottom w:val="none" w:sz="0" w:space="0" w:color="auto"/>
        <w:right w:val="none" w:sz="0" w:space="0" w:color="auto"/>
      </w:divBdr>
    </w:div>
    <w:div w:id="859852250">
      <w:bodyDiv w:val="1"/>
      <w:marLeft w:val="0"/>
      <w:marRight w:val="0"/>
      <w:marTop w:val="0"/>
      <w:marBottom w:val="0"/>
      <w:divBdr>
        <w:top w:val="none" w:sz="0" w:space="0" w:color="auto"/>
        <w:left w:val="none" w:sz="0" w:space="0" w:color="auto"/>
        <w:bottom w:val="none" w:sz="0" w:space="0" w:color="auto"/>
        <w:right w:val="none" w:sz="0" w:space="0" w:color="auto"/>
      </w:divBdr>
    </w:div>
    <w:div w:id="861748579">
      <w:bodyDiv w:val="1"/>
      <w:marLeft w:val="0"/>
      <w:marRight w:val="0"/>
      <w:marTop w:val="0"/>
      <w:marBottom w:val="0"/>
      <w:divBdr>
        <w:top w:val="none" w:sz="0" w:space="0" w:color="auto"/>
        <w:left w:val="none" w:sz="0" w:space="0" w:color="auto"/>
        <w:bottom w:val="none" w:sz="0" w:space="0" w:color="auto"/>
        <w:right w:val="none" w:sz="0" w:space="0" w:color="auto"/>
      </w:divBdr>
    </w:div>
    <w:div w:id="904098409">
      <w:bodyDiv w:val="1"/>
      <w:marLeft w:val="0"/>
      <w:marRight w:val="0"/>
      <w:marTop w:val="0"/>
      <w:marBottom w:val="0"/>
      <w:divBdr>
        <w:top w:val="none" w:sz="0" w:space="0" w:color="auto"/>
        <w:left w:val="none" w:sz="0" w:space="0" w:color="auto"/>
        <w:bottom w:val="none" w:sz="0" w:space="0" w:color="auto"/>
        <w:right w:val="none" w:sz="0" w:space="0" w:color="auto"/>
      </w:divBdr>
    </w:div>
    <w:div w:id="910890979">
      <w:bodyDiv w:val="1"/>
      <w:marLeft w:val="0"/>
      <w:marRight w:val="0"/>
      <w:marTop w:val="0"/>
      <w:marBottom w:val="0"/>
      <w:divBdr>
        <w:top w:val="none" w:sz="0" w:space="0" w:color="auto"/>
        <w:left w:val="none" w:sz="0" w:space="0" w:color="auto"/>
        <w:bottom w:val="none" w:sz="0" w:space="0" w:color="auto"/>
        <w:right w:val="none" w:sz="0" w:space="0" w:color="auto"/>
      </w:divBdr>
    </w:div>
    <w:div w:id="919557677">
      <w:bodyDiv w:val="1"/>
      <w:marLeft w:val="0"/>
      <w:marRight w:val="0"/>
      <w:marTop w:val="0"/>
      <w:marBottom w:val="0"/>
      <w:divBdr>
        <w:top w:val="none" w:sz="0" w:space="0" w:color="auto"/>
        <w:left w:val="none" w:sz="0" w:space="0" w:color="auto"/>
        <w:bottom w:val="none" w:sz="0" w:space="0" w:color="auto"/>
        <w:right w:val="none" w:sz="0" w:space="0" w:color="auto"/>
      </w:divBdr>
    </w:div>
    <w:div w:id="919873190">
      <w:bodyDiv w:val="1"/>
      <w:marLeft w:val="0"/>
      <w:marRight w:val="0"/>
      <w:marTop w:val="0"/>
      <w:marBottom w:val="0"/>
      <w:divBdr>
        <w:top w:val="none" w:sz="0" w:space="0" w:color="auto"/>
        <w:left w:val="none" w:sz="0" w:space="0" w:color="auto"/>
        <w:bottom w:val="none" w:sz="0" w:space="0" w:color="auto"/>
        <w:right w:val="none" w:sz="0" w:space="0" w:color="auto"/>
      </w:divBdr>
    </w:div>
    <w:div w:id="930506993">
      <w:bodyDiv w:val="1"/>
      <w:marLeft w:val="0"/>
      <w:marRight w:val="0"/>
      <w:marTop w:val="0"/>
      <w:marBottom w:val="0"/>
      <w:divBdr>
        <w:top w:val="none" w:sz="0" w:space="0" w:color="auto"/>
        <w:left w:val="none" w:sz="0" w:space="0" w:color="auto"/>
        <w:bottom w:val="none" w:sz="0" w:space="0" w:color="auto"/>
        <w:right w:val="none" w:sz="0" w:space="0" w:color="auto"/>
      </w:divBdr>
    </w:div>
    <w:div w:id="959725982">
      <w:bodyDiv w:val="1"/>
      <w:marLeft w:val="0"/>
      <w:marRight w:val="0"/>
      <w:marTop w:val="0"/>
      <w:marBottom w:val="0"/>
      <w:divBdr>
        <w:top w:val="none" w:sz="0" w:space="0" w:color="auto"/>
        <w:left w:val="none" w:sz="0" w:space="0" w:color="auto"/>
        <w:bottom w:val="none" w:sz="0" w:space="0" w:color="auto"/>
        <w:right w:val="none" w:sz="0" w:space="0" w:color="auto"/>
      </w:divBdr>
    </w:div>
    <w:div w:id="971446904">
      <w:bodyDiv w:val="1"/>
      <w:marLeft w:val="0"/>
      <w:marRight w:val="0"/>
      <w:marTop w:val="0"/>
      <w:marBottom w:val="0"/>
      <w:divBdr>
        <w:top w:val="none" w:sz="0" w:space="0" w:color="auto"/>
        <w:left w:val="none" w:sz="0" w:space="0" w:color="auto"/>
        <w:bottom w:val="none" w:sz="0" w:space="0" w:color="auto"/>
        <w:right w:val="none" w:sz="0" w:space="0" w:color="auto"/>
      </w:divBdr>
    </w:div>
    <w:div w:id="973565414">
      <w:bodyDiv w:val="1"/>
      <w:marLeft w:val="0"/>
      <w:marRight w:val="0"/>
      <w:marTop w:val="0"/>
      <w:marBottom w:val="0"/>
      <w:divBdr>
        <w:top w:val="none" w:sz="0" w:space="0" w:color="auto"/>
        <w:left w:val="none" w:sz="0" w:space="0" w:color="auto"/>
        <w:bottom w:val="none" w:sz="0" w:space="0" w:color="auto"/>
        <w:right w:val="none" w:sz="0" w:space="0" w:color="auto"/>
      </w:divBdr>
    </w:div>
    <w:div w:id="987633824">
      <w:bodyDiv w:val="1"/>
      <w:marLeft w:val="0"/>
      <w:marRight w:val="0"/>
      <w:marTop w:val="0"/>
      <w:marBottom w:val="0"/>
      <w:divBdr>
        <w:top w:val="none" w:sz="0" w:space="0" w:color="auto"/>
        <w:left w:val="none" w:sz="0" w:space="0" w:color="auto"/>
        <w:bottom w:val="none" w:sz="0" w:space="0" w:color="auto"/>
        <w:right w:val="none" w:sz="0" w:space="0" w:color="auto"/>
      </w:divBdr>
    </w:div>
    <w:div w:id="1007946445">
      <w:bodyDiv w:val="1"/>
      <w:marLeft w:val="0"/>
      <w:marRight w:val="0"/>
      <w:marTop w:val="0"/>
      <w:marBottom w:val="0"/>
      <w:divBdr>
        <w:top w:val="none" w:sz="0" w:space="0" w:color="auto"/>
        <w:left w:val="none" w:sz="0" w:space="0" w:color="auto"/>
        <w:bottom w:val="none" w:sz="0" w:space="0" w:color="auto"/>
        <w:right w:val="none" w:sz="0" w:space="0" w:color="auto"/>
      </w:divBdr>
    </w:div>
    <w:div w:id="1021316118">
      <w:bodyDiv w:val="1"/>
      <w:marLeft w:val="0"/>
      <w:marRight w:val="0"/>
      <w:marTop w:val="0"/>
      <w:marBottom w:val="0"/>
      <w:divBdr>
        <w:top w:val="none" w:sz="0" w:space="0" w:color="auto"/>
        <w:left w:val="none" w:sz="0" w:space="0" w:color="auto"/>
        <w:bottom w:val="none" w:sz="0" w:space="0" w:color="auto"/>
        <w:right w:val="none" w:sz="0" w:space="0" w:color="auto"/>
      </w:divBdr>
    </w:div>
    <w:div w:id="1029381714">
      <w:bodyDiv w:val="1"/>
      <w:marLeft w:val="0"/>
      <w:marRight w:val="0"/>
      <w:marTop w:val="0"/>
      <w:marBottom w:val="0"/>
      <w:divBdr>
        <w:top w:val="none" w:sz="0" w:space="0" w:color="auto"/>
        <w:left w:val="none" w:sz="0" w:space="0" w:color="auto"/>
        <w:bottom w:val="none" w:sz="0" w:space="0" w:color="auto"/>
        <w:right w:val="none" w:sz="0" w:space="0" w:color="auto"/>
      </w:divBdr>
    </w:div>
    <w:div w:id="1032651669">
      <w:bodyDiv w:val="1"/>
      <w:marLeft w:val="0"/>
      <w:marRight w:val="0"/>
      <w:marTop w:val="0"/>
      <w:marBottom w:val="0"/>
      <w:divBdr>
        <w:top w:val="none" w:sz="0" w:space="0" w:color="auto"/>
        <w:left w:val="none" w:sz="0" w:space="0" w:color="auto"/>
        <w:bottom w:val="none" w:sz="0" w:space="0" w:color="auto"/>
        <w:right w:val="none" w:sz="0" w:space="0" w:color="auto"/>
      </w:divBdr>
      <w:divsChild>
        <w:div w:id="1645505510">
          <w:marLeft w:val="0"/>
          <w:marRight w:val="0"/>
          <w:marTop w:val="0"/>
          <w:marBottom w:val="0"/>
          <w:divBdr>
            <w:top w:val="none" w:sz="0" w:space="0" w:color="auto"/>
            <w:left w:val="none" w:sz="0" w:space="0" w:color="auto"/>
            <w:bottom w:val="none" w:sz="0" w:space="0" w:color="auto"/>
            <w:right w:val="none" w:sz="0" w:space="0" w:color="auto"/>
          </w:divBdr>
          <w:divsChild>
            <w:div w:id="813448325">
              <w:marLeft w:val="0"/>
              <w:marRight w:val="0"/>
              <w:marTop w:val="0"/>
              <w:marBottom w:val="0"/>
              <w:divBdr>
                <w:top w:val="none" w:sz="0" w:space="0" w:color="auto"/>
                <w:left w:val="none" w:sz="0" w:space="0" w:color="auto"/>
                <w:bottom w:val="none" w:sz="0" w:space="0" w:color="auto"/>
                <w:right w:val="none" w:sz="0" w:space="0" w:color="auto"/>
              </w:divBdr>
            </w:div>
          </w:divsChild>
        </w:div>
        <w:div w:id="1969242695">
          <w:marLeft w:val="0"/>
          <w:marRight w:val="0"/>
          <w:marTop w:val="0"/>
          <w:marBottom w:val="720"/>
          <w:divBdr>
            <w:top w:val="none" w:sz="0" w:space="0" w:color="auto"/>
            <w:left w:val="none" w:sz="0" w:space="0" w:color="auto"/>
            <w:bottom w:val="single" w:sz="6" w:space="10" w:color="E6E7E8"/>
            <w:right w:val="none" w:sz="0" w:space="0" w:color="auto"/>
          </w:divBdr>
        </w:div>
      </w:divsChild>
    </w:div>
    <w:div w:id="1062142653">
      <w:bodyDiv w:val="1"/>
      <w:marLeft w:val="0"/>
      <w:marRight w:val="0"/>
      <w:marTop w:val="0"/>
      <w:marBottom w:val="0"/>
      <w:divBdr>
        <w:top w:val="none" w:sz="0" w:space="0" w:color="auto"/>
        <w:left w:val="none" w:sz="0" w:space="0" w:color="auto"/>
        <w:bottom w:val="none" w:sz="0" w:space="0" w:color="auto"/>
        <w:right w:val="none" w:sz="0" w:space="0" w:color="auto"/>
      </w:divBdr>
    </w:div>
    <w:div w:id="1082994634">
      <w:bodyDiv w:val="1"/>
      <w:marLeft w:val="0"/>
      <w:marRight w:val="0"/>
      <w:marTop w:val="0"/>
      <w:marBottom w:val="0"/>
      <w:divBdr>
        <w:top w:val="none" w:sz="0" w:space="0" w:color="auto"/>
        <w:left w:val="none" w:sz="0" w:space="0" w:color="auto"/>
        <w:bottom w:val="none" w:sz="0" w:space="0" w:color="auto"/>
        <w:right w:val="none" w:sz="0" w:space="0" w:color="auto"/>
      </w:divBdr>
    </w:div>
    <w:div w:id="1101492163">
      <w:bodyDiv w:val="1"/>
      <w:marLeft w:val="0"/>
      <w:marRight w:val="0"/>
      <w:marTop w:val="0"/>
      <w:marBottom w:val="0"/>
      <w:divBdr>
        <w:top w:val="none" w:sz="0" w:space="0" w:color="auto"/>
        <w:left w:val="none" w:sz="0" w:space="0" w:color="auto"/>
        <w:bottom w:val="none" w:sz="0" w:space="0" w:color="auto"/>
        <w:right w:val="none" w:sz="0" w:space="0" w:color="auto"/>
      </w:divBdr>
    </w:div>
    <w:div w:id="1119033494">
      <w:bodyDiv w:val="1"/>
      <w:marLeft w:val="0"/>
      <w:marRight w:val="0"/>
      <w:marTop w:val="0"/>
      <w:marBottom w:val="0"/>
      <w:divBdr>
        <w:top w:val="none" w:sz="0" w:space="0" w:color="auto"/>
        <w:left w:val="none" w:sz="0" w:space="0" w:color="auto"/>
        <w:bottom w:val="none" w:sz="0" w:space="0" w:color="auto"/>
        <w:right w:val="none" w:sz="0" w:space="0" w:color="auto"/>
      </w:divBdr>
    </w:div>
    <w:div w:id="1149861493">
      <w:bodyDiv w:val="1"/>
      <w:marLeft w:val="0"/>
      <w:marRight w:val="0"/>
      <w:marTop w:val="0"/>
      <w:marBottom w:val="0"/>
      <w:divBdr>
        <w:top w:val="none" w:sz="0" w:space="0" w:color="auto"/>
        <w:left w:val="none" w:sz="0" w:space="0" w:color="auto"/>
        <w:bottom w:val="none" w:sz="0" w:space="0" w:color="auto"/>
        <w:right w:val="none" w:sz="0" w:space="0" w:color="auto"/>
      </w:divBdr>
    </w:div>
    <w:div w:id="1155759507">
      <w:bodyDiv w:val="1"/>
      <w:marLeft w:val="0"/>
      <w:marRight w:val="0"/>
      <w:marTop w:val="0"/>
      <w:marBottom w:val="0"/>
      <w:divBdr>
        <w:top w:val="none" w:sz="0" w:space="0" w:color="auto"/>
        <w:left w:val="none" w:sz="0" w:space="0" w:color="auto"/>
        <w:bottom w:val="none" w:sz="0" w:space="0" w:color="auto"/>
        <w:right w:val="none" w:sz="0" w:space="0" w:color="auto"/>
      </w:divBdr>
    </w:div>
    <w:div w:id="1158501039">
      <w:bodyDiv w:val="1"/>
      <w:marLeft w:val="0"/>
      <w:marRight w:val="0"/>
      <w:marTop w:val="0"/>
      <w:marBottom w:val="0"/>
      <w:divBdr>
        <w:top w:val="none" w:sz="0" w:space="0" w:color="auto"/>
        <w:left w:val="none" w:sz="0" w:space="0" w:color="auto"/>
        <w:bottom w:val="none" w:sz="0" w:space="0" w:color="auto"/>
        <w:right w:val="none" w:sz="0" w:space="0" w:color="auto"/>
      </w:divBdr>
    </w:div>
    <w:div w:id="1166018687">
      <w:bodyDiv w:val="1"/>
      <w:marLeft w:val="0"/>
      <w:marRight w:val="0"/>
      <w:marTop w:val="0"/>
      <w:marBottom w:val="0"/>
      <w:divBdr>
        <w:top w:val="none" w:sz="0" w:space="0" w:color="auto"/>
        <w:left w:val="none" w:sz="0" w:space="0" w:color="auto"/>
        <w:bottom w:val="none" w:sz="0" w:space="0" w:color="auto"/>
        <w:right w:val="none" w:sz="0" w:space="0" w:color="auto"/>
      </w:divBdr>
    </w:div>
    <w:div w:id="1181163126">
      <w:bodyDiv w:val="1"/>
      <w:marLeft w:val="0"/>
      <w:marRight w:val="0"/>
      <w:marTop w:val="0"/>
      <w:marBottom w:val="0"/>
      <w:divBdr>
        <w:top w:val="none" w:sz="0" w:space="0" w:color="auto"/>
        <w:left w:val="none" w:sz="0" w:space="0" w:color="auto"/>
        <w:bottom w:val="none" w:sz="0" w:space="0" w:color="auto"/>
        <w:right w:val="none" w:sz="0" w:space="0" w:color="auto"/>
      </w:divBdr>
    </w:div>
    <w:div w:id="1196770779">
      <w:bodyDiv w:val="1"/>
      <w:marLeft w:val="0"/>
      <w:marRight w:val="0"/>
      <w:marTop w:val="0"/>
      <w:marBottom w:val="0"/>
      <w:divBdr>
        <w:top w:val="none" w:sz="0" w:space="0" w:color="auto"/>
        <w:left w:val="none" w:sz="0" w:space="0" w:color="auto"/>
        <w:bottom w:val="none" w:sz="0" w:space="0" w:color="auto"/>
        <w:right w:val="none" w:sz="0" w:space="0" w:color="auto"/>
      </w:divBdr>
    </w:div>
    <w:div w:id="1199969592">
      <w:bodyDiv w:val="1"/>
      <w:marLeft w:val="0"/>
      <w:marRight w:val="0"/>
      <w:marTop w:val="0"/>
      <w:marBottom w:val="0"/>
      <w:divBdr>
        <w:top w:val="none" w:sz="0" w:space="0" w:color="auto"/>
        <w:left w:val="none" w:sz="0" w:space="0" w:color="auto"/>
        <w:bottom w:val="none" w:sz="0" w:space="0" w:color="auto"/>
        <w:right w:val="none" w:sz="0" w:space="0" w:color="auto"/>
      </w:divBdr>
    </w:div>
    <w:div w:id="1209224428">
      <w:bodyDiv w:val="1"/>
      <w:marLeft w:val="0"/>
      <w:marRight w:val="0"/>
      <w:marTop w:val="0"/>
      <w:marBottom w:val="0"/>
      <w:divBdr>
        <w:top w:val="none" w:sz="0" w:space="0" w:color="auto"/>
        <w:left w:val="none" w:sz="0" w:space="0" w:color="auto"/>
        <w:bottom w:val="none" w:sz="0" w:space="0" w:color="auto"/>
        <w:right w:val="none" w:sz="0" w:space="0" w:color="auto"/>
      </w:divBdr>
    </w:div>
    <w:div w:id="1225723381">
      <w:bodyDiv w:val="1"/>
      <w:marLeft w:val="0"/>
      <w:marRight w:val="0"/>
      <w:marTop w:val="0"/>
      <w:marBottom w:val="0"/>
      <w:divBdr>
        <w:top w:val="none" w:sz="0" w:space="0" w:color="auto"/>
        <w:left w:val="none" w:sz="0" w:space="0" w:color="auto"/>
        <w:bottom w:val="none" w:sz="0" w:space="0" w:color="auto"/>
        <w:right w:val="none" w:sz="0" w:space="0" w:color="auto"/>
      </w:divBdr>
    </w:div>
    <w:div w:id="1234504256">
      <w:bodyDiv w:val="1"/>
      <w:marLeft w:val="0"/>
      <w:marRight w:val="0"/>
      <w:marTop w:val="0"/>
      <w:marBottom w:val="0"/>
      <w:divBdr>
        <w:top w:val="none" w:sz="0" w:space="0" w:color="auto"/>
        <w:left w:val="none" w:sz="0" w:space="0" w:color="auto"/>
        <w:bottom w:val="none" w:sz="0" w:space="0" w:color="auto"/>
        <w:right w:val="none" w:sz="0" w:space="0" w:color="auto"/>
      </w:divBdr>
    </w:div>
    <w:div w:id="1237277893">
      <w:bodyDiv w:val="1"/>
      <w:marLeft w:val="0"/>
      <w:marRight w:val="0"/>
      <w:marTop w:val="0"/>
      <w:marBottom w:val="0"/>
      <w:divBdr>
        <w:top w:val="none" w:sz="0" w:space="0" w:color="auto"/>
        <w:left w:val="none" w:sz="0" w:space="0" w:color="auto"/>
        <w:bottom w:val="none" w:sz="0" w:space="0" w:color="auto"/>
        <w:right w:val="none" w:sz="0" w:space="0" w:color="auto"/>
      </w:divBdr>
    </w:div>
    <w:div w:id="1269194367">
      <w:bodyDiv w:val="1"/>
      <w:marLeft w:val="0"/>
      <w:marRight w:val="0"/>
      <w:marTop w:val="0"/>
      <w:marBottom w:val="0"/>
      <w:divBdr>
        <w:top w:val="none" w:sz="0" w:space="0" w:color="auto"/>
        <w:left w:val="none" w:sz="0" w:space="0" w:color="auto"/>
        <w:bottom w:val="none" w:sz="0" w:space="0" w:color="auto"/>
        <w:right w:val="none" w:sz="0" w:space="0" w:color="auto"/>
      </w:divBdr>
    </w:div>
    <w:div w:id="1289311914">
      <w:bodyDiv w:val="1"/>
      <w:marLeft w:val="0"/>
      <w:marRight w:val="0"/>
      <w:marTop w:val="0"/>
      <w:marBottom w:val="0"/>
      <w:divBdr>
        <w:top w:val="none" w:sz="0" w:space="0" w:color="auto"/>
        <w:left w:val="none" w:sz="0" w:space="0" w:color="auto"/>
        <w:bottom w:val="none" w:sz="0" w:space="0" w:color="auto"/>
        <w:right w:val="none" w:sz="0" w:space="0" w:color="auto"/>
      </w:divBdr>
    </w:div>
    <w:div w:id="1290093527">
      <w:bodyDiv w:val="1"/>
      <w:marLeft w:val="0"/>
      <w:marRight w:val="0"/>
      <w:marTop w:val="0"/>
      <w:marBottom w:val="0"/>
      <w:divBdr>
        <w:top w:val="none" w:sz="0" w:space="0" w:color="auto"/>
        <w:left w:val="none" w:sz="0" w:space="0" w:color="auto"/>
        <w:bottom w:val="none" w:sz="0" w:space="0" w:color="auto"/>
        <w:right w:val="none" w:sz="0" w:space="0" w:color="auto"/>
      </w:divBdr>
    </w:div>
    <w:div w:id="1302004604">
      <w:bodyDiv w:val="1"/>
      <w:marLeft w:val="0"/>
      <w:marRight w:val="0"/>
      <w:marTop w:val="0"/>
      <w:marBottom w:val="0"/>
      <w:divBdr>
        <w:top w:val="none" w:sz="0" w:space="0" w:color="auto"/>
        <w:left w:val="none" w:sz="0" w:space="0" w:color="auto"/>
        <w:bottom w:val="none" w:sz="0" w:space="0" w:color="auto"/>
        <w:right w:val="none" w:sz="0" w:space="0" w:color="auto"/>
      </w:divBdr>
    </w:div>
    <w:div w:id="1309900590">
      <w:bodyDiv w:val="1"/>
      <w:marLeft w:val="0"/>
      <w:marRight w:val="0"/>
      <w:marTop w:val="0"/>
      <w:marBottom w:val="0"/>
      <w:divBdr>
        <w:top w:val="none" w:sz="0" w:space="0" w:color="auto"/>
        <w:left w:val="none" w:sz="0" w:space="0" w:color="auto"/>
        <w:bottom w:val="none" w:sz="0" w:space="0" w:color="auto"/>
        <w:right w:val="none" w:sz="0" w:space="0" w:color="auto"/>
      </w:divBdr>
    </w:div>
    <w:div w:id="1318145737">
      <w:bodyDiv w:val="1"/>
      <w:marLeft w:val="0"/>
      <w:marRight w:val="0"/>
      <w:marTop w:val="0"/>
      <w:marBottom w:val="0"/>
      <w:divBdr>
        <w:top w:val="none" w:sz="0" w:space="0" w:color="auto"/>
        <w:left w:val="none" w:sz="0" w:space="0" w:color="auto"/>
        <w:bottom w:val="none" w:sz="0" w:space="0" w:color="auto"/>
        <w:right w:val="none" w:sz="0" w:space="0" w:color="auto"/>
      </w:divBdr>
    </w:div>
    <w:div w:id="1338464941">
      <w:bodyDiv w:val="1"/>
      <w:marLeft w:val="0"/>
      <w:marRight w:val="0"/>
      <w:marTop w:val="0"/>
      <w:marBottom w:val="0"/>
      <w:divBdr>
        <w:top w:val="none" w:sz="0" w:space="0" w:color="auto"/>
        <w:left w:val="none" w:sz="0" w:space="0" w:color="auto"/>
        <w:bottom w:val="none" w:sz="0" w:space="0" w:color="auto"/>
        <w:right w:val="none" w:sz="0" w:space="0" w:color="auto"/>
      </w:divBdr>
    </w:div>
    <w:div w:id="1339775088">
      <w:bodyDiv w:val="1"/>
      <w:marLeft w:val="0"/>
      <w:marRight w:val="0"/>
      <w:marTop w:val="0"/>
      <w:marBottom w:val="0"/>
      <w:divBdr>
        <w:top w:val="none" w:sz="0" w:space="0" w:color="auto"/>
        <w:left w:val="none" w:sz="0" w:space="0" w:color="auto"/>
        <w:bottom w:val="none" w:sz="0" w:space="0" w:color="auto"/>
        <w:right w:val="none" w:sz="0" w:space="0" w:color="auto"/>
      </w:divBdr>
    </w:div>
    <w:div w:id="1341615531">
      <w:bodyDiv w:val="1"/>
      <w:marLeft w:val="0"/>
      <w:marRight w:val="0"/>
      <w:marTop w:val="0"/>
      <w:marBottom w:val="0"/>
      <w:divBdr>
        <w:top w:val="none" w:sz="0" w:space="0" w:color="auto"/>
        <w:left w:val="none" w:sz="0" w:space="0" w:color="auto"/>
        <w:bottom w:val="none" w:sz="0" w:space="0" w:color="auto"/>
        <w:right w:val="none" w:sz="0" w:space="0" w:color="auto"/>
      </w:divBdr>
    </w:div>
    <w:div w:id="1344238926">
      <w:bodyDiv w:val="1"/>
      <w:marLeft w:val="0"/>
      <w:marRight w:val="0"/>
      <w:marTop w:val="0"/>
      <w:marBottom w:val="0"/>
      <w:divBdr>
        <w:top w:val="none" w:sz="0" w:space="0" w:color="auto"/>
        <w:left w:val="none" w:sz="0" w:space="0" w:color="auto"/>
        <w:bottom w:val="none" w:sz="0" w:space="0" w:color="auto"/>
        <w:right w:val="none" w:sz="0" w:space="0" w:color="auto"/>
      </w:divBdr>
    </w:div>
    <w:div w:id="1376546713">
      <w:bodyDiv w:val="1"/>
      <w:marLeft w:val="0"/>
      <w:marRight w:val="0"/>
      <w:marTop w:val="0"/>
      <w:marBottom w:val="0"/>
      <w:divBdr>
        <w:top w:val="none" w:sz="0" w:space="0" w:color="auto"/>
        <w:left w:val="none" w:sz="0" w:space="0" w:color="auto"/>
        <w:bottom w:val="none" w:sz="0" w:space="0" w:color="auto"/>
        <w:right w:val="none" w:sz="0" w:space="0" w:color="auto"/>
      </w:divBdr>
    </w:div>
    <w:div w:id="1408116706">
      <w:bodyDiv w:val="1"/>
      <w:marLeft w:val="0"/>
      <w:marRight w:val="0"/>
      <w:marTop w:val="0"/>
      <w:marBottom w:val="0"/>
      <w:divBdr>
        <w:top w:val="none" w:sz="0" w:space="0" w:color="auto"/>
        <w:left w:val="none" w:sz="0" w:space="0" w:color="auto"/>
        <w:bottom w:val="none" w:sz="0" w:space="0" w:color="auto"/>
        <w:right w:val="none" w:sz="0" w:space="0" w:color="auto"/>
      </w:divBdr>
    </w:div>
    <w:div w:id="1427579395">
      <w:bodyDiv w:val="1"/>
      <w:marLeft w:val="0"/>
      <w:marRight w:val="0"/>
      <w:marTop w:val="0"/>
      <w:marBottom w:val="0"/>
      <w:divBdr>
        <w:top w:val="none" w:sz="0" w:space="0" w:color="auto"/>
        <w:left w:val="none" w:sz="0" w:space="0" w:color="auto"/>
        <w:bottom w:val="none" w:sz="0" w:space="0" w:color="auto"/>
        <w:right w:val="none" w:sz="0" w:space="0" w:color="auto"/>
      </w:divBdr>
    </w:div>
    <w:div w:id="1479953147">
      <w:bodyDiv w:val="1"/>
      <w:marLeft w:val="0"/>
      <w:marRight w:val="0"/>
      <w:marTop w:val="0"/>
      <w:marBottom w:val="0"/>
      <w:divBdr>
        <w:top w:val="none" w:sz="0" w:space="0" w:color="auto"/>
        <w:left w:val="none" w:sz="0" w:space="0" w:color="auto"/>
        <w:bottom w:val="none" w:sz="0" w:space="0" w:color="auto"/>
        <w:right w:val="none" w:sz="0" w:space="0" w:color="auto"/>
      </w:divBdr>
    </w:div>
    <w:div w:id="1496997536">
      <w:bodyDiv w:val="1"/>
      <w:marLeft w:val="0"/>
      <w:marRight w:val="0"/>
      <w:marTop w:val="0"/>
      <w:marBottom w:val="0"/>
      <w:divBdr>
        <w:top w:val="none" w:sz="0" w:space="0" w:color="auto"/>
        <w:left w:val="none" w:sz="0" w:space="0" w:color="auto"/>
        <w:bottom w:val="none" w:sz="0" w:space="0" w:color="auto"/>
        <w:right w:val="none" w:sz="0" w:space="0" w:color="auto"/>
      </w:divBdr>
    </w:div>
    <w:div w:id="1504663935">
      <w:bodyDiv w:val="1"/>
      <w:marLeft w:val="0"/>
      <w:marRight w:val="0"/>
      <w:marTop w:val="0"/>
      <w:marBottom w:val="0"/>
      <w:divBdr>
        <w:top w:val="none" w:sz="0" w:space="0" w:color="auto"/>
        <w:left w:val="none" w:sz="0" w:space="0" w:color="auto"/>
        <w:bottom w:val="none" w:sz="0" w:space="0" w:color="auto"/>
        <w:right w:val="none" w:sz="0" w:space="0" w:color="auto"/>
      </w:divBdr>
    </w:div>
    <w:div w:id="1523398294">
      <w:bodyDiv w:val="1"/>
      <w:marLeft w:val="0"/>
      <w:marRight w:val="0"/>
      <w:marTop w:val="0"/>
      <w:marBottom w:val="0"/>
      <w:divBdr>
        <w:top w:val="none" w:sz="0" w:space="0" w:color="auto"/>
        <w:left w:val="none" w:sz="0" w:space="0" w:color="auto"/>
        <w:bottom w:val="none" w:sz="0" w:space="0" w:color="auto"/>
        <w:right w:val="none" w:sz="0" w:space="0" w:color="auto"/>
      </w:divBdr>
    </w:div>
    <w:div w:id="1533760376">
      <w:bodyDiv w:val="1"/>
      <w:marLeft w:val="0"/>
      <w:marRight w:val="0"/>
      <w:marTop w:val="0"/>
      <w:marBottom w:val="0"/>
      <w:divBdr>
        <w:top w:val="none" w:sz="0" w:space="0" w:color="auto"/>
        <w:left w:val="none" w:sz="0" w:space="0" w:color="auto"/>
        <w:bottom w:val="none" w:sz="0" w:space="0" w:color="auto"/>
        <w:right w:val="none" w:sz="0" w:space="0" w:color="auto"/>
      </w:divBdr>
    </w:div>
    <w:div w:id="1565792279">
      <w:bodyDiv w:val="1"/>
      <w:marLeft w:val="0"/>
      <w:marRight w:val="0"/>
      <w:marTop w:val="0"/>
      <w:marBottom w:val="0"/>
      <w:divBdr>
        <w:top w:val="none" w:sz="0" w:space="0" w:color="auto"/>
        <w:left w:val="none" w:sz="0" w:space="0" w:color="auto"/>
        <w:bottom w:val="none" w:sz="0" w:space="0" w:color="auto"/>
        <w:right w:val="none" w:sz="0" w:space="0" w:color="auto"/>
      </w:divBdr>
    </w:div>
    <w:div w:id="1566257746">
      <w:bodyDiv w:val="1"/>
      <w:marLeft w:val="0"/>
      <w:marRight w:val="0"/>
      <w:marTop w:val="0"/>
      <w:marBottom w:val="0"/>
      <w:divBdr>
        <w:top w:val="none" w:sz="0" w:space="0" w:color="auto"/>
        <w:left w:val="none" w:sz="0" w:space="0" w:color="auto"/>
        <w:bottom w:val="none" w:sz="0" w:space="0" w:color="auto"/>
        <w:right w:val="none" w:sz="0" w:space="0" w:color="auto"/>
      </w:divBdr>
    </w:div>
    <w:div w:id="1566840601">
      <w:bodyDiv w:val="1"/>
      <w:marLeft w:val="0"/>
      <w:marRight w:val="0"/>
      <w:marTop w:val="0"/>
      <w:marBottom w:val="0"/>
      <w:divBdr>
        <w:top w:val="none" w:sz="0" w:space="0" w:color="auto"/>
        <w:left w:val="none" w:sz="0" w:space="0" w:color="auto"/>
        <w:bottom w:val="none" w:sz="0" w:space="0" w:color="auto"/>
        <w:right w:val="none" w:sz="0" w:space="0" w:color="auto"/>
      </w:divBdr>
    </w:div>
    <w:div w:id="1574393136">
      <w:bodyDiv w:val="1"/>
      <w:marLeft w:val="0"/>
      <w:marRight w:val="0"/>
      <w:marTop w:val="0"/>
      <w:marBottom w:val="0"/>
      <w:divBdr>
        <w:top w:val="none" w:sz="0" w:space="0" w:color="auto"/>
        <w:left w:val="none" w:sz="0" w:space="0" w:color="auto"/>
        <w:bottom w:val="none" w:sz="0" w:space="0" w:color="auto"/>
        <w:right w:val="none" w:sz="0" w:space="0" w:color="auto"/>
      </w:divBdr>
    </w:div>
    <w:div w:id="1585649285">
      <w:bodyDiv w:val="1"/>
      <w:marLeft w:val="0"/>
      <w:marRight w:val="0"/>
      <w:marTop w:val="0"/>
      <w:marBottom w:val="0"/>
      <w:divBdr>
        <w:top w:val="none" w:sz="0" w:space="0" w:color="auto"/>
        <w:left w:val="none" w:sz="0" w:space="0" w:color="auto"/>
        <w:bottom w:val="none" w:sz="0" w:space="0" w:color="auto"/>
        <w:right w:val="none" w:sz="0" w:space="0" w:color="auto"/>
      </w:divBdr>
    </w:div>
    <w:div w:id="1587570532">
      <w:bodyDiv w:val="1"/>
      <w:marLeft w:val="0"/>
      <w:marRight w:val="0"/>
      <w:marTop w:val="0"/>
      <w:marBottom w:val="0"/>
      <w:divBdr>
        <w:top w:val="none" w:sz="0" w:space="0" w:color="auto"/>
        <w:left w:val="none" w:sz="0" w:space="0" w:color="auto"/>
        <w:bottom w:val="none" w:sz="0" w:space="0" w:color="auto"/>
        <w:right w:val="none" w:sz="0" w:space="0" w:color="auto"/>
      </w:divBdr>
    </w:div>
    <w:div w:id="1595937784">
      <w:bodyDiv w:val="1"/>
      <w:marLeft w:val="0"/>
      <w:marRight w:val="0"/>
      <w:marTop w:val="0"/>
      <w:marBottom w:val="0"/>
      <w:divBdr>
        <w:top w:val="none" w:sz="0" w:space="0" w:color="auto"/>
        <w:left w:val="none" w:sz="0" w:space="0" w:color="auto"/>
        <w:bottom w:val="none" w:sz="0" w:space="0" w:color="auto"/>
        <w:right w:val="none" w:sz="0" w:space="0" w:color="auto"/>
      </w:divBdr>
    </w:div>
    <w:div w:id="1596743527">
      <w:bodyDiv w:val="1"/>
      <w:marLeft w:val="0"/>
      <w:marRight w:val="0"/>
      <w:marTop w:val="0"/>
      <w:marBottom w:val="0"/>
      <w:divBdr>
        <w:top w:val="none" w:sz="0" w:space="0" w:color="auto"/>
        <w:left w:val="none" w:sz="0" w:space="0" w:color="auto"/>
        <w:bottom w:val="none" w:sz="0" w:space="0" w:color="auto"/>
        <w:right w:val="none" w:sz="0" w:space="0" w:color="auto"/>
      </w:divBdr>
    </w:div>
    <w:div w:id="1599484303">
      <w:bodyDiv w:val="1"/>
      <w:marLeft w:val="0"/>
      <w:marRight w:val="0"/>
      <w:marTop w:val="0"/>
      <w:marBottom w:val="0"/>
      <w:divBdr>
        <w:top w:val="none" w:sz="0" w:space="0" w:color="auto"/>
        <w:left w:val="none" w:sz="0" w:space="0" w:color="auto"/>
        <w:bottom w:val="none" w:sz="0" w:space="0" w:color="auto"/>
        <w:right w:val="none" w:sz="0" w:space="0" w:color="auto"/>
      </w:divBdr>
    </w:div>
    <w:div w:id="1635483484">
      <w:bodyDiv w:val="1"/>
      <w:marLeft w:val="0"/>
      <w:marRight w:val="0"/>
      <w:marTop w:val="0"/>
      <w:marBottom w:val="0"/>
      <w:divBdr>
        <w:top w:val="none" w:sz="0" w:space="0" w:color="auto"/>
        <w:left w:val="none" w:sz="0" w:space="0" w:color="auto"/>
        <w:bottom w:val="none" w:sz="0" w:space="0" w:color="auto"/>
        <w:right w:val="none" w:sz="0" w:space="0" w:color="auto"/>
      </w:divBdr>
    </w:div>
    <w:div w:id="1640106657">
      <w:bodyDiv w:val="1"/>
      <w:marLeft w:val="0"/>
      <w:marRight w:val="0"/>
      <w:marTop w:val="0"/>
      <w:marBottom w:val="0"/>
      <w:divBdr>
        <w:top w:val="none" w:sz="0" w:space="0" w:color="auto"/>
        <w:left w:val="none" w:sz="0" w:space="0" w:color="auto"/>
        <w:bottom w:val="none" w:sz="0" w:space="0" w:color="auto"/>
        <w:right w:val="none" w:sz="0" w:space="0" w:color="auto"/>
      </w:divBdr>
    </w:div>
    <w:div w:id="1661275340">
      <w:bodyDiv w:val="1"/>
      <w:marLeft w:val="0"/>
      <w:marRight w:val="0"/>
      <w:marTop w:val="0"/>
      <w:marBottom w:val="0"/>
      <w:divBdr>
        <w:top w:val="none" w:sz="0" w:space="0" w:color="auto"/>
        <w:left w:val="none" w:sz="0" w:space="0" w:color="auto"/>
        <w:bottom w:val="none" w:sz="0" w:space="0" w:color="auto"/>
        <w:right w:val="none" w:sz="0" w:space="0" w:color="auto"/>
      </w:divBdr>
    </w:div>
    <w:div w:id="1698003038">
      <w:bodyDiv w:val="1"/>
      <w:marLeft w:val="0"/>
      <w:marRight w:val="0"/>
      <w:marTop w:val="0"/>
      <w:marBottom w:val="0"/>
      <w:divBdr>
        <w:top w:val="none" w:sz="0" w:space="0" w:color="auto"/>
        <w:left w:val="none" w:sz="0" w:space="0" w:color="auto"/>
        <w:bottom w:val="none" w:sz="0" w:space="0" w:color="auto"/>
        <w:right w:val="none" w:sz="0" w:space="0" w:color="auto"/>
      </w:divBdr>
    </w:div>
    <w:div w:id="1761560460">
      <w:bodyDiv w:val="1"/>
      <w:marLeft w:val="0"/>
      <w:marRight w:val="0"/>
      <w:marTop w:val="0"/>
      <w:marBottom w:val="0"/>
      <w:divBdr>
        <w:top w:val="none" w:sz="0" w:space="0" w:color="auto"/>
        <w:left w:val="none" w:sz="0" w:space="0" w:color="auto"/>
        <w:bottom w:val="none" w:sz="0" w:space="0" w:color="auto"/>
        <w:right w:val="none" w:sz="0" w:space="0" w:color="auto"/>
      </w:divBdr>
    </w:div>
    <w:div w:id="1763522915">
      <w:bodyDiv w:val="1"/>
      <w:marLeft w:val="0"/>
      <w:marRight w:val="0"/>
      <w:marTop w:val="0"/>
      <w:marBottom w:val="0"/>
      <w:divBdr>
        <w:top w:val="none" w:sz="0" w:space="0" w:color="auto"/>
        <w:left w:val="none" w:sz="0" w:space="0" w:color="auto"/>
        <w:bottom w:val="none" w:sz="0" w:space="0" w:color="auto"/>
        <w:right w:val="none" w:sz="0" w:space="0" w:color="auto"/>
      </w:divBdr>
    </w:div>
    <w:div w:id="1767068677">
      <w:bodyDiv w:val="1"/>
      <w:marLeft w:val="0"/>
      <w:marRight w:val="0"/>
      <w:marTop w:val="0"/>
      <w:marBottom w:val="0"/>
      <w:divBdr>
        <w:top w:val="none" w:sz="0" w:space="0" w:color="auto"/>
        <w:left w:val="none" w:sz="0" w:space="0" w:color="auto"/>
        <w:bottom w:val="none" w:sz="0" w:space="0" w:color="auto"/>
        <w:right w:val="none" w:sz="0" w:space="0" w:color="auto"/>
      </w:divBdr>
    </w:div>
    <w:div w:id="1768774392">
      <w:bodyDiv w:val="1"/>
      <w:marLeft w:val="0"/>
      <w:marRight w:val="0"/>
      <w:marTop w:val="0"/>
      <w:marBottom w:val="0"/>
      <w:divBdr>
        <w:top w:val="none" w:sz="0" w:space="0" w:color="auto"/>
        <w:left w:val="none" w:sz="0" w:space="0" w:color="auto"/>
        <w:bottom w:val="none" w:sz="0" w:space="0" w:color="auto"/>
        <w:right w:val="none" w:sz="0" w:space="0" w:color="auto"/>
      </w:divBdr>
      <w:divsChild>
        <w:div w:id="325985999">
          <w:marLeft w:val="0"/>
          <w:marRight w:val="0"/>
          <w:marTop w:val="0"/>
          <w:marBottom w:val="0"/>
          <w:divBdr>
            <w:top w:val="none" w:sz="0" w:space="0" w:color="auto"/>
            <w:left w:val="none" w:sz="0" w:space="0" w:color="auto"/>
            <w:bottom w:val="none" w:sz="0" w:space="0" w:color="auto"/>
            <w:right w:val="none" w:sz="0" w:space="0" w:color="auto"/>
          </w:divBdr>
        </w:div>
        <w:div w:id="1676419322">
          <w:marLeft w:val="0"/>
          <w:marRight w:val="0"/>
          <w:marTop w:val="0"/>
          <w:marBottom w:val="0"/>
          <w:divBdr>
            <w:top w:val="none" w:sz="0" w:space="0" w:color="auto"/>
            <w:left w:val="none" w:sz="0" w:space="0" w:color="auto"/>
            <w:bottom w:val="none" w:sz="0" w:space="0" w:color="auto"/>
            <w:right w:val="none" w:sz="0" w:space="0" w:color="auto"/>
          </w:divBdr>
        </w:div>
        <w:div w:id="872889785">
          <w:marLeft w:val="0"/>
          <w:marRight w:val="0"/>
          <w:marTop w:val="0"/>
          <w:marBottom w:val="0"/>
          <w:divBdr>
            <w:top w:val="none" w:sz="0" w:space="0" w:color="auto"/>
            <w:left w:val="none" w:sz="0" w:space="0" w:color="auto"/>
            <w:bottom w:val="none" w:sz="0" w:space="0" w:color="auto"/>
            <w:right w:val="none" w:sz="0" w:space="0" w:color="auto"/>
          </w:divBdr>
        </w:div>
      </w:divsChild>
    </w:div>
    <w:div w:id="1776631770">
      <w:bodyDiv w:val="1"/>
      <w:marLeft w:val="0"/>
      <w:marRight w:val="0"/>
      <w:marTop w:val="0"/>
      <w:marBottom w:val="0"/>
      <w:divBdr>
        <w:top w:val="none" w:sz="0" w:space="0" w:color="auto"/>
        <w:left w:val="none" w:sz="0" w:space="0" w:color="auto"/>
        <w:bottom w:val="none" w:sz="0" w:space="0" w:color="auto"/>
        <w:right w:val="none" w:sz="0" w:space="0" w:color="auto"/>
      </w:divBdr>
    </w:div>
    <w:div w:id="1785882353">
      <w:bodyDiv w:val="1"/>
      <w:marLeft w:val="0"/>
      <w:marRight w:val="0"/>
      <w:marTop w:val="0"/>
      <w:marBottom w:val="0"/>
      <w:divBdr>
        <w:top w:val="none" w:sz="0" w:space="0" w:color="auto"/>
        <w:left w:val="none" w:sz="0" w:space="0" w:color="auto"/>
        <w:bottom w:val="none" w:sz="0" w:space="0" w:color="auto"/>
        <w:right w:val="none" w:sz="0" w:space="0" w:color="auto"/>
      </w:divBdr>
    </w:div>
    <w:div w:id="1810777447">
      <w:bodyDiv w:val="1"/>
      <w:marLeft w:val="0"/>
      <w:marRight w:val="0"/>
      <w:marTop w:val="0"/>
      <w:marBottom w:val="0"/>
      <w:divBdr>
        <w:top w:val="none" w:sz="0" w:space="0" w:color="auto"/>
        <w:left w:val="none" w:sz="0" w:space="0" w:color="auto"/>
        <w:bottom w:val="none" w:sz="0" w:space="0" w:color="auto"/>
        <w:right w:val="none" w:sz="0" w:space="0" w:color="auto"/>
      </w:divBdr>
    </w:div>
    <w:div w:id="1811903763">
      <w:bodyDiv w:val="1"/>
      <w:marLeft w:val="0"/>
      <w:marRight w:val="0"/>
      <w:marTop w:val="0"/>
      <w:marBottom w:val="0"/>
      <w:divBdr>
        <w:top w:val="none" w:sz="0" w:space="0" w:color="auto"/>
        <w:left w:val="none" w:sz="0" w:space="0" w:color="auto"/>
        <w:bottom w:val="none" w:sz="0" w:space="0" w:color="auto"/>
        <w:right w:val="none" w:sz="0" w:space="0" w:color="auto"/>
      </w:divBdr>
    </w:div>
    <w:div w:id="1820922623">
      <w:bodyDiv w:val="1"/>
      <w:marLeft w:val="0"/>
      <w:marRight w:val="0"/>
      <w:marTop w:val="0"/>
      <w:marBottom w:val="0"/>
      <w:divBdr>
        <w:top w:val="none" w:sz="0" w:space="0" w:color="auto"/>
        <w:left w:val="none" w:sz="0" w:space="0" w:color="auto"/>
        <w:bottom w:val="none" w:sz="0" w:space="0" w:color="auto"/>
        <w:right w:val="none" w:sz="0" w:space="0" w:color="auto"/>
      </w:divBdr>
      <w:divsChild>
        <w:div w:id="1873103967">
          <w:marLeft w:val="0"/>
          <w:marRight w:val="0"/>
          <w:marTop w:val="0"/>
          <w:marBottom w:val="0"/>
          <w:divBdr>
            <w:top w:val="none" w:sz="0" w:space="0" w:color="auto"/>
            <w:left w:val="none" w:sz="0" w:space="0" w:color="auto"/>
            <w:bottom w:val="none" w:sz="0" w:space="0" w:color="auto"/>
            <w:right w:val="none" w:sz="0" w:space="0" w:color="auto"/>
          </w:divBdr>
          <w:divsChild>
            <w:div w:id="1984575264">
              <w:marLeft w:val="0"/>
              <w:marRight w:val="0"/>
              <w:marTop w:val="0"/>
              <w:marBottom w:val="0"/>
              <w:divBdr>
                <w:top w:val="none" w:sz="0" w:space="0" w:color="auto"/>
                <w:left w:val="none" w:sz="0" w:space="0" w:color="auto"/>
                <w:bottom w:val="none" w:sz="0" w:space="0" w:color="auto"/>
                <w:right w:val="none" w:sz="0" w:space="0" w:color="auto"/>
              </w:divBdr>
              <w:divsChild>
                <w:div w:id="686832831">
                  <w:marLeft w:val="0"/>
                  <w:marRight w:val="0"/>
                  <w:marTop w:val="0"/>
                  <w:marBottom w:val="0"/>
                  <w:divBdr>
                    <w:top w:val="none" w:sz="0" w:space="0" w:color="auto"/>
                    <w:left w:val="none" w:sz="0" w:space="0" w:color="auto"/>
                    <w:bottom w:val="none" w:sz="0" w:space="0" w:color="auto"/>
                    <w:right w:val="none" w:sz="0" w:space="0" w:color="auto"/>
                  </w:divBdr>
                  <w:divsChild>
                    <w:div w:id="18438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80373">
      <w:bodyDiv w:val="1"/>
      <w:marLeft w:val="0"/>
      <w:marRight w:val="0"/>
      <w:marTop w:val="0"/>
      <w:marBottom w:val="0"/>
      <w:divBdr>
        <w:top w:val="none" w:sz="0" w:space="0" w:color="auto"/>
        <w:left w:val="none" w:sz="0" w:space="0" w:color="auto"/>
        <w:bottom w:val="none" w:sz="0" w:space="0" w:color="auto"/>
        <w:right w:val="none" w:sz="0" w:space="0" w:color="auto"/>
      </w:divBdr>
      <w:divsChild>
        <w:div w:id="2012760068">
          <w:marLeft w:val="0"/>
          <w:marRight w:val="0"/>
          <w:marTop w:val="0"/>
          <w:marBottom w:val="0"/>
          <w:divBdr>
            <w:top w:val="none" w:sz="0" w:space="0" w:color="auto"/>
            <w:left w:val="none" w:sz="0" w:space="0" w:color="auto"/>
            <w:bottom w:val="none" w:sz="0" w:space="0" w:color="auto"/>
            <w:right w:val="none" w:sz="0" w:space="0" w:color="auto"/>
          </w:divBdr>
          <w:divsChild>
            <w:div w:id="1307585806">
              <w:marLeft w:val="0"/>
              <w:marRight w:val="0"/>
              <w:marTop w:val="0"/>
              <w:marBottom w:val="0"/>
              <w:divBdr>
                <w:top w:val="none" w:sz="0" w:space="0" w:color="auto"/>
                <w:left w:val="none" w:sz="0" w:space="0" w:color="auto"/>
                <w:bottom w:val="none" w:sz="0" w:space="0" w:color="auto"/>
                <w:right w:val="none" w:sz="0" w:space="0" w:color="auto"/>
              </w:divBdr>
              <w:divsChild>
                <w:div w:id="660474436">
                  <w:marLeft w:val="0"/>
                  <w:marRight w:val="0"/>
                  <w:marTop w:val="0"/>
                  <w:marBottom w:val="0"/>
                  <w:divBdr>
                    <w:top w:val="none" w:sz="0" w:space="0" w:color="auto"/>
                    <w:left w:val="none" w:sz="0" w:space="0" w:color="auto"/>
                    <w:bottom w:val="none" w:sz="0" w:space="0" w:color="auto"/>
                    <w:right w:val="none" w:sz="0" w:space="0" w:color="auto"/>
                  </w:divBdr>
                  <w:divsChild>
                    <w:div w:id="11586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93950">
      <w:bodyDiv w:val="1"/>
      <w:marLeft w:val="0"/>
      <w:marRight w:val="0"/>
      <w:marTop w:val="0"/>
      <w:marBottom w:val="0"/>
      <w:divBdr>
        <w:top w:val="none" w:sz="0" w:space="0" w:color="auto"/>
        <w:left w:val="none" w:sz="0" w:space="0" w:color="auto"/>
        <w:bottom w:val="none" w:sz="0" w:space="0" w:color="auto"/>
        <w:right w:val="none" w:sz="0" w:space="0" w:color="auto"/>
      </w:divBdr>
    </w:div>
    <w:div w:id="1850827858">
      <w:bodyDiv w:val="1"/>
      <w:marLeft w:val="0"/>
      <w:marRight w:val="0"/>
      <w:marTop w:val="0"/>
      <w:marBottom w:val="0"/>
      <w:divBdr>
        <w:top w:val="none" w:sz="0" w:space="0" w:color="auto"/>
        <w:left w:val="none" w:sz="0" w:space="0" w:color="auto"/>
        <w:bottom w:val="none" w:sz="0" w:space="0" w:color="auto"/>
        <w:right w:val="none" w:sz="0" w:space="0" w:color="auto"/>
      </w:divBdr>
    </w:div>
    <w:div w:id="1851023854">
      <w:bodyDiv w:val="1"/>
      <w:marLeft w:val="0"/>
      <w:marRight w:val="0"/>
      <w:marTop w:val="0"/>
      <w:marBottom w:val="0"/>
      <w:divBdr>
        <w:top w:val="none" w:sz="0" w:space="0" w:color="auto"/>
        <w:left w:val="none" w:sz="0" w:space="0" w:color="auto"/>
        <w:bottom w:val="none" w:sz="0" w:space="0" w:color="auto"/>
        <w:right w:val="none" w:sz="0" w:space="0" w:color="auto"/>
      </w:divBdr>
    </w:div>
    <w:div w:id="1857690940">
      <w:bodyDiv w:val="1"/>
      <w:marLeft w:val="0"/>
      <w:marRight w:val="0"/>
      <w:marTop w:val="0"/>
      <w:marBottom w:val="0"/>
      <w:divBdr>
        <w:top w:val="none" w:sz="0" w:space="0" w:color="auto"/>
        <w:left w:val="none" w:sz="0" w:space="0" w:color="auto"/>
        <w:bottom w:val="none" w:sz="0" w:space="0" w:color="auto"/>
        <w:right w:val="none" w:sz="0" w:space="0" w:color="auto"/>
      </w:divBdr>
    </w:div>
    <w:div w:id="1857965662">
      <w:bodyDiv w:val="1"/>
      <w:marLeft w:val="0"/>
      <w:marRight w:val="0"/>
      <w:marTop w:val="0"/>
      <w:marBottom w:val="0"/>
      <w:divBdr>
        <w:top w:val="none" w:sz="0" w:space="0" w:color="auto"/>
        <w:left w:val="none" w:sz="0" w:space="0" w:color="auto"/>
        <w:bottom w:val="none" w:sz="0" w:space="0" w:color="auto"/>
        <w:right w:val="none" w:sz="0" w:space="0" w:color="auto"/>
      </w:divBdr>
    </w:div>
    <w:div w:id="1889804820">
      <w:bodyDiv w:val="1"/>
      <w:marLeft w:val="0"/>
      <w:marRight w:val="0"/>
      <w:marTop w:val="0"/>
      <w:marBottom w:val="0"/>
      <w:divBdr>
        <w:top w:val="none" w:sz="0" w:space="0" w:color="auto"/>
        <w:left w:val="none" w:sz="0" w:space="0" w:color="auto"/>
        <w:bottom w:val="none" w:sz="0" w:space="0" w:color="auto"/>
        <w:right w:val="none" w:sz="0" w:space="0" w:color="auto"/>
      </w:divBdr>
    </w:div>
    <w:div w:id="1898584528">
      <w:bodyDiv w:val="1"/>
      <w:marLeft w:val="0"/>
      <w:marRight w:val="0"/>
      <w:marTop w:val="0"/>
      <w:marBottom w:val="0"/>
      <w:divBdr>
        <w:top w:val="none" w:sz="0" w:space="0" w:color="auto"/>
        <w:left w:val="none" w:sz="0" w:space="0" w:color="auto"/>
        <w:bottom w:val="none" w:sz="0" w:space="0" w:color="auto"/>
        <w:right w:val="none" w:sz="0" w:space="0" w:color="auto"/>
      </w:divBdr>
    </w:div>
    <w:div w:id="1908153296">
      <w:bodyDiv w:val="1"/>
      <w:marLeft w:val="0"/>
      <w:marRight w:val="0"/>
      <w:marTop w:val="0"/>
      <w:marBottom w:val="0"/>
      <w:divBdr>
        <w:top w:val="none" w:sz="0" w:space="0" w:color="auto"/>
        <w:left w:val="none" w:sz="0" w:space="0" w:color="auto"/>
        <w:bottom w:val="none" w:sz="0" w:space="0" w:color="auto"/>
        <w:right w:val="none" w:sz="0" w:space="0" w:color="auto"/>
      </w:divBdr>
    </w:div>
    <w:div w:id="1913463298">
      <w:bodyDiv w:val="1"/>
      <w:marLeft w:val="0"/>
      <w:marRight w:val="0"/>
      <w:marTop w:val="0"/>
      <w:marBottom w:val="0"/>
      <w:divBdr>
        <w:top w:val="none" w:sz="0" w:space="0" w:color="auto"/>
        <w:left w:val="none" w:sz="0" w:space="0" w:color="auto"/>
        <w:bottom w:val="none" w:sz="0" w:space="0" w:color="auto"/>
        <w:right w:val="none" w:sz="0" w:space="0" w:color="auto"/>
      </w:divBdr>
    </w:div>
    <w:div w:id="1931348660">
      <w:bodyDiv w:val="1"/>
      <w:marLeft w:val="0"/>
      <w:marRight w:val="0"/>
      <w:marTop w:val="0"/>
      <w:marBottom w:val="0"/>
      <w:divBdr>
        <w:top w:val="none" w:sz="0" w:space="0" w:color="auto"/>
        <w:left w:val="none" w:sz="0" w:space="0" w:color="auto"/>
        <w:bottom w:val="none" w:sz="0" w:space="0" w:color="auto"/>
        <w:right w:val="none" w:sz="0" w:space="0" w:color="auto"/>
      </w:divBdr>
    </w:div>
    <w:div w:id="1944651565">
      <w:bodyDiv w:val="1"/>
      <w:marLeft w:val="0"/>
      <w:marRight w:val="0"/>
      <w:marTop w:val="0"/>
      <w:marBottom w:val="0"/>
      <w:divBdr>
        <w:top w:val="none" w:sz="0" w:space="0" w:color="auto"/>
        <w:left w:val="none" w:sz="0" w:space="0" w:color="auto"/>
        <w:bottom w:val="none" w:sz="0" w:space="0" w:color="auto"/>
        <w:right w:val="none" w:sz="0" w:space="0" w:color="auto"/>
      </w:divBdr>
    </w:div>
    <w:div w:id="1945337700">
      <w:bodyDiv w:val="1"/>
      <w:marLeft w:val="0"/>
      <w:marRight w:val="0"/>
      <w:marTop w:val="0"/>
      <w:marBottom w:val="0"/>
      <w:divBdr>
        <w:top w:val="none" w:sz="0" w:space="0" w:color="auto"/>
        <w:left w:val="none" w:sz="0" w:space="0" w:color="auto"/>
        <w:bottom w:val="none" w:sz="0" w:space="0" w:color="auto"/>
        <w:right w:val="none" w:sz="0" w:space="0" w:color="auto"/>
      </w:divBdr>
    </w:div>
    <w:div w:id="1967853535">
      <w:bodyDiv w:val="1"/>
      <w:marLeft w:val="0"/>
      <w:marRight w:val="0"/>
      <w:marTop w:val="0"/>
      <w:marBottom w:val="0"/>
      <w:divBdr>
        <w:top w:val="none" w:sz="0" w:space="0" w:color="auto"/>
        <w:left w:val="none" w:sz="0" w:space="0" w:color="auto"/>
        <w:bottom w:val="none" w:sz="0" w:space="0" w:color="auto"/>
        <w:right w:val="none" w:sz="0" w:space="0" w:color="auto"/>
      </w:divBdr>
    </w:div>
    <w:div w:id="1978993133">
      <w:bodyDiv w:val="1"/>
      <w:marLeft w:val="0"/>
      <w:marRight w:val="0"/>
      <w:marTop w:val="0"/>
      <w:marBottom w:val="0"/>
      <w:divBdr>
        <w:top w:val="none" w:sz="0" w:space="0" w:color="auto"/>
        <w:left w:val="none" w:sz="0" w:space="0" w:color="auto"/>
        <w:bottom w:val="none" w:sz="0" w:space="0" w:color="auto"/>
        <w:right w:val="none" w:sz="0" w:space="0" w:color="auto"/>
      </w:divBdr>
    </w:div>
    <w:div w:id="1986886120">
      <w:bodyDiv w:val="1"/>
      <w:marLeft w:val="0"/>
      <w:marRight w:val="0"/>
      <w:marTop w:val="0"/>
      <w:marBottom w:val="0"/>
      <w:divBdr>
        <w:top w:val="none" w:sz="0" w:space="0" w:color="auto"/>
        <w:left w:val="none" w:sz="0" w:space="0" w:color="auto"/>
        <w:bottom w:val="none" w:sz="0" w:space="0" w:color="auto"/>
        <w:right w:val="none" w:sz="0" w:space="0" w:color="auto"/>
      </w:divBdr>
    </w:div>
    <w:div w:id="2004360048">
      <w:bodyDiv w:val="1"/>
      <w:marLeft w:val="0"/>
      <w:marRight w:val="0"/>
      <w:marTop w:val="0"/>
      <w:marBottom w:val="0"/>
      <w:divBdr>
        <w:top w:val="none" w:sz="0" w:space="0" w:color="auto"/>
        <w:left w:val="none" w:sz="0" w:space="0" w:color="auto"/>
        <w:bottom w:val="none" w:sz="0" w:space="0" w:color="auto"/>
        <w:right w:val="none" w:sz="0" w:space="0" w:color="auto"/>
      </w:divBdr>
    </w:div>
    <w:div w:id="2010909374">
      <w:bodyDiv w:val="1"/>
      <w:marLeft w:val="0"/>
      <w:marRight w:val="0"/>
      <w:marTop w:val="0"/>
      <w:marBottom w:val="0"/>
      <w:divBdr>
        <w:top w:val="none" w:sz="0" w:space="0" w:color="auto"/>
        <w:left w:val="none" w:sz="0" w:space="0" w:color="auto"/>
        <w:bottom w:val="none" w:sz="0" w:space="0" w:color="auto"/>
        <w:right w:val="none" w:sz="0" w:space="0" w:color="auto"/>
      </w:divBdr>
    </w:div>
    <w:div w:id="2023580293">
      <w:bodyDiv w:val="1"/>
      <w:marLeft w:val="0"/>
      <w:marRight w:val="0"/>
      <w:marTop w:val="0"/>
      <w:marBottom w:val="0"/>
      <w:divBdr>
        <w:top w:val="none" w:sz="0" w:space="0" w:color="auto"/>
        <w:left w:val="none" w:sz="0" w:space="0" w:color="auto"/>
        <w:bottom w:val="none" w:sz="0" w:space="0" w:color="auto"/>
        <w:right w:val="none" w:sz="0" w:space="0" w:color="auto"/>
      </w:divBdr>
    </w:div>
    <w:div w:id="2035499081">
      <w:bodyDiv w:val="1"/>
      <w:marLeft w:val="0"/>
      <w:marRight w:val="0"/>
      <w:marTop w:val="0"/>
      <w:marBottom w:val="0"/>
      <w:divBdr>
        <w:top w:val="none" w:sz="0" w:space="0" w:color="auto"/>
        <w:left w:val="none" w:sz="0" w:space="0" w:color="auto"/>
        <w:bottom w:val="none" w:sz="0" w:space="0" w:color="auto"/>
        <w:right w:val="none" w:sz="0" w:space="0" w:color="auto"/>
      </w:divBdr>
    </w:div>
    <w:div w:id="2040424794">
      <w:bodyDiv w:val="1"/>
      <w:marLeft w:val="0"/>
      <w:marRight w:val="0"/>
      <w:marTop w:val="0"/>
      <w:marBottom w:val="0"/>
      <w:divBdr>
        <w:top w:val="none" w:sz="0" w:space="0" w:color="auto"/>
        <w:left w:val="none" w:sz="0" w:space="0" w:color="auto"/>
        <w:bottom w:val="none" w:sz="0" w:space="0" w:color="auto"/>
        <w:right w:val="none" w:sz="0" w:space="0" w:color="auto"/>
      </w:divBdr>
    </w:div>
    <w:div w:id="2055765145">
      <w:bodyDiv w:val="1"/>
      <w:marLeft w:val="0"/>
      <w:marRight w:val="0"/>
      <w:marTop w:val="0"/>
      <w:marBottom w:val="0"/>
      <w:divBdr>
        <w:top w:val="none" w:sz="0" w:space="0" w:color="auto"/>
        <w:left w:val="none" w:sz="0" w:space="0" w:color="auto"/>
        <w:bottom w:val="none" w:sz="0" w:space="0" w:color="auto"/>
        <w:right w:val="none" w:sz="0" w:space="0" w:color="auto"/>
      </w:divBdr>
    </w:div>
    <w:div w:id="2066026787">
      <w:bodyDiv w:val="1"/>
      <w:marLeft w:val="0"/>
      <w:marRight w:val="0"/>
      <w:marTop w:val="0"/>
      <w:marBottom w:val="0"/>
      <w:divBdr>
        <w:top w:val="none" w:sz="0" w:space="0" w:color="auto"/>
        <w:left w:val="none" w:sz="0" w:space="0" w:color="auto"/>
        <w:bottom w:val="none" w:sz="0" w:space="0" w:color="auto"/>
        <w:right w:val="none" w:sz="0" w:space="0" w:color="auto"/>
      </w:divBdr>
    </w:div>
    <w:div w:id="2076388780">
      <w:bodyDiv w:val="1"/>
      <w:marLeft w:val="0"/>
      <w:marRight w:val="0"/>
      <w:marTop w:val="0"/>
      <w:marBottom w:val="0"/>
      <w:divBdr>
        <w:top w:val="none" w:sz="0" w:space="0" w:color="auto"/>
        <w:left w:val="none" w:sz="0" w:space="0" w:color="auto"/>
        <w:bottom w:val="none" w:sz="0" w:space="0" w:color="auto"/>
        <w:right w:val="none" w:sz="0" w:space="0" w:color="auto"/>
      </w:divBdr>
    </w:div>
    <w:div w:id="2091464936">
      <w:bodyDiv w:val="1"/>
      <w:marLeft w:val="0"/>
      <w:marRight w:val="0"/>
      <w:marTop w:val="0"/>
      <w:marBottom w:val="0"/>
      <w:divBdr>
        <w:top w:val="none" w:sz="0" w:space="0" w:color="auto"/>
        <w:left w:val="none" w:sz="0" w:space="0" w:color="auto"/>
        <w:bottom w:val="none" w:sz="0" w:space="0" w:color="auto"/>
        <w:right w:val="none" w:sz="0" w:space="0" w:color="auto"/>
      </w:divBdr>
    </w:div>
    <w:div w:id="2101563287">
      <w:bodyDiv w:val="1"/>
      <w:marLeft w:val="0"/>
      <w:marRight w:val="0"/>
      <w:marTop w:val="0"/>
      <w:marBottom w:val="0"/>
      <w:divBdr>
        <w:top w:val="none" w:sz="0" w:space="0" w:color="auto"/>
        <w:left w:val="none" w:sz="0" w:space="0" w:color="auto"/>
        <w:bottom w:val="none" w:sz="0" w:space="0" w:color="auto"/>
        <w:right w:val="none" w:sz="0" w:space="0" w:color="auto"/>
      </w:divBdr>
    </w:div>
    <w:div w:id="2131822538">
      <w:bodyDiv w:val="1"/>
      <w:marLeft w:val="0"/>
      <w:marRight w:val="0"/>
      <w:marTop w:val="0"/>
      <w:marBottom w:val="0"/>
      <w:divBdr>
        <w:top w:val="none" w:sz="0" w:space="0" w:color="auto"/>
        <w:left w:val="none" w:sz="0" w:space="0" w:color="auto"/>
        <w:bottom w:val="none" w:sz="0" w:space="0" w:color="auto"/>
        <w:right w:val="none" w:sz="0" w:space="0" w:color="auto"/>
      </w:divBdr>
    </w:div>
    <w:div w:id="2137330105">
      <w:bodyDiv w:val="1"/>
      <w:marLeft w:val="0"/>
      <w:marRight w:val="0"/>
      <w:marTop w:val="0"/>
      <w:marBottom w:val="0"/>
      <w:divBdr>
        <w:top w:val="none" w:sz="0" w:space="0" w:color="auto"/>
        <w:left w:val="none" w:sz="0" w:space="0" w:color="auto"/>
        <w:bottom w:val="none" w:sz="0" w:space="0" w:color="auto"/>
        <w:right w:val="none" w:sz="0" w:space="0" w:color="auto"/>
      </w:divBdr>
    </w:div>
    <w:div w:id="2138986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42</Pages>
  <Words>10899</Words>
  <Characters>62128</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Lewis</dc:creator>
  <cp:keywords/>
  <dc:description/>
  <cp:lastModifiedBy>Jonathan Lewis</cp:lastModifiedBy>
  <cp:revision>7</cp:revision>
  <dcterms:created xsi:type="dcterms:W3CDTF">2021-02-16T17:03:00Z</dcterms:created>
  <dcterms:modified xsi:type="dcterms:W3CDTF">2021-02-17T10:05:00Z</dcterms:modified>
</cp:coreProperties>
</file>