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B764A2" w14:textId="77777777" w:rsidR="00897494" w:rsidRPr="00BA763E" w:rsidRDefault="00897494" w:rsidP="00BA763E">
      <w:pPr>
        <w:spacing w:line="480" w:lineRule="auto"/>
        <w:jc w:val="center"/>
        <w:outlineLvl w:val="0"/>
        <w:rPr>
          <w:rFonts w:ascii="Athelas Regular" w:hAnsi="Athelas Regular"/>
          <w:b/>
        </w:rPr>
      </w:pPr>
      <w:r w:rsidRPr="00BA763E">
        <w:rPr>
          <w:rFonts w:ascii="Athelas Regular" w:hAnsi="Athelas Regular"/>
          <w:b/>
        </w:rPr>
        <w:t>Potency and Permissibility</w:t>
      </w:r>
    </w:p>
    <w:p w14:paraId="6E9C6E3F" w14:textId="77777777" w:rsidR="00897494" w:rsidRPr="00BA763E" w:rsidRDefault="00897494" w:rsidP="00BA763E">
      <w:pPr>
        <w:spacing w:line="480" w:lineRule="auto"/>
        <w:jc w:val="center"/>
        <w:outlineLvl w:val="0"/>
        <w:rPr>
          <w:rFonts w:ascii="Athelas Regular" w:hAnsi="Athelas Regular"/>
        </w:rPr>
      </w:pPr>
      <w:r w:rsidRPr="00BA763E">
        <w:rPr>
          <w:rFonts w:ascii="Athelas Regular" w:hAnsi="Athelas Regular"/>
        </w:rPr>
        <w:t>Clayton Littlejohn</w:t>
      </w:r>
    </w:p>
    <w:p w14:paraId="023E4719" w14:textId="77777777" w:rsidR="00897494" w:rsidRPr="00BA763E" w:rsidRDefault="00897494" w:rsidP="00BA763E">
      <w:pPr>
        <w:spacing w:line="480" w:lineRule="auto"/>
        <w:jc w:val="center"/>
        <w:outlineLvl w:val="0"/>
        <w:rPr>
          <w:rFonts w:ascii="Athelas Regular" w:hAnsi="Athelas Regular"/>
        </w:rPr>
      </w:pPr>
      <w:r w:rsidRPr="00BA763E">
        <w:rPr>
          <w:rFonts w:ascii="Athelas Regular" w:hAnsi="Athelas Regular"/>
        </w:rPr>
        <w:t>King</w:t>
      </w:r>
      <w:r w:rsidR="00B90D2A" w:rsidRPr="00BA763E">
        <w:rPr>
          <w:rFonts w:ascii="Athelas Regular" w:hAnsi="Athelas Regular"/>
        </w:rPr>
        <w:t>’</w:t>
      </w:r>
      <w:r w:rsidRPr="00BA763E">
        <w:rPr>
          <w:rFonts w:ascii="Athelas Regular" w:hAnsi="Athelas Regular"/>
        </w:rPr>
        <w:t>s College London</w:t>
      </w:r>
    </w:p>
    <w:p w14:paraId="2A3A4640" w14:textId="77777777" w:rsidR="00897494" w:rsidRPr="00BA763E" w:rsidRDefault="00897494" w:rsidP="00B90D2A">
      <w:pPr>
        <w:spacing w:line="480" w:lineRule="auto"/>
        <w:rPr>
          <w:rFonts w:ascii="Athelas Regular" w:hAnsi="Athelas Regular"/>
        </w:rPr>
      </w:pPr>
    </w:p>
    <w:p w14:paraId="18A5D9A0" w14:textId="77777777" w:rsidR="00B90D2A" w:rsidRPr="00BA763E" w:rsidRDefault="00B90D2A" w:rsidP="00B90D2A">
      <w:pPr>
        <w:spacing w:line="480" w:lineRule="auto"/>
        <w:rPr>
          <w:rFonts w:ascii="Athelas Regular" w:hAnsi="Athelas Regular"/>
          <w:smallCaps/>
        </w:rPr>
      </w:pPr>
    </w:p>
    <w:p w14:paraId="2D9A8779" w14:textId="77777777" w:rsidR="00B90D2A" w:rsidRPr="00BA763E" w:rsidRDefault="00B90D2A" w:rsidP="00BA763E">
      <w:pPr>
        <w:spacing w:line="480" w:lineRule="auto"/>
        <w:outlineLvl w:val="0"/>
        <w:rPr>
          <w:rFonts w:ascii="Athelas Regular" w:hAnsi="Athelas Regular"/>
          <w:b/>
        </w:rPr>
      </w:pPr>
      <w:r w:rsidRPr="00BA763E">
        <w:rPr>
          <w:rFonts w:ascii="Athelas Regular" w:hAnsi="Athelas Regular"/>
          <w:b/>
        </w:rPr>
        <w:t>Introduction</w:t>
      </w:r>
    </w:p>
    <w:p w14:paraId="1C4BF737" w14:textId="77777777" w:rsidR="004C18CE" w:rsidRPr="00BA763E" w:rsidRDefault="004C18CE" w:rsidP="00B90D2A">
      <w:pPr>
        <w:spacing w:line="480" w:lineRule="auto"/>
        <w:rPr>
          <w:rFonts w:ascii="Athelas Regular" w:hAnsi="Athelas Regular"/>
        </w:rPr>
      </w:pPr>
      <w:r w:rsidRPr="00BA763E">
        <w:rPr>
          <w:rFonts w:ascii="Athelas Regular" w:hAnsi="Athelas Regular"/>
        </w:rPr>
        <w:t>Smoking is pleasurable.</w:t>
      </w:r>
      <w:r w:rsidR="00B90D2A" w:rsidRPr="00BA763E">
        <w:rPr>
          <w:rFonts w:ascii="Athelas Regular" w:hAnsi="Athelas Regular"/>
        </w:rPr>
        <w:t xml:space="preserve"> </w:t>
      </w:r>
      <w:r w:rsidR="00482942" w:rsidRPr="00BA763E">
        <w:rPr>
          <w:rFonts w:ascii="Athelas Regular" w:hAnsi="Athelas Regular"/>
        </w:rPr>
        <w:t>It isn</w:t>
      </w:r>
      <w:r w:rsidR="00B90D2A" w:rsidRPr="00BA763E">
        <w:rPr>
          <w:rFonts w:ascii="Athelas Regular" w:hAnsi="Athelas Regular"/>
        </w:rPr>
        <w:t>’</w:t>
      </w:r>
      <w:r w:rsidR="00482942" w:rsidRPr="00BA763E">
        <w:rPr>
          <w:rFonts w:ascii="Athelas Regular" w:hAnsi="Athelas Regular"/>
        </w:rPr>
        <w:t>t</w:t>
      </w:r>
      <w:r w:rsidR="004F521B" w:rsidRPr="00BA763E">
        <w:rPr>
          <w:rFonts w:ascii="Athelas Regular" w:hAnsi="Athelas Regular"/>
        </w:rPr>
        <w:t xml:space="preserve"> just pleasurable; it is</w:t>
      </w:r>
      <w:r w:rsidRPr="00BA763E">
        <w:rPr>
          <w:rFonts w:ascii="Athelas Regular" w:hAnsi="Athelas Regular"/>
        </w:rPr>
        <w:t xml:space="preserve"> </w:t>
      </w:r>
      <w:r w:rsidRPr="00BA763E">
        <w:rPr>
          <w:rFonts w:ascii="Athelas Regular" w:hAnsi="Athelas Regular"/>
          <w:i/>
        </w:rPr>
        <w:t xml:space="preserve">immensely </w:t>
      </w:r>
      <w:r w:rsidRPr="00BA763E">
        <w:rPr>
          <w:rFonts w:ascii="Athelas Regular" w:hAnsi="Athelas Regular"/>
        </w:rPr>
        <w:t>pleasurable.</w:t>
      </w:r>
      <w:r w:rsidR="00B90D2A" w:rsidRPr="00BA763E">
        <w:rPr>
          <w:rFonts w:ascii="Athelas Regular" w:hAnsi="Athelas Regular"/>
        </w:rPr>
        <w:t xml:space="preserve"> </w:t>
      </w:r>
      <w:r w:rsidRPr="00BA763E">
        <w:rPr>
          <w:rFonts w:ascii="Athelas Regular" w:hAnsi="Athelas Regular"/>
        </w:rPr>
        <w:t xml:space="preserve">A smoker can derive more pleasure from a single cigarette than, say, </w:t>
      </w:r>
      <w:r w:rsidR="00897494" w:rsidRPr="00BA763E">
        <w:rPr>
          <w:rFonts w:ascii="Athelas Regular" w:hAnsi="Athelas Regular"/>
        </w:rPr>
        <w:t>most of us could derive from eating a steak</w:t>
      </w:r>
      <w:r w:rsidRPr="00BA763E">
        <w:rPr>
          <w:rFonts w:ascii="Athelas Regular" w:hAnsi="Athelas Regular"/>
        </w:rPr>
        <w:t>.</w:t>
      </w:r>
      <w:r w:rsidR="00B90D2A" w:rsidRPr="00BA763E">
        <w:rPr>
          <w:rFonts w:ascii="Athelas Regular" w:hAnsi="Athelas Regular"/>
        </w:rPr>
        <w:t xml:space="preserve"> </w:t>
      </w:r>
      <w:r w:rsidRPr="00BA763E">
        <w:rPr>
          <w:rFonts w:ascii="Athelas Regular" w:hAnsi="Athelas Regular"/>
        </w:rPr>
        <w:t xml:space="preserve">Not only that, </w:t>
      </w:r>
      <w:r w:rsidR="00482942" w:rsidRPr="00BA763E">
        <w:rPr>
          <w:rFonts w:ascii="Athelas Regular" w:hAnsi="Athelas Regular"/>
        </w:rPr>
        <w:t>smoking</w:t>
      </w:r>
      <w:r w:rsidRPr="00BA763E">
        <w:rPr>
          <w:rFonts w:ascii="Athelas Regular" w:hAnsi="Athelas Regular"/>
        </w:rPr>
        <w:t xml:space="preserve"> is </w:t>
      </w:r>
      <w:r w:rsidRPr="00BA763E">
        <w:rPr>
          <w:rFonts w:ascii="Athelas Regular" w:hAnsi="Athelas Regular"/>
          <w:i/>
        </w:rPr>
        <w:t>distinctly</w:t>
      </w:r>
      <w:r w:rsidRPr="00BA763E">
        <w:rPr>
          <w:rFonts w:ascii="Athelas Regular" w:hAnsi="Athelas Regular"/>
        </w:rPr>
        <w:t xml:space="preserve"> pleasurable.</w:t>
      </w:r>
      <w:r w:rsidR="00B90D2A" w:rsidRPr="00BA763E">
        <w:rPr>
          <w:rFonts w:ascii="Athelas Regular" w:hAnsi="Athelas Regular"/>
        </w:rPr>
        <w:t xml:space="preserve"> </w:t>
      </w:r>
      <w:r w:rsidRPr="00BA763E">
        <w:rPr>
          <w:rFonts w:ascii="Athelas Regular" w:hAnsi="Athelas Regular"/>
        </w:rPr>
        <w:t>There is no good substitute for smoking</w:t>
      </w:r>
      <w:r w:rsidR="002944DE" w:rsidRPr="00BA763E">
        <w:rPr>
          <w:rFonts w:ascii="Athelas Regular" w:hAnsi="Athelas Regular"/>
        </w:rPr>
        <w:t xml:space="preserve"> a cigarette</w:t>
      </w:r>
      <w:r w:rsidRPr="00BA763E">
        <w:rPr>
          <w:rFonts w:ascii="Athelas Regular" w:hAnsi="Athelas Regular"/>
        </w:rPr>
        <w:t xml:space="preserve">. </w:t>
      </w:r>
      <w:r w:rsidR="008C0CEB" w:rsidRPr="00BA763E">
        <w:rPr>
          <w:rFonts w:ascii="Athelas Regular" w:hAnsi="Athelas Regular"/>
        </w:rPr>
        <w:t>When</w:t>
      </w:r>
      <w:r w:rsidR="00897494" w:rsidRPr="00BA763E">
        <w:rPr>
          <w:rFonts w:ascii="Athelas Regular" w:hAnsi="Athelas Regular"/>
        </w:rPr>
        <w:t xml:space="preserve"> you want the pleasures associated with smoking a cigarette, only a cigarette will do</w:t>
      </w:r>
      <w:r w:rsidRPr="00BA763E">
        <w:rPr>
          <w:rFonts w:ascii="Athelas Regular" w:hAnsi="Athelas Regular"/>
        </w:rPr>
        <w:t>.</w:t>
      </w:r>
      <w:r w:rsidR="00B90D2A" w:rsidRPr="00BA763E">
        <w:rPr>
          <w:rFonts w:ascii="Athelas Regular" w:hAnsi="Athelas Regular"/>
        </w:rPr>
        <w:t xml:space="preserve"> </w:t>
      </w:r>
      <w:r w:rsidR="00E57826" w:rsidRPr="00BA763E">
        <w:rPr>
          <w:rFonts w:ascii="Athelas Regular" w:hAnsi="Athelas Regular"/>
        </w:rPr>
        <w:t>W</w:t>
      </w:r>
      <w:r w:rsidRPr="00BA763E">
        <w:rPr>
          <w:rFonts w:ascii="Athelas Regular" w:hAnsi="Athelas Regular"/>
        </w:rPr>
        <w:t xml:space="preserve">hile pleasure is unarguably a contributor to </w:t>
      </w:r>
      <w:r w:rsidR="004F521B" w:rsidRPr="00BA763E">
        <w:rPr>
          <w:rFonts w:ascii="Athelas Regular" w:hAnsi="Athelas Regular"/>
        </w:rPr>
        <w:t xml:space="preserve">your </w:t>
      </w:r>
      <w:proofErr w:type="gramStart"/>
      <w:r w:rsidRPr="00BA763E">
        <w:rPr>
          <w:rFonts w:ascii="Athelas Regular" w:hAnsi="Athelas Regular"/>
        </w:rPr>
        <w:t>well-being</w:t>
      </w:r>
      <w:proofErr w:type="gramEnd"/>
      <w:r w:rsidRPr="00BA763E">
        <w:rPr>
          <w:rFonts w:ascii="Athelas Regular" w:hAnsi="Athelas Regular"/>
        </w:rPr>
        <w:t xml:space="preserve"> </w:t>
      </w:r>
      <w:r w:rsidR="00E57826" w:rsidRPr="00BA763E">
        <w:rPr>
          <w:rFonts w:ascii="Athelas Regular" w:hAnsi="Athelas Regular"/>
        </w:rPr>
        <w:t>(</w:t>
      </w:r>
      <w:r w:rsidRPr="00BA763E">
        <w:rPr>
          <w:rFonts w:ascii="Athelas Regular" w:hAnsi="Athelas Regular"/>
        </w:rPr>
        <w:t xml:space="preserve">and </w:t>
      </w:r>
      <w:r w:rsidR="004F521B" w:rsidRPr="00BA763E">
        <w:rPr>
          <w:rFonts w:ascii="Athelas Regular" w:hAnsi="Athelas Regular"/>
        </w:rPr>
        <w:t>a</w:t>
      </w:r>
      <w:r w:rsidRPr="00BA763E">
        <w:rPr>
          <w:rFonts w:ascii="Athelas Regular" w:hAnsi="Athelas Regular"/>
        </w:rPr>
        <w:t xml:space="preserve">rguably the only thing that contributes directly to </w:t>
      </w:r>
      <w:r w:rsidR="004F521B" w:rsidRPr="00BA763E">
        <w:rPr>
          <w:rFonts w:ascii="Athelas Regular" w:hAnsi="Athelas Regular"/>
        </w:rPr>
        <w:t xml:space="preserve">your </w:t>
      </w:r>
      <w:r w:rsidRPr="00BA763E">
        <w:rPr>
          <w:rFonts w:ascii="Athelas Regular" w:hAnsi="Athelas Regular"/>
        </w:rPr>
        <w:t>well-being</w:t>
      </w:r>
      <w:r w:rsidR="00E57826" w:rsidRPr="00BA763E">
        <w:rPr>
          <w:rFonts w:ascii="Athelas Regular" w:hAnsi="Athelas Regular"/>
        </w:rPr>
        <w:t>), nobody would argue</w:t>
      </w:r>
      <w:r w:rsidRPr="00BA763E">
        <w:rPr>
          <w:rFonts w:ascii="Athelas Regular" w:hAnsi="Athelas Regular"/>
        </w:rPr>
        <w:t xml:space="preserve"> that you ought to smoke in order to maximize well-being.</w:t>
      </w:r>
      <w:r w:rsidR="00B90D2A" w:rsidRPr="00BA763E">
        <w:rPr>
          <w:rFonts w:ascii="Athelas Regular" w:hAnsi="Athelas Regular"/>
        </w:rPr>
        <w:t xml:space="preserve"> </w:t>
      </w:r>
      <w:r w:rsidR="00897494" w:rsidRPr="00BA763E">
        <w:rPr>
          <w:rFonts w:ascii="Athelas Regular" w:hAnsi="Athelas Regular"/>
        </w:rPr>
        <w:t>Isn</w:t>
      </w:r>
      <w:r w:rsidR="00B90D2A" w:rsidRPr="00BA763E">
        <w:rPr>
          <w:rFonts w:ascii="Athelas Regular" w:hAnsi="Athelas Regular"/>
        </w:rPr>
        <w:t>’</w:t>
      </w:r>
      <w:r w:rsidR="00897494" w:rsidRPr="00BA763E">
        <w:rPr>
          <w:rFonts w:ascii="Athelas Regular" w:hAnsi="Athelas Regular"/>
        </w:rPr>
        <w:t>t this paradoxical</w:t>
      </w:r>
      <w:r w:rsidRPr="00BA763E">
        <w:rPr>
          <w:rFonts w:ascii="Athelas Regular" w:hAnsi="Athelas Regular"/>
        </w:rPr>
        <w:t>?</w:t>
      </w:r>
    </w:p>
    <w:p w14:paraId="2957ACAF" w14:textId="77777777" w:rsidR="004F521B" w:rsidRPr="00BA763E" w:rsidRDefault="004C18CE" w:rsidP="00B90D2A">
      <w:pPr>
        <w:spacing w:line="480" w:lineRule="auto"/>
        <w:rPr>
          <w:rFonts w:ascii="Athelas Regular" w:hAnsi="Athelas Regular"/>
        </w:rPr>
      </w:pPr>
      <w:r w:rsidRPr="00BA763E">
        <w:rPr>
          <w:rFonts w:ascii="Athelas Regular" w:hAnsi="Athelas Regular"/>
        </w:rPr>
        <w:tab/>
        <w:t xml:space="preserve">No, </w:t>
      </w:r>
      <w:r w:rsidR="00897494" w:rsidRPr="00BA763E">
        <w:rPr>
          <w:rFonts w:ascii="Athelas Regular" w:hAnsi="Athelas Regular"/>
        </w:rPr>
        <w:t>it isn</w:t>
      </w:r>
      <w:r w:rsidR="00B90D2A" w:rsidRPr="00BA763E">
        <w:rPr>
          <w:rFonts w:ascii="Athelas Regular" w:hAnsi="Athelas Regular"/>
        </w:rPr>
        <w:t>’</w:t>
      </w:r>
      <w:r w:rsidR="00897494" w:rsidRPr="00BA763E">
        <w:rPr>
          <w:rFonts w:ascii="Athelas Regular" w:hAnsi="Athelas Regular"/>
        </w:rPr>
        <w:t>t</w:t>
      </w:r>
      <w:r w:rsidRPr="00BA763E">
        <w:rPr>
          <w:rFonts w:ascii="Athelas Regular" w:hAnsi="Athelas Regular"/>
        </w:rPr>
        <w:t>.</w:t>
      </w:r>
      <w:r w:rsidR="00897494" w:rsidRPr="00BA763E">
        <w:rPr>
          <w:rFonts w:ascii="Athelas Regular" w:hAnsi="Athelas Regular"/>
        </w:rPr>
        <w:t xml:space="preserve"> It isn</w:t>
      </w:r>
      <w:r w:rsidR="00B90D2A" w:rsidRPr="00BA763E">
        <w:rPr>
          <w:rFonts w:ascii="Athelas Regular" w:hAnsi="Athelas Regular"/>
        </w:rPr>
        <w:t>’</w:t>
      </w:r>
      <w:r w:rsidR="00897494" w:rsidRPr="00BA763E">
        <w:rPr>
          <w:rFonts w:ascii="Athelas Regular" w:hAnsi="Athelas Regular"/>
        </w:rPr>
        <w:t>t even mildly puzzling.</w:t>
      </w:r>
      <w:r w:rsidR="00B90D2A" w:rsidRPr="00BA763E">
        <w:rPr>
          <w:rFonts w:ascii="Athelas Regular" w:hAnsi="Athelas Regular"/>
        </w:rPr>
        <w:t xml:space="preserve"> </w:t>
      </w:r>
      <w:r w:rsidR="00E57826" w:rsidRPr="00BA763E">
        <w:rPr>
          <w:rFonts w:ascii="Athelas Regular" w:hAnsi="Athelas Regular"/>
        </w:rPr>
        <w:t>Even if hedonism is true and</w:t>
      </w:r>
      <w:r w:rsidR="004F521B" w:rsidRPr="00BA763E">
        <w:rPr>
          <w:rFonts w:ascii="Athelas Regular" w:hAnsi="Athelas Regular"/>
        </w:rPr>
        <w:t xml:space="preserve"> your concern </w:t>
      </w:r>
      <w:r w:rsidR="00407593" w:rsidRPr="00BA763E">
        <w:rPr>
          <w:rFonts w:ascii="Athelas Regular" w:hAnsi="Athelas Regular"/>
        </w:rPr>
        <w:t>is</w:t>
      </w:r>
      <w:r w:rsidR="004F521B" w:rsidRPr="00BA763E">
        <w:rPr>
          <w:rFonts w:ascii="Athelas Regular" w:hAnsi="Athelas Regular"/>
        </w:rPr>
        <w:t xml:space="preserve"> only with your own </w:t>
      </w:r>
      <w:proofErr w:type="gramStart"/>
      <w:r w:rsidR="004F521B" w:rsidRPr="00BA763E">
        <w:rPr>
          <w:rFonts w:ascii="Athelas Regular" w:hAnsi="Athelas Regular"/>
        </w:rPr>
        <w:t>well-being</w:t>
      </w:r>
      <w:proofErr w:type="gramEnd"/>
      <w:r w:rsidR="004F521B" w:rsidRPr="00BA763E">
        <w:rPr>
          <w:rFonts w:ascii="Athelas Regular" w:hAnsi="Athelas Regular"/>
        </w:rPr>
        <w:t>, you</w:t>
      </w:r>
      <w:r w:rsidR="00B90D2A" w:rsidRPr="00BA763E">
        <w:rPr>
          <w:rFonts w:ascii="Athelas Regular" w:hAnsi="Athelas Regular"/>
        </w:rPr>
        <w:t>’</w:t>
      </w:r>
      <w:r w:rsidR="004F521B" w:rsidRPr="00BA763E">
        <w:rPr>
          <w:rFonts w:ascii="Athelas Regular" w:hAnsi="Athelas Regular"/>
        </w:rPr>
        <w:t>d have to take account of the pleasures you</w:t>
      </w:r>
      <w:r w:rsidR="00B90D2A" w:rsidRPr="00BA763E">
        <w:rPr>
          <w:rFonts w:ascii="Athelas Regular" w:hAnsi="Athelas Regular"/>
        </w:rPr>
        <w:t>’</w:t>
      </w:r>
      <w:r w:rsidR="004F521B" w:rsidRPr="00BA763E">
        <w:rPr>
          <w:rFonts w:ascii="Athelas Regular" w:hAnsi="Athelas Regular"/>
        </w:rPr>
        <w:t>d derive from smoking and then weigh them against the pleasures you could attain if you quit or decided against starting.</w:t>
      </w:r>
      <w:r w:rsidR="00B90D2A" w:rsidRPr="00BA763E">
        <w:rPr>
          <w:rFonts w:ascii="Athelas Regular" w:hAnsi="Athelas Regular"/>
        </w:rPr>
        <w:t xml:space="preserve"> </w:t>
      </w:r>
      <w:r w:rsidR="004F521B" w:rsidRPr="00BA763E">
        <w:rPr>
          <w:rFonts w:ascii="Athelas Regular" w:hAnsi="Athelas Regular"/>
        </w:rPr>
        <w:t>Even if you don</w:t>
      </w:r>
      <w:r w:rsidR="00B90D2A" w:rsidRPr="00BA763E">
        <w:rPr>
          <w:rFonts w:ascii="Athelas Regular" w:hAnsi="Athelas Regular"/>
        </w:rPr>
        <w:t>’</w:t>
      </w:r>
      <w:r w:rsidR="004F521B" w:rsidRPr="00BA763E">
        <w:rPr>
          <w:rFonts w:ascii="Athelas Regular" w:hAnsi="Athelas Regular"/>
        </w:rPr>
        <w:t>t get lung cancer from smoking, it can shorten your life or interfere with your ability to enjoy an active lifestyle.</w:t>
      </w:r>
      <w:r w:rsidR="00B90D2A" w:rsidRPr="00BA763E">
        <w:rPr>
          <w:rFonts w:ascii="Athelas Regular" w:hAnsi="Athelas Regular"/>
        </w:rPr>
        <w:t xml:space="preserve"> </w:t>
      </w:r>
      <w:r w:rsidR="004F521B" w:rsidRPr="00BA763E">
        <w:rPr>
          <w:rFonts w:ascii="Athelas Regular" w:hAnsi="Athelas Regular"/>
        </w:rPr>
        <w:t>There</w:t>
      </w:r>
      <w:r w:rsidR="00B90D2A" w:rsidRPr="00BA763E">
        <w:rPr>
          <w:rFonts w:ascii="Athelas Regular" w:hAnsi="Athelas Regular"/>
        </w:rPr>
        <w:t>’</w:t>
      </w:r>
      <w:r w:rsidR="004F521B" w:rsidRPr="00BA763E">
        <w:rPr>
          <w:rFonts w:ascii="Athelas Regular" w:hAnsi="Athelas Regular"/>
        </w:rPr>
        <w:t>s a very good chance it will harm you by causing you to undergo something rather unpleasant, but there</w:t>
      </w:r>
      <w:r w:rsidR="00B90D2A" w:rsidRPr="00BA763E">
        <w:rPr>
          <w:rFonts w:ascii="Athelas Regular" w:hAnsi="Athelas Regular"/>
        </w:rPr>
        <w:t>’</w:t>
      </w:r>
      <w:r w:rsidR="004F521B" w:rsidRPr="00BA763E">
        <w:rPr>
          <w:rFonts w:ascii="Athelas Regular" w:hAnsi="Athelas Regular"/>
        </w:rPr>
        <w:t>s also a very good chance that it will harm you by robbing you of pleasures you could have experienced otherwise.</w:t>
      </w:r>
    </w:p>
    <w:p w14:paraId="238875CA" w14:textId="77777777" w:rsidR="008C0CEB" w:rsidRPr="00BA763E" w:rsidRDefault="004C18CE" w:rsidP="00B90D2A">
      <w:pPr>
        <w:spacing w:line="480" w:lineRule="auto"/>
        <w:rPr>
          <w:rFonts w:ascii="Athelas Regular" w:hAnsi="Athelas Regular"/>
        </w:rPr>
      </w:pPr>
      <w:r w:rsidRPr="00BA763E">
        <w:rPr>
          <w:rFonts w:ascii="Athelas Regular" w:hAnsi="Athelas Regular"/>
        </w:rPr>
        <w:tab/>
        <w:t>This isn</w:t>
      </w:r>
      <w:r w:rsidR="00B90D2A" w:rsidRPr="00BA763E">
        <w:rPr>
          <w:rFonts w:ascii="Athelas Regular" w:hAnsi="Athelas Regular"/>
        </w:rPr>
        <w:t>’</w:t>
      </w:r>
      <w:r w:rsidRPr="00BA763E">
        <w:rPr>
          <w:rFonts w:ascii="Athelas Regular" w:hAnsi="Athelas Regular"/>
        </w:rPr>
        <w:t>t a paper about smoking.</w:t>
      </w:r>
      <w:r w:rsidR="00B90D2A" w:rsidRPr="00BA763E">
        <w:rPr>
          <w:rFonts w:ascii="Athelas Regular" w:hAnsi="Athelas Regular"/>
        </w:rPr>
        <w:t xml:space="preserve"> </w:t>
      </w:r>
      <w:r w:rsidRPr="00BA763E">
        <w:rPr>
          <w:rFonts w:ascii="Athelas Regular" w:hAnsi="Athelas Regular"/>
        </w:rPr>
        <w:t>Philosophers don</w:t>
      </w:r>
      <w:r w:rsidR="00B90D2A" w:rsidRPr="00BA763E">
        <w:rPr>
          <w:rFonts w:ascii="Athelas Regular" w:hAnsi="Athelas Regular"/>
        </w:rPr>
        <w:t>’</w:t>
      </w:r>
      <w:r w:rsidRPr="00BA763E">
        <w:rPr>
          <w:rFonts w:ascii="Athelas Regular" w:hAnsi="Athelas Regular"/>
        </w:rPr>
        <w:t>t write about smoking unless they</w:t>
      </w:r>
      <w:r w:rsidR="00B90D2A" w:rsidRPr="00BA763E">
        <w:rPr>
          <w:rFonts w:ascii="Athelas Regular" w:hAnsi="Athelas Regular"/>
        </w:rPr>
        <w:t>’</w:t>
      </w:r>
      <w:r w:rsidRPr="00BA763E">
        <w:rPr>
          <w:rFonts w:ascii="Athelas Regular" w:hAnsi="Athelas Regular"/>
        </w:rPr>
        <w:t xml:space="preserve">re </w:t>
      </w:r>
      <w:r w:rsidR="004F521B" w:rsidRPr="00BA763E">
        <w:rPr>
          <w:rFonts w:ascii="Athelas Regular" w:hAnsi="Athelas Regular"/>
        </w:rPr>
        <w:t>taking money from a tobacco company</w:t>
      </w:r>
      <w:r w:rsidRPr="00BA763E">
        <w:rPr>
          <w:rFonts w:ascii="Athelas Regular" w:hAnsi="Athelas Regular"/>
        </w:rPr>
        <w:t>.</w:t>
      </w:r>
      <w:r w:rsidR="008C0CEB" w:rsidRPr="00BA763E">
        <w:rPr>
          <w:rFonts w:ascii="Athelas Regular" w:hAnsi="Athelas Regular"/>
        </w:rPr>
        <w:t xml:space="preserve"> Sadly, I</w:t>
      </w:r>
      <w:r w:rsidR="00B90D2A" w:rsidRPr="00BA763E">
        <w:rPr>
          <w:rFonts w:ascii="Athelas Regular" w:hAnsi="Athelas Regular"/>
        </w:rPr>
        <w:t>’</w:t>
      </w:r>
      <w:r w:rsidR="008C0CEB" w:rsidRPr="00BA763E">
        <w:rPr>
          <w:rFonts w:ascii="Athelas Regular" w:hAnsi="Athelas Regular"/>
        </w:rPr>
        <w:t>m not.</w:t>
      </w:r>
      <w:r w:rsidR="00B90D2A" w:rsidRPr="00BA763E">
        <w:rPr>
          <w:rFonts w:ascii="Athelas Regular" w:hAnsi="Athelas Regular"/>
        </w:rPr>
        <w:t xml:space="preserve"> </w:t>
      </w:r>
      <w:r w:rsidRPr="00BA763E">
        <w:rPr>
          <w:rFonts w:ascii="Athelas Regular" w:hAnsi="Athelas Regular"/>
        </w:rPr>
        <w:t xml:space="preserve">This is a paper about </w:t>
      </w:r>
      <w:r w:rsidR="008C0CEB" w:rsidRPr="00BA763E">
        <w:rPr>
          <w:rFonts w:ascii="Athelas Regular" w:hAnsi="Athelas Regular"/>
        </w:rPr>
        <w:t>the unreflective carnivore</w:t>
      </w:r>
      <w:r w:rsidRPr="00BA763E">
        <w:rPr>
          <w:rFonts w:ascii="Athelas Regular" w:hAnsi="Athelas Regular"/>
        </w:rPr>
        <w:t>.</w:t>
      </w:r>
      <w:r w:rsidR="00B90D2A" w:rsidRPr="00BA763E">
        <w:rPr>
          <w:rFonts w:ascii="Athelas Regular" w:hAnsi="Athelas Regular"/>
        </w:rPr>
        <w:t xml:space="preserve"> </w:t>
      </w:r>
      <w:r w:rsidR="008C0CEB" w:rsidRPr="00BA763E">
        <w:rPr>
          <w:rFonts w:ascii="Athelas Regular" w:hAnsi="Athelas Regular"/>
        </w:rPr>
        <w:t xml:space="preserve">Most of the people near and dear to me (myself included) are </w:t>
      </w:r>
      <w:r w:rsidR="008C0CEB" w:rsidRPr="00BA763E">
        <w:rPr>
          <w:rFonts w:ascii="Athelas Regular" w:hAnsi="Athelas Regular"/>
        </w:rPr>
        <w:lastRenderedPageBreak/>
        <w:t>unreflective carnivores.</w:t>
      </w:r>
      <w:r w:rsidR="00B90D2A" w:rsidRPr="00BA763E">
        <w:rPr>
          <w:rFonts w:ascii="Athelas Regular" w:hAnsi="Athelas Regular"/>
        </w:rPr>
        <w:t xml:space="preserve"> </w:t>
      </w:r>
      <w:r w:rsidR="008C0CEB" w:rsidRPr="00BA763E">
        <w:rPr>
          <w:rFonts w:ascii="Athelas Regular" w:hAnsi="Athelas Regular"/>
        </w:rPr>
        <w:t>We act as if we don</w:t>
      </w:r>
      <w:r w:rsidR="00B90D2A" w:rsidRPr="00BA763E">
        <w:rPr>
          <w:rFonts w:ascii="Athelas Regular" w:hAnsi="Athelas Regular"/>
        </w:rPr>
        <w:t>’</w:t>
      </w:r>
      <w:r w:rsidR="008C0CEB" w:rsidRPr="00BA763E">
        <w:rPr>
          <w:rFonts w:ascii="Athelas Regular" w:hAnsi="Athelas Regular"/>
        </w:rPr>
        <w:t xml:space="preserve">t see </w:t>
      </w:r>
      <w:r w:rsidR="005E4433" w:rsidRPr="00BA763E">
        <w:rPr>
          <w:rFonts w:ascii="Athelas Regular" w:hAnsi="Athelas Regular"/>
        </w:rPr>
        <w:t>any good reason not to order meat in restaurant</w:t>
      </w:r>
      <w:r w:rsidR="008C0CEB" w:rsidRPr="00BA763E">
        <w:rPr>
          <w:rFonts w:ascii="Athelas Regular" w:hAnsi="Athelas Regular"/>
        </w:rPr>
        <w:t>s or buy it in grocery stores.</w:t>
      </w:r>
      <w:r w:rsidR="00B90D2A" w:rsidRPr="00BA763E">
        <w:rPr>
          <w:rFonts w:ascii="Athelas Regular" w:hAnsi="Athelas Regular"/>
        </w:rPr>
        <w:t xml:space="preserve"> </w:t>
      </w:r>
      <w:r w:rsidR="008C0CEB" w:rsidRPr="00BA763E">
        <w:rPr>
          <w:rFonts w:ascii="Athelas Regular" w:hAnsi="Athelas Regular"/>
        </w:rPr>
        <w:t>If you press us, we</w:t>
      </w:r>
      <w:r w:rsidR="00B90D2A" w:rsidRPr="00BA763E">
        <w:rPr>
          <w:rFonts w:ascii="Athelas Regular" w:hAnsi="Athelas Regular"/>
        </w:rPr>
        <w:t>’</w:t>
      </w:r>
      <w:r w:rsidR="008C0CEB" w:rsidRPr="00BA763E">
        <w:rPr>
          <w:rFonts w:ascii="Athelas Regular" w:hAnsi="Athelas Regular"/>
        </w:rPr>
        <w:t>ll say that we eat meat because it brings us immense and distinctive pleasures.</w:t>
      </w:r>
      <w:r w:rsidR="00B90D2A" w:rsidRPr="00BA763E">
        <w:rPr>
          <w:rFonts w:ascii="Athelas Regular" w:hAnsi="Athelas Regular"/>
        </w:rPr>
        <w:t xml:space="preserve"> </w:t>
      </w:r>
      <w:r w:rsidR="008C0CEB" w:rsidRPr="00BA763E">
        <w:rPr>
          <w:rFonts w:ascii="Athelas Regular" w:hAnsi="Athelas Regular"/>
        </w:rPr>
        <w:t xml:space="preserve">We seem to be under the impression that we maximize our own </w:t>
      </w:r>
      <w:proofErr w:type="gramStart"/>
      <w:r w:rsidR="008C0CEB" w:rsidRPr="00BA763E">
        <w:rPr>
          <w:rFonts w:ascii="Athelas Regular" w:hAnsi="Athelas Regular"/>
        </w:rPr>
        <w:t>well-being</w:t>
      </w:r>
      <w:proofErr w:type="gramEnd"/>
      <w:r w:rsidR="008C0CEB" w:rsidRPr="00BA763E">
        <w:rPr>
          <w:rFonts w:ascii="Athelas Regular" w:hAnsi="Athelas Regular"/>
        </w:rPr>
        <w:t xml:space="preserve"> by eating the significant quantities of meat that we do.</w:t>
      </w:r>
    </w:p>
    <w:p w14:paraId="451B9369" w14:textId="77777777" w:rsidR="0029583C" w:rsidRPr="00BA763E" w:rsidRDefault="0029583C" w:rsidP="00B90D2A">
      <w:pPr>
        <w:spacing w:line="480" w:lineRule="auto"/>
        <w:rPr>
          <w:rFonts w:ascii="Athelas Regular" w:hAnsi="Athelas Regular"/>
        </w:rPr>
      </w:pPr>
      <w:r w:rsidRPr="00BA763E">
        <w:rPr>
          <w:rFonts w:ascii="Athelas Regular" w:hAnsi="Athelas Regular"/>
        </w:rPr>
        <w:tab/>
      </w:r>
      <w:r w:rsidR="008C0CEB" w:rsidRPr="00BA763E">
        <w:rPr>
          <w:rFonts w:ascii="Athelas Regular" w:hAnsi="Athelas Regular"/>
        </w:rPr>
        <w:t>This kind of thinking is as confused as it is common.</w:t>
      </w:r>
      <w:r w:rsidR="00B90D2A" w:rsidRPr="00BA763E">
        <w:rPr>
          <w:rFonts w:ascii="Athelas Regular" w:hAnsi="Athelas Regular"/>
        </w:rPr>
        <w:t xml:space="preserve"> </w:t>
      </w:r>
      <w:r w:rsidR="008C0CEB" w:rsidRPr="00BA763E">
        <w:rPr>
          <w:rFonts w:ascii="Athelas Regular" w:hAnsi="Athelas Regular"/>
        </w:rPr>
        <w:t xml:space="preserve">People who see that an argument from hedonism in favor of smoking is muddled should know better than to think that </w:t>
      </w:r>
      <w:r w:rsidR="00262606" w:rsidRPr="00BA763E">
        <w:rPr>
          <w:rFonts w:ascii="Athelas Regular" w:hAnsi="Athelas Regular"/>
        </w:rPr>
        <w:t xml:space="preserve">acting like the unreflective carnivore is a good strategy for maximizing </w:t>
      </w:r>
      <w:proofErr w:type="gramStart"/>
      <w:r w:rsidR="00262606" w:rsidRPr="00BA763E">
        <w:rPr>
          <w:rFonts w:ascii="Athelas Regular" w:hAnsi="Athelas Regular"/>
        </w:rPr>
        <w:t>well-being</w:t>
      </w:r>
      <w:proofErr w:type="gramEnd"/>
      <w:r w:rsidR="00262606" w:rsidRPr="00BA763E">
        <w:rPr>
          <w:rFonts w:ascii="Athelas Regular" w:hAnsi="Athelas Regular"/>
        </w:rPr>
        <w:t>.</w:t>
      </w:r>
      <w:r w:rsidR="00B90D2A" w:rsidRPr="00BA763E">
        <w:rPr>
          <w:rFonts w:ascii="Athelas Regular" w:hAnsi="Athelas Regular"/>
        </w:rPr>
        <w:t xml:space="preserve"> </w:t>
      </w:r>
      <w:r w:rsidR="00006EE5" w:rsidRPr="00BA763E">
        <w:rPr>
          <w:rFonts w:ascii="Athelas Regular" w:hAnsi="Athelas Regular"/>
        </w:rPr>
        <w:t>The harms to health caused by consuming the amount of meat consumed by the typical meat consumers in the United States or Great Britain aren</w:t>
      </w:r>
      <w:r w:rsidR="00B90D2A" w:rsidRPr="00BA763E">
        <w:rPr>
          <w:rFonts w:ascii="Athelas Regular" w:hAnsi="Athelas Regular"/>
        </w:rPr>
        <w:t>’</w:t>
      </w:r>
      <w:r w:rsidR="00006EE5" w:rsidRPr="00BA763E">
        <w:rPr>
          <w:rFonts w:ascii="Athelas Regular" w:hAnsi="Athelas Regular"/>
        </w:rPr>
        <w:t xml:space="preserve">t </w:t>
      </w:r>
      <w:r w:rsidR="00B61A91" w:rsidRPr="00BA763E">
        <w:rPr>
          <w:rFonts w:ascii="Athelas Regular" w:hAnsi="Athelas Regular"/>
        </w:rPr>
        <w:t>negligible.</w:t>
      </w:r>
      <w:r w:rsidR="00B90D2A" w:rsidRPr="00BA763E">
        <w:rPr>
          <w:rFonts w:ascii="Athelas Regular" w:hAnsi="Athelas Regular"/>
        </w:rPr>
        <w:t xml:space="preserve"> </w:t>
      </w:r>
      <w:r w:rsidR="003D205B" w:rsidRPr="00BA763E">
        <w:rPr>
          <w:rFonts w:ascii="Athelas Regular" w:hAnsi="Athelas Regular"/>
        </w:rPr>
        <w:t>Moreover, if we</w:t>
      </w:r>
      <w:r w:rsidR="00B90D2A" w:rsidRPr="00BA763E">
        <w:rPr>
          <w:rFonts w:ascii="Athelas Regular" w:hAnsi="Athelas Regular"/>
        </w:rPr>
        <w:t>’</w:t>
      </w:r>
      <w:r w:rsidR="003D205B" w:rsidRPr="00BA763E">
        <w:rPr>
          <w:rFonts w:ascii="Athelas Regular" w:hAnsi="Athelas Regular"/>
        </w:rPr>
        <w:t xml:space="preserve">re honest with ourselves and we think about the amount of pleasure we derive from eating steak, we cannot really say that </w:t>
      </w:r>
      <w:r w:rsidR="005C190D" w:rsidRPr="00BA763E">
        <w:rPr>
          <w:rFonts w:ascii="Athelas Regular" w:hAnsi="Athelas Regular"/>
        </w:rPr>
        <w:t xml:space="preserve">eating steak is </w:t>
      </w:r>
      <w:r w:rsidR="005C190D" w:rsidRPr="00BA763E">
        <w:rPr>
          <w:rFonts w:ascii="Athelas Regular" w:hAnsi="Athelas Regular"/>
          <w:i/>
        </w:rPr>
        <w:t>immensely</w:t>
      </w:r>
      <w:r w:rsidR="005C190D" w:rsidRPr="00BA763E">
        <w:rPr>
          <w:rFonts w:ascii="Athelas Regular" w:hAnsi="Athelas Regular"/>
        </w:rPr>
        <w:t xml:space="preserve"> pleasurable.</w:t>
      </w:r>
      <w:r w:rsidR="00B90D2A" w:rsidRPr="00BA763E">
        <w:rPr>
          <w:rFonts w:ascii="Athelas Regular" w:hAnsi="Athelas Regular"/>
        </w:rPr>
        <w:t xml:space="preserve"> </w:t>
      </w:r>
      <w:r w:rsidR="005C190D" w:rsidRPr="00BA763E">
        <w:rPr>
          <w:rFonts w:ascii="Athelas Regular" w:hAnsi="Athelas Regular"/>
        </w:rPr>
        <w:t>The pleasures associated with eating steak aren</w:t>
      </w:r>
      <w:r w:rsidR="00B90D2A" w:rsidRPr="00BA763E">
        <w:rPr>
          <w:rFonts w:ascii="Athelas Regular" w:hAnsi="Athelas Regular"/>
        </w:rPr>
        <w:t>’</w:t>
      </w:r>
      <w:r w:rsidR="005C190D" w:rsidRPr="00BA763E">
        <w:rPr>
          <w:rFonts w:ascii="Athelas Regular" w:hAnsi="Athelas Regular"/>
        </w:rPr>
        <w:t>t lik</w:t>
      </w:r>
      <w:r w:rsidR="00C73BA6" w:rsidRPr="00BA763E">
        <w:rPr>
          <w:rFonts w:ascii="Athelas Regular" w:hAnsi="Athelas Regular"/>
        </w:rPr>
        <w:t>e those associated with smoking much less like those associated with taking cocaine</w:t>
      </w:r>
      <w:r w:rsidR="005C190D" w:rsidRPr="00BA763E">
        <w:rPr>
          <w:rFonts w:ascii="Athelas Regular" w:hAnsi="Athelas Regular"/>
        </w:rPr>
        <w:t xml:space="preserve"> or ecstasy.</w:t>
      </w:r>
      <w:r w:rsidR="00B90D2A" w:rsidRPr="00BA763E">
        <w:rPr>
          <w:rFonts w:ascii="Athelas Regular" w:hAnsi="Athelas Regular"/>
        </w:rPr>
        <w:t xml:space="preserve"> </w:t>
      </w:r>
      <w:r w:rsidR="005C190D" w:rsidRPr="00BA763E">
        <w:rPr>
          <w:rFonts w:ascii="Athelas Regular" w:hAnsi="Athelas Regular"/>
        </w:rPr>
        <w:t>My guess is that once you cultivate a taste for vegetarian cooking, you wouldn</w:t>
      </w:r>
      <w:r w:rsidR="00B90D2A" w:rsidRPr="00BA763E">
        <w:rPr>
          <w:rFonts w:ascii="Athelas Regular" w:hAnsi="Athelas Regular"/>
        </w:rPr>
        <w:t>’</w:t>
      </w:r>
      <w:r w:rsidR="005C190D" w:rsidRPr="00BA763E">
        <w:rPr>
          <w:rFonts w:ascii="Athelas Regular" w:hAnsi="Athelas Regular"/>
        </w:rPr>
        <w:t>t rate your vegetarian meals lowe</w:t>
      </w:r>
      <w:r w:rsidR="001551A7" w:rsidRPr="00BA763E">
        <w:rPr>
          <w:rFonts w:ascii="Athelas Regular" w:hAnsi="Athelas Regular"/>
        </w:rPr>
        <w:t xml:space="preserve">r than, say, your steak or ribs. The </w:t>
      </w:r>
      <w:r w:rsidR="005C190D" w:rsidRPr="00BA763E">
        <w:rPr>
          <w:rFonts w:ascii="Athelas Regular" w:hAnsi="Athelas Regular"/>
        </w:rPr>
        <w:t>only reason people think otherwise is that they haven</w:t>
      </w:r>
      <w:r w:rsidR="00B90D2A" w:rsidRPr="00BA763E">
        <w:rPr>
          <w:rFonts w:ascii="Athelas Regular" w:hAnsi="Athelas Regular"/>
        </w:rPr>
        <w:t>’</w:t>
      </w:r>
      <w:r w:rsidR="005C190D" w:rsidRPr="00BA763E">
        <w:rPr>
          <w:rFonts w:ascii="Athelas Regular" w:hAnsi="Athelas Regular"/>
        </w:rPr>
        <w:t xml:space="preserve">t really bothered to </w:t>
      </w:r>
      <w:r w:rsidR="00B7650C" w:rsidRPr="00BA763E">
        <w:rPr>
          <w:rFonts w:ascii="Athelas Regular" w:hAnsi="Athelas Regular"/>
        </w:rPr>
        <w:t>test this out for themselves.</w:t>
      </w:r>
      <w:r w:rsidR="00B90D2A" w:rsidRPr="00BA763E">
        <w:rPr>
          <w:rFonts w:ascii="Athelas Regular" w:hAnsi="Athelas Regular"/>
        </w:rPr>
        <w:t xml:space="preserve"> </w:t>
      </w:r>
      <w:r w:rsidR="001551A7" w:rsidRPr="00BA763E">
        <w:rPr>
          <w:rFonts w:ascii="Athelas Regular" w:hAnsi="Athelas Regular"/>
        </w:rPr>
        <w:t xml:space="preserve"> </w:t>
      </w:r>
    </w:p>
    <w:p w14:paraId="4DF2F27E" w14:textId="77777777" w:rsidR="004965DD" w:rsidRPr="00BA763E" w:rsidRDefault="00317DCA" w:rsidP="00B90D2A">
      <w:pPr>
        <w:spacing w:line="480" w:lineRule="auto"/>
        <w:rPr>
          <w:rFonts w:ascii="Athelas Regular" w:hAnsi="Athelas Regular"/>
        </w:rPr>
      </w:pPr>
      <w:r w:rsidRPr="00BA763E">
        <w:rPr>
          <w:rFonts w:ascii="Athelas Regular" w:hAnsi="Athelas Regular"/>
        </w:rPr>
        <w:tab/>
        <w:t>This isn</w:t>
      </w:r>
      <w:r w:rsidR="00B90D2A" w:rsidRPr="00BA763E">
        <w:rPr>
          <w:rFonts w:ascii="Athelas Regular" w:hAnsi="Athelas Regular"/>
        </w:rPr>
        <w:t>’</w:t>
      </w:r>
      <w:r w:rsidRPr="00BA763E">
        <w:rPr>
          <w:rFonts w:ascii="Athelas Regular" w:hAnsi="Athelas Regular"/>
        </w:rPr>
        <w:t>t a paper about whether cultivating a taste for vegetarian cooking is good strat</w:t>
      </w:r>
      <w:r w:rsidR="00664C4E" w:rsidRPr="00BA763E">
        <w:rPr>
          <w:rFonts w:ascii="Athelas Regular" w:hAnsi="Athelas Regular"/>
        </w:rPr>
        <w:t xml:space="preserve">egy for maximizing </w:t>
      </w:r>
      <w:proofErr w:type="gramStart"/>
      <w:r w:rsidR="00664C4E" w:rsidRPr="00BA763E">
        <w:rPr>
          <w:rFonts w:ascii="Athelas Regular" w:hAnsi="Athelas Regular"/>
        </w:rPr>
        <w:t>well-being</w:t>
      </w:r>
      <w:proofErr w:type="gramEnd"/>
      <w:r w:rsidR="00664C4E" w:rsidRPr="00BA763E">
        <w:rPr>
          <w:rFonts w:ascii="Athelas Regular" w:hAnsi="Athelas Regular"/>
        </w:rPr>
        <w:t>.</w:t>
      </w:r>
      <w:r w:rsidR="00B90D2A" w:rsidRPr="00BA763E">
        <w:rPr>
          <w:rFonts w:ascii="Athelas Regular" w:hAnsi="Athelas Regular"/>
        </w:rPr>
        <w:t xml:space="preserve"> </w:t>
      </w:r>
      <w:r w:rsidR="004965DD" w:rsidRPr="00BA763E">
        <w:rPr>
          <w:rFonts w:ascii="Athelas Regular" w:hAnsi="Athelas Regular"/>
        </w:rPr>
        <w:t>It probably is, but I probably cannot convince you that it is unless you test my hypothesis by developing a taste for vegetarian cooking and do some research on the health benefits of a vegetarian lifestyle.</w:t>
      </w:r>
      <w:r w:rsidR="00B90D2A" w:rsidRPr="00BA763E">
        <w:rPr>
          <w:rFonts w:ascii="Athelas Regular" w:hAnsi="Athelas Regular"/>
        </w:rPr>
        <w:t xml:space="preserve"> </w:t>
      </w:r>
      <w:r w:rsidR="00C73BA6" w:rsidRPr="00BA763E">
        <w:rPr>
          <w:rFonts w:ascii="Athelas Regular" w:hAnsi="Athelas Regular"/>
        </w:rPr>
        <w:t>This is a paper about</w:t>
      </w:r>
      <w:r w:rsidR="004965DD" w:rsidRPr="00BA763E">
        <w:rPr>
          <w:rFonts w:ascii="Athelas Regular" w:hAnsi="Athelas Regular"/>
        </w:rPr>
        <w:t xml:space="preserve"> the unreflective carnivore, someone who makes decisions about what to purchase on the basis of a yen, a craving, or mistaken belief about what maximizes their own </w:t>
      </w:r>
      <w:proofErr w:type="gramStart"/>
      <w:r w:rsidR="004965DD" w:rsidRPr="00BA763E">
        <w:rPr>
          <w:rFonts w:ascii="Athelas Regular" w:hAnsi="Athelas Regular"/>
        </w:rPr>
        <w:t>well-being</w:t>
      </w:r>
      <w:proofErr w:type="gramEnd"/>
      <w:r w:rsidR="004965DD" w:rsidRPr="00BA763E">
        <w:rPr>
          <w:rFonts w:ascii="Athelas Regular" w:hAnsi="Athelas Regular"/>
        </w:rPr>
        <w:t>.</w:t>
      </w:r>
      <w:r w:rsidR="00B90D2A" w:rsidRPr="00BA763E">
        <w:rPr>
          <w:rFonts w:ascii="Athelas Regular" w:hAnsi="Athelas Regular"/>
        </w:rPr>
        <w:t xml:space="preserve"> </w:t>
      </w:r>
      <w:r w:rsidR="004965DD" w:rsidRPr="00BA763E">
        <w:rPr>
          <w:rFonts w:ascii="Athelas Regular" w:hAnsi="Athelas Regular"/>
        </w:rPr>
        <w:t>The question is whether there</w:t>
      </w:r>
      <w:r w:rsidR="00B90D2A" w:rsidRPr="00BA763E">
        <w:rPr>
          <w:rFonts w:ascii="Athelas Regular" w:hAnsi="Athelas Regular"/>
        </w:rPr>
        <w:t>’</w:t>
      </w:r>
      <w:r w:rsidR="004965DD" w:rsidRPr="00BA763E">
        <w:rPr>
          <w:rFonts w:ascii="Athelas Regular" w:hAnsi="Athelas Regular"/>
        </w:rPr>
        <w:t>s any justification for acting like the unreflective carnivore.</w:t>
      </w:r>
      <w:r w:rsidR="00C73BA6" w:rsidRPr="00BA763E">
        <w:rPr>
          <w:rFonts w:ascii="Athelas Regular" w:hAnsi="Athelas Regular"/>
        </w:rPr>
        <w:t xml:space="preserve"> </w:t>
      </w:r>
    </w:p>
    <w:p w14:paraId="7C4DB352" w14:textId="77777777" w:rsidR="005075FB" w:rsidRPr="00BA763E" w:rsidRDefault="00053AD3" w:rsidP="00B90D2A">
      <w:pPr>
        <w:spacing w:line="480" w:lineRule="auto"/>
        <w:rPr>
          <w:rFonts w:ascii="Athelas Regular" w:hAnsi="Athelas Regular"/>
        </w:rPr>
      </w:pPr>
      <w:r w:rsidRPr="00BA763E">
        <w:rPr>
          <w:rFonts w:ascii="Athelas Regular" w:hAnsi="Athelas Regular"/>
        </w:rPr>
        <w:tab/>
        <w:t>If the unreflective carnivores near and dear to us are asked to reflect, they</w:t>
      </w:r>
      <w:r w:rsidR="00B90D2A" w:rsidRPr="00BA763E">
        <w:rPr>
          <w:rFonts w:ascii="Athelas Regular" w:hAnsi="Athelas Regular"/>
        </w:rPr>
        <w:t>’</w:t>
      </w:r>
      <w:r w:rsidRPr="00BA763E">
        <w:rPr>
          <w:rFonts w:ascii="Athelas Regular" w:hAnsi="Athelas Regular"/>
        </w:rPr>
        <w:t>ll admit that they wouldn</w:t>
      </w:r>
      <w:r w:rsidR="00B90D2A" w:rsidRPr="00BA763E">
        <w:rPr>
          <w:rFonts w:ascii="Athelas Regular" w:hAnsi="Athelas Regular"/>
        </w:rPr>
        <w:t>’</w:t>
      </w:r>
      <w:r w:rsidRPr="00BA763E">
        <w:rPr>
          <w:rFonts w:ascii="Athelas Regular" w:hAnsi="Athelas Regular"/>
        </w:rPr>
        <w:t>t set dogs on a rabbit and wouldn</w:t>
      </w:r>
      <w:r w:rsidR="00B90D2A" w:rsidRPr="00BA763E">
        <w:rPr>
          <w:rFonts w:ascii="Athelas Regular" w:hAnsi="Athelas Regular"/>
        </w:rPr>
        <w:t>’</w:t>
      </w:r>
      <w:r w:rsidRPr="00BA763E">
        <w:rPr>
          <w:rFonts w:ascii="Athelas Regular" w:hAnsi="Athelas Regular"/>
        </w:rPr>
        <w:t>t set fire to a chicken.</w:t>
      </w:r>
      <w:r w:rsidR="00B90D2A" w:rsidRPr="00BA763E">
        <w:rPr>
          <w:rFonts w:ascii="Athelas Regular" w:hAnsi="Athelas Regular"/>
        </w:rPr>
        <w:t xml:space="preserve"> </w:t>
      </w:r>
      <w:r w:rsidRPr="00BA763E">
        <w:rPr>
          <w:rFonts w:ascii="Athelas Regular" w:hAnsi="Athelas Regular"/>
        </w:rPr>
        <w:t>They wouldn</w:t>
      </w:r>
      <w:r w:rsidR="00B90D2A" w:rsidRPr="00BA763E">
        <w:rPr>
          <w:rFonts w:ascii="Athelas Regular" w:hAnsi="Athelas Regular"/>
        </w:rPr>
        <w:t>’</w:t>
      </w:r>
      <w:r w:rsidRPr="00BA763E">
        <w:rPr>
          <w:rFonts w:ascii="Athelas Regular" w:hAnsi="Athelas Regular"/>
        </w:rPr>
        <w:t xml:space="preserve">t run a </w:t>
      </w:r>
      <w:r w:rsidRPr="00BA763E">
        <w:rPr>
          <w:rFonts w:ascii="Athelas Regular" w:hAnsi="Athelas Regular"/>
        </w:rPr>
        <w:lastRenderedPageBreak/>
        <w:t>lamb down with their car.</w:t>
      </w:r>
      <w:r w:rsidR="00B90D2A" w:rsidRPr="00BA763E">
        <w:rPr>
          <w:rFonts w:ascii="Athelas Regular" w:hAnsi="Athelas Regular"/>
        </w:rPr>
        <w:t xml:space="preserve"> </w:t>
      </w:r>
      <w:r w:rsidRPr="00BA763E">
        <w:rPr>
          <w:rFonts w:ascii="Athelas Regular" w:hAnsi="Athelas Regular"/>
        </w:rPr>
        <w:t>They wouldn</w:t>
      </w:r>
      <w:r w:rsidR="00B90D2A" w:rsidRPr="00BA763E">
        <w:rPr>
          <w:rFonts w:ascii="Athelas Regular" w:hAnsi="Athelas Regular"/>
        </w:rPr>
        <w:t>’</w:t>
      </w:r>
      <w:r w:rsidRPr="00BA763E">
        <w:rPr>
          <w:rFonts w:ascii="Athelas Regular" w:hAnsi="Athelas Regular"/>
        </w:rPr>
        <w:t>t shoot a dolphin from the deck of a boat.</w:t>
      </w:r>
      <w:r w:rsidR="00B90D2A" w:rsidRPr="00BA763E">
        <w:rPr>
          <w:rFonts w:ascii="Athelas Regular" w:hAnsi="Athelas Regular"/>
        </w:rPr>
        <w:t xml:space="preserve"> </w:t>
      </w:r>
      <w:r w:rsidRPr="00BA763E">
        <w:rPr>
          <w:rFonts w:ascii="Athelas Regular" w:hAnsi="Athelas Regular"/>
        </w:rPr>
        <w:t xml:space="preserve">When they watch nature shows, they are horrified if they see a baby elephant killed by lions and tear up when they watch the </w:t>
      </w:r>
      <w:r w:rsidR="004B6272" w:rsidRPr="00BA763E">
        <w:rPr>
          <w:rFonts w:ascii="Athelas Regular" w:hAnsi="Athelas Regular"/>
        </w:rPr>
        <w:t xml:space="preserve">desperate </w:t>
      </w:r>
      <w:r w:rsidRPr="00BA763E">
        <w:rPr>
          <w:rFonts w:ascii="Athelas Regular" w:hAnsi="Athelas Regular"/>
        </w:rPr>
        <w:t>mother elephant search for her young.</w:t>
      </w:r>
      <w:r w:rsidR="00B90D2A" w:rsidRPr="00BA763E">
        <w:rPr>
          <w:rFonts w:ascii="Athelas Regular" w:hAnsi="Athelas Regular"/>
        </w:rPr>
        <w:t xml:space="preserve"> </w:t>
      </w:r>
      <w:r w:rsidRPr="00BA763E">
        <w:rPr>
          <w:rFonts w:ascii="Athelas Regular" w:hAnsi="Athelas Regular"/>
        </w:rPr>
        <w:t>In spite of this, they</w:t>
      </w:r>
      <w:r w:rsidR="00B90D2A" w:rsidRPr="00BA763E">
        <w:rPr>
          <w:rFonts w:ascii="Athelas Regular" w:hAnsi="Athelas Regular"/>
        </w:rPr>
        <w:t>’</w:t>
      </w:r>
      <w:r w:rsidRPr="00BA763E">
        <w:rPr>
          <w:rFonts w:ascii="Athelas Regular" w:hAnsi="Athelas Regular"/>
        </w:rPr>
        <w:t>ll order rabbit, chicken, or lamb in a restaurant.</w:t>
      </w:r>
      <w:r w:rsidR="00B90D2A" w:rsidRPr="00BA763E">
        <w:rPr>
          <w:rFonts w:ascii="Athelas Regular" w:hAnsi="Athelas Regular"/>
        </w:rPr>
        <w:t xml:space="preserve"> </w:t>
      </w:r>
      <w:r w:rsidRPr="00BA763E">
        <w:rPr>
          <w:rFonts w:ascii="Athelas Regular" w:hAnsi="Athelas Regular"/>
        </w:rPr>
        <w:t xml:space="preserve">They think that it matters, in some sense, what happens to animals, but they </w:t>
      </w:r>
      <w:r w:rsidR="004B6272" w:rsidRPr="00BA763E">
        <w:rPr>
          <w:rFonts w:ascii="Athelas Regular" w:hAnsi="Athelas Regular"/>
        </w:rPr>
        <w:t>thin that there</w:t>
      </w:r>
      <w:r w:rsidR="00B90D2A" w:rsidRPr="00BA763E">
        <w:rPr>
          <w:rFonts w:ascii="Athelas Regular" w:hAnsi="Athelas Regular"/>
        </w:rPr>
        <w:t>’</w:t>
      </w:r>
      <w:r w:rsidR="004B6272" w:rsidRPr="00BA763E">
        <w:rPr>
          <w:rFonts w:ascii="Athelas Regular" w:hAnsi="Athelas Regular"/>
        </w:rPr>
        <w:t>s a sense in which their actions make of any moral significance.</w:t>
      </w:r>
      <w:r w:rsidR="00B90D2A" w:rsidRPr="00BA763E">
        <w:rPr>
          <w:rFonts w:ascii="Athelas Regular" w:hAnsi="Athelas Regular"/>
        </w:rPr>
        <w:t xml:space="preserve"> </w:t>
      </w:r>
      <w:r w:rsidRPr="00BA763E">
        <w:rPr>
          <w:rFonts w:ascii="Athelas Regular" w:hAnsi="Athelas Regular"/>
        </w:rPr>
        <w:t xml:space="preserve">I want </w:t>
      </w:r>
      <w:r w:rsidR="004B6272" w:rsidRPr="00BA763E">
        <w:rPr>
          <w:rFonts w:ascii="Athelas Regular" w:hAnsi="Athelas Regular"/>
        </w:rPr>
        <w:t>to see if</w:t>
      </w:r>
      <w:r w:rsidRPr="00BA763E">
        <w:rPr>
          <w:rFonts w:ascii="Athelas Regular" w:hAnsi="Athelas Regular"/>
        </w:rPr>
        <w:t xml:space="preserve"> these </w:t>
      </w:r>
      <w:r w:rsidR="00B90D2A" w:rsidRPr="00BA763E">
        <w:rPr>
          <w:rFonts w:ascii="Athelas Regular" w:hAnsi="Athelas Regular"/>
        </w:rPr>
        <w:t>‘</w:t>
      </w:r>
      <w:r w:rsidRPr="00BA763E">
        <w:rPr>
          <w:rFonts w:ascii="Athelas Regular" w:hAnsi="Athelas Regular"/>
        </w:rPr>
        <w:t>no difference</w:t>
      </w:r>
      <w:r w:rsidR="00B90D2A" w:rsidRPr="00BA763E">
        <w:rPr>
          <w:rFonts w:ascii="Athelas Regular" w:hAnsi="Athelas Regular"/>
        </w:rPr>
        <w:t>’</w:t>
      </w:r>
      <w:r w:rsidRPr="00BA763E">
        <w:rPr>
          <w:rFonts w:ascii="Athelas Regular" w:hAnsi="Athelas Regular"/>
        </w:rPr>
        <w:t xml:space="preserve"> defenses hold up to scrutiny.</w:t>
      </w:r>
      <w:r w:rsidR="00B90D2A" w:rsidRPr="00BA763E">
        <w:rPr>
          <w:rFonts w:ascii="Athelas Regular" w:hAnsi="Athelas Regular"/>
        </w:rPr>
        <w:t xml:space="preserve"> </w:t>
      </w:r>
      <w:r w:rsidR="004B6272" w:rsidRPr="00BA763E">
        <w:rPr>
          <w:rFonts w:ascii="Athelas Regular" w:hAnsi="Athelas Regular"/>
        </w:rPr>
        <w:t xml:space="preserve"> </w:t>
      </w:r>
    </w:p>
    <w:p w14:paraId="4BE5520A" w14:textId="77777777" w:rsidR="009A7A4C" w:rsidRPr="00BA763E" w:rsidRDefault="0002266B" w:rsidP="00B90D2A">
      <w:pPr>
        <w:spacing w:line="480" w:lineRule="auto"/>
        <w:rPr>
          <w:rFonts w:ascii="Athelas Regular" w:hAnsi="Athelas Regular"/>
        </w:rPr>
      </w:pPr>
      <w:r w:rsidRPr="00BA763E">
        <w:rPr>
          <w:rFonts w:ascii="Athelas Regular" w:hAnsi="Athelas Regular"/>
        </w:rPr>
        <w:tab/>
        <w:t>It</w:t>
      </w:r>
      <w:r w:rsidR="00B90D2A" w:rsidRPr="00BA763E">
        <w:rPr>
          <w:rFonts w:ascii="Athelas Regular" w:hAnsi="Athelas Regular"/>
        </w:rPr>
        <w:t>’</w:t>
      </w:r>
      <w:r w:rsidRPr="00BA763E">
        <w:rPr>
          <w:rFonts w:ascii="Athelas Regular" w:hAnsi="Athelas Regular"/>
        </w:rPr>
        <w:t>s important to fix some parameters for this discussion.</w:t>
      </w:r>
      <w:r w:rsidR="00B90D2A" w:rsidRPr="00BA763E">
        <w:rPr>
          <w:rFonts w:ascii="Athelas Regular" w:hAnsi="Athelas Regular"/>
        </w:rPr>
        <w:t xml:space="preserve"> </w:t>
      </w:r>
      <w:r w:rsidRPr="00BA763E">
        <w:rPr>
          <w:rFonts w:ascii="Athelas Regular" w:hAnsi="Athelas Regular"/>
        </w:rPr>
        <w:t>The people near and dear to me live in the United States and Great Britain. They can afford to eat in restaurants and purchase meat in the grocery store. They can also afford to eat fresh fruits and vegetables, which happen to be in abundant supply where they live. If anything, they</w:t>
      </w:r>
      <w:r w:rsidR="00B90D2A" w:rsidRPr="00BA763E">
        <w:rPr>
          <w:rFonts w:ascii="Athelas Regular" w:hAnsi="Athelas Regular"/>
        </w:rPr>
        <w:t>’</w:t>
      </w:r>
      <w:r w:rsidRPr="00BA763E">
        <w:rPr>
          <w:rFonts w:ascii="Athelas Regular" w:hAnsi="Athelas Regular"/>
        </w:rPr>
        <w:t>d save money by becoming vegetarians. Although such a diet isn</w:t>
      </w:r>
      <w:r w:rsidR="00B90D2A" w:rsidRPr="00BA763E">
        <w:rPr>
          <w:rFonts w:ascii="Athelas Regular" w:hAnsi="Athelas Regular"/>
        </w:rPr>
        <w:t>’</w:t>
      </w:r>
      <w:r w:rsidRPr="00BA763E">
        <w:rPr>
          <w:rFonts w:ascii="Athelas Regular" w:hAnsi="Athelas Regular"/>
        </w:rPr>
        <w:t>t appealing to them, they know enough about cooking that they could easily learn to cook delicious and healthy vegetarian meals if pushed to do so.</w:t>
      </w:r>
      <w:r w:rsidR="00B90D2A" w:rsidRPr="00BA763E">
        <w:rPr>
          <w:rFonts w:ascii="Athelas Regular" w:hAnsi="Athelas Regular"/>
        </w:rPr>
        <w:t xml:space="preserve"> </w:t>
      </w:r>
      <w:r w:rsidRPr="00BA763E">
        <w:rPr>
          <w:rFonts w:ascii="Athelas Regular" w:hAnsi="Athelas Regular"/>
        </w:rPr>
        <w:t>They don</w:t>
      </w:r>
      <w:r w:rsidR="00B90D2A" w:rsidRPr="00BA763E">
        <w:rPr>
          <w:rFonts w:ascii="Athelas Regular" w:hAnsi="Athelas Regular"/>
        </w:rPr>
        <w:t>’</w:t>
      </w:r>
      <w:r w:rsidRPr="00BA763E">
        <w:rPr>
          <w:rFonts w:ascii="Athelas Regular" w:hAnsi="Athelas Regular"/>
        </w:rPr>
        <w:t>t suffer from any bizarre medical conditions that would require a daily dose of bacon.</w:t>
      </w:r>
      <w:r w:rsidR="00B90D2A" w:rsidRPr="00BA763E">
        <w:rPr>
          <w:rFonts w:ascii="Athelas Regular" w:hAnsi="Athelas Regular"/>
        </w:rPr>
        <w:t xml:space="preserve"> </w:t>
      </w:r>
      <w:r w:rsidR="00811387" w:rsidRPr="00BA763E">
        <w:rPr>
          <w:rFonts w:ascii="Athelas Regular" w:hAnsi="Athelas Regular"/>
        </w:rPr>
        <w:t>They aren</w:t>
      </w:r>
      <w:r w:rsidR="00B90D2A" w:rsidRPr="00BA763E">
        <w:rPr>
          <w:rFonts w:ascii="Athelas Regular" w:hAnsi="Athelas Regular"/>
        </w:rPr>
        <w:t>’</w:t>
      </w:r>
      <w:r w:rsidR="00811387" w:rsidRPr="00BA763E">
        <w:rPr>
          <w:rFonts w:ascii="Athelas Regular" w:hAnsi="Athelas Regular"/>
        </w:rPr>
        <w:t>t utility monsters. They don</w:t>
      </w:r>
      <w:r w:rsidR="00B90D2A" w:rsidRPr="00BA763E">
        <w:rPr>
          <w:rFonts w:ascii="Athelas Regular" w:hAnsi="Athelas Regular"/>
        </w:rPr>
        <w:t>’</w:t>
      </w:r>
      <w:r w:rsidR="00811387" w:rsidRPr="00BA763E">
        <w:rPr>
          <w:rFonts w:ascii="Athelas Regular" w:hAnsi="Athelas Regular"/>
        </w:rPr>
        <w:t>t derive freakish amounts of pleasure from eating steak</w:t>
      </w:r>
      <w:r w:rsidR="00A06B6D" w:rsidRPr="00BA763E">
        <w:rPr>
          <w:rFonts w:ascii="Athelas Regular" w:hAnsi="Athelas Regular"/>
        </w:rPr>
        <w:t xml:space="preserve"> or chicken potpie</w:t>
      </w:r>
      <w:r w:rsidR="00811387" w:rsidRPr="00BA763E">
        <w:rPr>
          <w:rFonts w:ascii="Athelas Regular" w:hAnsi="Athelas Regular"/>
        </w:rPr>
        <w:t>.</w:t>
      </w:r>
      <w:r w:rsidR="00B90D2A" w:rsidRPr="00BA763E">
        <w:rPr>
          <w:rFonts w:ascii="Athelas Regular" w:hAnsi="Athelas Regular"/>
        </w:rPr>
        <w:t xml:space="preserve"> </w:t>
      </w:r>
      <w:r w:rsidR="00811387" w:rsidRPr="00BA763E">
        <w:rPr>
          <w:rFonts w:ascii="Athelas Regular" w:hAnsi="Athelas Regular"/>
        </w:rPr>
        <w:t>When I</w:t>
      </w:r>
      <w:r w:rsidR="00B90D2A" w:rsidRPr="00BA763E">
        <w:rPr>
          <w:rFonts w:ascii="Athelas Regular" w:hAnsi="Athelas Regular"/>
        </w:rPr>
        <w:t>’</w:t>
      </w:r>
      <w:r w:rsidR="00811387" w:rsidRPr="00BA763E">
        <w:rPr>
          <w:rFonts w:ascii="Athelas Regular" w:hAnsi="Athelas Regular"/>
        </w:rPr>
        <w:t>ve served them vegetarian meals, they haven</w:t>
      </w:r>
      <w:r w:rsidR="00B90D2A" w:rsidRPr="00BA763E">
        <w:rPr>
          <w:rFonts w:ascii="Athelas Regular" w:hAnsi="Athelas Regular"/>
        </w:rPr>
        <w:t>’</w:t>
      </w:r>
      <w:r w:rsidR="00811387" w:rsidRPr="00BA763E">
        <w:rPr>
          <w:rFonts w:ascii="Athelas Regular" w:hAnsi="Athelas Regular"/>
        </w:rPr>
        <w:t>t rated them lower than they</w:t>
      </w:r>
      <w:r w:rsidR="00B90D2A" w:rsidRPr="00BA763E">
        <w:rPr>
          <w:rFonts w:ascii="Athelas Regular" w:hAnsi="Athelas Regular"/>
        </w:rPr>
        <w:t>’</w:t>
      </w:r>
      <w:r w:rsidR="00811387" w:rsidRPr="00BA763E">
        <w:rPr>
          <w:rFonts w:ascii="Athelas Regular" w:hAnsi="Athelas Regular"/>
        </w:rPr>
        <w:t>d rate a chicken or pork dish that I</w:t>
      </w:r>
      <w:r w:rsidR="00B90D2A" w:rsidRPr="00BA763E">
        <w:rPr>
          <w:rFonts w:ascii="Athelas Regular" w:hAnsi="Athelas Regular"/>
        </w:rPr>
        <w:t>’</w:t>
      </w:r>
      <w:r w:rsidR="00811387" w:rsidRPr="00BA763E">
        <w:rPr>
          <w:rFonts w:ascii="Athelas Regular" w:hAnsi="Athelas Regular"/>
        </w:rPr>
        <w:t>d prepare or that they</w:t>
      </w:r>
      <w:r w:rsidR="00B90D2A" w:rsidRPr="00BA763E">
        <w:rPr>
          <w:rFonts w:ascii="Athelas Regular" w:hAnsi="Athelas Regular"/>
        </w:rPr>
        <w:t>’</w:t>
      </w:r>
      <w:r w:rsidR="00811387" w:rsidRPr="00BA763E">
        <w:rPr>
          <w:rFonts w:ascii="Athelas Regular" w:hAnsi="Athelas Regular"/>
        </w:rPr>
        <w:t>d prepare.</w:t>
      </w:r>
      <w:r w:rsidR="00B90D2A" w:rsidRPr="00BA763E">
        <w:rPr>
          <w:rFonts w:ascii="Athelas Regular" w:hAnsi="Athelas Regular"/>
        </w:rPr>
        <w:t xml:space="preserve"> </w:t>
      </w:r>
      <w:r w:rsidRPr="00BA763E">
        <w:rPr>
          <w:rFonts w:ascii="Athelas Regular" w:hAnsi="Athelas Regular"/>
        </w:rPr>
        <w:t>They know that the animals they eat are sentient, capable of feeling pleasure and pain.</w:t>
      </w:r>
      <w:r w:rsidR="00B90D2A" w:rsidRPr="00BA763E">
        <w:rPr>
          <w:rFonts w:ascii="Athelas Regular" w:hAnsi="Athelas Regular"/>
        </w:rPr>
        <w:t xml:space="preserve"> </w:t>
      </w:r>
      <w:r w:rsidRPr="00BA763E">
        <w:rPr>
          <w:rFonts w:ascii="Athelas Regular" w:hAnsi="Athelas Regular"/>
        </w:rPr>
        <w:t>They believe that some of the animals they eat lived reasonably good lives and were killed humanely.</w:t>
      </w:r>
      <w:r w:rsidR="00B90D2A" w:rsidRPr="00BA763E">
        <w:rPr>
          <w:rFonts w:ascii="Athelas Regular" w:hAnsi="Athelas Regular"/>
        </w:rPr>
        <w:t xml:space="preserve"> </w:t>
      </w:r>
      <w:r w:rsidRPr="00BA763E">
        <w:rPr>
          <w:rFonts w:ascii="Athelas Regular" w:hAnsi="Athelas Regular"/>
        </w:rPr>
        <w:t>They believe that some of the animals they eat lack complex mental lives and so cannot have self-regarding desires about their own futures.</w:t>
      </w:r>
      <w:r w:rsidR="00B90D2A" w:rsidRPr="00BA763E">
        <w:rPr>
          <w:rFonts w:ascii="Athelas Regular" w:hAnsi="Athelas Regular"/>
        </w:rPr>
        <w:t xml:space="preserve"> </w:t>
      </w:r>
      <w:r w:rsidR="00811387" w:rsidRPr="00BA763E">
        <w:rPr>
          <w:rFonts w:ascii="Athelas Regular" w:hAnsi="Athelas Regular"/>
        </w:rPr>
        <w:t xml:space="preserve">They also realize that the animals they eat are </w:t>
      </w:r>
      <w:r w:rsidR="00ED5212" w:rsidRPr="00BA763E">
        <w:rPr>
          <w:rFonts w:ascii="Athelas Regular" w:hAnsi="Athelas Regular"/>
        </w:rPr>
        <w:t>typically killed in vast numbers so that the decision to kill a chicken or lamb, say, isn</w:t>
      </w:r>
      <w:r w:rsidR="00B90D2A" w:rsidRPr="00BA763E">
        <w:rPr>
          <w:rFonts w:ascii="Athelas Regular" w:hAnsi="Athelas Regular"/>
        </w:rPr>
        <w:t>’</w:t>
      </w:r>
      <w:r w:rsidR="00ED5212" w:rsidRPr="00BA763E">
        <w:rPr>
          <w:rFonts w:ascii="Athelas Regular" w:hAnsi="Athelas Regular"/>
        </w:rPr>
        <w:t>t directly in response to the order they place in a restaurant or a p</w:t>
      </w:r>
      <w:r w:rsidR="009A7A4C" w:rsidRPr="00BA763E">
        <w:rPr>
          <w:rFonts w:ascii="Athelas Regular" w:hAnsi="Athelas Regular"/>
        </w:rPr>
        <w:t>urchase they make in a market.</w:t>
      </w:r>
      <w:r w:rsidR="00B90D2A" w:rsidRPr="00BA763E">
        <w:rPr>
          <w:rFonts w:ascii="Athelas Regular" w:hAnsi="Athelas Regular"/>
        </w:rPr>
        <w:t xml:space="preserve"> </w:t>
      </w:r>
      <w:r w:rsidR="009A7A4C" w:rsidRPr="00BA763E">
        <w:rPr>
          <w:rFonts w:ascii="Athelas Regular" w:hAnsi="Athelas Regular"/>
        </w:rPr>
        <w:t>This should give you some sense of the kind of person I ha</w:t>
      </w:r>
      <w:r w:rsidR="00874CF5" w:rsidRPr="00BA763E">
        <w:rPr>
          <w:rFonts w:ascii="Athelas Regular" w:hAnsi="Athelas Regular"/>
        </w:rPr>
        <w:t>ve in mind when I evaluate the no difference</w:t>
      </w:r>
      <w:r w:rsidR="009A7A4C" w:rsidRPr="00BA763E">
        <w:rPr>
          <w:rFonts w:ascii="Athelas Regular" w:hAnsi="Athelas Regular"/>
        </w:rPr>
        <w:t xml:space="preserve"> defenses.</w:t>
      </w:r>
    </w:p>
    <w:p w14:paraId="37893036" w14:textId="77777777" w:rsidR="00A31ACB" w:rsidRPr="00BA763E" w:rsidRDefault="009A7A4C" w:rsidP="00B90D2A">
      <w:pPr>
        <w:spacing w:line="480" w:lineRule="auto"/>
        <w:rPr>
          <w:rFonts w:ascii="Athelas Regular" w:hAnsi="Athelas Regular"/>
        </w:rPr>
      </w:pPr>
      <w:r w:rsidRPr="00BA763E">
        <w:rPr>
          <w:rFonts w:ascii="Athelas Regular" w:hAnsi="Athelas Regular"/>
        </w:rPr>
        <w:lastRenderedPageBreak/>
        <w:tab/>
      </w:r>
      <w:r w:rsidR="00F45013" w:rsidRPr="00BA763E">
        <w:rPr>
          <w:rFonts w:ascii="Athelas Regular" w:hAnsi="Athelas Regular"/>
        </w:rPr>
        <w:t>Let me fix one more parameter.</w:t>
      </w:r>
      <w:r w:rsidR="00B90D2A" w:rsidRPr="00BA763E">
        <w:rPr>
          <w:rFonts w:ascii="Athelas Regular" w:hAnsi="Athelas Regular"/>
        </w:rPr>
        <w:t xml:space="preserve"> </w:t>
      </w:r>
      <w:r w:rsidR="006C69D9" w:rsidRPr="00BA763E">
        <w:rPr>
          <w:rFonts w:ascii="Athelas Regular" w:hAnsi="Athelas Regular"/>
        </w:rPr>
        <w:t>The people near and dea</w:t>
      </w:r>
      <w:r w:rsidR="00431E45" w:rsidRPr="00BA763E">
        <w:rPr>
          <w:rFonts w:ascii="Athelas Regular" w:hAnsi="Athelas Regular"/>
        </w:rPr>
        <w:t>r to me aren</w:t>
      </w:r>
      <w:r w:rsidR="00B90D2A" w:rsidRPr="00BA763E">
        <w:rPr>
          <w:rFonts w:ascii="Athelas Regular" w:hAnsi="Athelas Regular"/>
        </w:rPr>
        <w:t>’</w:t>
      </w:r>
      <w:r w:rsidR="00431E45" w:rsidRPr="00BA763E">
        <w:rPr>
          <w:rFonts w:ascii="Athelas Regular" w:hAnsi="Athelas Regular"/>
        </w:rPr>
        <w:t>t neo-Cartesians and so they agree that some of the animals they eat are capable of suffering as well as capable of enjoying pleasurable experiences.</w:t>
      </w:r>
      <w:r w:rsidR="00B90D2A" w:rsidRPr="00BA763E">
        <w:rPr>
          <w:rFonts w:ascii="Athelas Regular" w:hAnsi="Athelas Regular"/>
        </w:rPr>
        <w:t xml:space="preserve"> </w:t>
      </w:r>
      <w:r w:rsidR="00431E45" w:rsidRPr="00BA763E">
        <w:rPr>
          <w:rFonts w:ascii="Athelas Regular" w:hAnsi="Athelas Regular"/>
        </w:rPr>
        <w:t xml:space="preserve">They agree that this means that some of the non-human animals we eat are moral </w:t>
      </w:r>
      <w:r w:rsidR="00431E45" w:rsidRPr="00BA763E">
        <w:rPr>
          <w:rFonts w:ascii="Athelas Regular" w:hAnsi="Athelas Regular"/>
          <w:i/>
        </w:rPr>
        <w:t>patients</w:t>
      </w:r>
      <w:r w:rsidR="00431E45" w:rsidRPr="00BA763E">
        <w:rPr>
          <w:rFonts w:ascii="Athelas Regular" w:hAnsi="Athelas Regular"/>
        </w:rPr>
        <w:t>, creatures who have interests that have non-instrumental moral significance.</w:t>
      </w:r>
      <w:r w:rsidR="00B90D2A" w:rsidRPr="00BA763E">
        <w:rPr>
          <w:rFonts w:ascii="Athelas Regular" w:hAnsi="Athelas Regular"/>
        </w:rPr>
        <w:t xml:space="preserve"> </w:t>
      </w:r>
      <w:r w:rsidR="00431E45" w:rsidRPr="00BA763E">
        <w:rPr>
          <w:rFonts w:ascii="Athelas Regular" w:hAnsi="Athelas Regular"/>
        </w:rPr>
        <w:t>They might not describe their view in these terms, but this is a</w:t>
      </w:r>
      <w:r w:rsidR="00A06B6D" w:rsidRPr="00BA763E">
        <w:rPr>
          <w:rFonts w:ascii="Athelas Regular" w:hAnsi="Athelas Regular"/>
        </w:rPr>
        <w:t xml:space="preserve"> view that they</w:t>
      </w:r>
      <w:r w:rsidR="00B90D2A" w:rsidRPr="00BA763E">
        <w:rPr>
          <w:rFonts w:ascii="Athelas Regular" w:hAnsi="Athelas Regular"/>
        </w:rPr>
        <w:t>’</w:t>
      </w:r>
      <w:r w:rsidR="00A06B6D" w:rsidRPr="00BA763E">
        <w:rPr>
          <w:rFonts w:ascii="Athelas Regular" w:hAnsi="Athelas Regular"/>
        </w:rPr>
        <w:t>re committed to and something they</w:t>
      </w:r>
      <w:r w:rsidR="00B90D2A" w:rsidRPr="00BA763E">
        <w:rPr>
          <w:rFonts w:ascii="Athelas Regular" w:hAnsi="Athelas Regular"/>
        </w:rPr>
        <w:t>’</w:t>
      </w:r>
      <w:r w:rsidR="00A06B6D" w:rsidRPr="00BA763E">
        <w:rPr>
          <w:rFonts w:ascii="Athelas Regular" w:hAnsi="Athelas Regular"/>
        </w:rPr>
        <w:t>ll accept without too much of a fuss.</w:t>
      </w:r>
      <w:r w:rsidR="00B90D2A" w:rsidRPr="00BA763E">
        <w:rPr>
          <w:rFonts w:ascii="Athelas Regular" w:hAnsi="Athelas Regular"/>
        </w:rPr>
        <w:t xml:space="preserve"> </w:t>
      </w:r>
    </w:p>
    <w:p w14:paraId="250B54A5" w14:textId="77777777" w:rsidR="00B90D2A" w:rsidRPr="00BA763E" w:rsidRDefault="00A31ACB" w:rsidP="00B90D2A">
      <w:pPr>
        <w:spacing w:line="480" w:lineRule="auto"/>
        <w:rPr>
          <w:rFonts w:ascii="Athelas Regular" w:hAnsi="Athelas Regular"/>
        </w:rPr>
      </w:pPr>
      <w:r w:rsidRPr="00BA763E">
        <w:rPr>
          <w:rFonts w:ascii="Athelas Regular" w:hAnsi="Athelas Regular"/>
        </w:rPr>
        <w:tab/>
      </w:r>
      <w:r w:rsidR="00431E45" w:rsidRPr="00BA763E">
        <w:rPr>
          <w:rFonts w:ascii="Athelas Regular" w:hAnsi="Athelas Regular"/>
        </w:rPr>
        <w:t>To see why</w:t>
      </w:r>
      <w:r w:rsidR="00A06B6D" w:rsidRPr="00BA763E">
        <w:rPr>
          <w:rFonts w:ascii="Athelas Regular" w:hAnsi="Athelas Regular"/>
        </w:rPr>
        <w:t xml:space="preserve"> they should accept this</w:t>
      </w:r>
      <w:r w:rsidR="00431E45" w:rsidRPr="00BA763E">
        <w:rPr>
          <w:rFonts w:ascii="Athelas Regular" w:hAnsi="Athelas Regular"/>
        </w:rPr>
        <w:t>, let</w:t>
      </w:r>
      <w:r w:rsidR="00B90D2A" w:rsidRPr="00BA763E">
        <w:rPr>
          <w:rFonts w:ascii="Athelas Regular" w:hAnsi="Athelas Regular"/>
        </w:rPr>
        <w:t>’</w:t>
      </w:r>
      <w:r w:rsidR="00431E45" w:rsidRPr="00BA763E">
        <w:rPr>
          <w:rFonts w:ascii="Athelas Regular" w:hAnsi="Athelas Regular"/>
        </w:rPr>
        <w:t>s review the marginal cases argument.</w:t>
      </w:r>
      <w:r w:rsidR="00B90D2A" w:rsidRPr="00BA763E">
        <w:rPr>
          <w:rStyle w:val="EndnoteReference"/>
          <w:rFonts w:ascii="Athelas Regular" w:hAnsi="Athelas Regular"/>
        </w:rPr>
        <w:endnoteReference w:id="1"/>
      </w:r>
      <w:r w:rsidR="00B90D2A" w:rsidRPr="00BA763E">
        <w:rPr>
          <w:rFonts w:ascii="Athelas Regular" w:hAnsi="Athelas Regular"/>
        </w:rPr>
        <w:t xml:space="preserve"> The starting point of the argument is this: </w:t>
      </w:r>
    </w:p>
    <w:p w14:paraId="3EBB0D4A" w14:textId="77777777" w:rsidR="00B90D2A" w:rsidRPr="00BA763E" w:rsidRDefault="00B90D2A" w:rsidP="00B90D2A">
      <w:pPr>
        <w:spacing w:line="480" w:lineRule="auto"/>
        <w:rPr>
          <w:rFonts w:ascii="Athelas Regular" w:hAnsi="Athelas Regular"/>
        </w:rPr>
      </w:pPr>
    </w:p>
    <w:p w14:paraId="28F9B76F" w14:textId="77777777" w:rsidR="00B90D2A" w:rsidRPr="00BA763E" w:rsidRDefault="00B90D2A" w:rsidP="00BA763E">
      <w:pPr>
        <w:spacing w:line="480" w:lineRule="auto"/>
        <w:ind w:firstLine="720"/>
        <w:outlineLvl w:val="0"/>
        <w:rPr>
          <w:rFonts w:ascii="Athelas Regular" w:hAnsi="Athelas Regular"/>
        </w:rPr>
      </w:pPr>
      <w:r w:rsidRPr="00BA763E">
        <w:rPr>
          <w:rFonts w:ascii="Athelas Regular" w:hAnsi="Athelas Regular"/>
        </w:rPr>
        <w:t>MC1: All living, sentient humans are moral patients.</w:t>
      </w:r>
    </w:p>
    <w:p w14:paraId="0EFEF837" w14:textId="77777777" w:rsidR="00B90D2A" w:rsidRPr="00BA763E" w:rsidRDefault="00B90D2A" w:rsidP="00B90D2A">
      <w:pPr>
        <w:spacing w:line="480" w:lineRule="auto"/>
        <w:ind w:firstLine="720"/>
        <w:rPr>
          <w:rFonts w:ascii="Athelas Regular" w:hAnsi="Athelas Regular"/>
        </w:rPr>
      </w:pPr>
    </w:p>
    <w:p w14:paraId="6685161E" w14:textId="77777777" w:rsidR="00B90D2A" w:rsidRPr="00BA763E" w:rsidRDefault="00B90D2A" w:rsidP="00B90D2A">
      <w:pPr>
        <w:spacing w:line="480" w:lineRule="auto"/>
        <w:rPr>
          <w:rFonts w:ascii="Athelas Regular" w:hAnsi="Athelas Regular"/>
        </w:rPr>
      </w:pPr>
      <w:r w:rsidRPr="00BA763E">
        <w:rPr>
          <w:rFonts w:ascii="Athelas Regular" w:hAnsi="Athelas Regular"/>
        </w:rPr>
        <w:t xml:space="preserve">That is to say, all living, sentient humans have interests that carry some sort of moral weight. It can be </w:t>
      </w:r>
      <w:r w:rsidRPr="00BA763E">
        <w:rPr>
          <w:rFonts w:ascii="Athelas Regular" w:hAnsi="Athelas Regular"/>
          <w:i/>
        </w:rPr>
        <w:t>prima facie</w:t>
      </w:r>
      <w:r w:rsidRPr="00BA763E">
        <w:rPr>
          <w:rFonts w:ascii="Athelas Regular" w:hAnsi="Athelas Regular"/>
        </w:rPr>
        <w:t xml:space="preserve"> wrong to do something that harms those interests or fails to promote those interests. The next step is this: </w:t>
      </w:r>
    </w:p>
    <w:p w14:paraId="1AAE6953" w14:textId="77777777" w:rsidR="00B90D2A" w:rsidRPr="00BA763E" w:rsidRDefault="00B90D2A" w:rsidP="00B90D2A">
      <w:pPr>
        <w:spacing w:line="480" w:lineRule="auto"/>
        <w:rPr>
          <w:rFonts w:ascii="Athelas Regular" w:hAnsi="Athelas Regular"/>
        </w:rPr>
      </w:pPr>
    </w:p>
    <w:p w14:paraId="300B4243" w14:textId="77777777" w:rsidR="00B90D2A" w:rsidRPr="00BA763E" w:rsidRDefault="00B90D2A" w:rsidP="00B90D2A">
      <w:pPr>
        <w:spacing w:line="480" w:lineRule="auto"/>
        <w:ind w:left="720"/>
        <w:rPr>
          <w:rFonts w:ascii="Athelas Regular" w:hAnsi="Athelas Regular"/>
        </w:rPr>
      </w:pPr>
      <w:r w:rsidRPr="00BA763E">
        <w:rPr>
          <w:rFonts w:ascii="Athelas Regular" w:hAnsi="Athelas Regular"/>
        </w:rPr>
        <w:t>MC2: If all living, sentient humans are moral patients, each of these individuals must possess some set of features that’s sufficient for conferring the status of moral patient upon them.</w:t>
      </w:r>
    </w:p>
    <w:p w14:paraId="3AF9C527" w14:textId="77777777" w:rsidR="00B90D2A" w:rsidRPr="00BA763E" w:rsidRDefault="00B90D2A" w:rsidP="00B90D2A">
      <w:pPr>
        <w:spacing w:line="480" w:lineRule="auto"/>
        <w:ind w:left="720"/>
        <w:rPr>
          <w:rFonts w:ascii="Athelas Regular" w:hAnsi="Athelas Regular"/>
        </w:rPr>
      </w:pPr>
    </w:p>
    <w:p w14:paraId="1B0D4795" w14:textId="77777777" w:rsidR="00B90D2A" w:rsidRPr="00BA763E" w:rsidRDefault="00B90D2A" w:rsidP="00B90D2A">
      <w:pPr>
        <w:spacing w:line="480" w:lineRule="auto"/>
        <w:rPr>
          <w:rFonts w:ascii="Athelas Regular" w:hAnsi="Athelas Regular"/>
        </w:rPr>
      </w:pPr>
      <w:r w:rsidRPr="00BA763E">
        <w:rPr>
          <w:rFonts w:ascii="Athelas Regular" w:hAnsi="Athelas Regular"/>
        </w:rPr>
        <w:t xml:space="preserve">The idea here is that for any being that has the status of being a moral patient, there is some feature or non-empty set of features that’s sufficient for conferring that status upon them. Those who accept (MC2) insist that there’s some reason why moral patients have that status and that the possession of this status will be connected to the features of the individuals that possess it. If you accept this, then it’s hard to see how you could avoid saying the following: </w:t>
      </w:r>
    </w:p>
    <w:p w14:paraId="677FCD82" w14:textId="77777777" w:rsidR="00B90D2A" w:rsidRPr="00BA763E" w:rsidRDefault="00B90D2A" w:rsidP="00B90D2A">
      <w:pPr>
        <w:spacing w:line="480" w:lineRule="auto"/>
        <w:rPr>
          <w:rFonts w:ascii="Athelas Regular" w:hAnsi="Athelas Regular"/>
        </w:rPr>
      </w:pPr>
    </w:p>
    <w:p w14:paraId="2CFBDEC7" w14:textId="77777777" w:rsidR="00B90D2A" w:rsidRPr="00BA763E" w:rsidRDefault="00B90D2A" w:rsidP="00B90D2A">
      <w:pPr>
        <w:spacing w:line="480" w:lineRule="auto"/>
        <w:ind w:left="720"/>
        <w:rPr>
          <w:rFonts w:ascii="Athelas Regular" w:hAnsi="Athelas Regular"/>
        </w:rPr>
      </w:pPr>
      <w:r w:rsidRPr="00BA763E">
        <w:rPr>
          <w:rFonts w:ascii="Athelas Regular" w:hAnsi="Athelas Regular"/>
        </w:rPr>
        <w:t>MC3: Any set of features that’s sufficient for conferring the status of moral patient upon the living, sentient human animals that have them would be sufficient for conferring the status of moral patient on any non-human animal that has this set of features.</w:t>
      </w:r>
    </w:p>
    <w:p w14:paraId="559E3702" w14:textId="77777777" w:rsidR="00B90D2A" w:rsidRPr="00BA763E" w:rsidRDefault="00B90D2A" w:rsidP="00B90D2A">
      <w:pPr>
        <w:spacing w:line="480" w:lineRule="auto"/>
        <w:ind w:left="720"/>
        <w:rPr>
          <w:rFonts w:ascii="Athelas Regular" w:hAnsi="Athelas Regular"/>
        </w:rPr>
      </w:pPr>
    </w:p>
    <w:p w14:paraId="31B122D7" w14:textId="77777777" w:rsidR="00B90D2A" w:rsidRPr="00BA763E" w:rsidRDefault="00B90D2A" w:rsidP="00B90D2A">
      <w:pPr>
        <w:spacing w:line="480" w:lineRule="auto"/>
        <w:rPr>
          <w:rFonts w:ascii="Athelas Regular" w:hAnsi="Athelas Regular"/>
        </w:rPr>
      </w:pPr>
      <w:r w:rsidRPr="00BA763E">
        <w:rPr>
          <w:rFonts w:ascii="Athelas Regular" w:hAnsi="Athelas Regular"/>
        </w:rPr>
        <w:t xml:space="preserve">Moreover, it seems that the following is quite plausible: </w:t>
      </w:r>
    </w:p>
    <w:p w14:paraId="73926725" w14:textId="77777777" w:rsidR="00B90D2A" w:rsidRPr="00BA763E" w:rsidRDefault="00B90D2A" w:rsidP="00B90D2A">
      <w:pPr>
        <w:spacing w:line="480" w:lineRule="auto"/>
        <w:rPr>
          <w:rFonts w:ascii="Athelas Regular" w:hAnsi="Athelas Regular"/>
        </w:rPr>
      </w:pPr>
    </w:p>
    <w:p w14:paraId="528BFCDD" w14:textId="77777777" w:rsidR="00B90D2A" w:rsidRPr="00BA763E" w:rsidRDefault="00B90D2A" w:rsidP="00BA763E">
      <w:pPr>
        <w:spacing w:line="480" w:lineRule="auto"/>
        <w:ind w:firstLine="720"/>
        <w:outlineLvl w:val="0"/>
        <w:rPr>
          <w:rFonts w:ascii="Athelas Regular" w:hAnsi="Athelas Regular"/>
        </w:rPr>
      </w:pPr>
      <w:r w:rsidRPr="00BA763E">
        <w:rPr>
          <w:rFonts w:ascii="Athelas Regular" w:hAnsi="Athelas Regular"/>
        </w:rPr>
        <w:t>MC4: There are non-human animals that we eat that have these features.</w:t>
      </w:r>
    </w:p>
    <w:p w14:paraId="5F707F07" w14:textId="77777777" w:rsidR="00B90D2A" w:rsidRPr="00BA763E" w:rsidRDefault="00B90D2A" w:rsidP="00B90D2A">
      <w:pPr>
        <w:spacing w:line="480" w:lineRule="auto"/>
        <w:ind w:firstLine="720"/>
        <w:rPr>
          <w:rFonts w:ascii="Athelas Regular" w:hAnsi="Athelas Regular"/>
        </w:rPr>
      </w:pPr>
    </w:p>
    <w:p w14:paraId="79C61A16" w14:textId="77777777" w:rsidR="00B90D2A" w:rsidRPr="00BA763E" w:rsidRDefault="00B90D2A" w:rsidP="00B90D2A">
      <w:pPr>
        <w:spacing w:line="480" w:lineRule="auto"/>
        <w:rPr>
          <w:rFonts w:ascii="Athelas Regular" w:hAnsi="Athelas Regular"/>
        </w:rPr>
      </w:pPr>
      <w:r w:rsidRPr="00BA763E">
        <w:rPr>
          <w:rFonts w:ascii="Athelas Regular" w:hAnsi="Athelas Regular"/>
        </w:rPr>
        <w:t xml:space="preserve">If this is correct, we have our conclusion: </w:t>
      </w:r>
    </w:p>
    <w:p w14:paraId="3FE3C96F" w14:textId="77777777" w:rsidR="00B90D2A" w:rsidRPr="00BA763E" w:rsidRDefault="00B90D2A" w:rsidP="00B90D2A">
      <w:pPr>
        <w:spacing w:line="480" w:lineRule="auto"/>
        <w:rPr>
          <w:rFonts w:ascii="Athelas Regular" w:hAnsi="Athelas Regular"/>
        </w:rPr>
      </w:pPr>
    </w:p>
    <w:p w14:paraId="20B38284" w14:textId="77777777" w:rsidR="00B90D2A" w:rsidRPr="00BA763E" w:rsidRDefault="00B90D2A" w:rsidP="00BA763E">
      <w:pPr>
        <w:spacing w:line="480" w:lineRule="auto"/>
        <w:ind w:firstLine="720"/>
        <w:outlineLvl w:val="0"/>
        <w:rPr>
          <w:rFonts w:ascii="Athelas Regular" w:hAnsi="Athelas Regular"/>
        </w:rPr>
      </w:pPr>
      <w:r w:rsidRPr="00BA763E">
        <w:rPr>
          <w:rFonts w:ascii="Athelas Regular" w:hAnsi="Athelas Regular"/>
        </w:rPr>
        <w:t>MCC: There are non-human animals that we eat that are moral patients.</w:t>
      </w:r>
    </w:p>
    <w:p w14:paraId="21A2B79B" w14:textId="77777777" w:rsidR="00B90D2A" w:rsidRPr="00BA763E" w:rsidRDefault="00B90D2A" w:rsidP="00B90D2A">
      <w:pPr>
        <w:spacing w:line="480" w:lineRule="auto"/>
        <w:rPr>
          <w:rFonts w:ascii="Athelas Regular" w:hAnsi="Athelas Regular"/>
        </w:rPr>
      </w:pPr>
    </w:p>
    <w:p w14:paraId="7A6A6AE1" w14:textId="77777777" w:rsidR="00B90D2A" w:rsidRPr="00BA763E" w:rsidRDefault="00B90D2A" w:rsidP="00B90D2A">
      <w:pPr>
        <w:spacing w:line="480" w:lineRule="auto"/>
        <w:rPr>
          <w:rFonts w:ascii="Athelas Regular" w:hAnsi="Athelas Regular"/>
        </w:rPr>
      </w:pPr>
      <w:r w:rsidRPr="00BA763E">
        <w:rPr>
          <w:rFonts w:ascii="Athelas Regular" w:hAnsi="Athelas Regular"/>
        </w:rPr>
        <w:t xml:space="preserve">Once this conclusion has been established, we have to acknowledge that there are non-human animals that have a moral status that ground obligations. If you’re a consequentialist, you’d have to acknowledge that the considerations about aggregate well-being that determine the rightness of your actions will include considerations about the well-being of some non-human animals. If </w:t>
      </w:r>
      <w:proofErr w:type="gramStart"/>
      <w:r w:rsidRPr="00BA763E">
        <w:rPr>
          <w:rFonts w:ascii="Athelas Regular" w:hAnsi="Athelas Regular"/>
        </w:rPr>
        <w:t>you’re</w:t>
      </w:r>
      <w:proofErr w:type="gramEnd"/>
      <w:r w:rsidRPr="00BA763E">
        <w:rPr>
          <w:rFonts w:ascii="Athelas Regular" w:hAnsi="Athelas Regular"/>
        </w:rPr>
        <w:t xml:space="preserve"> a non-consequentialist, you’d have to acknowledge that there are principle-based protections that apply to non-human animals that are similar to those that we recognize for humans at the margins of life. It will matter later that the argument doesn’t simply establish that animals matter morally, but that they matter morally in particular ways that humans do. </w:t>
      </w:r>
    </w:p>
    <w:p w14:paraId="5F933512" w14:textId="77777777" w:rsidR="00B90D2A" w:rsidRPr="00BA763E" w:rsidRDefault="00B90D2A" w:rsidP="00B90D2A">
      <w:pPr>
        <w:spacing w:line="480" w:lineRule="auto"/>
        <w:rPr>
          <w:rFonts w:ascii="Athelas Regular" w:hAnsi="Athelas Regular"/>
        </w:rPr>
      </w:pPr>
      <w:r w:rsidRPr="00BA763E">
        <w:rPr>
          <w:rFonts w:ascii="Athelas Regular" w:hAnsi="Athelas Regular"/>
        </w:rPr>
        <w:lastRenderedPageBreak/>
        <w:tab/>
        <w:t>If readers don’t want to accept the argument’s conclusion, so be it. Objections to this argument have been dealt with elsewhere and my unreflective carnivores don’t try to undermine this argument to defend their behavior.</w:t>
      </w:r>
      <w:r w:rsidRPr="00BA763E">
        <w:rPr>
          <w:rStyle w:val="EndnoteReference"/>
          <w:rFonts w:ascii="Athelas Regular" w:hAnsi="Athelas Regular"/>
        </w:rPr>
        <w:endnoteReference w:id="2"/>
      </w:r>
      <w:r w:rsidRPr="00BA763E">
        <w:rPr>
          <w:rFonts w:ascii="Athelas Regular" w:hAnsi="Athelas Regular"/>
        </w:rPr>
        <w:t xml:space="preserve"> Still, a brief word about (MC4) is in order. In offering this argument, I didn’t say that there aren’t significant moral differences between puppies and children. There might well be significant moral differences between all living, sentient humans and all non-human animals. That doesn’t matter. All that matters is whether these differences are sufficient to undermine the argument that there are fish, chickens, cows, ducks, rabbits, pigs, lambs, cows, buffalo, etc. have </w:t>
      </w:r>
      <w:r w:rsidRPr="00BA763E">
        <w:rPr>
          <w:rFonts w:ascii="Athelas Regular" w:hAnsi="Athelas Regular"/>
          <w:i/>
        </w:rPr>
        <w:t>some</w:t>
      </w:r>
      <w:r w:rsidRPr="00BA763E">
        <w:rPr>
          <w:rFonts w:ascii="Athelas Regular" w:hAnsi="Athelas Regular"/>
        </w:rPr>
        <w:t xml:space="preserve"> kind of moral status. Think about human infants and three ways that a human infant might be:</w:t>
      </w:r>
    </w:p>
    <w:p w14:paraId="2D67CCC8" w14:textId="77777777" w:rsidR="00B90D2A" w:rsidRPr="00BA763E" w:rsidRDefault="00B90D2A" w:rsidP="00B90D2A">
      <w:pPr>
        <w:spacing w:line="480" w:lineRule="auto"/>
        <w:rPr>
          <w:rFonts w:ascii="Athelas Regular" w:hAnsi="Athelas Regular"/>
        </w:rPr>
      </w:pPr>
    </w:p>
    <w:p w14:paraId="0227D4F3" w14:textId="77777777" w:rsidR="00B90D2A" w:rsidRPr="00BA763E" w:rsidRDefault="00B90D2A" w:rsidP="00B90D2A">
      <w:pPr>
        <w:pStyle w:val="ListParagraph"/>
        <w:numPr>
          <w:ilvl w:val="0"/>
          <w:numId w:val="1"/>
        </w:numPr>
        <w:spacing w:line="480" w:lineRule="auto"/>
        <w:rPr>
          <w:rFonts w:ascii="Athelas Regular" w:hAnsi="Athelas Regular"/>
        </w:rPr>
      </w:pPr>
      <w:r w:rsidRPr="00BA763E">
        <w:rPr>
          <w:rFonts w:ascii="Athelas Regular" w:hAnsi="Athelas Regular"/>
        </w:rPr>
        <w:t>Sentient, capable of having self-regarding desires about its future, capable of developing into an adult with normal intellectual and emotional capacities.</w:t>
      </w:r>
    </w:p>
    <w:p w14:paraId="4D211BE8" w14:textId="77777777" w:rsidR="00B90D2A" w:rsidRPr="00BA763E" w:rsidRDefault="00B90D2A" w:rsidP="00B90D2A">
      <w:pPr>
        <w:pStyle w:val="ListParagraph"/>
        <w:numPr>
          <w:ilvl w:val="0"/>
          <w:numId w:val="1"/>
        </w:numPr>
        <w:spacing w:line="480" w:lineRule="auto"/>
        <w:rPr>
          <w:rFonts w:ascii="Athelas Regular" w:hAnsi="Athelas Regular"/>
        </w:rPr>
      </w:pPr>
      <w:r w:rsidRPr="00BA763E">
        <w:rPr>
          <w:rFonts w:ascii="Athelas Regular" w:hAnsi="Athelas Regular"/>
        </w:rPr>
        <w:t>Sentient, capable of having some self-regarding desires about its future, but incapable of developing into an adult with normal intellectual and emotional capacities.</w:t>
      </w:r>
    </w:p>
    <w:p w14:paraId="0A3884E1" w14:textId="77777777" w:rsidR="00B90D2A" w:rsidRPr="00BA763E" w:rsidRDefault="00B90D2A" w:rsidP="00B90D2A">
      <w:pPr>
        <w:pStyle w:val="ListParagraph"/>
        <w:numPr>
          <w:ilvl w:val="0"/>
          <w:numId w:val="1"/>
        </w:numPr>
        <w:spacing w:line="480" w:lineRule="auto"/>
        <w:rPr>
          <w:rFonts w:ascii="Athelas Regular" w:hAnsi="Athelas Regular"/>
        </w:rPr>
      </w:pPr>
      <w:r w:rsidRPr="00BA763E">
        <w:rPr>
          <w:rFonts w:ascii="Athelas Regular" w:hAnsi="Athelas Regular"/>
        </w:rPr>
        <w:t>Sentient, incapable of having some self-regarding desires about its future, and incapable of developing into an adult with normal intellectual and emotional capacities.</w:t>
      </w:r>
    </w:p>
    <w:p w14:paraId="354E5DF1" w14:textId="77777777" w:rsidR="00B90D2A" w:rsidRPr="00BA763E" w:rsidRDefault="00B90D2A" w:rsidP="00B90D2A">
      <w:pPr>
        <w:spacing w:line="480" w:lineRule="auto"/>
        <w:rPr>
          <w:rFonts w:ascii="Athelas Regular" w:hAnsi="Athelas Regular"/>
        </w:rPr>
      </w:pPr>
    </w:p>
    <w:p w14:paraId="1A76B4DA" w14:textId="77777777" w:rsidR="00B90D2A" w:rsidRPr="00BA763E" w:rsidRDefault="00B90D2A" w:rsidP="00B90D2A">
      <w:pPr>
        <w:spacing w:line="480" w:lineRule="auto"/>
        <w:rPr>
          <w:rFonts w:ascii="Athelas Regular" w:hAnsi="Athelas Regular"/>
        </w:rPr>
      </w:pPr>
      <w:r w:rsidRPr="00BA763E">
        <w:rPr>
          <w:rFonts w:ascii="Athelas Regular" w:hAnsi="Athelas Regular"/>
        </w:rPr>
        <w:t xml:space="preserve">If you thought that only infants with the characteristics described in (a) had moral status, you could try to resist the argument for (MCC) on the grounds that you thought that the non-human animals we eat don’t have the features necessary for moral status. The trouble with your position is that you could only deny (MC4) by excluding many infants from the moral sphere. That’s monstrous. On the view you’d be defending, there would be healthy infants that weren’t moral patients. Since they wouldn’t have any interests that carried any moral </w:t>
      </w:r>
      <w:r w:rsidRPr="00BA763E">
        <w:rPr>
          <w:rFonts w:ascii="Athelas Regular" w:hAnsi="Athelas Regular"/>
        </w:rPr>
        <w:lastRenderedPageBreak/>
        <w:t xml:space="preserve">weight, your view would be that there wouldn’t be any principled objection to eating them or using them for parts. (At least, there wouldn’t be any such objection that appealed to the status possessed by such infants since your view would be that they didn’t have any.) If, on the other hand, you stand rightly opposed to eating all human infants by virtue of the fact that all of them have moral status, you couldn’t resist (MCC) unless you thought that the non-human animals we ate weren’t sentient. You don’t think that. Insofar as you think that sentience is sufficient to confer moral status upon all sentient infants, you should think that it is sufficient to confer a kind of moral status upon the sentient animals we’re eating.  </w:t>
      </w:r>
    </w:p>
    <w:p w14:paraId="5704E1EA" w14:textId="77777777" w:rsidR="00B90D2A" w:rsidRPr="00BA763E" w:rsidRDefault="00B90D2A" w:rsidP="00B90D2A">
      <w:pPr>
        <w:spacing w:line="480" w:lineRule="auto"/>
        <w:rPr>
          <w:rFonts w:ascii="Athelas Regular" w:hAnsi="Athelas Regular"/>
        </w:rPr>
      </w:pPr>
    </w:p>
    <w:p w14:paraId="715BBC3A" w14:textId="77777777" w:rsidR="00B90D2A" w:rsidRPr="00BA763E" w:rsidRDefault="00B90D2A" w:rsidP="00B90D2A">
      <w:pPr>
        <w:spacing w:line="480" w:lineRule="auto"/>
        <w:rPr>
          <w:rFonts w:ascii="Athelas Regular" w:hAnsi="Athelas Regular"/>
        </w:rPr>
      </w:pPr>
      <w:r w:rsidRPr="00BA763E">
        <w:rPr>
          <w:rFonts w:ascii="Athelas Regular" w:hAnsi="Athelas Regular"/>
        </w:rPr>
        <w:t>&lt;1&gt;</w:t>
      </w:r>
    </w:p>
    <w:p w14:paraId="6750DE53" w14:textId="77777777" w:rsidR="00B90D2A" w:rsidRPr="00BA763E" w:rsidRDefault="00B90D2A" w:rsidP="00B90D2A">
      <w:pPr>
        <w:spacing w:line="480" w:lineRule="auto"/>
        <w:rPr>
          <w:rFonts w:ascii="Athelas Regular" w:hAnsi="Athelas Regular"/>
        </w:rPr>
      </w:pPr>
      <w:r w:rsidRPr="00BA763E">
        <w:rPr>
          <w:rFonts w:ascii="Athelas Regular" w:hAnsi="Athelas Regular"/>
        </w:rPr>
        <w:t xml:space="preserve">If the marginal cases argument is sound, you shouldn’t be terribly impressed with our first no-difference argument: </w:t>
      </w:r>
    </w:p>
    <w:p w14:paraId="246E0DAA" w14:textId="77777777" w:rsidR="00B90D2A" w:rsidRPr="00BA763E" w:rsidRDefault="00B90D2A" w:rsidP="00B90D2A">
      <w:pPr>
        <w:spacing w:line="480" w:lineRule="auto"/>
        <w:rPr>
          <w:rFonts w:ascii="Athelas Regular" w:hAnsi="Athelas Regular"/>
        </w:rPr>
      </w:pPr>
    </w:p>
    <w:p w14:paraId="2D0F01BC" w14:textId="77777777" w:rsidR="00B90D2A" w:rsidRPr="00BA763E" w:rsidRDefault="00B90D2A" w:rsidP="00B90D2A">
      <w:pPr>
        <w:spacing w:line="480" w:lineRule="auto"/>
        <w:ind w:left="720"/>
        <w:rPr>
          <w:rFonts w:ascii="Athelas Regular" w:hAnsi="Athelas Regular"/>
        </w:rPr>
      </w:pPr>
      <w:r w:rsidRPr="00BA763E">
        <w:rPr>
          <w:rFonts w:ascii="Athelas Regular" w:hAnsi="Athelas Regular"/>
          <w:i/>
        </w:rPr>
        <w:t>I’d agree that you shouldn’t eat things like monkeys, dolphins, or dogs because they have the higher-capacities needed to form self-regarding desires about their futures. When we’re dealing with creatures like that, we’re dealing with creatures that can be harmed by being killed because their futures can be good for them. When we’re dealing with simpler sentient creatures incapable of thinking about themselves in the future, however, their deaths cannot be bad for them because they cannot have any self-regarding desires about what happens to them in the future. So long as they’re humanely housed and killed, no wrong has been committed. Thus, it makes no moral difference whether we eat sentient creatures or not, provided that they lack high-order cognitive capacities involved in forming self-regarding desires and they were killed humanely</w:t>
      </w:r>
      <w:r w:rsidRPr="00BA763E">
        <w:rPr>
          <w:rFonts w:ascii="Athelas Regular" w:hAnsi="Athelas Regular"/>
        </w:rPr>
        <w:t>.</w:t>
      </w:r>
    </w:p>
    <w:p w14:paraId="33C24E02" w14:textId="77777777" w:rsidR="00B90D2A" w:rsidRPr="00BA763E" w:rsidRDefault="00B90D2A" w:rsidP="00B90D2A">
      <w:pPr>
        <w:spacing w:line="480" w:lineRule="auto"/>
        <w:ind w:left="720"/>
        <w:rPr>
          <w:rFonts w:ascii="Athelas Regular" w:hAnsi="Athelas Regular"/>
          <w:i/>
        </w:rPr>
      </w:pPr>
    </w:p>
    <w:p w14:paraId="40376BDB" w14:textId="77777777" w:rsidR="00B90D2A" w:rsidRPr="00BA763E" w:rsidRDefault="00B90D2A" w:rsidP="00B90D2A">
      <w:pPr>
        <w:spacing w:line="480" w:lineRule="auto"/>
        <w:rPr>
          <w:rFonts w:ascii="Athelas Regular" w:hAnsi="Athelas Regular"/>
        </w:rPr>
      </w:pPr>
      <w:r w:rsidRPr="00BA763E">
        <w:rPr>
          <w:rFonts w:ascii="Athelas Regular" w:hAnsi="Athelas Regular"/>
        </w:rPr>
        <w:lastRenderedPageBreak/>
        <w:t>The argument isn’t the slightest bit convincing when it’s applied to infants that lack the potential for developing the capacities necessary for having self-regarding desires about their own futures, so it shouldn’t be any more convincing when it’s applied to creatures like fish or chickens.</w:t>
      </w:r>
      <w:r w:rsidRPr="00BA763E">
        <w:rPr>
          <w:rStyle w:val="EndnoteReference"/>
          <w:rFonts w:ascii="Athelas Regular" w:hAnsi="Athelas Regular"/>
        </w:rPr>
        <w:endnoteReference w:id="3"/>
      </w:r>
      <w:r w:rsidRPr="00BA763E">
        <w:rPr>
          <w:rFonts w:ascii="Athelas Regular" w:hAnsi="Athelas Regular"/>
        </w:rPr>
        <w:t xml:space="preserve"> On the most plausible account of why our deaths are bad for us, deaths are bad for us by virtue of depriving us of something valuable; death is bad by virtue of the fact that it deprives us of a future period of existence that would have contained a positive level of </w:t>
      </w:r>
      <w:proofErr w:type="gramStart"/>
      <w:r w:rsidRPr="00BA763E">
        <w:rPr>
          <w:rFonts w:ascii="Athelas Regular" w:hAnsi="Athelas Regular"/>
        </w:rPr>
        <w:t>well-being</w:t>
      </w:r>
      <w:proofErr w:type="gramEnd"/>
      <w:r w:rsidRPr="00BA763E">
        <w:rPr>
          <w:rFonts w:ascii="Athelas Regular" w:hAnsi="Athelas Regular"/>
        </w:rPr>
        <w:t>. This account explains why the death of disabled infants can be bad for the infant and it applies to sentient non-human animals, too.</w:t>
      </w:r>
      <w:r w:rsidRPr="00BA763E">
        <w:rPr>
          <w:rStyle w:val="EndnoteReference"/>
          <w:rFonts w:ascii="Athelas Regular" w:hAnsi="Athelas Regular"/>
        </w:rPr>
        <w:endnoteReference w:id="4"/>
      </w:r>
    </w:p>
    <w:p w14:paraId="29319530" w14:textId="77777777" w:rsidR="00B90D2A" w:rsidRPr="00BA763E" w:rsidRDefault="00B90D2A" w:rsidP="00B90D2A">
      <w:pPr>
        <w:spacing w:line="480" w:lineRule="auto"/>
        <w:rPr>
          <w:rFonts w:ascii="Athelas Regular" w:hAnsi="Athelas Regular"/>
        </w:rPr>
      </w:pPr>
      <w:r w:rsidRPr="00BA763E">
        <w:rPr>
          <w:rFonts w:ascii="Athelas Regular" w:hAnsi="Athelas Regular"/>
        </w:rPr>
        <w:tab/>
        <w:t xml:space="preserve">Before pressing on, there is a point that I should clarify. I don’t think that </w:t>
      </w:r>
      <w:r w:rsidRPr="00BA763E">
        <w:rPr>
          <w:rFonts w:ascii="Athelas Regular" w:hAnsi="Athelas Regular"/>
          <w:i/>
        </w:rPr>
        <w:t>this</w:t>
      </w:r>
      <w:r w:rsidRPr="00BA763E">
        <w:rPr>
          <w:rFonts w:ascii="Athelas Regular" w:hAnsi="Athelas Regular"/>
        </w:rPr>
        <w:t xml:space="preserve"> is how we should response to the first no difference argument:</w:t>
      </w:r>
    </w:p>
    <w:p w14:paraId="6E352A1A" w14:textId="77777777" w:rsidR="00B90D2A" w:rsidRPr="00BA763E" w:rsidRDefault="00B90D2A" w:rsidP="00B90D2A">
      <w:pPr>
        <w:spacing w:line="480" w:lineRule="auto"/>
        <w:rPr>
          <w:rFonts w:ascii="Athelas Regular" w:hAnsi="Athelas Regular"/>
        </w:rPr>
      </w:pPr>
    </w:p>
    <w:p w14:paraId="089D1538" w14:textId="77777777" w:rsidR="00B90D2A" w:rsidRPr="00BA763E" w:rsidRDefault="00B90D2A" w:rsidP="00B90D2A">
      <w:pPr>
        <w:spacing w:line="480" w:lineRule="auto"/>
        <w:ind w:left="720"/>
        <w:rPr>
          <w:rFonts w:ascii="Athelas Regular" w:hAnsi="Athelas Regular"/>
          <w:i/>
        </w:rPr>
      </w:pPr>
      <w:r w:rsidRPr="00BA763E">
        <w:rPr>
          <w:rFonts w:ascii="Athelas Regular" w:hAnsi="Athelas Regular"/>
          <w:i/>
        </w:rPr>
        <w:t>Death’s badness is due to the fact that it deprives something of a future in which it is a sentient creature that lives a life that is overall good for it. Thus, it is wrong to kill sentient animals if they could have continued living lives that were overall good for them.</w:t>
      </w:r>
    </w:p>
    <w:p w14:paraId="0D43BCDE" w14:textId="77777777" w:rsidR="00B90D2A" w:rsidRPr="00BA763E" w:rsidRDefault="00B90D2A" w:rsidP="00B90D2A">
      <w:pPr>
        <w:spacing w:line="480" w:lineRule="auto"/>
        <w:rPr>
          <w:rFonts w:ascii="Athelas Regular" w:hAnsi="Athelas Regular"/>
        </w:rPr>
      </w:pPr>
    </w:p>
    <w:p w14:paraId="7AB15AF9" w14:textId="77777777" w:rsidR="00B90D2A" w:rsidRPr="00BA763E" w:rsidRDefault="00B90D2A" w:rsidP="00B90D2A">
      <w:pPr>
        <w:spacing w:line="480" w:lineRule="auto"/>
        <w:rPr>
          <w:rFonts w:ascii="Athelas Regular" w:hAnsi="Athelas Regular"/>
        </w:rPr>
      </w:pPr>
      <w:r w:rsidRPr="00BA763E">
        <w:rPr>
          <w:rFonts w:ascii="Athelas Regular" w:hAnsi="Athelas Regular"/>
        </w:rPr>
        <w:t xml:space="preserve">This response moves too quickly from a claim about the kinds of events that can harm an individual to a claim about what sorts of events it would be wrong to cause. This response assumes, implicitly, that causing a deprivation involves </w:t>
      </w:r>
      <w:r w:rsidRPr="00BA763E">
        <w:rPr>
          <w:rFonts w:ascii="Athelas Regular" w:hAnsi="Athelas Regular"/>
          <w:i/>
        </w:rPr>
        <w:t>harming</w:t>
      </w:r>
      <w:r w:rsidRPr="00BA763E">
        <w:rPr>
          <w:rFonts w:ascii="Athelas Regular" w:hAnsi="Athelas Regular"/>
        </w:rPr>
        <w:t xml:space="preserve"> and </w:t>
      </w:r>
      <w:r w:rsidRPr="00BA763E">
        <w:rPr>
          <w:rFonts w:ascii="Athelas Regular" w:hAnsi="Athelas Regular"/>
          <w:i/>
        </w:rPr>
        <w:t>wronging</w:t>
      </w:r>
      <w:r w:rsidRPr="00BA763E">
        <w:rPr>
          <w:rFonts w:ascii="Athelas Regular" w:hAnsi="Athelas Regular"/>
        </w:rPr>
        <w:t xml:space="preserve"> and I think we should leave it open whether harms invariably wrong.</w:t>
      </w:r>
      <w:r w:rsidRPr="00BA763E">
        <w:rPr>
          <w:rStyle w:val="EndnoteReference"/>
          <w:rFonts w:ascii="Athelas Regular" w:hAnsi="Athelas Regular"/>
        </w:rPr>
        <w:endnoteReference w:id="5"/>
      </w:r>
      <w:r w:rsidRPr="00BA763E">
        <w:rPr>
          <w:rFonts w:ascii="Athelas Regular" w:hAnsi="Athelas Regular"/>
        </w:rPr>
        <w:t xml:space="preserve"> The deprivation account of death’s </w:t>
      </w:r>
      <w:r w:rsidRPr="00BA763E">
        <w:rPr>
          <w:rFonts w:ascii="Athelas Regular" w:hAnsi="Athelas Regular"/>
          <w:i/>
        </w:rPr>
        <w:t>badness</w:t>
      </w:r>
      <w:r w:rsidRPr="00BA763E">
        <w:rPr>
          <w:rFonts w:ascii="Athelas Regular" w:hAnsi="Athelas Regular"/>
        </w:rPr>
        <w:t xml:space="preserve"> seems to imply that an earlier death is typically going to be a worse death, at least if we’re assuming that the relevant individual that stands to live a life that’s overall and uniformly good. If the </w:t>
      </w:r>
      <w:r w:rsidRPr="00BA763E">
        <w:rPr>
          <w:rFonts w:ascii="Athelas Regular" w:hAnsi="Athelas Regular"/>
          <w:i/>
        </w:rPr>
        <w:t>badness</w:t>
      </w:r>
      <w:r w:rsidRPr="00BA763E">
        <w:rPr>
          <w:rFonts w:ascii="Athelas Regular" w:hAnsi="Athelas Regular"/>
        </w:rPr>
        <w:t xml:space="preserve"> of a death (which is measured in terms of the magnitude of a deprivation) is a sufficient ground for the </w:t>
      </w:r>
      <w:r w:rsidRPr="00BA763E">
        <w:rPr>
          <w:rFonts w:ascii="Athelas Regular" w:hAnsi="Athelas Regular"/>
          <w:i/>
        </w:rPr>
        <w:t>wrongness</w:t>
      </w:r>
      <w:r w:rsidRPr="00BA763E">
        <w:rPr>
          <w:rFonts w:ascii="Athelas Regular" w:hAnsi="Athelas Regular"/>
        </w:rPr>
        <w:t xml:space="preserve"> of causing death, the deprivation account of death’s badness implies that it is wrong to terminate a pregnancy when bringing the fetus </w:t>
      </w:r>
      <w:r w:rsidRPr="00BA763E">
        <w:rPr>
          <w:rFonts w:ascii="Athelas Regular" w:hAnsi="Athelas Regular"/>
        </w:rPr>
        <w:lastRenderedPageBreak/>
        <w:t xml:space="preserve">to term would have resulted in a life that was overall good for the individual. Indeed, it seems to imply that there’s a wrong in the case of abortion and infanticide that’s roughly equivalent. </w:t>
      </w:r>
    </w:p>
    <w:p w14:paraId="00FC09DB" w14:textId="77777777" w:rsidR="00B90D2A" w:rsidRPr="00BA763E" w:rsidRDefault="00B90D2A" w:rsidP="00B90D2A">
      <w:pPr>
        <w:spacing w:line="480" w:lineRule="auto"/>
        <w:rPr>
          <w:rFonts w:ascii="Athelas Regular" w:hAnsi="Athelas Regular"/>
        </w:rPr>
      </w:pPr>
      <w:r w:rsidRPr="00BA763E">
        <w:rPr>
          <w:rFonts w:ascii="Athelas Regular" w:hAnsi="Athelas Regular"/>
        </w:rPr>
        <w:tab/>
        <w:t xml:space="preserve">The way to avoid this implication is to draw a distinction between the deprivations that cause harm or leave someone worse off and the deprivations that do so in such a way that’s wrongful. If we assume that all deprivations are harms, we shouldn’t assume that it is invariably wrong to cause them. (If we assume that it’s always wrong to harm, we shouldn’t assume that all deprivations harm. I’d prefer to speak as if deprivation and harm </w:t>
      </w:r>
      <w:proofErr w:type="gramStart"/>
      <w:r w:rsidRPr="00BA763E">
        <w:rPr>
          <w:rFonts w:ascii="Athelas Regular" w:hAnsi="Athelas Regular"/>
        </w:rPr>
        <w:t>are</w:t>
      </w:r>
      <w:proofErr w:type="gramEnd"/>
      <w:r w:rsidRPr="00BA763E">
        <w:rPr>
          <w:rFonts w:ascii="Athelas Regular" w:hAnsi="Athelas Regular"/>
        </w:rPr>
        <w:t xml:space="preserve"> the pair that’s more intimately connected.) Here’s one reason to draw this distinction. If we think that an infant once was a fetus (i.e., that the patient that is the infant was once identical to a fetus), we’d have to say that terminating a pregnancy causes a deprivation to the relevant patient that’s equivalent in terms of the magnitude of harm to the deprivation caused by an act of infanticide. And if we assume that the badness of the deprivation is itself the sufficient ground of the wrong of infanticide, it seems we get the result that aborting a pregnancy is no less wrong than infanticide because it’s no less worse for the relevant individual.</w:t>
      </w:r>
    </w:p>
    <w:p w14:paraId="6012D2B9" w14:textId="77777777" w:rsidR="00B90D2A" w:rsidRPr="00BA763E" w:rsidRDefault="00B90D2A" w:rsidP="00B90D2A">
      <w:pPr>
        <w:spacing w:line="480" w:lineRule="auto"/>
        <w:rPr>
          <w:rFonts w:ascii="Athelas Regular" w:hAnsi="Athelas Regular"/>
        </w:rPr>
      </w:pPr>
      <w:r w:rsidRPr="00BA763E">
        <w:rPr>
          <w:rFonts w:ascii="Athelas Regular" w:hAnsi="Athelas Regular"/>
        </w:rPr>
        <w:tab/>
        <w:t xml:space="preserve">It might initially seem odd that there’s a gap between causing a deprivation/harm on the one hand and wrongdoing on the other, but examples can help to make this intuitive. Suppose we were to discover that planaria had some minimal degree of sentience. You’ll recall that if you divide a planarian into two parts, each part will regenerate the parts needed so the result will be two living flatworms, not one dead flatworm in two pieces. Phyllis the planarian is about to be cut into two pieces but you intervene so she suffers only a slight knick, not a complete separation. She heals so we don’t have a case with one dead planarian or two living planaria. I don’t think that the parts of Priscilla that could have grown into full planarian had an interest in being split off, but there would be </w:t>
      </w:r>
      <w:proofErr w:type="gramStart"/>
      <w:r w:rsidRPr="00BA763E">
        <w:rPr>
          <w:rFonts w:ascii="Athelas Regular" w:hAnsi="Athelas Regular"/>
        </w:rPr>
        <w:t>two individual planarian that would have been better off as a result</w:t>
      </w:r>
      <w:proofErr w:type="gramEnd"/>
      <w:r w:rsidRPr="00BA763E">
        <w:rPr>
          <w:rFonts w:ascii="Athelas Regular" w:hAnsi="Athelas Regular"/>
        </w:rPr>
        <w:t>.</w:t>
      </w:r>
      <w:r w:rsidRPr="00BA763E">
        <w:rPr>
          <w:rStyle w:val="EndnoteReference"/>
          <w:rFonts w:ascii="Athelas Regular" w:hAnsi="Athelas Regular"/>
        </w:rPr>
        <w:endnoteReference w:id="6"/>
      </w:r>
      <w:r w:rsidRPr="00BA763E">
        <w:rPr>
          <w:rFonts w:ascii="Athelas Regular" w:hAnsi="Athelas Regular"/>
        </w:rPr>
        <w:t xml:space="preserve"> </w:t>
      </w:r>
    </w:p>
    <w:p w14:paraId="4D2AFDF1" w14:textId="77777777" w:rsidR="00B90D2A" w:rsidRPr="00BA763E" w:rsidRDefault="00B90D2A" w:rsidP="00B90D2A">
      <w:pPr>
        <w:spacing w:line="480" w:lineRule="auto"/>
        <w:rPr>
          <w:rFonts w:ascii="Athelas Regular" w:hAnsi="Athelas Regular"/>
        </w:rPr>
      </w:pPr>
      <w:r w:rsidRPr="00BA763E">
        <w:rPr>
          <w:rFonts w:ascii="Athelas Regular" w:hAnsi="Athelas Regular"/>
        </w:rPr>
        <w:lastRenderedPageBreak/>
        <w:tab/>
        <w:t xml:space="preserve">Of course, someone might ask at this point why we should think that the animals that cannot anticipate their own futures are patients in the sense that they have interests that carry moral weight. The answer is easy. Although there’s a potential gap between harming and wronging, we don’t think that the possibility of such a gap allows us to terminate the life of an infant in groups (b) or (c). The marginal cases argument gives us some reason to think, then, that the mental capacities common to these infants and the relevant animals are sufficient for conferring upon both the kind of moral status that makes is seriously wrong for us to harm them by killing them. </w:t>
      </w:r>
    </w:p>
    <w:p w14:paraId="055CD9BA" w14:textId="77777777" w:rsidR="00B90D2A" w:rsidRPr="00BA763E" w:rsidRDefault="00B90D2A" w:rsidP="00B90D2A">
      <w:pPr>
        <w:spacing w:line="480" w:lineRule="auto"/>
        <w:rPr>
          <w:rFonts w:ascii="Athelas Regular" w:hAnsi="Athelas Regular"/>
        </w:rPr>
      </w:pPr>
      <w:r w:rsidRPr="00BA763E">
        <w:rPr>
          <w:rFonts w:ascii="Athelas Regular" w:hAnsi="Athelas Regular"/>
        </w:rPr>
        <w:tab/>
        <w:t xml:space="preserve">To understand the moral distinctions between non-creation, abortion, and infanticide, we shouldn’t just look to considerations having to do with the aggregate </w:t>
      </w:r>
      <w:proofErr w:type="gramStart"/>
      <w:r w:rsidRPr="00BA763E">
        <w:rPr>
          <w:rFonts w:ascii="Athelas Regular" w:hAnsi="Athelas Regular"/>
        </w:rPr>
        <w:t>well-being</w:t>
      </w:r>
      <w:proofErr w:type="gramEnd"/>
      <w:r w:rsidRPr="00BA763E">
        <w:rPr>
          <w:rFonts w:ascii="Athelas Regular" w:hAnsi="Athelas Regular"/>
        </w:rPr>
        <w:t xml:space="preserve"> of non-creation, abortion, infanticide, and the relevant feasible alternatives. We can distinguish abortion from infanticide (and contraception) by pointing out that it’s only in one of these cases that we’re dealing with a moral patient. It isn’t in the interests of the fetus to develop into an infant, you could say, just as it isn’t in the interests of an egg or sperm to fuse with the other. The account that I’d recommend combines a deprivation account of harming with a patient-affecting restriction on wrongdoing. It should be noted that the account is incompatible with any consequentialist approach to right action that accepts totalism: </w:t>
      </w:r>
    </w:p>
    <w:p w14:paraId="56195982" w14:textId="77777777" w:rsidR="00B90D2A" w:rsidRPr="00BA763E" w:rsidRDefault="00B90D2A" w:rsidP="00B90D2A">
      <w:pPr>
        <w:spacing w:line="480" w:lineRule="auto"/>
        <w:rPr>
          <w:rFonts w:ascii="Athelas Regular" w:hAnsi="Athelas Regular"/>
        </w:rPr>
      </w:pPr>
      <w:r w:rsidRPr="00BA763E">
        <w:rPr>
          <w:rFonts w:ascii="Athelas Regular" w:hAnsi="Athelas Regular"/>
        </w:rPr>
        <w:t xml:space="preserve">Totalism: The morally relevant outcome of an action is the possible world that would be </w:t>
      </w:r>
      <w:proofErr w:type="gramStart"/>
      <w:r w:rsidRPr="00BA763E">
        <w:rPr>
          <w:rFonts w:ascii="Athelas Regular" w:hAnsi="Athelas Regular"/>
        </w:rPr>
        <w:t>actual</w:t>
      </w:r>
      <w:proofErr w:type="gramEnd"/>
      <w:r w:rsidRPr="00BA763E">
        <w:rPr>
          <w:rFonts w:ascii="Athelas Regular" w:hAnsi="Athelas Regular"/>
        </w:rPr>
        <w:t xml:space="preserve"> if the action were performed.</w:t>
      </w:r>
      <w:r w:rsidRPr="00BA763E">
        <w:rPr>
          <w:rStyle w:val="EndnoteReference"/>
          <w:rFonts w:ascii="Athelas Regular" w:hAnsi="Athelas Regular"/>
        </w:rPr>
        <w:endnoteReference w:id="7"/>
      </w:r>
    </w:p>
    <w:p w14:paraId="258BBF1F" w14:textId="77777777" w:rsidR="00B90D2A" w:rsidRPr="00BA763E" w:rsidRDefault="00B90D2A" w:rsidP="00B90D2A">
      <w:pPr>
        <w:spacing w:line="480" w:lineRule="auto"/>
        <w:ind w:firstLine="720"/>
        <w:rPr>
          <w:rFonts w:ascii="Athelas Regular" w:hAnsi="Athelas Regular"/>
        </w:rPr>
      </w:pPr>
      <w:r w:rsidRPr="00BA763E">
        <w:rPr>
          <w:rFonts w:ascii="Athelas Regular" w:hAnsi="Athelas Regular"/>
        </w:rPr>
        <w:t xml:space="preserve">If you accept totalism, you wouldn’t think that there would be much difference between deciding against bringing a patient into being and snuffing the patient out. This, however, is an important distinction if you accept the patient-affecting restriction since the restriction says in effect that only the snuffing is a violation of the principle of non-maleficence. There might be consequentialists that reject totalism, but it’s hard to see how </w:t>
      </w:r>
      <w:r w:rsidRPr="00BA763E">
        <w:rPr>
          <w:rFonts w:ascii="Athelas Regular" w:hAnsi="Athelas Regular"/>
        </w:rPr>
        <w:lastRenderedPageBreak/>
        <w:t xml:space="preserve">they could defend such a move. If you think that the good is prior to the right, it’s hard to see how you could sensibly distinguish the relevant goods from the irrelevant goods by appeal to considerations like whether the relevant goods would be enjoyed by actual agents as opposed to merely possible agents you could bring into being. If we think of morality as primarily concerned with how patients are treated and only derivatively concerned with things like aggregate levels of well-being, the restriction might seem intuitive and consequentialism should appear to be problematic. </w:t>
      </w:r>
    </w:p>
    <w:p w14:paraId="7D2FDB81" w14:textId="77777777" w:rsidR="00B90D2A" w:rsidRPr="00BA763E" w:rsidRDefault="00B90D2A" w:rsidP="00B90D2A">
      <w:pPr>
        <w:spacing w:line="480" w:lineRule="auto"/>
        <w:rPr>
          <w:rFonts w:ascii="Athelas Regular" w:hAnsi="Athelas Regular"/>
        </w:rPr>
      </w:pPr>
    </w:p>
    <w:p w14:paraId="3004DC80" w14:textId="77777777" w:rsidR="00B90D2A" w:rsidRPr="00BA763E" w:rsidRDefault="00B90D2A" w:rsidP="00B90D2A">
      <w:pPr>
        <w:spacing w:line="480" w:lineRule="auto"/>
        <w:rPr>
          <w:rFonts w:ascii="Athelas Regular" w:hAnsi="Athelas Regular"/>
          <w:b/>
        </w:rPr>
      </w:pPr>
      <w:r w:rsidRPr="00BA763E">
        <w:rPr>
          <w:rFonts w:ascii="Athelas Regular" w:hAnsi="Athelas Regular"/>
          <w:b/>
        </w:rPr>
        <w:t>&lt;2&gt;</w:t>
      </w:r>
    </w:p>
    <w:p w14:paraId="458BDF0F" w14:textId="77777777" w:rsidR="00B90D2A" w:rsidRPr="00BA763E" w:rsidRDefault="00B90D2A" w:rsidP="00B90D2A">
      <w:pPr>
        <w:spacing w:line="480" w:lineRule="auto"/>
        <w:rPr>
          <w:rFonts w:ascii="Athelas Regular" w:hAnsi="Athelas Regular"/>
        </w:rPr>
      </w:pPr>
      <w:r w:rsidRPr="00BA763E">
        <w:rPr>
          <w:rFonts w:ascii="Athelas Regular" w:hAnsi="Athelas Regular"/>
        </w:rPr>
        <w:t xml:space="preserve">The first no difference argument fails because it tries to exclude certain sentient creatures from the moral sphere. The marginal cases argument should remind us of two things. The first is that when you raise the bar, you run the risk of excluding some living humans from the moral sphere. The second is that if we draw fine-grained distinctions between kinds of moral status, we’ll find that some sentient non-human animals will have the same kind of moral status as some living humans. We shouldn’t just think that animals are potential victims. We should also recognize that this potential for victimhood grounds obligations concerning animals that are similar to the obligations we have concerning fellow humans. </w:t>
      </w:r>
    </w:p>
    <w:p w14:paraId="21F92402" w14:textId="77777777" w:rsidR="00B90D2A" w:rsidRPr="00BA763E" w:rsidRDefault="00B90D2A" w:rsidP="00B90D2A">
      <w:pPr>
        <w:spacing w:line="480" w:lineRule="auto"/>
        <w:rPr>
          <w:rFonts w:ascii="Athelas Regular" w:hAnsi="Athelas Regular"/>
        </w:rPr>
      </w:pPr>
      <w:r w:rsidRPr="00BA763E">
        <w:rPr>
          <w:rFonts w:ascii="Athelas Regular" w:hAnsi="Athelas Regular"/>
        </w:rPr>
        <w:tab/>
        <w:t xml:space="preserve">The second no-difference argument is supposed to avoid these worries because it doesn’t aim to show that there are sentient animals that lack moral status. Instead, it’s supposed to show that the unreflective carnivores often don’t have the obligation to refrain from buying or ordering meat because of the causal structure of the supply chain: </w:t>
      </w:r>
    </w:p>
    <w:p w14:paraId="6DE7273B" w14:textId="77777777" w:rsidR="00B90D2A" w:rsidRPr="00BA763E" w:rsidRDefault="00B90D2A" w:rsidP="00B90D2A">
      <w:pPr>
        <w:spacing w:line="480" w:lineRule="auto"/>
        <w:rPr>
          <w:rFonts w:ascii="Athelas Regular" w:hAnsi="Athelas Regular"/>
          <w:i/>
        </w:rPr>
      </w:pPr>
    </w:p>
    <w:p w14:paraId="57D8FFB6" w14:textId="77777777" w:rsidR="00B90D2A" w:rsidRPr="00BA763E" w:rsidRDefault="00B90D2A" w:rsidP="00B90D2A">
      <w:pPr>
        <w:spacing w:line="480" w:lineRule="auto"/>
        <w:ind w:left="720"/>
        <w:rPr>
          <w:rFonts w:ascii="Athelas Regular" w:hAnsi="Athelas Regular"/>
        </w:rPr>
      </w:pPr>
      <w:r w:rsidRPr="00BA763E">
        <w:rPr>
          <w:rFonts w:ascii="Athelas Regular" w:hAnsi="Athelas Regular"/>
          <w:i/>
        </w:rPr>
        <w:lastRenderedPageBreak/>
        <w:t>In sitting down at a restaurant that has lobster on the menu, it doesn’t matter what I order because if I don’t order the last lobster else will.</w:t>
      </w:r>
      <w:r w:rsidRPr="00BA763E">
        <w:rPr>
          <w:rStyle w:val="EndnoteReference"/>
          <w:rFonts w:ascii="Athelas Regular" w:hAnsi="Athelas Regular"/>
          <w:i/>
        </w:rPr>
        <w:endnoteReference w:id="8"/>
      </w:r>
      <w:r w:rsidRPr="00BA763E">
        <w:rPr>
          <w:rFonts w:ascii="Athelas Regular" w:hAnsi="Athelas Regular"/>
          <w:i/>
        </w:rPr>
        <w:t xml:space="preserve"> Thus, while there might be obligations not to harm animals, the existence of such obligations has nothing to do with me on this occasion</w:t>
      </w:r>
      <w:r w:rsidRPr="00BA763E">
        <w:rPr>
          <w:rFonts w:ascii="Athelas Regular" w:hAnsi="Athelas Regular"/>
        </w:rPr>
        <w:t>.</w:t>
      </w:r>
    </w:p>
    <w:p w14:paraId="3AD6DDEE" w14:textId="77777777" w:rsidR="00B90D2A" w:rsidRPr="00BA763E" w:rsidRDefault="00B90D2A" w:rsidP="00B90D2A">
      <w:pPr>
        <w:spacing w:line="480" w:lineRule="auto"/>
        <w:rPr>
          <w:rFonts w:ascii="Athelas Regular" w:hAnsi="Athelas Regular"/>
        </w:rPr>
      </w:pPr>
    </w:p>
    <w:p w14:paraId="600CD41E" w14:textId="77777777" w:rsidR="00B90D2A" w:rsidRPr="00BA763E" w:rsidRDefault="00B90D2A" w:rsidP="00B90D2A">
      <w:pPr>
        <w:spacing w:line="480" w:lineRule="auto"/>
        <w:rPr>
          <w:rFonts w:ascii="Athelas Regular" w:hAnsi="Athelas Regular"/>
        </w:rPr>
      </w:pPr>
      <w:r w:rsidRPr="00BA763E">
        <w:rPr>
          <w:rFonts w:ascii="Athelas Regular" w:hAnsi="Athelas Regular"/>
        </w:rPr>
        <w:t>The argument has limited import, of course, because it only applies to those cases where a living animal would be killed if someone were to request it. We’ll discuss cases where the animals have already been slaughtered and prepared for consumption in the next section, so let’s just focus on cases with this structure for now.</w:t>
      </w:r>
    </w:p>
    <w:p w14:paraId="673268E0" w14:textId="77777777" w:rsidR="00B90D2A" w:rsidRPr="00BA763E" w:rsidRDefault="00B90D2A" w:rsidP="00B90D2A">
      <w:pPr>
        <w:spacing w:line="480" w:lineRule="auto"/>
        <w:rPr>
          <w:rFonts w:ascii="Athelas Regular" w:hAnsi="Athelas Regular"/>
        </w:rPr>
      </w:pPr>
      <w:r w:rsidRPr="00BA763E">
        <w:rPr>
          <w:rFonts w:ascii="Athelas Regular" w:hAnsi="Athelas Regular"/>
        </w:rPr>
        <w:tab/>
        <w:t xml:space="preserve">If the argument shows that the unreflective carnivore has no responsibility to refrain from eating the lobster, it also seems to show that the unreflective carnivore cannot be held responsible for deciding to order the lobster. Although it’s possible to fail to meet your responsibilities without being responsible for the failure, there are nevertheless principled connections between </w:t>
      </w:r>
      <w:proofErr w:type="gramStart"/>
      <w:r w:rsidRPr="00BA763E">
        <w:rPr>
          <w:rFonts w:ascii="Athelas Regular" w:hAnsi="Athelas Regular"/>
        </w:rPr>
        <w:t>responsibility</w:t>
      </w:r>
      <w:proofErr w:type="gramEnd"/>
      <w:r w:rsidRPr="00BA763E">
        <w:rPr>
          <w:rFonts w:ascii="Athelas Regular" w:hAnsi="Athelas Regular"/>
        </w:rPr>
        <w:t xml:space="preserve"> in its forward- and backward-looking sense. If you </w:t>
      </w:r>
      <w:r w:rsidRPr="00BA763E">
        <w:rPr>
          <w:rFonts w:ascii="Athelas Regular" w:hAnsi="Athelas Regular"/>
          <w:i/>
        </w:rPr>
        <w:t>know</w:t>
      </w:r>
      <w:r w:rsidRPr="00BA763E">
        <w:rPr>
          <w:rFonts w:ascii="Athelas Regular" w:hAnsi="Athelas Regular"/>
        </w:rPr>
        <w:t xml:space="preserve"> that you’re under no responsibility to X, you cannot be held responsible for X-ing. Thus, if the argument shows that the unreflective carnivore knows that she’s under no obligation to refrain, it also shows that the agent isn’t culpable for her decision. </w:t>
      </w:r>
    </w:p>
    <w:p w14:paraId="13EE3B62" w14:textId="77777777" w:rsidR="00B90D2A" w:rsidRPr="00BA763E" w:rsidRDefault="00B90D2A" w:rsidP="00B90D2A">
      <w:pPr>
        <w:spacing w:line="480" w:lineRule="auto"/>
        <w:rPr>
          <w:rFonts w:ascii="Athelas Regular" w:hAnsi="Athelas Regular"/>
        </w:rPr>
      </w:pPr>
      <w:r w:rsidRPr="00BA763E">
        <w:rPr>
          <w:rFonts w:ascii="Athelas Regular" w:hAnsi="Athelas Regular"/>
        </w:rPr>
        <w:tab/>
        <w:t xml:space="preserve">These results strike me as problematic. Even if the unreflective carnivore knows that another customer would order the lobster if she didn’t, she would still be under an obligation not to order it. (Assuming, of course, that she’d be under this obligation if she were the restaurant’s only patron.) If you like slogans, here’s one: preemption doesn’t bear on permissibility. Moreover, even if the unreflective carnivore knows that the lobster is going to get it one way or the other, she’s still culpable if </w:t>
      </w:r>
      <w:r w:rsidRPr="00BA763E">
        <w:rPr>
          <w:rFonts w:ascii="Athelas Regular" w:hAnsi="Athelas Regular"/>
          <w:i/>
        </w:rPr>
        <w:t>she</w:t>
      </w:r>
      <w:r w:rsidRPr="00BA763E">
        <w:rPr>
          <w:rFonts w:ascii="Athelas Regular" w:hAnsi="Athelas Regular"/>
        </w:rPr>
        <w:t xml:space="preserve"> is the patron who orders it. The question is how can we make sense of this in light of the fact that the lobster won’t be made worse off than she would be otherwise by the agent’s decision to order her for dinner.</w:t>
      </w:r>
    </w:p>
    <w:p w14:paraId="3568E88F" w14:textId="77777777" w:rsidR="00B90D2A" w:rsidRPr="00BA763E" w:rsidRDefault="00B90D2A" w:rsidP="00B90D2A">
      <w:pPr>
        <w:spacing w:line="480" w:lineRule="auto"/>
        <w:rPr>
          <w:rFonts w:ascii="Athelas Regular" w:hAnsi="Athelas Regular"/>
        </w:rPr>
      </w:pPr>
      <w:r w:rsidRPr="00BA763E">
        <w:rPr>
          <w:rFonts w:ascii="Athelas Regular" w:hAnsi="Athelas Regular"/>
        </w:rPr>
        <w:lastRenderedPageBreak/>
        <w:tab/>
        <w:t xml:space="preserve">Let’s start with something simple. Suppose you think that there’s a principle of non-maleficence, one that says that it would be </w:t>
      </w:r>
      <w:r w:rsidRPr="00BA763E">
        <w:rPr>
          <w:rFonts w:ascii="Athelas Regular" w:hAnsi="Athelas Regular"/>
          <w:i/>
        </w:rPr>
        <w:t>pro tanto</w:t>
      </w:r>
      <w:r w:rsidRPr="00BA763E">
        <w:rPr>
          <w:rFonts w:ascii="Athelas Regular" w:hAnsi="Athelas Regular"/>
        </w:rPr>
        <w:t xml:space="preserve"> wrong for you to harm a moral patient.</w:t>
      </w:r>
      <w:r w:rsidRPr="00BA763E">
        <w:rPr>
          <w:rStyle w:val="EndnoteReference"/>
          <w:rFonts w:ascii="Athelas Regular" w:hAnsi="Athelas Regular"/>
        </w:rPr>
        <w:endnoteReference w:id="9"/>
      </w:r>
      <w:r w:rsidRPr="00BA763E">
        <w:rPr>
          <w:rFonts w:ascii="Athelas Regular" w:hAnsi="Athelas Regular"/>
        </w:rPr>
        <w:t xml:space="preserve"> If you order the lobster and preempt another patron waiting in the wings, you cause the lobster’s death (with help from the restaurant staff, of course). So, </w:t>
      </w:r>
      <w:r w:rsidRPr="00BA763E">
        <w:rPr>
          <w:rFonts w:ascii="Athelas Regular" w:hAnsi="Athelas Regular"/>
          <w:i/>
        </w:rPr>
        <w:t>you</w:t>
      </w:r>
      <w:r w:rsidRPr="00BA763E">
        <w:rPr>
          <w:rFonts w:ascii="Athelas Regular" w:hAnsi="Athelas Regular"/>
        </w:rPr>
        <w:t xml:space="preserve"> harm the lobster. So, you commit the wrong, right? </w:t>
      </w:r>
    </w:p>
    <w:p w14:paraId="14AE7425" w14:textId="77777777" w:rsidR="00B90D2A" w:rsidRPr="00BA763E" w:rsidRDefault="00B90D2A" w:rsidP="00B90D2A">
      <w:pPr>
        <w:spacing w:line="480" w:lineRule="auto"/>
        <w:rPr>
          <w:rFonts w:ascii="Athelas Regular" w:hAnsi="Athelas Regular"/>
        </w:rPr>
      </w:pPr>
      <w:r w:rsidRPr="00BA763E">
        <w:rPr>
          <w:rFonts w:ascii="Athelas Regular" w:hAnsi="Athelas Regular"/>
        </w:rPr>
        <w:tab/>
        <w:t xml:space="preserve">One problem with this line of thought is that it seems susceptible to the following line of objection: </w:t>
      </w:r>
    </w:p>
    <w:p w14:paraId="03AA59C8" w14:textId="77777777" w:rsidR="00B90D2A" w:rsidRPr="00BA763E" w:rsidRDefault="00B90D2A" w:rsidP="00B90D2A">
      <w:pPr>
        <w:spacing w:line="480" w:lineRule="auto"/>
        <w:rPr>
          <w:rFonts w:ascii="Athelas Regular" w:hAnsi="Athelas Regular"/>
          <w:i/>
        </w:rPr>
      </w:pPr>
    </w:p>
    <w:p w14:paraId="3942F2D2" w14:textId="77777777" w:rsidR="00B90D2A" w:rsidRPr="00BA763E" w:rsidRDefault="00B90D2A" w:rsidP="00B90D2A">
      <w:pPr>
        <w:spacing w:line="480" w:lineRule="auto"/>
        <w:ind w:left="720"/>
        <w:rPr>
          <w:rFonts w:ascii="Athelas Regular" w:hAnsi="Athelas Regular"/>
        </w:rPr>
      </w:pPr>
      <w:r w:rsidRPr="00BA763E">
        <w:rPr>
          <w:rFonts w:ascii="Athelas Regular" w:hAnsi="Athelas Regular"/>
          <w:i/>
        </w:rPr>
        <w:t xml:space="preserve">Look, you couldn’t have harmed the lobster if the lobster isn’t harmed as a result of your action. For the lobster to be harmed as a result of your action, it has to be that the lobster suffers </w:t>
      </w:r>
      <w:proofErr w:type="gramStart"/>
      <w:r w:rsidRPr="00BA763E">
        <w:rPr>
          <w:rFonts w:ascii="Athelas Regular" w:hAnsi="Athelas Regular"/>
          <w:i/>
        </w:rPr>
        <w:t>a harm</w:t>
      </w:r>
      <w:proofErr w:type="gramEnd"/>
      <w:r w:rsidRPr="00BA763E">
        <w:rPr>
          <w:rFonts w:ascii="Athelas Regular" w:hAnsi="Athelas Regular"/>
          <w:i/>
        </w:rPr>
        <w:t xml:space="preserve">. This requires that the lobster is worse-off than she would have been otherwise. But the lobster </w:t>
      </w:r>
      <w:r w:rsidRPr="00BA763E">
        <w:rPr>
          <w:rFonts w:ascii="Athelas Regular" w:hAnsi="Athelas Regular"/>
        </w:rPr>
        <w:t>isn’t</w:t>
      </w:r>
      <w:r w:rsidRPr="00BA763E">
        <w:rPr>
          <w:rFonts w:ascii="Athelas Regular" w:hAnsi="Athelas Regular"/>
          <w:i/>
        </w:rPr>
        <w:t xml:space="preserve"> worse off than she would have been otherwise as a result of your action. If you didn’t order the lobster, someone else would have. Since there was no harm, there wasn’t any violation of the principle of non-maleficence</w:t>
      </w:r>
      <w:r w:rsidRPr="00BA763E">
        <w:rPr>
          <w:rFonts w:ascii="Athelas Regular" w:hAnsi="Athelas Regular"/>
        </w:rPr>
        <w:t>.</w:t>
      </w:r>
    </w:p>
    <w:p w14:paraId="586A3FB9" w14:textId="77777777" w:rsidR="00B90D2A" w:rsidRPr="00BA763E" w:rsidRDefault="00B90D2A" w:rsidP="00B90D2A">
      <w:pPr>
        <w:spacing w:line="480" w:lineRule="auto"/>
        <w:rPr>
          <w:rFonts w:ascii="Athelas Regular" w:hAnsi="Athelas Regular"/>
        </w:rPr>
      </w:pPr>
    </w:p>
    <w:p w14:paraId="7F1B8973" w14:textId="77777777" w:rsidR="00B90D2A" w:rsidRPr="00BA763E" w:rsidRDefault="00B90D2A" w:rsidP="00B90D2A">
      <w:pPr>
        <w:spacing w:line="480" w:lineRule="auto"/>
        <w:rPr>
          <w:rFonts w:ascii="Athelas Regular" w:hAnsi="Athelas Regular"/>
        </w:rPr>
      </w:pPr>
      <w:r w:rsidRPr="00BA763E">
        <w:rPr>
          <w:rFonts w:ascii="Athelas Regular" w:hAnsi="Athelas Regular"/>
        </w:rPr>
        <w:t>It seems rather plausible that an agent doesn’t harm a patient in our example if the patient doesn’t suffer any harm by being killed. I certainly don’t want to defend the view that you can harm the lobster even when the lobster isn’t harmed. What should we say in response?</w:t>
      </w:r>
    </w:p>
    <w:p w14:paraId="5E74FA89" w14:textId="77777777" w:rsidR="00B90D2A" w:rsidRPr="00BA763E" w:rsidRDefault="00B90D2A" w:rsidP="00B90D2A">
      <w:pPr>
        <w:spacing w:line="480" w:lineRule="auto"/>
        <w:rPr>
          <w:rFonts w:ascii="Athelas Regular" w:hAnsi="Athelas Regular"/>
        </w:rPr>
      </w:pPr>
      <w:r w:rsidRPr="00BA763E">
        <w:rPr>
          <w:rFonts w:ascii="Athelas Regular" w:hAnsi="Athelas Regular"/>
        </w:rPr>
        <w:tab/>
        <w:t xml:space="preserve">The objection assumes that harm should be understood </w:t>
      </w:r>
      <w:r w:rsidRPr="00BA763E">
        <w:rPr>
          <w:rFonts w:ascii="Athelas Regular" w:hAnsi="Athelas Regular"/>
          <w:i/>
        </w:rPr>
        <w:t>comparatively</w:t>
      </w:r>
      <w:r w:rsidRPr="00BA763E">
        <w:rPr>
          <w:rFonts w:ascii="Athelas Regular" w:hAnsi="Athelas Regular"/>
        </w:rPr>
        <w:t xml:space="preserve"> in accordance with this counterfactual account of harm: an event is harmful for an individual iff things go worse for this individual than they would have gone if the event had not occurred (Bradley 2012: 396).</w:t>
      </w:r>
      <w:r w:rsidRPr="00BA763E">
        <w:rPr>
          <w:rStyle w:val="EndnoteReference"/>
          <w:rFonts w:ascii="Athelas Regular" w:hAnsi="Athelas Regular"/>
        </w:rPr>
        <w:endnoteReference w:id="10"/>
      </w:r>
      <w:r w:rsidRPr="00BA763E">
        <w:rPr>
          <w:rFonts w:ascii="Athelas Regular" w:hAnsi="Athelas Regular"/>
        </w:rPr>
        <w:t xml:space="preserve"> Applied to the case at hand, you don’t harm the lobster by ordering it and thereby ordering its death because if you hadn’t done this, somebody else would have. Thus, someone who accepts this account can only say that you harmed the lobster if they were to say that it’s </w:t>
      </w:r>
      <w:r w:rsidRPr="00BA763E">
        <w:rPr>
          <w:rFonts w:ascii="Athelas Regular" w:hAnsi="Athelas Regular"/>
        </w:rPr>
        <w:lastRenderedPageBreak/>
        <w:t xml:space="preserve">possible for you to harm the lobster when the lobster doesn’t suffer any harm at all. It would be best not to say that, I think. </w:t>
      </w:r>
    </w:p>
    <w:p w14:paraId="48BC3A0D" w14:textId="77777777" w:rsidR="00B90D2A" w:rsidRPr="00BA763E" w:rsidRDefault="00B90D2A" w:rsidP="00B90D2A">
      <w:pPr>
        <w:spacing w:line="480" w:lineRule="auto"/>
        <w:rPr>
          <w:rFonts w:ascii="Athelas Regular" w:hAnsi="Athelas Regular"/>
        </w:rPr>
      </w:pPr>
      <w:r w:rsidRPr="00BA763E">
        <w:rPr>
          <w:rFonts w:ascii="Athelas Regular" w:hAnsi="Athelas Regular"/>
        </w:rPr>
        <w:tab/>
        <w:t>Comparative accounts of harm tell us that a victim is harmed iff something makes the victim worse-off.</w:t>
      </w:r>
      <w:r w:rsidRPr="00BA763E">
        <w:rPr>
          <w:rStyle w:val="EndnoteReference"/>
          <w:rFonts w:ascii="Athelas Regular" w:hAnsi="Athelas Regular"/>
        </w:rPr>
        <w:endnoteReference w:id="11"/>
      </w:r>
      <w:r w:rsidRPr="00BA763E">
        <w:rPr>
          <w:rFonts w:ascii="Athelas Regular" w:hAnsi="Athelas Regular"/>
        </w:rPr>
        <w:t xml:space="preserve"> Victims cannot be worse-off </w:t>
      </w:r>
      <w:r w:rsidRPr="00BA763E">
        <w:rPr>
          <w:rFonts w:ascii="Athelas Regular" w:hAnsi="Athelas Regular"/>
          <w:i/>
        </w:rPr>
        <w:t>simpliciter</w:t>
      </w:r>
      <w:r w:rsidRPr="00BA763E">
        <w:rPr>
          <w:rFonts w:ascii="Athelas Regular" w:hAnsi="Athelas Regular"/>
        </w:rPr>
        <w:t xml:space="preserve">. Something harms a victim only if it makes the victim worse-off than the victim is made to be under some relevant alternative. It’s quite natural to think that the relevant alternative to consider in determining whether a happening harms someone is the one in which the happening doesn’t happen because when we are trying to decide what to try to avoid or prevent, we run (if we’re rational) a kind of counterfactual comparison test. The lobster has little reason to do what it can to get you to act otherwise if she knows that another patron will order her for dinner if you don’t. The important point here is that it would be strange for the lobster to think that she won’t be harmed by any of the patrons in the restaurant because so many of them want her boiled alive. </w:t>
      </w:r>
    </w:p>
    <w:p w14:paraId="780BEE38" w14:textId="77777777" w:rsidR="00B90D2A" w:rsidRPr="00BA763E" w:rsidRDefault="00B90D2A" w:rsidP="00B90D2A">
      <w:pPr>
        <w:spacing w:line="480" w:lineRule="auto"/>
        <w:rPr>
          <w:rFonts w:ascii="Athelas Regular" w:hAnsi="Athelas Regular"/>
        </w:rPr>
      </w:pPr>
      <w:r w:rsidRPr="00BA763E">
        <w:rPr>
          <w:rFonts w:ascii="Athelas Regular" w:hAnsi="Athelas Regular"/>
        </w:rPr>
        <w:tab/>
        <w:t xml:space="preserve">Consider an alternative to the counterfactual comparison account. The revised comparative account of harm tells us to compare an occurrence to its non-occurrence to determine whether the occurrence harmed the victim rather than comparing what happened to what would have happened if the occurrence hadn’t occurred. Some events are intrinsically bad for a victim, cause something that’s intrinsically bad for a victim, or prevent the victim from enjoying something that’s intrinsically good. </w:t>
      </w:r>
      <w:r w:rsidRPr="00BA763E">
        <w:rPr>
          <w:rStyle w:val="EndnoteReference"/>
          <w:rFonts w:ascii="Athelas Regular" w:hAnsi="Athelas Regular"/>
        </w:rPr>
        <w:endnoteReference w:id="12"/>
      </w:r>
      <w:r w:rsidRPr="00BA763E">
        <w:rPr>
          <w:rFonts w:ascii="Athelas Regular" w:hAnsi="Athelas Regular"/>
        </w:rPr>
        <w:t xml:space="preserve"> An event harms a victim iff it meets this disjunctive condition and the occurrence (along with its effects) are worse for the victim than the non-occurrence’s effects would have been. This is account is tailored to vindicate the intuition that even if there are multiple patrons who will order the lobster to be boiled alive, the particular patron that calls in the order is the one that harms the lobster. The order initiates a causal chain that results in the lobster being boiled alive and then dying. This is a </w:t>
      </w:r>
      <w:r w:rsidRPr="00BA763E">
        <w:rPr>
          <w:rFonts w:ascii="Athelas Regular" w:hAnsi="Athelas Regular"/>
        </w:rPr>
        <w:lastRenderedPageBreak/>
        <w:t xml:space="preserve">worse state than the state that the non-occurrence of the order would cause. The non-occurrence wouldn’t cause the lobster to be in any state at all. This </w:t>
      </w:r>
      <w:r w:rsidRPr="00BA763E">
        <w:rPr>
          <w:rFonts w:ascii="Athelas Regular" w:hAnsi="Athelas Regular"/>
          <w:i/>
        </w:rPr>
        <w:t>isn’t</w:t>
      </w:r>
      <w:r w:rsidRPr="00BA763E">
        <w:rPr>
          <w:rFonts w:ascii="Athelas Regular" w:hAnsi="Athelas Regular"/>
        </w:rPr>
        <w:t xml:space="preserve"> because non-occurrences don’t cause. It seems plausible that non-occurrences can cause (e.g., the failure to water a plant or feed a pet can cause death). The point is that this particular non-occurrence didn’t cause the lobster to boil or to die and this allows us to attribute responsibility for the bad state the lobster is in to one order in particular.</w:t>
      </w:r>
      <w:r w:rsidRPr="00BA763E">
        <w:rPr>
          <w:rStyle w:val="EndnoteReference"/>
          <w:rFonts w:ascii="Athelas Regular" w:hAnsi="Athelas Regular"/>
        </w:rPr>
        <w:endnoteReference w:id="13"/>
      </w:r>
      <w:r w:rsidRPr="00BA763E">
        <w:rPr>
          <w:rFonts w:ascii="Athelas Regular" w:hAnsi="Athelas Regular"/>
        </w:rPr>
        <w:t xml:space="preserve"> </w:t>
      </w:r>
    </w:p>
    <w:p w14:paraId="7CBED0F4" w14:textId="77777777" w:rsidR="00B90D2A" w:rsidRPr="00BA763E" w:rsidRDefault="00B90D2A" w:rsidP="00B90D2A">
      <w:pPr>
        <w:spacing w:line="480" w:lineRule="auto"/>
        <w:rPr>
          <w:rFonts w:ascii="Athelas Regular" w:hAnsi="Athelas Regular"/>
        </w:rPr>
      </w:pPr>
      <w:r w:rsidRPr="00BA763E">
        <w:rPr>
          <w:rFonts w:ascii="Athelas Regular" w:hAnsi="Athelas Regular"/>
        </w:rPr>
        <w:tab/>
        <w:t>I don’t think that consequentialists will like this account of harm. It’s hard to see how a consequentialist could think that the concept of harm as its understood here could be a useful concept for the purposes of moral theory since it doesn’t have much to do with the kinds of counterfactual assessments that allow us to determine which of the available alternatives will involve the greatest amount of aggregate well-being.  I’ve suggested that morally conscientious agents should be concerned about the particular role they play in harming and that this requires us to think about causal relations between themselves and the moral patients they causally interact with. Consequentialists will likely say that it would be odd for the morally conscientious agent to be concerned with this. They would say that we ought to be concerned with aggregates, not our role in how these aggregate levels are produced.</w:t>
      </w:r>
    </w:p>
    <w:p w14:paraId="3F630F29" w14:textId="77777777" w:rsidR="00B90D2A" w:rsidRPr="00BA763E" w:rsidRDefault="00B90D2A" w:rsidP="00B90D2A">
      <w:pPr>
        <w:spacing w:line="480" w:lineRule="auto"/>
        <w:rPr>
          <w:rFonts w:ascii="Athelas Regular" w:hAnsi="Athelas Regular"/>
        </w:rPr>
      </w:pPr>
      <w:r w:rsidRPr="00BA763E">
        <w:rPr>
          <w:rFonts w:ascii="Athelas Regular" w:hAnsi="Athelas Regular"/>
        </w:rPr>
        <w:tab/>
        <w:t xml:space="preserve">One of Williams’ (1988) examples might help to illustrate the consequentialist’s concern. You are offered a choice. You can pick up a rifle and shoot one villager held by the general’s men or do nothing. If you do nothing, the general’s men will execute this villager and nineteen others. You might think (as Williams presumably didn’t) that it would be perverse for you to think that your role in the death of a villager as the sort of thing that should enter your deliberation in this sort of case. I agree. It would be perverse to do so when it’s so clear that concerns about aggregate </w:t>
      </w:r>
      <w:proofErr w:type="gramStart"/>
      <w:r w:rsidRPr="00BA763E">
        <w:rPr>
          <w:rFonts w:ascii="Athelas Regular" w:hAnsi="Athelas Regular"/>
        </w:rPr>
        <w:t>well-being</w:t>
      </w:r>
      <w:proofErr w:type="gramEnd"/>
      <w:r w:rsidRPr="00BA763E">
        <w:rPr>
          <w:rFonts w:ascii="Athelas Regular" w:hAnsi="Athelas Regular"/>
        </w:rPr>
        <w:t xml:space="preserve"> override concerns you might have about your role in the killing of one or more villagers. </w:t>
      </w:r>
    </w:p>
    <w:p w14:paraId="56496EBC" w14:textId="77777777" w:rsidR="00B90D2A" w:rsidRPr="00BA763E" w:rsidRDefault="00B90D2A" w:rsidP="00B90D2A">
      <w:pPr>
        <w:spacing w:line="480" w:lineRule="auto"/>
        <w:rPr>
          <w:rFonts w:ascii="Athelas Regular" w:hAnsi="Athelas Regular"/>
        </w:rPr>
      </w:pPr>
      <w:r w:rsidRPr="00BA763E">
        <w:rPr>
          <w:rFonts w:ascii="Athelas Regular" w:hAnsi="Athelas Regular"/>
        </w:rPr>
        <w:lastRenderedPageBreak/>
        <w:tab/>
        <w:t xml:space="preserve">Having said that, I think we’re on pretty good ground here. First, the view that I’d defend isn’t a view on which considerations about the role you play in harming, say, override considerations about overall levels of utility. I’d say that there’s a </w:t>
      </w:r>
      <w:r w:rsidRPr="00BA763E">
        <w:rPr>
          <w:rFonts w:ascii="Athelas Regular" w:hAnsi="Athelas Regular"/>
          <w:i/>
        </w:rPr>
        <w:t>pro tanto</w:t>
      </w:r>
      <w:r w:rsidRPr="00BA763E">
        <w:rPr>
          <w:rFonts w:ascii="Athelas Regular" w:hAnsi="Athelas Regular"/>
        </w:rPr>
        <w:t xml:space="preserve"> reason for you to refrain from shooting a villager and that this reason can potentially be overridden if you have a way of shooting this villager so as to save nineteen lives. As this is just what the consequentialist wants us to say, this sort of case needn’t cause us any serious concern. Second, we’ve already seen that our concern should be directed primarily towards patients and their </w:t>
      </w:r>
      <w:proofErr w:type="gramStart"/>
      <w:r w:rsidRPr="00BA763E">
        <w:rPr>
          <w:rFonts w:ascii="Athelas Regular" w:hAnsi="Athelas Regular"/>
        </w:rPr>
        <w:t>well-being</w:t>
      </w:r>
      <w:proofErr w:type="gramEnd"/>
      <w:r w:rsidRPr="00BA763E">
        <w:rPr>
          <w:rFonts w:ascii="Athelas Regular" w:hAnsi="Athelas Regular"/>
        </w:rPr>
        <w:t xml:space="preserve"> and so only indirectly concerned with aggregates. If the consequentialist case against the kind of harm principle I’m offering rests on the idea that our concern as morally conscientious agents should be with aggregate levels of well-being, the force the objection derives from an approach we’ve already seen to be problematic insofar as it lacks the resources to explain why we should draw a moral distinction between promoting the interests of actual patients and bringing patients into being so as to promote their interests. Third, it would seem that the right way to test the account on offer is to consider a modified version of Williams’ case. If the choice we’re offered is one in which we can decide to shoot or refrain from shooting and that same villager will be shot by the general’s men, I’d say that there’s a duty to refrain. If you share that intuition, it counts in favor of the view I’m recommending.</w:t>
      </w:r>
    </w:p>
    <w:p w14:paraId="5A2A1024" w14:textId="77777777" w:rsidR="00B90D2A" w:rsidRPr="00BA763E" w:rsidRDefault="00B90D2A" w:rsidP="00B90D2A">
      <w:pPr>
        <w:spacing w:line="480" w:lineRule="auto"/>
        <w:rPr>
          <w:rFonts w:ascii="Athelas Regular" w:hAnsi="Athelas Regular"/>
        </w:rPr>
      </w:pPr>
      <w:r w:rsidRPr="00BA763E">
        <w:rPr>
          <w:rFonts w:ascii="Athelas Regular" w:hAnsi="Athelas Regular"/>
        </w:rPr>
        <w:tab/>
        <w:t xml:space="preserve">Finally, I should note that the account of harm offered here doesn’t vindicate the idea that when you harm some victim, the victim is worse-off overall as a result. Some see this as a problem because they think that </w:t>
      </w:r>
      <w:r w:rsidRPr="00BA763E">
        <w:rPr>
          <w:rFonts w:ascii="Athelas Regular" w:hAnsi="Athelas Regular"/>
          <w:i/>
        </w:rPr>
        <w:t>to be harmed</w:t>
      </w:r>
      <w:r w:rsidRPr="00BA763E">
        <w:rPr>
          <w:rFonts w:ascii="Athelas Regular" w:hAnsi="Athelas Regular"/>
        </w:rPr>
        <w:t>, one has to be worse-off overall as a result and think that if you harm someone, someone has to be harmed.</w:t>
      </w:r>
      <w:r w:rsidRPr="00BA763E">
        <w:rPr>
          <w:rStyle w:val="EndnoteReference"/>
          <w:rFonts w:ascii="Athelas Regular" w:hAnsi="Athelas Regular"/>
        </w:rPr>
        <w:endnoteReference w:id="14"/>
      </w:r>
      <w:r w:rsidRPr="00BA763E">
        <w:rPr>
          <w:rFonts w:ascii="Athelas Regular" w:hAnsi="Athelas Regular"/>
        </w:rPr>
        <w:t xml:space="preserve"> While I agree that if you harm someone, someone has to be harmed, I don’t think that to be harmed, you have to be worse-off overall as a result. Consider Ross’ principle of non-maleficence, a principle that says that </w:t>
      </w:r>
      <w:r w:rsidRPr="00BA763E">
        <w:rPr>
          <w:rFonts w:ascii="Athelas Regular" w:hAnsi="Athelas Regular"/>
        </w:rPr>
        <w:lastRenderedPageBreak/>
        <w:t xml:space="preserve">there’s a </w:t>
      </w:r>
      <w:r w:rsidRPr="00BA763E">
        <w:rPr>
          <w:rFonts w:ascii="Athelas Regular" w:hAnsi="Athelas Regular"/>
          <w:i/>
        </w:rPr>
        <w:t>prima facie</w:t>
      </w:r>
      <w:r w:rsidRPr="00BA763E">
        <w:rPr>
          <w:rFonts w:ascii="Athelas Regular" w:hAnsi="Athelas Regular"/>
        </w:rPr>
        <w:t xml:space="preserve"> duty not to harm. If we said that we had only a </w:t>
      </w:r>
      <w:r w:rsidRPr="00BA763E">
        <w:rPr>
          <w:rFonts w:ascii="Athelas Regular" w:hAnsi="Athelas Regular"/>
          <w:i/>
        </w:rPr>
        <w:t>prima facie</w:t>
      </w:r>
      <w:r w:rsidRPr="00BA763E">
        <w:rPr>
          <w:rFonts w:ascii="Athelas Regular" w:hAnsi="Athelas Regular"/>
        </w:rPr>
        <w:t xml:space="preserve"> duty not to perform actions that leave someone worse-off overall, we’d lose sight of the fact that any of our actions that cause something intrinsically bad for a moral patient calls for a justification and is </w:t>
      </w:r>
      <w:r w:rsidRPr="00BA763E">
        <w:rPr>
          <w:rFonts w:ascii="Athelas Regular" w:hAnsi="Athelas Regular"/>
          <w:i/>
        </w:rPr>
        <w:t>prima facie</w:t>
      </w:r>
      <w:r w:rsidRPr="00BA763E">
        <w:rPr>
          <w:rFonts w:ascii="Athelas Regular" w:hAnsi="Athelas Regular"/>
        </w:rPr>
        <w:t xml:space="preserve"> wrong. It’s true that considerations about overall </w:t>
      </w:r>
      <w:proofErr w:type="gramStart"/>
      <w:r w:rsidRPr="00BA763E">
        <w:rPr>
          <w:rFonts w:ascii="Athelas Regular" w:hAnsi="Athelas Regular"/>
        </w:rPr>
        <w:t>well-being</w:t>
      </w:r>
      <w:proofErr w:type="gramEnd"/>
      <w:r w:rsidRPr="00BA763E">
        <w:rPr>
          <w:rFonts w:ascii="Athelas Regular" w:hAnsi="Athelas Regular"/>
        </w:rPr>
        <w:t xml:space="preserve"> </w:t>
      </w:r>
      <w:r w:rsidRPr="00BA763E">
        <w:rPr>
          <w:rFonts w:ascii="Athelas Regular" w:hAnsi="Athelas Regular"/>
          <w:i/>
        </w:rPr>
        <w:t>might</w:t>
      </w:r>
      <w:r w:rsidRPr="00BA763E">
        <w:rPr>
          <w:rFonts w:ascii="Athelas Regular" w:hAnsi="Athelas Regular"/>
        </w:rPr>
        <w:t xml:space="preserve"> provide that justification, but that’s consistent with the idea that every harm (as I’ve characterized it) might be </w:t>
      </w:r>
      <w:r w:rsidRPr="00BA763E">
        <w:rPr>
          <w:rFonts w:ascii="Athelas Regular" w:hAnsi="Athelas Regular"/>
          <w:i/>
        </w:rPr>
        <w:t>prima facie</w:t>
      </w:r>
      <w:r w:rsidRPr="00BA763E">
        <w:rPr>
          <w:rFonts w:ascii="Athelas Regular" w:hAnsi="Athelas Regular"/>
        </w:rPr>
        <w:t xml:space="preserve"> wrong to bring about. Thus, in moral contexts, at least, it makes sense to characterize harm as I have, provided that we understand that it’s one moral notion amongst many and shouldn’t be considered to the exclusion of considerations about whether a victim might be better off overall by being harmed than not. I suspect that part of the intuition that harm should have to do with overall </w:t>
      </w:r>
      <w:proofErr w:type="gramStart"/>
      <w:r w:rsidRPr="00BA763E">
        <w:rPr>
          <w:rFonts w:ascii="Athelas Regular" w:hAnsi="Athelas Regular"/>
        </w:rPr>
        <w:t>well-being</w:t>
      </w:r>
      <w:proofErr w:type="gramEnd"/>
      <w:r w:rsidRPr="00BA763E">
        <w:rPr>
          <w:rFonts w:ascii="Athelas Regular" w:hAnsi="Athelas Regular"/>
        </w:rPr>
        <w:t xml:space="preserve"> has to do with the fact that in many non-moral contexts where we’re thinking about which option would be best for us, we rightly focus on aggregate well-being rather than particular intrinsically good or bad events. I’d say that our focus in these contexts </w:t>
      </w:r>
      <w:r w:rsidRPr="00BA763E">
        <w:rPr>
          <w:rFonts w:ascii="Athelas Regular" w:hAnsi="Athelas Regular"/>
          <w:i/>
        </w:rPr>
        <w:t>should</w:t>
      </w:r>
      <w:r w:rsidRPr="00BA763E">
        <w:rPr>
          <w:rFonts w:ascii="Athelas Regular" w:hAnsi="Athelas Regular"/>
        </w:rPr>
        <w:t xml:space="preserve"> be on overall notions and that this just goes to show that the notion of harm isn’t nearly as useful in such contexts as the distinct notion of what’s better for us overall.</w:t>
      </w:r>
    </w:p>
    <w:p w14:paraId="1ABA19DC" w14:textId="77777777" w:rsidR="00B90D2A" w:rsidRPr="00BA763E" w:rsidRDefault="00B90D2A" w:rsidP="00B90D2A">
      <w:pPr>
        <w:spacing w:line="480" w:lineRule="auto"/>
        <w:rPr>
          <w:rFonts w:ascii="Athelas Regular" w:hAnsi="Athelas Regular"/>
        </w:rPr>
      </w:pPr>
    </w:p>
    <w:p w14:paraId="707ECC29" w14:textId="77777777" w:rsidR="00B90D2A" w:rsidRPr="00BA763E" w:rsidRDefault="0004358E" w:rsidP="00B90D2A">
      <w:pPr>
        <w:spacing w:line="480" w:lineRule="auto"/>
        <w:rPr>
          <w:rFonts w:ascii="Athelas Regular" w:hAnsi="Athelas Regular"/>
          <w:b/>
        </w:rPr>
      </w:pPr>
      <w:r w:rsidRPr="00BA763E">
        <w:rPr>
          <w:rFonts w:ascii="Athelas Regular" w:hAnsi="Athelas Regular"/>
          <w:b/>
        </w:rPr>
        <w:t>&lt;3&gt;</w:t>
      </w:r>
    </w:p>
    <w:p w14:paraId="4B6B266C" w14:textId="77777777" w:rsidR="00B90D2A" w:rsidRPr="00BA763E" w:rsidRDefault="00B90D2A" w:rsidP="00B90D2A">
      <w:pPr>
        <w:spacing w:line="480" w:lineRule="auto"/>
        <w:rPr>
          <w:rFonts w:ascii="Athelas Regular" w:hAnsi="Athelas Regular"/>
        </w:rPr>
      </w:pPr>
      <w:r w:rsidRPr="00BA763E">
        <w:rPr>
          <w:rFonts w:ascii="Athelas Regular" w:hAnsi="Athelas Regular"/>
        </w:rPr>
        <w:t xml:space="preserve">A final challenge remains. Consider one final no-difference argument: </w:t>
      </w:r>
    </w:p>
    <w:p w14:paraId="68ADDBDE" w14:textId="77777777" w:rsidR="0004358E" w:rsidRPr="00BA763E" w:rsidRDefault="0004358E" w:rsidP="00B90D2A">
      <w:pPr>
        <w:spacing w:line="480" w:lineRule="auto"/>
        <w:rPr>
          <w:rFonts w:ascii="Athelas Regular" w:hAnsi="Athelas Regular"/>
          <w:i/>
        </w:rPr>
      </w:pPr>
    </w:p>
    <w:p w14:paraId="70D8BD4B" w14:textId="77777777" w:rsidR="00B90D2A" w:rsidRPr="00BA763E" w:rsidRDefault="00B90D2A" w:rsidP="0004358E">
      <w:pPr>
        <w:spacing w:line="480" w:lineRule="auto"/>
        <w:ind w:left="720"/>
        <w:rPr>
          <w:rFonts w:ascii="Athelas Regular" w:hAnsi="Athelas Regular"/>
          <w:i/>
        </w:rPr>
      </w:pPr>
      <w:r w:rsidRPr="00BA763E">
        <w:rPr>
          <w:rFonts w:ascii="Athelas Regular" w:hAnsi="Athelas Regular"/>
          <w:i/>
        </w:rPr>
        <w:t xml:space="preserve">I can see that I might bear a special kind of responsibility for the causal contribution that I make, but the situation I face in a grocery store is unlike the preemption cases because my decisions in this setting don’t make a causal difference to the </w:t>
      </w:r>
      <w:proofErr w:type="gramStart"/>
      <w:r w:rsidRPr="00BA763E">
        <w:rPr>
          <w:rFonts w:ascii="Athelas Regular" w:hAnsi="Athelas Regular"/>
          <w:i/>
        </w:rPr>
        <w:t>well-being</w:t>
      </w:r>
      <w:proofErr w:type="gramEnd"/>
      <w:r w:rsidRPr="00BA763E">
        <w:rPr>
          <w:rFonts w:ascii="Athelas Regular" w:hAnsi="Athelas Regular"/>
          <w:i/>
        </w:rPr>
        <w:t xml:space="preserve"> of any animal. The animals I buy were already dead when I arrived at the store and the decision to slaughter more animals for food isn’t sensitive to my decision about whether to buy chicken, lamb, beef, etc. </w:t>
      </w:r>
      <w:r w:rsidRPr="00BA763E">
        <w:rPr>
          <w:rFonts w:ascii="Athelas Regular" w:hAnsi="Athelas Regular"/>
          <w:i/>
        </w:rPr>
        <w:lastRenderedPageBreak/>
        <w:t>Since my actions don’t have any causal impact on any living animals, I don’t have to take account of considerations of animal welfare in deciding what to buy in the store.</w:t>
      </w:r>
    </w:p>
    <w:p w14:paraId="45E2EACB" w14:textId="77777777" w:rsidR="0004358E" w:rsidRPr="00BA763E" w:rsidRDefault="0004358E" w:rsidP="0004358E">
      <w:pPr>
        <w:spacing w:line="480" w:lineRule="auto"/>
        <w:rPr>
          <w:rFonts w:ascii="Athelas Regular" w:hAnsi="Athelas Regular"/>
        </w:rPr>
      </w:pPr>
    </w:p>
    <w:p w14:paraId="2D565406" w14:textId="77777777" w:rsidR="00B90D2A" w:rsidRPr="00BA763E" w:rsidRDefault="00B90D2A" w:rsidP="00BA763E">
      <w:pPr>
        <w:spacing w:line="480" w:lineRule="auto"/>
        <w:outlineLvl w:val="0"/>
        <w:rPr>
          <w:rFonts w:ascii="Athelas Regular" w:hAnsi="Athelas Regular"/>
        </w:rPr>
      </w:pPr>
      <w:r w:rsidRPr="00BA763E">
        <w:rPr>
          <w:rFonts w:ascii="Athelas Regular" w:hAnsi="Athelas Regular"/>
        </w:rPr>
        <w:t>Does this argument get the carnivore off the hook?</w:t>
      </w:r>
    </w:p>
    <w:p w14:paraId="63E241B2" w14:textId="77777777" w:rsidR="00B90D2A" w:rsidRPr="00BA763E" w:rsidRDefault="00B90D2A" w:rsidP="00B90D2A">
      <w:pPr>
        <w:spacing w:line="480" w:lineRule="auto"/>
        <w:rPr>
          <w:rFonts w:ascii="Athelas Regular" w:hAnsi="Athelas Regular"/>
        </w:rPr>
      </w:pPr>
      <w:r w:rsidRPr="00BA763E">
        <w:rPr>
          <w:rFonts w:ascii="Athelas Regular" w:hAnsi="Athelas Regular"/>
        </w:rPr>
        <w:tab/>
        <w:t xml:space="preserve">These arguments concern cases that might appear to be different in certain respects. The second no-difference argument focuses on preemption cases in which a particular patron’s decision has the potential to cause the death of a moral patient. In this case, the consumer is trying to decide whether to purchase an animal that has already been killed. Moreover, the patron in the restaurant has very good reason to think that her decision can cause the death of the lobster. The consumer in the shop has very good reason to think that her decision won’t harm any animal at all. </w:t>
      </w:r>
      <w:r w:rsidR="0004358E" w:rsidRPr="00BA763E">
        <w:rPr>
          <w:rFonts w:ascii="Athelas Regular" w:hAnsi="Athelas Regular"/>
        </w:rPr>
        <w:t>She might say the following:</w:t>
      </w:r>
    </w:p>
    <w:p w14:paraId="79FF297E" w14:textId="77777777" w:rsidR="0004358E" w:rsidRPr="00BA763E" w:rsidRDefault="0004358E" w:rsidP="00B90D2A">
      <w:pPr>
        <w:spacing w:line="480" w:lineRule="auto"/>
        <w:rPr>
          <w:rFonts w:ascii="Athelas Regular" w:hAnsi="Athelas Regular"/>
        </w:rPr>
      </w:pPr>
    </w:p>
    <w:p w14:paraId="4CE7D330" w14:textId="77777777" w:rsidR="00B90D2A" w:rsidRPr="00BA763E" w:rsidRDefault="00B90D2A" w:rsidP="0004358E">
      <w:pPr>
        <w:spacing w:line="480" w:lineRule="auto"/>
        <w:ind w:left="720"/>
        <w:rPr>
          <w:rFonts w:ascii="Athelas Regular" w:hAnsi="Athelas Regular"/>
        </w:rPr>
      </w:pPr>
      <w:r w:rsidRPr="00BA763E">
        <w:rPr>
          <w:rFonts w:ascii="Athelas Regular" w:hAnsi="Athelas Regular"/>
        </w:rPr>
        <w:t>[</w:t>
      </w:r>
      <w:proofErr w:type="gramStart"/>
      <w:r w:rsidRPr="00BA763E">
        <w:rPr>
          <w:rFonts w:ascii="Athelas Regular" w:hAnsi="Athelas Regular"/>
        </w:rPr>
        <w:t>I]f</w:t>
      </w:r>
      <w:proofErr w:type="gramEnd"/>
      <w:r w:rsidRPr="00BA763E">
        <w:rPr>
          <w:rFonts w:ascii="Athelas Regular" w:hAnsi="Athelas Regular"/>
        </w:rPr>
        <w:t xml:space="preserve"> I did not buy and consume factory-raised meat, no animals would be spared lives of misery. Agribusiness is much too large to respond to the behavior of one consumer. Therefore I cannot prevent the suffering of any animals. I may well regret the suffering inflicted on animals for the sake of human enjoyment. I may even agree that the human enjoyment doesn’t justify the suffering. However, since the animals will suffer no matter what I do, I may as well enjoy the taste of their flesh (Norcross 2004: 231).</w:t>
      </w:r>
    </w:p>
    <w:p w14:paraId="749DC18F" w14:textId="77777777" w:rsidR="0004358E" w:rsidRPr="00BA763E" w:rsidRDefault="0004358E" w:rsidP="00B90D2A">
      <w:pPr>
        <w:spacing w:line="480" w:lineRule="auto"/>
        <w:rPr>
          <w:rFonts w:ascii="Athelas Regular" w:hAnsi="Athelas Regular"/>
        </w:rPr>
      </w:pPr>
    </w:p>
    <w:p w14:paraId="63178515" w14:textId="77777777" w:rsidR="00B90D2A" w:rsidRPr="00BA763E" w:rsidRDefault="00B90D2A" w:rsidP="00BA763E">
      <w:pPr>
        <w:spacing w:line="480" w:lineRule="auto"/>
        <w:outlineLvl w:val="0"/>
        <w:rPr>
          <w:rFonts w:ascii="Athelas Regular" w:hAnsi="Athelas Regular"/>
        </w:rPr>
      </w:pPr>
      <w:r w:rsidRPr="00BA763E">
        <w:rPr>
          <w:rFonts w:ascii="Athelas Regular" w:hAnsi="Athelas Regular"/>
        </w:rPr>
        <w:t>Isn’t she right?</w:t>
      </w:r>
    </w:p>
    <w:p w14:paraId="18595378" w14:textId="77777777" w:rsidR="00B90D2A" w:rsidRPr="00BA763E" w:rsidRDefault="00B90D2A" w:rsidP="00B90D2A">
      <w:pPr>
        <w:spacing w:line="480" w:lineRule="auto"/>
        <w:rPr>
          <w:rFonts w:ascii="Athelas Regular" w:hAnsi="Athelas Regular"/>
        </w:rPr>
      </w:pPr>
      <w:r w:rsidRPr="00BA763E">
        <w:rPr>
          <w:rFonts w:ascii="Athelas Regular" w:hAnsi="Athelas Regular"/>
        </w:rPr>
        <w:tab/>
        <w:t>This is the infamous causal impotence defense. There’s a familiar consequentialist response to this argument, one that strikes me as being decisive.</w:t>
      </w:r>
      <w:r w:rsidRPr="00BA763E">
        <w:rPr>
          <w:rStyle w:val="EndnoteReference"/>
          <w:rFonts w:ascii="Athelas Regular" w:hAnsi="Athelas Regular"/>
        </w:rPr>
        <w:endnoteReference w:id="15"/>
      </w:r>
      <w:r w:rsidRPr="00BA763E">
        <w:rPr>
          <w:rFonts w:ascii="Athelas Regular" w:hAnsi="Athelas Regular"/>
        </w:rPr>
        <w:t xml:space="preserve"> It’s true that agribusiness is too large to respond to the behavior of just one consumer, but it has to respond to some consumer behavior. Let’s say that every month the factory gets data about the number of </w:t>
      </w:r>
      <w:r w:rsidRPr="00BA763E">
        <w:rPr>
          <w:rFonts w:ascii="Athelas Regular" w:hAnsi="Athelas Regular"/>
        </w:rPr>
        <w:lastRenderedPageBreak/>
        <w:t xml:space="preserve">chickens sold and will change its production in response to increases or decreases in demand. If, say, demand decreases by 1000, 1000 fewer chickens will be produced. Of course, the consumer might have good reason to think that her decision not to purchase won’t result in a reduction of the number of chickens killed, but why should that matter? If you think that the permissibility of an action is determined by </w:t>
      </w:r>
      <w:r w:rsidRPr="00BA763E">
        <w:rPr>
          <w:rFonts w:ascii="Athelas Regular" w:hAnsi="Athelas Regular"/>
          <w:i/>
        </w:rPr>
        <w:t>expected</w:t>
      </w:r>
      <w:r w:rsidRPr="00BA763E">
        <w:rPr>
          <w:rFonts w:ascii="Athelas Regular" w:hAnsi="Athelas Regular"/>
        </w:rPr>
        <w:t xml:space="preserve"> utility rather than actual utility, this is irrelevant. It’s been conceded that the utility gained by killing and eating a chicken is less than the amount of disutility involved in killing the chicken.  Once that’s conceded, it also has to be conceded that the expected utility of buying chicken under the conditions described is also negative. There is one chance in a thousand that the consumer purchases the threshold chicken. If purchased, it triggers the death of 1000 chickens, which is a very bad result. If not, it avoids triggering the death of 1000 chickens, which is a much less bad result. And in terms of expected utility, the expected utility of taking the chance is the same as the expected utility of raising a chicken in your own little factor farm and killing it yourself.</w:t>
      </w:r>
      <w:r w:rsidRPr="00BA763E">
        <w:rPr>
          <w:rStyle w:val="EndnoteReference"/>
          <w:rFonts w:ascii="Athelas Regular" w:hAnsi="Athelas Regular"/>
        </w:rPr>
        <w:endnoteReference w:id="16"/>
      </w:r>
    </w:p>
    <w:p w14:paraId="35E3D818" w14:textId="77777777" w:rsidR="00B90D2A" w:rsidRPr="00BA763E" w:rsidRDefault="00B90D2A" w:rsidP="00B90D2A">
      <w:pPr>
        <w:spacing w:line="480" w:lineRule="auto"/>
        <w:rPr>
          <w:rFonts w:ascii="Athelas Regular" w:hAnsi="Athelas Regular"/>
        </w:rPr>
      </w:pPr>
      <w:r w:rsidRPr="00BA763E">
        <w:rPr>
          <w:rFonts w:ascii="Athelas Regular" w:hAnsi="Athelas Regular"/>
        </w:rPr>
        <w:tab/>
        <w:t xml:space="preserve">Of course, the consumer might think to herself that it really doesn’t matter whether </w:t>
      </w:r>
      <w:r w:rsidRPr="00BA763E">
        <w:rPr>
          <w:rFonts w:ascii="Athelas Regular" w:hAnsi="Athelas Regular"/>
          <w:i/>
        </w:rPr>
        <w:t>she</w:t>
      </w:r>
      <w:r w:rsidRPr="00BA763E">
        <w:rPr>
          <w:rFonts w:ascii="Athelas Regular" w:hAnsi="Athelas Regular"/>
        </w:rPr>
        <w:t xml:space="preserve"> buys the threshold chicken or not because somebody is going to buy it. Perhaps, but then this consumer is relying on the arms dealer defense considered above. If it doesn’t work for war criminals, it shouldn’t work unreflective carnivores. Imagine we gather all the consumers who purchased chicken in a particular grocery store and arrange them in line on the basis of their purchase. Every consumer, let’s say, buys just one chicken. Suppose you are the 7th person in this line. You look back and see the consumer who purchased the 1000th chicken. She triggered a slaughter of 1000 more chickens, but she wouldn’t have if you didn’t do your part. This was a team effort. You could have chosen not to make your own contribution, which causally is no different from hers, but you didn’t and so you share equal causal responsibility </w:t>
      </w:r>
      <w:r w:rsidRPr="00BA763E">
        <w:rPr>
          <w:rFonts w:ascii="Athelas Regular" w:hAnsi="Athelas Regular"/>
        </w:rPr>
        <w:lastRenderedPageBreak/>
        <w:t>for the deaths just as you would if the whole lot of you grabbed a rope and pulled a very heavy cage filled with these chickens over the side of a cliff.</w:t>
      </w:r>
    </w:p>
    <w:p w14:paraId="00E5DEB9" w14:textId="77777777" w:rsidR="00B90D2A" w:rsidRPr="00BA763E" w:rsidRDefault="00B90D2A" w:rsidP="00B90D2A">
      <w:pPr>
        <w:spacing w:line="480" w:lineRule="auto"/>
        <w:rPr>
          <w:rFonts w:ascii="Athelas Regular" w:hAnsi="Athelas Regular"/>
        </w:rPr>
      </w:pPr>
      <w:r w:rsidRPr="00BA763E">
        <w:rPr>
          <w:rFonts w:ascii="Athelas Regular" w:hAnsi="Athelas Regular"/>
        </w:rPr>
        <w:tab/>
        <w:t xml:space="preserve">Suppose, however, that you look back down the line and the people after you and it just so happens that nobody bought the threshold chicken. As a matter of luck you aren’t part of a unit that worked together to kill off 1000 chickens. Maybe the factory closed its shutters or the grocery store burned to the ground. If you think you are under an obligation not to impose risk, this just shows that your actions didn’t harm, not that you didn’t commit a wrong. Compare this case to the case where you play a round of Russian roulette and live to tell the tale. No harm came of what you did, but you shouldn’t have done it. Moreover, let’s not forget that the scope of your obligation concerning animals can be quite broad. Your financial support sustains the agribusiness outfits that produced your chicken. Even if your previous supplier closes shop, your financial support sends signals to other producers who compete for your business. If we focus on just the factories that you buy from, we lose sight of this. </w:t>
      </w:r>
    </w:p>
    <w:p w14:paraId="0D9E160F" w14:textId="77777777" w:rsidR="00B90D2A" w:rsidRPr="00BA763E" w:rsidRDefault="00B90D2A" w:rsidP="0004358E">
      <w:pPr>
        <w:spacing w:line="480" w:lineRule="auto"/>
        <w:ind w:firstLine="720"/>
        <w:rPr>
          <w:rFonts w:ascii="Athelas Regular" w:hAnsi="Athelas Regular"/>
        </w:rPr>
      </w:pPr>
      <w:r w:rsidRPr="00BA763E">
        <w:rPr>
          <w:rFonts w:ascii="Athelas Regular" w:hAnsi="Athelas Regular"/>
        </w:rPr>
        <w:t xml:space="preserve">We also shouldn’t lose sight of the fact that your behavior as a consumer helps to perpetuate the idea that it’s acceptable for people to treat moral patients as resources to be used for making a profit with little regard to their welfare. Their behavior can be modified by public sentiment, but your buying behavior doesn’t just encourage the further slaughter of animals, it helps to shield them from the moral judgments that could be efficacious in reforming their practices if only more people like you saw the light. Here’s a conjecture: if a critical mass of people came to believe that it’s morally repugnant for people to profit from an industry that causes widespread animal suffering, there would be fewer people who felt free to invest in it. If there were a social stigma attached to factory farming that’s akin to the social stigma that’s attached to, say, pornography or the exploitation of sweatshop labor, there would be fewer factory farms. Although you cannot choose whether there will be a critical </w:t>
      </w:r>
      <w:r w:rsidRPr="00BA763E">
        <w:rPr>
          <w:rFonts w:ascii="Athelas Regular" w:hAnsi="Athelas Regular"/>
        </w:rPr>
        <w:lastRenderedPageBreak/>
        <w:t>mass of condemnation that would influence the behavior of investors, you can directly determine whether you’ll be part of the critical mass that sustains a morally repugnant practice. As we’ve seen earlier, this is sufficient to show that you’re under some obligation to refrain because it means that you’re a part cause of a state that impedes a triggering event that results in a significant decrease in the amount of animal suffering.</w:t>
      </w:r>
      <w:r w:rsidRPr="00BA763E">
        <w:rPr>
          <w:rFonts w:ascii="Athelas Regular" w:hAnsi="Athelas Regular"/>
        </w:rPr>
        <w:tab/>
      </w:r>
    </w:p>
    <w:p w14:paraId="04C0EF6E" w14:textId="77777777" w:rsidR="00B90D2A" w:rsidRPr="00BA763E" w:rsidRDefault="00B90D2A" w:rsidP="00B90D2A">
      <w:pPr>
        <w:spacing w:line="480" w:lineRule="auto"/>
        <w:rPr>
          <w:rFonts w:ascii="Athelas Regular" w:hAnsi="Athelas Regular"/>
        </w:rPr>
      </w:pPr>
      <w:r w:rsidRPr="00BA763E">
        <w:rPr>
          <w:rFonts w:ascii="Athelas Regular" w:hAnsi="Athelas Regular"/>
        </w:rPr>
        <w:tab/>
        <w:t>Even if you are reasonably convinced that your own actions won’t help to alleviate animal suffering, there’s one further consideration to bear in mind. The ground of your obligation to refrain from eating animals has to do with animal suffering. The scope of your obligation can be quite broad. It needn’t be limited to an obligation to take steps to reduce animal suffering. It might require you to perform actions that have no causal connection to the welfare of any animals. If there are institutions or practices responsible for widespread suffering, you might be obligated to break all association with them even if doing so has no real causal impact on their operations. As social creatures, having a good social standing, one that’s free from sanction and blame, might itself be a good, a good that’s not appropriately enjoyed by those responsible for widespread death and suffering. If there were institutions responsible for the widespread death or the widespread abuse of children, for example, you wouldn’t think that it would be acceptable for you to continue with any sort of involvement with these institutions by investing in them, working for them, or purchasing their products. The fact that we’re comfortable sustaining connections with the institutions responsible for the widespread slaughter of moral patients suggests that we haven’t yet internalized the obvious consequences of the marginal cases argument.</w:t>
      </w:r>
      <w:r w:rsidRPr="00BA763E">
        <w:rPr>
          <w:rStyle w:val="EndnoteReference"/>
          <w:rFonts w:ascii="Athelas Regular" w:hAnsi="Athelas Regular"/>
        </w:rPr>
        <w:endnoteReference w:id="17"/>
      </w:r>
    </w:p>
    <w:p w14:paraId="493CA64A" w14:textId="78715BDF" w:rsidR="00B90D2A" w:rsidRPr="00BA763E" w:rsidRDefault="000570D2" w:rsidP="00B90D2A">
      <w:pPr>
        <w:spacing w:line="480" w:lineRule="auto"/>
        <w:rPr>
          <w:rFonts w:ascii="Athelas Regular" w:hAnsi="Athelas Regular"/>
        </w:rPr>
      </w:pPr>
      <w:r w:rsidRPr="00BA763E">
        <w:rPr>
          <w:rFonts w:ascii="Athelas Regular" w:hAnsi="Athelas Regular"/>
        </w:rPr>
        <w:t xml:space="preserve"> </w:t>
      </w:r>
    </w:p>
    <w:p w14:paraId="36C45281" w14:textId="77777777" w:rsidR="00B90D2A" w:rsidRPr="00BA763E" w:rsidRDefault="00B90D2A" w:rsidP="00BA763E">
      <w:pPr>
        <w:spacing w:line="480" w:lineRule="auto"/>
        <w:outlineLvl w:val="0"/>
        <w:rPr>
          <w:rFonts w:ascii="Athelas Regular" w:hAnsi="Athelas Regular"/>
          <w:b/>
        </w:rPr>
      </w:pPr>
      <w:r w:rsidRPr="00BA763E">
        <w:rPr>
          <w:rFonts w:ascii="Athelas Regular" w:hAnsi="Athelas Regular"/>
          <w:b/>
        </w:rPr>
        <w:t>Notes</w:t>
      </w:r>
    </w:p>
    <w:sectPr w:rsidR="00B90D2A" w:rsidRPr="00BA763E" w:rsidSect="00B90D2A">
      <w:footerReference w:type="even" r:id="rId8"/>
      <w:footerReference w:type="default" r:id="rId9"/>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CE1A6" w14:textId="77777777" w:rsidR="0029580D" w:rsidRDefault="0029580D" w:rsidP="00FD6351"/>
  </w:endnote>
  <w:endnote w:type="continuationSeparator" w:id="0">
    <w:p w14:paraId="3B552752" w14:textId="77777777" w:rsidR="0029580D" w:rsidRDefault="0029580D" w:rsidP="00FD6351"/>
  </w:endnote>
  <w:endnote w:id="1">
    <w:p w14:paraId="14B5E79F" w14:textId="77777777" w:rsidR="00B90D2A" w:rsidRPr="00B90D2A" w:rsidRDefault="00B90D2A" w:rsidP="00B90D2A">
      <w:pPr>
        <w:pStyle w:val="EndnoteText"/>
        <w:spacing w:line="480" w:lineRule="auto"/>
        <w:jc w:val="both"/>
        <w:rPr>
          <w:rFonts w:ascii="Times New Roman" w:hAnsi="Times New Roman"/>
          <w:sz w:val="24"/>
        </w:rPr>
      </w:pPr>
      <w:r w:rsidRPr="00B90D2A">
        <w:rPr>
          <w:rStyle w:val="EndnoteReference"/>
          <w:rFonts w:ascii="Times New Roman" w:hAnsi="Times New Roman"/>
          <w:sz w:val="24"/>
        </w:rPr>
        <w:endnoteRef/>
      </w:r>
      <w:r w:rsidRPr="00B90D2A">
        <w:rPr>
          <w:rFonts w:ascii="Times New Roman" w:hAnsi="Times New Roman"/>
          <w:sz w:val="24"/>
        </w:rPr>
        <w:t xml:space="preserve"> See Singer (1993) for an early discussion of the argument.</w:t>
      </w:r>
    </w:p>
  </w:endnote>
  <w:endnote w:id="2">
    <w:p w14:paraId="21836CD8" w14:textId="77777777" w:rsidR="00B90D2A" w:rsidRPr="00B90D2A" w:rsidRDefault="00B90D2A" w:rsidP="00B90D2A">
      <w:pPr>
        <w:pStyle w:val="EndnoteText"/>
        <w:spacing w:line="480" w:lineRule="auto"/>
        <w:jc w:val="both"/>
        <w:rPr>
          <w:rFonts w:ascii="Times New Roman" w:hAnsi="Times New Roman"/>
          <w:sz w:val="24"/>
        </w:rPr>
      </w:pPr>
      <w:r w:rsidRPr="00B90D2A">
        <w:rPr>
          <w:rStyle w:val="EndnoteReference"/>
          <w:rFonts w:ascii="Times New Roman" w:hAnsi="Times New Roman"/>
          <w:sz w:val="24"/>
        </w:rPr>
        <w:endnoteRef/>
      </w:r>
      <w:r w:rsidRPr="00B90D2A">
        <w:rPr>
          <w:rFonts w:ascii="Times New Roman" w:hAnsi="Times New Roman"/>
          <w:sz w:val="24"/>
        </w:rPr>
        <w:t xml:space="preserve"> See Kazez (2010) and Norcross (2004) for discussion of objections to the marginal cases argument.</w:t>
      </w:r>
    </w:p>
  </w:endnote>
  <w:endnote w:id="3">
    <w:p w14:paraId="49F36925" w14:textId="77777777" w:rsidR="00B90D2A" w:rsidRPr="00B90D2A" w:rsidRDefault="00B90D2A" w:rsidP="00B90D2A">
      <w:pPr>
        <w:pStyle w:val="EndnoteText"/>
        <w:spacing w:line="480" w:lineRule="auto"/>
        <w:jc w:val="both"/>
        <w:rPr>
          <w:rFonts w:ascii="Times New Roman" w:hAnsi="Times New Roman"/>
          <w:sz w:val="24"/>
        </w:rPr>
      </w:pPr>
      <w:r w:rsidRPr="00B90D2A">
        <w:rPr>
          <w:rStyle w:val="EndnoteReference"/>
          <w:rFonts w:ascii="Times New Roman" w:hAnsi="Times New Roman"/>
          <w:sz w:val="24"/>
        </w:rPr>
        <w:endnoteRef/>
      </w:r>
      <w:r w:rsidRPr="00B90D2A">
        <w:rPr>
          <w:rFonts w:ascii="Times New Roman" w:hAnsi="Times New Roman"/>
          <w:sz w:val="24"/>
        </w:rPr>
        <w:t xml:space="preserve"> Assuming, of course, that chickens and the relevant fish are sentient. For further discussion of deprivation and desire-based accounts of </w:t>
      </w:r>
      <w:proofErr w:type="gramStart"/>
      <w:r w:rsidRPr="00B90D2A">
        <w:rPr>
          <w:rFonts w:ascii="Times New Roman" w:hAnsi="Times New Roman"/>
          <w:sz w:val="24"/>
        </w:rPr>
        <w:t>well-being</w:t>
      </w:r>
      <w:proofErr w:type="gramEnd"/>
      <w:r w:rsidRPr="00B90D2A">
        <w:rPr>
          <w:rFonts w:ascii="Times New Roman" w:hAnsi="Times New Roman"/>
          <w:sz w:val="24"/>
        </w:rPr>
        <w:t>, see Bradley (2009).</w:t>
      </w:r>
    </w:p>
  </w:endnote>
  <w:endnote w:id="4">
    <w:p w14:paraId="1A157FA5" w14:textId="77777777" w:rsidR="00B90D2A" w:rsidRPr="00B90D2A" w:rsidRDefault="00B90D2A" w:rsidP="00B90D2A">
      <w:pPr>
        <w:pStyle w:val="EndnoteText"/>
        <w:spacing w:line="480" w:lineRule="auto"/>
        <w:jc w:val="both"/>
        <w:rPr>
          <w:rFonts w:ascii="Times New Roman" w:hAnsi="Times New Roman"/>
          <w:sz w:val="24"/>
        </w:rPr>
      </w:pPr>
      <w:r w:rsidRPr="00B90D2A">
        <w:rPr>
          <w:rStyle w:val="EndnoteReference"/>
          <w:rFonts w:ascii="Times New Roman" w:hAnsi="Times New Roman"/>
          <w:sz w:val="24"/>
        </w:rPr>
        <w:endnoteRef/>
      </w:r>
      <w:r w:rsidRPr="00B90D2A">
        <w:rPr>
          <w:rFonts w:ascii="Times New Roman" w:hAnsi="Times New Roman"/>
          <w:sz w:val="24"/>
        </w:rPr>
        <w:t xml:space="preserve"> It’s an interesting question whether non-culpable ignorance of the fact that sentience is sufficient for moral status can subvert obligation or exculpate.</w:t>
      </w:r>
      <w:r>
        <w:rPr>
          <w:rFonts w:ascii="Times New Roman" w:hAnsi="Times New Roman"/>
          <w:sz w:val="24"/>
        </w:rPr>
        <w:t xml:space="preserve"> </w:t>
      </w:r>
      <w:proofErr w:type="gramStart"/>
      <w:r w:rsidRPr="00B90D2A">
        <w:rPr>
          <w:rFonts w:ascii="Times New Roman" w:hAnsi="Times New Roman"/>
          <w:sz w:val="24"/>
        </w:rPr>
        <w:t>For arguments that it cannot, see Arpaly (2004), Harman (2011), and Littlejohn (2014).</w:t>
      </w:r>
      <w:proofErr w:type="gramEnd"/>
      <w:r>
        <w:rPr>
          <w:rFonts w:ascii="Times New Roman" w:hAnsi="Times New Roman"/>
          <w:sz w:val="24"/>
        </w:rPr>
        <w:t xml:space="preserve"> </w:t>
      </w:r>
      <w:proofErr w:type="gramStart"/>
      <w:r w:rsidRPr="00B90D2A">
        <w:rPr>
          <w:rFonts w:ascii="Times New Roman" w:hAnsi="Times New Roman"/>
          <w:sz w:val="24"/>
        </w:rPr>
        <w:t>For arguments that it can, see Zimmerman (2008).</w:t>
      </w:r>
      <w:proofErr w:type="gramEnd"/>
      <w:r w:rsidRPr="00B90D2A">
        <w:rPr>
          <w:rFonts w:ascii="Times New Roman" w:hAnsi="Times New Roman"/>
          <w:sz w:val="24"/>
        </w:rPr>
        <w:t xml:space="preserve"> </w:t>
      </w:r>
    </w:p>
  </w:endnote>
  <w:endnote w:id="5">
    <w:p w14:paraId="45CE9031" w14:textId="77777777" w:rsidR="00B90D2A" w:rsidRPr="00B90D2A" w:rsidRDefault="00B90D2A" w:rsidP="00B90D2A">
      <w:pPr>
        <w:pStyle w:val="EndnoteText"/>
        <w:spacing w:line="480" w:lineRule="auto"/>
        <w:jc w:val="both"/>
        <w:rPr>
          <w:rFonts w:ascii="Times New Roman" w:hAnsi="Times New Roman"/>
          <w:sz w:val="24"/>
        </w:rPr>
      </w:pPr>
      <w:r w:rsidRPr="00B90D2A">
        <w:rPr>
          <w:rStyle w:val="EndnoteReference"/>
          <w:rFonts w:ascii="Times New Roman" w:hAnsi="Times New Roman"/>
          <w:sz w:val="24"/>
        </w:rPr>
        <w:endnoteRef/>
      </w:r>
      <w:r w:rsidRPr="00B90D2A">
        <w:rPr>
          <w:rFonts w:ascii="Times New Roman" w:hAnsi="Times New Roman"/>
          <w:sz w:val="24"/>
        </w:rPr>
        <w:t xml:space="preserve"> This kind of distinction is crucial for understanding Thomson’s (1971) defense of abortion and nicely explains why the austere </w:t>
      </w:r>
      <w:proofErr w:type="gramStart"/>
      <w:r w:rsidRPr="00B90D2A">
        <w:rPr>
          <w:rFonts w:ascii="Times New Roman" w:hAnsi="Times New Roman"/>
          <w:sz w:val="24"/>
        </w:rPr>
        <w:t>basis that Marquis (1989) tries to argue from don’t</w:t>
      </w:r>
      <w:proofErr w:type="gramEnd"/>
      <w:r w:rsidRPr="00B90D2A">
        <w:rPr>
          <w:rFonts w:ascii="Times New Roman" w:hAnsi="Times New Roman"/>
          <w:sz w:val="24"/>
        </w:rPr>
        <w:t xml:space="preserve"> support his conclusions about abortion.</w:t>
      </w:r>
      <w:r>
        <w:rPr>
          <w:rFonts w:ascii="Times New Roman" w:hAnsi="Times New Roman"/>
          <w:sz w:val="24"/>
        </w:rPr>
        <w:t xml:space="preserve"> </w:t>
      </w:r>
    </w:p>
  </w:endnote>
  <w:endnote w:id="6">
    <w:p w14:paraId="207E8AEF" w14:textId="77777777" w:rsidR="00B90D2A" w:rsidRPr="00B90D2A" w:rsidRDefault="00B90D2A" w:rsidP="00B90D2A">
      <w:pPr>
        <w:pStyle w:val="EndnoteText"/>
        <w:spacing w:line="480" w:lineRule="auto"/>
        <w:jc w:val="both"/>
        <w:rPr>
          <w:rFonts w:ascii="Times New Roman" w:hAnsi="Times New Roman"/>
          <w:sz w:val="24"/>
        </w:rPr>
      </w:pPr>
      <w:r w:rsidRPr="00B90D2A">
        <w:rPr>
          <w:rStyle w:val="EndnoteReference"/>
          <w:rFonts w:ascii="Times New Roman" w:hAnsi="Times New Roman"/>
          <w:sz w:val="24"/>
        </w:rPr>
        <w:endnoteRef/>
      </w:r>
      <w:r w:rsidRPr="00B90D2A">
        <w:rPr>
          <w:rFonts w:ascii="Times New Roman" w:hAnsi="Times New Roman"/>
          <w:sz w:val="24"/>
        </w:rPr>
        <w:t xml:space="preserve"> For the purposes of the example, I’m assuming that if there’s an individual that has some positive level of well-being (e.g., a sentient planarian that results from splitting Priscilla into two pieces) we can say that this individual would have been harmed if we had done something that resulted in a situation in which it isn’t true that that individual exists and enjoys at least as much well-being.</w:t>
      </w:r>
      <w:r>
        <w:rPr>
          <w:rFonts w:ascii="Times New Roman" w:hAnsi="Times New Roman"/>
          <w:sz w:val="24"/>
        </w:rPr>
        <w:t xml:space="preserve"> </w:t>
      </w:r>
      <w:r w:rsidRPr="00B90D2A">
        <w:rPr>
          <w:rFonts w:ascii="Times New Roman" w:hAnsi="Times New Roman"/>
          <w:sz w:val="24"/>
        </w:rPr>
        <w:t>I appreciate that this is controversial, but I don’t think anything I defend here turns on this. The example is a helpful reminder of the gap between deprivations and wrongs. See Kamm (2005) for further discussion of this point in connection with recent debates about the use of embryos in medical research.</w:t>
      </w:r>
    </w:p>
  </w:endnote>
  <w:endnote w:id="7">
    <w:p w14:paraId="31A4B237" w14:textId="77777777" w:rsidR="00B90D2A" w:rsidRPr="00B90D2A" w:rsidRDefault="00B90D2A" w:rsidP="00B90D2A">
      <w:pPr>
        <w:pStyle w:val="EndnoteText"/>
        <w:spacing w:line="480" w:lineRule="auto"/>
        <w:jc w:val="both"/>
        <w:rPr>
          <w:rFonts w:ascii="Times New Roman" w:hAnsi="Times New Roman"/>
          <w:sz w:val="24"/>
        </w:rPr>
      </w:pPr>
      <w:r w:rsidRPr="00B90D2A">
        <w:rPr>
          <w:rStyle w:val="EndnoteReference"/>
          <w:rFonts w:ascii="Times New Roman" w:hAnsi="Times New Roman"/>
          <w:sz w:val="24"/>
        </w:rPr>
        <w:endnoteRef/>
      </w:r>
      <w:r w:rsidRPr="00B90D2A">
        <w:rPr>
          <w:rFonts w:ascii="Times New Roman" w:hAnsi="Times New Roman"/>
          <w:sz w:val="24"/>
        </w:rPr>
        <w:t xml:space="preserve"> See Carlson (1995: 10).</w:t>
      </w:r>
    </w:p>
  </w:endnote>
  <w:endnote w:id="8">
    <w:p w14:paraId="1655B516" w14:textId="77777777" w:rsidR="00B90D2A" w:rsidRPr="00B90D2A" w:rsidRDefault="00B90D2A" w:rsidP="00B90D2A">
      <w:pPr>
        <w:spacing w:line="480" w:lineRule="auto"/>
        <w:jc w:val="both"/>
        <w:rPr>
          <w:rFonts w:ascii="Times New Roman" w:hAnsi="Times New Roman"/>
        </w:rPr>
      </w:pPr>
      <w:r w:rsidRPr="00B90D2A">
        <w:rPr>
          <w:rStyle w:val="EndnoteReference"/>
          <w:rFonts w:ascii="Times New Roman" w:hAnsi="Times New Roman"/>
        </w:rPr>
        <w:endnoteRef/>
      </w:r>
      <w:r w:rsidRPr="00B90D2A">
        <w:rPr>
          <w:rFonts w:ascii="Times New Roman" w:hAnsi="Times New Roman"/>
        </w:rPr>
        <w:t xml:space="preserve"> Gardner (2007: 72) dubs this kind of argument the ‘arms dealer’ argument.</w:t>
      </w:r>
      <w:r>
        <w:rPr>
          <w:rFonts w:ascii="Times New Roman" w:hAnsi="Times New Roman"/>
        </w:rPr>
        <w:t xml:space="preserve"> </w:t>
      </w:r>
    </w:p>
  </w:endnote>
  <w:endnote w:id="9">
    <w:p w14:paraId="7110BCF2" w14:textId="77777777" w:rsidR="00B90D2A" w:rsidRPr="00B90D2A" w:rsidRDefault="00B90D2A" w:rsidP="00B90D2A">
      <w:pPr>
        <w:pStyle w:val="EndnoteText"/>
        <w:spacing w:line="480" w:lineRule="auto"/>
        <w:jc w:val="both"/>
        <w:rPr>
          <w:rFonts w:ascii="Times New Roman" w:hAnsi="Times New Roman"/>
          <w:sz w:val="24"/>
        </w:rPr>
      </w:pPr>
      <w:r w:rsidRPr="00B90D2A">
        <w:rPr>
          <w:rStyle w:val="EndnoteReference"/>
          <w:rFonts w:ascii="Times New Roman" w:hAnsi="Times New Roman"/>
          <w:sz w:val="24"/>
        </w:rPr>
        <w:endnoteRef/>
      </w:r>
      <w:r w:rsidRPr="00B90D2A">
        <w:rPr>
          <w:rFonts w:ascii="Times New Roman" w:hAnsi="Times New Roman"/>
          <w:sz w:val="24"/>
        </w:rPr>
        <w:t xml:space="preserve"> See Ross (1930). Dancy (1998) provides a helpful discussion of the differences between Ross’ understanding of harm and the duty of non-maleficence and the consequentialist understanding of the duty.</w:t>
      </w:r>
    </w:p>
  </w:endnote>
  <w:endnote w:id="10">
    <w:p w14:paraId="2A2D7358" w14:textId="77777777" w:rsidR="00B90D2A" w:rsidRPr="00B90D2A" w:rsidRDefault="00B90D2A" w:rsidP="00B90D2A">
      <w:pPr>
        <w:pStyle w:val="EndnoteText"/>
        <w:spacing w:line="480" w:lineRule="auto"/>
        <w:jc w:val="both"/>
        <w:rPr>
          <w:rFonts w:ascii="Times New Roman" w:hAnsi="Times New Roman"/>
          <w:sz w:val="24"/>
        </w:rPr>
      </w:pPr>
      <w:r w:rsidRPr="00B90D2A">
        <w:rPr>
          <w:rStyle w:val="EndnoteReference"/>
          <w:rFonts w:ascii="Times New Roman" w:hAnsi="Times New Roman"/>
          <w:sz w:val="24"/>
        </w:rPr>
        <w:endnoteRef/>
      </w:r>
      <w:r w:rsidRPr="00B90D2A">
        <w:rPr>
          <w:rFonts w:ascii="Times New Roman" w:hAnsi="Times New Roman"/>
          <w:sz w:val="24"/>
        </w:rPr>
        <w:t xml:space="preserve"> There are non-comparative accounts of harm to consider.</w:t>
      </w:r>
      <w:r>
        <w:rPr>
          <w:rFonts w:ascii="Times New Roman" w:hAnsi="Times New Roman"/>
          <w:sz w:val="24"/>
        </w:rPr>
        <w:t xml:space="preserve"> </w:t>
      </w:r>
      <w:r w:rsidRPr="00B90D2A">
        <w:rPr>
          <w:rFonts w:ascii="Times New Roman" w:hAnsi="Times New Roman"/>
          <w:sz w:val="24"/>
        </w:rPr>
        <w:t>See Harman (2009) for a helpful discussion of these approaches. While I think her approach is intuitively quite plausible, I don’t think we have to accept a non-comparative account to deal with this particular objection.</w:t>
      </w:r>
    </w:p>
  </w:endnote>
  <w:endnote w:id="11">
    <w:p w14:paraId="2CAED24F" w14:textId="77777777" w:rsidR="00B90D2A" w:rsidRPr="00B90D2A" w:rsidRDefault="00B90D2A" w:rsidP="00B90D2A">
      <w:pPr>
        <w:pStyle w:val="EndnoteText"/>
        <w:spacing w:line="480" w:lineRule="auto"/>
        <w:jc w:val="both"/>
        <w:rPr>
          <w:rFonts w:ascii="Times New Roman" w:hAnsi="Times New Roman"/>
          <w:sz w:val="24"/>
        </w:rPr>
      </w:pPr>
      <w:r w:rsidRPr="00B90D2A">
        <w:rPr>
          <w:rStyle w:val="EndnoteReference"/>
          <w:rFonts w:ascii="Times New Roman" w:hAnsi="Times New Roman"/>
          <w:sz w:val="24"/>
        </w:rPr>
        <w:endnoteRef/>
      </w:r>
      <w:r w:rsidRPr="00B90D2A">
        <w:rPr>
          <w:rFonts w:ascii="Times New Roman" w:hAnsi="Times New Roman"/>
          <w:sz w:val="24"/>
        </w:rPr>
        <w:t xml:space="preserve"> See Bradley (2009) for a defense.</w:t>
      </w:r>
    </w:p>
  </w:endnote>
  <w:endnote w:id="12">
    <w:p w14:paraId="49C6E449" w14:textId="77777777" w:rsidR="00B90D2A" w:rsidRPr="00B90D2A" w:rsidRDefault="00B90D2A" w:rsidP="00B90D2A">
      <w:pPr>
        <w:pStyle w:val="EndnoteText"/>
        <w:spacing w:line="480" w:lineRule="auto"/>
        <w:rPr>
          <w:rFonts w:ascii="Times New Roman" w:hAnsi="Times New Roman"/>
          <w:sz w:val="24"/>
        </w:rPr>
      </w:pPr>
      <w:r w:rsidRPr="00B90D2A">
        <w:rPr>
          <w:rStyle w:val="EndnoteReference"/>
          <w:rFonts w:ascii="Times New Roman" w:hAnsi="Times New Roman"/>
          <w:sz w:val="24"/>
        </w:rPr>
        <w:endnoteRef/>
      </w:r>
      <w:r w:rsidRPr="00B90D2A">
        <w:rPr>
          <w:rFonts w:ascii="Times New Roman" w:hAnsi="Times New Roman"/>
          <w:sz w:val="24"/>
        </w:rPr>
        <w:t xml:space="preserve"> This is Bradley’s (2009) notion of a </w:t>
      </w:r>
      <w:r w:rsidRPr="00B90D2A">
        <w:rPr>
          <w:rFonts w:ascii="Times New Roman" w:hAnsi="Times New Roman"/>
          <w:i/>
          <w:sz w:val="24"/>
        </w:rPr>
        <w:t>prima facie</w:t>
      </w:r>
      <w:r w:rsidRPr="00B90D2A">
        <w:rPr>
          <w:rFonts w:ascii="Times New Roman" w:hAnsi="Times New Roman"/>
          <w:sz w:val="24"/>
        </w:rPr>
        <w:t xml:space="preserve"> harm.</w:t>
      </w:r>
      <w:r>
        <w:rPr>
          <w:rFonts w:ascii="Times New Roman" w:hAnsi="Times New Roman"/>
          <w:sz w:val="24"/>
        </w:rPr>
        <w:t xml:space="preserve"> </w:t>
      </w:r>
      <w:r w:rsidRPr="00B90D2A">
        <w:rPr>
          <w:rFonts w:ascii="Times New Roman" w:hAnsi="Times New Roman"/>
          <w:sz w:val="24"/>
        </w:rPr>
        <w:t xml:space="preserve">A complete account of harm should say something about </w:t>
      </w:r>
      <w:r w:rsidRPr="00B90D2A">
        <w:rPr>
          <w:rFonts w:ascii="Times New Roman" w:hAnsi="Times New Roman"/>
          <w:i/>
          <w:sz w:val="24"/>
        </w:rPr>
        <w:t>preventions</w:t>
      </w:r>
      <w:r w:rsidRPr="00B90D2A">
        <w:rPr>
          <w:rFonts w:ascii="Times New Roman" w:hAnsi="Times New Roman"/>
          <w:sz w:val="24"/>
        </w:rPr>
        <w:t xml:space="preserve"> whereas the account that I’ve offered above doesn’t.</w:t>
      </w:r>
      <w:r>
        <w:rPr>
          <w:rFonts w:ascii="Times New Roman" w:hAnsi="Times New Roman"/>
          <w:sz w:val="24"/>
        </w:rPr>
        <w:t xml:space="preserve"> </w:t>
      </w:r>
      <w:r w:rsidRPr="00B90D2A">
        <w:rPr>
          <w:rFonts w:ascii="Times New Roman" w:hAnsi="Times New Roman"/>
          <w:sz w:val="24"/>
        </w:rPr>
        <w:t>We should compare the goods that an occurrence prevents to the goods that the non-occurrence would have prevented.</w:t>
      </w:r>
      <w:r>
        <w:rPr>
          <w:rFonts w:ascii="Times New Roman" w:hAnsi="Times New Roman"/>
          <w:sz w:val="24"/>
        </w:rPr>
        <w:t xml:space="preserve"> </w:t>
      </w:r>
      <w:r w:rsidRPr="00B90D2A">
        <w:rPr>
          <w:rFonts w:ascii="Times New Roman" w:hAnsi="Times New Roman"/>
          <w:sz w:val="24"/>
        </w:rPr>
        <w:t>That’s unwieldy, however, so I’ve simplified the account above accordingly.</w:t>
      </w:r>
    </w:p>
  </w:endnote>
  <w:endnote w:id="13">
    <w:p w14:paraId="6E309836" w14:textId="77777777" w:rsidR="00B90D2A" w:rsidRPr="00B90D2A" w:rsidRDefault="00B90D2A" w:rsidP="00B90D2A">
      <w:pPr>
        <w:pStyle w:val="EndnoteText"/>
        <w:spacing w:line="480" w:lineRule="auto"/>
        <w:jc w:val="both"/>
        <w:rPr>
          <w:rFonts w:ascii="Times New Roman" w:hAnsi="Times New Roman"/>
          <w:sz w:val="24"/>
        </w:rPr>
      </w:pPr>
      <w:r w:rsidRPr="00B90D2A">
        <w:rPr>
          <w:rStyle w:val="EndnoteReference"/>
          <w:rFonts w:ascii="Times New Roman" w:hAnsi="Times New Roman"/>
          <w:sz w:val="24"/>
        </w:rPr>
        <w:endnoteRef/>
      </w:r>
      <w:r w:rsidRPr="00B90D2A">
        <w:rPr>
          <w:rFonts w:ascii="Times New Roman" w:hAnsi="Times New Roman"/>
          <w:sz w:val="24"/>
        </w:rPr>
        <w:t xml:space="preserve"> The modified comparative account of harm applies some ideas of Sartorio’s (2005, MS) about causation and responsibility to deal with problems for comparative accounts of harm.</w:t>
      </w:r>
      <w:r>
        <w:rPr>
          <w:rFonts w:ascii="Times New Roman" w:hAnsi="Times New Roman"/>
          <w:sz w:val="24"/>
        </w:rPr>
        <w:t xml:space="preserve"> </w:t>
      </w:r>
      <w:r w:rsidRPr="00B90D2A">
        <w:rPr>
          <w:rFonts w:ascii="Times New Roman" w:hAnsi="Times New Roman"/>
          <w:sz w:val="24"/>
        </w:rPr>
        <w:t xml:space="preserve"> To my knowledge, she hasn’t tried to use her account of causation and </w:t>
      </w:r>
      <w:proofErr w:type="gramStart"/>
      <w:r w:rsidRPr="00B90D2A">
        <w:rPr>
          <w:rFonts w:ascii="Times New Roman" w:hAnsi="Times New Roman"/>
          <w:sz w:val="24"/>
        </w:rPr>
        <w:t>difference-making</w:t>
      </w:r>
      <w:proofErr w:type="gramEnd"/>
      <w:r w:rsidRPr="00B90D2A">
        <w:rPr>
          <w:rFonts w:ascii="Times New Roman" w:hAnsi="Times New Roman"/>
          <w:sz w:val="24"/>
        </w:rPr>
        <w:t xml:space="preserve"> to deal with problems that arise for the counterfactual comparison account, but it seems like a natural application. If it’s helpful, credit clearly goes to her. If it isn’t, credit will have to fall to me.</w:t>
      </w:r>
      <w:r>
        <w:rPr>
          <w:rFonts w:ascii="Times New Roman" w:hAnsi="Times New Roman"/>
          <w:sz w:val="24"/>
        </w:rPr>
        <w:t xml:space="preserve"> </w:t>
      </w:r>
      <w:r w:rsidRPr="00B90D2A">
        <w:rPr>
          <w:rFonts w:ascii="Times New Roman" w:hAnsi="Times New Roman"/>
          <w:sz w:val="24"/>
        </w:rPr>
        <w:t>For a critical discussion of Sartorio’s approach, see Driver (2007).</w:t>
      </w:r>
    </w:p>
  </w:endnote>
  <w:endnote w:id="14">
    <w:p w14:paraId="594C4BB2" w14:textId="77777777" w:rsidR="00B90D2A" w:rsidRPr="00B90D2A" w:rsidRDefault="00B90D2A" w:rsidP="00B90D2A">
      <w:pPr>
        <w:pStyle w:val="EndnoteText"/>
        <w:spacing w:line="480" w:lineRule="auto"/>
        <w:rPr>
          <w:rFonts w:ascii="Times New Roman" w:hAnsi="Times New Roman"/>
          <w:sz w:val="24"/>
        </w:rPr>
      </w:pPr>
      <w:r w:rsidRPr="00B90D2A">
        <w:rPr>
          <w:rStyle w:val="EndnoteReference"/>
          <w:rFonts w:ascii="Times New Roman" w:hAnsi="Times New Roman"/>
          <w:sz w:val="24"/>
        </w:rPr>
        <w:endnoteRef/>
      </w:r>
      <w:r w:rsidRPr="00B90D2A">
        <w:rPr>
          <w:rFonts w:ascii="Times New Roman" w:hAnsi="Times New Roman"/>
          <w:sz w:val="24"/>
        </w:rPr>
        <w:t xml:space="preserve"> Thanks to Ben Bramble for raising a version of this objection.</w:t>
      </w:r>
    </w:p>
  </w:endnote>
  <w:endnote w:id="15">
    <w:p w14:paraId="5F00E412" w14:textId="77777777" w:rsidR="00B90D2A" w:rsidRPr="00B90D2A" w:rsidRDefault="00B90D2A" w:rsidP="00B90D2A">
      <w:pPr>
        <w:pStyle w:val="EndnoteText"/>
        <w:spacing w:line="480" w:lineRule="auto"/>
        <w:jc w:val="both"/>
        <w:rPr>
          <w:rFonts w:ascii="Times New Roman" w:hAnsi="Times New Roman"/>
          <w:sz w:val="24"/>
        </w:rPr>
      </w:pPr>
      <w:r w:rsidRPr="00B90D2A">
        <w:rPr>
          <w:rStyle w:val="EndnoteReference"/>
          <w:rFonts w:ascii="Times New Roman" w:hAnsi="Times New Roman"/>
          <w:sz w:val="24"/>
        </w:rPr>
        <w:endnoteRef/>
      </w:r>
      <w:r w:rsidRPr="00B90D2A">
        <w:rPr>
          <w:rFonts w:ascii="Times New Roman" w:hAnsi="Times New Roman"/>
          <w:sz w:val="24"/>
        </w:rPr>
        <w:t xml:space="preserve"> I believe this response first appears in Almeida and Bernstein (2000).</w:t>
      </w:r>
      <w:r>
        <w:rPr>
          <w:rFonts w:ascii="Times New Roman" w:hAnsi="Times New Roman"/>
          <w:sz w:val="24"/>
        </w:rPr>
        <w:t xml:space="preserve"> </w:t>
      </w:r>
      <w:r w:rsidRPr="00B90D2A">
        <w:rPr>
          <w:rFonts w:ascii="Times New Roman" w:hAnsi="Times New Roman"/>
          <w:sz w:val="24"/>
        </w:rPr>
        <w:t>For further discussion of consequentialist responses to the threshold argument, see Almassi (2011), Chartier (2006), Harris and Galvin (2012), Matheny (2002), Norcross (2004), and Kagan (2011).</w:t>
      </w:r>
      <w:r>
        <w:rPr>
          <w:rFonts w:ascii="Times New Roman" w:hAnsi="Times New Roman"/>
          <w:sz w:val="24"/>
        </w:rPr>
        <w:t xml:space="preserve">  </w:t>
      </w:r>
    </w:p>
  </w:endnote>
  <w:endnote w:id="16">
    <w:p w14:paraId="403A82C5" w14:textId="77777777" w:rsidR="00B90D2A" w:rsidRPr="00B90D2A" w:rsidRDefault="00B90D2A" w:rsidP="00B90D2A">
      <w:pPr>
        <w:pStyle w:val="EndnoteText"/>
        <w:spacing w:line="480" w:lineRule="auto"/>
        <w:jc w:val="both"/>
        <w:rPr>
          <w:rFonts w:ascii="Times New Roman" w:hAnsi="Times New Roman"/>
          <w:sz w:val="24"/>
        </w:rPr>
      </w:pPr>
      <w:r w:rsidRPr="00B90D2A">
        <w:rPr>
          <w:rStyle w:val="EndnoteReference"/>
          <w:rFonts w:ascii="Times New Roman" w:hAnsi="Times New Roman"/>
          <w:sz w:val="24"/>
        </w:rPr>
        <w:endnoteRef/>
      </w:r>
      <w:r w:rsidRPr="00B90D2A">
        <w:rPr>
          <w:rFonts w:ascii="Times New Roman" w:hAnsi="Times New Roman"/>
          <w:sz w:val="24"/>
        </w:rPr>
        <w:t xml:space="preserve"> For arguments that overall obligation depends upon expected value rather than actual value, see Jackson (1991) and Zimmerman (2008). </w:t>
      </w:r>
    </w:p>
  </w:endnote>
  <w:endnote w:id="17">
    <w:p w14:paraId="1FB79F8D" w14:textId="77777777" w:rsidR="00B90D2A" w:rsidRDefault="00B90D2A" w:rsidP="00B90D2A">
      <w:pPr>
        <w:pStyle w:val="EndnoteText"/>
        <w:spacing w:line="480" w:lineRule="auto"/>
        <w:rPr>
          <w:rFonts w:ascii="Times New Roman" w:hAnsi="Times New Roman"/>
          <w:sz w:val="24"/>
        </w:rPr>
      </w:pPr>
      <w:r w:rsidRPr="00B90D2A">
        <w:rPr>
          <w:rStyle w:val="EndnoteReference"/>
          <w:rFonts w:ascii="Times New Roman" w:hAnsi="Times New Roman"/>
          <w:sz w:val="24"/>
        </w:rPr>
        <w:endnoteRef/>
      </w:r>
      <w:r w:rsidRPr="00B90D2A">
        <w:rPr>
          <w:rFonts w:ascii="Times New Roman" w:hAnsi="Times New Roman"/>
          <w:sz w:val="24"/>
        </w:rPr>
        <w:t xml:space="preserve"> I want to thank Ben Bramble and Bob Fischer for their helpful comments on an earlier draft of this paper.</w:t>
      </w:r>
      <w:r>
        <w:rPr>
          <w:rFonts w:ascii="Times New Roman" w:hAnsi="Times New Roman"/>
          <w:sz w:val="24"/>
        </w:rPr>
        <w:t xml:space="preserve"> </w:t>
      </w:r>
      <w:r w:rsidRPr="00B90D2A">
        <w:rPr>
          <w:rFonts w:ascii="Times New Roman" w:hAnsi="Times New Roman"/>
          <w:sz w:val="24"/>
        </w:rPr>
        <w:t>Thanks also to Matt Burstein, John Harris, Robert Howell, Alastair Norcross, and Amy Revier for disc</w:t>
      </w:r>
      <w:r>
        <w:rPr>
          <w:rFonts w:ascii="Times New Roman" w:hAnsi="Times New Roman"/>
          <w:sz w:val="24"/>
        </w:rPr>
        <w:t>ussing these issues with me.</w:t>
      </w:r>
    </w:p>
    <w:p w14:paraId="6270B1D9" w14:textId="77777777" w:rsidR="00B90D2A" w:rsidRDefault="00B90D2A" w:rsidP="00B90D2A">
      <w:pPr>
        <w:pStyle w:val="EndnoteText"/>
        <w:spacing w:line="480" w:lineRule="auto"/>
        <w:rPr>
          <w:rFonts w:ascii="Times New Roman" w:hAnsi="Times New Roman"/>
          <w:sz w:val="24"/>
        </w:rPr>
      </w:pPr>
    </w:p>
    <w:p w14:paraId="1863B291" w14:textId="77777777" w:rsidR="00B90D2A" w:rsidRDefault="00B90D2A" w:rsidP="00B90D2A">
      <w:pPr>
        <w:pStyle w:val="EndnoteText"/>
        <w:spacing w:line="480" w:lineRule="auto"/>
        <w:rPr>
          <w:rFonts w:ascii="Times New Roman" w:hAnsi="Times New Roman"/>
          <w:sz w:val="24"/>
        </w:rPr>
      </w:pPr>
    </w:p>
    <w:p w14:paraId="43C62B42" w14:textId="77777777" w:rsidR="00B90D2A" w:rsidRPr="00B90D2A" w:rsidRDefault="00B90D2A" w:rsidP="00553A15">
      <w:pPr>
        <w:spacing w:line="480" w:lineRule="auto"/>
        <w:ind w:left="720" w:hanging="720"/>
        <w:rPr>
          <w:rFonts w:ascii="Times New Roman" w:hAnsi="Times New Roman"/>
          <w:b/>
        </w:rPr>
      </w:pPr>
      <w:r w:rsidRPr="00B90D2A">
        <w:rPr>
          <w:rFonts w:ascii="Times New Roman" w:hAnsi="Times New Roman"/>
          <w:b/>
        </w:rPr>
        <w:t>References</w:t>
      </w:r>
    </w:p>
    <w:p w14:paraId="247660DD" w14:textId="77777777" w:rsidR="00B90D2A" w:rsidRPr="00B90D2A" w:rsidRDefault="00B90D2A" w:rsidP="00553A15">
      <w:pPr>
        <w:spacing w:line="480" w:lineRule="auto"/>
        <w:ind w:left="720" w:hanging="720"/>
        <w:rPr>
          <w:rFonts w:ascii="Times New Roman" w:hAnsi="Times New Roman"/>
        </w:rPr>
      </w:pPr>
      <w:proofErr w:type="gramStart"/>
      <w:r w:rsidRPr="00B90D2A">
        <w:rPr>
          <w:rFonts w:ascii="Times New Roman" w:hAnsi="Times New Roman"/>
        </w:rPr>
        <w:t>Almassi, B. 2011.</w:t>
      </w:r>
      <w:proofErr w:type="gramEnd"/>
      <w:r w:rsidRPr="00B90D2A">
        <w:rPr>
          <w:rFonts w:ascii="Times New Roman" w:hAnsi="Times New Roman"/>
        </w:rPr>
        <w:t xml:space="preserve"> The Consequences of Individual Consumption: A Defense of Threshold Arguments for Vegetarianism and Consumer Ethics.</w:t>
      </w:r>
      <w:r>
        <w:rPr>
          <w:rFonts w:ascii="Times New Roman" w:hAnsi="Times New Roman"/>
        </w:rPr>
        <w:t xml:space="preserve"> </w:t>
      </w:r>
      <w:r w:rsidRPr="00B90D2A">
        <w:rPr>
          <w:rFonts w:ascii="Times New Roman" w:hAnsi="Times New Roman"/>
          <w:i/>
        </w:rPr>
        <w:t xml:space="preserve">Journal of Applied Philosophy </w:t>
      </w:r>
      <w:r w:rsidRPr="00B90D2A">
        <w:rPr>
          <w:rFonts w:ascii="Times New Roman" w:hAnsi="Times New Roman"/>
        </w:rPr>
        <w:t>28: 396-411.</w:t>
      </w:r>
    </w:p>
    <w:p w14:paraId="6C6EC89D" w14:textId="77777777" w:rsidR="00B90D2A" w:rsidRPr="00B90D2A" w:rsidRDefault="00B90D2A" w:rsidP="00553A15">
      <w:pPr>
        <w:spacing w:line="480" w:lineRule="auto"/>
        <w:ind w:left="720" w:hanging="720"/>
        <w:rPr>
          <w:rFonts w:ascii="Times New Roman" w:hAnsi="Times New Roman"/>
        </w:rPr>
      </w:pPr>
      <w:proofErr w:type="gramStart"/>
      <w:r w:rsidRPr="00B90D2A">
        <w:rPr>
          <w:rFonts w:ascii="Times New Roman" w:hAnsi="Times New Roman"/>
        </w:rPr>
        <w:t>Almeida, M. and Bernstein, M. 2000.</w:t>
      </w:r>
      <w:proofErr w:type="gramEnd"/>
      <w:r w:rsidRPr="00B90D2A">
        <w:rPr>
          <w:rFonts w:ascii="Times New Roman" w:hAnsi="Times New Roman"/>
        </w:rPr>
        <w:t xml:space="preserve"> Opportunistic Carnivorism. </w:t>
      </w:r>
      <w:proofErr w:type="gramStart"/>
      <w:r w:rsidRPr="00B90D2A">
        <w:rPr>
          <w:rFonts w:ascii="Times New Roman" w:hAnsi="Times New Roman"/>
          <w:i/>
        </w:rPr>
        <w:t>Journal of Applied Philosophy</w:t>
      </w:r>
      <w:r w:rsidRPr="00B90D2A">
        <w:rPr>
          <w:rFonts w:ascii="Times New Roman" w:hAnsi="Times New Roman"/>
        </w:rPr>
        <w:t xml:space="preserve"> 17: 205–11.</w:t>
      </w:r>
      <w:proofErr w:type="gramEnd"/>
    </w:p>
    <w:p w14:paraId="71131011" w14:textId="77777777" w:rsidR="00B90D2A" w:rsidRPr="00B90D2A" w:rsidRDefault="00B90D2A" w:rsidP="00553A15">
      <w:pPr>
        <w:spacing w:line="480" w:lineRule="auto"/>
        <w:ind w:left="720" w:hanging="720"/>
        <w:rPr>
          <w:rFonts w:ascii="Times New Roman" w:eastAsia="Gentium Book Basic" w:hAnsi="Times New Roman" w:cs="Gentium Book Basic"/>
        </w:rPr>
      </w:pPr>
      <w:proofErr w:type="gramStart"/>
      <w:r w:rsidRPr="00B90D2A">
        <w:rPr>
          <w:rFonts w:ascii="Times New Roman" w:eastAsia="Gentium Book Basic" w:hAnsi="Times New Roman" w:cs="Gentium Book Basic"/>
        </w:rPr>
        <w:t>Arpaly, N. 2004.</w:t>
      </w:r>
      <w:proofErr w:type="gramEnd"/>
      <w:r>
        <w:rPr>
          <w:rFonts w:ascii="Times New Roman" w:eastAsia="Gentium Book Basic" w:hAnsi="Times New Roman" w:cs="Gentium Book Basic"/>
        </w:rPr>
        <w:t xml:space="preserve"> </w:t>
      </w:r>
      <w:r w:rsidRPr="00B90D2A">
        <w:rPr>
          <w:rFonts w:ascii="Times New Roman" w:eastAsia="Gentium Book Basic" w:hAnsi="Times New Roman" w:cs="Gentium Book Basic"/>
          <w:i/>
        </w:rPr>
        <w:t>Unprincipled Virtue</w:t>
      </w:r>
      <w:r w:rsidRPr="00B90D2A">
        <w:rPr>
          <w:rFonts w:ascii="Times New Roman" w:eastAsia="Gentium Book Basic" w:hAnsi="Times New Roman" w:cs="Gentium Book Basic"/>
        </w:rPr>
        <w:t xml:space="preserve">. </w:t>
      </w:r>
      <w:proofErr w:type="gramStart"/>
      <w:r w:rsidRPr="00B90D2A">
        <w:rPr>
          <w:rFonts w:ascii="Times New Roman" w:eastAsia="Gentium Book Basic" w:hAnsi="Times New Roman" w:cs="Gentium Book Basic"/>
        </w:rPr>
        <w:t>Oxford University Press.</w:t>
      </w:r>
      <w:proofErr w:type="gramEnd"/>
    </w:p>
    <w:p w14:paraId="035C3EB6" w14:textId="77777777" w:rsidR="00B90D2A" w:rsidRPr="00B90D2A" w:rsidRDefault="00B90D2A" w:rsidP="00553A15">
      <w:pPr>
        <w:spacing w:line="480" w:lineRule="auto"/>
        <w:ind w:left="720" w:hanging="720"/>
        <w:rPr>
          <w:rFonts w:ascii="Times New Roman" w:eastAsia="Gentium Book Basic" w:hAnsi="Times New Roman" w:cs="Gentium Book Basic"/>
        </w:rPr>
      </w:pPr>
      <w:r w:rsidRPr="00B90D2A">
        <w:rPr>
          <w:rFonts w:ascii="Times New Roman" w:hAnsi="Times New Roman"/>
        </w:rPr>
        <w:t xml:space="preserve">Bentham, J. 2010. </w:t>
      </w:r>
      <w:proofErr w:type="gramStart"/>
      <w:r w:rsidRPr="00B90D2A">
        <w:rPr>
          <w:rFonts w:ascii="Times New Roman" w:hAnsi="Times New Roman"/>
          <w:i/>
        </w:rPr>
        <w:t>The Principles of Morals and Legislation</w:t>
      </w:r>
      <w:r w:rsidRPr="00B90D2A">
        <w:rPr>
          <w:rFonts w:ascii="Times New Roman" w:hAnsi="Times New Roman"/>
        </w:rPr>
        <w:t>.</w:t>
      </w:r>
      <w:proofErr w:type="gramEnd"/>
      <w:r w:rsidRPr="00B90D2A">
        <w:rPr>
          <w:rFonts w:ascii="Times New Roman" w:hAnsi="Times New Roman"/>
        </w:rPr>
        <w:t xml:space="preserve"> Nabu Press.</w:t>
      </w:r>
    </w:p>
    <w:p w14:paraId="04DE7A34" w14:textId="77777777" w:rsidR="00B90D2A" w:rsidRPr="00B90D2A" w:rsidRDefault="00B90D2A" w:rsidP="00553A15">
      <w:pPr>
        <w:spacing w:line="480" w:lineRule="auto"/>
        <w:ind w:left="720" w:hanging="720"/>
        <w:rPr>
          <w:rFonts w:ascii="Times New Roman" w:hAnsi="Times New Roman"/>
        </w:rPr>
      </w:pPr>
      <w:proofErr w:type="gramStart"/>
      <w:r w:rsidRPr="00B90D2A">
        <w:rPr>
          <w:rFonts w:ascii="Times New Roman" w:hAnsi="Times New Roman"/>
        </w:rPr>
        <w:t>Bradley, B. 2009.</w:t>
      </w:r>
      <w:proofErr w:type="gramEnd"/>
      <w:r>
        <w:rPr>
          <w:rFonts w:ascii="Times New Roman" w:hAnsi="Times New Roman"/>
        </w:rPr>
        <w:t xml:space="preserve"> </w:t>
      </w:r>
      <w:proofErr w:type="gramStart"/>
      <w:r w:rsidRPr="00B90D2A">
        <w:rPr>
          <w:rFonts w:ascii="Times New Roman" w:hAnsi="Times New Roman"/>
          <w:i/>
        </w:rPr>
        <w:t>Well-Being and Death</w:t>
      </w:r>
      <w:r w:rsidRPr="00B90D2A">
        <w:rPr>
          <w:rFonts w:ascii="Times New Roman" w:hAnsi="Times New Roman"/>
        </w:rPr>
        <w:t>.</w:t>
      </w:r>
      <w:proofErr w:type="gramEnd"/>
      <w:r w:rsidRPr="00B90D2A">
        <w:rPr>
          <w:rFonts w:ascii="Times New Roman" w:hAnsi="Times New Roman"/>
        </w:rPr>
        <w:t xml:space="preserve"> </w:t>
      </w:r>
      <w:proofErr w:type="gramStart"/>
      <w:r w:rsidRPr="00B90D2A">
        <w:rPr>
          <w:rFonts w:ascii="Times New Roman" w:hAnsi="Times New Roman"/>
        </w:rPr>
        <w:t>Oxford University Press.</w:t>
      </w:r>
      <w:proofErr w:type="gramEnd"/>
    </w:p>
    <w:p w14:paraId="6602C533" w14:textId="77777777" w:rsidR="00B90D2A" w:rsidRPr="00B90D2A" w:rsidRDefault="00B90D2A" w:rsidP="00553A15">
      <w:pPr>
        <w:spacing w:line="480" w:lineRule="auto"/>
        <w:ind w:left="720" w:hanging="720"/>
        <w:rPr>
          <w:rFonts w:ascii="Times New Roman" w:hAnsi="Times New Roman"/>
        </w:rPr>
      </w:pPr>
      <w:r w:rsidRPr="00B90D2A">
        <w:rPr>
          <w:rFonts w:ascii="Times New Roman" w:hAnsi="Times New Roman"/>
        </w:rPr>
        <w:t>____.</w:t>
      </w:r>
      <w:r>
        <w:rPr>
          <w:rFonts w:ascii="Times New Roman" w:hAnsi="Times New Roman"/>
        </w:rPr>
        <w:t xml:space="preserve"> </w:t>
      </w:r>
      <w:r w:rsidRPr="00B90D2A">
        <w:rPr>
          <w:rFonts w:ascii="Times New Roman" w:hAnsi="Times New Roman"/>
        </w:rPr>
        <w:t>2012.</w:t>
      </w:r>
      <w:r>
        <w:rPr>
          <w:rFonts w:ascii="Times New Roman" w:hAnsi="Times New Roman"/>
        </w:rPr>
        <w:t xml:space="preserve"> </w:t>
      </w:r>
      <w:r w:rsidRPr="00B90D2A">
        <w:rPr>
          <w:rFonts w:ascii="Times New Roman" w:hAnsi="Times New Roman"/>
        </w:rPr>
        <w:t>Doing Away with Harm.</w:t>
      </w:r>
      <w:r>
        <w:rPr>
          <w:rFonts w:ascii="Times New Roman" w:hAnsi="Times New Roman"/>
        </w:rPr>
        <w:t xml:space="preserve"> </w:t>
      </w:r>
      <w:r w:rsidRPr="00B90D2A">
        <w:rPr>
          <w:rFonts w:ascii="Times New Roman" w:hAnsi="Times New Roman"/>
          <w:i/>
        </w:rPr>
        <w:t>Philosophy and Phenomenological Research</w:t>
      </w:r>
      <w:r w:rsidRPr="00B90D2A">
        <w:rPr>
          <w:rFonts w:ascii="Times New Roman" w:hAnsi="Times New Roman"/>
        </w:rPr>
        <w:t xml:space="preserve"> 85: 390-412.</w:t>
      </w:r>
    </w:p>
    <w:p w14:paraId="13542B18" w14:textId="77777777" w:rsidR="00B90D2A" w:rsidRPr="00B90D2A" w:rsidRDefault="00B90D2A" w:rsidP="00553A15">
      <w:pPr>
        <w:spacing w:line="480" w:lineRule="auto"/>
        <w:ind w:left="720" w:hanging="720"/>
        <w:rPr>
          <w:rFonts w:ascii="Times New Roman" w:hAnsi="Times New Roman"/>
        </w:rPr>
      </w:pPr>
      <w:proofErr w:type="gramStart"/>
      <w:r w:rsidRPr="00B90D2A">
        <w:rPr>
          <w:rFonts w:ascii="Times New Roman" w:hAnsi="Times New Roman"/>
        </w:rPr>
        <w:t>Carlson, E. 1995.</w:t>
      </w:r>
      <w:proofErr w:type="gramEnd"/>
      <w:r>
        <w:rPr>
          <w:rFonts w:ascii="Times New Roman" w:hAnsi="Times New Roman"/>
        </w:rPr>
        <w:t xml:space="preserve"> </w:t>
      </w:r>
      <w:r w:rsidRPr="00B90D2A">
        <w:rPr>
          <w:rFonts w:ascii="Times New Roman" w:hAnsi="Times New Roman"/>
          <w:i/>
        </w:rPr>
        <w:t>Consequentialism Reconsidered</w:t>
      </w:r>
      <w:r w:rsidRPr="00B90D2A">
        <w:rPr>
          <w:rFonts w:ascii="Times New Roman" w:hAnsi="Times New Roman"/>
        </w:rPr>
        <w:t>. Kluwer.</w:t>
      </w:r>
    </w:p>
    <w:p w14:paraId="1F05EAF9" w14:textId="77777777" w:rsidR="00B90D2A" w:rsidRPr="00B90D2A" w:rsidRDefault="00B90D2A" w:rsidP="00553A15">
      <w:pPr>
        <w:spacing w:line="480" w:lineRule="auto"/>
        <w:ind w:left="720" w:hanging="720"/>
        <w:rPr>
          <w:rFonts w:ascii="Times New Roman" w:hAnsi="Times New Roman"/>
        </w:rPr>
      </w:pPr>
      <w:proofErr w:type="gramStart"/>
      <w:r w:rsidRPr="00B90D2A">
        <w:rPr>
          <w:rFonts w:ascii="Times New Roman" w:hAnsi="Times New Roman"/>
        </w:rPr>
        <w:t>Chartier, G. 2006.</w:t>
      </w:r>
      <w:proofErr w:type="gramEnd"/>
      <w:r>
        <w:rPr>
          <w:rFonts w:ascii="Times New Roman" w:hAnsi="Times New Roman"/>
        </w:rPr>
        <w:t xml:space="preserve"> </w:t>
      </w:r>
      <w:proofErr w:type="gramStart"/>
      <w:r w:rsidRPr="00B90D2A">
        <w:rPr>
          <w:rFonts w:ascii="Times New Roman" w:hAnsi="Times New Roman"/>
        </w:rPr>
        <w:t>The Threshold Argument Against Consumer Meat Purchases.</w:t>
      </w:r>
      <w:proofErr w:type="gramEnd"/>
      <w:r>
        <w:rPr>
          <w:rFonts w:ascii="Times New Roman" w:hAnsi="Times New Roman"/>
        </w:rPr>
        <w:t xml:space="preserve"> </w:t>
      </w:r>
      <w:r w:rsidRPr="00B90D2A">
        <w:rPr>
          <w:rFonts w:ascii="Times New Roman" w:hAnsi="Times New Roman"/>
          <w:i/>
        </w:rPr>
        <w:t>Journal of Social Philosophy</w:t>
      </w:r>
      <w:r w:rsidRPr="00B90D2A">
        <w:rPr>
          <w:rFonts w:ascii="Times New Roman" w:hAnsi="Times New Roman"/>
        </w:rPr>
        <w:t xml:space="preserve"> 37: 233-49.</w:t>
      </w:r>
    </w:p>
    <w:p w14:paraId="41140F39" w14:textId="77777777" w:rsidR="00B90D2A" w:rsidRPr="00B90D2A" w:rsidRDefault="00B90D2A" w:rsidP="00553A15">
      <w:pPr>
        <w:spacing w:line="480" w:lineRule="auto"/>
        <w:ind w:left="720" w:hanging="720"/>
        <w:rPr>
          <w:rFonts w:ascii="Times New Roman" w:hAnsi="Times New Roman"/>
        </w:rPr>
      </w:pPr>
      <w:r w:rsidRPr="00B90D2A">
        <w:rPr>
          <w:rFonts w:ascii="Times New Roman" w:hAnsi="Times New Roman"/>
        </w:rPr>
        <w:t>Dancy, J. 1998.</w:t>
      </w:r>
      <w:r>
        <w:rPr>
          <w:rFonts w:ascii="Times New Roman" w:hAnsi="Times New Roman"/>
        </w:rPr>
        <w:t xml:space="preserve"> </w:t>
      </w:r>
      <w:r w:rsidRPr="00B90D2A">
        <w:rPr>
          <w:rFonts w:ascii="Times New Roman" w:hAnsi="Times New Roman"/>
        </w:rPr>
        <w:t>Wiggins and Ross.</w:t>
      </w:r>
      <w:r>
        <w:rPr>
          <w:rFonts w:ascii="Times New Roman" w:hAnsi="Times New Roman"/>
        </w:rPr>
        <w:t xml:space="preserve"> </w:t>
      </w:r>
      <w:proofErr w:type="gramStart"/>
      <w:r w:rsidRPr="00B90D2A">
        <w:rPr>
          <w:rFonts w:ascii="Times New Roman" w:hAnsi="Times New Roman"/>
          <w:i/>
        </w:rPr>
        <w:t>Utilitas</w:t>
      </w:r>
      <w:r w:rsidRPr="00B90D2A">
        <w:rPr>
          <w:rFonts w:ascii="Times New Roman" w:hAnsi="Times New Roman"/>
        </w:rPr>
        <w:t xml:space="preserve"> 10: 281-85.</w:t>
      </w:r>
      <w:proofErr w:type="gramEnd"/>
    </w:p>
    <w:p w14:paraId="3998E376" w14:textId="77777777" w:rsidR="00B90D2A" w:rsidRPr="00B90D2A" w:rsidRDefault="00B90D2A" w:rsidP="00553A15">
      <w:pPr>
        <w:spacing w:line="480" w:lineRule="auto"/>
        <w:ind w:left="720" w:hanging="720"/>
        <w:rPr>
          <w:rFonts w:ascii="Times New Roman" w:hAnsi="Times New Roman"/>
        </w:rPr>
      </w:pPr>
      <w:proofErr w:type="gramStart"/>
      <w:r w:rsidRPr="00B90D2A">
        <w:rPr>
          <w:rFonts w:ascii="Times New Roman" w:hAnsi="Times New Roman"/>
        </w:rPr>
        <w:t>Driver, J. 2007.</w:t>
      </w:r>
      <w:proofErr w:type="gramEnd"/>
      <w:r>
        <w:rPr>
          <w:rFonts w:ascii="Times New Roman" w:hAnsi="Times New Roman"/>
        </w:rPr>
        <w:t xml:space="preserve"> </w:t>
      </w:r>
      <w:proofErr w:type="gramStart"/>
      <w:r w:rsidRPr="00B90D2A">
        <w:rPr>
          <w:rFonts w:ascii="Times New Roman" w:hAnsi="Times New Roman"/>
        </w:rPr>
        <w:t>Attributions of Causation and Moral Responsibility.</w:t>
      </w:r>
      <w:proofErr w:type="gramEnd"/>
      <w:r w:rsidRPr="00B90D2A">
        <w:rPr>
          <w:rFonts w:ascii="Times New Roman" w:hAnsi="Times New Roman"/>
        </w:rPr>
        <w:t xml:space="preserve"> In W. Sinnott-Armstrong (ed.), </w:t>
      </w:r>
      <w:r w:rsidRPr="00B90D2A">
        <w:rPr>
          <w:rFonts w:ascii="Times New Roman" w:hAnsi="Times New Roman"/>
          <w:i/>
        </w:rPr>
        <w:t>Moral Psychology</w:t>
      </w:r>
      <w:r w:rsidRPr="00B90D2A">
        <w:rPr>
          <w:rFonts w:ascii="Times New Roman" w:hAnsi="Times New Roman"/>
        </w:rPr>
        <w:t>, Vol. II. MIT University Press, pp. 423-39.</w:t>
      </w:r>
    </w:p>
    <w:p w14:paraId="395AF2F8" w14:textId="77777777" w:rsidR="00B90D2A" w:rsidRPr="00B90D2A" w:rsidRDefault="00B90D2A" w:rsidP="00553A15">
      <w:pPr>
        <w:spacing w:line="480" w:lineRule="auto"/>
        <w:ind w:left="720" w:hanging="720"/>
        <w:rPr>
          <w:rFonts w:ascii="Times New Roman" w:hAnsi="Times New Roman"/>
        </w:rPr>
      </w:pPr>
      <w:proofErr w:type="gramStart"/>
      <w:r w:rsidRPr="00B90D2A">
        <w:rPr>
          <w:rFonts w:ascii="Times New Roman" w:hAnsi="Times New Roman"/>
        </w:rPr>
        <w:t>Harman, E.</w:t>
      </w:r>
      <w:r>
        <w:rPr>
          <w:rFonts w:ascii="Times New Roman" w:hAnsi="Times New Roman"/>
        </w:rPr>
        <w:t xml:space="preserve"> </w:t>
      </w:r>
      <w:r w:rsidRPr="00B90D2A">
        <w:rPr>
          <w:rFonts w:ascii="Times New Roman" w:hAnsi="Times New Roman"/>
        </w:rPr>
        <w:t>2009.</w:t>
      </w:r>
      <w:proofErr w:type="gramEnd"/>
      <w:r>
        <w:rPr>
          <w:rFonts w:ascii="Times New Roman" w:hAnsi="Times New Roman"/>
        </w:rPr>
        <w:t xml:space="preserve"> </w:t>
      </w:r>
      <w:r w:rsidRPr="00B90D2A">
        <w:rPr>
          <w:rFonts w:ascii="Times New Roman" w:hAnsi="Times New Roman"/>
        </w:rPr>
        <w:t xml:space="preserve">Harming as Causing Harm. In M. Roberts and D. Wasserman (ed.), </w:t>
      </w:r>
      <w:r w:rsidRPr="00B90D2A">
        <w:rPr>
          <w:rFonts w:ascii="Times New Roman" w:hAnsi="Times New Roman"/>
          <w:i/>
        </w:rPr>
        <w:t>Harming Future Persons</w:t>
      </w:r>
      <w:r w:rsidRPr="00B90D2A">
        <w:rPr>
          <w:rFonts w:ascii="Times New Roman" w:hAnsi="Times New Roman"/>
        </w:rPr>
        <w:t>. Springer, pp. 137-54.</w:t>
      </w:r>
    </w:p>
    <w:p w14:paraId="7127EA69" w14:textId="77777777" w:rsidR="00B90D2A" w:rsidRPr="00B90D2A" w:rsidRDefault="00B90D2A" w:rsidP="00553A15">
      <w:pPr>
        <w:spacing w:line="480" w:lineRule="auto"/>
        <w:ind w:left="720" w:hanging="720"/>
        <w:rPr>
          <w:rFonts w:ascii="Times New Roman" w:hAnsi="Times New Roman"/>
        </w:rPr>
      </w:pPr>
      <w:r w:rsidRPr="00B90D2A">
        <w:rPr>
          <w:rFonts w:ascii="Times New Roman" w:hAnsi="Times New Roman"/>
        </w:rPr>
        <w:t>____.</w:t>
      </w:r>
      <w:r>
        <w:rPr>
          <w:rFonts w:ascii="Times New Roman" w:hAnsi="Times New Roman"/>
        </w:rPr>
        <w:t xml:space="preserve"> </w:t>
      </w:r>
      <w:r w:rsidRPr="00B90D2A">
        <w:rPr>
          <w:rFonts w:ascii="Times New Roman" w:hAnsi="Times New Roman"/>
        </w:rPr>
        <w:t>2011.</w:t>
      </w:r>
      <w:r>
        <w:rPr>
          <w:rFonts w:ascii="Times New Roman" w:hAnsi="Times New Roman"/>
        </w:rPr>
        <w:t xml:space="preserve"> </w:t>
      </w:r>
      <w:r w:rsidRPr="00B90D2A">
        <w:rPr>
          <w:rFonts w:ascii="Times New Roman" w:hAnsi="Times New Roman"/>
        </w:rPr>
        <w:t>Does Moral Ignorance Exculpate?</w:t>
      </w:r>
      <w:r>
        <w:rPr>
          <w:rFonts w:ascii="Times New Roman" w:hAnsi="Times New Roman"/>
        </w:rPr>
        <w:t xml:space="preserve"> </w:t>
      </w:r>
      <w:proofErr w:type="gramStart"/>
      <w:r w:rsidRPr="00B90D2A">
        <w:rPr>
          <w:rFonts w:ascii="Times New Roman" w:hAnsi="Times New Roman"/>
          <w:i/>
        </w:rPr>
        <w:t>Ratio</w:t>
      </w:r>
      <w:r w:rsidRPr="00B90D2A">
        <w:rPr>
          <w:rFonts w:ascii="Times New Roman" w:hAnsi="Times New Roman"/>
        </w:rPr>
        <w:t xml:space="preserve"> 24: 443-68.</w:t>
      </w:r>
      <w:proofErr w:type="gramEnd"/>
    </w:p>
    <w:p w14:paraId="2358A194" w14:textId="77777777" w:rsidR="00B90D2A" w:rsidRPr="00B90D2A" w:rsidRDefault="00B90D2A" w:rsidP="00553A15">
      <w:pPr>
        <w:spacing w:line="480" w:lineRule="auto"/>
        <w:ind w:left="720" w:hanging="720"/>
        <w:rPr>
          <w:rFonts w:ascii="Times New Roman" w:hAnsi="Times New Roman"/>
        </w:rPr>
      </w:pPr>
      <w:r w:rsidRPr="00B90D2A">
        <w:rPr>
          <w:rFonts w:ascii="Times New Roman" w:hAnsi="Times New Roman"/>
        </w:rPr>
        <w:t>Harris, J. and R. Galvin. 2012. ‘Pass the Cocoamone, Please’: Causal Impotence, Opportunistic Vegetarianism, and Act-Utilitarianism.</w:t>
      </w:r>
      <w:r>
        <w:rPr>
          <w:rFonts w:ascii="Times New Roman" w:hAnsi="Times New Roman"/>
        </w:rPr>
        <w:t xml:space="preserve"> </w:t>
      </w:r>
      <w:r w:rsidRPr="00B90D2A">
        <w:rPr>
          <w:rFonts w:ascii="Times New Roman" w:hAnsi="Times New Roman"/>
          <w:i/>
        </w:rPr>
        <w:t>Ethics, Policy, &amp; Environment</w:t>
      </w:r>
      <w:r w:rsidRPr="00B90D2A">
        <w:rPr>
          <w:rFonts w:ascii="Times New Roman" w:hAnsi="Times New Roman"/>
        </w:rPr>
        <w:t xml:space="preserve"> 15: 368-83. </w:t>
      </w:r>
    </w:p>
    <w:p w14:paraId="1A3B5FBE" w14:textId="77777777" w:rsidR="00B90D2A" w:rsidRPr="00B90D2A" w:rsidRDefault="00B90D2A" w:rsidP="00553A15">
      <w:pPr>
        <w:spacing w:line="480" w:lineRule="auto"/>
        <w:ind w:left="720" w:hanging="720"/>
        <w:rPr>
          <w:rFonts w:ascii="Times New Roman" w:hAnsi="Times New Roman"/>
        </w:rPr>
      </w:pPr>
      <w:r w:rsidRPr="00B90D2A">
        <w:rPr>
          <w:rFonts w:ascii="Times New Roman" w:hAnsi="Times New Roman"/>
        </w:rPr>
        <w:t xml:space="preserve">Jackson, Frank. </w:t>
      </w:r>
      <w:proofErr w:type="gramStart"/>
      <w:r w:rsidRPr="00B90D2A">
        <w:rPr>
          <w:rFonts w:ascii="Times New Roman" w:hAnsi="Times New Roman"/>
        </w:rPr>
        <w:t>1991.</w:t>
      </w:r>
      <w:r>
        <w:rPr>
          <w:rFonts w:ascii="Times New Roman" w:hAnsi="Times New Roman"/>
        </w:rPr>
        <w:t xml:space="preserve"> </w:t>
      </w:r>
      <w:r w:rsidRPr="00B90D2A">
        <w:rPr>
          <w:rFonts w:ascii="Times New Roman" w:hAnsi="Times New Roman"/>
        </w:rPr>
        <w:t>Decision-Theoretic Consequentialism</w:t>
      </w:r>
      <w:proofErr w:type="gramEnd"/>
      <w:r w:rsidRPr="00B90D2A">
        <w:rPr>
          <w:rFonts w:ascii="Times New Roman" w:hAnsi="Times New Roman"/>
        </w:rPr>
        <w:t xml:space="preserve"> and the Nearest and Dearest Objection.</w:t>
      </w:r>
      <w:r>
        <w:rPr>
          <w:rFonts w:ascii="Times New Roman" w:hAnsi="Times New Roman"/>
        </w:rPr>
        <w:t xml:space="preserve"> </w:t>
      </w:r>
      <w:proofErr w:type="gramStart"/>
      <w:r w:rsidRPr="00B90D2A">
        <w:rPr>
          <w:rFonts w:ascii="Times New Roman" w:hAnsi="Times New Roman"/>
          <w:i/>
        </w:rPr>
        <w:t>Ethics</w:t>
      </w:r>
      <w:r w:rsidRPr="00B90D2A">
        <w:rPr>
          <w:rFonts w:ascii="Times New Roman" w:hAnsi="Times New Roman"/>
        </w:rPr>
        <w:t xml:space="preserve"> 101: 461-82.</w:t>
      </w:r>
      <w:proofErr w:type="gramEnd"/>
    </w:p>
    <w:p w14:paraId="72D4BF9B" w14:textId="77777777" w:rsidR="00B90D2A" w:rsidRPr="00B90D2A" w:rsidRDefault="00B90D2A" w:rsidP="00553A15">
      <w:pPr>
        <w:spacing w:line="480" w:lineRule="auto"/>
        <w:ind w:left="720" w:hanging="720"/>
        <w:rPr>
          <w:rFonts w:ascii="Times New Roman" w:hAnsi="Times New Roman"/>
        </w:rPr>
      </w:pPr>
      <w:r w:rsidRPr="00B90D2A">
        <w:rPr>
          <w:rFonts w:ascii="Times New Roman" w:hAnsi="Times New Roman"/>
        </w:rPr>
        <w:t xml:space="preserve">Gardner, J. 2007. </w:t>
      </w:r>
      <w:proofErr w:type="gramStart"/>
      <w:r w:rsidRPr="00B90D2A">
        <w:rPr>
          <w:rFonts w:ascii="Times New Roman" w:hAnsi="Times New Roman"/>
          <w:i/>
        </w:rPr>
        <w:t>Offences and Defenses</w:t>
      </w:r>
      <w:r w:rsidRPr="00B90D2A">
        <w:rPr>
          <w:rFonts w:ascii="Times New Roman" w:hAnsi="Times New Roman"/>
        </w:rPr>
        <w:t>.</w:t>
      </w:r>
      <w:proofErr w:type="gramEnd"/>
      <w:r w:rsidRPr="00B90D2A">
        <w:rPr>
          <w:rFonts w:ascii="Times New Roman" w:hAnsi="Times New Roman"/>
        </w:rPr>
        <w:t xml:space="preserve"> </w:t>
      </w:r>
      <w:proofErr w:type="gramStart"/>
      <w:r w:rsidRPr="00B90D2A">
        <w:rPr>
          <w:rFonts w:ascii="Times New Roman" w:hAnsi="Times New Roman"/>
        </w:rPr>
        <w:t>Oxford University Press.</w:t>
      </w:r>
      <w:proofErr w:type="gramEnd"/>
    </w:p>
    <w:p w14:paraId="66C7975D" w14:textId="77777777" w:rsidR="00B90D2A" w:rsidRPr="00B90D2A" w:rsidRDefault="00B90D2A" w:rsidP="00553A15">
      <w:pPr>
        <w:spacing w:line="480" w:lineRule="auto"/>
        <w:ind w:left="720" w:hanging="720"/>
        <w:rPr>
          <w:rFonts w:ascii="Times New Roman" w:hAnsi="Times New Roman"/>
        </w:rPr>
      </w:pPr>
      <w:r w:rsidRPr="00B90D2A">
        <w:rPr>
          <w:rFonts w:ascii="Times New Roman" w:hAnsi="Times New Roman"/>
        </w:rPr>
        <w:t>Kagan, S. 2011.</w:t>
      </w:r>
      <w:r>
        <w:rPr>
          <w:rFonts w:ascii="Times New Roman" w:hAnsi="Times New Roman"/>
        </w:rPr>
        <w:t xml:space="preserve"> </w:t>
      </w:r>
      <w:r w:rsidRPr="00B90D2A">
        <w:rPr>
          <w:rFonts w:ascii="Times New Roman" w:hAnsi="Times New Roman"/>
        </w:rPr>
        <w:t>Do I Make a Difference?</w:t>
      </w:r>
      <w:r>
        <w:rPr>
          <w:rFonts w:ascii="Times New Roman" w:hAnsi="Times New Roman"/>
        </w:rPr>
        <w:t xml:space="preserve"> </w:t>
      </w:r>
      <w:r w:rsidRPr="00B90D2A">
        <w:rPr>
          <w:rFonts w:ascii="Times New Roman" w:hAnsi="Times New Roman"/>
          <w:i/>
        </w:rPr>
        <w:t>Philosophy and Public Affairs</w:t>
      </w:r>
      <w:r w:rsidRPr="00B90D2A">
        <w:rPr>
          <w:rFonts w:ascii="Times New Roman" w:hAnsi="Times New Roman"/>
        </w:rPr>
        <w:t xml:space="preserve"> 39: 105-41.</w:t>
      </w:r>
    </w:p>
    <w:p w14:paraId="1206C6F2" w14:textId="77777777" w:rsidR="00B90D2A" w:rsidRPr="00B90D2A" w:rsidRDefault="00B90D2A" w:rsidP="00553A15">
      <w:pPr>
        <w:spacing w:line="480" w:lineRule="auto"/>
        <w:ind w:left="720" w:hanging="720"/>
        <w:rPr>
          <w:rFonts w:ascii="Times New Roman" w:hAnsi="Times New Roman"/>
        </w:rPr>
      </w:pPr>
      <w:proofErr w:type="gramStart"/>
      <w:r w:rsidRPr="00B90D2A">
        <w:rPr>
          <w:rFonts w:ascii="Times New Roman" w:hAnsi="Times New Roman"/>
        </w:rPr>
        <w:t>Kamm, F.</w:t>
      </w:r>
      <w:r>
        <w:rPr>
          <w:rFonts w:ascii="Times New Roman" w:hAnsi="Times New Roman"/>
        </w:rPr>
        <w:t xml:space="preserve"> </w:t>
      </w:r>
      <w:r w:rsidRPr="00B90D2A">
        <w:rPr>
          <w:rFonts w:ascii="Times New Roman" w:hAnsi="Times New Roman"/>
        </w:rPr>
        <w:t>2005.</w:t>
      </w:r>
      <w:proofErr w:type="gramEnd"/>
      <w:r>
        <w:rPr>
          <w:rFonts w:ascii="Times New Roman" w:hAnsi="Times New Roman"/>
        </w:rPr>
        <w:t xml:space="preserve"> </w:t>
      </w:r>
      <w:proofErr w:type="gramStart"/>
      <w:r w:rsidRPr="00B90D2A">
        <w:rPr>
          <w:rFonts w:ascii="Times New Roman" w:hAnsi="Times New Roman"/>
        </w:rPr>
        <w:t>Ethical Issues in Using and not Using Embryonic Stem Cells.</w:t>
      </w:r>
      <w:proofErr w:type="gramEnd"/>
      <w:r>
        <w:rPr>
          <w:rFonts w:ascii="Times New Roman" w:hAnsi="Times New Roman"/>
        </w:rPr>
        <w:t xml:space="preserve"> </w:t>
      </w:r>
      <w:r w:rsidRPr="00B90D2A">
        <w:rPr>
          <w:rFonts w:ascii="Times New Roman" w:hAnsi="Times New Roman"/>
          <w:i/>
        </w:rPr>
        <w:t>Stem Cell Reviews</w:t>
      </w:r>
      <w:r w:rsidRPr="00B90D2A">
        <w:rPr>
          <w:rFonts w:ascii="Times New Roman" w:hAnsi="Times New Roman"/>
        </w:rPr>
        <w:t xml:space="preserve"> 1: 325-30.</w:t>
      </w:r>
    </w:p>
    <w:p w14:paraId="290AE491" w14:textId="77777777" w:rsidR="00B90D2A" w:rsidRPr="00B90D2A" w:rsidRDefault="00B90D2A" w:rsidP="00553A15">
      <w:pPr>
        <w:spacing w:line="480" w:lineRule="auto"/>
        <w:ind w:left="720" w:hanging="720"/>
        <w:rPr>
          <w:rFonts w:ascii="Times New Roman" w:hAnsi="Times New Roman"/>
        </w:rPr>
      </w:pPr>
      <w:r w:rsidRPr="00B90D2A">
        <w:rPr>
          <w:rFonts w:ascii="Times New Roman" w:hAnsi="Times New Roman"/>
        </w:rPr>
        <w:t>Kazez, J. 2010.</w:t>
      </w:r>
      <w:r>
        <w:rPr>
          <w:rFonts w:ascii="Times New Roman" w:hAnsi="Times New Roman"/>
        </w:rPr>
        <w:t xml:space="preserve"> </w:t>
      </w:r>
      <w:r w:rsidRPr="00B90D2A">
        <w:rPr>
          <w:rFonts w:ascii="Times New Roman" w:hAnsi="Times New Roman"/>
          <w:i/>
        </w:rPr>
        <w:t>Animalkind: What We Owe to Animals</w:t>
      </w:r>
      <w:r w:rsidRPr="00B90D2A">
        <w:rPr>
          <w:rFonts w:ascii="Times New Roman" w:hAnsi="Times New Roman"/>
        </w:rPr>
        <w:t>.</w:t>
      </w:r>
      <w:r>
        <w:rPr>
          <w:rFonts w:ascii="Times New Roman" w:hAnsi="Times New Roman"/>
        </w:rPr>
        <w:t xml:space="preserve"> </w:t>
      </w:r>
      <w:r w:rsidRPr="00B90D2A">
        <w:rPr>
          <w:rFonts w:ascii="Times New Roman" w:hAnsi="Times New Roman"/>
        </w:rPr>
        <w:t>Blackwell-Wiley.</w:t>
      </w:r>
    </w:p>
    <w:p w14:paraId="21EF606D" w14:textId="77777777" w:rsidR="00B90D2A" w:rsidRPr="00B90D2A" w:rsidRDefault="00B90D2A" w:rsidP="00553A15">
      <w:pPr>
        <w:spacing w:line="480" w:lineRule="auto"/>
        <w:ind w:left="720" w:hanging="720"/>
        <w:rPr>
          <w:rFonts w:ascii="Times New Roman" w:hAnsi="Times New Roman"/>
        </w:rPr>
      </w:pPr>
      <w:proofErr w:type="gramStart"/>
      <w:r w:rsidRPr="00B90D2A">
        <w:rPr>
          <w:rFonts w:ascii="Times New Roman" w:hAnsi="Times New Roman"/>
        </w:rPr>
        <w:t>Littlejohn, C. 2014.</w:t>
      </w:r>
      <w:proofErr w:type="gramEnd"/>
      <w:r w:rsidRPr="00B90D2A">
        <w:rPr>
          <w:rFonts w:ascii="Times New Roman" w:hAnsi="Times New Roman"/>
        </w:rPr>
        <w:t xml:space="preserve"> </w:t>
      </w:r>
      <w:proofErr w:type="gramStart"/>
      <w:r w:rsidRPr="00B90D2A">
        <w:rPr>
          <w:rFonts w:ascii="Times New Roman" w:hAnsi="Times New Roman"/>
        </w:rPr>
        <w:t>The Unity of Reason.</w:t>
      </w:r>
      <w:proofErr w:type="gramEnd"/>
      <w:r w:rsidRPr="00B90D2A">
        <w:rPr>
          <w:rFonts w:ascii="Times New Roman" w:hAnsi="Times New Roman"/>
        </w:rPr>
        <w:t xml:space="preserve"> In C. Littlejohn and J. Turri (ed.), </w:t>
      </w:r>
      <w:r w:rsidRPr="00B90D2A">
        <w:rPr>
          <w:rFonts w:ascii="Times New Roman" w:hAnsi="Times New Roman"/>
          <w:i/>
        </w:rPr>
        <w:t>Epistemic Norms</w:t>
      </w:r>
      <w:r w:rsidRPr="00B90D2A">
        <w:rPr>
          <w:rFonts w:ascii="Times New Roman" w:hAnsi="Times New Roman"/>
        </w:rPr>
        <w:t>. Oxford University Press, pp. 135-54.</w:t>
      </w:r>
    </w:p>
    <w:p w14:paraId="7752EF97" w14:textId="77777777" w:rsidR="00B90D2A" w:rsidRPr="00B90D2A" w:rsidRDefault="00B90D2A" w:rsidP="00553A15">
      <w:pPr>
        <w:spacing w:line="480" w:lineRule="auto"/>
        <w:ind w:left="720" w:hanging="720"/>
        <w:rPr>
          <w:rFonts w:ascii="Times New Roman" w:hAnsi="Times New Roman"/>
        </w:rPr>
      </w:pPr>
      <w:proofErr w:type="gramStart"/>
      <w:r w:rsidRPr="00B90D2A">
        <w:rPr>
          <w:rFonts w:ascii="Times New Roman" w:hAnsi="Times New Roman"/>
        </w:rPr>
        <w:t>Marquis, D. 1989.</w:t>
      </w:r>
      <w:proofErr w:type="gramEnd"/>
      <w:r w:rsidRPr="00B90D2A">
        <w:rPr>
          <w:rFonts w:ascii="Times New Roman" w:hAnsi="Times New Roman"/>
        </w:rPr>
        <w:t xml:space="preserve"> Why Abortion is Immoral.</w:t>
      </w:r>
      <w:r>
        <w:rPr>
          <w:rFonts w:ascii="Times New Roman" w:hAnsi="Times New Roman"/>
        </w:rPr>
        <w:t xml:space="preserve"> </w:t>
      </w:r>
      <w:r w:rsidRPr="00B90D2A">
        <w:rPr>
          <w:rFonts w:ascii="Times New Roman" w:hAnsi="Times New Roman"/>
          <w:i/>
        </w:rPr>
        <w:t xml:space="preserve">Journal of Philosophy </w:t>
      </w:r>
      <w:r w:rsidRPr="00B90D2A">
        <w:rPr>
          <w:rFonts w:ascii="Times New Roman" w:hAnsi="Times New Roman"/>
        </w:rPr>
        <w:t>86: 183-202.</w:t>
      </w:r>
    </w:p>
    <w:p w14:paraId="43BE6453" w14:textId="77777777" w:rsidR="00B90D2A" w:rsidRPr="00B90D2A" w:rsidRDefault="00B90D2A" w:rsidP="00553A15">
      <w:pPr>
        <w:spacing w:line="480" w:lineRule="auto"/>
        <w:ind w:left="720" w:hanging="720"/>
        <w:rPr>
          <w:rFonts w:ascii="Times New Roman" w:hAnsi="Times New Roman"/>
        </w:rPr>
      </w:pPr>
      <w:proofErr w:type="gramStart"/>
      <w:r w:rsidRPr="00B90D2A">
        <w:rPr>
          <w:rFonts w:ascii="Times New Roman" w:hAnsi="Times New Roman"/>
        </w:rPr>
        <w:t>Matheny, G. 2002.</w:t>
      </w:r>
      <w:proofErr w:type="gramEnd"/>
      <w:r>
        <w:rPr>
          <w:rFonts w:ascii="Times New Roman" w:hAnsi="Times New Roman"/>
        </w:rPr>
        <w:t xml:space="preserve"> </w:t>
      </w:r>
      <w:r w:rsidRPr="00B90D2A">
        <w:rPr>
          <w:rFonts w:ascii="Times New Roman" w:hAnsi="Times New Roman"/>
        </w:rPr>
        <w:t>Expected Utility, Contributory Causation, and Vegetarianism.</w:t>
      </w:r>
      <w:r>
        <w:rPr>
          <w:rFonts w:ascii="Times New Roman" w:hAnsi="Times New Roman"/>
        </w:rPr>
        <w:t xml:space="preserve"> </w:t>
      </w:r>
      <w:r w:rsidRPr="00B90D2A">
        <w:rPr>
          <w:rFonts w:ascii="Times New Roman" w:hAnsi="Times New Roman"/>
          <w:i/>
        </w:rPr>
        <w:t xml:space="preserve">Journal of Applied Philosophy </w:t>
      </w:r>
      <w:r w:rsidRPr="00B90D2A">
        <w:rPr>
          <w:rFonts w:ascii="Times New Roman" w:hAnsi="Times New Roman"/>
        </w:rPr>
        <w:t>19: 293-97.</w:t>
      </w:r>
    </w:p>
    <w:p w14:paraId="7A1B905A" w14:textId="77777777" w:rsidR="00B90D2A" w:rsidRPr="00B90D2A" w:rsidRDefault="00B90D2A" w:rsidP="00553A15">
      <w:pPr>
        <w:spacing w:line="480" w:lineRule="auto"/>
        <w:ind w:left="720" w:hanging="720"/>
        <w:rPr>
          <w:rFonts w:ascii="Times New Roman" w:hAnsi="Times New Roman"/>
        </w:rPr>
      </w:pPr>
      <w:proofErr w:type="gramStart"/>
      <w:r w:rsidRPr="00B90D2A">
        <w:rPr>
          <w:rFonts w:ascii="Times New Roman" w:hAnsi="Times New Roman"/>
        </w:rPr>
        <w:t>Norcross, A. 2004.</w:t>
      </w:r>
      <w:proofErr w:type="gramEnd"/>
      <w:r w:rsidRPr="00B90D2A">
        <w:rPr>
          <w:rFonts w:ascii="Times New Roman" w:hAnsi="Times New Roman"/>
        </w:rPr>
        <w:t xml:space="preserve"> Puppies, Pigs, and People: Eating Meat and Marginal Cases.</w:t>
      </w:r>
      <w:r>
        <w:rPr>
          <w:rFonts w:ascii="Times New Roman" w:hAnsi="Times New Roman"/>
        </w:rPr>
        <w:t xml:space="preserve"> </w:t>
      </w:r>
      <w:r w:rsidRPr="00B90D2A">
        <w:rPr>
          <w:rFonts w:ascii="Times New Roman" w:hAnsi="Times New Roman"/>
          <w:i/>
        </w:rPr>
        <w:t>Philosophical Perspectives</w:t>
      </w:r>
      <w:r w:rsidRPr="00B90D2A">
        <w:rPr>
          <w:rFonts w:ascii="Times New Roman" w:hAnsi="Times New Roman"/>
        </w:rPr>
        <w:t xml:space="preserve"> 18: 229-45.</w:t>
      </w:r>
    </w:p>
    <w:p w14:paraId="0E7DC27C" w14:textId="77777777" w:rsidR="00B90D2A" w:rsidRPr="00B90D2A" w:rsidRDefault="00B90D2A" w:rsidP="00553A15">
      <w:pPr>
        <w:spacing w:line="480" w:lineRule="auto"/>
        <w:ind w:left="720" w:hanging="720"/>
        <w:rPr>
          <w:rFonts w:ascii="Times New Roman" w:hAnsi="Times New Roman"/>
        </w:rPr>
      </w:pPr>
      <w:r w:rsidRPr="00B90D2A">
        <w:rPr>
          <w:rFonts w:ascii="Times New Roman" w:hAnsi="Times New Roman"/>
        </w:rPr>
        <w:t>____.</w:t>
      </w:r>
      <w:r>
        <w:rPr>
          <w:rFonts w:ascii="Times New Roman" w:hAnsi="Times New Roman"/>
        </w:rPr>
        <w:t xml:space="preserve"> </w:t>
      </w:r>
      <w:r w:rsidRPr="00B90D2A">
        <w:rPr>
          <w:rFonts w:ascii="Times New Roman" w:hAnsi="Times New Roman"/>
        </w:rPr>
        <w:t>2005.</w:t>
      </w:r>
      <w:r>
        <w:rPr>
          <w:rFonts w:ascii="Times New Roman" w:hAnsi="Times New Roman"/>
        </w:rPr>
        <w:t xml:space="preserve"> </w:t>
      </w:r>
      <w:r w:rsidRPr="00B90D2A">
        <w:rPr>
          <w:rFonts w:ascii="Times New Roman" w:hAnsi="Times New Roman"/>
        </w:rPr>
        <w:t xml:space="preserve">Harming in Context. </w:t>
      </w:r>
      <w:r w:rsidRPr="00B90D2A">
        <w:rPr>
          <w:rFonts w:ascii="Times New Roman" w:hAnsi="Times New Roman"/>
          <w:i/>
        </w:rPr>
        <w:t>Philosophical Studies</w:t>
      </w:r>
      <w:r w:rsidRPr="00B90D2A">
        <w:rPr>
          <w:rFonts w:ascii="Times New Roman" w:hAnsi="Times New Roman"/>
        </w:rPr>
        <w:t xml:space="preserve"> 123: 149-73.</w:t>
      </w:r>
    </w:p>
    <w:p w14:paraId="099AD735" w14:textId="77777777" w:rsidR="00B90D2A" w:rsidRPr="00B90D2A" w:rsidRDefault="00B90D2A" w:rsidP="00553A15">
      <w:pPr>
        <w:spacing w:line="480" w:lineRule="auto"/>
        <w:ind w:left="720" w:hanging="720"/>
        <w:rPr>
          <w:rFonts w:ascii="Times New Roman" w:hAnsi="Times New Roman"/>
        </w:rPr>
      </w:pPr>
      <w:proofErr w:type="gramStart"/>
      <w:r w:rsidRPr="00B90D2A">
        <w:rPr>
          <w:rFonts w:ascii="Times New Roman" w:hAnsi="Times New Roman"/>
        </w:rPr>
        <w:t>Ross, D. 1930.</w:t>
      </w:r>
      <w:proofErr w:type="gramEnd"/>
      <w:r>
        <w:rPr>
          <w:rFonts w:ascii="Times New Roman" w:hAnsi="Times New Roman"/>
        </w:rPr>
        <w:t xml:space="preserve"> </w:t>
      </w:r>
      <w:r w:rsidRPr="00B90D2A">
        <w:rPr>
          <w:rFonts w:ascii="Times New Roman" w:hAnsi="Times New Roman"/>
          <w:i/>
        </w:rPr>
        <w:t>The Right and the Good</w:t>
      </w:r>
      <w:r w:rsidRPr="00B90D2A">
        <w:rPr>
          <w:rFonts w:ascii="Times New Roman" w:hAnsi="Times New Roman"/>
        </w:rPr>
        <w:t>.</w:t>
      </w:r>
      <w:r>
        <w:rPr>
          <w:rFonts w:ascii="Times New Roman" w:hAnsi="Times New Roman"/>
        </w:rPr>
        <w:t xml:space="preserve"> </w:t>
      </w:r>
      <w:proofErr w:type="gramStart"/>
      <w:r w:rsidRPr="00B90D2A">
        <w:rPr>
          <w:rFonts w:ascii="Times New Roman" w:hAnsi="Times New Roman"/>
        </w:rPr>
        <w:t>Oxford University Press.</w:t>
      </w:r>
      <w:proofErr w:type="gramEnd"/>
    </w:p>
    <w:p w14:paraId="143EBCA9" w14:textId="77777777" w:rsidR="00B90D2A" w:rsidRPr="00B90D2A" w:rsidRDefault="00B90D2A" w:rsidP="00553A15">
      <w:pPr>
        <w:spacing w:line="480" w:lineRule="auto"/>
        <w:ind w:left="720" w:hanging="720"/>
        <w:rPr>
          <w:rFonts w:ascii="Times New Roman" w:hAnsi="Times New Roman"/>
        </w:rPr>
      </w:pPr>
      <w:proofErr w:type="gramStart"/>
      <w:r w:rsidRPr="00B90D2A">
        <w:rPr>
          <w:rFonts w:ascii="Times New Roman" w:hAnsi="Times New Roman"/>
        </w:rPr>
        <w:t>Sartorio, C.</w:t>
      </w:r>
      <w:r>
        <w:rPr>
          <w:rFonts w:ascii="Times New Roman" w:hAnsi="Times New Roman"/>
        </w:rPr>
        <w:t xml:space="preserve"> </w:t>
      </w:r>
      <w:r w:rsidRPr="00B90D2A">
        <w:rPr>
          <w:rFonts w:ascii="Times New Roman" w:hAnsi="Times New Roman"/>
        </w:rPr>
        <w:t>2005.</w:t>
      </w:r>
      <w:proofErr w:type="gramEnd"/>
      <w:r>
        <w:rPr>
          <w:rFonts w:ascii="Times New Roman" w:hAnsi="Times New Roman"/>
        </w:rPr>
        <w:t xml:space="preserve"> </w:t>
      </w:r>
      <w:proofErr w:type="gramStart"/>
      <w:r w:rsidRPr="00B90D2A">
        <w:rPr>
          <w:rFonts w:ascii="Times New Roman" w:hAnsi="Times New Roman"/>
        </w:rPr>
        <w:t>Causes as Difference Makers.</w:t>
      </w:r>
      <w:proofErr w:type="gramEnd"/>
      <w:r>
        <w:rPr>
          <w:rFonts w:ascii="Times New Roman" w:hAnsi="Times New Roman"/>
        </w:rPr>
        <w:t xml:space="preserve"> </w:t>
      </w:r>
      <w:r w:rsidRPr="00B90D2A">
        <w:rPr>
          <w:rFonts w:ascii="Times New Roman" w:hAnsi="Times New Roman"/>
          <w:i/>
        </w:rPr>
        <w:t>Philosophical Studies</w:t>
      </w:r>
      <w:r w:rsidRPr="00B90D2A">
        <w:rPr>
          <w:rFonts w:ascii="Times New Roman" w:hAnsi="Times New Roman"/>
        </w:rPr>
        <w:t xml:space="preserve"> 123: 71-96. </w:t>
      </w:r>
    </w:p>
    <w:p w14:paraId="45D85FE8" w14:textId="77777777" w:rsidR="00B90D2A" w:rsidRPr="00B90D2A" w:rsidRDefault="00B90D2A" w:rsidP="00553A15">
      <w:pPr>
        <w:spacing w:line="480" w:lineRule="auto"/>
        <w:ind w:left="720" w:hanging="720"/>
        <w:rPr>
          <w:rFonts w:ascii="Times New Roman" w:hAnsi="Times New Roman"/>
        </w:rPr>
      </w:pPr>
      <w:r w:rsidRPr="00B90D2A">
        <w:rPr>
          <w:rFonts w:ascii="Times New Roman" w:hAnsi="Times New Roman"/>
        </w:rPr>
        <w:t>____.</w:t>
      </w:r>
      <w:r>
        <w:rPr>
          <w:rFonts w:ascii="Times New Roman" w:hAnsi="Times New Roman"/>
        </w:rPr>
        <w:t xml:space="preserve"> </w:t>
      </w:r>
      <w:r w:rsidRPr="00B90D2A">
        <w:rPr>
          <w:rFonts w:ascii="Times New Roman" w:hAnsi="Times New Roman"/>
        </w:rPr>
        <w:t>MS.</w:t>
      </w:r>
      <w:r>
        <w:rPr>
          <w:rFonts w:ascii="Times New Roman" w:hAnsi="Times New Roman"/>
        </w:rPr>
        <w:t xml:space="preserve"> </w:t>
      </w:r>
      <w:r w:rsidRPr="00B90D2A">
        <w:rPr>
          <w:rFonts w:ascii="Times New Roman" w:hAnsi="Times New Roman"/>
        </w:rPr>
        <w:t xml:space="preserve">What Difference Does it Make? </w:t>
      </w:r>
      <w:proofErr w:type="gramStart"/>
      <w:r w:rsidRPr="00B90D2A">
        <w:rPr>
          <w:rFonts w:ascii="Times New Roman" w:hAnsi="Times New Roman"/>
        </w:rPr>
        <w:t>On Acting Freely and Making a Difference.</w:t>
      </w:r>
      <w:proofErr w:type="gramEnd"/>
    </w:p>
    <w:p w14:paraId="18E4302F" w14:textId="77777777" w:rsidR="00B90D2A" w:rsidRPr="00B90D2A" w:rsidRDefault="00B90D2A" w:rsidP="00553A15">
      <w:pPr>
        <w:spacing w:line="480" w:lineRule="auto"/>
        <w:ind w:left="720" w:hanging="720"/>
        <w:rPr>
          <w:rFonts w:ascii="Times New Roman" w:hAnsi="Times New Roman"/>
        </w:rPr>
      </w:pPr>
      <w:r w:rsidRPr="00B90D2A">
        <w:rPr>
          <w:rFonts w:ascii="Times New Roman" w:hAnsi="Times New Roman"/>
        </w:rPr>
        <w:t>Singer, P.</w:t>
      </w:r>
      <w:r>
        <w:rPr>
          <w:rFonts w:ascii="Times New Roman" w:hAnsi="Times New Roman"/>
        </w:rPr>
        <w:t xml:space="preserve"> </w:t>
      </w:r>
      <w:r w:rsidRPr="00B90D2A">
        <w:rPr>
          <w:rFonts w:ascii="Times New Roman" w:hAnsi="Times New Roman"/>
        </w:rPr>
        <w:t>1993.</w:t>
      </w:r>
      <w:r>
        <w:rPr>
          <w:rFonts w:ascii="Times New Roman" w:hAnsi="Times New Roman"/>
        </w:rPr>
        <w:t xml:space="preserve"> </w:t>
      </w:r>
      <w:r w:rsidRPr="00B90D2A">
        <w:rPr>
          <w:rFonts w:ascii="Times New Roman" w:hAnsi="Times New Roman"/>
          <w:i/>
        </w:rPr>
        <w:t>Practical Ethics</w:t>
      </w:r>
      <w:r w:rsidRPr="00B90D2A">
        <w:rPr>
          <w:rFonts w:ascii="Times New Roman" w:hAnsi="Times New Roman"/>
        </w:rPr>
        <w:t>.</w:t>
      </w:r>
      <w:r>
        <w:rPr>
          <w:rFonts w:ascii="Times New Roman" w:hAnsi="Times New Roman"/>
        </w:rPr>
        <w:t xml:space="preserve"> </w:t>
      </w:r>
      <w:proofErr w:type="gramStart"/>
      <w:r w:rsidRPr="00B90D2A">
        <w:rPr>
          <w:rFonts w:ascii="Times New Roman" w:hAnsi="Times New Roman"/>
        </w:rPr>
        <w:t>Cambridge University Press.</w:t>
      </w:r>
      <w:proofErr w:type="gramEnd"/>
    </w:p>
    <w:p w14:paraId="051939F1" w14:textId="77777777" w:rsidR="00B90D2A" w:rsidRPr="00B90D2A" w:rsidRDefault="00B90D2A" w:rsidP="00553A15">
      <w:pPr>
        <w:spacing w:line="480" w:lineRule="auto"/>
        <w:ind w:left="720" w:hanging="720"/>
        <w:rPr>
          <w:rFonts w:ascii="Times New Roman" w:hAnsi="Times New Roman"/>
        </w:rPr>
      </w:pPr>
      <w:r w:rsidRPr="00B90D2A">
        <w:rPr>
          <w:rFonts w:ascii="Times New Roman" w:hAnsi="Times New Roman"/>
        </w:rPr>
        <w:t>Thomson, J. 1971.</w:t>
      </w:r>
      <w:r>
        <w:rPr>
          <w:rFonts w:ascii="Times New Roman" w:hAnsi="Times New Roman"/>
        </w:rPr>
        <w:t xml:space="preserve"> </w:t>
      </w:r>
      <w:proofErr w:type="gramStart"/>
      <w:r w:rsidRPr="00B90D2A">
        <w:rPr>
          <w:rFonts w:ascii="Times New Roman" w:hAnsi="Times New Roman"/>
        </w:rPr>
        <w:t>A Defense of Abortion.</w:t>
      </w:r>
      <w:proofErr w:type="gramEnd"/>
      <w:r>
        <w:rPr>
          <w:rFonts w:ascii="Times New Roman" w:hAnsi="Times New Roman"/>
        </w:rPr>
        <w:t xml:space="preserve"> </w:t>
      </w:r>
      <w:r w:rsidRPr="00B90D2A">
        <w:rPr>
          <w:rFonts w:ascii="Times New Roman" w:hAnsi="Times New Roman"/>
          <w:i/>
        </w:rPr>
        <w:t>Philosophy and Public Affairs</w:t>
      </w:r>
      <w:r w:rsidRPr="00B90D2A">
        <w:rPr>
          <w:rFonts w:ascii="Times New Roman" w:hAnsi="Times New Roman"/>
        </w:rPr>
        <w:t xml:space="preserve"> 1: 67-95.</w:t>
      </w:r>
    </w:p>
    <w:p w14:paraId="33D0953D" w14:textId="77777777" w:rsidR="00B90D2A" w:rsidRPr="00B90D2A" w:rsidRDefault="00B90D2A" w:rsidP="00553A15">
      <w:pPr>
        <w:spacing w:line="480" w:lineRule="auto"/>
        <w:ind w:left="720" w:hanging="720"/>
        <w:rPr>
          <w:rFonts w:ascii="Times New Roman" w:hAnsi="Times New Roman"/>
        </w:rPr>
      </w:pPr>
      <w:proofErr w:type="gramStart"/>
      <w:r w:rsidRPr="00B90D2A">
        <w:rPr>
          <w:rFonts w:ascii="Times New Roman" w:hAnsi="Times New Roman"/>
        </w:rPr>
        <w:t>Williams, B. 1988.</w:t>
      </w:r>
      <w:proofErr w:type="gramEnd"/>
      <w:r>
        <w:rPr>
          <w:rFonts w:ascii="Times New Roman" w:hAnsi="Times New Roman"/>
        </w:rPr>
        <w:t xml:space="preserve"> </w:t>
      </w:r>
      <w:proofErr w:type="gramStart"/>
      <w:r w:rsidRPr="00B90D2A">
        <w:rPr>
          <w:rFonts w:ascii="Times New Roman" w:hAnsi="Times New Roman"/>
        </w:rPr>
        <w:t>Consequentialism and Integrity.</w:t>
      </w:r>
      <w:proofErr w:type="gramEnd"/>
      <w:r>
        <w:rPr>
          <w:rFonts w:ascii="Times New Roman" w:hAnsi="Times New Roman"/>
        </w:rPr>
        <w:t xml:space="preserve"> </w:t>
      </w:r>
      <w:r w:rsidRPr="00B90D2A">
        <w:rPr>
          <w:rFonts w:ascii="Times New Roman" w:hAnsi="Times New Roman"/>
        </w:rPr>
        <w:t xml:space="preserve">In. S. Scheffler (ed.), </w:t>
      </w:r>
      <w:r w:rsidRPr="00B90D2A">
        <w:rPr>
          <w:rFonts w:ascii="Times New Roman" w:hAnsi="Times New Roman"/>
          <w:i/>
        </w:rPr>
        <w:t>Consequentialism and its Critics</w:t>
      </w:r>
      <w:r w:rsidRPr="00B90D2A">
        <w:rPr>
          <w:rFonts w:ascii="Times New Roman" w:hAnsi="Times New Roman"/>
        </w:rPr>
        <w:t>. Oxford University Press, pp. 20-50.</w:t>
      </w:r>
    </w:p>
    <w:p w14:paraId="63FA11F6" w14:textId="77777777" w:rsidR="00B90D2A" w:rsidRPr="00B90D2A" w:rsidRDefault="00B90D2A" w:rsidP="00553A15">
      <w:pPr>
        <w:spacing w:line="480" w:lineRule="auto"/>
        <w:ind w:left="720" w:hanging="720"/>
        <w:rPr>
          <w:rFonts w:ascii="Times New Roman" w:hAnsi="Times New Roman"/>
        </w:rPr>
      </w:pPr>
      <w:proofErr w:type="gramStart"/>
      <w:r w:rsidRPr="00B90D2A">
        <w:rPr>
          <w:rFonts w:ascii="Times New Roman" w:hAnsi="Times New Roman"/>
        </w:rPr>
        <w:t>Zimmerman, M. 2008.</w:t>
      </w:r>
      <w:proofErr w:type="gramEnd"/>
      <w:r>
        <w:rPr>
          <w:rFonts w:ascii="Times New Roman" w:hAnsi="Times New Roman"/>
        </w:rPr>
        <w:t xml:space="preserve"> </w:t>
      </w:r>
      <w:r w:rsidRPr="00B90D2A">
        <w:rPr>
          <w:rFonts w:ascii="Times New Roman" w:hAnsi="Times New Roman"/>
          <w:i/>
        </w:rPr>
        <w:t>Living with</w:t>
      </w:r>
      <w:bookmarkStart w:id="0" w:name="_GoBack"/>
      <w:bookmarkEnd w:id="0"/>
      <w:r w:rsidRPr="00B90D2A">
        <w:rPr>
          <w:rFonts w:ascii="Times New Roman" w:hAnsi="Times New Roman"/>
          <w:i/>
        </w:rPr>
        <w:t xml:space="preserve"> Uncertainty</w:t>
      </w:r>
      <w:r w:rsidRPr="00B90D2A">
        <w:rPr>
          <w:rFonts w:ascii="Times New Roman" w:hAnsi="Times New Roman"/>
        </w:rPr>
        <w:t>.</w:t>
      </w:r>
      <w:r>
        <w:rPr>
          <w:rFonts w:ascii="Times New Roman" w:hAnsi="Times New Roman"/>
        </w:rPr>
        <w:t xml:space="preserve"> </w:t>
      </w:r>
      <w:proofErr w:type="gramStart"/>
      <w:r w:rsidRPr="00B90D2A">
        <w:rPr>
          <w:rFonts w:ascii="Times New Roman" w:hAnsi="Times New Roman"/>
        </w:rPr>
        <w:t>Cambridge University Press.</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thelas Regular">
    <w:panose1 w:val="02000503000000020003"/>
    <w:charset w:val="00"/>
    <w:family w:val="auto"/>
    <w:pitch w:val="variable"/>
    <w:sig w:usb0="A00000AF" w:usb1="5000205B" w:usb2="00000000" w:usb3="00000000" w:csb0="0000009B" w:csb1="00000000"/>
  </w:font>
  <w:font w:name="Gentium Book Basic">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A55AB" w14:textId="77777777" w:rsidR="00B90D2A" w:rsidRDefault="00B90D2A" w:rsidP="009376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754CA6" w14:textId="77777777" w:rsidR="00B90D2A" w:rsidRDefault="00B90D2A" w:rsidP="00FD45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502775262"/>
      <w:docPartObj>
        <w:docPartGallery w:val="Page Numbers (Bottom of Page)"/>
        <w:docPartUnique/>
      </w:docPartObj>
    </w:sdtPr>
    <w:sdtEndPr>
      <w:rPr>
        <w:noProof/>
      </w:rPr>
    </w:sdtEndPr>
    <w:sdtContent>
      <w:p w14:paraId="662194E7" w14:textId="77777777" w:rsidR="00B90D2A" w:rsidRPr="00B90D2A" w:rsidRDefault="00B90D2A" w:rsidP="00B90D2A">
        <w:pPr>
          <w:pStyle w:val="Footer"/>
          <w:jc w:val="center"/>
          <w:rPr>
            <w:rFonts w:ascii="Times New Roman" w:hAnsi="Times New Roman"/>
          </w:rPr>
        </w:pPr>
        <w:r w:rsidRPr="00B90D2A">
          <w:rPr>
            <w:rFonts w:ascii="Times New Roman" w:hAnsi="Times New Roman"/>
          </w:rPr>
          <w:fldChar w:fldCharType="begin"/>
        </w:r>
        <w:r w:rsidRPr="00B90D2A">
          <w:rPr>
            <w:rFonts w:ascii="Times New Roman" w:hAnsi="Times New Roman"/>
          </w:rPr>
          <w:instrText xml:space="preserve"> PAGE   \* MERGEFORMAT </w:instrText>
        </w:r>
        <w:r w:rsidRPr="00B90D2A">
          <w:rPr>
            <w:rFonts w:ascii="Times New Roman" w:hAnsi="Times New Roman"/>
          </w:rPr>
          <w:fldChar w:fldCharType="separate"/>
        </w:r>
        <w:r w:rsidR="00865FF7">
          <w:rPr>
            <w:rFonts w:ascii="Times New Roman" w:hAnsi="Times New Roman"/>
            <w:noProof/>
          </w:rPr>
          <w:t>26</w:t>
        </w:r>
        <w:r w:rsidRPr="00B90D2A">
          <w:rPr>
            <w:rFonts w:ascii="Times New Roman" w:hAnsi="Times New Roman"/>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DEEBD" w14:textId="77777777" w:rsidR="0029580D" w:rsidRDefault="0029580D" w:rsidP="00FD6351">
      <w:r>
        <w:separator/>
      </w:r>
    </w:p>
  </w:footnote>
  <w:footnote w:type="continuationSeparator" w:id="0">
    <w:p w14:paraId="7E30B2BE" w14:textId="77777777" w:rsidR="0029580D" w:rsidRDefault="0029580D" w:rsidP="00FD63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62292"/>
    <w:multiLevelType w:val="hybridMultilevel"/>
    <w:tmpl w:val="A85A1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8CE"/>
    <w:rsid w:val="00006EE5"/>
    <w:rsid w:val="0001078F"/>
    <w:rsid w:val="00013908"/>
    <w:rsid w:val="0001395E"/>
    <w:rsid w:val="000156AE"/>
    <w:rsid w:val="000158BB"/>
    <w:rsid w:val="0002266B"/>
    <w:rsid w:val="000271E4"/>
    <w:rsid w:val="0004358E"/>
    <w:rsid w:val="00043C0F"/>
    <w:rsid w:val="00053AD3"/>
    <w:rsid w:val="000570D2"/>
    <w:rsid w:val="000653A4"/>
    <w:rsid w:val="000771FE"/>
    <w:rsid w:val="00080045"/>
    <w:rsid w:val="0009463D"/>
    <w:rsid w:val="00097963"/>
    <w:rsid w:val="000B63F0"/>
    <w:rsid w:val="000C0850"/>
    <w:rsid w:val="000C5731"/>
    <w:rsid w:val="000D199A"/>
    <w:rsid w:val="000E2032"/>
    <w:rsid w:val="000E2F9A"/>
    <w:rsid w:val="000E6F15"/>
    <w:rsid w:val="000F3F42"/>
    <w:rsid w:val="000F549E"/>
    <w:rsid w:val="00114702"/>
    <w:rsid w:val="00117BD9"/>
    <w:rsid w:val="00124224"/>
    <w:rsid w:val="001430FF"/>
    <w:rsid w:val="0014617C"/>
    <w:rsid w:val="00151EB3"/>
    <w:rsid w:val="00152B60"/>
    <w:rsid w:val="001551A7"/>
    <w:rsid w:val="00156F87"/>
    <w:rsid w:val="00164DA4"/>
    <w:rsid w:val="00166D80"/>
    <w:rsid w:val="00181522"/>
    <w:rsid w:val="001815D3"/>
    <w:rsid w:val="001C34F0"/>
    <w:rsid w:val="001C3C35"/>
    <w:rsid w:val="001E6BAA"/>
    <w:rsid w:val="001E79EF"/>
    <w:rsid w:val="002009C2"/>
    <w:rsid w:val="002034EC"/>
    <w:rsid w:val="00237E51"/>
    <w:rsid w:val="00240BD4"/>
    <w:rsid w:val="00250840"/>
    <w:rsid w:val="002533EA"/>
    <w:rsid w:val="00262606"/>
    <w:rsid w:val="002638C1"/>
    <w:rsid w:val="002660D5"/>
    <w:rsid w:val="00281B3C"/>
    <w:rsid w:val="002920B8"/>
    <w:rsid w:val="002944DE"/>
    <w:rsid w:val="0029580D"/>
    <w:rsid w:val="0029583C"/>
    <w:rsid w:val="002B3545"/>
    <w:rsid w:val="002C2AF4"/>
    <w:rsid w:val="002C3A44"/>
    <w:rsid w:val="002C3BDF"/>
    <w:rsid w:val="002D2C91"/>
    <w:rsid w:val="002D7ACE"/>
    <w:rsid w:val="002E2E50"/>
    <w:rsid w:val="002E74A3"/>
    <w:rsid w:val="002F5411"/>
    <w:rsid w:val="00314AF3"/>
    <w:rsid w:val="00317DCA"/>
    <w:rsid w:val="00320AB9"/>
    <w:rsid w:val="00324512"/>
    <w:rsid w:val="003363FC"/>
    <w:rsid w:val="003369EC"/>
    <w:rsid w:val="003427AF"/>
    <w:rsid w:val="003457B9"/>
    <w:rsid w:val="00363484"/>
    <w:rsid w:val="00373B58"/>
    <w:rsid w:val="003944A6"/>
    <w:rsid w:val="003A37F8"/>
    <w:rsid w:val="003A41C8"/>
    <w:rsid w:val="003A4D44"/>
    <w:rsid w:val="003B3181"/>
    <w:rsid w:val="003B3702"/>
    <w:rsid w:val="003B49B6"/>
    <w:rsid w:val="003B5808"/>
    <w:rsid w:val="003C10FE"/>
    <w:rsid w:val="003C2D71"/>
    <w:rsid w:val="003C36D7"/>
    <w:rsid w:val="003D205B"/>
    <w:rsid w:val="003D24ED"/>
    <w:rsid w:val="003D614C"/>
    <w:rsid w:val="003E7484"/>
    <w:rsid w:val="0040496B"/>
    <w:rsid w:val="00407593"/>
    <w:rsid w:val="0041338A"/>
    <w:rsid w:val="00431E45"/>
    <w:rsid w:val="004437FA"/>
    <w:rsid w:val="00444454"/>
    <w:rsid w:val="004462F6"/>
    <w:rsid w:val="00453735"/>
    <w:rsid w:val="00464B0D"/>
    <w:rsid w:val="0046545D"/>
    <w:rsid w:val="0047160A"/>
    <w:rsid w:val="0047353F"/>
    <w:rsid w:val="00482942"/>
    <w:rsid w:val="004965BA"/>
    <w:rsid w:val="004965DD"/>
    <w:rsid w:val="004B246B"/>
    <w:rsid w:val="004B49E8"/>
    <w:rsid w:val="004B6272"/>
    <w:rsid w:val="004C18CE"/>
    <w:rsid w:val="004C3EAC"/>
    <w:rsid w:val="004C6F60"/>
    <w:rsid w:val="004D18FA"/>
    <w:rsid w:val="004D5703"/>
    <w:rsid w:val="004D5F60"/>
    <w:rsid w:val="004D7511"/>
    <w:rsid w:val="004E055C"/>
    <w:rsid w:val="004E3A7E"/>
    <w:rsid w:val="004E6AC4"/>
    <w:rsid w:val="004F521B"/>
    <w:rsid w:val="00501B33"/>
    <w:rsid w:val="00507349"/>
    <w:rsid w:val="005075FB"/>
    <w:rsid w:val="00513A65"/>
    <w:rsid w:val="0052707A"/>
    <w:rsid w:val="00534989"/>
    <w:rsid w:val="005471E7"/>
    <w:rsid w:val="00553A15"/>
    <w:rsid w:val="00574ECC"/>
    <w:rsid w:val="00584409"/>
    <w:rsid w:val="00584877"/>
    <w:rsid w:val="005B132D"/>
    <w:rsid w:val="005C190D"/>
    <w:rsid w:val="005D619B"/>
    <w:rsid w:val="005E30D6"/>
    <w:rsid w:val="005E4433"/>
    <w:rsid w:val="005F275D"/>
    <w:rsid w:val="00600880"/>
    <w:rsid w:val="00607A34"/>
    <w:rsid w:val="00615329"/>
    <w:rsid w:val="006412BB"/>
    <w:rsid w:val="00642ED5"/>
    <w:rsid w:val="006436E7"/>
    <w:rsid w:val="00647920"/>
    <w:rsid w:val="00653223"/>
    <w:rsid w:val="00655745"/>
    <w:rsid w:val="00655999"/>
    <w:rsid w:val="00656EB9"/>
    <w:rsid w:val="006604B8"/>
    <w:rsid w:val="00664C4E"/>
    <w:rsid w:val="00666B80"/>
    <w:rsid w:val="006774AC"/>
    <w:rsid w:val="00685D0E"/>
    <w:rsid w:val="0068689F"/>
    <w:rsid w:val="006A5895"/>
    <w:rsid w:val="006B027E"/>
    <w:rsid w:val="006B0B46"/>
    <w:rsid w:val="006B26D8"/>
    <w:rsid w:val="006C69D9"/>
    <w:rsid w:val="006D674E"/>
    <w:rsid w:val="006F19EF"/>
    <w:rsid w:val="006F3C63"/>
    <w:rsid w:val="006F58FF"/>
    <w:rsid w:val="006F7278"/>
    <w:rsid w:val="007036F3"/>
    <w:rsid w:val="007132B8"/>
    <w:rsid w:val="00714D96"/>
    <w:rsid w:val="00724DFE"/>
    <w:rsid w:val="00726C3B"/>
    <w:rsid w:val="007357EF"/>
    <w:rsid w:val="0073700B"/>
    <w:rsid w:val="007426EA"/>
    <w:rsid w:val="00746394"/>
    <w:rsid w:val="00752401"/>
    <w:rsid w:val="007576B4"/>
    <w:rsid w:val="007805D8"/>
    <w:rsid w:val="00785B64"/>
    <w:rsid w:val="00785F2B"/>
    <w:rsid w:val="007868FE"/>
    <w:rsid w:val="00790040"/>
    <w:rsid w:val="007927E5"/>
    <w:rsid w:val="0079318E"/>
    <w:rsid w:val="007B2AFA"/>
    <w:rsid w:val="007B6E7C"/>
    <w:rsid w:val="007C2690"/>
    <w:rsid w:val="007D43E2"/>
    <w:rsid w:val="007D7C4B"/>
    <w:rsid w:val="007E4950"/>
    <w:rsid w:val="007F2452"/>
    <w:rsid w:val="00811387"/>
    <w:rsid w:val="00813D26"/>
    <w:rsid w:val="00816860"/>
    <w:rsid w:val="0081770D"/>
    <w:rsid w:val="00820A96"/>
    <w:rsid w:val="008256EA"/>
    <w:rsid w:val="00830B42"/>
    <w:rsid w:val="008331A3"/>
    <w:rsid w:val="00850DAD"/>
    <w:rsid w:val="00852D42"/>
    <w:rsid w:val="00864695"/>
    <w:rsid w:val="008653FC"/>
    <w:rsid w:val="00865FF7"/>
    <w:rsid w:val="00874CF5"/>
    <w:rsid w:val="00875B03"/>
    <w:rsid w:val="008966D0"/>
    <w:rsid w:val="00897494"/>
    <w:rsid w:val="008A3DCF"/>
    <w:rsid w:val="008B12EF"/>
    <w:rsid w:val="008B1E98"/>
    <w:rsid w:val="008B7C86"/>
    <w:rsid w:val="008C0CEB"/>
    <w:rsid w:val="008D2EF6"/>
    <w:rsid w:val="008E09A2"/>
    <w:rsid w:val="008E4912"/>
    <w:rsid w:val="008E7970"/>
    <w:rsid w:val="008F1EA5"/>
    <w:rsid w:val="00900C0B"/>
    <w:rsid w:val="009034A2"/>
    <w:rsid w:val="00925B20"/>
    <w:rsid w:val="009306CD"/>
    <w:rsid w:val="00932C35"/>
    <w:rsid w:val="00934A38"/>
    <w:rsid w:val="009376AF"/>
    <w:rsid w:val="00947E78"/>
    <w:rsid w:val="00962962"/>
    <w:rsid w:val="009679A5"/>
    <w:rsid w:val="0097622B"/>
    <w:rsid w:val="00987E3B"/>
    <w:rsid w:val="00990A45"/>
    <w:rsid w:val="009A7A4C"/>
    <w:rsid w:val="009D5A0C"/>
    <w:rsid w:val="009E1D29"/>
    <w:rsid w:val="00A001DF"/>
    <w:rsid w:val="00A061F3"/>
    <w:rsid w:val="00A06B6D"/>
    <w:rsid w:val="00A07D96"/>
    <w:rsid w:val="00A20470"/>
    <w:rsid w:val="00A24DA9"/>
    <w:rsid w:val="00A272AC"/>
    <w:rsid w:val="00A31ACB"/>
    <w:rsid w:val="00A41292"/>
    <w:rsid w:val="00A42EB8"/>
    <w:rsid w:val="00A51768"/>
    <w:rsid w:val="00A8031A"/>
    <w:rsid w:val="00A83D98"/>
    <w:rsid w:val="00A94628"/>
    <w:rsid w:val="00AC22C6"/>
    <w:rsid w:val="00AC47B1"/>
    <w:rsid w:val="00AD0955"/>
    <w:rsid w:val="00AD6455"/>
    <w:rsid w:val="00AD7790"/>
    <w:rsid w:val="00AE13DA"/>
    <w:rsid w:val="00AE4980"/>
    <w:rsid w:val="00AF06FA"/>
    <w:rsid w:val="00AF374C"/>
    <w:rsid w:val="00B24F68"/>
    <w:rsid w:val="00B307E0"/>
    <w:rsid w:val="00B35C5F"/>
    <w:rsid w:val="00B366CF"/>
    <w:rsid w:val="00B45787"/>
    <w:rsid w:val="00B5222E"/>
    <w:rsid w:val="00B53F4E"/>
    <w:rsid w:val="00B54423"/>
    <w:rsid w:val="00B6159B"/>
    <w:rsid w:val="00B61A91"/>
    <w:rsid w:val="00B74279"/>
    <w:rsid w:val="00B7650C"/>
    <w:rsid w:val="00B84DCA"/>
    <w:rsid w:val="00B84FB6"/>
    <w:rsid w:val="00B90D2A"/>
    <w:rsid w:val="00B94EFA"/>
    <w:rsid w:val="00BA763E"/>
    <w:rsid w:val="00BB3055"/>
    <w:rsid w:val="00BB6EC1"/>
    <w:rsid w:val="00BC32EA"/>
    <w:rsid w:val="00BD3756"/>
    <w:rsid w:val="00BD41AA"/>
    <w:rsid w:val="00BE12D8"/>
    <w:rsid w:val="00BF4D96"/>
    <w:rsid w:val="00C201B4"/>
    <w:rsid w:val="00C2441A"/>
    <w:rsid w:val="00C255CE"/>
    <w:rsid w:val="00C32F0E"/>
    <w:rsid w:val="00C33EA2"/>
    <w:rsid w:val="00C4346D"/>
    <w:rsid w:val="00C579C7"/>
    <w:rsid w:val="00C73BA6"/>
    <w:rsid w:val="00C75D73"/>
    <w:rsid w:val="00C81DA0"/>
    <w:rsid w:val="00C85FEB"/>
    <w:rsid w:val="00C864CF"/>
    <w:rsid w:val="00C92A17"/>
    <w:rsid w:val="00CA5F06"/>
    <w:rsid w:val="00CB0207"/>
    <w:rsid w:val="00CB22D7"/>
    <w:rsid w:val="00CB2425"/>
    <w:rsid w:val="00CB2441"/>
    <w:rsid w:val="00CC146A"/>
    <w:rsid w:val="00CC78DF"/>
    <w:rsid w:val="00CC7D06"/>
    <w:rsid w:val="00CD20E3"/>
    <w:rsid w:val="00CD4B79"/>
    <w:rsid w:val="00CD5392"/>
    <w:rsid w:val="00CD7AD2"/>
    <w:rsid w:val="00CE0C4A"/>
    <w:rsid w:val="00CE1679"/>
    <w:rsid w:val="00CE484B"/>
    <w:rsid w:val="00D12085"/>
    <w:rsid w:val="00D15D8C"/>
    <w:rsid w:val="00D20430"/>
    <w:rsid w:val="00D234E6"/>
    <w:rsid w:val="00D33A3D"/>
    <w:rsid w:val="00D34CE0"/>
    <w:rsid w:val="00D418B4"/>
    <w:rsid w:val="00D465F1"/>
    <w:rsid w:val="00D54D11"/>
    <w:rsid w:val="00D5610D"/>
    <w:rsid w:val="00D65365"/>
    <w:rsid w:val="00DC191E"/>
    <w:rsid w:val="00DC1962"/>
    <w:rsid w:val="00DC6E8E"/>
    <w:rsid w:val="00DE030E"/>
    <w:rsid w:val="00DE4257"/>
    <w:rsid w:val="00E01E95"/>
    <w:rsid w:val="00E05AC2"/>
    <w:rsid w:val="00E05BE3"/>
    <w:rsid w:val="00E2695E"/>
    <w:rsid w:val="00E44477"/>
    <w:rsid w:val="00E44C70"/>
    <w:rsid w:val="00E51311"/>
    <w:rsid w:val="00E568ED"/>
    <w:rsid w:val="00E57826"/>
    <w:rsid w:val="00E80294"/>
    <w:rsid w:val="00EA150D"/>
    <w:rsid w:val="00EA5437"/>
    <w:rsid w:val="00EC0C69"/>
    <w:rsid w:val="00EC27F8"/>
    <w:rsid w:val="00ED5212"/>
    <w:rsid w:val="00ED7B52"/>
    <w:rsid w:val="00EE588C"/>
    <w:rsid w:val="00EE6048"/>
    <w:rsid w:val="00EE778B"/>
    <w:rsid w:val="00EF38E4"/>
    <w:rsid w:val="00F03D00"/>
    <w:rsid w:val="00F03F37"/>
    <w:rsid w:val="00F06DF9"/>
    <w:rsid w:val="00F17967"/>
    <w:rsid w:val="00F262F1"/>
    <w:rsid w:val="00F3380D"/>
    <w:rsid w:val="00F37774"/>
    <w:rsid w:val="00F41CA8"/>
    <w:rsid w:val="00F43EF1"/>
    <w:rsid w:val="00F45013"/>
    <w:rsid w:val="00F459CA"/>
    <w:rsid w:val="00F51934"/>
    <w:rsid w:val="00F63318"/>
    <w:rsid w:val="00F66F4E"/>
    <w:rsid w:val="00F712C1"/>
    <w:rsid w:val="00F76B6A"/>
    <w:rsid w:val="00F76F43"/>
    <w:rsid w:val="00FA2878"/>
    <w:rsid w:val="00FA28F3"/>
    <w:rsid w:val="00FC7CEF"/>
    <w:rsid w:val="00FD07E9"/>
    <w:rsid w:val="00FD422E"/>
    <w:rsid w:val="00FD45C1"/>
    <w:rsid w:val="00FD6351"/>
    <w:rsid w:val="00FE0D27"/>
    <w:rsid w:val="00FF0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6953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6351"/>
  </w:style>
  <w:style w:type="character" w:customStyle="1" w:styleId="FootnoteTextChar">
    <w:name w:val="Footnote Text Char"/>
    <w:basedOn w:val="DefaultParagraphFont"/>
    <w:link w:val="FootnoteText"/>
    <w:uiPriority w:val="99"/>
    <w:rsid w:val="00FD6351"/>
  </w:style>
  <w:style w:type="character" w:styleId="FootnoteReference">
    <w:name w:val="footnote reference"/>
    <w:basedOn w:val="DefaultParagraphFont"/>
    <w:uiPriority w:val="99"/>
    <w:unhideWhenUsed/>
    <w:rsid w:val="00FD6351"/>
    <w:rPr>
      <w:vertAlign w:val="superscript"/>
    </w:rPr>
  </w:style>
  <w:style w:type="paragraph" w:customStyle="1" w:styleId="Normal1">
    <w:name w:val="Normal1"/>
    <w:rsid w:val="006F3C63"/>
    <w:pPr>
      <w:widowControl w:val="0"/>
      <w:spacing w:line="276" w:lineRule="auto"/>
      <w:contextualSpacing/>
    </w:pPr>
    <w:rPr>
      <w:rFonts w:ascii="Arial" w:eastAsia="Arial" w:hAnsi="Arial" w:cs="Arial"/>
      <w:color w:val="000000"/>
      <w:sz w:val="22"/>
      <w:szCs w:val="20"/>
      <w:lang w:val="en-GB"/>
    </w:rPr>
  </w:style>
  <w:style w:type="paragraph" w:styleId="Footer">
    <w:name w:val="footer"/>
    <w:basedOn w:val="Normal"/>
    <w:link w:val="FooterChar"/>
    <w:uiPriority w:val="99"/>
    <w:unhideWhenUsed/>
    <w:rsid w:val="00FD45C1"/>
    <w:pPr>
      <w:tabs>
        <w:tab w:val="center" w:pos="4320"/>
        <w:tab w:val="right" w:pos="8640"/>
      </w:tabs>
    </w:pPr>
  </w:style>
  <w:style w:type="character" w:customStyle="1" w:styleId="FooterChar">
    <w:name w:val="Footer Char"/>
    <w:basedOn w:val="DefaultParagraphFont"/>
    <w:link w:val="Footer"/>
    <w:uiPriority w:val="99"/>
    <w:rsid w:val="00FD45C1"/>
  </w:style>
  <w:style w:type="character" w:styleId="PageNumber">
    <w:name w:val="page number"/>
    <w:basedOn w:val="DefaultParagraphFont"/>
    <w:uiPriority w:val="99"/>
    <w:semiHidden/>
    <w:unhideWhenUsed/>
    <w:rsid w:val="00FD45C1"/>
  </w:style>
  <w:style w:type="paragraph" w:styleId="Header">
    <w:name w:val="header"/>
    <w:basedOn w:val="Normal"/>
    <w:link w:val="HeaderChar"/>
    <w:uiPriority w:val="99"/>
    <w:unhideWhenUsed/>
    <w:rsid w:val="00FD45C1"/>
    <w:pPr>
      <w:tabs>
        <w:tab w:val="center" w:pos="4320"/>
        <w:tab w:val="right" w:pos="8640"/>
      </w:tabs>
    </w:pPr>
  </w:style>
  <w:style w:type="character" w:customStyle="1" w:styleId="HeaderChar">
    <w:name w:val="Header Char"/>
    <w:basedOn w:val="DefaultParagraphFont"/>
    <w:link w:val="Header"/>
    <w:uiPriority w:val="99"/>
    <w:rsid w:val="00FD45C1"/>
  </w:style>
  <w:style w:type="character" w:styleId="CommentReference">
    <w:name w:val="annotation reference"/>
    <w:basedOn w:val="DefaultParagraphFont"/>
    <w:uiPriority w:val="99"/>
    <w:semiHidden/>
    <w:unhideWhenUsed/>
    <w:rsid w:val="004437FA"/>
    <w:rPr>
      <w:sz w:val="18"/>
      <w:szCs w:val="18"/>
    </w:rPr>
  </w:style>
  <w:style w:type="paragraph" w:styleId="CommentText">
    <w:name w:val="annotation text"/>
    <w:basedOn w:val="Normal"/>
    <w:link w:val="CommentTextChar"/>
    <w:uiPriority w:val="99"/>
    <w:semiHidden/>
    <w:unhideWhenUsed/>
    <w:rsid w:val="004437FA"/>
  </w:style>
  <w:style w:type="character" w:customStyle="1" w:styleId="CommentTextChar">
    <w:name w:val="Comment Text Char"/>
    <w:basedOn w:val="DefaultParagraphFont"/>
    <w:link w:val="CommentText"/>
    <w:uiPriority w:val="99"/>
    <w:semiHidden/>
    <w:rsid w:val="004437FA"/>
  </w:style>
  <w:style w:type="paragraph" w:styleId="CommentSubject">
    <w:name w:val="annotation subject"/>
    <w:basedOn w:val="CommentText"/>
    <w:next w:val="CommentText"/>
    <w:link w:val="CommentSubjectChar"/>
    <w:uiPriority w:val="99"/>
    <w:semiHidden/>
    <w:unhideWhenUsed/>
    <w:rsid w:val="004437FA"/>
    <w:rPr>
      <w:b/>
      <w:bCs/>
      <w:sz w:val="20"/>
      <w:szCs w:val="20"/>
    </w:rPr>
  </w:style>
  <w:style w:type="character" w:customStyle="1" w:styleId="CommentSubjectChar">
    <w:name w:val="Comment Subject Char"/>
    <w:basedOn w:val="CommentTextChar"/>
    <w:link w:val="CommentSubject"/>
    <w:uiPriority w:val="99"/>
    <w:semiHidden/>
    <w:rsid w:val="004437FA"/>
    <w:rPr>
      <w:b/>
      <w:bCs/>
      <w:sz w:val="20"/>
      <w:szCs w:val="20"/>
    </w:rPr>
  </w:style>
  <w:style w:type="paragraph" w:styleId="BalloonText">
    <w:name w:val="Balloon Text"/>
    <w:basedOn w:val="Normal"/>
    <w:link w:val="BalloonTextChar"/>
    <w:uiPriority w:val="99"/>
    <w:semiHidden/>
    <w:unhideWhenUsed/>
    <w:rsid w:val="004437FA"/>
    <w:rPr>
      <w:rFonts w:ascii="Helvetica" w:hAnsi="Helvetica"/>
      <w:sz w:val="18"/>
      <w:szCs w:val="18"/>
    </w:rPr>
  </w:style>
  <w:style w:type="character" w:customStyle="1" w:styleId="BalloonTextChar">
    <w:name w:val="Balloon Text Char"/>
    <w:basedOn w:val="DefaultParagraphFont"/>
    <w:link w:val="BalloonText"/>
    <w:uiPriority w:val="99"/>
    <w:semiHidden/>
    <w:rsid w:val="004437FA"/>
    <w:rPr>
      <w:rFonts w:ascii="Helvetica" w:hAnsi="Helvetica"/>
      <w:sz w:val="18"/>
      <w:szCs w:val="18"/>
    </w:rPr>
  </w:style>
  <w:style w:type="paragraph" w:styleId="ListParagraph">
    <w:name w:val="List Paragraph"/>
    <w:basedOn w:val="Normal"/>
    <w:uiPriority w:val="34"/>
    <w:qFormat/>
    <w:rsid w:val="00B90D2A"/>
    <w:pPr>
      <w:ind w:left="720"/>
      <w:contextualSpacing/>
    </w:pPr>
  </w:style>
  <w:style w:type="paragraph" w:styleId="EndnoteText">
    <w:name w:val="endnote text"/>
    <w:basedOn w:val="Normal"/>
    <w:link w:val="EndnoteTextChar"/>
    <w:uiPriority w:val="99"/>
    <w:semiHidden/>
    <w:unhideWhenUsed/>
    <w:rsid w:val="00B90D2A"/>
    <w:rPr>
      <w:sz w:val="20"/>
      <w:szCs w:val="20"/>
    </w:rPr>
  </w:style>
  <w:style w:type="character" w:customStyle="1" w:styleId="EndnoteTextChar">
    <w:name w:val="Endnote Text Char"/>
    <w:basedOn w:val="DefaultParagraphFont"/>
    <w:link w:val="EndnoteText"/>
    <w:uiPriority w:val="99"/>
    <w:semiHidden/>
    <w:rsid w:val="00B90D2A"/>
    <w:rPr>
      <w:sz w:val="20"/>
      <w:szCs w:val="20"/>
    </w:rPr>
  </w:style>
  <w:style w:type="character" w:styleId="EndnoteReference">
    <w:name w:val="endnote reference"/>
    <w:basedOn w:val="DefaultParagraphFont"/>
    <w:uiPriority w:val="99"/>
    <w:semiHidden/>
    <w:unhideWhenUsed/>
    <w:rsid w:val="00B90D2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6351"/>
  </w:style>
  <w:style w:type="character" w:customStyle="1" w:styleId="FootnoteTextChar">
    <w:name w:val="Footnote Text Char"/>
    <w:basedOn w:val="DefaultParagraphFont"/>
    <w:link w:val="FootnoteText"/>
    <w:uiPriority w:val="99"/>
    <w:rsid w:val="00FD6351"/>
  </w:style>
  <w:style w:type="character" w:styleId="FootnoteReference">
    <w:name w:val="footnote reference"/>
    <w:basedOn w:val="DefaultParagraphFont"/>
    <w:uiPriority w:val="99"/>
    <w:unhideWhenUsed/>
    <w:rsid w:val="00FD6351"/>
    <w:rPr>
      <w:vertAlign w:val="superscript"/>
    </w:rPr>
  </w:style>
  <w:style w:type="paragraph" w:customStyle="1" w:styleId="Normal1">
    <w:name w:val="Normal1"/>
    <w:rsid w:val="006F3C63"/>
    <w:pPr>
      <w:widowControl w:val="0"/>
      <w:spacing w:line="276" w:lineRule="auto"/>
      <w:contextualSpacing/>
    </w:pPr>
    <w:rPr>
      <w:rFonts w:ascii="Arial" w:eastAsia="Arial" w:hAnsi="Arial" w:cs="Arial"/>
      <w:color w:val="000000"/>
      <w:sz w:val="22"/>
      <w:szCs w:val="20"/>
      <w:lang w:val="en-GB"/>
    </w:rPr>
  </w:style>
  <w:style w:type="paragraph" w:styleId="Footer">
    <w:name w:val="footer"/>
    <w:basedOn w:val="Normal"/>
    <w:link w:val="FooterChar"/>
    <w:uiPriority w:val="99"/>
    <w:unhideWhenUsed/>
    <w:rsid w:val="00FD45C1"/>
    <w:pPr>
      <w:tabs>
        <w:tab w:val="center" w:pos="4320"/>
        <w:tab w:val="right" w:pos="8640"/>
      </w:tabs>
    </w:pPr>
  </w:style>
  <w:style w:type="character" w:customStyle="1" w:styleId="FooterChar">
    <w:name w:val="Footer Char"/>
    <w:basedOn w:val="DefaultParagraphFont"/>
    <w:link w:val="Footer"/>
    <w:uiPriority w:val="99"/>
    <w:rsid w:val="00FD45C1"/>
  </w:style>
  <w:style w:type="character" w:styleId="PageNumber">
    <w:name w:val="page number"/>
    <w:basedOn w:val="DefaultParagraphFont"/>
    <w:uiPriority w:val="99"/>
    <w:semiHidden/>
    <w:unhideWhenUsed/>
    <w:rsid w:val="00FD45C1"/>
  </w:style>
  <w:style w:type="paragraph" w:styleId="Header">
    <w:name w:val="header"/>
    <w:basedOn w:val="Normal"/>
    <w:link w:val="HeaderChar"/>
    <w:uiPriority w:val="99"/>
    <w:unhideWhenUsed/>
    <w:rsid w:val="00FD45C1"/>
    <w:pPr>
      <w:tabs>
        <w:tab w:val="center" w:pos="4320"/>
        <w:tab w:val="right" w:pos="8640"/>
      </w:tabs>
    </w:pPr>
  </w:style>
  <w:style w:type="character" w:customStyle="1" w:styleId="HeaderChar">
    <w:name w:val="Header Char"/>
    <w:basedOn w:val="DefaultParagraphFont"/>
    <w:link w:val="Header"/>
    <w:uiPriority w:val="99"/>
    <w:rsid w:val="00FD45C1"/>
  </w:style>
  <w:style w:type="character" w:styleId="CommentReference">
    <w:name w:val="annotation reference"/>
    <w:basedOn w:val="DefaultParagraphFont"/>
    <w:uiPriority w:val="99"/>
    <w:semiHidden/>
    <w:unhideWhenUsed/>
    <w:rsid w:val="004437FA"/>
    <w:rPr>
      <w:sz w:val="18"/>
      <w:szCs w:val="18"/>
    </w:rPr>
  </w:style>
  <w:style w:type="paragraph" w:styleId="CommentText">
    <w:name w:val="annotation text"/>
    <w:basedOn w:val="Normal"/>
    <w:link w:val="CommentTextChar"/>
    <w:uiPriority w:val="99"/>
    <w:semiHidden/>
    <w:unhideWhenUsed/>
    <w:rsid w:val="004437FA"/>
  </w:style>
  <w:style w:type="character" w:customStyle="1" w:styleId="CommentTextChar">
    <w:name w:val="Comment Text Char"/>
    <w:basedOn w:val="DefaultParagraphFont"/>
    <w:link w:val="CommentText"/>
    <w:uiPriority w:val="99"/>
    <w:semiHidden/>
    <w:rsid w:val="004437FA"/>
  </w:style>
  <w:style w:type="paragraph" w:styleId="CommentSubject">
    <w:name w:val="annotation subject"/>
    <w:basedOn w:val="CommentText"/>
    <w:next w:val="CommentText"/>
    <w:link w:val="CommentSubjectChar"/>
    <w:uiPriority w:val="99"/>
    <w:semiHidden/>
    <w:unhideWhenUsed/>
    <w:rsid w:val="004437FA"/>
    <w:rPr>
      <w:b/>
      <w:bCs/>
      <w:sz w:val="20"/>
      <w:szCs w:val="20"/>
    </w:rPr>
  </w:style>
  <w:style w:type="character" w:customStyle="1" w:styleId="CommentSubjectChar">
    <w:name w:val="Comment Subject Char"/>
    <w:basedOn w:val="CommentTextChar"/>
    <w:link w:val="CommentSubject"/>
    <w:uiPriority w:val="99"/>
    <w:semiHidden/>
    <w:rsid w:val="004437FA"/>
    <w:rPr>
      <w:b/>
      <w:bCs/>
      <w:sz w:val="20"/>
      <w:szCs w:val="20"/>
    </w:rPr>
  </w:style>
  <w:style w:type="paragraph" w:styleId="BalloonText">
    <w:name w:val="Balloon Text"/>
    <w:basedOn w:val="Normal"/>
    <w:link w:val="BalloonTextChar"/>
    <w:uiPriority w:val="99"/>
    <w:semiHidden/>
    <w:unhideWhenUsed/>
    <w:rsid w:val="004437FA"/>
    <w:rPr>
      <w:rFonts w:ascii="Helvetica" w:hAnsi="Helvetica"/>
      <w:sz w:val="18"/>
      <w:szCs w:val="18"/>
    </w:rPr>
  </w:style>
  <w:style w:type="character" w:customStyle="1" w:styleId="BalloonTextChar">
    <w:name w:val="Balloon Text Char"/>
    <w:basedOn w:val="DefaultParagraphFont"/>
    <w:link w:val="BalloonText"/>
    <w:uiPriority w:val="99"/>
    <w:semiHidden/>
    <w:rsid w:val="004437FA"/>
    <w:rPr>
      <w:rFonts w:ascii="Helvetica" w:hAnsi="Helvetica"/>
      <w:sz w:val="18"/>
      <w:szCs w:val="18"/>
    </w:rPr>
  </w:style>
  <w:style w:type="paragraph" w:styleId="ListParagraph">
    <w:name w:val="List Paragraph"/>
    <w:basedOn w:val="Normal"/>
    <w:uiPriority w:val="34"/>
    <w:qFormat/>
    <w:rsid w:val="00B90D2A"/>
    <w:pPr>
      <w:ind w:left="720"/>
      <w:contextualSpacing/>
    </w:pPr>
  </w:style>
  <w:style w:type="paragraph" w:styleId="EndnoteText">
    <w:name w:val="endnote text"/>
    <w:basedOn w:val="Normal"/>
    <w:link w:val="EndnoteTextChar"/>
    <w:uiPriority w:val="99"/>
    <w:semiHidden/>
    <w:unhideWhenUsed/>
    <w:rsid w:val="00B90D2A"/>
    <w:rPr>
      <w:sz w:val="20"/>
      <w:szCs w:val="20"/>
    </w:rPr>
  </w:style>
  <w:style w:type="character" w:customStyle="1" w:styleId="EndnoteTextChar">
    <w:name w:val="Endnote Text Char"/>
    <w:basedOn w:val="DefaultParagraphFont"/>
    <w:link w:val="EndnoteText"/>
    <w:uiPriority w:val="99"/>
    <w:semiHidden/>
    <w:rsid w:val="00B90D2A"/>
    <w:rPr>
      <w:sz w:val="20"/>
      <w:szCs w:val="20"/>
    </w:rPr>
  </w:style>
  <w:style w:type="character" w:styleId="EndnoteReference">
    <w:name w:val="endnote reference"/>
    <w:basedOn w:val="DefaultParagraphFont"/>
    <w:uiPriority w:val="99"/>
    <w:semiHidden/>
    <w:unhideWhenUsed/>
    <w:rsid w:val="00B90D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6004</Words>
  <Characters>34223</Characters>
  <Application>Microsoft Macintosh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2014-04-30T15:27:00Z</cp:lastPrinted>
  <dcterms:created xsi:type="dcterms:W3CDTF">2015-02-06T17:46:00Z</dcterms:created>
  <dcterms:modified xsi:type="dcterms:W3CDTF">2015-02-06T17:46:00Z</dcterms:modified>
</cp:coreProperties>
</file>