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C68" w14:textId="77777777" w:rsidR="00870DA9" w:rsidRDefault="00870DA9" w:rsidP="00870DA9">
      <w:pPr>
        <w:jc w:val="both"/>
        <w:rPr>
          <w:rFonts w:ascii="Garamond" w:hAnsi="Garamond"/>
          <w:b/>
          <w:bCs/>
          <w:sz w:val="40"/>
          <w:szCs w:val="40"/>
          <w:lang w:val="en-US"/>
        </w:rPr>
      </w:pPr>
    </w:p>
    <w:p w14:paraId="03004B09" w14:textId="77777777" w:rsidR="00870DA9" w:rsidRDefault="00870DA9" w:rsidP="00870DA9">
      <w:pPr>
        <w:jc w:val="both"/>
        <w:rPr>
          <w:rFonts w:ascii="Garamond" w:hAnsi="Garamond"/>
          <w:b/>
          <w:bCs/>
          <w:sz w:val="40"/>
          <w:szCs w:val="40"/>
          <w:lang w:val="en-US"/>
        </w:rPr>
      </w:pPr>
    </w:p>
    <w:p w14:paraId="3060BC56" w14:textId="77777777" w:rsidR="003D0329" w:rsidRDefault="003D0329" w:rsidP="00870DA9">
      <w:pPr>
        <w:jc w:val="both"/>
        <w:rPr>
          <w:rFonts w:ascii="Garamond" w:hAnsi="Garamond"/>
          <w:b/>
          <w:bCs/>
          <w:sz w:val="40"/>
          <w:szCs w:val="40"/>
          <w:lang w:val="en-US"/>
        </w:rPr>
      </w:pPr>
    </w:p>
    <w:p w14:paraId="5CB75C6C" w14:textId="3D4B375E" w:rsidR="00870DA9" w:rsidRPr="00870DA9" w:rsidRDefault="00D16748" w:rsidP="00870DA9">
      <w:pPr>
        <w:jc w:val="both"/>
        <w:rPr>
          <w:rFonts w:ascii="Garamond" w:hAnsi="Garamond"/>
          <w:b/>
          <w:bCs/>
          <w:sz w:val="40"/>
          <w:szCs w:val="40"/>
          <w:lang w:val="en-US"/>
        </w:rPr>
      </w:pPr>
      <w:r w:rsidRPr="00870DA9">
        <w:rPr>
          <w:rFonts w:ascii="Garamond" w:hAnsi="Garamond"/>
          <w:b/>
          <w:bCs/>
          <w:sz w:val="40"/>
          <w:szCs w:val="40"/>
          <w:lang w:val="en-US"/>
        </w:rPr>
        <w:t xml:space="preserve">The Good Life </w:t>
      </w:r>
    </w:p>
    <w:p w14:paraId="134B51C3" w14:textId="6D54791E" w:rsidR="00D16748" w:rsidRPr="00870DA9" w:rsidRDefault="00D16748" w:rsidP="00870DA9">
      <w:pPr>
        <w:jc w:val="both"/>
        <w:rPr>
          <w:rFonts w:ascii="Garamond" w:hAnsi="Garamond"/>
          <w:b/>
          <w:bCs/>
          <w:sz w:val="40"/>
          <w:szCs w:val="40"/>
          <w:lang w:val="en-US"/>
        </w:rPr>
      </w:pPr>
      <w:r w:rsidRPr="00870DA9">
        <w:rPr>
          <w:rFonts w:ascii="Garamond" w:hAnsi="Garamond"/>
          <w:b/>
          <w:bCs/>
          <w:sz w:val="40"/>
          <w:szCs w:val="40"/>
          <w:lang w:val="en-US"/>
        </w:rPr>
        <w:t>as</w:t>
      </w:r>
      <w:r w:rsidR="00EB6692" w:rsidRPr="00870DA9">
        <w:rPr>
          <w:rFonts w:ascii="Garamond" w:hAnsi="Garamond"/>
          <w:b/>
          <w:bCs/>
          <w:sz w:val="40"/>
          <w:szCs w:val="40"/>
          <w:lang w:val="en-US"/>
        </w:rPr>
        <w:t xml:space="preserve"> </w:t>
      </w:r>
      <w:r w:rsidRPr="00870DA9">
        <w:rPr>
          <w:rFonts w:ascii="Garamond" w:hAnsi="Garamond"/>
          <w:b/>
          <w:bCs/>
          <w:sz w:val="40"/>
          <w:szCs w:val="40"/>
          <w:lang w:val="en-US"/>
        </w:rPr>
        <w:t>the Life in Touch with the Good</w:t>
      </w:r>
    </w:p>
    <w:p w14:paraId="4B8C7351" w14:textId="072F891B" w:rsidR="00D16748" w:rsidRDefault="00D16748" w:rsidP="00870DA9">
      <w:pPr>
        <w:jc w:val="both"/>
        <w:rPr>
          <w:rFonts w:ascii="Garamond" w:hAnsi="Garamond"/>
          <w:lang w:val="en-US"/>
        </w:rPr>
      </w:pPr>
    </w:p>
    <w:p w14:paraId="74ED45E0" w14:textId="77777777" w:rsidR="003D0329" w:rsidRPr="00EB6692" w:rsidRDefault="003D0329" w:rsidP="00870DA9">
      <w:pPr>
        <w:jc w:val="both"/>
        <w:rPr>
          <w:rFonts w:ascii="Garamond" w:hAnsi="Garamond"/>
          <w:lang w:val="en-US"/>
        </w:rPr>
      </w:pPr>
    </w:p>
    <w:p w14:paraId="151411B6" w14:textId="77400B44" w:rsidR="00870DA9" w:rsidRPr="00024836" w:rsidRDefault="00024836" w:rsidP="00870DA9">
      <w:pPr>
        <w:jc w:val="both"/>
        <w:rPr>
          <w:rFonts w:ascii="Garamond" w:hAnsi="Garamond"/>
          <w:lang w:val="en-US"/>
        </w:rPr>
      </w:pPr>
      <w:r w:rsidRPr="00024836">
        <w:rPr>
          <w:rFonts w:ascii="Garamond" w:hAnsi="Garamond"/>
          <w:lang w:val="en-US"/>
        </w:rPr>
        <w:t xml:space="preserve">Adam Lovett and Stefan Riedener </w:t>
      </w:r>
    </w:p>
    <w:p w14:paraId="409D2F7A" w14:textId="693326B2" w:rsidR="00870DA9" w:rsidRDefault="00870DA9" w:rsidP="00870DA9">
      <w:pPr>
        <w:jc w:val="both"/>
        <w:rPr>
          <w:rFonts w:ascii="Garamond" w:hAnsi="Garamond"/>
          <w:b/>
          <w:bCs/>
          <w:lang w:val="en-US"/>
        </w:rPr>
      </w:pPr>
    </w:p>
    <w:p w14:paraId="6A607086" w14:textId="77777777" w:rsidR="00870DA9" w:rsidRDefault="00870DA9" w:rsidP="00870DA9">
      <w:pPr>
        <w:ind w:firstLine="142"/>
        <w:jc w:val="both"/>
        <w:rPr>
          <w:rFonts w:ascii="Garamond" w:hAnsi="Garamond"/>
          <w:b/>
          <w:bCs/>
          <w:lang w:val="en-US"/>
        </w:rPr>
      </w:pPr>
    </w:p>
    <w:p w14:paraId="76D31106" w14:textId="77777777" w:rsidR="00870DA9" w:rsidRPr="00870DA9" w:rsidRDefault="00870DA9" w:rsidP="00870DA9">
      <w:pPr>
        <w:jc w:val="both"/>
        <w:rPr>
          <w:rFonts w:ascii="Garamond" w:hAnsi="Garamond"/>
          <w:b/>
          <w:bCs/>
          <w:sz w:val="20"/>
          <w:szCs w:val="20"/>
          <w:lang w:val="en-US"/>
        </w:rPr>
      </w:pPr>
    </w:p>
    <w:p w14:paraId="4B949F50" w14:textId="77777777" w:rsidR="00870DA9" w:rsidRPr="00870DA9" w:rsidRDefault="00870DA9" w:rsidP="00870DA9">
      <w:pPr>
        <w:jc w:val="both"/>
        <w:rPr>
          <w:rFonts w:ascii="Garamond" w:hAnsi="Garamond"/>
          <w:b/>
          <w:bCs/>
          <w:sz w:val="20"/>
          <w:szCs w:val="20"/>
          <w:lang w:val="en-US"/>
        </w:rPr>
      </w:pPr>
    </w:p>
    <w:p w14:paraId="1EC23559" w14:textId="3F3516A2" w:rsidR="00D16748" w:rsidRPr="00870DA9" w:rsidRDefault="00D16748" w:rsidP="00870DA9">
      <w:pPr>
        <w:jc w:val="both"/>
        <w:rPr>
          <w:rFonts w:ascii="Garamond" w:hAnsi="Garamond"/>
          <w:sz w:val="20"/>
          <w:szCs w:val="20"/>
          <w:lang w:val="en-US"/>
        </w:rPr>
      </w:pPr>
      <w:r w:rsidRPr="00870DA9">
        <w:rPr>
          <w:rFonts w:ascii="Garamond" w:hAnsi="Garamond"/>
          <w:b/>
          <w:bCs/>
          <w:sz w:val="20"/>
          <w:szCs w:val="20"/>
          <w:lang w:val="en-US"/>
        </w:rPr>
        <w:t>Abstract.</w:t>
      </w:r>
      <w:r w:rsidRPr="00870DA9">
        <w:rPr>
          <w:rFonts w:ascii="Garamond" w:hAnsi="Garamond"/>
          <w:sz w:val="20"/>
          <w:szCs w:val="20"/>
          <w:lang w:val="en-US"/>
        </w:rPr>
        <w:t xml:space="preserve"> What makes your life go well for you? In this paper, we give an account of welfare. Our core idea is simple. There are impersonally good </w:t>
      </w:r>
      <w:r w:rsidR="00F04F00">
        <w:rPr>
          <w:rFonts w:ascii="Garamond" w:hAnsi="Garamond"/>
          <w:sz w:val="20"/>
          <w:szCs w:val="20"/>
          <w:lang w:val="en-US"/>
        </w:rPr>
        <w:t>and</w:t>
      </w:r>
      <w:r w:rsidR="00F04F00" w:rsidRPr="00870DA9">
        <w:rPr>
          <w:rFonts w:ascii="Garamond" w:hAnsi="Garamond"/>
          <w:sz w:val="20"/>
          <w:szCs w:val="20"/>
          <w:lang w:val="en-US"/>
        </w:rPr>
        <w:t xml:space="preserve"> </w:t>
      </w:r>
      <w:r w:rsidRPr="00870DA9">
        <w:rPr>
          <w:rFonts w:ascii="Garamond" w:hAnsi="Garamond"/>
          <w:sz w:val="20"/>
          <w:szCs w:val="20"/>
          <w:lang w:val="en-US"/>
        </w:rPr>
        <w:t>bad things out there: things that are good or bad period, not (or not only) good or bad</w:t>
      </w:r>
      <w:r w:rsidR="00870DA9" w:rsidRPr="00870DA9">
        <w:rPr>
          <w:rFonts w:ascii="Garamond" w:hAnsi="Garamond"/>
          <w:sz w:val="20"/>
          <w:szCs w:val="20"/>
          <w:lang w:val="en-US"/>
        </w:rPr>
        <w:t xml:space="preserve"> </w:t>
      </w:r>
      <w:r w:rsidRPr="00870DA9">
        <w:rPr>
          <w:rFonts w:ascii="Garamond" w:hAnsi="Garamond"/>
          <w:i/>
          <w:iCs/>
          <w:sz w:val="20"/>
          <w:szCs w:val="20"/>
          <w:lang w:val="en-US"/>
        </w:rPr>
        <w:t>for</w:t>
      </w:r>
      <w:r w:rsidRPr="00870DA9">
        <w:rPr>
          <w:rFonts w:ascii="Garamond" w:hAnsi="Garamond"/>
          <w:sz w:val="20"/>
          <w:szCs w:val="20"/>
          <w:lang w:val="en-US"/>
        </w:rPr>
        <w:t xml:space="preserve"> someone. The life that is good for you is the life in contact with the good. We</w:t>
      </w:r>
      <w:r w:rsidR="00870DA9">
        <w:rPr>
          <w:rFonts w:ascii="Garamond" w:hAnsi="Garamond"/>
          <w:sz w:val="20"/>
          <w:szCs w:val="20"/>
          <w:lang w:val="en-US"/>
        </w:rPr>
        <w:t>’</w:t>
      </w:r>
      <w:r w:rsidRPr="00870DA9">
        <w:rPr>
          <w:rFonts w:ascii="Garamond" w:hAnsi="Garamond"/>
          <w:sz w:val="20"/>
          <w:szCs w:val="20"/>
          <w:lang w:val="en-US"/>
        </w:rPr>
        <w:t xml:space="preserve">ll understand the relevant notion of </w:t>
      </w:r>
      <w:r w:rsidR="005C1810">
        <w:rPr>
          <w:rFonts w:ascii="Garamond" w:hAnsi="Garamond"/>
          <w:sz w:val="20"/>
          <w:szCs w:val="20"/>
          <w:lang w:val="en-US"/>
        </w:rPr>
        <w:t>‘</w:t>
      </w:r>
      <w:r w:rsidRPr="00870DA9">
        <w:rPr>
          <w:rFonts w:ascii="Garamond" w:hAnsi="Garamond"/>
          <w:sz w:val="20"/>
          <w:szCs w:val="20"/>
          <w:lang w:val="en-US"/>
        </w:rPr>
        <w:t>contact</w:t>
      </w:r>
      <w:r w:rsidR="00870DA9">
        <w:rPr>
          <w:rFonts w:ascii="Garamond" w:hAnsi="Garamond"/>
          <w:sz w:val="20"/>
          <w:szCs w:val="20"/>
          <w:lang w:val="en-US"/>
        </w:rPr>
        <w:t>’</w:t>
      </w:r>
      <w:r w:rsidRPr="00870DA9">
        <w:rPr>
          <w:rFonts w:ascii="Garamond" w:hAnsi="Garamond"/>
          <w:sz w:val="20"/>
          <w:szCs w:val="20"/>
          <w:lang w:val="en-US"/>
        </w:rPr>
        <w:t xml:space="preserve"> here in terms of manifestation: you</w:t>
      </w:r>
      <w:r w:rsidR="00870DA9">
        <w:rPr>
          <w:rFonts w:ascii="Garamond" w:hAnsi="Garamond"/>
          <w:sz w:val="20"/>
          <w:szCs w:val="20"/>
          <w:lang w:val="en-US"/>
        </w:rPr>
        <w:t>’</w:t>
      </w:r>
      <w:r w:rsidRPr="00870DA9">
        <w:rPr>
          <w:rFonts w:ascii="Garamond" w:hAnsi="Garamond"/>
          <w:sz w:val="20"/>
          <w:szCs w:val="20"/>
          <w:lang w:val="en-US"/>
        </w:rPr>
        <w:t>re in contact with a value either when it is manifest in parts of your life or parts of your life are manifest in it. So, the more the good is manifest in your life, or your life manifest in the good, the better for you. The more the bad is manifest in your life, or your life manifest in the bad, the worse for you. We</w:t>
      </w:r>
      <w:r w:rsidR="00870DA9">
        <w:rPr>
          <w:rFonts w:ascii="Garamond" w:hAnsi="Garamond"/>
          <w:sz w:val="20"/>
          <w:szCs w:val="20"/>
          <w:lang w:val="en-US"/>
        </w:rPr>
        <w:t>’</w:t>
      </w:r>
      <w:r w:rsidRPr="00870DA9">
        <w:rPr>
          <w:rFonts w:ascii="Garamond" w:hAnsi="Garamond"/>
          <w:sz w:val="20"/>
          <w:szCs w:val="20"/>
          <w:lang w:val="en-US"/>
        </w:rPr>
        <w:t>ll argue that this account is extensionally adequate: it explains the welfare value of achievements, friendships, knowledge, pleasures and virtues. Moreover, it has a number of explanatory virtues: it</w:t>
      </w:r>
      <w:r w:rsidR="00870DA9">
        <w:rPr>
          <w:rFonts w:ascii="Garamond" w:hAnsi="Garamond"/>
          <w:sz w:val="20"/>
          <w:szCs w:val="20"/>
          <w:lang w:val="en-US"/>
        </w:rPr>
        <w:t>’</w:t>
      </w:r>
      <w:r w:rsidRPr="00870DA9">
        <w:rPr>
          <w:rFonts w:ascii="Garamond" w:hAnsi="Garamond"/>
          <w:sz w:val="20"/>
          <w:szCs w:val="20"/>
          <w:lang w:val="en-US"/>
        </w:rPr>
        <w:t>s unified, elegant and explanatorily powerful. So, we</w:t>
      </w:r>
      <w:r w:rsidR="00870DA9">
        <w:rPr>
          <w:rFonts w:ascii="Garamond" w:hAnsi="Garamond"/>
          <w:sz w:val="20"/>
          <w:szCs w:val="20"/>
          <w:lang w:val="en-US"/>
        </w:rPr>
        <w:t>’</w:t>
      </w:r>
      <w:r w:rsidRPr="00870DA9">
        <w:rPr>
          <w:rFonts w:ascii="Garamond" w:hAnsi="Garamond"/>
          <w:sz w:val="20"/>
          <w:szCs w:val="20"/>
          <w:lang w:val="en-US"/>
        </w:rPr>
        <w:t>ll suggest, it</w:t>
      </w:r>
      <w:r w:rsidR="00870DA9">
        <w:rPr>
          <w:rFonts w:ascii="Garamond" w:hAnsi="Garamond"/>
          <w:sz w:val="20"/>
          <w:szCs w:val="20"/>
          <w:lang w:val="en-US"/>
        </w:rPr>
        <w:t>’</w:t>
      </w:r>
      <w:r w:rsidRPr="00870DA9">
        <w:rPr>
          <w:rFonts w:ascii="Garamond" w:hAnsi="Garamond"/>
          <w:sz w:val="20"/>
          <w:szCs w:val="20"/>
          <w:lang w:val="en-US"/>
        </w:rPr>
        <w:t xml:space="preserve">s an excellent account of welfare, and in many ways superior to its main competitors. </w:t>
      </w:r>
    </w:p>
    <w:p w14:paraId="4E2A1785" w14:textId="77777777" w:rsidR="00EB6692" w:rsidRPr="00870DA9" w:rsidRDefault="00EB6692" w:rsidP="00870DA9">
      <w:pPr>
        <w:jc w:val="both"/>
        <w:rPr>
          <w:rFonts w:ascii="Garamond" w:hAnsi="Garamond"/>
          <w:sz w:val="20"/>
          <w:szCs w:val="20"/>
          <w:lang w:val="en-US"/>
        </w:rPr>
      </w:pPr>
    </w:p>
    <w:p w14:paraId="38D6C76C" w14:textId="76734458" w:rsidR="00D16748" w:rsidRPr="00870DA9" w:rsidRDefault="00D16748" w:rsidP="00870DA9">
      <w:pPr>
        <w:jc w:val="both"/>
        <w:rPr>
          <w:rFonts w:ascii="Garamond" w:hAnsi="Garamond"/>
          <w:sz w:val="20"/>
          <w:szCs w:val="20"/>
          <w:lang w:val="en-US"/>
        </w:rPr>
      </w:pPr>
      <w:r w:rsidRPr="00870DA9">
        <w:rPr>
          <w:rFonts w:ascii="Garamond" w:hAnsi="Garamond"/>
          <w:b/>
          <w:bCs/>
          <w:sz w:val="20"/>
          <w:szCs w:val="20"/>
          <w:lang w:val="en-US"/>
        </w:rPr>
        <w:t>Keywords.</w:t>
      </w:r>
      <w:r w:rsidRPr="00870DA9">
        <w:rPr>
          <w:rFonts w:ascii="Garamond" w:hAnsi="Garamond"/>
          <w:sz w:val="20"/>
          <w:szCs w:val="20"/>
          <w:lang w:val="en-US"/>
        </w:rPr>
        <w:t xml:space="preserve"> Welfare </w:t>
      </w:r>
      <w:r w:rsidR="008B2172">
        <w:rPr>
          <w:rFonts w:ascii="Garamond" w:hAnsi="Garamond"/>
          <w:sz w:val="20"/>
          <w:szCs w:val="20"/>
          <w:lang w:val="en-US"/>
        </w:rPr>
        <w:t>•</w:t>
      </w:r>
      <w:r w:rsidRPr="00870DA9">
        <w:rPr>
          <w:rFonts w:ascii="Garamond" w:hAnsi="Garamond"/>
          <w:sz w:val="20"/>
          <w:szCs w:val="20"/>
          <w:lang w:val="en-US"/>
        </w:rPr>
        <w:t xml:space="preserve"> </w:t>
      </w:r>
      <w:r w:rsidR="008B2172">
        <w:rPr>
          <w:rFonts w:ascii="Garamond" w:hAnsi="Garamond"/>
          <w:sz w:val="20"/>
          <w:szCs w:val="20"/>
          <w:lang w:val="en-US"/>
        </w:rPr>
        <w:t>H</w:t>
      </w:r>
      <w:r w:rsidRPr="00870DA9">
        <w:rPr>
          <w:rFonts w:ascii="Garamond" w:hAnsi="Garamond"/>
          <w:sz w:val="20"/>
          <w:szCs w:val="20"/>
          <w:lang w:val="en-US"/>
        </w:rPr>
        <w:t xml:space="preserve">edonism </w:t>
      </w:r>
      <w:r w:rsidR="008B2172">
        <w:rPr>
          <w:rFonts w:ascii="Garamond" w:hAnsi="Garamond"/>
          <w:sz w:val="20"/>
          <w:szCs w:val="20"/>
          <w:lang w:val="en-US"/>
        </w:rPr>
        <w:t>• D</w:t>
      </w:r>
      <w:r w:rsidRPr="00870DA9">
        <w:rPr>
          <w:rFonts w:ascii="Garamond" w:hAnsi="Garamond"/>
          <w:sz w:val="20"/>
          <w:szCs w:val="20"/>
          <w:lang w:val="en-US"/>
        </w:rPr>
        <w:t xml:space="preserve">esire satisfactionism </w:t>
      </w:r>
      <w:r w:rsidR="008B2172">
        <w:rPr>
          <w:rFonts w:ascii="Garamond" w:hAnsi="Garamond"/>
          <w:sz w:val="20"/>
          <w:szCs w:val="20"/>
          <w:lang w:val="en-US"/>
        </w:rPr>
        <w:t>•</w:t>
      </w:r>
      <w:r w:rsidRPr="00870DA9">
        <w:rPr>
          <w:rFonts w:ascii="Garamond" w:hAnsi="Garamond"/>
          <w:sz w:val="20"/>
          <w:szCs w:val="20"/>
          <w:lang w:val="en-US"/>
        </w:rPr>
        <w:t xml:space="preserve"> </w:t>
      </w:r>
      <w:r w:rsidR="008B2172">
        <w:rPr>
          <w:rFonts w:ascii="Garamond" w:hAnsi="Garamond"/>
          <w:sz w:val="20"/>
          <w:szCs w:val="20"/>
          <w:lang w:val="en-US"/>
        </w:rPr>
        <w:t>O</w:t>
      </w:r>
      <w:r w:rsidRPr="00870DA9">
        <w:rPr>
          <w:rFonts w:ascii="Garamond" w:hAnsi="Garamond"/>
          <w:sz w:val="20"/>
          <w:szCs w:val="20"/>
          <w:lang w:val="en-US"/>
        </w:rPr>
        <w:t xml:space="preserve">bjective list theories </w:t>
      </w:r>
      <w:r w:rsidR="0081140F">
        <w:rPr>
          <w:rFonts w:ascii="Garamond" w:hAnsi="Garamond"/>
          <w:sz w:val="20"/>
          <w:szCs w:val="20"/>
          <w:lang w:val="en-US"/>
        </w:rPr>
        <w:t>• H</w:t>
      </w:r>
      <w:r w:rsidRPr="00870DA9">
        <w:rPr>
          <w:rFonts w:ascii="Garamond" w:hAnsi="Garamond"/>
          <w:sz w:val="20"/>
          <w:szCs w:val="20"/>
          <w:lang w:val="en-US"/>
        </w:rPr>
        <w:t xml:space="preserve">ybrid theories </w:t>
      </w:r>
      <w:r w:rsidR="00C041C6">
        <w:rPr>
          <w:rFonts w:ascii="Garamond" w:hAnsi="Garamond"/>
          <w:sz w:val="20"/>
          <w:szCs w:val="20"/>
          <w:lang w:val="en-US"/>
        </w:rPr>
        <w:t>• Locative analysis</w:t>
      </w:r>
    </w:p>
    <w:p w14:paraId="611E08D2" w14:textId="77777777" w:rsidR="00D16748" w:rsidRPr="00870DA9" w:rsidRDefault="00D16748" w:rsidP="00870DA9">
      <w:pPr>
        <w:jc w:val="both"/>
        <w:rPr>
          <w:rFonts w:ascii="Garamond" w:hAnsi="Garamond"/>
          <w:sz w:val="20"/>
          <w:szCs w:val="20"/>
          <w:lang w:val="en-US"/>
        </w:rPr>
      </w:pPr>
    </w:p>
    <w:p w14:paraId="77DB9BB8" w14:textId="77777777" w:rsidR="00D16748" w:rsidRPr="00EB6692" w:rsidRDefault="00D16748" w:rsidP="00870DA9">
      <w:pPr>
        <w:jc w:val="both"/>
        <w:rPr>
          <w:rFonts w:ascii="Garamond" w:hAnsi="Garamond"/>
          <w:lang w:val="en-US"/>
        </w:rPr>
      </w:pPr>
    </w:p>
    <w:p w14:paraId="3EF1DCCD" w14:textId="1E2546A0" w:rsidR="00D16748" w:rsidRPr="00EB6692" w:rsidRDefault="00EB6692" w:rsidP="00870DA9">
      <w:pPr>
        <w:jc w:val="both"/>
        <w:rPr>
          <w:rFonts w:ascii="Garamond" w:hAnsi="Garamond"/>
          <w:b/>
          <w:bCs/>
          <w:lang w:val="en-US"/>
        </w:rPr>
      </w:pPr>
      <w:r w:rsidRPr="00EB6692">
        <w:rPr>
          <w:rFonts w:ascii="Garamond" w:hAnsi="Garamond"/>
          <w:b/>
          <w:bCs/>
          <w:lang w:val="en-US"/>
        </w:rPr>
        <w:t xml:space="preserve">1. </w:t>
      </w:r>
      <w:r w:rsidR="00D16748" w:rsidRPr="00EB6692">
        <w:rPr>
          <w:rFonts w:ascii="Garamond" w:hAnsi="Garamond"/>
          <w:b/>
          <w:bCs/>
          <w:lang w:val="en-US"/>
        </w:rPr>
        <w:t>Introduction</w:t>
      </w:r>
    </w:p>
    <w:p w14:paraId="5FB08128" w14:textId="77777777" w:rsidR="00D16748" w:rsidRPr="00EB6692" w:rsidRDefault="00D16748" w:rsidP="00870DA9">
      <w:pPr>
        <w:jc w:val="both"/>
        <w:rPr>
          <w:rFonts w:ascii="Garamond" w:hAnsi="Garamond"/>
          <w:lang w:val="en-US"/>
        </w:rPr>
      </w:pPr>
    </w:p>
    <w:p w14:paraId="43C68589" w14:textId="0B84EBC7" w:rsidR="007854EC" w:rsidRDefault="00D16748" w:rsidP="00870DA9">
      <w:pPr>
        <w:jc w:val="both"/>
        <w:rPr>
          <w:rFonts w:ascii="Garamond" w:hAnsi="Garamond"/>
          <w:lang w:val="en-US"/>
        </w:rPr>
      </w:pPr>
      <w:r w:rsidRPr="00EB6692">
        <w:rPr>
          <w:rFonts w:ascii="Garamond" w:hAnsi="Garamond"/>
          <w:lang w:val="en-US"/>
        </w:rPr>
        <w:t>Imagine you spend a weekend in the mountains with a friend. You hike around snow-capped peaks, see rivers spill into valleys and kestrels pierce the sky. You</w:t>
      </w:r>
      <w:r w:rsidR="00870DA9">
        <w:rPr>
          <w:rFonts w:ascii="Garamond" w:hAnsi="Garamond"/>
          <w:lang w:val="en-US"/>
        </w:rPr>
        <w:t>’</w:t>
      </w:r>
      <w:r w:rsidRPr="00EB6692">
        <w:rPr>
          <w:rFonts w:ascii="Garamond" w:hAnsi="Garamond"/>
          <w:lang w:val="en-US"/>
        </w:rPr>
        <w:t>re enchanted by nature</w:t>
      </w:r>
      <w:r w:rsidR="00870DA9">
        <w:rPr>
          <w:rFonts w:ascii="Garamond" w:hAnsi="Garamond"/>
          <w:lang w:val="en-US"/>
        </w:rPr>
        <w:t>’</w:t>
      </w:r>
      <w:r w:rsidRPr="00EB6692">
        <w:rPr>
          <w:rFonts w:ascii="Garamond" w:hAnsi="Garamond"/>
          <w:lang w:val="en-US"/>
        </w:rPr>
        <w:t xml:space="preserve">s majesty. The trek was carefully planned, and the route is arduous. Completing it is quite the achievement. And the trip deepens the relationship between you two. You tell your friend about your hopes and fears. They respond with comforting empathy. They tell you about their new research. Your intellectual horizons are expanded. You </w:t>
      </w:r>
      <w:r w:rsidR="00C041C6">
        <w:rPr>
          <w:rFonts w:ascii="Garamond" w:hAnsi="Garamond"/>
          <w:lang w:val="en-US"/>
        </w:rPr>
        <w:t>joke</w:t>
      </w:r>
      <w:r w:rsidRPr="00EB6692">
        <w:rPr>
          <w:rFonts w:ascii="Garamond" w:hAnsi="Garamond"/>
          <w:lang w:val="en-US"/>
        </w:rPr>
        <w:t xml:space="preserve"> and  laugh late into each night. At the end of your hike, you wish other people could experience the same. So you donate some money to maintain the trails in the region. On your journey home you</w:t>
      </w:r>
      <w:r w:rsidR="00870DA9">
        <w:rPr>
          <w:rFonts w:ascii="Garamond" w:hAnsi="Garamond"/>
          <w:lang w:val="en-US"/>
        </w:rPr>
        <w:t>’</w:t>
      </w:r>
      <w:r w:rsidRPr="00EB6692">
        <w:rPr>
          <w:rFonts w:ascii="Garamond" w:hAnsi="Garamond"/>
          <w:lang w:val="en-US"/>
        </w:rPr>
        <w:t xml:space="preserve">re elated: you feel those days were the very stuff out of which the good life is made. And intuitively, you are right: this mountain trip was good for you. But why was it? In virtue of what did you benefit from these vistas, conversations, exertions? More generally, what is it that makes your life go well for you? </w:t>
      </w:r>
    </w:p>
    <w:p w14:paraId="391B1FEC" w14:textId="28E521DC" w:rsidR="007854EC" w:rsidRDefault="00D16748" w:rsidP="007854EC">
      <w:pPr>
        <w:ind w:firstLine="708"/>
        <w:jc w:val="both"/>
        <w:rPr>
          <w:rFonts w:ascii="Garamond" w:hAnsi="Garamond"/>
          <w:lang w:val="en-US"/>
        </w:rPr>
      </w:pPr>
      <w:r w:rsidRPr="00EB6692">
        <w:rPr>
          <w:rFonts w:ascii="Garamond" w:hAnsi="Garamond"/>
          <w:lang w:val="en-US"/>
        </w:rPr>
        <w:lastRenderedPageBreak/>
        <w:t>In this paper we provide an account of the good life: of the life that goes well for you, or the life high in welfare. Let</w:t>
      </w:r>
      <w:r w:rsidR="00870DA9">
        <w:rPr>
          <w:rFonts w:ascii="Garamond" w:hAnsi="Garamond"/>
          <w:lang w:val="en-US"/>
        </w:rPr>
        <w:t>’</w:t>
      </w:r>
      <w:r w:rsidRPr="00EB6692">
        <w:rPr>
          <w:rFonts w:ascii="Garamond" w:hAnsi="Garamond"/>
          <w:lang w:val="en-US"/>
        </w:rPr>
        <w:t>s clarify what we mean by this</w:t>
      </w:r>
      <w:r w:rsidR="00C109C9">
        <w:rPr>
          <w:rFonts w:ascii="Garamond" w:hAnsi="Garamond"/>
          <w:lang w:val="en-US"/>
        </w:rPr>
        <w:t>.</w:t>
      </w:r>
      <w:r w:rsidR="00C109C9" w:rsidRPr="000E5D20">
        <w:rPr>
          <w:rStyle w:val="FootnoteReference"/>
        </w:rPr>
        <w:footnoteReference w:id="1"/>
      </w:r>
      <w:r w:rsidRPr="00EB6692">
        <w:rPr>
          <w:rFonts w:ascii="Garamond" w:hAnsi="Garamond"/>
          <w:lang w:val="en-US"/>
        </w:rPr>
        <w:t xml:space="preserve"> Welfare, as we mean it, is best nailed down by its connections to attitudes and actions. It plays a critical role in determining the fittingness of certain attitudes. We should pity or feel sympathy for you if you</w:t>
      </w:r>
      <w:r w:rsidR="00870DA9">
        <w:rPr>
          <w:rFonts w:ascii="Garamond" w:hAnsi="Garamond"/>
          <w:lang w:val="en-US"/>
        </w:rPr>
        <w:t>’</w:t>
      </w:r>
      <w:r w:rsidRPr="00EB6692">
        <w:rPr>
          <w:rFonts w:ascii="Garamond" w:hAnsi="Garamond"/>
          <w:lang w:val="en-US"/>
        </w:rPr>
        <w:t xml:space="preserve">re doing </w:t>
      </w:r>
      <w:r w:rsidR="00BB5B9A" w:rsidRPr="00EB6692">
        <w:rPr>
          <w:rFonts w:ascii="Garamond" w:hAnsi="Garamond"/>
          <w:lang w:val="en-US"/>
        </w:rPr>
        <w:t>badly and</w:t>
      </w:r>
      <w:r w:rsidRPr="00EB6692">
        <w:rPr>
          <w:rFonts w:ascii="Garamond" w:hAnsi="Garamond"/>
          <w:lang w:val="en-US"/>
        </w:rPr>
        <w:t xml:space="preserve"> be pleased for you if you</w:t>
      </w:r>
      <w:r w:rsidR="00870DA9">
        <w:rPr>
          <w:rFonts w:ascii="Garamond" w:hAnsi="Garamond"/>
          <w:lang w:val="en-US"/>
        </w:rPr>
        <w:t>’</w:t>
      </w:r>
      <w:r w:rsidRPr="00EB6692">
        <w:rPr>
          <w:rFonts w:ascii="Garamond" w:hAnsi="Garamond"/>
          <w:lang w:val="en-US"/>
        </w:rPr>
        <w:t>re doing well (R</w:t>
      </w:r>
      <w:r w:rsidR="00797D38">
        <w:rPr>
          <w:rFonts w:ascii="Garamond" w:hAnsi="Garamond"/>
          <w:lang w:val="en-US"/>
        </w:rPr>
        <w:t>ø</w:t>
      </w:r>
      <w:r w:rsidRPr="00EB6692">
        <w:rPr>
          <w:rFonts w:ascii="Garamond" w:hAnsi="Garamond"/>
          <w:lang w:val="en-US"/>
        </w:rPr>
        <w:t>nnow-Rasmussen 2007; Hooker 2015; Fuchs 2018). We should feel the desirability of a life high in welfare, and the undesirability of a life low in it (Campbell 2013). Welfare also plays a critical role in determining the reasonableness of certain actions. We have prudential reason to do what will increase our welfare and avoid doing what will decrease it (Bramble</w:t>
      </w:r>
      <w:r w:rsidR="00797D38" w:rsidRPr="00EB6692">
        <w:rPr>
          <w:rFonts w:ascii="Garamond" w:hAnsi="Garamond"/>
          <w:lang w:val="en-US"/>
        </w:rPr>
        <w:t xml:space="preserve"> </w:t>
      </w:r>
      <w:r w:rsidRPr="00EB6692">
        <w:rPr>
          <w:rFonts w:ascii="Garamond" w:hAnsi="Garamond"/>
          <w:lang w:val="en-US"/>
        </w:rPr>
        <w:t>2016</w:t>
      </w:r>
      <w:r w:rsidR="00797D38">
        <w:rPr>
          <w:rFonts w:ascii="Garamond" w:hAnsi="Garamond"/>
          <w:lang w:val="en-US"/>
        </w:rPr>
        <w:t>b, 86</w:t>
      </w:r>
      <w:r w:rsidRPr="00EB6692">
        <w:rPr>
          <w:rFonts w:ascii="Garamond" w:hAnsi="Garamond"/>
          <w:lang w:val="en-US"/>
        </w:rPr>
        <w:t>; Heathwood 2005</w:t>
      </w:r>
      <w:r w:rsidR="00797D38">
        <w:rPr>
          <w:rFonts w:ascii="Garamond" w:hAnsi="Garamond"/>
          <w:lang w:val="en-US"/>
        </w:rPr>
        <w:t>, 496</w:t>
      </w:r>
      <w:r w:rsidRPr="00EB6692">
        <w:rPr>
          <w:rFonts w:ascii="Garamond" w:hAnsi="Garamond"/>
          <w:lang w:val="en-US"/>
        </w:rPr>
        <w:t>; Zimmerman</w:t>
      </w:r>
      <w:r w:rsidR="001A2E25">
        <w:rPr>
          <w:rFonts w:ascii="Garamond" w:hAnsi="Garamond"/>
          <w:lang w:val="en-US"/>
        </w:rPr>
        <w:t xml:space="preserve"> </w:t>
      </w:r>
      <w:r w:rsidRPr="00EB6692">
        <w:rPr>
          <w:rFonts w:ascii="Garamond" w:hAnsi="Garamond"/>
          <w:lang w:val="en-US"/>
        </w:rPr>
        <w:t>2009). Insofar as we care about someone else, we have reason to promote their welfare too (Darwall 2002). Welfare, then, is tied up with the fittingness of certain attitudes and with a particular class of practical reasons. Our aim is to give an account of welfare in this sense.</w:t>
      </w:r>
    </w:p>
    <w:p w14:paraId="31D98A64" w14:textId="0FE44362" w:rsidR="007854EC" w:rsidRDefault="00D16748" w:rsidP="007854EC">
      <w:pPr>
        <w:ind w:firstLine="708"/>
        <w:jc w:val="both"/>
        <w:rPr>
          <w:rFonts w:ascii="Garamond" w:hAnsi="Garamond"/>
          <w:lang w:val="en-US"/>
        </w:rPr>
      </w:pPr>
      <w:r w:rsidRPr="00EB6692">
        <w:rPr>
          <w:rFonts w:ascii="Garamond" w:hAnsi="Garamond"/>
          <w:lang w:val="en-US"/>
        </w:rPr>
        <w:t>What is it to give such an account? First and foremost, an account of welfare must include an account of basic welfare goods and bads. A basic welfare good fundamentally contributes to your welfare; a basic welfare bad fundamentally detracts from it.</w:t>
      </w:r>
      <w:r w:rsidR="00C9404F" w:rsidRPr="000E5D20">
        <w:rPr>
          <w:rStyle w:val="FootnoteReference"/>
        </w:rPr>
        <w:footnoteReference w:id="2"/>
      </w:r>
      <w:r w:rsidRPr="00EB6692">
        <w:rPr>
          <w:rFonts w:ascii="Garamond" w:hAnsi="Garamond"/>
          <w:lang w:val="en-US"/>
        </w:rPr>
        <w:t xml:space="preserve"> And the dependence here is explanatory: </w:t>
      </w:r>
      <w:proofErr w:type="spellStart"/>
      <w:proofErr w:type="gramStart"/>
      <w:r w:rsidRPr="00EB6692">
        <w:rPr>
          <w:rFonts w:ascii="Garamond" w:hAnsi="Garamond"/>
          <w:lang w:val="en-US"/>
        </w:rPr>
        <w:t>your</w:t>
      </w:r>
      <w:proofErr w:type="spellEnd"/>
      <w:proofErr w:type="gramEnd"/>
      <w:r w:rsidRPr="00EB6692">
        <w:rPr>
          <w:rFonts w:ascii="Garamond" w:hAnsi="Garamond"/>
          <w:lang w:val="en-US"/>
        </w:rPr>
        <w:t xml:space="preserve"> having the level of welfare you do is ultimately grounded by your having the basic welfare goods and bads you do. An account of welfare must give us an account of such goods and bads: it must tell us what kinds of things fundamentally benefit or harm you. And it must also include an account of how the basic goods and bads you have </w:t>
      </w:r>
      <w:proofErr w:type="gramStart"/>
      <w:r w:rsidRPr="00EB6692">
        <w:rPr>
          <w:rFonts w:ascii="Garamond" w:hAnsi="Garamond"/>
          <w:lang w:val="en-US"/>
        </w:rPr>
        <w:t>determine</w:t>
      </w:r>
      <w:proofErr w:type="gramEnd"/>
      <w:r w:rsidRPr="00EB6692">
        <w:rPr>
          <w:rFonts w:ascii="Garamond" w:hAnsi="Garamond"/>
          <w:lang w:val="en-US"/>
        </w:rPr>
        <w:t xml:space="preserve"> your overall welfare: it must tell us what it is to have more or less of these goods and bads; how the quantities of each good and bad contribute to your welfare; and how the welfare contributions of different goods and bads compare to </w:t>
      </w:r>
      <w:r w:rsidR="00AD2272">
        <w:rPr>
          <w:rFonts w:ascii="Garamond" w:hAnsi="Garamond"/>
          <w:lang w:val="en-US"/>
        </w:rPr>
        <w:t>one</w:t>
      </w:r>
      <w:r w:rsidR="00AD2272" w:rsidRPr="00EB6692">
        <w:rPr>
          <w:rFonts w:ascii="Garamond" w:hAnsi="Garamond"/>
          <w:lang w:val="en-US"/>
        </w:rPr>
        <w:t xml:space="preserve"> </w:t>
      </w:r>
      <w:r w:rsidR="00AD2272">
        <w:rPr>
          <w:rFonts w:ascii="Garamond" w:hAnsi="Garamond"/>
          <w:lang w:val="en-US"/>
        </w:rPr>
        <w:t>an</w:t>
      </w:r>
      <w:r w:rsidRPr="00EB6692">
        <w:rPr>
          <w:rFonts w:ascii="Garamond" w:hAnsi="Garamond"/>
          <w:lang w:val="en-US"/>
        </w:rPr>
        <w:t>other. Our aim is to provide such an account.</w:t>
      </w:r>
    </w:p>
    <w:p w14:paraId="7A557E20" w14:textId="677247D3" w:rsidR="007854EC" w:rsidRDefault="00D16748" w:rsidP="007854EC">
      <w:pPr>
        <w:ind w:firstLine="708"/>
        <w:jc w:val="both"/>
        <w:rPr>
          <w:rFonts w:ascii="Garamond" w:hAnsi="Garamond"/>
          <w:lang w:val="en-US"/>
        </w:rPr>
      </w:pPr>
      <w:r w:rsidRPr="00EB6692">
        <w:rPr>
          <w:rFonts w:ascii="Garamond" w:hAnsi="Garamond"/>
          <w:lang w:val="en-US"/>
        </w:rPr>
        <w:t>The account we</w:t>
      </w:r>
      <w:r w:rsidR="00870DA9">
        <w:rPr>
          <w:rFonts w:ascii="Garamond" w:hAnsi="Garamond"/>
          <w:lang w:val="en-US"/>
        </w:rPr>
        <w:t>’</w:t>
      </w:r>
      <w:r w:rsidRPr="00EB6692">
        <w:rPr>
          <w:rFonts w:ascii="Garamond" w:hAnsi="Garamond"/>
          <w:lang w:val="en-US"/>
        </w:rPr>
        <w:t xml:space="preserve">ll defend develops a simple idea. There are impersonally good </w:t>
      </w:r>
      <w:r w:rsidR="00F04F00">
        <w:rPr>
          <w:rFonts w:ascii="Garamond" w:hAnsi="Garamond"/>
          <w:lang w:val="en-US"/>
        </w:rPr>
        <w:t>and</w:t>
      </w:r>
      <w:r w:rsidR="00F04F00" w:rsidRPr="00EB6692">
        <w:rPr>
          <w:rFonts w:ascii="Garamond" w:hAnsi="Garamond"/>
          <w:lang w:val="en-US"/>
        </w:rPr>
        <w:t xml:space="preserve"> </w:t>
      </w:r>
      <w:r w:rsidRPr="00EB6692">
        <w:rPr>
          <w:rFonts w:ascii="Garamond" w:hAnsi="Garamond"/>
          <w:lang w:val="en-US"/>
        </w:rPr>
        <w:t>bad things in the universe out there: things that are good or bad period, not (or not only) good or bad</w:t>
      </w:r>
      <w:r w:rsidR="000A6760" w:rsidRPr="00EB6692">
        <w:rPr>
          <w:rFonts w:ascii="Garamond" w:hAnsi="Garamond"/>
          <w:lang w:val="en-US"/>
        </w:rPr>
        <w:t xml:space="preserve"> </w:t>
      </w:r>
      <w:r w:rsidRPr="000A6760">
        <w:rPr>
          <w:rFonts w:ascii="Garamond" w:hAnsi="Garamond"/>
          <w:i/>
          <w:iCs/>
          <w:lang w:val="en-US"/>
        </w:rPr>
        <w:t>for</w:t>
      </w:r>
      <w:r w:rsidRPr="00EB6692">
        <w:rPr>
          <w:rFonts w:ascii="Garamond" w:hAnsi="Garamond"/>
          <w:lang w:val="en-US"/>
        </w:rPr>
        <w:t xml:space="preserve"> someone. And the life that is good for you is the life in touch with the good: it</w:t>
      </w:r>
      <w:r w:rsidR="00870DA9">
        <w:rPr>
          <w:rFonts w:ascii="Garamond" w:hAnsi="Garamond"/>
          <w:lang w:val="en-US"/>
        </w:rPr>
        <w:t>’</w:t>
      </w:r>
      <w:r w:rsidRPr="00EB6692">
        <w:rPr>
          <w:rFonts w:ascii="Garamond" w:hAnsi="Garamond"/>
          <w:lang w:val="en-US"/>
        </w:rPr>
        <w:t>s good for you to be in contact with impersonally good things, and bad for you to be in contact with impersonally bad things. In some form or other, this rough idea has been very popular in Western philosophy. Plato thought that the best life is the life contemplating the Form of the Good (</w:t>
      </w:r>
      <w:r w:rsidRPr="00963515">
        <w:rPr>
          <w:rFonts w:ascii="Garamond" w:hAnsi="Garamond"/>
          <w:i/>
          <w:iCs/>
          <w:lang w:val="en-US"/>
        </w:rPr>
        <w:t>Republic</w:t>
      </w:r>
      <w:r w:rsidRPr="00EB6692">
        <w:rPr>
          <w:rFonts w:ascii="Garamond" w:hAnsi="Garamond"/>
          <w:lang w:val="en-US"/>
        </w:rPr>
        <w:t>, 514a-520a). Augustine believed that the good life is the life in appropriate love with the goods</w:t>
      </w:r>
      <w:r w:rsidR="00A7203A">
        <w:rPr>
          <w:rFonts w:ascii="Garamond" w:hAnsi="Garamond"/>
          <w:lang w:val="en-US"/>
        </w:rPr>
        <w:t xml:space="preserve"> – </w:t>
      </w:r>
      <w:r w:rsidRPr="00EB6692">
        <w:rPr>
          <w:rFonts w:ascii="Garamond" w:hAnsi="Garamond"/>
          <w:lang w:val="en-US"/>
        </w:rPr>
        <w:t>and especially, with the ultimate good, God (see esp.</w:t>
      </w:r>
      <w:r w:rsidR="00963515" w:rsidRPr="00EB6692">
        <w:rPr>
          <w:rFonts w:ascii="Garamond" w:hAnsi="Garamond"/>
          <w:lang w:val="en-US"/>
        </w:rPr>
        <w:t xml:space="preserve"> </w:t>
      </w:r>
      <w:r w:rsidRPr="00963515">
        <w:rPr>
          <w:rFonts w:ascii="Garamond" w:hAnsi="Garamond"/>
          <w:i/>
          <w:iCs/>
          <w:lang w:val="en-US"/>
        </w:rPr>
        <w:t>City of God</w:t>
      </w:r>
      <w:r w:rsidRPr="00EB6692">
        <w:rPr>
          <w:rFonts w:ascii="Garamond" w:hAnsi="Garamond"/>
          <w:lang w:val="en-US"/>
        </w:rPr>
        <w:t>, XV.22). Thomas Aquinas claimed that our happiness consists in the vision of that good (</w:t>
      </w:r>
      <w:r w:rsidRPr="00B53A8F">
        <w:rPr>
          <w:rFonts w:ascii="Garamond" w:hAnsi="Garamond"/>
          <w:i/>
          <w:iCs/>
          <w:lang w:val="en-US"/>
        </w:rPr>
        <w:t>Summa Theologiae</w:t>
      </w:r>
      <w:r w:rsidRPr="00EB6692">
        <w:rPr>
          <w:rFonts w:ascii="Garamond" w:hAnsi="Garamond"/>
          <w:lang w:val="en-US"/>
        </w:rPr>
        <w:t>, I-II. 3.8). And the idea also appears in many contemporary accounts</w:t>
      </w:r>
      <w:r w:rsidR="00A7203A">
        <w:rPr>
          <w:rFonts w:ascii="Garamond" w:hAnsi="Garamond"/>
          <w:lang w:val="en-US"/>
        </w:rPr>
        <w:t xml:space="preserve"> – </w:t>
      </w:r>
      <w:r w:rsidRPr="00EB6692">
        <w:rPr>
          <w:rFonts w:ascii="Garamond" w:hAnsi="Garamond"/>
          <w:lang w:val="en-US"/>
        </w:rPr>
        <w:t>such as Kagan</w:t>
      </w:r>
      <w:r w:rsidR="00870DA9">
        <w:rPr>
          <w:rFonts w:ascii="Garamond" w:hAnsi="Garamond"/>
          <w:lang w:val="en-US"/>
        </w:rPr>
        <w:t>’</w:t>
      </w:r>
      <w:r w:rsidRPr="00EB6692">
        <w:rPr>
          <w:rFonts w:ascii="Garamond" w:hAnsi="Garamond"/>
          <w:lang w:val="en-US"/>
        </w:rPr>
        <w:t>s claim that welfare consists in enjoying the good (2009) or Darwall</w:t>
      </w:r>
      <w:r w:rsidR="00870DA9">
        <w:rPr>
          <w:rFonts w:ascii="Garamond" w:hAnsi="Garamond"/>
          <w:lang w:val="en-US"/>
        </w:rPr>
        <w:t>’</w:t>
      </w:r>
      <w:r w:rsidRPr="00EB6692">
        <w:rPr>
          <w:rFonts w:ascii="Garamond" w:hAnsi="Garamond"/>
          <w:lang w:val="en-US"/>
        </w:rPr>
        <w:t xml:space="preserve">s view that welfare consists in appreciating the good (2002). These accounts involve different understandings of what the </w:t>
      </w:r>
      <w:r w:rsidR="005C1810">
        <w:rPr>
          <w:rFonts w:ascii="Garamond" w:hAnsi="Garamond"/>
          <w:lang w:val="en-US"/>
        </w:rPr>
        <w:t>‘</w:t>
      </w:r>
      <w:r w:rsidRPr="00EB6692">
        <w:rPr>
          <w:rFonts w:ascii="Garamond" w:hAnsi="Garamond"/>
          <w:lang w:val="en-US"/>
        </w:rPr>
        <w:t>good</w:t>
      </w:r>
      <w:r w:rsidR="00870DA9">
        <w:rPr>
          <w:rFonts w:ascii="Garamond" w:hAnsi="Garamond"/>
          <w:lang w:val="en-US"/>
        </w:rPr>
        <w:t>’</w:t>
      </w:r>
      <w:r w:rsidRPr="00EB6692">
        <w:rPr>
          <w:rFonts w:ascii="Garamond" w:hAnsi="Garamond"/>
          <w:lang w:val="en-US"/>
        </w:rPr>
        <w:t xml:space="preserve"> is and what </w:t>
      </w:r>
      <w:r w:rsidR="005C1810">
        <w:rPr>
          <w:rFonts w:ascii="Garamond" w:hAnsi="Garamond"/>
          <w:lang w:val="en-US"/>
        </w:rPr>
        <w:t>‘</w:t>
      </w:r>
      <w:r w:rsidRPr="00EB6692">
        <w:rPr>
          <w:rFonts w:ascii="Garamond" w:hAnsi="Garamond"/>
          <w:lang w:val="en-US"/>
        </w:rPr>
        <w:t>contact</w:t>
      </w:r>
      <w:r w:rsidR="00870DA9">
        <w:rPr>
          <w:rFonts w:ascii="Garamond" w:hAnsi="Garamond"/>
          <w:lang w:val="en-US"/>
        </w:rPr>
        <w:t>’</w:t>
      </w:r>
      <w:r w:rsidRPr="00EB6692">
        <w:rPr>
          <w:rFonts w:ascii="Garamond" w:hAnsi="Garamond"/>
          <w:lang w:val="en-US"/>
        </w:rPr>
        <w:t xml:space="preserve"> </w:t>
      </w:r>
      <w:r w:rsidRPr="00EB6692">
        <w:rPr>
          <w:rFonts w:ascii="Garamond" w:hAnsi="Garamond"/>
          <w:lang w:val="en-US"/>
        </w:rPr>
        <w:lastRenderedPageBreak/>
        <w:t>with it amounts to. But they all say, roughly, that the good life is the life in touch with the good.</w:t>
      </w:r>
      <w:r w:rsidR="00D70093" w:rsidRPr="000E5D20">
        <w:rPr>
          <w:rStyle w:val="FootnoteReference"/>
        </w:rPr>
        <w:footnoteReference w:id="3"/>
      </w:r>
      <w:r w:rsidRPr="00EB6692">
        <w:rPr>
          <w:rFonts w:ascii="Garamond" w:hAnsi="Garamond"/>
          <w:lang w:val="en-US"/>
        </w:rPr>
        <w:t xml:space="preserve"> </w:t>
      </w:r>
    </w:p>
    <w:p w14:paraId="429EE6EA" w14:textId="77777777" w:rsidR="007854EC" w:rsidRDefault="00D16748" w:rsidP="007854EC">
      <w:pPr>
        <w:ind w:firstLine="708"/>
        <w:jc w:val="both"/>
        <w:rPr>
          <w:rFonts w:ascii="Garamond" w:hAnsi="Garamond"/>
          <w:lang w:val="en-US"/>
        </w:rPr>
      </w:pPr>
      <w:r w:rsidRPr="00EB6692">
        <w:rPr>
          <w:rFonts w:ascii="Garamond" w:hAnsi="Garamond"/>
          <w:lang w:val="en-US"/>
        </w:rPr>
        <w:t>We think this general idea is promising. But we find none of these interpretations of it entirely successful. So we</w:t>
      </w:r>
      <w:r w:rsidR="00870DA9">
        <w:rPr>
          <w:rFonts w:ascii="Garamond" w:hAnsi="Garamond"/>
          <w:lang w:val="en-US"/>
        </w:rPr>
        <w:t>’</w:t>
      </w:r>
      <w:r w:rsidRPr="00EB6692">
        <w:rPr>
          <w:rFonts w:ascii="Garamond" w:hAnsi="Garamond"/>
          <w:lang w:val="en-US"/>
        </w:rPr>
        <w:t>ll offer a novel one. We</w:t>
      </w:r>
      <w:r w:rsidR="00870DA9">
        <w:rPr>
          <w:rFonts w:ascii="Garamond" w:hAnsi="Garamond"/>
          <w:lang w:val="en-US"/>
        </w:rPr>
        <w:t>’</w:t>
      </w:r>
      <w:r w:rsidRPr="00EB6692">
        <w:rPr>
          <w:rFonts w:ascii="Garamond" w:hAnsi="Garamond"/>
          <w:lang w:val="en-US"/>
        </w:rPr>
        <w:t>ll understand the relevant contact in terms of manifestation: you</w:t>
      </w:r>
      <w:r w:rsidR="00870DA9">
        <w:rPr>
          <w:rFonts w:ascii="Garamond" w:hAnsi="Garamond"/>
          <w:lang w:val="en-US"/>
        </w:rPr>
        <w:t>’</w:t>
      </w:r>
      <w:r w:rsidRPr="00EB6692">
        <w:rPr>
          <w:rFonts w:ascii="Garamond" w:hAnsi="Garamond"/>
          <w:lang w:val="en-US"/>
        </w:rPr>
        <w:t>re in contact with a value either when it is manifest in parts of your life or parts of your life are manifest in it. So the more the good is manifest in your life, or your life manifest in the good, the better for you. The more the bad is manifest in your life, or your life manifest in the bad, the worse for you. Consider, for example, your weekend in the mountains. The land</w:t>
      </w:r>
      <w:r w:rsidR="00870DA9">
        <w:rPr>
          <w:rFonts w:ascii="Garamond" w:hAnsi="Garamond"/>
          <w:lang w:val="en-US"/>
        </w:rPr>
        <w:t>’</w:t>
      </w:r>
      <w:r w:rsidRPr="00EB6692">
        <w:rPr>
          <w:rFonts w:ascii="Garamond" w:hAnsi="Garamond"/>
          <w:lang w:val="en-US"/>
        </w:rPr>
        <w:t>s beauty was manifest in your enchantment. Your friend</w:t>
      </w:r>
      <w:r w:rsidR="00870DA9">
        <w:rPr>
          <w:rFonts w:ascii="Garamond" w:hAnsi="Garamond"/>
          <w:lang w:val="en-US"/>
        </w:rPr>
        <w:t>’</w:t>
      </w:r>
      <w:r w:rsidRPr="00EB6692">
        <w:rPr>
          <w:rFonts w:ascii="Garamond" w:hAnsi="Garamond"/>
          <w:lang w:val="en-US"/>
        </w:rPr>
        <w:t>s empathy was manifest in your contentedness. Your perseverance was manifest in your completing that hike. This put you in touch with impersonal goods: beauty, empathy, success. And this, we suggest, is why your trip was good for you.</w:t>
      </w:r>
    </w:p>
    <w:p w14:paraId="4F4E0400" w14:textId="4CB09FA6" w:rsidR="000F6F41" w:rsidRPr="00EB6692" w:rsidRDefault="00D16748" w:rsidP="00B14D1D">
      <w:pPr>
        <w:ind w:firstLine="708"/>
        <w:jc w:val="both"/>
        <w:rPr>
          <w:rFonts w:ascii="Garamond" w:hAnsi="Garamond"/>
          <w:lang w:val="en-US"/>
        </w:rPr>
      </w:pPr>
      <w:r w:rsidRPr="00EB6692">
        <w:rPr>
          <w:rFonts w:ascii="Garamond" w:hAnsi="Garamond"/>
          <w:lang w:val="en-US"/>
        </w:rPr>
        <w:t>We</w:t>
      </w:r>
      <w:r w:rsidR="00870DA9">
        <w:rPr>
          <w:rFonts w:ascii="Garamond" w:hAnsi="Garamond"/>
          <w:lang w:val="en-US"/>
        </w:rPr>
        <w:t>’</w:t>
      </w:r>
      <w:r w:rsidRPr="00EB6692">
        <w:rPr>
          <w:rFonts w:ascii="Garamond" w:hAnsi="Garamond"/>
          <w:lang w:val="en-US"/>
        </w:rPr>
        <w:t>ll call this the Contact Account of welfare. In the rest of the paper, we</w:t>
      </w:r>
      <w:r w:rsidR="00870DA9">
        <w:rPr>
          <w:rFonts w:ascii="Garamond" w:hAnsi="Garamond"/>
          <w:lang w:val="en-US"/>
        </w:rPr>
        <w:t>’</w:t>
      </w:r>
      <w:r w:rsidRPr="00EB6692">
        <w:rPr>
          <w:rFonts w:ascii="Garamond" w:hAnsi="Garamond"/>
          <w:lang w:val="en-US"/>
        </w:rPr>
        <w:t xml:space="preserve">ll explain and defend it. In section </w:t>
      </w:r>
      <w:r w:rsidR="00765806">
        <w:rPr>
          <w:rFonts w:ascii="Garamond" w:hAnsi="Garamond"/>
          <w:lang w:val="en-US"/>
        </w:rPr>
        <w:t>3</w:t>
      </w:r>
      <w:r w:rsidRPr="00EB6692">
        <w:rPr>
          <w:rFonts w:ascii="Garamond" w:hAnsi="Garamond"/>
          <w:lang w:val="en-US"/>
        </w:rPr>
        <w:t xml:space="preserve"> we</w:t>
      </w:r>
      <w:r w:rsidR="00870DA9">
        <w:rPr>
          <w:rFonts w:ascii="Garamond" w:hAnsi="Garamond"/>
          <w:lang w:val="en-US"/>
        </w:rPr>
        <w:t>’</w:t>
      </w:r>
      <w:r w:rsidRPr="00EB6692">
        <w:rPr>
          <w:rFonts w:ascii="Garamond" w:hAnsi="Garamond"/>
          <w:lang w:val="en-US"/>
        </w:rPr>
        <w:t xml:space="preserve">ll provide a detailed statement of it. In section </w:t>
      </w:r>
      <w:r w:rsidR="00C3258B">
        <w:rPr>
          <w:rFonts w:ascii="Garamond" w:hAnsi="Garamond"/>
          <w:lang w:val="en-US"/>
        </w:rPr>
        <w:t>4</w:t>
      </w:r>
      <w:r w:rsidRPr="00EB6692">
        <w:rPr>
          <w:rFonts w:ascii="Garamond" w:hAnsi="Garamond"/>
          <w:lang w:val="en-US"/>
        </w:rPr>
        <w:t xml:space="preserve"> we</w:t>
      </w:r>
      <w:r w:rsidR="00870DA9">
        <w:rPr>
          <w:rFonts w:ascii="Garamond" w:hAnsi="Garamond"/>
          <w:lang w:val="en-US"/>
        </w:rPr>
        <w:t>’</w:t>
      </w:r>
      <w:r w:rsidRPr="00EB6692">
        <w:rPr>
          <w:rFonts w:ascii="Garamond" w:hAnsi="Garamond"/>
          <w:lang w:val="en-US"/>
        </w:rPr>
        <w:t>ll argue that the account is extensionally adequate: it can capture everything that</w:t>
      </w:r>
      <w:r w:rsidR="00870DA9">
        <w:rPr>
          <w:rFonts w:ascii="Garamond" w:hAnsi="Garamond"/>
          <w:lang w:val="en-US"/>
        </w:rPr>
        <w:t>’</w:t>
      </w:r>
      <w:r w:rsidRPr="00EB6692">
        <w:rPr>
          <w:rFonts w:ascii="Garamond" w:hAnsi="Garamond"/>
          <w:lang w:val="en-US"/>
        </w:rPr>
        <w:t xml:space="preserve">s intuitively good or bad for you. In particular, it explains the personal value of achievements, friendships, knowledge, pleasures and virtues. In section </w:t>
      </w:r>
      <w:r w:rsidR="004D0C9D">
        <w:rPr>
          <w:rFonts w:ascii="Garamond" w:hAnsi="Garamond"/>
          <w:lang w:val="en-US"/>
        </w:rPr>
        <w:t>5</w:t>
      </w:r>
      <w:r w:rsidRPr="00EB6692">
        <w:rPr>
          <w:rFonts w:ascii="Garamond" w:hAnsi="Garamond"/>
          <w:lang w:val="en-US"/>
        </w:rPr>
        <w:t xml:space="preserve"> we</w:t>
      </w:r>
      <w:r w:rsidR="00870DA9">
        <w:rPr>
          <w:rFonts w:ascii="Garamond" w:hAnsi="Garamond"/>
          <w:lang w:val="en-US"/>
        </w:rPr>
        <w:t>’</w:t>
      </w:r>
      <w:r w:rsidRPr="00EB6692">
        <w:rPr>
          <w:rFonts w:ascii="Garamond" w:hAnsi="Garamond"/>
          <w:lang w:val="en-US"/>
        </w:rPr>
        <w:t>ll argue that the account has a number of explanatory virtues. In particular, it</w:t>
      </w:r>
      <w:r w:rsidR="00870DA9">
        <w:rPr>
          <w:rFonts w:ascii="Garamond" w:hAnsi="Garamond"/>
          <w:lang w:val="en-US"/>
        </w:rPr>
        <w:t>’</w:t>
      </w:r>
      <w:r w:rsidRPr="00EB6692">
        <w:rPr>
          <w:rFonts w:ascii="Garamond" w:hAnsi="Garamond"/>
          <w:lang w:val="en-US"/>
        </w:rPr>
        <w:t>s unified, elegant and explanatorily powerful. In short, we</w:t>
      </w:r>
      <w:r w:rsidR="00870DA9">
        <w:rPr>
          <w:rFonts w:ascii="Garamond" w:hAnsi="Garamond"/>
          <w:lang w:val="en-US"/>
        </w:rPr>
        <w:t>’</w:t>
      </w:r>
      <w:r w:rsidRPr="00EB6692">
        <w:rPr>
          <w:rFonts w:ascii="Garamond" w:hAnsi="Garamond"/>
          <w:lang w:val="en-US"/>
        </w:rPr>
        <w:t>ll suggest not only that the Contact Account is the best interpretation of the idea that the good life is the life in touch with the good. We</w:t>
      </w:r>
      <w:r w:rsidR="00870DA9">
        <w:rPr>
          <w:rFonts w:ascii="Garamond" w:hAnsi="Garamond"/>
          <w:lang w:val="en-US"/>
        </w:rPr>
        <w:t>’</w:t>
      </w:r>
      <w:r w:rsidRPr="00EB6692">
        <w:rPr>
          <w:rFonts w:ascii="Garamond" w:hAnsi="Garamond"/>
          <w:lang w:val="en-US"/>
        </w:rPr>
        <w:t>ll suggest that it</w:t>
      </w:r>
      <w:r w:rsidR="00870DA9">
        <w:rPr>
          <w:rFonts w:ascii="Garamond" w:hAnsi="Garamond"/>
          <w:lang w:val="en-US"/>
        </w:rPr>
        <w:t>’</w:t>
      </w:r>
      <w:r w:rsidRPr="00EB6692">
        <w:rPr>
          <w:rFonts w:ascii="Garamond" w:hAnsi="Garamond"/>
          <w:lang w:val="en-US"/>
        </w:rPr>
        <w:t>s generally an excellent account of welfare</w:t>
      </w:r>
      <w:r w:rsidR="00A7203A">
        <w:rPr>
          <w:rFonts w:ascii="Garamond" w:hAnsi="Garamond"/>
          <w:lang w:val="en-US"/>
        </w:rPr>
        <w:t xml:space="preserve"> – </w:t>
      </w:r>
      <w:r w:rsidRPr="00EB6692">
        <w:rPr>
          <w:rFonts w:ascii="Garamond" w:hAnsi="Garamond"/>
          <w:lang w:val="en-US"/>
        </w:rPr>
        <w:t xml:space="preserve">in many ways superior to its competitors. </w:t>
      </w:r>
      <w:r w:rsidR="00DF6E86">
        <w:rPr>
          <w:rFonts w:ascii="Garamond" w:hAnsi="Garamond"/>
          <w:lang w:val="en-US"/>
        </w:rPr>
        <w:t>Finally</w:t>
      </w:r>
      <w:r w:rsidR="00801792">
        <w:rPr>
          <w:rFonts w:ascii="Garamond" w:hAnsi="Garamond"/>
          <w:lang w:val="en-US"/>
        </w:rPr>
        <w:t>,</w:t>
      </w:r>
      <w:r w:rsidR="00717391">
        <w:rPr>
          <w:rFonts w:ascii="Garamond" w:hAnsi="Garamond"/>
          <w:lang w:val="en-US"/>
        </w:rPr>
        <w:t xml:space="preserve"> in section 6,</w:t>
      </w:r>
      <w:r w:rsidR="00801792">
        <w:rPr>
          <w:rFonts w:ascii="Garamond" w:hAnsi="Garamond"/>
          <w:lang w:val="en-US"/>
        </w:rPr>
        <w:t xml:space="preserve"> we’ll compare the account with a closely related family of views: locative views of welfare. </w:t>
      </w:r>
      <w:r w:rsidRPr="00EB6692">
        <w:rPr>
          <w:rFonts w:ascii="Garamond" w:hAnsi="Garamond"/>
          <w:lang w:val="en-US"/>
        </w:rPr>
        <w:t>But before we get to these arguments, let</w:t>
      </w:r>
      <w:r w:rsidR="00870DA9">
        <w:rPr>
          <w:rFonts w:ascii="Garamond" w:hAnsi="Garamond"/>
          <w:lang w:val="en-US"/>
        </w:rPr>
        <w:t>’</w:t>
      </w:r>
      <w:r w:rsidRPr="00EB6692">
        <w:rPr>
          <w:rFonts w:ascii="Garamond" w:hAnsi="Garamond"/>
          <w:lang w:val="en-US"/>
        </w:rPr>
        <w:t>s provide an intuitive motivation for our view: let</w:t>
      </w:r>
      <w:r w:rsidR="00870DA9">
        <w:rPr>
          <w:rFonts w:ascii="Garamond" w:hAnsi="Garamond"/>
          <w:lang w:val="en-US"/>
        </w:rPr>
        <w:t>’</w:t>
      </w:r>
      <w:r w:rsidRPr="00EB6692">
        <w:rPr>
          <w:rFonts w:ascii="Garamond" w:hAnsi="Garamond"/>
          <w:lang w:val="en-US"/>
        </w:rPr>
        <w:t>s set the stage, and try to get you in the mood for thinking about welfare along our lines.</w:t>
      </w:r>
    </w:p>
    <w:p w14:paraId="29BCD841" w14:textId="77777777" w:rsidR="00D16748" w:rsidRPr="00EB6692" w:rsidRDefault="00D16748" w:rsidP="00870DA9">
      <w:pPr>
        <w:jc w:val="both"/>
        <w:rPr>
          <w:rFonts w:ascii="Garamond" w:hAnsi="Garamond"/>
          <w:lang w:val="en-US"/>
        </w:rPr>
      </w:pPr>
    </w:p>
    <w:p w14:paraId="222D8CD6" w14:textId="6F607852" w:rsidR="00D16748" w:rsidRPr="00EB6692" w:rsidRDefault="00EB6692" w:rsidP="00870DA9">
      <w:pPr>
        <w:jc w:val="both"/>
        <w:rPr>
          <w:rFonts w:ascii="Garamond" w:hAnsi="Garamond"/>
          <w:lang w:val="en-US"/>
        </w:rPr>
      </w:pPr>
      <w:r w:rsidRPr="00EB6692">
        <w:rPr>
          <w:rFonts w:ascii="Garamond" w:hAnsi="Garamond"/>
          <w:b/>
          <w:bCs/>
          <w:lang w:val="en-US"/>
        </w:rPr>
        <w:t xml:space="preserve">2. </w:t>
      </w:r>
      <w:r w:rsidR="00D16748" w:rsidRPr="00EB6692">
        <w:rPr>
          <w:rFonts w:ascii="Garamond" w:hAnsi="Garamond"/>
          <w:b/>
          <w:bCs/>
          <w:lang w:val="en-US"/>
        </w:rPr>
        <w:t>Goodness and Contact</w:t>
      </w:r>
    </w:p>
    <w:p w14:paraId="4880B719" w14:textId="77777777" w:rsidR="00D16748" w:rsidRPr="00EB6692" w:rsidRDefault="00D16748" w:rsidP="00870DA9">
      <w:pPr>
        <w:jc w:val="both"/>
        <w:rPr>
          <w:rFonts w:ascii="Garamond" w:hAnsi="Garamond"/>
          <w:lang w:val="en-US"/>
        </w:rPr>
      </w:pPr>
    </w:p>
    <w:p w14:paraId="0AD1E0D0" w14:textId="33C86BD4" w:rsidR="007854EC" w:rsidRDefault="00D16748" w:rsidP="00870DA9">
      <w:pPr>
        <w:jc w:val="both"/>
        <w:rPr>
          <w:rFonts w:ascii="Garamond" w:hAnsi="Garamond"/>
          <w:lang w:val="en-US"/>
        </w:rPr>
      </w:pPr>
      <w:r w:rsidRPr="00EB6692">
        <w:rPr>
          <w:rFonts w:ascii="Garamond" w:hAnsi="Garamond"/>
          <w:lang w:val="en-US"/>
        </w:rPr>
        <w:t xml:space="preserve">Consider first how to understand the impersonal </w:t>
      </w:r>
      <w:r w:rsidR="005C1810">
        <w:rPr>
          <w:rFonts w:ascii="Garamond" w:hAnsi="Garamond"/>
          <w:lang w:val="en-US"/>
        </w:rPr>
        <w:t>‘</w:t>
      </w:r>
      <w:r w:rsidRPr="00EB6692">
        <w:rPr>
          <w:rFonts w:ascii="Garamond" w:hAnsi="Garamond"/>
          <w:lang w:val="en-US"/>
        </w:rPr>
        <w:t>good</w:t>
      </w:r>
      <w:r w:rsidR="00870DA9">
        <w:rPr>
          <w:rFonts w:ascii="Garamond" w:hAnsi="Garamond"/>
          <w:lang w:val="en-US"/>
        </w:rPr>
        <w:t>’</w:t>
      </w:r>
      <w:r w:rsidRPr="00EB6692">
        <w:rPr>
          <w:rFonts w:ascii="Garamond" w:hAnsi="Garamond"/>
          <w:lang w:val="en-US"/>
        </w:rPr>
        <w:t>, with which the good life is in contact. As we</w:t>
      </w:r>
      <w:r w:rsidR="00870DA9">
        <w:rPr>
          <w:rFonts w:ascii="Garamond" w:hAnsi="Garamond"/>
          <w:lang w:val="en-US"/>
        </w:rPr>
        <w:t>’</w:t>
      </w:r>
      <w:r w:rsidRPr="00EB6692">
        <w:rPr>
          <w:rFonts w:ascii="Garamond" w:hAnsi="Garamond"/>
          <w:lang w:val="en-US"/>
        </w:rPr>
        <w:t>ll understand it, the awesomeness of a rainforest, the beauty of a painting, the elegance of an animal are all impersonally good. The destruction of an ecosystem, the ugliness of a building, the breaking of a promise are all impersonally bad. They</w:t>
      </w:r>
      <w:r w:rsidR="00870DA9">
        <w:rPr>
          <w:rFonts w:ascii="Garamond" w:hAnsi="Garamond"/>
          <w:lang w:val="en-US"/>
        </w:rPr>
        <w:t>’</w:t>
      </w:r>
      <w:r w:rsidRPr="00EB6692">
        <w:rPr>
          <w:rFonts w:ascii="Garamond" w:hAnsi="Garamond"/>
          <w:lang w:val="en-US"/>
        </w:rPr>
        <w:t>re impersonally good or bad in the sense that they</w:t>
      </w:r>
      <w:r w:rsidR="00870DA9">
        <w:rPr>
          <w:rFonts w:ascii="Garamond" w:hAnsi="Garamond"/>
          <w:lang w:val="en-US"/>
        </w:rPr>
        <w:t>’</w:t>
      </w:r>
      <w:r w:rsidRPr="00EB6692">
        <w:rPr>
          <w:rFonts w:ascii="Garamond" w:hAnsi="Garamond"/>
          <w:lang w:val="en-US"/>
        </w:rPr>
        <w:t>re good or bad period</w:t>
      </w:r>
      <w:r w:rsidR="00A7203A">
        <w:rPr>
          <w:rFonts w:ascii="Garamond" w:hAnsi="Garamond"/>
          <w:lang w:val="en-US"/>
        </w:rPr>
        <w:t xml:space="preserve"> – </w:t>
      </w:r>
      <w:r w:rsidRPr="00EB6692">
        <w:rPr>
          <w:rFonts w:ascii="Garamond" w:hAnsi="Garamond"/>
          <w:lang w:val="en-US"/>
        </w:rPr>
        <w:t>not (or not only) good or bad</w:t>
      </w:r>
      <w:r w:rsidR="000E74C2" w:rsidRPr="00EB6692">
        <w:rPr>
          <w:rFonts w:ascii="Garamond" w:hAnsi="Garamond"/>
          <w:lang w:val="en-US"/>
        </w:rPr>
        <w:t xml:space="preserve"> </w:t>
      </w:r>
      <w:r w:rsidRPr="000E74C2">
        <w:rPr>
          <w:rFonts w:ascii="Garamond" w:hAnsi="Garamond"/>
          <w:i/>
          <w:iCs/>
          <w:lang w:val="en-US"/>
        </w:rPr>
        <w:t>fo</w:t>
      </w:r>
      <w:r w:rsidR="000E74C2" w:rsidRPr="008B6306">
        <w:rPr>
          <w:rFonts w:ascii="Garamond" w:hAnsi="Garamond"/>
          <w:i/>
          <w:iCs/>
          <w:lang w:val="en-US"/>
        </w:rPr>
        <w:t>r</w:t>
      </w:r>
      <w:r w:rsidRPr="00EB6692">
        <w:rPr>
          <w:rFonts w:ascii="Garamond" w:hAnsi="Garamond"/>
          <w:lang w:val="en-US"/>
        </w:rPr>
        <w:t xml:space="preserve"> someone. We</w:t>
      </w:r>
      <w:r w:rsidR="00870DA9">
        <w:rPr>
          <w:rFonts w:ascii="Garamond" w:hAnsi="Garamond"/>
          <w:lang w:val="en-US"/>
        </w:rPr>
        <w:t>’</w:t>
      </w:r>
      <w:r w:rsidRPr="00EB6692">
        <w:rPr>
          <w:rFonts w:ascii="Garamond" w:hAnsi="Garamond"/>
          <w:lang w:val="en-US"/>
        </w:rPr>
        <w:t>ll understand this goodness and badness in terms of warranted responses. Some actions, emotions, desires, intentions, and forms of deliberation are warranted for anyone in response to certain things. Protecting the Grand Canyon is warranted in this way. Perhaps destroying the Tour Maine-Montparnasse is also warranted. Some such responses, such as protection, admiration or awe, are positive. Some, such as destruction, regret or contempt, are negative. As we</w:t>
      </w:r>
      <w:r w:rsidR="00870DA9">
        <w:rPr>
          <w:rFonts w:ascii="Garamond" w:hAnsi="Garamond"/>
          <w:lang w:val="en-US"/>
        </w:rPr>
        <w:t>’</w:t>
      </w:r>
      <w:r w:rsidRPr="00EB6692">
        <w:rPr>
          <w:rFonts w:ascii="Garamond" w:hAnsi="Garamond"/>
          <w:lang w:val="en-US"/>
        </w:rPr>
        <w:t xml:space="preserve">ll understand it, for something to be impersonally good is for it to warrant a positive response from anybody. For something to be impersonally bad is for it to warrant a negative response from anybody. The Hagia </w:t>
      </w:r>
      <w:r w:rsidRPr="00EB6692">
        <w:rPr>
          <w:rFonts w:ascii="Garamond" w:hAnsi="Garamond"/>
          <w:lang w:val="en-US"/>
        </w:rPr>
        <w:lastRenderedPageBreak/>
        <w:t>Sophia</w:t>
      </w:r>
      <w:r w:rsidR="00870DA9">
        <w:rPr>
          <w:rFonts w:ascii="Garamond" w:hAnsi="Garamond"/>
          <w:lang w:val="en-US"/>
        </w:rPr>
        <w:t>’</w:t>
      </w:r>
      <w:r w:rsidRPr="00EB6692">
        <w:rPr>
          <w:rFonts w:ascii="Garamond" w:hAnsi="Garamond"/>
          <w:lang w:val="en-US"/>
        </w:rPr>
        <w:t>s beauty warrants awe from all. Thus it</w:t>
      </w:r>
      <w:r w:rsidR="00870DA9">
        <w:rPr>
          <w:rFonts w:ascii="Garamond" w:hAnsi="Garamond"/>
          <w:lang w:val="en-US"/>
        </w:rPr>
        <w:t>’</w:t>
      </w:r>
      <w:r w:rsidRPr="00EB6692">
        <w:rPr>
          <w:rFonts w:ascii="Garamond" w:hAnsi="Garamond"/>
          <w:lang w:val="en-US"/>
        </w:rPr>
        <w:t>s impersonally good. The Exxon Valdez disaster warrants universal regret. Thus it</w:t>
      </w:r>
      <w:r w:rsidR="00870DA9">
        <w:rPr>
          <w:rFonts w:ascii="Garamond" w:hAnsi="Garamond"/>
          <w:lang w:val="en-US"/>
        </w:rPr>
        <w:t>’</w:t>
      </w:r>
      <w:r w:rsidRPr="00EB6692">
        <w:rPr>
          <w:rFonts w:ascii="Garamond" w:hAnsi="Garamond"/>
          <w:lang w:val="en-US"/>
        </w:rPr>
        <w:t>s impersonally bad. To be more precise, we</w:t>
      </w:r>
      <w:r w:rsidR="00870DA9">
        <w:rPr>
          <w:rFonts w:ascii="Garamond" w:hAnsi="Garamond"/>
          <w:lang w:val="en-US"/>
        </w:rPr>
        <w:t>’</w:t>
      </w:r>
      <w:r w:rsidRPr="00EB6692">
        <w:rPr>
          <w:rFonts w:ascii="Garamond" w:hAnsi="Garamond"/>
          <w:lang w:val="en-US"/>
        </w:rPr>
        <w:t>ll assume it</w:t>
      </w:r>
      <w:r w:rsidR="00870DA9">
        <w:rPr>
          <w:rFonts w:ascii="Garamond" w:hAnsi="Garamond"/>
          <w:lang w:val="en-US"/>
        </w:rPr>
        <w:t>’</w:t>
      </w:r>
      <w:r w:rsidRPr="00EB6692">
        <w:rPr>
          <w:rFonts w:ascii="Garamond" w:hAnsi="Garamond"/>
          <w:lang w:val="en-US"/>
        </w:rPr>
        <w:t>s only property instantiations, or facts, that can be impersonally good or bad.</w:t>
      </w:r>
      <w:r w:rsidR="00806C67">
        <w:rPr>
          <w:rStyle w:val="FootnoteReference"/>
          <w:lang w:val="en-US"/>
        </w:rPr>
        <w:footnoteReference w:id="4"/>
      </w:r>
      <w:r w:rsidRPr="00EB6692">
        <w:rPr>
          <w:rFonts w:ascii="Garamond" w:hAnsi="Garamond"/>
          <w:lang w:val="en-US"/>
        </w:rPr>
        <w:t xml:space="preserve"> </w:t>
      </w:r>
      <w:r w:rsidR="0053622D">
        <w:rPr>
          <w:rFonts w:ascii="Garamond" w:hAnsi="Garamond"/>
          <w:lang w:val="en-US"/>
        </w:rPr>
        <w:t xml:space="preserve">Accordingly, when we talk of things such as achievements and friendships being valuable, we’re thinking of such things as collections of facts. </w:t>
      </w:r>
      <w:r w:rsidRPr="00EB6692">
        <w:rPr>
          <w:rFonts w:ascii="Garamond" w:hAnsi="Garamond"/>
          <w:lang w:val="en-US"/>
        </w:rPr>
        <w:t>When a fact is either good or bad, we</w:t>
      </w:r>
      <w:r w:rsidR="00870DA9">
        <w:rPr>
          <w:rFonts w:ascii="Garamond" w:hAnsi="Garamond"/>
          <w:lang w:val="en-US"/>
        </w:rPr>
        <w:t>’</w:t>
      </w:r>
      <w:r w:rsidRPr="00EB6692">
        <w:rPr>
          <w:rFonts w:ascii="Garamond" w:hAnsi="Garamond"/>
          <w:lang w:val="en-US"/>
        </w:rPr>
        <w:t>ll say it</w:t>
      </w:r>
      <w:r w:rsidR="00870DA9">
        <w:rPr>
          <w:rFonts w:ascii="Garamond" w:hAnsi="Garamond"/>
          <w:lang w:val="en-US"/>
        </w:rPr>
        <w:t>’</w:t>
      </w:r>
      <w:r w:rsidRPr="00EB6692">
        <w:rPr>
          <w:rFonts w:ascii="Garamond" w:hAnsi="Garamond"/>
          <w:lang w:val="en-US"/>
        </w:rPr>
        <w:t xml:space="preserve">s a value-fact. We simply assume that the universe contains many value-facts in this sense. </w:t>
      </w:r>
    </w:p>
    <w:p w14:paraId="60F90F7D" w14:textId="59D4887A" w:rsidR="007854EC" w:rsidRDefault="00D16748" w:rsidP="007854EC">
      <w:pPr>
        <w:ind w:firstLine="708"/>
        <w:jc w:val="both"/>
        <w:rPr>
          <w:rFonts w:ascii="Garamond" w:hAnsi="Garamond"/>
          <w:lang w:val="en-US"/>
        </w:rPr>
      </w:pPr>
      <w:r w:rsidRPr="00EB6692">
        <w:rPr>
          <w:rFonts w:ascii="Garamond" w:hAnsi="Garamond"/>
          <w:lang w:val="en-US"/>
        </w:rPr>
        <w:t xml:space="preserve">Now consider how to understand the </w:t>
      </w:r>
      <w:r w:rsidR="005C1810">
        <w:rPr>
          <w:rFonts w:ascii="Garamond" w:hAnsi="Garamond"/>
          <w:lang w:val="en-US"/>
        </w:rPr>
        <w:t>‘</w:t>
      </w:r>
      <w:r w:rsidRPr="00EB6692">
        <w:rPr>
          <w:rFonts w:ascii="Garamond" w:hAnsi="Garamond"/>
          <w:lang w:val="en-US"/>
        </w:rPr>
        <w:t>contact</w:t>
      </w:r>
      <w:r w:rsidR="00870DA9">
        <w:rPr>
          <w:rFonts w:ascii="Garamond" w:hAnsi="Garamond"/>
          <w:lang w:val="en-US"/>
        </w:rPr>
        <w:t>’</w:t>
      </w:r>
      <w:r w:rsidRPr="00EB6692">
        <w:rPr>
          <w:rFonts w:ascii="Garamond" w:hAnsi="Garamond"/>
          <w:lang w:val="en-US"/>
        </w:rPr>
        <w:t xml:space="preserve"> which the good life has with the good. Start with a generic version of how this has been interpreted so far: the view on which contact with the good consists in</w:t>
      </w:r>
      <w:r w:rsidR="00B64222" w:rsidRPr="00EB6692">
        <w:rPr>
          <w:rFonts w:ascii="Garamond" w:hAnsi="Garamond"/>
          <w:lang w:val="en-US"/>
        </w:rPr>
        <w:t xml:space="preserve"> </w:t>
      </w:r>
      <w:r w:rsidRPr="00B64222">
        <w:rPr>
          <w:rFonts w:ascii="Garamond" w:hAnsi="Garamond"/>
          <w:i/>
          <w:iCs/>
          <w:lang w:val="en-US"/>
        </w:rPr>
        <w:t>appreciation</w:t>
      </w:r>
      <w:r w:rsidRPr="00EB6692">
        <w:rPr>
          <w:rFonts w:ascii="Garamond" w:hAnsi="Garamond"/>
          <w:lang w:val="en-US"/>
        </w:rPr>
        <w:t xml:space="preserve"> of it</w:t>
      </w:r>
      <w:r w:rsidR="00A7203A">
        <w:rPr>
          <w:rFonts w:ascii="Garamond" w:hAnsi="Garamond"/>
          <w:lang w:val="en-US"/>
        </w:rPr>
        <w:t xml:space="preserve"> – </w:t>
      </w:r>
      <w:r w:rsidRPr="00EB6692">
        <w:rPr>
          <w:rFonts w:ascii="Garamond" w:hAnsi="Garamond"/>
          <w:lang w:val="en-US"/>
        </w:rPr>
        <w:t>in a pleased experience of the good as good. In some rough sense, Plato</w:t>
      </w:r>
      <w:r w:rsidR="00870DA9">
        <w:rPr>
          <w:rFonts w:ascii="Garamond" w:hAnsi="Garamond"/>
          <w:lang w:val="en-US"/>
        </w:rPr>
        <w:t>’</w:t>
      </w:r>
      <w:r w:rsidRPr="00EB6692">
        <w:rPr>
          <w:rFonts w:ascii="Garamond" w:hAnsi="Garamond"/>
          <w:lang w:val="en-US"/>
        </w:rPr>
        <w:t xml:space="preserve">s </w:t>
      </w:r>
      <w:r w:rsidR="005C1810">
        <w:rPr>
          <w:rFonts w:ascii="Garamond" w:hAnsi="Garamond"/>
          <w:lang w:val="en-US"/>
        </w:rPr>
        <w:t>‘</w:t>
      </w:r>
      <w:r w:rsidRPr="00EB6692">
        <w:rPr>
          <w:rFonts w:ascii="Garamond" w:hAnsi="Garamond"/>
          <w:lang w:val="en-US"/>
        </w:rPr>
        <w:t>contemplation</w:t>
      </w:r>
      <w:r w:rsidR="00870DA9">
        <w:rPr>
          <w:rFonts w:ascii="Garamond" w:hAnsi="Garamond"/>
          <w:lang w:val="en-US"/>
        </w:rPr>
        <w:t>’</w:t>
      </w:r>
      <w:r w:rsidRPr="00EB6692">
        <w:rPr>
          <w:rFonts w:ascii="Garamond" w:hAnsi="Garamond"/>
          <w:lang w:val="en-US"/>
        </w:rPr>
        <w:t>, Augustine</w:t>
      </w:r>
      <w:r w:rsidR="00870DA9">
        <w:rPr>
          <w:rFonts w:ascii="Garamond" w:hAnsi="Garamond"/>
          <w:lang w:val="en-US"/>
        </w:rPr>
        <w:t>’</w:t>
      </w:r>
      <w:r w:rsidRPr="00EB6692">
        <w:rPr>
          <w:rFonts w:ascii="Garamond" w:hAnsi="Garamond"/>
          <w:lang w:val="en-US"/>
        </w:rPr>
        <w:t xml:space="preserve">s </w:t>
      </w:r>
      <w:r w:rsidR="005C1810">
        <w:rPr>
          <w:rFonts w:ascii="Garamond" w:hAnsi="Garamond"/>
          <w:lang w:val="en-US"/>
        </w:rPr>
        <w:t>‘</w:t>
      </w:r>
      <w:r w:rsidRPr="00EB6692">
        <w:rPr>
          <w:rFonts w:ascii="Garamond" w:hAnsi="Garamond"/>
          <w:lang w:val="en-US"/>
        </w:rPr>
        <w:t>love</w:t>
      </w:r>
      <w:r w:rsidR="00870DA9">
        <w:rPr>
          <w:rFonts w:ascii="Garamond" w:hAnsi="Garamond"/>
          <w:lang w:val="en-US"/>
        </w:rPr>
        <w:t>’</w:t>
      </w:r>
      <w:r w:rsidRPr="00EB6692">
        <w:rPr>
          <w:rFonts w:ascii="Garamond" w:hAnsi="Garamond"/>
          <w:lang w:val="en-US"/>
        </w:rPr>
        <w:t>, Aquinas</w:t>
      </w:r>
      <w:r w:rsidR="00870DA9">
        <w:rPr>
          <w:rFonts w:ascii="Garamond" w:hAnsi="Garamond"/>
          <w:lang w:val="en-US"/>
        </w:rPr>
        <w:t>’</w:t>
      </w:r>
      <w:r w:rsidRPr="00EB6692">
        <w:rPr>
          <w:rFonts w:ascii="Garamond" w:hAnsi="Garamond"/>
          <w:lang w:val="en-US"/>
        </w:rPr>
        <w:t xml:space="preserve">s </w:t>
      </w:r>
      <w:r w:rsidR="005C1810">
        <w:rPr>
          <w:rFonts w:ascii="Garamond" w:hAnsi="Garamond"/>
          <w:lang w:val="en-US"/>
        </w:rPr>
        <w:t>‘</w:t>
      </w:r>
      <w:r w:rsidRPr="00EB6692">
        <w:rPr>
          <w:rFonts w:ascii="Garamond" w:hAnsi="Garamond"/>
          <w:lang w:val="en-US"/>
        </w:rPr>
        <w:t>vision</w:t>
      </w:r>
      <w:r w:rsidR="00870DA9">
        <w:rPr>
          <w:rFonts w:ascii="Garamond" w:hAnsi="Garamond"/>
          <w:lang w:val="en-US"/>
        </w:rPr>
        <w:t>’</w:t>
      </w:r>
      <w:r w:rsidRPr="00EB6692">
        <w:rPr>
          <w:rFonts w:ascii="Garamond" w:hAnsi="Garamond"/>
          <w:lang w:val="en-US"/>
        </w:rPr>
        <w:t>, as well as Kagan</w:t>
      </w:r>
      <w:r w:rsidR="00870DA9">
        <w:rPr>
          <w:rFonts w:ascii="Garamond" w:hAnsi="Garamond"/>
          <w:lang w:val="en-US"/>
        </w:rPr>
        <w:t>’</w:t>
      </w:r>
      <w:r w:rsidRPr="00EB6692">
        <w:rPr>
          <w:rFonts w:ascii="Garamond" w:hAnsi="Garamond"/>
          <w:lang w:val="en-US"/>
        </w:rPr>
        <w:t xml:space="preserve">s </w:t>
      </w:r>
      <w:r w:rsidR="005C1810">
        <w:rPr>
          <w:rFonts w:ascii="Garamond" w:hAnsi="Garamond"/>
          <w:lang w:val="en-US"/>
        </w:rPr>
        <w:t>‘</w:t>
      </w:r>
      <w:r w:rsidRPr="00EB6692">
        <w:rPr>
          <w:rFonts w:ascii="Garamond" w:hAnsi="Garamond"/>
          <w:lang w:val="en-US"/>
        </w:rPr>
        <w:t>enjoyment</w:t>
      </w:r>
      <w:r w:rsidR="00870DA9">
        <w:rPr>
          <w:rFonts w:ascii="Garamond" w:hAnsi="Garamond"/>
          <w:lang w:val="en-US"/>
        </w:rPr>
        <w:t>’</w:t>
      </w:r>
      <w:r w:rsidRPr="00EB6692">
        <w:rPr>
          <w:rFonts w:ascii="Garamond" w:hAnsi="Garamond"/>
          <w:lang w:val="en-US"/>
        </w:rPr>
        <w:t xml:space="preserve"> and Darwall</w:t>
      </w:r>
      <w:r w:rsidR="00870DA9">
        <w:rPr>
          <w:rFonts w:ascii="Garamond" w:hAnsi="Garamond"/>
          <w:lang w:val="en-US"/>
        </w:rPr>
        <w:t>’</w:t>
      </w:r>
      <w:r w:rsidRPr="00EB6692">
        <w:rPr>
          <w:rFonts w:ascii="Garamond" w:hAnsi="Garamond"/>
          <w:lang w:val="en-US"/>
        </w:rPr>
        <w:t xml:space="preserve">s </w:t>
      </w:r>
      <w:r w:rsidR="005C1810">
        <w:rPr>
          <w:rFonts w:ascii="Garamond" w:hAnsi="Garamond"/>
          <w:lang w:val="en-US"/>
        </w:rPr>
        <w:t>‘</w:t>
      </w:r>
      <w:r w:rsidRPr="00EB6692">
        <w:rPr>
          <w:rFonts w:ascii="Garamond" w:hAnsi="Garamond"/>
          <w:lang w:val="en-US"/>
        </w:rPr>
        <w:t>appreciation</w:t>
      </w:r>
      <w:r w:rsidR="00870DA9">
        <w:rPr>
          <w:rFonts w:ascii="Garamond" w:hAnsi="Garamond"/>
          <w:lang w:val="en-US"/>
        </w:rPr>
        <w:t>’</w:t>
      </w:r>
      <w:r w:rsidRPr="00EB6692">
        <w:rPr>
          <w:rFonts w:ascii="Garamond" w:hAnsi="Garamond"/>
          <w:lang w:val="en-US"/>
        </w:rPr>
        <w:t xml:space="preserve"> are all interpretable as forms of such an experience. We think this notion of contact suffers from a simple problem: it seems overly passive. Your purposefully</w:t>
      </w:r>
      <w:r w:rsidR="00961247" w:rsidRPr="00EB6692">
        <w:rPr>
          <w:rFonts w:ascii="Garamond" w:hAnsi="Garamond"/>
          <w:lang w:val="en-US"/>
        </w:rPr>
        <w:t xml:space="preserve"> </w:t>
      </w:r>
      <w:r w:rsidRPr="00961247">
        <w:rPr>
          <w:rFonts w:ascii="Garamond" w:hAnsi="Garamond"/>
          <w:i/>
          <w:iCs/>
          <w:lang w:val="en-US"/>
        </w:rPr>
        <w:t>doing</w:t>
      </w:r>
      <w:r w:rsidRPr="00EB6692">
        <w:rPr>
          <w:rFonts w:ascii="Garamond" w:hAnsi="Garamond"/>
          <w:lang w:val="en-US"/>
        </w:rPr>
        <w:t xml:space="preserve"> good seems to benefit you above and beyond your appreciation of </w:t>
      </w:r>
      <w:r w:rsidR="007E205D">
        <w:rPr>
          <w:rFonts w:ascii="Garamond" w:hAnsi="Garamond"/>
          <w:lang w:val="en-US"/>
        </w:rPr>
        <w:t>that good</w:t>
      </w:r>
      <w:r w:rsidRPr="00EB6692">
        <w:rPr>
          <w:rFonts w:ascii="Garamond" w:hAnsi="Garamond"/>
          <w:lang w:val="en-US"/>
        </w:rPr>
        <w:t>. Take Leonardo</w:t>
      </w:r>
      <w:r w:rsidR="00870DA9">
        <w:rPr>
          <w:rFonts w:ascii="Garamond" w:hAnsi="Garamond"/>
          <w:lang w:val="en-US"/>
        </w:rPr>
        <w:t>’</w:t>
      </w:r>
      <w:r w:rsidRPr="00EB6692">
        <w:rPr>
          <w:rFonts w:ascii="Garamond" w:hAnsi="Garamond"/>
          <w:lang w:val="en-US"/>
        </w:rPr>
        <w:t>s Last Supper. Intuitively, the sheer fact that Leonardo painted this masterpiece contributes to his welfare: it makes it fitting to be pleased for his sake or to desire to be in his shoes. And the benefit he gets from this piece of agency is something that you don</w:t>
      </w:r>
      <w:r w:rsidR="00870DA9">
        <w:rPr>
          <w:rFonts w:ascii="Garamond" w:hAnsi="Garamond"/>
          <w:lang w:val="en-US"/>
        </w:rPr>
        <w:t>’</w:t>
      </w:r>
      <w:r w:rsidRPr="00EB6692">
        <w:rPr>
          <w:rFonts w:ascii="Garamond" w:hAnsi="Garamond"/>
          <w:lang w:val="en-US"/>
        </w:rPr>
        <w:t>t (or he himself doesn</w:t>
      </w:r>
      <w:r w:rsidR="00870DA9">
        <w:rPr>
          <w:rFonts w:ascii="Garamond" w:hAnsi="Garamond"/>
          <w:lang w:val="en-US"/>
        </w:rPr>
        <w:t>’</w:t>
      </w:r>
      <w:r w:rsidRPr="00EB6692">
        <w:rPr>
          <w:rFonts w:ascii="Garamond" w:hAnsi="Garamond"/>
          <w:lang w:val="en-US"/>
        </w:rPr>
        <w:t>t) get from merely appreciating that painting once it is there</w:t>
      </w:r>
      <w:r w:rsidR="00A7203A">
        <w:rPr>
          <w:rFonts w:ascii="Garamond" w:hAnsi="Garamond"/>
          <w:lang w:val="en-US"/>
        </w:rPr>
        <w:t xml:space="preserve"> – </w:t>
      </w:r>
      <w:r w:rsidRPr="00EB6692">
        <w:rPr>
          <w:rFonts w:ascii="Garamond" w:hAnsi="Garamond"/>
          <w:lang w:val="en-US"/>
        </w:rPr>
        <w:t>or from appreciating his act of painting it, or the fact that he produced it, or whatever. There</w:t>
      </w:r>
      <w:r w:rsidR="00870DA9">
        <w:rPr>
          <w:rFonts w:ascii="Garamond" w:hAnsi="Garamond"/>
          <w:lang w:val="en-US"/>
        </w:rPr>
        <w:t>’</w:t>
      </w:r>
      <w:r w:rsidRPr="00EB6692">
        <w:rPr>
          <w:rFonts w:ascii="Garamond" w:hAnsi="Garamond"/>
          <w:lang w:val="en-US"/>
        </w:rPr>
        <w:t>s a sui generis benefit in the sheer act of masterfully producing such beauty. Something similar seems true for other goods. It seems in itself good for you to actively benefit others, not just to appreciate that they</w:t>
      </w:r>
      <w:r w:rsidR="00870DA9">
        <w:rPr>
          <w:rFonts w:ascii="Garamond" w:hAnsi="Garamond"/>
          <w:lang w:val="en-US"/>
        </w:rPr>
        <w:t>’</w:t>
      </w:r>
      <w:r w:rsidRPr="00EB6692">
        <w:rPr>
          <w:rFonts w:ascii="Garamond" w:hAnsi="Garamond"/>
          <w:lang w:val="en-US"/>
        </w:rPr>
        <w:t xml:space="preserve">re well off or that someone helps them. It seems in itself good for you to increase the knowledge of humanity, not just to appreciate the value of what we know or the fact that someone added some knowledge to it. The present view seems unable to accommodate this simple fact.  </w:t>
      </w:r>
    </w:p>
    <w:p w14:paraId="3FB31AE8" w14:textId="77777777" w:rsidR="007854EC" w:rsidRDefault="00D16748" w:rsidP="007854EC">
      <w:pPr>
        <w:ind w:firstLine="708"/>
        <w:jc w:val="both"/>
        <w:rPr>
          <w:rFonts w:ascii="Garamond" w:hAnsi="Garamond"/>
          <w:lang w:val="en-US"/>
        </w:rPr>
      </w:pPr>
      <w:r w:rsidRPr="00EB6692">
        <w:rPr>
          <w:rFonts w:ascii="Garamond" w:hAnsi="Garamond"/>
          <w:lang w:val="en-US"/>
        </w:rPr>
        <w:t>In response to this intuition, one might be tempted to extend this generic idea. One might say there are two ways to get in touch with value: either to appreciate something valuable, or to purposefully produce it. This yields an account of welfare that</w:t>
      </w:r>
      <w:r w:rsidR="00870DA9">
        <w:rPr>
          <w:rFonts w:ascii="Garamond" w:hAnsi="Garamond"/>
          <w:lang w:val="en-US"/>
        </w:rPr>
        <w:t>’</w:t>
      </w:r>
      <w:r w:rsidRPr="00EB6692">
        <w:rPr>
          <w:rFonts w:ascii="Garamond" w:hAnsi="Garamond"/>
          <w:lang w:val="en-US"/>
        </w:rPr>
        <w:t>s sensitive to the import of active production. But this view still faces problems. To begin with, it employs a thoroughly disjunctive account of contact. Appreciation and purposeful production might be contingently connected: people often bring about values they appreciate or appreciate values they bring about. But these relations aren</w:t>
      </w:r>
      <w:r w:rsidR="00870DA9">
        <w:rPr>
          <w:rFonts w:ascii="Garamond" w:hAnsi="Garamond"/>
          <w:lang w:val="en-US"/>
        </w:rPr>
        <w:t>’</w:t>
      </w:r>
      <w:r w:rsidRPr="00EB6692">
        <w:rPr>
          <w:rFonts w:ascii="Garamond" w:hAnsi="Garamond"/>
          <w:lang w:val="en-US"/>
        </w:rPr>
        <w:t>t connected in any deeper way. In this sense, the present account is disunified. And while this doesn</w:t>
      </w:r>
      <w:r w:rsidR="00870DA9">
        <w:rPr>
          <w:rFonts w:ascii="Garamond" w:hAnsi="Garamond"/>
          <w:lang w:val="en-US"/>
        </w:rPr>
        <w:t>’</w:t>
      </w:r>
      <w:r w:rsidRPr="00EB6692">
        <w:rPr>
          <w:rFonts w:ascii="Garamond" w:hAnsi="Garamond"/>
          <w:lang w:val="en-US"/>
        </w:rPr>
        <w:t>t mean the account</w:t>
      </w:r>
      <w:r w:rsidR="00961247" w:rsidRPr="00EB6692">
        <w:rPr>
          <w:rFonts w:ascii="Garamond" w:hAnsi="Garamond"/>
          <w:lang w:val="en-US"/>
        </w:rPr>
        <w:t xml:space="preserve"> </w:t>
      </w:r>
      <w:r w:rsidRPr="00961247">
        <w:rPr>
          <w:rFonts w:ascii="Garamond" w:hAnsi="Garamond"/>
          <w:i/>
          <w:iCs/>
          <w:lang w:val="en-US"/>
        </w:rPr>
        <w:t>must</w:t>
      </w:r>
      <w:r w:rsidRPr="00EB6692">
        <w:rPr>
          <w:rFonts w:ascii="Garamond" w:hAnsi="Garamond"/>
          <w:lang w:val="en-US"/>
        </w:rPr>
        <w:t xml:space="preserve"> be false, it</w:t>
      </w:r>
      <w:r w:rsidR="00870DA9">
        <w:rPr>
          <w:rFonts w:ascii="Garamond" w:hAnsi="Garamond"/>
          <w:lang w:val="en-US"/>
        </w:rPr>
        <w:t>’</w:t>
      </w:r>
      <w:r w:rsidRPr="00EB6692">
        <w:rPr>
          <w:rFonts w:ascii="Garamond" w:hAnsi="Garamond"/>
          <w:lang w:val="en-US"/>
        </w:rPr>
        <w:t>s still a drawback. Other things equal, it</w:t>
      </w:r>
      <w:r w:rsidR="00870DA9">
        <w:rPr>
          <w:rFonts w:ascii="Garamond" w:hAnsi="Garamond"/>
          <w:lang w:val="en-US"/>
        </w:rPr>
        <w:t>’</w:t>
      </w:r>
      <w:r w:rsidRPr="00EB6692">
        <w:rPr>
          <w:rFonts w:ascii="Garamond" w:hAnsi="Garamond"/>
          <w:lang w:val="en-US"/>
        </w:rPr>
        <w:t>s preferable to have a unified notion of contact. But in addition, the view still seems extensionally amiss: both its active and its passive tenet still seem overly narrow. On the one hand, you can bring about values, and benefit or suffer from this, even if you didn</w:t>
      </w:r>
      <w:r w:rsidR="00870DA9">
        <w:rPr>
          <w:rFonts w:ascii="Garamond" w:hAnsi="Garamond"/>
          <w:lang w:val="en-US"/>
        </w:rPr>
        <w:t>’</w:t>
      </w:r>
      <w:r w:rsidRPr="00EB6692">
        <w:rPr>
          <w:rFonts w:ascii="Garamond" w:hAnsi="Garamond"/>
          <w:lang w:val="en-US"/>
        </w:rPr>
        <w:t>t purposefully or intentionally produce these values. Suppose you</w:t>
      </w:r>
      <w:r w:rsidR="00870DA9">
        <w:rPr>
          <w:rFonts w:ascii="Garamond" w:hAnsi="Garamond"/>
          <w:lang w:val="en-US"/>
        </w:rPr>
        <w:t>’</w:t>
      </w:r>
      <w:r w:rsidRPr="00EB6692">
        <w:rPr>
          <w:rFonts w:ascii="Garamond" w:hAnsi="Garamond"/>
          <w:lang w:val="en-US"/>
        </w:rPr>
        <w:t>re a bomber pilot. You intended to hit the arms factory, but recklessly annihilated the civil hospital next to it. It seems bad for you to have caused these deaths. The present account can</w:t>
      </w:r>
      <w:r w:rsidR="00870DA9">
        <w:rPr>
          <w:rFonts w:ascii="Garamond" w:hAnsi="Garamond"/>
          <w:lang w:val="en-US"/>
        </w:rPr>
        <w:t>’</w:t>
      </w:r>
      <w:r w:rsidRPr="00EB6692">
        <w:rPr>
          <w:rFonts w:ascii="Garamond" w:hAnsi="Garamond"/>
          <w:lang w:val="en-US"/>
        </w:rPr>
        <w:t xml:space="preserve">t explain this.  On the other hand, you can be passively affected by a value, and benefitted or harmed by it, even if you fail </w:t>
      </w:r>
      <w:r w:rsidRPr="00EB6692">
        <w:rPr>
          <w:rFonts w:ascii="Garamond" w:hAnsi="Garamond"/>
          <w:lang w:val="en-US"/>
        </w:rPr>
        <w:lastRenderedPageBreak/>
        <w:t xml:space="preserve">to appreciate that value. Suppose when you were an infant, a stranger heroically rescued you from a fire. But no one ever told you, and thus you never appreciate their selfless act of benevolence. Intuitively, we think, that you were the object of their virtue still seems in itself good for you. Again, the present account seems unable to capture this. </w:t>
      </w:r>
    </w:p>
    <w:p w14:paraId="0D031E12" w14:textId="19F0842C" w:rsidR="007854EC" w:rsidRDefault="00D16748" w:rsidP="007854EC">
      <w:pPr>
        <w:ind w:firstLine="708"/>
        <w:jc w:val="both"/>
        <w:rPr>
          <w:rFonts w:ascii="Garamond" w:hAnsi="Garamond"/>
          <w:lang w:val="en-US"/>
        </w:rPr>
      </w:pPr>
      <w:r w:rsidRPr="00EB6692">
        <w:rPr>
          <w:rFonts w:ascii="Garamond" w:hAnsi="Garamond"/>
          <w:lang w:val="en-US"/>
        </w:rPr>
        <w:t>A straightforward way to unify the passive and active tenets of this theory, and make them more inclusive, would be to invoke causality. We might say you</w:t>
      </w:r>
      <w:r w:rsidR="00870DA9">
        <w:rPr>
          <w:rFonts w:ascii="Garamond" w:hAnsi="Garamond"/>
          <w:lang w:val="en-US"/>
        </w:rPr>
        <w:t>’</w:t>
      </w:r>
      <w:r w:rsidRPr="00EB6692">
        <w:rPr>
          <w:rFonts w:ascii="Garamond" w:hAnsi="Garamond"/>
          <w:lang w:val="en-US"/>
        </w:rPr>
        <w:t xml:space="preserve">re in contact with a value-fact </w:t>
      </w:r>
      <w:r w:rsidRPr="00A2174E">
        <w:rPr>
          <w:rFonts w:ascii="Garamond" w:hAnsi="Garamond"/>
          <w:i/>
          <w:iCs/>
          <w:lang w:val="en-US"/>
        </w:rPr>
        <w:t>p</w:t>
      </w:r>
      <w:r w:rsidRPr="00EB6692">
        <w:rPr>
          <w:rFonts w:ascii="Garamond" w:hAnsi="Garamond"/>
          <w:lang w:val="en-US"/>
        </w:rPr>
        <w:t xml:space="preserve"> simply to the extent that </w:t>
      </w:r>
      <w:r w:rsidRPr="00A2174E">
        <w:rPr>
          <w:rFonts w:ascii="Garamond" w:hAnsi="Garamond"/>
          <w:i/>
          <w:iCs/>
          <w:lang w:val="en-US"/>
        </w:rPr>
        <w:t>p</w:t>
      </w:r>
      <w:r w:rsidRPr="00EB6692">
        <w:rPr>
          <w:rFonts w:ascii="Garamond" w:hAnsi="Garamond"/>
          <w:lang w:val="en-US"/>
        </w:rPr>
        <w:t xml:space="preserve"> has a causal impact on you, or you have a causal impact on </w:t>
      </w:r>
      <w:r w:rsidRPr="00A2174E">
        <w:rPr>
          <w:rFonts w:ascii="Garamond" w:hAnsi="Garamond"/>
          <w:i/>
          <w:iCs/>
          <w:lang w:val="en-US"/>
        </w:rPr>
        <w:t>p</w:t>
      </w:r>
      <w:r w:rsidRPr="00EB6692">
        <w:rPr>
          <w:rFonts w:ascii="Garamond" w:hAnsi="Garamond"/>
          <w:lang w:val="en-US"/>
        </w:rPr>
        <w:t>. This view can explain how you were harmed by causing these deaths or benefitted from that stranger</w:t>
      </w:r>
      <w:r w:rsidR="00870DA9">
        <w:rPr>
          <w:rFonts w:ascii="Garamond" w:hAnsi="Garamond"/>
          <w:lang w:val="en-US"/>
        </w:rPr>
        <w:t>’</w:t>
      </w:r>
      <w:r w:rsidRPr="00EB6692">
        <w:rPr>
          <w:rFonts w:ascii="Garamond" w:hAnsi="Garamond"/>
          <w:lang w:val="en-US"/>
        </w:rPr>
        <w:t xml:space="preserve">s virtue: both events involved causal connections between you and a value. However, the view now seems overly broad. Suppose someone in Ancient Rome caused a chariot accident: two people administering first aid fell in love, later founded a family, and Leonardo was one of their distant descendants. The person who caused that accident </w:t>
      </w:r>
      <w:r w:rsidR="00717391">
        <w:rPr>
          <w:rFonts w:ascii="Garamond" w:hAnsi="Garamond"/>
          <w:lang w:val="en-US"/>
        </w:rPr>
        <w:t>c</w:t>
      </w:r>
      <w:r w:rsidRPr="00EB6692">
        <w:rPr>
          <w:rFonts w:ascii="Garamond" w:hAnsi="Garamond"/>
          <w:lang w:val="en-US"/>
        </w:rPr>
        <w:t>ausal</w:t>
      </w:r>
      <w:r w:rsidR="00717391">
        <w:rPr>
          <w:rFonts w:ascii="Garamond" w:hAnsi="Garamond"/>
          <w:lang w:val="en-US"/>
        </w:rPr>
        <w:t>ly</w:t>
      </w:r>
      <w:r w:rsidRPr="00EB6692">
        <w:rPr>
          <w:rFonts w:ascii="Garamond" w:hAnsi="Garamond"/>
          <w:lang w:val="en-US"/>
        </w:rPr>
        <w:t xml:space="preserve"> contribut</w:t>
      </w:r>
      <w:r w:rsidR="00717391">
        <w:rPr>
          <w:rFonts w:ascii="Garamond" w:hAnsi="Garamond"/>
          <w:lang w:val="en-US"/>
        </w:rPr>
        <w:t>ed</w:t>
      </w:r>
      <w:r w:rsidRPr="00EB6692">
        <w:rPr>
          <w:rFonts w:ascii="Garamond" w:hAnsi="Garamond"/>
          <w:lang w:val="en-US"/>
        </w:rPr>
        <w:t xml:space="preserve"> to the Last Supper: if it weren</w:t>
      </w:r>
      <w:r w:rsidR="00870DA9">
        <w:rPr>
          <w:rFonts w:ascii="Garamond" w:hAnsi="Garamond"/>
          <w:lang w:val="en-US"/>
        </w:rPr>
        <w:t>’</w:t>
      </w:r>
      <w:r w:rsidRPr="00EB6692">
        <w:rPr>
          <w:rFonts w:ascii="Garamond" w:hAnsi="Garamond"/>
          <w:lang w:val="en-US"/>
        </w:rPr>
        <w:t>t for them, the work would never have been painted. But the beauty of the painting doesn</w:t>
      </w:r>
      <w:r w:rsidR="00870DA9">
        <w:rPr>
          <w:rFonts w:ascii="Garamond" w:hAnsi="Garamond"/>
          <w:lang w:val="en-US"/>
        </w:rPr>
        <w:t>’</w:t>
      </w:r>
      <w:r w:rsidRPr="00EB6692">
        <w:rPr>
          <w:rFonts w:ascii="Garamond" w:hAnsi="Garamond"/>
          <w:lang w:val="en-US"/>
        </w:rPr>
        <w:t>t seem to benefit that person: their life wouldn</w:t>
      </w:r>
      <w:r w:rsidR="00870DA9">
        <w:rPr>
          <w:rFonts w:ascii="Garamond" w:hAnsi="Garamond"/>
          <w:lang w:val="en-US"/>
        </w:rPr>
        <w:t>’</w:t>
      </w:r>
      <w:r w:rsidRPr="00EB6692">
        <w:rPr>
          <w:rFonts w:ascii="Garamond" w:hAnsi="Garamond"/>
          <w:lang w:val="en-US"/>
        </w:rPr>
        <w:t>t have been worse for them, say, if Leonardo had screwed it up. More generally, mere causal connections often seem too contingent. If anything, it</w:t>
      </w:r>
      <w:r w:rsidR="00870DA9">
        <w:rPr>
          <w:rFonts w:ascii="Garamond" w:hAnsi="Garamond"/>
          <w:lang w:val="en-US"/>
        </w:rPr>
        <w:t>’</w:t>
      </w:r>
      <w:r w:rsidRPr="00EB6692">
        <w:rPr>
          <w:rFonts w:ascii="Garamond" w:hAnsi="Garamond"/>
          <w:lang w:val="en-US"/>
        </w:rPr>
        <w:t>s a more internal or non-accidental connection to value that constitutes a basic welfare good.</w:t>
      </w:r>
    </w:p>
    <w:p w14:paraId="1D215EF5" w14:textId="50210A4A" w:rsidR="00D16748" w:rsidRPr="00EB6692" w:rsidRDefault="00D16748" w:rsidP="00426847">
      <w:pPr>
        <w:ind w:firstLine="708"/>
        <w:jc w:val="both"/>
        <w:rPr>
          <w:rFonts w:ascii="Garamond" w:hAnsi="Garamond"/>
          <w:lang w:val="en-US"/>
        </w:rPr>
      </w:pPr>
      <w:r w:rsidRPr="00EB6692">
        <w:rPr>
          <w:rFonts w:ascii="Garamond" w:hAnsi="Garamond"/>
          <w:lang w:val="en-US"/>
        </w:rPr>
        <w:t>In short,</w:t>
      </w:r>
      <w:r w:rsidR="00961247" w:rsidRPr="00EB6692">
        <w:rPr>
          <w:rFonts w:ascii="Garamond" w:hAnsi="Garamond"/>
          <w:lang w:val="en-US"/>
        </w:rPr>
        <w:t xml:space="preserve"> </w:t>
      </w:r>
      <w:r w:rsidRPr="00961247">
        <w:rPr>
          <w:rFonts w:ascii="Garamond" w:hAnsi="Garamond"/>
          <w:i/>
          <w:iCs/>
          <w:lang w:val="en-US"/>
        </w:rPr>
        <w:t>prima facie</w:t>
      </w:r>
      <w:r w:rsidRPr="00EB6692">
        <w:rPr>
          <w:rFonts w:ascii="Garamond" w:hAnsi="Garamond"/>
          <w:lang w:val="en-US"/>
        </w:rPr>
        <w:t>, we want an account of contact that</w:t>
      </w:r>
      <w:r w:rsidR="00870DA9">
        <w:rPr>
          <w:rFonts w:ascii="Garamond" w:hAnsi="Garamond"/>
          <w:lang w:val="en-US"/>
        </w:rPr>
        <w:t>’</w:t>
      </w:r>
      <w:r w:rsidRPr="00EB6692">
        <w:rPr>
          <w:rFonts w:ascii="Garamond" w:hAnsi="Garamond"/>
          <w:lang w:val="en-US"/>
        </w:rPr>
        <w:t xml:space="preserve">s both active and passive, but not disunified, and less inclusive than mere causality. </w:t>
      </w:r>
      <w:r w:rsidR="00426847">
        <w:rPr>
          <w:rFonts w:ascii="Garamond" w:hAnsi="Garamond"/>
          <w:lang w:val="en-US"/>
        </w:rPr>
        <w:t>W</w:t>
      </w:r>
      <w:r w:rsidRPr="00EB6692">
        <w:rPr>
          <w:rFonts w:ascii="Garamond" w:hAnsi="Garamond"/>
          <w:lang w:val="en-US"/>
        </w:rPr>
        <w:t xml:space="preserve">e think the relation of </w:t>
      </w:r>
      <w:r w:rsidRPr="00426847">
        <w:rPr>
          <w:rFonts w:ascii="Garamond" w:hAnsi="Garamond"/>
          <w:i/>
          <w:iCs/>
          <w:lang w:val="en-US"/>
        </w:rPr>
        <w:t>manifestation</w:t>
      </w:r>
      <w:r w:rsidRPr="00EB6692">
        <w:rPr>
          <w:rFonts w:ascii="Garamond" w:hAnsi="Garamond"/>
          <w:lang w:val="en-US"/>
        </w:rPr>
        <w:t xml:space="preserve"> fits </w:t>
      </w:r>
      <w:r w:rsidR="00426847">
        <w:rPr>
          <w:rFonts w:ascii="Garamond" w:hAnsi="Garamond"/>
          <w:lang w:val="en-US"/>
        </w:rPr>
        <w:t>the</w:t>
      </w:r>
      <w:r w:rsidRPr="00EB6692">
        <w:rPr>
          <w:rFonts w:ascii="Garamond" w:hAnsi="Garamond"/>
          <w:lang w:val="en-US"/>
        </w:rPr>
        <w:t xml:space="preserve"> bill: value-facts can be manifest in parts of your life and parts of your life can be manifest in value-facts; and</w:t>
      </w:r>
      <w:r w:rsidR="00961247" w:rsidRPr="00EB6692">
        <w:rPr>
          <w:rFonts w:ascii="Garamond" w:hAnsi="Garamond"/>
          <w:lang w:val="en-US"/>
        </w:rPr>
        <w:t xml:space="preserve"> </w:t>
      </w:r>
      <w:r w:rsidRPr="00961247">
        <w:rPr>
          <w:rFonts w:ascii="Garamond" w:hAnsi="Garamond"/>
          <w:i/>
          <w:iCs/>
          <w:lang w:val="en-US"/>
        </w:rPr>
        <w:t>that</w:t>
      </w:r>
      <w:r w:rsidR="00870DA9" w:rsidRPr="00961247">
        <w:rPr>
          <w:rFonts w:ascii="Garamond" w:hAnsi="Garamond"/>
          <w:i/>
          <w:iCs/>
          <w:lang w:val="en-US"/>
        </w:rPr>
        <w:t>’</w:t>
      </w:r>
      <w:r w:rsidRPr="00961247">
        <w:rPr>
          <w:rFonts w:ascii="Garamond" w:hAnsi="Garamond"/>
          <w:i/>
          <w:iCs/>
          <w:lang w:val="en-US"/>
        </w:rPr>
        <w:t>s</w:t>
      </w:r>
      <w:r w:rsidRPr="00EB6692">
        <w:rPr>
          <w:rFonts w:ascii="Garamond" w:hAnsi="Garamond"/>
          <w:lang w:val="en-US"/>
        </w:rPr>
        <w:t xml:space="preserve"> what it is for you to be in contact with value. The beauty of </w:t>
      </w:r>
      <w:r w:rsidR="00426847">
        <w:rPr>
          <w:rFonts w:ascii="Garamond" w:hAnsi="Garamond"/>
          <w:lang w:val="en-US"/>
        </w:rPr>
        <w:t>the</w:t>
      </w:r>
      <w:r w:rsidRPr="00EB6692">
        <w:rPr>
          <w:rFonts w:ascii="Garamond" w:hAnsi="Garamond"/>
          <w:lang w:val="en-US"/>
        </w:rPr>
        <w:t xml:space="preserve"> Last Supper is manifest in people</w:t>
      </w:r>
      <w:r w:rsidR="00870DA9">
        <w:rPr>
          <w:rFonts w:ascii="Garamond" w:hAnsi="Garamond"/>
          <w:lang w:val="en-US"/>
        </w:rPr>
        <w:t>’</w:t>
      </w:r>
      <w:r w:rsidRPr="00EB6692">
        <w:rPr>
          <w:rFonts w:ascii="Garamond" w:hAnsi="Garamond"/>
          <w:lang w:val="en-US"/>
        </w:rPr>
        <w:t>s appreciation of it. That</w:t>
      </w:r>
      <w:r w:rsidR="00870DA9">
        <w:rPr>
          <w:rFonts w:ascii="Garamond" w:hAnsi="Garamond"/>
          <w:lang w:val="en-US"/>
        </w:rPr>
        <w:t>’</w:t>
      </w:r>
      <w:r w:rsidRPr="00EB6692">
        <w:rPr>
          <w:rFonts w:ascii="Garamond" w:hAnsi="Garamond"/>
          <w:lang w:val="en-US"/>
        </w:rPr>
        <w:t>s why sensitive art lovers benefit from it. Equally, Leonardo</w:t>
      </w:r>
      <w:r w:rsidR="00870DA9">
        <w:rPr>
          <w:rFonts w:ascii="Garamond" w:hAnsi="Garamond"/>
          <w:lang w:val="en-US"/>
        </w:rPr>
        <w:t>’</w:t>
      </w:r>
      <w:r w:rsidRPr="00EB6692">
        <w:rPr>
          <w:rFonts w:ascii="Garamond" w:hAnsi="Garamond"/>
          <w:lang w:val="en-US"/>
        </w:rPr>
        <w:t>s great talents are manifest in his painting. That</w:t>
      </w:r>
      <w:r w:rsidR="00870DA9">
        <w:rPr>
          <w:rFonts w:ascii="Garamond" w:hAnsi="Garamond"/>
          <w:lang w:val="en-US"/>
        </w:rPr>
        <w:t>’</w:t>
      </w:r>
      <w:r w:rsidRPr="00EB6692">
        <w:rPr>
          <w:rFonts w:ascii="Garamond" w:hAnsi="Garamond"/>
          <w:lang w:val="en-US"/>
        </w:rPr>
        <w:t>s how he benefits from it in addition. But while the recklessness of that Ancient Roman may have partly caused the Last Supper, it isn</w:t>
      </w:r>
      <w:r w:rsidR="00870DA9">
        <w:rPr>
          <w:rFonts w:ascii="Garamond" w:hAnsi="Garamond"/>
          <w:lang w:val="en-US"/>
        </w:rPr>
        <w:t>’</w:t>
      </w:r>
      <w:r w:rsidRPr="00EB6692">
        <w:rPr>
          <w:rFonts w:ascii="Garamond" w:hAnsi="Garamond"/>
          <w:lang w:val="en-US"/>
        </w:rPr>
        <w:t>t</w:t>
      </w:r>
      <w:r w:rsidR="0035281E" w:rsidRPr="00EB6692">
        <w:rPr>
          <w:rFonts w:ascii="Garamond" w:hAnsi="Garamond"/>
          <w:lang w:val="en-US"/>
        </w:rPr>
        <w:t xml:space="preserve"> </w:t>
      </w:r>
      <w:r w:rsidRPr="0035281E">
        <w:rPr>
          <w:rFonts w:ascii="Garamond" w:hAnsi="Garamond"/>
          <w:i/>
          <w:iCs/>
          <w:lang w:val="en-US"/>
        </w:rPr>
        <w:t>manifest</w:t>
      </w:r>
      <w:r w:rsidRPr="00EB6692">
        <w:rPr>
          <w:rFonts w:ascii="Garamond" w:hAnsi="Garamond"/>
          <w:lang w:val="en-US"/>
        </w:rPr>
        <w:t xml:space="preserve"> in the beauty of that painting. So the relation of manifestation promises to provide a unified relation covering both active and passive contact while being properly non-incidental. Let</w:t>
      </w:r>
      <w:r w:rsidR="00870DA9">
        <w:rPr>
          <w:rFonts w:ascii="Garamond" w:hAnsi="Garamond"/>
          <w:lang w:val="en-US"/>
        </w:rPr>
        <w:t>’</w:t>
      </w:r>
      <w:r w:rsidRPr="00EB6692">
        <w:rPr>
          <w:rFonts w:ascii="Garamond" w:hAnsi="Garamond"/>
          <w:lang w:val="en-US"/>
        </w:rPr>
        <w:t xml:space="preserve">s explore this idea in more detail.   </w:t>
      </w:r>
    </w:p>
    <w:p w14:paraId="0481107B" w14:textId="77777777" w:rsidR="00EB6692" w:rsidRDefault="00EB6692" w:rsidP="00870DA9">
      <w:pPr>
        <w:jc w:val="both"/>
        <w:rPr>
          <w:rFonts w:ascii="Garamond" w:hAnsi="Garamond"/>
          <w:lang w:val="en-US"/>
        </w:rPr>
      </w:pPr>
    </w:p>
    <w:p w14:paraId="535E8925" w14:textId="17A2524E" w:rsidR="00D16748" w:rsidRPr="00EB6692" w:rsidRDefault="00EB6692" w:rsidP="00870DA9">
      <w:pPr>
        <w:jc w:val="both"/>
        <w:rPr>
          <w:rFonts w:ascii="Garamond" w:hAnsi="Garamond"/>
          <w:b/>
          <w:bCs/>
          <w:lang w:val="en-US"/>
        </w:rPr>
      </w:pPr>
      <w:r w:rsidRPr="00EB6692">
        <w:rPr>
          <w:rFonts w:ascii="Garamond" w:hAnsi="Garamond"/>
          <w:b/>
          <w:bCs/>
          <w:lang w:val="en-US"/>
        </w:rPr>
        <w:t xml:space="preserve">3. </w:t>
      </w:r>
      <w:r w:rsidR="00D16748" w:rsidRPr="00EB6692">
        <w:rPr>
          <w:rFonts w:ascii="Garamond" w:hAnsi="Garamond"/>
          <w:b/>
          <w:bCs/>
          <w:lang w:val="en-US"/>
        </w:rPr>
        <w:t>The Contact Account</w:t>
      </w:r>
    </w:p>
    <w:p w14:paraId="493C3CCC" w14:textId="77777777" w:rsidR="00EB6692" w:rsidRPr="00EB6692" w:rsidRDefault="00EB6692" w:rsidP="00870DA9">
      <w:pPr>
        <w:jc w:val="both"/>
        <w:rPr>
          <w:rFonts w:ascii="Garamond" w:hAnsi="Garamond"/>
          <w:lang w:val="en-US"/>
        </w:rPr>
      </w:pPr>
    </w:p>
    <w:p w14:paraId="15EB1670" w14:textId="77777777" w:rsidR="006C5546" w:rsidRDefault="006C5546" w:rsidP="006C5546">
      <w:pPr>
        <w:jc w:val="both"/>
        <w:rPr>
          <w:rFonts w:ascii="Garamond" w:hAnsi="Garamond"/>
          <w:lang w:val="en-US"/>
        </w:rPr>
      </w:pPr>
      <w:r w:rsidRPr="00ED17EB">
        <w:rPr>
          <w:rFonts w:ascii="Garamond" w:hAnsi="Garamond"/>
          <w:lang w:val="en-US"/>
        </w:rPr>
        <w:t xml:space="preserve">How shall we understand the notion of manifestation? We think a good account proceeds in terms of dispositions: manifestation is the relationship in which a </w:t>
      </w:r>
      <w:r w:rsidRPr="0022376F">
        <w:rPr>
          <w:rFonts w:ascii="Garamond" w:hAnsi="Garamond"/>
          <w:lang w:val="en-US"/>
        </w:rPr>
        <w:t xml:space="preserve">disposition stands to what happens when it is activated. Consider the flammability of gasoline. This is the disposition to set on fire when heated up. Here its being heated up is the </w:t>
      </w:r>
      <w:r w:rsidRPr="0022376F">
        <w:rPr>
          <w:rFonts w:ascii="Garamond" w:hAnsi="Garamond"/>
          <w:i/>
          <w:iCs/>
          <w:lang w:val="en-US"/>
        </w:rPr>
        <w:t xml:space="preserve">stimulus condition </w:t>
      </w:r>
      <w:r w:rsidRPr="0022376F">
        <w:rPr>
          <w:rFonts w:ascii="Garamond" w:hAnsi="Garamond"/>
          <w:lang w:val="en-US"/>
        </w:rPr>
        <w:t xml:space="preserve">of the disposition and its being on fire is </w:t>
      </w:r>
      <w:r>
        <w:rPr>
          <w:rFonts w:ascii="Garamond" w:hAnsi="Garamond"/>
          <w:lang w:val="en-US"/>
        </w:rPr>
        <w:t>the</w:t>
      </w:r>
      <w:r w:rsidRPr="0022376F">
        <w:rPr>
          <w:rFonts w:ascii="Garamond" w:hAnsi="Garamond"/>
          <w:lang w:val="en-US"/>
        </w:rPr>
        <w:t xml:space="preserve"> </w:t>
      </w:r>
      <w:r w:rsidRPr="0022376F">
        <w:rPr>
          <w:rFonts w:ascii="Garamond" w:hAnsi="Garamond"/>
          <w:i/>
          <w:iCs/>
          <w:lang w:val="en-US"/>
        </w:rPr>
        <w:t>manifestation condition</w:t>
      </w:r>
      <w:r w:rsidRPr="0022376F">
        <w:rPr>
          <w:rFonts w:ascii="Garamond" w:hAnsi="Garamond"/>
          <w:lang w:val="en-US"/>
        </w:rPr>
        <w:t xml:space="preserve">. </w:t>
      </w:r>
      <w:r w:rsidRPr="00B14D1D">
        <w:rPr>
          <w:rFonts w:ascii="Garamond" w:hAnsi="Garamond"/>
          <w:lang w:val="en-US"/>
        </w:rPr>
        <w:t xml:space="preserve">The former is the thing that activates, or stimulates, the latter. </w:t>
      </w:r>
      <w:r w:rsidRPr="0022376F">
        <w:rPr>
          <w:rFonts w:ascii="Garamond" w:hAnsi="Garamond"/>
          <w:lang w:val="en-US"/>
        </w:rPr>
        <w:t>When you put a match to gasoline, its</w:t>
      </w:r>
      <w:r>
        <w:rPr>
          <w:rFonts w:ascii="Garamond" w:hAnsi="Garamond"/>
          <w:lang w:val="en-US"/>
        </w:rPr>
        <w:t xml:space="preserve"> then</w:t>
      </w:r>
      <w:r w:rsidRPr="0022376F">
        <w:rPr>
          <w:rFonts w:ascii="Garamond" w:hAnsi="Garamond"/>
          <w:lang w:val="en-US"/>
        </w:rPr>
        <w:t xml:space="preserve"> being on fire manifests its flammability.</w:t>
      </w:r>
      <w:r w:rsidRPr="000E5D20">
        <w:rPr>
          <w:rStyle w:val="FootnoteReference"/>
        </w:rPr>
        <w:footnoteReference w:id="5"/>
      </w:r>
      <w:r w:rsidRPr="00ED17EB">
        <w:rPr>
          <w:rFonts w:ascii="Garamond" w:hAnsi="Garamond"/>
          <w:lang w:val="en-US"/>
        </w:rPr>
        <w:t xml:space="preserve"> </w:t>
      </w:r>
      <w:r w:rsidRPr="00EB6692">
        <w:rPr>
          <w:rFonts w:ascii="Garamond" w:hAnsi="Garamond"/>
          <w:lang w:val="en-US"/>
        </w:rPr>
        <w:t xml:space="preserve">Now perhaps you burnt a house with that </w:t>
      </w:r>
      <w:proofErr w:type="gramStart"/>
      <w:r w:rsidRPr="00EB6692">
        <w:rPr>
          <w:rFonts w:ascii="Garamond" w:hAnsi="Garamond"/>
          <w:lang w:val="en-US"/>
        </w:rPr>
        <w:t>gasoline, and</w:t>
      </w:r>
      <w:proofErr w:type="gramEnd"/>
      <w:r w:rsidRPr="00EB6692">
        <w:rPr>
          <w:rFonts w:ascii="Garamond" w:hAnsi="Garamond"/>
          <w:lang w:val="en-US"/>
        </w:rPr>
        <w:t xml:space="preserve"> were thus later arrested for arson. Your being in jail was caused by the gasoline</w:t>
      </w:r>
      <w:r>
        <w:rPr>
          <w:rFonts w:ascii="Garamond" w:hAnsi="Garamond"/>
          <w:lang w:val="en-US"/>
        </w:rPr>
        <w:t>’</w:t>
      </w:r>
      <w:r w:rsidRPr="00EB6692">
        <w:rPr>
          <w:rFonts w:ascii="Garamond" w:hAnsi="Garamond"/>
          <w:lang w:val="en-US"/>
        </w:rPr>
        <w:t>s flammability but doesn</w:t>
      </w:r>
      <w:r>
        <w:rPr>
          <w:rFonts w:ascii="Garamond" w:hAnsi="Garamond"/>
          <w:lang w:val="en-US"/>
        </w:rPr>
        <w:t>’</w:t>
      </w:r>
      <w:r w:rsidRPr="00EB6692">
        <w:rPr>
          <w:rFonts w:ascii="Garamond" w:hAnsi="Garamond"/>
          <w:lang w:val="en-US"/>
        </w:rPr>
        <w:t>t manifest it. Flammability isn</w:t>
      </w:r>
      <w:r>
        <w:rPr>
          <w:rFonts w:ascii="Garamond" w:hAnsi="Garamond"/>
          <w:lang w:val="en-US"/>
        </w:rPr>
        <w:t>’</w:t>
      </w:r>
      <w:r w:rsidRPr="00EB6692">
        <w:rPr>
          <w:rFonts w:ascii="Garamond" w:hAnsi="Garamond"/>
          <w:lang w:val="en-US"/>
        </w:rPr>
        <w:t>t the disposition to cause jail time for arsonists. It</w:t>
      </w:r>
      <w:r>
        <w:rPr>
          <w:rFonts w:ascii="Garamond" w:hAnsi="Garamond"/>
          <w:lang w:val="en-US"/>
        </w:rPr>
        <w:t>’</w:t>
      </w:r>
      <w:r w:rsidRPr="00EB6692">
        <w:rPr>
          <w:rFonts w:ascii="Garamond" w:hAnsi="Garamond"/>
          <w:lang w:val="en-US"/>
        </w:rPr>
        <w:t xml:space="preserve">s the disposition to cause fire. So only the fire manifests the flammability. At a rough </w:t>
      </w:r>
      <w:r w:rsidRPr="00EB6692">
        <w:rPr>
          <w:rFonts w:ascii="Garamond" w:hAnsi="Garamond"/>
          <w:lang w:val="en-US"/>
        </w:rPr>
        <w:lastRenderedPageBreak/>
        <w:t>approximation, when your dispositions are manifest in a value, or a value</w:t>
      </w:r>
      <w:r>
        <w:rPr>
          <w:rFonts w:ascii="Garamond" w:hAnsi="Garamond"/>
          <w:lang w:val="en-US"/>
        </w:rPr>
        <w:t>’</w:t>
      </w:r>
      <w:r w:rsidRPr="00EB6692">
        <w:rPr>
          <w:rFonts w:ascii="Garamond" w:hAnsi="Garamond"/>
          <w:lang w:val="en-US"/>
        </w:rPr>
        <w:t>s dispositions are manifest in your life, we</w:t>
      </w:r>
      <w:r>
        <w:rPr>
          <w:rFonts w:ascii="Garamond" w:hAnsi="Garamond"/>
          <w:lang w:val="en-US"/>
        </w:rPr>
        <w:t>’</w:t>
      </w:r>
      <w:r w:rsidRPr="00EB6692">
        <w:rPr>
          <w:rFonts w:ascii="Garamond" w:hAnsi="Garamond"/>
          <w:lang w:val="en-US"/>
        </w:rPr>
        <w:t>ll say you</w:t>
      </w:r>
      <w:r>
        <w:rPr>
          <w:rFonts w:ascii="Garamond" w:hAnsi="Garamond"/>
          <w:lang w:val="en-US"/>
        </w:rPr>
        <w:t>’</w:t>
      </w:r>
      <w:r w:rsidRPr="00EB6692">
        <w:rPr>
          <w:rFonts w:ascii="Garamond" w:hAnsi="Garamond"/>
          <w:lang w:val="en-US"/>
        </w:rPr>
        <w:t>re in contact with it.</w:t>
      </w:r>
    </w:p>
    <w:p w14:paraId="76C8913D" w14:textId="53CAF3BF" w:rsidR="006C5546" w:rsidRDefault="006C5546" w:rsidP="006C5546">
      <w:pPr>
        <w:ind w:firstLine="708"/>
        <w:jc w:val="both"/>
        <w:rPr>
          <w:rFonts w:ascii="Garamond" w:hAnsi="Garamond"/>
          <w:lang w:val="en-US"/>
        </w:rPr>
      </w:pPr>
      <w:r w:rsidRPr="00B14D1D">
        <w:rPr>
          <w:rFonts w:ascii="Garamond" w:hAnsi="Garamond"/>
          <w:lang w:val="en-US"/>
        </w:rPr>
        <w:t xml:space="preserve">But that is only a rough approximation. To be more precise, we need to distinguish two notions of manifestation. The examples above pick out a narrow notion of manifestation. We’ll henceforth denote this </w:t>
      </w:r>
      <w:r>
        <w:rPr>
          <w:rFonts w:ascii="Garamond" w:hAnsi="Garamond"/>
          <w:lang w:val="en-US"/>
        </w:rPr>
        <w:t xml:space="preserve">as </w:t>
      </w:r>
      <w:r w:rsidRPr="00B14D1D">
        <w:rPr>
          <w:rFonts w:ascii="Garamond" w:hAnsi="Garamond"/>
          <w:lang w:val="en-US"/>
        </w:rPr>
        <w:t>‘manifestation</w:t>
      </w:r>
      <w:r w:rsidRPr="00B14D1D">
        <w:rPr>
          <w:rFonts w:ascii="Garamond" w:hAnsi="Garamond"/>
          <w:i/>
          <w:iCs/>
          <w:vertAlign w:val="subscript"/>
          <w:lang w:val="en-US"/>
        </w:rPr>
        <w:t>n</w:t>
      </w:r>
      <w:r w:rsidRPr="00B14D1D">
        <w:rPr>
          <w:rFonts w:ascii="Garamond" w:hAnsi="Garamond"/>
          <w:lang w:val="en-US"/>
        </w:rPr>
        <w:t xml:space="preserve">’. Only dispositions are manifest in this narrow sense. When </w:t>
      </w:r>
      <w:r w:rsidRPr="00B14D1D">
        <w:rPr>
          <w:rFonts w:ascii="Garamond" w:hAnsi="Garamond"/>
          <w:i/>
          <w:iCs/>
          <w:lang w:val="en-US"/>
        </w:rPr>
        <w:t>D</w:t>
      </w:r>
      <w:r w:rsidRPr="00B14D1D">
        <w:rPr>
          <w:rFonts w:ascii="Garamond" w:hAnsi="Garamond"/>
          <w:lang w:val="en-US"/>
        </w:rPr>
        <w:t xml:space="preserve"> is a disposition with stimulus condition </w:t>
      </w:r>
      <w:r w:rsidRPr="00B14D1D">
        <w:rPr>
          <w:rFonts w:ascii="Garamond" w:hAnsi="Garamond"/>
          <w:i/>
          <w:iCs/>
          <w:lang w:val="en-US"/>
        </w:rPr>
        <w:t>S</w:t>
      </w:r>
      <w:r w:rsidRPr="00B14D1D">
        <w:rPr>
          <w:rFonts w:ascii="Garamond" w:hAnsi="Garamond"/>
          <w:lang w:val="en-US"/>
        </w:rPr>
        <w:t xml:space="preserve"> and manifestation condition </w:t>
      </w:r>
      <w:r w:rsidRPr="00B14D1D">
        <w:rPr>
          <w:rFonts w:ascii="Garamond" w:hAnsi="Garamond"/>
          <w:i/>
          <w:iCs/>
          <w:lang w:val="en-US"/>
        </w:rPr>
        <w:t>M</w:t>
      </w:r>
      <w:r>
        <w:rPr>
          <w:rFonts w:ascii="Garamond" w:hAnsi="Garamond"/>
          <w:lang w:val="en-US"/>
        </w:rPr>
        <w:t xml:space="preserve">, and </w:t>
      </w:r>
      <w:r w:rsidRPr="00B14D1D">
        <w:rPr>
          <w:rFonts w:ascii="Garamond" w:hAnsi="Garamond"/>
          <w:lang w:val="en-US"/>
        </w:rPr>
        <w:t xml:space="preserve">when </w:t>
      </w:r>
      <w:r w:rsidRPr="00B14D1D">
        <w:rPr>
          <w:rFonts w:ascii="Garamond" w:hAnsi="Garamond"/>
          <w:i/>
          <w:iCs/>
          <w:lang w:val="en-US"/>
        </w:rPr>
        <w:t>M</w:t>
      </w:r>
      <w:r w:rsidRPr="00B14D1D">
        <w:rPr>
          <w:rFonts w:ascii="Garamond" w:hAnsi="Garamond"/>
          <w:lang w:val="en-US"/>
        </w:rPr>
        <w:t xml:space="preserve"> occurs because </w:t>
      </w:r>
      <w:r w:rsidRPr="00B14D1D">
        <w:rPr>
          <w:rFonts w:ascii="Garamond" w:hAnsi="Garamond"/>
          <w:i/>
          <w:iCs/>
          <w:lang w:val="en-US"/>
        </w:rPr>
        <w:t>D</w:t>
      </w:r>
      <w:r w:rsidRPr="00B14D1D">
        <w:rPr>
          <w:rFonts w:ascii="Garamond" w:hAnsi="Garamond"/>
          <w:lang w:val="en-US"/>
        </w:rPr>
        <w:t xml:space="preserve"> and </w:t>
      </w:r>
      <w:r w:rsidRPr="00B14D1D">
        <w:rPr>
          <w:rFonts w:ascii="Garamond" w:hAnsi="Garamond"/>
          <w:i/>
          <w:iCs/>
          <w:lang w:val="en-US"/>
        </w:rPr>
        <w:t>S</w:t>
      </w:r>
      <w:r w:rsidRPr="00B14D1D">
        <w:rPr>
          <w:rFonts w:ascii="Garamond" w:hAnsi="Garamond"/>
          <w:lang w:val="en-US"/>
        </w:rPr>
        <w:t xml:space="preserve"> obtain</w:t>
      </w:r>
      <w:r>
        <w:rPr>
          <w:rFonts w:ascii="Garamond" w:hAnsi="Garamond"/>
          <w:lang w:val="en-US"/>
        </w:rPr>
        <w:t xml:space="preserve">, </w:t>
      </w:r>
      <w:r w:rsidRPr="00EA33B4">
        <w:rPr>
          <w:rFonts w:ascii="Garamond" w:hAnsi="Garamond"/>
          <w:lang w:val="en-US"/>
        </w:rPr>
        <w:t xml:space="preserve">we’ll say that </w:t>
      </w:r>
      <w:r w:rsidRPr="00B14D1D">
        <w:rPr>
          <w:rFonts w:ascii="Garamond" w:hAnsi="Garamond"/>
          <w:i/>
          <w:iCs/>
          <w:lang w:val="en-US"/>
        </w:rPr>
        <w:t>M</w:t>
      </w:r>
      <w:r w:rsidRPr="00EA33B4">
        <w:rPr>
          <w:rFonts w:ascii="Garamond" w:hAnsi="Garamond"/>
          <w:lang w:val="en-US"/>
        </w:rPr>
        <w:t xml:space="preserve"> manifests</w:t>
      </w:r>
      <w:r w:rsidRPr="00EA33B4">
        <w:rPr>
          <w:rFonts w:ascii="Garamond" w:hAnsi="Garamond"/>
          <w:i/>
          <w:iCs/>
          <w:vertAlign w:val="subscript"/>
          <w:lang w:val="en-US"/>
        </w:rPr>
        <w:t>n</w:t>
      </w:r>
      <w:r w:rsidRPr="00EA33B4">
        <w:rPr>
          <w:rFonts w:ascii="Garamond" w:hAnsi="Garamond"/>
          <w:vertAlign w:val="subscript"/>
          <w:lang w:val="en-US"/>
        </w:rPr>
        <w:t xml:space="preserve"> </w:t>
      </w:r>
      <w:r w:rsidRPr="00B14D1D">
        <w:rPr>
          <w:rFonts w:ascii="Garamond" w:hAnsi="Garamond"/>
          <w:i/>
          <w:iCs/>
          <w:lang w:val="en-US"/>
        </w:rPr>
        <w:t>D</w:t>
      </w:r>
      <w:r>
        <w:rPr>
          <w:rFonts w:ascii="Garamond" w:hAnsi="Garamond"/>
          <w:lang w:val="en-US"/>
        </w:rPr>
        <w:t>:</w:t>
      </w:r>
      <w:r w:rsidRPr="00B14D1D">
        <w:rPr>
          <w:rFonts w:ascii="Garamond" w:hAnsi="Garamond"/>
          <w:lang w:val="en-US"/>
        </w:rPr>
        <w:t xml:space="preserve"> the </w:t>
      </w:r>
      <w:r>
        <w:rPr>
          <w:rFonts w:ascii="Garamond" w:hAnsi="Garamond"/>
          <w:lang w:val="en-US"/>
        </w:rPr>
        <w:t>gasoline</w:t>
      </w:r>
      <w:r w:rsidRPr="00B14D1D">
        <w:rPr>
          <w:rFonts w:ascii="Garamond" w:hAnsi="Garamond"/>
          <w:lang w:val="en-US"/>
        </w:rPr>
        <w:t xml:space="preserve"> </w:t>
      </w:r>
      <w:r>
        <w:rPr>
          <w:rFonts w:ascii="Garamond" w:hAnsi="Garamond"/>
          <w:lang w:val="en-US"/>
        </w:rPr>
        <w:t>is on fire</w:t>
      </w:r>
      <w:r w:rsidRPr="00B14D1D">
        <w:rPr>
          <w:rFonts w:ascii="Garamond" w:hAnsi="Garamond"/>
          <w:lang w:val="en-US"/>
        </w:rPr>
        <w:t xml:space="preserve"> because it</w:t>
      </w:r>
      <w:r>
        <w:rPr>
          <w:rFonts w:ascii="Garamond" w:hAnsi="Garamond"/>
          <w:lang w:val="en-US"/>
        </w:rPr>
        <w:t>’</w:t>
      </w:r>
      <w:r w:rsidRPr="00B14D1D">
        <w:rPr>
          <w:rFonts w:ascii="Garamond" w:hAnsi="Garamond"/>
          <w:lang w:val="en-US"/>
        </w:rPr>
        <w:t xml:space="preserve">s </w:t>
      </w:r>
      <w:r>
        <w:rPr>
          <w:rFonts w:ascii="Garamond" w:hAnsi="Garamond"/>
          <w:lang w:val="en-US"/>
        </w:rPr>
        <w:t>flammable</w:t>
      </w:r>
      <w:r w:rsidRPr="00B14D1D">
        <w:rPr>
          <w:rFonts w:ascii="Garamond" w:hAnsi="Garamond"/>
          <w:lang w:val="en-US"/>
        </w:rPr>
        <w:t xml:space="preserve"> and </w:t>
      </w:r>
      <w:r>
        <w:rPr>
          <w:rFonts w:ascii="Garamond" w:hAnsi="Garamond"/>
          <w:lang w:val="en-US"/>
        </w:rPr>
        <w:t>was</w:t>
      </w:r>
      <w:r w:rsidRPr="00B14D1D">
        <w:rPr>
          <w:rFonts w:ascii="Garamond" w:hAnsi="Garamond"/>
          <w:lang w:val="en-US"/>
        </w:rPr>
        <w:t xml:space="preserve"> </w:t>
      </w:r>
      <w:r>
        <w:rPr>
          <w:rFonts w:ascii="Garamond" w:hAnsi="Garamond"/>
          <w:lang w:val="en-US"/>
        </w:rPr>
        <w:t>set alight and so the fire manifests</w:t>
      </w:r>
      <w:r w:rsidR="009D3477" w:rsidRPr="000E5D20">
        <w:rPr>
          <w:rFonts w:ascii="Garamond" w:hAnsi="Garamond"/>
          <w:i/>
          <w:iCs/>
          <w:vertAlign w:val="subscript"/>
          <w:lang w:val="en-US"/>
        </w:rPr>
        <w:t>n</w:t>
      </w:r>
      <w:r>
        <w:rPr>
          <w:rFonts w:ascii="Garamond" w:hAnsi="Garamond"/>
          <w:lang w:val="en-US"/>
        </w:rPr>
        <w:t xml:space="preserve"> the flammability</w:t>
      </w:r>
      <w:r w:rsidRPr="00B14D1D">
        <w:rPr>
          <w:rFonts w:ascii="Garamond" w:hAnsi="Garamond"/>
          <w:lang w:val="en-US"/>
        </w:rPr>
        <w:t>. We can use this narrow sense of manifestation to carve out a broader one. To do this, we employ the notion of a ground-theoretic connection.</w:t>
      </w:r>
      <w:r w:rsidRPr="000E5D20">
        <w:rPr>
          <w:rStyle w:val="FootnoteReference"/>
        </w:rPr>
        <w:footnoteReference w:id="6"/>
      </w:r>
      <w:r w:rsidRPr="00FA5852">
        <w:rPr>
          <w:rFonts w:ascii="Garamond" w:hAnsi="Garamond"/>
          <w:lang w:val="en-US"/>
        </w:rPr>
        <w:t xml:space="preserve"> We’ll say that </w:t>
      </w:r>
      <w:r w:rsidRPr="00FA5852">
        <w:rPr>
          <w:rFonts w:ascii="Garamond" w:hAnsi="Garamond"/>
          <w:i/>
          <w:iCs/>
          <w:lang w:val="en-US"/>
        </w:rPr>
        <w:t>p</w:t>
      </w:r>
      <w:r w:rsidRPr="00FA5852">
        <w:rPr>
          <w:rFonts w:ascii="Garamond" w:hAnsi="Garamond"/>
          <w:lang w:val="en-US"/>
        </w:rPr>
        <w:t xml:space="preserve"> is ground-theoretically connected to </w:t>
      </w:r>
      <w:r w:rsidRPr="00FA5852">
        <w:rPr>
          <w:rFonts w:ascii="Garamond" w:hAnsi="Garamond"/>
          <w:i/>
          <w:iCs/>
          <w:lang w:val="en-US"/>
        </w:rPr>
        <w:t>q</w:t>
      </w:r>
      <w:r w:rsidRPr="00FA5852">
        <w:rPr>
          <w:rFonts w:ascii="Garamond" w:hAnsi="Garamond"/>
          <w:lang w:val="en-US"/>
        </w:rPr>
        <w:t xml:space="preserve"> if and only if </w:t>
      </w:r>
      <w:r w:rsidRPr="00FA5852">
        <w:rPr>
          <w:rFonts w:ascii="Garamond" w:hAnsi="Garamond"/>
          <w:i/>
          <w:iCs/>
          <w:lang w:val="en-US"/>
        </w:rPr>
        <w:t>p</w:t>
      </w:r>
      <w:r w:rsidRPr="00FA5852">
        <w:rPr>
          <w:rFonts w:ascii="Garamond" w:hAnsi="Garamond"/>
          <w:lang w:val="en-US"/>
        </w:rPr>
        <w:t xml:space="preserve"> grounds </w:t>
      </w:r>
      <w:r w:rsidRPr="00FA5852">
        <w:rPr>
          <w:rFonts w:ascii="Garamond" w:hAnsi="Garamond"/>
          <w:i/>
          <w:iCs/>
          <w:lang w:val="en-US"/>
        </w:rPr>
        <w:t>q</w:t>
      </w:r>
      <w:r w:rsidRPr="00FA5852">
        <w:rPr>
          <w:rFonts w:ascii="Garamond" w:hAnsi="Garamond"/>
          <w:lang w:val="en-US"/>
        </w:rPr>
        <w:t xml:space="preserve"> or </w:t>
      </w:r>
      <w:r w:rsidRPr="00FA5852">
        <w:rPr>
          <w:rFonts w:ascii="Garamond" w:hAnsi="Garamond"/>
          <w:i/>
          <w:iCs/>
          <w:lang w:val="en-US"/>
        </w:rPr>
        <w:t>q</w:t>
      </w:r>
      <w:r w:rsidRPr="00FA5852">
        <w:rPr>
          <w:rFonts w:ascii="Garamond" w:hAnsi="Garamond"/>
          <w:lang w:val="en-US"/>
        </w:rPr>
        <w:t xml:space="preserve"> grounds </w:t>
      </w:r>
      <w:r w:rsidRPr="00FA5852">
        <w:rPr>
          <w:rFonts w:ascii="Garamond" w:hAnsi="Garamond"/>
          <w:i/>
          <w:iCs/>
          <w:lang w:val="en-US"/>
        </w:rPr>
        <w:t>p</w:t>
      </w:r>
      <w:r w:rsidRPr="00FA5852">
        <w:rPr>
          <w:rFonts w:ascii="Garamond" w:hAnsi="Garamond"/>
          <w:lang w:val="en-US"/>
        </w:rPr>
        <w:t>. The fact that Mary is kind, for instance, grounds the fact that she’s virtuous. So these two facts are ground-theoretically connected. In contrast, the fact that Mary is kind doesn’t ground, and isn’t grounded by, the fact that Bogotá is the capital of Colombia. So these two facts aren’t so connected. We now define the broader sense of manifestation</w:t>
      </w:r>
      <w:r w:rsidRPr="00EB6692">
        <w:rPr>
          <w:rFonts w:ascii="Garamond" w:hAnsi="Garamond"/>
          <w:lang w:val="en-US"/>
        </w:rPr>
        <w:t xml:space="preserve"> thus: </w:t>
      </w:r>
      <w:r w:rsidRPr="00A2174E">
        <w:rPr>
          <w:rFonts w:ascii="Garamond" w:hAnsi="Garamond"/>
          <w:i/>
          <w:iCs/>
          <w:lang w:val="en-US"/>
        </w:rPr>
        <w:t>q</w:t>
      </w:r>
      <w:r w:rsidRPr="00EB6692">
        <w:rPr>
          <w:rFonts w:ascii="Garamond" w:hAnsi="Garamond"/>
          <w:lang w:val="en-US"/>
        </w:rPr>
        <w:t xml:space="preserve"> manifests (without subscript) </w:t>
      </w:r>
      <w:r w:rsidRPr="00A2174E">
        <w:rPr>
          <w:rFonts w:ascii="Garamond" w:hAnsi="Garamond"/>
          <w:i/>
          <w:iCs/>
          <w:lang w:val="en-US"/>
        </w:rPr>
        <w:t>p</w:t>
      </w:r>
      <w:r w:rsidRPr="00EB6692">
        <w:rPr>
          <w:rFonts w:ascii="Garamond" w:hAnsi="Garamond"/>
          <w:lang w:val="en-US"/>
        </w:rPr>
        <w:t xml:space="preserve"> if and only if </w:t>
      </w:r>
      <w:r w:rsidRPr="00A2174E">
        <w:rPr>
          <w:rFonts w:ascii="Garamond" w:hAnsi="Garamond"/>
          <w:i/>
          <w:iCs/>
          <w:lang w:val="en-US"/>
        </w:rPr>
        <w:t>q</w:t>
      </w:r>
      <w:r w:rsidRPr="00EB6692">
        <w:rPr>
          <w:rFonts w:ascii="Garamond" w:hAnsi="Garamond"/>
          <w:lang w:val="en-US"/>
        </w:rPr>
        <w:t xml:space="preserve"> or something ground-theoretically connected to </w:t>
      </w:r>
      <w:r w:rsidRPr="00A2174E">
        <w:rPr>
          <w:rFonts w:ascii="Garamond" w:hAnsi="Garamond"/>
          <w:i/>
          <w:iCs/>
          <w:lang w:val="en-US"/>
        </w:rPr>
        <w:t>q</w:t>
      </w:r>
      <w:r w:rsidRPr="00EB6692">
        <w:rPr>
          <w:rFonts w:ascii="Garamond" w:hAnsi="Garamond"/>
          <w:lang w:val="en-US"/>
        </w:rPr>
        <w:t xml:space="preserve"> manifests</w:t>
      </w:r>
      <w:r w:rsidRPr="00A2174E">
        <w:rPr>
          <w:rFonts w:ascii="Garamond" w:hAnsi="Garamond"/>
          <w:i/>
          <w:iCs/>
          <w:vertAlign w:val="subscript"/>
          <w:lang w:val="en-US"/>
        </w:rPr>
        <w:t>n</w:t>
      </w:r>
      <w:r w:rsidRPr="00EB6692">
        <w:rPr>
          <w:rFonts w:ascii="Garamond" w:hAnsi="Garamond"/>
          <w:lang w:val="en-US"/>
        </w:rPr>
        <w:t xml:space="preserve"> </w:t>
      </w:r>
      <w:r w:rsidRPr="00A2174E">
        <w:rPr>
          <w:rFonts w:ascii="Garamond" w:hAnsi="Garamond"/>
          <w:i/>
          <w:iCs/>
          <w:lang w:val="en-US"/>
        </w:rPr>
        <w:t>p</w:t>
      </w:r>
      <w:r w:rsidRPr="00EB6692">
        <w:rPr>
          <w:rFonts w:ascii="Garamond" w:hAnsi="Garamond"/>
          <w:lang w:val="en-US"/>
        </w:rPr>
        <w:t xml:space="preserve"> or something ground-theoretically connected to </w:t>
      </w:r>
      <w:r w:rsidRPr="00A2174E">
        <w:rPr>
          <w:rFonts w:ascii="Garamond" w:hAnsi="Garamond"/>
          <w:i/>
          <w:iCs/>
          <w:lang w:val="en-US"/>
        </w:rPr>
        <w:t>p</w:t>
      </w:r>
      <w:r w:rsidRPr="00EB6692">
        <w:rPr>
          <w:rFonts w:ascii="Garamond" w:hAnsi="Garamond"/>
          <w:lang w:val="en-US"/>
        </w:rPr>
        <w:t>. Broad manifestation, then, is manifestation</w:t>
      </w:r>
      <w:r w:rsidRPr="00A2174E">
        <w:rPr>
          <w:rFonts w:ascii="Garamond" w:hAnsi="Garamond"/>
          <w:i/>
          <w:iCs/>
          <w:vertAlign w:val="subscript"/>
          <w:lang w:val="en-US"/>
        </w:rPr>
        <w:t>n</w:t>
      </w:r>
      <w:r w:rsidRPr="00EB6692">
        <w:rPr>
          <w:rFonts w:ascii="Garamond" w:hAnsi="Garamond"/>
          <w:lang w:val="en-US"/>
        </w:rPr>
        <w:t xml:space="preserve"> extended so as to be indifferent to connections of ground. A little diagram may help to illustrate this notion: </w:t>
      </w:r>
    </w:p>
    <w:p w14:paraId="0778C71A" w14:textId="77777777" w:rsidR="006C5546" w:rsidRDefault="006C5546" w:rsidP="006C5546">
      <w:pPr>
        <w:jc w:val="both"/>
        <w:rPr>
          <w:rFonts w:ascii="Garamond" w:hAnsi="Garamond"/>
          <w:lang w:val="en-US"/>
        </w:rPr>
      </w:pPr>
    </w:p>
    <w:p w14:paraId="3F7AE053" w14:textId="77777777" w:rsidR="006C5546" w:rsidRPr="00805BD3" w:rsidRDefault="006C5546" w:rsidP="006C5546">
      <w:pPr>
        <w:ind w:firstLine="708"/>
        <w:jc w:val="both"/>
        <w:rPr>
          <w:rFonts w:ascii="Garamond" w:hAnsi="Garamond"/>
          <w:i/>
          <w:iCs/>
          <w:lang w:val="en-US"/>
        </w:rPr>
      </w:pPr>
      <w:r w:rsidRPr="00805BD3">
        <w:rPr>
          <w:rFonts w:ascii="Garamond" w:hAnsi="Garamond"/>
          <w:i/>
          <w:iCs/>
          <w:lang w:val="en-US"/>
        </w:rPr>
        <w:t>s</w:t>
      </w:r>
      <w:r>
        <w:rPr>
          <w:rFonts w:ascii="Garamond" w:hAnsi="Garamond"/>
          <w:i/>
          <w:iCs/>
          <w:lang w:val="en-US"/>
        </w:rPr>
        <w:tab/>
      </w:r>
      <w:r>
        <w:rPr>
          <w:rFonts w:ascii="Garamond" w:hAnsi="Garamond"/>
          <w:i/>
          <w:iCs/>
          <w:lang w:val="en-US"/>
        </w:rPr>
        <w:tab/>
        <w:t>u</w:t>
      </w:r>
    </w:p>
    <w:p w14:paraId="67FCAC9D" w14:textId="77777777" w:rsidR="006C5546" w:rsidRDefault="006C5546" w:rsidP="006C5546">
      <w:pPr>
        <w:ind w:firstLine="708"/>
        <w:jc w:val="both"/>
        <w:rPr>
          <w:rFonts w:ascii="Garamond" w:hAnsi="Garamond"/>
          <w:lang w:val="en-US"/>
        </w:rPr>
      </w:pPr>
      <w:r>
        <w:rPr>
          <w:rFonts w:ascii="Garamond" w:hAnsi="Garamond"/>
          <w:lang w:val="en-US"/>
        </w:rPr>
        <w:t>↑</w:t>
      </w:r>
      <w:r>
        <w:rPr>
          <w:rFonts w:ascii="Garamond" w:hAnsi="Garamond"/>
          <w:sz w:val="16"/>
          <w:szCs w:val="16"/>
          <w:lang w:val="en-US"/>
        </w:rPr>
        <w:t xml:space="preserve">   </w:t>
      </w:r>
      <w:r>
        <w:rPr>
          <w:rFonts w:ascii="Garamond" w:hAnsi="Garamond"/>
          <w:sz w:val="16"/>
          <w:szCs w:val="16"/>
          <w:lang w:val="en-US"/>
        </w:rPr>
        <w:tab/>
      </w:r>
      <w:r>
        <w:rPr>
          <w:rFonts w:ascii="Garamond" w:hAnsi="Garamond"/>
          <w:lang w:val="en-US"/>
        </w:rPr>
        <w:tab/>
        <w:t>↑</w:t>
      </w:r>
    </w:p>
    <w:p w14:paraId="6376E26B" w14:textId="77777777" w:rsidR="006C5546" w:rsidRPr="00E4234A" w:rsidRDefault="006C5546" w:rsidP="006C5546">
      <w:pPr>
        <w:ind w:firstLine="708"/>
        <w:jc w:val="both"/>
        <w:rPr>
          <w:rFonts w:ascii="Garamond" w:hAnsi="Garamond"/>
          <w:i/>
          <w:iCs/>
          <w:sz w:val="6"/>
          <w:szCs w:val="6"/>
          <w:lang w:val="en-US"/>
        </w:rPr>
      </w:pPr>
    </w:p>
    <w:p w14:paraId="62D9057A" w14:textId="77777777" w:rsidR="006C5546" w:rsidRPr="00805BD3" w:rsidRDefault="006C5546" w:rsidP="006C5546">
      <w:pPr>
        <w:ind w:firstLine="708"/>
        <w:jc w:val="both"/>
        <w:rPr>
          <w:rFonts w:ascii="Garamond" w:hAnsi="Garamond"/>
          <w:i/>
          <w:iCs/>
          <w:lang w:val="en-US"/>
        </w:rPr>
      </w:pPr>
      <w:r w:rsidRPr="00805BD3">
        <w:rPr>
          <w:rFonts w:ascii="Garamond" w:hAnsi="Garamond"/>
          <w:i/>
          <w:iCs/>
          <w:noProof/>
          <w:lang w:val="en-US"/>
        </w:rPr>
        <mc:AlternateContent>
          <mc:Choice Requires="wps">
            <w:drawing>
              <wp:anchor distT="0" distB="0" distL="114300" distR="114300" simplePos="0" relativeHeight="251659264" behindDoc="0" locked="0" layoutInCell="1" allowOverlap="1" wp14:anchorId="33616817" wp14:editId="3AE31A57">
                <wp:simplePos x="0" y="0"/>
                <wp:positionH relativeFrom="column">
                  <wp:posOffset>638175</wp:posOffset>
                </wp:positionH>
                <wp:positionV relativeFrom="paragraph">
                  <wp:posOffset>85566</wp:posOffset>
                </wp:positionV>
                <wp:extent cx="618490" cy="0"/>
                <wp:effectExtent l="0" t="63500" r="0" b="76200"/>
                <wp:wrapNone/>
                <wp:docPr id="1" name="Gerade Verbindung mit Pfeil 1"/>
                <wp:cNvGraphicFramePr/>
                <a:graphic xmlns:a="http://schemas.openxmlformats.org/drawingml/2006/main">
                  <a:graphicData uri="http://schemas.microsoft.com/office/word/2010/wordprocessingShape">
                    <wps:wsp>
                      <wps:cNvCnPr/>
                      <wps:spPr>
                        <a:xfrm>
                          <a:off x="0" y="0"/>
                          <a:ext cx="6184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6C1262F2" id="_x0000_t32" coordsize="21600,21600" o:spt="32" o:oned="t" path="m,l21600,21600e" filled="f">
                <v:path arrowok="t" fillok="f" o:connecttype="none"/>
                <o:lock v:ext="edit" shapetype="t"/>
              </v:shapetype>
              <v:shape id="Gerade Verbindung mit Pfeil 1" o:spid="_x0000_s1026" type="#_x0000_t32" style="position:absolute;margin-left:50.25pt;margin-top:6.75pt;width:4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" strokecolor="black [3213]" strokeweight=".5pt">
                <v:stroke endarrow="block" joinstyle="miter"/>
              </v:shape>
            </w:pict>
          </mc:Fallback>
        </mc:AlternateContent>
      </w:r>
      <w:r w:rsidRPr="00805BD3">
        <w:rPr>
          <w:rFonts w:ascii="Garamond" w:hAnsi="Garamond"/>
          <w:i/>
          <w:iCs/>
          <w:lang w:val="en-US"/>
        </w:rPr>
        <w:t xml:space="preserve">D </w:t>
      </w:r>
      <w:r>
        <w:rPr>
          <w:rFonts w:ascii="Garamond" w:hAnsi="Garamond"/>
          <w:i/>
          <w:iCs/>
          <w:lang w:val="en-US"/>
        </w:rPr>
        <w:tab/>
      </w:r>
      <w:r>
        <w:rPr>
          <w:rFonts w:ascii="Garamond" w:hAnsi="Garamond"/>
          <w:i/>
          <w:iCs/>
          <w:lang w:val="en-US"/>
        </w:rPr>
        <w:tab/>
        <w:t>q</w:t>
      </w:r>
      <w:r>
        <w:rPr>
          <w:rFonts w:ascii="Garamond" w:hAnsi="Garamond"/>
          <w:i/>
          <w:iCs/>
          <w:lang w:val="en-US"/>
        </w:rPr>
        <w:tab/>
      </w:r>
    </w:p>
    <w:p w14:paraId="3AB3F4A9" w14:textId="77777777" w:rsidR="006C5546" w:rsidRDefault="006C5546" w:rsidP="006C5546">
      <w:pPr>
        <w:ind w:firstLine="708"/>
        <w:jc w:val="both"/>
        <w:rPr>
          <w:rFonts w:ascii="Garamond" w:hAnsi="Garamond"/>
          <w:lang w:val="en-US"/>
        </w:rPr>
      </w:pPr>
      <w:r>
        <w:rPr>
          <w:rFonts w:ascii="Garamond" w:hAnsi="Garamond"/>
          <w:lang w:val="en-US"/>
        </w:rPr>
        <w:t>↑</w:t>
      </w:r>
      <w:r>
        <w:rPr>
          <w:rFonts w:ascii="Garamond" w:hAnsi="Garamond"/>
          <w:lang w:val="en-US"/>
        </w:rPr>
        <w:tab/>
      </w:r>
      <w:r>
        <w:rPr>
          <w:rFonts w:ascii="Garamond" w:hAnsi="Garamond"/>
          <w:lang w:val="en-US"/>
        </w:rPr>
        <w:tab/>
        <w:t>↑</w:t>
      </w:r>
      <w:r>
        <w:rPr>
          <w:rFonts w:ascii="Garamond" w:hAnsi="Garamond"/>
          <w:lang w:val="en-US"/>
        </w:rPr>
        <w:tab/>
      </w:r>
      <w:r>
        <w:rPr>
          <w:rFonts w:ascii="Garamond" w:hAnsi="Garamond"/>
          <w:lang w:val="en-US"/>
        </w:rPr>
        <w:tab/>
      </w:r>
    </w:p>
    <w:p w14:paraId="24BDBAFB" w14:textId="77777777" w:rsidR="006C5546" w:rsidRPr="00E4234A" w:rsidRDefault="006C5546" w:rsidP="006C5546">
      <w:pPr>
        <w:ind w:firstLine="708"/>
        <w:jc w:val="both"/>
        <w:rPr>
          <w:rFonts w:ascii="Garamond" w:hAnsi="Garamond"/>
          <w:i/>
          <w:iCs/>
          <w:lang w:val="en-US"/>
        </w:rPr>
      </w:pPr>
      <w:r w:rsidRPr="00805BD3">
        <w:rPr>
          <w:rFonts w:ascii="Garamond" w:hAnsi="Garamond"/>
          <w:i/>
          <w:iCs/>
          <w:lang w:val="en-US"/>
        </w:rPr>
        <w:t>t</w:t>
      </w:r>
      <w:r>
        <w:rPr>
          <w:rFonts w:ascii="Garamond" w:hAnsi="Garamond"/>
          <w:i/>
          <w:iCs/>
          <w:lang w:val="en-US"/>
        </w:rPr>
        <w:tab/>
      </w:r>
      <w:r>
        <w:rPr>
          <w:rFonts w:ascii="Garamond" w:hAnsi="Garamond"/>
          <w:i/>
          <w:iCs/>
          <w:lang w:val="en-US"/>
        </w:rPr>
        <w:tab/>
        <w:t>v</w:t>
      </w:r>
    </w:p>
    <w:p w14:paraId="1DBB02E2" w14:textId="77777777" w:rsidR="006C5546" w:rsidRPr="00EB6692" w:rsidRDefault="006C5546" w:rsidP="006C5546">
      <w:pPr>
        <w:jc w:val="both"/>
        <w:rPr>
          <w:rFonts w:ascii="Garamond" w:hAnsi="Garamond"/>
          <w:lang w:val="en-US"/>
        </w:rPr>
      </w:pPr>
    </w:p>
    <w:p w14:paraId="2A6A4775" w14:textId="77777777" w:rsidR="006C5546" w:rsidRDefault="006C5546" w:rsidP="006C5546">
      <w:pPr>
        <w:jc w:val="both"/>
        <w:rPr>
          <w:rFonts w:ascii="Garamond" w:hAnsi="Garamond"/>
          <w:lang w:val="en-US"/>
        </w:rPr>
      </w:pPr>
      <w:r w:rsidRPr="00EB6692">
        <w:rPr>
          <w:rFonts w:ascii="Garamond" w:hAnsi="Garamond"/>
          <w:lang w:val="en-US"/>
        </w:rPr>
        <w:t xml:space="preserve">The upward arrows stand for the grounding relation. In this diagram, </w:t>
      </w:r>
      <w:r w:rsidRPr="00835178">
        <w:rPr>
          <w:rFonts w:ascii="Garamond" w:hAnsi="Garamond"/>
          <w:i/>
          <w:iCs/>
          <w:lang w:val="en-US"/>
        </w:rPr>
        <w:t>t</w:t>
      </w:r>
      <w:r w:rsidRPr="00EB6692">
        <w:rPr>
          <w:rFonts w:ascii="Garamond" w:hAnsi="Garamond"/>
          <w:lang w:val="en-US"/>
        </w:rPr>
        <w:t xml:space="preserve"> grounds disposition </w:t>
      </w:r>
      <w:r w:rsidRPr="00835178">
        <w:rPr>
          <w:rFonts w:ascii="Garamond" w:hAnsi="Garamond"/>
          <w:i/>
          <w:iCs/>
          <w:lang w:val="en-US"/>
        </w:rPr>
        <w:t>D</w:t>
      </w:r>
      <w:r w:rsidRPr="00EB6692">
        <w:rPr>
          <w:rFonts w:ascii="Garamond" w:hAnsi="Garamond"/>
          <w:lang w:val="en-US"/>
        </w:rPr>
        <w:t xml:space="preserve">, and </w:t>
      </w:r>
      <w:r w:rsidRPr="00835178">
        <w:rPr>
          <w:rFonts w:ascii="Garamond" w:hAnsi="Garamond"/>
          <w:i/>
          <w:iCs/>
          <w:lang w:val="en-US"/>
        </w:rPr>
        <w:t>D</w:t>
      </w:r>
      <w:r w:rsidRPr="00EB6692">
        <w:rPr>
          <w:rFonts w:ascii="Garamond" w:hAnsi="Garamond"/>
          <w:lang w:val="en-US"/>
        </w:rPr>
        <w:t xml:space="preserve"> grounds </w:t>
      </w:r>
      <w:r w:rsidRPr="00835178">
        <w:rPr>
          <w:rFonts w:ascii="Garamond" w:hAnsi="Garamond"/>
          <w:i/>
          <w:iCs/>
          <w:lang w:val="en-US"/>
        </w:rPr>
        <w:t>s</w:t>
      </w:r>
      <w:r w:rsidRPr="00EB6692">
        <w:rPr>
          <w:rFonts w:ascii="Garamond" w:hAnsi="Garamond"/>
          <w:lang w:val="en-US"/>
        </w:rPr>
        <w:t xml:space="preserve">; </w:t>
      </w:r>
      <w:r w:rsidRPr="00835178">
        <w:rPr>
          <w:rFonts w:ascii="Garamond" w:hAnsi="Garamond"/>
          <w:i/>
          <w:iCs/>
          <w:lang w:val="en-US"/>
        </w:rPr>
        <w:t>v</w:t>
      </w:r>
      <w:r w:rsidRPr="00EB6692">
        <w:rPr>
          <w:rFonts w:ascii="Garamond" w:hAnsi="Garamond"/>
          <w:lang w:val="en-US"/>
        </w:rPr>
        <w:t xml:space="preserve"> grounds </w:t>
      </w:r>
      <w:r w:rsidRPr="00835178">
        <w:rPr>
          <w:rFonts w:ascii="Garamond" w:hAnsi="Garamond"/>
          <w:i/>
          <w:iCs/>
          <w:lang w:val="en-US"/>
        </w:rPr>
        <w:t>q</w:t>
      </w:r>
      <w:r w:rsidRPr="00EB6692">
        <w:rPr>
          <w:rFonts w:ascii="Garamond" w:hAnsi="Garamond"/>
          <w:lang w:val="en-US"/>
        </w:rPr>
        <w:t xml:space="preserve">, and </w:t>
      </w:r>
      <w:r w:rsidRPr="00835178">
        <w:rPr>
          <w:rFonts w:ascii="Garamond" w:hAnsi="Garamond"/>
          <w:i/>
          <w:iCs/>
          <w:lang w:val="en-US"/>
        </w:rPr>
        <w:t>q</w:t>
      </w:r>
      <w:r w:rsidRPr="00EB6692">
        <w:rPr>
          <w:rFonts w:ascii="Garamond" w:hAnsi="Garamond"/>
          <w:lang w:val="en-US"/>
        </w:rPr>
        <w:t xml:space="preserve"> grounds </w:t>
      </w:r>
      <w:r w:rsidRPr="00835178">
        <w:rPr>
          <w:rFonts w:ascii="Garamond" w:hAnsi="Garamond"/>
          <w:i/>
          <w:iCs/>
          <w:lang w:val="en-US"/>
        </w:rPr>
        <w:t>u</w:t>
      </w:r>
      <w:r w:rsidRPr="00EB6692">
        <w:rPr>
          <w:rFonts w:ascii="Garamond" w:hAnsi="Garamond"/>
          <w:lang w:val="en-US"/>
        </w:rPr>
        <w:t xml:space="preserve">; and </w:t>
      </w:r>
      <w:r w:rsidRPr="00835178">
        <w:rPr>
          <w:rFonts w:ascii="Garamond" w:hAnsi="Garamond"/>
          <w:i/>
          <w:iCs/>
          <w:lang w:val="en-US"/>
        </w:rPr>
        <w:t>q</w:t>
      </w:r>
      <w:r w:rsidRPr="00EB6692">
        <w:rPr>
          <w:rFonts w:ascii="Garamond" w:hAnsi="Garamond"/>
          <w:lang w:val="en-US"/>
        </w:rPr>
        <w:t xml:space="preserve"> manifests</w:t>
      </w:r>
      <w:r w:rsidRPr="00A2174E">
        <w:rPr>
          <w:rFonts w:ascii="Garamond" w:hAnsi="Garamond"/>
          <w:i/>
          <w:iCs/>
          <w:vertAlign w:val="subscript"/>
          <w:lang w:val="en-US"/>
        </w:rPr>
        <w:t>n</w:t>
      </w:r>
      <w:r w:rsidRPr="00EB6692">
        <w:rPr>
          <w:rFonts w:ascii="Garamond" w:hAnsi="Garamond"/>
          <w:lang w:val="en-US"/>
        </w:rPr>
        <w:t xml:space="preserve"> </w:t>
      </w:r>
      <w:r w:rsidRPr="00835178">
        <w:rPr>
          <w:rFonts w:ascii="Garamond" w:hAnsi="Garamond"/>
          <w:i/>
          <w:iCs/>
          <w:lang w:val="en-US"/>
        </w:rPr>
        <w:t>D</w:t>
      </w:r>
      <w:r w:rsidRPr="00EB6692">
        <w:rPr>
          <w:rFonts w:ascii="Garamond" w:hAnsi="Garamond"/>
          <w:lang w:val="en-US"/>
        </w:rPr>
        <w:t xml:space="preserve">. So in our broad sense of manifestation, </w:t>
      </w:r>
      <w:r w:rsidRPr="00835178">
        <w:rPr>
          <w:rFonts w:ascii="Garamond" w:hAnsi="Garamond"/>
          <w:i/>
          <w:iCs/>
          <w:lang w:val="en-US"/>
        </w:rPr>
        <w:t>u</w:t>
      </w:r>
      <w:r w:rsidRPr="00EB6692">
        <w:rPr>
          <w:rFonts w:ascii="Garamond" w:hAnsi="Garamond"/>
          <w:lang w:val="en-US"/>
        </w:rPr>
        <w:t xml:space="preserve">, </w:t>
      </w:r>
      <w:r w:rsidRPr="00835178">
        <w:rPr>
          <w:rFonts w:ascii="Garamond" w:hAnsi="Garamond"/>
          <w:i/>
          <w:iCs/>
          <w:lang w:val="en-US"/>
        </w:rPr>
        <w:t>q</w:t>
      </w:r>
      <w:r w:rsidRPr="00EB6692">
        <w:rPr>
          <w:rFonts w:ascii="Garamond" w:hAnsi="Garamond"/>
          <w:lang w:val="en-US"/>
        </w:rPr>
        <w:t xml:space="preserve"> and </w:t>
      </w:r>
      <w:r w:rsidRPr="00835178">
        <w:rPr>
          <w:rFonts w:ascii="Garamond" w:hAnsi="Garamond"/>
          <w:i/>
          <w:iCs/>
          <w:lang w:val="en-US"/>
        </w:rPr>
        <w:t>v</w:t>
      </w:r>
      <w:r w:rsidRPr="00EB6692">
        <w:rPr>
          <w:rFonts w:ascii="Garamond" w:hAnsi="Garamond"/>
          <w:lang w:val="en-US"/>
        </w:rPr>
        <w:t xml:space="preserve"> manifest </w:t>
      </w:r>
      <w:r w:rsidRPr="00835178">
        <w:rPr>
          <w:rFonts w:ascii="Garamond" w:hAnsi="Garamond"/>
          <w:i/>
          <w:iCs/>
          <w:lang w:val="en-US"/>
        </w:rPr>
        <w:t>s</w:t>
      </w:r>
      <w:r w:rsidRPr="00EB6692">
        <w:rPr>
          <w:rFonts w:ascii="Garamond" w:hAnsi="Garamond"/>
          <w:lang w:val="en-US"/>
        </w:rPr>
        <w:t xml:space="preserve">, </w:t>
      </w:r>
      <w:r w:rsidRPr="00835178">
        <w:rPr>
          <w:rFonts w:ascii="Garamond" w:hAnsi="Garamond"/>
          <w:i/>
          <w:iCs/>
          <w:lang w:val="en-US"/>
        </w:rPr>
        <w:t>D</w:t>
      </w:r>
      <w:r w:rsidRPr="00EB6692">
        <w:rPr>
          <w:rFonts w:ascii="Garamond" w:hAnsi="Garamond"/>
          <w:lang w:val="en-US"/>
        </w:rPr>
        <w:t xml:space="preserve"> and </w:t>
      </w:r>
      <w:r w:rsidRPr="00835178">
        <w:rPr>
          <w:rFonts w:ascii="Garamond" w:hAnsi="Garamond"/>
          <w:i/>
          <w:iCs/>
          <w:lang w:val="en-US"/>
        </w:rPr>
        <w:t>t</w:t>
      </w:r>
      <w:r w:rsidRPr="00EB6692">
        <w:rPr>
          <w:rFonts w:ascii="Garamond" w:hAnsi="Garamond"/>
          <w:lang w:val="en-US"/>
        </w:rPr>
        <w:t xml:space="preserve">. </w:t>
      </w:r>
    </w:p>
    <w:p w14:paraId="4A44258D" w14:textId="0105664F" w:rsidR="006C5546" w:rsidRDefault="006C5546" w:rsidP="006C5546">
      <w:pPr>
        <w:ind w:firstLine="708"/>
        <w:jc w:val="both"/>
        <w:rPr>
          <w:rFonts w:ascii="Garamond" w:hAnsi="Garamond"/>
          <w:lang w:val="en-US"/>
        </w:rPr>
      </w:pPr>
      <w:r w:rsidRPr="00EB6692">
        <w:rPr>
          <w:rFonts w:ascii="Garamond" w:hAnsi="Garamond"/>
          <w:lang w:val="en-US"/>
        </w:rPr>
        <w:t>Let</w:t>
      </w:r>
      <w:r>
        <w:rPr>
          <w:rFonts w:ascii="Garamond" w:hAnsi="Garamond"/>
          <w:lang w:val="en-US"/>
        </w:rPr>
        <w:t>’</w:t>
      </w:r>
      <w:r w:rsidRPr="00EB6692">
        <w:rPr>
          <w:rFonts w:ascii="Garamond" w:hAnsi="Garamond"/>
          <w:lang w:val="en-US"/>
        </w:rPr>
        <w:t>s give two examples to illustrate this. Suppose first you look at a beautiful painting. The fact that the painting is beautiful (</w:t>
      </w:r>
      <w:r w:rsidRPr="00835178">
        <w:rPr>
          <w:rFonts w:ascii="Garamond" w:hAnsi="Garamond"/>
          <w:i/>
          <w:iCs/>
          <w:lang w:val="en-US"/>
        </w:rPr>
        <w:t>t</w:t>
      </w:r>
      <w:r w:rsidRPr="00EB6692">
        <w:rPr>
          <w:rFonts w:ascii="Garamond" w:hAnsi="Garamond"/>
          <w:lang w:val="en-US"/>
        </w:rPr>
        <w:t xml:space="preserve">) grounds the fact that </w:t>
      </w:r>
      <w:r w:rsidR="000E5B41">
        <w:rPr>
          <w:rFonts w:ascii="Garamond" w:hAnsi="Garamond"/>
          <w:lang w:val="en-US"/>
        </w:rPr>
        <w:t>it’s disposed to please</w:t>
      </w:r>
      <w:r w:rsidR="000E5B41" w:rsidRPr="00EB6692">
        <w:rPr>
          <w:rFonts w:ascii="Garamond" w:hAnsi="Garamond"/>
          <w:lang w:val="en-US"/>
        </w:rPr>
        <w:t xml:space="preserve"> </w:t>
      </w:r>
      <w:r w:rsidRPr="00EB6692">
        <w:rPr>
          <w:rFonts w:ascii="Garamond" w:hAnsi="Garamond"/>
          <w:lang w:val="en-US"/>
        </w:rPr>
        <w:t xml:space="preserve">aesthetically sensitive people </w:t>
      </w:r>
      <w:r w:rsidR="000E5B41">
        <w:rPr>
          <w:rFonts w:ascii="Garamond" w:hAnsi="Garamond"/>
          <w:lang w:val="en-US"/>
        </w:rPr>
        <w:t xml:space="preserve">when they </w:t>
      </w:r>
      <w:r w:rsidRPr="00EB6692">
        <w:rPr>
          <w:rFonts w:ascii="Garamond" w:hAnsi="Garamond"/>
          <w:lang w:val="en-US"/>
        </w:rPr>
        <w:t>look at it (</w:t>
      </w:r>
      <w:r w:rsidRPr="00835178">
        <w:rPr>
          <w:rFonts w:ascii="Garamond" w:hAnsi="Garamond"/>
          <w:i/>
          <w:iCs/>
          <w:lang w:val="en-US"/>
        </w:rPr>
        <w:t>D</w:t>
      </w:r>
      <w:r w:rsidRPr="00EB6692">
        <w:rPr>
          <w:rFonts w:ascii="Garamond" w:hAnsi="Garamond"/>
          <w:lang w:val="en-US"/>
        </w:rPr>
        <w:t>). Now suppose this disposition of the painting is manifest</w:t>
      </w:r>
      <w:r w:rsidRPr="00A2174E">
        <w:rPr>
          <w:rFonts w:ascii="Garamond" w:hAnsi="Garamond"/>
          <w:i/>
          <w:iCs/>
          <w:vertAlign w:val="subscript"/>
          <w:lang w:val="en-US"/>
        </w:rPr>
        <w:t>n</w:t>
      </w:r>
      <w:r w:rsidRPr="00EB6692">
        <w:rPr>
          <w:rFonts w:ascii="Garamond" w:hAnsi="Garamond"/>
          <w:lang w:val="en-US"/>
        </w:rPr>
        <w:t xml:space="preserve"> in your pleasure: you are pleased (</w:t>
      </w:r>
      <w:r w:rsidRPr="00835178">
        <w:rPr>
          <w:rFonts w:ascii="Garamond" w:hAnsi="Garamond"/>
          <w:i/>
          <w:iCs/>
          <w:lang w:val="en-US"/>
        </w:rPr>
        <w:t>q</w:t>
      </w:r>
      <w:r w:rsidRPr="00EB6692">
        <w:rPr>
          <w:rFonts w:ascii="Garamond" w:hAnsi="Garamond"/>
          <w:lang w:val="en-US"/>
        </w:rPr>
        <w:t>), precisely because you</w:t>
      </w:r>
      <w:r>
        <w:rPr>
          <w:rFonts w:ascii="Garamond" w:hAnsi="Garamond"/>
          <w:lang w:val="en-US"/>
        </w:rPr>
        <w:t>’</w:t>
      </w:r>
      <w:r w:rsidRPr="00EB6692">
        <w:rPr>
          <w:rFonts w:ascii="Garamond" w:hAnsi="Garamond"/>
          <w:lang w:val="en-US"/>
        </w:rPr>
        <w:t>re aesthetically sensitive and looking at this painting. Then, the fact that the painting is beautiful is manifest (in our broad sense) in your pleasure. Alternatively, suppose you yourself paint a beautiful painting. Say the fact that that painting is beautiful (</w:t>
      </w:r>
      <w:r w:rsidRPr="00835178">
        <w:rPr>
          <w:rFonts w:ascii="Garamond" w:hAnsi="Garamond"/>
          <w:i/>
          <w:iCs/>
          <w:lang w:val="en-US"/>
        </w:rPr>
        <w:t>u</w:t>
      </w:r>
      <w:r w:rsidRPr="00EB6692">
        <w:rPr>
          <w:rFonts w:ascii="Garamond" w:hAnsi="Garamond"/>
          <w:lang w:val="en-US"/>
        </w:rPr>
        <w:t>) is grounded in the fact that its color palette is well-balanced (</w:t>
      </w:r>
      <w:r w:rsidRPr="00835178">
        <w:rPr>
          <w:rFonts w:ascii="Garamond" w:hAnsi="Garamond"/>
          <w:i/>
          <w:iCs/>
          <w:lang w:val="en-US"/>
        </w:rPr>
        <w:t>q</w:t>
      </w:r>
      <w:r w:rsidRPr="00EB6692">
        <w:rPr>
          <w:rFonts w:ascii="Garamond" w:hAnsi="Garamond"/>
          <w:lang w:val="en-US"/>
        </w:rPr>
        <w:t>). And suppose this fact manifests</w:t>
      </w:r>
      <w:r w:rsidRPr="00A2174E">
        <w:rPr>
          <w:rFonts w:ascii="Garamond" w:hAnsi="Garamond"/>
          <w:i/>
          <w:iCs/>
          <w:vertAlign w:val="subscript"/>
          <w:lang w:val="en-US"/>
        </w:rPr>
        <w:t>n</w:t>
      </w:r>
      <w:r w:rsidRPr="00EB6692">
        <w:rPr>
          <w:rFonts w:ascii="Garamond" w:hAnsi="Garamond"/>
          <w:lang w:val="en-US"/>
        </w:rPr>
        <w:t xml:space="preserve"> your sensitivity to color: you</w:t>
      </w:r>
      <w:r w:rsidR="000E5B41">
        <w:rPr>
          <w:rFonts w:ascii="Garamond" w:hAnsi="Garamond"/>
          <w:lang w:val="en-US"/>
        </w:rPr>
        <w:t>’re disposed to produce a well-balanced color palette when you paint</w:t>
      </w:r>
      <w:r w:rsidR="00F07680">
        <w:rPr>
          <w:rFonts w:ascii="Garamond" w:hAnsi="Garamond"/>
          <w:lang w:val="en-US"/>
        </w:rPr>
        <w:t xml:space="preserve"> something</w:t>
      </w:r>
      <w:r w:rsidRPr="00EB6692">
        <w:rPr>
          <w:rFonts w:ascii="Garamond" w:hAnsi="Garamond"/>
          <w:lang w:val="en-US"/>
        </w:rPr>
        <w:t xml:space="preserve"> (</w:t>
      </w:r>
      <w:r w:rsidRPr="00835178">
        <w:rPr>
          <w:rFonts w:ascii="Garamond" w:hAnsi="Garamond"/>
          <w:i/>
          <w:iCs/>
          <w:lang w:val="en-US"/>
        </w:rPr>
        <w:t>D</w:t>
      </w:r>
      <w:r w:rsidRPr="00EB6692">
        <w:rPr>
          <w:rFonts w:ascii="Garamond" w:hAnsi="Garamond"/>
          <w:lang w:val="en-US"/>
        </w:rPr>
        <w:t>), and the palette of this painting is well-balanced precisely because you painted it and you</w:t>
      </w:r>
      <w:r>
        <w:rPr>
          <w:rFonts w:ascii="Garamond" w:hAnsi="Garamond"/>
          <w:lang w:val="en-US"/>
        </w:rPr>
        <w:t>’</w:t>
      </w:r>
      <w:r w:rsidRPr="00EB6692">
        <w:rPr>
          <w:rFonts w:ascii="Garamond" w:hAnsi="Garamond"/>
          <w:lang w:val="en-US"/>
        </w:rPr>
        <w:t xml:space="preserve">re sensitive to color. Then, your color sensitivity is manifest (in our broad sense) in the beauty of this painting. </w:t>
      </w:r>
    </w:p>
    <w:p w14:paraId="76607346" w14:textId="5DB8C299" w:rsidR="009A7B60" w:rsidRPr="00EB6692" w:rsidRDefault="00D16748" w:rsidP="0036110D">
      <w:pPr>
        <w:ind w:firstLine="708"/>
        <w:jc w:val="both"/>
        <w:rPr>
          <w:rFonts w:ascii="Garamond" w:hAnsi="Garamond"/>
          <w:lang w:val="en-US"/>
        </w:rPr>
      </w:pPr>
      <w:r w:rsidRPr="00EB6692">
        <w:rPr>
          <w:rFonts w:ascii="Garamond" w:hAnsi="Garamond"/>
          <w:lang w:val="en-US"/>
        </w:rPr>
        <w:lastRenderedPageBreak/>
        <w:t>We think it</w:t>
      </w:r>
      <w:r w:rsidR="00870DA9">
        <w:rPr>
          <w:rFonts w:ascii="Garamond" w:hAnsi="Garamond"/>
          <w:lang w:val="en-US"/>
        </w:rPr>
        <w:t>’</w:t>
      </w:r>
      <w:r w:rsidRPr="00EB6692">
        <w:rPr>
          <w:rFonts w:ascii="Garamond" w:hAnsi="Garamond"/>
          <w:lang w:val="en-US"/>
        </w:rPr>
        <w:t xml:space="preserve">s this relation of manifestation which constitutes the relevant contact with value: for you to be in contact with a value-fact </w:t>
      </w:r>
      <w:r w:rsidRPr="00835178">
        <w:rPr>
          <w:rFonts w:ascii="Garamond" w:hAnsi="Garamond"/>
          <w:i/>
          <w:iCs/>
          <w:lang w:val="en-US"/>
        </w:rPr>
        <w:t>p</w:t>
      </w:r>
      <w:r w:rsidRPr="00EB6692">
        <w:rPr>
          <w:rFonts w:ascii="Garamond" w:hAnsi="Garamond"/>
          <w:lang w:val="en-US"/>
        </w:rPr>
        <w:t xml:space="preserve"> is for some fact in your life to be connected with </w:t>
      </w:r>
      <w:r w:rsidRPr="00835178">
        <w:rPr>
          <w:rFonts w:ascii="Garamond" w:hAnsi="Garamond"/>
          <w:i/>
          <w:iCs/>
          <w:lang w:val="en-US"/>
        </w:rPr>
        <w:t>p</w:t>
      </w:r>
      <w:r w:rsidRPr="00EB6692">
        <w:rPr>
          <w:rFonts w:ascii="Garamond" w:hAnsi="Garamond"/>
          <w:lang w:val="en-US"/>
        </w:rPr>
        <w:t xml:space="preserve"> through </w:t>
      </w:r>
      <w:r w:rsidR="00BD292A">
        <w:rPr>
          <w:rFonts w:ascii="Garamond" w:hAnsi="Garamond"/>
          <w:lang w:val="en-US"/>
        </w:rPr>
        <w:t>such a</w:t>
      </w:r>
      <w:r w:rsidRPr="00EB6692">
        <w:rPr>
          <w:rFonts w:ascii="Garamond" w:hAnsi="Garamond"/>
          <w:lang w:val="en-US"/>
        </w:rPr>
        <w:t xml:space="preserve"> manifestation relation. It</w:t>
      </w:r>
      <w:r w:rsidR="00870DA9">
        <w:rPr>
          <w:rFonts w:ascii="Garamond" w:hAnsi="Garamond"/>
          <w:lang w:val="en-US"/>
        </w:rPr>
        <w:t>’</w:t>
      </w:r>
      <w:r w:rsidRPr="00EB6692">
        <w:rPr>
          <w:rFonts w:ascii="Garamond" w:hAnsi="Garamond"/>
          <w:lang w:val="en-US"/>
        </w:rPr>
        <w:t xml:space="preserve">s either for </w:t>
      </w:r>
      <w:r w:rsidRPr="00835178">
        <w:rPr>
          <w:rFonts w:ascii="Garamond" w:hAnsi="Garamond"/>
          <w:i/>
          <w:iCs/>
          <w:lang w:val="en-US"/>
        </w:rPr>
        <w:t>p</w:t>
      </w:r>
      <w:r w:rsidRPr="00EB6692">
        <w:rPr>
          <w:rFonts w:ascii="Garamond" w:hAnsi="Garamond"/>
          <w:lang w:val="en-US"/>
        </w:rPr>
        <w:t xml:space="preserve"> to be manifest in a fact in your life, or for some fact in your life to be manifest in </w:t>
      </w:r>
      <w:r w:rsidRPr="00835178">
        <w:rPr>
          <w:rFonts w:ascii="Garamond" w:hAnsi="Garamond"/>
          <w:i/>
          <w:iCs/>
          <w:lang w:val="en-US"/>
        </w:rPr>
        <w:t>p</w:t>
      </w:r>
      <w:r w:rsidRPr="00EB6692">
        <w:rPr>
          <w:rFonts w:ascii="Garamond" w:hAnsi="Garamond"/>
          <w:lang w:val="en-US"/>
        </w:rPr>
        <w:t xml:space="preserve">. More precisely, we propose </w:t>
      </w:r>
    </w:p>
    <w:p w14:paraId="51F4BD9E" w14:textId="77777777" w:rsidR="00D16748" w:rsidRPr="00EB6692" w:rsidRDefault="00D16748" w:rsidP="00870DA9">
      <w:pPr>
        <w:jc w:val="both"/>
        <w:rPr>
          <w:rFonts w:ascii="Garamond" w:hAnsi="Garamond"/>
          <w:lang w:val="en-US"/>
        </w:rPr>
      </w:pPr>
    </w:p>
    <w:p w14:paraId="351B39C1" w14:textId="6FC5F629" w:rsidR="00D16748" w:rsidRPr="007854EC" w:rsidRDefault="00D16748" w:rsidP="007854EC">
      <w:pPr>
        <w:ind w:firstLine="708"/>
        <w:jc w:val="both"/>
        <w:rPr>
          <w:rFonts w:ascii="Garamond" w:hAnsi="Garamond"/>
          <w:b/>
          <w:bCs/>
          <w:lang w:val="en-US"/>
        </w:rPr>
      </w:pPr>
      <w:r w:rsidRPr="007854EC">
        <w:rPr>
          <w:rFonts w:ascii="Garamond" w:hAnsi="Garamond"/>
          <w:b/>
          <w:bCs/>
          <w:lang w:val="en-US"/>
        </w:rPr>
        <w:t xml:space="preserve">The Contact Account of Welfare: </w:t>
      </w:r>
    </w:p>
    <w:p w14:paraId="70837568" w14:textId="77777777" w:rsidR="00D16748" w:rsidRPr="00EB6692" w:rsidRDefault="00D16748" w:rsidP="00870DA9">
      <w:pPr>
        <w:jc w:val="both"/>
        <w:rPr>
          <w:rFonts w:ascii="Garamond" w:hAnsi="Garamond"/>
          <w:lang w:val="en-US"/>
        </w:rPr>
      </w:pPr>
      <w:r w:rsidRPr="007854EC">
        <w:rPr>
          <w:rFonts w:ascii="Garamond" w:hAnsi="Garamond"/>
          <w:b/>
          <w:bCs/>
          <w:lang w:val="en-US"/>
        </w:rPr>
        <w:t xml:space="preserve"> </w:t>
      </w:r>
    </w:p>
    <w:p w14:paraId="7E3BFDE1" w14:textId="38FCE585" w:rsidR="00D16748" w:rsidRPr="00EB6692" w:rsidRDefault="00D16748" w:rsidP="007854EC">
      <w:pPr>
        <w:ind w:left="708"/>
        <w:jc w:val="both"/>
        <w:rPr>
          <w:rFonts w:ascii="Garamond" w:hAnsi="Garamond"/>
          <w:lang w:val="en-US"/>
        </w:rPr>
      </w:pPr>
      <w:r w:rsidRPr="00EB6692">
        <w:rPr>
          <w:rFonts w:ascii="Garamond" w:hAnsi="Garamond"/>
          <w:lang w:val="en-US"/>
        </w:rPr>
        <w:t>1.</w:t>
      </w:r>
      <w:r w:rsidR="007854EC">
        <w:rPr>
          <w:rFonts w:ascii="Garamond" w:hAnsi="Garamond"/>
          <w:lang w:val="en-US"/>
        </w:rPr>
        <w:t xml:space="preserve"> </w:t>
      </w:r>
      <w:r w:rsidRPr="00EB6692">
        <w:rPr>
          <w:rFonts w:ascii="Garamond" w:hAnsi="Garamond"/>
          <w:lang w:val="en-US"/>
        </w:rPr>
        <w:t xml:space="preserve">The only basic welfare good is contact with a good: an impersonal good being manifest in a fact of your life or a fact of your life being manifest in an impersonal good. </w:t>
      </w:r>
    </w:p>
    <w:p w14:paraId="5E879E8B" w14:textId="77777777" w:rsidR="00D16748" w:rsidRPr="00EB6692" w:rsidRDefault="00D16748" w:rsidP="00870DA9">
      <w:pPr>
        <w:jc w:val="both"/>
        <w:rPr>
          <w:rFonts w:ascii="Garamond" w:hAnsi="Garamond"/>
          <w:lang w:val="en-US"/>
        </w:rPr>
      </w:pPr>
    </w:p>
    <w:p w14:paraId="13DA1370" w14:textId="046A8979" w:rsidR="00D16748" w:rsidRPr="00EB6692" w:rsidRDefault="00D16748" w:rsidP="007854EC">
      <w:pPr>
        <w:ind w:left="708"/>
        <w:jc w:val="both"/>
        <w:rPr>
          <w:rFonts w:ascii="Garamond" w:hAnsi="Garamond"/>
          <w:lang w:val="en-US"/>
        </w:rPr>
      </w:pPr>
      <w:r w:rsidRPr="00EB6692">
        <w:rPr>
          <w:rFonts w:ascii="Garamond" w:hAnsi="Garamond"/>
          <w:lang w:val="en-US"/>
        </w:rPr>
        <w:t>2.</w:t>
      </w:r>
      <w:r w:rsidR="00E10850">
        <w:rPr>
          <w:rFonts w:ascii="Garamond" w:hAnsi="Garamond"/>
          <w:lang w:val="en-US"/>
        </w:rPr>
        <w:t xml:space="preserve"> </w:t>
      </w:r>
      <w:r w:rsidRPr="00EB6692">
        <w:rPr>
          <w:rFonts w:ascii="Garamond" w:hAnsi="Garamond"/>
          <w:lang w:val="en-US"/>
        </w:rPr>
        <w:t xml:space="preserve">The only basic welfare bad is contact with a bad: an impersonal bad being manifest in a fact of your life or a fact of your life being manifest in an impersonal bad. </w:t>
      </w:r>
    </w:p>
    <w:p w14:paraId="30287A78" w14:textId="77777777" w:rsidR="00D16748" w:rsidRPr="00EB6692" w:rsidRDefault="00D16748" w:rsidP="00870DA9">
      <w:pPr>
        <w:jc w:val="both"/>
        <w:rPr>
          <w:rFonts w:ascii="Garamond" w:hAnsi="Garamond"/>
          <w:lang w:val="en-US"/>
        </w:rPr>
      </w:pPr>
    </w:p>
    <w:p w14:paraId="1BEF0BB6" w14:textId="3DC22615" w:rsidR="00D16748" w:rsidRPr="00EB6692" w:rsidRDefault="00D16748" w:rsidP="007854EC">
      <w:pPr>
        <w:ind w:left="708"/>
        <w:jc w:val="both"/>
        <w:rPr>
          <w:rFonts w:ascii="Garamond" w:hAnsi="Garamond"/>
          <w:lang w:val="en-US"/>
        </w:rPr>
      </w:pPr>
      <w:r w:rsidRPr="00EB6692">
        <w:rPr>
          <w:rFonts w:ascii="Garamond" w:hAnsi="Garamond"/>
          <w:lang w:val="en-US"/>
        </w:rPr>
        <w:t>3.</w:t>
      </w:r>
      <w:r w:rsidR="001F0E6C">
        <w:rPr>
          <w:rFonts w:ascii="Garamond" w:hAnsi="Garamond"/>
          <w:lang w:val="en-US"/>
        </w:rPr>
        <w:t xml:space="preserve"> </w:t>
      </w:r>
      <w:r w:rsidRPr="00EB6692">
        <w:rPr>
          <w:rFonts w:ascii="Garamond" w:hAnsi="Garamond"/>
          <w:lang w:val="en-US"/>
        </w:rPr>
        <w:t>Your overall welfare is given by the sum of how much contact with the good you have minus how much contact with the bad you have.</w:t>
      </w:r>
    </w:p>
    <w:p w14:paraId="09C36A7C" w14:textId="77777777" w:rsidR="00D16748" w:rsidRPr="00EB6692" w:rsidRDefault="00D16748" w:rsidP="00870DA9">
      <w:pPr>
        <w:jc w:val="both"/>
        <w:rPr>
          <w:rFonts w:ascii="Garamond" w:hAnsi="Garamond"/>
          <w:lang w:val="en-US"/>
        </w:rPr>
      </w:pPr>
    </w:p>
    <w:p w14:paraId="31D5761D" w14:textId="77777777" w:rsidR="00BF5F96" w:rsidRDefault="00D16748" w:rsidP="00870DA9">
      <w:pPr>
        <w:jc w:val="both"/>
        <w:rPr>
          <w:rFonts w:ascii="Garamond" w:hAnsi="Garamond"/>
          <w:lang w:val="en-US"/>
        </w:rPr>
      </w:pPr>
      <w:r w:rsidRPr="00EB6692">
        <w:rPr>
          <w:rFonts w:ascii="Garamond" w:hAnsi="Garamond"/>
          <w:lang w:val="en-US"/>
        </w:rPr>
        <w:t xml:space="preserve">This comprises the elements we suggested an account of welfare consists </w:t>
      </w:r>
      <w:proofErr w:type="gramStart"/>
      <w:r w:rsidRPr="00EB6692">
        <w:rPr>
          <w:rFonts w:ascii="Garamond" w:hAnsi="Garamond"/>
          <w:lang w:val="en-US"/>
        </w:rPr>
        <w:t>of:</w:t>
      </w:r>
      <w:proofErr w:type="gramEnd"/>
      <w:r w:rsidRPr="00EB6692">
        <w:rPr>
          <w:rFonts w:ascii="Garamond" w:hAnsi="Garamond"/>
          <w:lang w:val="en-US"/>
        </w:rPr>
        <w:t xml:space="preserve"> an account of basic goods and bads (the first two clauses), and an account of how they determine your overall welfare (the third clause). Let</w:t>
      </w:r>
      <w:r w:rsidR="00870DA9">
        <w:rPr>
          <w:rFonts w:ascii="Garamond" w:hAnsi="Garamond"/>
          <w:lang w:val="en-US"/>
        </w:rPr>
        <w:t>’</w:t>
      </w:r>
      <w:r w:rsidRPr="00EB6692">
        <w:rPr>
          <w:rFonts w:ascii="Garamond" w:hAnsi="Garamond"/>
          <w:lang w:val="en-US"/>
        </w:rPr>
        <w:t xml:space="preserve">s now make clearer the notions in this account </w:t>
      </w:r>
    </w:p>
    <w:p w14:paraId="0A98C14F" w14:textId="6D562CCA" w:rsidR="00BF5F96" w:rsidRDefault="00D16748" w:rsidP="00BF5F96">
      <w:pPr>
        <w:ind w:firstLine="708"/>
        <w:jc w:val="both"/>
        <w:rPr>
          <w:rFonts w:ascii="Garamond" w:hAnsi="Garamond"/>
          <w:lang w:val="en-US"/>
        </w:rPr>
      </w:pPr>
      <w:r w:rsidRPr="00EB6692">
        <w:rPr>
          <w:rFonts w:ascii="Garamond" w:hAnsi="Garamond"/>
          <w:lang w:val="en-US"/>
        </w:rPr>
        <w:t xml:space="preserve">First, we need to clarify the notion of </w:t>
      </w:r>
      <w:r w:rsidR="005C1810">
        <w:rPr>
          <w:rFonts w:ascii="Garamond" w:hAnsi="Garamond"/>
          <w:lang w:val="en-US"/>
        </w:rPr>
        <w:t>‘</w:t>
      </w:r>
      <w:r w:rsidRPr="00EB6692">
        <w:rPr>
          <w:rFonts w:ascii="Garamond" w:hAnsi="Garamond"/>
          <w:lang w:val="en-US"/>
        </w:rPr>
        <w:t>your life</w:t>
      </w:r>
      <w:r w:rsidR="00870DA9">
        <w:rPr>
          <w:rFonts w:ascii="Garamond" w:hAnsi="Garamond"/>
          <w:lang w:val="en-US"/>
        </w:rPr>
        <w:t>’</w:t>
      </w:r>
      <w:r w:rsidRPr="00EB6692">
        <w:rPr>
          <w:rFonts w:ascii="Garamond" w:hAnsi="Garamond"/>
          <w:lang w:val="en-US"/>
        </w:rPr>
        <w:t>. As we</w:t>
      </w:r>
      <w:r w:rsidR="00870DA9">
        <w:rPr>
          <w:rFonts w:ascii="Garamond" w:hAnsi="Garamond"/>
          <w:lang w:val="en-US"/>
        </w:rPr>
        <w:t>’</w:t>
      </w:r>
      <w:r w:rsidRPr="00EB6692">
        <w:rPr>
          <w:rFonts w:ascii="Garamond" w:hAnsi="Garamond"/>
          <w:lang w:val="en-US"/>
        </w:rPr>
        <w:t>ll understand it, your life is a collection of facts. It includes all facts about what you ever do, feel, see, believe, desire. Thus, if you raised a child, love snakes or once felt the pain of a broken toe, those facts are part of your life. Your life also includes all the dispositions you ever had. If you were adventurous in your youth, are now circumspect, and will be pusillanimous in old age, those facts are also part of your life. This isn</w:t>
      </w:r>
      <w:r w:rsidR="00870DA9">
        <w:rPr>
          <w:rFonts w:ascii="Garamond" w:hAnsi="Garamond"/>
          <w:lang w:val="en-US"/>
        </w:rPr>
        <w:t>’</w:t>
      </w:r>
      <w:r w:rsidRPr="00EB6692">
        <w:rPr>
          <w:rFonts w:ascii="Garamond" w:hAnsi="Garamond"/>
          <w:lang w:val="en-US"/>
        </w:rPr>
        <w:t xml:space="preserve">t a fully general account of what is a part of your life. But it gives us a reasonably good intuitive fix on it. </w:t>
      </w:r>
    </w:p>
    <w:p w14:paraId="5A34A9ED" w14:textId="43290A9A" w:rsidR="008C3C5B" w:rsidRDefault="00D16748" w:rsidP="008C3C5B">
      <w:pPr>
        <w:ind w:firstLine="708"/>
        <w:jc w:val="both"/>
        <w:rPr>
          <w:rFonts w:ascii="Garamond" w:hAnsi="Garamond"/>
          <w:lang w:val="en-US"/>
        </w:rPr>
      </w:pPr>
      <w:r w:rsidRPr="00EB6692">
        <w:rPr>
          <w:rFonts w:ascii="Garamond" w:hAnsi="Garamond"/>
          <w:lang w:val="en-US"/>
        </w:rPr>
        <w:t xml:space="preserve">Next, we need to unpack the third clause of the account. What determines </w:t>
      </w:r>
      <w:r w:rsidR="005C1810">
        <w:rPr>
          <w:rFonts w:ascii="Garamond" w:hAnsi="Garamond"/>
          <w:lang w:val="en-US"/>
        </w:rPr>
        <w:t>‘</w:t>
      </w:r>
      <w:r w:rsidRPr="00EB6692">
        <w:rPr>
          <w:rFonts w:ascii="Garamond" w:hAnsi="Garamond"/>
          <w:lang w:val="en-US"/>
        </w:rPr>
        <w:t>how much</w:t>
      </w:r>
      <w:r w:rsidR="00870DA9">
        <w:rPr>
          <w:rFonts w:ascii="Garamond" w:hAnsi="Garamond"/>
          <w:lang w:val="en-US"/>
        </w:rPr>
        <w:t>’</w:t>
      </w:r>
      <w:r w:rsidRPr="00EB6692">
        <w:rPr>
          <w:rFonts w:ascii="Garamond" w:hAnsi="Garamond"/>
          <w:lang w:val="en-US"/>
        </w:rPr>
        <w:t xml:space="preserve"> you</w:t>
      </w:r>
      <w:r w:rsidR="00870DA9">
        <w:rPr>
          <w:rFonts w:ascii="Garamond" w:hAnsi="Garamond"/>
          <w:lang w:val="en-US"/>
        </w:rPr>
        <w:t>’</w:t>
      </w:r>
      <w:r w:rsidRPr="00EB6692">
        <w:rPr>
          <w:rFonts w:ascii="Garamond" w:hAnsi="Garamond"/>
          <w:lang w:val="en-US"/>
        </w:rPr>
        <w:t>re in contact with value? We think two things do. Suppose you</w:t>
      </w:r>
      <w:r w:rsidR="00870DA9">
        <w:rPr>
          <w:rFonts w:ascii="Garamond" w:hAnsi="Garamond"/>
          <w:lang w:val="en-US"/>
        </w:rPr>
        <w:t>’</w:t>
      </w:r>
      <w:r w:rsidRPr="00EB6692">
        <w:rPr>
          <w:rFonts w:ascii="Garamond" w:hAnsi="Garamond"/>
          <w:lang w:val="en-US"/>
        </w:rPr>
        <w:t>re in contact with something valuable. On the one hand, that thing can be more or less valuable. Say you</w:t>
      </w:r>
      <w:r w:rsidR="00870DA9">
        <w:rPr>
          <w:rFonts w:ascii="Garamond" w:hAnsi="Garamond"/>
          <w:lang w:val="en-US"/>
        </w:rPr>
        <w:t>’</w:t>
      </w:r>
      <w:r w:rsidRPr="00EB6692">
        <w:rPr>
          <w:rFonts w:ascii="Garamond" w:hAnsi="Garamond"/>
          <w:lang w:val="en-US"/>
        </w:rPr>
        <w:t>re appreciating a painting. The painting can be an absolute masterpiece, like Leonardo</w:t>
      </w:r>
      <w:r w:rsidR="00870DA9">
        <w:rPr>
          <w:rFonts w:ascii="Garamond" w:hAnsi="Garamond"/>
          <w:lang w:val="en-US"/>
        </w:rPr>
        <w:t>’</w:t>
      </w:r>
      <w:r w:rsidRPr="00EB6692">
        <w:rPr>
          <w:rFonts w:ascii="Garamond" w:hAnsi="Garamond"/>
          <w:lang w:val="en-US"/>
        </w:rPr>
        <w:t xml:space="preserve">s Last Supper. Or it can be a decent amateur </w:t>
      </w:r>
      <w:r w:rsidR="00083BC4">
        <w:rPr>
          <w:rFonts w:ascii="Garamond" w:hAnsi="Garamond"/>
          <w:lang w:val="en-US"/>
        </w:rPr>
        <w:t>work</w:t>
      </w:r>
      <w:r w:rsidRPr="00EB6692">
        <w:rPr>
          <w:rFonts w:ascii="Garamond" w:hAnsi="Garamond"/>
          <w:lang w:val="en-US"/>
        </w:rPr>
        <w:t>. The former is more valuable than the latter. All else equal, you</w:t>
      </w:r>
      <w:r w:rsidR="00870DA9">
        <w:rPr>
          <w:rFonts w:ascii="Garamond" w:hAnsi="Garamond"/>
          <w:lang w:val="en-US"/>
        </w:rPr>
        <w:t>’</w:t>
      </w:r>
      <w:r w:rsidRPr="00EB6692">
        <w:rPr>
          <w:rFonts w:ascii="Garamond" w:hAnsi="Garamond"/>
          <w:lang w:val="en-US"/>
        </w:rPr>
        <w:t>re in greater contact with the good or the bad when you</w:t>
      </w:r>
      <w:r w:rsidR="00870DA9">
        <w:rPr>
          <w:rFonts w:ascii="Garamond" w:hAnsi="Garamond"/>
          <w:lang w:val="en-US"/>
        </w:rPr>
        <w:t>’</w:t>
      </w:r>
      <w:r w:rsidRPr="00EB6692">
        <w:rPr>
          <w:rFonts w:ascii="Garamond" w:hAnsi="Garamond"/>
          <w:lang w:val="en-US"/>
        </w:rPr>
        <w:t>re in contact with greater goods or bads. On the other hand, you can be in more or less intimate contact with such a thing. Say you were the writer and lead actor of a successful play. Then you are intimately in touch with its value. In contrast, suppose you merely watched the play, or were a second understudy for a minor character. Then you</w:t>
      </w:r>
      <w:r w:rsidR="00870DA9">
        <w:rPr>
          <w:rFonts w:ascii="Garamond" w:hAnsi="Garamond"/>
          <w:lang w:val="en-US"/>
        </w:rPr>
        <w:t>’</w:t>
      </w:r>
      <w:r w:rsidRPr="00EB6692">
        <w:rPr>
          <w:rFonts w:ascii="Garamond" w:hAnsi="Garamond"/>
          <w:lang w:val="en-US"/>
        </w:rPr>
        <w:t>re less intimately in touch with its value. All else equal, you</w:t>
      </w:r>
      <w:r w:rsidR="00870DA9">
        <w:rPr>
          <w:rFonts w:ascii="Garamond" w:hAnsi="Garamond"/>
          <w:lang w:val="en-US"/>
        </w:rPr>
        <w:t>’</w:t>
      </w:r>
      <w:r w:rsidRPr="00EB6692">
        <w:rPr>
          <w:rFonts w:ascii="Garamond" w:hAnsi="Garamond"/>
          <w:lang w:val="en-US"/>
        </w:rPr>
        <w:t>re in greater contact with the good or the bad when you</w:t>
      </w:r>
      <w:r w:rsidR="00870DA9">
        <w:rPr>
          <w:rFonts w:ascii="Garamond" w:hAnsi="Garamond"/>
          <w:lang w:val="en-US"/>
        </w:rPr>
        <w:t>’</w:t>
      </w:r>
      <w:r w:rsidRPr="00EB6692">
        <w:rPr>
          <w:rFonts w:ascii="Garamond" w:hAnsi="Garamond"/>
          <w:lang w:val="en-US"/>
        </w:rPr>
        <w:t xml:space="preserve">re in more intimate contact with goods or bads. </w:t>
      </w:r>
      <w:r w:rsidR="00DD1FDA" w:rsidRPr="00EB6692">
        <w:rPr>
          <w:rFonts w:ascii="Garamond" w:hAnsi="Garamond"/>
          <w:lang w:val="en-US"/>
        </w:rPr>
        <w:t>So to determine your overall contact with value, we consider every value you</w:t>
      </w:r>
      <w:r w:rsidR="00DD1FDA">
        <w:rPr>
          <w:rFonts w:ascii="Garamond" w:hAnsi="Garamond"/>
          <w:lang w:val="en-US"/>
        </w:rPr>
        <w:t>’</w:t>
      </w:r>
      <w:r w:rsidR="00DD1FDA" w:rsidRPr="00EB6692">
        <w:rPr>
          <w:rFonts w:ascii="Garamond" w:hAnsi="Garamond"/>
          <w:lang w:val="en-US"/>
        </w:rPr>
        <w:t xml:space="preserve">re in contact with, assess how good or bad it is, </w:t>
      </w:r>
      <w:r w:rsidR="00DD1FDA" w:rsidRPr="00EB6692">
        <w:rPr>
          <w:rFonts w:ascii="Garamond" w:hAnsi="Garamond"/>
          <w:lang w:val="en-US"/>
        </w:rPr>
        <w:lastRenderedPageBreak/>
        <w:t>and multiply that by how intimately you are in contact with it. The resulting figure tells us how much in contact you are with value.</w:t>
      </w:r>
    </w:p>
    <w:p w14:paraId="133C5499" w14:textId="32674325" w:rsidR="008C3C5B" w:rsidRDefault="00D16748" w:rsidP="008C3C5B">
      <w:pPr>
        <w:ind w:firstLine="708"/>
        <w:jc w:val="both"/>
        <w:rPr>
          <w:rFonts w:ascii="Garamond" w:hAnsi="Garamond"/>
          <w:lang w:val="en-US"/>
        </w:rPr>
      </w:pPr>
      <w:r w:rsidRPr="00EB6692">
        <w:rPr>
          <w:rFonts w:ascii="Garamond" w:hAnsi="Garamond"/>
          <w:lang w:val="en-US"/>
        </w:rPr>
        <w:t>Let</w:t>
      </w:r>
      <w:r w:rsidR="00870DA9">
        <w:rPr>
          <w:rFonts w:ascii="Garamond" w:hAnsi="Garamond"/>
          <w:lang w:val="en-US"/>
        </w:rPr>
        <w:t>’</w:t>
      </w:r>
      <w:r w:rsidRPr="00EB6692">
        <w:rPr>
          <w:rFonts w:ascii="Garamond" w:hAnsi="Garamond"/>
          <w:lang w:val="en-US"/>
        </w:rPr>
        <w:t>s say more about these two ideas. First, what is it for something to be more or less valuable? It</w:t>
      </w:r>
      <w:r w:rsidR="00870DA9">
        <w:rPr>
          <w:rFonts w:ascii="Garamond" w:hAnsi="Garamond"/>
          <w:lang w:val="en-US"/>
        </w:rPr>
        <w:t>’</w:t>
      </w:r>
      <w:r w:rsidRPr="00EB6692">
        <w:rPr>
          <w:rFonts w:ascii="Garamond" w:hAnsi="Garamond"/>
          <w:lang w:val="en-US"/>
        </w:rPr>
        <w:t>s uncontroversial that values come in degrees: the Last Supper is more beautiful than the amateur painting, a pandemic worse than one man</w:t>
      </w:r>
      <w:r w:rsidR="00870DA9">
        <w:rPr>
          <w:rFonts w:ascii="Garamond" w:hAnsi="Garamond"/>
          <w:lang w:val="en-US"/>
        </w:rPr>
        <w:t>’</w:t>
      </w:r>
      <w:r w:rsidRPr="00EB6692">
        <w:rPr>
          <w:rFonts w:ascii="Garamond" w:hAnsi="Garamond"/>
          <w:lang w:val="en-US"/>
        </w:rPr>
        <w:t>s flu, the injustice of current racism greater than that of a child getting less cake than its sibling. We think our analysis of values above provides a good analysis of this gradability. As we</w:t>
      </w:r>
      <w:r w:rsidR="00870DA9">
        <w:rPr>
          <w:rFonts w:ascii="Garamond" w:hAnsi="Garamond"/>
          <w:lang w:val="en-US"/>
        </w:rPr>
        <w:t>’</w:t>
      </w:r>
      <w:r w:rsidRPr="00EB6692">
        <w:rPr>
          <w:rFonts w:ascii="Garamond" w:hAnsi="Garamond"/>
          <w:lang w:val="en-US"/>
        </w:rPr>
        <w:t>ll understand it, for something to be more or less good or bad is for the responses it</w:t>
      </w:r>
      <w:r w:rsidR="00870DA9">
        <w:rPr>
          <w:rFonts w:ascii="Garamond" w:hAnsi="Garamond"/>
          <w:lang w:val="en-US"/>
        </w:rPr>
        <w:t>’</w:t>
      </w:r>
      <w:r w:rsidRPr="00EB6692">
        <w:rPr>
          <w:rFonts w:ascii="Garamond" w:hAnsi="Garamond"/>
          <w:lang w:val="en-US"/>
        </w:rPr>
        <w:t>s fitting to have about it to be more or less intense. Other things equal, the amount of sorrow it</w:t>
      </w:r>
      <w:r w:rsidR="00870DA9">
        <w:rPr>
          <w:rFonts w:ascii="Garamond" w:hAnsi="Garamond"/>
          <w:lang w:val="en-US"/>
        </w:rPr>
        <w:t>’</w:t>
      </w:r>
      <w:r w:rsidRPr="00EB6692">
        <w:rPr>
          <w:rFonts w:ascii="Garamond" w:hAnsi="Garamond"/>
          <w:lang w:val="en-US"/>
        </w:rPr>
        <w:t>s fitting to feel about a pandemic is greater than that it</w:t>
      </w:r>
      <w:r w:rsidR="00870DA9">
        <w:rPr>
          <w:rFonts w:ascii="Garamond" w:hAnsi="Garamond"/>
          <w:lang w:val="en-US"/>
        </w:rPr>
        <w:t>’</w:t>
      </w:r>
      <w:r w:rsidRPr="00EB6692">
        <w:rPr>
          <w:rFonts w:ascii="Garamond" w:hAnsi="Garamond"/>
          <w:lang w:val="en-US"/>
        </w:rPr>
        <w:t>s fitting to feel about one man</w:t>
      </w:r>
      <w:r w:rsidR="00870DA9">
        <w:rPr>
          <w:rFonts w:ascii="Garamond" w:hAnsi="Garamond"/>
          <w:lang w:val="en-US"/>
        </w:rPr>
        <w:t>’</w:t>
      </w:r>
      <w:r w:rsidRPr="00EB6692">
        <w:rPr>
          <w:rFonts w:ascii="Garamond" w:hAnsi="Garamond"/>
          <w:lang w:val="en-US"/>
        </w:rPr>
        <w:t>s flu. And this means the former is worse than the latter. It should be almost as uncontroversial that we can compare not just instances of the same kind of value, but instances of different values as well. The injustice of current racism is greater than the beauty of the latest Brazil football kit. And again, we can understand this in terms of fitting responses. Other things equal, the emotional resources (anger, sadness, shock) it</w:t>
      </w:r>
      <w:r w:rsidR="00870DA9">
        <w:rPr>
          <w:rFonts w:ascii="Garamond" w:hAnsi="Garamond"/>
          <w:lang w:val="en-US"/>
        </w:rPr>
        <w:t>’</w:t>
      </w:r>
      <w:r w:rsidRPr="00EB6692">
        <w:rPr>
          <w:rFonts w:ascii="Garamond" w:hAnsi="Garamond"/>
          <w:lang w:val="en-US"/>
        </w:rPr>
        <w:t>s fitting to invest vis-</w:t>
      </w:r>
      <w:r w:rsidR="002C2E74">
        <w:rPr>
          <w:rFonts w:ascii="Garamond" w:hAnsi="Garamond"/>
          <w:lang w:val="en-US"/>
        </w:rPr>
        <w:t>à</w:t>
      </w:r>
      <w:r w:rsidRPr="00EB6692">
        <w:rPr>
          <w:rFonts w:ascii="Garamond" w:hAnsi="Garamond"/>
          <w:lang w:val="en-US"/>
        </w:rPr>
        <w:t>-vis current racism are greater than the resources (appreciation, affection) it</w:t>
      </w:r>
      <w:r w:rsidR="00870DA9">
        <w:rPr>
          <w:rFonts w:ascii="Garamond" w:hAnsi="Garamond"/>
          <w:lang w:val="en-US"/>
        </w:rPr>
        <w:t>’</w:t>
      </w:r>
      <w:r w:rsidRPr="00EB6692">
        <w:rPr>
          <w:rFonts w:ascii="Garamond" w:hAnsi="Garamond"/>
          <w:lang w:val="en-US"/>
        </w:rPr>
        <w:t>s fitting to invest vis-</w:t>
      </w:r>
      <w:r w:rsidR="002C2E74">
        <w:rPr>
          <w:rFonts w:ascii="Garamond" w:hAnsi="Garamond"/>
          <w:lang w:val="en-US"/>
        </w:rPr>
        <w:t>à</w:t>
      </w:r>
      <w:r w:rsidRPr="00EB6692">
        <w:rPr>
          <w:rFonts w:ascii="Garamond" w:hAnsi="Garamond"/>
          <w:lang w:val="en-US"/>
        </w:rPr>
        <w:t>-vis the Brazil jersey and shorts. This means the disvalue of the racism is greater than the value of the kit.</w:t>
      </w:r>
      <w:r w:rsidR="00471E8E" w:rsidRPr="000E5D20">
        <w:rPr>
          <w:rStyle w:val="FootnoteReference"/>
        </w:rPr>
        <w:footnoteReference w:id="7"/>
      </w:r>
      <w:r w:rsidR="00471E8E">
        <w:rPr>
          <w:rFonts w:ascii="Garamond" w:hAnsi="Garamond"/>
          <w:lang w:val="en-US"/>
        </w:rPr>
        <w:t xml:space="preserve"> </w:t>
      </w:r>
    </w:p>
    <w:p w14:paraId="2312EA7B" w14:textId="4F3E6E6A" w:rsidR="008C3C5B" w:rsidRDefault="00D16748" w:rsidP="008C3C5B">
      <w:pPr>
        <w:ind w:firstLine="708"/>
        <w:jc w:val="both"/>
        <w:rPr>
          <w:rFonts w:ascii="Garamond" w:hAnsi="Garamond"/>
          <w:lang w:val="en-US"/>
        </w:rPr>
      </w:pPr>
      <w:r w:rsidRPr="00EB6692">
        <w:rPr>
          <w:rFonts w:ascii="Garamond" w:hAnsi="Garamond"/>
          <w:lang w:val="en-US"/>
        </w:rPr>
        <w:t xml:space="preserve">Second, what determines the intimacy of your contact with a value? We think this can be understood in terms of </w:t>
      </w:r>
      <w:r w:rsidRPr="0042265B">
        <w:rPr>
          <w:rFonts w:ascii="Garamond" w:hAnsi="Garamond"/>
          <w:i/>
          <w:iCs/>
          <w:lang w:val="en-US"/>
        </w:rPr>
        <w:t>centrality</w:t>
      </w:r>
      <w:r w:rsidRPr="00EB6692">
        <w:rPr>
          <w:rFonts w:ascii="Garamond" w:hAnsi="Garamond"/>
          <w:lang w:val="en-US"/>
        </w:rPr>
        <w:t xml:space="preserve">. On the one hand, some things are more central to your life than others: your love for your partner is more central to your life than your aversion to bats. On the other hand, some things are more central to a value than other things: the ingenuity of </w:t>
      </w:r>
      <w:r w:rsidR="005C1810">
        <w:rPr>
          <w:rFonts w:ascii="Garamond" w:hAnsi="Garamond"/>
          <w:lang w:val="en-US"/>
        </w:rPr>
        <w:t>‘</w:t>
      </w:r>
      <w:r w:rsidRPr="00EB6692">
        <w:rPr>
          <w:rFonts w:ascii="Garamond" w:hAnsi="Garamond"/>
          <w:lang w:val="en-US"/>
        </w:rPr>
        <w:t>Strawberry Fields Forever</w:t>
      </w:r>
      <w:r w:rsidR="00870DA9">
        <w:rPr>
          <w:rFonts w:ascii="Garamond" w:hAnsi="Garamond"/>
          <w:lang w:val="en-US"/>
        </w:rPr>
        <w:t>’</w:t>
      </w:r>
      <w:r w:rsidRPr="00EB6692">
        <w:rPr>
          <w:rFonts w:ascii="Garamond" w:hAnsi="Garamond"/>
          <w:lang w:val="en-US"/>
        </w:rPr>
        <w:t xml:space="preserve"> is more central to the magnificence of the Beatles than that of the cover songs they played at their early gigs. This intuitive notion of centrality can be interpreted ground-theoretically: </w:t>
      </w:r>
      <w:r w:rsidRPr="00D5132C">
        <w:rPr>
          <w:rFonts w:ascii="Garamond" w:hAnsi="Garamond"/>
          <w:i/>
          <w:iCs/>
          <w:lang w:val="en-US"/>
        </w:rPr>
        <w:t>x</w:t>
      </w:r>
      <w:r w:rsidRPr="00EB6692">
        <w:rPr>
          <w:rFonts w:ascii="Garamond" w:hAnsi="Garamond"/>
          <w:lang w:val="en-US"/>
        </w:rPr>
        <w:t xml:space="preserve"> is more central to </w:t>
      </w:r>
      <w:r w:rsidRPr="00D5132C">
        <w:rPr>
          <w:rFonts w:ascii="Garamond" w:hAnsi="Garamond"/>
          <w:i/>
          <w:iCs/>
          <w:lang w:val="en-US"/>
        </w:rPr>
        <w:t>y</w:t>
      </w:r>
      <w:r w:rsidRPr="00EB6692">
        <w:rPr>
          <w:rFonts w:ascii="Garamond" w:hAnsi="Garamond"/>
          <w:lang w:val="en-US"/>
        </w:rPr>
        <w:t xml:space="preserve"> than </w:t>
      </w:r>
      <w:r w:rsidRPr="00D5132C">
        <w:rPr>
          <w:rFonts w:ascii="Garamond" w:hAnsi="Garamond"/>
          <w:i/>
          <w:iCs/>
          <w:lang w:val="en-US"/>
        </w:rPr>
        <w:t>z</w:t>
      </w:r>
      <w:r w:rsidRPr="00EB6692">
        <w:rPr>
          <w:rFonts w:ascii="Garamond" w:hAnsi="Garamond"/>
          <w:lang w:val="en-US"/>
        </w:rPr>
        <w:t xml:space="preserve"> insofar as it grounds </w:t>
      </w:r>
      <w:r w:rsidR="001C6004">
        <w:rPr>
          <w:rFonts w:ascii="Garamond" w:hAnsi="Garamond"/>
          <w:i/>
          <w:iCs/>
          <w:lang w:val="en-US"/>
        </w:rPr>
        <w:t>y</w:t>
      </w:r>
      <w:r w:rsidRPr="00EB6692">
        <w:rPr>
          <w:rFonts w:ascii="Garamond" w:hAnsi="Garamond"/>
          <w:lang w:val="en-US"/>
        </w:rPr>
        <w:t xml:space="preserve"> to a greater degree. The overall shape of your life, say, is grounded in both your love for your partner and your aversion to bats. But the former grounds it to a greater degree, and so is more central to it. Now we suggest you</w:t>
      </w:r>
      <w:r w:rsidR="00870DA9">
        <w:rPr>
          <w:rFonts w:ascii="Garamond" w:hAnsi="Garamond"/>
          <w:lang w:val="en-US"/>
        </w:rPr>
        <w:t>’</w:t>
      </w:r>
      <w:r w:rsidRPr="00EB6692">
        <w:rPr>
          <w:rFonts w:ascii="Garamond" w:hAnsi="Garamond"/>
          <w:lang w:val="en-US"/>
        </w:rPr>
        <w:t>re more intimately connected to a value insofar as things more central to your life are manifest in things more central to the value, or vice versa. Notably, this makes the intimacy of your contact commensurable across values as well. We can compare the centrality of various things to your life and to various values. Thus we can say, for instance, that you</w:t>
      </w:r>
      <w:r w:rsidR="00870DA9">
        <w:rPr>
          <w:rFonts w:ascii="Garamond" w:hAnsi="Garamond"/>
          <w:lang w:val="en-US"/>
        </w:rPr>
        <w:t>’</w:t>
      </w:r>
      <w:r w:rsidRPr="00EB6692">
        <w:rPr>
          <w:rFonts w:ascii="Garamond" w:hAnsi="Garamond"/>
          <w:lang w:val="en-US"/>
        </w:rPr>
        <w:t xml:space="preserve">re more intimately in contact with the virtuousness of your son than with the ugliness of some suburb you visited briefly. </w:t>
      </w:r>
      <w:r w:rsidR="00047E83">
        <w:rPr>
          <w:rFonts w:ascii="Garamond" w:hAnsi="Garamond"/>
          <w:lang w:val="en-US"/>
        </w:rPr>
        <w:t>That compl</w:t>
      </w:r>
      <w:r w:rsidR="00083BC4">
        <w:rPr>
          <w:rFonts w:ascii="Garamond" w:hAnsi="Garamond"/>
          <w:lang w:val="en-US"/>
        </w:rPr>
        <w:t>e</w:t>
      </w:r>
      <w:r w:rsidR="00047E83">
        <w:rPr>
          <w:rFonts w:ascii="Garamond" w:hAnsi="Garamond"/>
          <w:lang w:val="en-US"/>
        </w:rPr>
        <w:t xml:space="preserve">tes our explication of how to work out how much contact you have with </w:t>
      </w:r>
      <w:r w:rsidR="00083BC4">
        <w:rPr>
          <w:rFonts w:ascii="Garamond" w:hAnsi="Garamond"/>
          <w:lang w:val="en-US"/>
        </w:rPr>
        <w:t>value</w:t>
      </w:r>
      <w:r w:rsidR="00047E83">
        <w:rPr>
          <w:rFonts w:ascii="Garamond" w:hAnsi="Garamond"/>
          <w:lang w:val="en-US"/>
        </w:rPr>
        <w:t xml:space="preserve">. </w:t>
      </w:r>
    </w:p>
    <w:p w14:paraId="2D43B036" w14:textId="18839617" w:rsidR="000F6F41" w:rsidRDefault="008C37FA" w:rsidP="00B151EC">
      <w:pPr>
        <w:ind w:firstLine="708"/>
        <w:jc w:val="both"/>
        <w:rPr>
          <w:rFonts w:ascii="Garamond" w:hAnsi="Garamond"/>
          <w:lang w:val="en-US"/>
        </w:rPr>
      </w:pPr>
      <w:r w:rsidRPr="00EB6692">
        <w:rPr>
          <w:rFonts w:ascii="Garamond" w:hAnsi="Garamond"/>
          <w:lang w:val="en-US"/>
        </w:rPr>
        <w:t xml:space="preserve">The Contact Account </w:t>
      </w:r>
      <w:r w:rsidR="00047E83">
        <w:rPr>
          <w:rFonts w:ascii="Garamond" w:hAnsi="Garamond"/>
          <w:lang w:val="en-US"/>
        </w:rPr>
        <w:t>derives your overall welfare from your contact with the good and bad in a straightforward way: we simply subtract how much contact you have with the bad from how much contact you have with the good. The resulting figure, the account says, captures how well your life is going for you.</w:t>
      </w:r>
      <w:r w:rsidR="00D70093">
        <w:rPr>
          <w:rFonts w:ascii="Garamond" w:hAnsi="Garamond"/>
          <w:lang w:val="en-US"/>
        </w:rPr>
        <w:t xml:space="preserve"> </w:t>
      </w:r>
      <w:r w:rsidRPr="00EB6692">
        <w:rPr>
          <w:rFonts w:ascii="Garamond" w:hAnsi="Garamond"/>
          <w:lang w:val="en-US"/>
        </w:rPr>
        <w:t>Let</w:t>
      </w:r>
      <w:r>
        <w:rPr>
          <w:rFonts w:ascii="Garamond" w:hAnsi="Garamond"/>
          <w:lang w:val="en-US"/>
        </w:rPr>
        <w:t>’</w:t>
      </w:r>
      <w:r w:rsidRPr="00EB6692">
        <w:rPr>
          <w:rFonts w:ascii="Garamond" w:hAnsi="Garamond"/>
          <w:lang w:val="en-US"/>
        </w:rPr>
        <w:t xml:space="preserve">s now see why we think this is a good account of welfare. </w:t>
      </w:r>
    </w:p>
    <w:p w14:paraId="0B21A2DC" w14:textId="77777777" w:rsidR="00B151EC" w:rsidRDefault="00B151EC" w:rsidP="002360C5">
      <w:pPr>
        <w:jc w:val="both"/>
        <w:rPr>
          <w:rFonts w:ascii="Garamond" w:hAnsi="Garamond"/>
          <w:lang w:val="en-US"/>
        </w:rPr>
      </w:pPr>
    </w:p>
    <w:p w14:paraId="55D857BC" w14:textId="77777777" w:rsidR="00BB2E6B" w:rsidRPr="00EB6692" w:rsidRDefault="00BB2E6B" w:rsidP="00B151EC">
      <w:pPr>
        <w:ind w:firstLine="708"/>
        <w:jc w:val="both"/>
        <w:rPr>
          <w:rFonts w:ascii="Garamond" w:hAnsi="Garamond"/>
          <w:lang w:val="en-US"/>
        </w:rPr>
      </w:pPr>
    </w:p>
    <w:p w14:paraId="315E1EEA" w14:textId="6FD7E151" w:rsidR="00D16748" w:rsidRPr="00EB6692" w:rsidRDefault="0032708B" w:rsidP="00870DA9">
      <w:pPr>
        <w:jc w:val="both"/>
        <w:rPr>
          <w:rFonts w:ascii="Garamond" w:hAnsi="Garamond"/>
          <w:lang w:val="en-US"/>
        </w:rPr>
      </w:pPr>
      <w:r w:rsidRPr="0032708B">
        <w:rPr>
          <w:rFonts w:ascii="Garamond" w:hAnsi="Garamond"/>
          <w:b/>
          <w:bCs/>
          <w:lang w:val="en-US"/>
        </w:rPr>
        <w:lastRenderedPageBreak/>
        <w:t xml:space="preserve">4. </w:t>
      </w:r>
      <w:r w:rsidR="00D16748" w:rsidRPr="0032708B">
        <w:rPr>
          <w:rFonts w:ascii="Garamond" w:hAnsi="Garamond"/>
          <w:b/>
          <w:bCs/>
          <w:lang w:val="en-US"/>
        </w:rPr>
        <w:t>Extensional Adequacy</w:t>
      </w:r>
    </w:p>
    <w:p w14:paraId="02D4BD25" w14:textId="77777777" w:rsidR="00D16748" w:rsidRPr="00EB6692" w:rsidRDefault="00D16748" w:rsidP="00870DA9">
      <w:pPr>
        <w:jc w:val="both"/>
        <w:rPr>
          <w:rFonts w:ascii="Garamond" w:hAnsi="Garamond"/>
          <w:lang w:val="en-US"/>
        </w:rPr>
      </w:pPr>
    </w:p>
    <w:p w14:paraId="3668E884" w14:textId="2308379B" w:rsidR="00D16748" w:rsidRPr="00EB6692" w:rsidRDefault="00D16748" w:rsidP="00870DA9">
      <w:pPr>
        <w:jc w:val="both"/>
        <w:rPr>
          <w:rFonts w:ascii="Garamond" w:hAnsi="Garamond"/>
          <w:lang w:val="en-US"/>
        </w:rPr>
      </w:pPr>
      <w:r w:rsidRPr="00EB6692">
        <w:rPr>
          <w:rFonts w:ascii="Garamond" w:hAnsi="Garamond"/>
          <w:lang w:val="en-US"/>
        </w:rPr>
        <w:t xml:space="preserve">How should we evaluate an account of welfare? </w:t>
      </w:r>
      <w:r w:rsidR="00093A7A">
        <w:rPr>
          <w:rFonts w:ascii="Garamond" w:hAnsi="Garamond"/>
          <w:lang w:val="en-US"/>
        </w:rPr>
        <w:t xml:space="preserve">One </w:t>
      </w:r>
      <w:r w:rsidR="002360C5">
        <w:rPr>
          <w:rFonts w:ascii="Garamond" w:hAnsi="Garamond"/>
          <w:lang w:val="en-US"/>
        </w:rPr>
        <w:t xml:space="preserve">very </w:t>
      </w:r>
      <w:r w:rsidRPr="00EB6692">
        <w:rPr>
          <w:rFonts w:ascii="Garamond" w:hAnsi="Garamond"/>
          <w:lang w:val="en-US"/>
        </w:rPr>
        <w:t>important criterion for such an account is its extensional adequacy. We have intuitions about which things make your life better or worse. Other things equal, the more a theory of welfare vindicates these intuitions, the better it is. In this section, we</w:t>
      </w:r>
      <w:r w:rsidR="00870DA9">
        <w:rPr>
          <w:rFonts w:ascii="Garamond" w:hAnsi="Garamond"/>
          <w:lang w:val="en-US"/>
        </w:rPr>
        <w:t>’</w:t>
      </w:r>
      <w:r w:rsidRPr="00EB6692">
        <w:rPr>
          <w:rFonts w:ascii="Garamond" w:hAnsi="Garamond"/>
          <w:lang w:val="en-US"/>
        </w:rPr>
        <w:t xml:space="preserve">ll argue that (together with plausible background assumptions) the Contact Account vindicates a broad range of </w:t>
      </w:r>
      <w:r w:rsidR="009A7B60" w:rsidRPr="00EB6692">
        <w:rPr>
          <w:rFonts w:ascii="Garamond" w:hAnsi="Garamond"/>
          <w:lang w:val="en-US"/>
        </w:rPr>
        <w:t>common-sense</w:t>
      </w:r>
      <w:r w:rsidRPr="00EB6692">
        <w:rPr>
          <w:rFonts w:ascii="Garamond" w:hAnsi="Garamond"/>
          <w:lang w:val="en-US"/>
        </w:rPr>
        <w:t xml:space="preserve"> intuitions about welfare. </w:t>
      </w:r>
    </w:p>
    <w:p w14:paraId="71ACF302" w14:textId="77777777" w:rsidR="00D16748" w:rsidRPr="00EB6692" w:rsidRDefault="00D16748" w:rsidP="00870DA9">
      <w:pPr>
        <w:jc w:val="both"/>
        <w:rPr>
          <w:rFonts w:ascii="Garamond" w:hAnsi="Garamond"/>
          <w:lang w:val="en-US"/>
        </w:rPr>
      </w:pPr>
    </w:p>
    <w:p w14:paraId="12F38984" w14:textId="2A83F3F4" w:rsidR="00D16748" w:rsidRPr="006E63B8" w:rsidRDefault="006E63B8" w:rsidP="00870DA9">
      <w:pPr>
        <w:jc w:val="both"/>
        <w:rPr>
          <w:rFonts w:ascii="Garamond" w:hAnsi="Garamond"/>
          <w:i/>
          <w:iCs/>
          <w:lang w:val="en-US"/>
        </w:rPr>
      </w:pPr>
      <w:r w:rsidRPr="006E63B8">
        <w:rPr>
          <w:rFonts w:ascii="Garamond" w:hAnsi="Garamond"/>
          <w:i/>
          <w:iCs/>
          <w:lang w:val="en-US"/>
        </w:rPr>
        <w:t xml:space="preserve">4.1 </w:t>
      </w:r>
      <w:r w:rsidR="00D16748" w:rsidRPr="006E63B8">
        <w:rPr>
          <w:rFonts w:ascii="Garamond" w:hAnsi="Garamond"/>
          <w:i/>
          <w:iCs/>
          <w:lang w:val="en-US"/>
        </w:rPr>
        <w:t xml:space="preserve">Achievement </w:t>
      </w:r>
    </w:p>
    <w:p w14:paraId="23EF551C" w14:textId="77777777" w:rsidR="00D16748" w:rsidRPr="00EB6692" w:rsidRDefault="00D16748" w:rsidP="00870DA9">
      <w:pPr>
        <w:jc w:val="both"/>
        <w:rPr>
          <w:rFonts w:ascii="Garamond" w:hAnsi="Garamond"/>
          <w:lang w:val="en-US"/>
        </w:rPr>
      </w:pPr>
    </w:p>
    <w:p w14:paraId="1F2E5FE4" w14:textId="0223BB86" w:rsidR="008C3C5B" w:rsidRDefault="00D16748" w:rsidP="00870DA9">
      <w:pPr>
        <w:jc w:val="both"/>
        <w:rPr>
          <w:rFonts w:ascii="Garamond" w:hAnsi="Garamond"/>
          <w:lang w:val="en-US"/>
        </w:rPr>
      </w:pPr>
      <w:r w:rsidRPr="00EB6692">
        <w:rPr>
          <w:rFonts w:ascii="Garamond" w:hAnsi="Garamond"/>
          <w:lang w:val="en-US"/>
        </w:rPr>
        <w:t>Let us start with achievements. Intuitively, achievements are a cornerstone of the good life: a life full of achievements seems enriched, a life denuded of them impoverished. It is good for you to complete an arduous hike, cure cancer or prove Goldbach</w:t>
      </w:r>
      <w:r w:rsidR="00870DA9">
        <w:rPr>
          <w:rFonts w:ascii="Garamond" w:hAnsi="Garamond"/>
          <w:lang w:val="en-US"/>
        </w:rPr>
        <w:t>’</w:t>
      </w:r>
      <w:r w:rsidRPr="00EB6692">
        <w:rPr>
          <w:rFonts w:ascii="Garamond" w:hAnsi="Garamond"/>
          <w:lang w:val="en-US"/>
        </w:rPr>
        <w:t>s conjecture, to write a great novel or cook a fine meal.</w:t>
      </w:r>
      <w:r w:rsidR="00AF5882" w:rsidRPr="000E5D20">
        <w:rPr>
          <w:rStyle w:val="FootnoteReference"/>
        </w:rPr>
        <w:footnoteReference w:id="8"/>
      </w:r>
      <w:r w:rsidRPr="00EB6692">
        <w:rPr>
          <w:rFonts w:ascii="Garamond" w:hAnsi="Garamond"/>
          <w:lang w:val="en-US"/>
        </w:rPr>
        <w:t xml:space="preserve"> The Contact Account vindicates this claim. In each of these cases, </w:t>
      </w:r>
      <w:proofErr w:type="gramStart"/>
      <w:r w:rsidRPr="00EB6692">
        <w:rPr>
          <w:rFonts w:ascii="Garamond" w:hAnsi="Garamond"/>
          <w:lang w:val="en-US"/>
        </w:rPr>
        <w:t>your</w:t>
      </w:r>
      <w:proofErr w:type="gramEnd"/>
      <w:r w:rsidRPr="00EB6692">
        <w:rPr>
          <w:rFonts w:ascii="Garamond" w:hAnsi="Garamond"/>
          <w:lang w:val="en-US"/>
        </w:rPr>
        <w:t xml:space="preserve"> achieving something involves your being in active contact with a good. The completion of an arduous hike is a good: it warrants admiration and commendation. But your completion of such a hike manifests</w:t>
      </w:r>
      <w:r w:rsidR="001772D4">
        <w:rPr>
          <w:rFonts w:ascii="Garamond" w:hAnsi="Garamond"/>
          <w:i/>
          <w:iCs/>
          <w:vertAlign w:val="subscript"/>
          <w:lang w:val="en-US"/>
        </w:rPr>
        <w:t>n</w:t>
      </w:r>
      <w:r w:rsidR="00D5132C">
        <w:rPr>
          <w:rFonts w:ascii="Garamond" w:hAnsi="Garamond"/>
          <w:i/>
          <w:iCs/>
          <w:vertAlign w:val="subscript"/>
          <w:lang w:val="en-US"/>
        </w:rPr>
        <w:t xml:space="preserve"> </w:t>
      </w:r>
      <w:r w:rsidRPr="00EB6692">
        <w:rPr>
          <w:rFonts w:ascii="Garamond" w:hAnsi="Garamond"/>
          <w:lang w:val="en-US"/>
        </w:rPr>
        <w:t>your dispositions: your strength of will, stamina or sure-footedness. That you</w:t>
      </w:r>
      <w:r w:rsidR="00870DA9">
        <w:rPr>
          <w:rFonts w:ascii="Garamond" w:hAnsi="Garamond"/>
          <w:lang w:val="en-US"/>
        </w:rPr>
        <w:t>’</w:t>
      </w:r>
      <w:r w:rsidRPr="00EB6692">
        <w:rPr>
          <w:rFonts w:ascii="Garamond" w:hAnsi="Garamond"/>
          <w:lang w:val="en-US"/>
        </w:rPr>
        <w:t>re strong-willed, say, means that if you want something you won</w:t>
      </w:r>
      <w:r w:rsidR="00870DA9">
        <w:rPr>
          <w:rFonts w:ascii="Garamond" w:hAnsi="Garamond"/>
          <w:lang w:val="en-US"/>
        </w:rPr>
        <w:t>’</w:t>
      </w:r>
      <w:r w:rsidRPr="00EB6692">
        <w:rPr>
          <w:rFonts w:ascii="Garamond" w:hAnsi="Garamond"/>
          <w:lang w:val="en-US"/>
        </w:rPr>
        <w:t>t give up until you have it. And that you</w:t>
      </w:r>
      <w:r w:rsidR="00870DA9">
        <w:rPr>
          <w:rFonts w:ascii="Garamond" w:hAnsi="Garamond"/>
          <w:lang w:val="en-US"/>
        </w:rPr>
        <w:t>’</w:t>
      </w:r>
      <w:r w:rsidRPr="00EB6692">
        <w:rPr>
          <w:rFonts w:ascii="Garamond" w:hAnsi="Garamond"/>
          <w:lang w:val="en-US"/>
        </w:rPr>
        <w:t>ve completed your hike manifests</w:t>
      </w:r>
      <w:r w:rsidR="001772D4">
        <w:rPr>
          <w:rFonts w:ascii="Garamond" w:hAnsi="Garamond"/>
          <w:i/>
          <w:iCs/>
          <w:vertAlign w:val="subscript"/>
          <w:lang w:val="en-US"/>
        </w:rPr>
        <w:t>n</w:t>
      </w:r>
      <w:r w:rsidR="00D5132C" w:rsidRPr="00D5132C">
        <w:rPr>
          <w:rFonts w:ascii="Garamond" w:hAnsi="Garamond"/>
          <w:i/>
          <w:iCs/>
          <w:lang w:val="en-US"/>
        </w:rPr>
        <w:t xml:space="preserve"> </w:t>
      </w:r>
      <w:r w:rsidRPr="00EB6692">
        <w:rPr>
          <w:rFonts w:ascii="Garamond" w:hAnsi="Garamond"/>
          <w:lang w:val="en-US"/>
        </w:rPr>
        <w:t>this disposition: you completed it because you wanted to and because when you want something you won</w:t>
      </w:r>
      <w:r w:rsidR="00870DA9">
        <w:rPr>
          <w:rFonts w:ascii="Garamond" w:hAnsi="Garamond"/>
          <w:lang w:val="en-US"/>
        </w:rPr>
        <w:t>’</w:t>
      </w:r>
      <w:r w:rsidRPr="00EB6692">
        <w:rPr>
          <w:rFonts w:ascii="Garamond" w:hAnsi="Garamond"/>
          <w:lang w:val="en-US"/>
        </w:rPr>
        <w:t>t give up</w:t>
      </w:r>
      <w:r w:rsidR="00F27BB5">
        <w:rPr>
          <w:rFonts w:ascii="Garamond" w:hAnsi="Garamond"/>
          <w:lang w:val="en-US"/>
        </w:rPr>
        <w:t xml:space="preserve"> on it</w:t>
      </w:r>
      <w:r w:rsidRPr="00EB6692">
        <w:rPr>
          <w:rFonts w:ascii="Garamond" w:hAnsi="Garamond"/>
          <w:lang w:val="en-US"/>
        </w:rPr>
        <w:t>. Thus in completing your hike, you</w:t>
      </w:r>
      <w:r w:rsidR="00870DA9">
        <w:rPr>
          <w:rFonts w:ascii="Garamond" w:hAnsi="Garamond"/>
          <w:lang w:val="en-US"/>
        </w:rPr>
        <w:t>’</w:t>
      </w:r>
      <w:r w:rsidRPr="00EB6692">
        <w:rPr>
          <w:rFonts w:ascii="Garamond" w:hAnsi="Garamond"/>
          <w:lang w:val="en-US"/>
        </w:rPr>
        <w:t>re manifest in a good. The same is true for other achievements. An elegant proof is a good: it warrants aesthetic appreciation. And the proof will manifest</w:t>
      </w:r>
      <w:r w:rsidR="00721E50">
        <w:rPr>
          <w:rFonts w:ascii="Garamond" w:hAnsi="Garamond"/>
          <w:i/>
          <w:iCs/>
          <w:vertAlign w:val="subscript"/>
          <w:lang w:val="en-US"/>
        </w:rPr>
        <w:t>n</w:t>
      </w:r>
      <w:r w:rsidRPr="00EB6692">
        <w:rPr>
          <w:rFonts w:ascii="Garamond" w:hAnsi="Garamond"/>
          <w:lang w:val="en-US"/>
        </w:rPr>
        <w:t xml:space="preserve"> your intellectual abilities: your creativity and rigor. Great novels, fine meals and medical cures are all goods. When you produce them, they manifest your eloquence, culinary talents or scientific perseverance. More generally, when you achieve something, you produce a good that manifests your dispositions. Thus achievements benefit you. </w:t>
      </w:r>
    </w:p>
    <w:p w14:paraId="2993ECE8" w14:textId="380F3292" w:rsidR="00093A7A" w:rsidRDefault="00D16748" w:rsidP="00093A7A">
      <w:pPr>
        <w:ind w:firstLine="708"/>
        <w:jc w:val="both"/>
        <w:rPr>
          <w:rFonts w:ascii="Garamond" w:hAnsi="Garamond"/>
          <w:lang w:val="en-US"/>
        </w:rPr>
      </w:pPr>
      <w:r w:rsidRPr="00EB6692">
        <w:rPr>
          <w:rFonts w:ascii="Garamond" w:hAnsi="Garamond"/>
          <w:lang w:val="en-US"/>
        </w:rPr>
        <w:t>The account can also explain why doing difficult bad or pointless things typically doesn</w:t>
      </w:r>
      <w:r w:rsidR="00870DA9">
        <w:rPr>
          <w:rFonts w:ascii="Garamond" w:hAnsi="Garamond"/>
          <w:lang w:val="en-US"/>
        </w:rPr>
        <w:t>’</w:t>
      </w:r>
      <w:r w:rsidRPr="00EB6692">
        <w:rPr>
          <w:rFonts w:ascii="Garamond" w:hAnsi="Garamond"/>
          <w:lang w:val="en-US"/>
        </w:rPr>
        <w:t>t seem to make your life better.</w:t>
      </w:r>
      <w:r w:rsidR="00A67086" w:rsidRPr="000E5D20">
        <w:rPr>
          <w:rStyle w:val="FootnoteReference"/>
        </w:rPr>
        <w:footnoteReference w:id="9"/>
      </w:r>
      <w:r w:rsidRPr="00EB6692">
        <w:rPr>
          <w:rFonts w:ascii="Garamond" w:hAnsi="Garamond"/>
          <w:lang w:val="en-US"/>
        </w:rPr>
        <w:t xml:space="preserve"> Suppose you execute an intricate terrorist attack and kill a thousand people. This might have been very hard to pull off. But that doesn</w:t>
      </w:r>
      <w:r w:rsidR="00870DA9">
        <w:rPr>
          <w:rFonts w:ascii="Garamond" w:hAnsi="Garamond"/>
          <w:lang w:val="en-US"/>
        </w:rPr>
        <w:t>’</w:t>
      </w:r>
      <w:r w:rsidRPr="00EB6692">
        <w:rPr>
          <w:rFonts w:ascii="Garamond" w:hAnsi="Garamond"/>
          <w:lang w:val="en-US"/>
        </w:rPr>
        <w:t>t make it valuable for you. Or suppose you count the blades of grass on the lawns of Harvard University.</w:t>
      </w:r>
      <w:r w:rsidR="00352FD7" w:rsidRPr="000E5D20">
        <w:rPr>
          <w:rStyle w:val="FootnoteReference"/>
        </w:rPr>
        <w:footnoteReference w:id="10"/>
      </w:r>
      <w:r w:rsidRPr="00EB6692">
        <w:rPr>
          <w:rFonts w:ascii="Garamond" w:hAnsi="Garamond"/>
          <w:lang w:val="en-US"/>
        </w:rPr>
        <w:t xml:space="preserve"> This may be anything but easy. But it doesn</w:t>
      </w:r>
      <w:r w:rsidR="00870DA9">
        <w:rPr>
          <w:rFonts w:ascii="Garamond" w:hAnsi="Garamond"/>
          <w:lang w:val="en-US"/>
        </w:rPr>
        <w:t>’</w:t>
      </w:r>
      <w:r w:rsidRPr="00EB6692">
        <w:rPr>
          <w:rFonts w:ascii="Garamond" w:hAnsi="Garamond"/>
          <w:lang w:val="en-US"/>
        </w:rPr>
        <w:t>t seem to contribute to your welfare. The Contact Account can explain this. Your attack puts you in contact with something bad: a thousand deaths. So it actually makes your life worse. Counting blades of grass is of no impersonal value. So it doesn</w:t>
      </w:r>
      <w:r w:rsidR="00870DA9">
        <w:rPr>
          <w:rFonts w:ascii="Garamond" w:hAnsi="Garamond"/>
          <w:lang w:val="en-US"/>
        </w:rPr>
        <w:t>’</w:t>
      </w:r>
      <w:r w:rsidRPr="00EB6692">
        <w:rPr>
          <w:rFonts w:ascii="Garamond" w:hAnsi="Garamond"/>
          <w:lang w:val="en-US"/>
        </w:rPr>
        <w:t xml:space="preserve">t make your life better. Thus, bringing about a bad or pointless thing is not an achievement in the sense that contributes to welfare. </w:t>
      </w:r>
    </w:p>
    <w:p w14:paraId="17A56CBC" w14:textId="77777777" w:rsidR="00093A7A" w:rsidRDefault="00093A7A" w:rsidP="00093A7A">
      <w:pPr>
        <w:ind w:firstLine="708"/>
        <w:jc w:val="both"/>
        <w:rPr>
          <w:rFonts w:ascii="Garamond" w:hAnsi="Garamond"/>
          <w:lang w:val="en-US"/>
        </w:rPr>
      </w:pPr>
    </w:p>
    <w:p w14:paraId="5DD55800" w14:textId="77777777" w:rsidR="00093A7A" w:rsidRDefault="00093A7A" w:rsidP="00093A7A">
      <w:pPr>
        <w:ind w:firstLine="708"/>
        <w:jc w:val="both"/>
        <w:rPr>
          <w:rFonts w:ascii="Garamond" w:hAnsi="Garamond"/>
          <w:lang w:val="en-US"/>
        </w:rPr>
      </w:pPr>
    </w:p>
    <w:p w14:paraId="5D66144E" w14:textId="77777777" w:rsidR="00E45EFB" w:rsidRPr="00EB6692" w:rsidRDefault="00E45EFB" w:rsidP="00870DA9">
      <w:pPr>
        <w:jc w:val="both"/>
        <w:rPr>
          <w:rFonts w:ascii="Garamond" w:hAnsi="Garamond"/>
          <w:lang w:val="en-US"/>
        </w:rPr>
      </w:pPr>
    </w:p>
    <w:p w14:paraId="1C2F8505" w14:textId="7FF9BAE6" w:rsidR="00D16748" w:rsidRPr="006E63B8" w:rsidRDefault="006E63B8" w:rsidP="00870DA9">
      <w:pPr>
        <w:jc w:val="both"/>
        <w:rPr>
          <w:rFonts w:ascii="Garamond" w:hAnsi="Garamond"/>
          <w:i/>
          <w:iCs/>
          <w:lang w:val="en-US"/>
        </w:rPr>
      </w:pPr>
      <w:r w:rsidRPr="006E63B8">
        <w:rPr>
          <w:rFonts w:ascii="Garamond" w:hAnsi="Garamond"/>
          <w:i/>
          <w:iCs/>
          <w:lang w:val="en-US"/>
        </w:rPr>
        <w:lastRenderedPageBreak/>
        <w:t xml:space="preserve">4.2 </w:t>
      </w:r>
      <w:r w:rsidR="00D16748" w:rsidRPr="006E63B8">
        <w:rPr>
          <w:rFonts w:ascii="Garamond" w:hAnsi="Garamond"/>
          <w:i/>
          <w:iCs/>
          <w:lang w:val="en-US"/>
        </w:rPr>
        <w:t xml:space="preserve">Friendship </w:t>
      </w:r>
    </w:p>
    <w:p w14:paraId="660EDDC4" w14:textId="77777777" w:rsidR="00D16748" w:rsidRPr="00EB6692" w:rsidRDefault="00D16748" w:rsidP="00870DA9">
      <w:pPr>
        <w:jc w:val="both"/>
        <w:rPr>
          <w:rFonts w:ascii="Garamond" w:hAnsi="Garamond"/>
          <w:lang w:val="en-US"/>
        </w:rPr>
      </w:pPr>
    </w:p>
    <w:p w14:paraId="625BAD23" w14:textId="672FF20F" w:rsidR="008C3C5B" w:rsidRDefault="00D16748" w:rsidP="00870DA9">
      <w:pPr>
        <w:jc w:val="both"/>
        <w:rPr>
          <w:rFonts w:ascii="Garamond" w:hAnsi="Garamond"/>
          <w:lang w:val="en-US"/>
        </w:rPr>
      </w:pPr>
      <w:r w:rsidRPr="00EB6692">
        <w:rPr>
          <w:rFonts w:ascii="Garamond" w:hAnsi="Garamond"/>
          <w:lang w:val="en-US"/>
        </w:rPr>
        <w:t>Friendships too seem a key component of the life well-lived. Here we mean friendships broadly to cover most roughly symmetrical, prolonged good relationships between people: relationships involving mutual trust, respect and good will, smaller or greater acts of benevolence, time spent together, and so on. Such relationships benefit you.</w:t>
      </w:r>
      <w:r w:rsidR="00085092" w:rsidRPr="000E5D20">
        <w:rPr>
          <w:rStyle w:val="FootnoteReference"/>
        </w:rPr>
        <w:footnoteReference w:id="11"/>
      </w:r>
      <w:r w:rsidRPr="00EB6692">
        <w:rPr>
          <w:rFonts w:ascii="Garamond" w:hAnsi="Garamond"/>
          <w:lang w:val="en-US"/>
        </w:rPr>
        <w:t xml:space="preserve"> The Contact Account can explain this. In friendships, you</w:t>
      </w:r>
      <w:r w:rsidR="00870DA9">
        <w:rPr>
          <w:rFonts w:ascii="Garamond" w:hAnsi="Garamond"/>
          <w:lang w:val="en-US"/>
        </w:rPr>
        <w:t>’</w:t>
      </w:r>
      <w:r w:rsidRPr="00EB6692">
        <w:rPr>
          <w:rFonts w:ascii="Garamond" w:hAnsi="Garamond"/>
          <w:lang w:val="en-US"/>
        </w:rPr>
        <w:t>re in contact with your friend</w:t>
      </w:r>
      <w:r w:rsidR="00870DA9">
        <w:rPr>
          <w:rFonts w:ascii="Garamond" w:hAnsi="Garamond"/>
          <w:lang w:val="en-US"/>
        </w:rPr>
        <w:t>’</w:t>
      </w:r>
      <w:r w:rsidRPr="00EB6692">
        <w:rPr>
          <w:rFonts w:ascii="Garamond" w:hAnsi="Garamond"/>
          <w:lang w:val="en-US"/>
        </w:rPr>
        <w:t>s valuable properties. On the one hand, your friend</w:t>
      </w:r>
      <w:r w:rsidR="00870DA9">
        <w:rPr>
          <w:rFonts w:ascii="Garamond" w:hAnsi="Garamond"/>
          <w:lang w:val="en-US"/>
        </w:rPr>
        <w:t>’</w:t>
      </w:r>
      <w:r w:rsidRPr="00EB6692">
        <w:rPr>
          <w:rFonts w:ascii="Garamond" w:hAnsi="Garamond"/>
          <w:lang w:val="en-US"/>
        </w:rPr>
        <w:t>s value will be manifest in your life. Their kindness, for instance, is a good. It</w:t>
      </w:r>
      <w:r w:rsidR="00870DA9">
        <w:rPr>
          <w:rFonts w:ascii="Garamond" w:hAnsi="Garamond"/>
          <w:lang w:val="en-US"/>
        </w:rPr>
        <w:t>’</w:t>
      </w:r>
      <w:r w:rsidRPr="00EB6692">
        <w:rPr>
          <w:rFonts w:ascii="Garamond" w:hAnsi="Garamond"/>
          <w:lang w:val="en-US"/>
        </w:rPr>
        <w:t>s also a disposition, to the effect that if they think someone needs help, they</w:t>
      </w:r>
      <w:r w:rsidR="00870DA9">
        <w:rPr>
          <w:rFonts w:ascii="Garamond" w:hAnsi="Garamond"/>
          <w:lang w:val="en-US"/>
        </w:rPr>
        <w:t>’</w:t>
      </w:r>
      <w:r w:rsidRPr="00EB6692">
        <w:rPr>
          <w:rFonts w:ascii="Garamond" w:hAnsi="Garamond"/>
          <w:lang w:val="en-US"/>
        </w:rPr>
        <w:t>ll help them. The many small acts of assistance you receive from them will manifest</w:t>
      </w:r>
      <w:r w:rsidR="00721E50">
        <w:rPr>
          <w:rFonts w:ascii="Garamond" w:hAnsi="Garamond"/>
          <w:i/>
          <w:iCs/>
          <w:vertAlign w:val="subscript"/>
          <w:lang w:val="en-US"/>
        </w:rPr>
        <w:t>n</w:t>
      </w:r>
      <w:r w:rsidRPr="00EB6692">
        <w:rPr>
          <w:rFonts w:ascii="Garamond" w:hAnsi="Garamond"/>
          <w:lang w:val="en-US"/>
        </w:rPr>
        <w:t xml:space="preserve"> this disposition. So they</w:t>
      </w:r>
      <w:r w:rsidR="00870DA9">
        <w:rPr>
          <w:rFonts w:ascii="Garamond" w:hAnsi="Garamond"/>
          <w:lang w:val="en-US"/>
        </w:rPr>
        <w:t>’</w:t>
      </w:r>
      <w:r w:rsidRPr="00EB6692">
        <w:rPr>
          <w:rFonts w:ascii="Garamond" w:hAnsi="Garamond"/>
          <w:lang w:val="en-US"/>
        </w:rPr>
        <w:t>ll put you in contact with the value of their kindness. In a similar manner, your friend</w:t>
      </w:r>
      <w:r w:rsidR="00870DA9">
        <w:rPr>
          <w:rFonts w:ascii="Garamond" w:hAnsi="Garamond"/>
          <w:lang w:val="en-US"/>
        </w:rPr>
        <w:t>’</w:t>
      </w:r>
      <w:r w:rsidRPr="00EB6692">
        <w:rPr>
          <w:rFonts w:ascii="Garamond" w:hAnsi="Garamond"/>
          <w:lang w:val="en-US"/>
        </w:rPr>
        <w:t>s loyalty, wisdom or warmth will be manifest in your trust, understanding or sense of comfort. On the other hand, your dispositions will be manifest in valuable features of your friend. The fact that they</w:t>
      </w:r>
      <w:r w:rsidR="00870DA9">
        <w:rPr>
          <w:rFonts w:ascii="Garamond" w:hAnsi="Garamond"/>
          <w:lang w:val="en-US"/>
        </w:rPr>
        <w:t>’</w:t>
      </w:r>
      <w:r w:rsidRPr="00EB6692">
        <w:rPr>
          <w:rFonts w:ascii="Garamond" w:hAnsi="Garamond"/>
          <w:lang w:val="en-US"/>
        </w:rPr>
        <w:t>ve had a wonderful evening, for instance, is a good. It</w:t>
      </w:r>
      <w:r w:rsidR="00870DA9">
        <w:rPr>
          <w:rFonts w:ascii="Garamond" w:hAnsi="Garamond"/>
          <w:lang w:val="en-US"/>
        </w:rPr>
        <w:t>’</w:t>
      </w:r>
      <w:r w:rsidRPr="00EB6692">
        <w:rPr>
          <w:rFonts w:ascii="Garamond" w:hAnsi="Garamond"/>
          <w:lang w:val="en-US"/>
        </w:rPr>
        <w:t>s partly grounded in them having had many good laughs that evening. And this fact in turn manifests</w:t>
      </w:r>
      <w:r w:rsidR="001772D4">
        <w:rPr>
          <w:rFonts w:ascii="Garamond" w:hAnsi="Garamond"/>
          <w:i/>
          <w:iCs/>
          <w:vertAlign w:val="subscript"/>
          <w:lang w:val="en-US"/>
        </w:rPr>
        <w:t>n</w:t>
      </w:r>
      <w:r w:rsidRPr="00EB6692">
        <w:rPr>
          <w:rFonts w:ascii="Garamond" w:hAnsi="Garamond"/>
          <w:lang w:val="en-US"/>
        </w:rPr>
        <w:t xml:space="preserve"> your funniness. So, their laughing puts you in contact with a good. In like manner, your respectfulness and loyalty will be manifest in their self-esteem and sense of being at home with you. Thus friendships put you in contact with the good in your friends</w:t>
      </w:r>
      <w:r w:rsidR="00870DA9">
        <w:rPr>
          <w:rFonts w:ascii="Garamond" w:hAnsi="Garamond"/>
          <w:lang w:val="en-US"/>
        </w:rPr>
        <w:t>’</w:t>
      </w:r>
      <w:r w:rsidRPr="00EB6692">
        <w:rPr>
          <w:rFonts w:ascii="Garamond" w:hAnsi="Garamond"/>
          <w:lang w:val="en-US"/>
        </w:rPr>
        <w:t xml:space="preserve"> lives. </w:t>
      </w:r>
    </w:p>
    <w:p w14:paraId="0CFD2E02" w14:textId="28E86770" w:rsidR="00D16748" w:rsidRPr="00EB6692" w:rsidRDefault="00D16748" w:rsidP="008C3C5B">
      <w:pPr>
        <w:ind w:firstLine="708"/>
        <w:jc w:val="both"/>
        <w:rPr>
          <w:rFonts w:ascii="Garamond" w:hAnsi="Garamond"/>
          <w:lang w:val="en-US"/>
        </w:rPr>
      </w:pPr>
      <w:r w:rsidRPr="00EB6692">
        <w:rPr>
          <w:rFonts w:ascii="Garamond" w:hAnsi="Garamond"/>
          <w:lang w:val="en-US"/>
        </w:rPr>
        <w:t>Let</w:t>
      </w:r>
      <w:r w:rsidR="00870DA9">
        <w:rPr>
          <w:rFonts w:ascii="Garamond" w:hAnsi="Garamond"/>
          <w:lang w:val="en-US"/>
        </w:rPr>
        <w:t>’</w:t>
      </w:r>
      <w:r w:rsidRPr="00EB6692">
        <w:rPr>
          <w:rFonts w:ascii="Garamond" w:hAnsi="Garamond"/>
          <w:lang w:val="en-US"/>
        </w:rPr>
        <w:t>s contrast friendship with enmity: symmetrical relations involving the desire that another person do badly, careful attention to their bad qualities, smaller or greater acts of vindictiveness, and so on. This is a harmful sort of relationship: it makes your life worse to have enemies. And the Contact Account explains this as well. When your enemies harm you, those harms manifest</w:t>
      </w:r>
      <w:r w:rsidR="00721E50">
        <w:rPr>
          <w:rFonts w:ascii="Garamond" w:hAnsi="Garamond"/>
          <w:i/>
          <w:iCs/>
          <w:vertAlign w:val="subscript"/>
          <w:lang w:val="en-US"/>
        </w:rPr>
        <w:t>n</w:t>
      </w:r>
      <w:r w:rsidRPr="00EB6692">
        <w:rPr>
          <w:rFonts w:ascii="Garamond" w:hAnsi="Garamond"/>
          <w:lang w:val="en-US"/>
        </w:rPr>
        <w:t xml:space="preserve"> their vices and character failures. Thus, they put you in contact with your enemie</w:t>
      </w:r>
      <w:r w:rsidR="00721E50">
        <w:rPr>
          <w:rFonts w:ascii="Garamond" w:hAnsi="Garamond"/>
          <w:lang w:val="en-US"/>
        </w:rPr>
        <w:t>s</w:t>
      </w:r>
      <w:r w:rsidR="00870DA9">
        <w:rPr>
          <w:rFonts w:ascii="Garamond" w:hAnsi="Garamond"/>
          <w:lang w:val="en-US"/>
        </w:rPr>
        <w:t>’</w:t>
      </w:r>
      <w:r w:rsidRPr="00EB6692">
        <w:rPr>
          <w:rFonts w:ascii="Garamond" w:hAnsi="Garamond"/>
          <w:lang w:val="en-US"/>
        </w:rPr>
        <w:t xml:space="preserve"> bad features. Similarly, when you harm your enemies, you put yourself in contact with various bads. They will be badly off, and this will manifest</w:t>
      </w:r>
      <w:r w:rsidR="00721E50">
        <w:rPr>
          <w:rFonts w:ascii="Garamond" w:hAnsi="Garamond"/>
          <w:i/>
          <w:iCs/>
          <w:vertAlign w:val="subscript"/>
          <w:lang w:val="en-US"/>
        </w:rPr>
        <w:t>n</w:t>
      </w:r>
      <w:r w:rsidRPr="00EB6692">
        <w:rPr>
          <w:rFonts w:ascii="Garamond" w:hAnsi="Garamond"/>
          <w:lang w:val="en-US"/>
        </w:rPr>
        <w:t xml:space="preserve"> your vindictiveness or animosity towards them. Thus, on the Contact Account, such enmity is bad for you. </w:t>
      </w:r>
    </w:p>
    <w:p w14:paraId="67DAC662" w14:textId="77777777" w:rsidR="00D16748" w:rsidRPr="00EB6692" w:rsidRDefault="00D16748" w:rsidP="00870DA9">
      <w:pPr>
        <w:jc w:val="both"/>
        <w:rPr>
          <w:rFonts w:ascii="Garamond" w:hAnsi="Garamond"/>
          <w:lang w:val="en-US"/>
        </w:rPr>
      </w:pPr>
    </w:p>
    <w:p w14:paraId="4EF99EA1" w14:textId="3CB61B92" w:rsidR="00D16748" w:rsidRPr="00CB6F8A" w:rsidRDefault="00CB6F8A" w:rsidP="00870DA9">
      <w:pPr>
        <w:jc w:val="both"/>
        <w:rPr>
          <w:rFonts w:ascii="Garamond" w:hAnsi="Garamond"/>
          <w:i/>
          <w:iCs/>
          <w:lang w:val="en-US"/>
        </w:rPr>
      </w:pPr>
      <w:r w:rsidRPr="00CB6F8A">
        <w:rPr>
          <w:rFonts w:ascii="Garamond" w:hAnsi="Garamond"/>
          <w:i/>
          <w:iCs/>
          <w:lang w:val="en-US"/>
        </w:rPr>
        <w:t xml:space="preserve">4.3 </w:t>
      </w:r>
      <w:r w:rsidR="00D16748" w:rsidRPr="00CB6F8A">
        <w:rPr>
          <w:rFonts w:ascii="Garamond" w:hAnsi="Garamond"/>
          <w:i/>
          <w:iCs/>
          <w:lang w:val="en-US"/>
        </w:rPr>
        <w:t>Knowledge</w:t>
      </w:r>
    </w:p>
    <w:p w14:paraId="59475815" w14:textId="77777777" w:rsidR="00D16748" w:rsidRPr="00EB6692" w:rsidRDefault="00D16748" w:rsidP="00870DA9">
      <w:pPr>
        <w:jc w:val="both"/>
        <w:rPr>
          <w:rFonts w:ascii="Garamond" w:hAnsi="Garamond"/>
          <w:lang w:val="en-US"/>
        </w:rPr>
      </w:pPr>
    </w:p>
    <w:p w14:paraId="4606DA69" w14:textId="2736ECEF" w:rsidR="008C3C5B" w:rsidRDefault="00D16748" w:rsidP="00870DA9">
      <w:pPr>
        <w:jc w:val="both"/>
        <w:rPr>
          <w:rFonts w:ascii="Garamond" w:hAnsi="Garamond"/>
          <w:lang w:val="en-US"/>
        </w:rPr>
      </w:pPr>
      <w:r w:rsidRPr="00EB6692">
        <w:rPr>
          <w:rFonts w:ascii="Garamond" w:hAnsi="Garamond"/>
          <w:lang w:val="en-US"/>
        </w:rPr>
        <w:t>Many people think knowledge is part of the good life. Perhaps this doesn</w:t>
      </w:r>
      <w:r w:rsidR="00870DA9">
        <w:rPr>
          <w:rFonts w:ascii="Garamond" w:hAnsi="Garamond"/>
          <w:lang w:val="en-US"/>
        </w:rPr>
        <w:t>’</w:t>
      </w:r>
      <w:r w:rsidRPr="00EB6692">
        <w:rPr>
          <w:rFonts w:ascii="Garamond" w:hAnsi="Garamond"/>
          <w:lang w:val="en-US"/>
        </w:rPr>
        <w:t>t apply to all knowledge: knowing how many grains of sand there are on Rockaway beach may not benefit you at all. But it applies to important knowledge: learning the fundamental laws of physics or understanding key facts about human psychology or evolution, say, in itself seems to make your life better for you.</w:t>
      </w:r>
      <w:r w:rsidR="00D346B4" w:rsidRPr="000E5D20">
        <w:rPr>
          <w:rStyle w:val="FootnoteReference"/>
        </w:rPr>
        <w:footnoteReference w:id="12"/>
      </w:r>
      <w:r w:rsidRPr="00EB6692">
        <w:rPr>
          <w:rFonts w:ascii="Garamond" w:hAnsi="Garamond"/>
          <w:lang w:val="en-US"/>
        </w:rPr>
        <w:t xml:space="preserve"> Again, the Contact Account can explain this. The most straightforward explanation employs the active aspect of contact. Your important knowledge is impersonally valuable: the universe seems a little better, more fittingly the object of admiration, satisfaction and pleasure, because there aren</w:t>
      </w:r>
      <w:r w:rsidR="00870DA9">
        <w:rPr>
          <w:rFonts w:ascii="Garamond" w:hAnsi="Garamond"/>
          <w:lang w:val="en-US"/>
        </w:rPr>
        <w:t>’</w:t>
      </w:r>
      <w:r w:rsidRPr="00EB6692">
        <w:rPr>
          <w:rFonts w:ascii="Garamond" w:hAnsi="Garamond"/>
          <w:lang w:val="en-US"/>
        </w:rPr>
        <w:t xml:space="preserve">t only flowers and chicken but higher forms of knowing and understanding. But to have such knowledge you must have exercised your </w:t>
      </w:r>
      <w:r w:rsidRPr="00EB6692">
        <w:rPr>
          <w:rFonts w:ascii="Garamond" w:hAnsi="Garamond"/>
          <w:lang w:val="en-US"/>
        </w:rPr>
        <w:lastRenderedPageBreak/>
        <w:t>epistemic capacities: your capacity for understanding and reasoning, or your attentiveness, thoughtfulness or smartness.</w:t>
      </w:r>
      <w:r w:rsidR="006E3305" w:rsidRPr="000E5D20">
        <w:rPr>
          <w:rStyle w:val="FootnoteReference"/>
        </w:rPr>
        <w:footnoteReference w:id="13"/>
      </w:r>
      <w:r w:rsidRPr="00EB6692">
        <w:rPr>
          <w:rFonts w:ascii="Garamond" w:hAnsi="Garamond"/>
          <w:lang w:val="en-US"/>
        </w:rPr>
        <w:t xml:space="preserve"> Thus your knowledge manifests</w:t>
      </w:r>
      <w:r w:rsidR="001772D4">
        <w:rPr>
          <w:rFonts w:ascii="Garamond" w:hAnsi="Garamond"/>
          <w:i/>
          <w:iCs/>
          <w:vertAlign w:val="subscript"/>
          <w:lang w:val="en-US"/>
        </w:rPr>
        <w:t>n</w:t>
      </w:r>
      <w:r w:rsidRPr="00EB6692">
        <w:rPr>
          <w:rFonts w:ascii="Garamond" w:hAnsi="Garamond"/>
          <w:lang w:val="en-US"/>
        </w:rPr>
        <w:t xml:space="preserve"> your dispositions. So, when you have important knowledge, you</w:t>
      </w:r>
      <w:r w:rsidR="00870DA9">
        <w:rPr>
          <w:rFonts w:ascii="Garamond" w:hAnsi="Garamond"/>
          <w:lang w:val="en-US"/>
        </w:rPr>
        <w:t>’</w:t>
      </w:r>
      <w:r w:rsidRPr="00EB6692">
        <w:rPr>
          <w:rFonts w:ascii="Garamond" w:hAnsi="Garamond"/>
          <w:lang w:val="en-US"/>
        </w:rPr>
        <w:t>re in contact with something impersonally good.</w:t>
      </w:r>
    </w:p>
    <w:p w14:paraId="424546F0" w14:textId="1CA8393F" w:rsidR="00D16748" w:rsidRPr="00EB6692" w:rsidRDefault="00D16748" w:rsidP="008C3C5B">
      <w:pPr>
        <w:ind w:firstLine="708"/>
        <w:jc w:val="both"/>
        <w:rPr>
          <w:rFonts w:ascii="Garamond" w:hAnsi="Garamond"/>
          <w:lang w:val="en-US"/>
        </w:rPr>
      </w:pPr>
      <w:r w:rsidRPr="00EB6692">
        <w:rPr>
          <w:rFonts w:ascii="Garamond" w:hAnsi="Garamond"/>
          <w:lang w:val="en-US"/>
        </w:rPr>
        <w:t>There</w:t>
      </w:r>
      <w:r w:rsidR="00870DA9">
        <w:rPr>
          <w:rFonts w:ascii="Garamond" w:hAnsi="Garamond"/>
          <w:lang w:val="en-US"/>
        </w:rPr>
        <w:t>’</w:t>
      </w:r>
      <w:r w:rsidRPr="00EB6692">
        <w:rPr>
          <w:rFonts w:ascii="Garamond" w:hAnsi="Garamond"/>
          <w:lang w:val="en-US"/>
        </w:rPr>
        <w:t>s also a second, passive way for knowledge to improve your life. Often, the important facts you know don</w:t>
      </w:r>
      <w:r w:rsidR="00870DA9">
        <w:rPr>
          <w:rFonts w:ascii="Garamond" w:hAnsi="Garamond"/>
          <w:lang w:val="en-US"/>
        </w:rPr>
        <w:t>’</w:t>
      </w:r>
      <w:r w:rsidRPr="00EB6692">
        <w:rPr>
          <w:rFonts w:ascii="Garamond" w:hAnsi="Garamond"/>
          <w:lang w:val="en-US"/>
        </w:rPr>
        <w:t xml:space="preserve">t leave you entirely cold. You might wonder at the mass-energy equivalence, say: at the beauty of </w:t>
      </w:r>
      <w:r w:rsidRPr="00024D3E">
        <w:rPr>
          <w:rFonts w:ascii="Garamond" w:hAnsi="Garamond"/>
          <w:i/>
          <w:iCs/>
          <w:lang w:val="en-US"/>
        </w:rPr>
        <w:t>E=mc</w:t>
      </w:r>
      <w:r w:rsidRPr="00024D3E">
        <w:rPr>
          <w:rFonts w:ascii="Garamond" w:hAnsi="Garamond"/>
          <w:i/>
          <w:iCs/>
          <w:vertAlign w:val="superscript"/>
          <w:lang w:val="en-US"/>
        </w:rPr>
        <w:t>2</w:t>
      </w:r>
      <w:r w:rsidRPr="00EB6692">
        <w:rPr>
          <w:rFonts w:ascii="Garamond" w:hAnsi="Garamond"/>
          <w:lang w:val="en-US"/>
        </w:rPr>
        <w:t>. You might think the depth of our subconscious minds, or the fact that we</w:t>
      </w:r>
      <w:r w:rsidR="00870DA9">
        <w:rPr>
          <w:rFonts w:ascii="Garamond" w:hAnsi="Garamond"/>
          <w:lang w:val="en-US"/>
        </w:rPr>
        <w:t>’</w:t>
      </w:r>
      <w:r w:rsidRPr="00EB6692">
        <w:rPr>
          <w:rFonts w:ascii="Garamond" w:hAnsi="Garamond"/>
          <w:lang w:val="en-US"/>
        </w:rPr>
        <w:t>ve evolved from single-celled organisms, is astonishing. These attitudes will themselves be manifestations of the wonderfulness of these facts: it</w:t>
      </w:r>
      <w:r w:rsidR="00870DA9">
        <w:rPr>
          <w:rFonts w:ascii="Garamond" w:hAnsi="Garamond"/>
          <w:lang w:val="en-US"/>
        </w:rPr>
        <w:t>’</w:t>
      </w:r>
      <w:r w:rsidRPr="00EB6692">
        <w:rPr>
          <w:rFonts w:ascii="Garamond" w:hAnsi="Garamond"/>
          <w:lang w:val="en-US"/>
        </w:rPr>
        <w:t>s because they are wonderful that they</w:t>
      </w:r>
      <w:r w:rsidR="00870DA9">
        <w:rPr>
          <w:rFonts w:ascii="Garamond" w:hAnsi="Garamond"/>
          <w:lang w:val="en-US"/>
        </w:rPr>
        <w:t>’</w:t>
      </w:r>
      <w:r w:rsidRPr="00EB6692">
        <w:rPr>
          <w:rFonts w:ascii="Garamond" w:hAnsi="Garamond"/>
          <w:lang w:val="en-US"/>
        </w:rPr>
        <w:t>re disposed to make people wonder at them, and your wonder manifests</w:t>
      </w:r>
      <w:r w:rsidR="001772D4">
        <w:rPr>
          <w:rFonts w:ascii="Garamond" w:hAnsi="Garamond"/>
          <w:i/>
          <w:iCs/>
          <w:vertAlign w:val="subscript"/>
          <w:lang w:val="en-US"/>
        </w:rPr>
        <w:t>n</w:t>
      </w:r>
      <w:r w:rsidRPr="00EB6692">
        <w:rPr>
          <w:rFonts w:ascii="Garamond" w:hAnsi="Garamond"/>
          <w:lang w:val="en-US"/>
        </w:rPr>
        <w:t xml:space="preserve"> this disposition. And of course their wonderfulness is a value. So, if you</w:t>
      </w:r>
      <w:r w:rsidR="00870DA9">
        <w:rPr>
          <w:rFonts w:ascii="Garamond" w:hAnsi="Garamond"/>
          <w:lang w:val="en-US"/>
        </w:rPr>
        <w:t>’</w:t>
      </w:r>
      <w:r w:rsidRPr="00EB6692">
        <w:rPr>
          <w:rFonts w:ascii="Garamond" w:hAnsi="Garamond"/>
          <w:lang w:val="en-US"/>
        </w:rPr>
        <w:t xml:space="preserve">re appropriately moved by the facts that you know, </w:t>
      </w:r>
      <w:r w:rsidR="00F27BB5">
        <w:rPr>
          <w:rFonts w:ascii="Garamond" w:hAnsi="Garamond"/>
          <w:lang w:val="en-US"/>
        </w:rPr>
        <w:t>you are in</w:t>
      </w:r>
      <w:r w:rsidRPr="00EB6692">
        <w:rPr>
          <w:rFonts w:ascii="Garamond" w:hAnsi="Garamond"/>
          <w:lang w:val="en-US"/>
        </w:rPr>
        <w:t xml:space="preserve"> touch </w:t>
      </w:r>
      <w:r w:rsidR="00F27BB5">
        <w:rPr>
          <w:rFonts w:ascii="Garamond" w:hAnsi="Garamond"/>
          <w:lang w:val="en-US"/>
        </w:rPr>
        <w:t xml:space="preserve">with </w:t>
      </w:r>
      <w:r w:rsidRPr="00EB6692">
        <w:rPr>
          <w:rFonts w:ascii="Garamond" w:hAnsi="Garamond"/>
          <w:lang w:val="en-US"/>
        </w:rPr>
        <w:t xml:space="preserve">the good. </w:t>
      </w:r>
    </w:p>
    <w:p w14:paraId="76BF34AF" w14:textId="77777777" w:rsidR="00D16748" w:rsidRPr="00EB6692" w:rsidRDefault="00D16748" w:rsidP="00870DA9">
      <w:pPr>
        <w:jc w:val="both"/>
        <w:rPr>
          <w:rFonts w:ascii="Garamond" w:hAnsi="Garamond"/>
          <w:lang w:val="en-US"/>
        </w:rPr>
      </w:pPr>
    </w:p>
    <w:p w14:paraId="20551310" w14:textId="44296044" w:rsidR="00D16748" w:rsidRPr="00D3143C" w:rsidRDefault="00D3143C" w:rsidP="00870DA9">
      <w:pPr>
        <w:jc w:val="both"/>
        <w:rPr>
          <w:rFonts w:ascii="Garamond" w:hAnsi="Garamond"/>
          <w:i/>
          <w:iCs/>
          <w:lang w:val="en-US"/>
        </w:rPr>
      </w:pPr>
      <w:r w:rsidRPr="00D3143C">
        <w:rPr>
          <w:rFonts w:ascii="Garamond" w:hAnsi="Garamond"/>
          <w:i/>
          <w:iCs/>
          <w:lang w:val="en-US"/>
        </w:rPr>
        <w:t xml:space="preserve">4.4 </w:t>
      </w:r>
      <w:r w:rsidR="00D16748" w:rsidRPr="00D3143C">
        <w:rPr>
          <w:rFonts w:ascii="Garamond" w:hAnsi="Garamond"/>
          <w:i/>
          <w:iCs/>
          <w:lang w:val="en-US"/>
        </w:rPr>
        <w:t xml:space="preserve">Pleasure </w:t>
      </w:r>
    </w:p>
    <w:p w14:paraId="7AC91F75" w14:textId="77777777" w:rsidR="00D16748" w:rsidRPr="00EB6692" w:rsidRDefault="00D16748" w:rsidP="00870DA9">
      <w:pPr>
        <w:jc w:val="both"/>
        <w:rPr>
          <w:rFonts w:ascii="Garamond" w:hAnsi="Garamond"/>
          <w:lang w:val="en-US"/>
        </w:rPr>
      </w:pPr>
    </w:p>
    <w:p w14:paraId="053133D9" w14:textId="65C28DBB" w:rsidR="008C3C5B" w:rsidRDefault="00D16748" w:rsidP="00870DA9">
      <w:pPr>
        <w:jc w:val="both"/>
        <w:rPr>
          <w:rFonts w:ascii="Garamond" w:hAnsi="Garamond"/>
          <w:lang w:val="en-US"/>
        </w:rPr>
      </w:pPr>
      <w:r w:rsidRPr="00EB6692">
        <w:rPr>
          <w:rFonts w:ascii="Garamond" w:hAnsi="Garamond"/>
          <w:lang w:val="en-US"/>
        </w:rPr>
        <w:t>Plausibly, pleasure generally contributes to welfare: if an experience is pleasant, it usually benefits you. Pain generally detracts from it: if an experience is painful, it usually harms you. Here we</w:t>
      </w:r>
      <w:r w:rsidR="00870DA9">
        <w:rPr>
          <w:rFonts w:ascii="Garamond" w:hAnsi="Garamond"/>
          <w:lang w:val="en-US"/>
        </w:rPr>
        <w:t>’</w:t>
      </w:r>
      <w:r w:rsidRPr="00EB6692">
        <w:rPr>
          <w:rFonts w:ascii="Garamond" w:hAnsi="Garamond"/>
          <w:lang w:val="en-US"/>
        </w:rPr>
        <w:t>re thinking of pleasure and pain as phenomenological states. The intuition is that some phenomenological states (the pleasant ones) are generally good for you, while other such states (the painful ones) are generally bad for you. The Contact Account can explain this. The simplest explanation is that, generally, pleasures are impersonally good and pains impersonally bad: you should generally be pleased by the prospect of a world full of pleasures and displeased by that of a world full of pains. Additionally, pleasures and pains ground all sorts of dispositions. When you</w:t>
      </w:r>
      <w:r w:rsidR="00870DA9">
        <w:rPr>
          <w:rFonts w:ascii="Garamond" w:hAnsi="Garamond"/>
          <w:lang w:val="en-US"/>
        </w:rPr>
        <w:t>’</w:t>
      </w:r>
      <w:r w:rsidRPr="00EB6692">
        <w:rPr>
          <w:rFonts w:ascii="Garamond" w:hAnsi="Garamond"/>
          <w:lang w:val="en-US"/>
        </w:rPr>
        <w:t>re experiencing pleasure, you</w:t>
      </w:r>
      <w:r w:rsidR="00870DA9">
        <w:rPr>
          <w:rFonts w:ascii="Garamond" w:hAnsi="Garamond"/>
          <w:lang w:val="en-US"/>
        </w:rPr>
        <w:t>’</w:t>
      </w:r>
      <w:r w:rsidRPr="00EB6692">
        <w:rPr>
          <w:rFonts w:ascii="Garamond" w:hAnsi="Garamond"/>
          <w:lang w:val="en-US"/>
        </w:rPr>
        <w:t>re disposed to like your situation, and to try and make it persist or seek it again. When you</w:t>
      </w:r>
      <w:r w:rsidR="00870DA9">
        <w:rPr>
          <w:rFonts w:ascii="Garamond" w:hAnsi="Garamond"/>
          <w:lang w:val="en-US"/>
        </w:rPr>
        <w:t>’</w:t>
      </w:r>
      <w:r w:rsidRPr="00EB6692">
        <w:rPr>
          <w:rFonts w:ascii="Garamond" w:hAnsi="Garamond"/>
          <w:lang w:val="en-US"/>
        </w:rPr>
        <w:t>re in pain, you</w:t>
      </w:r>
      <w:r w:rsidR="00870DA9">
        <w:rPr>
          <w:rFonts w:ascii="Garamond" w:hAnsi="Garamond"/>
          <w:lang w:val="en-US"/>
        </w:rPr>
        <w:t>’</w:t>
      </w:r>
      <w:r w:rsidRPr="00EB6692">
        <w:rPr>
          <w:rFonts w:ascii="Garamond" w:hAnsi="Garamond"/>
          <w:lang w:val="en-US"/>
        </w:rPr>
        <w:t>re disposed to dislike your situation, and to escape it now and henceforth.</w:t>
      </w:r>
      <w:r w:rsidR="00B46F8C" w:rsidRPr="000E5D20">
        <w:rPr>
          <w:rStyle w:val="FootnoteReference"/>
        </w:rPr>
        <w:footnoteReference w:id="14"/>
      </w:r>
      <w:r w:rsidR="00B46F8C" w:rsidRPr="00EB6692">
        <w:rPr>
          <w:rFonts w:ascii="Garamond" w:hAnsi="Garamond"/>
          <w:lang w:val="en-US"/>
        </w:rPr>
        <w:t xml:space="preserve"> </w:t>
      </w:r>
      <w:r w:rsidRPr="00EB6692">
        <w:rPr>
          <w:rFonts w:ascii="Garamond" w:hAnsi="Garamond"/>
          <w:lang w:val="en-US"/>
        </w:rPr>
        <w:t>When these dispositions are manifest</w:t>
      </w:r>
      <w:r w:rsidR="00721E50">
        <w:rPr>
          <w:rFonts w:ascii="Garamond" w:hAnsi="Garamond"/>
          <w:i/>
          <w:iCs/>
          <w:vertAlign w:val="subscript"/>
          <w:lang w:val="en-US"/>
        </w:rPr>
        <w:t>n</w:t>
      </w:r>
      <w:r w:rsidRPr="00EB6692">
        <w:rPr>
          <w:rFonts w:ascii="Garamond" w:hAnsi="Garamond"/>
          <w:lang w:val="en-US"/>
        </w:rPr>
        <w:t xml:space="preserve"> in your life</w:t>
      </w:r>
      <w:r w:rsidR="00A7203A">
        <w:rPr>
          <w:rFonts w:ascii="Garamond" w:hAnsi="Garamond"/>
          <w:lang w:val="en-US"/>
        </w:rPr>
        <w:t xml:space="preserve"> – </w:t>
      </w:r>
      <w:r w:rsidRPr="00EB6692">
        <w:rPr>
          <w:rFonts w:ascii="Garamond" w:hAnsi="Garamond"/>
          <w:lang w:val="en-US"/>
        </w:rPr>
        <w:t>in your actions, likes and dislikes</w:t>
      </w:r>
      <w:r w:rsidR="00A7203A">
        <w:rPr>
          <w:rFonts w:ascii="Garamond" w:hAnsi="Garamond"/>
          <w:lang w:val="en-US"/>
        </w:rPr>
        <w:t xml:space="preserve"> – </w:t>
      </w:r>
      <w:r w:rsidRPr="00EB6692">
        <w:rPr>
          <w:rFonts w:ascii="Garamond" w:hAnsi="Garamond"/>
          <w:lang w:val="en-US"/>
        </w:rPr>
        <w:t>that puts you in touch with the value of your own sensations. So generally, your feeling pleasure will make your life better while your being in pain will make it worse.</w:t>
      </w:r>
      <w:r w:rsidR="00BE280F" w:rsidRPr="000E5D20">
        <w:rPr>
          <w:rStyle w:val="FootnoteReference"/>
        </w:rPr>
        <w:footnoteReference w:id="15"/>
      </w:r>
      <w:r w:rsidRPr="00EB6692">
        <w:rPr>
          <w:rFonts w:ascii="Garamond" w:hAnsi="Garamond"/>
          <w:lang w:val="en-US"/>
        </w:rPr>
        <w:t xml:space="preserve"> </w:t>
      </w:r>
    </w:p>
    <w:p w14:paraId="43A4E665" w14:textId="4B21BE99" w:rsidR="008C3C5B" w:rsidRDefault="00D16748" w:rsidP="008C3C5B">
      <w:pPr>
        <w:ind w:firstLine="708"/>
        <w:jc w:val="both"/>
        <w:rPr>
          <w:rFonts w:ascii="Garamond" w:hAnsi="Garamond"/>
          <w:lang w:val="en-US"/>
        </w:rPr>
      </w:pPr>
      <w:r w:rsidRPr="00EB6692">
        <w:rPr>
          <w:rFonts w:ascii="Garamond" w:hAnsi="Garamond"/>
          <w:lang w:val="en-US"/>
        </w:rPr>
        <w:t>But pleasures and pains can affect your welfare in a second way. Often, they</w:t>
      </w:r>
      <w:r w:rsidR="00870DA9">
        <w:rPr>
          <w:rFonts w:ascii="Garamond" w:hAnsi="Garamond"/>
          <w:lang w:val="en-US"/>
        </w:rPr>
        <w:t>’</w:t>
      </w:r>
      <w:r w:rsidRPr="00EB6692">
        <w:rPr>
          <w:rFonts w:ascii="Garamond" w:hAnsi="Garamond"/>
          <w:lang w:val="en-US"/>
        </w:rPr>
        <w:t>re a constitutive part of fitting responses to other goods and bads. And thus they</w:t>
      </w:r>
      <w:r w:rsidR="00870DA9">
        <w:rPr>
          <w:rFonts w:ascii="Garamond" w:hAnsi="Garamond"/>
          <w:lang w:val="en-US"/>
        </w:rPr>
        <w:t>’</w:t>
      </w:r>
      <w:r w:rsidRPr="00EB6692">
        <w:rPr>
          <w:rFonts w:ascii="Garamond" w:hAnsi="Garamond"/>
          <w:lang w:val="en-US"/>
        </w:rPr>
        <w:t>ll manifest them. Consider the pleasure involved in you laughing at a joke. Your amusement is the fitting response to the funniness of the joke. Thus it manifests that funniness. But your pleasure is a constitutive part of that amusement: you</w:t>
      </w:r>
      <w:r w:rsidR="00870DA9">
        <w:rPr>
          <w:rFonts w:ascii="Garamond" w:hAnsi="Garamond"/>
          <w:lang w:val="en-US"/>
        </w:rPr>
        <w:t>’</w:t>
      </w:r>
      <w:r w:rsidRPr="00EB6692">
        <w:rPr>
          <w:rFonts w:ascii="Garamond" w:hAnsi="Garamond"/>
          <w:lang w:val="en-US"/>
        </w:rPr>
        <w:t xml:space="preserve">re </w:t>
      </w:r>
      <w:r w:rsidR="00440919">
        <w:rPr>
          <w:rFonts w:ascii="Garamond" w:hAnsi="Garamond"/>
          <w:lang w:val="en-US"/>
        </w:rPr>
        <w:t>amused</w:t>
      </w:r>
      <w:r w:rsidRPr="00EB6692">
        <w:rPr>
          <w:rFonts w:ascii="Garamond" w:hAnsi="Garamond"/>
          <w:lang w:val="en-US"/>
        </w:rPr>
        <w:t xml:space="preserve"> in virtue of being </w:t>
      </w:r>
      <w:r w:rsidR="00440919">
        <w:rPr>
          <w:rFonts w:ascii="Garamond" w:hAnsi="Garamond"/>
          <w:lang w:val="en-US"/>
        </w:rPr>
        <w:t>pleased</w:t>
      </w:r>
      <w:r w:rsidRPr="00EB6692">
        <w:rPr>
          <w:rFonts w:ascii="Garamond" w:hAnsi="Garamond"/>
          <w:lang w:val="en-US"/>
        </w:rPr>
        <w:t>. And if you didn</w:t>
      </w:r>
      <w:r w:rsidR="00870DA9">
        <w:rPr>
          <w:rFonts w:ascii="Garamond" w:hAnsi="Garamond"/>
          <w:lang w:val="en-US"/>
        </w:rPr>
        <w:t>’</w:t>
      </w:r>
      <w:r w:rsidRPr="00EB6692">
        <w:rPr>
          <w:rFonts w:ascii="Garamond" w:hAnsi="Garamond"/>
          <w:lang w:val="en-US"/>
        </w:rPr>
        <w:t>t feel pleased, your guffaw would be a mock laughter or sarcastic expression of contempt. It wouldn</w:t>
      </w:r>
      <w:r w:rsidR="00870DA9">
        <w:rPr>
          <w:rFonts w:ascii="Garamond" w:hAnsi="Garamond"/>
          <w:lang w:val="en-US"/>
        </w:rPr>
        <w:t>’</w:t>
      </w:r>
      <w:r w:rsidRPr="00EB6692">
        <w:rPr>
          <w:rFonts w:ascii="Garamond" w:hAnsi="Garamond"/>
          <w:lang w:val="en-US"/>
        </w:rPr>
        <w:t>t be genuine amusement. So, your pleasure manifests the joke</w:t>
      </w:r>
      <w:r w:rsidR="00870DA9">
        <w:rPr>
          <w:rFonts w:ascii="Garamond" w:hAnsi="Garamond"/>
          <w:lang w:val="en-US"/>
        </w:rPr>
        <w:t>’</w:t>
      </w:r>
      <w:r w:rsidRPr="00EB6692">
        <w:rPr>
          <w:rFonts w:ascii="Garamond" w:hAnsi="Garamond"/>
          <w:lang w:val="en-US"/>
        </w:rPr>
        <w:t xml:space="preserve">s funniness. And on the Contact </w:t>
      </w:r>
      <w:r w:rsidRPr="00EB6692">
        <w:rPr>
          <w:rFonts w:ascii="Garamond" w:hAnsi="Garamond"/>
          <w:lang w:val="en-US"/>
        </w:rPr>
        <w:lastRenderedPageBreak/>
        <w:t>Account, that</w:t>
      </w:r>
      <w:r w:rsidR="00870DA9">
        <w:rPr>
          <w:rFonts w:ascii="Garamond" w:hAnsi="Garamond"/>
          <w:lang w:val="en-US"/>
        </w:rPr>
        <w:t>’</w:t>
      </w:r>
      <w:r w:rsidRPr="00EB6692">
        <w:rPr>
          <w:rFonts w:ascii="Garamond" w:hAnsi="Garamond"/>
          <w:lang w:val="en-US"/>
        </w:rPr>
        <w:t xml:space="preserve">s another reason for why it is good for you. The same goes for your enjoyment of poetry, your delight at </w:t>
      </w:r>
      <w:r w:rsidR="0032331A">
        <w:rPr>
          <w:rFonts w:ascii="Garamond" w:hAnsi="Garamond"/>
          <w:lang w:val="en-US"/>
        </w:rPr>
        <w:t>an artwork</w:t>
      </w:r>
      <w:r w:rsidRPr="00EB6692">
        <w:rPr>
          <w:rFonts w:ascii="Garamond" w:hAnsi="Garamond"/>
          <w:lang w:val="en-US"/>
        </w:rPr>
        <w:t xml:space="preserve">, or your appreciation of a whisky. The poetry is sublime, the </w:t>
      </w:r>
      <w:r w:rsidR="0032331A">
        <w:rPr>
          <w:rFonts w:ascii="Garamond" w:hAnsi="Garamond"/>
          <w:lang w:val="en-US"/>
        </w:rPr>
        <w:t>artwork</w:t>
      </w:r>
      <w:r w:rsidRPr="00EB6692">
        <w:rPr>
          <w:rFonts w:ascii="Garamond" w:hAnsi="Garamond"/>
          <w:lang w:val="en-US"/>
        </w:rPr>
        <w:t xml:space="preserve"> beautiful, the whisky well-made. Your pleasure in such things puts you in touch with these values. And thus it is good for you. A parallel point applies,</w:t>
      </w:r>
      <w:r w:rsidR="00707FD3" w:rsidRPr="00EB6692">
        <w:rPr>
          <w:rFonts w:ascii="Garamond" w:hAnsi="Garamond"/>
          <w:lang w:val="en-US"/>
        </w:rPr>
        <w:t xml:space="preserve"> </w:t>
      </w:r>
      <w:r w:rsidRPr="00707FD3">
        <w:rPr>
          <w:rFonts w:ascii="Garamond" w:hAnsi="Garamond"/>
          <w:i/>
          <w:iCs/>
          <w:lang w:val="en-US"/>
        </w:rPr>
        <w:t>mutatis mutandis</w:t>
      </w:r>
      <w:r w:rsidRPr="00EB6692">
        <w:rPr>
          <w:rFonts w:ascii="Garamond" w:hAnsi="Garamond"/>
          <w:lang w:val="en-US"/>
        </w:rPr>
        <w:t>, to many pains. Pains aren</w:t>
      </w:r>
      <w:r w:rsidR="00870DA9">
        <w:rPr>
          <w:rFonts w:ascii="Garamond" w:hAnsi="Garamond"/>
          <w:lang w:val="en-US"/>
        </w:rPr>
        <w:t>’</w:t>
      </w:r>
      <w:r w:rsidRPr="00EB6692">
        <w:rPr>
          <w:rFonts w:ascii="Garamond" w:hAnsi="Garamond"/>
          <w:lang w:val="en-US"/>
        </w:rPr>
        <w:t>t just bad in themselves. Having them generally also puts you in contact with other bads.</w:t>
      </w:r>
    </w:p>
    <w:p w14:paraId="4EBEAABD" w14:textId="22522011" w:rsidR="00D16748" w:rsidRPr="00EB6692" w:rsidRDefault="00D16748" w:rsidP="008C3C5B">
      <w:pPr>
        <w:ind w:firstLine="708"/>
        <w:jc w:val="both"/>
        <w:rPr>
          <w:rFonts w:ascii="Garamond" w:hAnsi="Garamond"/>
          <w:lang w:val="en-US"/>
        </w:rPr>
      </w:pPr>
      <w:r w:rsidRPr="00EB6692">
        <w:rPr>
          <w:rFonts w:ascii="Garamond" w:hAnsi="Garamond"/>
          <w:lang w:val="en-US"/>
        </w:rPr>
        <w:t>This explanation of the welfare value of pleasures and pains has interesting implications. It means not all pleasures and pains are good or bad for you. Consider the headache of a Stoic. Suppose this headache causes no aversive reaction in them: they don</w:t>
      </w:r>
      <w:r w:rsidR="00870DA9">
        <w:rPr>
          <w:rFonts w:ascii="Garamond" w:hAnsi="Garamond"/>
          <w:lang w:val="en-US"/>
        </w:rPr>
        <w:t>’</w:t>
      </w:r>
      <w:r w:rsidRPr="00EB6692">
        <w:rPr>
          <w:rFonts w:ascii="Garamond" w:hAnsi="Garamond"/>
          <w:lang w:val="en-US"/>
        </w:rPr>
        <w:t>t mind their pain at all. On the Contact Account, this pain isn</w:t>
      </w:r>
      <w:r w:rsidR="00870DA9">
        <w:rPr>
          <w:rFonts w:ascii="Garamond" w:hAnsi="Garamond"/>
          <w:lang w:val="en-US"/>
        </w:rPr>
        <w:t>’</w:t>
      </w:r>
      <w:r w:rsidRPr="00EB6692">
        <w:rPr>
          <w:rFonts w:ascii="Garamond" w:hAnsi="Garamond"/>
          <w:lang w:val="en-US"/>
        </w:rPr>
        <w:t>t bad</w:t>
      </w:r>
      <w:r w:rsidR="000938FE" w:rsidRPr="00EB6692">
        <w:rPr>
          <w:rFonts w:ascii="Garamond" w:hAnsi="Garamond"/>
          <w:lang w:val="en-US"/>
        </w:rPr>
        <w:t xml:space="preserve"> </w:t>
      </w:r>
      <w:r w:rsidRPr="000938FE">
        <w:rPr>
          <w:rFonts w:ascii="Garamond" w:hAnsi="Garamond"/>
          <w:i/>
          <w:iCs/>
          <w:lang w:val="en-US"/>
        </w:rPr>
        <w:t>for them</w:t>
      </w:r>
      <w:r w:rsidRPr="00EB6692">
        <w:rPr>
          <w:rFonts w:ascii="Garamond" w:hAnsi="Garamond"/>
          <w:lang w:val="en-US"/>
        </w:rPr>
        <w:t>. Its disvalue isn</w:t>
      </w:r>
      <w:r w:rsidR="00870DA9">
        <w:rPr>
          <w:rFonts w:ascii="Garamond" w:hAnsi="Garamond"/>
          <w:lang w:val="en-US"/>
        </w:rPr>
        <w:t>’</w:t>
      </w:r>
      <w:r w:rsidRPr="00EB6692">
        <w:rPr>
          <w:rFonts w:ascii="Garamond" w:hAnsi="Garamond"/>
          <w:lang w:val="en-US"/>
        </w:rPr>
        <w:t>t manifest in their life. Or consider pleasures about which you fittingly feel guilty. Suppose you enjoy watching trashy television. But you</w:t>
      </w:r>
      <w:r w:rsidR="00870DA9">
        <w:rPr>
          <w:rFonts w:ascii="Garamond" w:hAnsi="Garamond"/>
          <w:lang w:val="en-US"/>
        </w:rPr>
        <w:t>’</w:t>
      </w:r>
      <w:r w:rsidRPr="00EB6692">
        <w:rPr>
          <w:rFonts w:ascii="Garamond" w:hAnsi="Garamond"/>
          <w:lang w:val="en-US"/>
        </w:rPr>
        <w:t>re appropriately displeased by your own pleasure: you rightly think it</w:t>
      </w:r>
      <w:r w:rsidR="00870DA9">
        <w:rPr>
          <w:rFonts w:ascii="Garamond" w:hAnsi="Garamond"/>
          <w:lang w:val="en-US"/>
        </w:rPr>
        <w:t>’</w:t>
      </w:r>
      <w:r w:rsidRPr="00EB6692">
        <w:rPr>
          <w:rFonts w:ascii="Garamond" w:hAnsi="Garamond"/>
          <w:lang w:val="en-US"/>
        </w:rPr>
        <w:t>s wrong for you to find Love Island so entertaining. On the Contact Account, these pleasures aren</w:t>
      </w:r>
      <w:r w:rsidR="00870DA9">
        <w:rPr>
          <w:rFonts w:ascii="Garamond" w:hAnsi="Garamond"/>
          <w:lang w:val="en-US"/>
        </w:rPr>
        <w:t>’</w:t>
      </w:r>
      <w:r w:rsidRPr="00EB6692">
        <w:rPr>
          <w:rFonts w:ascii="Garamond" w:hAnsi="Garamond"/>
          <w:lang w:val="en-US"/>
        </w:rPr>
        <w:t>t good for you. Indeed, they</w:t>
      </w:r>
      <w:r w:rsidR="00870DA9">
        <w:rPr>
          <w:rFonts w:ascii="Garamond" w:hAnsi="Garamond"/>
          <w:lang w:val="en-US"/>
        </w:rPr>
        <w:t>’</w:t>
      </w:r>
      <w:r w:rsidRPr="00EB6692">
        <w:rPr>
          <w:rFonts w:ascii="Garamond" w:hAnsi="Garamond"/>
          <w:lang w:val="en-US"/>
        </w:rPr>
        <w:t>re positively bad for you, as their ill-fittingness is manifest in your negative appraisal of them. We think all of this is plausible. Pains and pleasures that leave you cold often don</w:t>
      </w:r>
      <w:r w:rsidR="00870DA9">
        <w:rPr>
          <w:rFonts w:ascii="Garamond" w:hAnsi="Garamond"/>
          <w:lang w:val="en-US"/>
        </w:rPr>
        <w:t>’</w:t>
      </w:r>
      <w:r w:rsidRPr="00EB6692">
        <w:rPr>
          <w:rFonts w:ascii="Garamond" w:hAnsi="Garamond"/>
          <w:lang w:val="en-US"/>
        </w:rPr>
        <w:t xml:space="preserve">t affect your welfare at all. And pains you love can make your life better, while pleasures you disdain can make it worse. </w:t>
      </w:r>
    </w:p>
    <w:p w14:paraId="03A8F266" w14:textId="77777777" w:rsidR="00D16748" w:rsidRPr="00EB6692" w:rsidRDefault="00D16748" w:rsidP="00870DA9">
      <w:pPr>
        <w:jc w:val="both"/>
        <w:rPr>
          <w:rFonts w:ascii="Garamond" w:hAnsi="Garamond"/>
          <w:lang w:val="en-US"/>
        </w:rPr>
      </w:pPr>
    </w:p>
    <w:p w14:paraId="0367EF73" w14:textId="20F542A9" w:rsidR="00D16748" w:rsidRPr="00B40840" w:rsidRDefault="00B40840" w:rsidP="00870DA9">
      <w:pPr>
        <w:jc w:val="both"/>
        <w:rPr>
          <w:rFonts w:ascii="Garamond" w:hAnsi="Garamond"/>
          <w:i/>
          <w:iCs/>
          <w:lang w:val="en-US"/>
        </w:rPr>
      </w:pPr>
      <w:r w:rsidRPr="00B40840">
        <w:rPr>
          <w:rFonts w:ascii="Garamond" w:hAnsi="Garamond"/>
          <w:i/>
          <w:iCs/>
          <w:lang w:val="en-US"/>
        </w:rPr>
        <w:t xml:space="preserve">4.5 </w:t>
      </w:r>
      <w:r w:rsidR="00D16748" w:rsidRPr="00B40840">
        <w:rPr>
          <w:rFonts w:ascii="Garamond" w:hAnsi="Garamond"/>
          <w:i/>
          <w:iCs/>
          <w:lang w:val="en-US"/>
        </w:rPr>
        <w:t xml:space="preserve">Virtue </w:t>
      </w:r>
    </w:p>
    <w:p w14:paraId="4559D1B0" w14:textId="77777777" w:rsidR="00D16748" w:rsidRPr="00EB6692" w:rsidRDefault="00D16748" w:rsidP="00870DA9">
      <w:pPr>
        <w:jc w:val="both"/>
        <w:rPr>
          <w:rFonts w:ascii="Garamond" w:hAnsi="Garamond"/>
          <w:lang w:val="en-US"/>
        </w:rPr>
      </w:pPr>
    </w:p>
    <w:p w14:paraId="4A99441C" w14:textId="7709068A" w:rsidR="008C3C5B" w:rsidRDefault="00D16748" w:rsidP="00870DA9">
      <w:pPr>
        <w:jc w:val="both"/>
        <w:rPr>
          <w:rFonts w:ascii="Garamond" w:hAnsi="Garamond"/>
          <w:lang w:val="en-US"/>
        </w:rPr>
      </w:pPr>
      <w:r w:rsidRPr="00EB6692">
        <w:rPr>
          <w:rFonts w:ascii="Garamond" w:hAnsi="Garamond"/>
          <w:lang w:val="en-US"/>
        </w:rPr>
        <w:t>As a final example, let</w:t>
      </w:r>
      <w:r w:rsidR="00870DA9">
        <w:rPr>
          <w:rFonts w:ascii="Garamond" w:hAnsi="Garamond"/>
          <w:lang w:val="en-US"/>
        </w:rPr>
        <w:t>’</w:t>
      </w:r>
      <w:r w:rsidRPr="00EB6692">
        <w:rPr>
          <w:rFonts w:ascii="Garamond" w:hAnsi="Garamond"/>
          <w:lang w:val="en-US"/>
        </w:rPr>
        <w:t>s look at virtue. Intuitively, virtue contributes to the good life.</w:t>
      </w:r>
      <w:r w:rsidR="005B383B" w:rsidRPr="000E5D20">
        <w:rPr>
          <w:rStyle w:val="FootnoteReference"/>
        </w:rPr>
        <w:footnoteReference w:id="16"/>
      </w:r>
      <w:r w:rsidRPr="00EB6692">
        <w:rPr>
          <w:rFonts w:ascii="Garamond" w:hAnsi="Garamond"/>
          <w:lang w:val="en-US"/>
        </w:rPr>
        <w:t xml:space="preserve"> We think this ancient wisdom takes three forms. First, bringing about </w:t>
      </w:r>
      <w:r w:rsidR="00185A7D" w:rsidRPr="00EB6692">
        <w:rPr>
          <w:rFonts w:ascii="Garamond" w:hAnsi="Garamond"/>
          <w:lang w:val="en-US"/>
        </w:rPr>
        <w:t xml:space="preserve"> </w:t>
      </w:r>
      <w:r w:rsidRPr="00185A7D">
        <w:rPr>
          <w:rFonts w:ascii="Garamond" w:hAnsi="Garamond"/>
          <w:i/>
          <w:iCs/>
          <w:lang w:val="en-US"/>
        </w:rPr>
        <w:t>good things</w:t>
      </w:r>
      <w:r w:rsidRPr="00EB6692">
        <w:rPr>
          <w:rFonts w:ascii="Garamond" w:hAnsi="Garamond"/>
          <w:lang w:val="en-US"/>
        </w:rPr>
        <w:t xml:space="preserve"> is good for you. At least in one respect, it benefits you when you help maintain a valuable trail, save a person from drowning, or distribute mosquito nets. Our account explains this easily. When the trail gets maintained, because of your money, that</w:t>
      </w:r>
      <w:r w:rsidR="00870DA9">
        <w:rPr>
          <w:rFonts w:ascii="Garamond" w:hAnsi="Garamond"/>
          <w:lang w:val="en-US"/>
        </w:rPr>
        <w:t>’</w:t>
      </w:r>
      <w:r w:rsidRPr="00EB6692">
        <w:rPr>
          <w:rFonts w:ascii="Garamond" w:hAnsi="Garamond"/>
          <w:lang w:val="en-US"/>
        </w:rPr>
        <w:t>s valuable. And this maintenance manifests</w:t>
      </w:r>
      <w:r w:rsidR="001772D4">
        <w:rPr>
          <w:rFonts w:ascii="Garamond" w:hAnsi="Garamond"/>
          <w:i/>
          <w:iCs/>
          <w:vertAlign w:val="subscript"/>
          <w:lang w:val="en-US"/>
        </w:rPr>
        <w:t>n</w:t>
      </w:r>
      <w:r w:rsidRPr="00EB6692">
        <w:rPr>
          <w:rFonts w:ascii="Garamond" w:hAnsi="Garamond"/>
          <w:lang w:val="en-US"/>
        </w:rPr>
        <w:t xml:space="preserve"> your generosity. So your donation puts you in contact with a good. Similarly, your courage or charitableness might be manifest in the good of someone being saved or getting a mosquito net. Thus the Contact Account explains why it benefits you to do good. Of course, the opposite is true as well: it will often be bad for you to bring about bad things. If you punch someone in the nose, their pain will be bad, and manifest your violence. That puts you in touch with a bad.</w:t>
      </w:r>
    </w:p>
    <w:p w14:paraId="47B31D75" w14:textId="468C2A87" w:rsidR="008C3C5B" w:rsidRDefault="00D16748" w:rsidP="008C3C5B">
      <w:pPr>
        <w:ind w:firstLine="708"/>
        <w:jc w:val="both"/>
        <w:rPr>
          <w:rFonts w:ascii="Garamond" w:hAnsi="Garamond"/>
          <w:lang w:val="en-US"/>
        </w:rPr>
      </w:pPr>
      <w:r w:rsidRPr="00EB6692">
        <w:rPr>
          <w:rFonts w:ascii="Garamond" w:hAnsi="Garamond"/>
          <w:lang w:val="en-US"/>
        </w:rPr>
        <w:t>There</w:t>
      </w:r>
      <w:r w:rsidR="00870DA9">
        <w:rPr>
          <w:rFonts w:ascii="Garamond" w:hAnsi="Garamond"/>
          <w:lang w:val="en-US"/>
        </w:rPr>
        <w:t>’</w:t>
      </w:r>
      <w:r w:rsidRPr="00EB6692">
        <w:rPr>
          <w:rFonts w:ascii="Garamond" w:hAnsi="Garamond"/>
          <w:lang w:val="en-US"/>
        </w:rPr>
        <w:t>s a second aspect to this wisdom. Often, merely doing the</w:t>
      </w:r>
      <w:r w:rsidR="00853596" w:rsidRPr="00EB6692">
        <w:rPr>
          <w:rFonts w:ascii="Garamond" w:hAnsi="Garamond"/>
          <w:lang w:val="en-US"/>
        </w:rPr>
        <w:t xml:space="preserve"> </w:t>
      </w:r>
      <w:r w:rsidRPr="00853596">
        <w:rPr>
          <w:rFonts w:ascii="Garamond" w:hAnsi="Garamond"/>
          <w:i/>
          <w:iCs/>
          <w:lang w:val="en-US"/>
        </w:rPr>
        <w:t>right</w:t>
      </w:r>
      <w:r w:rsidRPr="00EB6692">
        <w:rPr>
          <w:rFonts w:ascii="Garamond" w:hAnsi="Garamond"/>
          <w:lang w:val="en-US"/>
        </w:rPr>
        <w:t xml:space="preserve"> thing also seems to make your life better. And that</w:t>
      </w:r>
      <w:r w:rsidR="00870DA9">
        <w:rPr>
          <w:rFonts w:ascii="Garamond" w:hAnsi="Garamond"/>
          <w:lang w:val="en-US"/>
        </w:rPr>
        <w:t>’</w:t>
      </w:r>
      <w:r w:rsidRPr="00EB6692">
        <w:rPr>
          <w:rFonts w:ascii="Garamond" w:hAnsi="Garamond"/>
          <w:lang w:val="en-US"/>
        </w:rPr>
        <w:t>s so independently of whether the right thing is right in virtue of producing good. Suppose you could benefit a colleague by hiding the whisky they keep in their office. But they don</w:t>
      </w:r>
      <w:r w:rsidR="00870DA9">
        <w:rPr>
          <w:rFonts w:ascii="Garamond" w:hAnsi="Garamond"/>
          <w:lang w:val="en-US"/>
        </w:rPr>
        <w:t>’</w:t>
      </w:r>
      <w:r w:rsidRPr="00EB6692">
        <w:rPr>
          <w:rFonts w:ascii="Garamond" w:hAnsi="Garamond"/>
          <w:lang w:val="en-US"/>
        </w:rPr>
        <w:t>t want you to do so: they say that their drinking is none of your business. And suppose that (even though it would have better consequences) it</w:t>
      </w:r>
      <w:r w:rsidR="00870DA9">
        <w:rPr>
          <w:rFonts w:ascii="Garamond" w:hAnsi="Garamond"/>
          <w:lang w:val="en-US"/>
        </w:rPr>
        <w:t>’</w:t>
      </w:r>
      <w:r w:rsidRPr="00EB6692">
        <w:rPr>
          <w:rFonts w:ascii="Garamond" w:hAnsi="Garamond"/>
          <w:lang w:val="en-US"/>
        </w:rPr>
        <w:t xml:space="preserve">s wrong to benefit your colleague against their will: such paternalism is disrespectful. </w:t>
      </w:r>
      <w:r w:rsidRPr="0032708B">
        <w:rPr>
          <w:rFonts w:ascii="Garamond" w:hAnsi="Garamond"/>
          <w:lang w:val="en-US"/>
        </w:rPr>
        <w:t>Intuitively, if you respect your colleague</w:t>
      </w:r>
      <w:r w:rsidR="00870DA9">
        <w:rPr>
          <w:rFonts w:ascii="Garamond" w:hAnsi="Garamond"/>
          <w:lang w:val="en-US"/>
        </w:rPr>
        <w:t>’</w:t>
      </w:r>
      <w:r w:rsidRPr="0032708B">
        <w:rPr>
          <w:rFonts w:ascii="Garamond" w:hAnsi="Garamond"/>
          <w:lang w:val="en-US"/>
        </w:rPr>
        <w:t>s decision, your life is a little better for you. Our account can explain this as well. Often, if you act rightly, that itself is of impersonal value in our sense: it warrants a certain form of satisfaction</w:t>
      </w:r>
      <w:r w:rsidR="00EE2B0F">
        <w:rPr>
          <w:rFonts w:ascii="Garamond" w:hAnsi="Garamond"/>
          <w:lang w:val="en-US"/>
        </w:rPr>
        <w:t xml:space="preserve"> or </w:t>
      </w:r>
      <w:r w:rsidRPr="0032708B">
        <w:rPr>
          <w:rFonts w:ascii="Garamond" w:hAnsi="Garamond"/>
          <w:lang w:val="en-US"/>
        </w:rPr>
        <w:t>commendation. And it will be a manifestation</w:t>
      </w:r>
      <w:r w:rsidR="00721E50">
        <w:rPr>
          <w:rFonts w:ascii="Garamond" w:hAnsi="Garamond"/>
          <w:i/>
          <w:iCs/>
          <w:vertAlign w:val="subscript"/>
          <w:lang w:val="en-US"/>
        </w:rPr>
        <w:t>n</w:t>
      </w:r>
      <w:r w:rsidRPr="0032708B">
        <w:rPr>
          <w:rFonts w:ascii="Garamond" w:hAnsi="Garamond"/>
          <w:lang w:val="en-US"/>
        </w:rPr>
        <w:t xml:space="preserve"> of your dispositions: your respectfulness and sensitivity, say. So </w:t>
      </w:r>
      <w:proofErr w:type="gramStart"/>
      <w:r w:rsidRPr="0032708B">
        <w:rPr>
          <w:rFonts w:ascii="Garamond" w:hAnsi="Garamond"/>
          <w:lang w:val="en-US"/>
        </w:rPr>
        <w:t>your</w:t>
      </w:r>
      <w:proofErr w:type="gramEnd"/>
      <w:r w:rsidRPr="0032708B">
        <w:rPr>
          <w:rFonts w:ascii="Garamond" w:hAnsi="Garamond"/>
          <w:lang w:val="en-US"/>
        </w:rPr>
        <w:t xml:space="preserve"> acting rightly puts </w:t>
      </w:r>
      <w:r w:rsidRPr="0032708B">
        <w:rPr>
          <w:rFonts w:ascii="Garamond" w:hAnsi="Garamond"/>
          <w:lang w:val="en-US"/>
        </w:rPr>
        <w:lastRenderedPageBreak/>
        <w:t>you in contact with the good. And again, the reverse holds as well. If you act wrongly, that</w:t>
      </w:r>
      <w:r w:rsidR="00870DA9">
        <w:rPr>
          <w:rFonts w:ascii="Garamond" w:hAnsi="Garamond"/>
          <w:lang w:val="en-US"/>
        </w:rPr>
        <w:t>’</w:t>
      </w:r>
      <w:r w:rsidRPr="0032708B">
        <w:rPr>
          <w:rFonts w:ascii="Garamond" w:hAnsi="Garamond"/>
          <w:lang w:val="en-US"/>
        </w:rPr>
        <w:t xml:space="preserve">s bad, and will typically manifest your disrespectfulness, selfishness or rudeness. </w:t>
      </w:r>
    </w:p>
    <w:p w14:paraId="479A1DA6" w14:textId="48B18AAA" w:rsidR="00D16748" w:rsidRPr="0032708B" w:rsidRDefault="00D16748" w:rsidP="008C3C5B">
      <w:pPr>
        <w:ind w:firstLine="708"/>
        <w:jc w:val="both"/>
        <w:rPr>
          <w:rFonts w:ascii="Garamond" w:hAnsi="Garamond"/>
          <w:lang w:val="en-US"/>
        </w:rPr>
      </w:pPr>
      <w:r w:rsidRPr="0032708B">
        <w:rPr>
          <w:rFonts w:ascii="Garamond" w:hAnsi="Garamond"/>
          <w:lang w:val="en-US"/>
        </w:rPr>
        <w:t>Here</w:t>
      </w:r>
      <w:r w:rsidR="00870DA9">
        <w:rPr>
          <w:rFonts w:ascii="Garamond" w:hAnsi="Garamond"/>
          <w:lang w:val="en-US"/>
        </w:rPr>
        <w:t>’</w:t>
      </w:r>
      <w:r w:rsidRPr="0032708B">
        <w:rPr>
          <w:rFonts w:ascii="Garamond" w:hAnsi="Garamond"/>
          <w:lang w:val="en-US"/>
        </w:rPr>
        <w:t>s a third form of the ancient wisdom. Your being</w:t>
      </w:r>
      <w:r w:rsidR="00256851" w:rsidRPr="0032708B">
        <w:rPr>
          <w:rFonts w:ascii="Garamond" w:hAnsi="Garamond"/>
          <w:lang w:val="en-US"/>
        </w:rPr>
        <w:t xml:space="preserve"> </w:t>
      </w:r>
      <w:r w:rsidRPr="00256851">
        <w:rPr>
          <w:rFonts w:ascii="Garamond" w:hAnsi="Garamond"/>
          <w:i/>
          <w:iCs/>
          <w:lang w:val="en-US"/>
        </w:rPr>
        <w:t>virtuous</w:t>
      </w:r>
      <w:r w:rsidRPr="0032708B">
        <w:rPr>
          <w:rFonts w:ascii="Garamond" w:hAnsi="Garamond"/>
          <w:lang w:val="en-US"/>
        </w:rPr>
        <w:t xml:space="preserve"> is good for you. Here we understand being virtuous as having fitting attitudes about morally relevant things: feeling compassion with those who suffer, distraught by injustice, pleased about people getting what they deserve, and so on.</w:t>
      </w:r>
      <w:r w:rsidR="00B274FD" w:rsidRPr="000E5D20">
        <w:rPr>
          <w:rStyle w:val="FootnoteReference"/>
        </w:rPr>
        <w:footnoteReference w:id="17"/>
      </w:r>
      <w:r w:rsidRPr="0032708B">
        <w:rPr>
          <w:rFonts w:ascii="Garamond" w:hAnsi="Garamond"/>
          <w:lang w:val="en-US"/>
        </w:rPr>
        <w:t xml:space="preserve"> Our explanation for why such virtue can benefit you is similar again. </w:t>
      </w:r>
      <w:proofErr w:type="spellStart"/>
      <w:r w:rsidRPr="0032708B">
        <w:rPr>
          <w:rFonts w:ascii="Garamond" w:hAnsi="Garamond"/>
          <w:lang w:val="en-US"/>
        </w:rPr>
        <w:t>Your</w:t>
      </w:r>
      <w:proofErr w:type="spellEnd"/>
      <w:r w:rsidRPr="0032708B">
        <w:rPr>
          <w:rFonts w:ascii="Garamond" w:hAnsi="Garamond"/>
          <w:lang w:val="en-US"/>
        </w:rPr>
        <w:t xml:space="preserve"> having fitting attitudes is in itself impersonally good: it warrants some admiration. And this good will manifest</w:t>
      </w:r>
      <w:r w:rsidR="00721E50">
        <w:rPr>
          <w:rFonts w:ascii="Garamond" w:hAnsi="Garamond"/>
          <w:i/>
          <w:iCs/>
          <w:vertAlign w:val="subscript"/>
          <w:lang w:val="en-US"/>
        </w:rPr>
        <w:t>n</w:t>
      </w:r>
      <w:r w:rsidRPr="0032708B">
        <w:rPr>
          <w:rFonts w:ascii="Garamond" w:hAnsi="Garamond"/>
          <w:lang w:val="en-US"/>
        </w:rPr>
        <w:t xml:space="preserve"> your dispositions: your empathy or sense of justice. So again, such virtue puts you in contact with the good. And here, the opposite holds again. If you have unfitting attitudes, that</w:t>
      </w:r>
      <w:r w:rsidR="00870DA9">
        <w:rPr>
          <w:rFonts w:ascii="Garamond" w:hAnsi="Garamond"/>
          <w:lang w:val="en-US"/>
        </w:rPr>
        <w:t>’</w:t>
      </w:r>
      <w:r w:rsidRPr="0032708B">
        <w:rPr>
          <w:rFonts w:ascii="Garamond" w:hAnsi="Garamond"/>
          <w:lang w:val="en-US"/>
        </w:rPr>
        <w:t xml:space="preserve">s bad, and will typically manifest your insensitivity, egotism or carelessness. </w:t>
      </w:r>
    </w:p>
    <w:p w14:paraId="7E704430" w14:textId="0205A256" w:rsidR="00D16748" w:rsidRPr="00621525" w:rsidRDefault="00D16748" w:rsidP="00B14D1D">
      <w:pPr>
        <w:jc w:val="center"/>
        <w:rPr>
          <w:rFonts w:ascii="Garamond" w:hAnsi="Garamond"/>
          <w:lang w:val="en-US"/>
        </w:rPr>
      </w:pPr>
    </w:p>
    <w:p w14:paraId="35470CDB" w14:textId="25F0380E" w:rsidR="00621525" w:rsidRDefault="00D16748" w:rsidP="00621525">
      <w:pPr>
        <w:jc w:val="both"/>
        <w:rPr>
          <w:rFonts w:ascii="Garamond" w:hAnsi="Garamond"/>
          <w:bCs/>
          <w:lang w:val="en-US"/>
        </w:rPr>
      </w:pPr>
      <w:r w:rsidRPr="00621525">
        <w:rPr>
          <w:rFonts w:ascii="Garamond" w:hAnsi="Garamond"/>
          <w:lang w:val="en-US"/>
        </w:rPr>
        <w:t>The Contact Account thus explains the value of a wide variety of intuitive welfare values. It explains why achievements, friendships, knowledge, pleasure and virtue seem to contribute to your welfare, while enmities, pain and vice seem to detract from it. It is, as far as we see, extensionally adequate: for anything that is intuitively good or bad for you, the Contact Account</w:t>
      </w:r>
      <w:r w:rsidR="003769DF">
        <w:rPr>
          <w:rFonts w:ascii="Garamond" w:hAnsi="Garamond"/>
          <w:lang w:val="en-US"/>
        </w:rPr>
        <w:t xml:space="preserve"> </w:t>
      </w:r>
      <w:r w:rsidRPr="00621525">
        <w:rPr>
          <w:rFonts w:ascii="Garamond" w:hAnsi="Garamond"/>
          <w:lang w:val="en-US"/>
        </w:rPr>
        <w:t xml:space="preserve">entails its being so. </w:t>
      </w:r>
      <w:r w:rsidR="00621525">
        <w:rPr>
          <w:rFonts w:ascii="Garamond" w:hAnsi="Garamond"/>
          <w:lang w:val="en-US"/>
        </w:rPr>
        <w:t xml:space="preserve">Now, in making the case for this, we have relied on various claims about </w:t>
      </w:r>
      <w:r w:rsidR="004B24A2">
        <w:rPr>
          <w:rFonts w:ascii="Garamond" w:hAnsi="Garamond"/>
          <w:lang w:val="en-US"/>
        </w:rPr>
        <w:t xml:space="preserve">what is impersonally valuable and </w:t>
      </w:r>
      <w:r w:rsidR="00621525">
        <w:rPr>
          <w:rFonts w:ascii="Garamond" w:hAnsi="Garamond"/>
          <w:lang w:val="en-US"/>
        </w:rPr>
        <w:t xml:space="preserve">what dispositions </w:t>
      </w:r>
      <w:r w:rsidR="009A7B60">
        <w:rPr>
          <w:rFonts w:ascii="Garamond" w:hAnsi="Garamond"/>
          <w:lang w:val="en-US"/>
        </w:rPr>
        <w:t>things</w:t>
      </w:r>
      <w:r w:rsidR="00621525">
        <w:rPr>
          <w:rFonts w:ascii="Garamond" w:hAnsi="Garamond"/>
          <w:lang w:val="en-US"/>
        </w:rPr>
        <w:t xml:space="preserve"> have. </w:t>
      </w:r>
      <w:r w:rsidR="003769DF">
        <w:rPr>
          <w:rFonts w:ascii="Garamond" w:hAnsi="Garamond"/>
          <w:lang w:val="en-US"/>
        </w:rPr>
        <w:t>Let’s be explicit about our attitude towards such claims. On the one hand,</w:t>
      </w:r>
      <w:r w:rsidR="00002F75" w:rsidRPr="00621525">
        <w:rPr>
          <w:rFonts w:ascii="Garamond" w:hAnsi="Garamond"/>
          <w:lang w:val="en-US"/>
        </w:rPr>
        <w:t xml:space="preserve"> </w:t>
      </w:r>
      <w:r w:rsidR="00F04F00">
        <w:rPr>
          <w:rFonts w:ascii="Garamond" w:hAnsi="Garamond"/>
          <w:lang w:val="en-US"/>
        </w:rPr>
        <w:t>we think the claims we’ve relied on are intuitively plausible</w:t>
      </w:r>
      <w:r w:rsidR="004B24A2">
        <w:rPr>
          <w:rFonts w:ascii="Garamond" w:hAnsi="Garamond"/>
          <w:lang w:val="en-US"/>
        </w:rPr>
        <w:t xml:space="preserve">. Our presumed value-facts do seem to warrant positive or negative attitudes. And </w:t>
      </w:r>
      <w:r w:rsidR="00F04F00">
        <w:rPr>
          <w:rFonts w:ascii="Garamond" w:hAnsi="Garamond"/>
          <w:lang w:val="en-US"/>
        </w:rPr>
        <w:t>things</w:t>
      </w:r>
      <w:r w:rsidR="00002F75" w:rsidRPr="00621525">
        <w:rPr>
          <w:rFonts w:ascii="Garamond" w:hAnsi="Garamond"/>
          <w:lang w:val="en-US"/>
        </w:rPr>
        <w:t xml:space="preserve"> do seem to have the dispositions that we’ve ascribed to them. </w:t>
      </w:r>
      <w:r w:rsidR="003769DF">
        <w:rPr>
          <w:rFonts w:ascii="Garamond" w:hAnsi="Garamond"/>
          <w:lang w:val="en-US"/>
        </w:rPr>
        <w:t>On the other</w:t>
      </w:r>
      <w:r w:rsidR="004B24A2">
        <w:rPr>
          <w:rFonts w:ascii="Garamond" w:hAnsi="Garamond"/>
          <w:lang w:val="en-US"/>
        </w:rPr>
        <w:t xml:space="preserve"> hand</w:t>
      </w:r>
      <w:r w:rsidR="00621525" w:rsidRPr="00621525">
        <w:rPr>
          <w:rFonts w:ascii="Garamond" w:hAnsi="Garamond"/>
          <w:lang w:val="en-US"/>
        </w:rPr>
        <w:t xml:space="preserve">, </w:t>
      </w:r>
      <w:r w:rsidR="00621525" w:rsidRPr="00B14D1D">
        <w:rPr>
          <w:rFonts w:ascii="Garamond" w:hAnsi="Garamond"/>
          <w:bCs/>
          <w:lang w:val="en-US"/>
        </w:rPr>
        <w:t xml:space="preserve">we think that </w:t>
      </w:r>
      <w:r w:rsidR="009A7B60">
        <w:rPr>
          <w:rFonts w:ascii="Garamond" w:hAnsi="Garamond"/>
          <w:bCs/>
          <w:lang w:val="en-US"/>
        </w:rPr>
        <w:t>our</w:t>
      </w:r>
      <w:r w:rsidR="00621525" w:rsidRPr="00B14D1D">
        <w:rPr>
          <w:rFonts w:ascii="Garamond" w:hAnsi="Garamond"/>
          <w:bCs/>
          <w:lang w:val="en-US"/>
        </w:rPr>
        <w:t xml:space="preserve"> claims draw </w:t>
      </w:r>
      <w:r w:rsidR="003769DF">
        <w:rPr>
          <w:rFonts w:ascii="Garamond" w:hAnsi="Garamond"/>
          <w:bCs/>
          <w:lang w:val="en-US"/>
        </w:rPr>
        <w:t xml:space="preserve">further </w:t>
      </w:r>
      <w:r w:rsidR="00621525" w:rsidRPr="00B14D1D">
        <w:rPr>
          <w:rFonts w:ascii="Garamond" w:hAnsi="Garamond"/>
          <w:bCs/>
          <w:lang w:val="en-US"/>
        </w:rPr>
        <w:t xml:space="preserve">plausibility from the coherence of the overall picture. The fact </w:t>
      </w:r>
      <w:r w:rsidR="009D3477">
        <w:rPr>
          <w:rFonts w:ascii="Garamond" w:hAnsi="Garamond"/>
          <w:bCs/>
          <w:lang w:val="en-US"/>
        </w:rPr>
        <w:t xml:space="preserve">that </w:t>
      </w:r>
      <w:r w:rsidR="00621525" w:rsidRPr="00B14D1D">
        <w:rPr>
          <w:rFonts w:ascii="Garamond" w:hAnsi="Garamond"/>
          <w:bCs/>
          <w:lang w:val="en-US"/>
        </w:rPr>
        <w:t>th</w:t>
      </w:r>
      <w:r w:rsidR="00621525">
        <w:rPr>
          <w:rFonts w:ascii="Garamond" w:hAnsi="Garamond"/>
          <w:bCs/>
          <w:lang w:val="en-US"/>
        </w:rPr>
        <w:t xml:space="preserve">ey </w:t>
      </w:r>
      <w:r w:rsidR="00621525" w:rsidRPr="00B14D1D">
        <w:rPr>
          <w:rFonts w:ascii="Garamond" w:hAnsi="Garamond"/>
          <w:bCs/>
          <w:lang w:val="en-US"/>
        </w:rPr>
        <w:t>help us explain the nature of well-being</w:t>
      </w:r>
      <w:r w:rsidR="00621525">
        <w:rPr>
          <w:rFonts w:ascii="Garamond" w:hAnsi="Garamond"/>
          <w:bCs/>
          <w:lang w:val="en-US"/>
        </w:rPr>
        <w:t xml:space="preserve"> redounds to their </w:t>
      </w:r>
      <w:r w:rsidR="009A7B60">
        <w:rPr>
          <w:rFonts w:ascii="Garamond" w:hAnsi="Garamond"/>
          <w:bCs/>
          <w:lang w:val="en-US"/>
        </w:rPr>
        <w:t>credit</w:t>
      </w:r>
      <w:r w:rsidR="00621525">
        <w:rPr>
          <w:rFonts w:ascii="Garamond" w:hAnsi="Garamond"/>
          <w:bCs/>
          <w:lang w:val="en-US"/>
        </w:rPr>
        <w:t xml:space="preserve">. And, with these claims in hand, </w:t>
      </w:r>
      <w:r w:rsidR="00621525" w:rsidRPr="0032708B">
        <w:rPr>
          <w:rFonts w:ascii="Garamond" w:hAnsi="Garamond"/>
          <w:lang w:val="en-US"/>
        </w:rPr>
        <w:t xml:space="preserve">the Contact Account does very well on </w:t>
      </w:r>
      <w:r w:rsidR="00160167">
        <w:rPr>
          <w:rFonts w:ascii="Garamond" w:hAnsi="Garamond"/>
          <w:lang w:val="en-US"/>
        </w:rPr>
        <w:t>one</w:t>
      </w:r>
      <w:r w:rsidR="00CF69B1">
        <w:rPr>
          <w:rFonts w:ascii="Garamond" w:hAnsi="Garamond"/>
          <w:lang w:val="en-US"/>
        </w:rPr>
        <w:t xml:space="preserve"> very</w:t>
      </w:r>
      <w:r w:rsidR="00160167">
        <w:rPr>
          <w:rFonts w:ascii="Garamond" w:hAnsi="Garamond"/>
          <w:lang w:val="en-US"/>
        </w:rPr>
        <w:t xml:space="preserve"> </w:t>
      </w:r>
      <w:r w:rsidR="00621525" w:rsidRPr="0032708B">
        <w:rPr>
          <w:rFonts w:ascii="Garamond" w:hAnsi="Garamond"/>
          <w:lang w:val="en-US"/>
        </w:rPr>
        <w:t xml:space="preserve">important criterion for an </w:t>
      </w:r>
      <w:r w:rsidR="00E93A70">
        <w:rPr>
          <w:rFonts w:ascii="Garamond" w:hAnsi="Garamond"/>
          <w:lang w:val="en-US"/>
        </w:rPr>
        <w:t>acceptable</w:t>
      </w:r>
      <w:r w:rsidR="00621525" w:rsidRPr="0032708B">
        <w:rPr>
          <w:rFonts w:ascii="Garamond" w:hAnsi="Garamond"/>
          <w:lang w:val="en-US"/>
        </w:rPr>
        <w:t xml:space="preserve"> theory of welfare</w:t>
      </w:r>
      <w:r w:rsidR="00621525">
        <w:rPr>
          <w:rFonts w:ascii="Garamond" w:hAnsi="Garamond"/>
          <w:lang w:val="en-US"/>
        </w:rPr>
        <w:t xml:space="preserve">: extensional adequacy. </w:t>
      </w:r>
    </w:p>
    <w:p w14:paraId="54B32905" w14:textId="163505FD" w:rsidR="00D16748" w:rsidRDefault="00621525" w:rsidP="00A551B5">
      <w:pPr>
        <w:ind w:firstLine="708"/>
        <w:jc w:val="both"/>
        <w:rPr>
          <w:rFonts w:ascii="Garamond" w:hAnsi="Garamond"/>
          <w:lang w:val="en-US"/>
        </w:rPr>
      </w:pPr>
      <w:r>
        <w:rPr>
          <w:rFonts w:ascii="Garamond" w:hAnsi="Garamond"/>
          <w:lang w:val="en-US"/>
        </w:rPr>
        <w:t xml:space="preserve">We wish to </w:t>
      </w:r>
      <w:r w:rsidR="00AD0BCD">
        <w:rPr>
          <w:rFonts w:ascii="Garamond" w:hAnsi="Garamond"/>
          <w:lang w:val="en-US"/>
        </w:rPr>
        <w:t>briefly compare the Contact Account to</w:t>
      </w:r>
      <w:r w:rsidR="00D16748" w:rsidRPr="0032708B">
        <w:rPr>
          <w:rFonts w:ascii="Garamond" w:hAnsi="Garamond"/>
          <w:lang w:val="en-US"/>
        </w:rPr>
        <w:t xml:space="preserve"> hedonism and desire </w:t>
      </w:r>
      <w:r w:rsidR="00F04F00">
        <w:rPr>
          <w:rFonts w:ascii="Garamond" w:hAnsi="Garamond"/>
          <w:lang w:val="en-US"/>
        </w:rPr>
        <w:t>s</w:t>
      </w:r>
      <w:r w:rsidR="00AD0BCD">
        <w:rPr>
          <w:rFonts w:ascii="Garamond" w:hAnsi="Garamond"/>
          <w:lang w:val="en-US"/>
        </w:rPr>
        <w:t xml:space="preserve">atisfactionism on this </w:t>
      </w:r>
      <w:r w:rsidR="00B73ED2">
        <w:rPr>
          <w:rFonts w:ascii="Garamond" w:hAnsi="Garamond"/>
          <w:lang w:val="en-US"/>
        </w:rPr>
        <w:t>point</w:t>
      </w:r>
      <w:r w:rsidR="00D16748" w:rsidRPr="0032708B">
        <w:rPr>
          <w:rFonts w:ascii="Garamond" w:hAnsi="Garamond"/>
          <w:lang w:val="en-US"/>
        </w:rPr>
        <w:t>. According to hedonism, pleasure is the one basic welfare good and pain the one basic bad. According to desire satisfactionism, the satisfaction of your desires is the one basic welfare good, and their frustration the one basic bad.</w:t>
      </w:r>
      <w:r w:rsidR="00F40328" w:rsidRPr="000E5D20">
        <w:rPr>
          <w:rStyle w:val="FootnoteReference"/>
        </w:rPr>
        <w:footnoteReference w:id="18"/>
      </w:r>
      <w:r w:rsidR="00B73ED2">
        <w:rPr>
          <w:rFonts w:ascii="Garamond" w:hAnsi="Garamond"/>
          <w:lang w:val="en-US"/>
        </w:rPr>
        <w:t xml:space="preserve"> There are well-known objections to both views.</w:t>
      </w:r>
      <w:r w:rsidR="00D16748" w:rsidRPr="0032708B">
        <w:rPr>
          <w:rFonts w:ascii="Garamond" w:hAnsi="Garamond"/>
          <w:lang w:val="en-US"/>
        </w:rPr>
        <w:t xml:space="preserve"> </w:t>
      </w:r>
      <w:r w:rsidR="00394F52">
        <w:rPr>
          <w:rFonts w:ascii="Garamond" w:hAnsi="Garamond"/>
          <w:lang w:val="en-US"/>
        </w:rPr>
        <w:t>Hedonism, it is often claimed, undergenerates welfare goods. Other things equal, it is better not to live in an experience machine.</w:t>
      </w:r>
      <w:r w:rsidR="00394F52" w:rsidRPr="000E5D20">
        <w:rPr>
          <w:rStyle w:val="FootnoteReference"/>
        </w:rPr>
        <w:footnoteReference w:id="19"/>
      </w:r>
      <w:r w:rsidR="008333B0">
        <w:rPr>
          <w:rFonts w:ascii="Garamond" w:hAnsi="Garamond"/>
          <w:lang w:val="en-US"/>
        </w:rPr>
        <w:t xml:space="preserve"> </w:t>
      </w:r>
      <w:r w:rsidR="00394F52">
        <w:rPr>
          <w:rFonts w:ascii="Garamond" w:hAnsi="Garamond"/>
          <w:lang w:val="en-US"/>
        </w:rPr>
        <w:t>Desire satisfactionism</w:t>
      </w:r>
      <w:r w:rsidR="00B73ED2">
        <w:rPr>
          <w:rFonts w:ascii="Garamond" w:hAnsi="Garamond"/>
          <w:lang w:val="en-US"/>
        </w:rPr>
        <w:t>, it is often claimed,</w:t>
      </w:r>
      <w:r w:rsidR="00394F52">
        <w:rPr>
          <w:rFonts w:ascii="Garamond" w:hAnsi="Garamond"/>
          <w:lang w:val="en-US"/>
        </w:rPr>
        <w:t xml:space="preserve"> overgenerates welfare good. There are some pointless desires, </w:t>
      </w:r>
      <w:r w:rsidR="009A7B60">
        <w:rPr>
          <w:rFonts w:ascii="Garamond" w:hAnsi="Garamond"/>
          <w:lang w:val="en-US"/>
        </w:rPr>
        <w:t>such as</w:t>
      </w:r>
      <w:r w:rsidR="00394F52">
        <w:rPr>
          <w:rFonts w:ascii="Garamond" w:hAnsi="Garamond"/>
          <w:lang w:val="en-US"/>
        </w:rPr>
        <w:t xml:space="preserve"> the desire to count blades of grass, the satisfaction of which doesn’t improve your welfare at all.</w:t>
      </w:r>
      <w:r w:rsidR="00FD4F99" w:rsidRPr="000E5D20">
        <w:rPr>
          <w:rStyle w:val="FootnoteReference"/>
        </w:rPr>
        <w:footnoteReference w:id="20"/>
      </w:r>
      <w:r w:rsidR="00FD4F99" w:rsidRPr="0032708B">
        <w:rPr>
          <w:rFonts w:ascii="Garamond" w:hAnsi="Garamond"/>
          <w:lang w:val="en-US"/>
        </w:rPr>
        <w:t xml:space="preserve"> </w:t>
      </w:r>
      <w:r w:rsidR="00D16748" w:rsidRPr="0032708B">
        <w:rPr>
          <w:rFonts w:ascii="Garamond" w:hAnsi="Garamond"/>
          <w:lang w:val="en-US"/>
        </w:rPr>
        <w:t xml:space="preserve"> </w:t>
      </w:r>
      <w:r w:rsidR="00B73ED2">
        <w:rPr>
          <w:rFonts w:ascii="Garamond" w:hAnsi="Garamond"/>
          <w:lang w:val="en-US"/>
        </w:rPr>
        <w:t>We</w:t>
      </w:r>
      <w:r w:rsidR="00394F52">
        <w:rPr>
          <w:rFonts w:ascii="Garamond" w:hAnsi="Garamond"/>
          <w:lang w:val="en-US"/>
        </w:rPr>
        <w:t xml:space="preserve"> don’t have the space to explore </w:t>
      </w:r>
      <w:r w:rsidR="00B73ED2">
        <w:rPr>
          <w:rFonts w:ascii="Garamond" w:hAnsi="Garamond"/>
          <w:lang w:val="en-US"/>
        </w:rPr>
        <w:t>these</w:t>
      </w:r>
      <w:r w:rsidR="00394F52">
        <w:rPr>
          <w:rFonts w:ascii="Garamond" w:hAnsi="Garamond"/>
          <w:lang w:val="en-US"/>
        </w:rPr>
        <w:t xml:space="preserve"> objections in </w:t>
      </w:r>
      <w:r w:rsidR="00FD4F99">
        <w:rPr>
          <w:rFonts w:ascii="Garamond" w:hAnsi="Garamond"/>
          <w:lang w:val="en-US"/>
        </w:rPr>
        <w:t>depth</w:t>
      </w:r>
      <w:r w:rsidR="00B73ED2">
        <w:rPr>
          <w:rFonts w:ascii="Garamond" w:hAnsi="Garamond"/>
          <w:lang w:val="en-US"/>
        </w:rPr>
        <w:t xml:space="preserve">, but </w:t>
      </w:r>
      <w:r w:rsidR="00394F52">
        <w:rPr>
          <w:rFonts w:ascii="Garamond" w:hAnsi="Garamond"/>
          <w:lang w:val="en-US"/>
        </w:rPr>
        <w:t xml:space="preserve">we’re inclined to </w:t>
      </w:r>
      <w:r w:rsidR="00FD4F99">
        <w:rPr>
          <w:rFonts w:ascii="Garamond" w:hAnsi="Garamond"/>
          <w:lang w:val="en-US"/>
        </w:rPr>
        <w:lastRenderedPageBreak/>
        <w:t xml:space="preserve">think they’re </w:t>
      </w:r>
      <w:r w:rsidR="009A7B60">
        <w:rPr>
          <w:rFonts w:ascii="Garamond" w:hAnsi="Garamond"/>
          <w:lang w:val="en-US"/>
        </w:rPr>
        <w:t>good ones</w:t>
      </w:r>
      <w:r w:rsidR="00FD4F99">
        <w:rPr>
          <w:rFonts w:ascii="Garamond" w:hAnsi="Garamond"/>
          <w:lang w:val="en-US"/>
        </w:rPr>
        <w:t xml:space="preserve">: we’re inclined to think that both hedonism and desire satisfactionism are extensionally inadequate. If </w:t>
      </w:r>
      <w:r w:rsidR="00B73ED2">
        <w:rPr>
          <w:rFonts w:ascii="Garamond" w:hAnsi="Garamond"/>
          <w:lang w:val="en-US"/>
        </w:rPr>
        <w:t>that is true</w:t>
      </w:r>
      <w:r w:rsidR="00FD4F99">
        <w:rPr>
          <w:rFonts w:ascii="Garamond" w:hAnsi="Garamond"/>
          <w:lang w:val="en-US"/>
        </w:rPr>
        <w:t>,</w:t>
      </w:r>
      <w:r w:rsidR="00B73ED2">
        <w:rPr>
          <w:rFonts w:ascii="Garamond" w:hAnsi="Garamond"/>
          <w:lang w:val="en-US"/>
        </w:rPr>
        <w:t xml:space="preserve"> then</w:t>
      </w:r>
      <w:r w:rsidR="00FD4F99">
        <w:rPr>
          <w:rFonts w:ascii="Garamond" w:hAnsi="Garamond"/>
          <w:lang w:val="en-US"/>
        </w:rPr>
        <w:t xml:space="preserve"> the Contact Account is in a crucial way preferable to these views. </w:t>
      </w:r>
      <w:r w:rsidR="00394F52">
        <w:rPr>
          <w:rFonts w:ascii="Garamond" w:hAnsi="Garamond"/>
          <w:lang w:val="en-US"/>
        </w:rPr>
        <w:t xml:space="preserve"> </w:t>
      </w:r>
    </w:p>
    <w:p w14:paraId="22D49083" w14:textId="77777777" w:rsidR="007936A3" w:rsidRPr="0032708B" w:rsidRDefault="007936A3" w:rsidP="00A551B5">
      <w:pPr>
        <w:ind w:firstLine="708"/>
        <w:jc w:val="both"/>
        <w:rPr>
          <w:rFonts w:ascii="Garamond" w:hAnsi="Garamond"/>
          <w:lang w:val="en-US"/>
        </w:rPr>
      </w:pPr>
    </w:p>
    <w:p w14:paraId="78398F5D" w14:textId="72C91F51" w:rsidR="00D16748" w:rsidRPr="0032708B" w:rsidRDefault="00B01D5A" w:rsidP="00870DA9">
      <w:pPr>
        <w:jc w:val="both"/>
        <w:rPr>
          <w:rFonts w:ascii="Garamond" w:hAnsi="Garamond"/>
          <w:lang w:val="en-US"/>
        </w:rPr>
      </w:pPr>
      <w:r w:rsidRPr="00B01D5A">
        <w:rPr>
          <w:rFonts w:ascii="Garamond" w:hAnsi="Garamond"/>
          <w:b/>
          <w:bCs/>
          <w:lang w:val="en-US"/>
        </w:rPr>
        <w:t xml:space="preserve">5. </w:t>
      </w:r>
      <w:r w:rsidR="00D16748" w:rsidRPr="00B01D5A">
        <w:rPr>
          <w:rFonts w:ascii="Garamond" w:hAnsi="Garamond"/>
          <w:b/>
          <w:bCs/>
          <w:lang w:val="en-US"/>
        </w:rPr>
        <w:t>Explanatory Virtues</w:t>
      </w:r>
    </w:p>
    <w:p w14:paraId="0429447A" w14:textId="77777777" w:rsidR="00D16748" w:rsidRPr="0032708B" w:rsidRDefault="00D16748" w:rsidP="00870DA9">
      <w:pPr>
        <w:jc w:val="both"/>
        <w:rPr>
          <w:rFonts w:ascii="Garamond" w:hAnsi="Garamond"/>
          <w:lang w:val="en-US"/>
        </w:rPr>
      </w:pPr>
    </w:p>
    <w:p w14:paraId="300FC2DD" w14:textId="1C8284AA" w:rsidR="00550DBD" w:rsidRDefault="00D16748" w:rsidP="00870DA9">
      <w:pPr>
        <w:jc w:val="both"/>
        <w:rPr>
          <w:rFonts w:ascii="Garamond" w:hAnsi="Garamond"/>
          <w:lang w:val="en-US"/>
        </w:rPr>
      </w:pPr>
      <w:r w:rsidRPr="0032708B">
        <w:rPr>
          <w:rFonts w:ascii="Garamond" w:hAnsi="Garamond"/>
          <w:lang w:val="en-US"/>
        </w:rPr>
        <w:t>There</w:t>
      </w:r>
      <w:r w:rsidR="00870DA9">
        <w:rPr>
          <w:rFonts w:ascii="Garamond" w:hAnsi="Garamond"/>
          <w:lang w:val="en-US"/>
        </w:rPr>
        <w:t>’</w:t>
      </w:r>
      <w:r w:rsidRPr="0032708B">
        <w:rPr>
          <w:rFonts w:ascii="Garamond" w:hAnsi="Garamond"/>
          <w:lang w:val="en-US"/>
        </w:rPr>
        <w:t xml:space="preserve">s more to evaluating theories of welfare than extensional adequacy. Such theories should also give a good explanation for why things affect your welfare in the manner they do. They should realize </w:t>
      </w:r>
      <w:r w:rsidRPr="000A1A25">
        <w:rPr>
          <w:rFonts w:ascii="Garamond" w:hAnsi="Garamond"/>
          <w:i/>
          <w:iCs/>
          <w:lang w:val="en-US"/>
        </w:rPr>
        <w:t>explanatory virtues</w:t>
      </w:r>
      <w:r w:rsidRPr="0032708B">
        <w:rPr>
          <w:rFonts w:ascii="Garamond" w:hAnsi="Garamond"/>
          <w:lang w:val="en-US"/>
        </w:rPr>
        <w:t>. What exactly constitutes an explanatory virtue is contentious. But plausibly, among other things, a theory</w:t>
      </w:r>
      <w:r w:rsidR="00870DA9">
        <w:rPr>
          <w:rFonts w:ascii="Garamond" w:hAnsi="Garamond"/>
          <w:lang w:val="en-US"/>
        </w:rPr>
        <w:t>’</w:t>
      </w:r>
      <w:r w:rsidRPr="0032708B">
        <w:rPr>
          <w:rFonts w:ascii="Garamond" w:hAnsi="Garamond"/>
          <w:lang w:val="en-US"/>
        </w:rPr>
        <w:t>s account of why things benefit or harm you should be unified, elegant and explanatorily powerful. In this section, we argue that the Contact Account does relatively well with respect to these virtues. To mount this argument, we</w:t>
      </w:r>
      <w:r w:rsidR="00870DA9">
        <w:rPr>
          <w:rFonts w:ascii="Garamond" w:hAnsi="Garamond"/>
          <w:lang w:val="en-US"/>
        </w:rPr>
        <w:t>’</w:t>
      </w:r>
      <w:r w:rsidRPr="0032708B">
        <w:rPr>
          <w:rFonts w:ascii="Garamond" w:hAnsi="Garamond"/>
          <w:lang w:val="en-US"/>
        </w:rPr>
        <w:t>ll contrast the account with standard objective list theories. These theories say there</w:t>
      </w:r>
      <w:r w:rsidR="00870DA9">
        <w:rPr>
          <w:rFonts w:ascii="Garamond" w:hAnsi="Garamond"/>
          <w:lang w:val="en-US"/>
        </w:rPr>
        <w:t>’</w:t>
      </w:r>
      <w:r w:rsidRPr="0032708B">
        <w:rPr>
          <w:rFonts w:ascii="Garamond" w:hAnsi="Garamond"/>
          <w:lang w:val="en-US"/>
        </w:rPr>
        <w:t xml:space="preserve">s a list of basic welfare goods and bads. To have a concrete example (built on the intuitions from section </w:t>
      </w:r>
      <w:r w:rsidR="000A1A25">
        <w:rPr>
          <w:rFonts w:ascii="Garamond" w:hAnsi="Garamond"/>
          <w:lang w:val="en-US"/>
        </w:rPr>
        <w:t>4</w:t>
      </w:r>
      <w:r w:rsidRPr="0032708B">
        <w:rPr>
          <w:rFonts w:ascii="Garamond" w:hAnsi="Garamond"/>
          <w:lang w:val="en-US"/>
        </w:rPr>
        <w:t>), consider the view on which achievements, friendships, knowledge, pleasure and virtue are the basic welfare goods, and enmity, pain and vice the basic bads. Let</w:t>
      </w:r>
      <w:r w:rsidR="00870DA9">
        <w:rPr>
          <w:rFonts w:ascii="Garamond" w:hAnsi="Garamond"/>
          <w:lang w:val="en-US"/>
        </w:rPr>
        <w:t>’</w:t>
      </w:r>
      <w:r w:rsidRPr="0032708B">
        <w:rPr>
          <w:rFonts w:ascii="Garamond" w:hAnsi="Garamond"/>
          <w:lang w:val="en-US"/>
        </w:rPr>
        <w:t>s call this view OL.</w:t>
      </w:r>
      <w:r w:rsidR="00086FD8" w:rsidRPr="000E5D20">
        <w:rPr>
          <w:rStyle w:val="FootnoteReference"/>
        </w:rPr>
        <w:footnoteReference w:id="21"/>
      </w:r>
      <w:r w:rsidRPr="0032708B">
        <w:rPr>
          <w:rFonts w:ascii="Garamond" w:hAnsi="Garamond"/>
          <w:lang w:val="en-US"/>
        </w:rPr>
        <w:t xml:space="preserve"> OL may well be extensionally adequate: we won</w:t>
      </w:r>
      <w:r w:rsidR="00870DA9">
        <w:rPr>
          <w:rFonts w:ascii="Garamond" w:hAnsi="Garamond"/>
          <w:lang w:val="en-US"/>
        </w:rPr>
        <w:t>’</w:t>
      </w:r>
      <w:r w:rsidRPr="0032708B">
        <w:rPr>
          <w:rFonts w:ascii="Garamond" w:hAnsi="Garamond"/>
          <w:lang w:val="en-US"/>
        </w:rPr>
        <w:t>t argue that it isn</w:t>
      </w:r>
      <w:r w:rsidR="00870DA9">
        <w:rPr>
          <w:rFonts w:ascii="Garamond" w:hAnsi="Garamond"/>
          <w:lang w:val="en-US"/>
        </w:rPr>
        <w:t>’</w:t>
      </w:r>
      <w:r w:rsidRPr="0032708B">
        <w:rPr>
          <w:rFonts w:ascii="Garamond" w:hAnsi="Garamond"/>
          <w:lang w:val="en-US"/>
        </w:rPr>
        <w:t xml:space="preserve">t. But it suffers from at least three explanatory vices. Thus, we think the Contact Account is more explanatorily virtuous than standard objective list theories. </w:t>
      </w:r>
    </w:p>
    <w:p w14:paraId="365EE07A" w14:textId="5B9EABD7" w:rsidR="00550DBD" w:rsidRDefault="00D16748" w:rsidP="00550DBD">
      <w:pPr>
        <w:ind w:firstLine="708"/>
        <w:jc w:val="both"/>
        <w:rPr>
          <w:rFonts w:ascii="Garamond" w:hAnsi="Garamond"/>
          <w:lang w:val="en-US"/>
        </w:rPr>
      </w:pPr>
      <w:r w:rsidRPr="0032708B">
        <w:rPr>
          <w:rFonts w:ascii="Garamond" w:hAnsi="Garamond"/>
          <w:lang w:val="en-US"/>
        </w:rPr>
        <w:t>First, OL has a problem of disunity. This problem arises in two places. On the one hand, OL says there are exactly five fundamental things that can make your life better, and three that can make it worse. But what unites each list of things? OL has no answer to this question. Indeed, it claims that there is none. But other things equal, it seems preferable to have such an answer</w:t>
      </w:r>
      <w:r w:rsidR="00A7203A">
        <w:rPr>
          <w:rFonts w:ascii="Garamond" w:hAnsi="Garamond"/>
          <w:lang w:val="en-US"/>
        </w:rPr>
        <w:t xml:space="preserve"> – </w:t>
      </w:r>
      <w:r w:rsidRPr="0032708B">
        <w:rPr>
          <w:rFonts w:ascii="Garamond" w:hAnsi="Garamond"/>
          <w:lang w:val="en-US"/>
        </w:rPr>
        <w:t>to give a unified account of the things that can contribute to or detract from your welfare.</w:t>
      </w:r>
      <w:r w:rsidR="009A580F" w:rsidRPr="000E5D20">
        <w:rPr>
          <w:rStyle w:val="FootnoteReference"/>
        </w:rPr>
        <w:footnoteReference w:id="22"/>
      </w:r>
      <w:r w:rsidRPr="0032708B">
        <w:rPr>
          <w:rFonts w:ascii="Garamond" w:hAnsi="Garamond"/>
          <w:lang w:val="en-US"/>
        </w:rPr>
        <w:t xml:space="preserve"> The Contact Account provides such an account. It says that what unites the things that can contribute to your welfare is that they</w:t>
      </w:r>
      <w:r w:rsidR="00870DA9">
        <w:rPr>
          <w:rFonts w:ascii="Garamond" w:hAnsi="Garamond"/>
          <w:lang w:val="en-US"/>
        </w:rPr>
        <w:t>’</w:t>
      </w:r>
      <w:r w:rsidRPr="0032708B">
        <w:rPr>
          <w:rFonts w:ascii="Garamond" w:hAnsi="Garamond"/>
          <w:lang w:val="en-US"/>
        </w:rPr>
        <w:t>re the impersonal goods: they</w:t>
      </w:r>
      <w:r w:rsidR="00870DA9">
        <w:rPr>
          <w:rFonts w:ascii="Garamond" w:hAnsi="Garamond"/>
          <w:lang w:val="en-US"/>
        </w:rPr>
        <w:t>’</w:t>
      </w:r>
      <w:r w:rsidRPr="0032708B">
        <w:rPr>
          <w:rFonts w:ascii="Garamond" w:hAnsi="Garamond"/>
          <w:lang w:val="en-US"/>
        </w:rPr>
        <w:t>re the things that in themselves warrant a positive response. Similarly, what unites the things that can detract from your welfare is that they</w:t>
      </w:r>
      <w:r w:rsidR="00870DA9">
        <w:rPr>
          <w:rFonts w:ascii="Garamond" w:hAnsi="Garamond"/>
          <w:lang w:val="en-US"/>
        </w:rPr>
        <w:t>’</w:t>
      </w:r>
      <w:r w:rsidRPr="0032708B">
        <w:rPr>
          <w:rFonts w:ascii="Garamond" w:hAnsi="Garamond"/>
          <w:lang w:val="en-US"/>
        </w:rPr>
        <w:t>re the impersonal bads: they</w:t>
      </w:r>
      <w:r w:rsidR="00870DA9">
        <w:rPr>
          <w:rFonts w:ascii="Garamond" w:hAnsi="Garamond"/>
          <w:lang w:val="en-US"/>
        </w:rPr>
        <w:t>’</w:t>
      </w:r>
      <w:r w:rsidRPr="0032708B">
        <w:rPr>
          <w:rFonts w:ascii="Garamond" w:hAnsi="Garamond"/>
          <w:lang w:val="en-US"/>
        </w:rPr>
        <w:t>re the things that in themselves warrant a negative response. Thus, the account doesn</w:t>
      </w:r>
      <w:r w:rsidR="00870DA9">
        <w:rPr>
          <w:rFonts w:ascii="Garamond" w:hAnsi="Garamond"/>
          <w:lang w:val="en-US"/>
        </w:rPr>
        <w:t>’</w:t>
      </w:r>
      <w:r w:rsidRPr="0032708B">
        <w:rPr>
          <w:rFonts w:ascii="Garamond" w:hAnsi="Garamond"/>
          <w:lang w:val="en-US"/>
        </w:rPr>
        <w:t>t offer mere</w:t>
      </w:r>
      <w:r w:rsidR="00853596" w:rsidRPr="0032708B">
        <w:rPr>
          <w:rFonts w:ascii="Garamond" w:hAnsi="Garamond"/>
          <w:lang w:val="en-US"/>
        </w:rPr>
        <w:t xml:space="preserve"> </w:t>
      </w:r>
      <w:r w:rsidRPr="00853596">
        <w:rPr>
          <w:rFonts w:ascii="Garamond" w:hAnsi="Garamond"/>
          <w:i/>
          <w:iCs/>
          <w:lang w:val="en-US"/>
        </w:rPr>
        <w:t>lists</w:t>
      </w:r>
      <w:r w:rsidRPr="0032708B">
        <w:rPr>
          <w:rFonts w:ascii="Garamond" w:hAnsi="Garamond"/>
          <w:lang w:val="en-US"/>
        </w:rPr>
        <w:t xml:space="preserve"> of the goods and bads that can impact your welfare. It gives a unified account of them. </w:t>
      </w:r>
    </w:p>
    <w:p w14:paraId="0C89F198" w14:textId="0A6C8A76" w:rsidR="00550DBD" w:rsidRDefault="00D16748" w:rsidP="00550DBD">
      <w:pPr>
        <w:ind w:firstLine="708"/>
        <w:jc w:val="both"/>
        <w:rPr>
          <w:rFonts w:ascii="Garamond" w:hAnsi="Garamond"/>
          <w:lang w:val="en-US"/>
        </w:rPr>
      </w:pPr>
      <w:r w:rsidRPr="0032708B">
        <w:rPr>
          <w:rFonts w:ascii="Garamond" w:hAnsi="Garamond"/>
          <w:lang w:val="en-US"/>
        </w:rPr>
        <w:t>On the other hand, OL provides no unified account of your relationship to the goods and bads. OL says, for example, that knowledge, friendship and achievement are good for you. But of course some instances of these things don</w:t>
      </w:r>
      <w:r w:rsidR="00870DA9">
        <w:rPr>
          <w:rFonts w:ascii="Garamond" w:hAnsi="Garamond"/>
          <w:lang w:val="en-US"/>
        </w:rPr>
        <w:t>’</w:t>
      </w:r>
      <w:r w:rsidRPr="0032708B">
        <w:rPr>
          <w:rFonts w:ascii="Garamond" w:hAnsi="Garamond"/>
          <w:lang w:val="en-US"/>
        </w:rPr>
        <w:t>t benefit you at all: Stephen Hawking</w:t>
      </w:r>
      <w:r w:rsidR="00870DA9">
        <w:rPr>
          <w:rFonts w:ascii="Garamond" w:hAnsi="Garamond"/>
          <w:lang w:val="en-US"/>
        </w:rPr>
        <w:t>’</w:t>
      </w:r>
      <w:r w:rsidRPr="0032708B">
        <w:rPr>
          <w:rFonts w:ascii="Garamond" w:hAnsi="Garamond"/>
          <w:lang w:val="en-US"/>
        </w:rPr>
        <w:t>s knowledge isn</w:t>
      </w:r>
      <w:r w:rsidR="00870DA9">
        <w:rPr>
          <w:rFonts w:ascii="Garamond" w:hAnsi="Garamond"/>
          <w:lang w:val="en-US"/>
        </w:rPr>
        <w:t>’</w:t>
      </w:r>
      <w:r w:rsidRPr="0032708B">
        <w:rPr>
          <w:rFonts w:ascii="Garamond" w:hAnsi="Garamond"/>
          <w:lang w:val="en-US"/>
        </w:rPr>
        <w:t>t good for you, and nor are Jane Austen</w:t>
      </w:r>
      <w:r w:rsidR="00870DA9">
        <w:rPr>
          <w:rFonts w:ascii="Garamond" w:hAnsi="Garamond"/>
          <w:lang w:val="en-US"/>
        </w:rPr>
        <w:t>’</w:t>
      </w:r>
      <w:r w:rsidRPr="0032708B">
        <w:rPr>
          <w:rFonts w:ascii="Garamond" w:hAnsi="Garamond"/>
          <w:lang w:val="en-US"/>
        </w:rPr>
        <w:t>s achievements or Pope Francis</w:t>
      </w:r>
      <w:r w:rsidR="00870DA9">
        <w:rPr>
          <w:rFonts w:ascii="Garamond" w:hAnsi="Garamond"/>
          <w:lang w:val="en-US"/>
        </w:rPr>
        <w:t>’</w:t>
      </w:r>
      <w:r w:rsidRPr="0032708B">
        <w:rPr>
          <w:rFonts w:ascii="Garamond" w:hAnsi="Garamond"/>
          <w:lang w:val="en-US"/>
        </w:rPr>
        <w:t>s friendships. Rather, it</w:t>
      </w:r>
      <w:r w:rsidR="00870DA9">
        <w:rPr>
          <w:rFonts w:ascii="Garamond" w:hAnsi="Garamond"/>
          <w:lang w:val="en-US"/>
        </w:rPr>
        <w:t>’</w:t>
      </w:r>
      <w:r w:rsidRPr="0032708B">
        <w:rPr>
          <w:rFonts w:ascii="Garamond" w:hAnsi="Garamond"/>
          <w:lang w:val="en-US"/>
        </w:rPr>
        <w:t xml:space="preserve">s only your knowledge, your achievements, your relationships which benefit you. But on the face of it, what makes something your knowledge differs from what makes something your achievement or friendship. Something is your knowledge, perhaps, </w:t>
      </w:r>
      <w:r w:rsidRPr="0032708B">
        <w:rPr>
          <w:rFonts w:ascii="Garamond" w:hAnsi="Garamond"/>
          <w:lang w:val="en-US"/>
        </w:rPr>
        <w:lastRenderedPageBreak/>
        <w:t>when it</w:t>
      </w:r>
      <w:r w:rsidR="00870DA9">
        <w:rPr>
          <w:rFonts w:ascii="Garamond" w:hAnsi="Garamond"/>
          <w:lang w:val="en-US"/>
        </w:rPr>
        <w:t>’</w:t>
      </w:r>
      <w:r w:rsidRPr="0032708B">
        <w:rPr>
          <w:rFonts w:ascii="Garamond" w:hAnsi="Garamond"/>
          <w:lang w:val="en-US"/>
        </w:rPr>
        <w:t>s in part constituted by things going on in your head. Something is your achievement, perhaps, when it</w:t>
      </w:r>
      <w:r w:rsidR="00870DA9">
        <w:rPr>
          <w:rFonts w:ascii="Garamond" w:hAnsi="Garamond"/>
          <w:lang w:val="en-US"/>
        </w:rPr>
        <w:t>’</w:t>
      </w:r>
      <w:r w:rsidRPr="0032708B">
        <w:rPr>
          <w:rFonts w:ascii="Garamond" w:hAnsi="Garamond"/>
          <w:lang w:val="en-US"/>
        </w:rPr>
        <w:t>s in part constituted by your actions. A unified account of these relationships seems elusive. So it</w:t>
      </w:r>
      <w:r w:rsidR="00870DA9">
        <w:rPr>
          <w:rFonts w:ascii="Garamond" w:hAnsi="Garamond"/>
          <w:lang w:val="en-US"/>
        </w:rPr>
        <w:t>’</w:t>
      </w:r>
      <w:r w:rsidRPr="0032708B">
        <w:rPr>
          <w:rFonts w:ascii="Garamond" w:hAnsi="Garamond"/>
          <w:lang w:val="en-US"/>
        </w:rPr>
        <w:t>s not obvious that OL can give a unified story of how you must be connected to a good or bad in order for it to affect your welfare.</w:t>
      </w:r>
      <w:r w:rsidR="006167AA" w:rsidRPr="000E5D20">
        <w:rPr>
          <w:rStyle w:val="FootnoteReference"/>
        </w:rPr>
        <w:footnoteReference w:id="23"/>
      </w:r>
      <w:r w:rsidRPr="0032708B">
        <w:rPr>
          <w:rFonts w:ascii="Garamond" w:hAnsi="Garamond"/>
          <w:lang w:val="en-US"/>
        </w:rPr>
        <w:t xml:space="preserve"> The Contact Account provides such a unified story. It says a good or bad will affect your welfare if and only if you have a connection to it through a manifestation relation. </w:t>
      </w:r>
    </w:p>
    <w:p w14:paraId="7ADBE102" w14:textId="5B7F4E46" w:rsidR="00550DBD" w:rsidRDefault="00D16748" w:rsidP="00550DBD">
      <w:pPr>
        <w:ind w:firstLine="708"/>
        <w:jc w:val="both"/>
        <w:rPr>
          <w:rFonts w:ascii="Garamond" w:hAnsi="Garamond"/>
          <w:lang w:val="en-US"/>
        </w:rPr>
      </w:pPr>
      <w:r w:rsidRPr="0032708B">
        <w:rPr>
          <w:rFonts w:ascii="Garamond" w:hAnsi="Garamond"/>
          <w:lang w:val="en-US"/>
        </w:rPr>
        <w:t>These two issues of disunity are related. One might think OL can answer at least the first worry. In particular, one might think it can simply adopt the Contact Account</w:t>
      </w:r>
      <w:r w:rsidR="00870DA9">
        <w:rPr>
          <w:rFonts w:ascii="Garamond" w:hAnsi="Garamond"/>
          <w:lang w:val="en-US"/>
        </w:rPr>
        <w:t>’</w:t>
      </w:r>
      <w:r w:rsidRPr="0032708B">
        <w:rPr>
          <w:rFonts w:ascii="Garamond" w:hAnsi="Garamond"/>
          <w:lang w:val="en-US"/>
        </w:rPr>
        <w:t>s story of what unites the goods and bads: it can say they</w:t>
      </w:r>
      <w:r w:rsidR="00870DA9">
        <w:rPr>
          <w:rFonts w:ascii="Garamond" w:hAnsi="Garamond"/>
          <w:lang w:val="en-US"/>
        </w:rPr>
        <w:t>’</w:t>
      </w:r>
      <w:r w:rsidRPr="0032708B">
        <w:rPr>
          <w:rFonts w:ascii="Garamond" w:hAnsi="Garamond"/>
          <w:lang w:val="en-US"/>
        </w:rPr>
        <w:t>re the things that in themselves warrant a positive or negative response. However, this reply to the first problem of disunity massively exacerbates the second. There</w:t>
      </w:r>
      <w:r w:rsidR="00870DA9">
        <w:rPr>
          <w:rFonts w:ascii="Garamond" w:hAnsi="Garamond"/>
          <w:lang w:val="en-US"/>
        </w:rPr>
        <w:t>’</w:t>
      </w:r>
      <w:r w:rsidRPr="0032708B">
        <w:rPr>
          <w:rFonts w:ascii="Garamond" w:hAnsi="Garamond"/>
          <w:lang w:val="en-US"/>
        </w:rPr>
        <w:t>s an enormous, indefinite number of things that warrant some such response: the fact that you produced a beautiful painting, recklessly caused five deaths or are unjustly imprisoned; the fact that the Last Supper is beautiful, that someone died in 5th century China or that Queen Victoria told a good joke in March 1882. Among these goods and bads, only those that are appropriately related to you affect your welfare. But OL gives no unified account of these relationships. And now it must not only give an account of the appropriate relationships to five different values: it must give an account of such relationships to an enormous, indefinite list of values. Unless OL provides such an account, it has</w:t>
      </w:r>
      <w:r w:rsidR="00D70093">
        <w:rPr>
          <w:rFonts w:ascii="Garamond" w:hAnsi="Garamond"/>
          <w:lang w:val="en-US"/>
        </w:rPr>
        <w:t xml:space="preserve"> to</w:t>
      </w:r>
      <w:r w:rsidRPr="0032708B">
        <w:rPr>
          <w:rFonts w:ascii="Garamond" w:hAnsi="Garamond"/>
          <w:lang w:val="en-US"/>
        </w:rPr>
        <w:t xml:space="preserve"> admit a disunified multiplicity of such relations</w:t>
      </w:r>
      <w:r w:rsidR="00D70093">
        <w:rPr>
          <w:rFonts w:ascii="Garamond" w:hAnsi="Garamond"/>
          <w:lang w:val="en-US"/>
        </w:rPr>
        <w:t>.</w:t>
      </w:r>
      <w:r w:rsidR="00610C47" w:rsidRPr="000E5D20">
        <w:rPr>
          <w:rStyle w:val="FootnoteReference"/>
        </w:rPr>
        <w:footnoteReference w:id="24"/>
      </w:r>
    </w:p>
    <w:p w14:paraId="214B8693" w14:textId="77777777" w:rsidR="00550DBD" w:rsidRDefault="00D16748" w:rsidP="00550DBD">
      <w:pPr>
        <w:ind w:firstLine="708"/>
        <w:jc w:val="both"/>
        <w:rPr>
          <w:rFonts w:ascii="Garamond" w:hAnsi="Garamond"/>
          <w:lang w:val="en-US"/>
        </w:rPr>
      </w:pPr>
      <w:r w:rsidRPr="0032708B">
        <w:rPr>
          <w:rFonts w:ascii="Garamond" w:hAnsi="Garamond"/>
          <w:lang w:val="en-US"/>
        </w:rPr>
        <w:t>Second, OL faces a problem of inelegance. The problem concerns the relation between OL</w:t>
      </w:r>
      <w:r w:rsidR="00870DA9">
        <w:rPr>
          <w:rFonts w:ascii="Garamond" w:hAnsi="Garamond"/>
          <w:lang w:val="en-US"/>
        </w:rPr>
        <w:t>’</w:t>
      </w:r>
      <w:r w:rsidRPr="0032708B">
        <w:rPr>
          <w:rFonts w:ascii="Garamond" w:hAnsi="Garamond"/>
          <w:lang w:val="en-US"/>
        </w:rPr>
        <w:t>s accounts of basic welfare goods and welfare bads. According to OL, there are five basic goods and three basic bads. Thus, not every basic good has a single, symmetrical, opposite bad. Nor is it obvious how to render OL symmetrical. For instance, what</w:t>
      </w:r>
      <w:r w:rsidR="00870DA9">
        <w:rPr>
          <w:rFonts w:ascii="Garamond" w:hAnsi="Garamond"/>
          <w:lang w:val="en-US"/>
        </w:rPr>
        <w:t>’</w:t>
      </w:r>
      <w:r w:rsidRPr="0032708B">
        <w:rPr>
          <w:rFonts w:ascii="Garamond" w:hAnsi="Garamond"/>
          <w:lang w:val="en-US"/>
        </w:rPr>
        <w:t>s the opposite of knowledge? You might have no belief at all about a proposition, or a false belief that</w:t>
      </w:r>
      <w:r w:rsidR="00870DA9">
        <w:rPr>
          <w:rFonts w:ascii="Garamond" w:hAnsi="Garamond"/>
          <w:lang w:val="en-US"/>
        </w:rPr>
        <w:t>’</w:t>
      </w:r>
      <w:r w:rsidRPr="0032708B">
        <w:rPr>
          <w:rFonts w:ascii="Garamond" w:hAnsi="Garamond"/>
          <w:lang w:val="en-US"/>
        </w:rPr>
        <w:t>s justified, or a false belief that</w:t>
      </w:r>
      <w:r w:rsidR="00870DA9">
        <w:rPr>
          <w:rFonts w:ascii="Garamond" w:hAnsi="Garamond"/>
          <w:lang w:val="en-US"/>
        </w:rPr>
        <w:t>’</w:t>
      </w:r>
      <w:r w:rsidRPr="0032708B">
        <w:rPr>
          <w:rFonts w:ascii="Garamond" w:hAnsi="Garamond"/>
          <w:lang w:val="en-US"/>
        </w:rPr>
        <w:t>s unjustified. All of these things are ways of not knowing. Yet it</w:t>
      </w:r>
      <w:r w:rsidR="00870DA9">
        <w:rPr>
          <w:rFonts w:ascii="Garamond" w:hAnsi="Garamond"/>
          <w:lang w:val="en-US"/>
        </w:rPr>
        <w:t>’</w:t>
      </w:r>
      <w:r w:rsidRPr="0032708B">
        <w:rPr>
          <w:rFonts w:ascii="Garamond" w:hAnsi="Garamond"/>
          <w:lang w:val="en-US"/>
        </w:rPr>
        <w:t>s not obvious which of them should count as a basic bad, or whether all of them should, and equally so. Similarly, what</w:t>
      </w:r>
      <w:r w:rsidR="00870DA9">
        <w:rPr>
          <w:rFonts w:ascii="Garamond" w:hAnsi="Garamond"/>
          <w:lang w:val="en-US"/>
        </w:rPr>
        <w:t>’</w:t>
      </w:r>
      <w:r w:rsidRPr="0032708B">
        <w:rPr>
          <w:rFonts w:ascii="Garamond" w:hAnsi="Garamond"/>
          <w:lang w:val="en-US"/>
        </w:rPr>
        <w:t>s the opposite of an achievement? You can fail in doing something that would be good, or have success in doing something pointless or bad, or you can simply not do anything at all. All of these things are opposed to achievement. But it</w:t>
      </w:r>
      <w:r w:rsidR="00870DA9">
        <w:rPr>
          <w:rFonts w:ascii="Garamond" w:hAnsi="Garamond"/>
          <w:lang w:val="en-US"/>
        </w:rPr>
        <w:t>’</w:t>
      </w:r>
      <w:r w:rsidRPr="0032708B">
        <w:rPr>
          <w:rFonts w:ascii="Garamond" w:hAnsi="Garamond"/>
          <w:lang w:val="en-US"/>
        </w:rPr>
        <w:t>s not obvious which of them is basically bad, or whether all of them are, and whether they are equally bad. So it</w:t>
      </w:r>
      <w:r w:rsidR="00870DA9">
        <w:rPr>
          <w:rFonts w:ascii="Garamond" w:hAnsi="Garamond"/>
          <w:lang w:val="en-US"/>
        </w:rPr>
        <w:t>’</w:t>
      </w:r>
      <w:r w:rsidRPr="0032708B">
        <w:rPr>
          <w:rFonts w:ascii="Garamond" w:hAnsi="Garamond"/>
          <w:lang w:val="en-US"/>
        </w:rPr>
        <w:t>s not clear how to make OL symmetrical in its account of welfare values.</w:t>
      </w:r>
      <w:r w:rsidR="00BE3748" w:rsidRPr="000E5D20">
        <w:rPr>
          <w:rStyle w:val="FootnoteReference"/>
        </w:rPr>
        <w:footnoteReference w:id="25"/>
      </w:r>
      <w:r w:rsidRPr="0032708B">
        <w:rPr>
          <w:rFonts w:ascii="Garamond" w:hAnsi="Garamond"/>
          <w:lang w:val="en-US"/>
        </w:rPr>
        <w:t xml:space="preserve"> To that extent, OL is inelegant. Again, the Contact </w:t>
      </w:r>
      <w:r w:rsidRPr="0032708B">
        <w:rPr>
          <w:rFonts w:ascii="Garamond" w:hAnsi="Garamond"/>
          <w:lang w:val="en-US"/>
        </w:rPr>
        <w:lastRenderedPageBreak/>
        <w:t xml:space="preserve">Account does much better. It says the basic good is contact with the good and the basic bad contact with the bad. The latter is in a natural sense the opposite of the former. Thus the account is symmetrical and elegant. </w:t>
      </w:r>
    </w:p>
    <w:p w14:paraId="3D5E3CA4" w14:textId="77777777" w:rsidR="00550DBD" w:rsidRDefault="00D16748" w:rsidP="00550DBD">
      <w:pPr>
        <w:ind w:firstLine="708"/>
        <w:jc w:val="both"/>
        <w:rPr>
          <w:rFonts w:ascii="Garamond" w:hAnsi="Garamond"/>
          <w:lang w:val="en-US"/>
        </w:rPr>
      </w:pPr>
      <w:r w:rsidRPr="0032708B">
        <w:rPr>
          <w:rFonts w:ascii="Garamond" w:hAnsi="Garamond"/>
          <w:lang w:val="en-US"/>
        </w:rPr>
        <w:t>Third, OL has a problem of explanatory weakness. The issue here is the comparison between different goods and bads, or the exact contribution of a particular instance of virtue, knowledge or pain to your welfare. Compare your suffering from intense back pain for a month with your giving a dollar to a beggar. OL says the former harms you while the latter does you good. And presumably, it should say the former harms you more than the latter benefits you: that the overall welfare effect of your back pain combined with your donation is negative. No doubt OL</w:t>
      </w:r>
      <w:r w:rsidR="00853596" w:rsidRPr="0032708B">
        <w:rPr>
          <w:rFonts w:ascii="Garamond" w:hAnsi="Garamond"/>
          <w:lang w:val="en-US"/>
        </w:rPr>
        <w:t xml:space="preserve"> </w:t>
      </w:r>
      <w:r w:rsidRPr="00853596">
        <w:rPr>
          <w:rFonts w:ascii="Garamond" w:hAnsi="Garamond"/>
          <w:i/>
          <w:iCs/>
          <w:lang w:val="en-US"/>
        </w:rPr>
        <w:t>can</w:t>
      </w:r>
      <w:r w:rsidRPr="0032708B">
        <w:rPr>
          <w:rFonts w:ascii="Garamond" w:hAnsi="Garamond"/>
          <w:lang w:val="en-US"/>
        </w:rPr>
        <w:t xml:space="preserve"> say that: it can simply stipulate that intense pains are more harmful than small acts of virtue are beneficial. But OL doesn</w:t>
      </w:r>
      <w:r w:rsidR="00870DA9">
        <w:rPr>
          <w:rFonts w:ascii="Garamond" w:hAnsi="Garamond"/>
          <w:lang w:val="en-US"/>
        </w:rPr>
        <w:t>’</w:t>
      </w:r>
      <w:r w:rsidRPr="0032708B">
        <w:rPr>
          <w:rFonts w:ascii="Garamond" w:hAnsi="Garamond"/>
          <w:lang w:val="en-US"/>
        </w:rPr>
        <w:t>t have an explanation for why this is so. More generally, it doesn</w:t>
      </w:r>
      <w:r w:rsidR="00870DA9">
        <w:rPr>
          <w:rFonts w:ascii="Garamond" w:hAnsi="Garamond"/>
          <w:lang w:val="en-US"/>
        </w:rPr>
        <w:t>’</w:t>
      </w:r>
      <w:r w:rsidRPr="0032708B">
        <w:rPr>
          <w:rFonts w:ascii="Garamond" w:hAnsi="Garamond"/>
          <w:lang w:val="en-US"/>
        </w:rPr>
        <w:t xml:space="preserve">t have an explanation for why different welfare goods and bads compare in a particular </w:t>
      </w:r>
      <w:proofErr w:type="gramStart"/>
      <w:r w:rsidRPr="0032708B">
        <w:rPr>
          <w:rFonts w:ascii="Garamond" w:hAnsi="Garamond"/>
          <w:lang w:val="en-US"/>
        </w:rPr>
        <w:t>way, or</w:t>
      </w:r>
      <w:proofErr w:type="gramEnd"/>
      <w:r w:rsidRPr="0032708B">
        <w:rPr>
          <w:rFonts w:ascii="Garamond" w:hAnsi="Garamond"/>
          <w:lang w:val="en-US"/>
        </w:rPr>
        <w:t xml:space="preserve"> contribute to your welfare to the extent that they do. It posits unexplained facts about this. In this respect, OL is explanatorily shallow. </w:t>
      </w:r>
    </w:p>
    <w:p w14:paraId="0E35C69A" w14:textId="77777777" w:rsidR="00550DBD" w:rsidRDefault="00D16748" w:rsidP="00550DBD">
      <w:pPr>
        <w:ind w:firstLine="708"/>
        <w:jc w:val="both"/>
        <w:rPr>
          <w:rFonts w:ascii="Garamond" w:hAnsi="Garamond"/>
          <w:lang w:val="en-US"/>
        </w:rPr>
      </w:pPr>
      <w:r w:rsidRPr="0032708B">
        <w:rPr>
          <w:rFonts w:ascii="Garamond" w:hAnsi="Garamond"/>
          <w:lang w:val="en-US"/>
        </w:rPr>
        <w:t>The Contact Account does have an explanation here. It says the contribution of a particular contact with value to your welfare is determined by the degree of the impersonal value and the degree of your contact with it. The degree of impersonal value is commensurable across values: it always corresponds to the intensity of the responses that it renders fitting. The degree of your contact with a value is also commensurable across values: it</w:t>
      </w:r>
      <w:r w:rsidR="00870DA9">
        <w:rPr>
          <w:rFonts w:ascii="Garamond" w:hAnsi="Garamond"/>
          <w:lang w:val="en-US"/>
        </w:rPr>
        <w:t>’</w:t>
      </w:r>
      <w:r w:rsidRPr="0032708B">
        <w:rPr>
          <w:rFonts w:ascii="Garamond" w:hAnsi="Garamond"/>
          <w:lang w:val="en-US"/>
        </w:rPr>
        <w:t>s always determined by the centrality of your connections with the value to your life and to it. So, the Contact Account has a general story about the exact contribution of particular goods and bads to your welfare. In this respect, it</w:t>
      </w:r>
      <w:r w:rsidR="00870DA9">
        <w:rPr>
          <w:rFonts w:ascii="Garamond" w:hAnsi="Garamond"/>
          <w:lang w:val="en-US"/>
        </w:rPr>
        <w:t>’</w:t>
      </w:r>
      <w:r w:rsidRPr="0032708B">
        <w:rPr>
          <w:rFonts w:ascii="Garamond" w:hAnsi="Garamond"/>
          <w:lang w:val="en-US"/>
        </w:rPr>
        <w:t>s explanatorily deep.</w:t>
      </w:r>
    </w:p>
    <w:p w14:paraId="5070DA86" w14:textId="2D803E94" w:rsidR="003B7156" w:rsidRDefault="00D16748" w:rsidP="00B14D1D">
      <w:pPr>
        <w:ind w:firstLine="708"/>
        <w:jc w:val="both"/>
        <w:rPr>
          <w:rFonts w:ascii="Garamond" w:hAnsi="Garamond"/>
          <w:lang w:val="en-US"/>
        </w:rPr>
      </w:pPr>
      <w:r w:rsidRPr="0032708B">
        <w:rPr>
          <w:rFonts w:ascii="Garamond" w:hAnsi="Garamond"/>
          <w:lang w:val="en-US"/>
        </w:rPr>
        <w:t>Now we have only considered OL as an example of an objective list theory. But these points seem to generalize to all standard theories of this kind. These theories face three problems: disunity, inelegance and explanatory weakness. The Contact Account evades each problem. To this extent, it</w:t>
      </w:r>
      <w:r w:rsidR="00870DA9">
        <w:rPr>
          <w:rFonts w:ascii="Garamond" w:hAnsi="Garamond"/>
          <w:lang w:val="en-US"/>
        </w:rPr>
        <w:t>’</w:t>
      </w:r>
      <w:r w:rsidRPr="0032708B">
        <w:rPr>
          <w:rFonts w:ascii="Garamond" w:hAnsi="Garamond"/>
          <w:lang w:val="en-US"/>
        </w:rPr>
        <w:t>s preferable to them.</w:t>
      </w:r>
      <w:r w:rsidR="0025607C" w:rsidRPr="000E5D20">
        <w:rPr>
          <w:rStyle w:val="FootnoteReference"/>
        </w:rPr>
        <w:footnoteReference w:id="26"/>
      </w:r>
      <w:r w:rsidRPr="0032708B">
        <w:rPr>
          <w:rFonts w:ascii="Garamond" w:hAnsi="Garamond"/>
          <w:lang w:val="en-US"/>
        </w:rPr>
        <w:t xml:space="preserve"> To sum up, we think the overall dialectical situation is as follows. </w:t>
      </w:r>
      <w:r w:rsidR="00CF69B1">
        <w:rPr>
          <w:rFonts w:ascii="Garamond" w:hAnsi="Garamond"/>
          <w:lang w:val="en-US"/>
        </w:rPr>
        <w:t xml:space="preserve">A </w:t>
      </w:r>
      <w:r w:rsidRPr="0032708B">
        <w:rPr>
          <w:rFonts w:ascii="Garamond" w:hAnsi="Garamond"/>
          <w:lang w:val="en-US"/>
        </w:rPr>
        <w:t>desideratum of a theory of welfare is that it fits with the intuitive data. On these grounds, the Contact Account seems superior to hedonism and desire satisfactionism. Yet a theory of welfare should also be explanatorily virtuous. And standard objective list theories have the just-mentioned explanatory vices. On these grounds, the Contact Account seems superior to them. So we think the Contact Account of welfare is worth taking very seriously indeed: it has clear advantages over all its main rivals.</w:t>
      </w:r>
      <w:r w:rsidR="00215871" w:rsidRPr="000E5D20">
        <w:rPr>
          <w:rStyle w:val="FootnoteReference"/>
        </w:rPr>
        <w:footnoteReference w:id="27"/>
      </w:r>
      <w:r w:rsidRPr="0032708B">
        <w:rPr>
          <w:rFonts w:ascii="Garamond" w:hAnsi="Garamond"/>
          <w:lang w:val="en-US"/>
        </w:rPr>
        <w:t xml:space="preserve"> </w:t>
      </w:r>
    </w:p>
    <w:p w14:paraId="7D19DB0A" w14:textId="3EA711AB" w:rsidR="0037344F" w:rsidRDefault="004F7741" w:rsidP="003B7156">
      <w:pPr>
        <w:ind w:firstLine="708"/>
        <w:jc w:val="both"/>
        <w:rPr>
          <w:rFonts w:ascii="Garamond" w:hAnsi="Garamond"/>
          <w:lang w:val="en-US"/>
        </w:rPr>
      </w:pPr>
      <w:r>
        <w:rPr>
          <w:rFonts w:ascii="Garamond" w:hAnsi="Garamond"/>
          <w:lang w:val="en-US"/>
        </w:rPr>
        <w:lastRenderedPageBreak/>
        <w:t xml:space="preserve">Let’s address one </w:t>
      </w:r>
      <w:r w:rsidR="00AB1056">
        <w:rPr>
          <w:rFonts w:ascii="Garamond" w:hAnsi="Garamond"/>
          <w:lang w:val="en-US"/>
        </w:rPr>
        <w:t>further</w:t>
      </w:r>
      <w:r>
        <w:rPr>
          <w:rFonts w:ascii="Garamond" w:hAnsi="Garamond"/>
          <w:lang w:val="en-US"/>
        </w:rPr>
        <w:t xml:space="preserve"> point</w:t>
      </w:r>
      <w:r w:rsidR="00E5406E">
        <w:rPr>
          <w:rFonts w:ascii="Garamond" w:hAnsi="Garamond"/>
          <w:lang w:val="en-US"/>
        </w:rPr>
        <w:t>.</w:t>
      </w:r>
      <w:r>
        <w:rPr>
          <w:rFonts w:ascii="Garamond" w:hAnsi="Garamond"/>
          <w:lang w:val="en-US"/>
        </w:rPr>
        <w:t xml:space="preserve"> </w:t>
      </w:r>
      <w:r w:rsidR="00D70093">
        <w:rPr>
          <w:rFonts w:ascii="Garamond" w:hAnsi="Garamond"/>
          <w:lang w:val="en-US"/>
        </w:rPr>
        <w:t>O</w:t>
      </w:r>
      <w:r w:rsidR="00B14D1D">
        <w:rPr>
          <w:rFonts w:ascii="Garamond" w:hAnsi="Garamond"/>
          <w:lang w:val="en-US"/>
        </w:rPr>
        <w:t>ne of the most serious challenges</w:t>
      </w:r>
      <w:r w:rsidR="00E5406E">
        <w:rPr>
          <w:rFonts w:ascii="Garamond" w:hAnsi="Garamond"/>
          <w:lang w:val="en-US"/>
        </w:rPr>
        <w:t xml:space="preserve"> for</w:t>
      </w:r>
      <w:r>
        <w:rPr>
          <w:rFonts w:ascii="Garamond" w:hAnsi="Garamond"/>
          <w:lang w:val="en-US"/>
        </w:rPr>
        <w:t xml:space="preserve"> objective list theories </w:t>
      </w:r>
      <w:r w:rsidR="00B14D1D">
        <w:rPr>
          <w:rFonts w:ascii="Garamond" w:hAnsi="Garamond"/>
          <w:lang w:val="en-US"/>
        </w:rPr>
        <w:t xml:space="preserve">of welfare is </w:t>
      </w:r>
      <w:r>
        <w:rPr>
          <w:rFonts w:ascii="Garamond" w:hAnsi="Garamond"/>
          <w:lang w:val="en-US"/>
        </w:rPr>
        <w:t xml:space="preserve">the alienation challenge. </w:t>
      </w:r>
      <w:r w:rsidRPr="0032708B">
        <w:rPr>
          <w:rFonts w:ascii="Garamond" w:hAnsi="Garamond"/>
          <w:lang w:val="en-US"/>
        </w:rPr>
        <w:t>Suppose you have almost everything on OL</w:t>
      </w:r>
      <w:r>
        <w:rPr>
          <w:rFonts w:ascii="Garamond" w:hAnsi="Garamond"/>
          <w:lang w:val="en-US"/>
        </w:rPr>
        <w:t>’</w:t>
      </w:r>
      <w:r w:rsidRPr="0032708B">
        <w:rPr>
          <w:rFonts w:ascii="Garamond" w:hAnsi="Garamond"/>
          <w:lang w:val="en-US"/>
        </w:rPr>
        <w:t>s list of goods: friendships, achievements, knowledge and so on. But you suffer from depression, so it all leaves you entirely cold: you don</w:t>
      </w:r>
      <w:r>
        <w:rPr>
          <w:rFonts w:ascii="Garamond" w:hAnsi="Garamond"/>
          <w:lang w:val="en-US"/>
        </w:rPr>
        <w:t>’</w:t>
      </w:r>
      <w:r w:rsidRPr="0032708B">
        <w:rPr>
          <w:rFonts w:ascii="Garamond" w:hAnsi="Garamond"/>
          <w:lang w:val="en-US"/>
        </w:rPr>
        <w:t>t feel a glimmer of excitement, appreciation or satisfaction about it. You</w:t>
      </w:r>
      <w:r>
        <w:rPr>
          <w:rFonts w:ascii="Garamond" w:hAnsi="Garamond"/>
          <w:lang w:val="en-US"/>
        </w:rPr>
        <w:t>’</w:t>
      </w:r>
      <w:r w:rsidRPr="0032708B">
        <w:rPr>
          <w:rFonts w:ascii="Garamond" w:hAnsi="Garamond"/>
          <w:lang w:val="en-US"/>
        </w:rPr>
        <w:t>re subjectively alienated from the objective goods in your life. Intuitively, your life isn</w:t>
      </w:r>
      <w:r>
        <w:rPr>
          <w:rFonts w:ascii="Garamond" w:hAnsi="Garamond"/>
          <w:lang w:val="en-US"/>
        </w:rPr>
        <w:t>’</w:t>
      </w:r>
      <w:r w:rsidRPr="0032708B">
        <w:rPr>
          <w:rFonts w:ascii="Garamond" w:hAnsi="Garamond"/>
          <w:lang w:val="en-US"/>
        </w:rPr>
        <w:t xml:space="preserve">t very good for you. </w:t>
      </w:r>
      <w:r>
        <w:rPr>
          <w:rFonts w:ascii="Garamond" w:hAnsi="Garamond"/>
          <w:lang w:val="en-US"/>
        </w:rPr>
        <w:t>S</w:t>
      </w:r>
      <w:r w:rsidRPr="0032708B">
        <w:rPr>
          <w:rFonts w:ascii="Garamond" w:hAnsi="Garamond"/>
          <w:lang w:val="en-US"/>
        </w:rPr>
        <w:t>tandard objective list theories seem unable to explain this. They seem to say your own attitude to the goods is irrelevant to your welfare: that all that matters is their objective value.</w:t>
      </w:r>
      <w:r w:rsidRPr="000E5D20">
        <w:rPr>
          <w:rStyle w:val="FootnoteReference"/>
        </w:rPr>
        <w:footnoteReference w:id="28"/>
      </w:r>
      <w:r>
        <w:rPr>
          <w:rFonts w:ascii="Garamond" w:hAnsi="Garamond"/>
          <w:lang w:val="en-US"/>
        </w:rPr>
        <w:t xml:space="preserve"> </w:t>
      </w:r>
      <w:r w:rsidRPr="0032708B">
        <w:rPr>
          <w:rFonts w:ascii="Garamond" w:hAnsi="Garamond"/>
          <w:lang w:val="en-US"/>
        </w:rPr>
        <w:t xml:space="preserve">A similar </w:t>
      </w:r>
      <w:r w:rsidR="00B14D1D">
        <w:rPr>
          <w:rFonts w:ascii="Garamond" w:hAnsi="Garamond"/>
          <w:lang w:val="en-US"/>
        </w:rPr>
        <w:t>challenge can be levelled</w:t>
      </w:r>
      <w:r w:rsidRPr="0032708B">
        <w:rPr>
          <w:rFonts w:ascii="Garamond" w:hAnsi="Garamond"/>
          <w:lang w:val="en-US"/>
        </w:rPr>
        <w:t xml:space="preserve"> </w:t>
      </w:r>
      <w:r w:rsidR="00B14D1D">
        <w:rPr>
          <w:rFonts w:ascii="Garamond" w:hAnsi="Garamond"/>
          <w:lang w:val="en-US"/>
        </w:rPr>
        <w:t>at</w:t>
      </w:r>
      <w:r w:rsidRPr="0032708B">
        <w:rPr>
          <w:rFonts w:ascii="Garamond" w:hAnsi="Garamond"/>
          <w:lang w:val="en-US"/>
        </w:rPr>
        <w:t xml:space="preserve"> the Contact Account. You might be in close contact with the good, but totally apathetic about it: </w:t>
      </w:r>
      <w:r w:rsidR="006E6E51">
        <w:rPr>
          <w:rFonts w:ascii="Garamond" w:hAnsi="Garamond"/>
          <w:lang w:val="en-US"/>
        </w:rPr>
        <w:t xml:space="preserve">you might be </w:t>
      </w:r>
      <w:r w:rsidRPr="0032708B">
        <w:rPr>
          <w:rFonts w:ascii="Garamond" w:hAnsi="Garamond"/>
          <w:lang w:val="en-US"/>
        </w:rPr>
        <w:t>left cold by your involvement with beauty, achievement or virtue. Intuitively, one might think, this means your life isn</w:t>
      </w:r>
      <w:r>
        <w:rPr>
          <w:rFonts w:ascii="Garamond" w:hAnsi="Garamond"/>
          <w:lang w:val="en-US"/>
        </w:rPr>
        <w:t>’</w:t>
      </w:r>
      <w:r w:rsidRPr="0032708B">
        <w:rPr>
          <w:rFonts w:ascii="Garamond" w:hAnsi="Garamond"/>
          <w:lang w:val="en-US"/>
        </w:rPr>
        <w:t xml:space="preserve">t </w:t>
      </w:r>
      <w:r w:rsidR="0037344F">
        <w:rPr>
          <w:rFonts w:ascii="Garamond" w:hAnsi="Garamond"/>
          <w:lang w:val="en-US"/>
        </w:rPr>
        <w:t>very</w:t>
      </w:r>
      <w:r w:rsidR="00636D5D">
        <w:rPr>
          <w:rFonts w:ascii="Garamond" w:hAnsi="Garamond"/>
          <w:lang w:val="en-US"/>
        </w:rPr>
        <w:t xml:space="preserve"> </w:t>
      </w:r>
      <w:r w:rsidRPr="0032708B">
        <w:rPr>
          <w:rFonts w:ascii="Garamond" w:hAnsi="Garamond"/>
          <w:lang w:val="en-US"/>
        </w:rPr>
        <w:t>good for you. But the Contact Account, seemingly, can</w:t>
      </w:r>
      <w:r>
        <w:rPr>
          <w:rFonts w:ascii="Garamond" w:hAnsi="Garamond"/>
          <w:lang w:val="en-US"/>
        </w:rPr>
        <w:t>’</w:t>
      </w:r>
      <w:r w:rsidRPr="0032708B">
        <w:rPr>
          <w:rFonts w:ascii="Garamond" w:hAnsi="Garamond"/>
          <w:lang w:val="en-US"/>
        </w:rPr>
        <w:t xml:space="preserve">t capture this. It seems to say </w:t>
      </w:r>
      <w:r w:rsidR="0037344F">
        <w:rPr>
          <w:rFonts w:ascii="Garamond" w:hAnsi="Garamond"/>
          <w:lang w:val="en-US"/>
        </w:rPr>
        <w:t xml:space="preserve">that what matters is an objective connection to the good, and so being subjectively alienated from the good does not detract from the value of your life. </w:t>
      </w:r>
    </w:p>
    <w:p w14:paraId="31816C5C" w14:textId="7A458E43" w:rsidR="000F6F41" w:rsidRPr="0032708B" w:rsidRDefault="00006BC2" w:rsidP="00B14D1D">
      <w:pPr>
        <w:ind w:firstLine="708"/>
        <w:jc w:val="both"/>
        <w:rPr>
          <w:rFonts w:ascii="Garamond" w:hAnsi="Garamond"/>
          <w:lang w:val="en-US"/>
        </w:rPr>
      </w:pPr>
      <w:r w:rsidRPr="00B14D1D">
        <w:rPr>
          <w:rFonts w:ascii="Garamond" w:hAnsi="Garamond"/>
          <w:lang w:val="en-US"/>
        </w:rPr>
        <w:t>T</w:t>
      </w:r>
      <w:r w:rsidR="00D16748" w:rsidRPr="00006BC2">
        <w:rPr>
          <w:rFonts w:ascii="Garamond" w:hAnsi="Garamond"/>
          <w:lang w:val="en-US"/>
        </w:rPr>
        <w:t>he</w:t>
      </w:r>
      <w:r w:rsidR="00E5406E">
        <w:rPr>
          <w:rFonts w:ascii="Garamond" w:hAnsi="Garamond"/>
          <w:lang w:val="en-US"/>
        </w:rPr>
        <w:t xml:space="preserve"> Contact</w:t>
      </w:r>
      <w:r w:rsidR="00D16748" w:rsidRPr="0032708B">
        <w:rPr>
          <w:rFonts w:ascii="Garamond" w:hAnsi="Garamond"/>
          <w:lang w:val="en-US"/>
        </w:rPr>
        <w:t xml:space="preserve"> </w:t>
      </w:r>
      <w:r w:rsidR="00E5406E">
        <w:rPr>
          <w:rFonts w:ascii="Garamond" w:hAnsi="Garamond"/>
          <w:lang w:val="en-US"/>
        </w:rPr>
        <w:t>A</w:t>
      </w:r>
      <w:r w:rsidR="00D16748" w:rsidRPr="0032708B">
        <w:rPr>
          <w:rFonts w:ascii="Garamond" w:hAnsi="Garamond"/>
          <w:lang w:val="en-US"/>
        </w:rPr>
        <w:t xml:space="preserve">ccount can </w:t>
      </w:r>
      <w:r w:rsidR="00B14D1D">
        <w:rPr>
          <w:rFonts w:ascii="Garamond" w:hAnsi="Garamond"/>
          <w:lang w:val="en-US"/>
        </w:rPr>
        <w:t>meet</w:t>
      </w:r>
      <w:r w:rsidR="00D16748" w:rsidRPr="0032708B">
        <w:rPr>
          <w:rFonts w:ascii="Garamond" w:hAnsi="Garamond"/>
          <w:lang w:val="en-US"/>
        </w:rPr>
        <w:t xml:space="preserve"> this </w:t>
      </w:r>
      <w:r w:rsidR="00B14D1D">
        <w:rPr>
          <w:rFonts w:ascii="Garamond" w:hAnsi="Garamond"/>
          <w:lang w:val="en-US"/>
        </w:rPr>
        <w:t>challenge</w:t>
      </w:r>
      <w:r w:rsidR="00D16748" w:rsidRPr="0032708B">
        <w:rPr>
          <w:rFonts w:ascii="Garamond" w:hAnsi="Garamond"/>
          <w:lang w:val="en-US"/>
        </w:rPr>
        <w:t xml:space="preserve">. </w:t>
      </w:r>
      <w:r w:rsidR="00666243">
        <w:rPr>
          <w:rFonts w:ascii="Garamond" w:hAnsi="Garamond"/>
          <w:lang w:val="en-US"/>
        </w:rPr>
        <w:t xml:space="preserve">The </w:t>
      </w:r>
      <w:r w:rsidR="0037344F">
        <w:rPr>
          <w:rFonts w:ascii="Garamond" w:hAnsi="Garamond"/>
          <w:lang w:val="en-US"/>
        </w:rPr>
        <w:t>key</w:t>
      </w:r>
      <w:r w:rsidR="00666243">
        <w:rPr>
          <w:rFonts w:ascii="Garamond" w:hAnsi="Garamond"/>
          <w:lang w:val="en-US"/>
        </w:rPr>
        <w:t xml:space="preserve"> point is that</w:t>
      </w:r>
      <w:r w:rsidR="00E5406E">
        <w:rPr>
          <w:rFonts w:ascii="Garamond" w:hAnsi="Garamond"/>
          <w:lang w:val="en-US"/>
        </w:rPr>
        <w:t xml:space="preserve"> </w:t>
      </w:r>
      <w:r w:rsidR="003B7156" w:rsidRPr="0032708B">
        <w:rPr>
          <w:rFonts w:ascii="Garamond" w:hAnsi="Garamond"/>
          <w:lang w:val="en-US"/>
        </w:rPr>
        <w:t xml:space="preserve">a </w:t>
      </w:r>
      <w:r w:rsidR="0037344F">
        <w:rPr>
          <w:rFonts w:ascii="Garamond" w:hAnsi="Garamond"/>
          <w:lang w:val="en-US"/>
        </w:rPr>
        <w:t>critical</w:t>
      </w:r>
      <w:r w:rsidR="003B7156" w:rsidRPr="0032708B">
        <w:rPr>
          <w:rFonts w:ascii="Garamond" w:hAnsi="Garamond"/>
          <w:lang w:val="en-US"/>
        </w:rPr>
        <w:t xml:space="preserve"> way to be in contact with a good is to actually value it. This is especially clear for the passive aspect of contact. Suppose you gaze at the Last Supper but find it ugly. Your experience of it as ugly doesn</w:t>
      </w:r>
      <w:r w:rsidR="003B7156">
        <w:rPr>
          <w:rFonts w:ascii="Garamond" w:hAnsi="Garamond"/>
          <w:lang w:val="en-US"/>
        </w:rPr>
        <w:t>’</w:t>
      </w:r>
      <w:r w:rsidR="003B7156" w:rsidRPr="0032708B">
        <w:rPr>
          <w:rFonts w:ascii="Garamond" w:hAnsi="Garamond"/>
          <w:lang w:val="en-US"/>
        </w:rPr>
        <w:t>t manifest its beauty at all: beauty is disposed to manifest in aesthetic appreciation rather than disapprobation. So your staring at the painting won</w:t>
      </w:r>
      <w:r w:rsidR="003B7156">
        <w:rPr>
          <w:rFonts w:ascii="Garamond" w:hAnsi="Garamond"/>
          <w:lang w:val="en-US"/>
        </w:rPr>
        <w:t>’</w:t>
      </w:r>
      <w:r w:rsidR="003B7156" w:rsidRPr="0032708B">
        <w:rPr>
          <w:rFonts w:ascii="Garamond" w:hAnsi="Garamond"/>
          <w:lang w:val="en-US"/>
        </w:rPr>
        <w:t>t put you in touch with its goodness. Something similar is true for the active aspect of contact. Suppose you give a sandwich to someone who</w:t>
      </w:r>
      <w:r w:rsidR="003B7156">
        <w:rPr>
          <w:rFonts w:ascii="Garamond" w:hAnsi="Garamond"/>
          <w:lang w:val="en-US"/>
        </w:rPr>
        <w:t>’</w:t>
      </w:r>
      <w:r w:rsidR="003B7156" w:rsidRPr="0032708B">
        <w:rPr>
          <w:rFonts w:ascii="Garamond" w:hAnsi="Garamond"/>
          <w:lang w:val="en-US"/>
        </w:rPr>
        <w:t>s hungry. But you don</w:t>
      </w:r>
      <w:r w:rsidR="003B7156">
        <w:rPr>
          <w:rFonts w:ascii="Garamond" w:hAnsi="Garamond"/>
          <w:lang w:val="en-US"/>
        </w:rPr>
        <w:t>’</w:t>
      </w:r>
      <w:r w:rsidR="003B7156" w:rsidRPr="0032708B">
        <w:rPr>
          <w:rFonts w:ascii="Garamond" w:hAnsi="Garamond"/>
          <w:lang w:val="en-US"/>
        </w:rPr>
        <w:t>t value their getting that sandwich: it was a sheer coincidence, a total caprice, that you handed it to them. Then their having the sandwich doesn</w:t>
      </w:r>
      <w:r w:rsidR="003B7156">
        <w:rPr>
          <w:rFonts w:ascii="Garamond" w:hAnsi="Garamond"/>
          <w:lang w:val="en-US"/>
        </w:rPr>
        <w:t>’</w:t>
      </w:r>
      <w:r w:rsidR="003B7156" w:rsidRPr="0032708B">
        <w:rPr>
          <w:rFonts w:ascii="Garamond" w:hAnsi="Garamond"/>
          <w:lang w:val="en-US"/>
        </w:rPr>
        <w:t>t manifest your compassion or humanity. It might not manifest any of your more central dispositions. So you might not get in much contact with it. More generally, mere passive confrontation with a value or active causal contribution to it isn</w:t>
      </w:r>
      <w:r w:rsidR="003B7156">
        <w:rPr>
          <w:rFonts w:ascii="Garamond" w:hAnsi="Garamond"/>
          <w:lang w:val="en-US"/>
        </w:rPr>
        <w:t>’</w:t>
      </w:r>
      <w:r w:rsidR="003B7156" w:rsidRPr="0032708B">
        <w:rPr>
          <w:rFonts w:ascii="Garamond" w:hAnsi="Garamond"/>
          <w:lang w:val="en-US"/>
        </w:rPr>
        <w:t xml:space="preserve">t enough for you to have a </w:t>
      </w:r>
      <w:r w:rsidR="003B7156" w:rsidRPr="00853596">
        <w:rPr>
          <w:rFonts w:ascii="Garamond" w:hAnsi="Garamond"/>
          <w:i/>
          <w:iCs/>
          <w:lang w:val="en-US"/>
        </w:rPr>
        <w:t>manifestation</w:t>
      </w:r>
      <w:r w:rsidR="003B7156" w:rsidRPr="0032708B">
        <w:rPr>
          <w:rFonts w:ascii="Garamond" w:hAnsi="Garamond"/>
          <w:lang w:val="en-US"/>
        </w:rPr>
        <w:t xml:space="preserve"> relation to it. </w:t>
      </w:r>
      <w:r w:rsidR="0037344F">
        <w:rPr>
          <w:rFonts w:ascii="Garamond" w:hAnsi="Garamond"/>
          <w:lang w:val="en-US"/>
        </w:rPr>
        <w:t xml:space="preserve">This makes </w:t>
      </w:r>
      <w:r w:rsidR="00E5406E">
        <w:rPr>
          <w:rFonts w:ascii="Garamond" w:hAnsi="Garamond"/>
          <w:lang w:val="en-US"/>
        </w:rPr>
        <w:t xml:space="preserve">the </w:t>
      </w:r>
      <w:r w:rsidR="003B7156" w:rsidRPr="0032708B">
        <w:rPr>
          <w:rFonts w:ascii="Garamond" w:hAnsi="Garamond"/>
          <w:lang w:val="en-US"/>
        </w:rPr>
        <w:t>Contact Account</w:t>
      </w:r>
      <w:r w:rsidR="0037344F">
        <w:rPr>
          <w:rFonts w:ascii="Garamond" w:hAnsi="Garamond"/>
          <w:lang w:val="en-US"/>
        </w:rPr>
        <w:t xml:space="preserve"> much less objectivist than the objection assumes: on it, </w:t>
      </w:r>
      <w:r w:rsidR="0026316E">
        <w:rPr>
          <w:rFonts w:ascii="Garamond" w:hAnsi="Garamond"/>
          <w:lang w:val="en-US"/>
        </w:rPr>
        <w:t xml:space="preserve">subjective </w:t>
      </w:r>
      <w:r w:rsidR="003B7156" w:rsidRPr="0032708B">
        <w:rPr>
          <w:rFonts w:ascii="Garamond" w:hAnsi="Garamond"/>
          <w:lang w:val="en-US"/>
        </w:rPr>
        <w:t xml:space="preserve">alienation will harm you. </w:t>
      </w:r>
      <w:r w:rsidR="0037344F">
        <w:rPr>
          <w:rFonts w:ascii="Garamond" w:hAnsi="Garamond"/>
          <w:lang w:val="en-US"/>
        </w:rPr>
        <w:t xml:space="preserve">This </w:t>
      </w:r>
      <w:r w:rsidR="00E5406E">
        <w:rPr>
          <w:rFonts w:ascii="Garamond" w:hAnsi="Garamond"/>
          <w:lang w:val="en-US"/>
        </w:rPr>
        <w:t xml:space="preserve">does not, of course, imply that a life </w:t>
      </w:r>
      <w:r w:rsidR="00636D5D">
        <w:rPr>
          <w:rFonts w:ascii="Garamond" w:hAnsi="Garamond"/>
          <w:lang w:val="en-US"/>
        </w:rPr>
        <w:t xml:space="preserve">subjectively </w:t>
      </w:r>
      <w:r w:rsidR="00E5406E">
        <w:rPr>
          <w:rFonts w:ascii="Garamond" w:hAnsi="Garamond"/>
          <w:lang w:val="en-US"/>
        </w:rPr>
        <w:t xml:space="preserve">alienated from the good is of no value whatsoever. But it does explain why </w:t>
      </w:r>
      <w:r w:rsidR="0026316E">
        <w:rPr>
          <w:rFonts w:ascii="Garamond" w:hAnsi="Garamond"/>
          <w:lang w:val="en-US"/>
        </w:rPr>
        <w:t>being left cold</w:t>
      </w:r>
      <w:r w:rsidR="00E5406E">
        <w:rPr>
          <w:rFonts w:ascii="Garamond" w:hAnsi="Garamond"/>
          <w:lang w:val="en-US"/>
        </w:rPr>
        <w:t xml:space="preserve"> </w:t>
      </w:r>
      <w:r w:rsidR="0026316E">
        <w:rPr>
          <w:rFonts w:ascii="Garamond" w:hAnsi="Garamond"/>
          <w:lang w:val="en-US"/>
        </w:rPr>
        <w:t>by</w:t>
      </w:r>
      <w:r w:rsidR="00E5406E">
        <w:rPr>
          <w:rFonts w:ascii="Garamond" w:hAnsi="Garamond"/>
          <w:lang w:val="en-US"/>
        </w:rPr>
        <w:t xml:space="preserve"> the good is generally bad for you</w:t>
      </w:r>
      <w:r w:rsidR="00F04F00">
        <w:rPr>
          <w:rFonts w:ascii="Garamond" w:hAnsi="Garamond"/>
          <w:lang w:val="en-US"/>
        </w:rPr>
        <w:t>. T</w:t>
      </w:r>
      <w:r w:rsidR="0037344F">
        <w:rPr>
          <w:rFonts w:ascii="Garamond" w:hAnsi="Garamond"/>
          <w:lang w:val="en-US"/>
        </w:rPr>
        <w:t>hat</w:t>
      </w:r>
      <w:r>
        <w:rPr>
          <w:rFonts w:ascii="Garamond" w:hAnsi="Garamond"/>
          <w:lang w:val="en-US"/>
        </w:rPr>
        <w:t>, we think,</w:t>
      </w:r>
      <w:r w:rsidR="0037344F">
        <w:rPr>
          <w:rFonts w:ascii="Garamond" w:hAnsi="Garamond"/>
          <w:lang w:val="en-US"/>
        </w:rPr>
        <w:t xml:space="preserve"> is a sufficient response to the alienation challenge.</w:t>
      </w:r>
      <w:r w:rsidR="00E5406E" w:rsidRPr="000E5D20">
        <w:rPr>
          <w:rStyle w:val="FootnoteReference"/>
        </w:rPr>
        <w:footnoteReference w:id="29"/>
      </w:r>
    </w:p>
    <w:p w14:paraId="50347313" w14:textId="77777777" w:rsidR="003D0329" w:rsidRDefault="003D0329" w:rsidP="00870DA9">
      <w:pPr>
        <w:jc w:val="both"/>
        <w:rPr>
          <w:rFonts w:ascii="Garamond" w:hAnsi="Garamond"/>
          <w:lang w:val="en-US"/>
        </w:rPr>
      </w:pPr>
    </w:p>
    <w:p w14:paraId="2D212FBF" w14:textId="4D310465" w:rsidR="008C17AF" w:rsidRPr="00D4325A" w:rsidRDefault="00D4325A" w:rsidP="00870DA9">
      <w:pPr>
        <w:jc w:val="both"/>
        <w:rPr>
          <w:rFonts w:ascii="Garamond" w:hAnsi="Garamond"/>
          <w:b/>
          <w:bCs/>
          <w:lang w:val="en-US"/>
        </w:rPr>
      </w:pPr>
      <w:r w:rsidRPr="00D4325A">
        <w:rPr>
          <w:rFonts w:ascii="Garamond" w:hAnsi="Garamond"/>
          <w:b/>
          <w:bCs/>
          <w:lang w:val="en-US"/>
        </w:rPr>
        <w:t xml:space="preserve">6. </w:t>
      </w:r>
      <w:r>
        <w:rPr>
          <w:rFonts w:ascii="Garamond" w:hAnsi="Garamond"/>
          <w:b/>
          <w:bCs/>
          <w:lang w:val="en-US"/>
        </w:rPr>
        <w:t>Locative View</w:t>
      </w:r>
      <w:r w:rsidR="00F3769E">
        <w:rPr>
          <w:rFonts w:ascii="Garamond" w:hAnsi="Garamond"/>
          <w:b/>
          <w:bCs/>
          <w:lang w:val="en-US"/>
        </w:rPr>
        <w:t>s</w:t>
      </w:r>
    </w:p>
    <w:p w14:paraId="1F760EE9" w14:textId="77777777" w:rsidR="008C17AF" w:rsidRDefault="008C17AF" w:rsidP="00870DA9">
      <w:pPr>
        <w:jc w:val="both"/>
        <w:rPr>
          <w:rFonts w:ascii="Garamond" w:hAnsi="Garamond"/>
          <w:lang w:val="en-US"/>
        </w:rPr>
      </w:pPr>
    </w:p>
    <w:p w14:paraId="33D472BE" w14:textId="6FD0C858" w:rsidR="00D4325A" w:rsidRDefault="00D4325A" w:rsidP="0033029F">
      <w:pPr>
        <w:jc w:val="both"/>
        <w:rPr>
          <w:rFonts w:ascii="Garamond" w:hAnsi="Garamond"/>
          <w:lang w:val="en-US"/>
        </w:rPr>
      </w:pPr>
      <w:r w:rsidRPr="00F3769E">
        <w:rPr>
          <w:rFonts w:ascii="Garamond" w:hAnsi="Garamond"/>
          <w:lang w:val="en-US"/>
        </w:rPr>
        <w:t xml:space="preserve">To </w:t>
      </w:r>
      <w:r w:rsidR="00F3769E" w:rsidRPr="00F3769E">
        <w:rPr>
          <w:rFonts w:ascii="Garamond" w:hAnsi="Garamond"/>
          <w:lang w:val="en-US"/>
        </w:rPr>
        <w:t xml:space="preserve">end our </w:t>
      </w:r>
      <w:r w:rsidR="00F3769E">
        <w:rPr>
          <w:rFonts w:ascii="Garamond" w:hAnsi="Garamond"/>
          <w:lang w:val="en-US"/>
        </w:rPr>
        <w:t>discussion</w:t>
      </w:r>
      <w:r w:rsidR="002E3647">
        <w:rPr>
          <w:rFonts w:ascii="Garamond" w:hAnsi="Garamond"/>
          <w:lang w:val="en-US"/>
        </w:rPr>
        <w:t>,</w:t>
      </w:r>
      <w:r w:rsidR="00F3769E">
        <w:rPr>
          <w:rFonts w:ascii="Garamond" w:hAnsi="Garamond"/>
          <w:lang w:val="en-US"/>
        </w:rPr>
        <w:t xml:space="preserve"> we wish to compare </w:t>
      </w:r>
      <w:r w:rsidR="002E3647">
        <w:rPr>
          <w:rFonts w:ascii="Garamond" w:hAnsi="Garamond"/>
          <w:lang w:val="en-US"/>
        </w:rPr>
        <w:t xml:space="preserve">the Contact Account </w:t>
      </w:r>
      <w:r w:rsidR="0092298C">
        <w:rPr>
          <w:rFonts w:ascii="Garamond" w:hAnsi="Garamond"/>
          <w:lang w:val="en-US"/>
        </w:rPr>
        <w:t>with</w:t>
      </w:r>
      <w:r w:rsidR="00F27AA3">
        <w:rPr>
          <w:rFonts w:ascii="Garamond" w:hAnsi="Garamond"/>
          <w:lang w:val="en-US"/>
        </w:rPr>
        <w:t xml:space="preserve"> one final class of views</w:t>
      </w:r>
      <w:r w:rsidR="001F4E03">
        <w:rPr>
          <w:rFonts w:ascii="Garamond" w:hAnsi="Garamond"/>
          <w:lang w:val="en-US"/>
        </w:rPr>
        <w:t xml:space="preserve">, </w:t>
      </w:r>
      <w:r w:rsidR="0092298C">
        <w:rPr>
          <w:rFonts w:ascii="Garamond" w:hAnsi="Garamond"/>
          <w:lang w:val="en-US"/>
        </w:rPr>
        <w:t xml:space="preserve">to </w:t>
      </w:r>
      <w:r w:rsidR="00083BC4">
        <w:rPr>
          <w:rFonts w:ascii="Garamond" w:hAnsi="Garamond"/>
          <w:lang w:val="en-US"/>
        </w:rPr>
        <w:t xml:space="preserve">which </w:t>
      </w:r>
      <w:r w:rsidR="0092298C">
        <w:rPr>
          <w:rFonts w:ascii="Garamond" w:hAnsi="Garamond"/>
          <w:lang w:val="en-US"/>
        </w:rPr>
        <w:t>it</w:t>
      </w:r>
      <w:r w:rsidR="00F3769E">
        <w:rPr>
          <w:rFonts w:ascii="Garamond" w:hAnsi="Garamond"/>
          <w:lang w:val="en-US"/>
        </w:rPr>
        <w:t xml:space="preserve"> bear</w:t>
      </w:r>
      <w:r w:rsidR="0092298C">
        <w:rPr>
          <w:rFonts w:ascii="Garamond" w:hAnsi="Garamond"/>
          <w:lang w:val="en-US"/>
        </w:rPr>
        <w:t>s</w:t>
      </w:r>
      <w:r w:rsidR="00F3769E">
        <w:rPr>
          <w:rFonts w:ascii="Garamond" w:hAnsi="Garamond"/>
          <w:lang w:val="en-US"/>
        </w:rPr>
        <w:t xml:space="preserve"> </w:t>
      </w:r>
      <w:r w:rsidR="0092298C">
        <w:rPr>
          <w:rFonts w:ascii="Garamond" w:hAnsi="Garamond"/>
          <w:lang w:val="en-US"/>
        </w:rPr>
        <w:t>a</w:t>
      </w:r>
      <w:r w:rsidR="00313649">
        <w:rPr>
          <w:rFonts w:ascii="Garamond" w:hAnsi="Garamond"/>
          <w:lang w:val="en-US"/>
        </w:rPr>
        <w:t xml:space="preserve"> </w:t>
      </w:r>
      <w:r w:rsidR="001F4E03">
        <w:rPr>
          <w:rFonts w:ascii="Garamond" w:hAnsi="Garamond"/>
          <w:lang w:val="en-US"/>
        </w:rPr>
        <w:t xml:space="preserve">special </w:t>
      </w:r>
      <w:r w:rsidR="00F3769E">
        <w:rPr>
          <w:rFonts w:ascii="Garamond" w:hAnsi="Garamond"/>
          <w:lang w:val="en-US"/>
        </w:rPr>
        <w:t>resemblanc</w:t>
      </w:r>
      <w:r w:rsidR="0092298C">
        <w:rPr>
          <w:rFonts w:ascii="Garamond" w:hAnsi="Garamond"/>
          <w:lang w:val="en-US"/>
        </w:rPr>
        <w:t>e</w:t>
      </w:r>
      <w:r w:rsidR="001F4E03">
        <w:rPr>
          <w:rFonts w:ascii="Garamond" w:hAnsi="Garamond"/>
          <w:lang w:val="en-US"/>
        </w:rPr>
        <w:t xml:space="preserve">: </w:t>
      </w:r>
      <w:r w:rsidR="00313649">
        <w:rPr>
          <w:rFonts w:ascii="Garamond" w:hAnsi="Garamond"/>
          <w:lang w:val="en-US"/>
        </w:rPr>
        <w:t>‘</w:t>
      </w:r>
      <w:r w:rsidR="0033029F">
        <w:rPr>
          <w:rFonts w:ascii="Garamond" w:hAnsi="Garamond"/>
          <w:lang w:val="en-US"/>
        </w:rPr>
        <w:t>l</w:t>
      </w:r>
      <w:r w:rsidR="00313649">
        <w:rPr>
          <w:rFonts w:ascii="Garamond" w:hAnsi="Garamond"/>
          <w:lang w:val="en-US"/>
        </w:rPr>
        <w:t xml:space="preserve">ocative </w:t>
      </w:r>
      <w:r w:rsidR="0033029F">
        <w:rPr>
          <w:rFonts w:ascii="Garamond" w:hAnsi="Garamond"/>
          <w:lang w:val="en-US"/>
        </w:rPr>
        <w:t>view</w:t>
      </w:r>
      <w:r w:rsidR="002E3647">
        <w:rPr>
          <w:rFonts w:ascii="Garamond" w:hAnsi="Garamond"/>
          <w:lang w:val="en-US"/>
        </w:rPr>
        <w:t>s</w:t>
      </w:r>
      <w:r w:rsidR="00313649">
        <w:rPr>
          <w:rFonts w:ascii="Garamond" w:hAnsi="Garamond"/>
          <w:lang w:val="en-US"/>
        </w:rPr>
        <w:t>’</w:t>
      </w:r>
      <w:r w:rsidR="002E3647">
        <w:rPr>
          <w:rFonts w:ascii="Garamond" w:hAnsi="Garamond"/>
          <w:lang w:val="en-US"/>
        </w:rPr>
        <w:t>, as we’ll call them</w:t>
      </w:r>
      <w:r w:rsidR="00F3769E">
        <w:rPr>
          <w:rFonts w:ascii="Garamond" w:hAnsi="Garamond"/>
          <w:lang w:val="en-US"/>
        </w:rPr>
        <w:t xml:space="preserve">. </w:t>
      </w:r>
      <w:r w:rsidR="0033029F">
        <w:rPr>
          <w:rFonts w:ascii="Garamond" w:hAnsi="Garamond"/>
          <w:lang w:val="en-US"/>
        </w:rPr>
        <w:t xml:space="preserve">On </w:t>
      </w:r>
      <w:r w:rsidR="009F7C2C">
        <w:rPr>
          <w:rFonts w:ascii="Garamond" w:hAnsi="Garamond"/>
          <w:lang w:val="en-US"/>
        </w:rPr>
        <w:t>th</w:t>
      </w:r>
      <w:r w:rsidR="002E3647">
        <w:rPr>
          <w:rFonts w:ascii="Garamond" w:hAnsi="Garamond"/>
          <w:lang w:val="en-US"/>
        </w:rPr>
        <w:t>ese</w:t>
      </w:r>
      <w:r w:rsidR="0033029F">
        <w:rPr>
          <w:rFonts w:ascii="Garamond" w:hAnsi="Garamond"/>
          <w:lang w:val="en-US"/>
        </w:rPr>
        <w:t xml:space="preserve"> view</w:t>
      </w:r>
      <w:r w:rsidR="002E3647">
        <w:rPr>
          <w:rFonts w:ascii="Garamond" w:hAnsi="Garamond"/>
          <w:lang w:val="en-US"/>
        </w:rPr>
        <w:t>s</w:t>
      </w:r>
      <w:r w:rsidR="0033029F">
        <w:rPr>
          <w:rFonts w:ascii="Garamond" w:hAnsi="Garamond"/>
          <w:lang w:val="en-US"/>
        </w:rPr>
        <w:t xml:space="preserve">, </w:t>
      </w:r>
      <w:r w:rsidRPr="00D4325A">
        <w:rPr>
          <w:rFonts w:ascii="Garamond" w:hAnsi="Garamond"/>
          <w:lang w:val="en-US"/>
        </w:rPr>
        <w:t xml:space="preserve">something is good for </w:t>
      </w:r>
      <w:r w:rsidR="0033029F">
        <w:rPr>
          <w:rFonts w:ascii="Garamond" w:hAnsi="Garamond"/>
          <w:lang w:val="en-US"/>
        </w:rPr>
        <w:t>you if it</w:t>
      </w:r>
      <w:r w:rsidR="00F66501">
        <w:rPr>
          <w:rFonts w:ascii="Garamond" w:hAnsi="Garamond"/>
          <w:lang w:val="en-US"/>
        </w:rPr>
        <w:t>’</w:t>
      </w:r>
      <w:r w:rsidRPr="00D4325A">
        <w:rPr>
          <w:rFonts w:ascii="Garamond" w:hAnsi="Garamond"/>
          <w:lang w:val="en-US"/>
        </w:rPr>
        <w:t xml:space="preserve">s </w:t>
      </w:r>
      <w:r w:rsidR="0033029F">
        <w:rPr>
          <w:rFonts w:ascii="Garamond" w:hAnsi="Garamond"/>
          <w:lang w:val="en-US"/>
        </w:rPr>
        <w:t xml:space="preserve">impersonally </w:t>
      </w:r>
      <w:r w:rsidRPr="00D4325A">
        <w:rPr>
          <w:rFonts w:ascii="Garamond" w:hAnsi="Garamond"/>
          <w:lang w:val="en-US"/>
        </w:rPr>
        <w:t>good</w:t>
      </w:r>
      <w:r w:rsidR="0033029F">
        <w:rPr>
          <w:rFonts w:ascii="Garamond" w:hAnsi="Garamond"/>
          <w:lang w:val="en-US"/>
        </w:rPr>
        <w:t xml:space="preserve">, and </w:t>
      </w:r>
      <w:r w:rsidR="008C208B">
        <w:rPr>
          <w:rFonts w:ascii="Garamond" w:hAnsi="Garamond"/>
          <w:lang w:val="en-US"/>
        </w:rPr>
        <w:t xml:space="preserve">in some </w:t>
      </w:r>
      <w:r w:rsidR="008C208B">
        <w:rPr>
          <w:rFonts w:ascii="Garamond" w:hAnsi="Garamond"/>
          <w:lang w:val="en-US"/>
        </w:rPr>
        <w:lastRenderedPageBreak/>
        <w:t>sense</w:t>
      </w:r>
      <w:r w:rsidRPr="00D4325A">
        <w:rPr>
          <w:rFonts w:ascii="Garamond" w:hAnsi="Garamond"/>
          <w:lang w:val="en-US"/>
        </w:rPr>
        <w:t xml:space="preserve"> </w:t>
      </w:r>
      <w:r w:rsidR="00132DF5">
        <w:rPr>
          <w:rFonts w:ascii="Garamond" w:hAnsi="Garamond"/>
          <w:lang w:val="en-US"/>
        </w:rPr>
        <w:t xml:space="preserve">in </w:t>
      </w:r>
      <w:r w:rsidR="00AB2490">
        <w:rPr>
          <w:rFonts w:ascii="Garamond" w:hAnsi="Garamond"/>
          <w:lang w:val="en-US"/>
        </w:rPr>
        <w:t>the same location as</w:t>
      </w:r>
      <w:r w:rsidR="006A0503">
        <w:rPr>
          <w:rFonts w:ascii="Garamond" w:hAnsi="Garamond"/>
          <w:lang w:val="en-US"/>
        </w:rPr>
        <w:t xml:space="preserve"> you or your life</w:t>
      </w:r>
      <w:r w:rsidR="0033029F">
        <w:rPr>
          <w:rFonts w:ascii="Garamond" w:hAnsi="Garamond"/>
          <w:lang w:val="en-US"/>
        </w:rPr>
        <w:t xml:space="preserve">. </w:t>
      </w:r>
      <w:r w:rsidR="00852B2B">
        <w:rPr>
          <w:rFonts w:ascii="Garamond" w:hAnsi="Garamond"/>
          <w:lang w:val="en-US"/>
        </w:rPr>
        <w:t xml:space="preserve">This </w:t>
      </w:r>
      <w:r w:rsidR="009F7C2C">
        <w:rPr>
          <w:rFonts w:ascii="Garamond" w:hAnsi="Garamond"/>
          <w:lang w:val="en-US"/>
        </w:rPr>
        <w:t>idea</w:t>
      </w:r>
      <w:r w:rsidR="00852B2B">
        <w:rPr>
          <w:rFonts w:ascii="Garamond" w:hAnsi="Garamond"/>
          <w:lang w:val="en-US"/>
        </w:rPr>
        <w:t xml:space="preserve"> </w:t>
      </w:r>
      <w:r w:rsidR="00577C6F">
        <w:rPr>
          <w:rFonts w:ascii="Garamond" w:hAnsi="Garamond"/>
          <w:lang w:val="en-US"/>
        </w:rPr>
        <w:t>is often traced</w:t>
      </w:r>
      <w:r w:rsidR="00A35CBD">
        <w:rPr>
          <w:rFonts w:ascii="Garamond" w:hAnsi="Garamond"/>
          <w:lang w:val="en-US"/>
        </w:rPr>
        <w:t xml:space="preserve"> </w:t>
      </w:r>
      <w:r w:rsidR="0033029F">
        <w:rPr>
          <w:rFonts w:ascii="Garamond" w:hAnsi="Garamond"/>
          <w:lang w:val="en-US"/>
        </w:rPr>
        <w:t>to G.E. Moore, who said: ‘</w:t>
      </w:r>
      <w:r w:rsidR="0033029F" w:rsidRPr="0033029F">
        <w:rPr>
          <w:rFonts w:ascii="Garamond" w:hAnsi="Garamond"/>
          <w:lang w:val="en-US"/>
        </w:rPr>
        <w:t xml:space="preserve">when I talk of a thing as </w:t>
      </w:r>
      <w:r w:rsidR="0033029F">
        <w:rPr>
          <w:rFonts w:ascii="Garamond" w:hAnsi="Garamond"/>
          <w:lang w:val="en-US"/>
        </w:rPr>
        <w:t>‘</w:t>
      </w:r>
      <w:r w:rsidR="0033029F" w:rsidRPr="0033029F">
        <w:rPr>
          <w:rFonts w:ascii="Garamond" w:hAnsi="Garamond"/>
          <w:lang w:val="en-US"/>
        </w:rPr>
        <w:t>my own good</w:t>
      </w:r>
      <w:r w:rsidR="0033029F">
        <w:rPr>
          <w:rFonts w:ascii="Garamond" w:hAnsi="Garamond"/>
          <w:lang w:val="en-US"/>
        </w:rPr>
        <w:t xml:space="preserve">’ [or ‘good for me’] </w:t>
      </w:r>
      <w:r w:rsidR="0033029F" w:rsidRPr="0033029F">
        <w:rPr>
          <w:rFonts w:ascii="Garamond" w:hAnsi="Garamond"/>
          <w:lang w:val="en-US"/>
        </w:rPr>
        <w:t>all that I can mean is that something which will be exclusively mine, as my own pleasure is mine</w:t>
      </w:r>
      <w:r w:rsidR="00DB76EA">
        <w:rPr>
          <w:rFonts w:ascii="Garamond" w:hAnsi="Garamond"/>
          <w:lang w:val="en-US"/>
        </w:rPr>
        <w:t xml:space="preserve"> […] </w:t>
      </w:r>
      <w:r w:rsidR="0033029F" w:rsidRPr="0033029F">
        <w:rPr>
          <w:rFonts w:ascii="Garamond" w:hAnsi="Garamond"/>
          <w:lang w:val="en-US"/>
        </w:rPr>
        <w:t>is also good absolutely</w:t>
      </w:r>
      <w:r w:rsidR="0033029F">
        <w:rPr>
          <w:rFonts w:ascii="Garamond" w:hAnsi="Garamond"/>
          <w:lang w:val="en-US"/>
        </w:rPr>
        <w:t>’</w:t>
      </w:r>
      <w:r w:rsidR="00852B2B">
        <w:rPr>
          <w:rFonts w:ascii="Garamond" w:hAnsi="Garamond"/>
          <w:lang w:val="en-US"/>
        </w:rPr>
        <w:t xml:space="preserve"> (1993, 150). </w:t>
      </w:r>
      <w:r w:rsidR="00A35CBD">
        <w:rPr>
          <w:rFonts w:ascii="Garamond" w:hAnsi="Garamond"/>
          <w:lang w:val="en-US"/>
        </w:rPr>
        <w:t>The idea has recently been revived</w:t>
      </w:r>
      <w:r w:rsidR="003521C5">
        <w:rPr>
          <w:rFonts w:ascii="Garamond" w:hAnsi="Garamond"/>
          <w:lang w:val="en-US"/>
        </w:rPr>
        <w:t>.</w:t>
      </w:r>
      <w:r w:rsidR="003521C5" w:rsidRPr="000E5D20">
        <w:rPr>
          <w:rStyle w:val="FootnoteReference"/>
        </w:rPr>
        <w:footnoteReference w:id="30"/>
      </w:r>
      <w:r w:rsidR="00852B2B">
        <w:rPr>
          <w:rFonts w:ascii="Garamond" w:hAnsi="Garamond"/>
          <w:lang w:val="en-US"/>
        </w:rPr>
        <w:t xml:space="preserve"> </w:t>
      </w:r>
      <w:r w:rsidR="00DA663C">
        <w:rPr>
          <w:rFonts w:ascii="Garamond" w:hAnsi="Garamond"/>
          <w:lang w:val="en-US"/>
        </w:rPr>
        <w:t xml:space="preserve">How does the Contact Account compare to </w:t>
      </w:r>
      <w:r w:rsidR="00F66501">
        <w:rPr>
          <w:rFonts w:ascii="Garamond" w:hAnsi="Garamond"/>
          <w:lang w:val="en-US"/>
        </w:rPr>
        <w:t>such views</w:t>
      </w:r>
      <w:r w:rsidR="00DA663C">
        <w:rPr>
          <w:rFonts w:ascii="Garamond" w:hAnsi="Garamond"/>
          <w:lang w:val="en-US"/>
        </w:rPr>
        <w:t>?</w:t>
      </w:r>
      <w:r w:rsidR="00CE24E9" w:rsidRPr="000E5D20">
        <w:rPr>
          <w:rStyle w:val="FootnoteReference"/>
        </w:rPr>
        <w:footnoteReference w:id="31"/>
      </w:r>
    </w:p>
    <w:p w14:paraId="2EE5A270" w14:textId="13DCE026" w:rsidR="00FC6053" w:rsidRDefault="00DA663C" w:rsidP="007C5554">
      <w:pPr>
        <w:ind w:firstLine="709"/>
        <w:jc w:val="both"/>
        <w:rPr>
          <w:rFonts w:ascii="Garamond" w:hAnsi="Garamond"/>
          <w:lang w:val="en-US"/>
        </w:rPr>
      </w:pPr>
      <w:r>
        <w:rPr>
          <w:rFonts w:ascii="Garamond" w:hAnsi="Garamond"/>
          <w:lang w:val="en-US"/>
        </w:rPr>
        <w:t xml:space="preserve">There’s a clear similarity. </w:t>
      </w:r>
      <w:r w:rsidR="009276C2">
        <w:rPr>
          <w:rFonts w:ascii="Garamond" w:hAnsi="Garamond"/>
          <w:lang w:val="en-US"/>
        </w:rPr>
        <w:t>On locative vie</w:t>
      </w:r>
      <w:r w:rsidR="009A6E09">
        <w:rPr>
          <w:rFonts w:ascii="Garamond" w:hAnsi="Garamond"/>
          <w:lang w:val="en-US"/>
        </w:rPr>
        <w:t>w</w:t>
      </w:r>
      <w:r w:rsidR="00F66501">
        <w:rPr>
          <w:rFonts w:ascii="Garamond" w:hAnsi="Garamond"/>
          <w:lang w:val="en-US"/>
        </w:rPr>
        <w:t>s</w:t>
      </w:r>
      <w:r w:rsidR="009276C2">
        <w:rPr>
          <w:rFonts w:ascii="Garamond" w:hAnsi="Garamond"/>
          <w:lang w:val="en-US"/>
        </w:rPr>
        <w:t xml:space="preserve">, as well as on </w:t>
      </w:r>
      <w:r w:rsidR="00A515BE">
        <w:rPr>
          <w:rFonts w:ascii="Garamond" w:hAnsi="Garamond"/>
          <w:lang w:val="en-US"/>
        </w:rPr>
        <w:t>our</w:t>
      </w:r>
      <w:r w:rsidR="009276C2">
        <w:rPr>
          <w:rFonts w:ascii="Garamond" w:hAnsi="Garamond"/>
          <w:lang w:val="en-US"/>
        </w:rPr>
        <w:t xml:space="preserve"> </w:t>
      </w:r>
      <w:r w:rsidR="00B61793">
        <w:rPr>
          <w:rFonts w:ascii="Garamond" w:hAnsi="Garamond"/>
          <w:lang w:val="en-US"/>
        </w:rPr>
        <w:t>a</w:t>
      </w:r>
      <w:r w:rsidR="009276C2">
        <w:rPr>
          <w:rFonts w:ascii="Garamond" w:hAnsi="Garamond"/>
          <w:lang w:val="en-US"/>
        </w:rPr>
        <w:t xml:space="preserve">ccount, something is good for you if it’s impersonally good, and you bear some appropriate relation to it. However, the </w:t>
      </w:r>
      <w:r w:rsidR="006D61EF">
        <w:rPr>
          <w:rFonts w:ascii="Garamond" w:hAnsi="Garamond"/>
          <w:lang w:val="en-US"/>
        </w:rPr>
        <w:t>required</w:t>
      </w:r>
      <w:r w:rsidR="00F66501">
        <w:rPr>
          <w:rFonts w:ascii="Garamond" w:hAnsi="Garamond"/>
          <w:lang w:val="en-US"/>
        </w:rPr>
        <w:t xml:space="preserve"> </w:t>
      </w:r>
      <w:r w:rsidR="009276C2">
        <w:rPr>
          <w:rFonts w:ascii="Garamond" w:hAnsi="Garamond"/>
          <w:lang w:val="en-US"/>
        </w:rPr>
        <w:t xml:space="preserve">kind of relation </w:t>
      </w:r>
      <w:r w:rsidR="00F66501">
        <w:rPr>
          <w:rFonts w:ascii="Garamond" w:hAnsi="Garamond"/>
          <w:lang w:val="en-US"/>
        </w:rPr>
        <w:t>is d</w:t>
      </w:r>
      <w:r w:rsidR="006D61EF">
        <w:rPr>
          <w:rFonts w:ascii="Garamond" w:hAnsi="Garamond"/>
          <w:lang w:val="en-US"/>
        </w:rPr>
        <w:t>ifferent</w:t>
      </w:r>
      <w:r w:rsidR="00362D1C">
        <w:rPr>
          <w:rFonts w:ascii="Garamond" w:hAnsi="Garamond"/>
          <w:lang w:val="en-US"/>
        </w:rPr>
        <w:t xml:space="preserve">. </w:t>
      </w:r>
      <w:r w:rsidR="00FC6053">
        <w:rPr>
          <w:rFonts w:ascii="Garamond" w:hAnsi="Garamond"/>
          <w:lang w:val="en-US"/>
        </w:rPr>
        <w:t>Locative views say</w:t>
      </w:r>
      <w:r w:rsidR="00A7203A">
        <w:rPr>
          <w:rFonts w:ascii="Garamond" w:hAnsi="Garamond"/>
          <w:lang w:val="en-US"/>
        </w:rPr>
        <w:t xml:space="preserve"> that</w:t>
      </w:r>
      <w:r w:rsidR="00FC6053">
        <w:rPr>
          <w:rFonts w:ascii="Garamond" w:hAnsi="Garamond"/>
          <w:lang w:val="en-US"/>
        </w:rPr>
        <w:t xml:space="preserve">, when an impersonal good is good for you, you’re somehow part of that good </w:t>
      </w:r>
      <w:r w:rsidR="00A7203A">
        <w:rPr>
          <w:rFonts w:ascii="Garamond" w:hAnsi="Garamond"/>
          <w:lang w:val="en-US"/>
        </w:rPr>
        <w:t xml:space="preserve">– either literally a constituent of </w:t>
      </w:r>
      <w:r w:rsidR="00573368">
        <w:rPr>
          <w:rFonts w:ascii="Garamond" w:hAnsi="Garamond"/>
          <w:lang w:val="en-US"/>
        </w:rPr>
        <w:t>it</w:t>
      </w:r>
      <w:r w:rsidR="00A7203A">
        <w:rPr>
          <w:rFonts w:ascii="Garamond" w:hAnsi="Garamond"/>
          <w:lang w:val="en-US"/>
        </w:rPr>
        <w:t xml:space="preserve"> (McDaniel 2014, 29), or </w:t>
      </w:r>
      <w:r w:rsidR="00A35CBD">
        <w:rPr>
          <w:rFonts w:ascii="Garamond" w:hAnsi="Garamond"/>
          <w:lang w:val="en-US"/>
        </w:rPr>
        <w:t xml:space="preserve">somehow essentially related to it </w:t>
      </w:r>
      <w:r w:rsidR="00A7203A">
        <w:rPr>
          <w:rFonts w:ascii="Garamond" w:hAnsi="Garamond"/>
          <w:lang w:val="en-US"/>
        </w:rPr>
        <w:t xml:space="preserve">(Fletcher 2012, 5). </w:t>
      </w:r>
      <w:r w:rsidR="00FC6053">
        <w:rPr>
          <w:rFonts w:ascii="Garamond" w:hAnsi="Garamond"/>
          <w:lang w:val="en-US"/>
        </w:rPr>
        <w:t xml:space="preserve">You are not wholly distinct from the impersonal goods that are </w:t>
      </w:r>
      <w:r w:rsidR="006A0503">
        <w:rPr>
          <w:rFonts w:ascii="Garamond" w:hAnsi="Garamond"/>
          <w:lang w:val="en-US"/>
        </w:rPr>
        <w:t xml:space="preserve">good for you. </w:t>
      </w:r>
      <w:r w:rsidR="00F41AC0">
        <w:rPr>
          <w:rFonts w:ascii="Garamond" w:hAnsi="Garamond"/>
          <w:lang w:val="en-US"/>
        </w:rPr>
        <w:t xml:space="preserve">Thus you’re a part of your pleasures or friendships, say. </w:t>
      </w:r>
      <w:r w:rsidR="006A0503">
        <w:rPr>
          <w:rFonts w:ascii="Garamond" w:hAnsi="Garamond"/>
          <w:lang w:val="en-US"/>
        </w:rPr>
        <w:t xml:space="preserve">The Contact Account has a different picture of your relationship to such goods. It says that you are, or at any rate can be, wholly distinct from an impersonal good </w:t>
      </w:r>
      <w:r w:rsidR="00207821">
        <w:rPr>
          <w:rFonts w:ascii="Garamond" w:hAnsi="Garamond"/>
          <w:lang w:val="en-US"/>
        </w:rPr>
        <w:t>that</w:t>
      </w:r>
      <w:r w:rsidR="006A0503">
        <w:rPr>
          <w:rFonts w:ascii="Garamond" w:hAnsi="Garamond"/>
          <w:lang w:val="en-US"/>
        </w:rPr>
        <w:t xml:space="preserve"> is good for you. You are in no sense a constituent of</w:t>
      </w:r>
      <w:r w:rsidR="004A64F2">
        <w:rPr>
          <w:rFonts w:ascii="Garamond" w:hAnsi="Garamond"/>
          <w:lang w:val="en-US"/>
        </w:rPr>
        <w:t>, or essentially related to,</w:t>
      </w:r>
      <w:r w:rsidR="006A0503">
        <w:rPr>
          <w:rFonts w:ascii="Garamond" w:hAnsi="Garamond"/>
          <w:lang w:val="en-US"/>
        </w:rPr>
        <w:t xml:space="preserve"> a beautiful </w:t>
      </w:r>
      <w:r w:rsidR="0032331A">
        <w:rPr>
          <w:rFonts w:ascii="Garamond" w:hAnsi="Garamond"/>
          <w:lang w:val="en-US"/>
        </w:rPr>
        <w:t>painting</w:t>
      </w:r>
      <w:r w:rsidR="006A0503">
        <w:rPr>
          <w:rFonts w:ascii="Garamond" w:hAnsi="Garamond"/>
          <w:lang w:val="en-US"/>
        </w:rPr>
        <w:t xml:space="preserve"> or an elegant proof</w:t>
      </w:r>
      <w:r w:rsidR="00F41AC0">
        <w:rPr>
          <w:rFonts w:ascii="Garamond" w:hAnsi="Garamond"/>
          <w:lang w:val="en-US"/>
        </w:rPr>
        <w:t>, say –</w:t>
      </w:r>
      <w:r w:rsidR="006A0503">
        <w:rPr>
          <w:rFonts w:ascii="Garamond" w:hAnsi="Garamond"/>
          <w:lang w:val="en-US"/>
        </w:rPr>
        <w:t xml:space="preserve"> but seeing the former and </w:t>
      </w:r>
      <w:r w:rsidR="00207821">
        <w:rPr>
          <w:rFonts w:ascii="Garamond" w:hAnsi="Garamond"/>
          <w:lang w:val="en-US"/>
        </w:rPr>
        <w:t xml:space="preserve">producing </w:t>
      </w:r>
      <w:r w:rsidR="006A0503">
        <w:rPr>
          <w:rFonts w:ascii="Garamond" w:hAnsi="Garamond"/>
          <w:lang w:val="en-US"/>
        </w:rPr>
        <w:t>the latter can enrich your life. You have a more arms-length relationship to these goods</w:t>
      </w:r>
      <w:r w:rsidR="00F41AC0">
        <w:rPr>
          <w:rFonts w:ascii="Garamond" w:hAnsi="Garamond"/>
          <w:lang w:val="en-US"/>
        </w:rPr>
        <w:t>:</w:t>
      </w:r>
      <w:r w:rsidR="00207821">
        <w:rPr>
          <w:rFonts w:ascii="Garamond" w:hAnsi="Garamond"/>
          <w:lang w:val="en-US"/>
        </w:rPr>
        <w:t xml:space="preserve"> </w:t>
      </w:r>
      <w:r w:rsidR="006A0503">
        <w:rPr>
          <w:rFonts w:ascii="Garamond" w:hAnsi="Garamond"/>
          <w:lang w:val="en-US"/>
        </w:rPr>
        <w:t>precisely, the relationship of contact. This is why we think the Contact Account</w:t>
      </w:r>
      <w:r w:rsidR="007C5554">
        <w:rPr>
          <w:rFonts w:ascii="Garamond" w:hAnsi="Garamond"/>
          <w:lang w:val="en-US"/>
        </w:rPr>
        <w:t xml:space="preserve"> belongs not to the Moorean tradition requiring you to be part of a good, but (let’s say) the Platonic tradition requiring you to be in touch with a good. These two families of view</w:t>
      </w:r>
      <w:r w:rsidR="00207821">
        <w:rPr>
          <w:rFonts w:ascii="Garamond" w:hAnsi="Garamond"/>
          <w:lang w:val="en-US"/>
        </w:rPr>
        <w:t>s</w:t>
      </w:r>
      <w:r w:rsidR="007C5554">
        <w:rPr>
          <w:rFonts w:ascii="Garamond" w:hAnsi="Garamond"/>
          <w:lang w:val="en-US"/>
        </w:rPr>
        <w:t xml:space="preserve"> have a different picture of what relationship turns an impersonal into a personal good. </w:t>
      </w:r>
    </w:p>
    <w:p w14:paraId="047DD3CE" w14:textId="28E3CEC5" w:rsidR="00D80041" w:rsidRDefault="00972CE0" w:rsidP="00D80041">
      <w:pPr>
        <w:ind w:firstLine="709"/>
        <w:jc w:val="both"/>
        <w:rPr>
          <w:rFonts w:ascii="Garamond" w:hAnsi="Garamond"/>
          <w:lang w:val="en-US"/>
        </w:rPr>
      </w:pPr>
      <w:r>
        <w:rPr>
          <w:rFonts w:ascii="Garamond" w:hAnsi="Garamond"/>
          <w:lang w:val="en-US"/>
        </w:rPr>
        <w:t xml:space="preserve">Locative </w:t>
      </w:r>
      <w:r w:rsidR="002A0508">
        <w:rPr>
          <w:rFonts w:ascii="Garamond" w:hAnsi="Garamond"/>
          <w:lang w:val="en-US"/>
        </w:rPr>
        <w:t>views</w:t>
      </w:r>
      <w:r>
        <w:rPr>
          <w:rFonts w:ascii="Garamond" w:hAnsi="Garamond"/>
          <w:lang w:val="en-US"/>
        </w:rPr>
        <w:t xml:space="preserve"> of </w:t>
      </w:r>
      <w:r w:rsidR="002A0508">
        <w:rPr>
          <w:rFonts w:ascii="Garamond" w:hAnsi="Garamond"/>
          <w:lang w:val="en-US"/>
        </w:rPr>
        <w:t xml:space="preserve">welfare </w:t>
      </w:r>
      <w:r>
        <w:rPr>
          <w:rFonts w:ascii="Garamond" w:hAnsi="Garamond"/>
          <w:lang w:val="en-US"/>
        </w:rPr>
        <w:t xml:space="preserve">are interesting, but we prefer the Contact Account. </w:t>
      </w:r>
      <w:r w:rsidR="00D80041">
        <w:rPr>
          <w:rFonts w:ascii="Garamond" w:hAnsi="Garamond"/>
          <w:lang w:val="en-US"/>
        </w:rPr>
        <w:t>To explain why, it will be useful to spell out a locative view in more detail. Fletcher (2012)</w:t>
      </w:r>
      <w:r w:rsidR="0002769A">
        <w:rPr>
          <w:rFonts w:ascii="Garamond" w:hAnsi="Garamond"/>
          <w:lang w:val="en-US"/>
        </w:rPr>
        <w:t xml:space="preserve"> is a representative (and particularly well-developed) example.</w:t>
      </w:r>
      <w:r w:rsidR="00F76DD5" w:rsidRPr="000E5D20">
        <w:rPr>
          <w:rStyle w:val="FootnoteReference"/>
        </w:rPr>
        <w:footnoteReference w:id="32"/>
      </w:r>
      <w:r w:rsidR="0002769A">
        <w:rPr>
          <w:rFonts w:ascii="Garamond" w:hAnsi="Garamond"/>
          <w:lang w:val="en-US"/>
        </w:rPr>
        <w:t xml:space="preserve"> Fletcher </w:t>
      </w:r>
      <w:r w:rsidR="00D80041">
        <w:rPr>
          <w:rFonts w:ascii="Garamond" w:hAnsi="Garamond"/>
          <w:lang w:val="en-US"/>
        </w:rPr>
        <w:t xml:space="preserve">proposes that something is non-instrumentally </w:t>
      </w:r>
      <w:r w:rsidR="00D80041" w:rsidRPr="008C5557">
        <w:rPr>
          <w:rFonts w:ascii="Garamond" w:hAnsi="Garamond"/>
          <w:lang w:val="en-US"/>
        </w:rPr>
        <w:t xml:space="preserve">good for </w:t>
      </w:r>
      <w:r w:rsidR="00D80041">
        <w:rPr>
          <w:rFonts w:ascii="Garamond" w:hAnsi="Garamond"/>
          <w:lang w:val="en-US"/>
        </w:rPr>
        <w:t>you</w:t>
      </w:r>
      <w:r w:rsidR="00D80041" w:rsidRPr="008C5557">
        <w:rPr>
          <w:rFonts w:ascii="Garamond" w:hAnsi="Garamond"/>
          <w:lang w:val="en-US"/>
        </w:rPr>
        <w:t xml:space="preserve"> if and only if (</w:t>
      </w:r>
      <w:r w:rsidR="00D80041" w:rsidRPr="00E409F5">
        <w:rPr>
          <w:rFonts w:ascii="Garamond" w:hAnsi="Garamond"/>
          <w:lang w:val="en-US"/>
        </w:rPr>
        <w:t>i</w:t>
      </w:r>
      <w:r w:rsidR="00D80041" w:rsidRPr="008C5557">
        <w:rPr>
          <w:rFonts w:ascii="Garamond" w:hAnsi="Garamond"/>
          <w:lang w:val="en-US"/>
        </w:rPr>
        <w:t xml:space="preserve">) </w:t>
      </w:r>
      <w:r w:rsidR="00D80041">
        <w:rPr>
          <w:rFonts w:ascii="Garamond" w:hAnsi="Garamond"/>
          <w:lang w:val="en-US"/>
        </w:rPr>
        <w:t>it’s</w:t>
      </w:r>
      <w:r w:rsidR="00D80041" w:rsidRPr="008C5557">
        <w:rPr>
          <w:rFonts w:ascii="Garamond" w:hAnsi="Garamond"/>
          <w:lang w:val="en-US"/>
        </w:rPr>
        <w:t xml:space="preserve"> non-instrumentally</w:t>
      </w:r>
      <w:r w:rsidR="00D80041">
        <w:rPr>
          <w:rFonts w:ascii="Garamond" w:hAnsi="Garamond"/>
          <w:lang w:val="en-US"/>
        </w:rPr>
        <w:t xml:space="preserve"> </w:t>
      </w:r>
      <w:r w:rsidR="007E5D8A">
        <w:rPr>
          <w:rFonts w:ascii="Garamond" w:hAnsi="Garamond"/>
          <w:lang w:val="en-US"/>
        </w:rPr>
        <w:t>(</w:t>
      </w:r>
      <w:r w:rsidR="00D80041">
        <w:rPr>
          <w:rFonts w:ascii="Garamond" w:hAnsi="Garamond"/>
          <w:lang w:val="en-US"/>
        </w:rPr>
        <w:t>impersonally</w:t>
      </w:r>
      <w:r w:rsidR="007E5D8A">
        <w:rPr>
          <w:rFonts w:ascii="Garamond" w:hAnsi="Garamond"/>
          <w:lang w:val="en-US"/>
        </w:rPr>
        <w:t>)</w:t>
      </w:r>
      <w:r w:rsidR="00D80041" w:rsidRPr="008C5557">
        <w:rPr>
          <w:rFonts w:ascii="Garamond" w:hAnsi="Garamond"/>
          <w:lang w:val="en-US"/>
        </w:rPr>
        <w:t xml:space="preserve"> good, (ii)</w:t>
      </w:r>
      <w:r w:rsidR="00D80041">
        <w:rPr>
          <w:rFonts w:ascii="Garamond" w:hAnsi="Garamond"/>
          <w:lang w:val="en-US"/>
        </w:rPr>
        <w:t xml:space="preserve"> h</w:t>
      </w:r>
      <w:r w:rsidR="00D80041" w:rsidRPr="008C5557">
        <w:rPr>
          <w:rFonts w:ascii="Garamond" w:hAnsi="Garamond"/>
          <w:lang w:val="en-US"/>
        </w:rPr>
        <w:t xml:space="preserve">as properties that </w:t>
      </w:r>
      <w:r w:rsidR="00D80041">
        <w:rPr>
          <w:rFonts w:ascii="Garamond" w:hAnsi="Garamond"/>
          <w:lang w:val="en-US"/>
        </w:rPr>
        <w:t xml:space="preserve">(do or would) </w:t>
      </w:r>
      <w:r w:rsidR="00D80041" w:rsidRPr="008C5557">
        <w:rPr>
          <w:rFonts w:ascii="Garamond" w:hAnsi="Garamond"/>
          <w:lang w:val="en-US"/>
        </w:rPr>
        <w:t>generate</w:t>
      </w:r>
      <w:r w:rsidR="00D80041">
        <w:rPr>
          <w:rFonts w:ascii="Garamond" w:hAnsi="Garamond"/>
          <w:lang w:val="en-US"/>
        </w:rPr>
        <w:t xml:space="preserve"> </w:t>
      </w:r>
      <w:r w:rsidR="00D80041" w:rsidRPr="008C5557">
        <w:rPr>
          <w:rFonts w:ascii="Garamond" w:hAnsi="Garamond"/>
          <w:lang w:val="en-US"/>
        </w:rPr>
        <w:t xml:space="preserve">agent-relative reasons for </w:t>
      </w:r>
      <w:r w:rsidR="00D80041">
        <w:rPr>
          <w:rFonts w:ascii="Garamond" w:hAnsi="Garamond"/>
          <w:lang w:val="en-US"/>
        </w:rPr>
        <w:t>you</w:t>
      </w:r>
      <w:r w:rsidR="00D80041" w:rsidRPr="008C5557">
        <w:rPr>
          <w:rFonts w:ascii="Garamond" w:hAnsi="Garamond"/>
          <w:lang w:val="en-US"/>
        </w:rPr>
        <w:t xml:space="preserve"> to hold pro-attitudes towards </w:t>
      </w:r>
      <w:r w:rsidR="00D80041">
        <w:rPr>
          <w:rFonts w:ascii="Garamond" w:hAnsi="Garamond"/>
          <w:lang w:val="en-US"/>
        </w:rPr>
        <w:t>it</w:t>
      </w:r>
      <w:r w:rsidR="00D80041" w:rsidRPr="008C5557">
        <w:rPr>
          <w:rFonts w:ascii="Garamond" w:hAnsi="Garamond"/>
          <w:lang w:val="en-US"/>
        </w:rPr>
        <w:t xml:space="preserve"> for its own sake, </w:t>
      </w:r>
      <w:r w:rsidR="00D80041">
        <w:rPr>
          <w:rFonts w:ascii="Garamond" w:hAnsi="Garamond"/>
          <w:lang w:val="en-US"/>
        </w:rPr>
        <w:t xml:space="preserve">and </w:t>
      </w:r>
      <w:r w:rsidR="00D80041" w:rsidRPr="008C5557">
        <w:rPr>
          <w:rFonts w:ascii="Garamond" w:hAnsi="Garamond"/>
          <w:lang w:val="en-US"/>
        </w:rPr>
        <w:t xml:space="preserve">(iii) </w:t>
      </w:r>
      <w:r w:rsidR="00D80041">
        <w:rPr>
          <w:rFonts w:ascii="Garamond" w:hAnsi="Garamond"/>
          <w:lang w:val="en-US"/>
        </w:rPr>
        <w:t>is</w:t>
      </w:r>
      <w:r w:rsidR="00D80041" w:rsidRPr="008C5557">
        <w:rPr>
          <w:rFonts w:ascii="Garamond" w:hAnsi="Garamond"/>
          <w:lang w:val="en-US"/>
        </w:rPr>
        <w:t xml:space="preserve"> essentially related to </w:t>
      </w:r>
      <w:r w:rsidR="00D80041">
        <w:rPr>
          <w:rFonts w:ascii="Garamond" w:hAnsi="Garamond"/>
          <w:lang w:val="en-US"/>
        </w:rPr>
        <w:t xml:space="preserve">you. </w:t>
      </w:r>
      <w:r w:rsidR="007E5D8A">
        <w:rPr>
          <w:rFonts w:ascii="Garamond" w:hAnsi="Garamond"/>
          <w:lang w:val="en-US"/>
        </w:rPr>
        <w:t xml:space="preserve">Here essential relatedness is the key connection that locates an impersonal good in your life. </w:t>
      </w:r>
      <w:r w:rsidR="00D80041">
        <w:rPr>
          <w:rFonts w:ascii="Garamond" w:hAnsi="Garamond"/>
          <w:lang w:val="en-US"/>
        </w:rPr>
        <w:t>Something is essentially related to you, according to Fletcher, when it</w:t>
      </w:r>
      <w:r w:rsidR="00D80041" w:rsidRPr="008C5557">
        <w:rPr>
          <w:rFonts w:ascii="Garamond" w:hAnsi="Garamond"/>
          <w:lang w:val="en-US"/>
        </w:rPr>
        <w:t xml:space="preserve"> requires </w:t>
      </w:r>
      <w:r w:rsidR="00D80041">
        <w:rPr>
          <w:rFonts w:ascii="Garamond" w:hAnsi="Garamond"/>
          <w:lang w:val="en-US"/>
        </w:rPr>
        <w:t xml:space="preserve">your </w:t>
      </w:r>
      <w:r w:rsidR="00D80041" w:rsidRPr="008C5557">
        <w:rPr>
          <w:rFonts w:ascii="Garamond" w:hAnsi="Garamond"/>
          <w:lang w:val="en-US"/>
        </w:rPr>
        <w:t>existence in order to be the case</w:t>
      </w:r>
      <w:r w:rsidR="00D80041">
        <w:rPr>
          <w:rFonts w:ascii="Garamond" w:hAnsi="Garamond"/>
          <w:lang w:val="en-US"/>
        </w:rPr>
        <w:t xml:space="preserve">, </w:t>
      </w:r>
      <w:r w:rsidR="00D80041" w:rsidRPr="008C5557">
        <w:rPr>
          <w:rFonts w:ascii="Garamond" w:hAnsi="Garamond"/>
          <w:lang w:val="en-US"/>
        </w:rPr>
        <w:t xml:space="preserve">cannot persist in the absence of </w:t>
      </w:r>
      <w:r w:rsidR="00D80041">
        <w:rPr>
          <w:rFonts w:ascii="Garamond" w:hAnsi="Garamond"/>
          <w:lang w:val="en-US"/>
        </w:rPr>
        <w:t xml:space="preserve">you, and couldn’t be </w:t>
      </w:r>
      <w:r w:rsidR="00D80041" w:rsidRPr="008C5557">
        <w:rPr>
          <w:rFonts w:ascii="Garamond" w:hAnsi="Garamond"/>
          <w:lang w:val="en-US"/>
        </w:rPr>
        <w:t xml:space="preserve">the case without being </w:t>
      </w:r>
      <w:r w:rsidR="00D80041">
        <w:rPr>
          <w:rFonts w:ascii="Garamond" w:hAnsi="Garamond"/>
          <w:lang w:val="en-US"/>
        </w:rPr>
        <w:t>your</w:t>
      </w:r>
      <w:r w:rsidR="00D80041" w:rsidRPr="008C5557">
        <w:rPr>
          <w:rFonts w:ascii="Garamond" w:hAnsi="Garamond"/>
          <w:lang w:val="en-US"/>
        </w:rPr>
        <w:t>s.</w:t>
      </w:r>
      <w:r w:rsidR="00D80041">
        <w:rPr>
          <w:rFonts w:ascii="Garamond" w:hAnsi="Garamond"/>
          <w:lang w:val="en-US"/>
        </w:rPr>
        <w:t xml:space="preserve"> </w:t>
      </w:r>
      <w:r w:rsidR="0002769A">
        <w:rPr>
          <w:rFonts w:ascii="Garamond" w:hAnsi="Garamond"/>
          <w:lang w:val="en-US"/>
        </w:rPr>
        <w:t xml:space="preserve">To be essentially related to you is to be, in some sense, modally dependent on you. </w:t>
      </w:r>
      <w:r w:rsidR="00D80041">
        <w:rPr>
          <w:rFonts w:ascii="Garamond" w:hAnsi="Garamond"/>
          <w:lang w:val="en-US"/>
        </w:rPr>
        <w:t>Fletcher thinks your pleasures and pains are in this sense essentially related to you: if you stub your toe, the token pain you feel couldn’t exist without you existing, wouldn’t persist in your absence</w:t>
      </w:r>
      <w:r w:rsidR="00F41AC0">
        <w:rPr>
          <w:rFonts w:ascii="Garamond" w:hAnsi="Garamond"/>
          <w:lang w:val="en-US"/>
        </w:rPr>
        <w:t>, and wouldn’t be what it is without being yours</w:t>
      </w:r>
      <w:r w:rsidR="00D80041">
        <w:rPr>
          <w:rFonts w:ascii="Garamond" w:hAnsi="Garamond"/>
          <w:lang w:val="en-US"/>
        </w:rPr>
        <w:t xml:space="preserve">. A similar story </w:t>
      </w:r>
      <w:r w:rsidR="00D137D5">
        <w:rPr>
          <w:rFonts w:ascii="Garamond" w:hAnsi="Garamond"/>
          <w:lang w:val="en-US"/>
        </w:rPr>
        <w:t xml:space="preserve">perhaps </w:t>
      </w:r>
      <w:r w:rsidR="00D80041">
        <w:rPr>
          <w:rFonts w:ascii="Garamond" w:hAnsi="Garamond"/>
          <w:lang w:val="en-US"/>
        </w:rPr>
        <w:t>applies to knowledge and</w:t>
      </w:r>
      <w:r w:rsidR="00D137D5">
        <w:rPr>
          <w:rFonts w:ascii="Garamond" w:hAnsi="Garamond"/>
          <w:lang w:val="en-US"/>
        </w:rPr>
        <w:t xml:space="preserve"> </w:t>
      </w:r>
      <w:r w:rsidR="00D80041">
        <w:rPr>
          <w:rFonts w:ascii="Garamond" w:hAnsi="Garamond"/>
          <w:lang w:val="en-US"/>
        </w:rPr>
        <w:t xml:space="preserve">friendship. In this way, the view captures much of what is intuitively good for people.  </w:t>
      </w:r>
    </w:p>
    <w:p w14:paraId="026E5E51" w14:textId="1C8D6B87" w:rsidR="0002769A" w:rsidRDefault="0002769A" w:rsidP="008C208B">
      <w:pPr>
        <w:ind w:firstLine="709"/>
        <w:jc w:val="both"/>
        <w:rPr>
          <w:rFonts w:ascii="Garamond" w:hAnsi="Garamond"/>
          <w:lang w:val="en-US"/>
        </w:rPr>
      </w:pPr>
      <w:r>
        <w:rPr>
          <w:rFonts w:ascii="Garamond" w:hAnsi="Garamond"/>
          <w:lang w:val="en-US"/>
        </w:rPr>
        <w:t xml:space="preserve">Nonetheless, we think some </w:t>
      </w:r>
      <w:r w:rsidR="00132DF5">
        <w:rPr>
          <w:rFonts w:ascii="Garamond" w:hAnsi="Garamond"/>
          <w:lang w:val="en-US"/>
        </w:rPr>
        <w:t xml:space="preserve">cases </w:t>
      </w:r>
      <w:r>
        <w:rPr>
          <w:rFonts w:ascii="Garamond" w:hAnsi="Garamond"/>
          <w:lang w:val="en-US"/>
        </w:rPr>
        <w:t>pose difficulties to this theory. T</w:t>
      </w:r>
      <w:r w:rsidR="00132DF5">
        <w:rPr>
          <w:rFonts w:ascii="Garamond" w:hAnsi="Garamond"/>
          <w:lang w:val="en-US"/>
        </w:rPr>
        <w:t>he first are those in which you actively produce a good.</w:t>
      </w:r>
      <w:r>
        <w:rPr>
          <w:rFonts w:ascii="Garamond" w:hAnsi="Garamond"/>
          <w:lang w:val="en-US"/>
        </w:rPr>
        <w:t xml:space="preserve"> </w:t>
      </w:r>
      <w:r w:rsidR="00132DF5">
        <w:rPr>
          <w:rFonts w:ascii="Garamond" w:hAnsi="Garamond"/>
          <w:lang w:val="en-US"/>
        </w:rPr>
        <w:t xml:space="preserve">Consider </w:t>
      </w:r>
      <w:r>
        <w:rPr>
          <w:rFonts w:ascii="Garamond" w:hAnsi="Garamond"/>
          <w:lang w:val="en-US"/>
        </w:rPr>
        <w:t xml:space="preserve">achievements. Imagine you start an enormous public health campaign, and ultimately succeed in eradicating malaria. It is good for you that malaria is eradicated. But that eradication is not </w:t>
      </w:r>
      <w:r>
        <w:rPr>
          <w:rFonts w:ascii="Garamond" w:hAnsi="Garamond"/>
          <w:lang w:val="en-US"/>
        </w:rPr>
        <w:lastRenderedPageBreak/>
        <w:t xml:space="preserve">essentially related to you. Malaria could have been eradicated without </w:t>
      </w:r>
      <w:proofErr w:type="gramStart"/>
      <w:r>
        <w:rPr>
          <w:rFonts w:ascii="Garamond" w:hAnsi="Garamond"/>
          <w:lang w:val="en-US"/>
        </w:rPr>
        <w:t>you, and</w:t>
      </w:r>
      <w:proofErr w:type="gramEnd"/>
      <w:r>
        <w:rPr>
          <w:rFonts w:ascii="Garamond" w:hAnsi="Garamond"/>
          <w:lang w:val="en-US"/>
        </w:rPr>
        <w:t xml:space="preserve"> will (hopefully) stay eradicated when you die. So it seems that, on Fletcher’s view, the value of malaria having been eradicated doesn’t contribute to your life</w:t>
      </w:r>
      <w:r w:rsidR="00D36723">
        <w:rPr>
          <w:rFonts w:ascii="Garamond" w:hAnsi="Garamond"/>
          <w:lang w:val="en-US"/>
        </w:rPr>
        <w:t xml:space="preserve">. </w:t>
      </w:r>
      <w:r w:rsidR="00FE27CB">
        <w:rPr>
          <w:rFonts w:ascii="Garamond" w:hAnsi="Garamond"/>
          <w:lang w:val="en-US"/>
        </w:rPr>
        <w:t>Second</w:t>
      </w:r>
      <w:r w:rsidR="00132DF5">
        <w:rPr>
          <w:rFonts w:ascii="Garamond" w:hAnsi="Garamond"/>
          <w:lang w:val="en-US"/>
        </w:rPr>
        <w:t xml:space="preserve"> are cases in which you</w:t>
      </w:r>
      <w:r w:rsidR="00D36723">
        <w:rPr>
          <w:rFonts w:ascii="Garamond" w:hAnsi="Garamond"/>
          <w:lang w:val="en-US"/>
        </w:rPr>
        <w:t xml:space="preserve"> </w:t>
      </w:r>
      <w:r w:rsidR="00132DF5">
        <w:rPr>
          <w:rFonts w:ascii="Garamond" w:hAnsi="Garamond"/>
          <w:lang w:val="en-US"/>
        </w:rPr>
        <w:t>passively appreciate a value. C</w:t>
      </w:r>
      <w:r w:rsidR="00D36723">
        <w:rPr>
          <w:rFonts w:ascii="Garamond" w:hAnsi="Garamond"/>
          <w:lang w:val="en-US"/>
        </w:rPr>
        <w:t xml:space="preserve">onsider </w:t>
      </w:r>
      <w:r w:rsidR="004C2C82">
        <w:rPr>
          <w:rFonts w:ascii="Garamond" w:hAnsi="Garamond"/>
          <w:lang w:val="en-US"/>
        </w:rPr>
        <w:t xml:space="preserve">beauty. </w:t>
      </w:r>
      <w:r w:rsidR="00D36723">
        <w:rPr>
          <w:rFonts w:ascii="Garamond" w:hAnsi="Garamond"/>
          <w:lang w:val="en-US"/>
        </w:rPr>
        <w:t xml:space="preserve">It might be </w:t>
      </w:r>
      <w:r w:rsidR="007C5714">
        <w:rPr>
          <w:rFonts w:ascii="Garamond" w:hAnsi="Garamond"/>
          <w:lang w:val="en-US"/>
        </w:rPr>
        <w:t>good for you</w:t>
      </w:r>
      <w:r w:rsidR="00D36723">
        <w:rPr>
          <w:rFonts w:ascii="Garamond" w:hAnsi="Garamond"/>
          <w:lang w:val="en-US"/>
        </w:rPr>
        <w:t xml:space="preserve"> to </w:t>
      </w:r>
      <w:r w:rsidR="00132DF5">
        <w:rPr>
          <w:rFonts w:ascii="Garamond" w:hAnsi="Garamond"/>
          <w:lang w:val="en-US"/>
        </w:rPr>
        <w:t>appreciate a beautiful artwork</w:t>
      </w:r>
      <w:r w:rsidR="00D36723">
        <w:rPr>
          <w:rFonts w:ascii="Garamond" w:hAnsi="Garamond"/>
          <w:lang w:val="en-US"/>
        </w:rPr>
        <w:t xml:space="preserve">. </w:t>
      </w:r>
      <w:r w:rsidR="00B360E9">
        <w:rPr>
          <w:rFonts w:ascii="Garamond" w:hAnsi="Garamond"/>
          <w:lang w:val="en-US"/>
        </w:rPr>
        <w:t>But the</w:t>
      </w:r>
      <w:r w:rsidR="00132DF5">
        <w:rPr>
          <w:rFonts w:ascii="Garamond" w:hAnsi="Garamond"/>
          <w:lang w:val="en-US"/>
        </w:rPr>
        <w:t xml:space="preserve"> good thing here, the</w:t>
      </w:r>
      <w:r w:rsidR="00B360E9">
        <w:rPr>
          <w:rFonts w:ascii="Garamond" w:hAnsi="Garamond"/>
          <w:lang w:val="en-US"/>
        </w:rPr>
        <w:t xml:space="preserve"> artwork’s beaut</w:t>
      </w:r>
      <w:r w:rsidR="00132DF5">
        <w:rPr>
          <w:rFonts w:ascii="Garamond" w:hAnsi="Garamond"/>
          <w:lang w:val="en-US"/>
        </w:rPr>
        <w:t>y,</w:t>
      </w:r>
      <w:r w:rsidR="00B360E9">
        <w:rPr>
          <w:rFonts w:ascii="Garamond" w:hAnsi="Garamond"/>
          <w:lang w:val="en-US"/>
        </w:rPr>
        <w:t xml:space="preserve"> is not essentially related to you. It </w:t>
      </w:r>
      <w:r w:rsidR="007C5714">
        <w:rPr>
          <w:rFonts w:ascii="Garamond" w:hAnsi="Garamond"/>
          <w:lang w:val="en-US"/>
        </w:rPr>
        <w:t>would be beautiful without your existence, and it will remain beautiful when you’re gone. So it is not, on the face of it, clear why the artwork’s</w:t>
      </w:r>
      <w:r w:rsidR="000059C3">
        <w:rPr>
          <w:rFonts w:ascii="Garamond" w:hAnsi="Garamond"/>
          <w:lang w:val="en-US"/>
        </w:rPr>
        <w:t xml:space="preserve"> beauty could be</w:t>
      </w:r>
      <w:r w:rsidR="007C5714">
        <w:rPr>
          <w:rFonts w:ascii="Garamond" w:hAnsi="Garamond"/>
          <w:lang w:val="en-US"/>
        </w:rPr>
        <w:t xml:space="preserve"> good for you. </w:t>
      </w:r>
    </w:p>
    <w:p w14:paraId="1FEAC493" w14:textId="26AC66DD" w:rsidR="00BB1992" w:rsidRDefault="007C5714" w:rsidP="008C208B">
      <w:pPr>
        <w:ind w:firstLine="709"/>
        <w:jc w:val="both"/>
        <w:rPr>
          <w:rFonts w:ascii="Garamond" w:hAnsi="Garamond"/>
          <w:lang w:val="en-US"/>
        </w:rPr>
      </w:pPr>
      <w:r>
        <w:rPr>
          <w:rFonts w:ascii="Garamond" w:hAnsi="Garamond"/>
          <w:lang w:val="en-US"/>
        </w:rPr>
        <w:t xml:space="preserve">There </w:t>
      </w:r>
      <w:proofErr w:type="gramStart"/>
      <w:r>
        <w:rPr>
          <w:rFonts w:ascii="Garamond" w:hAnsi="Garamond"/>
          <w:lang w:val="en-US"/>
        </w:rPr>
        <w:t>are</w:t>
      </w:r>
      <w:proofErr w:type="gramEnd"/>
      <w:r>
        <w:rPr>
          <w:rFonts w:ascii="Garamond" w:hAnsi="Garamond"/>
          <w:lang w:val="en-US"/>
        </w:rPr>
        <w:t xml:space="preserve"> straightforward ways </w:t>
      </w:r>
      <w:r w:rsidR="00181E55">
        <w:rPr>
          <w:rFonts w:ascii="Garamond" w:hAnsi="Garamond"/>
          <w:lang w:val="en-US"/>
        </w:rPr>
        <w:t>Fletcher</w:t>
      </w:r>
      <w:r>
        <w:rPr>
          <w:rFonts w:ascii="Garamond" w:hAnsi="Garamond"/>
          <w:lang w:val="en-US"/>
        </w:rPr>
        <w:t xml:space="preserve"> might respond to these worries. </w:t>
      </w:r>
      <w:r w:rsidR="000059C3">
        <w:rPr>
          <w:rFonts w:ascii="Garamond" w:hAnsi="Garamond"/>
          <w:lang w:val="en-US"/>
        </w:rPr>
        <w:t xml:space="preserve">When it comes to beauty, </w:t>
      </w:r>
      <w:r w:rsidR="00290711">
        <w:rPr>
          <w:rFonts w:ascii="Garamond" w:hAnsi="Garamond"/>
          <w:lang w:val="en-US"/>
        </w:rPr>
        <w:t>Fletcher could say</w:t>
      </w:r>
      <w:r>
        <w:rPr>
          <w:rFonts w:ascii="Garamond" w:hAnsi="Garamond"/>
          <w:lang w:val="en-US"/>
        </w:rPr>
        <w:t xml:space="preserve"> </w:t>
      </w:r>
      <w:r w:rsidR="00F07680">
        <w:rPr>
          <w:rFonts w:ascii="Garamond" w:hAnsi="Garamond"/>
          <w:lang w:val="en-US"/>
        </w:rPr>
        <w:t xml:space="preserve">it’s not </w:t>
      </w:r>
      <w:r>
        <w:rPr>
          <w:rFonts w:ascii="Garamond" w:hAnsi="Garamond"/>
          <w:lang w:val="en-US"/>
        </w:rPr>
        <w:t>the artwork’s beauty</w:t>
      </w:r>
      <w:r w:rsidR="00290711">
        <w:rPr>
          <w:rFonts w:ascii="Garamond" w:hAnsi="Garamond"/>
          <w:lang w:val="en-US"/>
        </w:rPr>
        <w:t xml:space="preserve"> itself</w:t>
      </w:r>
      <w:r>
        <w:rPr>
          <w:rFonts w:ascii="Garamond" w:hAnsi="Garamond"/>
          <w:lang w:val="en-US"/>
        </w:rPr>
        <w:t xml:space="preserve"> </w:t>
      </w:r>
      <w:r w:rsidR="00F07680">
        <w:rPr>
          <w:rFonts w:ascii="Garamond" w:hAnsi="Garamond"/>
          <w:lang w:val="en-US"/>
        </w:rPr>
        <w:t>that is</w:t>
      </w:r>
      <w:r>
        <w:rPr>
          <w:rFonts w:ascii="Garamond" w:hAnsi="Garamond"/>
          <w:lang w:val="en-US"/>
        </w:rPr>
        <w:t xml:space="preserve"> good for you</w:t>
      </w:r>
      <w:r w:rsidR="00290711">
        <w:rPr>
          <w:rFonts w:ascii="Garamond" w:hAnsi="Garamond"/>
          <w:lang w:val="en-US"/>
        </w:rPr>
        <w:t xml:space="preserve">. Rather, </w:t>
      </w:r>
      <w:r>
        <w:rPr>
          <w:rFonts w:ascii="Garamond" w:hAnsi="Garamond"/>
          <w:lang w:val="en-US"/>
        </w:rPr>
        <w:t xml:space="preserve">your </w:t>
      </w:r>
      <w:r w:rsidR="00537853">
        <w:rPr>
          <w:rFonts w:ascii="Garamond" w:hAnsi="Garamond"/>
          <w:lang w:val="en-US"/>
        </w:rPr>
        <w:t>veridical</w:t>
      </w:r>
      <w:r>
        <w:rPr>
          <w:rFonts w:ascii="Garamond" w:hAnsi="Garamond"/>
          <w:lang w:val="en-US"/>
        </w:rPr>
        <w:t xml:space="preserve"> </w:t>
      </w:r>
      <w:r w:rsidRPr="0075104B">
        <w:rPr>
          <w:rFonts w:ascii="Garamond" w:hAnsi="Garamond"/>
          <w:i/>
          <w:iCs/>
          <w:lang w:val="en-US"/>
        </w:rPr>
        <w:t>experience</w:t>
      </w:r>
      <w:r>
        <w:rPr>
          <w:rFonts w:ascii="Garamond" w:hAnsi="Garamond"/>
          <w:lang w:val="en-US"/>
        </w:rPr>
        <w:t xml:space="preserve"> of that beauty is good for you. </w:t>
      </w:r>
      <w:r w:rsidR="007E5D8A">
        <w:rPr>
          <w:rFonts w:ascii="Garamond" w:hAnsi="Garamond"/>
          <w:lang w:val="en-US"/>
        </w:rPr>
        <w:t>This</w:t>
      </w:r>
      <w:r>
        <w:rPr>
          <w:rFonts w:ascii="Garamond" w:hAnsi="Garamond"/>
          <w:lang w:val="en-US"/>
        </w:rPr>
        <w:t xml:space="preserve"> experience</w:t>
      </w:r>
      <w:r w:rsidR="00290711">
        <w:rPr>
          <w:rFonts w:ascii="Garamond" w:hAnsi="Garamond"/>
          <w:lang w:val="en-US"/>
        </w:rPr>
        <w:t xml:space="preserve"> (</w:t>
      </w:r>
      <w:r w:rsidR="004A64F2">
        <w:rPr>
          <w:rFonts w:ascii="Garamond" w:hAnsi="Garamond"/>
          <w:lang w:val="en-US"/>
        </w:rPr>
        <w:t xml:space="preserve">one </w:t>
      </w:r>
      <w:r>
        <w:rPr>
          <w:rFonts w:ascii="Garamond" w:hAnsi="Garamond"/>
          <w:lang w:val="en-US"/>
        </w:rPr>
        <w:t>might think</w:t>
      </w:r>
      <w:r w:rsidR="00290711">
        <w:rPr>
          <w:rFonts w:ascii="Garamond" w:hAnsi="Garamond"/>
          <w:lang w:val="en-US"/>
        </w:rPr>
        <w:t xml:space="preserve">) </w:t>
      </w:r>
      <w:r>
        <w:rPr>
          <w:rFonts w:ascii="Garamond" w:hAnsi="Garamond"/>
          <w:lang w:val="en-US"/>
        </w:rPr>
        <w:t>is</w:t>
      </w:r>
      <w:r w:rsidR="004A64F2">
        <w:rPr>
          <w:rFonts w:ascii="Garamond" w:hAnsi="Garamond"/>
          <w:lang w:val="en-US"/>
        </w:rPr>
        <w:t xml:space="preserve"> impersonally good, and</w:t>
      </w:r>
      <w:r>
        <w:rPr>
          <w:rFonts w:ascii="Garamond" w:hAnsi="Garamond"/>
          <w:lang w:val="en-US"/>
        </w:rPr>
        <w:t xml:space="preserve"> essentially related to you, and so </w:t>
      </w:r>
      <w:r w:rsidR="007E5D8A">
        <w:rPr>
          <w:rFonts w:ascii="Garamond" w:hAnsi="Garamond"/>
          <w:lang w:val="en-US"/>
        </w:rPr>
        <w:t>on Fletcher’s view personally valuable</w:t>
      </w:r>
      <w:r w:rsidR="004A64F2">
        <w:rPr>
          <w:rFonts w:ascii="Garamond" w:hAnsi="Garamond"/>
          <w:lang w:val="en-US"/>
        </w:rPr>
        <w:t xml:space="preserve"> for you</w:t>
      </w:r>
      <w:r w:rsidR="007E5D8A">
        <w:rPr>
          <w:rFonts w:ascii="Garamond" w:hAnsi="Garamond"/>
          <w:lang w:val="en-US"/>
        </w:rPr>
        <w:t xml:space="preserve">. </w:t>
      </w:r>
      <w:r w:rsidR="000059C3">
        <w:rPr>
          <w:rFonts w:ascii="Garamond" w:hAnsi="Garamond"/>
          <w:lang w:val="en-US"/>
        </w:rPr>
        <w:t xml:space="preserve">When it comes to achievements, </w:t>
      </w:r>
      <w:r w:rsidR="00290711">
        <w:rPr>
          <w:rFonts w:ascii="Garamond" w:hAnsi="Garamond"/>
          <w:lang w:val="en-US"/>
        </w:rPr>
        <w:t xml:space="preserve">Fletcher </w:t>
      </w:r>
      <w:r w:rsidR="007E5D8A">
        <w:rPr>
          <w:rFonts w:ascii="Garamond" w:hAnsi="Garamond"/>
          <w:lang w:val="en-US"/>
        </w:rPr>
        <w:t xml:space="preserve">might say </w:t>
      </w:r>
      <w:r w:rsidR="00F07680">
        <w:rPr>
          <w:rFonts w:ascii="Garamond" w:hAnsi="Garamond"/>
          <w:lang w:val="en-US"/>
        </w:rPr>
        <w:t xml:space="preserve">it’s not </w:t>
      </w:r>
      <w:r w:rsidR="00290711">
        <w:rPr>
          <w:rFonts w:ascii="Garamond" w:hAnsi="Garamond"/>
          <w:lang w:val="en-US"/>
        </w:rPr>
        <w:t>the eradication of malaria itself</w:t>
      </w:r>
      <w:r w:rsidR="007E5D8A">
        <w:rPr>
          <w:rFonts w:ascii="Garamond" w:hAnsi="Garamond"/>
          <w:lang w:val="en-US"/>
        </w:rPr>
        <w:t xml:space="preserve"> </w:t>
      </w:r>
      <w:r w:rsidR="00F07680">
        <w:rPr>
          <w:rFonts w:ascii="Garamond" w:hAnsi="Garamond"/>
          <w:lang w:val="en-US"/>
        </w:rPr>
        <w:t xml:space="preserve">that benefits </w:t>
      </w:r>
      <w:r w:rsidR="007E5D8A">
        <w:rPr>
          <w:rFonts w:ascii="Garamond" w:hAnsi="Garamond"/>
          <w:lang w:val="en-US"/>
        </w:rPr>
        <w:t xml:space="preserve">you. Rather, it’s good for you that you </w:t>
      </w:r>
      <w:r w:rsidR="007E5D8A" w:rsidRPr="0075104B">
        <w:rPr>
          <w:rFonts w:ascii="Garamond" w:hAnsi="Garamond"/>
          <w:i/>
          <w:iCs/>
          <w:lang w:val="en-US"/>
        </w:rPr>
        <w:t>contributed</w:t>
      </w:r>
      <w:r w:rsidR="007E5D8A">
        <w:rPr>
          <w:rFonts w:ascii="Garamond" w:hAnsi="Garamond"/>
          <w:lang w:val="en-US"/>
        </w:rPr>
        <w:t xml:space="preserve"> to </w:t>
      </w:r>
      <w:r w:rsidR="00290711">
        <w:rPr>
          <w:rFonts w:ascii="Garamond" w:hAnsi="Garamond"/>
          <w:lang w:val="en-US"/>
        </w:rPr>
        <w:t xml:space="preserve">this </w:t>
      </w:r>
      <w:r w:rsidR="007E5D8A">
        <w:rPr>
          <w:rFonts w:ascii="Garamond" w:hAnsi="Garamond"/>
          <w:lang w:val="en-US"/>
        </w:rPr>
        <w:t xml:space="preserve">eradication. </w:t>
      </w:r>
      <w:r w:rsidR="00181E55">
        <w:rPr>
          <w:rFonts w:ascii="Garamond" w:hAnsi="Garamond"/>
          <w:lang w:val="en-US"/>
        </w:rPr>
        <w:t>T</w:t>
      </w:r>
      <w:r w:rsidR="007E5D8A">
        <w:rPr>
          <w:rFonts w:ascii="Garamond" w:hAnsi="Garamond"/>
          <w:lang w:val="en-US"/>
        </w:rPr>
        <w:t>his fact</w:t>
      </w:r>
      <w:r w:rsidR="00290711">
        <w:rPr>
          <w:rFonts w:ascii="Garamond" w:hAnsi="Garamond"/>
          <w:lang w:val="en-US"/>
        </w:rPr>
        <w:t xml:space="preserve"> (</w:t>
      </w:r>
      <w:r w:rsidR="001946C1">
        <w:rPr>
          <w:rFonts w:ascii="Garamond" w:hAnsi="Garamond"/>
          <w:lang w:val="en-US"/>
        </w:rPr>
        <w:t>one might think</w:t>
      </w:r>
      <w:r w:rsidR="00290711">
        <w:rPr>
          <w:rFonts w:ascii="Garamond" w:hAnsi="Garamond"/>
          <w:lang w:val="en-US"/>
        </w:rPr>
        <w:t xml:space="preserve">) </w:t>
      </w:r>
      <w:r w:rsidR="007E5D8A">
        <w:rPr>
          <w:rFonts w:ascii="Garamond" w:hAnsi="Garamond"/>
          <w:lang w:val="en-US"/>
        </w:rPr>
        <w:t xml:space="preserve">is </w:t>
      </w:r>
      <w:r w:rsidR="004A64F2">
        <w:rPr>
          <w:rFonts w:ascii="Garamond" w:hAnsi="Garamond"/>
          <w:lang w:val="en-US"/>
        </w:rPr>
        <w:t xml:space="preserve">impersonally good and </w:t>
      </w:r>
      <w:r w:rsidR="007E5D8A">
        <w:rPr>
          <w:rFonts w:ascii="Garamond" w:hAnsi="Garamond"/>
          <w:lang w:val="en-US"/>
        </w:rPr>
        <w:t xml:space="preserve">essentially related to you. </w:t>
      </w:r>
      <w:r w:rsidR="009D3A5B">
        <w:rPr>
          <w:rFonts w:ascii="Garamond" w:hAnsi="Garamond"/>
          <w:lang w:val="en-US"/>
        </w:rPr>
        <w:t>Yet</w:t>
      </w:r>
      <w:r w:rsidR="004A64F2">
        <w:rPr>
          <w:rFonts w:ascii="Garamond" w:hAnsi="Garamond"/>
          <w:lang w:val="en-US"/>
        </w:rPr>
        <w:t>, as our discussion in section 2 indicates,</w:t>
      </w:r>
      <w:r w:rsidR="009D3A5B">
        <w:rPr>
          <w:rFonts w:ascii="Garamond" w:hAnsi="Garamond"/>
          <w:lang w:val="en-US"/>
        </w:rPr>
        <w:t xml:space="preserve"> a lot needs to be done to flesh out </w:t>
      </w:r>
      <w:r w:rsidR="001F04D6">
        <w:rPr>
          <w:rFonts w:ascii="Garamond" w:hAnsi="Garamond"/>
          <w:lang w:val="en-US"/>
        </w:rPr>
        <w:t>these kinds</w:t>
      </w:r>
      <w:r w:rsidR="009D3A5B">
        <w:rPr>
          <w:rFonts w:ascii="Garamond" w:hAnsi="Garamond"/>
          <w:lang w:val="en-US"/>
        </w:rPr>
        <w:t xml:space="preserve"> of response.</w:t>
      </w:r>
      <w:r w:rsidR="00F76DD5" w:rsidRPr="000E5D20">
        <w:rPr>
          <w:rStyle w:val="FootnoteReference"/>
        </w:rPr>
        <w:footnoteReference w:id="33"/>
      </w:r>
      <w:r w:rsidR="00B25061">
        <w:rPr>
          <w:rFonts w:ascii="Garamond" w:hAnsi="Garamond"/>
          <w:lang w:val="en-US"/>
        </w:rPr>
        <w:t xml:space="preserve"> </w:t>
      </w:r>
      <w:r w:rsidR="00BB1992">
        <w:rPr>
          <w:rFonts w:ascii="Garamond" w:hAnsi="Garamond"/>
          <w:lang w:val="en-US"/>
        </w:rPr>
        <w:t xml:space="preserve">Take achievements. The problem here hinges on what </w:t>
      </w:r>
      <w:r w:rsidR="00290711">
        <w:rPr>
          <w:rFonts w:ascii="Garamond" w:hAnsi="Garamond"/>
          <w:lang w:val="en-US"/>
        </w:rPr>
        <w:t>‘</w:t>
      </w:r>
      <w:r w:rsidR="00BB1992">
        <w:rPr>
          <w:rFonts w:ascii="Garamond" w:hAnsi="Garamond"/>
          <w:lang w:val="en-US"/>
        </w:rPr>
        <w:t>contribution</w:t>
      </w:r>
      <w:r w:rsidR="00290711">
        <w:rPr>
          <w:rFonts w:ascii="Garamond" w:hAnsi="Garamond"/>
          <w:lang w:val="en-US"/>
        </w:rPr>
        <w:t>’</w:t>
      </w:r>
      <w:r w:rsidR="00BB1992">
        <w:rPr>
          <w:rFonts w:ascii="Garamond" w:hAnsi="Garamond"/>
          <w:lang w:val="en-US"/>
        </w:rPr>
        <w:t xml:space="preserve"> consists </w:t>
      </w:r>
      <w:r w:rsidR="001946C1">
        <w:rPr>
          <w:rFonts w:ascii="Garamond" w:hAnsi="Garamond"/>
          <w:lang w:val="en-US"/>
        </w:rPr>
        <w:t>of</w:t>
      </w:r>
      <w:r w:rsidR="00BB1992">
        <w:rPr>
          <w:rFonts w:ascii="Garamond" w:hAnsi="Garamond"/>
          <w:lang w:val="en-US"/>
        </w:rPr>
        <w:t xml:space="preserve">. This cannot be simple causal </w:t>
      </w:r>
      <w:proofErr w:type="gramStart"/>
      <w:r w:rsidR="00BB1992">
        <w:rPr>
          <w:rFonts w:ascii="Garamond" w:hAnsi="Garamond"/>
          <w:lang w:val="en-US"/>
        </w:rPr>
        <w:t>contribution, because</w:t>
      </w:r>
      <w:proofErr w:type="gramEnd"/>
      <w:r w:rsidR="00BB1992">
        <w:rPr>
          <w:rFonts w:ascii="Garamond" w:hAnsi="Garamond"/>
          <w:lang w:val="en-US"/>
        </w:rPr>
        <w:t xml:space="preserve"> causal chains</w:t>
      </w:r>
      <w:r w:rsidR="00D843BC">
        <w:rPr>
          <w:rFonts w:ascii="Garamond" w:hAnsi="Garamond"/>
          <w:lang w:val="en-US"/>
        </w:rPr>
        <w:t xml:space="preserve"> can be accidental</w:t>
      </w:r>
      <w:r w:rsidR="00BB1992">
        <w:rPr>
          <w:rFonts w:ascii="Garamond" w:hAnsi="Garamond"/>
          <w:lang w:val="en-US"/>
        </w:rPr>
        <w:t xml:space="preserve">. </w:t>
      </w:r>
      <w:r w:rsidR="00290711">
        <w:rPr>
          <w:rFonts w:ascii="Garamond" w:hAnsi="Garamond"/>
          <w:lang w:val="en-US"/>
        </w:rPr>
        <w:t>Suppose that, as a child, you bully the person who later invents the cure for malaria: y</w:t>
      </w:r>
      <w:r w:rsidR="001F04D6">
        <w:rPr>
          <w:rFonts w:ascii="Garamond" w:hAnsi="Garamond"/>
          <w:lang w:val="en-US"/>
        </w:rPr>
        <w:t>our bullying makes</w:t>
      </w:r>
      <w:r w:rsidR="00537853">
        <w:rPr>
          <w:rFonts w:ascii="Garamond" w:hAnsi="Garamond"/>
          <w:lang w:val="en-US"/>
        </w:rPr>
        <w:t xml:space="preserve"> them bookish</w:t>
      </w:r>
      <w:r w:rsidR="001F04D6">
        <w:rPr>
          <w:rFonts w:ascii="Garamond" w:hAnsi="Garamond"/>
          <w:lang w:val="en-US"/>
        </w:rPr>
        <w:t xml:space="preserve">, and that leads them to be a successful scientist. </w:t>
      </w:r>
      <w:r w:rsidR="00290711">
        <w:rPr>
          <w:rFonts w:ascii="Garamond" w:hAnsi="Garamond"/>
          <w:lang w:val="en-US"/>
        </w:rPr>
        <w:t xml:space="preserve">Then you contributed to the eradication of malaria. </w:t>
      </w:r>
      <w:r w:rsidR="001F04D6">
        <w:rPr>
          <w:rFonts w:ascii="Garamond" w:hAnsi="Garamond"/>
          <w:lang w:val="en-US"/>
        </w:rPr>
        <w:t>But</w:t>
      </w:r>
      <w:r w:rsidR="00537853">
        <w:rPr>
          <w:rFonts w:ascii="Garamond" w:hAnsi="Garamond"/>
          <w:lang w:val="en-US"/>
        </w:rPr>
        <w:t xml:space="preserve"> this doesn’t mean </w:t>
      </w:r>
      <w:r w:rsidR="001F04D6">
        <w:rPr>
          <w:rFonts w:ascii="Garamond" w:hAnsi="Garamond"/>
          <w:lang w:val="en-US"/>
        </w:rPr>
        <w:t xml:space="preserve">you accrue any personal value from </w:t>
      </w:r>
      <w:r w:rsidR="00290711">
        <w:rPr>
          <w:rFonts w:ascii="Garamond" w:hAnsi="Garamond"/>
          <w:lang w:val="en-US"/>
        </w:rPr>
        <w:t>it</w:t>
      </w:r>
      <w:r w:rsidR="00537853">
        <w:rPr>
          <w:rFonts w:ascii="Garamond" w:hAnsi="Garamond"/>
          <w:lang w:val="en-US"/>
        </w:rPr>
        <w:t xml:space="preserve">. </w:t>
      </w:r>
      <w:r w:rsidR="00D843BC">
        <w:rPr>
          <w:rFonts w:ascii="Garamond" w:hAnsi="Garamond"/>
          <w:lang w:val="en-US"/>
        </w:rPr>
        <w:t xml:space="preserve">A less accidental connection is needed for the eradication of malaria to </w:t>
      </w:r>
      <w:r w:rsidR="00290711">
        <w:rPr>
          <w:rFonts w:ascii="Garamond" w:hAnsi="Garamond"/>
          <w:lang w:val="en-US"/>
        </w:rPr>
        <w:t xml:space="preserve">benefit </w:t>
      </w:r>
      <w:r w:rsidR="00D843BC">
        <w:rPr>
          <w:rFonts w:ascii="Garamond" w:hAnsi="Garamond"/>
          <w:lang w:val="en-US"/>
        </w:rPr>
        <w:t xml:space="preserve">you. </w:t>
      </w:r>
      <w:r w:rsidR="00537853">
        <w:rPr>
          <w:rFonts w:ascii="Garamond" w:hAnsi="Garamond"/>
          <w:lang w:val="en-US"/>
        </w:rPr>
        <w:t xml:space="preserve">A similar problem concerns aesthetic experiences. </w:t>
      </w:r>
      <w:r w:rsidR="009D3A5B">
        <w:rPr>
          <w:rFonts w:ascii="Garamond" w:hAnsi="Garamond"/>
          <w:lang w:val="en-US"/>
        </w:rPr>
        <w:t xml:space="preserve">A beautiful artwork might </w:t>
      </w:r>
      <w:r w:rsidR="00D843BC">
        <w:rPr>
          <w:rFonts w:ascii="Garamond" w:hAnsi="Garamond"/>
          <w:lang w:val="en-US"/>
        </w:rPr>
        <w:t xml:space="preserve">accidentally </w:t>
      </w:r>
      <w:r w:rsidR="009D3A5B">
        <w:rPr>
          <w:rFonts w:ascii="Garamond" w:hAnsi="Garamond"/>
          <w:lang w:val="en-US"/>
        </w:rPr>
        <w:t xml:space="preserve">cause you to have an aesthetic experience, and in some of these cases you won’t benefit from the experience. </w:t>
      </w:r>
      <w:r w:rsidR="00D843BC">
        <w:rPr>
          <w:rFonts w:ascii="Garamond" w:hAnsi="Garamond"/>
          <w:lang w:val="en-US"/>
        </w:rPr>
        <w:t>So it</w:t>
      </w:r>
      <w:r w:rsidR="009D3A5B">
        <w:rPr>
          <w:rFonts w:ascii="Garamond" w:hAnsi="Garamond"/>
          <w:lang w:val="en-US"/>
        </w:rPr>
        <w:t xml:space="preserve"> is not clear, exactly, how to construe the impersonal goods in these </w:t>
      </w:r>
      <w:r w:rsidR="00181E55">
        <w:rPr>
          <w:rFonts w:ascii="Garamond" w:hAnsi="Garamond"/>
          <w:lang w:val="en-US"/>
        </w:rPr>
        <w:t>cases</w:t>
      </w:r>
      <w:r w:rsidR="009D3A5B">
        <w:rPr>
          <w:rFonts w:ascii="Garamond" w:hAnsi="Garamond"/>
          <w:lang w:val="en-US"/>
        </w:rPr>
        <w:t xml:space="preserve">. </w:t>
      </w:r>
    </w:p>
    <w:p w14:paraId="15A929F0" w14:textId="2A22C3D3" w:rsidR="009D3A5B" w:rsidRPr="009D3A5B" w:rsidRDefault="009D3A5B" w:rsidP="00EE3BBC">
      <w:pPr>
        <w:ind w:firstLine="709"/>
        <w:jc w:val="both"/>
        <w:rPr>
          <w:rFonts w:ascii="Garamond" w:hAnsi="Garamond"/>
          <w:lang w:val="en-US"/>
        </w:rPr>
      </w:pPr>
      <w:r>
        <w:rPr>
          <w:rFonts w:ascii="Garamond" w:hAnsi="Garamond"/>
          <w:lang w:val="en-US"/>
        </w:rPr>
        <w:t xml:space="preserve">We’ve suggested that </w:t>
      </w:r>
      <w:r>
        <w:rPr>
          <w:rFonts w:ascii="Garamond" w:hAnsi="Garamond"/>
          <w:i/>
          <w:iCs/>
          <w:lang w:val="en-US"/>
        </w:rPr>
        <w:t xml:space="preserve">manifestation </w:t>
      </w:r>
      <w:r>
        <w:rPr>
          <w:rFonts w:ascii="Garamond" w:hAnsi="Garamond"/>
          <w:lang w:val="en-US"/>
        </w:rPr>
        <w:t xml:space="preserve">might solve </w:t>
      </w:r>
      <w:r w:rsidR="00181E55">
        <w:rPr>
          <w:rFonts w:ascii="Garamond" w:hAnsi="Garamond"/>
          <w:lang w:val="en-US"/>
        </w:rPr>
        <w:t>such</w:t>
      </w:r>
      <w:r>
        <w:rPr>
          <w:rFonts w:ascii="Garamond" w:hAnsi="Garamond"/>
          <w:lang w:val="en-US"/>
        </w:rPr>
        <w:t xml:space="preserve"> problems. So one might say </w:t>
      </w:r>
      <w:r w:rsidR="007B57A9">
        <w:rPr>
          <w:rFonts w:ascii="Garamond" w:hAnsi="Garamond"/>
          <w:lang w:val="en-US"/>
        </w:rPr>
        <w:t xml:space="preserve">the impersonal goods relevant to achievements and aesthetic experiences are being manifest in a good and manifesting it, respectively. You are essentially related to these goods (one might think), and so on Fletcher’s view they are good for you. This is a locativized version of the Contact Account. </w:t>
      </w:r>
      <w:r w:rsidR="004A64F2">
        <w:rPr>
          <w:rFonts w:ascii="Garamond" w:hAnsi="Garamond"/>
          <w:lang w:val="en-US"/>
        </w:rPr>
        <w:t>The</w:t>
      </w:r>
      <w:r w:rsidR="00C62CEC">
        <w:rPr>
          <w:rFonts w:ascii="Garamond" w:hAnsi="Garamond"/>
          <w:lang w:val="en-US"/>
        </w:rPr>
        <w:t xml:space="preserve"> Contact</w:t>
      </w:r>
      <w:r w:rsidR="007B57A9">
        <w:rPr>
          <w:rFonts w:ascii="Garamond" w:hAnsi="Garamond"/>
          <w:lang w:val="en-US"/>
        </w:rPr>
        <w:t xml:space="preserve"> </w:t>
      </w:r>
      <w:r w:rsidR="00C62CEC">
        <w:rPr>
          <w:rFonts w:ascii="Garamond" w:hAnsi="Garamond"/>
          <w:lang w:val="en-US"/>
        </w:rPr>
        <w:t>A</w:t>
      </w:r>
      <w:r w:rsidR="007B57A9">
        <w:rPr>
          <w:rFonts w:ascii="Garamond" w:hAnsi="Garamond"/>
          <w:lang w:val="en-US"/>
        </w:rPr>
        <w:t xml:space="preserve">ccount says </w:t>
      </w:r>
      <w:r w:rsidR="00C62CEC">
        <w:rPr>
          <w:rFonts w:ascii="Garamond" w:hAnsi="Garamond"/>
          <w:lang w:val="en-US"/>
        </w:rPr>
        <w:t xml:space="preserve">contact with the </w:t>
      </w:r>
      <w:r w:rsidR="00290711">
        <w:rPr>
          <w:rFonts w:ascii="Garamond" w:hAnsi="Garamond"/>
          <w:lang w:val="en-US"/>
        </w:rPr>
        <w:t xml:space="preserve">impersonal </w:t>
      </w:r>
      <w:r w:rsidR="00C62CEC">
        <w:rPr>
          <w:rFonts w:ascii="Garamond" w:hAnsi="Garamond"/>
          <w:lang w:val="en-US"/>
        </w:rPr>
        <w:t>good is good for you</w:t>
      </w:r>
      <w:r w:rsidR="004A64F2">
        <w:rPr>
          <w:rFonts w:ascii="Garamond" w:hAnsi="Garamond"/>
          <w:lang w:val="en-US"/>
        </w:rPr>
        <w:t>. T</w:t>
      </w:r>
      <w:r w:rsidR="00C62CEC">
        <w:rPr>
          <w:rFonts w:ascii="Garamond" w:hAnsi="Garamond"/>
          <w:lang w:val="en-US"/>
        </w:rPr>
        <w:t>his view says contact facts</w:t>
      </w:r>
      <w:r w:rsidR="0090244F">
        <w:rPr>
          <w:rFonts w:ascii="Garamond" w:hAnsi="Garamond"/>
          <w:lang w:val="en-US"/>
        </w:rPr>
        <w:t xml:space="preserve"> </w:t>
      </w:r>
      <w:r w:rsidR="004A64F2">
        <w:rPr>
          <w:rFonts w:ascii="Garamond" w:hAnsi="Garamond"/>
          <w:lang w:val="en-US"/>
        </w:rPr>
        <w:t xml:space="preserve">– </w:t>
      </w:r>
      <w:r w:rsidR="004A64F2">
        <w:rPr>
          <w:rFonts w:ascii="Garamond" w:hAnsi="Garamond"/>
          <w:lang w:val="en-US"/>
        </w:rPr>
        <w:lastRenderedPageBreak/>
        <w:t xml:space="preserve">facts to the effect that you’re in contact with the good – are </w:t>
      </w:r>
      <w:r w:rsidR="0090244F">
        <w:rPr>
          <w:rFonts w:ascii="Garamond" w:hAnsi="Garamond"/>
          <w:lang w:val="en-US"/>
        </w:rPr>
        <w:t>themselves</w:t>
      </w:r>
      <w:r w:rsidR="00C62CEC">
        <w:rPr>
          <w:rFonts w:ascii="Garamond" w:hAnsi="Garamond"/>
          <w:lang w:val="en-US"/>
        </w:rPr>
        <w:t xml:space="preserve"> impersonally good, and being essentially related to these facts is good for you. </w:t>
      </w:r>
      <w:r w:rsidR="00786AE6">
        <w:rPr>
          <w:rFonts w:ascii="Garamond" w:hAnsi="Garamond"/>
          <w:lang w:val="en-US"/>
        </w:rPr>
        <w:t>Some versions of this</w:t>
      </w:r>
      <w:r w:rsidR="00C62CEC">
        <w:rPr>
          <w:rFonts w:ascii="Garamond" w:hAnsi="Garamond"/>
          <w:lang w:val="en-US"/>
        </w:rPr>
        <w:t xml:space="preserve"> </w:t>
      </w:r>
      <w:r w:rsidR="001946C1">
        <w:rPr>
          <w:rFonts w:ascii="Garamond" w:hAnsi="Garamond"/>
          <w:lang w:val="en-US"/>
        </w:rPr>
        <w:t>view</w:t>
      </w:r>
      <w:r w:rsidR="00786AE6">
        <w:rPr>
          <w:rFonts w:ascii="Garamond" w:hAnsi="Garamond"/>
          <w:lang w:val="en-US"/>
        </w:rPr>
        <w:t xml:space="preserve"> are </w:t>
      </w:r>
      <w:r w:rsidR="00C62CEC">
        <w:rPr>
          <w:rFonts w:ascii="Garamond" w:hAnsi="Garamond"/>
          <w:lang w:val="en-US"/>
        </w:rPr>
        <w:t>extensionally equivalent</w:t>
      </w:r>
      <w:r w:rsidR="00786AE6">
        <w:rPr>
          <w:rFonts w:ascii="Garamond" w:hAnsi="Garamond"/>
          <w:lang w:val="en-US"/>
        </w:rPr>
        <w:t xml:space="preserve"> </w:t>
      </w:r>
      <w:r w:rsidR="004A64F2">
        <w:rPr>
          <w:rFonts w:ascii="Garamond" w:hAnsi="Garamond"/>
          <w:lang w:val="en-US"/>
        </w:rPr>
        <w:t xml:space="preserve">to </w:t>
      </w:r>
      <w:r w:rsidR="00786AE6">
        <w:rPr>
          <w:rFonts w:ascii="Garamond" w:hAnsi="Garamond"/>
          <w:lang w:val="en-US"/>
        </w:rPr>
        <w:t>the Contact Account</w:t>
      </w:r>
      <w:r w:rsidR="00C62CEC">
        <w:rPr>
          <w:rFonts w:ascii="Garamond" w:hAnsi="Garamond"/>
          <w:lang w:val="en-US"/>
        </w:rPr>
        <w:t xml:space="preserve">. Yet we prefer the </w:t>
      </w:r>
      <w:r w:rsidR="00C233C4">
        <w:rPr>
          <w:rFonts w:ascii="Garamond" w:hAnsi="Garamond"/>
          <w:lang w:val="en-US"/>
        </w:rPr>
        <w:t>latter</w:t>
      </w:r>
      <w:r w:rsidR="00C62CEC">
        <w:rPr>
          <w:rFonts w:ascii="Garamond" w:hAnsi="Garamond"/>
          <w:lang w:val="en-US"/>
        </w:rPr>
        <w:t>. For a start, it is clearly simpler.</w:t>
      </w:r>
      <w:r w:rsidR="00D245A5">
        <w:rPr>
          <w:rFonts w:ascii="Garamond" w:hAnsi="Garamond"/>
          <w:lang w:val="en-US"/>
        </w:rPr>
        <w:t xml:space="preserve"> To explain </w:t>
      </w:r>
      <w:r w:rsidR="00D06E2A">
        <w:rPr>
          <w:rFonts w:ascii="Garamond" w:hAnsi="Garamond"/>
          <w:lang w:val="en-US"/>
        </w:rPr>
        <w:t>why you benefit from something</w:t>
      </w:r>
      <w:r w:rsidR="00D245A5">
        <w:rPr>
          <w:rFonts w:ascii="Garamond" w:hAnsi="Garamond"/>
          <w:lang w:val="en-US"/>
        </w:rPr>
        <w:t xml:space="preserve">, the Contact Account only needs </w:t>
      </w:r>
      <w:r w:rsidR="00D06E2A">
        <w:rPr>
          <w:rFonts w:ascii="Garamond" w:hAnsi="Garamond"/>
          <w:lang w:val="en-US"/>
        </w:rPr>
        <w:t xml:space="preserve">to say that you stand in a </w:t>
      </w:r>
      <w:r w:rsidR="00D245A5">
        <w:rPr>
          <w:rFonts w:ascii="Garamond" w:hAnsi="Garamond"/>
          <w:lang w:val="en-US"/>
        </w:rPr>
        <w:t xml:space="preserve">manifestation relation to </w:t>
      </w:r>
      <w:r w:rsidR="00D06E2A">
        <w:rPr>
          <w:rFonts w:ascii="Garamond" w:hAnsi="Garamond"/>
          <w:lang w:val="en-US"/>
        </w:rPr>
        <w:t>an impersonal good</w:t>
      </w:r>
      <w:r w:rsidR="00D245A5">
        <w:rPr>
          <w:rFonts w:ascii="Garamond" w:hAnsi="Garamond"/>
          <w:lang w:val="en-US"/>
        </w:rPr>
        <w:t xml:space="preserve">. It doesn’t need to </w:t>
      </w:r>
      <w:r w:rsidR="00D06E2A">
        <w:rPr>
          <w:rFonts w:ascii="Garamond" w:hAnsi="Garamond"/>
          <w:lang w:val="en-US"/>
        </w:rPr>
        <w:t xml:space="preserve">say, </w:t>
      </w:r>
      <w:r w:rsidR="00D245A5">
        <w:rPr>
          <w:rFonts w:ascii="Garamond" w:hAnsi="Garamond"/>
          <w:lang w:val="en-US"/>
        </w:rPr>
        <w:t xml:space="preserve">in addition, that </w:t>
      </w:r>
      <w:proofErr w:type="gramStart"/>
      <w:r w:rsidR="00D245A5">
        <w:rPr>
          <w:rFonts w:ascii="Garamond" w:hAnsi="Garamond"/>
          <w:lang w:val="en-US"/>
        </w:rPr>
        <w:t>your</w:t>
      </w:r>
      <w:proofErr w:type="gramEnd"/>
      <w:r w:rsidR="00D245A5">
        <w:rPr>
          <w:rFonts w:ascii="Garamond" w:hAnsi="Garamond"/>
          <w:lang w:val="en-US"/>
        </w:rPr>
        <w:t xml:space="preserve"> standing in such a relation is </w:t>
      </w:r>
      <w:r w:rsidR="00D06E2A">
        <w:rPr>
          <w:rFonts w:ascii="Garamond" w:hAnsi="Garamond"/>
          <w:lang w:val="en-US"/>
        </w:rPr>
        <w:t xml:space="preserve">itself </w:t>
      </w:r>
      <w:r w:rsidR="00D245A5">
        <w:rPr>
          <w:rFonts w:ascii="Garamond" w:hAnsi="Garamond"/>
          <w:lang w:val="en-US"/>
        </w:rPr>
        <w:t xml:space="preserve">impersonally good. </w:t>
      </w:r>
      <w:r w:rsidR="00935D41">
        <w:rPr>
          <w:rFonts w:ascii="Garamond" w:hAnsi="Garamond"/>
          <w:lang w:val="en-US"/>
        </w:rPr>
        <w:t xml:space="preserve">Simpler theories are </w:t>
      </w:r>
      <w:r w:rsidR="00935D41" w:rsidRPr="0075104B">
        <w:rPr>
          <w:rFonts w:ascii="Garamond" w:hAnsi="Garamond"/>
          <w:i/>
          <w:iCs/>
          <w:lang w:val="en-US"/>
        </w:rPr>
        <w:t>ceteris paribus</w:t>
      </w:r>
      <w:r w:rsidR="00935D41">
        <w:rPr>
          <w:rFonts w:ascii="Garamond" w:hAnsi="Garamond"/>
          <w:lang w:val="en-US"/>
        </w:rPr>
        <w:t xml:space="preserve"> preferable. </w:t>
      </w:r>
      <w:r w:rsidR="00C62CEC">
        <w:rPr>
          <w:rFonts w:ascii="Garamond" w:hAnsi="Garamond"/>
          <w:lang w:val="en-US"/>
        </w:rPr>
        <w:t xml:space="preserve">But more importantly, </w:t>
      </w:r>
      <w:r w:rsidR="00582262">
        <w:rPr>
          <w:rFonts w:ascii="Garamond" w:hAnsi="Garamond"/>
          <w:lang w:val="en-US"/>
        </w:rPr>
        <w:t xml:space="preserve">the Contact Account </w:t>
      </w:r>
      <w:r w:rsidR="00C62CEC">
        <w:rPr>
          <w:rFonts w:ascii="Garamond" w:hAnsi="Garamond"/>
          <w:lang w:val="en-US"/>
        </w:rPr>
        <w:t xml:space="preserve">seems to us more explanatorily plausible. This locative theory says that contributing to a good, or </w:t>
      </w:r>
      <w:r w:rsidR="00D90AD8">
        <w:rPr>
          <w:rFonts w:ascii="Garamond" w:hAnsi="Garamond"/>
          <w:lang w:val="en-US"/>
        </w:rPr>
        <w:t>appreciating a good</w:t>
      </w:r>
      <w:r w:rsidR="00C62CEC">
        <w:rPr>
          <w:rFonts w:ascii="Garamond" w:hAnsi="Garamond"/>
          <w:lang w:val="en-US"/>
        </w:rPr>
        <w:t xml:space="preserve">, is impersonally </w:t>
      </w:r>
      <w:r w:rsidR="00D90AD8">
        <w:rPr>
          <w:rFonts w:ascii="Garamond" w:hAnsi="Garamond"/>
          <w:lang w:val="en-US"/>
        </w:rPr>
        <w:t xml:space="preserve">valuable </w:t>
      </w:r>
      <w:r w:rsidR="00C62CEC">
        <w:rPr>
          <w:rFonts w:ascii="Garamond" w:hAnsi="Garamond"/>
          <w:lang w:val="en-US"/>
        </w:rPr>
        <w:t xml:space="preserve">and that </w:t>
      </w:r>
      <w:r w:rsidR="00582262" w:rsidRPr="00786AE6">
        <w:rPr>
          <w:rFonts w:ascii="Garamond" w:hAnsi="Garamond"/>
          <w:i/>
          <w:iCs/>
          <w:lang w:val="en-US"/>
        </w:rPr>
        <w:t>that</w:t>
      </w:r>
      <w:r w:rsidR="00582262">
        <w:rPr>
          <w:rFonts w:ascii="Garamond" w:hAnsi="Garamond"/>
          <w:lang w:val="en-US"/>
        </w:rPr>
        <w:t xml:space="preserve"> </w:t>
      </w:r>
      <w:r w:rsidR="00C62CEC">
        <w:rPr>
          <w:rFonts w:ascii="Garamond" w:hAnsi="Garamond"/>
          <w:lang w:val="en-US"/>
        </w:rPr>
        <w:t xml:space="preserve">is why it is good for you. But that seems to us to get the order of explanation wrong. Contributing to a good isn’t good for you because it is impersonally good; it is impersonally good because it is good for you. </w:t>
      </w:r>
      <w:r w:rsidR="00953222">
        <w:rPr>
          <w:rFonts w:ascii="Garamond" w:hAnsi="Garamond"/>
          <w:lang w:val="en-US"/>
        </w:rPr>
        <w:t xml:space="preserve">If it’s impersonally </w:t>
      </w:r>
      <w:r w:rsidR="00D90AD8">
        <w:rPr>
          <w:rFonts w:ascii="Garamond" w:hAnsi="Garamond"/>
          <w:lang w:val="en-US"/>
        </w:rPr>
        <w:t xml:space="preserve">valuable </w:t>
      </w:r>
      <w:r w:rsidR="00953222">
        <w:rPr>
          <w:rFonts w:ascii="Garamond" w:hAnsi="Garamond"/>
          <w:lang w:val="en-US"/>
        </w:rPr>
        <w:t xml:space="preserve">that </w:t>
      </w:r>
      <w:r w:rsidR="00953222" w:rsidRPr="000E5D20">
        <w:rPr>
          <w:rFonts w:ascii="Garamond" w:hAnsi="Garamond"/>
          <w:i/>
          <w:iCs/>
          <w:lang w:val="en-US"/>
        </w:rPr>
        <w:t>you contributed</w:t>
      </w:r>
      <w:r w:rsidR="00953222">
        <w:rPr>
          <w:rFonts w:ascii="Garamond" w:hAnsi="Garamond"/>
          <w:lang w:val="en-US"/>
        </w:rPr>
        <w:t xml:space="preserve"> to eradicating Malaria (not just that it’s eradicated), that’s precisely </w:t>
      </w:r>
      <w:r w:rsidR="00C233C4">
        <w:rPr>
          <w:rFonts w:ascii="Garamond" w:hAnsi="Garamond"/>
          <w:lang w:val="en-US"/>
        </w:rPr>
        <w:t xml:space="preserve">because your </w:t>
      </w:r>
      <w:r w:rsidR="00953222">
        <w:rPr>
          <w:rFonts w:ascii="Garamond" w:hAnsi="Garamond"/>
          <w:lang w:val="en-US"/>
        </w:rPr>
        <w:t>achievement</w:t>
      </w:r>
      <w:r w:rsidR="00C233C4">
        <w:rPr>
          <w:rFonts w:ascii="Garamond" w:hAnsi="Garamond"/>
          <w:lang w:val="en-US"/>
        </w:rPr>
        <w:t xml:space="preserve"> is good for you. </w:t>
      </w:r>
      <w:r w:rsidR="001946C1">
        <w:rPr>
          <w:rFonts w:ascii="Garamond" w:hAnsi="Garamond"/>
          <w:lang w:val="en-US"/>
        </w:rPr>
        <w:t xml:space="preserve">Likewise, </w:t>
      </w:r>
      <w:r w:rsidR="00D90AD8">
        <w:rPr>
          <w:rFonts w:ascii="Garamond" w:hAnsi="Garamond"/>
          <w:lang w:val="en-US"/>
        </w:rPr>
        <w:t>appreciating a good</w:t>
      </w:r>
      <w:r w:rsidR="001F04D6">
        <w:rPr>
          <w:rFonts w:ascii="Garamond" w:hAnsi="Garamond"/>
          <w:lang w:val="en-US"/>
        </w:rPr>
        <w:t xml:space="preserve"> isn’t good for you because it is impersonally good; it is impersonally good because it is good for you. </w:t>
      </w:r>
      <w:r w:rsidR="00953222">
        <w:rPr>
          <w:rFonts w:ascii="Garamond" w:hAnsi="Garamond"/>
          <w:lang w:val="en-US"/>
        </w:rPr>
        <w:t xml:space="preserve">If it’s impersonally </w:t>
      </w:r>
      <w:r w:rsidR="00D90AD8">
        <w:rPr>
          <w:rFonts w:ascii="Garamond" w:hAnsi="Garamond"/>
          <w:lang w:val="en-US"/>
        </w:rPr>
        <w:t xml:space="preserve">valuable </w:t>
      </w:r>
      <w:r w:rsidR="00953222">
        <w:rPr>
          <w:rFonts w:ascii="Garamond" w:hAnsi="Garamond"/>
          <w:lang w:val="en-US"/>
        </w:rPr>
        <w:t xml:space="preserve">that </w:t>
      </w:r>
      <w:r w:rsidR="00953222" w:rsidRPr="000E5D20">
        <w:rPr>
          <w:rFonts w:ascii="Garamond" w:hAnsi="Garamond"/>
          <w:i/>
          <w:iCs/>
          <w:lang w:val="en-US"/>
        </w:rPr>
        <w:t>you’ve enjoyed</w:t>
      </w:r>
      <w:r w:rsidR="00953222">
        <w:rPr>
          <w:rFonts w:ascii="Garamond" w:hAnsi="Garamond"/>
          <w:lang w:val="en-US"/>
        </w:rPr>
        <w:t xml:space="preserve"> t</w:t>
      </w:r>
      <w:r w:rsidR="00C233C4">
        <w:rPr>
          <w:rFonts w:ascii="Garamond" w:hAnsi="Garamond"/>
          <w:lang w:val="en-US"/>
        </w:rPr>
        <w:t>he painting</w:t>
      </w:r>
      <w:r w:rsidR="00953222">
        <w:rPr>
          <w:rFonts w:ascii="Garamond" w:hAnsi="Garamond"/>
          <w:lang w:val="en-US"/>
        </w:rPr>
        <w:t xml:space="preserve"> (not just that it is beautiful), </w:t>
      </w:r>
      <w:r w:rsidR="00C233C4">
        <w:rPr>
          <w:rFonts w:ascii="Garamond" w:hAnsi="Garamond"/>
          <w:lang w:val="en-US"/>
        </w:rPr>
        <w:t xml:space="preserve">that’s because </w:t>
      </w:r>
      <w:r w:rsidR="00953222">
        <w:rPr>
          <w:rFonts w:ascii="Garamond" w:hAnsi="Garamond"/>
          <w:lang w:val="en-US"/>
        </w:rPr>
        <w:t>this</w:t>
      </w:r>
      <w:r w:rsidR="00C233C4">
        <w:rPr>
          <w:rFonts w:ascii="Garamond" w:hAnsi="Garamond"/>
          <w:lang w:val="en-US"/>
        </w:rPr>
        <w:t xml:space="preserve"> experience benefits you. </w:t>
      </w:r>
      <w:r w:rsidR="001F04D6">
        <w:rPr>
          <w:rFonts w:ascii="Garamond" w:hAnsi="Garamond"/>
          <w:lang w:val="en-US"/>
        </w:rPr>
        <w:t>So, despite the similarities between these two views,</w:t>
      </w:r>
      <w:r w:rsidR="00462642">
        <w:rPr>
          <w:rFonts w:ascii="Garamond" w:hAnsi="Garamond"/>
          <w:lang w:val="en-US"/>
        </w:rPr>
        <w:t xml:space="preserve"> the Contact Account </w:t>
      </w:r>
      <w:r w:rsidR="00D502C6">
        <w:rPr>
          <w:rFonts w:ascii="Garamond" w:hAnsi="Garamond"/>
          <w:lang w:val="en-US"/>
        </w:rPr>
        <w:t>seems to us</w:t>
      </w:r>
      <w:r w:rsidR="00462642">
        <w:rPr>
          <w:rFonts w:ascii="Garamond" w:hAnsi="Garamond"/>
          <w:lang w:val="en-US"/>
        </w:rPr>
        <w:t xml:space="preserve"> superior to its locativized counterpart</w:t>
      </w:r>
      <w:r w:rsidR="001F04D6">
        <w:rPr>
          <w:rFonts w:ascii="Garamond" w:hAnsi="Garamond"/>
          <w:lang w:val="en-US"/>
        </w:rPr>
        <w:t xml:space="preserve">. It </w:t>
      </w:r>
      <w:r w:rsidR="00462642">
        <w:rPr>
          <w:rFonts w:ascii="Garamond" w:hAnsi="Garamond"/>
          <w:lang w:val="en-US"/>
        </w:rPr>
        <w:t xml:space="preserve">gets the order of explanation </w:t>
      </w:r>
      <w:r w:rsidR="00DE4C49">
        <w:rPr>
          <w:rFonts w:ascii="Garamond" w:hAnsi="Garamond"/>
          <w:lang w:val="en-US"/>
        </w:rPr>
        <w:t xml:space="preserve">in </w:t>
      </w:r>
      <w:r w:rsidR="00462642">
        <w:rPr>
          <w:rFonts w:ascii="Garamond" w:hAnsi="Garamond"/>
          <w:lang w:val="en-US"/>
        </w:rPr>
        <w:t>these cases right.</w:t>
      </w:r>
      <w:r w:rsidR="00FF7C21" w:rsidRPr="000E5D20">
        <w:rPr>
          <w:rStyle w:val="FootnoteReference"/>
        </w:rPr>
        <w:footnoteReference w:id="34"/>
      </w:r>
      <w:r w:rsidR="00462642">
        <w:rPr>
          <w:rFonts w:ascii="Garamond" w:hAnsi="Garamond"/>
          <w:lang w:val="en-US"/>
        </w:rPr>
        <w:t xml:space="preserve"> </w:t>
      </w:r>
      <w:r w:rsidR="001F04D6">
        <w:rPr>
          <w:rFonts w:ascii="Garamond" w:hAnsi="Garamond"/>
          <w:lang w:val="en-US"/>
        </w:rPr>
        <w:t>That is why</w:t>
      </w:r>
      <w:r w:rsidR="001946C1">
        <w:rPr>
          <w:rFonts w:ascii="Garamond" w:hAnsi="Garamond"/>
          <w:lang w:val="en-US"/>
        </w:rPr>
        <w:t xml:space="preserve">, on balance, </w:t>
      </w:r>
      <w:r w:rsidR="001F04D6">
        <w:rPr>
          <w:rFonts w:ascii="Garamond" w:hAnsi="Garamond"/>
          <w:lang w:val="en-US"/>
        </w:rPr>
        <w:t>we prefer the Contact Account</w:t>
      </w:r>
      <w:r w:rsidR="00D502C6">
        <w:rPr>
          <w:rFonts w:ascii="Garamond" w:hAnsi="Garamond"/>
          <w:lang w:val="en-US"/>
        </w:rPr>
        <w:t xml:space="preserve"> of welfare to locative views</w:t>
      </w:r>
      <w:r w:rsidR="001F04D6">
        <w:rPr>
          <w:rFonts w:ascii="Garamond" w:hAnsi="Garamond"/>
          <w:lang w:val="en-US"/>
        </w:rPr>
        <w:t xml:space="preserve">. </w:t>
      </w:r>
    </w:p>
    <w:p w14:paraId="22731C45" w14:textId="710C9FC8" w:rsidR="00826872" w:rsidRDefault="007A4C67" w:rsidP="002360C5">
      <w:pPr>
        <w:ind w:firstLine="709"/>
        <w:jc w:val="both"/>
        <w:rPr>
          <w:rFonts w:ascii="Garamond" w:hAnsi="Garamond"/>
          <w:lang w:val="en-US"/>
        </w:rPr>
      </w:pPr>
      <w:r>
        <w:rPr>
          <w:rFonts w:ascii="Garamond" w:hAnsi="Garamond"/>
          <w:lang w:val="en-US"/>
        </w:rPr>
        <w:t>Still, t</w:t>
      </w:r>
      <w:r w:rsidR="005A7306">
        <w:rPr>
          <w:rFonts w:ascii="Garamond" w:hAnsi="Garamond"/>
          <w:lang w:val="en-US"/>
        </w:rPr>
        <w:t xml:space="preserve">he </w:t>
      </w:r>
      <w:r w:rsidR="00F553C9">
        <w:rPr>
          <w:rFonts w:ascii="Garamond" w:hAnsi="Garamond"/>
          <w:lang w:val="en-US"/>
        </w:rPr>
        <w:t>similarities</w:t>
      </w:r>
      <w:r w:rsidR="00D502C6">
        <w:rPr>
          <w:rFonts w:ascii="Garamond" w:hAnsi="Garamond"/>
          <w:lang w:val="en-US"/>
        </w:rPr>
        <w:t xml:space="preserve"> between the </w:t>
      </w:r>
      <w:r w:rsidR="001946C1">
        <w:rPr>
          <w:rFonts w:ascii="Garamond" w:hAnsi="Garamond"/>
          <w:lang w:val="en-US"/>
        </w:rPr>
        <w:t xml:space="preserve">Contact Account and locative views </w:t>
      </w:r>
      <w:r w:rsidR="00D502C6">
        <w:rPr>
          <w:rFonts w:ascii="Garamond" w:hAnsi="Garamond"/>
          <w:lang w:val="en-US"/>
        </w:rPr>
        <w:t>make salient a worry about</w:t>
      </w:r>
      <w:r>
        <w:rPr>
          <w:rFonts w:ascii="Garamond" w:hAnsi="Garamond"/>
          <w:lang w:val="en-US"/>
        </w:rPr>
        <w:t xml:space="preserve"> </w:t>
      </w:r>
      <w:r w:rsidR="00582262">
        <w:rPr>
          <w:rFonts w:ascii="Garamond" w:hAnsi="Garamond"/>
          <w:lang w:val="en-US"/>
        </w:rPr>
        <w:t>our theory</w:t>
      </w:r>
      <w:r w:rsidR="001923DE">
        <w:rPr>
          <w:rFonts w:ascii="Garamond" w:hAnsi="Garamond"/>
          <w:lang w:val="en-US"/>
        </w:rPr>
        <w:t xml:space="preserve">. </w:t>
      </w:r>
      <w:r w:rsidR="00731561">
        <w:rPr>
          <w:rFonts w:ascii="Garamond" w:hAnsi="Garamond"/>
          <w:lang w:val="en-US"/>
        </w:rPr>
        <w:t xml:space="preserve">There’s a class of </w:t>
      </w:r>
      <w:r w:rsidR="00804008">
        <w:rPr>
          <w:rFonts w:ascii="Garamond" w:hAnsi="Garamond"/>
          <w:lang w:val="en-US"/>
        </w:rPr>
        <w:t xml:space="preserve">alleged problem </w:t>
      </w:r>
      <w:r w:rsidR="00731561">
        <w:rPr>
          <w:rFonts w:ascii="Garamond" w:hAnsi="Garamond"/>
          <w:lang w:val="en-US"/>
        </w:rPr>
        <w:t xml:space="preserve">cases </w:t>
      </w:r>
      <w:r w:rsidR="006428C4">
        <w:rPr>
          <w:rFonts w:ascii="Garamond" w:hAnsi="Garamond"/>
          <w:lang w:val="en-US"/>
        </w:rPr>
        <w:t>for locative views</w:t>
      </w:r>
      <w:r w:rsidR="00804008">
        <w:rPr>
          <w:rFonts w:ascii="Garamond" w:hAnsi="Garamond"/>
          <w:lang w:val="en-US"/>
        </w:rPr>
        <w:t>: cases where, intuitively, something appropriately connected to you is bad for you but impersonally good, or good for you but impersonally bad.</w:t>
      </w:r>
      <w:r w:rsidR="005A37ED" w:rsidRPr="000E5D20">
        <w:rPr>
          <w:rStyle w:val="FootnoteReference"/>
        </w:rPr>
        <w:footnoteReference w:id="35"/>
      </w:r>
      <w:r w:rsidR="00965A44">
        <w:rPr>
          <w:rFonts w:ascii="Garamond" w:hAnsi="Garamond"/>
          <w:lang w:val="en-US"/>
        </w:rPr>
        <w:t xml:space="preserve"> And one might think </w:t>
      </w:r>
      <w:r w:rsidR="00804008">
        <w:rPr>
          <w:rFonts w:ascii="Garamond" w:hAnsi="Garamond"/>
          <w:lang w:val="en-US"/>
        </w:rPr>
        <w:t xml:space="preserve">these are </w:t>
      </w:r>
      <w:r w:rsidR="00965A44">
        <w:rPr>
          <w:rFonts w:ascii="Garamond" w:hAnsi="Garamond"/>
          <w:lang w:val="en-US"/>
        </w:rPr>
        <w:t>problem</w:t>
      </w:r>
      <w:r w:rsidR="00D65D3B">
        <w:rPr>
          <w:rFonts w:ascii="Garamond" w:hAnsi="Garamond"/>
          <w:lang w:val="en-US"/>
        </w:rPr>
        <w:t xml:space="preserve"> case</w:t>
      </w:r>
      <w:r w:rsidR="00804008">
        <w:rPr>
          <w:rFonts w:ascii="Garamond" w:hAnsi="Garamond"/>
          <w:lang w:val="en-US"/>
        </w:rPr>
        <w:t>s</w:t>
      </w:r>
      <w:r w:rsidR="00965A44">
        <w:rPr>
          <w:rFonts w:ascii="Garamond" w:hAnsi="Garamond"/>
          <w:lang w:val="en-US"/>
        </w:rPr>
        <w:t xml:space="preserve"> for </w:t>
      </w:r>
      <w:r w:rsidR="001946C1">
        <w:rPr>
          <w:rFonts w:ascii="Garamond" w:hAnsi="Garamond"/>
          <w:lang w:val="en-US"/>
        </w:rPr>
        <w:t>the Contact</w:t>
      </w:r>
      <w:r w:rsidR="00DF372D">
        <w:rPr>
          <w:rFonts w:ascii="Garamond" w:hAnsi="Garamond"/>
          <w:lang w:val="en-US"/>
        </w:rPr>
        <w:t xml:space="preserve"> </w:t>
      </w:r>
      <w:r w:rsidR="001946C1">
        <w:rPr>
          <w:rFonts w:ascii="Garamond" w:hAnsi="Garamond"/>
          <w:lang w:val="en-US"/>
        </w:rPr>
        <w:t>A</w:t>
      </w:r>
      <w:r w:rsidR="00965A44">
        <w:rPr>
          <w:rFonts w:ascii="Garamond" w:hAnsi="Garamond"/>
          <w:lang w:val="en-US"/>
        </w:rPr>
        <w:t xml:space="preserve">ccount </w:t>
      </w:r>
      <w:r w:rsidR="00DF372D">
        <w:rPr>
          <w:rFonts w:ascii="Garamond" w:hAnsi="Garamond"/>
          <w:lang w:val="en-US"/>
        </w:rPr>
        <w:t>too</w:t>
      </w:r>
      <w:r w:rsidR="00965A44">
        <w:rPr>
          <w:rFonts w:ascii="Garamond" w:hAnsi="Garamond"/>
          <w:lang w:val="en-US"/>
        </w:rPr>
        <w:t xml:space="preserve">. </w:t>
      </w:r>
      <w:r w:rsidR="004A2E5A">
        <w:rPr>
          <w:rFonts w:ascii="Garamond" w:hAnsi="Garamond"/>
          <w:lang w:val="en-US"/>
        </w:rPr>
        <w:t xml:space="preserve">A first family of such cases concerns </w:t>
      </w:r>
      <w:r w:rsidR="00D62724">
        <w:rPr>
          <w:rFonts w:ascii="Garamond" w:hAnsi="Garamond"/>
          <w:lang w:val="en-US"/>
        </w:rPr>
        <w:t>deserved suffering</w:t>
      </w:r>
      <w:r w:rsidR="00D24F2E">
        <w:rPr>
          <w:rFonts w:ascii="Garamond" w:hAnsi="Garamond"/>
          <w:lang w:val="en-US"/>
        </w:rPr>
        <w:t xml:space="preserve">. </w:t>
      </w:r>
      <w:r w:rsidR="00965A44">
        <w:rPr>
          <w:rFonts w:ascii="Garamond" w:hAnsi="Garamond"/>
          <w:lang w:val="en-US"/>
        </w:rPr>
        <w:t>Suppose you</w:t>
      </w:r>
      <w:r w:rsidR="00964BA1">
        <w:rPr>
          <w:rFonts w:ascii="Garamond" w:hAnsi="Garamond"/>
          <w:lang w:val="en-US"/>
        </w:rPr>
        <w:t xml:space="preserve"> </w:t>
      </w:r>
      <w:r w:rsidR="00B970F6">
        <w:rPr>
          <w:rFonts w:ascii="Garamond" w:hAnsi="Garamond"/>
          <w:lang w:val="en-US"/>
        </w:rPr>
        <w:t>murder someone</w:t>
      </w:r>
      <w:r w:rsidR="00964BA1">
        <w:rPr>
          <w:rFonts w:ascii="Garamond" w:hAnsi="Garamond"/>
          <w:lang w:val="en-US"/>
        </w:rPr>
        <w:t xml:space="preserve">, </w:t>
      </w:r>
      <w:r w:rsidR="00965A44">
        <w:rPr>
          <w:rFonts w:ascii="Garamond" w:hAnsi="Garamond"/>
          <w:lang w:val="en-US"/>
        </w:rPr>
        <w:t xml:space="preserve">deserve to be </w:t>
      </w:r>
      <w:r w:rsidR="00964BA1">
        <w:rPr>
          <w:rFonts w:ascii="Garamond" w:hAnsi="Garamond"/>
          <w:lang w:val="en-US"/>
        </w:rPr>
        <w:t xml:space="preserve">imprisoned for </w:t>
      </w:r>
      <w:r w:rsidR="00B970F6">
        <w:rPr>
          <w:rFonts w:ascii="Garamond" w:hAnsi="Garamond"/>
          <w:lang w:val="en-US"/>
        </w:rPr>
        <w:t>fifteen</w:t>
      </w:r>
      <w:r w:rsidR="00964BA1">
        <w:rPr>
          <w:rFonts w:ascii="Garamond" w:hAnsi="Garamond"/>
          <w:lang w:val="en-US"/>
        </w:rPr>
        <w:t xml:space="preserve"> year</w:t>
      </w:r>
      <w:r w:rsidR="00B970F6">
        <w:rPr>
          <w:rFonts w:ascii="Garamond" w:hAnsi="Garamond"/>
          <w:lang w:val="en-US"/>
        </w:rPr>
        <w:t>s</w:t>
      </w:r>
      <w:r w:rsidR="00964BA1">
        <w:rPr>
          <w:rFonts w:ascii="Garamond" w:hAnsi="Garamond"/>
          <w:lang w:val="en-US"/>
        </w:rPr>
        <w:t xml:space="preserve">, </w:t>
      </w:r>
      <w:r w:rsidR="00A27973">
        <w:rPr>
          <w:rFonts w:ascii="Garamond" w:hAnsi="Garamond"/>
          <w:lang w:val="en-US"/>
        </w:rPr>
        <w:t xml:space="preserve">and spend </w:t>
      </w:r>
      <w:r w:rsidR="00964BA1">
        <w:rPr>
          <w:rFonts w:ascii="Garamond" w:hAnsi="Garamond"/>
          <w:lang w:val="en-US"/>
        </w:rPr>
        <w:t>that</w:t>
      </w:r>
      <w:r w:rsidR="00B970F6">
        <w:rPr>
          <w:rFonts w:ascii="Garamond" w:hAnsi="Garamond"/>
          <w:lang w:val="en-US"/>
        </w:rPr>
        <w:t xml:space="preserve"> time</w:t>
      </w:r>
      <w:r w:rsidR="00A27973">
        <w:rPr>
          <w:rFonts w:ascii="Garamond" w:hAnsi="Garamond"/>
          <w:lang w:val="en-US"/>
        </w:rPr>
        <w:t xml:space="preserve"> in </w:t>
      </w:r>
      <w:r w:rsidR="00D60E7E">
        <w:rPr>
          <w:rFonts w:ascii="Garamond" w:hAnsi="Garamond"/>
          <w:lang w:val="en-US"/>
        </w:rPr>
        <w:t>jail</w:t>
      </w:r>
      <w:r w:rsidR="00A27973">
        <w:rPr>
          <w:rFonts w:ascii="Garamond" w:hAnsi="Garamond"/>
          <w:lang w:val="en-US"/>
        </w:rPr>
        <w:t xml:space="preserve">. </w:t>
      </w:r>
      <w:r w:rsidR="00F727D8">
        <w:rPr>
          <w:rFonts w:ascii="Garamond" w:hAnsi="Garamond"/>
          <w:lang w:val="en-US"/>
        </w:rPr>
        <w:t xml:space="preserve">One might say </w:t>
      </w:r>
      <w:r w:rsidR="00D65D3B">
        <w:rPr>
          <w:rFonts w:ascii="Garamond" w:hAnsi="Garamond"/>
          <w:lang w:val="en-US"/>
        </w:rPr>
        <w:t>it</w:t>
      </w:r>
      <w:r w:rsidR="001E4BFC">
        <w:rPr>
          <w:rFonts w:ascii="Garamond" w:hAnsi="Garamond"/>
          <w:lang w:val="en-US"/>
        </w:rPr>
        <w:t xml:space="preserve"> is overall</w:t>
      </w:r>
      <w:r w:rsidR="00D65D3B">
        <w:rPr>
          <w:rFonts w:ascii="Garamond" w:hAnsi="Garamond"/>
          <w:lang w:val="en-US"/>
        </w:rPr>
        <w:t xml:space="preserve"> impersonally good that you </w:t>
      </w:r>
      <w:r w:rsidR="00D62724">
        <w:rPr>
          <w:rFonts w:ascii="Garamond" w:hAnsi="Garamond"/>
          <w:lang w:val="en-US"/>
        </w:rPr>
        <w:t xml:space="preserve">suffer </w:t>
      </w:r>
      <w:r w:rsidR="00CD707D">
        <w:rPr>
          <w:rFonts w:ascii="Garamond" w:hAnsi="Garamond"/>
          <w:lang w:val="en-US"/>
        </w:rPr>
        <w:t>from</w:t>
      </w:r>
      <w:r w:rsidR="00D62724">
        <w:rPr>
          <w:rFonts w:ascii="Garamond" w:hAnsi="Garamond"/>
          <w:lang w:val="en-US"/>
        </w:rPr>
        <w:t xml:space="preserve"> your </w:t>
      </w:r>
      <w:r w:rsidR="008401D3">
        <w:rPr>
          <w:rFonts w:ascii="Garamond" w:hAnsi="Garamond"/>
          <w:lang w:val="en-US"/>
        </w:rPr>
        <w:t>imprisonment</w:t>
      </w:r>
      <w:r w:rsidR="00F727D8">
        <w:rPr>
          <w:rFonts w:ascii="Garamond" w:hAnsi="Garamond"/>
          <w:lang w:val="en-US"/>
        </w:rPr>
        <w:t xml:space="preserve">: </w:t>
      </w:r>
      <w:r w:rsidR="00B970F6">
        <w:rPr>
          <w:rFonts w:ascii="Garamond" w:hAnsi="Garamond"/>
          <w:lang w:val="en-US"/>
        </w:rPr>
        <w:t xml:space="preserve">it helps to restore </w:t>
      </w:r>
      <w:r w:rsidR="00951DA1">
        <w:rPr>
          <w:rFonts w:ascii="Garamond" w:hAnsi="Garamond"/>
          <w:lang w:val="en-US"/>
        </w:rPr>
        <w:t>a little</w:t>
      </w:r>
      <w:r w:rsidR="00B970F6">
        <w:rPr>
          <w:rFonts w:ascii="Garamond" w:hAnsi="Garamond"/>
          <w:lang w:val="en-US"/>
        </w:rPr>
        <w:t xml:space="preserve"> </w:t>
      </w:r>
      <w:r w:rsidR="00F727D8">
        <w:rPr>
          <w:rFonts w:ascii="Garamond" w:hAnsi="Garamond"/>
          <w:lang w:val="en-US"/>
        </w:rPr>
        <w:t>justic</w:t>
      </w:r>
      <w:r w:rsidR="00B970F6">
        <w:rPr>
          <w:rFonts w:ascii="Garamond" w:hAnsi="Garamond"/>
          <w:lang w:val="en-US"/>
        </w:rPr>
        <w:t>e</w:t>
      </w:r>
      <w:r w:rsidR="00B941C4">
        <w:rPr>
          <w:rFonts w:ascii="Garamond" w:hAnsi="Garamond"/>
          <w:lang w:val="en-US"/>
        </w:rPr>
        <w:t>.</w:t>
      </w:r>
      <w:r w:rsidR="008401D3">
        <w:rPr>
          <w:rFonts w:ascii="Garamond" w:hAnsi="Garamond"/>
          <w:lang w:val="en-US"/>
        </w:rPr>
        <w:t xml:space="preserve"> And</w:t>
      </w:r>
      <w:r w:rsidR="00B970F6">
        <w:rPr>
          <w:rFonts w:ascii="Garamond" w:hAnsi="Garamond"/>
          <w:lang w:val="en-US"/>
        </w:rPr>
        <w:t xml:space="preserve"> </w:t>
      </w:r>
      <w:r w:rsidR="008401D3">
        <w:rPr>
          <w:rFonts w:ascii="Garamond" w:hAnsi="Garamond"/>
          <w:lang w:val="en-US"/>
        </w:rPr>
        <w:t xml:space="preserve">the </w:t>
      </w:r>
      <w:r w:rsidR="00B970F6">
        <w:rPr>
          <w:rFonts w:ascii="Garamond" w:hAnsi="Garamond"/>
          <w:lang w:val="en-US"/>
        </w:rPr>
        <w:t xml:space="preserve">value </w:t>
      </w:r>
      <w:r w:rsidR="008401D3">
        <w:rPr>
          <w:rFonts w:ascii="Garamond" w:hAnsi="Garamond"/>
          <w:lang w:val="en-US"/>
        </w:rPr>
        <w:t xml:space="preserve">of </w:t>
      </w:r>
      <w:r w:rsidR="00951DA1">
        <w:rPr>
          <w:rFonts w:ascii="Garamond" w:hAnsi="Garamond"/>
          <w:lang w:val="en-US"/>
        </w:rPr>
        <w:t xml:space="preserve">that suffering </w:t>
      </w:r>
      <w:r w:rsidR="00B970F6">
        <w:rPr>
          <w:rFonts w:ascii="Garamond" w:hAnsi="Garamond"/>
          <w:lang w:val="en-US"/>
        </w:rPr>
        <w:t xml:space="preserve">seems </w:t>
      </w:r>
      <w:r w:rsidR="008401D3">
        <w:rPr>
          <w:rFonts w:ascii="Garamond" w:hAnsi="Garamond"/>
          <w:lang w:val="en-US"/>
        </w:rPr>
        <w:t>a manifestation of you: it’s good</w:t>
      </w:r>
      <w:r w:rsidR="00964BA1">
        <w:rPr>
          <w:rFonts w:ascii="Garamond" w:hAnsi="Garamond"/>
          <w:lang w:val="en-US"/>
        </w:rPr>
        <w:t xml:space="preserve"> </w:t>
      </w:r>
      <w:r w:rsidR="008401D3">
        <w:rPr>
          <w:rFonts w:ascii="Garamond" w:hAnsi="Garamond"/>
          <w:lang w:val="en-US"/>
        </w:rPr>
        <w:t>because you deserved to be</w:t>
      </w:r>
      <w:r w:rsidR="00964BA1">
        <w:rPr>
          <w:rFonts w:ascii="Garamond" w:hAnsi="Garamond"/>
          <w:lang w:val="en-US"/>
        </w:rPr>
        <w:t xml:space="preserve"> </w:t>
      </w:r>
      <w:r w:rsidR="00B970F6">
        <w:rPr>
          <w:rFonts w:ascii="Garamond" w:hAnsi="Garamond"/>
          <w:lang w:val="en-US"/>
        </w:rPr>
        <w:t>punished</w:t>
      </w:r>
      <w:r w:rsidR="00964BA1">
        <w:rPr>
          <w:rFonts w:ascii="Garamond" w:hAnsi="Garamond"/>
          <w:lang w:val="en-US"/>
        </w:rPr>
        <w:t>, and that you deserved this</w:t>
      </w:r>
      <w:r w:rsidR="00D60E7E">
        <w:rPr>
          <w:rFonts w:ascii="Garamond" w:hAnsi="Garamond"/>
          <w:lang w:val="en-US"/>
        </w:rPr>
        <w:t xml:space="preserve"> is a</w:t>
      </w:r>
      <w:r w:rsidR="00964BA1">
        <w:rPr>
          <w:rFonts w:ascii="Garamond" w:hAnsi="Garamond"/>
          <w:lang w:val="en-US"/>
        </w:rPr>
        <w:t xml:space="preserve"> manifest</w:t>
      </w:r>
      <w:r w:rsidR="00D60E7E">
        <w:rPr>
          <w:rFonts w:ascii="Garamond" w:hAnsi="Garamond"/>
          <w:lang w:val="en-US"/>
        </w:rPr>
        <w:t>ation</w:t>
      </w:r>
      <w:r w:rsidR="00964BA1">
        <w:rPr>
          <w:rFonts w:ascii="Garamond" w:hAnsi="Garamond"/>
          <w:lang w:val="en-US"/>
        </w:rPr>
        <w:t xml:space="preserve"> </w:t>
      </w:r>
      <w:r w:rsidR="00D60E7E">
        <w:rPr>
          <w:rFonts w:ascii="Garamond" w:hAnsi="Garamond"/>
          <w:lang w:val="en-US"/>
        </w:rPr>
        <w:t xml:space="preserve">of </w:t>
      </w:r>
      <w:r w:rsidR="00964BA1">
        <w:rPr>
          <w:rFonts w:ascii="Garamond" w:hAnsi="Garamond"/>
          <w:lang w:val="en-US"/>
        </w:rPr>
        <w:t xml:space="preserve">your </w:t>
      </w:r>
      <w:r w:rsidR="00B970F6">
        <w:rPr>
          <w:rFonts w:ascii="Garamond" w:hAnsi="Garamond"/>
          <w:lang w:val="en-US"/>
        </w:rPr>
        <w:t>ill</w:t>
      </w:r>
      <w:r w:rsidR="00BE23B1">
        <w:rPr>
          <w:rFonts w:ascii="Garamond" w:hAnsi="Garamond"/>
          <w:lang w:val="en-US"/>
        </w:rPr>
        <w:t xml:space="preserve"> will</w:t>
      </w:r>
      <w:r w:rsidR="00964BA1">
        <w:rPr>
          <w:rFonts w:ascii="Garamond" w:hAnsi="Garamond"/>
          <w:lang w:val="en-US"/>
        </w:rPr>
        <w:t xml:space="preserve">. </w:t>
      </w:r>
      <w:r w:rsidR="000757C3">
        <w:rPr>
          <w:rFonts w:ascii="Garamond" w:hAnsi="Garamond"/>
          <w:lang w:val="en-US"/>
        </w:rPr>
        <w:t xml:space="preserve">So </w:t>
      </w:r>
      <w:r w:rsidR="00CA38E7">
        <w:rPr>
          <w:rFonts w:ascii="Garamond" w:hAnsi="Garamond"/>
          <w:lang w:val="en-US"/>
        </w:rPr>
        <w:t xml:space="preserve">the Contact Account seems to </w:t>
      </w:r>
      <w:r w:rsidR="00D60E7E">
        <w:rPr>
          <w:rFonts w:ascii="Garamond" w:hAnsi="Garamond"/>
          <w:lang w:val="en-US"/>
        </w:rPr>
        <w:t xml:space="preserve">say </w:t>
      </w:r>
      <w:r w:rsidR="0074493F">
        <w:rPr>
          <w:rFonts w:ascii="Garamond" w:hAnsi="Garamond"/>
          <w:lang w:val="en-US"/>
        </w:rPr>
        <w:t xml:space="preserve">it is good for you </w:t>
      </w:r>
      <w:r w:rsidR="00ED222A">
        <w:rPr>
          <w:rFonts w:ascii="Garamond" w:hAnsi="Garamond"/>
          <w:lang w:val="en-US"/>
        </w:rPr>
        <w:t xml:space="preserve">that you </w:t>
      </w:r>
      <w:r w:rsidR="00D60E7E">
        <w:rPr>
          <w:rFonts w:ascii="Garamond" w:hAnsi="Garamond"/>
          <w:lang w:val="en-US"/>
        </w:rPr>
        <w:t xml:space="preserve">suffer in </w:t>
      </w:r>
      <w:r w:rsidR="00951DA1">
        <w:rPr>
          <w:rFonts w:ascii="Garamond" w:hAnsi="Garamond"/>
          <w:lang w:val="en-US"/>
        </w:rPr>
        <w:t>prison</w:t>
      </w:r>
      <w:r w:rsidR="00D60E7E">
        <w:rPr>
          <w:rFonts w:ascii="Garamond" w:hAnsi="Garamond"/>
          <w:lang w:val="en-US"/>
        </w:rPr>
        <w:t xml:space="preserve">. But that seems false. </w:t>
      </w:r>
      <w:r w:rsidR="00227623">
        <w:rPr>
          <w:rFonts w:ascii="Garamond" w:hAnsi="Garamond"/>
          <w:lang w:val="en-US"/>
        </w:rPr>
        <w:t xml:space="preserve">It is bad for you to be imprisoned for fifteen years. </w:t>
      </w:r>
      <w:r w:rsidR="008D348A">
        <w:rPr>
          <w:rFonts w:ascii="Garamond" w:hAnsi="Garamond"/>
          <w:lang w:val="en-US"/>
        </w:rPr>
        <w:t>What</w:t>
      </w:r>
      <w:r w:rsidR="00B34D7A">
        <w:rPr>
          <w:rFonts w:ascii="Garamond" w:hAnsi="Garamond"/>
          <w:lang w:val="en-US"/>
        </w:rPr>
        <w:t xml:space="preserve"> </w:t>
      </w:r>
      <w:r w:rsidR="008D348A">
        <w:rPr>
          <w:rFonts w:ascii="Garamond" w:hAnsi="Garamond"/>
          <w:lang w:val="en-US"/>
        </w:rPr>
        <w:t>do</w:t>
      </w:r>
      <w:r w:rsidR="00B34D7A">
        <w:rPr>
          <w:rFonts w:ascii="Garamond" w:hAnsi="Garamond"/>
          <w:lang w:val="en-US"/>
        </w:rPr>
        <w:t xml:space="preserve"> we </w:t>
      </w:r>
      <w:r w:rsidR="008D348A">
        <w:rPr>
          <w:rFonts w:ascii="Garamond" w:hAnsi="Garamond"/>
          <w:lang w:val="en-US"/>
        </w:rPr>
        <w:t>say about</w:t>
      </w:r>
      <w:r w:rsidR="00B34D7A">
        <w:rPr>
          <w:rFonts w:ascii="Garamond" w:hAnsi="Garamond"/>
          <w:lang w:val="en-US"/>
        </w:rPr>
        <w:t xml:space="preserve"> </w:t>
      </w:r>
      <w:r w:rsidR="00E210C4">
        <w:rPr>
          <w:rFonts w:ascii="Garamond" w:hAnsi="Garamond"/>
          <w:lang w:val="en-US"/>
        </w:rPr>
        <w:t>such cases</w:t>
      </w:r>
      <w:r w:rsidR="00544745">
        <w:rPr>
          <w:rFonts w:ascii="Garamond" w:hAnsi="Garamond"/>
          <w:lang w:val="en-US"/>
        </w:rPr>
        <w:t>?</w:t>
      </w:r>
    </w:p>
    <w:p w14:paraId="15BCC4EB" w14:textId="63BE9C79" w:rsidR="00EE3BBC" w:rsidRDefault="00964E35" w:rsidP="002360C5">
      <w:pPr>
        <w:ind w:firstLine="709"/>
        <w:jc w:val="both"/>
        <w:rPr>
          <w:rFonts w:ascii="Garamond" w:hAnsi="Garamond"/>
          <w:lang w:val="en-US"/>
        </w:rPr>
      </w:pPr>
      <w:r>
        <w:rPr>
          <w:rFonts w:ascii="Garamond" w:hAnsi="Garamond"/>
          <w:lang w:val="en-US"/>
        </w:rPr>
        <w:t xml:space="preserve">We deny that it is </w:t>
      </w:r>
      <w:r w:rsidR="00325C4B">
        <w:rPr>
          <w:rFonts w:ascii="Garamond" w:hAnsi="Garamond"/>
          <w:lang w:val="en-US"/>
        </w:rPr>
        <w:t xml:space="preserve">always </w:t>
      </w:r>
      <w:r>
        <w:rPr>
          <w:rFonts w:ascii="Garamond" w:hAnsi="Garamond"/>
          <w:lang w:val="en-US"/>
        </w:rPr>
        <w:t>overall</w:t>
      </w:r>
      <w:r w:rsidR="001E4BFC">
        <w:rPr>
          <w:rFonts w:ascii="Garamond" w:hAnsi="Garamond"/>
          <w:lang w:val="en-US"/>
        </w:rPr>
        <w:t xml:space="preserve"> </w:t>
      </w:r>
      <w:r>
        <w:rPr>
          <w:rFonts w:ascii="Garamond" w:hAnsi="Garamond"/>
          <w:lang w:val="en-US"/>
        </w:rPr>
        <w:t xml:space="preserve">impersonally good </w:t>
      </w:r>
      <w:r w:rsidR="00ED222A">
        <w:rPr>
          <w:rFonts w:ascii="Garamond" w:hAnsi="Garamond"/>
          <w:lang w:val="en-US"/>
        </w:rPr>
        <w:t xml:space="preserve">when </w:t>
      </w:r>
      <w:r>
        <w:rPr>
          <w:rFonts w:ascii="Garamond" w:hAnsi="Garamond"/>
          <w:lang w:val="en-US"/>
        </w:rPr>
        <w:t xml:space="preserve">the wicked suffer. </w:t>
      </w:r>
      <w:r w:rsidR="00227623">
        <w:rPr>
          <w:rFonts w:ascii="Garamond" w:hAnsi="Garamond"/>
          <w:lang w:val="en-US"/>
        </w:rPr>
        <w:t>Imagine your suffering</w:t>
      </w:r>
      <w:r w:rsidR="00EB6C9E">
        <w:rPr>
          <w:rFonts w:ascii="Garamond" w:hAnsi="Garamond"/>
          <w:lang w:val="en-US"/>
        </w:rPr>
        <w:t xml:space="preserve"> doesn’t lead to any independent good:</w:t>
      </w:r>
      <w:r w:rsidR="00227623">
        <w:rPr>
          <w:rFonts w:ascii="Garamond" w:hAnsi="Garamond"/>
          <w:lang w:val="en-US"/>
        </w:rPr>
        <w:t xml:space="preserve"> </w:t>
      </w:r>
      <w:r w:rsidR="00EB6C9E">
        <w:rPr>
          <w:rFonts w:ascii="Garamond" w:hAnsi="Garamond"/>
          <w:lang w:val="en-US"/>
        </w:rPr>
        <w:t xml:space="preserve">it </w:t>
      </w:r>
      <w:r w:rsidR="00227623">
        <w:rPr>
          <w:rFonts w:ascii="Garamond" w:hAnsi="Garamond"/>
          <w:lang w:val="en-US"/>
        </w:rPr>
        <w:t xml:space="preserve">doesn’t deter </w:t>
      </w:r>
      <w:r w:rsidR="00EB6C9E">
        <w:rPr>
          <w:rFonts w:ascii="Garamond" w:hAnsi="Garamond"/>
          <w:lang w:val="en-US"/>
        </w:rPr>
        <w:t xml:space="preserve">you or </w:t>
      </w:r>
      <w:r w:rsidR="00227623">
        <w:rPr>
          <w:rFonts w:ascii="Garamond" w:hAnsi="Garamond"/>
          <w:lang w:val="en-US"/>
        </w:rPr>
        <w:t xml:space="preserve">anyone else, </w:t>
      </w:r>
      <w:r w:rsidR="00EB6C9E">
        <w:rPr>
          <w:rFonts w:ascii="Garamond" w:hAnsi="Garamond"/>
          <w:lang w:val="en-US"/>
        </w:rPr>
        <w:t xml:space="preserve">provides no solace to </w:t>
      </w:r>
      <w:r w:rsidR="00227623">
        <w:rPr>
          <w:rFonts w:ascii="Garamond" w:hAnsi="Garamond"/>
          <w:lang w:val="en-US"/>
        </w:rPr>
        <w:t xml:space="preserve">the victim’s </w:t>
      </w:r>
      <w:r w:rsidR="00EB6C9E">
        <w:rPr>
          <w:rFonts w:ascii="Garamond" w:hAnsi="Garamond"/>
          <w:lang w:val="en-US"/>
        </w:rPr>
        <w:t xml:space="preserve">friends or </w:t>
      </w:r>
      <w:r w:rsidR="00227623">
        <w:rPr>
          <w:rFonts w:ascii="Garamond" w:hAnsi="Garamond"/>
          <w:lang w:val="en-US"/>
        </w:rPr>
        <w:t xml:space="preserve">family </w:t>
      </w:r>
      <w:r w:rsidR="00EB6C9E">
        <w:rPr>
          <w:rFonts w:ascii="Garamond" w:hAnsi="Garamond"/>
          <w:lang w:val="en-US"/>
        </w:rPr>
        <w:t>and so on</w:t>
      </w:r>
      <w:r w:rsidR="00227623">
        <w:rPr>
          <w:rFonts w:ascii="Garamond" w:hAnsi="Garamond"/>
          <w:lang w:val="en-US"/>
        </w:rPr>
        <w:t>. We think, in this case, it is</w:t>
      </w:r>
      <w:r w:rsidR="005B6552">
        <w:rPr>
          <w:rFonts w:ascii="Garamond" w:hAnsi="Garamond"/>
          <w:lang w:val="en-US"/>
        </w:rPr>
        <w:t xml:space="preserve"> generally</w:t>
      </w:r>
      <w:r w:rsidR="00227623">
        <w:rPr>
          <w:rFonts w:ascii="Garamond" w:hAnsi="Garamond"/>
          <w:lang w:val="en-US"/>
        </w:rPr>
        <w:t xml:space="preserve"> overall bad </w:t>
      </w:r>
      <w:r w:rsidR="00ED222A">
        <w:rPr>
          <w:rFonts w:ascii="Garamond" w:hAnsi="Garamond"/>
          <w:lang w:val="en-US"/>
        </w:rPr>
        <w:t xml:space="preserve">that </w:t>
      </w:r>
      <w:r w:rsidR="00227623">
        <w:rPr>
          <w:rFonts w:ascii="Garamond" w:hAnsi="Garamond"/>
          <w:lang w:val="en-US"/>
        </w:rPr>
        <w:t>you suffer. The contrary sense</w:t>
      </w:r>
      <w:r w:rsidR="007D6D6C">
        <w:rPr>
          <w:rFonts w:ascii="Garamond" w:hAnsi="Garamond"/>
          <w:lang w:val="en-US"/>
        </w:rPr>
        <w:t xml:space="preserve"> </w:t>
      </w:r>
      <w:r w:rsidR="00227623">
        <w:rPr>
          <w:rFonts w:ascii="Garamond" w:hAnsi="Garamond"/>
          <w:lang w:val="en-US"/>
        </w:rPr>
        <w:t xml:space="preserve">can be explained via two points. On the one hand, it may well be good in some </w:t>
      </w:r>
      <w:r w:rsidR="00227623" w:rsidRPr="00786AE6">
        <w:rPr>
          <w:rFonts w:ascii="Garamond" w:hAnsi="Garamond"/>
          <w:i/>
          <w:iCs/>
          <w:lang w:val="en-US"/>
        </w:rPr>
        <w:t>respect</w:t>
      </w:r>
      <w:r w:rsidR="00227623">
        <w:rPr>
          <w:rFonts w:ascii="Garamond" w:hAnsi="Garamond"/>
          <w:lang w:val="en-US"/>
        </w:rPr>
        <w:t xml:space="preserve"> </w:t>
      </w:r>
      <w:r w:rsidR="00ED222A">
        <w:rPr>
          <w:rFonts w:ascii="Garamond" w:hAnsi="Garamond"/>
          <w:lang w:val="en-US"/>
        </w:rPr>
        <w:t>that</w:t>
      </w:r>
      <w:r w:rsidR="00227623">
        <w:rPr>
          <w:rFonts w:ascii="Garamond" w:hAnsi="Garamond"/>
          <w:lang w:val="en-US"/>
        </w:rPr>
        <w:t xml:space="preserve"> </w:t>
      </w:r>
      <w:r w:rsidR="00ED222A">
        <w:rPr>
          <w:rFonts w:ascii="Garamond" w:hAnsi="Garamond"/>
          <w:lang w:val="en-US"/>
        </w:rPr>
        <w:t>you</w:t>
      </w:r>
      <w:r w:rsidR="00227623">
        <w:rPr>
          <w:rFonts w:ascii="Garamond" w:hAnsi="Garamond"/>
          <w:lang w:val="en-US"/>
        </w:rPr>
        <w:t xml:space="preserve"> suffer. It may well </w:t>
      </w:r>
      <w:r w:rsidR="00545315">
        <w:rPr>
          <w:rFonts w:ascii="Garamond" w:hAnsi="Garamond"/>
          <w:lang w:val="en-US"/>
        </w:rPr>
        <w:t xml:space="preserve">make the world a little </w:t>
      </w:r>
      <w:r w:rsidR="0058427B">
        <w:rPr>
          <w:rFonts w:ascii="Garamond" w:hAnsi="Garamond"/>
          <w:lang w:val="en-US"/>
        </w:rPr>
        <w:t>less un</w:t>
      </w:r>
      <w:r w:rsidR="00545315">
        <w:rPr>
          <w:rFonts w:ascii="Garamond" w:hAnsi="Garamond"/>
          <w:lang w:val="en-US"/>
        </w:rPr>
        <w:t xml:space="preserve">just, and that may be good. </w:t>
      </w:r>
      <w:r w:rsidR="00545315">
        <w:rPr>
          <w:rFonts w:ascii="Garamond" w:hAnsi="Garamond"/>
          <w:lang w:val="en-US"/>
        </w:rPr>
        <w:lastRenderedPageBreak/>
        <w:t xml:space="preserve">So the suffering of the wicked is, overall, much less bad than that of the innocent. </w:t>
      </w:r>
      <w:r w:rsidR="00EB6C9E">
        <w:rPr>
          <w:rFonts w:ascii="Garamond" w:hAnsi="Garamond"/>
          <w:lang w:val="en-US"/>
        </w:rPr>
        <w:t>S</w:t>
      </w:r>
      <w:r w:rsidR="00545315">
        <w:rPr>
          <w:rFonts w:ascii="Garamond" w:hAnsi="Garamond"/>
          <w:lang w:val="en-US"/>
        </w:rPr>
        <w:t xml:space="preserve">till, overall it is </w:t>
      </w:r>
      <w:r w:rsidR="005B6552">
        <w:rPr>
          <w:rFonts w:ascii="Garamond" w:hAnsi="Garamond"/>
          <w:lang w:val="en-US"/>
        </w:rPr>
        <w:t>generally</w:t>
      </w:r>
      <w:r w:rsidR="00325C4B">
        <w:rPr>
          <w:rFonts w:ascii="Garamond" w:hAnsi="Garamond"/>
          <w:lang w:val="en-US"/>
        </w:rPr>
        <w:t xml:space="preserve"> </w:t>
      </w:r>
      <w:r w:rsidR="00545315">
        <w:rPr>
          <w:rFonts w:ascii="Garamond" w:hAnsi="Garamond"/>
          <w:lang w:val="en-US"/>
        </w:rPr>
        <w:t>bad.</w:t>
      </w:r>
      <w:r w:rsidR="00451629" w:rsidRPr="000E5D20">
        <w:rPr>
          <w:rStyle w:val="FootnoteReference"/>
        </w:rPr>
        <w:footnoteReference w:id="36"/>
      </w:r>
      <w:r w:rsidR="00545315">
        <w:rPr>
          <w:rFonts w:ascii="Garamond" w:hAnsi="Garamond"/>
          <w:lang w:val="en-US"/>
        </w:rPr>
        <w:t xml:space="preserve"> On the other hand, certain </w:t>
      </w:r>
      <w:r w:rsidR="00545315" w:rsidRPr="005D3ADD">
        <w:rPr>
          <w:rFonts w:ascii="Garamond" w:hAnsi="Garamond"/>
          <w:i/>
          <w:iCs/>
          <w:lang w:val="en-US"/>
        </w:rPr>
        <w:t>kinds</w:t>
      </w:r>
      <w:r w:rsidR="00545315">
        <w:rPr>
          <w:rFonts w:ascii="Garamond" w:hAnsi="Garamond"/>
          <w:lang w:val="en-US"/>
        </w:rPr>
        <w:t xml:space="preserve"> of suffering may be overall good. </w:t>
      </w:r>
      <w:r w:rsidR="004F565C">
        <w:rPr>
          <w:rFonts w:ascii="Garamond" w:hAnsi="Garamond"/>
          <w:lang w:val="en-US"/>
        </w:rPr>
        <w:t>I</w:t>
      </w:r>
      <w:r w:rsidR="00545315">
        <w:rPr>
          <w:rFonts w:ascii="Garamond" w:hAnsi="Garamond"/>
          <w:lang w:val="en-US"/>
        </w:rPr>
        <w:t xml:space="preserve">f your suffering takes the form of regret or guilt, rather than </w:t>
      </w:r>
      <w:r w:rsidR="00786AE6">
        <w:rPr>
          <w:rFonts w:ascii="Garamond" w:hAnsi="Garamond"/>
          <w:lang w:val="en-US"/>
        </w:rPr>
        <w:t>mere</w:t>
      </w:r>
      <w:r w:rsidR="00545315">
        <w:rPr>
          <w:rFonts w:ascii="Garamond" w:hAnsi="Garamond"/>
          <w:lang w:val="en-US"/>
        </w:rPr>
        <w:t xml:space="preserve"> confinement, that might be overall good. </w:t>
      </w:r>
      <w:proofErr w:type="gramStart"/>
      <w:r w:rsidR="00545315">
        <w:rPr>
          <w:rFonts w:ascii="Garamond" w:hAnsi="Garamond"/>
          <w:lang w:val="en-US"/>
        </w:rPr>
        <w:t>You</w:t>
      </w:r>
      <w:r w:rsidR="005B6552">
        <w:rPr>
          <w:rFonts w:ascii="Garamond" w:hAnsi="Garamond"/>
          <w:lang w:val="en-US"/>
        </w:rPr>
        <w:t>r</w:t>
      </w:r>
      <w:proofErr w:type="gramEnd"/>
      <w:r w:rsidR="00545315">
        <w:rPr>
          <w:rFonts w:ascii="Garamond" w:hAnsi="Garamond"/>
          <w:lang w:val="en-US"/>
        </w:rPr>
        <w:t xml:space="preserve"> experiencing such fitting negative emotions is impersonally good. </w:t>
      </w:r>
      <w:r w:rsidR="007D6D6C">
        <w:rPr>
          <w:rFonts w:ascii="Garamond" w:hAnsi="Garamond"/>
          <w:lang w:val="en-US"/>
        </w:rPr>
        <w:t xml:space="preserve">These two points </w:t>
      </w:r>
      <w:r w:rsidR="00451629">
        <w:rPr>
          <w:rFonts w:ascii="Garamond" w:hAnsi="Garamond"/>
          <w:lang w:val="en-US"/>
        </w:rPr>
        <w:t xml:space="preserve">sometimes mislead us into thinking deserved suffering of any sort is overall good. </w:t>
      </w:r>
      <w:r w:rsidR="00EB6C9E">
        <w:rPr>
          <w:rFonts w:ascii="Garamond" w:hAnsi="Garamond"/>
          <w:lang w:val="en-US"/>
        </w:rPr>
        <w:t>But that</w:t>
      </w:r>
      <w:r w:rsidR="007D6D6C">
        <w:rPr>
          <w:rFonts w:ascii="Garamond" w:hAnsi="Garamond"/>
          <w:lang w:val="en-US"/>
        </w:rPr>
        <w:t xml:space="preserve"> </w:t>
      </w:r>
      <w:r w:rsidR="00EB6C9E">
        <w:rPr>
          <w:rFonts w:ascii="Garamond" w:hAnsi="Garamond"/>
          <w:lang w:val="en-US"/>
        </w:rPr>
        <w:t xml:space="preserve">is false. And the two points are </w:t>
      </w:r>
      <w:r w:rsidR="00E47485">
        <w:rPr>
          <w:rFonts w:ascii="Garamond" w:hAnsi="Garamond"/>
          <w:lang w:val="en-US"/>
        </w:rPr>
        <w:t>in no tensions with the</w:t>
      </w:r>
      <w:r w:rsidR="00451629">
        <w:rPr>
          <w:rFonts w:ascii="Garamond" w:hAnsi="Garamond"/>
          <w:lang w:val="en-US"/>
        </w:rPr>
        <w:t xml:space="preserve"> Contact Account.</w:t>
      </w:r>
      <w:r w:rsidR="00EB6C9E">
        <w:rPr>
          <w:rFonts w:ascii="Garamond" w:hAnsi="Garamond"/>
          <w:lang w:val="en-US"/>
        </w:rPr>
        <w:t xml:space="preserve"> </w:t>
      </w:r>
      <w:r w:rsidR="0058427B">
        <w:rPr>
          <w:rFonts w:ascii="Garamond" w:hAnsi="Garamond"/>
          <w:lang w:val="en-US"/>
        </w:rPr>
        <w:t>Your</w:t>
      </w:r>
      <w:r w:rsidR="00EB6C9E">
        <w:rPr>
          <w:rFonts w:ascii="Garamond" w:hAnsi="Garamond"/>
          <w:lang w:val="en-US"/>
        </w:rPr>
        <w:t xml:space="preserve"> brute suffering from </w:t>
      </w:r>
      <w:r w:rsidR="0058427B">
        <w:rPr>
          <w:rFonts w:ascii="Garamond" w:hAnsi="Garamond"/>
          <w:lang w:val="en-US"/>
        </w:rPr>
        <w:t>your</w:t>
      </w:r>
      <w:r w:rsidR="00EB6C9E">
        <w:rPr>
          <w:rFonts w:ascii="Garamond" w:hAnsi="Garamond"/>
          <w:lang w:val="en-US"/>
        </w:rPr>
        <w:t xml:space="preserve"> confinement seems in some </w:t>
      </w:r>
      <w:r w:rsidR="00EB6C9E" w:rsidRPr="0058427B">
        <w:rPr>
          <w:rFonts w:ascii="Garamond" w:hAnsi="Garamond"/>
          <w:lang w:val="en-US"/>
        </w:rPr>
        <w:t>respect</w:t>
      </w:r>
      <w:r w:rsidR="00EB6C9E">
        <w:rPr>
          <w:rFonts w:ascii="Garamond" w:hAnsi="Garamond"/>
          <w:lang w:val="en-US"/>
        </w:rPr>
        <w:t xml:space="preserve"> </w:t>
      </w:r>
      <w:r w:rsidR="0058427B">
        <w:rPr>
          <w:rFonts w:ascii="Garamond" w:hAnsi="Garamond"/>
          <w:lang w:val="en-US"/>
        </w:rPr>
        <w:t xml:space="preserve">beneficial </w:t>
      </w:r>
      <w:r w:rsidR="00EB6C9E">
        <w:rPr>
          <w:rFonts w:ascii="Garamond" w:hAnsi="Garamond"/>
          <w:lang w:val="en-US"/>
        </w:rPr>
        <w:t xml:space="preserve">for </w:t>
      </w:r>
      <w:r w:rsidR="0058427B">
        <w:rPr>
          <w:rFonts w:ascii="Garamond" w:hAnsi="Garamond"/>
          <w:lang w:val="en-US"/>
        </w:rPr>
        <w:t>you:</w:t>
      </w:r>
      <w:r w:rsidR="00EB6C9E">
        <w:rPr>
          <w:rFonts w:ascii="Garamond" w:hAnsi="Garamond"/>
          <w:lang w:val="en-US"/>
        </w:rPr>
        <w:t xml:space="preserve"> at least, it </w:t>
      </w:r>
      <w:r w:rsidR="0058427B">
        <w:rPr>
          <w:rFonts w:ascii="Garamond" w:hAnsi="Garamond"/>
          <w:lang w:val="en-US"/>
        </w:rPr>
        <w:t xml:space="preserve">helps you mitigate the injustice you’ve caused. And </w:t>
      </w:r>
      <w:proofErr w:type="gramStart"/>
      <w:r w:rsidR="0058427B">
        <w:rPr>
          <w:rFonts w:ascii="Garamond" w:hAnsi="Garamond"/>
          <w:lang w:val="en-US"/>
        </w:rPr>
        <w:t>your</w:t>
      </w:r>
      <w:proofErr w:type="gramEnd"/>
      <w:r w:rsidR="0058427B">
        <w:rPr>
          <w:rFonts w:ascii="Garamond" w:hAnsi="Garamond"/>
          <w:lang w:val="en-US"/>
        </w:rPr>
        <w:t xml:space="preserve"> e</w:t>
      </w:r>
      <w:r w:rsidR="00451629">
        <w:rPr>
          <w:rFonts w:ascii="Garamond" w:hAnsi="Garamond"/>
          <w:lang w:val="en-US"/>
        </w:rPr>
        <w:t xml:space="preserve">xperiencing such negative emotions </w:t>
      </w:r>
      <w:r w:rsidR="0058427B">
        <w:rPr>
          <w:rFonts w:ascii="Garamond" w:hAnsi="Garamond"/>
          <w:lang w:val="en-US"/>
        </w:rPr>
        <w:t>seems beneficial for you overall</w:t>
      </w:r>
      <w:r w:rsidR="00451629">
        <w:rPr>
          <w:rFonts w:ascii="Garamond" w:hAnsi="Garamond"/>
          <w:lang w:val="en-US"/>
        </w:rPr>
        <w:t>: your life wouldn’t be better if you felt no guilt. We don’t envy psychopaths for their peace of mind.</w:t>
      </w:r>
      <w:r w:rsidR="00635064">
        <w:rPr>
          <w:rFonts w:ascii="Garamond" w:hAnsi="Garamond"/>
          <w:lang w:val="en-US"/>
        </w:rPr>
        <w:t xml:space="preserve"> If you’re guiltless after</w:t>
      </w:r>
      <w:r w:rsidR="00EE3BBC">
        <w:rPr>
          <w:rFonts w:ascii="Garamond" w:hAnsi="Garamond"/>
          <w:lang w:val="en-US"/>
        </w:rPr>
        <w:t xml:space="preserve"> serious</w:t>
      </w:r>
      <w:r w:rsidR="00635064">
        <w:rPr>
          <w:rFonts w:ascii="Garamond" w:hAnsi="Garamond"/>
          <w:lang w:val="en-US"/>
        </w:rPr>
        <w:t xml:space="preserve"> wrong</w:t>
      </w:r>
      <w:r w:rsidR="00EE3BBC">
        <w:rPr>
          <w:rFonts w:ascii="Garamond" w:hAnsi="Garamond"/>
          <w:lang w:val="en-US"/>
        </w:rPr>
        <w:t>doing</w:t>
      </w:r>
      <w:r w:rsidR="00635064">
        <w:rPr>
          <w:rFonts w:ascii="Garamond" w:hAnsi="Garamond"/>
          <w:lang w:val="en-US"/>
        </w:rPr>
        <w:t>, you live in a delusory world</w:t>
      </w:r>
      <w:r w:rsidR="004C115B">
        <w:rPr>
          <w:rFonts w:ascii="Garamond" w:hAnsi="Garamond"/>
          <w:lang w:val="en-US"/>
        </w:rPr>
        <w:t>,</w:t>
      </w:r>
      <w:r w:rsidR="00635064">
        <w:rPr>
          <w:rFonts w:ascii="Garamond" w:hAnsi="Garamond"/>
          <w:lang w:val="en-US"/>
        </w:rPr>
        <w:t xml:space="preserve"> in which you have done no wrong. Living in </w:t>
      </w:r>
      <w:r w:rsidR="00EE3BBC">
        <w:rPr>
          <w:rFonts w:ascii="Garamond" w:hAnsi="Garamond"/>
          <w:lang w:val="en-US"/>
        </w:rPr>
        <w:t xml:space="preserve">such an </w:t>
      </w:r>
      <w:r w:rsidR="00635064">
        <w:rPr>
          <w:rFonts w:ascii="Garamond" w:hAnsi="Garamond"/>
          <w:lang w:val="en-US"/>
        </w:rPr>
        <w:t>illusion is not good for you.</w:t>
      </w:r>
      <w:r w:rsidR="00C033B7">
        <w:rPr>
          <w:rFonts w:ascii="Garamond" w:hAnsi="Garamond"/>
          <w:lang w:val="en-US"/>
        </w:rPr>
        <w:t xml:space="preserve"> It’s a bit like living in the pleasant deception of an experience machine.</w:t>
      </w:r>
      <w:r w:rsidR="00451629" w:rsidRPr="000E5D20">
        <w:rPr>
          <w:rStyle w:val="FootnoteReference"/>
        </w:rPr>
        <w:footnoteReference w:id="37"/>
      </w:r>
      <w:r w:rsidR="00451629">
        <w:rPr>
          <w:rFonts w:ascii="Garamond" w:hAnsi="Garamond"/>
          <w:lang w:val="en-US"/>
        </w:rPr>
        <w:t xml:space="preserve"> </w:t>
      </w:r>
      <w:r w:rsidR="00E47485">
        <w:rPr>
          <w:rFonts w:ascii="Garamond" w:hAnsi="Garamond"/>
          <w:lang w:val="en-US"/>
        </w:rPr>
        <w:t xml:space="preserve">Ultimately, then, </w:t>
      </w:r>
      <w:r w:rsidR="00397051">
        <w:rPr>
          <w:rFonts w:ascii="Garamond" w:hAnsi="Garamond"/>
          <w:lang w:val="en-US"/>
        </w:rPr>
        <w:t xml:space="preserve">the idea that cases </w:t>
      </w:r>
      <w:r w:rsidR="00E47485">
        <w:rPr>
          <w:rFonts w:ascii="Garamond" w:hAnsi="Garamond"/>
          <w:lang w:val="en-US"/>
        </w:rPr>
        <w:t xml:space="preserve">of deserved suffering pose </w:t>
      </w:r>
      <w:r w:rsidR="00397051">
        <w:rPr>
          <w:rFonts w:ascii="Garamond" w:hAnsi="Garamond"/>
          <w:lang w:val="en-US"/>
        </w:rPr>
        <w:t xml:space="preserve">a </w:t>
      </w:r>
      <w:r w:rsidR="00E47485">
        <w:rPr>
          <w:rFonts w:ascii="Garamond" w:hAnsi="Garamond"/>
          <w:lang w:val="en-US"/>
        </w:rPr>
        <w:t>threat to the Contact Account</w:t>
      </w:r>
      <w:r w:rsidR="00397051">
        <w:rPr>
          <w:rFonts w:ascii="Garamond" w:hAnsi="Garamond"/>
          <w:lang w:val="en-US"/>
        </w:rPr>
        <w:t xml:space="preserve"> </w:t>
      </w:r>
      <w:r w:rsidR="00AC1E64">
        <w:rPr>
          <w:rFonts w:ascii="Garamond" w:hAnsi="Garamond"/>
          <w:lang w:val="en-US"/>
        </w:rPr>
        <w:t xml:space="preserve">is incorrect. It </w:t>
      </w:r>
      <w:r w:rsidR="00E47485">
        <w:rPr>
          <w:rFonts w:ascii="Garamond" w:hAnsi="Garamond"/>
          <w:lang w:val="en-US"/>
        </w:rPr>
        <w:t>rests on too extreme a</w:t>
      </w:r>
      <w:r w:rsidR="001A6575">
        <w:rPr>
          <w:rFonts w:ascii="Garamond" w:hAnsi="Garamond"/>
          <w:lang w:val="en-US"/>
        </w:rPr>
        <w:t xml:space="preserve"> construal </w:t>
      </w:r>
      <w:r w:rsidR="00E47485">
        <w:rPr>
          <w:rFonts w:ascii="Garamond" w:hAnsi="Garamond"/>
          <w:lang w:val="en-US"/>
        </w:rPr>
        <w:t>of the axiological significance of desert.</w:t>
      </w:r>
      <w:r w:rsidR="00397051">
        <w:rPr>
          <w:rStyle w:val="FootnoteReference"/>
          <w:lang w:val="en-US"/>
        </w:rPr>
        <w:footnoteReference w:id="38"/>
      </w:r>
      <w:r w:rsidR="00E47485">
        <w:rPr>
          <w:rFonts w:ascii="Garamond" w:hAnsi="Garamond"/>
          <w:lang w:val="en-US"/>
        </w:rPr>
        <w:t xml:space="preserve"> </w:t>
      </w:r>
    </w:p>
    <w:p w14:paraId="61245734" w14:textId="6122DFE6" w:rsidR="00FF1B0C" w:rsidRDefault="00FF1B0C" w:rsidP="002360C5">
      <w:pPr>
        <w:ind w:firstLine="708"/>
        <w:jc w:val="both"/>
        <w:rPr>
          <w:rFonts w:ascii="Garamond" w:hAnsi="Garamond"/>
          <w:lang w:val="en-US"/>
        </w:rPr>
      </w:pPr>
      <w:r>
        <w:rPr>
          <w:rFonts w:ascii="Garamond" w:hAnsi="Garamond"/>
          <w:lang w:val="en-US"/>
        </w:rPr>
        <w:t>A like treatment can be given to some similar cases. Consider a</w:t>
      </w:r>
      <w:r w:rsidR="00227682">
        <w:rPr>
          <w:rFonts w:ascii="Garamond" w:hAnsi="Garamond"/>
          <w:lang w:val="en-US"/>
        </w:rPr>
        <w:t xml:space="preserve"> </w:t>
      </w:r>
      <w:r w:rsidR="004C115B">
        <w:rPr>
          <w:rFonts w:ascii="Garamond" w:hAnsi="Garamond"/>
          <w:lang w:val="en-US"/>
        </w:rPr>
        <w:t xml:space="preserve">second </w:t>
      </w:r>
      <w:r w:rsidR="004A2E5A">
        <w:rPr>
          <w:rFonts w:ascii="Garamond" w:hAnsi="Garamond"/>
          <w:lang w:val="en-US"/>
        </w:rPr>
        <w:t>family</w:t>
      </w:r>
      <w:r w:rsidR="004C115B">
        <w:rPr>
          <w:rFonts w:ascii="Garamond" w:hAnsi="Garamond"/>
          <w:lang w:val="en-US"/>
        </w:rPr>
        <w:t xml:space="preserve"> of</w:t>
      </w:r>
      <w:r w:rsidR="004A2E5A">
        <w:rPr>
          <w:rFonts w:ascii="Garamond" w:hAnsi="Garamond"/>
          <w:lang w:val="en-US"/>
        </w:rPr>
        <w:t xml:space="preserve"> </w:t>
      </w:r>
      <w:r w:rsidR="004C115B">
        <w:rPr>
          <w:rFonts w:ascii="Garamond" w:hAnsi="Garamond"/>
          <w:lang w:val="en-US"/>
        </w:rPr>
        <w:t>problem cases</w:t>
      </w:r>
      <w:r>
        <w:rPr>
          <w:rFonts w:ascii="Garamond" w:hAnsi="Garamond"/>
          <w:lang w:val="en-US"/>
        </w:rPr>
        <w:t>—</w:t>
      </w:r>
      <w:r w:rsidR="00355328">
        <w:rPr>
          <w:rFonts w:ascii="Garamond" w:hAnsi="Garamond"/>
          <w:lang w:val="en-US"/>
        </w:rPr>
        <w:t xml:space="preserve">the </w:t>
      </w:r>
      <w:r w:rsidR="0000656D">
        <w:rPr>
          <w:rFonts w:ascii="Garamond" w:hAnsi="Garamond"/>
          <w:lang w:val="en-US"/>
        </w:rPr>
        <w:t>happiness</w:t>
      </w:r>
      <w:r w:rsidR="00355328">
        <w:rPr>
          <w:rFonts w:ascii="Garamond" w:hAnsi="Garamond"/>
          <w:lang w:val="en-US"/>
        </w:rPr>
        <w:t xml:space="preserve"> of the wicked. </w:t>
      </w:r>
      <w:r w:rsidR="00752B4C">
        <w:rPr>
          <w:rFonts w:ascii="Garamond" w:hAnsi="Garamond"/>
          <w:lang w:val="en-US"/>
        </w:rPr>
        <w:t>One might think</w:t>
      </w:r>
      <w:r w:rsidR="00355328">
        <w:rPr>
          <w:rFonts w:ascii="Garamond" w:hAnsi="Garamond"/>
          <w:lang w:val="en-US"/>
        </w:rPr>
        <w:t xml:space="preserve"> that it is overall impersonally bad when bad people </w:t>
      </w:r>
      <w:r w:rsidR="0000656D">
        <w:rPr>
          <w:rFonts w:ascii="Garamond" w:hAnsi="Garamond"/>
          <w:lang w:val="en-US"/>
        </w:rPr>
        <w:t>are happy</w:t>
      </w:r>
      <w:r w:rsidR="00BB1280">
        <w:rPr>
          <w:rFonts w:ascii="Garamond" w:hAnsi="Garamond"/>
          <w:lang w:val="en-US"/>
        </w:rPr>
        <w:t xml:space="preserve">, yet good for </w:t>
      </w:r>
      <w:r w:rsidR="000E04A6">
        <w:rPr>
          <w:rFonts w:ascii="Garamond" w:hAnsi="Garamond"/>
          <w:lang w:val="en-US"/>
        </w:rPr>
        <w:t>them</w:t>
      </w:r>
      <w:r w:rsidR="00BB1280">
        <w:rPr>
          <w:rFonts w:ascii="Garamond" w:hAnsi="Garamond"/>
          <w:lang w:val="en-US"/>
        </w:rPr>
        <w:t xml:space="preserve">. </w:t>
      </w:r>
      <w:r w:rsidR="00355328">
        <w:rPr>
          <w:rFonts w:ascii="Garamond" w:hAnsi="Garamond"/>
          <w:lang w:val="en-US"/>
        </w:rPr>
        <w:t xml:space="preserve">We </w:t>
      </w:r>
      <w:r w:rsidR="00752B4C">
        <w:rPr>
          <w:rFonts w:ascii="Garamond" w:hAnsi="Garamond"/>
          <w:lang w:val="en-US"/>
        </w:rPr>
        <w:t>demur</w:t>
      </w:r>
      <w:r w:rsidR="004C115B">
        <w:rPr>
          <w:rFonts w:ascii="Garamond" w:hAnsi="Garamond"/>
          <w:lang w:val="en-US"/>
        </w:rPr>
        <w:t xml:space="preserve">, for parallel reasons. </w:t>
      </w:r>
      <w:r w:rsidR="0000656D">
        <w:rPr>
          <w:rFonts w:ascii="Garamond" w:hAnsi="Garamond"/>
          <w:lang w:val="en-US"/>
        </w:rPr>
        <w:t>T</w:t>
      </w:r>
      <w:r w:rsidR="00752B4C">
        <w:rPr>
          <w:rFonts w:ascii="Garamond" w:hAnsi="Garamond"/>
          <w:lang w:val="en-US"/>
        </w:rPr>
        <w:t xml:space="preserve">ypically, </w:t>
      </w:r>
      <w:r w:rsidR="00BB1280">
        <w:rPr>
          <w:rFonts w:ascii="Garamond" w:hAnsi="Garamond"/>
          <w:lang w:val="en-US"/>
        </w:rPr>
        <w:t>we think</w:t>
      </w:r>
      <w:r w:rsidR="000E04A6">
        <w:rPr>
          <w:rFonts w:ascii="Garamond" w:hAnsi="Garamond"/>
          <w:lang w:val="en-US"/>
        </w:rPr>
        <w:t>,</w:t>
      </w:r>
      <w:r w:rsidR="00BB1280">
        <w:rPr>
          <w:rFonts w:ascii="Garamond" w:hAnsi="Garamond"/>
          <w:lang w:val="en-US"/>
        </w:rPr>
        <w:t xml:space="preserve"> </w:t>
      </w:r>
      <w:r w:rsidR="00355328">
        <w:rPr>
          <w:rFonts w:ascii="Garamond" w:hAnsi="Garamond"/>
          <w:lang w:val="en-US"/>
        </w:rPr>
        <w:t>it is bad in some respect</w:t>
      </w:r>
      <w:r w:rsidR="00752B4C">
        <w:rPr>
          <w:rFonts w:ascii="Garamond" w:hAnsi="Garamond"/>
          <w:lang w:val="en-US"/>
        </w:rPr>
        <w:t xml:space="preserve"> when the wicked </w:t>
      </w:r>
      <w:r w:rsidR="0000656D">
        <w:rPr>
          <w:rFonts w:ascii="Garamond" w:hAnsi="Garamond"/>
          <w:lang w:val="en-US"/>
        </w:rPr>
        <w:t>are happy</w:t>
      </w:r>
      <w:r w:rsidR="00355328">
        <w:rPr>
          <w:rFonts w:ascii="Garamond" w:hAnsi="Garamond"/>
          <w:lang w:val="en-US"/>
        </w:rPr>
        <w:t xml:space="preserve">, but not overall bad. </w:t>
      </w:r>
      <w:r w:rsidR="00BB1280">
        <w:rPr>
          <w:rFonts w:ascii="Garamond" w:hAnsi="Garamond"/>
          <w:lang w:val="en-US"/>
        </w:rPr>
        <w:t xml:space="preserve">The goodness of </w:t>
      </w:r>
      <w:r w:rsidR="0000656D">
        <w:rPr>
          <w:rFonts w:ascii="Garamond" w:hAnsi="Garamond"/>
          <w:lang w:val="en-US"/>
        </w:rPr>
        <w:t>happiness</w:t>
      </w:r>
      <w:r w:rsidR="00BB1280">
        <w:rPr>
          <w:rFonts w:ascii="Garamond" w:hAnsi="Garamond"/>
          <w:lang w:val="en-US"/>
        </w:rPr>
        <w:t xml:space="preserve"> outweighs the badness of injustice. </w:t>
      </w:r>
      <w:r w:rsidR="0000656D">
        <w:rPr>
          <w:rFonts w:ascii="Garamond" w:hAnsi="Garamond"/>
          <w:lang w:val="en-US"/>
        </w:rPr>
        <w:t xml:space="preserve">In some cases, however—when the wicked are happy </w:t>
      </w:r>
      <w:r w:rsidR="0000656D" w:rsidRPr="002360C5">
        <w:rPr>
          <w:rFonts w:ascii="Garamond" w:hAnsi="Garamond"/>
          <w:i/>
          <w:iCs/>
          <w:lang w:val="en-US"/>
        </w:rPr>
        <w:t>about</w:t>
      </w:r>
      <w:r w:rsidR="0000656D">
        <w:rPr>
          <w:rFonts w:ascii="Garamond" w:hAnsi="Garamond"/>
          <w:lang w:val="en-US"/>
        </w:rPr>
        <w:t xml:space="preserve"> the</w:t>
      </w:r>
      <w:r w:rsidR="0020681E">
        <w:rPr>
          <w:rFonts w:ascii="Garamond" w:hAnsi="Garamond"/>
          <w:lang w:val="en-US"/>
        </w:rPr>
        <w:t xml:space="preserve"> wrongs they committed</w:t>
      </w:r>
      <w:r w:rsidR="0000656D">
        <w:rPr>
          <w:rFonts w:ascii="Garamond" w:hAnsi="Garamond"/>
          <w:lang w:val="en-US"/>
        </w:rPr>
        <w:t xml:space="preserve">—that happiness </w:t>
      </w:r>
      <w:r w:rsidR="000E04A6">
        <w:rPr>
          <w:rFonts w:ascii="Garamond" w:hAnsi="Garamond"/>
          <w:lang w:val="en-US"/>
        </w:rPr>
        <w:t xml:space="preserve">may be overall bad. But it </w:t>
      </w:r>
      <w:r w:rsidR="0000656D">
        <w:rPr>
          <w:rFonts w:ascii="Garamond" w:hAnsi="Garamond"/>
          <w:lang w:val="en-US"/>
        </w:rPr>
        <w:t xml:space="preserve">is </w:t>
      </w:r>
      <w:r w:rsidR="004C115B">
        <w:rPr>
          <w:rFonts w:ascii="Garamond" w:hAnsi="Garamond"/>
          <w:lang w:val="en-US"/>
        </w:rPr>
        <w:t xml:space="preserve">also </w:t>
      </w:r>
      <w:r w:rsidR="0000656D">
        <w:rPr>
          <w:rFonts w:ascii="Garamond" w:hAnsi="Garamond"/>
          <w:lang w:val="en-US"/>
        </w:rPr>
        <w:t>bad fo</w:t>
      </w:r>
      <w:r w:rsidR="0020681E">
        <w:rPr>
          <w:rFonts w:ascii="Garamond" w:hAnsi="Garamond"/>
          <w:lang w:val="en-US"/>
        </w:rPr>
        <w:t>r them</w:t>
      </w:r>
      <w:r w:rsidR="00CC7F23">
        <w:rPr>
          <w:rFonts w:ascii="Garamond" w:hAnsi="Garamond"/>
          <w:lang w:val="en-US"/>
        </w:rPr>
        <w:t>, for i</w:t>
      </w:r>
      <w:r w:rsidR="0020681E">
        <w:rPr>
          <w:rFonts w:ascii="Garamond" w:hAnsi="Garamond"/>
          <w:lang w:val="en-US"/>
        </w:rPr>
        <w:t xml:space="preserve">t </w:t>
      </w:r>
      <w:r w:rsidR="00E2710B">
        <w:rPr>
          <w:rFonts w:ascii="Garamond" w:hAnsi="Garamond"/>
          <w:lang w:val="en-US"/>
        </w:rPr>
        <w:t>means</w:t>
      </w:r>
      <w:r w:rsidR="0000656D">
        <w:rPr>
          <w:rFonts w:ascii="Garamond" w:hAnsi="Garamond"/>
          <w:lang w:val="en-US"/>
        </w:rPr>
        <w:t xml:space="preserve"> </w:t>
      </w:r>
      <w:r w:rsidR="0020681E">
        <w:rPr>
          <w:rFonts w:ascii="Garamond" w:hAnsi="Garamond"/>
          <w:lang w:val="en-US"/>
        </w:rPr>
        <w:t>that they are deluded.</w:t>
      </w:r>
      <w:r w:rsidR="0000656D">
        <w:rPr>
          <w:rFonts w:ascii="Garamond" w:hAnsi="Garamond"/>
          <w:lang w:val="en-US"/>
        </w:rPr>
        <w:t xml:space="preserve"> </w:t>
      </w:r>
      <w:r w:rsidR="004C115B">
        <w:rPr>
          <w:rFonts w:ascii="Garamond" w:hAnsi="Garamond"/>
          <w:lang w:val="en-US"/>
        </w:rPr>
        <w:t xml:space="preserve">A third </w:t>
      </w:r>
      <w:r w:rsidR="00CC1E52">
        <w:rPr>
          <w:rFonts w:ascii="Garamond" w:hAnsi="Garamond"/>
          <w:lang w:val="en-US"/>
        </w:rPr>
        <w:t>family</w:t>
      </w:r>
      <w:r w:rsidR="004C115B">
        <w:rPr>
          <w:rFonts w:ascii="Garamond" w:hAnsi="Garamond"/>
          <w:lang w:val="en-US"/>
        </w:rPr>
        <w:t xml:space="preserve"> of </w:t>
      </w:r>
      <w:r w:rsidR="00E2710B">
        <w:rPr>
          <w:rFonts w:ascii="Garamond" w:hAnsi="Garamond"/>
          <w:lang w:val="en-US"/>
        </w:rPr>
        <w:t xml:space="preserve">problem </w:t>
      </w:r>
      <w:r w:rsidR="004C115B">
        <w:rPr>
          <w:rFonts w:ascii="Garamond" w:hAnsi="Garamond"/>
          <w:lang w:val="en-US"/>
        </w:rPr>
        <w:t>cases concerns</w:t>
      </w:r>
      <w:r w:rsidR="0020681E">
        <w:rPr>
          <w:rFonts w:ascii="Garamond" w:hAnsi="Garamond"/>
          <w:lang w:val="en-US"/>
        </w:rPr>
        <w:t xml:space="preserve"> </w:t>
      </w:r>
      <w:r w:rsidR="00355328">
        <w:rPr>
          <w:rFonts w:ascii="Garamond" w:hAnsi="Garamond"/>
          <w:lang w:val="en-US"/>
        </w:rPr>
        <w:t>self-</w:t>
      </w:r>
      <w:r w:rsidR="00AC1E64">
        <w:rPr>
          <w:rFonts w:ascii="Garamond" w:hAnsi="Garamond"/>
          <w:lang w:val="en-US"/>
        </w:rPr>
        <w:t>sacrifice</w:t>
      </w:r>
      <w:r w:rsidR="00355328">
        <w:rPr>
          <w:rFonts w:ascii="Garamond" w:hAnsi="Garamond"/>
          <w:lang w:val="en-US"/>
        </w:rPr>
        <w:t xml:space="preserve">. </w:t>
      </w:r>
      <w:r w:rsidR="000E04A6">
        <w:rPr>
          <w:rFonts w:ascii="Garamond" w:hAnsi="Garamond"/>
          <w:lang w:val="en-US"/>
        </w:rPr>
        <w:t xml:space="preserve">Some of these cases can again </w:t>
      </w:r>
      <w:r w:rsidR="00611A46">
        <w:rPr>
          <w:rFonts w:ascii="Garamond" w:hAnsi="Garamond"/>
          <w:lang w:val="en-US"/>
        </w:rPr>
        <w:t>be explained in</w:t>
      </w:r>
      <w:r w:rsidR="000E04A6">
        <w:rPr>
          <w:rFonts w:ascii="Garamond" w:hAnsi="Garamond"/>
          <w:lang w:val="en-US"/>
        </w:rPr>
        <w:t xml:space="preserve"> a parallel </w:t>
      </w:r>
      <w:r w:rsidR="00611A46">
        <w:rPr>
          <w:rFonts w:ascii="Garamond" w:hAnsi="Garamond"/>
          <w:lang w:val="en-US"/>
        </w:rPr>
        <w:t>manner</w:t>
      </w:r>
      <w:r w:rsidR="000E04A6">
        <w:rPr>
          <w:rFonts w:ascii="Garamond" w:hAnsi="Garamond"/>
          <w:lang w:val="en-US"/>
        </w:rPr>
        <w:t xml:space="preserve">. </w:t>
      </w:r>
      <w:r w:rsidR="00BB1280">
        <w:rPr>
          <w:rFonts w:ascii="Garamond" w:hAnsi="Garamond"/>
          <w:lang w:val="en-US"/>
        </w:rPr>
        <w:t>Consider</w:t>
      </w:r>
      <w:r w:rsidR="00355328">
        <w:rPr>
          <w:rFonts w:ascii="Garamond" w:hAnsi="Garamond"/>
          <w:lang w:val="en-US"/>
        </w:rPr>
        <w:t xml:space="preserve"> </w:t>
      </w:r>
      <w:r w:rsidR="00AC1E64">
        <w:rPr>
          <w:rFonts w:ascii="Garamond" w:hAnsi="Garamond"/>
          <w:lang w:val="en-US"/>
        </w:rPr>
        <w:t>Mother</w:t>
      </w:r>
      <w:r w:rsidR="00355328">
        <w:rPr>
          <w:rFonts w:ascii="Garamond" w:hAnsi="Garamond"/>
          <w:lang w:val="en-US"/>
        </w:rPr>
        <w:t xml:space="preserve"> Theresa forgoing creature comforts in order to help the dying. </w:t>
      </w:r>
      <w:r w:rsidR="00BB1280">
        <w:rPr>
          <w:rFonts w:ascii="Garamond" w:hAnsi="Garamond"/>
          <w:lang w:val="en-US"/>
        </w:rPr>
        <w:t>One might</w:t>
      </w:r>
      <w:r w:rsidR="00355328">
        <w:rPr>
          <w:rFonts w:ascii="Garamond" w:hAnsi="Garamond"/>
          <w:lang w:val="en-US"/>
        </w:rPr>
        <w:t xml:space="preserve"> </w:t>
      </w:r>
      <w:r w:rsidR="00227682">
        <w:rPr>
          <w:rFonts w:ascii="Garamond" w:hAnsi="Garamond"/>
          <w:lang w:val="en-US"/>
        </w:rPr>
        <w:t>think</w:t>
      </w:r>
      <w:r w:rsidR="00355328">
        <w:rPr>
          <w:rFonts w:ascii="Garamond" w:hAnsi="Garamond"/>
          <w:lang w:val="en-US"/>
        </w:rPr>
        <w:t xml:space="preserve"> such sacrifice is bad for her overall</w:t>
      </w:r>
      <w:r w:rsidR="00227682">
        <w:rPr>
          <w:rFonts w:ascii="Garamond" w:hAnsi="Garamond"/>
          <w:lang w:val="en-US"/>
        </w:rPr>
        <w:t xml:space="preserve">, </w:t>
      </w:r>
      <w:r w:rsidR="00355328">
        <w:rPr>
          <w:rFonts w:ascii="Garamond" w:hAnsi="Garamond"/>
          <w:lang w:val="en-US"/>
        </w:rPr>
        <w:t xml:space="preserve">although </w:t>
      </w:r>
      <w:r w:rsidR="00BB1280">
        <w:rPr>
          <w:rFonts w:ascii="Garamond" w:hAnsi="Garamond"/>
          <w:lang w:val="en-US"/>
        </w:rPr>
        <w:t xml:space="preserve">leads to much more </w:t>
      </w:r>
      <w:r w:rsidR="00355328">
        <w:rPr>
          <w:rFonts w:ascii="Garamond" w:hAnsi="Garamond"/>
          <w:lang w:val="en-US"/>
        </w:rPr>
        <w:t xml:space="preserve">impersonal good. </w:t>
      </w:r>
      <w:r w:rsidR="00BB1280">
        <w:rPr>
          <w:rFonts w:ascii="Garamond" w:hAnsi="Garamond"/>
          <w:lang w:val="en-US"/>
        </w:rPr>
        <w:t xml:space="preserve">We, on the contrary, think </w:t>
      </w:r>
      <w:r w:rsidR="00C31B44">
        <w:rPr>
          <w:rFonts w:ascii="Garamond" w:hAnsi="Garamond"/>
          <w:lang w:val="en-US"/>
        </w:rPr>
        <w:t>that</w:t>
      </w:r>
      <w:r w:rsidR="00355328">
        <w:rPr>
          <w:rFonts w:ascii="Garamond" w:hAnsi="Garamond"/>
          <w:lang w:val="en-US"/>
        </w:rPr>
        <w:t xml:space="preserve"> </w:t>
      </w:r>
      <w:r w:rsidR="002C71A3">
        <w:rPr>
          <w:rFonts w:ascii="Garamond" w:hAnsi="Garamond"/>
          <w:lang w:val="en-US"/>
        </w:rPr>
        <w:t>her</w:t>
      </w:r>
      <w:r w:rsidR="00355328">
        <w:rPr>
          <w:rFonts w:ascii="Garamond" w:hAnsi="Garamond"/>
          <w:lang w:val="en-US"/>
        </w:rPr>
        <w:t xml:space="preserve"> self-sacrifice is bad </w:t>
      </w:r>
      <w:r w:rsidR="00C31B44">
        <w:rPr>
          <w:rFonts w:ascii="Garamond" w:hAnsi="Garamond"/>
          <w:lang w:val="en-US"/>
        </w:rPr>
        <w:t>for her</w:t>
      </w:r>
      <w:r w:rsidR="00355328">
        <w:rPr>
          <w:rFonts w:ascii="Garamond" w:hAnsi="Garamond"/>
          <w:lang w:val="en-US"/>
        </w:rPr>
        <w:t xml:space="preserve"> in some ways (</w:t>
      </w:r>
      <w:r w:rsidR="00C31B44">
        <w:rPr>
          <w:rFonts w:ascii="Garamond" w:hAnsi="Garamond"/>
          <w:lang w:val="en-US"/>
        </w:rPr>
        <w:t>she</w:t>
      </w:r>
      <w:r w:rsidR="00355328">
        <w:rPr>
          <w:rFonts w:ascii="Garamond" w:hAnsi="Garamond"/>
          <w:lang w:val="en-US"/>
        </w:rPr>
        <w:t xml:space="preserve"> lack</w:t>
      </w:r>
      <w:r w:rsidR="00C31B44">
        <w:rPr>
          <w:rFonts w:ascii="Garamond" w:hAnsi="Garamond"/>
          <w:lang w:val="en-US"/>
        </w:rPr>
        <w:t>s</w:t>
      </w:r>
      <w:r w:rsidR="00355328">
        <w:rPr>
          <w:rFonts w:ascii="Garamond" w:hAnsi="Garamond"/>
          <w:lang w:val="en-US"/>
        </w:rPr>
        <w:t xml:space="preserve"> the creature </w:t>
      </w:r>
      <w:r w:rsidR="00355328" w:rsidRPr="002360C5">
        <w:rPr>
          <w:rFonts w:ascii="Garamond" w:hAnsi="Garamond"/>
          <w:lang w:val="en-US"/>
        </w:rPr>
        <w:t xml:space="preserve">comforts) but </w:t>
      </w:r>
      <w:r w:rsidR="00227682">
        <w:rPr>
          <w:rFonts w:ascii="Garamond" w:hAnsi="Garamond"/>
          <w:lang w:val="en-US"/>
        </w:rPr>
        <w:t>not bad for</w:t>
      </w:r>
      <w:r w:rsidR="00355328" w:rsidRPr="002360C5">
        <w:rPr>
          <w:rFonts w:ascii="Garamond" w:hAnsi="Garamond"/>
          <w:lang w:val="en-US"/>
        </w:rPr>
        <w:t xml:space="preserve"> </w:t>
      </w:r>
      <w:r w:rsidR="00C31B44">
        <w:rPr>
          <w:rFonts w:ascii="Garamond" w:hAnsi="Garamond"/>
          <w:lang w:val="en-US"/>
        </w:rPr>
        <w:t>her</w:t>
      </w:r>
      <w:r w:rsidR="00227682">
        <w:rPr>
          <w:rFonts w:ascii="Garamond" w:hAnsi="Garamond"/>
          <w:lang w:val="en-US"/>
        </w:rPr>
        <w:t xml:space="preserve"> overall</w:t>
      </w:r>
      <w:r w:rsidR="00355328" w:rsidRPr="002360C5">
        <w:rPr>
          <w:rFonts w:ascii="Garamond" w:hAnsi="Garamond"/>
          <w:lang w:val="en-US"/>
        </w:rPr>
        <w:t xml:space="preserve">. </w:t>
      </w:r>
      <w:r w:rsidR="00BB1280">
        <w:rPr>
          <w:rFonts w:ascii="Garamond" w:hAnsi="Garamond"/>
          <w:lang w:val="en-US"/>
        </w:rPr>
        <w:t>Mother Theresa would</w:t>
      </w:r>
      <w:r w:rsidR="00C31B44">
        <w:rPr>
          <w:rStyle w:val="apple-converted-space"/>
          <w:rFonts w:ascii="Garamond" w:hAnsi="Garamond" w:cs="Arial"/>
          <w:color w:val="222222"/>
          <w:shd w:val="clear" w:color="auto" w:fill="FFFFFF"/>
          <w:lang w:val="en-US"/>
        </w:rPr>
        <w:t xml:space="preserve"> </w:t>
      </w:r>
      <w:r w:rsidR="00BB1280">
        <w:rPr>
          <w:rStyle w:val="apple-converted-space"/>
          <w:rFonts w:ascii="Garamond" w:hAnsi="Garamond" w:cs="Arial"/>
          <w:color w:val="222222"/>
          <w:shd w:val="clear" w:color="auto" w:fill="FFFFFF"/>
          <w:lang w:val="en-US"/>
        </w:rPr>
        <w:t xml:space="preserve">not </w:t>
      </w:r>
      <w:r w:rsidR="00EE3BBC">
        <w:rPr>
          <w:rStyle w:val="apple-converted-space"/>
          <w:rFonts w:ascii="Garamond" w:hAnsi="Garamond" w:cs="Arial"/>
          <w:color w:val="222222"/>
          <w:shd w:val="clear" w:color="auto" w:fill="FFFFFF"/>
          <w:lang w:val="en-US"/>
        </w:rPr>
        <w:t xml:space="preserve">have </w:t>
      </w:r>
      <w:r w:rsidR="00BB1280">
        <w:rPr>
          <w:rStyle w:val="apple-converted-space"/>
          <w:rFonts w:ascii="Garamond" w:hAnsi="Garamond" w:cs="Arial"/>
          <w:color w:val="222222"/>
          <w:shd w:val="clear" w:color="auto" w:fill="FFFFFF"/>
          <w:lang w:val="en-US"/>
        </w:rPr>
        <w:t xml:space="preserve">had a better life </w:t>
      </w:r>
      <w:r w:rsidR="00C31B44" w:rsidRPr="007530D5">
        <w:rPr>
          <w:rStyle w:val="apple-converted-space"/>
          <w:rFonts w:ascii="Garamond" w:hAnsi="Garamond" w:cs="Arial"/>
          <w:color w:val="222222"/>
          <w:shd w:val="clear" w:color="auto" w:fill="FFFFFF"/>
          <w:lang w:val="en-US"/>
        </w:rPr>
        <w:t xml:space="preserve">had she spent all her time </w:t>
      </w:r>
      <w:r w:rsidR="002C71A3" w:rsidRPr="002C71A3">
        <w:rPr>
          <w:rStyle w:val="apple-converted-space"/>
          <w:rFonts w:ascii="Garamond" w:hAnsi="Garamond" w:cs="Arial"/>
          <w:color w:val="222222"/>
          <w:shd w:val="clear" w:color="auto" w:fill="FFFFFF"/>
          <w:lang w:val="en-US"/>
        </w:rPr>
        <w:t xml:space="preserve">sunbathing </w:t>
      </w:r>
      <w:r w:rsidR="00C31B44" w:rsidRPr="007530D5">
        <w:rPr>
          <w:rStyle w:val="apple-converted-space"/>
          <w:rFonts w:ascii="Garamond" w:hAnsi="Garamond" w:cs="Arial"/>
          <w:color w:val="222222"/>
          <w:shd w:val="clear" w:color="auto" w:fill="FFFFFF"/>
          <w:lang w:val="en-US"/>
        </w:rPr>
        <w:t>on a beach in Hawaii</w:t>
      </w:r>
      <w:r w:rsidR="00355328" w:rsidRPr="002360C5">
        <w:rPr>
          <w:rFonts w:ascii="Garamond" w:hAnsi="Garamond"/>
          <w:lang w:val="en-US"/>
        </w:rPr>
        <w:t xml:space="preserve">. </w:t>
      </w:r>
      <w:r w:rsidR="00103B8B">
        <w:rPr>
          <w:rFonts w:ascii="Garamond" w:hAnsi="Garamond"/>
          <w:lang w:val="en-US"/>
        </w:rPr>
        <w:t>Her projects improve</w:t>
      </w:r>
      <w:r w:rsidR="000D74DE">
        <w:rPr>
          <w:rFonts w:ascii="Garamond" w:hAnsi="Garamond"/>
          <w:lang w:val="en-US"/>
        </w:rPr>
        <w:t>d</w:t>
      </w:r>
      <w:r w:rsidR="00103B8B">
        <w:rPr>
          <w:rFonts w:ascii="Garamond" w:hAnsi="Garamond"/>
          <w:lang w:val="en-US"/>
        </w:rPr>
        <w:t xml:space="preserve"> her life</w:t>
      </w:r>
      <w:r w:rsidR="000D74DE">
        <w:rPr>
          <w:rFonts w:ascii="Garamond" w:hAnsi="Garamond"/>
          <w:lang w:val="en-US"/>
        </w:rPr>
        <w:t xml:space="preserve"> enormously</w:t>
      </w:r>
      <w:r w:rsidR="00103B8B">
        <w:rPr>
          <w:rFonts w:ascii="Garamond" w:hAnsi="Garamond"/>
          <w:lang w:val="en-US"/>
        </w:rPr>
        <w:t xml:space="preserve">. </w:t>
      </w:r>
    </w:p>
    <w:p w14:paraId="4AEE10C1" w14:textId="7A85E199" w:rsidR="00EE3BBC" w:rsidRDefault="00C31B44" w:rsidP="00FF1B0C">
      <w:pPr>
        <w:ind w:firstLine="708"/>
        <w:jc w:val="both"/>
        <w:rPr>
          <w:rFonts w:ascii="Garamond" w:hAnsi="Garamond"/>
          <w:lang w:val="en-US"/>
        </w:rPr>
      </w:pPr>
      <w:r>
        <w:rPr>
          <w:rFonts w:ascii="Garamond" w:hAnsi="Garamond"/>
          <w:lang w:val="en-US"/>
        </w:rPr>
        <w:t>Certain</w:t>
      </w:r>
      <w:r w:rsidR="00355328" w:rsidRPr="002360C5">
        <w:rPr>
          <w:rFonts w:ascii="Garamond" w:hAnsi="Garamond"/>
          <w:lang w:val="en-US"/>
        </w:rPr>
        <w:t xml:space="preserve"> </w:t>
      </w:r>
      <w:r w:rsidR="00AC1E64">
        <w:rPr>
          <w:rFonts w:ascii="Garamond" w:hAnsi="Garamond"/>
          <w:lang w:val="en-US"/>
        </w:rPr>
        <w:t>cases</w:t>
      </w:r>
      <w:r w:rsidR="00355328" w:rsidRPr="002360C5">
        <w:rPr>
          <w:rFonts w:ascii="Garamond" w:hAnsi="Garamond"/>
          <w:lang w:val="en-US"/>
        </w:rPr>
        <w:t xml:space="preserve"> of self-sacrifice, though, require a different treatment. Consider the soldier who throws themselves on a </w:t>
      </w:r>
      <w:r w:rsidR="00AC1E64" w:rsidRPr="00AC1E64">
        <w:rPr>
          <w:rFonts w:ascii="Garamond" w:hAnsi="Garamond"/>
          <w:lang w:val="en-US"/>
        </w:rPr>
        <w:t>grenade</w:t>
      </w:r>
      <w:r w:rsidR="00355328" w:rsidRPr="002360C5">
        <w:rPr>
          <w:rFonts w:ascii="Garamond" w:hAnsi="Garamond"/>
          <w:lang w:val="en-US"/>
        </w:rPr>
        <w:t xml:space="preserve"> to save their comrades. </w:t>
      </w:r>
      <w:r w:rsidR="00044B47">
        <w:rPr>
          <w:rFonts w:ascii="Garamond" w:hAnsi="Garamond"/>
          <w:lang w:val="en-US"/>
        </w:rPr>
        <w:t>If they</w:t>
      </w:r>
      <w:r w:rsidR="002C71A3">
        <w:rPr>
          <w:rFonts w:ascii="Garamond" w:hAnsi="Garamond"/>
          <w:lang w:val="en-US"/>
        </w:rPr>
        <w:t xml:space="preserve"> otherwise</w:t>
      </w:r>
      <w:r w:rsidR="00044B47">
        <w:rPr>
          <w:rFonts w:ascii="Garamond" w:hAnsi="Garamond"/>
          <w:lang w:val="en-US"/>
        </w:rPr>
        <w:t xml:space="preserve"> would have survived, </w:t>
      </w:r>
      <w:r w:rsidR="00BF450C">
        <w:rPr>
          <w:rFonts w:ascii="Garamond" w:hAnsi="Garamond"/>
          <w:lang w:val="en-US"/>
        </w:rPr>
        <w:t>their self-sacrifice</w:t>
      </w:r>
      <w:r w:rsidR="00AD4A47">
        <w:rPr>
          <w:rFonts w:ascii="Garamond" w:hAnsi="Garamond"/>
          <w:lang w:val="en-US"/>
        </w:rPr>
        <w:t xml:space="preserve"> cannot plausibly</w:t>
      </w:r>
      <w:r w:rsidR="002C71A3">
        <w:rPr>
          <w:rFonts w:ascii="Garamond" w:hAnsi="Garamond"/>
          <w:lang w:val="en-US"/>
        </w:rPr>
        <w:t xml:space="preserve"> be</w:t>
      </w:r>
      <w:r w:rsidR="00AD4A47">
        <w:rPr>
          <w:rFonts w:ascii="Garamond" w:hAnsi="Garamond"/>
          <w:lang w:val="en-US"/>
        </w:rPr>
        <w:t xml:space="preserve"> construed as overall good</w:t>
      </w:r>
      <w:r w:rsidR="00355328" w:rsidRPr="002360C5">
        <w:rPr>
          <w:rFonts w:ascii="Garamond" w:hAnsi="Garamond"/>
          <w:lang w:val="en-US"/>
        </w:rPr>
        <w:t xml:space="preserve"> for the</w:t>
      </w:r>
      <w:r w:rsidR="00044B47">
        <w:rPr>
          <w:rFonts w:ascii="Garamond" w:hAnsi="Garamond"/>
          <w:lang w:val="en-US"/>
        </w:rPr>
        <w:t>m</w:t>
      </w:r>
      <w:r w:rsidR="00355328" w:rsidRPr="002360C5">
        <w:rPr>
          <w:rFonts w:ascii="Garamond" w:hAnsi="Garamond"/>
          <w:lang w:val="en-US"/>
        </w:rPr>
        <w:t xml:space="preserve">. </w:t>
      </w:r>
      <w:r w:rsidR="00AD4A47">
        <w:rPr>
          <w:rFonts w:ascii="Garamond" w:hAnsi="Garamond"/>
          <w:lang w:val="en-US"/>
        </w:rPr>
        <w:t xml:space="preserve">Yet it results in very substantial goods: their comrades subsequent full and happy lives. So why doesn’t the Contact Account imply that </w:t>
      </w:r>
      <w:r w:rsidR="00BF450C">
        <w:rPr>
          <w:rFonts w:ascii="Garamond" w:hAnsi="Garamond"/>
          <w:lang w:val="en-US"/>
        </w:rPr>
        <w:t>it</w:t>
      </w:r>
      <w:r w:rsidR="00AD4A47">
        <w:rPr>
          <w:rFonts w:ascii="Garamond" w:hAnsi="Garamond"/>
          <w:lang w:val="en-US"/>
        </w:rPr>
        <w:t xml:space="preserve"> is </w:t>
      </w:r>
      <w:r w:rsidR="00AC1E64">
        <w:rPr>
          <w:rFonts w:ascii="Garamond" w:hAnsi="Garamond"/>
          <w:lang w:val="en-US"/>
        </w:rPr>
        <w:t>overall</w:t>
      </w:r>
      <w:r w:rsidR="00CC5BBC">
        <w:rPr>
          <w:rFonts w:ascii="Garamond" w:hAnsi="Garamond"/>
          <w:lang w:val="en-US"/>
        </w:rPr>
        <w:t xml:space="preserve"> </w:t>
      </w:r>
      <w:r w:rsidR="00AD4A47">
        <w:rPr>
          <w:rFonts w:ascii="Garamond" w:hAnsi="Garamond"/>
          <w:lang w:val="en-US"/>
        </w:rPr>
        <w:t xml:space="preserve">good for the soldier? </w:t>
      </w:r>
      <w:r w:rsidR="00355328" w:rsidRPr="002360C5">
        <w:rPr>
          <w:rFonts w:ascii="Garamond" w:hAnsi="Garamond"/>
          <w:lang w:val="en-US"/>
        </w:rPr>
        <w:t xml:space="preserve">In </w:t>
      </w:r>
      <w:r w:rsidR="00CC5BBC">
        <w:rPr>
          <w:rFonts w:ascii="Garamond" w:hAnsi="Garamond"/>
          <w:lang w:val="en-US"/>
        </w:rPr>
        <w:t>such</w:t>
      </w:r>
      <w:r w:rsidR="00355328" w:rsidRPr="002360C5">
        <w:rPr>
          <w:rFonts w:ascii="Garamond" w:hAnsi="Garamond"/>
          <w:lang w:val="en-US"/>
        </w:rPr>
        <w:t xml:space="preserve"> cases, we think the sacrifice causes, but isn’t centrally manifest in, </w:t>
      </w:r>
      <w:r w:rsidR="00DE3FEC">
        <w:rPr>
          <w:rFonts w:ascii="Garamond" w:hAnsi="Garamond"/>
          <w:lang w:val="en-US"/>
        </w:rPr>
        <w:t>the relevant</w:t>
      </w:r>
      <w:r w:rsidR="00AD4A47">
        <w:rPr>
          <w:rFonts w:ascii="Garamond" w:hAnsi="Garamond"/>
          <w:lang w:val="en-US"/>
        </w:rPr>
        <w:t xml:space="preserve"> goods. The soldier’s dispositions </w:t>
      </w:r>
      <w:r w:rsidR="00AD4A47">
        <w:rPr>
          <w:rFonts w:ascii="Garamond" w:hAnsi="Garamond"/>
          <w:lang w:val="en-US"/>
        </w:rPr>
        <w:lastRenderedPageBreak/>
        <w:t>are manifest in the fact</w:t>
      </w:r>
      <w:r w:rsidR="002C71A3">
        <w:rPr>
          <w:rFonts w:ascii="Garamond" w:hAnsi="Garamond"/>
          <w:lang w:val="en-US"/>
        </w:rPr>
        <w:t xml:space="preserve"> that</w:t>
      </w:r>
      <w:r w:rsidR="00AD4A47">
        <w:rPr>
          <w:rFonts w:ascii="Garamond" w:hAnsi="Garamond"/>
          <w:lang w:val="en-US"/>
        </w:rPr>
        <w:t xml:space="preserve"> their comrades surviv</w:t>
      </w:r>
      <w:r w:rsidR="002C71A3">
        <w:rPr>
          <w:rFonts w:ascii="Garamond" w:hAnsi="Garamond"/>
          <w:lang w:val="en-US"/>
        </w:rPr>
        <w:t>e</w:t>
      </w:r>
      <w:r w:rsidR="00CC5BBC">
        <w:rPr>
          <w:rFonts w:ascii="Garamond" w:hAnsi="Garamond"/>
          <w:lang w:val="en-US"/>
        </w:rPr>
        <w:t xml:space="preserve"> </w:t>
      </w:r>
      <w:r w:rsidR="00AD4A47">
        <w:rPr>
          <w:rFonts w:ascii="Garamond" w:hAnsi="Garamond"/>
          <w:lang w:val="en-US"/>
        </w:rPr>
        <w:t>the next ten minutes</w:t>
      </w:r>
      <w:r w:rsidR="002C71A3">
        <w:rPr>
          <w:rFonts w:ascii="Garamond" w:hAnsi="Garamond"/>
          <w:lang w:val="en-US"/>
        </w:rPr>
        <w:t xml:space="preserve">. But </w:t>
      </w:r>
      <w:r w:rsidR="00C61AAC">
        <w:rPr>
          <w:rFonts w:ascii="Garamond" w:hAnsi="Garamond"/>
          <w:lang w:val="en-US"/>
        </w:rPr>
        <w:t xml:space="preserve">the main ground </w:t>
      </w:r>
      <w:r w:rsidR="00596864">
        <w:rPr>
          <w:rFonts w:ascii="Garamond" w:hAnsi="Garamond"/>
          <w:lang w:val="en-US"/>
        </w:rPr>
        <w:t>of the good of</w:t>
      </w:r>
      <w:r w:rsidR="002C71A3">
        <w:rPr>
          <w:rFonts w:ascii="Garamond" w:hAnsi="Garamond"/>
          <w:lang w:val="en-US"/>
        </w:rPr>
        <w:t xml:space="preserve"> their survival is that they go on to </w:t>
      </w:r>
      <w:r w:rsidR="00C61AAC">
        <w:rPr>
          <w:rFonts w:ascii="Garamond" w:hAnsi="Garamond"/>
          <w:lang w:val="en-US"/>
        </w:rPr>
        <w:t xml:space="preserve">live after </w:t>
      </w:r>
      <w:r w:rsidR="002C71A3">
        <w:rPr>
          <w:rFonts w:ascii="Garamond" w:hAnsi="Garamond"/>
          <w:lang w:val="en-US"/>
        </w:rPr>
        <w:t xml:space="preserve">the war, to have </w:t>
      </w:r>
      <w:r w:rsidR="00AD4A47">
        <w:rPr>
          <w:rFonts w:ascii="Garamond" w:hAnsi="Garamond"/>
          <w:lang w:val="en-US"/>
        </w:rPr>
        <w:t>fulfilling careers</w:t>
      </w:r>
      <w:r w:rsidR="002C71A3">
        <w:rPr>
          <w:rFonts w:ascii="Garamond" w:hAnsi="Garamond"/>
          <w:lang w:val="en-US"/>
        </w:rPr>
        <w:t>,</w:t>
      </w:r>
      <w:r w:rsidR="00AD4A47">
        <w:rPr>
          <w:rFonts w:ascii="Garamond" w:hAnsi="Garamond"/>
          <w:lang w:val="en-US"/>
        </w:rPr>
        <w:t xml:space="preserve"> happy families</w:t>
      </w:r>
      <w:r w:rsidR="002C71A3">
        <w:rPr>
          <w:rFonts w:ascii="Garamond" w:hAnsi="Garamond"/>
          <w:lang w:val="en-US"/>
        </w:rPr>
        <w:t xml:space="preserve"> </w:t>
      </w:r>
      <w:r w:rsidR="00F878D8">
        <w:rPr>
          <w:rFonts w:ascii="Garamond" w:hAnsi="Garamond"/>
          <w:lang w:val="en-US"/>
        </w:rPr>
        <w:t xml:space="preserve">and so </w:t>
      </w:r>
      <w:r w:rsidR="00BB3D1F">
        <w:rPr>
          <w:rFonts w:ascii="Garamond" w:hAnsi="Garamond"/>
          <w:lang w:val="en-US"/>
        </w:rPr>
        <w:t>o</w:t>
      </w:r>
      <w:r w:rsidR="00F878D8">
        <w:rPr>
          <w:rFonts w:ascii="Garamond" w:hAnsi="Garamond"/>
          <w:lang w:val="en-US"/>
        </w:rPr>
        <w:t>n</w:t>
      </w:r>
      <w:r w:rsidR="00AD4A47">
        <w:rPr>
          <w:rFonts w:ascii="Garamond" w:hAnsi="Garamond"/>
          <w:lang w:val="en-US"/>
        </w:rPr>
        <w:t>.</w:t>
      </w:r>
      <w:r w:rsidR="00BF450C">
        <w:rPr>
          <w:rFonts w:ascii="Garamond" w:hAnsi="Garamond"/>
          <w:lang w:val="en-US"/>
        </w:rPr>
        <w:t xml:space="preserve"> </w:t>
      </w:r>
      <w:r w:rsidR="00596864">
        <w:rPr>
          <w:rFonts w:ascii="Garamond" w:hAnsi="Garamond"/>
          <w:lang w:val="en-US"/>
        </w:rPr>
        <w:t>T</w:t>
      </w:r>
      <w:r w:rsidR="00F878D8">
        <w:rPr>
          <w:rFonts w:ascii="Garamond" w:hAnsi="Garamond"/>
          <w:lang w:val="en-US"/>
        </w:rPr>
        <w:t xml:space="preserve">he soldier’s dispositions aren’t centrally manifest in that. </w:t>
      </w:r>
      <w:r w:rsidR="00BF450C">
        <w:rPr>
          <w:rFonts w:ascii="Garamond" w:hAnsi="Garamond"/>
          <w:lang w:val="en-US"/>
        </w:rPr>
        <w:t xml:space="preserve">So the soldier is not in </w:t>
      </w:r>
      <w:r w:rsidR="00D3131A">
        <w:rPr>
          <w:rFonts w:ascii="Garamond" w:hAnsi="Garamond"/>
          <w:lang w:val="en-US"/>
        </w:rPr>
        <w:t xml:space="preserve">close </w:t>
      </w:r>
      <w:r w:rsidR="00BF450C">
        <w:rPr>
          <w:rFonts w:ascii="Garamond" w:hAnsi="Garamond"/>
          <w:lang w:val="en-US"/>
        </w:rPr>
        <w:t>contact with the weighty goods their self-sacrifice brings about.</w:t>
      </w:r>
      <w:r w:rsidR="00355328" w:rsidRPr="002360C5">
        <w:rPr>
          <w:rFonts w:ascii="Garamond" w:hAnsi="Garamond"/>
          <w:lang w:val="en-US"/>
        </w:rPr>
        <w:t xml:space="preserve"> </w:t>
      </w:r>
      <w:r w:rsidR="00BF450C">
        <w:rPr>
          <w:rFonts w:ascii="Garamond" w:hAnsi="Garamond"/>
          <w:lang w:val="en-US"/>
        </w:rPr>
        <w:t>In</w:t>
      </w:r>
      <w:r w:rsidR="00CC5BBC">
        <w:rPr>
          <w:rFonts w:ascii="Garamond" w:hAnsi="Garamond"/>
          <w:lang w:val="en-US"/>
        </w:rPr>
        <w:t xml:space="preserve"> sum, </w:t>
      </w:r>
      <w:r w:rsidR="00DE3FEC">
        <w:rPr>
          <w:rFonts w:ascii="Garamond" w:hAnsi="Garamond"/>
          <w:lang w:val="en-US"/>
        </w:rPr>
        <w:t>t</w:t>
      </w:r>
      <w:r w:rsidR="00772A7C">
        <w:rPr>
          <w:rFonts w:ascii="Garamond" w:hAnsi="Garamond"/>
          <w:lang w:val="en-US"/>
        </w:rPr>
        <w:t>he</w:t>
      </w:r>
      <w:r w:rsidR="00BF450C">
        <w:rPr>
          <w:rFonts w:ascii="Garamond" w:hAnsi="Garamond"/>
          <w:lang w:val="en-US"/>
        </w:rPr>
        <w:t>n, the</w:t>
      </w:r>
      <w:r w:rsidR="00772A7C">
        <w:rPr>
          <w:rFonts w:ascii="Garamond" w:hAnsi="Garamond"/>
          <w:lang w:val="en-US"/>
        </w:rPr>
        <w:t xml:space="preserve"> Contact Account has tenable consequences in cases of deserved suffering, the </w:t>
      </w:r>
      <w:r w:rsidR="00D3131A">
        <w:rPr>
          <w:rFonts w:ascii="Garamond" w:hAnsi="Garamond"/>
          <w:lang w:val="en-US"/>
        </w:rPr>
        <w:t>happiness</w:t>
      </w:r>
      <w:r w:rsidR="00772A7C">
        <w:rPr>
          <w:rFonts w:ascii="Garamond" w:hAnsi="Garamond"/>
          <w:lang w:val="en-US"/>
        </w:rPr>
        <w:t xml:space="preserve"> of the wicked, and virtuous self-sacrifice. </w:t>
      </w:r>
      <w:r w:rsidR="00CC5BBC">
        <w:rPr>
          <w:rFonts w:ascii="Garamond" w:hAnsi="Garamond"/>
          <w:lang w:val="en-US"/>
        </w:rPr>
        <w:t>N</w:t>
      </w:r>
      <w:r w:rsidR="00CC5BBC" w:rsidRPr="00D424CF">
        <w:rPr>
          <w:rFonts w:ascii="Garamond" w:hAnsi="Garamond"/>
          <w:lang w:val="en-US"/>
        </w:rPr>
        <w:t xml:space="preserve">one of these cases seem to refute </w:t>
      </w:r>
      <w:r w:rsidR="005B6552">
        <w:rPr>
          <w:rFonts w:ascii="Garamond" w:hAnsi="Garamond"/>
          <w:lang w:val="en-US"/>
        </w:rPr>
        <w:t>it</w:t>
      </w:r>
      <w:r w:rsidR="0020681E">
        <w:rPr>
          <w:rFonts w:ascii="Garamond" w:hAnsi="Garamond"/>
          <w:lang w:val="en-US"/>
        </w:rPr>
        <w:t>.</w:t>
      </w:r>
    </w:p>
    <w:p w14:paraId="581E48F5" w14:textId="77777777" w:rsidR="00D4325A" w:rsidRPr="0032708B" w:rsidRDefault="00D4325A" w:rsidP="002360C5">
      <w:pPr>
        <w:ind w:firstLine="708"/>
        <w:jc w:val="both"/>
        <w:rPr>
          <w:rFonts w:ascii="Garamond" w:hAnsi="Garamond"/>
          <w:lang w:val="en-US"/>
        </w:rPr>
      </w:pPr>
    </w:p>
    <w:p w14:paraId="4D28F065" w14:textId="46F65AB7" w:rsidR="00D16748" w:rsidRPr="009869C3" w:rsidRDefault="00D4325A" w:rsidP="00870DA9">
      <w:pPr>
        <w:jc w:val="both"/>
        <w:rPr>
          <w:rFonts w:ascii="Garamond" w:hAnsi="Garamond"/>
          <w:b/>
          <w:bCs/>
          <w:lang w:val="en-US"/>
        </w:rPr>
      </w:pPr>
      <w:r>
        <w:rPr>
          <w:rFonts w:ascii="Garamond" w:hAnsi="Garamond"/>
          <w:b/>
          <w:bCs/>
          <w:lang w:val="en-US"/>
        </w:rPr>
        <w:t>7</w:t>
      </w:r>
      <w:r w:rsidR="009869C3" w:rsidRPr="009869C3">
        <w:rPr>
          <w:rFonts w:ascii="Garamond" w:hAnsi="Garamond"/>
          <w:b/>
          <w:bCs/>
          <w:lang w:val="en-US"/>
        </w:rPr>
        <w:t xml:space="preserve">. </w:t>
      </w:r>
      <w:r w:rsidR="00D16748" w:rsidRPr="009869C3">
        <w:rPr>
          <w:rFonts w:ascii="Garamond" w:hAnsi="Garamond"/>
          <w:b/>
          <w:bCs/>
          <w:lang w:val="en-US"/>
        </w:rPr>
        <w:t>Conclusion</w:t>
      </w:r>
    </w:p>
    <w:p w14:paraId="369B323A" w14:textId="2BB7B9EC" w:rsidR="00D16748" w:rsidRPr="0032708B" w:rsidRDefault="00D12B60" w:rsidP="00D12B60">
      <w:pPr>
        <w:tabs>
          <w:tab w:val="left" w:pos="2074"/>
        </w:tabs>
        <w:jc w:val="both"/>
        <w:rPr>
          <w:rFonts w:ascii="Garamond" w:hAnsi="Garamond"/>
          <w:lang w:val="en-US"/>
        </w:rPr>
      </w:pPr>
      <w:r>
        <w:rPr>
          <w:rFonts w:ascii="Garamond" w:hAnsi="Garamond"/>
          <w:lang w:val="en-US"/>
        </w:rPr>
        <w:tab/>
      </w:r>
    </w:p>
    <w:p w14:paraId="2B843DE7" w14:textId="0935F9C0" w:rsidR="00550DBD" w:rsidRDefault="007E72DA" w:rsidP="00870DA9">
      <w:pPr>
        <w:jc w:val="both"/>
        <w:rPr>
          <w:rFonts w:ascii="Garamond" w:hAnsi="Garamond"/>
          <w:lang w:val="en-US"/>
        </w:rPr>
      </w:pPr>
      <w:r>
        <w:rPr>
          <w:rFonts w:ascii="Garamond" w:hAnsi="Garamond"/>
          <w:lang w:val="en-US"/>
        </w:rPr>
        <w:t xml:space="preserve">Let’s conclude. </w:t>
      </w:r>
      <w:r w:rsidR="00D16748" w:rsidRPr="0032708B">
        <w:rPr>
          <w:rFonts w:ascii="Garamond" w:hAnsi="Garamond"/>
          <w:lang w:val="en-US"/>
        </w:rPr>
        <w:t>We</w:t>
      </w:r>
      <w:r w:rsidR="00870DA9">
        <w:rPr>
          <w:rFonts w:ascii="Garamond" w:hAnsi="Garamond"/>
          <w:lang w:val="en-US"/>
        </w:rPr>
        <w:t>’</w:t>
      </w:r>
      <w:r w:rsidR="00D16748" w:rsidRPr="0032708B">
        <w:rPr>
          <w:rFonts w:ascii="Garamond" w:hAnsi="Garamond"/>
          <w:lang w:val="en-US"/>
        </w:rPr>
        <w:t>ve presented an account of what</w:t>
      </w:r>
      <w:r w:rsidR="00870DA9">
        <w:rPr>
          <w:rFonts w:ascii="Garamond" w:hAnsi="Garamond"/>
          <w:lang w:val="en-US"/>
        </w:rPr>
        <w:t>’</w:t>
      </w:r>
      <w:r w:rsidR="00D16748" w:rsidRPr="0032708B">
        <w:rPr>
          <w:rFonts w:ascii="Garamond" w:hAnsi="Garamond"/>
          <w:lang w:val="en-US"/>
        </w:rPr>
        <w:t>s good for you: the good life, we claimed, is the life in touch with the good. We</w:t>
      </w:r>
      <w:r w:rsidR="00870DA9">
        <w:rPr>
          <w:rFonts w:ascii="Garamond" w:hAnsi="Garamond"/>
          <w:lang w:val="en-US"/>
        </w:rPr>
        <w:t>’</w:t>
      </w:r>
      <w:r w:rsidR="00D16748" w:rsidRPr="0032708B">
        <w:rPr>
          <w:rFonts w:ascii="Garamond" w:hAnsi="Garamond"/>
          <w:lang w:val="en-US"/>
        </w:rPr>
        <w:t>ve argued that, in contrast to its main competitors, this theory is both extensionally adequate and explanatorily virtuous. We wish to end on a practical note. If the Contact Account is right, how ought you to live, insofar as your welfare is concerned?</w:t>
      </w:r>
      <w:r w:rsidR="00481FFE">
        <w:rPr>
          <w:rStyle w:val="FootnoteReference"/>
          <w:lang w:val="en-US"/>
        </w:rPr>
        <w:footnoteReference w:id="39"/>
      </w:r>
      <w:r w:rsidR="00D16748" w:rsidRPr="0032708B">
        <w:rPr>
          <w:rFonts w:ascii="Garamond" w:hAnsi="Garamond"/>
          <w:lang w:val="en-US"/>
        </w:rPr>
        <w:t xml:space="preserve"> Generally speaking, you should live a life immersed in goodness and isolated from badness. That is, you should actively bring about valuable things: you should help other people, foster relationships, produce achievements. Equally, you should passively enjoy the good things that there are: you should celebrate your friendships, appreciate the beauty around you, savor the sun</w:t>
      </w:r>
      <w:r w:rsidR="00870DA9">
        <w:rPr>
          <w:rFonts w:ascii="Garamond" w:hAnsi="Garamond"/>
          <w:lang w:val="en-US"/>
        </w:rPr>
        <w:t>’</w:t>
      </w:r>
      <w:r w:rsidR="00D16748" w:rsidRPr="0032708B">
        <w:rPr>
          <w:rFonts w:ascii="Garamond" w:hAnsi="Garamond"/>
          <w:lang w:val="en-US"/>
        </w:rPr>
        <w:t>s rays when they reach you. At the same time, even just with regards to your welfare, you should avoid doing anything bad: you should not engage in moral wrongdoing, contribute to failure, or produce ugly things. When you face bad things, you shouldn</w:t>
      </w:r>
      <w:r w:rsidR="00870DA9">
        <w:rPr>
          <w:rFonts w:ascii="Garamond" w:hAnsi="Garamond"/>
          <w:lang w:val="en-US"/>
        </w:rPr>
        <w:t>’</w:t>
      </w:r>
      <w:r w:rsidR="00D16748" w:rsidRPr="0032708B">
        <w:rPr>
          <w:rFonts w:ascii="Garamond" w:hAnsi="Garamond"/>
          <w:lang w:val="en-US"/>
        </w:rPr>
        <w:t xml:space="preserve">t exactly ignore them: ignoring them would be unfitting, and this unfittingness would </w:t>
      </w:r>
      <w:r w:rsidR="006432A3">
        <w:rPr>
          <w:rFonts w:ascii="Garamond" w:hAnsi="Garamond"/>
          <w:lang w:val="en-US"/>
        </w:rPr>
        <w:t>be bad</w:t>
      </w:r>
      <w:r w:rsidR="00D16748" w:rsidRPr="0032708B">
        <w:rPr>
          <w:rFonts w:ascii="Garamond" w:hAnsi="Garamond"/>
          <w:lang w:val="en-US"/>
        </w:rPr>
        <w:t xml:space="preserve">. </w:t>
      </w:r>
      <w:r w:rsidR="00E5406E">
        <w:rPr>
          <w:rFonts w:ascii="Garamond" w:hAnsi="Garamond"/>
          <w:lang w:val="en-US"/>
        </w:rPr>
        <w:t>I</w:t>
      </w:r>
      <w:r w:rsidR="006432A3">
        <w:rPr>
          <w:rFonts w:ascii="Garamond" w:hAnsi="Garamond"/>
          <w:lang w:val="en-US"/>
        </w:rPr>
        <w:t xml:space="preserve">gnoring them would </w:t>
      </w:r>
      <w:r w:rsidR="00385D39">
        <w:rPr>
          <w:rFonts w:ascii="Garamond" w:hAnsi="Garamond"/>
          <w:lang w:val="en-US"/>
        </w:rPr>
        <w:t xml:space="preserve">thus </w:t>
      </w:r>
      <w:r w:rsidR="006432A3">
        <w:rPr>
          <w:rFonts w:ascii="Garamond" w:hAnsi="Garamond"/>
          <w:lang w:val="en-US"/>
        </w:rPr>
        <w:t xml:space="preserve">put you in contact with </w:t>
      </w:r>
      <w:r w:rsidR="00E5406E">
        <w:rPr>
          <w:rFonts w:ascii="Garamond" w:hAnsi="Garamond"/>
          <w:lang w:val="en-US"/>
        </w:rPr>
        <w:t>this</w:t>
      </w:r>
      <w:r w:rsidR="006432A3">
        <w:rPr>
          <w:rFonts w:ascii="Garamond" w:hAnsi="Garamond"/>
          <w:lang w:val="en-US"/>
        </w:rPr>
        <w:t xml:space="preserve"> bad. </w:t>
      </w:r>
      <w:r w:rsidR="00D16748" w:rsidRPr="0032708B">
        <w:rPr>
          <w:rFonts w:ascii="Garamond" w:hAnsi="Garamond"/>
          <w:lang w:val="en-US"/>
        </w:rPr>
        <w:t xml:space="preserve">But you should, let us say, be a little Stoic in the face of the bad: you should let the ugliness, the misery and viciousness in this world get you down as little as you fittingly can. This, we think, is a highly compelling portrait of a life lived well. </w:t>
      </w:r>
    </w:p>
    <w:p w14:paraId="2ED88B80" w14:textId="3C9E1516" w:rsidR="000F6F41" w:rsidRDefault="00D16748" w:rsidP="00B14D1D">
      <w:pPr>
        <w:ind w:firstLine="708"/>
        <w:jc w:val="both"/>
        <w:rPr>
          <w:rFonts w:ascii="Garamond" w:hAnsi="Garamond"/>
          <w:lang w:val="en-US"/>
        </w:rPr>
      </w:pPr>
      <w:r w:rsidRPr="0032708B">
        <w:rPr>
          <w:rFonts w:ascii="Garamond" w:hAnsi="Garamond"/>
          <w:lang w:val="en-US"/>
        </w:rPr>
        <w:t>Let</w:t>
      </w:r>
      <w:r w:rsidR="00870DA9">
        <w:rPr>
          <w:rFonts w:ascii="Garamond" w:hAnsi="Garamond"/>
          <w:lang w:val="en-US"/>
        </w:rPr>
        <w:t>’</w:t>
      </w:r>
      <w:r w:rsidRPr="0032708B">
        <w:rPr>
          <w:rFonts w:ascii="Garamond" w:hAnsi="Garamond"/>
          <w:lang w:val="en-US"/>
        </w:rPr>
        <w:t>s stress a final point. The Contact Account itself doesn</w:t>
      </w:r>
      <w:r w:rsidR="00870DA9">
        <w:rPr>
          <w:rFonts w:ascii="Garamond" w:hAnsi="Garamond"/>
          <w:lang w:val="en-US"/>
        </w:rPr>
        <w:t>’</w:t>
      </w:r>
      <w:r w:rsidRPr="0032708B">
        <w:rPr>
          <w:rFonts w:ascii="Garamond" w:hAnsi="Garamond"/>
          <w:lang w:val="en-US"/>
        </w:rPr>
        <w:t>t say which things are impersonally valuable. We</w:t>
      </w:r>
      <w:r w:rsidR="00870DA9">
        <w:rPr>
          <w:rFonts w:ascii="Garamond" w:hAnsi="Garamond"/>
          <w:lang w:val="en-US"/>
        </w:rPr>
        <w:t>’</w:t>
      </w:r>
      <w:r w:rsidRPr="0032708B">
        <w:rPr>
          <w:rFonts w:ascii="Garamond" w:hAnsi="Garamond"/>
          <w:lang w:val="en-US"/>
        </w:rPr>
        <w:t>ve made a number of such claims here: that achievements and beauty are good, that vices are bad, and so on. We think that all of these claims are plausible, given our understanding of impersonal value. But we haven</w:t>
      </w:r>
      <w:r w:rsidR="00870DA9">
        <w:rPr>
          <w:rFonts w:ascii="Garamond" w:hAnsi="Garamond"/>
          <w:lang w:val="en-US"/>
        </w:rPr>
        <w:t>’</w:t>
      </w:r>
      <w:r w:rsidRPr="0032708B">
        <w:rPr>
          <w:rFonts w:ascii="Garamond" w:hAnsi="Garamond"/>
          <w:lang w:val="en-US"/>
        </w:rPr>
        <w:t>t offered anything like a theory of what</w:t>
      </w:r>
      <w:r w:rsidR="00870DA9">
        <w:rPr>
          <w:rFonts w:ascii="Garamond" w:hAnsi="Garamond"/>
          <w:lang w:val="en-US"/>
        </w:rPr>
        <w:t>’</w:t>
      </w:r>
      <w:r w:rsidRPr="0032708B">
        <w:rPr>
          <w:rFonts w:ascii="Garamond" w:hAnsi="Garamond"/>
          <w:lang w:val="en-US"/>
        </w:rPr>
        <w:t>s impersonally valuable. To that extent, we haven</w:t>
      </w:r>
      <w:r w:rsidR="00870DA9">
        <w:rPr>
          <w:rFonts w:ascii="Garamond" w:hAnsi="Garamond"/>
          <w:lang w:val="en-US"/>
        </w:rPr>
        <w:t>’</w:t>
      </w:r>
      <w:r w:rsidRPr="0032708B">
        <w:rPr>
          <w:rFonts w:ascii="Garamond" w:hAnsi="Garamond"/>
          <w:lang w:val="en-US"/>
        </w:rPr>
        <w:t>t offered a fully concrete or complete theory of welfare either. And to be honest, that</w:t>
      </w:r>
      <w:r w:rsidR="00870DA9">
        <w:rPr>
          <w:rFonts w:ascii="Garamond" w:hAnsi="Garamond"/>
          <w:lang w:val="en-US"/>
        </w:rPr>
        <w:t>’</w:t>
      </w:r>
      <w:r w:rsidRPr="0032708B">
        <w:rPr>
          <w:rFonts w:ascii="Garamond" w:hAnsi="Garamond"/>
          <w:lang w:val="en-US"/>
        </w:rPr>
        <w:t xml:space="preserve">s not just due to </w:t>
      </w:r>
      <w:r w:rsidR="005C1810">
        <w:rPr>
          <w:rFonts w:ascii="Garamond" w:hAnsi="Garamond"/>
          <w:lang w:val="en-US"/>
        </w:rPr>
        <w:t>‘</w:t>
      </w:r>
      <w:r w:rsidRPr="0032708B">
        <w:rPr>
          <w:rFonts w:ascii="Garamond" w:hAnsi="Garamond"/>
          <w:lang w:val="en-US"/>
        </w:rPr>
        <w:t>the limits of this paper</w:t>
      </w:r>
      <w:r w:rsidR="00870DA9">
        <w:rPr>
          <w:rFonts w:ascii="Garamond" w:hAnsi="Garamond"/>
          <w:lang w:val="en-US"/>
        </w:rPr>
        <w:t>’</w:t>
      </w:r>
      <w:r w:rsidRPr="0032708B">
        <w:rPr>
          <w:rFonts w:ascii="Garamond" w:hAnsi="Garamond"/>
          <w:lang w:val="en-US"/>
        </w:rPr>
        <w:t>: we don</w:t>
      </w:r>
      <w:r w:rsidR="00870DA9">
        <w:rPr>
          <w:rFonts w:ascii="Garamond" w:hAnsi="Garamond"/>
          <w:lang w:val="en-US"/>
        </w:rPr>
        <w:t>’</w:t>
      </w:r>
      <w:r w:rsidRPr="0032708B">
        <w:rPr>
          <w:rFonts w:ascii="Garamond" w:hAnsi="Garamond"/>
          <w:lang w:val="en-US"/>
        </w:rPr>
        <w:t>t have a general theory of value. Thus we don</w:t>
      </w:r>
      <w:r w:rsidR="00870DA9">
        <w:rPr>
          <w:rFonts w:ascii="Garamond" w:hAnsi="Garamond"/>
          <w:lang w:val="en-US"/>
        </w:rPr>
        <w:t>’</w:t>
      </w:r>
      <w:r w:rsidRPr="0032708B">
        <w:rPr>
          <w:rFonts w:ascii="Garamond" w:hAnsi="Garamond"/>
          <w:lang w:val="en-US"/>
        </w:rPr>
        <w:t>t have a fully concrete or complete theory of welfare. One might find this disappointing. We ourselves are at times slightly disheartened by it. But we think one can</w:t>
      </w:r>
      <w:r w:rsidR="00870DA9">
        <w:rPr>
          <w:rFonts w:ascii="Garamond" w:hAnsi="Garamond"/>
          <w:lang w:val="en-US"/>
        </w:rPr>
        <w:t>’</w:t>
      </w:r>
      <w:r w:rsidRPr="0032708B">
        <w:rPr>
          <w:rFonts w:ascii="Garamond" w:hAnsi="Garamond"/>
          <w:lang w:val="en-US"/>
        </w:rPr>
        <w:t>t blame the Contact Account for it. On the contrary, human life is staggeringly rich. There are many ways to live well. It would be surprising if some simple theory answered all questions about welfare, all the way down. So there</w:t>
      </w:r>
      <w:r w:rsidR="00870DA9">
        <w:rPr>
          <w:rFonts w:ascii="Garamond" w:hAnsi="Garamond"/>
          <w:lang w:val="en-US"/>
        </w:rPr>
        <w:t>’</w:t>
      </w:r>
      <w:r w:rsidRPr="0032708B">
        <w:rPr>
          <w:rFonts w:ascii="Garamond" w:hAnsi="Garamond"/>
          <w:lang w:val="en-US"/>
        </w:rPr>
        <w:t>s more to be done in determining what the good life is. Ultimately, we must determine what</w:t>
      </w:r>
      <w:r w:rsidR="00870DA9">
        <w:rPr>
          <w:rFonts w:ascii="Garamond" w:hAnsi="Garamond"/>
          <w:lang w:val="en-US"/>
        </w:rPr>
        <w:t>’</w:t>
      </w:r>
      <w:r w:rsidRPr="0032708B">
        <w:rPr>
          <w:rFonts w:ascii="Garamond" w:hAnsi="Garamond"/>
          <w:lang w:val="en-US"/>
        </w:rPr>
        <w:t>s beautiful, just, virtuous, funny or sublime. We must, in other words, answer many of the great questions of moral philosophy.</w:t>
      </w:r>
    </w:p>
    <w:p w14:paraId="2A1AA71D" w14:textId="77777777" w:rsidR="00CF69B1" w:rsidRDefault="00CF69B1" w:rsidP="00870DA9">
      <w:pPr>
        <w:jc w:val="both"/>
        <w:rPr>
          <w:rFonts w:ascii="Garamond" w:hAnsi="Garamond"/>
          <w:b/>
          <w:bCs/>
          <w:lang w:val="en-US"/>
        </w:rPr>
      </w:pPr>
    </w:p>
    <w:p w14:paraId="37225D0B" w14:textId="77777777" w:rsidR="00CF69B1" w:rsidRPr="0032708B" w:rsidRDefault="00CF69B1" w:rsidP="00870DA9">
      <w:pPr>
        <w:jc w:val="both"/>
        <w:rPr>
          <w:rFonts w:ascii="Garamond" w:hAnsi="Garamond"/>
          <w:lang w:val="en-US"/>
        </w:rPr>
      </w:pPr>
    </w:p>
    <w:p w14:paraId="5CDBC288" w14:textId="77777777" w:rsidR="00EE26EB" w:rsidRDefault="00EE26EB" w:rsidP="00870DA9">
      <w:pPr>
        <w:jc w:val="both"/>
        <w:rPr>
          <w:rFonts w:ascii="Garamond" w:hAnsi="Garamond"/>
          <w:b/>
          <w:bCs/>
          <w:lang w:val="en-US"/>
        </w:rPr>
      </w:pPr>
    </w:p>
    <w:p w14:paraId="18CA55B2" w14:textId="6A3091D4" w:rsidR="00D16748" w:rsidRPr="009A7264" w:rsidRDefault="00566FFF" w:rsidP="00870DA9">
      <w:pPr>
        <w:jc w:val="both"/>
        <w:rPr>
          <w:rFonts w:ascii="Garamond" w:hAnsi="Garamond"/>
          <w:b/>
          <w:bCs/>
          <w:lang w:val="en-US"/>
        </w:rPr>
      </w:pPr>
      <w:r w:rsidRPr="009A7264">
        <w:rPr>
          <w:rFonts w:ascii="Garamond" w:hAnsi="Garamond"/>
          <w:b/>
          <w:bCs/>
          <w:lang w:val="en-US"/>
        </w:rPr>
        <w:t xml:space="preserve">References </w:t>
      </w:r>
    </w:p>
    <w:p w14:paraId="072298F4" w14:textId="77777777" w:rsidR="009A7264" w:rsidRDefault="009A7264" w:rsidP="00B86E3D">
      <w:pPr>
        <w:jc w:val="both"/>
        <w:rPr>
          <w:rFonts w:ascii="Garamond" w:hAnsi="Garamond"/>
          <w:lang w:val="en-US"/>
        </w:rPr>
      </w:pPr>
    </w:p>
    <w:p w14:paraId="18BCD649" w14:textId="095EC08A" w:rsidR="00704ADD" w:rsidRDefault="00704ADD" w:rsidP="009379B0">
      <w:pPr>
        <w:autoSpaceDE w:val="0"/>
        <w:autoSpaceDN w:val="0"/>
        <w:adjustRightInd w:val="0"/>
        <w:ind w:left="720" w:hanging="720"/>
        <w:jc w:val="both"/>
        <w:rPr>
          <w:rFonts w:ascii="Garamond" w:hAnsi="Garamond" w:cs="Helvetica"/>
          <w:lang w:val="en-US"/>
        </w:rPr>
      </w:pPr>
      <w:r w:rsidRPr="00704ADD">
        <w:rPr>
          <w:rFonts w:ascii="Garamond" w:hAnsi="Garamond" w:cs="Helvetica"/>
          <w:lang w:val="en-US"/>
        </w:rPr>
        <w:t>Bennett, Christopher</w:t>
      </w:r>
      <w:r>
        <w:rPr>
          <w:rFonts w:ascii="Garamond" w:hAnsi="Garamond" w:cs="Helvetica"/>
          <w:lang w:val="en-US"/>
        </w:rPr>
        <w:t>.</w:t>
      </w:r>
      <w:r w:rsidRPr="00704ADD">
        <w:rPr>
          <w:rFonts w:ascii="Garamond" w:hAnsi="Garamond" w:cs="Helvetica"/>
          <w:lang w:val="en-US"/>
        </w:rPr>
        <w:t xml:space="preserve"> </w:t>
      </w:r>
      <w:r>
        <w:rPr>
          <w:rFonts w:ascii="Garamond" w:hAnsi="Garamond" w:cs="Helvetica"/>
          <w:lang w:val="en-US"/>
        </w:rPr>
        <w:t>“</w:t>
      </w:r>
      <w:r w:rsidRPr="00704ADD">
        <w:rPr>
          <w:rFonts w:ascii="Garamond" w:hAnsi="Garamond" w:cs="Helvetica"/>
          <w:lang w:val="en-US"/>
        </w:rPr>
        <w:t xml:space="preserve">The </w:t>
      </w:r>
      <w:r>
        <w:rPr>
          <w:rFonts w:ascii="Garamond" w:hAnsi="Garamond" w:cs="Helvetica"/>
          <w:lang w:val="en-US"/>
        </w:rPr>
        <w:t>V</w:t>
      </w:r>
      <w:r w:rsidRPr="00704ADD">
        <w:rPr>
          <w:rFonts w:ascii="Garamond" w:hAnsi="Garamond" w:cs="Helvetica"/>
          <w:lang w:val="en-US"/>
        </w:rPr>
        <w:t xml:space="preserve">arieties of </w:t>
      </w:r>
      <w:r>
        <w:rPr>
          <w:rFonts w:ascii="Garamond" w:hAnsi="Garamond" w:cs="Helvetica"/>
          <w:lang w:val="en-US"/>
        </w:rPr>
        <w:t>R</w:t>
      </w:r>
      <w:r w:rsidRPr="00704ADD">
        <w:rPr>
          <w:rFonts w:ascii="Garamond" w:hAnsi="Garamond" w:cs="Helvetica"/>
          <w:lang w:val="en-US"/>
        </w:rPr>
        <w:t xml:space="preserve">etributive </w:t>
      </w:r>
      <w:r>
        <w:rPr>
          <w:rFonts w:ascii="Garamond" w:hAnsi="Garamond" w:cs="Helvetica"/>
          <w:lang w:val="en-US"/>
        </w:rPr>
        <w:t>E</w:t>
      </w:r>
      <w:r w:rsidRPr="00704ADD">
        <w:rPr>
          <w:rFonts w:ascii="Garamond" w:hAnsi="Garamond" w:cs="Helvetica"/>
          <w:lang w:val="en-US"/>
        </w:rPr>
        <w:t>xperience.</w:t>
      </w:r>
      <w:r>
        <w:rPr>
          <w:rFonts w:ascii="Garamond" w:hAnsi="Garamond" w:cs="Helvetica"/>
          <w:lang w:val="en-US"/>
        </w:rPr>
        <w:t>”</w:t>
      </w:r>
      <w:r w:rsidRPr="00704ADD">
        <w:rPr>
          <w:rFonts w:ascii="Garamond" w:hAnsi="Garamond" w:cs="Helvetica"/>
          <w:lang w:val="en-US"/>
        </w:rPr>
        <w:t xml:space="preserve"> </w:t>
      </w:r>
      <w:r w:rsidRPr="00704ADD">
        <w:rPr>
          <w:rFonts w:ascii="Garamond" w:hAnsi="Garamond" w:cs="Helvetica"/>
          <w:i/>
          <w:iCs/>
          <w:lang w:val="en-US"/>
        </w:rPr>
        <w:t>Philosophical Quarterly</w:t>
      </w:r>
      <w:r w:rsidRPr="00704ADD">
        <w:rPr>
          <w:rFonts w:ascii="Garamond" w:hAnsi="Garamond" w:cs="Helvetica"/>
          <w:lang w:val="en-US"/>
        </w:rPr>
        <w:t xml:space="preserve"> 52</w:t>
      </w:r>
      <w:r>
        <w:rPr>
          <w:rFonts w:ascii="Garamond" w:hAnsi="Garamond" w:cs="Helvetica"/>
          <w:lang w:val="en-US"/>
        </w:rPr>
        <w:t>,</w:t>
      </w:r>
      <w:r w:rsidRPr="00704ADD">
        <w:rPr>
          <w:rFonts w:ascii="Garamond" w:hAnsi="Garamond" w:cs="Helvetica"/>
          <w:lang w:val="en-US"/>
        </w:rPr>
        <w:t xml:space="preserve"> </w:t>
      </w:r>
      <w:r>
        <w:rPr>
          <w:rFonts w:ascii="Garamond" w:hAnsi="Garamond" w:cs="Helvetica"/>
          <w:lang w:val="en-US"/>
        </w:rPr>
        <w:t xml:space="preserve">no. </w:t>
      </w:r>
      <w:r w:rsidRPr="00704ADD">
        <w:rPr>
          <w:rFonts w:ascii="Garamond" w:hAnsi="Garamond" w:cs="Helvetica"/>
          <w:lang w:val="en-US"/>
        </w:rPr>
        <w:t>207</w:t>
      </w:r>
      <w:r w:rsidR="00E00245">
        <w:rPr>
          <w:rFonts w:ascii="Garamond" w:hAnsi="Garamond" w:cs="Helvetica"/>
          <w:lang w:val="en-US"/>
        </w:rPr>
        <w:t xml:space="preserve"> </w:t>
      </w:r>
      <w:r w:rsidR="00E00245" w:rsidRPr="00704ADD">
        <w:rPr>
          <w:rFonts w:ascii="Garamond" w:hAnsi="Garamond" w:cs="Helvetica"/>
          <w:lang w:val="en-US"/>
        </w:rPr>
        <w:t>(2002)</w:t>
      </w:r>
      <w:r w:rsidRPr="00704ADD">
        <w:rPr>
          <w:rFonts w:ascii="Garamond" w:hAnsi="Garamond" w:cs="Helvetica"/>
          <w:lang w:val="en-US"/>
        </w:rPr>
        <w:t>:</w:t>
      </w:r>
      <w:r w:rsidR="00E00245">
        <w:rPr>
          <w:rFonts w:ascii="Garamond" w:hAnsi="Garamond" w:cs="Helvetica"/>
          <w:lang w:val="en-US"/>
        </w:rPr>
        <w:t xml:space="preserve"> </w:t>
      </w:r>
      <w:r w:rsidRPr="00704ADD">
        <w:rPr>
          <w:rFonts w:ascii="Garamond" w:hAnsi="Garamond" w:cs="Helvetica"/>
          <w:lang w:val="en-US"/>
        </w:rPr>
        <w:t>145</w:t>
      </w:r>
      <w:r>
        <w:rPr>
          <w:rFonts w:ascii="Garamond" w:hAnsi="Garamond" w:cs="Helvetica"/>
          <w:lang w:val="en-US"/>
        </w:rPr>
        <w:t>–</w:t>
      </w:r>
      <w:r w:rsidRPr="00704ADD">
        <w:rPr>
          <w:rFonts w:ascii="Garamond" w:hAnsi="Garamond" w:cs="Helvetica"/>
          <w:lang w:val="en-US"/>
        </w:rPr>
        <w:t>163.</w:t>
      </w:r>
    </w:p>
    <w:p w14:paraId="3A45C615" w14:textId="4C3141F9"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Bradford, Gwen. </w:t>
      </w:r>
      <w:r w:rsidRPr="00FE5F15">
        <w:rPr>
          <w:rFonts w:ascii="Garamond" w:hAnsi="Garamond" w:cs="Helvetica"/>
          <w:i/>
          <w:iCs/>
          <w:lang w:val="en-US"/>
        </w:rPr>
        <w:t>Achievement</w:t>
      </w:r>
      <w:r w:rsidRPr="00FE5F15">
        <w:rPr>
          <w:rFonts w:ascii="Garamond" w:hAnsi="Garamond" w:cs="Helvetica"/>
          <w:lang w:val="en-US"/>
        </w:rPr>
        <w:t>. Oxford, New York: Oxford University Press, 2015.</w:t>
      </w:r>
    </w:p>
    <w:p w14:paraId="21CCE933" w14:textId="54F9256D"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Bradley, Ben. </w:t>
      </w:r>
      <w:r w:rsidRPr="00FE5F15">
        <w:rPr>
          <w:rFonts w:ascii="Garamond" w:hAnsi="Garamond" w:cs="Helvetica"/>
          <w:i/>
          <w:iCs/>
          <w:lang w:val="en-US"/>
        </w:rPr>
        <w:t>Well-Being and Death</w:t>
      </w:r>
      <w:r w:rsidRPr="00FE5F15">
        <w:rPr>
          <w:rFonts w:ascii="Garamond" w:hAnsi="Garamond" w:cs="Helvetica"/>
          <w:lang w:val="en-US"/>
        </w:rPr>
        <w:t xml:space="preserve">. </w:t>
      </w:r>
      <w:r w:rsidR="00833AA8">
        <w:rPr>
          <w:rFonts w:ascii="Garamond" w:hAnsi="Garamond" w:cs="Helvetica"/>
          <w:lang w:val="en-US"/>
        </w:rPr>
        <w:t>Oxford:</w:t>
      </w:r>
      <w:r w:rsidRPr="00FE5F15">
        <w:rPr>
          <w:rFonts w:ascii="Garamond" w:hAnsi="Garamond" w:cs="Helvetica"/>
          <w:lang w:val="en-US"/>
        </w:rPr>
        <w:t xml:space="preserve"> Oxford</w:t>
      </w:r>
      <w:r w:rsidR="00833AA8">
        <w:rPr>
          <w:rFonts w:ascii="Garamond" w:hAnsi="Garamond" w:cs="Helvetica"/>
          <w:lang w:val="en-US"/>
        </w:rPr>
        <w:t xml:space="preserve"> University Press</w:t>
      </w:r>
      <w:r w:rsidRPr="00FE5F15">
        <w:rPr>
          <w:rFonts w:ascii="Garamond" w:hAnsi="Garamond" w:cs="Helvetica"/>
          <w:lang w:val="en-US"/>
        </w:rPr>
        <w:t>, 2009.</w:t>
      </w:r>
    </w:p>
    <w:p w14:paraId="08ED58DD" w14:textId="436A7B5A" w:rsidR="00833AA8"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Bramble, Ben.</w:t>
      </w:r>
      <w:r w:rsidR="00833AA8" w:rsidRPr="00833AA8">
        <w:rPr>
          <w:rFonts w:ascii="Garamond" w:hAnsi="Garamond" w:cs="Helvetica"/>
          <w:lang w:val="en-US"/>
        </w:rPr>
        <w:t xml:space="preserve"> </w:t>
      </w:r>
      <w:r w:rsidR="00833AA8" w:rsidRPr="00FE5F15">
        <w:rPr>
          <w:rFonts w:ascii="Garamond" w:hAnsi="Garamond" w:cs="Helvetica"/>
          <w:lang w:val="en-US"/>
        </w:rPr>
        <w:t xml:space="preserve">“The Distinctive Feeling Theory of Pleasure.” </w:t>
      </w:r>
      <w:r w:rsidR="00833AA8" w:rsidRPr="00FE5F15">
        <w:rPr>
          <w:rFonts w:ascii="Garamond" w:hAnsi="Garamond" w:cs="Helvetica"/>
          <w:i/>
          <w:iCs/>
          <w:lang w:val="en-US"/>
        </w:rPr>
        <w:t>Philosophical Studies</w:t>
      </w:r>
      <w:r w:rsidR="00833AA8" w:rsidRPr="00FE5F15">
        <w:rPr>
          <w:rFonts w:ascii="Garamond" w:hAnsi="Garamond" w:cs="Helvetica"/>
          <w:lang w:val="en-US"/>
        </w:rPr>
        <w:t xml:space="preserve"> 162, no. 2 (2013): 201–17.</w:t>
      </w:r>
    </w:p>
    <w:p w14:paraId="21E70454" w14:textId="452032C1"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w:t>
      </w:r>
      <w:r w:rsidR="00833AA8">
        <w:rPr>
          <w:rFonts w:ascii="Garamond" w:hAnsi="Garamond" w:cs="Helvetica"/>
          <w:lang w:val="en-US"/>
        </w:rPr>
        <w:t xml:space="preserve"> </w:t>
      </w:r>
      <w:r w:rsidR="00833AA8" w:rsidRPr="00FE5F15">
        <w:rPr>
          <w:rFonts w:ascii="Garamond" w:hAnsi="Garamond" w:cs="Helvetica"/>
          <w:lang w:val="en-US"/>
        </w:rPr>
        <w:t xml:space="preserve"> “A New Defense of Hedonism About Well-Being.” </w:t>
      </w:r>
      <w:r w:rsidR="00833AA8" w:rsidRPr="00FE5F15">
        <w:rPr>
          <w:rFonts w:ascii="Garamond" w:hAnsi="Garamond" w:cs="Helvetica"/>
          <w:i/>
          <w:iCs/>
          <w:lang w:val="en-US"/>
        </w:rPr>
        <w:t>Ergo: An Open Access Journal of Philosophy</w:t>
      </w:r>
      <w:r w:rsidR="00833AA8" w:rsidRPr="00FE5F15">
        <w:rPr>
          <w:rFonts w:ascii="Garamond" w:hAnsi="Garamond" w:cs="Helvetica"/>
          <w:lang w:val="en-US"/>
        </w:rPr>
        <w:t xml:space="preserve"> 3 (2016). </w:t>
      </w:r>
    </w:p>
    <w:p w14:paraId="369DC363" w14:textId="04E3131A"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“The Experience Machine.” </w:t>
      </w:r>
      <w:r w:rsidRPr="00FE5F15">
        <w:rPr>
          <w:rFonts w:ascii="Garamond" w:hAnsi="Garamond" w:cs="Helvetica"/>
          <w:i/>
          <w:iCs/>
          <w:lang w:val="en-US"/>
        </w:rPr>
        <w:t>Philosophy Compass</w:t>
      </w:r>
      <w:r w:rsidRPr="00FE5F15">
        <w:rPr>
          <w:rFonts w:ascii="Garamond" w:hAnsi="Garamond" w:cs="Helvetica"/>
          <w:lang w:val="en-US"/>
        </w:rPr>
        <w:t xml:space="preserve"> 11, no. 3 (2016): 136–45.</w:t>
      </w:r>
    </w:p>
    <w:p w14:paraId="5D5D81A2"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Bruckner, Donald. “Quirky Desires and Well-Being.” </w:t>
      </w:r>
      <w:r w:rsidRPr="00FE5F15">
        <w:rPr>
          <w:rFonts w:ascii="Garamond" w:hAnsi="Garamond" w:cs="Helvetica"/>
          <w:i/>
          <w:iCs/>
          <w:lang w:val="en-US"/>
        </w:rPr>
        <w:t>Journal of Ethics and Social Philosophy</w:t>
      </w:r>
      <w:r w:rsidRPr="00FE5F15">
        <w:rPr>
          <w:rFonts w:ascii="Garamond" w:hAnsi="Garamond" w:cs="Helvetica"/>
          <w:lang w:val="en-US"/>
        </w:rPr>
        <w:t xml:space="preserve"> 10, no. 2 (2016): 1–35.</w:t>
      </w:r>
    </w:p>
    <w:p w14:paraId="6743076E" w14:textId="395BEDBF"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Campbell, Stephen M. “An Analysis of Prudential Value.” </w:t>
      </w:r>
      <w:r w:rsidRPr="00FE5F15">
        <w:rPr>
          <w:rFonts w:ascii="Garamond" w:hAnsi="Garamond" w:cs="Helvetica"/>
          <w:i/>
          <w:iCs/>
          <w:lang w:val="en-US"/>
        </w:rPr>
        <w:t>Utilitas</w:t>
      </w:r>
      <w:r w:rsidRPr="00FE5F15">
        <w:rPr>
          <w:rFonts w:ascii="Garamond" w:hAnsi="Garamond" w:cs="Helvetica"/>
          <w:lang w:val="en-US"/>
        </w:rPr>
        <w:t xml:space="preserve"> 25, no. 3 (2013): 334–54. </w:t>
      </w:r>
    </w:p>
    <w:p w14:paraId="1180F02A"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“The Concept of Well-Being.” In </w:t>
      </w:r>
      <w:r w:rsidRPr="00FE5F15">
        <w:rPr>
          <w:rFonts w:ascii="Garamond" w:hAnsi="Garamond" w:cs="Helvetica"/>
          <w:i/>
          <w:iCs/>
          <w:lang w:val="en-US"/>
        </w:rPr>
        <w:t>Routledge Handbook of Philosophy of Well-Being</w:t>
      </w:r>
      <w:r w:rsidRPr="00FE5F15">
        <w:rPr>
          <w:rFonts w:ascii="Garamond" w:hAnsi="Garamond" w:cs="Helvetica"/>
          <w:lang w:val="en-US"/>
        </w:rPr>
        <w:t>, edited by Guy Fletcher. Abingdon: Routledge, 2016.</w:t>
      </w:r>
    </w:p>
    <w:p w14:paraId="1A8A2FA3" w14:textId="16BC7C80"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Choi, Sungho, and Michael Fara. “Dispositions.” In </w:t>
      </w:r>
      <w:r w:rsidRPr="00FE5F15">
        <w:rPr>
          <w:rFonts w:ascii="Garamond" w:hAnsi="Garamond" w:cs="Helvetica"/>
          <w:i/>
          <w:iCs/>
          <w:lang w:val="en-US"/>
        </w:rPr>
        <w:t>The Stanford Encyclopedia of Philosophy</w:t>
      </w:r>
      <w:r w:rsidRPr="00FE5F15">
        <w:rPr>
          <w:rFonts w:ascii="Garamond" w:hAnsi="Garamond" w:cs="Helvetica"/>
          <w:lang w:val="en-US"/>
        </w:rPr>
        <w:t xml:space="preserve">, edited by Edward N. Zalta. Metaphysics Research Lab, Stanford University, 2018. </w:t>
      </w:r>
    </w:p>
    <w:p w14:paraId="4252326B" w14:textId="375A3A1F"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Crisp, Roger. “Hedonism Reconsidered.” </w:t>
      </w:r>
      <w:r w:rsidRPr="00FE5F15">
        <w:rPr>
          <w:rFonts w:ascii="Garamond" w:hAnsi="Garamond" w:cs="Helvetica"/>
          <w:i/>
          <w:iCs/>
          <w:lang w:val="en-US"/>
        </w:rPr>
        <w:t>Philosophy and Phenomenological Research</w:t>
      </w:r>
      <w:r w:rsidRPr="00FE5F15">
        <w:rPr>
          <w:rFonts w:ascii="Garamond" w:hAnsi="Garamond" w:cs="Helvetica"/>
          <w:lang w:val="en-US"/>
        </w:rPr>
        <w:t xml:space="preserve"> 73, no. 3 (2006): 619–45.</w:t>
      </w:r>
    </w:p>
    <w:p w14:paraId="6665012B"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w:t>
      </w:r>
      <w:r w:rsidRPr="00FE5F15">
        <w:rPr>
          <w:rFonts w:ascii="Garamond" w:hAnsi="Garamond" w:cs="Helvetica"/>
          <w:i/>
          <w:iCs/>
          <w:lang w:val="en-US"/>
        </w:rPr>
        <w:t>Reasons and the Good</w:t>
      </w:r>
      <w:r w:rsidRPr="00FE5F15">
        <w:rPr>
          <w:rFonts w:ascii="Garamond" w:hAnsi="Garamond" w:cs="Helvetica"/>
          <w:lang w:val="en-US"/>
        </w:rPr>
        <w:t>. Clarendon Press, 2006.</w:t>
      </w:r>
    </w:p>
    <w:p w14:paraId="4BEAC7B4"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Darwall, Stephen. </w:t>
      </w:r>
      <w:r w:rsidRPr="00FE5F15">
        <w:rPr>
          <w:rFonts w:ascii="Garamond" w:hAnsi="Garamond" w:cs="Helvetica"/>
          <w:i/>
          <w:iCs/>
          <w:lang w:val="en-US"/>
        </w:rPr>
        <w:t>Welfare and Rational Care</w:t>
      </w:r>
      <w:r w:rsidRPr="00FE5F15">
        <w:rPr>
          <w:rFonts w:ascii="Garamond" w:hAnsi="Garamond" w:cs="Helvetica"/>
          <w:lang w:val="en-US"/>
        </w:rPr>
        <w:t>. Princeton, N. J: Princeton University Press, 2002.</w:t>
      </w:r>
    </w:p>
    <w:p w14:paraId="08FC329D"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Dorsey, Dale. “Three Arguments for Perfectionism.” </w:t>
      </w:r>
      <w:r w:rsidRPr="00FE5F15">
        <w:rPr>
          <w:rFonts w:ascii="Garamond" w:hAnsi="Garamond" w:cs="Helvetica"/>
          <w:i/>
          <w:iCs/>
          <w:lang w:val="en-US"/>
        </w:rPr>
        <w:t>Noûs</w:t>
      </w:r>
      <w:r w:rsidRPr="00FE5F15">
        <w:rPr>
          <w:rFonts w:ascii="Garamond" w:hAnsi="Garamond" w:cs="Helvetica"/>
          <w:lang w:val="en-US"/>
        </w:rPr>
        <w:t xml:space="preserve"> 44, no. 1 (2010): 59–79.</w:t>
      </w:r>
    </w:p>
    <w:p w14:paraId="4E2E6BEE"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Fine, Kit. “Guide To Ground.” In </w:t>
      </w:r>
      <w:r w:rsidRPr="00FE5F15">
        <w:rPr>
          <w:rFonts w:ascii="Garamond" w:hAnsi="Garamond" w:cs="Helvetica"/>
          <w:i/>
          <w:iCs/>
          <w:lang w:val="en-US"/>
        </w:rPr>
        <w:t>Metaphysical Grounding: Understanding The Structure of Reality</w:t>
      </w:r>
      <w:r w:rsidRPr="00FE5F15">
        <w:rPr>
          <w:rFonts w:ascii="Garamond" w:hAnsi="Garamond" w:cs="Helvetica"/>
          <w:lang w:val="en-US"/>
        </w:rPr>
        <w:t>, edited by Fabrice Correia and Benjamin Schnieder. Cambridge: Cambridge University Press, 2012.</w:t>
      </w:r>
    </w:p>
    <w:p w14:paraId="65EF5A75"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Finnis, John. </w:t>
      </w:r>
      <w:r w:rsidRPr="00FE5F15">
        <w:rPr>
          <w:rFonts w:ascii="Garamond" w:hAnsi="Garamond" w:cs="Helvetica"/>
          <w:i/>
          <w:iCs/>
          <w:lang w:val="en-US"/>
        </w:rPr>
        <w:t>Natural Law and Natural Rights</w:t>
      </w:r>
      <w:r w:rsidRPr="00FE5F15">
        <w:rPr>
          <w:rFonts w:ascii="Garamond" w:hAnsi="Garamond" w:cs="Helvetica"/>
          <w:lang w:val="en-US"/>
        </w:rPr>
        <w:t>. Oxford: Oxford University Press, 1980.</w:t>
      </w:r>
    </w:p>
    <w:p w14:paraId="2A6E21E8" w14:textId="6C3FB641" w:rsid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Fletcher, Guy. </w:t>
      </w:r>
      <w:r w:rsidR="00E00245" w:rsidRPr="00FE5F15">
        <w:rPr>
          <w:rFonts w:ascii="Garamond" w:hAnsi="Garamond" w:cs="Helvetica"/>
          <w:lang w:val="en-US"/>
        </w:rPr>
        <w:t xml:space="preserve">“The Locative Analysis of Good For Formulated and Defended.” </w:t>
      </w:r>
      <w:r w:rsidR="00E00245" w:rsidRPr="00FE5F15">
        <w:rPr>
          <w:rFonts w:ascii="Garamond" w:hAnsi="Garamond" w:cs="Helvetica"/>
          <w:i/>
          <w:iCs/>
          <w:lang w:val="en-US"/>
        </w:rPr>
        <w:t>Journal of Ethics and Social Philosophy</w:t>
      </w:r>
      <w:r w:rsidR="00E00245" w:rsidRPr="00FE5F15">
        <w:rPr>
          <w:rFonts w:ascii="Garamond" w:hAnsi="Garamond" w:cs="Helvetica"/>
          <w:lang w:val="en-US"/>
        </w:rPr>
        <w:t xml:space="preserve"> 6, no. 1 (2012): 1–27. </w:t>
      </w:r>
    </w:p>
    <w:p w14:paraId="23D812FD" w14:textId="7AF85C4C" w:rsidR="00E00245" w:rsidRPr="00FE5F15" w:rsidRDefault="00E00245" w:rsidP="009379B0">
      <w:pPr>
        <w:autoSpaceDE w:val="0"/>
        <w:autoSpaceDN w:val="0"/>
        <w:adjustRightInd w:val="0"/>
        <w:ind w:left="720" w:hanging="720"/>
        <w:jc w:val="both"/>
        <w:rPr>
          <w:rFonts w:ascii="Garamond" w:hAnsi="Garamond" w:cs="Helvetica"/>
          <w:lang w:val="en-US"/>
        </w:rPr>
      </w:pPr>
      <w:r>
        <w:rPr>
          <w:rFonts w:ascii="Garamond" w:hAnsi="Garamond" w:cs="Helvetica"/>
          <w:lang w:val="en-US"/>
        </w:rPr>
        <w:t xml:space="preserve">———. </w:t>
      </w:r>
      <w:r w:rsidRPr="00FE5F15">
        <w:rPr>
          <w:rFonts w:ascii="Garamond" w:hAnsi="Garamond" w:cs="Helvetica"/>
          <w:lang w:val="en-US"/>
        </w:rPr>
        <w:t xml:space="preserve">“A Fresh Start for the Objective-List Theory of Well-Being.” </w:t>
      </w:r>
      <w:r w:rsidRPr="00FE5F15">
        <w:rPr>
          <w:rFonts w:ascii="Garamond" w:hAnsi="Garamond" w:cs="Helvetica"/>
          <w:i/>
          <w:iCs/>
          <w:lang w:val="en-US"/>
        </w:rPr>
        <w:t>Utilitas</w:t>
      </w:r>
      <w:r w:rsidRPr="00FE5F15">
        <w:rPr>
          <w:rFonts w:ascii="Garamond" w:hAnsi="Garamond" w:cs="Helvetica"/>
          <w:lang w:val="en-US"/>
        </w:rPr>
        <w:t xml:space="preserve"> 25, no. 2 (2013): 206–20.</w:t>
      </w:r>
    </w:p>
    <w:p w14:paraId="5E178E3B"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“Objective List Theories.” In </w:t>
      </w:r>
      <w:r w:rsidRPr="00FE5F15">
        <w:rPr>
          <w:rFonts w:ascii="Garamond" w:hAnsi="Garamond" w:cs="Helvetica"/>
          <w:i/>
          <w:iCs/>
          <w:lang w:val="en-US"/>
        </w:rPr>
        <w:t>The Routledge Handbook of Philosophy of Well-Being</w:t>
      </w:r>
      <w:r w:rsidRPr="00FE5F15">
        <w:rPr>
          <w:rFonts w:ascii="Garamond" w:hAnsi="Garamond" w:cs="Helvetica"/>
          <w:lang w:val="en-US"/>
        </w:rPr>
        <w:t>, edited by Guy Fletcher, 148–60. Routledge, 2016.</w:t>
      </w:r>
    </w:p>
    <w:p w14:paraId="63B51605" w14:textId="713B6928"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Fuchs, Tobias A. “A Working Test for Well-Being.” </w:t>
      </w:r>
      <w:r w:rsidRPr="00FE5F15">
        <w:rPr>
          <w:rFonts w:ascii="Garamond" w:hAnsi="Garamond" w:cs="Helvetica"/>
          <w:i/>
          <w:iCs/>
          <w:lang w:val="en-US"/>
        </w:rPr>
        <w:t>Utilitas</w:t>
      </w:r>
      <w:r w:rsidRPr="00FE5F15">
        <w:rPr>
          <w:rFonts w:ascii="Garamond" w:hAnsi="Garamond" w:cs="Helvetica"/>
          <w:lang w:val="en-US"/>
        </w:rPr>
        <w:t xml:space="preserve"> 30, no. 2 (2018): 129–42.</w:t>
      </w:r>
    </w:p>
    <w:p w14:paraId="351A9855"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Greco, John. </w:t>
      </w:r>
      <w:r w:rsidRPr="00FE5F15">
        <w:rPr>
          <w:rFonts w:ascii="Garamond" w:hAnsi="Garamond" w:cs="Helvetica"/>
          <w:i/>
          <w:iCs/>
          <w:lang w:val="en-US"/>
        </w:rPr>
        <w:t>Achieving Knowledge: A Virtue-Theoretic Account of Epistemic Normativity</w:t>
      </w:r>
      <w:r w:rsidRPr="00FE5F15">
        <w:rPr>
          <w:rFonts w:ascii="Garamond" w:hAnsi="Garamond" w:cs="Helvetica"/>
          <w:lang w:val="en-US"/>
        </w:rPr>
        <w:t>. Cambridge University Press, 2010.</w:t>
      </w:r>
    </w:p>
    <w:p w14:paraId="5852B88A" w14:textId="1910B0DD"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Gregory, Alex. “Hedonism.” In </w:t>
      </w:r>
      <w:r w:rsidRPr="00FE5F15">
        <w:rPr>
          <w:rFonts w:ascii="Garamond" w:hAnsi="Garamond" w:cs="Helvetica"/>
          <w:i/>
          <w:iCs/>
          <w:lang w:val="en-US"/>
        </w:rPr>
        <w:t>The Routledge Handbook of Philosophy of Well-Being</w:t>
      </w:r>
      <w:r w:rsidRPr="00FE5F15">
        <w:rPr>
          <w:rFonts w:ascii="Garamond" w:hAnsi="Garamond" w:cs="Helvetica"/>
          <w:lang w:val="en-US"/>
        </w:rPr>
        <w:t xml:space="preserve">, edited by Guy Fletcher, 113–23. Abingdon: Routledge, </w:t>
      </w:r>
      <w:r w:rsidR="00D90AD8" w:rsidRPr="00FE5F15">
        <w:rPr>
          <w:rFonts w:ascii="Garamond" w:hAnsi="Garamond" w:cs="Helvetica"/>
          <w:lang w:val="en-US"/>
        </w:rPr>
        <w:t>201</w:t>
      </w:r>
      <w:r w:rsidR="00D90AD8">
        <w:rPr>
          <w:rFonts w:ascii="Garamond" w:hAnsi="Garamond" w:cs="Helvetica"/>
          <w:lang w:val="en-US"/>
        </w:rPr>
        <w:t>6</w:t>
      </w:r>
      <w:r w:rsidRPr="00FE5F15">
        <w:rPr>
          <w:rFonts w:ascii="Garamond" w:hAnsi="Garamond" w:cs="Helvetica"/>
          <w:lang w:val="en-US"/>
        </w:rPr>
        <w:t>.</w:t>
      </w:r>
    </w:p>
    <w:p w14:paraId="787E60CB" w14:textId="0F0D334F"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Heathwood, Chris.</w:t>
      </w:r>
      <w:r w:rsidR="00E00245" w:rsidRPr="00E00245">
        <w:rPr>
          <w:rFonts w:ascii="Garamond" w:hAnsi="Garamond" w:cs="Helvetica"/>
          <w:lang w:val="en-US"/>
        </w:rPr>
        <w:t xml:space="preserve"> </w:t>
      </w:r>
      <w:r w:rsidR="00E00245" w:rsidRPr="00FE5F15">
        <w:rPr>
          <w:rFonts w:ascii="Garamond" w:hAnsi="Garamond" w:cs="Helvetica"/>
          <w:lang w:val="en-US"/>
        </w:rPr>
        <w:t xml:space="preserve">“The Problem of Defective Desires.” </w:t>
      </w:r>
      <w:r w:rsidR="00E00245" w:rsidRPr="00FE5F15">
        <w:rPr>
          <w:rFonts w:ascii="Garamond" w:hAnsi="Garamond" w:cs="Helvetica"/>
          <w:i/>
          <w:iCs/>
          <w:lang w:val="en-US"/>
        </w:rPr>
        <w:t>Australasian Journal of Philosophy</w:t>
      </w:r>
      <w:r w:rsidR="00E00245" w:rsidRPr="00FE5F15">
        <w:rPr>
          <w:rFonts w:ascii="Garamond" w:hAnsi="Garamond" w:cs="Helvetica"/>
          <w:lang w:val="en-US"/>
        </w:rPr>
        <w:t xml:space="preserve"> 83, no. 4 (2005): 487–504. </w:t>
      </w:r>
    </w:p>
    <w:p w14:paraId="235443B5" w14:textId="305DBCAB"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lastRenderedPageBreak/>
        <w:t xml:space="preserve">———. </w:t>
      </w:r>
      <w:r w:rsidR="00E00245" w:rsidRPr="00FE5F15">
        <w:rPr>
          <w:rFonts w:ascii="Garamond" w:hAnsi="Garamond" w:cs="Helvetica"/>
          <w:lang w:val="en-US"/>
        </w:rPr>
        <w:t xml:space="preserve">“Desire-Fulfillment Theory.” In </w:t>
      </w:r>
      <w:r w:rsidR="00E00245" w:rsidRPr="00FE5F15">
        <w:rPr>
          <w:rFonts w:ascii="Garamond" w:hAnsi="Garamond" w:cs="Helvetica"/>
          <w:i/>
          <w:iCs/>
          <w:lang w:val="en-US"/>
        </w:rPr>
        <w:t>The Routledge Handbook of Philosophy of Well-Being</w:t>
      </w:r>
      <w:r w:rsidR="00E00245" w:rsidRPr="00FE5F15">
        <w:rPr>
          <w:rFonts w:ascii="Garamond" w:hAnsi="Garamond" w:cs="Helvetica"/>
          <w:lang w:val="en-US"/>
        </w:rPr>
        <w:t xml:space="preserve">, edited by Guy Fletcher, 135–47. Abingdon: Routledge, </w:t>
      </w:r>
      <w:r w:rsidR="00D90AD8" w:rsidRPr="00FE5F15">
        <w:rPr>
          <w:rFonts w:ascii="Garamond" w:hAnsi="Garamond" w:cs="Helvetica"/>
          <w:lang w:val="en-US"/>
        </w:rPr>
        <w:t>201</w:t>
      </w:r>
      <w:r w:rsidR="00D90AD8">
        <w:rPr>
          <w:rFonts w:ascii="Garamond" w:hAnsi="Garamond" w:cs="Helvetica"/>
          <w:lang w:val="en-US"/>
        </w:rPr>
        <w:t>6</w:t>
      </w:r>
      <w:r w:rsidR="00E00245" w:rsidRPr="00FE5F15">
        <w:rPr>
          <w:rFonts w:ascii="Garamond" w:hAnsi="Garamond" w:cs="Helvetica"/>
          <w:lang w:val="en-US"/>
        </w:rPr>
        <w:t>.</w:t>
      </w:r>
    </w:p>
    <w:p w14:paraId="72B6493F"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Hooker, Brad. “The Elements of Well-Being.” </w:t>
      </w:r>
      <w:r w:rsidRPr="00FE5F15">
        <w:rPr>
          <w:rFonts w:ascii="Garamond" w:hAnsi="Garamond" w:cs="Helvetica"/>
          <w:i/>
          <w:iCs/>
          <w:lang w:val="en-US"/>
        </w:rPr>
        <w:t>Journal of Practical Ethics</w:t>
      </w:r>
      <w:r w:rsidRPr="00FE5F15">
        <w:rPr>
          <w:rFonts w:ascii="Garamond" w:hAnsi="Garamond" w:cs="Helvetica"/>
          <w:lang w:val="en-US"/>
        </w:rPr>
        <w:t xml:space="preserve"> 3, no. 1 (2015): 15–35.</w:t>
      </w:r>
    </w:p>
    <w:p w14:paraId="5624F590"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Hurka, Thomas. </w:t>
      </w:r>
      <w:r w:rsidRPr="00FE5F15">
        <w:rPr>
          <w:rFonts w:ascii="Garamond" w:hAnsi="Garamond" w:cs="Helvetica"/>
          <w:i/>
          <w:iCs/>
          <w:lang w:val="en-US"/>
        </w:rPr>
        <w:t>Perfectionism</w:t>
      </w:r>
      <w:r w:rsidRPr="00FE5F15">
        <w:rPr>
          <w:rFonts w:ascii="Garamond" w:hAnsi="Garamond" w:cs="Helvetica"/>
          <w:lang w:val="en-US"/>
        </w:rPr>
        <w:t>. Oxford: Oxford University Press, 1993.</w:t>
      </w:r>
    </w:p>
    <w:p w14:paraId="101F35D5" w14:textId="77777777" w:rsidR="007D0ED2" w:rsidRPr="00FE5F15" w:rsidRDefault="007D0ED2"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w:t>
      </w:r>
      <w:r w:rsidRPr="00FE5F15">
        <w:rPr>
          <w:rFonts w:ascii="Garamond" w:hAnsi="Garamond" w:cs="Helvetica"/>
          <w:i/>
          <w:iCs/>
          <w:lang w:val="en-US"/>
        </w:rPr>
        <w:t>Virtue, Vice, and Value</w:t>
      </w:r>
      <w:r w:rsidRPr="00FE5F15">
        <w:rPr>
          <w:rFonts w:ascii="Garamond" w:hAnsi="Garamond" w:cs="Helvetica"/>
          <w:lang w:val="en-US"/>
        </w:rPr>
        <w:t>. New York: Oxford University Press, 2001.</w:t>
      </w:r>
    </w:p>
    <w:p w14:paraId="62ED82EE" w14:textId="77777777" w:rsidR="00FE5F15"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w:t>
      </w:r>
      <w:r w:rsidRPr="00FE5F15">
        <w:rPr>
          <w:rFonts w:ascii="Garamond" w:hAnsi="Garamond" w:cs="Helvetica"/>
          <w:i/>
          <w:iCs/>
          <w:lang w:val="en-US"/>
        </w:rPr>
        <w:t>The Best Things in Life: A Guide to What Really Matters</w:t>
      </w:r>
      <w:r w:rsidRPr="00FE5F15">
        <w:rPr>
          <w:rFonts w:ascii="Garamond" w:hAnsi="Garamond" w:cs="Helvetica"/>
          <w:lang w:val="en-US"/>
        </w:rPr>
        <w:t>. Philosophy in Action. New York: Oxford University Press, 2015.</w:t>
      </w:r>
    </w:p>
    <w:p w14:paraId="4CC4DAB3" w14:textId="4A609048" w:rsidR="00FE5F15" w:rsidRPr="003521C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 “The Parallel Goods of Knowledge and Achievement.” </w:t>
      </w:r>
      <w:r w:rsidRPr="003521C5">
        <w:rPr>
          <w:rFonts w:ascii="Garamond" w:hAnsi="Garamond" w:cs="Helvetica"/>
          <w:i/>
          <w:iCs/>
          <w:lang w:val="en-US"/>
        </w:rPr>
        <w:t>Erkenntnis</w:t>
      </w:r>
      <w:r w:rsidRPr="003521C5">
        <w:rPr>
          <w:rFonts w:ascii="Garamond" w:hAnsi="Garamond" w:cs="Helvetica"/>
          <w:lang w:val="en-US"/>
        </w:rPr>
        <w:t xml:space="preserve"> 85, no. 3 (2020): 589–608. </w:t>
      </w:r>
    </w:p>
    <w:p w14:paraId="3B1A4545" w14:textId="77777777" w:rsidR="007D0ED2" w:rsidRPr="00FE5F15" w:rsidRDefault="00FE5F15" w:rsidP="009379B0">
      <w:pPr>
        <w:autoSpaceDE w:val="0"/>
        <w:autoSpaceDN w:val="0"/>
        <w:adjustRightInd w:val="0"/>
        <w:ind w:left="720" w:hanging="720"/>
        <w:jc w:val="both"/>
        <w:rPr>
          <w:rFonts w:ascii="Garamond" w:hAnsi="Garamond" w:cs="Helvetica"/>
          <w:lang w:val="en-US"/>
        </w:rPr>
      </w:pPr>
      <w:r w:rsidRPr="00FE5F15">
        <w:rPr>
          <w:rFonts w:ascii="Garamond" w:hAnsi="Garamond" w:cs="Helvetica"/>
          <w:lang w:val="en-US"/>
        </w:rPr>
        <w:t xml:space="preserve">Kagan, Shelly. </w:t>
      </w:r>
      <w:r w:rsidR="007D0ED2" w:rsidRPr="00FE5F15">
        <w:rPr>
          <w:rFonts w:ascii="Garamond" w:hAnsi="Garamond" w:cs="Helvetica"/>
          <w:lang w:val="en-US"/>
        </w:rPr>
        <w:t xml:space="preserve">“The Limits of Well-Being.” </w:t>
      </w:r>
      <w:r w:rsidR="007D0ED2" w:rsidRPr="00FE5F15">
        <w:rPr>
          <w:rFonts w:ascii="Garamond" w:hAnsi="Garamond" w:cs="Helvetica"/>
          <w:i/>
          <w:iCs/>
          <w:lang w:val="en-US"/>
        </w:rPr>
        <w:t>Social Philosophy and Policy</w:t>
      </w:r>
      <w:r w:rsidR="007D0ED2" w:rsidRPr="00FE5F15">
        <w:rPr>
          <w:rFonts w:ascii="Garamond" w:hAnsi="Garamond" w:cs="Helvetica"/>
          <w:lang w:val="en-US"/>
        </w:rPr>
        <w:t xml:space="preserve"> 9, no. 2 (1992): 169–89. </w:t>
      </w:r>
    </w:p>
    <w:p w14:paraId="79E02B93" w14:textId="500582C2" w:rsidR="007D0ED2" w:rsidRPr="00267F1A" w:rsidRDefault="007D0ED2" w:rsidP="007D0ED2">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 “Well-Being as Enjoying the Good.” </w:t>
      </w:r>
      <w:r w:rsidRPr="00FE5F15">
        <w:rPr>
          <w:rFonts w:ascii="Garamond" w:hAnsi="Garamond" w:cs="Helvetica"/>
          <w:i/>
          <w:iCs/>
          <w:lang w:val="en-US"/>
        </w:rPr>
        <w:t>Philosophical Perspectives</w:t>
      </w:r>
      <w:r w:rsidRPr="00FE5F15">
        <w:rPr>
          <w:rFonts w:ascii="Garamond" w:hAnsi="Garamond" w:cs="Helvetica"/>
          <w:lang w:val="en-US"/>
        </w:rPr>
        <w:t xml:space="preserve"> 23, no. 1 </w:t>
      </w:r>
      <w:r w:rsidRPr="00267F1A">
        <w:rPr>
          <w:rFonts w:ascii="Garamond" w:hAnsi="Garamond" w:cs="Helvetica"/>
          <w:lang w:val="en-US"/>
        </w:rPr>
        <w:t xml:space="preserve">(2009): 253–72. </w:t>
      </w:r>
    </w:p>
    <w:p w14:paraId="1B7E94E5" w14:textId="7C331DA7" w:rsidR="00FE5F15" w:rsidRPr="00267F1A" w:rsidRDefault="007D0ED2" w:rsidP="00FE5F15">
      <w:pPr>
        <w:autoSpaceDE w:val="0"/>
        <w:autoSpaceDN w:val="0"/>
        <w:adjustRightInd w:val="0"/>
        <w:ind w:left="720" w:hanging="720"/>
        <w:rPr>
          <w:rFonts w:ascii="Garamond" w:hAnsi="Garamond" w:cs="Helvetica"/>
        </w:rPr>
      </w:pPr>
      <w:r w:rsidRPr="00267F1A">
        <w:rPr>
          <w:rFonts w:ascii="Garamond" w:hAnsi="Garamond" w:cs="Helvetica"/>
          <w:lang w:val="en-US"/>
        </w:rPr>
        <w:t xml:space="preserve">———. </w:t>
      </w:r>
      <w:r w:rsidR="00FE5F15" w:rsidRPr="00267F1A">
        <w:rPr>
          <w:rFonts w:ascii="Garamond" w:hAnsi="Garamond" w:cs="Helvetica"/>
          <w:lang w:val="en-US"/>
        </w:rPr>
        <w:t xml:space="preserve">“An Introduction to Ill-Being.” </w:t>
      </w:r>
      <w:r w:rsidR="00FE5F15" w:rsidRPr="00267F1A">
        <w:rPr>
          <w:rFonts w:ascii="Garamond" w:hAnsi="Garamond" w:cs="Helvetica"/>
          <w:i/>
          <w:iCs/>
        </w:rPr>
        <w:t>Oxford Studies in Normative Ethics</w:t>
      </w:r>
      <w:r w:rsidR="00FE5F15" w:rsidRPr="00267F1A">
        <w:rPr>
          <w:rFonts w:ascii="Garamond" w:hAnsi="Garamond" w:cs="Helvetica"/>
        </w:rPr>
        <w:t xml:space="preserve"> 4 (2015): 261–88.</w:t>
      </w:r>
    </w:p>
    <w:p w14:paraId="7FFBBBD4" w14:textId="572AA118" w:rsidR="00FE5F15" w:rsidRPr="00267F1A" w:rsidRDefault="00FE5F15" w:rsidP="00FE5F15">
      <w:pPr>
        <w:autoSpaceDE w:val="0"/>
        <w:autoSpaceDN w:val="0"/>
        <w:adjustRightInd w:val="0"/>
        <w:ind w:left="720" w:hanging="720"/>
        <w:rPr>
          <w:rFonts w:ascii="Garamond" w:hAnsi="Garamond" w:cs="Helvetica"/>
          <w:lang w:val="en-US"/>
        </w:rPr>
      </w:pPr>
      <w:r w:rsidRPr="00267F1A">
        <w:rPr>
          <w:rFonts w:ascii="Garamond" w:hAnsi="Garamond" w:cs="Helvetica"/>
        </w:rPr>
        <w:t xml:space="preserve">Kraut, Richard. </w:t>
      </w:r>
      <w:r w:rsidRPr="00267F1A">
        <w:rPr>
          <w:rFonts w:ascii="Garamond" w:hAnsi="Garamond" w:cs="Helvetica"/>
          <w:i/>
          <w:iCs/>
          <w:lang w:val="en-US"/>
        </w:rPr>
        <w:t>What Is Good and Why: The Ethics of Well-Being</w:t>
      </w:r>
      <w:r w:rsidRPr="00267F1A">
        <w:rPr>
          <w:rFonts w:ascii="Garamond" w:hAnsi="Garamond" w:cs="Helvetica"/>
          <w:lang w:val="en-US"/>
        </w:rPr>
        <w:t xml:space="preserve">. </w:t>
      </w:r>
      <w:r w:rsidR="007D0ED2" w:rsidRPr="00267F1A">
        <w:rPr>
          <w:rFonts w:ascii="Garamond" w:hAnsi="Garamond" w:cs="Helvetica"/>
          <w:lang w:val="en-US"/>
        </w:rPr>
        <w:t xml:space="preserve">Cambridge, MA: </w:t>
      </w:r>
      <w:r w:rsidRPr="00267F1A">
        <w:rPr>
          <w:rFonts w:ascii="Garamond" w:hAnsi="Garamond" w:cs="Helvetica"/>
          <w:lang w:val="en-US"/>
        </w:rPr>
        <w:t>Harvard University Press, 2007.</w:t>
      </w:r>
    </w:p>
    <w:p w14:paraId="63766738" w14:textId="06E98973" w:rsidR="00267F1A" w:rsidRPr="00267F1A" w:rsidRDefault="00267F1A" w:rsidP="00267F1A">
      <w:pPr>
        <w:autoSpaceDE w:val="0"/>
        <w:autoSpaceDN w:val="0"/>
        <w:adjustRightInd w:val="0"/>
        <w:ind w:left="720" w:hanging="720"/>
        <w:rPr>
          <w:rFonts w:ascii="Garamond" w:hAnsi="Garamond" w:cs="Helvetica"/>
          <w:lang w:val="en-US"/>
        </w:rPr>
      </w:pPr>
      <w:r w:rsidRPr="00267F1A">
        <w:rPr>
          <w:rFonts w:ascii="Garamond" w:hAnsi="Garamond" w:cs="Helvetica"/>
          <w:lang w:val="en-US"/>
        </w:rPr>
        <w:t xml:space="preserve">Lovett, Adam, and Stefan Riedener. 2024. “Commonsense Morality and Contact with Value.” </w:t>
      </w:r>
      <w:r w:rsidRPr="00267F1A">
        <w:rPr>
          <w:rFonts w:ascii="Garamond" w:hAnsi="Garamond" w:cs="Helvetica"/>
          <w:i/>
          <w:iCs/>
          <w:lang w:val="en-US"/>
        </w:rPr>
        <w:t>Philosophy and Phenomenological Research</w:t>
      </w:r>
      <w:r w:rsidRPr="00267F1A">
        <w:rPr>
          <w:rFonts w:ascii="Garamond" w:hAnsi="Garamond" w:cs="Helvetica"/>
          <w:lang w:val="en-US"/>
        </w:rPr>
        <w:t xml:space="preserve"> 1: 1–21. https://doi.org/10.1111/phpr.13044.</w:t>
      </w:r>
    </w:p>
    <w:p w14:paraId="7761A860" w14:textId="79CB0A66" w:rsidR="00FE5F15" w:rsidRPr="00267F1A" w:rsidRDefault="00FE5F15" w:rsidP="00FE5F15">
      <w:pPr>
        <w:autoSpaceDE w:val="0"/>
        <w:autoSpaceDN w:val="0"/>
        <w:adjustRightInd w:val="0"/>
        <w:ind w:left="720" w:hanging="720"/>
        <w:rPr>
          <w:rFonts w:ascii="Garamond" w:hAnsi="Garamond" w:cs="Helvetica"/>
          <w:lang w:val="en-US"/>
        </w:rPr>
      </w:pPr>
      <w:r w:rsidRPr="00267F1A">
        <w:rPr>
          <w:rFonts w:ascii="Garamond" w:hAnsi="Garamond" w:cs="Helvetica"/>
          <w:lang w:val="en-US"/>
        </w:rPr>
        <w:t xml:space="preserve">Lin, Eden. “The Subjective List Theory of Well-Being.” </w:t>
      </w:r>
      <w:r w:rsidRPr="00267F1A">
        <w:rPr>
          <w:rFonts w:ascii="Garamond" w:hAnsi="Garamond" w:cs="Helvetica"/>
          <w:i/>
          <w:iCs/>
          <w:lang w:val="en-US"/>
        </w:rPr>
        <w:t>Australasian Journal of Philosophy</w:t>
      </w:r>
      <w:r w:rsidRPr="00267F1A">
        <w:rPr>
          <w:rFonts w:ascii="Garamond" w:hAnsi="Garamond" w:cs="Helvetica"/>
          <w:lang w:val="en-US"/>
        </w:rPr>
        <w:t xml:space="preserve"> 94, no. 1 (2016): 99–114.</w:t>
      </w:r>
    </w:p>
    <w:p w14:paraId="78856E85" w14:textId="7D5AF48B" w:rsidR="00FE5F15" w:rsidRPr="00267F1A" w:rsidRDefault="00FE5F15" w:rsidP="00FE5F15">
      <w:pPr>
        <w:autoSpaceDE w:val="0"/>
        <w:autoSpaceDN w:val="0"/>
        <w:adjustRightInd w:val="0"/>
        <w:ind w:left="720" w:hanging="720"/>
        <w:rPr>
          <w:rFonts w:ascii="Garamond" w:hAnsi="Garamond" w:cs="Helvetica"/>
          <w:lang w:val="en-US"/>
        </w:rPr>
      </w:pPr>
      <w:r w:rsidRPr="00267F1A">
        <w:rPr>
          <w:rFonts w:ascii="Garamond" w:hAnsi="Garamond" w:cs="Helvetica"/>
          <w:lang w:val="en-US"/>
        </w:rPr>
        <w:t xml:space="preserve">McDaniel, Kris. “A Moorean View of the Value of Lives.” </w:t>
      </w:r>
      <w:r w:rsidRPr="00267F1A">
        <w:rPr>
          <w:rFonts w:ascii="Garamond" w:hAnsi="Garamond" w:cs="Helvetica"/>
          <w:i/>
          <w:iCs/>
          <w:lang w:val="en-US"/>
        </w:rPr>
        <w:t>Pacific Philosophical Quarterly</w:t>
      </w:r>
      <w:r w:rsidRPr="00267F1A">
        <w:rPr>
          <w:rFonts w:ascii="Garamond" w:hAnsi="Garamond" w:cs="Helvetica"/>
          <w:lang w:val="en-US"/>
        </w:rPr>
        <w:t xml:space="preserve"> 95, no. 4 (2014): 23–46. </w:t>
      </w:r>
    </w:p>
    <w:p w14:paraId="31EDEA11" w14:textId="77777777" w:rsidR="00FE5F15" w:rsidRPr="00FE5F15" w:rsidRDefault="00FE5F15" w:rsidP="00FE5F15">
      <w:pPr>
        <w:autoSpaceDE w:val="0"/>
        <w:autoSpaceDN w:val="0"/>
        <w:adjustRightInd w:val="0"/>
        <w:ind w:left="720" w:hanging="720"/>
        <w:rPr>
          <w:rFonts w:ascii="Garamond" w:hAnsi="Garamond" w:cs="Helvetica"/>
          <w:lang w:val="en-US"/>
        </w:rPr>
      </w:pPr>
      <w:r w:rsidRPr="00267F1A">
        <w:rPr>
          <w:rFonts w:ascii="Garamond" w:hAnsi="Garamond" w:cs="Helvetica"/>
          <w:lang w:val="en-US"/>
        </w:rPr>
        <w:t xml:space="preserve">Mill, John Stuart. </w:t>
      </w:r>
      <w:r w:rsidRPr="00267F1A">
        <w:rPr>
          <w:rFonts w:ascii="Garamond" w:hAnsi="Garamond" w:cs="Helvetica"/>
          <w:i/>
          <w:iCs/>
          <w:lang w:val="en-US"/>
        </w:rPr>
        <w:t>On Liberty</w:t>
      </w:r>
      <w:r w:rsidRPr="00267F1A">
        <w:rPr>
          <w:rFonts w:ascii="Garamond" w:hAnsi="Garamond" w:cs="Helvetica"/>
          <w:lang w:val="en-US"/>
        </w:rPr>
        <w:t>. London: John W Parker and Son,</w:t>
      </w:r>
      <w:r w:rsidRPr="00FE5F15">
        <w:rPr>
          <w:rFonts w:ascii="Garamond" w:hAnsi="Garamond" w:cs="Helvetica"/>
          <w:lang w:val="en-US"/>
        </w:rPr>
        <w:t xml:space="preserve"> 1859.</w:t>
      </w:r>
    </w:p>
    <w:p w14:paraId="6669D90A" w14:textId="256484B0" w:rsidR="00B43EC3" w:rsidRDefault="00B43EC3" w:rsidP="00FE5F15">
      <w:pPr>
        <w:autoSpaceDE w:val="0"/>
        <w:autoSpaceDN w:val="0"/>
        <w:adjustRightInd w:val="0"/>
        <w:ind w:left="720" w:hanging="720"/>
        <w:rPr>
          <w:rFonts w:ascii="Garamond" w:hAnsi="Garamond" w:cs="Helvetica"/>
          <w:lang w:val="en-US"/>
        </w:rPr>
      </w:pPr>
      <w:r>
        <w:rPr>
          <w:rFonts w:ascii="Garamond" w:hAnsi="Garamond" w:cs="Helvetica"/>
          <w:lang w:val="en-US"/>
        </w:rPr>
        <w:t>Moore, George Edward.</w:t>
      </w:r>
      <w:r w:rsidRPr="00B43EC3">
        <w:rPr>
          <w:rFonts w:ascii="Garamond" w:hAnsi="Garamond" w:cs="Helvetica"/>
          <w:i/>
          <w:iCs/>
          <w:lang w:val="en-US"/>
        </w:rPr>
        <w:t xml:space="preserve"> Principia Ethica</w:t>
      </w:r>
      <w:r>
        <w:rPr>
          <w:rFonts w:ascii="Garamond" w:hAnsi="Garamond" w:cs="Helvetica"/>
          <w:i/>
          <w:iCs/>
          <w:lang w:val="en-US"/>
        </w:rPr>
        <w:t xml:space="preserve">. </w:t>
      </w:r>
      <w:r>
        <w:rPr>
          <w:rFonts w:ascii="Garamond" w:hAnsi="Garamond" w:cs="Helvetica"/>
          <w:lang w:val="en-US"/>
        </w:rPr>
        <w:t xml:space="preserve">Cambridge: </w:t>
      </w:r>
      <w:r w:rsidRPr="00B43EC3">
        <w:rPr>
          <w:rFonts w:ascii="Garamond" w:hAnsi="Garamond" w:cs="Helvetica"/>
          <w:lang w:val="en-US"/>
        </w:rPr>
        <w:t>Cambridge University Press</w:t>
      </w:r>
      <w:r w:rsidR="001C4FA7">
        <w:rPr>
          <w:rFonts w:ascii="Garamond" w:hAnsi="Garamond" w:cs="Helvetica"/>
          <w:lang w:val="en-US"/>
        </w:rPr>
        <w:t>,</w:t>
      </w:r>
      <w:r w:rsidRPr="00B43EC3">
        <w:rPr>
          <w:rFonts w:ascii="Garamond" w:hAnsi="Garamond" w:cs="Helvetica"/>
          <w:lang w:val="en-US"/>
        </w:rPr>
        <w:t xml:space="preserve"> 1993.</w:t>
      </w:r>
    </w:p>
    <w:p w14:paraId="0F394A7F" w14:textId="576586CB"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Mørch, Hedda Hassel. “Does Dispositionalism Entail Panpsychism?” </w:t>
      </w:r>
      <w:r w:rsidRPr="00FE5F15">
        <w:rPr>
          <w:rFonts w:ascii="Garamond" w:hAnsi="Garamond" w:cs="Helvetica"/>
          <w:i/>
          <w:iCs/>
          <w:lang w:val="en-US"/>
        </w:rPr>
        <w:t>Topoi</w:t>
      </w:r>
      <w:r w:rsidRPr="00FE5F15">
        <w:rPr>
          <w:rFonts w:ascii="Garamond" w:hAnsi="Garamond" w:cs="Helvetica"/>
          <w:lang w:val="en-US"/>
        </w:rPr>
        <w:t xml:space="preserve"> 39, no. 5 (2018): 1073–88.</w:t>
      </w:r>
    </w:p>
    <w:p w14:paraId="23EBA615" w14:textId="77777777"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Nozick, Robert. </w:t>
      </w:r>
      <w:r w:rsidRPr="00FE5F15">
        <w:rPr>
          <w:rFonts w:ascii="Garamond" w:hAnsi="Garamond" w:cs="Helvetica"/>
          <w:i/>
          <w:iCs/>
          <w:lang w:val="en-US"/>
        </w:rPr>
        <w:t>Anarchy, State, and Utopia</w:t>
      </w:r>
      <w:r w:rsidRPr="00FE5F15">
        <w:rPr>
          <w:rFonts w:ascii="Garamond" w:hAnsi="Garamond" w:cs="Helvetica"/>
          <w:lang w:val="en-US"/>
        </w:rPr>
        <w:t>. New York: Blackwell, 1974.</w:t>
      </w:r>
    </w:p>
    <w:p w14:paraId="224F3318" w14:textId="77777777"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Nussbaum, Martha C. </w:t>
      </w:r>
      <w:r w:rsidRPr="00FE5F15">
        <w:rPr>
          <w:rFonts w:ascii="Garamond" w:hAnsi="Garamond" w:cs="Helvetica"/>
          <w:i/>
          <w:iCs/>
          <w:lang w:val="en-US"/>
        </w:rPr>
        <w:t>Creating Capabilities: The Human Development Approach</w:t>
      </w:r>
      <w:r w:rsidRPr="00FE5F15">
        <w:rPr>
          <w:rFonts w:ascii="Garamond" w:hAnsi="Garamond" w:cs="Helvetica"/>
          <w:lang w:val="en-US"/>
        </w:rPr>
        <w:t>. Cambridge: Harvard University Press, 2013.</w:t>
      </w:r>
    </w:p>
    <w:p w14:paraId="5367F3CA" w14:textId="77777777"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Parfit, Derek. </w:t>
      </w:r>
      <w:r w:rsidRPr="00FE5F15">
        <w:rPr>
          <w:rFonts w:ascii="Garamond" w:hAnsi="Garamond" w:cs="Helvetica"/>
          <w:i/>
          <w:iCs/>
          <w:lang w:val="en-US"/>
        </w:rPr>
        <w:t>Reasons and Persons</w:t>
      </w:r>
      <w:r w:rsidRPr="00FE5F15">
        <w:rPr>
          <w:rFonts w:ascii="Garamond" w:hAnsi="Garamond" w:cs="Helvetica"/>
          <w:lang w:val="en-US"/>
        </w:rPr>
        <w:t>. Oxford: Oxford University Press, 1984.</w:t>
      </w:r>
    </w:p>
    <w:p w14:paraId="4246EFE0" w14:textId="22DBF2FA" w:rsidR="00F47410" w:rsidRDefault="00F47410" w:rsidP="00F47410">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 </w:t>
      </w:r>
      <w:r>
        <w:rPr>
          <w:rFonts w:ascii="Garamond" w:hAnsi="Garamond" w:cs="Helvetica"/>
          <w:i/>
          <w:iCs/>
          <w:lang w:val="en-US"/>
        </w:rPr>
        <w:t xml:space="preserve">On What Matters, Vol. 1. </w:t>
      </w:r>
      <w:r w:rsidRPr="00FE5F15">
        <w:rPr>
          <w:rFonts w:ascii="Garamond" w:hAnsi="Garamond" w:cs="Helvetica"/>
          <w:lang w:val="en-US"/>
        </w:rPr>
        <w:t xml:space="preserve">Oxford: Oxford University Press, </w:t>
      </w:r>
      <w:r>
        <w:rPr>
          <w:rFonts w:ascii="Garamond" w:hAnsi="Garamond" w:cs="Helvetica"/>
          <w:lang w:val="en-US"/>
        </w:rPr>
        <w:t>2011</w:t>
      </w:r>
      <w:r w:rsidRPr="00FE5F15">
        <w:rPr>
          <w:rFonts w:ascii="Garamond" w:hAnsi="Garamond" w:cs="Helvetica"/>
          <w:lang w:val="en-US"/>
        </w:rPr>
        <w:t>.</w:t>
      </w:r>
    </w:p>
    <w:p w14:paraId="56005E94" w14:textId="79C9802B" w:rsidR="00FE5F15" w:rsidRPr="005B2433" w:rsidRDefault="00FE5F15" w:rsidP="00FE5F15">
      <w:pPr>
        <w:autoSpaceDE w:val="0"/>
        <w:autoSpaceDN w:val="0"/>
        <w:adjustRightInd w:val="0"/>
        <w:ind w:left="720" w:hanging="720"/>
        <w:rPr>
          <w:rFonts w:ascii="Garamond" w:hAnsi="Garamond" w:cs="Helvetica"/>
          <w:lang w:val="en-US"/>
        </w:rPr>
      </w:pPr>
      <w:r w:rsidRPr="005B2433">
        <w:rPr>
          <w:rFonts w:ascii="Garamond" w:hAnsi="Garamond" w:cs="Helvetica"/>
          <w:lang w:val="en-US"/>
        </w:rPr>
        <w:t xml:space="preserve">Railton, Peter. “Facts and Values.” </w:t>
      </w:r>
      <w:r w:rsidRPr="005B2433">
        <w:rPr>
          <w:rFonts w:ascii="Garamond" w:hAnsi="Garamond" w:cs="Helvetica"/>
          <w:i/>
          <w:iCs/>
          <w:lang w:val="en-US"/>
        </w:rPr>
        <w:t>Philosophical Topics</w:t>
      </w:r>
      <w:r w:rsidRPr="005B2433">
        <w:rPr>
          <w:rFonts w:ascii="Garamond" w:hAnsi="Garamond" w:cs="Helvetica"/>
          <w:lang w:val="en-US"/>
        </w:rPr>
        <w:t xml:space="preserve"> 14, no. 2 (1986): 5–31.</w:t>
      </w:r>
    </w:p>
    <w:p w14:paraId="67393791" w14:textId="77777777" w:rsidR="00FE5F15" w:rsidRPr="005B2433" w:rsidRDefault="00FE5F15" w:rsidP="00FE5F15">
      <w:pPr>
        <w:autoSpaceDE w:val="0"/>
        <w:autoSpaceDN w:val="0"/>
        <w:adjustRightInd w:val="0"/>
        <w:ind w:left="720" w:hanging="720"/>
        <w:rPr>
          <w:rFonts w:ascii="Garamond" w:hAnsi="Garamond" w:cs="Helvetica"/>
          <w:lang w:val="en-US"/>
        </w:rPr>
      </w:pPr>
      <w:r w:rsidRPr="005B2433">
        <w:rPr>
          <w:rFonts w:ascii="Garamond" w:hAnsi="Garamond" w:cs="Helvetica"/>
          <w:lang w:val="en-US"/>
        </w:rPr>
        <w:t xml:space="preserve">Rawls, John. </w:t>
      </w:r>
      <w:r w:rsidRPr="005B2433">
        <w:rPr>
          <w:rFonts w:ascii="Garamond" w:hAnsi="Garamond" w:cs="Helvetica"/>
          <w:i/>
          <w:iCs/>
          <w:lang w:val="en-US"/>
        </w:rPr>
        <w:t>A Theory of Justice</w:t>
      </w:r>
      <w:r w:rsidRPr="005B2433">
        <w:rPr>
          <w:rFonts w:ascii="Garamond" w:hAnsi="Garamond" w:cs="Helvetica"/>
          <w:lang w:val="en-US"/>
        </w:rPr>
        <w:t>. Cambridge, MA: Harvard University Press, 1971.</w:t>
      </w:r>
    </w:p>
    <w:p w14:paraId="3A526CE3" w14:textId="5CF4C181" w:rsidR="005B2433" w:rsidRPr="005B2433" w:rsidRDefault="005B2433" w:rsidP="005B2433">
      <w:pPr>
        <w:autoSpaceDE w:val="0"/>
        <w:autoSpaceDN w:val="0"/>
        <w:adjustRightInd w:val="0"/>
        <w:ind w:left="720" w:hanging="720"/>
        <w:rPr>
          <w:rFonts w:ascii="Garamond" w:hAnsi="Garamond" w:cs="Helvetica"/>
          <w:lang w:val="en-US"/>
        </w:rPr>
      </w:pPr>
      <w:r w:rsidRPr="005B2433">
        <w:rPr>
          <w:rFonts w:ascii="Garamond" w:hAnsi="Garamond" w:cs="Helvetica"/>
          <w:lang w:val="en-US"/>
        </w:rPr>
        <w:t xml:space="preserve">Regan, Donald. 2004. “Why Am I My Brother’s Keeper?” In </w:t>
      </w:r>
      <w:r w:rsidRPr="005B2433">
        <w:rPr>
          <w:rFonts w:ascii="Garamond" w:hAnsi="Garamond" w:cs="Helvetica"/>
          <w:i/>
          <w:iCs/>
          <w:lang w:val="en-US"/>
        </w:rPr>
        <w:t>Reason and Value: Themes from the Moral Philosophy of Joseph Raz</w:t>
      </w:r>
      <w:r w:rsidRPr="005B2433">
        <w:rPr>
          <w:rFonts w:ascii="Garamond" w:hAnsi="Garamond" w:cs="Helvetica"/>
          <w:lang w:val="en-US"/>
        </w:rPr>
        <w:t>, edited by R. Jay Wallace, Philip Pettit, Samuel Scheffler, and Michael Smith, 202–30. Oxford: Clarendon.</w:t>
      </w:r>
    </w:p>
    <w:p w14:paraId="1915B3C8" w14:textId="6CF0F96D" w:rsidR="00FE5F15" w:rsidRPr="00FE5F15" w:rsidRDefault="00FE5F15" w:rsidP="00FE5F15">
      <w:pPr>
        <w:autoSpaceDE w:val="0"/>
        <w:autoSpaceDN w:val="0"/>
        <w:adjustRightInd w:val="0"/>
        <w:ind w:left="720" w:hanging="720"/>
        <w:rPr>
          <w:rFonts w:ascii="Garamond" w:hAnsi="Garamond" w:cs="Helvetica"/>
          <w:lang w:val="en-US"/>
        </w:rPr>
      </w:pPr>
      <w:r w:rsidRPr="005B2433">
        <w:rPr>
          <w:rFonts w:ascii="Garamond" w:hAnsi="Garamond" w:cs="Helvetica"/>
          <w:lang w:val="en-US"/>
        </w:rPr>
        <w:t>Rønnow-Rasmussen, Toni. “Analysing Personal Value</w:t>
      </w:r>
      <w:r w:rsidRPr="00FE5F15">
        <w:rPr>
          <w:rFonts w:ascii="Garamond" w:hAnsi="Garamond" w:cs="Helvetica"/>
          <w:lang w:val="en-US"/>
        </w:rPr>
        <w:t xml:space="preserve">.” </w:t>
      </w:r>
      <w:r w:rsidRPr="00FE5F15">
        <w:rPr>
          <w:rFonts w:ascii="Garamond" w:hAnsi="Garamond" w:cs="Helvetica"/>
          <w:i/>
          <w:iCs/>
          <w:lang w:val="en-US"/>
        </w:rPr>
        <w:t>The Journal of Ethics</w:t>
      </w:r>
      <w:r w:rsidRPr="00FE5F15">
        <w:rPr>
          <w:rFonts w:ascii="Garamond" w:hAnsi="Garamond" w:cs="Helvetica"/>
          <w:lang w:val="en-US"/>
        </w:rPr>
        <w:t xml:space="preserve"> 11, no. 4 (2007): 405–35. </w:t>
      </w:r>
    </w:p>
    <w:p w14:paraId="48F645DE" w14:textId="177B7E37" w:rsidR="007E3E10" w:rsidRDefault="007E3E10" w:rsidP="00FE5F15">
      <w:pPr>
        <w:autoSpaceDE w:val="0"/>
        <w:autoSpaceDN w:val="0"/>
        <w:adjustRightInd w:val="0"/>
        <w:ind w:left="720" w:hanging="720"/>
        <w:rPr>
          <w:rFonts w:ascii="Garamond" w:hAnsi="Garamond" w:cs="Helvetica"/>
          <w:lang w:val="en-US"/>
        </w:rPr>
      </w:pPr>
      <w:r w:rsidRPr="007E3E10">
        <w:rPr>
          <w:rFonts w:ascii="Garamond" w:hAnsi="Garamond" w:cs="Helvetica"/>
          <w:lang w:val="en-US"/>
        </w:rPr>
        <w:t>Scanlon, Thomas</w:t>
      </w:r>
      <w:r>
        <w:rPr>
          <w:rFonts w:ascii="Garamond" w:hAnsi="Garamond" w:cs="Helvetica"/>
          <w:lang w:val="en-US"/>
        </w:rPr>
        <w:t xml:space="preserve">. </w:t>
      </w:r>
      <w:r w:rsidRPr="007E3E10">
        <w:rPr>
          <w:rFonts w:ascii="Garamond" w:hAnsi="Garamond" w:cs="Helvetica"/>
          <w:i/>
          <w:iCs/>
          <w:lang w:val="en-US"/>
        </w:rPr>
        <w:t>What We Owe to Each Other</w:t>
      </w:r>
      <w:r w:rsidRPr="007E3E10">
        <w:rPr>
          <w:rFonts w:ascii="Garamond" w:hAnsi="Garamond" w:cs="Helvetica"/>
          <w:lang w:val="en-US"/>
        </w:rPr>
        <w:t xml:space="preserve">. </w:t>
      </w:r>
      <w:r>
        <w:rPr>
          <w:rFonts w:ascii="Garamond" w:hAnsi="Garamond" w:cs="Helvetica"/>
          <w:lang w:val="en-US"/>
        </w:rPr>
        <w:t xml:space="preserve">Cambridge, MA: </w:t>
      </w:r>
      <w:r w:rsidRPr="007E3E10">
        <w:rPr>
          <w:rFonts w:ascii="Garamond" w:hAnsi="Garamond" w:cs="Helvetica"/>
          <w:lang w:val="en-US"/>
        </w:rPr>
        <w:t>Belknap Press of Harvard University Press</w:t>
      </w:r>
      <w:r>
        <w:rPr>
          <w:rFonts w:ascii="Garamond" w:hAnsi="Garamond" w:cs="Helvetica"/>
          <w:lang w:val="en-US"/>
        </w:rPr>
        <w:t>, 1998</w:t>
      </w:r>
      <w:r w:rsidRPr="007E3E10">
        <w:rPr>
          <w:rFonts w:ascii="Garamond" w:hAnsi="Garamond" w:cs="Helvetica"/>
          <w:lang w:val="en-US"/>
        </w:rPr>
        <w:t>.</w:t>
      </w:r>
    </w:p>
    <w:p w14:paraId="709ECE07" w14:textId="66182FFF"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lastRenderedPageBreak/>
        <w:t xml:space="preserve">Smuts, Aaron. “The Feels Good Theory of Pleasure.” </w:t>
      </w:r>
      <w:r w:rsidRPr="00FE5F15">
        <w:rPr>
          <w:rFonts w:ascii="Garamond" w:hAnsi="Garamond" w:cs="Helvetica"/>
          <w:i/>
          <w:iCs/>
          <w:lang w:val="en-US"/>
        </w:rPr>
        <w:t>Philosophical Studies: An International Journal for Philosophy in the Analytic Tradition</w:t>
      </w:r>
      <w:r w:rsidRPr="00FE5F15">
        <w:rPr>
          <w:rFonts w:ascii="Garamond" w:hAnsi="Garamond" w:cs="Helvetica"/>
          <w:lang w:val="en-US"/>
        </w:rPr>
        <w:t xml:space="preserve"> 155, no. 2 (2011): 241–65.</w:t>
      </w:r>
    </w:p>
    <w:p w14:paraId="1752E299" w14:textId="44BE9C36"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Sumner, L. W. </w:t>
      </w:r>
      <w:r w:rsidRPr="00FE5F15">
        <w:rPr>
          <w:rFonts w:ascii="Garamond" w:hAnsi="Garamond" w:cs="Helvetica"/>
          <w:i/>
          <w:iCs/>
          <w:lang w:val="en-US"/>
        </w:rPr>
        <w:t>Welfare, Happiness, and Ethics</w:t>
      </w:r>
      <w:r w:rsidRPr="00FE5F15">
        <w:rPr>
          <w:rFonts w:ascii="Garamond" w:hAnsi="Garamond" w:cs="Helvetica"/>
          <w:lang w:val="en-US"/>
        </w:rPr>
        <w:t xml:space="preserve">. </w:t>
      </w:r>
      <w:r w:rsidR="007E3E10">
        <w:rPr>
          <w:rFonts w:ascii="Garamond" w:hAnsi="Garamond" w:cs="Helvetica"/>
          <w:lang w:val="en-US"/>
        </w:rPr>
        <w:t xml:space="preserve">Oxford: </w:t>
      </w:r>
      <w:r w:rsidRPr="00FE5F15">
        <w:rPr>
          <w:rFonts w:ascii="Garamond" w:hAnsi="Garamond" w:cs="Helvetica"/>
          <w:lang w:val="en-US"/>
        </w:rPr>
        <w:t>Oxford University Press, 1996.</w:t>
      </w:r>
    </w:p>
    <w:p w14:paraId="5DF03006" w14:textId="1F1E8B4F" w:rsidR="00F47410" w:rsidRDefault="00F47410" w:rsidP="00FE5F15">
      <w:pPr>
        <w:autoSpaceDE w:val="0"/>
        <w:autoSpaceDN w:val="0"/>
        <w:adjustRightInd w:val="0"/>
        <w:ind w:left="720" w:hanging="720"/>
        <w:rPr>
          <w:rFonts w:ascii="Garamond" w:hAnsi="Garamond" w:cs="Helvetica"/>
          <w:lang w:val="en-US"/>
        </w:rPr>
      </w:pPr>
      <w:r w:rsidRPr="00F47410">
        <w:rPr>
          <w:rFonts w:ascii="Garamond" w:hAnsi="Garamond" w:cs="Helvetica"/>
          <w:lang w:val="en-US"/>
        </w:rPr>
        <w:t xml:space="preserve">Tadros, Victor. </w:t>
      </w:r>
      <w:r w:rsidRPr="00F47410">
        <w:rPr>
          <w:rFonts w:ascii="Garamond" w:hAnsi="Garamond" w:cs="Helvetica"/>
          <w:i/>
          <w:iCs/>
          <w:lang w:val="en-US"/>
        </w:rPr>
        <w:t xml:space="preserve">The </w:t>
      </w:r>
      <w:r>
        <w:rPr>
          <w:rFonts w:ascii="Garamond" w:hAnsi="Garamond" w:cs="Helvetica"/>
          <w:i/>
          <w:iCs/>
          <w:lang w:val="en-US"/>
        </w:rPr>
        <w:t>E</w:t>
      </w:r>
      <w:r w:rsidRPr="00F47410">
        <w:rPr>
          <w:rFonts w:ascii="Garamond" w:hAnsi="Garamond" w:cs="Helvetica"/>
          <w:i/>
          <w:iCs/>
          <w:lang w:val="en-US"/>
        </w:rPr>
        <w:t xml:space="preserve">nds of </w:t>
      </w:r>
      <w:r>
        <w:rPr>
          <w:rFonts w:ascii="Garamond" w:hAnsi="Garamond" w:cs="Helvetica"/>
          <w:i/>
          <w:iCs/>
          <w:lang w:val="en-US"/>
        </w:rPr>
        <w:t>H</w:t>
      </w:r>
      <w:r w:rsidRPr="00F47410">
        <w:rPr>
          <w:rFonts w:ascii="Garamond" w:hAnsi="Garamond" w:cs="Helvetica"/>
          <w:i/>
          <w:iCs/>
          <w:lang w:val="en-US"/>
        </w:rPr>
        <w:t xml:space="preserve">arm: </w:t>
      </w:r>
      <w:r>
        <w:rPr>
          <w:rFonts w:ascii="Garamond" w:hAnsi="Garamond" w:cs="Helvetica"/>
          <w:i/>
          <w:iCs/>
          <w:lang w:val="en-US"/>
        </w:rPr>
        <w:t>T</w:t>
      </w:r>
      <w:r w:rsidRPr="00F47410">
        <w:rPr>
          <w:rFonts w:ascii="Garamond" w:hAnsi="Garamond" w:cs="Helvetica"/>
          <w:i/>
          <w:iCs/>
          <w:lang w:val="en-US"/>
        </w:rPr>
        <w:t xml:space="preserve">he </w:t>
      </w:r>
      <w:r>
        <w:rPr>
          <w:rFonts w:ascii="Garamond" w:hAnsi="Garamond" w:cs="Helvetica"/>
          <w:i/>
          <w:iCs/>
          <w:lang w:val="en-US"/>
        </w:rPr>
        <w:t>M</w:t>
      </w:r>
      <w:r w:rsidRPr="00F47410">
        <w:rPr>
          <w:rFonts w:ascii="Garamond" w:hAnsi="Garamond" w:cs="Helvetica"/>
          <w:i/>
          <w:iCs/>
          <w:lang w:val="en-US"/>
        </w:rPr>
        <w:t xml:space="preserve">oral </w:t>
      </w:r>
      <w:r>
        <w:rPr>
          <w:rFonts w:ascii="Garamond" w:hAnsi="Garamond" w:cs="Helvetica"/>
          <w:i/>
          <w:iCs/>
          <w:lang w:val="en-US"/>
        </w:rPr>
        <w:t>F</w:t>
      </w:r>
      <w:r w:rsidRPr="00F47410">
        <w:rPr>
          <w:rFonts w:ascii="Garamond" w:hAnsi="Garamond" w:cs="Helvetica"/>
          <w:i/>
          <w:iCs/>
          <w:lang w:val="en-US"/>
        </w:rPr>
        <w:t xml:space="preserve">oundations of </w:t>
      </w:r>
      <w:r>
        <w:rPr>
          <w:rFonts w:ascii="Garamond" w:hAnsi="Garamond" w:cs="Helvetica"/>
          <w:i/>
          <w:iCs/>
          <w:lang w:val="en-US"/>
        </w:rPr>
        <w:t>C</w:t>
      </w:r>
      <w:r w:rsidRPr="00F47410">
        <w:rPr>
          <w:rFonts w:ascii="Garamond" w:hAnsi="Garamond" w:cs="Helvetica"/>
          <w:i/>
          <w:iCs/>
          <w:lang w:val="en-US"/>
        </w:rPr>
        <w:t xml:space="preserve">riminal </w:t>
      </w:r>
      <w:r>
        <w:rPr>
          <w:rFonts w:ascii="Garamond" w:hAnsi="Garamond" w:cs="Helvetica"/>
          <w:i/>
          <w:iCs/>
          <w:lang w:val="en-US"/>
        </w:rPr>
        <w:t>L</w:t>
      </w:r>
      <w:r w:rsidRPr="00F47410">
        <w:rPr>
          <w:rFonts w:ascii="Garamond" w:hAnsi="Garamond" w:cs="Helvetica"/>
          <w:i/>
          <w:iCs/>
          <w:lang w:val="en-US"/>
        </w:rPr>
        <w:t>aw</w:t>
      </w:r>
      <w:r w:rsidRPr="00F47410">
        <w:rPr>
          <w:rFonts w:ascii="Garamond" w:hAnsi="Garamond" w:cs="Helvetica"/>
          <w:lang w:val="en-US"/>
        </w:rPr>
        <w:t>. New York: Oxford University Press</w:t>
      </w:r>
      <w:r>
        <w:rPr>
          <w:rFonts w:ascii="Garamond" w:hAnsi="Garamond" w:cs="Helvetica"/>
          <w:lang w:val="en-US"/>
        </w:rPr>
        <w:t>, 2011</w:t>
      </w:r>
      <w:r w:rsidRPr="00F47410">
        <w:rPr>
          <w:rFonts w:ascii="Garamond" w:hAnsi="Garamond" w:cs="Helvetica"/>
          <w:lang w:val="en-US"/>
        </w:rPr>
        <w:t>.</w:t>
      </w:r>
    </w:p>
    <w:p w14:paraId="61CBCB64" w14:textId="5EB97261"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Tully, Ian. “Depression and the Problem of Absent Desires.” </w:t>
      </w:r>
      <w:r w:rsidRPr="00FE5F15">
        <w:rPr>
          <w:rFonts w:ascii="Garamond" w:hAnsi="Garamond" w:cs="Helvetica"/>
          <w:i/>
          <w:iCs/>
          <w:lang w:val="en-US"/>
        </w:rPr>
        <w:t>Journal of Ethics and Social Philosophy</w:t>
      </w:r>
      <w:r w:rsidRPr="00FE5F15">
        <w:rPr>
          <w:rFonts w:ascii="Garamond" w:hAnsi="Garamond" w:cs="Helvetica"/>
          <w:lang w:val="en-US"/>
        </w:rPr>
        <w:t xml:space="preserve"> 11, no. 2 (2017): 1–16. </w:t>
      </w:r>
    </w:p>
    <w:p w14:paraId="6246A3ED" w14:textId="171BB04F"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Woodard, </w:t>
      </w:r>
      <w:r w:rsidR="00D54BEA" w:rsidRPr="00FE5F15">
        <w:rPr>
          <w:rFonts w:ascii="Garamond" w:hAnsi="Garamond" w:cs="Helvetica"/>
          <w:lang w:val="en-US"/>
        </w:rPr>
        <w:t>Christopher</w:t>
      </w:r>
      <w:r w:rsidRPr="00FE5F15">
        <w:rPr>
          <w:rFonts w:ascii="Garamond" w:hAnsi="Garamond" w:cs="Helvetica"/>
          <w:lang w:val="en-US"/>
        </w:rPr>
        <w:t xml:space="preserve">. “Hybrid Theories.” In </w:t>
      </w:r>
      <w:r w:rsidRPr="00FE5F15">
        <w:rPr>
          <w:rFonts w:ascii="Garamond" w:hAnsi="Garamond" w:cs="Helvetica"/>
          <w:i/>
          <w:iCs/>
          <w:lang w:val="en-US"/>
        </w:rPr>
        <w:t>The Routledge Handbook of Philosophy of Well-Being</w:t>
      </w:r>
      <w:r w:rsidRPr="00FE5F15">
        <w:rPr>
          <w:rFonts w:ascii="Garamond" w:hAnsi="Garamond" w:cs="Helvetica"/>
          <w:lang w:val="en-US"/>
        </w:rPr>
        <w:t xml:space="preserve">, edited by Guy Fletcher, 161–74. Abingdon: Routledge, </w:t>
      </w:r>
      <w:r w:rsidR="00D90AD8" w:rsidRPr="00FE5F15">
        <w:rPr>
          <w:rFonts w:ascii="Garamond" w:hAnsi="Garamond" w:cs="Helvetica"/>
          <w:lang w:val="en-US"/>
        </w:rPr>
        <w:t>201</w:t>
      </w:r>
      <w:r w:rsidR="00D90AD8">
        <w:rPr>
          <w:rFonts w:ascii="Garamond" w:hAnsi="Garamond" w:cs="Helvetica"/>
          <w:lang w:val="en-US"/>
        </w:rPr>
        <w:t>6</w:t>
      </w:r>
      <w:r w:rsidRPr="00FE5F15">
        <w:rPr>
          <w:rFonts w:ascii="Garamond" w:hAnsi="Garamond" w:cs="Helvetica"/>
          <w:lang w:val="en-US"/>
        </w:rPr>
        <w:t>.</w:t>
      </w:r>
    </w:p>
    <w:p w14:paraId="4B0BAAD1" w14:textId="0B65C956" w:rsidR="00FE5F15" w:rsidRPr="00FE5F15" w:rsidRDefault="00FE5F15" w:rsidP="00FE5F15">
      <w:pPr>
        <w:autoSpaceDE w:val="0"/>
        <w:autoSpaceDN w:val="0"/>
        <w:adjustRightInd w:val="0"/>
        <w:ind w:left="720" w:hanging="720"/>
        <w:rPr>
          <w:rFonts w:ascii="Garamond" w:hAnsi="Garamond" w:cs="Helvetica"/>
          <w:lang w:val="en-US"/>
        </w:rPr>
      </w:pPr>
      <w:r w:rsidRPr="00FE5F15">
        <w:rPr>
          <w:rFonts w:ascii="Garamond" w:hAnsi="Garamond" w:cs="Helvetica"/>
          <w:lang w:val="en-US"/>
        </w:rPr>
        <w:t xml:space="preserve">Zimmerman, Michael J. “Understanding What’s Good for Us.” </w:t>
      </w:r>
      <w:r w:rsidRPr="00FE5F15">
        <w:rPr>
          <w:rFonts w:ascii="Garamond" w:hAnsi="Garamond" w:cs="Helvetica"/>
          <w:i/>
          <w:iCs/>
          <w:lang w:val="en-US"/>
        </w:rPr>
        <w:t>Ethical Theory and Moral Practice</w:t>
      </w:r>
      <w:r w:rsidRPr="00FE5F15">
        <w:rPr>
          <w:rFonts w:ascii="Garamond" w:hAnsi="Garamond" w:cs="Helvetica"/>
          <w:lang w:val="en-US"/>
        </w:rPr>
        <w:t xml:space="preserve"> 12, no. 4 (2009): 429–39. </w:t>
      </w:r>
    </w:p>
    <w:p w14:paraId="7A455B92" w14:textId="4BC1103F" w:rsidR="00D83CBA" w:rsidRPr="0032708B" w:rsidRDefault="00D83CBA" w:rsidP="00870DA9">
      <w:pPr>
        <w:jc w:val="both"/>
        <w:rPr>
          <w:rFonts w:ascii="Garamond" w:hAnsi="Garamond"/>
          <w:lang w:val="en-US"/>
        </w:rPr>
      </w:pPr>
    </w:p>
    <w:sectPr w:rsidR="00D83CBA" w:rsidRPr="0032708B" w:rsidSect="00D55B21">
      <w:footerReference w:type="even" r:id="rId8"/>
      <w:footerReference w:type="default" r:id="rId9"/>
      <w:pgSz w:w="11900" w:h="16840"/>
      <w:pgMar w:top="2098" w:right="2098" w:bottom="209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4781" w14:textId="77777777" w:rsidR="00D55B21" w:rsidRDefault="00D55B21" w:rsidP="00870DA9">
      <w:r>
        <w:separator/>
      </w:r>
    </w:p>
  </w:endnote>
  <w:endnote w:type="continuationSeparator" w:id="0">
    <w:p w14:paraId="65D38FE5" w14:textId="77777777" w:rsidR="00D55B21" w:rsidRDefault="00D55B21" w:rsidP="0087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305103"/>
      <w:docPartObj>
        <w:docPartGallery w:val="Page Numbers (Bottom of Page)"/>
        <w:docPartUnique/>
      </w:docPartObj>
    </w:sdtPr>
    <w:sdtContent>
      <w:p w14:paraId="4DD706AA" w14:textId="7FB7BB58" w:rsidR="00870DA9" w:rsidRDefault="00870DA9" w:rsidP="00B760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33938" w14:textId="77777777" w:rsidR="00870DA9" w:rsidRDefault="00870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1898234374"/>
      <w:docPartObj>
        <w:docPartGallery w:val="Page Numbers (Bottom of Page)"/>
        <w:docPartUnique/>
      </w:docPartObj>
    </w:sdtPr>
    <w:sdtContent>
      <w:p w14:paraId="27EBA45B" w14:textId="453205D5" w:rsidR="00870DA9" w:rsidRPr="00870DA9" w:rsidRDefault="00870DA9" w:rsidP="00B760A4">
        <w:pPr>
          <w:pStyle w:val="Footer"/>
          <w:framePr w:wrap="none" w:vAnchor="text" w:hAnchor="margin" w:xAlign="center" w:y="1"/>
          <w:rPr>
            <w:rStyle w:val="PageNumber"/>
            <w:rFonts w:ascii="Garamond" w:hAnsi="Garamond"/>
            <w:sz w:val="20"/>
            <w:szCs w:val="20"/>
          </w:rPr>
        </w:pPr>
        <w:r w:rsidRPr="00870DA9">
          <w:rPr>
            <w:rStyle w:val="PageNumber"/>
            <w:rFonts w:ascii="Garamond" w:hAnsi="Garamond"/>
            <w:sz w:val="20"/>
            <w:szCs w:val="20"/>
          </w:rPr>
          <w:fldChar w:fldCharType="begin"/>
        </w:r>
        <w:r w:rsidRPr="00870DA9">
          <w:rPr>
            <w:rStyle w:val="PageNumber"/>
            <w:rFonts w:ascii="Garamond" w:hAnsi="Garamond"/>
            <w:sz w:val="20"/>
            <w:szCs w:val="20"/>
          </w:rPr>
          <w:instrText xml:space="preserve"> PAGE </w:instrText>
        </w:r>
        <w:r w:rsidRPr="00870DA9">
          <w:rPr>
            <w:rStyle w:val="PageNumber"/>
            <w:rFonts w:ascii="Garamond" w:hAnsi="Garamond"/>
            <w:sz w:val="20"/>
            <w:szCs w:val="20"/>
          </w:rPr>
          <w:fldChar w:fldCharType="separate"/>
        </w:r>
        <w:r w:rsidRPr="00870DA9">
          <w:rPr>
            <w:rStyle w:val="PageNumber"/>
            <w:rFonts w:ascii="Garamond" w:hAnsi="Garamond"/>
            <w:noProof/>
            <w:sz w:val="20"/>
            <w:szCs w:val="20"/>
          </w:rPr>
          <w:t>1</w:t>
        </w:r>
        <w:r w:rsidRPr="00870DA9">
          <w:rPr>
            <w:rStyle w:val="PageNumber"/>
            <w:rFonts w:ascii="Garamond" w:hAnsi="Garamond"/>
            <w:sz w:val="20"/>
            <w:szCs w:val="20"/>
          </w:rPr>
          <w:fldChar w:fldCharType="end"/>
        </w:r>
      </w:p>
    </w:sdtContent>
  </w:sdt>
  <w:p w14:paraId="2CCF4DE2" w14:textId="77777777" w:rsidR="00870DA9" w:rsidRPr="00870DA9" w:rsidRDefault="00870DA9">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CF97" w14:textId="77777777" w:rsidR="00D55B21" w:rsidRDefault="00D55B21" w:rsidP="00870DA9">
      <w:r>
        <w:separator/>
      </w:r>
    </w:p>
  </w:footnote>
  <w:footnote w:type="continuationSeparator" w:id="0">
    <w:p w14:paraId="13815B6C" w14:textId="77777777" w:rsidR="00D55B21" w:rsidRDefault="00D55B21" w:rsidP="00870DA9">
      <w:r>
        <w:continuationSeparator/>
      </w:r>
    </w:p>
  </w:footnote>
  <w:footnote w:id="1">
    <w:p w14:paraId="6741380A" w14:textId="56B461E1" w:rsidR="00C109C9" w:rsidRPr="00F76DD5" w:rsidRDefault="00C109C9" w:rsidP="00B703CA">
      <w:pPr>
        <w:pStyle w:val="FootnoteText"/>
        <w:jc w:val="both"/>
        <w:rPr>
          <w:lang w:val="en-US"/>
        </w:rPr>
      </w:pPr>
      <w:r w:rsidRPr="000E5D20">
        <w:rPr>
          <w:rStyle w:val="FootnoteReference"/>
        </w:rPr>
        <w:footnoteRef/>
      </w:r>
      <w:r w:rsidRPr="00F76DD5">
        <w:rPr>
          <w:lang w:val="en-US"/>
        </w:rPr>
        <w:t xml:space="preserve"> For an overview of the discussion on the notion of welfare, see</w:t>
      </w:r>
      <w:r w:rsidR="00177E4B" w:rsidRPr="00F76DD5">
        <w:rPr>
          <w:lang w:val="en-US"/>
        </w:rPr>
        <w:t xml:space="preserve"> C</w:t>
      </w:r>
      <w:r w:rsidRPr="00F76DD5">
        <w:rPr>
          <w:lang w:val="en-US"/>
        </w:rPr>
        <w:t>ampbell</w:t>
      </w:r>
      <w:r w:rsidR="00177E4B" w:rsidRPr="00F76DD5">
        <w:rPr>
          <w:lang w:val="en-US"/>
        </w:rPr>
        <w:t xml:space="preserve"> (</w:t>
      </w:r>
      <w:r w:rsidRPr="00F76DD5">
        <w:rPr>
          <w:lang w:val="en-US"/>
        </w:rPr>
        <w:t>2016</w:t>
      </w:r>
      <w:r w:rsidR="00177E4B" w:rsidRPr="00F76DD5">
        <w:rPr>
          <w:lang w:val="en-US"/>
        </w:rPr>
        <w:t>)</w:t>
      </w:r>
      <w:r w:rsidRPr="00F76DD5">
        <w:rPr>
          <w:lang w:val="en-US"/>
        </w:rPr>
        <w:t>.</w:t>
      </w:r>
    </w:p>
  </w:footnote>
  <w:footnote w:id="2">
    <w:p w14:paraId="0E66EBED" w14:textId="37184A87" w:rsidR="00C9404F" w:rsidRPr="00F76DD5" w:rsidRDefault="00C9404F" w:rsidP="00B703CA">
      <w:pPr>
        <w:pStyle w:val="FootnoteText"/>
        <w:jc w:val="both"/>
        <w:rPr>
          <w:lang w:val="en-US"/>
        </w:rPr>
      </w:pPr>
      <w:r w:rsidRPr="000E5D20">
        <w:rPr>
          <w:rStyle w:val="FootnoteReference"/>
        </w:rPr>
        <w:footnoteRef/>
      </w:r>
      <w:r w:rsidRPr="00F76DD5">
        <w:rPr>
          <w:lang w:val="en-US"/>
        </w:rPr>
        <w:t xml:space="preserve"> For the importance and difficulty of accounting for welfare bads, see </w:t>
      </w:r>
      <w:r w:rsidR="00A47EEA" w:rsidRPr="00F76DD5">
        <w:rPr>
          <w:lang w:val="en-US"/>
        </w:rPr>
        <w:t>Kagan (</w:t>
      </w:r>
      <w:r w:rsidRPr="00F76DD5">
        <w:rPr>
          <w:lang w:val="en-US"/>
        </w:rPr>
        <w:t>2015</w:t>
      </w:r>
      <w:r w:rsidR="00A47EEA" w:rsidRPr="00F76DD5">
        <w:rPr>
          <w:lang w:val="en-US"/>
        </w:rPr>
        <w:t>)</w:t>
      </w:r>
      <w:r w:rsidRPr="00F76DD5">
        <w:rPr>
          <w:lang w:val="en-US"/>
        </w:rPr>
        <w:t xml:space="preserve">. For further discussion, see </w:t>
      </w:r>
      <w:r w:rsidR="00A47EEA" w:rsidRPr="00F76DD5">
        <w:rPr>
          <w:lang w:val="en-US"/>
        </w:rPr>
        <w:t>T</w:t>
      </w:r>
      <w:r w:rsidRPr="00F76DD5">
        <w:rPr>
          <w:lang w:val="en-US"/>
        </w:rPr>
        <w:t>ully</w:t>
      </w:r>
      <w:r w:rsidR="00A47EEA" w:rsidRPr="00F76DD5">
        <w:rPr>
          <w:lang w:val="en-US"/>
        </w:rPr>
        <w:t xml:space="preserve"> (</w:t>
      </w:r>
      <w:r w:rsidRPr="00F76DD5">
        <w:rPr>
          <w:lang w:val="en-US"/>
        </w:rPr>
        <w:t>2017</w:t>
      </w:r>
      <w:r w:rsidR="00A47EEA" w:rsidRPr="00F76DD5">
        <w:rPr>
          <w:lang w:val="en-US"/>
        </w:rPr>
        <w:t>)</w:t>
      </w:r>
      <w:r w:rsidRPr="00F76DD5">
        <w:rPr>
          <w:lang w:val="en-US"/>
        </w:rPr>
        <w:t>.</w:t>
      </w:r>
    </w:p>
  </w:footnote>
  <w:footnote w:id="3">
    <w:p w14:paraId="632E23EC" w14:textId="122C0E01" w:rsidR="00D70093" w:rsidRPr="00F76DD5" w:rsidRDefault="00D70093" w:rsidP="00B703CA">
      <w:pPr>
        <w:pStyle w:val="FootnoteText"/>
        <w:jc w:val="both"/>
        <w:rPr>
          <w:lang w:val="en-US"/>
        </w:rPr>
      </w:pPr>
      <w:r w:rsidRPr="000E5D20">
        <w:rPr>
          <w:rStyle w:val="FootnoteReference"/>
        </w:rPr>
        <w:footnoteRef/>
      </w:r>
      <w:r w:rsidRPr="00F76DD5">
        <w:rPr>
          <w:lang w:val="en-US"/>
        </w:rPr>
        <w:t xml:space="preserve"> For </w:t>
      </w:r>
      <w:r w:rsidR="00C0611D" w:rsidRPr="00F76DD5">
        <w:rPr>
          <w:lang w:val="en-US"/>
        </w:rPr>
        <w:t>further</w:t>
      </w:r>
      <w:r w:rsidRPr="00F76DD5">
        <w:rPr>
          <w:lang w:val="en-US"/>
        </w:rPr>
        <w:t xml:space="preserve"> </w:t>
      </w:r>
      <w:r w:rsidR="00E42EA6" w:rsidRPr="00F76DD5">
        <w:rPr>
          <w:lang w:val="en-US"/>
        </w:rPr>
        <w:t>related</w:t>
      </w:r>
      <w:r w:rsidR="00D2319C" w:rsidRPr="00F76DD5">
        <w:rPr>
          <w:lang w:val="en-US"/>
        </w:rPr>
        <w:t xml:space="preserve"> accounts</w:t>
      </w:r>
      <w:r w:rsidRPr="00F76DD5">
        <w:rPr>
          <w:lang w:val="en-US"/>
        </w:rPr>
        <w:t xml:space="preserve">, see </w:t>
      </w:r>
      <w:r w:rsidR="00AF65DC" w:rsidRPr="00F76DD5">
        <w:rPr>
          <w:lang w:val="en-US"/>
        </w:rPr>
        <w:t xml:space="preserve">‘locative views’ by </w:t>
      </w:r>
      <w:r w:rsidRPr="00F76DD5">
        <w:rPr>
          <w:lang w:val="en-US"/>
        </w:rPr>
        <w:t xml:space="preserve">Fletcher (2012) and McDaniel (2014). </w:t>
      </w:r>
      <w:r w:rsidR="00AF65DC" w:rsidRPr="00F76DD5">
        <w:rPr>
          <w:lang w:val="en-US"/>
        </w:rPr>
        <w:t xml:space="preserve">We’ll discuss these views in detail in section 6. </w:t>
      </w:r>
    </w:p>
  </w:footnote>
  <w:footnote w:id="4">
    <w:p w14:paraId="68CF6B91" w14:textId="1055EACC" w:rsidR="00806C67" w:rsidRPr="002360C5" w:rsidRDefault="00806C67" w:rsidP="002360C5">
      <w:pPr>
        <w:pStyle w:val="FootnoteText"/>
        <w:jc w:val="both"/>
        <w:rPr>
          <w:lang w:val="en-US"/>
        </w:rPr>
      </w:pPr>
      <w:r w:rsidRPr="002360C5">
        <w:rPr>
          <w:rStyle w:val="FootnoteReference"/>
          <w:lang w:val="en-US"/>
        </w:rPr>
        <w:footnoteRef/>
      </w:r>
      <w:r w:rsidRPr="002360C5">
        <w:rPr>
          <w:lang w:val="en-US"/>
        </w:rPr>
        <w:t xml:space="preserve"> McDaniel (2014, 26) also takes such </w:t>
      </w:r>
      <w:r w:rsidR="00102F14">
        <w:rPr>
          <w:lang w:val="en-US"/>
        </w:rPr>
        <w:t>structured entities</w:t>
      </w:r>
      <w:r w:rsidR="00F26E9F">
        <w:rPr>
          <w:lang w:val="en-US"/>
        </w:rPr>
        <w:t>—</w:t>
      </w:r>
      <w:r w:rsidR="004D7184">
        <w:rPr>
          <w:lang w:val="en-US"/>
        </w:rPr>
        <w:t xml:space="preserve">or </w:t>
      </w:r>
      <w:r w:rsidR="0053622D">
        <w:rPr>
          <w:lang w:val="en-US"/>
        </w:rPr>
        <w:t>‘</w:t>
      </w:r>
      <w:r w:rsidR="00747A4F">
        <w:rPr>
          <w:lang w:val="en-US"/>
        </w:rPr>
        <w:t>states of affairs</w:t>
      </w:r>
      <w:r w:rsidR="0053622D">
        <w:rPr>
          <w:lang w:val="en-US"/>
        </w:rPr>
        <w:t>’</w:t>
      </w:r>
      <w:r w:rsidR="00F26E9F">
        <w:rPr>
          <w:lang w:val="en-US"/>
        </w:rPr>
        <w:t>,</w:t>
      </w:r>
      <w:r w:rsidR="00747A4F">
        <w:rPr>
          <w:lang w:val="en-US"/>
        </w:rPr>
        <w:t xml:space="preserve"> </w:t>
      </w:r>
      <w:r w:rsidR="004D7184">
        <w:rPr>
          <w:lang w:val="en-US"/>
        </w:rPr>
        <w:t>as he calls them</w:t>
      </w:r>
      <w:r w:rsidR="00F26E9F">
        <w:rPr>
          <w:lang w:val="en-US"/>
        </w:rPr>
        <w:t>—</w:t>
      </w:r>
      <w:r w:rsidRPr="002360C5">
        <w:rPr>
          <w:lang w:val="en-US"/>
        </w:rPr>
        <w:t>to be the primary bearers of value</w:t>
      </w:r>
      <w:r w:rsidR="004D7184">
        <w:rPr>
          <w:lang w:val="en-US"/>
        </w:rPr>
        <w:t xml:space="preserve">. </w:t>
      </w:r>
    </w:p>
  </w:footnote>
  <w:footnote w:id="5">
    <w:p w14:paraId="3576493B" w14:textId="77777777" w:rsidR="006C5546" w:rsidRPr="00F76DD5" w:rsidRDefault="006C5546" w:rsidP="00B703CA">
      <w:pPr>
        <w:pStyle w:val="FootnoteText"/>
        <w:jc w:val="both"/>
        <w:rPr>
          <w:lang w:val="en-US"/>
        </w:rPr>
      </w:pPr>
      <w:r w:rsidRPr="000E5D20">
        <w:rPr>
          <w:rStyle w:val="FootnoteReference"/>
        </w:rPr>
        <w:footnoteRef/>
      </w:r>
      <w:r w:rsidRPr="00F76DD5">
        <w:rPr>
          <w:lang w:val="en-US"/>
        </w:rPr>
        <w:t xml:space="preserve"> For an overview on the metaphysics of dispositions, see Choi and Fara (2018). </w:t>
      </w:r>
    </w:p>
  </w:footnote>
  <w:footnote w:id="6">
    <w:p w14:paraId="15E43D2B" w14:textId="77777777" w:rsidR="006C5546" w:rsidRPr="00F76DD5" w:rsidRDefault="006C5546" w:rsidP="00B703CA">
      <w:pPr>
        <w:pStyle w:val="FootnoteText"/>
        <w:jc w:val="both"/>
        <w:rPr>
          <w:lang w:val="en-US"/>
        </w:rPr>
      </w:pPr>
      <w:r w:rsidRPr="000E5D20">
        <w:rPr>
          <w:rStyle w:val="FootnoteReference"/>
        </w:rPr>
        <w:footnoteRef/>
      </w:r>
      <w:r w:rsidRPr="00F76DD5">
        <w:rPr>
          <w:lang w:val="en-US"/>
        </w:rPr>
        <w:t xml:space="preserve"> For an introduction to grounding, see Fine (2012). The notion of ground we’ll use is partial ground.</w:t>
      </w:r>
    </w:p>
  </w:footnote>
  <w:footnote w:id="7">
    <w:p w14:paraId="4A6AA262" w14:textId="677226FB" w:rsidR="00471E8E" w:rsidRPr="00F76DD5" w:rsidRDefault="00471E8E" w:rsidP="00B703CA">
      <w:pPr>
        <w:pStyle w:val="FootnoteText"/>
        <w:jc w:val="both"/>
        <w:rPr>
          <w:lang w:val="en-US"/>
        </w:rPr>
      </w:pPr>
      <w:r w:rsidRPr="000E5D20">
        <w:rPr>
          <w:rStyle w:val="FootnoteReference"/>
        </w:rPr>
        <w:footnoteRef/>
      </w:r>
      <w:r w:rsidRPr="00F76DD5">
        <w:rPr>
          <w:lang w:val="en-US"/>
        </w:rPr>
        <w:t xml:space="preserve"> We’re not claiming that different values are always comparable in this sense. Plausibly, there’s often no facts about which fitting responses are at least as strong as which other responses. </w:t>
      </w:r>
    </w:p>
  </w:footnote>
  <w:footnote w:id="8">
    <w:p w14:paraId="2034E980" w14:textId="70DBD589" w:rsidR="00AF5882" w:rsidRPr="00F76DD5" w:rsidRDefault="00AF5882" w:rsidP="00B703CA">
      <w:pPr>
        <w:pStyle w:val="FootnoteText"/>
        <w:jc w:val="both"/>
        <w:rPr>
          <w:lang w:val="en-US"/>
        </w:rPr>
      </w:pPr>
      <w:r w:rsidRPr="000E5D20">
        <w:rPr>
          <w:rStyle w:val="FootnoteReference"/>
        </w:rPr>
        <w:footnoteRef/>
      </w:r>
      <w:r w:rsidRPr="00F76DD5">
        <w:rPr>
          <w:lang w:val="en-US"/>
        </w:rPr>
        <w:t xml:space="preserve"> For an extensive study of the nature and value of achievements, see e.g. </w:t>
      </w:r>
      <w:r w:rsidR="00677731" w:rsidRPr="00F76DD5">
        <w:rPr>
          <w:lang w:val="en-US"/>
        </w:rPr>
        <w:t>B</w:t>
      </w:r>
      <w:r w:rsidRPr="00F76DD5">
        <w:rPr>
          <w:lang w:val="en-US"/>
        </w:rPr>
        <w:t>radford</w:t>
      </w:r>
      <w:r w:rsidR="00677731" w:rsidRPr="00F76DD5">
        <w:rPr>
          <w:lang w:val="en-US"/>
        </w:rPr>
        <w:t xml:space="preserve"> (</w:t>
      </w:r>
      <w:r w:rsidRPr="00F76DD5">
        <w:rPr>
          <w:lang w:val="en-US"/>
        </w:rPr>
        <w:t>2015</w:t>
      </w:r>
      <w:r w:rsidR="00677731" w:rsidRPr="00F76DD5">
        <w:rPr>
          <w:lang w:val="en-US"/>
        </w:rPr>
        <w:t>)</w:t>
      </w:r>
      <w:r w:rsidRPr="00F76DD5">
        <w:rPr>
          <w:lang w:val="en-US"/>
        </w:rPr>
        <w:t>; also</w:t>
      </w:r>
      <w:r w:rsidR="00DC27A7" w:rsidRPr="00F76DD5">
        <w:rPr>
          <w:lang w:val="en-US"/>
        </w:rPr>
        <w:t xml:space="preserve"> </w:t>
      </w:r>
      <w:r w:rsidR="00677731" w:rsidRPr="00F76DD5">
        <w:rPr>
          <w:lang w:val="en-US"/>
        </w:rPr>
        <w:t>H</w:t>
      </w:r>
      <w:r w:rsidRPr="00F76DD5">
        <w:rPr>
          <w:lang w:val="en-US"/>
        </w:rPr>
        <w:t>urka</w:t>
      </w:r>
      <w:r w:rsidR="00677731" w:rsidRPr="00F76DD5">
        <w:rPr>
          <w:lang w:val="en-US"/>
        </w:rPr>
        <w:t xml:space="preserve"> (</w:t>
      </w:r>
      <w:r w:rsidRPr="00F76DD5">
        <w:rPr>
          <w:lang w:val="en-US"/>
        </w:rPr>
        <w:t>2015</w:t>
      </w:r>
      <w:r w:rsidR="00677731" w:rsidRPr="00F76DD5">
        <w:rPr>
          <w:lang w:val="en-US"/>
        </w:rPr>
        <w:t>, ch. 5)</w:t>
      </w:r>
      <w:r w:rsidRPr="00F76DD5">
        <w:rPr>
          <w:lang w:val="en-US"/>
        </w:rPr>
        <w:t>.</w:t>
      </w:r>
    </w:p>
  </w:footnote>
  <w:footnote w:id="9">
    <w:p w14:paraId="2725043E" w14:textId="4285BE8D" w:rsidR="00A67086" w:rsidRPr="00F76DD5" w:rsidRDefault="00A67086" w:rsidP="00B703CA">
      <w:pPr>
        <w:pStyle w:val="FootnoteText"/>
        <w:jc w:val="both"/>
        <w:rPr>
          <w:lang w:val="en-US"/>
        </w:rPr>
      </w:pPr>
      <w:r w:rsidRPr="000E5D20">
        <w:rPr>
          <w:rStyle w:val="FootnoteReference"/>
        </w:rPr>
        <w:footnoteRef/>
      </w:r>
      <w:r w:rsidRPr="00F76DD5">
        <w:rPr>
          <w:lang w:val="en-US"/>
        </w:rPr>
        <w:t xml:space="preserve"> Although for a contrary view, see</w:t>
      </w:r>
      <w:r w:rsidR="00DC27A7" w:rsidRPr="00F76DD5">
        <w:rPr>
          <w:lang w:val="en-US"/>
        </w:rPr>
        <w:t xml:space="preserve"> B</w:t>
      </w:r>
      <w:r w:rsidRPr="00F76DD5">
        <w:rPr>
          <w:lang w:val="en-US"/>
        </w:rPr>
        <w:t>radford</w:t>
      </w:r>
      <w:r w:rsidR="00DC27A7" w:rsidRPr="00F76DD5">
        <w:rPr>
          <w:lang w:val="en-US"/>
        </w:rPr>
        <w:t xml:space="preserve"> (</w:t>
      </w:r>
      <w:r w:rsidRPr="00F76DD5">
        <w:rPr>
          <w:lang w:val="en-US"/>
        </w:rPr>
        <w:t>2015</w:t>
      </w:r>
      <w:r w:rsidR="00DC27A7" w:rsidRPr="00F76DD5">
        <w:rPr>
          <w:lang w:val="en-US"/>
        </w:rPr>
        <w:t>, 162</w:t>
      </w:r>
      <w:r w:rsidR="00C873FB" w:rsidRPr="00F76DD5">
        <w:rPr>
          <w:lang w:val="en-US"/>
        </w:rPr>
        <w:t>–</w:t>
      </w:r>
      <w:r w:rsidR="00DC27A7" w:rsidRPr="00F76DD5">
        <w:rPr>
          <w:lang w:val="en-US"/>
        </w:rPr>
        <w:t>70)</w:t>
      </w:r>
      <w:r w:rsidRPr="00F76DD5">
        <w:rPr>
          <w:lang w:val="en-US"/>
        </w:rPr>
        <w:t>.</w:t>
      </w:r>
    </w:p>
  </w:footnote>
  <w:footnote w:id="10">
    <w:p w14:paraId="228A260A" w14:textId="62BD92BF" w:rsidR="00352FD7" w:rsidRPr="00F76DD5" w:rsidRDefault="00352FD7" w:rsidP="00B703CA">
      <w:pPr>
        <w:pStyle w:val="FootnoteText"/>
        <w:jc w:val="both"/>
        <w:rPr>
          <w:lang w:val="en-US"/>
        </w:rPr>
      </w:pPr>
      <w:r w:rsidRPr="000E5D20">
        <w:rPr>
          <w:rStyle w:val="FootnoteReference"/>
        </w:rPr>
        <w:footnoteRef/>
      </w:r>
      <w:r w:rsidRPr="00F76DD5">
        <w:rPr>
          <w:lang w:val="en-US"/>
        </w:rPr>
        <w:t xml:space="preserve"> This example is of course from </w:t>
      </w:r>
      <w:r w:rsidR="00DC2A1D" w:rsidRPr="00F76DD5">
        <w:rPr>
          <w:lang w:val="en-US"/>
        </w:rPr>
        <w:t>R</w:t>
      </w:r>
      <w:r w:rsidRPr="00F76DD5">
        <w:rPr>
          <w:lang w:val="en-US"/>
        </w:rPr>
        <w:t>awls</w:t>
      </w:r>
      <w:r w:rsidR="00DC2A1D" w:rsidRPr="00F76DD5">
        <w:rPr>
          <w:lang w:val="en-US"/>
        </w:rPr>
        <w:t xml:space="preserve"> (</w:t>
      </w:r>
      <w:r w:rsidRPr="00F76DD5">
        <w:rPr>
          <w:lang w:val="en-US"/>
        </w:rPr>
        <w:t>1971</w:t>
      </w:r>
      <w:r w:rsidR="00DC2A1D" w:rsidRPr="00F76DD5">
        <w:rPr>
          <w:lang w:val="en-US"/>
        </w:rPr>
        <w:t>, 379)</w:t>
      </w:r>
      <w:r w:rsidRPr="00F76DD5">
        <w:rPr>
          <w:lang w:val="en-US"/>
        </w:rPr>
        <w:t>.</w:t>
      </w:r>
    </w:p>
  </w:footnote>
  <w:footnote w:id="11">
    <w:p w14:paraId="55828C0D" w14:textId="26A4E1EA" w:rsidR="00085092" w:rsidRPr="00F76DD5" w:rsidRDefault="00085092" w:rsidP="00B703CA">
      <w:pPr>
        <w:pStyle w:val="FootnoteText"/>
        <w:jc w:val="both"/>
        <w:rPr>
          <w:lang w:val="en-US"/>
        </w:rPr>
      </w:pPr>
      <w:r w:rsidRPr="000E5D20">
        <w:rPr>
          <w:rStyle w:val="FootnoteReference"/>
        </w:rPr>
        <w:footnoteRef/>
      </w:r>
      <w:r w:rsidRPr="00F76DD5">
        <w:rPr>
          <w:lang w:val="en-US"/>
        </w:rPr>
        <w:t xml:space="preserve"> The classic statement of this is Aristotle’s </w:t>
      </w:r>
      <w:r w:rsidRPr="00F76DD5">
        <w:rPr>
          <w:i/>
          <w:iCs/>
          <w:lang w:val="en-US"/>
        </w:rPr>
        <w:t>Nicomachean Ethics</w:t>
      </w:r>
      <w:r w:rsidRPr="00F76DD5">
        <w:rPr>
          <w:lang w:val="en-US"/>
        </w:rPr>
        <w:t xml:space="preserve"> (bks. VIII and IX).</w:t>
      </w:r>
    </w:p>
  </w:footnote>
  <w:footnote w:id="12">
    <w:p w14:paraId="78E5C14E" w14:textId="5760AA4C" w:rsidR="00D346B4" w:rsidRPr="00F76DD5" w:rsidRDefault="00D346B4" w:rsidP="00B703CA">
      <w:pPr>
        <w:pStyle w:val="FootnoteText"/>
        <w:jc w:val="both"/>
        <w:rPr>
          <w:lang w:val="en-US"/>
        </w:rPr>
      </w:pPr>
      <w:r w:rsidRPr="000E5D20">
        <w:rPr>
          <w:rStyle w:val="FootnoteReference"/>
        </w:rPr>
        <w:footnoteRef/>
      </w:r>
      <w:r w:rsidRPr="00F76DD5">
        <w:rPr>
          <w:lang w:val="en-US"/>
        </w:rPr>
        <w:t xml:space="preserve"> For an elaboration and defense of this view, see e.g. Hurka (</w:t>
      </w:r>
      <w:r w:rsidR="00C873FB" w:rsidRPr="00F76DD5">
        <w:rPr>
          <w:lang w:val="en-US"/>
        </w:rPr>
        <w:t xml:space="preserve">1993, </w:t>
      </w:r>
      <w:r w:rsidRPr="00F76DD5">
        <w:rPr>
          <w:lang w:val="en-US"/>
        </w:rPr>
        <w:t>chs</w:t>
      </w:r>
      <w:r w:rsidR="00C873FB" w:rsidRPr="00F76DD5">
        <w:rPr>
          <w:lang w:val="en-US"/>
        </w:rPr>
        <w:t>.</w:t>
      </w:r>
      <w:r w:rsidRPr="00F76DD5">
        <w:rPr>
          <w:lang w:val="en-US"/>
        </w:rPr>
        <w:t xml:space="preserve"> 8</w:t>
      </w:r>
      <w:r w:rsidR="00C873FB" w:rsidRPr="00F76DD5">
        <w:rPr>
          <w:lang w:val="en-US"/>
        </w:rPr>
        <w:t>–</w:t>
      </w:r>
      <w:r w:rsidRPr="00F76DD5">
        <w:rPr>
          <w:lang w:val="en-US"/>
        </w:rPr>
        <w:t>10; 2015</w:t>
      </w:r>
      <w:r w:rsidR="00C873FB" w:rsidRPr="00F76DD5">
        <w:rPr>
          <w:lang w:val="en-US"/>
        </w:rPr>
        <w:t>, ch. 4</w:t>
      </w:r>
      <w:r w:rsidRPr="00F76DD5">
        <w:rPr>
          <w:lang w:val="en-US"/>
        </w:rPr>
        <w:t xml:space="preserve">); a classic, extreme instance of this view (with respect to philosophical wisdom in particular) is given in Plato’s </w:t>
      </w:r>
      <w:r w:rsidRPr="00F76DD5">
        <w:rPr>
          <w:i/>
          <w:iCs/>
          <w:lang w:val="en-US"/>
        </w:rPr>
        <w:t>Apology</w:t>
      </w:r>
      <w:r w:rsidRPr="00F76DD5">
        <w:rPr>
          <w:lang w:val="en-US"/>
        </w:rPr>
        <w:t xml:space="preserve"> (esp. 38a).</w:t>
      </w:r>
    </w:p>
  </w:footnote>
  <w:footnote w:id="13">
    <w:p w14:paraId="438B7924" w14:textId="4466FE51" w:rsidR="006E3305" w:rsidRPr="00F76DD5" w:rsidRDefault="006E3305" w:rsidP="00B703CA">
      <w:pPr>
        <w:pStyle w:val="FootnoteText"/>
        <w:jc w:val="both"/>
        <w:rPr>
          <w:lang w:val="en-US"/>
        </w:rPr>
      </w:pPr>
      <w:r w:rsidRPr="000E5D20">
        <w:rPr>
          <w:rStyle w:val="FootnoteReference"/>
        </w:rPr>
        <w:footnoteRef/>
      </w:r>
      <w:r w:rsidRPr="00F76DD5">
        <w:rPr>
          <w:lang w:val="en-US"/>
        </w:rPr>
        <w:t xml:space="preserve"> For a defense of this position, see e.g. Sosa (2007) and Greco (2010).</w:t>
      </w:r>
    </w:p>
  </w:footnote>
  <w:footnote w:id="14">
    <w:p w14:paraId="2DC7271A" w14:textId="1DC185A3" w:rsidR="00B46F8C" w:rsidRPr="00F76DD5" w:rsidRDefault="00B46F8C" w:rsidP="00B703CA">
      <w:pPr>
        <w:pStyle w:val="FootnoteText"/>
        <w:jc w:val="both"/>
        <w:rPr>
          <w:lang w:val="en-US"/>
        </w:rPr>
      </w:pPr>
      <w:r w:rsidRPr="000E5D20">
        <w:rPr>
          <w:rStyle w:val="FootnoteReference"/>
        </w:rPr>
        <w:footnoteRef/>
      </w:r>
      <w:r w:rsidRPr="00F76DD5">
        <w:rPr>
          <w:lang w:val="en-US"/>
        </w:rPr>
        <w:t xml:space="preserve"> M</w:t>
      </w:r>
      <w:r w:rsidR="0078059A" w:rsidRPr="00F76DD5">
        <w:rPr>
          <w:lang w:val="en-US"/>
        </w:rPr>
        <w:t>ø</w:t>
      </w:r>
      <w:r w:rsidRPr="00F76DD5">
        <w:rPr>
          <w:lang w:val="en-US"/>
        </w:rPr>
        <w:t>rch (2020</w:t>
      </w:r>
      <w:r w:rsidR="0078059A" w:rsidRPr="00F76DD5">
        <w:rPr>
          <w:lang w:val="en-US"/>
        </w:rPr>
        <w:t>, 1082–84</w:t>
      </w:r>
      <w:r w:rsidRPr="00F76DD5">
        <w:rPr>
          <w:lang w:val="en-US"/>
        </w:rPr>
        <w:t xml:space="preserve">) </w:t>
      </w:r>
      <w:r w:rsidR="0036110D" w:rsidRPr="00F76DD5">
        <w:rPr>
          <w:lang w:val="en-US"/>
        </w:rPr>
        <w:t>defends</w:t>
      </w:r>
      <w:r w:rsidRPr="00F76DD5">
        <w:rPr>
          <w:lang w:val="en-US"/>
        </w:rPr>
        <w:t xml:space="preserve"> a similar claim.</w:t>
      </w:r>
    </w:p>
  </w:footnote>
  <w:footnote w:id="15">
    <w:p w14:paraId="1DBA4024" w14:textId="54A73D0D" w:rsidR="00BE280F" w:rsidRPr="00F76DD5" w:rsidRDefault="00BE280F" w:rsidP="00B703CA">
      <w:pPr>
        <w:pStyle w:val="FootnoteText"/>
        <w:jc w:val="both"/>
        <w:rPr>
          <w:lang w:val="en-US"/>
        </w:rPr>
      </w:pPr>
      <w:r w:rsidRPr="000E5D20">
        <w:rPr>
          <w:rStyle w:val="FootnoteReference"/>
        </w:rPr>
        <w:footnoteRef/>
      </w:r>
      <w:r w:rsidRPr="00F76DD5">
        <w:rPr>
          <w:lang w:val="en-US"/>
        </w:rPr>
        <w:t xml:space="preserve"> The phenomenological account of pleasures we’re presupposing here is prominent (see e.g. Kagan 1992; Crisp 2006</w:t>
      </w:r>
      <w:r w:rsidR="004D5B1B" w:rsidRPr="00F76DD5">
        <w:rPr>
          <w:lang w:val="en-US"/>
        </w:rPr>
        <w:t>b</w:t>
      </w:r>
      <w:r w:rsidRPr="00F76DD5">
        <w:rPr>
          <w:lang w:val="en-US"/>
        </w:rPr>
        <w:t xml:space="preserve">; Smuts 2011; Bramble 2013). However, our argument can stand even if there’s no common phenomenology of pleasures. Plausibly, there is </w:t>
      </w:r>
      <w:r w:rsidRPr="00F76DD5">
        <w:rPr>
          <w:i/>
          <w:iCs/>
          <w:lang w:val="en-US"/>
        </w:rPr>
        <w:t>some</w:t>
      </w:r>
      <w:r w:rsidRPr="00F76DD5">
        <w:rPr>
          <w:lang w:val="en-US"/>
        </w:rPr>
        <w:t xml:space="preserve"> set of sensations that are impersonally valuable and benefit you because of their phenomenology</w:t>
      </w:r>
      <w:r w:rsidR="00A7203A" w:rsidRPr="00F76DD5">
        <w:rPr>
          <w:lang w:val="en-US"/>
        </w:rPr>
        <w:t xml:space="preserve"> – </w:t>
      </w:r>
      <w:r w:rsidRPr="00F76DD5">
        <w:rPr>
          <w:lang w:val="en-US"/>
        </w:rPr>
        <w:t xml:space="preserve">even if they aren’t your </w:t>
      </w:r>
      <w:r w:rsidR="005C1810" w:rsidRPr="00F76DD5">
        <w:rPr>
          <w:lang w:val="en-US"/>
        </w:rPr>
        <w:t>‘</w:t>
      </w:r>
      <w:r w:rsidRPr="00F76DD5">
        <w:rPr>
          <w:lang w:val="en-US"/>
        </w:rPr>
        <w:t xml:space="preserve">pleasures’. Our argument goes through for them. </w:t>
      </w:r>
    </w:p>
  </w:footnote>
  <w:footnote w:id="16">
    <w:p w14:paraId="6E5DE479" w14:textId="735D554E" w:rsidR="005B383B" w:rsidRPr="00F76DD5" w:rsidRDefault="005B383B" w:rsidP="00B703CA">
      <w:pPr>
        <w:pStyle w:val="FootnoteText"/>
        <w:jc w:val="both"/>
        <w:rPr>
          <w:lang w:val="en-US"/>
        </w:rPr>
      </w:pPr>
      <w:r w:rsidRPr="000E5D20">
        <w:rPr>
          <w:rStyle w:val="FootnoteReference"/>
        </w:rPr>
        <w:footnoteRef/>
      </w:r>
      <w:r w:rsidRPr="00F76DD5">
        <w:rPr>
          <w:lang w:val="en-US"/>
        </w:rPr>
        <w:t xml:space="preserve"> For a modern defense of this, see e.g.</w:t>
      </w:r>
      <w:r w:rsidR="004D5B1B" w:rsidRPr="00F76DD5">
        <w:rPr>
          <w:lang w:val="en-US"/>
        </w:rPr>
        <w:t xml:space="preserve"> Hurka (2015, </w:t>
      </w:r>
      <w:r w:rsidRPr="00F76DD5">
        <w:rPr>
          <w:lang w:val="en-US"/>
        </w:rPr>
        <w:t>ch. 6</w:t>
      </w:r>
      <w:r w:rsidR="004D5B1B" w:rsidRPr="00F76DD5">
        <w:rPr>
          <w:lang w:val="en-US"/>
        </w:rPr>
        <w:t>)</w:t>
      </w:r>
      <w:r w:rsidRPr="00F76DD5">
        <w:rPr>
          <w:lang w:val="en-US"/>
        </w:rPr>
        <w:t xml:space="preserve">; a classic defense of this view is given in Plato’s </w:t>
      </w:r>
      <w:r w:rsidRPr="00F76DD5">
        <w:rPr>
          <w:i/>
          <w:iCs/>
          <w:lang w:val="en-US"/>
        </w:rPr>
        <w:t>Republic</w:t>
      </w:r>
      <w:r w:rsidRPr="00F76DD5">
        <w:rPr>
          <w:lang w:val="en-US"/>
        </w:rPr>
        <w:t xml:space="preserve"> (esp. bk. IV).</w:t>
      </w:r>
    </w:p>
  </w:footnote>
  <w:footnote w:id="17">
    <w:p w14:paraId="6D1D24AD" w14:textId="6B24BB1E" w:rsidR="00B274FD" w:rsidRPr="00F76DD5" w:rsidRDefault="00B274FD" w:rsidP="00B703CA">
      <w:pPr>
        <w:pStyle w:val="FootnoteText"/>
        <w:jc w:val="both"/>
        <w:rPr>
          <w:lang w:val="en-US"/>
        </w:rPr>
      </w:pPr>
      <w:r w:rsidRPr="000E5D20">
        <w:rPr>
          <w:rStyle w:val="FootnoteReference"/>
        </w:rPr>
        <w:footnoteRef/>
      </w:r>
      <w:r w:rsidRPr="00F76DD5">
        <w:rPr>
          <w:lang w:val="en-US"/>
        </w:rPr>
        <w:t xml:space="preserve"> For such an account of virtue, see </w:t>
      </w:r>
      <w:r w:rsidR="00102279" w:rsidRPr="00F76DD5">
        <w:rPr>
          <w:lang w:val="en-US"/>
        </w:rPr>
        <w:t>Hurka (</w:t>
      </w:r>
      <w:r w:rsidRPr="00F76DD5">
        <w:rPr>
          <w:lang w:val="en-US"/>
        </w:rPr>
        <w:t>2001</w:t>
      </w:r>
      <w:r w:rsidR="00102279" w:rsidRPr="00F76DD5">
        <w:rPr>
          <w:lang w:val="en-US"/>
        </w:rPr>
        <w:t>)</w:t>
      </w:r>
      <w:r w:rsidRPr="00F76DD5">
        <w:rPr>
          <w:lang w:val="en-US"/>
        </w:rPr>
        <w:t xml:space="preserve">; for a classical source, see e.g. Augustine’s </w:t>
      </w:r>
      <w:r w:rsidRPr="00F76DD5">
        <w:rPr>
          <w:i/>
          <w:iCs/>
          <w:lang w:val="en-US"/>
        </w:rPr>
        <w:t>City of God</w:t>
      </w:r>
      <w:r w:rsidRPr="00F76DD5">
        <w:rPr>
          <w:lang w:val="en-US"/>
        </w:rPr>
        <w:t xml:space="preserve"> (esp. XV.22).</w:t>
      </w:r>
    </w:p>
  </w:footnote>
  <w:footnote w:id="18">
    <w:p w14:paraId="08564155" w14:textId="7ED60E9E" w:rsidR="00F40328" w:rsidRPr="00F76DD5" w:rsidRDefault="00F40328" w:rsidP="00B703CA">
      <w:pPr>
        <w:pStyle w:val="FootnoteText"/>
        <w:jc w:val="both"/>
        <w:rPr>
          <w:lang w:val="en-US"/>
        </w:rPr>
      </w:pPr>
      <w:r w:rsidRPr="000E5D20">
        <w:rPr>
          <w:rStyle w:val="FootnoteReference"/>
        </w:rPr>
        <w:footnoteRef/>
      </w:r>
      <w:r w:rsidRPr="00F76DD5">
        <w:rPr>
          <w:lang w:val="en-US"/>
        </w:rPr>
        <w:t xml:space="preserve"> For overviews of hedonism and desire satisfactionism, see </w:t>
      </w:r>
      <w:r w:rsidR="00B00DEB" w:rsidRPr="00F76DD5">
        <w:rPr>
          <w:lang w:val="en-US"/>
        </w:rPr>
        <w:t>Gregory (</w:t>
      </w:r>
      <w:r w:rsidR="00D90AD8" w:rsidRPr="00F76DD5">
        <w:rPr>
          <w:lang w:val="en-US"/>
        </w:rPr>
        <w:t>201</w:t>
      </w:r>
      <w:r w:rsidR="00D90AD8">
        <w:rPr>
          <w:lang w:val="en-US"/>
        </w:rPr>
        <w:t>6</w:t>
      </w:r>
      <w:r w:rsidR="00B00DEB" w:rsidRPr="00F76DD5">
        <w:rPr>
          <w:lang w:val="en-US"/>
        </w:rPr>
        <w:t>)</w:t>
      </w:r>
      <w:r w:rsidRPr="00F76DD5">
        <w:rPr>
          <w:lang w:val="en-US"/>
        </w:rPr>
        <w:t xml:space="preserve"> and </w:t>
      </w:r>
      <w:r w:rsidR="00B00DEB" w:rsidRPr="00F76DD5">
        <w:rPr>
          <w:lang w:val="en-US"/>
        </w:rPr>
        <w:t>H</w:t>
      </w:r>
      <w:r w:rsidRPr="00F76DD5">
        <w:rPr>
          <w:lang w:val="en-US"/>
        </w:rPr>
        <w:t>eathwood</w:t>
      </w:r>
      <w:r w:rsidR="00B00DEB" w:rsidRPr="00F76DD5">
        <w:rPr>
          <w:lang w:val="en-US"/>
        </w:rPr>
        <w:t xml:space="preserve"> (</w:t>
      </w:r>
      <w:r w:rsidR="00D90AD8" w:rsidRPr="00F76DD5">
        <w:rPr>
          <w:lang w:val="en-US"/>
        </w:rPr>
        <w:t>201</w:t>
      </w:r>
      <w:r w:rsidR="00D90AD8">
        <w:rPr>
          <w:lang w:val="en-US"/>
        </w:rPr>
        <w:t>6</w:t>
      </w:r>
      <w:r w:rsidR="00B00DEB" w:rsidRPr="00F76DD5">
        <w:rPr>
          <w:lang w:val="en-US"/>
        </w:rPr>
        <w:t>)</w:t>
      </w:r>
      <w:r w:rsidRPr="00F76DD5">
        <w:rPr>
          <w:lang w:val="en-US"/>
        </w:rPr>
        <w:t xml:space="preserve"> respectively.</w:t>
      </w:r>
    </w:p>
  </w:footnote>
  <w:footnote w:id="19">
    <w:p w14:paraId="37BC48DB" w14:textId="77777777" w:rsidR="00394F52" w:rsidRPr="00F76DD5" w:rsidRDefault="00394F52" w:rsidP="00B703CA">
      <w:pPr>
        <w:pStyle w:val="FootnoteText"/>
        <w:jc w:val="both"/>
        <w:rPr>
          <w:lang w:val="en-US"/>
        </w:rPr>
      </w:pPr>
      <w:r w:rsidRPr="000E5D20">
        <w:rPr>
          <w:rStyle w:val="FootnoteReference"/>
        </w:rPr>
        <w:footnoteRef/>
      </w:r>
      <w:r w:rsidRPr="00F76DD5">
        <w:rPr>
          <w:lang w:val="en-US"/>
        </w:rPr>
        <w:t xml:space="preserve"> This argument is of course from Nozick (1974, 42). For responses to it, see Crisp (2006a) or Bramble (2016a; 2016b).</w:t>
      </w:r>
    </w:p>
  </w:footnote>
  <w:footnote w:id="20">
    <w:p w14:paraId="6B185696" w14:textId="77777777" w:rsidR="00FD4F99" w:rsidRPr="00F76DD5" w:rsidRDefault="00FD4F99" w:rsidP="00B703CA">
      <w:pPr>
        <w:pStyle w:val="FootnoteText"/>
        <w:jc w:val="both"/>
        <w:rPr>
          <w:lang w:val="en-US"/>
        </w:rPr>
      </w:pPr>
      <w:r w:rsidRPr="000E5D20">
        <w:rPr>
          <w:rStyle w:val="FootnoteReference"/>
        </w:rPr>
        <w:footnoteRef/>
      </w:r>
      <w:r w:rsidRPr="00F76DD5">
        <w:rPr>
          <w:lang w:val="en-US"/>
        </w:rPr>
        <w:t xml:space="preserve"> For responses to the problem of such desires, see Heathwood (2005) or Bruckner (2016).</w:t>
      </w:r>
    </w:p>
  </w:footnote>
  <w:footnote w:id="21">
    <w:p w14:paraId="5A41D5F1" w14:textId="1903CA64" w:rsidR="00086FD8" w:rsidRPr="00F76DD5" w:rsidRDefault="00086FD8" w:rsidP="00B703CA">
      <w:pPr>
        <w:pStyle w:val="FootnoteText"/>
        <w:jc w:val="both"/>
        <w:rPr>
          <w:lang w:val="en-US"/>
        </w:rPr>
      </w:pPr>
      <w:r w:rsidRPr="000E5D20">
        <w:rPr>
          <w:rStyle w:val="FootnoteReference"/>
        </w:rPr>
        <w:footnoteRef/>
      </w:r>
      <w:r w:rsidRPr="00F76DD5">
        <w:rPr>
          <w:lang w:val="en-US"/>
        </w:rPr>
        <w:t xml:space="preserve"> For examples of objective list theories, see </w:t>
      </w:r>
      <w:r w:rsidR="00713F16" w:rsidRPr="00F76DD5">
        <w:rPr>
          <w:lang w:val="en-US"/>
        </w:rPr>
        <w:t>F</w:t>
      </w:r>
      <w:r w:rsidRPr="00F76DD5">
        <w:rPr>
          <w:lang w:val="en-US"/>
        </w:rPr>
        <w:t>innis</w:t>
      </w:r>
      <w:r w:rsidR="00713F16" w:rsidRPr="00F76DD5">
        <w:rPr>
          <w:lang w:val="en-US"/>
        </w:rPr>
        <w:t xml:space="preserve"> (</w:t>
      </w:r>
      <w:r w:rsidRPr="00F76DD5">
        <w:rPr>
          <w:lang w:val="en-US"/>
        </w:rPr>
        <w:t>1980</w:t>
      </w:r>
      <w:r w:rsidR="00713F16" w:rsidRPr="00F76DD5">
        <w:rPr>
          <w:lang w:val="en-US"/>
        </w:rPr>
        <w:t>, chs. 3–4)</w:t>
      </w:r>
      <w:r w:rsidRPr="00F76DD5">
        <w:rPr>
          <w:lang w:val="en-US"/>
        </w:rPr>
        <w:t xml:space="preserve">, </w:t>
      </w:r>
      <w:r w:rsidR="00713F16" w:rsidRPr="00F76DD5">
        <w:rPr>
          <w:lang w:val="en-US"/>
        </w:rPr>
        <w:t>P</w:t>
      </w:r>
      <w:r w:rsidRPr="00F76DD5">
        <w:rPr>
          <w:lang w:val="en-US"/>
        </w:rPr>
        <w:t>arfit</w:t>
      </w:r>
      <w:r w:rsidR="00713F16" w:rsidRPr="00F76DD5">
        <w:rPr>
          <w:lang w:val="en-US"/>
        </w:rPr>
        <w:t xml:space="preserve"> (</w:t>
      </w:r>
      <w:r w:rsidRPr="00F76DD5">
        <w:rPr>
          <w:lang w:val="en-US"/>
        </w:rPr>
        <w:t>1984</w:t>
      </w:r>
      <w:r w:rsidR="00713F16" w:rsidRPr="00F76DD5">
        <w:rPr>
          <w:lang w:val="en-US"/>
        </w:rPr>
        <w:t>, Appendix I)</w:t>
      </w:r>
      <w:r w:rsidRPr="00F76DD5">
        <w:rPr>
          <w:lang w:val="en-US"/>
        </w:rPr>
        <w:t xml:space="preserve">, </w:t>
      </w:r>
      <w:r w:rsidR="00713F16" w:rsidRPr="00F76DD5">
        <w:rPr>
          <w:lang w:val="en-US"/>
        </w:rPr>
        <w:t>F</w:t>
      </w:r>
      <w:r w:rsidRPr="00F76DD5">
        <w:rPr>
          <w:lang w:val="en-US"/>
        </w:rPr>
        <w:t>letcher</w:t>
      </w:r>
      <w:r w:rsidR="00713F16" w:rsidRPr="00F76DD5">
        <w:rPr>
          <w:lang w:val="en-US"/>
        </w:rPr>
        <w:t xml:space="preserve"> (</w:t>
      </w:r>
      <w:r w:rsidRPr="00F76DD5">
        <w:rPr>
          <w:lang w:val="en-US"/>
        </w:rPr>
        <w:t>2013</w:t>
      </w:r>
      <w:r w:rsidR="00713F16" w:rsidRPr="00F76DD5">
        <w:rPr>
          <w:lang w:val="en-US"/>
        </w:rPr>
        <w:t>)</w:t>
      </w:r>
      <w:r w:rsidRPr="00F76DD5">
        <w:rPr>
          <w:lang w:val="en-US"/>
        </w:rPr>
        <w:t xml:space="preserve"> and </w:t>
      </w:r>
      <w:r w:rsidR="00713F16" w:rsidRPr="00F76DD5">
        <w:rPr>
          <w:lang w:val="en-US"/>
        </w:rPr>
        <w:t>H</w:t>
      </w:r>
      <w:r w:rsidRPr="00F76DD5">
        <w:rPr>
          <w:lang w:val="en-US"/>
        </w:rPr>
        <w:t>ooker</w:t>
      </w:r>
      <w:r w:rsidR="00713F16" w:rsidRPr="00F76DD5">
        <w:rPr>
          <w:lang w:val="en-US"/>
        </w:rPr>
        <w:t xml:space="preserve"> (</w:t>
      </w:r>
      <w:r w:rsidRPr="00F76DD5">
        <w:rPr>
          <w:lang w:val="en-US"/>
        </w:rPr>
        <w:t>2015</w:t>
      </w:r>
      <w:r w:rsidR="00713F16" w:rsidRPr="00F76DD5">
        <w:rPr>
          <w:lang w:val="en-US"/>
        </w:rPr>
        <w:t>)</w:t>
      </w:r>
      <w:r w:rsidRPr="00F76DD5">
        <w:rPr>
          <w:lang w:val="en-US"/>
        </w:rPr>
        <w:t>. None of these exactly coincide with OL, but we think they face the same issues.</w:t>
      </w:r>
    </w:p>
  </w:footnote>
  <w:footnote w:id="22">
    <w:p w14:paraId="71810C96" w14:textId="06354712" w:rsidR="009A580F" w:rsidRPr="00F76DD5" w:rsidRDefault="009A580F" w:rsidP="00B703CA">
      <w:pPr>
        <w:pStyle w:val="FootnoteText"/>
        <w:jc w:val="both"/>
        <w:rPr>
          <w:lang w:val="en-US"/>
        </w:rPr>
      </w:pPr>
      <w:r w:rsidRPr="000E5D20">
        <w:rPr>
          <w:rStyle w:val="FootnoteReference"/>
        </w:rPr>
        <w:footnoteRef/>
      </w:r>
      <w:r w:rsidRPr="00F76DD5">
        <w:rPr>
          <w:lang w:val="en-US"/>
        </w:rPr>
        <w:t xml:space="preserve"> </w:t>
      </w:r>
      <w:r w:rsidR="00FE216C" w:rsidRPr="00F76DD5">
        <w:rPr>
          <w:lang w:val="en-US"/>
        </w:rPr>
        <w:t>S</w:t>
      </w:r>
      <w:r w:rsidRPr="00F76DD5">
        <w:rPr>
          <w:lang w:val="en-US"/>
        </w:rPr>
        <w:t>umner</w:t>
      </w:r>
      <w:r w:rsidR="00FE216C" w:rsidRPr="00F76DD5">
        <w:rPr>
          <w:lang w:val="en-US"/>
        </w:rPr>
        <w:t xml:space="preserve"> (</w:t>
      </w:r>
      <w:r w:rsidRPr="00F76DD5">
        <w:rPr>
          <w:lang w:val="en-US"/>
        </w:rPr>
        <w:t>1996</w:t>
      </w:r>
      <w:r w:rsidR="00FE216C" w:rsidRPr="00F76DD5">
        <w:rPr>
          <w:lang w:val="en-US"/>
        </w:rPr>
        <w:t>, 46)</w:t>
      </w:r>
      <w:r w:rsidRPr="00F76DD5">
        <w:rPr>
          <w:lang w:val="en-US"/>
        </w:rPr>
        <w:t xml:space="preserve"> and </w:t>
      </w:r>
      <w:r w:rsidR="00FE216C" w:rsidRPr="00F76DD5">
        <w:rPr>
          <w:lang w:val="en-US"/>
        </w:rPr>
        <w:t>B</w:t>
      </w:r>
      <w:r w:rsidRPr="00F76DD5">
        <w:rPr>
          <w:lang w:val="en-US"/>
        </w:rPr>
        <w:t>radley</w:t>
      </w:r>
      <w:r w:rsidR="00FE216C" w:rsidRPr="00F76DD5">
        <w:rPr>
          <w:lang w:val="en-US"/>
        </w:rPr>
        <w:t xml:space="preserve"> (</w:t>
      </w:r>
      <w:r w:rsidRPr="00F76DD5">
        <w:rPr>
          <w:lang w:val="en-US"/>
        </w:rPr>
        <w:t>2009</w:t>
      </w:r>
      <w:r w:rsidR="00FE216C" w:rsidRPr="00F76DD5">
        <w:rPr>
          <w:lang w:val="en-US"/>
        </w:rPr>
        <w:t>, 16)</w:t>
      </w:r>
      <w:r w:rsidRPr="00F76DD5">
        <w:rPr>
          <w:lang w:val="en-US"/>
        </w:rPr>
        <w:t xml:space="preserve"> make a similar complaint.</w:t>
      </w:r>
    </w:p>
  </w:footnote>
  <w:footnote w:id="23">
    <w:p w14:paraId="010887F2" w14:textId="74FBBECD" w:rsidR="006167AA" w:rsidRPr="006167AA" w:rsidRDefault="006167AA" w:rsidP="00B703CA">
      <w:pPr>
        <w:pStyle w:val="FootnoteText"/>
        <w:jc w:val="both"/>
        <w:rPr>
          <w:lang w:val="en-GB"/>
        </w:rPr>
      </w:pPr>
      <w:r w:rsidRPr="00F25FD1">
        <w:rPr>
          <w:rStyle w:val="FootnoteReference"/>
        </w:rPr>
        <w:footnoteRef/>
      </w:r>
      <w:r w:rsidRPr="009D3477">
        <w:rPr>
          <w:lang w:val="en-US"/>
        </w:rPr>
        <w:t xml:space="preserve"> </w:t>
      </w:r>
      <w:r>
        <w:rPr>
          <w:lang w:val="en-US"/>
        </w:rPr>
        <w:t xml:space="preserve">One potential strategy for a defender of OL is to turn OL into a ‘locative view’ at this juncture: to say you benefit from an impersonal good if and only if in some sense </w:t>
      </w:r>
      <w:r w:rsidR="003E1437">
        <w:rPr>
          <w:lang w:val="en-US"/>
        </w:rPr>
        <w:t>you share a location</w:t>
      </w:r>
      <w:r>
        <w:rPr>
          <w:lang w:val="en-US"/>
        </w:rPr>
        <w:t xml:space="preserve"> – e.g., if you’re a constituent of it or essentially related to it. We discuss this sort of view in section 6.</w:t>
      </w:r>
    </w:p>
  </w:footnote>
  <w:footnote w:id="24">
    <w:p w14:paraId="0BB2A02A" w14:textId="317D5AAA" w:rsidR="00610C47" w:rsidRPr="00F76DD5" w:rsidRDefault="00610C47" w:rsidP="00B703CA">
      <w:pPr>
        <w:jc w:val="both"/>
        <w:rPr>
          <w:rFonts w:ascii="Garamond" w:hAnsi="Garamond"/>
          <w:sz w:val="20"/>
          <w:szCs w:val="20"/>
          <w:lang w:val="en-US"/>
        </w:rPr>
      </w:pPr>
      <w:r w:rsidRPr="000E5D20">
        <w:rPr>
          <w:rStyle w:val="FootnoteReference"/>
        </w:rPr>
        <w:footnoteRef/>
      </w:r>
      <w:r w:rsidRPr="00F76DD5">
        <w:rPr>
          <w:rFonts w:ascii="Garamond" w:hAnsi="Garamond"/>
          <w:sz w:val="20"/>
          <w:szCs w:val="20"/>
          <w:lang w:val="en-US"/>
        </w:rPr>
        <w:t xml:space="preserve"> </w:t>
      </w:r>
      <w:r w:rsidR="006167AA">
        <w:rPr>
          <w:rFonts w:ascii="Garamond" w:hAnsi="Garamond"/>
          <w:sz w:val="20"/>
          <w:szCs w:val="20"/>
          <w:lang w:val="en-US"/>
        </w:rPr>
        <w:t>O</w:t>
      </w:r>
      <w:r w:rsidR="004A64F2">
        <w:rPr>
          <w:rFonts w:ascii="Garamond" w:hAnsi="Garamond"/>
          <w:sz w:val="20"/>
          <w:szCs w:val="20"/>
          <w:lang w:val="en-US"/>
        </w:rPr>
        <w:t>ne</w:t>
      </w:r>
      <w:r w:rsidR="004A64F2" w:rsidRPr="00F76DD5">
        <w:rPr>
          <w:rFonts w:ascii="Garamond" w:hAnsi="Garamond"/>
          <w:sz w:val="20"/>
          <w:szCs w:val="20"/>
          <w:lang w:val="en-US"/>
        </w:rPr>
        <w:t xml:space="preserve"> </w:t>
      </w:r>
      <w:r w:rsidRPr="00F76DD5">
        <w:rPr>
          <w:rFonts w:ascii="Garamond" w:hAnsi="Garamond"/>
          <w:sz w:val="20"/>
          <w:szCs w:val="20"/>
          <w:lang w:val="en-US"/>
        </w:rPr>
        <w:t>might worry that the Contact Account features a kind of disunity too. For all we’ve said, the impersonal values</w:t>
      </w:r>
      <w:r w:rsidR="00A7203A" w:rsidRPr="00F76DD5">
        <w:rPr>
          <w:rFonts w:ascii="Garamond" w:hAnsi="Garamond"/>
          <w:sz w:val="20"/>
          <w:szCs w:val="20"/>
          <w:lang w:val="en-US"/>
        </w:rPr>
        <w:t xml:space="preserve"> – </w:t>
      </w:r>
      <w:r w:rsidRPr="00F76DD5">
        <w:rPr>
          <w:rFonts w:ascii="Garamond" w:hAnsi="Garamond"/>
          <w:sz w:val="20"/>
          <w:szCs w:val="20"/>
          <w:lang w:val="en-US"/>
        </w:rPr>
        <w:t>the admirable, the sublime, the funny, and so on</w:t>
      </w:r>
      <w:r w:rsidR="00A7203A" w:rsidRPr="00F76DD5">
        <w:rPr>
          <w:rFonts w:ascii="Garamond" w:hAnsi="Garamond"/>
          <w:sz w:val="20"/>
          <w:szCs w:val="20"/>
          <w:lang w:val="en-US"/>
        </w:rPr>
        <w:t xml:space="preserve"> – </w:t>
      </w:r>
      <w:r w:rsidRPr="00F76DD5">
        <w:rPr>
          <w:rFonts w:ascii="Garamond" w:hAnsi="Garamond"/>
          <w:sz w:val="20"/>
          <w:szCs w:val="20"/>
          <w:lang w:val="en-US"/>
        </w:rPr>
        <w:t>might be unified in the thin sense that they all make certain responses appropriate. But they aren’t unified in any deeper way</w:t>
      </w:r>
      <w:r w:rsidR="00A7203A" w:rsidRPr="00F76DD5">
        <w:rPr>
          <w:rFonts w:ascii="Garamond" w:hAnsi="Garamond"/>
          <w:sz w:val="20"/>
          <w:szCs w:val="20"/>
          <w:lang w:val="en-US"/>
        </w:rPr>
        <w:t xml:space="preserve"> – </w:t>
      </w:r>
      <w:r w:rsidRPr="00F76DD5">
        <w:rPr>
          <w:rFonts w:ascii="Garamond" w:hAnsi="Garamond"/>
          <w:sz w:val="20"/>
          <w:szCs w:val="20"/>
          <w:lang w:val="en-US"/>
        </w:rPr>
        <w:t>say, in all ultimately being reducible to the value of pleasure and pain. We agree that, other things equal, it’s preferable to have a more deeply unified account of impersonal value too. And if there is one, the Contact Account can adopt it. But we doubt that any such account even remotely fits our intuitions.</w:t>
      </w:r>
    </w:p>
  </w:footnote>
  <w:footnote w:id="25">
    <w:p w14:paraId="0DB69DFC" w14:textId="711C09C1" w:rsidR="00BE3748" w:rsidRPr="00F76DD5" w:rsidRDefault="00BE3748" w:rsidP="00B703CA">
      <w:pPr>
        <w:pStyle w:val="FootnoteText"/>
        <w:jc w:val="both"/>
        <w:rPr>
          <w:lang w:val="en-US"/>
        </w:rPr>
      </w:pPr>
      <w:r w:rsidRPr="000E5D20">
        <w:rPr>
          <w:rStyle w:val="FootnoteReference"/>
        </w:rPr>
        <w:footnoteRef/>
      </w:r>
      <w:r w:rsidRPr="00F76DD5">
        <w:rPr>
          <w:lang w:val="en-US"/>
        </w:rPr>
        <w:t xml:space="preserve"> For more on this</w:t>
      </w:r>
      <w:r w:rsidR="00E45EFB" w:rsidRPr="00F76DD5">
        <w:rPr>
          <w:lang w:val="en-US"/>
        </w:rPr>
        <w:t xml:space="preserve"> point</w:t>
      </w:r>
      <w:r w:rsidRPr="00F76DD5">
        <w:rPr>
          <w:lang w:val="en-US"/>
        </w:rPr>
        <w:t xml:space="preserve">, see </w:t>
      </w:r>
      <w:r w:rsidR="00716317" w:rsidRPr="00F76DD5">
        <w:rPr>
          <w:lang w:val="en-US"/>
        </w:rPr>
        <w:t>K</w:t>
      </w:r>
      <w:r w:rsidRPr="00F76DD5">
        <w:rPr>
          <w:lang w:val="en-US"/>
        </w:rPr>
        <w:t>agan</w:t>
      </w:r>
      <w:r w:rsidR="00716317" w:rsidRPr="00F76DD5">
        <w:rPr>
          <w:lang w:val="en-US"/>
        </w:rPr>
        <w:t xml:space="preserve"> (</w:t>
      </w:r>
      <w:r w:rsidRPr="00F76DD5">
        <w:rPr>
          <w:lang w:val="en-US"/>
        </w:rPr>
        <w:t>2015</w:t>
      </w:r>
      <w:r w:rsidR="00716317" w:rsidRPr="00F76DD5">
        <w:rPr>
          <w:lang w:val="en-US"/>
        </w:rPr>
        <w:t>)</w:t>
      </w:r>
      <w:r w:rsidR="004C29E0" w:rsidRPr="00F76DD5">
        <w:rPr>
          <w:lang w:val="en-US"/>
        </w:rPr>
        <w:t xml:space="preserve">. For a suggestion, see </w:t>
      </w:r>
      <w:r w:rsidR="00857F9B" w:rsidRPr="00F76DD5">
        <w:rPr>
          <w:lang w:val="en-US"/>
        </w:rPr>
        <w:t xml:space="preserve">Hurka (2020, 599–600). </w:t>
      </w:r>
    </w:p>
  </w:footnote>
  <w:footnote w:id="26">
    <w:p w14:paraId="197D13E0" w14:textId="32B93C97" w:rsidR="0025607C" w:rsidRPr="00F76DD5" w:rsidRDefault="0025607C" w:rsidP="00B703CA">
      <w:pPr>
        <w:pStyle w:val="FootnoteText"/>
        <w:jc w:val="both"/>
        <w:rPr>
          <w:lang w:val="en-US"/>
        </w:rPr>
      </w:pPr>
      <w:r w:rsidRPr="000E5D20">
        <w:rPr>
          <w:rStyle w:val="FootnoteReference"/>
        </w:rPr>
        <w:footnoteRef/>
      </w:r>
      <w:r w:rsidRPr="00F76DD5">
        <w:rPr>
          <w:lang w:val="en-US"/>
        </w:rPr>
        <w:t xml:space="preserve"> Note that we’re only talking about </w:t>
      </w:r>
      <w:r w:rsidR="005C1810" w:rsidRPr="00F76DD5">
        <w:rPr>
          <w:lang w:val="en-US"/>
        </w:rPr>
        <w:t>‘</w:t>
      </w:r>
      <w:r w:rsidRPr="00F76DD5">
        <w:rPr>
          <w:lang w:val="en-US"/>
        </w:rPr>
        <w:t xml:space="preserve">standard’ objective list theories. We’re not sure whether our points apply to </w:t>
      </w:r>
      <w:r w:rsidRPr="00F76DD5">
        <w:rPr>
          <w:i/>
          <w:iCs/>
          <w:lang w:val="en-US"/>
        </w:rPr>
        <w:t>all</w:t>
      </w:r>
      <w:r w:rsidRPr="00F76DD5">
        <w:rPr>
          <w:lang w:val="en-US"/>
        </w:rPr>
        <w:t xml:space="preserve"> such theories. That’s because we’re not sure how best to define this class of views. (For the difficulties of doing so, see e.g. Fletcher</w:t>
      </w:r>
      <w:r w:rsidR="00FC66FE" w:rsidRPr="00F76DD5">
        <w:rPr>
          <w:lang w:val="en-US"/>
        </w:rPr>
        <w:t xml:space="preserve"> </w:t>
      </w:r>
      <w:r w:rsidRPr="00F76DD5">
        <w:rPr>
          <w:lang w:val="en-US"/>
        </w:rPr>
        <w:t xml:space="preserve">2016.) In particular, we’re not sure whether, on the best definition, the Contact Account itself classifies as an objective list theory: one the one hand, the account does say your welfare is determined by objective goods; on the other hand, it doesn’t offer a mere </w:t>
      </w:r>
      <w:r w:rsidRPr="00F76DD5">
        <w:rPr>
          <w:i/>
          <w:iCs/>
          <w:lang w:val="en-US"/>
        </w:rPr>
        <w:t>list</w:t>
      </w:r>
      <w:r w:rsidRPr="00F76DD5">
        <w:rPr>
          <w:lang w:val="en-US"/>
        </w:rPr>
        <w:t xml:space="preserve"> of such goods</w:t>
      </w:r>
      <w:r w:rsidR="00212914" w:rsidRPr="00F76DD5">
        <w:rPr>
          <w:lang w:val="en-US"/>
        </w:rPr>
        <w:t xml:space="preserve"> (cf. Lin 2016, 100)</w:t>
      </w:r>
      <w:r w:rsidRPr="00F76DD5">
        <w:rPr>
          <w:lang w:val="en-US"/>
        </w:rPr>
        <w:t>. Nothing of philosophical importance hinges on this definitional question, so we leave it open here.</w:t>
      </w:r>
    </w:p>
  </w:footnote>
  <w:footnote w:id="27">
    <w:p w14:paraId="48B65DD0" w14:textId="49BDA237" w:rsidR="00215871" w:rsidRPr="00F76DD5" w:rsidRDefault="00215871" w:rsidP="00B703CA">
      <w:pPr>
        <w:pStyle w:val="FootnoteText"/>
        <w:jc w:val="both"/>
        <w:rPr>
          <w:lang w:val="en-US"/>
        </w:rPr>
      </w:pPr>
      <w:r w:rsidRPr="000E5D20">
        <w:rPr>
          <w:rStyle w:val="FootnoteReference"/>
        </w:rPr>
        <w:footnoteRef/>
      </w:r>
      <w:r w:rsidRPr="00F76DD5">
        <w:rPr>
          <w:lang w:val="en-US"/>
        </w:rPr>
        <w:t xml:space="preserve"> There’s a fourth prominent rival: perfectionism</w:t>
      </w:r>
      <w:r w:rsidR="00A7203A" w:rsidRPr="00F76DD5">
        <w:rPr>
          <w:lang w:val="en-US"/>
        </w:rPr>
        <w:t xml:space="preserve"> – </w:t>
      </w:r>
      <w:r w:rsidRPr="00F76DD5">
        <w:rPr>
          <w:lang w:val="en-US"/>
        </w:rPr>
        <w:t xml:space="preserve">the view that the welfare of a member of species </w:t>
      </w:r>
      <w:r w:rsidRPr="00F76DD5">
        <w:rPr>
          <w:i/>
          <w:iCs/>
          <w:lang w:val="en-US"/>
        </w:rPr>
        <w:t>S</w:t>
      </w:r>
      <w:r w:rsidRPr="00F76DD5">
        <w:rPr>
          <w:lang w:val="en-US"/>
        </w:rPr>
        <w:t xml:space="preserve"> consists in the development and exercise of the capacities essential to </w:t>
      </w:r>
      <w:r w:rsidRPr="00F76DD5">
        <w:rPr>
          <w:i/>
          <w:iCs/>
          <w:lang w:val="en-US"/>
        </w:rPr>
        <w:t>S</w:t>
      </w:r>
      <w:r w:rsidRPr="00F76DD5">
        <w:rPr>
          <w:lang w:val="en-US"/>
        </w:rPr>
        <w:t xml:space="preserve"> (see e.g. Hurka 1993; Kraut 2007; also Nussbaum 2011). Perfectionism also faces serious problems. For instance, it seems unable to explain why the life of a perfect human is better than that of a perfect bumblebee: both perfectly develop the capacities essential to their kind. And it seems unable to present an account of our nature that both has plausible welfare-implications and genuine explanatory power (see Dorsey 2010, 65</w:t>
      </w:r>
      <w:r w:rsidR="00FC66FE" w:rsidRPr="00F76DD5">
        <w:rPr>
          <w:lang w:val="en-US"/>
        </w:rPr>
        <w:t>–</w:t>
      </w:r>
      <w:r w:rsidRPr="00F76DD5">
        <w:rPr>
          <w:lang w:val="en-US"/>
        </w:rPr>
        <w:t>68). For what it’s worth, we think the Contact Account is therefore superior to perfectionism as well.</w:t>
      </w:r>
    </w:p>
  </w:footnote>
  <w:footnote w:id="28">
    <w:p w14:paraId="55684CF5" w14:textId="77777777" w:rsidR="004F7741" w:rsidRPr="00F76DD5" w:rsidRDefault="004F7741" w:rsidP="00B703CA">
      <w:pPr>
        <w:pStyle w:val="FootnoteText"/>
        <w:jc w:val="both"/>
        <w:rPr>
          <w:lang w:val="en-US"/>
        </w:rPr>
      </w:pPr>
      <w:r w:rsidRPr="000E5D20">
        <w:rPr>
          <w:rStyle w:val="FootnoteReference"/>
        </w:rPr>
        <w:footnoteRef/>
      </w:r>
      <w:r w:rsidRPr="00F76DD5">
        <w:rPr>
          <w:lang w:val="en-US"/>
        </w:rPr>
        <w:t xml:space="preserve"> For this sort of point, see Railton (1986, 9) or Kagan (2009, 254). For further discussion, see Fletcher (2016, 156–58).</w:t>
      </w:r>
    </w:p>
  </w:footnote>
  <w:footnote w:id="29">
    <w:p w14:paraId="7EB4190F" w14:textId="6F3839BA" w:rsidR="00E5406E" w:rsidRPr="00F76DD5" w:rsidRDefault="00E5406E" w:rsidP="00B703CA">
      <w:pPr>
        <w:pStyle w:val="FootnoteText"/>
        <w:jc w:val="both"/>
        <w:rPr>
          <w:lang w:val="en-US"/>
        </w:rPr>
      </w:pPr>
      <w:r w:rsidRPr="000E5D20">
        <w:rPr>
          <w:rStyle w:val="FootnoteReference"/>
        </w:rPr>
        <w:footnoteRef/>
      </w:r>
      <w:r w:rsidRPr="00F76DD5">
        <w:rPr>
          <w:lang w:val="en-US"/>
        </w:rPr>
        <w:t xml:space="preserve"> Objective list theorists sometimes make a similar point: that many goods involve </w:t>
      </w:r>
      <w:r w:rsidR="009A7E5F" w:rsidRPr="00F76DD5">
        <w:rPr>
          <w:lang w:val="en-US"/>
        </w:rPr>
        <w:t>particular subjective</w:t>
      </w:r>
      <w:r w:rsidRPr="00F76DD5">
        <w:rPr>
          <w:lang w:val="en-US"/>
        </w:rPr>
        <w:t xml:space="preserve"> attitude</w:t>
      </w:r>
      <w:r w:rsidR="009A7E5F" w:rsidRPr="00F76DD5">
        <w:rPr>
          <w:lang w:val="en-US"/>
        </w:rPr>
        <w:t>s. For instance, if you don’t subjective</w:t>
      </w:r>
      <w:r w:rsidR="00986A1F" w:rsidRPr="00F76DD5">
        <w:rPr>
          <w:lang w:val="en-US"/>
        </w:rPr>
        <w:t>ly</w:t>
      </w:r>
      <w:r w:rsidR="009A7E5F" w:rsidRPr="00F76DD5">
        <w:rPr>
          <w:lang w:val="en-US"/>
        </w:rPr>
        <w:t xml:space="preserve"> value another person, you simply aren’t in a friendship </w:t>
      </w:r>
      <w:r w:rsidR="00B17C88" w:rsidRPr="00F76DD5">
        <w:rPr>
          <w:lang w:val="en-US"/>
        </w:rPr>
        <w:t>with</w:t>
      </w:r>
      <w:r w:rsidR="009A7E5F" w:rsidRPr="00F76DD5">
        <w:rPr>
          <w:lang w:val="en-US"/>
        </w:rPr>
        <w:t xml:space="preserve"> them </w:t>
      </w:r>
      <w:r w:rsidR="005C0781" w:rsidRPr="00F76DD5">
        <w:rPr>
          <w:lang w:val="en-US"/>
        </w:rPr>
        <w:t>(</w:t>
      </w:r>
      <w:r w:rsidR="009A7E5F" w:rsidRPr="00F76DD5">
        <w:rPr>
          <w:lang w:val="en-US"/>
        </w:rPr>
        <w:t>see e.g. F</w:t>
      </w:r>
      <w:r w:rsidRPr="00F76DD5">
        <w:rPr>
          <w:lang w:val="en-US"/>
        </w:rPr>
        <w:t xml:space="preserve">letcher 2013). An alternative strategy for both views is of course to </w:t>
      </w:r>
      <w:r w:rsidR="00FB52D2" w:rsidRPr="00F76DD5">
        <w:rPr>
          <w:lang w:val="en-US"/>
        </w:rPr>
        <w:t>adopt a hybrid version of the</w:t>
      </w:r>
      <w:r w:rsidR="0037344F" w:rsidRPr="00F76DD5">
        <w:rPr>
          <w:lang w:val="en-US"/>
        </w:rPr>
        <w:t xml:space="preserve">m </w:t>
      </w:r>
      <w:r w:rsidRPr="00F76DD5">
        <w:rPr>
          <w:lang w:val="en-US"/>
        </w:rPr>
        <w:t xml:space="preserve">(see </w:t>
      </w:r>
      <w:r w:rsidR="00385D39" w:rsidRPr="00F76DD5">
        <w:rPr>
          <w:lang w:val="en-US"/>
        </w:rPr>
        <w:t>Woodard</w:t>
      </w:r>
      <w:r w:rsidRPr="00F76DD5">
        <w:rPr>
          <w:lang w:val="en-US"/>
        </w:rPr>
        <w:t xml:space="preserve"> </w:t>
      </w:r>
      <w:r w:rsidR="00D90AD8" w:rsidRPr="00F76DD5">
        <w:rPr>
          <w:lang w:val="en-US"/>
        </w:rPr>
        <w:t>201</w:t>
      </w:r>
      <w:r w:rsidR="00D90AD8">
        <w:rPr>
          <w:lang w:val="en-US"/>
        </w:rPr>
        <w:t>6</w:t>
      </w:r>
      <w:r w:rsidRPr="00F76DD5">
        <w:rPr>
          <w:lang w:val="en-US"/>
        </w:rPr>
        <w:t xml:space="preserve">). </w:t>
      </w:r>
    </w:p>
  </w:footnote>
  <w:footnote w:id="30">
    <w:p w14:paraId="1CF2F13A" w14:textId="59F80122" w:rsidR="003521C5" w:rsidRPr="00F76DD5" w:rsidRDefault="003521C5" w:rsidP="00B703CA">
      <w:pPr>
        <w:pStyle w:val="FootnoteText"/>
        <w:jc w:val="both"/>
        <w:rPr>
          <w:lang w:val="en-US"/>
        </w:rPr>
      </w:pPr>
      <w:r w:rsidRPr="000E5D20">
        <w:rPr>
          <w:rStyle w:val="FootnoteReference"/>
        </w:rPr>
        <w:footnoteRef/>
      </w:r>
      <w:r w:rsidRPr="00F76DD5">
        <w:rPr>
          <w:lang w:val="en-US"/>
        </w:rPr>
        <w:t xml:space="preserve"> See especially Fletcher (2012) and McDaniel (2014). </w:t>
      </w:r>
      <w:r w:rsidR="00D014AE">
        <w:rPr>
          <w:lang w:val="en-US"/>
        </w:rPr>
        <w:t xml:space="preserve">For critical discussion, see Sumner (1996, </w:t>
      </w:r>
      <w:r w:rsidR="002C0502">
        <w:rPr>
          <w:lang w:val="en-US"/>
        </w:rPr>
        <w:t>46</w:t>
      </w:r>
      <w:r w:rsidR="002C0502" w:rsidRPr="00F76DD5">
        <w:rPr>
          <w:lang w:val="en-US"/>
        </w:rPr>
        <w:t>–</w:t>
      </w:r>
      <w:r w:rsidR="002C0502">
        <w:rPr>
          <w:lang w:val="en-US"/>
        </w:rPr>
        <w:t>53) and Regan (2004).</w:t>
      </w:r>
    </w:p>
  </w:footnote>
  <w:footnote w:id="31">
    <w:p w14:paraId="26BCA0D4" w14:textId="6960E86E" w:rsidR="00CE24E9" w:rsidRPr="00F76DD5" w:rsidRDefault="00CE24E9" w:rsidP="00B703CA">
      <w:pPr>
        <w:pStyle w:val="FootnoteText"/>
        <w:jc w:val="both"/>
        <w:rPr>
          <w:lang w:val="en-US"/>
        </w:rPr>
      </w:pPr>
      <w:r w:rsidRPr="000E5D20">
        <w:rPr>
          <w:rStyle w:val="FootnoteReference"/>
        </w:rPr>
        <w:footnoteRef/>
      </w:r>
      <w:r w:rsidRPr="00F76DD5">
        <w:rPr>
          <w:lang w:val="en-US"/>
        </w:rPr>
        <w:t xml:space="preserve"> We thank an anonymous reviewer for pressing us to clarify this question.</w:t>
      </w:r>
    </w:p>
  </w:footnote>
  <w:footnote w:id="32">
    <w:p w14:paraId="60587408" w14:textId="2FCDE88D" w:rsidR="00F76DD5" w:rsidRPr="00F76DD5" w:rsidRDefault="00F76DD5" w:rsidP="00B703CA">
      <w:pPr>
        <w:pStyle w:val="FootnoteText"/>
        <w:jc w:val="both"/>
        <w:rPr>
          <w:lang w:val="en-US"/>
        </w:rPr>
      </w:pPr>
      <w:r w:rsidRPr="000E5D20">
        <w:rPr>
          <w:rStyle w:val="FootnoteReference"/>
        </w:rPr>
        <w:footnoteRef/>
      </w:r>
      <w:r w:rsidRPr="00F76DD5">
        <w:rPr>
          <w:lang w:val="en-US"/>
        </w:rPr>
        <w:t xml:space="preserve"> Similar worries apply to McDaniel’s </w:t>
      </w:r>
      <w:r>
        <w:rPr>
          <w:lang w:val="en-US"/>
        </w:rPr>
        <w:t xml:space="preserve">(2014) </w:t>
      </w:r>
      <w:r w:rsidRPr="00F76DD5">
        <w:rPr>
          <w:lang w:val="en-US"/>
        </w:rPr>
        <w:t xml:space="preserve">view. </w:t>
      </w:r>
    </w:p>
  </w:footnote>
  <w:footnote w:id="33">
    <w:p w14:paraId="2526DF4C" w14:textId="5BD38AF9" w:rsidR="00F76DD5" w:rsidRPr="00F76DD5" w:rsidRDefault="00F76DD5" w:rsidP="00B703CA">
      <w:pPr>
        <w:pStyle w:val="FootnoteText"/>
        <w:jc w:val="both"/>
        <w:rPr>
          <w:lang w:val="en-GB"/>
        </w:rPr>
      </w:pPr>
      <w:r w:rsidRPr="00F25FD1">
        <w:rPr>
          <w:rStyle w:val="FootnoteReference"/>
        </w:rPr>
        <w:footnoteRef/>
      </w:r>
      <w:r w:rsidRPr="001F4E03">
        <w:rPr>
          <w:lang w:val="en-US"/>
        </w:rPr>
        <w:t xml:space="preserve"> </w:t>
      </w:r>
      <w:r>
        <w:rPr>
          <w:lang w:val="en-GB"/>
        </w:rPr>
        <w:t xml:space="preserve">In fact, this sort of response is probably not open to McDaniel (2014). </w:t>
      </w:r>
      <w:r w:rsidR="001C6FA1">
        <w:rPr>
          <w:lang w:val="en-GB"/>
        </w:rPr>
        <w:t>McDaniel</w:t>
      </w:r>
      <w:r w:rsidR="00093A7A">
        <w:rPr>
          <w:lang w:val="en-GB"/>
        </w:rPr>
        <w:t xml:space="preserve">’s view is </w:t>
      </w:r>
      <w:r w:rsidR="001C6FA1">
        <w:rPr>
          <w:lang w:val="en-GB"/>
        </w:rPr>
        <w:t xml:space="preserve">that something is non-instrumentally good for you iff it’s a </w:t>
      </w:r>
      <w:r w:rsidR="001C6FA1">
        <w:rPr>
          <w:i/>
          <w:iCs/>
          <w:lang w:val="en-GB"/>
        </w:rPr>
        <w:t xml:space="preserve">basically </w:t>
      </w:r>
      <w:r w:rsidR="001C6FA1" w:rsidRPr="002360C5">
        <w:rPr>
          <w:lang w:val="en-GB"/>
        </w:rPr>
        <w:t>intrinsically</w:t>
      </w:r>
      <w:r w:rsidR="001C6FA1">
        <w:rPr>
          <w:i/>
          <w:iCs/>
          <w:lang w:val="en-GB"/>
        </w:rPr>
        <w:t xml:space="preserve"> </w:t>
      </w:r>
      <w:r w:rsidR="001C6FA1">
        <w:rPr>
          <w:lang w:val="en-GB"/>
        </w:rPr>
        <w:t xml:space="preserve">good </w:t>
      </w:r>
      <w:proofErr w:type="gramStart"/>
      <w:r w:rsidR="001C6FA1">
        <w:rPr>
          <w:lang w:val="en-GB"/>
        </w:rPr>
        <w:t>state of affairs</w:t>
      </w:r>
      <w:proofErr w:type="gramEnd"/>
      <w:r w:rsidR="001C6FA1">
        <w:rPr>
          <w:lang w:val="en-GB"/>
        </w:rPr>
        <w:t xml:space="preserve"> of which you are a </w:t>
      </w:r>
      <w:r w:rsidR="00BB2E6B">
        <w:rPr>
          <w:lang w:val="en-GB"/>
        </w:rPr>
        <w:t>constituent</w:t>
      </w:r>
      <w:r w:rsidR="001C6FA1">
        <w:rPr>
          <w:lang w:val="en-GB"/>
        </w:rPr>
        <w:t xml:space="preserve"> (2014, 29). A </w:t>
      </w:r>
      <w:proofErr w:type="gramStart"/>
      <w:r w:rsidR="001C6FA1">
        <w:rPr>
          <w:lang w:val="en-GB"/>
        </w:rPr>
        <w:t>state of affairs</w:t>
      </w:r>
      <w:proofErr w:type="gramEnd"/>
      <w:r w:rsidR="001C6FA1">
        <w:rPr>
          <w:lang w:val="en-GB"/>
        </w:rPr>
        <w:t xml:space="preserve"> is basically </w:t>
      </w:r>
      <w:r w:rsidR="00212ECF">
        <w:rPr>
          <w:lang w:val="en-GB"/>
        </w:rPr>
        <w:t xml:space="preserve">intrinsically </w:t>
      </w:r>
      <w:r w:rsidR="001C6FA1">
        <w:rPr>
          <w:lang w:val="en-GB"/>
        </w:rPr>
        <w:t xml:space="preserve">good just in case it has </w:t>
      </w:r>
      <w:r w:rsidR="00E2710B">
        <w:rPr>
          <w:lang w:val="en-GB"/>
        </w:rPr>
        <w:t>intrinsic</w:t>
      </w:r>
      <w:r w:rsidR="00212ECF">
        <w:rPr>
          <w:lang w:val="en-GB"/>
        </w:rPr>
        <w:t xml:space="preserve"> </w:t>
      </w:r>
      <w:r w:rsidR="001C6FA1">
        <w:rPr>
          <w:lang w:val="en-GB"/>
        </w:rPr>
        <w:t>value</w:t>
      </w:r>
      <w:r w:rsidR="00212ECF">
        <w:rPr>
          <w:lang w:val="en-GB"/>
        </w:rPr>
        <w:t>,</w:t>
      </w:r>
      <w:r w:rsidR="001C6FA1">
        <w:rPr>
          <w:lang w:val="en-GB"/>
        </w:rPr>
        <w:t xml:space="preserve"> but </w:t>
      </w:r>
      <w:r w:rsidR="00212ECF">
        <w:rPr>
          <w:lang w:val="en-GB"/>
        </w:rPr>
        <w:t>‘</w:t>
      </w:r>
      <w:r w:rsidR="001C6FA1">
        <w:rPr>
          <w:lang w:val="en-GB"/>
        </w:rPr>
        <w:t>not in virtue of the intrinsic value of any other state of affairs</w:t>
      </w:r>
      <w:r w:rsidR="0053622D">
        <w:rPr>
          <w:lang w:val="en-GB"/>
        </w:rPr>
        <w:t>’</w:t>
      </w:r>
      <w:r w:rsidR="001C6FA1">
        <w:rPr>
          <w:lang w:val="en-GB"/>
        </w:rPr>
        <w:t xml:space="preserve"> (2014, 27). </w:t>
      </w:r>
      <w:r w:rsidR="00BB2E6B">
        <w:rPr>
          <w:lang w:val="en-GB"/>
        </w:rPr>
        <w:t xml:space="preserve">So </w:t>
      </w:r>
      <w:r w:rsidR="001C6FA1">
        <w:rPr>
          <w:lang w:val="en-GB"/>
        </w:rPr>
        <w:t xml:space="preserve">derivatively good states of affairs, </w:t>
      </w:r>
      <w:r w:rsidR="00BB2E6B">
        <w:rPr>
          <w:lang w:val="en-GB"/>
        </w:rPr>
        <w:t xml:space="preserve">those </w:t>
      </w:r>
      <w:r w:rsidR="001C6FA1">
        <w:rPr>
          <w:lang w:val="en-GB"/>
        </w:rPr>
        <w:t>which are good in virtue of other states of affairs</w:t>
      </w:r>
      <w:r w:rsidR="00212ECF">
        <w:rPr>
          <w:lang w:val="en-GB"/>
        </w:rPr>
        <w:t xml:space="preserve"> being good</w:t>
      </w:r>
      <w:r w:rsidR="001C6FA1">
        <w:rPr>
          <w:lang w:val="en-GB"/>
        </w:rPr>
        <w:t>, cannot be good for anyone. The problem</w:t>
      </w:r>
      <w:r w:rsidR="00093A7A">
        <w:rPr>
          <w:lang w:val="en-GB"/>
        </w:rPr>
        <w:t xml:space="preserve"> with this view</w:t>
      </w:r>
      <w:r w:rsidR="001C6FA1">
        <w:rPr>
          <w:lang w:val="en-GB"/>
        </w:rPr>
        <w:t xml:space="preserve"> is that contributing to malaria eradication, or experiencing a painting, are both </w:t>
      </w:r>
      <w:r w:rsidR="00752B4C">
        <w:rPr>
          <w:lang w:val="en-GB"/>
        </w:rPr>
        <w:t>g</w:t>
      </w:r>
      <w:r w:rsidR="001C6FA1">
        <w:rPr>
          <w:lang w:val="en-GB"/>
        </w:rPr>
        <w:t>ood in virtue of the goodness of other states of affairs. It is good to contribute to eradicating malaria in part because the eradication of malaria is good. It’s good to experience a beautiful painting in part because the painting is beautiful. So</w:t>
      </w:r>
      <w:r w:rsidR="00BB2E6B">
        <w:rPr>
          <w:lang w:val="en-GB"/>
        </w:rPr>
        <w:t xml:space="preserve">, </w:t>
      </w:r>
      <w:r w:rsidR="001C6FA1">
        <w:rPr>
          <w:lang w:val="en-GB"/>
        </w:rPr>
        <w:t xml:space="preserve">achievements and aesthetic experiences </w:t>
      </w:r>
      <w:r w:rsidR="00752B4C">
        <w:rPr>
          <w:lang w:val="en-GB"/>
        </w:rPr>
        <w:t>aren’t</w:t>
      </w:r>
      <w:r w:rsidR="001C6FA1">
        <w:rPr>
          <w:lang w:val="en-GB"/>
        </w:rPr>
        <w:t xml:space="preserve"> basic goods on McDaniel’s account, and so cannot be good for people. Now McDaniel might escape this problem by providing a different notion of basic</w:t>
      </w:r>
      <w:r w:rsidR="00B8690D">
        <w:rPr>
          <w:lang w:val="en-GB"/>
        </w:rPr>
        <w:t>ness</w:t>
      </w:r>
      <w:r w:rsidR="001C6FA1">
        <w:rPr>
          <w:lang w:val="en-GB"/>
        </w:rPr>
        <w:t xml:space="preserve">—perhaps one </w:t>
      </w:r>
      <w:r w:rsidR="00560062">
        <w:rPr>
          <w:lang w:val="en-GB"/>
        </w:rPr>
        <w:t>not</w:t>
      </w:r>
      <w:r w:rsidR="001C6FA1">
        <w:rPr>
          <w:lang w:val="en-GB"/>
        </w:rPr>
        <w:t xml:space="preserve"> understood in terms of the </w:t>
      </w:r>
      <w:r w:rsidR="00212ECF">
        <w:rPr>
          <w:lang w:val="en-GB"/>
        </w:rPr>
        <w:t>‘</w:t>
      </w:r>
      <w:r w:rsidR="001C6FA1" w:rsidRPr="002360C5">
        <w:rPr>
          <w:lang w:val="en-GB"/>
        </w:rPr>
        <w:t>in virtue of</w:t>
      </w:r>
      <w:r w:rsidR="00212ECF">
        <w:rPr>
          <w:lang w:val="en-GB"/>
        </w:rPr>
        <w:t>’</w:t>
      </w:r>
      <w:r w:rsidR="00212ECF">
        <w:rPr>
          <w:i/>
          <w:iCs/>
          <w:lang w:val="en-GB"/>
        </w:rPr>
        <w:t>-</w:t>
      </w:r>
      <w:r w:rsidR="001C6FA1">
        <w:rPr>
          <w:lang w:val="en-GB"/>
        </w:rPr>
        <w:t>relation</w:t>
      </w:r>
      <w:r w:rsidR="00954890">
        <w:rPr>
          <w:lang w:val="en-GB"/>
        </w:rPr>
        <w:t xml:space="preserve">—or </w:t>
      </w:r>
      <w:r w:rsidR="008C4F44">
        <w:rPr>
          <w:lang w:val="en-GB"/>
        </w:rPr>
        <w:t xml:space="preserve">perhaps </w:t>
      </w:r>
      <w:r w:rsidR="00954890">
        <w:rPr>
          <w:lang w:val="en-GB"/>
        </w:rPr>
        <w:t>by dropping the requirement of basicness altogether</w:t>
      </w:r>
      <w:r w:rsidR="001C6FA1">
        <w:rPr>
          <w:lang w:val="en-GB"/>
        </w:rPr>
        <w:t>. But even if such a</w:t>
      </w:r>
      <w:r w:rsidR="00954890">
        <w:rPr>
          <w:lang w:val="en-GB"/>
        </w:rPr>
        <w:t xml:space="preserve"> strategy</w:t>
      </w:r>
      <w:r w:rsidR="001C6FA1">
        <w:rPr>
          <w:lang w:val="en-GB"/>
        </w:rPr>
        <w:t xml:space="preserve"> is viable, </w:t>
      </w:r>
      <w:r w:rsidR="00212ECF">
        <w:rPr>
          <w:lang w:val="en-GB"/>
        </w:rPr>
        <w:t xml:space="preserve">we think </w:t>
      </w:r>
      <w:r w:rsidR="001C6FA1">
        <w:rPr>
          <w:lang w:val="en-GB"/>
        </w:rPr>
        <w:t xml:space="preserve">his view will be subject to </w:t>
      </w:r>
      <w:r w:rsidR="00522585">
        <w:rPr>
          <w:lang w:val="en-GB"/>
        </w:rPr>
        <w:t xml:space="preserve">a version of </w:t>
      </w:r>
      <w:r w:rsidR="001C6FA1">
        <w:rPr>
          <w:lang w:val="en-GB"/>
        </w:rPr>
        <w:t xml:space="preserve">the main objection raised to </w:t>
      </w:r>
      <w:r w:rsidR="00522585">
        <w:rPr>
          <w:lang w:val="en-GB"/>
        </w:rPr>
        <w:t>locative</w:t>
      </w:r>
      <w:r w:rsidR="001C6FA1">
        <w:rPr>
          <w:lang w:val="en-GB"/>
        </w:rPr>
        <w:t xml:space="preserve"> views in the text. </w:t>
      </w:r>
    </w:p>
  </w:footnote>
  <w:footnote w:id="34">
    <w:p w14:paraId="583C2277" w14:textId="471EA74F" w:rsidR="00FF7C21" w:rsidRPr="00F76DD5" w:rsidRDefault="00FF7C21" w:rsidP="00B703CA">
      <w:pPr>
        <w:pStyle w:val="FootnoteText"/>
        <w:jc w:val="both"/>
        <w:rPr>
          <w:lang w:val="en-US"/>
        </w:rPr>
      </w:pPr>
      <w:r w:rsidRPr="000E5D20">
        <w:rPr>
          <w:rStyle w:val="FootnoteReference"/>
        </w:rPr>
        <w:footnoteRef/>
      </w:r>
      <w:r w:rsidRPr="00F76DD5">
        <w:rPr>
          <w:lang w:val="en-US"/>
        </w:rPr>
        <w:t xml:space="preserve"> </w:t>
      </w:r>
      <w:r w:rsidR="00457DA0">
        <w:rPr>
          <w:lang w:val="en-US"/>
        </w:rPr>
        <w:t>Note that the</w:t>
      </w:r>
      <w:r w:rsidR="00457DA0" w:rsidRPr="00F76DD5">
        <w:rPr>
          <w:lang w:val="en-US"/>
        </w:rPr>
        <w:t xml:space="preserve"> </w:t>
      </w:r>
      <w:r w:rsidRPr="00F76DD5">
        <w:rPr>
          <w:lang w:val="en-US"/>
        </w:rPr>
        <w:t xml:space="preserve">worry here is not a general worry about personal good being grounded in impersonal good. This worry is addressed in </w:t>
      </w:r>
      <w:r w:rsidR="00700510" w:rsidRPr="00F76DD5">
        <w:rPr>
          <w:lang w:val="en-US"/>
        </w:rPr>
        <w:t>Fletcher (2012, 12</w:t>
      </w:r>
      <w:r w:rsidR="00457DA0">
        <w:rPr>
          <w:lang w:val="en-US"/>
        </w:rPr>
        <w:t>–</w:t>
      </w:r>
      <w:r w:rsidR="00700510" w:rsidRPr="00F76DD5">
        <w:rPr>
          <w:lang w:val="en-US"/>
        </w:rPr>
        <w:t xml:space="preserve">13), and in any case the Contact Account is often committed to such an order of explanation. The worry is a specific worry about such an explanatory order in the cases under discussion. </w:t>
      </w:r>
    </w:p>
  </w:footnote>
  <w:footnote w:id="35">
    <w:p w14:paraId="1394567A" w14:textId="13BB1EBC" w:rsidR="005A37ED" w:rsidRPr="00F76DD5" w:rsidRDefault="005A37ED" w:rsidP="00B703CA">
      <w:pPr>
        <w:pStyle w:val="FootnoteText"/>
        <w:jc w:val="both"/>
        <w:rPr>
          <w:lang w:val="en-US"/>
        </w:rPr>
      </w:pPr>
      <w:r w:rsidRPr="000E5D20">
        <w:rPr>
          <w:rStyle w:val="FootnoteReference"/>
        </w:rPr>
        <w:footnoteRef/>
      </w:r>
      <w:r w:rsidRPr="00F76DD5">
        <w:rPr>
          <w:lang w:val="en-US"/>
        </w:rPr>
        <w:t xml:space="preserve"> For discussion, see e.g. Fletcher (2012, 17–23) and McDaniel (2014, 30–38)</w:t>
      </w:r>
      <w:r w:rsidR="00DA40CE" w:rsidRPr="00F76DD5">
        <w:rPr>
          <w:lang w:val="en-US"/>
        </w:rPr>
        <w:t>.</w:t>
      </w:r>
      <w:r w:rsidR="003E196E" w:rsidRPr="003E196E">
        <w:rPr>
          <w:lang w:val="en-US"/>
        </w:rPr>
        <w:t xml:space="preserve"> We thank an anonymous reviewer for pressing us to </w:t>
      </w:r>
      <w:r w:rsidR="003E196E">
        <w:rPr>
          <w:lang w:val="en-US"/>
        </w:rPr>
        <w:t>address</w:t>
      </w:r>
      <w:r w:rsidR="003E196E" w:rsidRPr="003E196E">
        <w:rPr>
          <w:lang w:val="en-US"/>
        </w:rPr>
        <w:t xml:space="preserve"> these cases</w:t>
      </w:r>
      <w:r w:rsidR="003E196E">
        <w:rPr>
          <w:lang w:val="en-US"/>
        </w:rPr>
        <w:t xml:space="preserve"> here</w:t>
      </w:r>
      <w:r w:rsidR="003E196E" w:rsidRPr="003E196E">
        <w:rPr>
          <w:lang w:val="en-US"/>
        </w:rPr>
        <w:t xml:space="preserve">. </w:t>
      </w:r>
      <w:r w:rsidRPr="00F76DD5">
        <w:rPr>
          <w:lang w:val="en-US"/>
        </w:rPr>
        <w:t xml:space="preserve"> </w:t>
      </w:r>
    </w:p>
  </w:footnote>
  <w:footnote w:id="36">
    <w:p w14:paraId="7B10B8AD" w14:textId="47CDC70C" w:rsidR="00451629" w:rsidRPr="00F76DD5" w:rsidRDefault="00451629" w:rsidP="00B703CA">
      <w:pPr>
        <w:pStyle w:val="FootnoteText"/>
        <w:jc w:val="both"/>
        <w:rPr>
          <w:lang w:val="en-US"/>
        </w:rPr>
      </w:pPr>
      <w:r w:rsidRPr="000E5D20">
        <w:rPr>
          <w:rStyle w:val="FootnoteReference"/>
        </w:rPr>
        <w:footnoteRef/>
      </w:r>
      <w:r w:rsidRPr="00F76DD5">
        <w:rPr>
          <w:lang w:val="en-US"/>
        </w:rPr>
        <w:t xml:space="preserve"> For different defenses of the thought that the brute suffering of wrongdoers isn’t impersonally good, see e.g. Scanlon (1998, 274</w:t>
      </w:r>
      <w:r w:rsidR="00457DA0">
        <w:rPr>
          <w:lang w:val="en-US"/>
        </w:rPr>
        <w:t>–</w:t>
      </w:r>
      <w:r w:rsidRPr="00F76DD5">
        <w:rPr>
          <w:lang w:val="en-US"/>
        </w:rPr>
        <w:t>277), Parfit (2011, §39) or Tadros (</w:t>
      </w:r>
      <w:r w:rsidRPr="00F76DD5">
        <w:rPr>
          <w:rFonts w:cs="Helvetica"/>
          <w:lang w:val="en-US"/>
        </w:rPr>
        <w:t xml:space="preserve">2011, </w:t>
      </w:r>
      <w:r w:rsidRPr="00F76DD5">
        <w:rPr>
          <w:lang w:val="en-US"/>
        </w:rPr>
        <w:t xml:space="preserve">ch. 4). </w:t>
      </w:r>
    </w:p>
  </w:footnote>
  <w:footnote w:id="37">
    <w:p w14:paraId="08657C43" w14:textId="1A2D47C8" w:rsidR="00451629" w:rsidRPr="00F76DD5" w:rsidRDefault="00451629" w:rsidP="00B703CA">
      <w:pPr>
        <w:pStyle w:val="FootnoteText"/>
        <w:jc w:val="both"/>
        <w:rPr>
          <w:lang w:val="en-US"/>
        </w:rPr>
      </w:pPr>
      <w:r w:rsidRPr="000E5D20">
        <w:rPr>
          <w:rStyle w:val="FootnoteReference"/>
        </w:rPr>
        <w:footnoteRef/>
      </w:r>
      <w:r w:rsidRPr="00F76DD5">
        <w:rPr>
          <w:lang w:val="en-US"/>
        </w:rPr>
        <w:t xml:space="preserve"> For a detailed account of potentially good kinds of suffering, see e.g. Bennett (2002).</w:t>
      </w:r>
    </w:p>
  </w:footnote>
  <w:footnote w:id="38">
    <w:p w14:paraId="040CED14" w14:textId="68E134B1" w:rsidR="00397051" w:rsidRPr="002360C5" w:rsidRDefault="00397051" w:rsidP="002360C5">
      <w:pPr>
        <w:pStyle w:val="FootnoteText"/>
        <w:jc w:val="both"/>
        <w:rPr>
          <w:lang w:val="en-GB"/>
        </w:rPr>
      </w:pPr>
      <w:r>
        <w:rPr>
          <w:rStyle w:val="FootnoteReference"/>
        </w:rPr>
        <w:footnoteRef/>
      </w:r>
      <w:r w:rsidRPr="002360C5">
        <w:rPr>
          <w:lang w:val="en-US"/>
        </w:rPr>
        <w:t xml:space="preserve"> </w:t>
      </w:r>
      <w:r>
        <w:rPr>
          <w:lang w:val="en-GB"/>
        </w:rPr>
        <w:t xml:space="preserve">A more flatfooted way to address these cases is to straightforwardly deny that desert has any axiological </w:t>
      </w:r>
      <w:r w:rsidR="00554C3C">
        <w:rPr>
          <w:lang w:val="en-GB"/>
        </w:rPr>
        <w:t>significance</w:t>
      </w:r>
      <w:r>
        <w:rPr>
          <w:lang w:val="en-GB"/>
        </w:rPr>
        <w:t xml:space="preserve"> at all</w:t>
      </w:r>
      <w:r w:rsidR="00BD7181">
        <w:rPr>
          <w:lang w:val="en-GB"/>
        </w:rPr>
        <w:t xml:space="preserve">: to suggest it’s </w:t>
      </w:r>
      <w:r w:rsidR="00EA57A0">
        <w:rPr>
          <w:lang w:val="en-GB"/>
        </w:rPr>
        <w:t xml:space="preserve">always </w:t>
      </w:r>
      <w:r w:rsidR="00BD7181">
        <w:rPr>
          <w:lang w:val="en-GB"/>
        </w:rPr>
        <w:t>equally bad if the saintly and the wicked suffer</w:t>
      </w:r>
      <w:r w:rsidR="00EA57A0">
        <w:rPr>
          <w:lang w:val="en-GB"/>
        </w:rPr>
        <w:t>, in whatever manner (</w:t>
      </w:r>
      <w:r w:rsidR="00BD7181">
        <w:rPr>
          <w:lang w:val="en-GB"/>
        </w:rPr>
        <w:t>and equally good if they’re happy</w:t>
      </w:r>
      <w:r w:rsidR="00EA57A0">
        <w:rPr>
          <w:lang w:val="en-GB"/>
        </w:rPr>
        <w:t>).</w:t>
      </w:r>
      <w:r>
        <w:rPr>
          <w:lang w:val="en-GB"/>
        </w:rPr>
        <w:t xml:space="preserve"> We</w:t>
      </w:r>
      <w:r w:rsidR="005A3345">
        <w:rPr>
          <w:lang w:val="en-GB"/>
        </w:rPr>
        <w:t xml:space="preserve">’re </w:t>
      </w:r>
      <w:r w:rsidR="00EA57A0">
        <w:rPr>
          <w:lang w:val="en-GB"/>
        </w:rPr>
        <w:t xml:space="preserve">inclined to think this view is too counterintuitive to be </w:t>
      </w:r>
      <w:r w:rsidR="00F77D93">
        <w:rPr>
          <w:lang w:val="en-GB"/>
        </w:rPr>
        <w:t>true</w:t>
      </w:r>
      <w:r w:rsidR="00EA57A0">
        <w:rPr>
          <w:lang w:val="en-GB"/>
        </w:rPr>
        <w:t>. But we’re not sure: the view might well be correct</w:t>
      </w:r>
      <w:r w:rsidR="00F77D93">
        <w:rPr>
          <w:lang w:val="en-GB"/>
        </w:rPr>
        <w:t>; we are open to this position</w:t>
      </w:r>
      <w:r w:rsidR="00EA57A0">
        <w:rPr>
          <w:lang w:val="en-GB"/>
        </w:rPr>
        <w:t xml:space="preserve">. In any case, </w:t>
      </w:r>
      <w:r w:rsidR="005A3345">
        <w:rPr>
          <w:lang w:val="en-GB"/>
        </w:rPr>
        <w:t xml:space="preserve">we want to show the prospects of a more ecumenical view. </w:t>
      </w:r>
      <w:r w:rsidR="00B703CA">
        <w:rPr>
          <w:lang w:val="en-GB"/>
        </w:rPr>
        <w:t>O</w:t>
      </w:r>
      <w:r w:rsidR="00554C3C">
        <w:rPr>
          <w:lang w:val="en-GB"/>
        </w:rPr>
        <w:t xml:space="preserve">ur account is </w:t>
      </w:r>
      <w:proofErr w:type="gramStart"/>
      <w:r w:rsidR="00B703CA">
        <w:rPr>
          <w:lang w:val="en-GB"/>
        </w:rPr>
        <w:t xml:space="preserve">actually </w:t>
      </w:r>
      <w:r w:rsidR="00554C3C">
        <w:rPr>
          <w:lang w:val="en-GB"/>
        </w:rPr>
        <w:t>compatible</w:t>
      </w:r>
      <w:proofErr w:type="gramEnd"/>
      <w:r w:rsidR="00554C3C">
        <w:rPr>
          <w:lang w:val="en-GB"/>
        </w:rPr>
        <w:t xml:space="preserve"> with widely held intuitions about desert. </w:t>
      </w:r>
    </w:p>
  </w:footnote>
  <w:footnote w:id="39">
    <w:p w14:paraId="76BAE11C" w14:textId="0B5B6A73" w:rsidR="00481FFE" w:rsidRPr="00481FFE" w:rsidRDefault="00481FFE">
      <w:pPr>
        <w:pStyle w:val="FootnoteText"/>
        <w:rPr>
          <w:lang w:val="en-GB"/>
        </w:rPr>
      </w:pPr>
      <w:r>
        <w:rPr>
          <w:rStyle w:val="FootnoteReference"/>
        </w:rPr>
        <w:footnoteRef/>
      </w:r>
      <w:r>
        <w:t xml:space="preserve"> </w:t>
      </w:r>
      <w:r>
        <w:rPr>
          <w:lang w:val="en-GB"/>
        </w:rPr>
        <w:t xml:space="preserve">For an application of the contact account to how you ought to live, insofar as commonsense morality is concerned, see our Lovett and Riedener (2024).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D77"/>
    <w:multiLevelType w:val="hybridMultilevel"/>
    <w:tmpl w:val="30186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096B98"/>
    <w:multiLevelType w:val="hybridMultilevel"/>
    <w:tmpl w:val="969691DA"/>
    <w:lvl w:ilvl="0" w:tplc="F34C429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1789803">
    <w:abstractNumId w:val="0"/>
  </w:num>
  <w:num w:numId="2" w16cid:durableId="163933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48"/>
    <w:rsid w:val="000007A6"/>
    <w:rsid w:val="00002F75"/>
    <w:rsid w:val="000059C3"/>
    <w:rsid w:val="0000656D"/>
    <w:rsid w:val="00006BC2"/>
    <w:rsid w:val="00007046"/>
    <w:rsid w:val="0001338B"/>
    <w:rsid w:val="00017CFE"/>
    <w:rsid w:val="00017DC3"/>
    <w:rsid w:val="00021940"/>
    <w:rsid w:val="0002366B"/>
    <w:rsid w:val="00023E32"/>
    <w:rsid w:val="00024836"/>
    <w:rsid w:val="00024D3E"/>
    <w:rsid w:val="0002769A"/>
    <w:rsid w:val="0003489F"/>
    <w:rsid w:val="0004390C"/>
    <w:rsid w:val="00044B47"/>
    <w:rsid w:val="000454E2"/>
    <w:rsid w:val="00047E83"/>
    <w:rsid w:val="000543FE"/>
    <w:rsid w:val="00054DAB"/>
    <w:rsid w:val="000551FB"/>
    <w:rsid w:val="000564A1"/>
    <w:rsid w:val="00057236"/>
    <w:rsid w:val="00061077"/>
    <w:rsid w:val="00064A22"/>
    <w:rsid w:val="00065B93"/>
    <w:rsid w:val="00073F29"/>
    <w:rsid w:val="00074CD3"/>
    <w:rsid w:val="000750E0"/>
    <w:rsid w:val="000757C3"/>
    <w:rsid w:val="000802CF"/>
    <w:rsid w:val="0008167A"/>
    <w:rsid w:val="000818FC"/>
    <w:rsid w:val="00083BC4"/>
    <w:rsid w:val="00085092"/>
    <w:rsid w:val="0008511D"/>
    <w:rsid w:val="00086FD8"/>
    <w:rsid w:val="0008781D"/>
    <w:rsid w:val="0009015D"/>
    <w:rsid w:val="000938FE"/>
    <w:rsid w:val="00093A7A"/>
    <w:rsid w:val="000A090B"/>
    <w:rsid w:val="000A1A25"/>
    <w:rsid w:val="000A6760"/>
    <w:rsid w:val="000B1076"/>
    <w:rsid w:val="000B7924"/>
    <w:rsid w:val="000B7FF7"/>
    <w:rsid w:val="000C1964"/>
    <w:rsid w:val="000D277D"/>
    <w:rsid w:val="000D6628"/>
    <w:rsid w:val="000D704A"/>
    <w:rsid w:val="000D74DE"/>
    <w:rsid w:val="000E04A6"/>
    <w:rsid w:val="000E06F1"/>
    <w:rsid w:val="000E55A6"/>
    <w:rsid w:val="000E5B41"/>
    <w:rsid w:val="000E5C9C"/>
    <w:rsid w:val="000E5D20"/>
    <w:rsid w:val="000E6B91"/>
    <w:rsid w:val="000E74C2"/>
    <w:rsid w:val="000E77B0"/>
    <w:rsid w:val="000F0EB5"/>
    <w:rsid w:val="000F65A6"/>
    <w:rsid w:val="000F6F41"/>
    <w:rsid w:val="00102279"/>
    <w:rsid w:val="00102F14"/>
    <w:rsid w:val="00103B8B"/>
    <w:rsid w:val="00104015"/>
    <w:rsid w:val="0010440C"/>
    <w:rsid w:val="001075EE"/>
    <w:rsid w:val="00130F36"/>
    <w:rsid w:val="00132DF5"/>
    <w:rsid w:val="0013793B"/>
    <w:rsid w:val="001444B8"/>
    <w:rsid w:val="00147055"/>
    <w:rsid w:val="0014734A"/>
    <w:rsid w:val="00156BF1"/>
    <w:rsid w:val="00160167"/>
    <w:rsid w:val="0016705F"/>
    <w:rsid w:val="00171020"/>
    <w:rsid w:val="0017195E"/>
    <w:rsid w:val="001772D4"/>
    <w:rsid w:val="00177E4B"/>
    <w:rsid w:val="00181E55"/>
    <w:rsid w:val="00183712"/>
    <w:rsid w:val="0018476C"/>
    <w:rsid w:val="00185A7D"/>
    <w:rsid w:val="001923DE"/>
    <w:rsid w:val="001946C1"/>
    <w:rsid w:val="0019567E"/>
    <w:rsid w:val="00195CF4"/>
    <w:rsid w:val="001A2E25"/>
    <w:rsid w:val="001A6575"/>
    <w:rsid w:val="001A6FEB"/>
    <w:rsid w:val="001B1289"/>
    <w:rsid w:val="001B5085"/>
    <w:rsid w:val="001B5B84"/>
    <w:rsid w:val="001C328F"/>
    <w:rsid w:val="001C4FA7"/>
    <w:rsid w:val="001C5AA5"/>
    <w:rsid w:val="001C6004"/>
    <w:rsid w:val="001C6786"/>
    <w:rsid w:val="001C6FA1"/>
    <w:rsid w:val="001E35BA"/>
    <w:rsid w:val="001E3B0A"/>
    <w:rsid w:val="001E4BFC"/>
    <w:rsid w:val="001E6C6B"/>
    <w:rsid w:val="001F04D6"/>
    <w:rsid w:val="001F0E6C"/>
    <w:rsid w:val="001F2B1F"/>
    <w:rsid w:val="001F33A1"/>
    <w:rsid w:val="001F4E03"/>
    <w:rsid w:val="001F5851"/>
    <w:rsid w:val="00200BC1"/>
    <w:rsid w:val="0020681E"/>
    <w:rsid w:val="00207821"/>
    <w:rsid w:val="00210FD7"/>
    <w:rsid w:val="00212914"/>
    <w:rsid w:val="00212ECF"/>
    <w:rsid w:val="00215871"/>
    <w:rsid w:val="0022376F"/>
    <w:rsid w:val="00224297"/>
    <w:rsid w:val="00226EE9"/>
    <w:rsid w:val="00227145"/>
    <w:rsid w:val="00227623"/>
    <w:rsid w:val="00227682"/>
    <w:rsid w:val="002311C0"/>
    <w:rsid w:val="002312D7"/>
    <w:rsid w:val="002320ED"/>
    <w:rsid w:val="00234A1B"/>
    <w:rsid w:val="00234C48"/>
    <w:rsid w:val="002360C5"/>
    <w:rsid w:val="002447B8"/>
    <w:rsid w:val="00244B39"/>
    <w:rsid w:val="00246CFC"/>
    <w:rsid w:val="0025607C"/>
    <w:rsid w:val="00256851"/>
    <w:rsid w:val="00257C74"/>
    <w:rsid w:val="00260853"/>
    <w:rsid w:val="0026293C"/>
    <w:rsid w:val="0026316E"/>
    <w:rsid w:val="00267F1A"/>
    <w:rsid w:val="00270AF1"/>
    <w:rsid w:val="00270C59"/>
    <w:rsid w:val="00270F8A"/>
    <w:rsid w:val="00276434"/>
    <w:rsid w:val="00280705"/>
    <w:rsid w:val="0028080F"/>
    <w:rsid w:val="00281AAE"/>
    <w:rsid w:val="00284BD3"/>
    <w:rsid w:val="00287C56"/>
    <w:rsid w:val="00290711"/>
    <w:rsid w:val="0029384F"/>
    <w:rsid w:val="002960B0"/>
    <w:rsid w:val="00296AD6"/>
    <w:rsid w:val="0029734B"/>
    <w:rsid w:val="002976D7"/>
    <w:rsid w:val="002A0508"/>
    <w:rsid w:val="002A244A"/>
    <w:rsid w:val="002A2D76"/>
    <w:rsid w:val="002A40C1"/>
    <w:rsid w:val="002A4890"/>
    <w:rsid w:val="002A5406"/>
    <w:rsid w:val="002A6642"/>
    <w:rsid w:val="002B0943"/>
    <w:rsid w:val="002B0F0C"/>
    <w:rsid w:val="002B2F1A"/>
    <w:rsid w:val="002B5460"/>
    <w:rsid w:val="002B5690"/>
    <w:rsid w:val="002C0502"/>
    <w:rsid w:val="002C2E74"/>
    <w:rsid w:val="002C6268"/>
    <w:rsid w:val="002C71A3"/>
    <w:rsid w:val="002C74CD"/>
    <w:rsid w:val="002D2316"/>
    <w:rsid w:val="002D3023"/>
    <w:rsid w:val="002D6D7E"/>
    <w:rsid w:val="002D7F04"/>
    <w:rsid w:val="002E3647"/>
    <w:rsid w:val="002E381C"/>
    <w:rsid w:val="002E485C"/>
    <w:rsid w:val="002E75DD"/>
    <w:rsid w:val="002F058C"/>
    <w:rsid w:val="002F20B9"/>
    <w:rsid w:val="00307E05"/>
    <w:rsid w:val="00311163"/>
    <w:rsid w:val="00313649"/>
    <w:rsid w:val="00315121"/>
    <w:rsid w:val="00316DC6"/>
    <w:rsid w:val="00317914"/>
    <w:rsid w:val="00317B0B"/>
    <w:rsid w:val="0032331A"/>
    <w:rsid w:val="00324093"/>
    <w:rsid w:val="00325C4B"/>
    <w:rsid w:val="0032708B"/>
    <w:rsid w:val="0033029F"/>
    <w:rsid w:val="0034035F"/>
    <w:rsid w:val="00340BA1"/>
    <w:rsid w:val="003426D8"/>
    <w:rsid w:val="00344B1A"/>
    <w:rsid w:val="003455D0"/>
    <w:rsid w:val="003465C3"/>
    <w:rsid w:val="00347252"/>
    <w:rsid w:val="003521C5"/>
    <w:rsid w:val="0035281E"/>
    <w:rsid w:val="00352FD7"/>
    <w:rsid w:val="003536A5"/>
    <w:rsid w:val="00355328"/>
    <w:rsid w:val="0036110D"/>
    <w:rsid w:val="00362D1C"/>
    <w:rsid w:val="003654FC"/>
    <w:rsid w:val="00365B4B"/>
    <w:rsid w:val="003660D7"/>
    <w:rsid w:val="003662ED"/>
    <w:rsid w:val="003708FE"/>
    <w:rsid w:val="0037344F"/>
    <w:rsid w:val="0037378E"/>
    <w:rsid w:val="003769DF"/>
    <w:rsid w:val="00385D39"/>
    <w:rsid w:val="00393429"/>
    <w:rsid w:val="00393C4C"/>
    <w:rsid w:val="00394F52"/>
    <w:rsid w:val="0039704A"/>
    <w:rsid w:val="00397051"/>
    <w:rsid w:val="003A6D72"/>
    <w:rsid w:val="003B0D33"/>
    <w:rsid w:val="003B7156"/>
    <w:rsid w:val="003C37C5"/>
    <w:rsid w:val="003C557E"/>
    <w:rsid w:val="003D0329"/>
    <w:rsid w:val="003D1EDC"/>
    <w:rsid w:val="003D23F0"/>
    <w:rsid w:val="003E1437"/>
    <w:rsid w:val="003E196E"/>
    <w:rsid w:val="003E51A3"/>
    <w:rsid w:val="003E5678"/>
    <w:rsid w:val="003E63E1"/>
    <w:rsid w:val="003F4837"/>
    <w:rsid w:val="003F497B"/>
    <w:rsid w:val="003F4A62"/>
    <w:rsid w:val="003F5EF5"/>
    <w:rsid w:val="00401434"/>
    <w:rsid w:val="0040622D"/>
    <w:rsid w:val="004169F9"/>
    <w:rsid w:val="00417949"/>
    <w:rsid w:val="0042265B"/>
    <w:rsid w:val="00426847"/>
    <w:rsid w:val="00437477"/>
    <w:rsid w:val="00440919"/>
    <w:rsid w:val="00441E92"/>
    <w:rsid w:val="00446B45"/>
    <w:rsid w:val="00450B00"/>
    <w:rsid w:val="00450F51"/>
    <w:rsid w:val="00451629"/>
    <w:rsid w:val="00454B90"/>
    <w:rsid w:val="00457DA0"/>
    <w:rsid w:val="00462642"/>
    <w:rsid w:val="00465D82"/>
    <w:rsid w:val="00471BA8"/>
    <w:rsid w:val="00471E8E"/>
    <w:rsid w:val="00473906"/>
    <w:rsid w:val="00481FFE"/>
    <w:rsid w:val="00483665"/>
    <w:rsid w:val="004868CC"/>
    <w:rsid w:val="00486A24"/>
    <w:rsid w:val="00491995"/>
    <w:rsid w:val="00491F76"/>
    <w:rsid w:val="0049211B"/>
    <w:rsid w:val="00493904"/>
    <w:rsid w:val="004940C1"/>
    <w:rsid w:val="004A2E5A"/>
    <w:rsid w:val="004A430F"/>
    <w:rsid w:val="004A64F2"/>
    <w:rsid w:val="004B1550"/>
    <w:rsid w:val="004B24A2"/>
    <w:rsid w:val="004C115B"/>
    <w:rsid w:val="004C29E0"/>
    <w:rsid w:val="004C2C82"/>
    <w:rsid w:val="004C4B04"/>
    <w:rsid w:val="004C5DA1"/>
    <w:rsid w:val="004D0C9D"/>
    <w:rsid w:val="004D181B"/>
    <w:rsid w:val="004D5B1B"/>
    <w:rsid w:val="004D7184"/>
    <w:rsid w:val="004D757F"/>
    <w:rsid w:val="004D75F4"/>
    <w:rsid w:val="004E2672"/>
    <w:rsid w:val="004F565C"/>
    <w:rsid w:val="004F7741"/>
    <w:rsid w:val="00516D62"/>
    <w:rsid w:val="00522585"/>
    <w:rsid w:val="0052666F"/>
    <w:rsid w:val="00527208"/>
    <w:rsid w:val="00530CFE"/>
    <w:rsid w:val="00532766"/>
    <w:rsid w:val="00534B12"/>
    <w:rsid w:val="00534FA4"/>
    <w:rsid w:val="0053622D"/>
    <w:rsid w:val="00537853"/>
    <w:rsid w:val="00541D19"/>
    <w:rsid w:val="00544745"/>
    <w:rsid w:val="00545315"/>
    <w:rsid w:val="00550DBD"/>
    <w:rsid w:val="00551868"/>
    <w:rsid w:val="00554BC4"/>
    <w:rsid w:val="00554C3C"/>
    <w:rsid w:val="00555631"/>
    <w:rsid w:val="00555DBE"/>
    <w:rsid w:val="00560062"/>
    <w:rsid w:val="00560581"/>
    <w:rsid w:val="00561065"/>
    <w:rsid w:val="00561BEB"/>
    <w:rsid w:val="00566FFF"/>
    <w:rsid w:val="005670AE"/>
    <w:rsid w:val="00567CA0"/>
    <w:rsid w:val="00572009"/>
    <w:rsid w:val="00573368"/>
    <w:rsid w:val="00575067"/>
    <w:rsid w:val="00577C6F"/>
    <w:rsid w:val="00582262"/>
    <w:rsid w:val="0058427B"/>
    <w:rsid w:val="0058667C"/>
    <w:rsid w:val="00596864"/>
    <w:rsid w:val="005A13A7"/>
    <w:rsid w:val="005A2428"/>
    <w:rsid w:val="005A3345"/>
    <w:rsid w:val="005A3797"/>
    <w:rsid w:val="005A37ED"/>
    <w:rsid w:val="005A3DE8"/>
    <w:rsid w:val="005A7306"/>
    <w:rsid w:val="005B083F"/>
    <w:rsid w:val="005B2433"/>
    <w:rsid w:val="005B2F8E"/>
    <w:rsid w:val="005B383B"/>
    <w:rsid w:val="005B3CE7"/>
    <w:rsid w:val="005B4004"/>
    <w:rsid w:val="005B6552"/>
    <w:rsid w:val="005C0781"/>
    <w:rsid w:val="005C0890"/>
    <w:rsid w:val="005C1810"/>
    <w:rsid w:val="005C5FB3"/>
    <w:rsid w:val="005D3ADD"/>
    <w:rsid w:val="005D6A61"/>
    <w:rsid w:val="005F183D"/>
    <w:rsid w:val="005F2105"/>
    <w:rsid w:val="005F242D"/>
    <w:rsid w:val="005F27E3"/>
    <w:rsid w:val="005F32EE"/>
    <w:rsid w:val="005F375D"/>
    <w:rsid w:val="005F4587"/>
    <w:rsid w:val="005F631C"/>
    <w:rsid w:val="005F7B3E"/>
    <w:rsid w:val="00605D91"/>
    <w:rsid w:val="006063A1"/>
    <w:rsid w:val="00610C47"/>
    <w:rsid w:val="00611A46"/>
    <w:rsid w:val="00612028"/>
    <w:rsid w:val="006167AA"/>
    <w:rsid w:val="00621525"/>
    <w:rsid w:val="00625B98"/>
    <w:rsid w:val="00630FBF"/>
    <w:rsid w:val="00635064"/>
    <w:rsid w:val="00636D5D"/>
    <w:rsid w:val="006428C4"/>
    <w:rsid w:val="0064314A"/>
    <w:rsid w:val="006432A3"/>
    <w:rsid w:val="00646B5D"/>
    <w:rsid w:val="00650E53"/>
    <w:rsid w:val="006612B0"/>
    <w:rsid w:val="00663333"/>
    <w:rsid w:val="006636F8"/>
    <w:rsid w:val="00664654"/>
    <w:rsid w:val="00666243"/>
    <w:rsid w:val="00667749"/>
    <w:rsid w:val="0066780F"/>
    <w:rsid w:val="00671C33"/>
    <w:rsid w:val="00677731"/>
    <w:rsid w:val="006839AF"/>
    <w:rsid w:val="00684D62"/>
    <w:rsid w:val="0068624E"/>
    <w:rsid w:val="006A0503"/>
    <w:rsid w:val="006A4A90"/>
    <w:rsid w:val="006A5AC7"/>
    <w:rsid w:val="006B3F04"/>
    <w:rsid w:val="006C50C9"/>
    <w:rsid w:val="006C5546"/>
    <w:rsid w:val="006C6869"/>
    <w:rsid w:val="006D61EF"/>
    <w:rsid w:val="006D6DF8"/>
    <w:rsid w:val="006E3305"/>
    <w:rsid w:val="006E5059"/>
    <w:rsid w:val="006E63B8"/>
    <w:rsid w:val="006E6E51"/>
    <w:rsid w:val="006F15BD"/>
    <w:rsid w:val="00700510"/>
    <w:rsid w:val="0070330E"/>
    <w:rsid w:val="00704ADD"/>
    <w:rsid w:val="00707FD3"/>
    <w:rsid w:val="007127E7"/>
    <w:rsid w:val="00713F16"/>
    <w:rsid w:val="007147A6"/>
    <w:rsid w:val="0071616A"/>
    <w:rsid w:val="00716317"/>
    <w:rsid w:val="00717391"/>
    <w:rsid w:val="007200B9"/>
    <w:rsid w:val="00721E50"/>
    <w:rsid w:val="007270FE"/>
    <w:rsid w:val="00731561"/>
    <w:rsid w:val="007336F9"/>
    <w:rsid w:val="007349C5"/>
    <w:rsid w:val="007364D9"/>
    <w:rsid w:val="00737B62"/>
    <w:rsid w:val="00737CE1"/>
    <w:rsid w:val="00741093"/>
    <w:rsid w:val="00741DDA"/>
    <w:rsid w:val="0074261C"/>
    <w:rsid w:val="00743794"/>
    <w:rsid w:val="0074493F"/>
    <w:rsid w:val="00744C15"/>
    <w:rsid w:val="00747A4F"/>
    <w:rsid w:val="007507D4"/>
    <w:rsid w:val="0075104B"/>
    <w:rsid w:val="00752B4C"/>
    <w:rsid w:val="00752FD3"/>
    <w:rsid w:val="00761E6C"/>
    <w:rsid w:val="007638B1"/>
    <w:rsid w:val="00765806"/>
    <w:rsid w:val="00767910"/>
    <w:rsid w:val="00772A7C"/>
    <w:rsid w:val="00772BAE"/>
    <w:rsid w:val="0078059A"/>
    <w:rsid w:val="00780657"/>
    <w:rsid w:val="00780A3C"/>
    <w:rsid w:val="007854EC"/>
    <w:rsid w:val="00786AE6"/>
    <w:rsid w:val="007913A0"/>
    <w:rsid w:val="00791924"/>
    <w:rsid w:val="007935B9"/>
    <w:rsid w:val="007936A3"/>
    <w:rsid w:val="00797D38"/>
    <w:rsid w:val="007A1276"/>
    <w:rsid w:val="007A29CF"/>
    <w:rsid w:val="007A4C67"/>
    <w:rsid w:val="007A6951"/>
    <w:rsid w:val="007B0C75"/>
    <w:rsid w:val="007B57A9"/>
    <w:rsid w:val="007B5822"/>
    <w:rsid w:val="007B6BD0"/>
    <w:rsid w:val="007B75C2"/>
    <w:rsid w:val="007C5554"/>
    <w:rsid w:val="007C5714"/>
    <w:rsid w:val="007D00E2"/>
    <w:rsid w:val="007D0A78"/>
    <w:rsid w:val="007D0ED2"/>
    <w:rsid w:val="007D2BA2"/>
    <w:rsid w:val="007D4298"/>
    <w:rsid w:val="007D68E3"/>
    <w:rsid w:val="007D6D6C"/>
    <w:rsid w:val="007E205D"/>
    <w:rsid w:val="007E3E10"/>
    <w:rsid w:val="007E5D8A"/>
    <w:rsid w:val="007E622D"/>
    <w:rsid w:val="007E72DA"/>
    <w:rsid w:val="007F0F6B"/>
    <w:rsid w:val="00801792"/>
    <w:rsid w:val="00801E32"/>
    <w:rsid w:val="008025C1"/>
    <w:rsid w:val="00804008"/>
    <w:rsid w:val="00804134"/>
    <w:rsid w:val="00806C67"/>
    <w:rsid w:val="008075E9"/>
    <w:rsid w:val="0081140F"/>
    <w:rsid w:val="00811844"/>
    <w:rsid w:val="00820BD5"/>
    <w:rsid w:val="00820BEF"/>
    <w:rsid w:val="00820BFF"/>
    <w:rsid w:val="00821D65"/>
    <w:rsid w:val="00826872"/>
    <w:rsid w:val="00826A58"/>
    <w:rsid w:val="008333B0"/>
    <w:rsid w:val="008333EF"/>
    <w:rsid w:val="00833557"/>
    <w:rsid w:val="00833AA8"/>
    <w:rsid w:val="008341A2"/>
    <w:rsid w:val="00835178"/>
    <w:rsid w:val="008401D3"/>
    <w:rsid w:val="00841DCF"/>
    <w:rsid w:val="008463E4"/>
    <w:rsid w:val="00850DC4"/>
    <w:rsid w:val="00852002"/>
    <w:rsid w:val="00852B2B"/>
    <w:rsid w:val="00853596"/>
    <w:rsid w:val="00857F9B"/>
    <w:rsid w:val="0086508B"/>
    <w:rsid w:val="00866DAA"/>
    <w:rsid w:val="00870DA9"/>
    <w:rsid w:val="00874814"/>
    <w:rsid w:val="0087496E"/>
    <w:rsid w:val="008751A5"/>
    <w:rsid w:val="00877B86"/>
    <w:rsid w:val="008821DE"/>
    <w:rsid w:val="008822C9"/>
    <w:rsid w:val="00882FD5"/>
    <w:rsid w:val="00886165"/>
    <w:rsid w:val="008864E7"/>
    <w:rsid w:val="0089274D"/>
    <w:rsid w:val="008A0F61"/>
    <w:rsid w:val="008A6031"/>
    <w:rsid w:val="008B2172"/>
    <w:rsid w:val="008B6306"/>
    <w:rsid w:val="008B6680"/>
    <w:rsid w:val="008B76CB"/>
    <w:rsid w:val="008C16B2"/>
    <w:rsid w:val="008C17AF"/>
    <w:rsid w:val="008C208B"/>
    <w:rsid w:val="008C37FA"/>
    <w:rsid w:val="008C3C5B"/>
    <w:rsid w:val="008C3ED9"/>
    <w:rsid w:val="008C4F44"/>
    <w:rsid w:val="008C5557"/>
    <w:rsid w:val="008D348A"/>
    <w:rsid w:val="008D480C"/>
    <w:rsid w:val="008D5845"/>
    <w:rsid w:val="008E018C"/>
    <w:rsid w:val="008E1B0C"/>
    <w:rsid w:val="008F01CB"/>
    <w:rsid w:val="008F6A3E"/>
    <w:rsid w:val="0090244F"/>
    <w:rsid w:val="009060A1"/>
    <w:rsid w:val="00914592"/>
    <w:rsid w:val="00915CAA"/>
    <w:rsid w:val="0092019D"/>
    <w:rsid w:val="00920262"/>
    <w:rsid w:val="0092298C"/>
    <w:rsid w:val="009276C2"/>
    <w:rsid w:val="00932A13"/>
    <w:rsid w:val="0093340E"/>
    <w:rsid w:val="00933DC0"/>
    <w:rsid w:val="00935D41"/>
    <w:rsid w:val="009379B0"/>
    <w:rsid w:val="00940AC6"/>
    <w:rsid w:val="0094128A"/>
    <w:rsid w:val="00944575"/>
    <w:rsid w:val="00950709"/>
    <w:rsid w:val="009514D0"/>
    <w:rsid w:val="00951DA1"/>
    <w:rsid w:val="00953222"/>
    <w:rsid w:val="00954890"/>
    <w:rsid w:val="00961247"/>
    <w:rsid w:val="009626CC"/>
    <w:rsid w:val="00963515"/>
    <w:rsid w:val="00964BA1"/>
    <w:rsid w:val="00964E35"/>
    <w:rsid w:val="00965A44"/>
    <w:rsid w:val="00971E57"/>
    <w:rsid w:val="00972CE0"/>
    <w:rsid w:val="0097553D"/>
    <w:rsid w:val="009823C8"/>
    <w:rsid w:val="00983269"/>
    <w:rsid w:val="009869C3"/>
    <w:rsid w:val="00986A1F"/>
    <w:rsid w:val="009935BE"/>
    <w:rsid w:val="0099609B"/>
    <w:rsid w:val="009A25CD"/>
    <w:rsid w:val="009A580F"/>
    <w:rsid w:val="009A5F13"/>
    <w:rsid w:val="009A6E09"/>
    <w:rsid w:val="009A7264"/>
    <w:rsid w:val="009A7B60"/>
    <w:rsid w:val="009A7E5F"/>
    <w:rsid w:val="009B17F2"/>
    <w:rsid w:val="009B4CD8"/>
    <w:rsid w:val="009C24C4"/>
    <w:rsid w:val="009C36C3"/>
    <w:rsid w:val="009C3A57"/>
    <w:rsid w:val="009C7267"/>
    <w:rsid w:val="009D3477"/>
    <w:rsid w:val="009D3A5B"/>
    <w:rsid w:val="009D576A"/>
    <w:rsid w:val="009D78C6"/>
    <w:rsid w:val="009D7C02"/>
    <w:rsid w:val="009E4DDA"/>
    <w:rsid w:val="009F1C22"/>
    <w:rsid w:val="009F57B0"/>
    <w:rsid w:val="009F5C21"/>
    <w:rsid w:val="009F6810"/>
    <w:rsid w:val="009F7C2C"/>
    <w:rsid w:val="00A02671"/>
    <w:rsid w:val="00A05AA5"/>
    <w:rsid w:val="00A12D5B"/>
    <w:rsid w:val="00A179C2"/>
    <w:rsid w:val="00A2174E"/>
    <w:rsid w:val="00A235FB"/>
    <w:rsid w:val="00A249BE"/>
    <w:rsid w:val="00A27973"/>
    <w:rsid w:val="00A27AA2"/>
    <w:rsid w:val="00A3007D"/>
    <w:rsid w:val="00A32285"/>
    <w:rsid w:val="00A3343B"/>
    <w:rsid w:val="00A35BBA"/>
    <w:rsid w:val="00A35CBD"/>
    <w:rsid w:val="00A36142"/>
    <w:rsid w:val="00A42781"/>
    <w:rsid w:val="00A4470B"/>
    <w:rsid w:val="00A461C9"/>
    <w:rsid w:val="00A47EEA"/>
    <w:rsid w:val="00A515BE"/>
    <w:rsid w:val="00A5334C"/>
    <w:rsid w:val="00A551B5"/>
    <w:rsid w:val="00A60858"/>
    <w:rsid w:val="00A61E46"/>
    <w:rsid w:val="00A62FA0"/>
    <w:rsid w:val="00A64030"/>
    <w:rsid w:val="00A67086"/>
    <w:rsid w:val="00A67928"/>
    <w:rsid w:val="00A7203A"/>
    <w:rsid w:val="00A738F4"/>
    <w:rsid w:val="00A77964"/>
    <w:rsid w:val="00A82DDE"/>
    <w:rsid w:val="00A8453F"/>
    <w:rsid w:val="00A87C81"/>
    <w:rsid w:val="00A92A75"/>
    <w:rsid w:val="00AA5184"/>
    <w:rsid w:val="00AA52CE"/>
    <w:rsid w:val="00AA5A3F"/>
    <w:rsid w:val="00AA6E0A"/>
    <w:rsid w:val="00AA77F1"/>
    <w:rsid w:val="00AB1056"/>
    <w:rsid w:val="00AB1E6B"/>
    <w:rsid w:val="00AB2490"/>
    <w:rsid w:val="00AB42CE"/>
    <w:rsid w:val="00AB466F"/>
    <w:rsid w:val="00AB53FB"/>
    <w:rsid w:val="00AB7418"/>
    <w:rsid w:val="00AC1E64"/>
    <w:rsid w:val="00AC24DE"/>
    <w:rsid w:val="00AD0BCD"/>
    <w:rsid w:val="00AD1AB7"/>
    <w:rsid w:val="00AD2272"/>
    <w:rsid w:val="00AD43A9"/>
    <w:rsid w:val="00AD4A47"/>
    <w:rsid w:val="00AE2A3E"/>
    <w:rsid w:val="00AE33FA"/>
    <w:rsid w:val="00AE396D"/>
    <w:rsid w:val="00AF2892"/>
    <w:rsid w:val="00AF5882"/>
    <w:rsid w:val="00AF65DC"/>
    <w:rsid w:val="00B00DEB"/>
    <w:rsid w:val="00B01D5A"/>
    <w:rsid w:val="00B03B24"/>
    <w:rsid w:val="00B07A55"/>
    <w:rsid w:val="00B1117C"/>
    <w:rsid w:val="00B12B58"/>
    <w:rsid w:val="00B12DD1"/>
    <w:rsid w:val="00B131E1"/>
    <w:rsid w:val="00B14D1D"/>
    <w:rsid w:val="00B151EC"/>
    <w:rsid w:val="00B15E82"/>
    <w:rsid w:val="00B17C88"/>
    <w:rsid w:val="00B208BB"/>
    <w:rsid w:val="00B24D11"/>
    <w:rsid w:val="00B25061"/>
    <w:rsid w:val="00B26828"/>
    <w:rsid w:val="00B274FD"/>
    <w:rsid w:val="00B30B37"/>
    <w:rsid w:val="00B3156D"/>
    <w:rsid w:val="00B31CF5"/>
    <w:rsid w:val="00B338FE"/>
    <w:rsid w:val="00B34D7A"/>
    <w:rsid w:val="00B360E9"/>
    <w:rsid w:val="00B40407"/>
    <w:rsid w:val="00B40840"/>
    <w:rsid w:val="00B420CA"/>
    <w:rsid w:val="00B43016"/>
    <w:rsid w:val="00B43EC3"/>
    <w:rsid w:val="00B443A0"/>
    <w:rsid w:val="00B44E7D"/>
    <w:rsid w:val="00B46F8C"/>
    <w:rsid w:val="00B53A8F"/>
    <w:rsid w:val="00B61793"/>
    <w:rsid w:val="00B64222"/>
    <w:rsid w:val="00B67F08"/>
    <w:rsid w:val="00B703CA"/>
    <w:rsid w:val="00B73ED2"/>
    <w:rsid w:val="00B75CCD"/>
    <w:rsid w:val="00B767BC"/>
    <w:rsid w:val="00B76DB0"/>
    <w:rsid w:val="00B77213"/>
    <w:rsid w:val="00B823F4"/>
    <w:rsid w:val="00B84E37"/>
    <w:rsid w:val="00B8690D"/>
    <w:rsid w:val="00B86E3D"/>
    <w:rsid w:val="00B938AB"/>
    <w:rsid w:val="00B941C4"/>
    <w:rsid w:val="00B970F6"/>
    <w:rsid w:val="00BA0F27"/>
    <w:rsid w:val="00BA223E"/>
    <w:rsid w:val="00BA3715"/>
    <w:rsid w:val="00BA7FD4"/>
    <w:rsid w:val="00BB1280"/>
    <w:rsid w:val="00BB1992"/>
    <w:rsid w:val="00BB2E6B"/>
    <w:rsid w:val="00BB3D1F"/>
    <w:rsid w:val="00BB5B9A"/>
    <w:rsid w:val="00BB789D"/>
    <w:rsid w:val="00BC4BD8"/>
    <w:rsid w:val="00BD292A"/>
    <w:rsid w:val="00BD2C36"/>
    <w:rsid w:val="00BD7181"/>
    <w:rsid w:val="00BD7296"/>
    <w:rsid w:val="00BE23B1"/>
    <w:rsid w:val="00BE280F"/>
    <w:rsid w:val="00BE2C32"/>
    <w:rsid w:val="00BE3748"/>
    <w:rsid w:val="00BE50F3"/>
    <w:rsid w:val="00BE64F0"/>
    <w:rsid w:val="00BE7149"/>
    <w:rsid w:val="00BE7706"/>
    <w:rsid w:val="00BF2AD7"/>
    <w:rsid w:val="00BF450C"/>
    <w:rsid w:val="00BF5830"/>
    <w:rsid w:val="00BF5F96"/>
    <w:rsid w:val="00C033B7"/>
    <w:rsid w:val="00C041C6"/>
    <w:rsid w:val="00C0611D"/>
    <w:rsid w:val="00C109C9"/>
    <w:rsid w:val="00C10D05"/>
    <w:rsid w:val="00C1284C"/>
    <w:rsid w:val="00C216E4"/>
    <w:rsid w:val="00C218A0"/>
    <w:rsid w:val="00C233C4"/>
    <w:rsid w:val="00C242AD"/>
    <w:rsid w:val="00C26F7E"/>
    <w:rsid w:val="00C30240"/>
    <w:rsid w:val="00C309B2"/>
    <w:rsid w:val="00C30CDC"/>
    <w:rsid w:val="00C31B44"/>
    <w:rsid w:val="00C3258B"/>
    <w:rsid w:val="00C3493F"/>
    <w:rsid w:val="00C34D15"/>
    <w:rsid w:val="00C35BAF"/>
    <w:rsid w:val="00C44827"/>
    <w:rsid w:val="00C507F9"/>
    <w:rsid w:val="00C569CD"/>
    <w:rsid w:val="00C6137C"/>
    <w:rsid w:val="00C61AAC"/>
    <w:rsid w:val="00C62CEC"/>
    <w:rsid w:val="00C63B6D"/>
    <w:rsid w:val="00C72D8F"/>
    <w:rsid w:val="00C74B80"/>
    <w:rsid w:val="00C75E27"/>
    <w:rsid w:val="00C76979"/>
    <w:rsid w:val="00C81107"/>
    <w:rsid w:val="00C8588C"/>
    <w:rsid w:val="00C873FB"/>
    <w:rsid w:val="00C87771"/>
    <w:rsid w:val="00C91AB3"/>
    <w:rsid w:val="00C93005"/>
    <w:rsid w:val="00C93430"/>
    <w:rsid w:val="00C9404F"/>
    <w:rsid w:val="00C9630C"/>
    <w:rsid w:val="00CA2F65"/>
    <w:rsid w:val="00CA38E7"/>
    <w:rsid w:val="00CB0725"/>
    <w:rsid w:val="00CB1C79"/>
    <w:rsid w:val="00CB3043"/>
    <w:rsid w:val="00CB6328"/>
    <w:rsid w:val="00CB6472"/>
    <w:rsid w:val="00CB6F8A"/>
    <w:rsid w:val="00CC1E52"/>
    <w:rsid w:val="00CC5BBC"/>
    <w:rsid w:val="00CC7F23"/>
    <w:rsid w:val="00CD3DF7"/>
    <w:rsid w:val="00CD67B4"/>
    <w:rsid w:val="00CD707D"/>
    <w:rsid w:val="00CE111C"/>
    <w:rsid w:val="00CE24E9"/>
    <w:rsid w:val="00CE750F"/>
    <w:rsid w:val="00CF69B1"/>
    <w:rsid w:val="00D00F9A"/>
    <w:rsid w:val="00D014AE"/>
    <w:rsid w:val="00D0612F"/>
    <w:rsid w:val="00D0653C"/>
    <w:rsid w:val="00D06E2A"/>
    <w:rsid w:val="00D12B60"/>
    <w:rsid w:val="00D135BF"/>
    <w:rsid w:val="00D137D5"/>
    <w:rsid w:val="00D16748"/>
    <w:rsid w:val="00D2005B"/>
    <w:rsid w:val="00D212C1"/>
    <w:rsid w:val="00D2319C"/>
    <w:rsid w:val="00D245A5"/>
    <w:rsid w:val="00D24F2E"/>
    <w:rsid w:val="00D252B2"/>
    <w:rsid w:val="00D3066A"/>
    <w:rsid w:val="00D3131A"/>
    <w:rsid w:val="00D3143C"/>
    <w:rsid w:val="00D31C15"/>
    <w:rsid w:val="00D346B4"/>
    <w:rsid w:val="00D36723"/>
    <w:rsid w:val="00D4325A"/>
    <w:rsid w:val="00D45BFE"/>
    <w:rsid w:val="00D467A5"/>
    <w:rsid w:val="00D47E96"/>
    <w:rsid w:val="00D502C6"/>
    <w:rsid w:val="00D5132C"/>
    <w:rsid w:val="00D5338F"/>
    <w:rsid w:val="00D53C1B"/>
    <w:rsid w:val="00D53DD1"/>
    <w:rsid w:val="00D54BEA"/>
    <w:rsid w:val="00D55B21"/>
    <w:rsid w:val="00D60B54"/>
    <w:rsid w:val="00D60E7E"/>
    <w:rsid w:val="00D61B10"/>
    <w:rsid w:val="00D61FF5"/>
    <w:rsid w:val="00D62724"/>
    <w:rsid w:val="00D63B6F"/>
    <w:rsid w:val="00D65396"/>
    <w:rsid w:val="00D65D3B"/>
    <w:rsid w:val="00D70093"/>
    <w:rsid w:val="00D71FB0"/>
    <w:rsid w:val="00D80041"/>
    <w:rsid w:val="00D82C4E"/>
    <w:rsid w:val="00D83CBA"/>
    <w:rsid w:val="00D843BC"/>
    <w:rsid w:val="00D84588"/>
    <w:rsid w:val="00D902F7"/>
    <w:rsid w:val="00D90AD8"/>
    <w:rsid w:val="00D9152C"/>
    <w:rsid w:val="00D94E88"/>
    <w:rsid w:val="00D9782F"/>
    <w:rsid w:val="00DA40CE"/>
    <w:rsid w:val="00DA41B6"/>
    <w:rsid w:val="00DA44F1"/>
    <w:rsid w:val="00DA663C"/>
    <w:rsid w:val="00DB0691"/>
    <w:rsid w:val="00DB76EA"/>
    <w:rsid w:val="00DC27A7"/>
    <w:rsid w:val="00DC2A1D"/>
    <w:rsid w:val="00DC3861"/>
    <w:rsid w:val="00DC55F4"/>
    <w:rsid w:val="00DC78B4"/>
    <w:rsid w:val="00DD1440"/>
    <w:rsid w:val="00DD1FDA"/>
    <w:rsid w:val="00DD7BF3"/>
    <w:rsid w:val="00DE1C9E"/>
    <w:rsid w:val="00DE3FEC"/>
    <w:rsid w:val="00DE4C49"/>
    <w:rsid w:val="00DE5B7D"/>
    <w:rsid w:val="00DF1441"/>
    <w:rsid w:val="00DF372D"/>
    <w:rsid w:val="00DF6E86"/>
    <w:rsid w:val="00E00245"/>
    <w:rsid w:val="00E02CBD"/>
    <w:rsid w:val="00E03042"/>
    <w:rsid w:val="00E07D5D"/>
    <w:rsid w:val="00E07F24"/>
    <w:rsid w:val="00E10850"/>
    <w:rsid w:val="00E108B9"/>
    <w:rsid w:val="00E14E43"/>
    <w:rsid w:val="00E20EB0"/>
    <w:rsid w:val="00E210C4"/>
    <w:rsid w:val="00E228A3"/>
    <w:rsid w:val="00E251C0"/>
    <w:rsid w:val="00E2710B"/>
    <w:rsid w:val="00E310C3"/>
    <w:rsid w:val="00E3343B"/>
    <w:rsid w:val="00E33BF7"/>
    <w:rsid w:val="00E409F5"/>
    <w:rsid w:val="00E41090"/>
    <w:rsid w:val="00E41705"/>
    <w:rsid w:val="00E42EA6"/>
    <w:rsid w:val="00E45EFB"/>
    <w:rsid w:val="00E47485"/>
    <w:rsid w:val="00E504EC"/>
    <w:rsid w:val="00E53248"/>
    <w:rsid w:val="00E5406E"/>
    <w:rsid w:val="00E56356"/>
    <w:rsid w:val="00E64549"/>
    <w:rsid w:val="00E73C3C"/>
    <w:rsid w:val="00E74073"/>
    <w:rsid w:val="00E771AD"/>
    <w:rsid w:val="00E8705E"/>
    <w:rsid w:val="00E90165"/>
    <w:rsid w:val="00E90336"/>
    <w:rsid w:val="00E914F7"/>
    <w:rsid w:val="00E93A70"/>
    <w:rsid w:val="00E97E1B"/>
    <w:rsid w:val="00E97E75"/>
    <w:rsid w:val="00EA0815"/>
    <w:rsid w:val="00EA17EF"/>
    <w:rsid w:val="00EA3F76"/>
    <w:rsid w:val="00EA3F8D"/>
    <w:rsid w:val="00EA57A0"/>
    <w:rsid w:val="00EB325D"/>
    <w:rsid w:val="00EB47AA"/>
    <w:rsid w:val="00EB509B"/>
    <w:rsid w:val="00EB5BB3"/>
    <w:rsid w:val="00EB6692"/>
    <w:rsid w:val="00EB6C9E"/>
    <w:rsid w:val="00EB73DC"/>
    <w:rsid w:val="00EC0637"/>
    <w:rsid w:val="00ED17EB"/>
    <w:rsid w:val="00ED222A"/>
    <w:rsid w:val="00ED55C1"/>
    <w:rsid w:val="00EE068B"/>
    <w:rsid w:val="00EE26EB"/>
    <w:rsid w:val="00EE2B0F"/>
    <w:rsid w:val="00EE3BBC"/>
    <w:rsid w:val="00EE6D1C"/>
    <w:rsid w:val="00EE7340"/>
    <w:rsid w:val="00EF284A"/>
    <w:rsid w:val="00EF5C5D"/>
    <w:rsid w:val="00F0201F"/>
    <w:rsid w:val="00F02CF4"/>
    <w:rsid w:val="00F04F00"/>
    <w:rsid w:val="00F07680"/>
    <w:rsid w:val="00F105D3"/>
    <w:rsid w:val="00F116AF"/>
    <w:rsid w:val="00F140AF"/>
    <w:rsid w:val="00F15F48"/>
    <w:rsid w:val="00F171EA"/>
    <w:rsid w:val="00F21711"/>
    <w:rsid w:val="00F22E87"/>
    <w:rsid w:val="00F2561B"/>
    <w:rsid w:val="00F25FD1"/>
    <w:rsid w:val="00F26E9F"/>
    <w:rsid w:val="00F27AA3"/>
    <w:rsid w:val="00F27BB5"/>
    <w:rsid w:val="00F31D06"/>
    <w:rsid w:val="00F321A7"/>
    <w:rsid w:val="00F33D29"/>
    <w:rsid w:val="00F3562F"/>
    <w:rsid w:val="00F36902"/>
    <w:rsid w:val="00F3769E"/>
    <w:rsid w:val="00F40328"/>
    <w:rsid w:val="00F41356"/>
    <w:rsid w:val="00F4168E"/>
    <w:rsid w:val="00F41AC0"/>
    <w:rsid w:val="00F45C86"/>
    <w:rsid w:val="00F47410"/>
    <w:rsid w:val="00F53B72"/>
    <w:rsid w:val="00F553C9"/>
    <w:rsid w:val="00F57721"/>
    <w:rsid w:val="00F57A26"/>
    <w:rsid w:val="00F615FB"/>
    <w:rsid w:val="00F61893"/>
    <w:rsid w:val="00F66501"/>
    <w:rsid w:val="00F72633"/>
    <w:rsid w:val="00F727D8"/>
    <w:rsid w:val="00F7474D"/>
    <w:rsid w:val="00F752EA"/>
    <w:rsid w:val="00F76292"/>
    <w:rsid w:val="00F76DD5"/>
    <w:rsid w:val="00F77D93"/>
    <w:rsid w:val="00F827CD"/>
    <w:rsid w:val="00F8488F"/>
    <w:rsid w:val="00F848ED"/>
    <w:rsid w:val="00F850F1"/>
    <w:rsid w:val="00F85CEE"/>
    <w:rsid w:val="00F878D8"/>
    <w:rsid w:val="00F94CB9"/>
    <w:rsid w:val="00F95297"/>
    <w:rsid w:val="00F95EFA"/>
    <w:rsid w:val="00FA5852"/>
    <w:rsid w:val="00FA5884"/>
    <w:rsid w:val="00FA7A41"/>
    <w:rsid w:val="00FB14F3"/>
    <w:rsid w:val="00FB4014"/>
    <w:rsid w:val="00FB52D2"/>
    <w:rsid w:val="00FC37E3"/>
    <w:rsid w:val="00FC6053"/>
    <w:rsid w:val="00FC66FE"/>
    <w:rsid w:val="00FD1889"/>
    <w:rsid w:val="00FD4F99"/>
    <w:rsid w:val="00FD51E2"/>
    <w:rsid w:val="00FE216C"/>
    <w:rsid w:val="00FE27CB"/>
    <w:rsid w:val="00FE2965"/>
    <w:rsid w:val="00FE58CE"/>
    <w:rsid w:val="00FE5F15"/>
    <w:rsid w:val="00FF1B0C"/>
    <w:rsid w:val="00FF52CD"/>
    <w:rsid w:val="00FF63B2"/>
    <w:rsid w:val="00FF7C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4F5AE3"/>
  <w15:chartTrackingRefBased/>
  <w15:docId w15:val="{BAA1EEAE-B860-6C44-B524-289176AC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92"/>
    <w:pPr>
      <w:ind w:left="720"/>
      <w:contextualSpacing/>
    </w:pPr>
  </w:style>
  <w:style w:type="paragraph" w:styleId="Footer">
    <w:name w:val="footer"/>
    <w:basedOn w:val="Normal"/>
    <w:link w:val="FooterChar"/>
    <w:uiPriority w:val="99"/>
    <w:unhideWhenUsed/>
    <w:rsid w:val="00870DA9"/>
    <w:pPr>
      <w:tabs>
        <w:tab w:val="center" w:pos="4536"/>
        <w:tab w:val="right" w:pos="9072"/>
      </w:tabs>
    </w:pPr>
  </w:style>
  <w:style w:type="character" w:customStyle="1" w:styleId="FooterChar">
    <w:name w:val="Footer Char"/>
    <w:basedOn w:val="DefaultParagraphFont"/>
    <w:link w:val="Footer"/>
    <w:uiPriority w:val="99"/>
    <w:rsid w:val="00870DA9"/>
  </w:style>
  <w:style w:type="character" w:styleId="PageNumber">
    <w:name w:val="page number"/>
    <w:basedOn w:val="DefaultParagraphFont"/>
    <w:uiPriority w:val="99"/>
    <w:semiHidden/>
    <w:unhideWhenUsed/>
    <w:rsid w:val="00870DA9"/>
  </w:style>
  <w:style w:type="paragraph" w:styleId="Header">
    <w:name w:val="header"/>
    <w:basedOn w:val="Normal"/>
    <w:link w:val="HeaderChar"/>
    <w:uiPriority w:val="99"/>
    <w:unhideWhenUsed/>
    <w:rsid w:val="00870DA9"/>
    <w:pPr>
      <w:tabs>
        <w:tab w:val="center" w:pos="4536"/>
        <w:tab w:val="right" w:pos="9072"/>
      </w:tabs>
    </w:pPr>
  </w:style>
  <w:style w:type="character" w:customStyle="1" w:styleId="HeaderChar">
    <w:name w:val="Header Char"/>
    <w:basedOn w:val="DefaultParagraphFont"/>
    <w:link w:val="Header"/>
    <w:uiPriority w:val="99"/>
    <w:rsid w:val="00870DA9"/>
  </w:style>
  <w:style w:type="paragraph" w:styleId="FootnoteText">
    <w:name w:val="footnote text"/>
    <w:basedOn w:val="Normal"/>
    <w:link w:val="FootnoteTextChar"/>
    <w:uiPriority w:val="99"/>
    <w:semiHidden/>
    <w:unhideWhenUsed/>
    <w:rsid w:val="00F76DD5"/>
    <w:rPr>
      <w:rFonts w:ascii="Garamond" w:hAnsi="Garamond"/>
      <w:sz w:val="20"/>
      <w:szCs w:val="20"/>
    </w:rPr>
  </w:style>
  <w:style w:type="character" w:customStyle="1" w:styleId="FootnoteTextChar">
    <w:name w:val="Footnote Text Char"/>
    <w:basedOn w:val="DefaultParagraphFont"/>
    <w:link w:val="FootnoteText"/>
    <w:uiPriority w:val="99"/>
    <w:semiHidden/>
    <w:rsid w:val="00F76DD5"/>
    <w:rPr>
      <w:rFonts w:ascii="Garamond" w:hAnsi="Garamond"/>
      <w:sz w:val="20"/>
      <w:szCs w:val="20"/>
    </w:rPr>
  </w:style>
  <w:style w:type="character" w:styleId="FootnoteReference">
    <w:name w:val="footnote reference"/>
    <w:basedOn w:val="DefaultParagraphFont"/>
    <w:uiPriority w:val="99"/>
    <w:semiHidden/>
    <w:unhideWhenUsed/>
    <w:rsid w:val="00F25FD1"/>
    <w:rPr>
      <w:rFonts w:ascii="Garamond" w:hAnsi="Garamond"/>
      <w:sz w:val="20"/>
      <w:vertAlign w:val="superscript"/>
    </w:rPr>
  </w:style>
  <w:style w:type="paragraph" w:styleId="Revision">
    <w:name w:val="Revision"/>
    <w:hidden/>
    <w:uiPriority w:val="99"/>
    <w:semiHidden/>
    <w:rsid w:val="007E205D"/>
  </w:style>
  <w:style w:type="character" w:styleId="CommentReference">
    <w:name w:val="annotation reference"/>
    <w:basedOn w:val="DefaultParagraphFont"/>
    <w:uiPriority w:val="99"/>
    <w:semiHidden/>
    <w:unhideWhenUsed/>
    <w:rsid w:val="00CB6472"/>
    <w:rPr>
      <w:sz w:val="16"/>
      <w:szCs w:val="16"/>
    </w:rPr>
  </w:style>
  <w:style w:type="paragraph" w:styleId="CommentText">
    <w:name w:val="annotation text"/>
    <w:basedOn w:val="Normal"/>
    <w:link w:val="CommentTextChar"/>
    <w:uiPriority w:val="99"/>
    <w:semiHidden/>
    <w:unhideWhenUsed/>
    <w:rsid w:val="00CB6472"/>
    <w:rPr>
      <w:sz w:val="20"/>
      <w:szCs w:val="20"/>
    </w:rPr>
  </w:style>
  <w:style w:type="character" w:customStyle="1" w:styleId="CommentTextChar">
    <w:name w:val="Comment Text Char"/>
    <w:basedOn w:val="DefaultParagraphFont"/>
    <w:link w:val="CommentText"/>
    <w:uiPriority w:val="99"/>
    <w:semiHidden/>
    <w:rsid w:val="00CB6472"/>
    <w:rPr>
      <w:sz w:val="20"/>
      <w:szCs w:val="20"/>
    </w:rPr>
  </w:style>
  <w:style w:type="paragraph" w:styleId="CommentSubject">
    <w:name w:val="annotation subject"/>
    <w:basedOn w:val="CommentText"/>
    <w:next w:val="CommentText"/>
    <w:link w:val="CommentSubjectChar"/>
    <w:uiPriority w:val="99"/>
    <w:semiHidden/>
    <w:unhideWhenUsed/>
    <w:rsid w:val="00CB6472"/>
    <w:rPr>
      <w:b/>
      <w:bCs/>
    </w:rPr>
  </w:style>
  <w:style w:type="character" w:customStyle="1" w:styleId="CommentSubjectChar">
    <w:name w:val="Comment Subject Char"/>
    <w:basedOn w:val="CommentTextChar"/>
    <w:link w:val="CommentSubject"/>
    <w:uiPriority w:val="99"/>
    <w:semiHidden/>
    <w:rsid w:val="00CB6472"/>
    <w:rPr>
      <w:b/>
      <w:bCs/>
      <w:sz w:val="20"/>
      <w:szCs w:val="20"/>
    </w:rPr>
  </w:style>
  <w:style w:type="paragraph" w:styleId="BalloonText">
    <w:name w:val="Balloon Text"/>
    <w:basedOn w:val="Normal"/>
    <w:link w:val="BalloonTextChar"/>
    <w:uiPriority w:val="99"/>
    <w:semiHidden/>
    <w:unhideWhenUsed/>
    <w:rsid w:val="00E07D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7D5D"/>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F25FD1"/>
    <w:rPr>
      <w:vertAlign w:val="superscript"/>
    </w:rPr>
  </w:style>
  <w:style w:type="character" w:customStyle="1" w:styleId="apple-converted-space">
    <w:name w:val="apple-converted-space"/>
    <w:basedOn w:val="DefaultParagraphFont"/>
    <w:rsid w:val="00C3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4021">
      <w:bodyDiv w:val="1"/>
      <w:marLeft w:val="0"/>
      <w:marRight w:val="0"/>
      <w:marTop w:val="0"/>
      <w:marBottom w:val="0"/>
      <w:divBdr>
        <w:top w:val="none" w:sz="0" w:space="0" w:color="auto"/>
        <w:left w:val="none" w:sz="0" w:space="0" w:color="auto"/>
        <w:bottom w:val="none" w:sz="0" w:space="0" w:color="auto"/>
        <w:right w:val="none" w:sz="0" w:space="0" w:color="auto"/>
      </w:divBdr>
      <w:divsChild>
        <w:div w:id="1045183513">
          <w:marLeft w:val="0"/>
          <w:marRight w:val="0"/>
          <w:marTop w:val="0"/>
          <w:marBottom w:val="0"/>
          <w:divBdr>
            <w:top w:val="none" w:sz="0" w:space="0" w:color="auto"/>
            <w:left w:val="none" w:sz="0" w:space="0" w:color="auto"/>
            <w:bottom w:val="none" w:sz="0" w:space="0" w:color="auto"/>
            <w:right w:val="none" w:sz="0" w:space="0" w:color="auto"/>
          </w:divBdr>
          <w:divsChild>
            <w:div w:id="1962491036">
              <w:marLeft w:val="0"/>
              <w:marRight w:val="0"/>
              <w:marTop w:val="0"/>
              <w:marBottom w:val="0"/>
              <w:divBdr>
                <w:top w:val="none" w:sz="0" w:space="0" w:color="auto"/>
                <w:left w:val="none" w:sz="0" w:space="0" w:color="auto"/>
                <w:bottom w:val="none" w:sz="0" w:space="0" w:color="auto"/>
                <w:right w:val="none" w:sz="0" w:space="0" w:color="auto"/>
              </w:divBdr>
              <w:divsChild>
                <w:div w:id="6847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1089">
      <w:bodyDiv w:val="1"/>
      <w:marLeft w:val="0"/>
      <w:marRight w:val="0"/>
      <w:marTop w:val="0"/>
      <w:marBottom w:val="0"/>
      <w:divBdr>
        <w:top w:val="none" w:sz="0" w:space="0" w:color="auto"/>
        <w:left w:val="none" w:sz="0" w:space="0" w:color="auto"/>
        <w:bottom w:val="none" w:sz="0" w:space="0" w:color="auto"/>
        <w:right w:val="none" w:sz="0" w:space="0" w:color="auto"/>
      </w:divBdr>
      <w:divsChild>
        <w:div w:id="620264865">
          <w:marLeft w:val="0"/>
          <w:marRight w:val="0"/>
          <w:marTop w:val="0"/>
          <w:marBottom w:val="0"/>
          <w:divBdr>
            <w:top w:val="none" w:sz="0" w:space="0" w:color="auto"/>
            <w:left w:val="none" w:sz="0" w:space="0" w:color="auto"/>
            <w:bottom w:val="none" w:sz="0" w:space="0" w:color="auto"/>
            <w:right w:val="none" w:sz="0" w:space="0" w:color="auto"/>
          </w:divBdr>
          <w:divsChild>
            <w:div w:id="512107210">
              <w:marLeft w:val="0"/>
              <w:marRight w:val="0"/>
              <w:marTop w:val="0"/>
              <w:marBottom w:val="0"/>
              <w:divBdr>
                <w:top w:val="none" w:sz="0" w:space="0" w:color="auto"/>
                <w:left w:val="none" w:sz="0" w:space="0" w:color="auto"/>
                <w:bottom w:val="none" w:sz="0" w:space="0" w:color="auto"/>
                <w:right w:val="none" w:sz="0" w:space="0" w:color="auto"/>
              </w:divBdr>
              <w:divsChild>
                <w:div w:id="11422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8131">
      <w:bodyDiv w:val="1"/>
      <w:marLeft w:val="0"/>
      <w:marRight w:val="0"/>
      <w:marTop w:val="0"/>
      <w:marBottom w:val="0"/>
      <w:divBdr>
        <w:top w:val="none" w:sz="0" w:space="0" w:color="auto"/>
        <w:left w:val="none" w:sz="0" w:space="0" w:color="auto"/>
        <w:bottom w:val="none" w:sz="0" w:space="0" w:color="auto"/>
        <w:right w:val="none" w:sz="0" w:space="0" w:color="auto"/>
      </w:divBdr>
      <w:divsChild>
        <w:div w:id="2053723504">
          <w:marLeft w:val="0"/>
          <w:marRight w:val="0"/>
          <w:marTop w:val="0"/>
          <w:marBottom w:val="0"/>
          <w:divBdr>
            <w:top w:val="none" w:sz="0" w:space="0" w:color="auto"/>
            <w:left w:val="none" w:sz="0" w:space="0" w:color="auto"/>
            <w:bottom w:val="none" w:sz="0" w:space="0" w:color="auto"/>
            <w:right w:val="none" w:sz="0" w:space="0" w:color="auto"/>
          </w:divBdr>
          <w:divsChild>
            <w:div w:id="508105372">
              <w:marLeft w:val="0"/>
              <w:marRight w:val="0"/>
              <w:marTop w:val="0"/>
              <w:marBottom w:val="0"/>
              <w:divBdr>
                <w:top w:val="none" w:sz="0" w:space="0" w:color="auto"/>
                <w:left w:val="none" w:sz="0" w:space="0" w:color="auto"/>
                <w:bottom w:val="none" w:sz="0" w:space="0" w:color="auto"/>
                <w:right w:val="none" w:sz="0" w:space="0" w:color="auto"/>
              </w:divBdr>
              <w:divsChild>
                <w:div w:id="612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7250">
      <w:bodyDiv w:val="1"/>
      <w:marLeft w:val="0"/>
      <w:marRight w:val="0"/>
      <w:marTop w:val="0"/>
      <w:marBottom w:val="0"/>
      <w:divBdr>
        <w:top w:val="none" w:sz="0" w:space="0" w:color="auto"/>
        <w:left w:val="none" w:sz="0" w:space="0" w:color="auto"/>
        <w:bottom w:val="none" w:sz="0" w:space="0" w:color="auto"/>
        <w:right w:val="none" w:sz="0" w:space="0" w:color="auto"/>
      </w:divBdr>
      <w:divsChild>
        <w:div w:id="1886991189">
          <w:marLeft w:val="0"/>
          <w:marRight w:val="0"/>
          <w:marTop w:val="0"/>
          <w:marBottom w:val="0"/>
          <w:divBdr>
            <w:top w:val="none" w:sz="0" w:space="0" w:color="auto"/>
            <w:left w:val="none" w:sz="0" w:space="0" w:color="auto"/>
            <w:bottom w:val="none" w:sz="0" w:space="0" w:color="auto"/>
            <w:right w:val="none" w:sz="0" w:space="0" w:color="auto"/>
          </w:divBdr>
          <w:divsChild>
            <w:div w:id="901645132">
              <w:marLeft w:val="0"/>
              <w:marRight w:val="0"/>
              <w:marTop w:val="0"/>
              <w:marBottom w:val="0"/>
              <w:divBdr>
                <w:top w:val="none" w:sz="0" w:space="0" w:color="auto"/>
                <w:left w:val="none" w:sz="0" w:space="0" w:color="auto"/>
                <w:bottom w:val="none" w:sz="0" w:space="0" w:color="auto"/>
                <w:right w:val="none" w:sz="0" w:space="0" w:color="auto"/>
              </w:divBdr>
              <w:divsChild>
                <w:div w:id="12027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6616-D224-3D47-9EF7-957DBA1F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10906</Words>
  <Characters>62169</Characters>
  <Application>Microsoft Office Word</Application>
  <DocSecurity>0</DocSecurity>
  <Lines>518</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Riedener</dc:creator>
  <cp:keywords/>
  <dc:description/>
  <cp:lastModifiedBy>Adam Lovett</cp:lastModifiedBy>
  <cp:revision>79</cp:revision>
  <cp:lastPrinted>2023-05-18T12:25:00Z</cp:lastPrinted>
  <dcterms:created xsi:type="dcterms:W3CDTF">2023-05-18T12:29:00Z</dcterms:created>
  <dcterms:modified xsi:type="dcterms:W3CDTF">2024-03-05T23:12:00Z</dcterms:modified>
</cp:coreProperties>
</file>