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A8E26" w14:textId="7273B16E" w:rsidR="00FB210C" w:rsidRPr="00077151" w:rsidRDefault="00FB210C" w:rsidP="00A4367E">
      <w:pPr>
        <w:spacing w:line="360" w:lineRule="auto"/>
        <w:jc w:val="center"/>
        <w:rPr>
          <w:rFonts w:ascii="Garamond" w:hAnsi="Garamond" w:cs="Times New Roman"/>
          <w:b/>
          <w:sz w:val="28"/>
          <w:szCs w:val="28"/>
          <w:u w:val="single"/>
        </w:rPr>
      </w:pPr>
      <w:r w:rsidRPr="00077151">
        <w:rPr>
          <w:rFonts w:ascii="Garamond" w:hAnsi="Garamond" w:cs="Times New Roman"/>
          <w:b/>
          <w:sz w:val="28"/>
          <w:szCs w:val="28"/>
          <w:u w:val="single"/>
        </w:rPr>
        <w:t>Testimony</w:t>
      </w:r>
      <w:r w:rsidR="00EC439D" w:rsidRPr="00077151">
        <w:rPr>
          <w:rFonts w:ascii="Garamond" w:hAnsi="Garamond" w:cs="Times New Roman"/>
          <w:b/>
          <w:sz w:val="28"/>
          <w:szCs w:val="28"/>
          <w:u w:val="single"/>
        </w:rPr>
        <w:t>, Faith and Humility</w:t>
      </w:r>
    </w:p>
    <w:p w14:paraId="0EDC0087" w14:textId="68587224" w:rsidR="00FB210C" w:rsidRDefault="00FB210C" w:rsidP="00A4367E">
      <w:pPr>
        <w:spacing w:line="360" w:lineRule="auto"/>
        <w:jc w:val="both"/>
        <w:rPr>
          <w:rFonts w:ascii="Garamond" w:hAnsi="Garamond" w:cs="Times New Roman"/>
        </w:rPr>
      </w:pPr>
    </w:p>
    <w:p w14:paraId="6129788C" w14:textId="476E36B3" w:rsidR="00A606E6" w:rsidRDefault="00A606E6" w:rsidP="00A606E6">
      <w:pPr>
        <w:spacing w:line="360" w:lineRule="auto"/>
        <w:jc w:val="center"/>
        <w:rPr>
          <w:rFonts w:ascii="Garamond" w:hAnsi="Garamond" w:cs="Times New Roman"/>
        </w:rPr>
      </w:pPr>
      <w:r>
        <w:rPr>
          <w:rFonts w:ascii="Garamond" w:hAnsi="Garamond" w:cs="Times New Roman"/>
        </w:rPr>
        <w:t xml:space="preserve">[This is an uncorrected pre-print version, published in </w:t>
      </w:r>
      <w:hyperlink r:id="rId8" w:history="1">
        <w:r w:rsidRPr="002B1FCA">
          <w:rPr>
            <w:rStyle w:val="Hyperlink"/>
            <w:rFonts w:ascii="Garamond" w:hAnsi="Garamond" w:cs="Times New Roman"/>
            <w:i/>
            <w:iCs/>
          </w:rPr>
          <w:t>Religious Studies</w:t>
        </w:r>
      </w:hyperlink>
      <w:r>
        <w:rPr>
          <w:rFonts w:ascii="Garamond" w:hAnsi="Garamond" w:cs="Times New Roman"/>
        </w:rPr>
        <w:t xml:space="preserve">. </w:t>
      </w:r>
    </w:p>
    <w:p w14:paraId="241FCB03" w14:textId="3AAA41E8" w:rsidR="00A606E6" w:rsidRDefault="00A606E6" w:rsidP="00A606E6">
      <w:pPr>
        <w:spacing w:line="360" w:lineRule="auto"/>
        <w:jc w:val="center"/>
        <w:rPr>
          <w:rFonts w:ascii="Garamond" w:hAnsi="Garamond" w:cs="Times New Roman"/>
        </w:rPr>
      </w:pPr>
      <w:r>
        <w:rPr>
          <w:rFonts w:ascii="Garamond" w:hAnsi="Garamond" w:cs="Times New Roman"/>
        </w:rPr>
        <w:t xml:space="preserve">Please cite the final </w:t>
      </w:r>
      <w:r w:rsidR="002B1FCA">
        <w:rPr>
          <w:rFonts w:ascii="Garamond" w:hAnsi="Garamond" w:cs="Times New Roman"/>
        </w:rPr>
        <w:t xml:space="preserve">journal </w:t>
      </w:r>
      <w:r>
        <w:rPr>
          <w:rFonts w:ascii="Garamond" w:hAnsi="Garamond" w:cs="Times New Roman"/>
        </w:rPr>
        <w:t>version</w:t>
      </w:r>
      <w:r w:rsidR="002B1FCA">
        <w:rPr>
          <w:rFonts w:ascii="Garamond" w:hAnsi="Garamond" w:cs="Times New Roman"/>
        </w:rPr>
        <w:t>.</w:t>
      </w:r>
      <w:bookmarkStart w:id="0" w:name="_GoBack"/>
      <w:bookmarkEnd w:id="0"/>
      <w:r>
        <w:rPr>
          <w:rFonts w:ascii="Garamond" w:hAnsi="Garamond" w:cs="Times New Roman"/>
        </w:rPr>
        <w:t>]</w:t>
      </w:r>
    </w:p>
    <w:p w14:paraId="2FE0E0A3" w14:textId="77777777" w:rsidR="00A606E6" w:rsidRPr="00EC439D" w:rsidRDefault="00A606E6" w:rsidP="00A4367E">
      <w:pPr>
        <w:spacing w:line="360" w:lineRule="auto"/>
        <w:jc w:val="both"/>
        <w:rPr>
          <w:rFonts w:ascii="Garamond" w:hAnsi="Garamond" w:cs="Times New Roman"/>
        </w:rPr>
      </w:pPr>
    </w:p>
    <w:p w14:paraId="290D01C7" w14:textId="63EB5AFC" w:rsidR="00FB210C" w:rsidRPr="00EC439D" w:rsidRDefault="00FB210C" w:rsidP="009F3B4D">
      <w:pPr>
        <w:spacing w:line="360" w:lineRule="auto"/>
        <w:ind w:left="284" w:right="231"/>
        <w:jc w:val="both"/>
        <w:rPr>
          <w:rFonts w:ascii="Garamond" w:hAnsi="Garamond" w:cs="Times New Roman"/>
          <w:sz w:val="23"/>
          <w:szCs w:val="23"/>
        </w:rPr>
      </w:pPr>
      <w:r w:rsidRPr="00EC439D">
        <w:rPr>
          <w:rFonts w:ascii="Garamond" w:hAnsi="Garamond" w:cs="Times New Roman"/>
          <w:b/>
          <w:sz w:val="23"/>
          <w:szCs w:val="23"/>
        </w:rPr>
        <w:t>Abstract:</w:t>
      </w:r>
      <w:r w:rsidRPr="00EC439D">
        <w:rPr>
          <w:rFonts w:ascii="Garamond" w:hAnsi="Garamond" w:cs="Times New Roman"/>
          <w:sz w:val="23"/>
          <w:szCs w:val="23"/>
        </w:rPr>
        <w:t xml:space="preserve"> </w:t>
      </w:r>
      <w:r w:rsidR="007F64E6" w:rsidRPr="00EC439D">
        <w:rPr>
          <w:rFonts w:ascii="Garamond" w:hAnsi="Garamond" w:cs="Times New Roman"/>
          <w:sz w:val="23"/>
          <w:szCs w:val="23"/>
        </w:rPr>
        <w:t>It is</w:t>
      </w:r>
      <w:r w:rsidR="009E2ECD" w:rsidRPr="00EC439D">
        <w:rPr>
          <w:rFonts w:ascii="Garamond" w:hAnsi="Garamond" w:cs="Times New Roman"/>
          <w:sz w:val="23"/>
          <w:szCs w:val="23"/>
        </w:rPr>
        <w:t xml:space="preserve"> sometimes claimed</w:t>
      </w:r>
      <w:r w:rsidR="007F64E6" w:rsidRPr="00EC439D">
        <w:rPr>
          <w:rFonts w:ascii="Garamond" w:hAnsi="Garamond" w:cs="Times New Roman"/>
          <w:sz w:val="23"/>
          <w:szCs w:val="23"/>
        </w:rPr>
        <w:t xml:space="preserve"> that faith</w:t>
      </w:r>
      <w:r w:rsidRPr="00EC439D">
        <w:rPr>
          <w:rFonts w:ascii="Garamond" w:hAnsi="Garamond" w:cs="Times New Roman"/>
          <w:sz w:val="23"/>
          <w:szCs w:val="23"/>
        </w:rPr>
        <w:t xml:space="preserve"> </w:t>
      </w:r>
      <w:r w:rsidR="00E77485" w:rsidRPr="00EC439D">
        <w:rPr>
          <w:rFonts w:ascii="Garamond" w:hAnsi="Garamond" w:cs="Times New Roman"/>
          <w:sz w:val="23"/>
          <w:szCs w:val="23"/>
        </w:rPr>
        <w:t xml:space="preserve">is </w:t>
      </w:r>
      <w:r w:rsidRPr="00EC439D">
        <w:rPr>
          <w:rFonts w:ascii="Garamond" w:hAnsi="Garamond" w:cs="Times New Roman"/>
          <w:sz w:val="23"/>
          <w:szCs w:val="23"/>
        </w:rPr>
        <w:t xml:space="preserve">a virtue. To what extent faith is a virtue </w:t>
      </w:r>
      <w:proofErr w:type="gramStart"/>
      <w:r w:rsidRPr="00EC439D">
        <w:rPr>
          <w:rFonts w:ascii="Garamond" w:hAnsi="Garamond" w:cs="Times New Roman"/>
          <w:sz w:val="23"/>
          <w:szCs w:val="23"/>
        </w:rPr>
        <w:t>depends</w:t>
      </w:r>
      <w:proofErr w:type="gramEnd"/>
      <w:r w:rsidRPr="00EC439D">
        <w:rPr>
          <w:rFonts w:ascii="Garamond" w:hAnsi="Garamond" w:cs="Times New Roman"/>
          <w:sz w:val="23"/>
          <w:szCs w:val="23"/>
        </w:rPr>
        <w:t xml:space="preserve"> on what faith is. One construal of faith, which has been popular in both recent and historical work on faith, is that faith is a matter of taking oneself to have been spoken to by God and of </w:t>
      </w:r>
      <w:r w:rsidR="009F3B4D" w:rsidRPr="00EC439D">
        <w:rPr>
          <w:rFonts w:ascii="Garamond" w:hAnsi="Garamond" w:cs="Times New Roman"/>
          <w:sz w:val="23"/>
          <w:szCs w:val="23"/>
        </w:rPr>
        <w:t>trusting</w:t>
      </w:r>
      <w:r w:rsidRPr="00EC439D">
        <w:rPr>
          <w:rFonts w:ascii="Garamond" w:hAnsi="Garamond" w:cs="Times New Roman"/>
          <w:sz w:val="23"/>
          <w:szCs w:val="23"/>
        </w:rPr>
        <w:t xml:space="preserve"> this purported divine testimony. In this paper, I argue that when faith is understood in this way,</w:t>
      </w:r>
      <w:r w:rsidR="009F3B4D" w:rsidRPr="00EC439D">
        <w:rPr>
          <w:rFonts w:ascii="Garamond" w:hAnsi="Garamond" w:cs="Times New Roman"/>
          <w:sz w:val="23"/>
          <w:szCs w:val="23"/>
        </w:rPr>
        <w:t xml:space="preserve"> for faith to be virtuous then it must be accompanied by</w:t>
      </w:r>
      <w:r w:rsidRPr="00EC439D">
        <w:rPr>
          <w:rFonts w:ascii="Garamond" w:hAnsi="Garamond" w:cs="Times New Roman"/>
          <w:sz w:val="23"/>
          <w:szCs w:val="23"/>
        </w:rPr>
        <w:t xml:space="preserve"> intellectual humility. </w:t>
      </w:r>
      <w:r w:rsidR="009F3B4D" w:rsidRPr="00EC439D">
        <w:rPr>
          <w:rFonts w:ascii="Garamond" w:hAnsi="Garamond" w:cs="Times New Roman"/>
          <w:sz w:val="23"/>
          <w:szCs w:val="23"/>
        </w:rPr>
        <w:t>I defend this view by showing how someone ought to respond to purported divine testimony if her faith is to be intellectually humble, and how, if it fails in this respect, it will instead be accompanied by the vices of either servility or arrogance.</w:t>
      </w:r>
      <w:r w:rsidRPr="00EC439D">
        <w:rPr>
          <w:rFonts w:ascii="Garamond" w:hAnsi="Garamond" w:cs="Times New Roman"/>
          <w:sz w:val="23"/>
          <w:szCs w:val="23"/>
        </w:rPr>
        <w:t xml:space="preserve"> </w:t>
      </w:r>
    </w:p>
    <w:p w14:paraId="7309F4C0" w14:textId="2BFE71D8" w:rsidR="00FB210C" w:rsidRPr="00EC439D" w:rsidRDefault="00FB210C" w:rsidP="00A4367E">
      <w:pPr>
        <w:spacing w:line="360" w:lineRule="auto"/>
        <w:jc w:val="both"/>
        <w:rPr>
          <w:rFonts w:ascii="Garamond" w:hAnsi="Garamond" w:cs="Times New Roman"/>
        </w:rPr>
      </w:pPr>
    </w:p>
    <w:p w14:paraId="5B623F2A" w14:textId="3FA2AE15" w:rsidR="00D87A77" w:rsidRPr="00EC439D" w:rsidRDefault="00D87A77" w:rsidP="00A4367E">
      <w:pPr>
        <w:spacing w:line="360" w:lineRule="auto"/>
        <w:jc w:val="both"/>
        <w:rPr>
          <w:rFonts w:ascii="Garamond" w:hAnsi="Garamond" w:cs="Times New Roman"/>
        </w:rPr>
      </w:pPr>
      <w:r w:rsidRPr="00EC439D">
        <w:rPr>
          <w:rFonts w:ascii="Garamond" w:hAnsi="Garamond" w:cs="Times New Roman"/>
          <w:b/>
          <w:bCs/>
        </w:rPr>
        <w:t>Keywords:</w:t>
      </w:r>
      <w:r w:rsidRPr="00EC439D">
        <w:rPr>
          <w:rFonts w:ascii="Garamond" w:hAnsi="Garamond" w:cs="Times New Roman"/>
        </w:rPr>
        <w:t xml:space="preserve"> Faith; Testimony; Trust; Intellectual Humility; Servility; Arrogance. </w:t>
      </w:r>
    </w:p>
    <w:p w14:paraId="118B5FDF" w14:textId="77777777" w:rsidR="00D87A77" w:rsidRPr="00EC439D" w:rsidRDefault="00D87A77" w:rsidP="00A4367E">
      <w:pPr>
        <w:spacing w:line="360" w:lineRule="auto"/>
        <w:jc w:val="both"/>
        <w:rPr>
          <w:rFonts w:ascii="Garamond" w:hAnsi="Garamond" w:cs="Times New Roman"/>
        </w:rPr>
      </w:pPr>
    </w:p>
    <w:p w14:paraId="61015075" w14:textId="08199C5C" w:rsidR="00FB210C" w:rsidRPr="00EC439D" w:rsidRDefault="005403D3" w:rsidP="00A4367E">
      <w:pPr>
        <w:spacing w:line="360" w:lineRule="auto"/>
        <w:jc w:val="both"/>
        <w:rPr>
          <w:rFonts w:ascii="Garamond" w:hAnsi="Garamond" w:cs="Times New Roman"/>
        </w:rPr>
      </w:pPr>
      <w:r>
        <w:rPr>
          <w:rFonts w:ascii="Garamond" w:hAnsi="Garamond" w:cs="Times New Roman"/>
        </w:rPr>
        <w:t>Can</w:t>
      </w:r>
      <w:r w:rsidR="00FB210C" w:rsidRPr="00EC439D">
        <w:rPr>
          <w:rFonts w:ascii="Garamond" w:hAnsi="Garamond" w:cs="Times New Roman"/>
        </w:rPr>
        <w:t xml:space="preserve"> faith</w:t>
      </w:r>
      <w:r>
        <w:rPr>
          <w:rFonts w:ascii="Garamond" w:hAnsi="Garamond" w:cs="Times New Roman"/>
        </w:rPr>
        <w:t xml:space="preserve"> be</w:t>
      </w:r>
      <w:r w:rsidR="00FB210C" w:rsidRPr="00EC439D">
        <w:rPr>
          <w:rFonts w:ascii="Garamond" w:hAnsi="Garamond" w:cs="Times New Roman"/>
        </w:rPr>
        <w:t xml:space="preserve"> a virtue? Answers to this question vary, depending on how faith is construed, and whether faith is treated as a solely religious attitude, or as an attitude that can be either religious or non-religious. For instance, within the Christian tradition, faith is sometimes construed as a theological virtue, alongside love and hope. In some recent accounts, faith has been treated more generally in the Aristotelian sense of virtue as an excellence of character, formed gradually through a process of habituation. The function of faith differs on this view, with some arguing that faith disposes us to trust (Jeffrey </w:t>
      </w:r>
      <w:r w:rsidR="00896859">
        <w:rPr>
          <w:rFonts w:ascii="Garamond" w:hAnsi="Garamond" w:cs="Times New Roman"/>
        </w:rPr>
        <w:t>(</w:t>
      </w:r>
      <w:r w:rsidR="00FB210C" w:rsidRPr="00EC439D">
        <w:rPr>
          <w:rFonts w:ascii="Garamond" w:hAnsi="Garamond" w:cs="Times New Roman"/>
        </w:rPr>
        <w:t>2017</w:t>
      </w:r>
      <w:r w:rsidR="00896859">
        <w:rPr>
          <w:rFonts w:ascii="Garamond" w:hAnsi="Garamond" w:cs="Times New Roman"/>
        </w:rPr>
        <w:t>)</w:t>
      </w:r>
      <w:r w:rsidR="00FB210C" w:rsidRPr="00EC439D">
        <w:rPr>
          <w:rFonts w:ascii="Garamond" w:hAnsi="Garamond" w:cs="Times New Roman"/>
        </w:rPr>
        <w:t xml:space="preserve">), and others that faith instantiates a responsiveness to truth and hope (Chappell </w:t>
      </w:r>
      <w:r w:rsidR="00896859">
        <w:rPr>
          <w:rFonts w:ascii="Garamond" w:hAnsi="Garamond" w:cs="Times New Roman"/>
        </w:rPr>
        <w:t>(</w:t>
      </w:r>
      <w:r w:rsidR="00FB210C" w:rsidRPr="00EC439D">
        <w:rPr>
          <w:rFonts w:ascii="Garamond" w:hAnsi="Garamond" w:cs="Times New Roman"/>
        </w:rPr>
        <w:t>1996</w:t>
      </w:r>
      <w:r w:rsidR="00896859">
        <w:rPr>
          <w:rFonts w:ascii="Garamond" w:hAnsi="Garamond" w:cs="Times New Roman"/>
        </w:rPr>
        <w:t>)</w:t>
      </w:r>
      <w:r w:rsidR="00FB210C" w:rsidRPr="00EC439D">
        <w:rPr>
          <w:rFonts w:ascii="Garamond" w:hAnsi="Garamond" w:cs="Times New Roman"/>
        </w:rPr>
        <w:t>). According to other theories, faith requires committing to a risky act before examining further evidence, and is a virtue, on this theory, because it allows us to carry out long-term, risky projects (</w:t>
      </w:r>
      <w:proofErr w:type="spellStart"/>
      <w:r w:rsidR="00FB210C" w:rsidRPr="00EC439D">
        <w:rPr>
          <w:rFonts w:ascii="Garamond" w:hAnsi="Garamond" w:cs="Times New Roman"/>
        </w:rPr>
        <w:t>Buchak</w:t>
      </w:r>
      <w:proofErr w:type="spellEnd"/>
      <w:r w:rsidR="00FB210C" w:rsidRPr="00EC439D">
        <w:rPr>
          <w:rFonts w:ascii="Garamond" w:hAnsi="Garamond" w:cs="Times New Roman"/>
        </w:rPr>
        <w:t xml:space="preserve"> </w:t>
      </w:r>
      <w:r w:rsidR="00896859">
        <w:rPr>
          <w:rFonts w:ascii="Garamond" w:hAnsi="Garamond" w:cs="Times New Roman"/>
        </w:rPr>
        <w:t>(</w:t>
      </w:r>
      <w:r w:rsidR="00FB210C" w:rsidRPr="00EC439D">
        <w:rPr>
          <w:rFonts w:ascii="Garamond" w:hAnsi="Garamond" w:cs="Times New Roman"/>
        </w:rPr>
        <w:t>2017a</w:t>
      </w:r>
      <w:r w:rsidR="00896859">
        <w:rPr>
          <w:rFonts w:ascii="Garamond" w:hAnsi="Garamond" w:cs="Times New Roman"/>
        </w:rPr>
        <w:t>)</w:t>
      </w:r>
      <w:r w:rsidR="00FB210C" w:rsidRPr="00EC439D">
        <w:rPr>
          <w:rFonts w:ascii="Garamond" w:hAnsi="Garamond" w:cs="Times New Roman"/>
        </w:rPr>
        <w:t>).</w:t>
      </w:r>
    </w:p>
    <w:p w14:paraId="206032BC" w14:textId="7C403EED" w:rsidR="009E2ECD" w:rsidRPr="00EC439D" w:rsidRDefault="00FB210C" w:rsidP="008811DF">
      <w:pPr>
        <w:spacing w:line="360" w:lineRule="auto"/>
        <w:ind w:firstLine="720"/>
        <w:jc w:val="both"/>
        <w:rPr>
          <w:rFonts w:ascii="Garamond" w:hAnsi="Garamond" w:cs="Times New Roman"/>
        </w:rPr>
      </w:pPr>
      <w:r w:rsidRPr="00EC439D">
        <w:rPr>
          <w:rFonts w:ascii="Garamond" w:hAnsi="Garamond" w:cs="Times New Roman"/>
        </w:rPr>
        <w:t>In this paper, I argue</w:t>
      </w:r>
      <w:r w:rsidR="008811DF" w:rsidRPr="00EC439D">
        <w:rPr>
          <w:rFonts w:ascii="Garamond" w:hAnsi="Garamond" w:cs="Times New Roman"/>
        </w:rPr>
        <w:t xml:space="preserve"> </w:t>
      </w:r>
      <w:r w:rsidRPr="00EC439D">
        <w:rPr>
          <w:rFonts w:ascii="Garamond" w:hAnsi="Garamond" w:cs="Times New Roman"/>
        </w:rPr>
        <w:t>that</w:t>
      </w:r>
      <w:r w:rsidR="008811DF" w:rsidRPr="00EC439D">
        <w:rPr>
          <w:rFonts w:ascii="Garamond" w:hAnsi="Garamond" w:cs="Times New Roman"/>
        </w:rPr>
        <w:t xml:space="preserve"> a certain kind of</w:t>
      </w:r>
      <w:r w:rsidRPr="00EC439D">
        <w:rPr>
          <w:rFonts w:ascii="Garamond" w:hAnsi="Garamond" w:cs="Times New Roman"/>
        </w:rPr>
        <w:t xml:space="preserve"> religious faith</w:t>
      </w:r>
      <w:r w:rsidR="008811DF" w:rsidRPr="00EC439D">
        <w:rPr>
          <w:rFonts w:ascii="Garamond" w:hAnsi="Garamond" w:cs="Times New Roman"/>
        </w:rPr>
        <w:t xml:space="preserve"> is only virtuous if</w:t>
      </w:r>
      <w:r w:rsidRPr="00EC439D">
        <w:rPr>
          <w:rFonts w:ascii="Garamond" w:hAnsi="Garamond" w:cs="Times New Roman"/>
        </w:rPr>
        <w:t xml:space="preserve"> </w:t>
      </w:r>
      <w:r w:rsidR="008811DF" w:rsidRPr="00EC439D">
        <w:rPr>
          <w:rFonts w:ascii="Garamond" w:hAnsi="Garamond" w:cs="Times New Roman"/>
        </w:rPr>
        <w:t xml:space="preserve">it </w:t>
      </w:r>
      <w:r w:rsidR="003F265B" w:rsidRPr="00EC439D">
        <w:rPr>
          <w:rFonts w:ascii="Garamond" w:hAnsi="Garamond" w:cs="Times New Roman"/>
        </w:rPr>
        <w:t xml:space="preserve">is </w:t>
      </w:r>
      <w:r w:rsidR="008811DF" w:rsidRPr="00EC439D">
        <w:rPr>
          <w:rFonts w:ascii="Garamond" w:hAnsi="Garamond" w:cs="Times New Roman"/>
        </w:rPr>
        <w:t>accompanied by</w:t>
      </w:r>
      <w:r w:rsidRPr="00EC439D">
        <w:rPr>
          <w:rFonts w:ascii="Garamond" w:hAnsi="Garamond" w:cs="Times New Roman"/>
        </w:rPr>
        <w:t xml:space="preserve"> </w:t>
      </w:r>
      <w:r w:rsidRPr="00EC439D">
        <w:rPr>
          <w:rFonts w:ascii="Garamond" w:hAnsi="Garamond" w:cs="Times New Roman"/>
          <w:i/>
        </w:rPr>
        <w:t>intellectual humility</w:t>
      </w:r>
      <w:r w:rsidRPr="00EC439D">
        <w:rPr>
          <w:rFonts w:ascii="Garamond" w:hAnsi="Garamond" w:cs="Times New Roman"/>
        </w:rPr>
        <w:t xml:space="preserve">. </w:t>
      </w:r>
      <w:r w:rsidR="009E2ECD" w:rsidRPr="00EC439D">
        <w:rPr>
          <w:rFonts w:ascii="Garamond" w:hAnsi="Garamond" w:cs="Times New Roman"/>
        </w:rPr>
        <w:t>The kind of faith in question requires trusting God, and in particular, trusting God’s testimony. When faith involves trusting God’s testimony, I argue, it must exhibit intellectual humility if such faith is to be virtuous.</w:t>
      </w:r>
    </w:p>
    <w:p w14:paraId="67E3B040" w14:textId="657E8D09" w:rsidR="00A243C3" w:rsidRPr="00EC439D" w:rsidRDefault="008811DF" w:rsidP="008811DF">
      <w:pPr>
        <w:spacing w:line="360" w:lineRule="auto"/>
        <w:ind w:firstLine="720"/>
        <w:jc w:val="both"/>
        <w:rPr>
          <w:rFonts w:ascii="Garamond" w:hAnsi="Garamond"/>
        </w:rPr>
      </w:pPr>
      <w:r w:rsidRPr="00EC439D">
        <w:rPr>
          <w:rFonts w:ascii="Garamond" w:eastAsia="Calibri" w:hAnsi="Garamond" w:cs="Times New Roman"/>
          <w:iCs/>
          <w:szCs w:val="22"/>
        </w:rPr>
        <w:t>I</w:t>
      </w:r>
      <w:r w:rsidRPr="00EC439D">
        <w:rPr>
          <w:rFonts w:ascii="Garamond" w:hAnsi="Garamond"/>
        </w:rPr>
        <w:t>n religious contexts,</w:t>
      </w:r>
      <w:r w:rsidR="009E2ECD" w:rsidRPr="00EC439D">
        <w:rPr>
          <w:rFonts w:ascii="Garamond" w:hAnsi="Garamond"/>
        </w:rPr>
        <w:t xml:space="preserve"> both faith and humility are desirable attitudes to take towards God. </w:t>
      </w:r>
      <w:r w:rsidRPr="00EC439D">
        <w:rPr>
          <w:rFonts w:ascii="Garamond" w:hAnsi="Garamond"/>
        </w:rPr>
        <w:t xml:space="preserve">According to St. Augustine, in his early writing </w:t>
      </w:r>
      <w:r w:rsidRPr="00EC439D">
        <w:rPr>
          <w:rFonts w:ascii="Garamond" w:hAnsi="Garamond"/>
          <w:i/>
        </w:rPr>
        <w:t>Faith and the Creed</w:t>
      </w:r>
      <w:r w:rsidRPr="00EC439D">
        <w:rPr>
          <w:rFonts w:ascii="Garamond" w:hAnsi="Garamond"/>
        </w:rPr>
        <w:t>, Christ</w:t>
      </w:r>
      <w:r w:rsidR="009E2ECD" w:rsidRPr="00EC439D">
        <w:rPr>
          <w:rFonts w:ascii="Garamond" w:hAnsi="Garamond"/>
        </w:rPr>
        <w:t>’s faith</w:t>
      </w:r>
      <w:r w:rsidRPr="00EC439D">
        <w:rPr>
          <w:rFonts w:ascii="Garamond" w:hAnsi="Garamond"/>
        </w:rPr>
        <w:t xml:space="preserve"> exhibits a perfect humility that Christians are to follow in order that ‘we might reach God’ (1953, 357). In the biblical Psalms, it is sometimes claimed that humility is required to be morally teachable according to </w:t>
      </w:r>
      <w:r w:rsidRPr="00EC439D">
        <w:rPr>
          <w:rFonts w:ascii="Garamond" w:hAnsi="Garamond"/>
        </w:rPr>
        <w:lastRenderedPageBreak/>
        <w:t>God’s standards.</w:t>
      </w:r>
      <w:r w:rsidR="00A243C3" w:rsidRPr="00EC439D">
        <w:rPr>
          <w:rStyle w:val="FootnoteReference"/>
          <w:rFonts w:ascii="Garamond" w:hAnsi="Garamond"/>
        </w:rPr>
        <w:footnoteReference w:id="1"/>
      </w:r>
      <w:r w:rsidR="00A243C3" w:rsidRPr="00EC439D">
        <w:rPr>
          <w:rFonts w:ascii="Garamond" w:hAnsi="Garamond"/>
        </w:rPr>
        <w:t xml:space="preserve"> Furthermore, in some Christian traditions, one cannot gain access to certain ‘truths’ that God reveals unless one is humble before God, and that one must access these truths through faith.</w:t>
      </w:r>
      <w:r w:rsidR="00A243C3" w:rsidRPr="00EC439D">
        <w:rPr>
          <w:rStyle w:val="FootnoteReference"/>
          <w:rFonts w:ascii="Garamond" w:hAnsi="Garamond"/>
        </w:rPr>
        <w:footnoteReference w:id="2"/>
      </w:r>
      <w:r w:rsidR="00A243C3" w:rsidRPr="00EC439D">
        <w:rPr>
          <w:rFonts w:ascii="Garamond" w:hAnsi="Garamond"/>
        </w:rPr>
        <w:t xml:space="preserve"> </w:t>
      </w:r>
    </w:p>
    <w:p w14:paraId="3F5EB005" w14:textId="75B43183" w:rsidR="00A243C3" w:rsidRPr="00EC439D" w:rsidRDefault="00A243C3" w:rsidP="007F64E6">
      <w:pPr>
        <w:spacing w:line="360" w:lineRule="auto"/>
        <w:ind w:firstLine="720"/>
        <w:jc w:val="both"/>
        <w:rPr>
          <w:rFonts w:ascii="Garamond" w:hAnsi="Garamond" w:cs="Times New Roman"/>
        </w:rPr>
      </w:pPr>
      <w:r w:rsidRPr="00EC439D">
        <w:rPr>
          <w:rFonts w:ascii="Garamond" w:hAnsi="Garamond" w:cs="Times New Roman"/>
        </w:rPr>
        <w:t>This paper defends a distinctive way in which to bring faith and humility together by showing how faith must be humble if it is to be a virtue.</w:t>
      </w:r>
      <w:r w:rsidRPr="00EC439D">
        <w:rPr>
          <w:rStyle w:val="FootnoteReference"/>
          <w:rFonts w:ascii="Garamond" w:hAnsi="Garamond" w:cs="Times New Roman"/>
        </w:rPr>
        <w:footnoteReference w:id="3"/>
      </w:r>
      <w:r w:rsidRPr="00EC439D">
        <w:rPr>
          <w:rFonts w:ascii="Garamond" w:hAnsi="Garamond" w:cs="Times New Roman"/>
        </w:rPr>
        <w:t xml:space="preserve"> To defend this view, I first develop an account of faith that conceives of faith as trust in God, involving trust in God’s testimony. As I will show, this view has received significant support from both philosophers and theologians in recent and historical literature. I then explore the nature of intellectual humility in terms of taking the appropriate response to one’s intellectual strengths and limitations</w:t>
      </w:r>
      <w:r>
        <w:rPr>
          <w:rFonts w:ascii="Garamond" w:hAnsi="Garamond" w:cs="Times New Roman"/>
        </w:rPr>
        <w:t>. From this, we can</w:t>
      </w:r>
      <w:r w:rsidRPr="00EC439D">
        <w:rPr>
          <w:rFonts w:ascii="Garamond" w:hAnsi="Garamond" w:cs="Times New Roman"/>
        </w:rPr>
        <w:t xml:space="preserve"> see </w:t>
      </w:r>
      <w:r>
        <w:rPr>
          <w:rFonts w:ascii="Garamond" w:hAnsi="Garamond" w:cs="Times New Roman"/>
        </w:rPr>
        <w:t>humility</w:t>
      </w:r>
      <w:r w:rsidRPr="00EC439D">
        <w:rPr>
          <w:rFonts w:ascii="Garamond" w:hAnsi="Garamond" w:cs="Times New Roman"/>
        </w:rPr>
        <w:t xml:space="preserve"> as a </w:t>
      </w:r>
      <w:r w:rsidRPr="00EC439D">
        <w:rPr>
          <w:rFonts w:ascii="Garamond" w:hAnsi="Garamond" w:cs="Times New Roman"/>
          <w:i/>
          <w:iCs/>
        </w:rPr>
        <w:t>mean</w:t>
      </w:r>
      <w:r w:rsidRPr="00EC439D">
        <w:rPr>
          <w:rFonts w:ascii="Garamond" w:hAnsi="Garamond" w:cs="Times New Roman"/>
        </w:rPr>
        <w:t xml:space="preserve"> between the vices of intellectual </w:t>
      </w:r>
      <w:r w:rsidRPr="00EC439D">
        <w:rPr>
          <w:rFonts w:ascii="Garamond" w:hAnsi="Garamond" w:cs="Times New Roman"/>
          <w:i/>
          <w:iCs/>
        </w:rPr>
        <w:t>servility</w:t>
      </w:r>
      <w:r w:rsidRPr="00EC439D">
        <w:rPr>
          <w:rFonts w:ascii="Garamond" w:hAnsi="Garamond" w:cs="Times New Roman"/>
        </w:rPr>
        <w:t xml:space="preserve"> and </w:t>
      </w:r>
      <w:r w:rsidRPr="00EC439D">
        <w:rPr>
          <w:rFonts w:ascii="Garamond" w:hAnsi="Garamond" w:cs="Times New Roman"/>
          <w:i/>
          <w:iCs/>
        </w:rPr>
        <w:t>arrogance</w:t>
      </w:r>
      <w:r w:rsidRPr="00EC439D">
        <w:rPr>
          <w:rFonts w:ascii="Garamond" w:hAnsi="Garamond" w:cs="Times New Roman"/>
        </w:rPr>
        <w:t>. Then, I show how faith must be accompanied by one’s intellectual humility if it is to be virtuous.</w:t>
      </w:r>
      <w:r w:rsidRPr="00EC439D">
        <w:rPr>
          <w:rFonts w:ascii="Garamond" w:hAnsi="Garamond" w:cs="Times New Roman"/>
          <w:sz w:val="20"/>
          <w:vertAlign w:val="superscript"/>
        </w:rPr>
        <w:footnoteReference w:id="4"/>
      </w:r>
      <w:r w:rsidRPr="00EC439D">
        <w:rPr>
          <w:rFonts w:ascii="Garamond" w:hAnsi="Garamond" w:cs="Times New Roman"/>
        </w:rPr>
        <w:t xml:space="preserve"> For faith to be intellectually humble, one must take on the most appropriate response to the evidential situation one faces, taking into account one’s limitations and strengths. Where one’s faith fails to be humble, it may be either arrogant or servile.</w:t>
      </w:r>
    </w:p>
    <w:p w14:paraId="23E03CA3" w14:textId="77777777" w:rsidR="00A243C3" w:rsidRPr="00EC439D" w:rsidRDefault="00A243C3" w:rsidP="00A4367E">
      <w:pPr>
        <w:spacing w:line="360" w:lineRule="auto"/>
        <w:jc w:val="both"/>
        <w:rPr>
          <w:rFonts w:ascii="Garamond" w:hAnsi="Garamond"/>
        </w:rPr>
      </w:pPr>
    </w:p>
    <w:p w14:paraId="0A8F0DED" w14:textId="1F2B8AF2" w:rsidR="00A243C3" w:rsidRPr="00EC439D" w:rsidRDefault="00A243C3" w:rsidP="007F64E6">
      <w:pPr>
        <w:pStyle w:val="Heading1"/>
        <w:numPr>
          <w:ilvl w:val="0"/>
          <w:numId w:val="0"/>
        </w:numPr>
        <w:ind w:left="357" w:hanging="357"/>
        <w:rPr>
          <w:rFonts w:eastAsia="Times New Roman"/>
          <w:sz w:val="28"/>
          <w:szCs w:val="36"/>
        </w:rPr>
      </w:pPr>
      <w:bookmarkStart w:id="1" w:name="_Hlk509562282"/>
      <w:r w:rsidRPr="00EC439D">
        <w:rPr>
          <w:rFonts w:eastAsia="Times New Roman"/>
          <w:sz w:val="28"/>
          <w:szCs w:val="36"/>
        </w:rPr>
        <w:t>Faith and Trusting Testimony</w:t>
      </w:r>
    </w:p>
    <w:bookmarkEnd w:id="1"/>
    <w:p w14:paraId="2D15F346" w14:textId="4B5AF89D"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The relationship between faith and trusting God’s testimony can be found in both historical and recent literature. Typically, such trust is a matter of</w:t>
      </w:r>
      <w:r>
        <w:rPr>
          <w:rFonts w:ascii="Garamond" w:eastAsia="Calibri" w:hAnsi="Garamond" w:cs="Times New Roman"/>
          <w:szCs w:val="22"/>
        </w:rPr>
        <w:t xml:space="preserve"> taking someone’s word for it, that is, of</w:t>
      </w:r>
      <w:r w:rsidRPr="00EC439D">
        <w:rPr>
          <w:rFonts w:ascii="Garamond" w:eastAsia="Calibri" w:hAnsi="Garamond" w:cs="Times New Roman"/>
          <w:szCs w:val="22"/>
        </w:rPr>
        <w:t xml:space="preserve"> believing</w:t>
      </w:r>
      <w:r>
        <w:rPr>
          <w:rFonts w:ascii="Garamond" w:eastAsia="Calibri" w:hAnsi="Garamond" w:cs="Times New Roman"/>
          <w:szCs w:val="22"/>
        </w:rPr>
        <w:t xml:space="preserve"> someone’s</w:t>
      </w:r>
      <w:r w:rsidRPr="00EC439D">
        <w:rPr>
          <w:rFonts w:ascii="Garamond" w:eastAsia="Calibri" w:hAnsi="Garamond" w:cs="Times New Roman"/>
          <w:szCs w:val="22"/>
        </w:rPr>
        <w:t xml:space="preserve"> testimony, and can have as its object either </w:t>
      </w:r>
      <w:r>
        <w:rPr>
          <w:rFonts w:ascii="Garamond" w:eastAsia="Calibri" w:hAnsi="Garamond" w:cs="Times New Roman"/>
          <w:szCs w:val="22"/>
        </w:rPr>
        <w:t xml:space="preserve">a </w:t>
      </w:r>
      <w:r w:rsidRPr="00EC439D">
        <w:rPr>
          <w:rFonts w:ascii="Garamond" w:eastAsia="Calibri" w:hAnsi="Garamond" w:cs="Times New Roman"/>
          <w:szCs w:val="22"/>
        </w:rPr>
        <w:t>human</w:t>
      </w:r>
      <w:r>
        <w:rPr>
          <w:rFonts w:ascii="Garamond" w:eastAsia="Calibri" w:hAnsi="Garamond" w:cs="Times New Roman"/>
          <w:szCs w:val="22"/>
        </w:rPr>
        <w:t xml:space="preserve"> or divine</w:t>
      </w:r>
      <w:r w:rsidRPr="00EC439D">
        <w:rPr>
          <w:rFonts w:ascii="Garamond" w:eastAsia="Calibri" w:hAnsi="Garamond" w:cs="Times New Roman"/>
          <w:szCs w:val="22"/>
        </w:rPr>
        <w:t xml:space="preserve"> speaker. For instance, when exploring the nature of believing another person, G.E.M. Anscombe remarked that</w:t>
      </w:r>
    </w:p>
    <w:p w14:paraId="3E22846B" w14:textId="2B7B008D" w:rsidR="00A243C3" w:rsidRPr="00EC439D" w:rsidRDefault="00A243C3" w:rsidP="00A4367E">
      <w:pPr>
        <w:spacing w:after="120" w:line="360" w:lineRule="auto"/>
        <w:ind w:left="567" w:right="566"/>
        <w:jc w:val="both"/>
        <w:rPr>
          <w:rFonts w:ascii="Garamond" w:eastAsia="Calibri" w:hAnsi="Garamond" w:cs="Times New Roman"/>
          <w:sz w:val="23"/>
          <w:szCs w:val="23"/>
        </w:rPr>
      </w:pPr>
      <w:r w:rsidRPr="00EC439D">
        <w:rPr>
          <w:rFonts w:ascii="Garamond" w:eastAsia="Calibri" w:hAnsi="Garamond" w:cs="Times New Roman"/>
          <w:sz w:val="23"/>
          <w:szCs w:val="23"/>
        </w:rPr>
        <w:t xml:space="preserve">…At one time there was the following way of speaking: faith was distinguished as human and divine. Human faith was believing a mere human being; divine faith was believing God. (Anscombe </w:t>
      </w:r>
      <w:r>
        <w:rPr>
          <w:rFonts w:ascii="Garamond" w:eastAsia="Calibri" w:hAnsi="Garamond" w:cs="Times New Roman"/>
          <w:sz w:val="23"/>
          <w:szCs w:val="23"/>
        </w:rPr>
        <w:t>(</w:t>
      </w:r>
      <w:r w:rsidRPr="00EC439D">
        <w:rPr>
          <w:rFonts w:ascii="Garamond" w:eastAsia="Calibri" w:hAnsi="Garamond" w:cs="Times New Roman"/>
          <w:sz w:val="23"/>
          <w:szCs w:val="23"/>
        </w:rPr>
        <w:t>1979</w:t>
      </w:r>
      <w:r>
        <w:rPr>
          <w:rFonts w:ascii="Garamond" w:eastAsia="Calibri" w:hAnsi="Garamond" w:cs="Times New Roman"/>
          <w:sz w:val="23"/>
          <w:szCs w:val="23"/>
        </w:rPr>
        <w:t>)</w:t>
      </w:r>
      <w:r w:rsidRPr="00EC439D">
        <w:rPr>
          <w:rFonts w:ascii="Garamond" w:eastAsia="Calibri" w:hAnsi="Garamond" w:cs="Times New Roman"/>
          <w:sz w:val="23"/>
          <w:szCs w:val="23"/>
        </w:rPr>
        <w:t>, 142)</w:t>
      </w:r>
    </w:p>
    <w:p w14:paraId="777EC374" w14:textId="13D5BC31"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 xml:space="preserve">Other recent philosophers have made similar remarks. Lara </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says that this kind of faith is ‘belief on the basis of testimony: one has faith in a person if one relies on that person’s testimony in forming beliefs’ (2017b, 48).</w:t>
      </w:r>
    </w:p>
    <w:p w14:paraId="4D3EDB5B" w14:textId="38E4FE27"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lastRenderedPageBreak/>
        <w:t xml:space="preserve">Other authors who have focussed on this kind of faith have been more committed to giving accounts of </w:t>
      </w:r>
      <w:r w:rsidRPr="00EC439D">
        <w:rPr>
          <w:rFonts w:ascii="Garamond" w:eastAsia="Calibri" w:hAnsi="Garamond" w:cs="Times New Roman"/>
          <w:i/>
          <w:iCs/>
          <w:szCs w:val="22"/>
        </w:rPr>
        <w:t>Christian</w:t>
      </w:r>
      <w:r w:rsidRPr="00EC439D">
        <w:rPr>
          <w:rFonts w:ascii="Garamond" w:eastAsia="Calibri" w:hAnsi="Garamond" w:cs="Times New Roman"/>
          <w:szCs w:val="22"/>
        </w:rPr>
        <w:t xml:space="preserve"> faith, and so have tended been more attentive to believing </w:t>
      </w:r>
      <w:r w:rsidRPr="00EC439D">
        <w:rPr>
          <w:rFonts w:ascii="Garamond" w:eastAsia="Calibri" w:hAnsi="Garamond" w:cs="Times New Roman"/>
          <w:i/>
          <w:iCs/>
          <w:szCs w:val="22"/>
        </w:rPr>
        <w:t>divine</w:t>
      </w:r>
      <w:r w:rsidRPr="00EC439D">
        <w:rPr>
          <w:rFonts w:ascii="Garamond" w:eastAsia="Calibri" w:hAnsi="Garamond" w:cs="Times New Roman"/>
          <w:szCs w:val="22"/>
        </w:rPr>
        <w:t xml:space="preserve"> testimony. For example, Linda </w:t>
      </w:r>
      <w:proofErr w:type="spellStart"/>
      <w:r w:rsidRPr="00EC439D">
        <w:rPr>
          <w:rFonts w:ascii="Garamond" w:eastAsia="Calibri" w:hAnsi="Garamond" w:cs="Times New Roman"/>
          <w:szCs w:val="22"/>
        </w:rPr>
        <w:t>Zagzebski</w:t>
      </w:r>
      <w:proofErr w:type="spellEnd"/>
      <w:r w:rsidRPr="00EC439D">
        <w:rPr>
          <w:rFonts w:ascii="Garamond" w:eastAsia="Calibri" w:hAnsi="Garamond" w:cs="Times New Roman"/>
          <w:szCs w:val="22"/>
        </w:rPr>
        <w:t xml:space="preserve"> has claimed that ‘religious faith is believing God’ (2012, 190), and similarly, Anthony Kenny writes that religious faith is ‘belief that a proposition is true because God has revealed it’ (1992, 50). There are other recent authors, too, who have coalesced in defining religious faith as believing God, or maintaining that Christian faith requires believing God’s testimony,</w:t>
      </w:r>
      <w:r w:rsidRPr="00EC439D">
        <w:rPr>
          <w:rFonts w:ascii="Garamond" w:eastAsia="Calibri" w:hAnsi="Garamond" w:cs="Times New Roman"/>
          <w:sz w:val="20"/>
          <w:szCs w:val="22"/>
          <w:vertAlign w:val="superscript"/>
        </w:rPr>
        <w:footnoteReference w:id="5"/>
      </w:r>
      <w:r w:rsidRPr="00EC439D">
        <w:rPr>
          <w:rFonts w:ascii="Garamond" w:eastAsia="Calibri" w:hAnsi="Garamond" w:cs="Times New Roman"/>
          <w:szCs w:val="22"/>
        </w:rPr>
        <w:t xml:space="preserve"> and this concept also has a</w:t>
      </w:r>
      <w:r>
        <w:rPr>
          <w:rFonts w:ascii="Garamond" w:eastAsia="Calibri" w:hAnsi="Garamond" w:cs="Times New Roman"/>
          <w:szCs w:val="22"/>
        </w:rPr>
        <w:t>n</w:t>
      </w:r>
      <w:r w:rsidRPr="00EC439D">
        <w:rPr>
          <w:rFonts w:ascii="Garamond" w:eastAsia="Calibri" w:hAnsi="Garamond" w:cs="Times New Roman"/>
          <w:szCs w:val="22"/>
        </w:rPr>
        <w:t xml:space="preserve"> impressive historical pedigree in both philosophy and theology.</w:t>
      </w:r>
      <w:r w:rsidRPr="00EC439D">
        <w:rPr>
          <w:rFonts w:ascii="Garamond" w:eastAsia="Calibri" w:hAnsi="Garamond" w:cs="Times New Roman"/>
          <w:sz w:val="20"/>
          <w:szCs w:val="22"/>
          <w:vertAlign w:val="superscript"/>
        </w:rPr>
        <w:footnoteReference w:id="6"/>
      </w:r>
    </w:p>
    <w:p w14:paraId="72C21A1A" w14:textId="1D5C38BF"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So, what is this kind of faith and how can we give an account of it? A useful place to begin is with testimony itself. Testimony is the primary linguistic means that people have of sharing their knowledge with other people. People </w:t>
      </w:r>
      <w:r w:rsidRPr="00EC439D">
        <w:rPr>
          <w:rFonts w:ascii="Garamond" w:eastAsia="Calibri" w:hAnsi="Garamond" w:cs="Times New Roman"/>
          <w:i/>
          <w:iCs/>
          <w:szCs w:val="22"/>
        </w:rPr>
        <w:t>tell</w:t>
      </w:r>
      <w:r w:rsidRPr="00EC439D">
        <w:rPr>
          <w:rFonts w:ascii="Garamond" w:eastAsia="Calibri" w:hAnsi="Garamond" w:cs="Times New Roman"/>
          <w:szCs w:val="22"/>
        </w:rPr>
        <w:t xml:space="preserve"> one another propositions that they themselves (hopefully) take to be knowledge, offering hearers the opportunity to acquire a piece of knowledge on the basis of their testimony. As Elizabeth Fricker puts it:</w:t>
      </w:r>
    </w:p>
    <w:p w14:paraId="7B3FC6BC" w14:textId="1A863BC4" w:rsidR="00A243C3" w:rsidRPr="00EC439D" w:rsidRDefault="00A243C3" w:rsidP="00A4367E">
      <w:pPr>
        <w:spacing w:after="120" w:line="360" w:lineRule="auto"/>
        <w:ind w:left="567" w:right="515"/>
        <w:jc w:val="both"/>
        <w:rPr>
          <w:rFonts w:ascii="Garamond" w:eastAsia="Calibri" w:hAnsi="Garamond" w:cs="Times New Roman"/>
          <w:sz w:val="23"/>
          <w:szCs w:val="23"/>
        </w:rPr>
      </w:pPr>
      <w:r w:rsidRPr="00EC439D">
        <w:rPr>
          <w:rFonts w:ascii="Garamond" w:eastAsia="Calibri" w:hAnsi="Garamond" w:cs="Times New Roman"/>
          <w:sz w:val="23"/>
          <w:szCs w:val="23"/>
        </w:rPr>
        <w:t xml:space="preserve">In a paradigm and </w:t>
      </w:r>
      <w:r w:rsidRPr="00EC439D">
        <w:rPr>
          <w:rFonts w:ascii="Garamond" w:eastAsia="Calibri" w:hAnsi="Garamond" w:cs="Times New Roman"/>
          <w:i/>
          <w:iCs/>
          <w:sz w:val="23"/>
          <w:szCs w:val="23"/>
        </w:rPr>
        <w:t>felicitous</w:t>
      </w:r>
      <w:r w:rsidRPr="00EC439D">
        <w:rPr>
          <w:rFonts w:ascii="Garamond" w:eastAsia="Calibri" w:hAnsi="Garamond" w:cs="Times New Roman"/>
          <w:sz w:val="23"/>
          <w:szCs w:val="23"/>
        </w:rPr>
        <w:t xml:space="preserve"> telling, the teller rightly takes herself to know that P, and seeks to share her knowledge with her intended audience, whom she believes ignorant, or possibly ignorant, as to whether P. Telling is the proprietary linguistic means . . . of letting someone else know what one already knows oneself . . . [and] is a social institution for the spreading of knowledge, enabling it to be possessed at second-hand. (Fricker 2006, 596)</w:t>
      </w:r>
    </w:p>
    <w:p w14:paraId="53A96FE9" w14:textId="5C870C3E"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This gives an idea of the speaker side of a testimonial exchange. But if faith is, or involves, a hearer trusting a speaker for her testimony, then we need to understand what the hearer’s response is to the testimony offered to her.</w:t>
      </w:r>
    </w:p>
    <w:p w14:paraId="753B29EA" w14:textId="309005C1"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Hearers may respond to testimony in several ways. Predominantly though, they will either trust or distrust what the speaker says. </w:t>
      </w:r>
      <w:r w:rsidRPr="00EC439D">
        <w:rPr>
          <w:rFonts w:ascii="Garamond" w:eastAsia="Calibri" w:hAnsi="Garamond" w:cs="Times New Roman"/>
          <w:i/>
          <w:iCs/>
          <w:szCs w:val="22"/>
        </w:rPr>
        <w:t>Believing</w:t>
      </w:r>
      <w:r w:rsidRPr="00EC439D">
        <w:rPr>
          <w:rFonts w:ascii="Garamond" w:eastAsia="Calibri" w:hAnsi="Garamond" w:cs="Times New Roman"/>
          <w:szCs w:val="22"/>
        </w:rPr>
        <w:t xml:space="preserve"> a speaker is sufficient for trusting her, and it is only through forming a belief that one may acquire knowledge from a speaker. But other responses may also be sufficient for trust. One may be unsure about the veracity of the testimony, or about the reliability of the speaker, and so cognitively suspend judgment concerning the truth of the testimony. Nevertheless, she may </w:t>
      </w:r>
      <w:r w:rsidRPr="00EC439D">
        <w:rPr>
          <w:rFonts w:ascii="Garamond" w:eastAsia="Calibri" w:hAnsi="Garamond" w:cs="Times New Roman"/>
          <w:i/>
          <w:iCs/>
          <w:szCs w:val="22"/>
        </w:rPr>
        <w:t>accept</w:t>
      </w:r>
      <w:r w:rsidRPr="00EC439D">
        <w:rPr>
          <w:rFonts w:ascii="Garamond" w:eastAsia="Calibri" w:hAnsi="Garamond" w:cs="Times New Roman"/>
          <w:szCs w:val="22"/>
        </w:rPr>
        <w:t xml:space="preserve"> what the speaker says by assenting to the testimony and </w:t>
      </w:r>
      <w:r w:rsidRPr="00EC439D">
        <w:rPr>
          <w:rFonts w:ascii="Garamond" w:eastAsia="Calibri" w:hAnsi="Garamond" w:cs="Times New Roman"/>
          <w:szCs w:val="22"/>
        </w:rPr>
        <w:lastRenderedPageBreak/>
        <w:t xml:space="preserve">committing to act as though what the speaker has said is true (Cohen </w:t>
      </w:r>
      <w:r>
        <w:rPr>
          <w:rFonts w:ascii="Garamond" w:eastAsia="Calibri" w:hAnsi="Garamond" w:cs="Times New Roman"/>
          <w:szCs w:val="22"/>
        </w:rPr>
        <w:t>(</w:t>
      </w:r>
      <w:r w:rsidRPr="00EC439D">
        <w:rPr>
          <w:rFonts w:ascii="Garamond" w:eastAsia="Calibri" w:hAnsi="Garamond" w:cs="Times New Roman"/>
          <w:szCs w:val="22"/>
        </w:rPr>
        <w:t>1992</w:t>
      </w:r>
      <w:r>
        <w:rPr>
          <w:rFonts w:ascii="Garamond" w:eastAsia="Calibri" w:hAnsi="Garamond" w:cs="Times New Roman"/>
          <w:szCs w:val="22"/>
        </w:rPr>
        <w:t>)</w:t>
      </w:r>
      <w:r w:rsidRPr="00EC439D">
        <w:rPr>
          <w:rFonts w:ascii="Garamond" w:eastAsia="Calibri" w:hAnsi="Garamond" w:cs="Times New Roman"/>
          <w:szCs w:val="22"/>
        </w:rPr>
        <w:t xml:space="preserve">). Some accounts of trust have discussed how trust can be nondoxastic in this kind of way (Frost-Arnold </w:t>
      </w:r>
      <w:r>
        <w:rPr>
          <w:rFonts w:ascii="Garamond" w:eastAsia="Calibri" w:hAnsi="Garamond" w:cs="Times New Roman"/>
          <w:szCs w:val="22"/>
        </w:rPr>
        <w:t>(</w:t>
      </w:r>
      <w:r w:rsidRPr="00EC439D">
        <w:rPr>
          <w:rFonts w:ascii="Garamond" w:eastAsia="Calibri" w:hAnsi="Garamond" w:cs="Times New Roman"/>
          <w:szCs w:val="22"/>
        </w:rPr>
        <w:t>2014</w:t>
      </w:r>
      <w:r>
        <w:rPr>
          <w:rFonts w:ascii="Garamond" w:eastAsia="Calibri" w:hAnsi="Garamond" w:cs="Times New Roman"/>
          <w:szCs w:val="22"/>
        </w:rPr>
        <w:t>)</w:t>
      </w:r>
      <w:r w:rsidRPr="00EC439D">
        <w:rPr>
          <w:rFonts w:ascii="Garamond" w:eastAsia="Calibri" w:hAnsi="Garamond" w:cs="Times New Roman"/>
          <w:szCs w:val="22"/>
        </w:rPr>
        <w:t xml:space="preserve">). In order to leave it an open question whether hearers can trust a speaker by either </w:t>
      </w:r>
      <w:r w:rsidRPr="00EC439D">
        <w:rPr>
          <w:rFonts w:ascii="Garamond" w:eastAsia="Calibri" w:hAnsi="Garamond" w:cs="Times New Roman"/>
          <w:i/>
          <w:iCs/>
          <w:szCs w:val="22"/>
        </w:rPr>
        <w:t>believing</w:t>
      </w:r>
      <w:r w:rsidRPr="00EC439D">
        <w:rPr>
          <w:rFonts w:ascii="Garamond" w:eastAsia="Calibri" w:hAnsi="Garamond" w:cs="Times New Roman"/>
          <w:szCs w:val="22"/>
        </w:rPr>
        <w:t xml:space="preserve"> her or </w:t>
      </w:r>
      <w:r w:rsidRPr="00EC439D">
        <w:rPr>
          <w:rFonts w:ascii="Garamond" w:eastAsia="Calibri" w:hAnsi="Garamond" w:cs="Times New Roman"/>
          <w:i/>
          <w:iCs/>
          <w:szCs w:val="22"/>
        </w:rPr>
        <w:t>accepting</w:t>
      </w:r>
      <w:r w:rsidRPr="00EC439D">
        <w:rPr>
          <w:rFonts w:ascii="Garamond" w:eastAsia="Calibri" w:hAnsi="Garamond" w:cs="Times New Roman"/>
          <w:szCs w:val="22"/>
        </w:rPr>
        <w:t xml:space="preserve"> her testimony in a nondoxastic sense, I will simply say that hearers can </w:t>
      </w:r>
      <w:r w:rsidRPr="00EC439D">
        <w:rPr>
          <w:rFonts w:ascii="Garamond" w:eastAsia="Calibri" w:hAnsi="Garamond" w:cs="Times New Roman"/>
          <w:i/>
          <w:iCs/>
          <w:szCs w:val="22"/>
        </w:rPr>
        <w:t>trust</w:t>
      </w:r>
      <w:r w:rsidRPr="00EC439D">
        <w:rPr>
          <w:rFonts w:ascii="Garamond" w:eastAsia="Calibri" w:hAnsi="Garamond" w:cs="Times New Roman"/>
          <w:szCs w:val="22"/>
        </w:rPr>
        <w:t xml:space="preserve"> speakers for their testimony. Of course, hearers can also </w:t>
      </w:r>
      <w:r w:rsidRPr="00EC439D">
        <w:rPr>
          <w:rFonts w:ascii="Garamond" w:eastAsia="Calibri" w:hAnsi="Garamond" w:cs="Times New Roman"/>
          <w:i/>
          <w:iCs/>
          <w:szCs w:val="22"/>
        </w:rPr>
        <w:t>distrust</w:t>
      </w:r>
      <w:r w:rsidRPr="00EC439D">
        <w:rPr>
          <w:rFonts w:ascii="Garamond" w:eastAsia="Calibri" w:hAnsi="Garamond" w:cs="Times New Roman"/>
          <w:szCs w:val="22"/>
        </w:rPr>
        <w:t xml:space="preserve"> testimony by </w:t>
      </w:r>
      <w:r w:rsidRPr="00EC439D">
        <w:rPr>
          <w:rFonts w:ascii="Garamond" w:eastAsia="Calibri" w:hAnsi="Garamond" w:cs="Times New Roman"/>
          <w:i/>
          <w:iCs/>
          <w:szCs w:val="22"/>
        </w:rPr>
        <w:t>disbelieving</w:t>
      </w:r>
      <w:r w:rsidRPr="00EC439D">
        <w:rPr>
          <w:rFonts w:ascii="Garamond" w:eastAsia="Calibri" w:hAnsi="Garamond" w:cs="Times New Roman"/>
          <w:szCs w:val="22"/>
        </w:rPr>
        <w:t xml:space="preserve"> it, or, perhaps, by refusing to act as though what one has been told is true.</w:t>
      </w:r>
    </w:p>
    <w:p w14:paraId="0DFE53B3" w14:textId="43F6E786"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It is the trusting response on behalf of the hearer to the speaker’s testimony that has been identified with faith. This is particularly evident in the quotations from Anscombe and </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in the foregoing. And quite possibly faith, in a somewhat mundane sense, can be an instance of trusting another person’s testimony. As Daniel Howard-Snyder claims, ‘in so far as this use of “faith” as believing someone involves faith at all, it involves putting one’s faith in x, trusting x, to tell the truth about p’ (2016, 146). And yet we might feel that </w:t>
      </w:r>
      <w:r w:rsidRPr="00EC439D">
        <w:rPr>
          <w:rFonts w:ascii="Garamond" w:eastAsia="Calibri" w:hAnsi="Garamond" w:cs="Times New Roman"/>
          <w:i/>
          <w:iCs/>
          <w:szCs w:val="22"/>
        </w:rPr>
        <w:t xml:space="preserve">religious </w:t>
      </w:r>
      <w:r w:rsidRPr="00EC439D">
        <w:rPr>
          <w:rFonts w:ascii="Garamond" w:eastAsia="Calibri" w:hAnsi="Garamond" w:cs="Times New Roman"/>
          <w:szCs w:val="22"/>
        </w:rPr>
        <w:t>faith requires more than one-off instances of trusting God’s testimony. The reason why is because religious faith, particularly in the Christian tradition, is often taken to involve a relationship between an individual person and God. Someone can trust a particular person on a single piece of testimony with any stranger in the street with whom she has no personal relationship. What seems required for religious faith, though, is for one to have a general disposition to trust God, which involves a disposition to trust what one perceives to be God’s testimony, and that partly in virtue of such a disposition one will be in a trusting relationship.</w:t>
      </w:r>
      <w:r w:rsidRPr="00EC439D">
        <w:rPr>
          <w:rStyle w:val="FootnoteReference"/>
          <w:rFonts w:ascii="Garamond" w:eastAsia="Calibri" w:hAnsi="Garamond" w:cs="Times New Roman"/>
          <w:szCs w:val="22"/>
        </w:rPr>
        <w:footnoteReference w:id="7"/>
      </w:r>
      <w:r w:rsidRPr="00EC439D">
        <w:rPr>
          <w:rFonts w:ascii="Garamond" w:eastAsia="Calibri" w:hAnsi="Garamond" w:cs="Times New Roman"/>
          <w:szCs w:val="22"/>
        </w:rPr>
        <w:t xml:space="preserve"> From such a disposition</w:t>
      </w:r>
      <w:r>
        <w:rPr>
          <w:rFonts w:ascii="Garamond" w:eastAsia="Calibri" w:hAnsi="Garamond" w:cs="Times New Roman"/>
          <w:szCs w:val="22"/>
        </w:rPr>
        <w:t>,</w:t>
      </w:r>
      <w:r w:rsidRPr="00EC439D">
        <w:rPr>
          <w:rFonts w:ascii="Garamond" w:eastAsia="Calibri" w:hAnsi="Garamond" w:cs="Times New Roman"/>
          <w:szCs w:val="22"/>
        </w:rPr>
        <w:t xml:space="preserve"> one will trust God for particular instances of perceived testimony.</w:t>
      </w:r>
    </w:p>
    <w:p w14:paraId="5EA1EBE9" w14:textId="5ED6DBC9"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So, for religious faith, we require an account of faith that can make sense of this richer notion of a relationship of trust. A way into this issue is from recent work on the nature of faith, which has provided two plausible candidates for faith as an attitude with the relevant dispositions towards trust and reliance. First, there is </w:t>
      </w:r>
      <w:r w:rsidRPr="00EC439D">
        <w:rPr>
          <w:rFonts w:ascii="Garamond" w:eastAsia="Calibri" w:hAnsi="Garamond" w:cs="Times New Roman"/>
          <w:i/>
          <w:szCs w:val="22"/>
        </w:rPr>
        <w:t>propositional faith</w:t>
      </w:r>
      <w:r w:rsidRPr="00EC439D">
        <w:rPr>
          <w:rFonts w:ascii="Garamond" w:eastAsia="Calibri" w:hAnsi="Garamond" w:cs="Times New Roman"/>
          <w:szCs w:val="22"/>
        </w:rPr>
        <w:t xml:space="preserve">, or </w:t>
      </w:r>
      <w:r w:rsidRPr="00EC439D">
        <w:rPr>
          <w:rFonts w:ascii="Garamond" w:eastAsia="Calibri" w:hAnsi="Garamond" w:cs="Times New Roman"/>
          <w:i/>
          <w:szCs w:val="22"/>
        </w:rPr>
        <w:t>faith that p</w:t>
      </w:r>
      <w:r w:rsidRPr="00EC439D">
        <w:rPr>
          <w:rFonts w:ascii="Garamond" w:eastAsia="Calibri" w:hAnsi="Garamond" w:cs="Times New Roman"/>
          <w:szCs w:val="22"/>
        </w:rPr>
        <w:t xml:space="preserve">, as when someone has faith that </w:t>
      </w:r>
      <w:r>
        <w:rPr>
          <w:rFonts w:ascii="Garamond" w:eastAsia="Calibri" w:hAnsi="Garamond" w:cs="Times New Roman"/>
          <w:szCs w:val="22"/>
        </w:rPr>
        <w:t>her</w:t>
      </w:r>
      <w:r w:rsidRPr="00EC439D">
        <w:rPr>
          <w:rFonts w:ascii="Garamond" w:eastAsia="Calibri" w:hAnsi="Garamond" w:cs="Times New Roman"/>
          <w:szCs w:val="22"/>
        </w:rPr>
        <w:t xml:space="preserve"> team will win the game, or faith that God exists. Second, there is </w:t>
      </w:r>
      <w:r w:rsidRPr="00EC439D">
        <w:rPr>
          <w:rFonts w:ascii="Garamond" w:eastAsia="Calibri" w:hAnsi="Garamond" w:cs="Times New Roman"/>
          <w:i/>
          <w:szCs w:val="22"/>
        </w:rPr>
        <w:t>relational faith</w:t>
      </w:r>
      <w:r w:rsidRPr="00EC439D">
        <w:rPr>
          <w:rFonts w:ascii="Garamond" w:eastAsia="Calibri" w:hAnsi="Garamond" w:cs="Times New Roman"/>
          <w:szCs w:val="22"/>
        </w:rPr>
        <w:t xml:space="preserve">, or </w:t>
      </w:r>
      <w:r w:rsidRPr="00EC439D">
        <w:rPr>
          <w:rFonts w:ascii="Garamond" w:eastAsia="Calibri" w:hAnsi="Garamond" w:cs="Times New Roman"/>
          <w:i/>
          <w:szCs w:val="22"/>
        </w:rPr>
        <w:t xml:space="preserve">faith in </w:t>
      </w:r>
      <w:r w:rsidRPr="00EC439D">
        <w:rPr>
          <w:rFonts w:ascii="Garamond" w:eastAsia="Calibri" w:hAnsi="Garamond" w:cs="Times New Roman"/>
          <w:i/>
          <w:iCs/>
          <w:szCs w:val="22"/>
        </w:rPr>
        <w:t>X</w:t>
      </w:r>
      <w:r w:rsidRPr="00EC439D">
        <w:rPr>
          <w:rFonts w:ascii="Garamond" w:eastAsia="Calibri" w:hAnsi="Garamond" w:cs="Times New Roman"/>
          <w:szCs w:val="22"/>
        </w:rPr>
        <w:t>, where X is some object, like a government, or some person, like a friend.</w:t>
      </w:r>
    </w:p>
    <w:p w14:paraId="558724FE" w14:textId="04B6D3F2"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Propositional faith is widely thought to require holding a cognitive attitude towards a proposition </w:t>
      </w:r>
      <w:r w:rsidRPr="00EC439D">
        <w:rPr>
          <w:rFonts w:ascii="Garamond" w:eastAsia="Calibri" w:hAnsi="Garamond" w:cs="Times New Roman"/>
          <w:i/>
          <w:szCs w:val="22"/>
        </w:rPr>
        <w:t>p</w:t>
      </w:r>
      <w:r w:rsidRPr="00EC439D">
        <w:rPr>
          <w:rFonts w:ascii="Garamond" w:eastAsia="Calibri" w:hAnsi="Garamond" w:cs="Times New Roman"/>
          <w:szCs w:val="22"/>
        </w:rPr>
        <w:t xml:space="preserve"> of either belief or nondoxastic assent, such as acceptance or assumption. This can be characterised in terms of cognitively taking </w:t>
      </w:r>
      <w:r w:rsidRPr="00EC439D">
        <w:rPr>
          <w:rFonts w:ascii="Garamond" w:eastAsia="Calibri" w:hAnsi="Garamond" w:cs="Times New Roman"/>
          <w:i/>
          <w:szCs w:val="22"/>
        </w:rPr>
        <w:t>p</w:t>
      </w:r>
      <w:r w:rsidRPr="00EC439D">
        <w:rPr>
          <w:rFonts w:ascii="Garamond" w:eastAsia="Calibri" w:hAnsi="Garamond" w:cs="Times New Roman"/>
          <w:szCs w:val="22"/>
        </w:rPr>
        <w:t xml:space="preserve"> to be true by, for instance, representing </w:t>
      </w:r>
      <w:r w:rsidRPr="00EC439D">
        <w:rPr>
          <w:rFonts w:ascii="Garamond" w:eastAsia="Calibri" w:hAnsi="Garamond" w:cs="Times New Roman"/>
          <w:i/>
          <w:szCs w:val="22"/>
        </w:rPr>
        <w:t>p</w:t>
      </w:r>
      <w:r w:rsidRPr="00EC439D">
        <w:rPr>
          <w:rFonts w:ascii="Garamond" w:eastAsia="Calibri" w:hAnsi="Garamond" w:cs="Times New Roman"/>
          <w:szCs w:val="22"/>
        </w:rPr>
        <w:t xml:space="preserve"> as true, and being disposed to act as though </w:t>
      </w:r>
      <w:r w:rsidRPr="00EC439D">
        <w:rPr>
          <w:rFonts w:ascii="Garamond" w:eastAsia="Calibri" w:hAnsi="Garamond" w:cs="Times New Roman"/>
          <w:i/>
          <w:szCs w:val="22"/>
        </w:rPr>
        <w:t>p</w:t>
      </w:r>
      <w:r w:rsidRPr="00EC439D">
        <w:rPr>
          <w:rFonts w:ascii="Garamond" w:eastAsia="Calibri" w:hAnsi="Garamond" w:cs="Times New Roman"/>
          <w:szCs w:val="22"/>
        </w:rPr>
        <w:t>.</w:t>
      </w:r>
      <w:r w:rsidRPr="00EC439D">
        <w:rPr>
          <w:rFonts w:ascii="Garamond" w:eastAsia="Calibri" w:hAnsi="Garamond" w:cs="Times New Roman"/>
          <w:sz w:val="20"/>
          <w:szCs w:val="22"/>
          <w:vertAlign w:val="superscript"/>
        </w:rPr>
        <w:footnoteReference w:id="8"/>
      </w:r>
      <w:r w:rsidRPr="00EC439D">
        <w:rPr>
          <w:rFonts w:ascii="Garamond" w:eastAsia="Calibri" w:hAnsi="Garamond" w:cs="Times New Roman"/>
          <w:szCs w:val="22"/>
        </w:rPr>
        <w:t xml:space="preserve"> In addition, propositional faith is also thought to require </w:t>
      </w:r>
      <w:r w:rsidRPr="00EC439D">
        <w:rPr>
          <w:rFonts w:ascii="Garamond" w:eastAsia="Calibri" w:hAnsi="Garamond" w:cs="Times New Roman"/>
          <w:szCs w:val="22"/>
        </w:rPr>
        <w:lastRenderedPageBreak/>
        <w:t xml:space="preserve">one to be </w:t>
      </w:r>
      <w:bookmarkStart w:id="2" w:name="_Hlk504387318"/>
      <w:r w:rsidRPr="00EC439D">
        <w:rPr>
          <w:rFonts w:ascii="Garamond" w:eastAsia="Calibri" w:hAnsi="Garamond" w:cs="Times New Roman"/>
          <w:szCs w:val="22"/>
        </w:rPr>
        <w:t xml:space="preserve">in favour of the truth of </w:t>
      </w:r>
      <w:r w:rsidRPr="00EC439D">
        <w:rPr>
          <w:rFonts w:ascii="Garamond" w:eastAsia="Calibri" w:hAnsi="Garamond" w:cs="Times New Roman"/>
          <w:i/>
          <w:szCs w:val="22"/>
        </w:rPr>
        <w:t>p</w:t>
      </w:r>
      <w:r w:rsidRPr="00EC439D">
        <w:rPr>
          <w:rFonts w:ascii="Garamond" w:eastAsia="Calibri" w:hAnsi="Garamond" w:cs="Times New Roman"/>
          <w:szCs w:val="22"/>
        </w:rPr>
        <w:t xml:space="preserve">, by, for example, desiring that </w:t>
      </w:r>
      <w:r w:rsidRPr="00EC439D">
        <w:rPr>
          <w:rFonts w:ascii="Garamond" w:eastAsia="Calibri" w:hAnsi="Garamond" w:cs="Times New Roman"/>
          <w:i/>
          <w:szCs w:val="22"/>
        </w:rPr>
        <w:t>p</w:t>
      </w:r>
      <w:r w:rsidRPr="00EC439D">
        <w:rPr>
          <w:rFonts w:ascii="Garamond" w:eastAsia="Calibri" w:hAnsi="Garamond" w:cs="Times New Roman"/>
          <w:szCs w:val="22"/>
        </w:rPr>
        <w:t xml:space="preserve">, or believing </w:t>
      </w:r>
      <w:r w:rsidRPr="00EC439D">
        <w:rPr>
          <w:rFonts w:ascii="Garamond" w:eastAsia="Calibri" w:hAnsi="Garamond" w:cs="Times New Roman"/>
          <w:i/>
          <w:szCs w:val="22"/>
        </w:rPr>
        <w:t>p</w:t>
      </w:r>
      <w:r w:rsidRPr="00EC439D">
        <w:rPr>
          <w:rFonts w:ascii="Garamond" w:eastAsia="Calibri" w:hAnsi="Garamond" w:cs="Times New Roman"/>
          <w:szCs w:val="22"/>
        </w:rPr>
        <w:t xml:space="preserve"> to be good or desirable </w:t>
      </w:r>
      <w:bookmarkEnd w:id="2"/>
      <w:r w:rsidRPr="00EC439D">
        <w:rPr>
          <w:rFonts w:ascii="Garamond" w:eastAsia="Calibri" w:hAnsi="Garamond" w:cs="Times New Roman"/>
          <w:szCs w:val="22"/>
        </w:rPr>
        <w:t xml:space="preserve">(Audi </w:t>
      </w:r>
      <w:r>
        <w:rPr>
          <w:rFonts w:ascii="Garamond" w:eastAsia="Calibri" w:hAnsi="Garamond" w:cs="Times New Roman"/>
          <w:szCs w:val="22"/>
        </w:rPr>
        <w:t>(</w:t>
      </w:r>
      <w:r w:rsidRPr="00EC439D">
        <w:rPr>
          <w:rFonts w:ascii="Garamond" w:eastAsia="Calibri" w:hAnsi="Garamond" w:cs="Times New Roman"/>
          <w:szCs w:val="22"/>
        </w:rPr>
        <w:t>2008</w:t>
      </w:r>
      <w:r>
        <w:rPr>
          <w:rFonts w:ascii="Garamond" w:eastAsia="Calibri" w:hAnsi="Garamond" w:cs="Times New Roman"/>
          <w:szCs w:val="22"/>
        </w:rPr>
        <w:t>)</w:t>
      </w:r>
      <w:r w:rsidRPr="00EC439D">
        <w:rPr>
          <w:rFonts w:ascii="Garamond" w:eastAsia="Calibri" w:hAnsi="Garamond" w:cs="Times New Roman"/>
          <w:szCs w:val="22"/>
        </w:rPr>
        <w:t xml:space="preserve">, 92; Howard-Snyder </w:t>
      </w:r>
      <w:r>
        <w:rPr>
          <w:rFonts w:ascii="Garamond" w:eastAsia="Calibri" w:hAnsi="Garamond" w:cs="Times New Roman"/>
          <w:szCs w:val="22"/>
        </w:rPr>
        <w:t>(</w:t>
      </w:r>
      <w:r w:rsidRPr="00EC439D">
        <w:rPr>
          <w:rFonts w:ascii="Garamond" w:eastAsia="Calibri" w:hAnsi="Garamond" w:cs="Times New Roman"/>
          <w:szCs w:val="22"/>
        </w:rPr>
        <w:t>2013</w:t>
      </w:r>
      <w:r>
        <w:rPr>
          <w:rFonts w:ascii="Garamond" w:eastAsia="Calibri" w:hAnsi="Garamond" w:cs="Times New Roman"/>
          <w:szCs w:val="22"/>
        </w:rPr>
        <w:t>)</w:t>
      </w:r>
      <w:r w:rsidRPr="00EC439D">
        <w:rPr>
          <w:rFonts w:ascii="Garamond" w:eastAsia="Calibri" w:hAnsi="Garamond" w:cs="Times New Roman"/>
          <w:szCs w:val="22"/>
        </w:rPr>
        <w:t xml:space="preserve">, 367; Schellenberg </w:t>
      </w:r>
      <w:r>
        <w:rPr>
          <w:rFonts w:ascii="Garamond" w:eastAsia="Calibri" w:hAnsi="Garamond" w:cs="Times New Roman"/>
          <w:szCs w:val="22"/>
        </w:rPr>
        <w:t>(</w:t>
      </w:r>
      <w:r w:rsidRPr="00EC439D">
        <w:rPr>
          <w:rFonts w:ascii="Garamond" w:eastAsia="Calibri" w:hAnsi="Garamond" w:cs="Times New Roman"/>
          <w:szCs w:val="22"/>
        </w:rPr>
        <w:t>2005</w:t>
      </w:r>
      <w:r>
        <w:rPr>
          <w:rFonts w:ascii="Garamond" w:eastAsia="Calibri" w:hAnsi="Garamond" w:cs="Times New Roman"/>
          <w:szCs w:val="22"/>
        </w:rPr>
        <w:t>)</w:t>
      </w:r>
      <w:r w:rsidRPr="00EC439D">
        <w:rPr>
          <w:rFonts w:ascii="Garamond" w:eastAsia="Calibri" w:hAnsi="Garamond" w:cs="Times New Roman"/>
          <w:szCs w:val="22"/>
        </w:rPr>
        <w:t xml:space="preserve">, 108). Thus construed, propositional faith is an attitude or mental state that a person has, concerning the truth of some proposition. </w:t>
      </w:r>
    </w:p>
    <w:p w14:paraId="3CA309CD" w14:textId="542AA559"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Relational faith is often thought to be constituted by trust (Audi </w:t>
      </w:r>
      <w:r>
        <w:rPr>
          <w:rFonts w:ascii="Garamond" w:eastAsia="Calibri" w:hAnsi="Garamond" w:cs="Times New Roman"/>
          <w:szCs w:val="22"/>
        </w:rPr>
        <w:t>(</w:t>
      </w:r>
      <w:r w:rsidRPr="00EC439D">
        <w:rPr>
          <w:rFonts w:ascii="Garamond" w:eastAsia="Calibri" w:hAnsi="Garamond" w:cs="Times New Roman"/>
          <w:szCs w:val="22"/>
        </w:rPr>
        <w:t>2011</w:t>
      </w:r>
      <w:r>
        <w:rPr>
          <w:rFonts w:ascii="Garamond" w:eastAsia="Calibri" w:hAnsi="Garamond" w:cs="Times New Roman"/>
          <w:szCs w:val="22"/>
        </w:rPr>
        <w:t>)</w:t>
      </w:r>
      <w:r w:rsidRPr="00EC439D">
        <w:rPr>
          <w:rFonts w:ascii="Garamond" w:eastAsia="Calibri" w:hAnsi="Garamond" w:cs="Times New Roman"/>
          <w:szCs w:val="22"/>
        </w:rPr>
        <w:t xml:space="preserve">, 55-56; Swinburne </w:t>
      </w:r>
      <w:r>
        <w:rPr>
          <w:rFonts w:ascii="Garamond" w:eastAsia="Calibri" w:hAnsi="Garamond" w:cs="Times New Roman"/>
          <w:szCs w:val="22"/>
        </w:rPr>
        <w:t>(</w:t>
      </w:r>
      <w:r w:rsidRPr="00EC439D">
        <w:rPr>
          <w:rFonts w:ascii="Garamond" w:eastAsia="Calibri" w:hAnsi="Garamond" w:cs="Times New Roman"/>
          <w:szCs w:val="22"/>
        </w:rPr>
        <w:t>2005</w:t>
      </w:r>
      <w:r>
        <w:rPr>
          <w:rFonts w:ascii="Garamond" w:eastAsia="Calibri" w:hAnsi="Garamond" w:cs="Times New Roman"/>
          <w:szCs w:val="22"/>
        </w:rPr>
        <w:t>)</w:t>
      </w:r>
      <w:r w:rsidRPr="00EC439D">
        <w:rPr>
          <w:rFonts w:ascii="Garamond" w:eastAsia="Calibri" w:hAnsi="Garamond" w:cs="Times New Roman"/>
          <w:szCs w:val="22"/>
        </w:rPr>
        <w:t xml:space="preserve">, 142-147) or a disposition to rely on something (Howard-Snyder </w:t>
      </w:r>
      <w:r>
        <w:rPr>
          <w:rFonts w:ascii="Garamond" w:eastAsia="Calibri" w:hAnsi="Garamond" w:cs="Times New Roman"/>
          <w:szCs w:val="22"/>
        </w:rPr>
        <w:t>(</w:t>
      </w:r>
      <w:r w:rsidRPr="00EC439D">
        <w:rPr>
          <w:rFonts w:ascii="Garamond" w:eastAsia="Calibri" w:hAnsi="Garamond" w:cs="Times New Roman"/>
          <w:szCs w:val="22"/>
        </w:rPr>
        <w:t>2017</w:t>
      </w:r>
      <w:r>
        <w:rPr>
          <w:rFonts w:ascii="Garamond" w:eastAsia="Calibri" w:hAnsi="Garamond" w:cs="Times New Roman"/>
          <w:szCs w:val="22"/>
        </w:rPr>
        <w:t>)</w:t>
      </w:r>
      <w:r w:rsidRPr="00EC439D">
        <w:rPr>
          <w:rFonts w:ascii="Garamond" w:eastAsia="Calibri" w:hAnsi="Garamond" w:cs="Times New Roman"/>
          <w:szCs w:val="22"/>
        </w:rPr>
        <w:t xml:space="preserve">, 56). For example, faith in one’s spouse will dispose one to trust or rely on one’s spouse. Relational faith also appears to require taking on a cognitive attitude toward the truth of certain propositions. For instance, when someone has faith </w:t>
      </w:r>
      <w:r w:rsidRPr="00EC439D">
        <w:rPr>
          <w:rFonts w:ascii="Garamond" w:eastAsia="Calibri" w:hAnsi="Garamond" w:cs="Times New Roman"/>
          <w:iCs/>
          <w:szCs w:val="22"/>
        </w:rPr>
        <w:t>in</w:t>
      </w:r>
      <w:r w:rsidRPr="00EC439D">
        <w:rPr>
          <w:rFonts w:ascii="Garamond" w:eastAsia="Calibri" w:hAnsi="Garamond" w:cs="Times New Roman"/>
          <w:szCs w:val="22"/>
        </w:rPr>
        <w:t xml:space="preserve"> a friend to tell the truth, she accepts or believes </w:t>
      </w:r>
      <w:r w:rsidRPr="00EC439D">
        <w:rPr>
          <w:rFonts w:ascii="Garamond" w:eastAsia="Calibri" w:hAnsi="Garamond" w:cs="Times New Roman"/>
          <w:iCs/>
          <w:szCs w:val="22"/>
        </w:rPr>
        <w:t>that</w:t>
      </w:r>
      <w:r w:rsidRPr="00EC439D">
        <w:rPr>
          <w:rFonts w:ascii="Garamond" w:eastAsia="Calibri" w:hAnsi="Garamond" w:cs="Times New Roman"/>
          <w:szCs w:val="22"/>
        </w:rPr>
        <w:t xml:space="preserve"> her friend will tell the truth. So, </w:t>
      </w:r>
      <w:r w:rsidRPr="00EC439D">
        <w:rPr>
          <w:rFonts w:ascii="Garamond" w:eastAsia="Calibri" w:hAnsi="Garamond" w:cs="Times New Roman"/>
          <w:i/>
          <w:iCs/>
          <w:szCs w:val="22"/>
        </w:rPr>
        <w:t>faith in</w:t>
      </w:r>
      <w:r w:rsidRPr="00EC439D">
        <w:rPr>
          <w:rFonts w:ascii="Garamond" w:eastAsia="Calibri" w:hAnsi="Garamond" w:cs="Times New Roman"/>
          <w:szCs w:val="22"/>
        </w:rPr>
        <w:t xml:space="preserve"> </w:t>
      </w:r>
      <w:r>
        <w:rPr>
          <w:rFonts w:ascii="Garamond" w:eastAsia="Calibri" w:hAnsi="Garamond" w:cs="Times New Roman"/>
          <w:i/>
          <w:iCs/>
          <w:szCs w:val="22"/>
        </w:rPr>
        <w:t xml:space="preserve">X </w:t>
      </w:r>
      <w:r w:rsidRPr="00EC439D">
        <w:rPr>
          <w:rFonts w:ascii="Garamond" w:eastAsia="Calibri" w:hAnsi="Garamond" w:cs="Times New Roman"/>
          <w:szCs w:val="22"/>
        </w:rPr>
        <w:t xml:space="preserve">can be seen as a complex attitude in which one holds a cognitive attitude toward the truth of </w:t>
      </w:r>
      <w:r w:rsidRPr="00EC439D">
        <w:rPr>
          <w:rFonts w:ascii="Garamond" w:eastAsia="Calibri" w:hAnsi="Garamond" w:cs="Times New Roman"/>
          <w:i/>
          <w:szCs w:val="22"/>
        </w:rPr>
        <w:t>p</w:t>
      </w:r>
      <w:r w:rsidRPr="00EC439D">
        <w:rPr>
          <w:rFonts w:ascii="Garamond" w:eastAsia="Calibri" w:hAnsi="Garamond" w:cs="Times New Roman"/>
          <w:szCs w:val="22"/>
        </w:rPr>
        <w:t xml:space="preserve">, whilst also requiring the dispositions towards trust or reliance. </w:t>
      </w:r>
    </w:p>
    <w:p w14:paraId="106AF524" w14:textId="502EEB18"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Religious faith in the sense of trusting God and being disposed to trust God’s testimony, may be understood as a complex of propositional and relational faith. For instance, as when a person S has faith </w:t>
      </w:r>
      <w:r w:rsidRPr="00EC439D">
        <w:rPr>
          <w:rFonts w:ascii="Garamond" w:eastAsia="Calibri" w:hAnsi="Garamond" w:cs="Times New Roman"/>
          <w:i/>
          <w:iCs/>
          <w:szCs w:val="22"/>
        </w:rPr>
        <w:t>that</w:t>
      </w:r>
      <w:r w:rsidRPr="00EC439D">
        <w:rPr>
          <w:rFonts w:ascii="Garamond" w:eastAsia="Calibri" w:hAnsi="Garamond" w:cs="Times New Roman"/>
          <w:szCs w:val="22"/>
        </w:rPr>
        <w:t xml:space="preserve"> God is trustworthy and what God tells S is true, and when S has faith </w:t>
      </w:r>
      <w:r w:rsidRPr="00EC439D">
        <w:rPr>
          <w:rFonts w:ascii="Garamond" w:eastAsia="Calibri" w:hAnsi="Garamond" w:cs="Times New Roman"/>
          <w:i/>
          <w:iCs/>
          <w:szCs w:val="22"/>
        </w:rPr>
        <w:t>in</w:t>
      </w:r>
      <w:r w:rsidRPr="00EC439D">
        <w:rPr>
          <w:rFonts w:ascii="Garamond" w:eastAsia="Calibri" w:hAnsi="Garamond" w:cs="Times New Roman"/>
          <w:szCs w:val="22"/>
        </w:rPr>
        <w:t xml:space="preserve"> God to be trustworthy and to speak truly. Such a complex of faith attitudes will dispose a person in various ways to trust God, including to trust God for his testimony, to rely on it in thought and decision-making, and to act as though the perceived testimony is true.</w:t>
      </w:r>
      <w:r w:rsidRPr="00EC439D">
        <w:rPr>
          <w:rStyle w:val="FootnoteReference"/>
          <w:rFonts w:ascii="Garamond" w:eastAsia="Calibri" w:hAnsi="Garamond" w:cs="Times New Roman"/>
          <w:szCs w:val="22"/>
        </w:rPr>
        <w:footnoteReference w:id="9"/>
      </w:r>
      <w:r w:rsidRPr="00EC439D">
        <w:rPr>
          <w:rFonts w:ascii="Garamond" w:eastAsia="Calibri" w:hAnsi="Garamond" w:cs="Times New Roman"/>
          <w:szCs w:val="22"/>
        </w:rPr>
        <w:t xml:space="preserve"> </w:t>
      </w:r>
    </w:p>
    <w:p w14:paraId="55BBDC08" w14:textId="3297210A"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Note that there is a distinction here between attitudes with dispositions and actions exhibiting those dispositions. This can be put in terms of </w:t>
      </w:r>
      <w:r w:rsidRPr="00EC439D">
        <w:rPr>
          <w:rFonts w:ascii="Garamond" w:eastAsia="Calibri" w:hAnsi="Garamond" w:cs="Times New Roman"/>
          <w:i/>
          <w:szCs w:val="22"/>
        </w:rPr>
        <w:t>having</w:t>
      </w:r>
      <w:r w:rsidRPr="00EC439D">
        <w:rPr>
          <w:rFonts w:ascii="Garamond" w:eastAsia="Calibri" w:hAnsi="Garamond" w:cs="Times New Roman"/>
          <w:szCs w:val="22"/>
        </w:rPr>
        <w:t xml:space="preserve"> faith in God and </w:t>
      </w:r>
      <w:r w:rsidRPr="00EC439D">
        <w:rPr>
          <w:rFonts w:ascii="Garamond" w:eastAsia="Calibri" w:hAnsi="Garamond" w:cs="Times New Roman"/>
          <w:i/>
          <w:iCs/>
          <w:szCs w:val="22"/>
        </w:rPr>
        <w:t>putting</w:t>
      </w:r>
      <w:r w:rsidRPr="00EC439D">
        <w:rPr>
          <w:rFonts w:ascii="Garamond" w:eastAsia="Calibri" w:hAnsi="Garamond" w:cs="Times New Roman"/>
          <w:szCs w:val="22"/>
        </w:rPr>
        <w:t xml:space="preserve"> faith in God. Consider this in relation to faith in God’s testimony. Someone can </w:t>
      </w:r>
      <w:r w:rsidRPr="00EC439D">
        <w:rPr>
          <w:rFonts w:ascii="Garamond" w:eastAsia="Calibri" w:hAnsi="Garamond" w:cs="Times New Roman"/>
          <w:i/>
          <w:iCs/>
          <w:szCs w:val="22"/>
        </w:rPr>
        <w:t>have</w:t>
      </w:r>
      <w:r w:rsidRPr="00EC439D">
        <w:rPr>
          <w:rFonts w:ascii="Garamond" w:eastAsia="Calibri" w:hAnsi="Garamond" w:cs="Times New Roman"/>
          <w:szCs w:val="22"/>
        </w:rPr>
        <w:t xml:space="preserve"> faith in God to tell the truth in virtue of a disposition to rely on God’s testimony. But she can also </w:t>
      </w:r>
      <w:r w:rsidRPr="00EC439D">
        <w:rPr>
          <w:rFonts w:ascii="Garamond" w:eastAsia="Calibri" w:hAnsi="Garamond" w:cs="Times New Roman"/>
          <w:i/>
          <w:iCs/>
          <w:szCs w:val="22"/>
        </w:rPr>
        <w:t>put</w:t>
      </w:r>
      <w:r w:rsidRPr="00EC439D">
        <w:rPr>
          <w:rFonts w:ascii="Garamond" w:eastAsia="Calibri" w:hAnsi="Garamond" w:cs="Times New Roman"/>
          <w:szCs w:val="22"/>
        </w:rPr>
        <w:t xml:space="preserve"> faith in God’s testimony by trusting what she perceives God to have said. Having faith in X provides one with a complex mental judgment involving a psychological disposition to trust or rely on X. Even though this state motivates someone to action, it is not itself an action. But putting faith in X is to exhibit the dispositions given by one’s faith, and when one’s faith concerns the reliability of someone as a speaker, then these dispositions are exhibited by trusting what the person says. This can be done through belief, acceptance, and the commitment to act as though the testimony is true.</w:t>
      </w:r>
    </w:p>
    <w:p w14:paraId="144AE19D" w14:textId="01C17525" w:rsidR="00A243C3" w:rsidRPr="00EC439D" w:rsidRDefault="00A243C3" w:rsidP="00A4367E">
      <w:pPr>
        <w:spacing w:line="360" w:lineRule="auto"/>
        <w:jc w:val="both"/>
        <w:rPr>
          <w:rFonts w:ascii="Garamond" w:hAnsi="Garamond" w:cs="Times New Roman"/>
        </w:rPr>
      </w:pPr>
      <w:r w:rsidRPr="00EC439D">
        <w:rPr>
          <w:rFonts w:ascii="Garamond" w:eastAsia="Calibri" w:hAnsi="Garamond" w:cs="Times New Roman"/>
          <w:szCs w:val="22"/>
        </w:rPr>
        <w:tab/>
        <w:t xml:space="preserve">When someone’s faith in another is exhibited through action – when she </w:t>
      </w:r>
      <w:r w:rsidRPr="00EC439D">
        <w:rPr>
          <w:rFonts w:ascii="Garamond" w:eastAsia="Calibri" w:hAnsi="Garamond" w:cs="Times New Roman"/>
          <w:i/>
          <w:iCs/>
          <w:szCs w:val="22"/>
        </w:rPr>
        <w:t xml:space="preserve">puts </w:t>
      </w:r>
      <w:r w:rsidRPr="00EC439D">
        <w:rPr>
          <w:rFonts w:ascii="Garamond" w:eastAsia="Calibri" w:hAnsi="Garamond" w:cs="Times New Roman"/>
          <w:szCs w:val="22"/>
        </w:rPr>
        <w:t xml:space="preserve">her faith in someone – then we can say that she performs an </w:t>
      </w:r>
      <w:r w:rsidRPr="00EC439D">
        <w:rPr>
          <w:rFonts w:ascii="Garamond" w:eastAsia="Calibri" w:hAnsi="Garamond" w:cs="Times New Roman"/>
          <w:i/>
          <w:iCs/>
          <w:szCs w:val="22"/>
        </w:rPr>
        <w:t xml:space="preserve">act of faith </w:t>
      </w:r>
      <w:r w:rsidRPr="00EC439D">
        <w:rPr>
          <w:rFonts w:ascii="Garamond" w:eastAsia="Calibri" w:hAnsi="Garamond" w:cs="Times New Roman"/>
          <w:szCs w:val="22"/>
        </w:rPr>
        <w:t>in the sense that she acts on her</w:t>
      </w:r>
      <w:r w:rsidRPr="00EC439D">
        <w:rPr>
          <w:rFonts w:ascii="Garamond" w:eastAsia="Calibri" w:hAnsi="Garamond" w:cs="Times New Roman"/>
          <w:i/>
          <w:iCs/>
          <w:szCs w:val="22"/>
        </w:rPr>
        <w:t xml:space="preserve"> faith</w:t>
      </w:r>
      <w:r w:rsidRPr="00EC439D">
        <w:rPr>
          <w:rFonts w:ascii="Garamond" w:eastAsia="Calibri" w:hAnsi="Garamond" w:cs="Times New Roman"/>
          <w:szCs w:val="22"/>
        </w:rPr>
        <w:t xml:space="preserve">. When she acts on her faith, she performs the actions that she is disposed toward in virtue of her </w:t>
      </w:r>
      <w:r w:rsidRPr="00EC439D">
        <w:rPr>
          <w:rFonts w:ascii="Garamond" w:eastAsia="Calibri" w:hAnsi="Garamond" w:cs="Times New Roman"/>
          <w:szCs w:val="22"/>
        </w:rPr>
        <w:lastRenderedPageBreak/>
        <w:t xml:space="preserve">faith. Such actions are exhibitions of her faith in much the same way as with other kinds of traits or attitudes. </w:t>
      </w:r>
      <w:r w:rsidRPr="00EC439D">
        <w:rPr>
          <w:rFonts w:ascii="Garamond" w:hAnsi="Garamond" w:cs="Times New Roman"/>
        </w:rPr>
        <w:t xml:space="preserve">For instance, an intellectually generous researcher will be disposed to share her findings as widely as possible, both to academics and members of the public (cf. Roberts and Wood </w:t>
      </w:r>
      <w:r>
        <w:rPr>
          <w:rFonts w:ascii="Garamond" w:hAnsi="Garamond" w:cs="Times New Roman"/>
        </w:rPr>
        <w:t>(</w:t>
      </w:r>
      <w:r w:rsidRPr="00EC439D">
        <w:rPr>
          <w:rFonts w:ascii="Garamond" w:hAnsi="Garamond" w:cs="Times New Roman"/>
        </w:rPr>
        <w:t>2007</w:t>
      </w:r>
      <w:r>
        <w:rPr>
          <w:rFonts w:ascii="Garamond" w:hAnsi="Garamond" w:cs="Times New Roman"/>
        </w:rPr>
        <w:t>)</w:t>
      </w:r>
      <w:r w:rsidRPr="00EC439D">
        <w:rPr>
          <w:rFonts w:ascii="Garamond" w:hAnsi="Garamond" w:cs="Times New Roman"/>
        </w:rPr>
        <w:t>, 286-304). When she performs these actions, we can say that she performs acts of intellectual generosity. An intellectually closed-minded student will be disposed to confirmation bias, and hence to only look for evidence that supports his existing views. When he performs these actions, we can say that he performs acts of intellectual closed-mindedness.</w:t>
      </w:r>
    </w:p>
    <w:p w14:paraId="126E06BE" w14:textId="1CCA7FA1"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Of course, any of these actions can be performed without having the corresponding trait or attitude. Someone can share research findings beyond academia without being intellectually generous, and someone can search only for confirmatory evidence for a belief without being intellectually close-minded. And similar claims can be made about faith. Someone could perform an act of faith without having faith in X, or faith that </w:t>
      </w:r>
      <w:r w:rsidRPr="00EC439D">
        <w:rPr>
          <w:rFonts w:ascii="Garamond" w:hAnsi="Garamond" w:cs="Times New Roman"/>
          <w:i/>
          <w:iCs/>
        </w:rPr>
        <w:t>p</w:t>
      </w:r>
      <w:r w:rsidRPr="00EC439D">
        <w:rPr>
          <w:rFonts w:ascii="Garamond" w:hAnsi="Garamond" w:cs="Times New Roman"/>
        </w:rPr>
        <w:t>. But since we’re interested in a deep kind of relational faith that disposes someone to trust God – a kind required by religious, and particularly Christian faith – then I’m focussing on acts of faith in the sense that they express or exhibit a person’s existing faith, rather than acts distinct from it.</w:t>
      </w:r>
    </w:p>
    <w:p w14:paraId="1AE6CEE1" w14:textId="351C43E0"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We can see the distinction between faith and acts exhibiting one’s faith in both general and religious cases. For instance, when Jane has faith that her friend will pick her up from the airport on time, she is disposed to rely on her friend in this </w:t>
      </w:r>
      <w:proofErr w:type="gramStart"/>
      <w:r w:rsidRPr="00EC439D">
        <w:rPr>
          <w:rFonts w:ascii="Garamond" w:eastAsia="Calibri" w:hAnsi="Garamond" w:cs="Times New Roman"/>
          <w:szCs w:val="22"/>
        </w:rPr>
        <w:t>respect, and</w:t>
      </w:r>
      <w:proofErr w:type="gramEnd"/>
      <w:r w:rsidRPr="00EC439D">
        <w:rPr>
          <w:rFonts w:ascii="Garamond" w:eastAsia="Calibri" w:hAnsi="Garamond" w:cs="Times New Roman"/>
          <w:szCs w:val="22"/>
        </w:rPr>
        <w:t xml:space="preserve"> can act in this faith by relying on her </w:t>
      </w:r>
      <w:r>
        <w:rPr>
          <w:rFonts w:ascii="Garamond" w:eastAsia="Calibri" w:hAnsi="Garamond" w:cs="Times New Roman"/>
          <w:szCs w:val="22"/>
        </w:rPr>
        <w:t xml:space="preserve">to collect her </w:t>
      </w:r>
      <w:r w:rsidRPr="00EC439D">
        <w:rPr>
          <w:rFonts w:ascii="Garamond" w:eastAsia="Calibri" w:hAnsi="Garamond" w:cs="Times New Roman"/>
          <w:szCs w:val="22"/>
        </w:rPr>
        <w:t>rather than calling a taxi. When Mark has faith in the Grand Canyon Skywalk to hold his weight, he is disposed to rely on it in this respect, and he can act in his faith by walking out onto it. And when Kate has faith in God to speak truly, and faith that God is a reliable and credible testifier, then she is disposed to defer to, trust, and rely on what she takes to be God’s testimony. Kate can then perform an act of faith that expresses or exhibits her faith in God in these respects by trusting the purported testimony, deferring to it, committing to live as though it is true, etc.</w:t>
      </w:r>
    </w:p>
    <w:p w14:paraId="10C758CB" w14:textId="01129BC5"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Now, although the model of faith discussed thus far began with a comparison between trusting human testimony and trusting God’s testimony, there is an important disanalogy between the two that moves us towards a distinctive account of religious faith. For, whilst there is generally no problem identifying a speaker in </w:t>
      </w:r>
      <w:r w:rsidRPr="00EC439D">
        <w:rPr>
          <w:rFonts w:ascii="Garamond" w:eastAsia="Calibri" w:hAnsi="Garamond" w:cs="Times New Roman"/>
          <w:iCs/>
          <w:szCs w:val="22"/>
        </w:rPr>
        <w:t>typical</w:t>
      </w:r>
      <w:r w:rsidRPr="00EC439D">
        <w:rPr>
          <w:rFonts w:ascii="Garamond" w:eastAsia="Calibri" w:hAnsi="Garamond" w:cs="Times New Roman"/>
          <w:szCs w:val="22"/>
        </w:rPr>
        <w:t xml:space="preserve"> cases of human testimony, it is not straightforward identifying a purported instance of God’s testimony </w:t>
      </w:r>
      <w:r w:rsidRPr="00EC439D">
        <w:rPr>
          <w:rFonts w:ascii="Garamond" w:eastAsia="Calibri" w:hAnsi="Garamond" w:cs="Times New Roman"/>
          <w:i/>
          <w:szCs w:val="22"/>
        </w:rPr>
        <w:t>as</w:t>
      </w:r>
      <w:r w:rsidRPr="00EC439D">
        <w:rPr>
          <w:rFonts w:ascii="Garamond" w:eastAsia="Calibri" w:hAnsi="Garamond" w:cs="Times New Roman"/>
          <w:szCs w:val="22"/>
        </w:rPr>
        <w:t xml:space="preserve"> God’s testimony. This is generally the case because testimony from human speakers comes to us immediately and directly: speakers just assert to us, and we either trust or don’t trust them. Divine testimony, however, if indeed it is spoken, typically comes to us indirectly, mediated via various sources, including scripture, prophets, sermons, tradition, and perhaps even major life events or advice from friends. There is a separate </w:t>
      </w:r>
      <w:r w:rsidRPr="00EC439D">
        <w:rPr>
          <w:rFonts w:ascii="Garamond" w:eastAsia="Calibri" w:hAnsi="Garamond" w:cs="Times New Roman"/>
          <w:szCs w:val="22"/>
        </w:rPr>
        <w:lastRenderedPageBreak/>
        <w:t>task for the believer of divine testimony, over the believer in human testimony, namely, to adjudicate whether a piece of purported divine testimony is indeed God’s testimony. Subsequent to that, a person may simply believe the testimony itself, as with general cases of testimony.</w:t>
      </w:r>
    </w:p>
    <w:p w14:paraId="33B1382B" w14:textId="6B683090"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Observation of this disanalogy prompts an account of religious faith on three levels. First, one trusts God in the sense described earlier in this section by having faith in God in various respects, and faith that relevant propositions concerning God are the case. Second, such trust will dispose someone to </w:t>
      </w:r>
      <w:r w:rsidRPr="00EC439D">
        <w:rPr>
          <w:rFonts w:ascii="Garamond" w:eastAsia="Calibri" w:hAnsi="Garamond" w:cs="Times New Roman"/>
          <w:i/>
          <w:szCs w:val="22"/>
        </w:rPr>
        <w:t>trust God has spoken</w:t>
      </w:r>
      <w:r w:rsidRPr="00EC439D">
        <w:rPr>
          <w:rFonts w:ascii="Garamond" w:eastAsia="Calibri" w:hAnsi="Garamond" w:cs="Times New Roman"/>
          <w:szCs w:val="22"/>
        </w:rPr>
        <w:t>:</w:t>
      </w:r>
      <w:r w:rsidRPr="00EC439D">
        <w:rPr>
          <w:rStyle w:val="FootnoteReference"/>
          <w:rFonts w:ascii="Garamond" w:eastAsia="Calibri" w:hAnsi="Garamond" w:cs="Times New Roman"/>
          <w:szCs w:val="22"/>
        </w:rPr>
        <w:t xml:space="preserve"> </w:t>
      </w:r>
    </w:p>
    <w:p w14:paraId="08F39A7E" w14:textId="171BE293" w:rsidR="00A243C3" w:rsidRPr="00EC439D" w:rsidRDefault="00A243C3" w:rsidP="00A4367E">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(TGS): a person S trusts that some object or event (scripture, sermon, etc.) is an instance of God’s testimony. </w:t>
      </w:r>
    </w:p>
    <w:p w14:paraId="4CD99302" w14:textId="33D65BC4"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 xml:space="preserve">Someone with religious faith will be disposed in this way because she will have adopted a religious worldview in which there is a God who </w:t>
      </w:r>
      <w:r>
        <w:rPr>
          <w:rFonts w:ascii="Garamond" w:eastAsia="Calibri" w:hAnsi="Garamond" w:cs="Times New Roman"/>
          <w:szCs w:val="22"/>
        </w:rPr>
        <w:t>‘</w:t>
      </w:r>
      <w:r w:rsidRPr="00EC439D">
        <w:rPr>
          <w:rFonts w:ascii="Garamond" w:eastAsia="Calibri" w:hAnsi="Garamond" w:cs="Times New Roman"/>
          <w:szCs w:val="22"/>
        </w:rPr>
        <w:t>speaks</w:t>
      </w:r>
      <w:r>
        <w:rPr>
          <w:rFonts w:ascii="Garamond" w:eastAsia="Calibri" w:hAnsi="Garamond" w:cs="Times New Roman"/>
          <w:szCs w:val="22"/>
        </w:rPr>
        <w:t>’</w:t>
      </w:r>
      <w:r w:rsidRPr="00EC439D">
        <w:rPr>
          <w:rFonts w:ascii="Garamond" w:eastAsia="Calibri" w:hAnsi="Garamond" w:cs="Times New Roman"/>
          <w:szCs w:val="22"/>
        </w:rPr>
        <w:t xml:space="preserve"> by various </w:t>
      </w:r>
      <w:proofErr w:type="gramStart"/>
      <w:r w:rsidRPr="00EC439D">
        <w:rPr>
          <w:rFonts w:ascii="Garamond" w:eastAsia="Calibri" w:hAnsi="Garamond" w:cs="Times New Roman"/>
          <w:szCs w:val="22"/>
        </w:rPr>
        <w:t>means, and</w:t>
      </w:r>
      <w:proofErr w:type="gramEnd"/>
      <w:r w:rsidRPr="00EC439D">
        <w:rPr>
          <w:rFonts w:ascii="Garamond" w:eastAsia="Calibri" w:hAnsi="Garamond" w:cs="Times New Roman"/>
          <w:szCs w:val="22"/>
        </w:rPr>
        <w:t xml:space="preserve"> will trust this God to speak truly. Hence, she will exhibit these dispositions by trusting God has spoken (TGS). But third, she will also be disposed to </w:t>
      </w:r>
      <w:r w:rsidRPr="00EC439D">
        <w:rPr>
          <w:rFonts w:ascii="Garamond" w:eastAsia="Calibri" w:hAnsi="Garamond" w:cs="Times New Roman"/>
          <w:i/>
          <w:szCs w:val="22"/>
        </w:rPr>
        <w:t>trust God’s testimony</w:t>
      </w:r>
      <w:r w:rsidRPr="00EC439D">
        <w:rPr>
          <w:rFonts w:ascii="Garamond" w:eastAsia="Calibri" w:hAnsi="Garamond" w:cs="Times New Roman"/>
          <w:iCs/>
          <w:szCs w:val="22"/>
        </w:rPr>
        <w:t>:</w:t>
      </w:r>
      <w:r w:rsidRPr="00EC439D">
        <w:rPr>
          <w:rFonts w:ascii="Garamond" w:eastAsia="Calibri" w:hAnsi="Garamond" w:cs="Times New Roman"/>
          <w:szCs w:val="22"/>
        </w:rPr>
        <w:t xml:space="preserve"> </w:t>
      </w:r>
    </w:p>
    <w:p w14:paraId="5C56D778" w14:textId="3DF383A5" w:rsidR="00A243C3" w:rsidRPr="00EC439D" w:rsidRDefault="00A243C3" w:rsidP="00A4367E">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(TGT): a person S trusts that the purported testimony from God is true. </w:t>
      </w:r>
    </w:p>
    <w:p w14:paraId="4AA61520" w14:textId="4A7C9F09"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 xml:space="preserve">That is, once one believes God has told her something, she will also have the disposition to trust what she takes herself to have been told. And trusting God has spoken (TGS) and trusting this purported divine testimony (TGT), will be to perform acts of one’s faith – actions which exhibit one’s religious faith in God. Someone who has faith in this three-tiered sense I will say has </w:t>
      </w:r>
      <w:r w:rsidRPr="00EC439D">
        <w:rPr>
          <w:rFonts w:ascii="Garamond" w:eastAsia="Calibri" w:hAnsi="Garamond" w:cs="Times New Roman"/>
          <w:i/>
          <w:szCs w:val="22"/>
        </w:rPr>
        <w:t>faith as trusting God</w:t>
      </w:r>
      <w:r w:rsidRPr="00EC439D">
        <w:rPr>
          <w:rFonts w:ascii="Garamond" w:eastAsia="Calibri" w:hAnsi="Garamond" w:cs="Times New Roman"/>
          <w:szCs w:val="22"/>
        </w:rPr>
        <w:t xml:space="preserve"> (FTG).</w:t>
      </w:r>
    </w:p>
    <w:p w14:paraId="60853B00" w14:textId="256741C0"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From a theistic perspective, then, we can see faith as someone taking herself to be </w:t>
      </w:r>
      <w:r>
        <w:rPr>
          <w:rFonts w:ascii="Garamond" w:eastAsia="Calibri" w:hAnsi="Garamond" w:cs="Times New Roman"/>
          <w:szCs w:val="22"/>
        </w:rPr>
        <w:t>‘</w:t>
      </w:r>
      <w:r w:rsidRPr="00EC439D">
        <w:rPr>
          <w:rFonts w:ascii="Garamond" w:eastAsia="Calibri" w:hAnsi="Garamond" w:cs="Times New Roman"/>
          <w:szCs w:val="22"/>
        </w:rPr>
        <w:t>hearing</w:t>
      </w:r>
      <w:r>
        <w:rPr>
          <w:rFonts w:ascii="Garamond" w:eastAsia="Calibri" w:hAnsi="Garamond" w:cs="Times New Roman"/>
          <w:szCs w:val="22"/>
        </w:rPr>
        <w:t>’</w:t>
      </w:r>
      <w:r w:rsidRPr="00EC439D">
        <w:rPr>
          <w:rFonts w:ascii="Garamond" w:eastAsia="Calibri" w:hAnsi="Garamond" w:cs="Times New Roman"/>
          <w:szCs w:val="22"/>
        </w:rPr>
        <w:t xml:space="preserve"> and trusting God’s testimony, where God is the </w:t>
      </w:r>
      <w:r>
        <w:rPr>
          <w:rFonts w:ascii="Garamond" w:eastAsia="Calibri" w:hAnsi="Garamond" w:cs="Times New Roman"/>
          <w:szCs w:val="22"/>
        </w:rPr>
        <w:t>‘</w:t>
      </w:r>
      <w:r w:rsidRPr="00EC439D">
        <w:rPr>
          <w:rFonts w:ascii="Garamond" w:eastAsia="Calibri" w:hAnsi="Garamond" w:cs="Times New Roman"/>
          <w:szCs w:val="22"/>
        </w:rPr>
        <w:t>speaker</w:t>
      </w:r>
      <w:r>
        <w:rPr>
          <w:rFonts w:ascii="Garamond" w:eastAsia="Calibri" w:hAnsi="Garamond" w:cs="Times New Roman"/>
          <w:szCs w:val="22"/>
        </w:rPr>
        <w:t>’</w:t>
      </w:r>
      <w:r w:rsidRPr="00EC439D">
        <w:rPr>
          <w:rFonts w:ascii="Garamond" w:eastAsia="Calibri" w:hAnsi="Garamond" w:cs="Times New Roman"/>
          <w:szCs w:val="22"/>
        </w:rPr>
        <w:t xml:space="preserve"> of the testimony.</w:t>
      </w:r>
      <w:r w:rsidRPr="00EC439D">
        <w:rPr>
          <w:rFonts w:ascii="Garamond" w:eastAsia="Calibri" w:hAnsi="Garamond" w:cs="Times New Roman"/>
          <w:sz w:val="20"/>
          <w:szCs w:val="22"/>
          <w:vertAlign w:val="superscript"/>
        </w:rPr>
        <w:footnoteReference w:id="10"/>
      </w:r>
      <w:r w:rsidRPr="00EC439D">
        <w:rPr>
          <w:rFonts w:ascii="Garamond" w:eastAsia="Calibri" w:hAnsi="Garamond" w:cs="Times New Roman"/>
          <w:szCs w:val="22"/>
        </w:rPr>
        <w:t xml:space="preserve"> However, FTG does not specify what the source of the mediated testimony must be: the actual mode of the purported divine testimony can vary to a large extent (e.g. scripture, prophets, visions, the Holy Spirit, quasi-perceptual </w:t>
      </w:r>
      <w:proofErr w:type="spellStart"/>
      <w:r w:rsidRPr="00EC439D">
        <w:rPr>
          <w:rFonts w:ascii="Garamond" w:eastAsia="Calibri" w:hAnsi="Garamond" w:cs="Times New Roman"/>
          <w:i/>
          <w:szCs w:val="22"/>
        </w:rPr>
        <w:t>sensus</w:t>
      </w:r>
      <w:proofErr w:type="spellEnd"/>
      <w:r w:rsidRPr="00EC439D">
        <w:rPr>
          <w:rFonts w:ascii="Garamond" w:eastAsia="Calibri" w:hAnsi="Garamond" w:cs="Times New Roman"/>
          <w:i/>
          <w:szCs w:val="22"/>
        </w:rPr>
        <w:t xml:space="preserve"> </w:t>
      </w:r>
      <w:proofErr w:type="spellStart"/>
      <w:r w:rsidRPr="00EC439D">
        <w:rPr>
          <w:rFonts w:ascii="Garamond" w:eastAsia="Calibri" w:hAnsi="Garamond" w:cs="Times New Roman"/>
          <w:i/>
          <w:szCs w:val="22"/>
        </w:rPr>
        <w:t>divinitatis</w:t>
      </w:r>
      <w:proofErr w:type="spellEnd"/>
      <w:r w:rsidRPr="00EC439D">
        <w:rPr>
          <w:rFonts w:ascii="Garamond" w:eastAsia="Calibri" w:hAnsi="Garamond" w:cs="Times New Roman"/>
          <w:szCs w:val="22"/>
        </w:rPr>
        <w:t xml:space="preserve"> (Plantinga </w:t>
      </w:r>
      <w:r>
        <w:rPr>
          <w:rFonts w:ascii="Garamond" w:eastAsia="Calibri" w:hAnsi="Garamond" w:cs="Times New Roman"/>
          <w:szCs w:val="22"/>
        </w:rPr>
        <w:t>(</w:t>
      </w:r>
      <w:r w:rsidRPr="00EC439D">
        <w:rPr>
          <w:rFonts w:ascii="Garamond" w:eastAsia="Calibri" w:hAnsi="Garamond" w:cs="Times New Roman"/>
          <w:szCs w:val="22"/>
        </w:rPr>
        <w:t>2000</w:t>
      </w:r>
      <w:r>
        <w:rPr>
          <w:rFonts w:ascii="Garamond" w:eastAsia="Calibri" w:hAnsi="Garamond" w:cs="Times New Roman"/>
          <w:szCs w:val="22"/>
        </w:rPr>
        <w:t>)</w:t>
      </w:r>
      <w:r w:rsidRPr="00EC439D">
        <w:rPr>
          <w:rFonts w:ascii="Garamond" w:eastAsia="Calibri" w:hAnsi="Garamond" w:cs="Times New Roman"/>
          <w:szCs w:val="22"/>
        </w:rPr>
        <w:t xml:space="preserve">) etc.). What it therefore is for God to perform acts of testimony can manifest in various ways, and it is up to the individual account to fill in the details. However, what I have to say about intellectual humility will not be affected by the way one construes what it is for God to speak, nor what it is to hear from God. </w:t>
      </w:r>
    </w:p>
    <w:p w14:paraId="6C348D71" w14:textId="154DE3AD" w:rsidR="00A243C3" w:rsidRPr="00EC439D" w:rsidRDefault="00A243C3" w:rsidP="007F64E6">
      <w:pPr>
        <w:spacing w:after="120"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Nevertheless, it may be insisted that FTG requires one to ‘go beyond the evidence’ in some sense (see Malcolm forthcoming). The reason for this is because at the stage of TGS, it is unlikely </w:t>
      </w:r>
      <w:r w:rsidRPr="00EC439D">
        <w:rPr>
          <w:rFonts w:ascii="Garamond" w:eastAsia="Calibri" w:hAnsi="Garamond" w:cs="Times New Roman"/>
          <w:szCs w:val="22"/>
        </w:rPr>
        <w:lastRenderedPageBreak/>
        <w:t xml:space="preserve">that anyone could acquire the relevant evidence to make such a move epistemically justifiable. Sometimes this idea is built into the very concept of faith itself, albeit not always in contexts of theistic faith. For instance, it has been argued that faith involves, implies or even requires: </w:t>
      </w:r>
    </w:p>
    <w:p w14:paraId="5A5EDC46" w14:textId="3BEEA0EE" w:rsidR="00A243C3" w:rsidRPr="00EC439D" w:rsidRDefault="00A243C3" w:rsidP="007F64E6">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‘a weak epistemic position vis-à-vis the proposition in question’ (Alston </w:t>
      </w:r>
      <w:r>
        <w:rPr>
          <w:rFonts w:ascii="Garamond" w:eastAsia="Calibri" w:hAnsi="Garamond" w:cs="Times New Roman"/>
          <w:szCs w:val="22"/>
        </w:rPr>
        <w:t>(</w:t>
      </w:r>
      <w:r w:rsidRPr="00EC439D">
        <w:rPr>
          <w:rFonts w:ascii="Garamond" w:eastAsia="Calibri" w:hAnsi="Garamond" w:cs="Times New Roman"/>
          <w:szCs w:val="22"/>
        </w:rPr>
        <w:t>1996</w:t>
      </w:r>
      <w:r>
        <w:rPr>
          <w:rFonts w:ascii="Garamond" w:eastAsia="Calibri" w:hAnsi="Garamond" w:cs="Times New Roman"/>
          <w:szCs w:val="22"/>
        </w:rPr>
        <w:t>)</w:t>
      </w:r>
      <w:r w:rsidRPr="00EC439D">
        <w:rPr>
          <w:rFonts w:ascii="Garamond" w:eastAsia="Calibri" w:hAnsi="Garamond" w:cs="Times New Roman"/>
          <w:szCs w:val="22"/>
        </w:rPr>
        <w:t xml:space="preserve">, 12); </w:t>
      </w:r>
    </w:p>
    <w:p w14:paraId="0BD54F0F" w14:textId="47480C9D" w:rsidR="00A243C3" w:rsidRPr="00EC439D" w:rsidRDefault="00A243C3" w:rsidP="007F64E6">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a person to ‘not take her evidence on its own to support her being certain that’ </w:t>
      </w:r>
      <w:r w:rsidRPr="00EC439D">
        <w:rPr>
          <w:rFonts w:ascii="Garamond" w:eastAsia="Calibri" w:hAnsi="Garamond" w:cs="Times New Roman"/>
          <w:i/>
          <w:iCs/>
          <w:szCs w:val="22"/>
        </w:rPr>
        <w:t xml:space="preserve">p </w:t>
      </w:r>
      <w:r w:rsidRPr="00EC439D">
        <w:rPr>
          <w:rFonts w:ascii="Garamond" w:eastAsia="Calibri" w:hAnsi="Garamond" w:cs="Times New Roman"/>
          <w:szCs w:val="22"/>
        </w:rPr>
        <w:t>(</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w:t>
      </w:r>
      <w:r>
        <w:rPr>
          <w:rFonts w:ascii="Garamond" w:eastAsia="Calibri" w:hAnsi="Garamond" w:cs="Times New Roman"/>
          <w:szCs w:val="22"/>
        </w:rPr>
        <w:t>(</w:t>
      </w:r>
      <w:r w:rsidRPr="00EC439D">
        <w:rPr>
          <w:rFonts w:ascii="Garamond" w:eastAsia="Calibri" w:hAnsi="Garamond" w:cs="Times New Roman"/>
          <w:szCs w:val="22"/>
        </w:rPr>
        <w:t>2014</w:t>
      </w:r>
      <w:r>
        <w:rPr>
          <w:rFonts w:ascii="Garamond" w:eastAsia="Calibri" w:hAnsi="Garamond" w:cs="Times New Roman"/>
          <w:szCs w:val="22"/>
        </w:rPr>
        <w:t>)</w:t>
      </w:r>
      <w:r w:rsidRPr="00EC439D">
        <w:rPr>
          <w:rFonts w:ascii="Garamond" w:eastAsia="Calibri" w:hAnsi="Garamond" w:cs="Times New Roman"/>
          <w:szCs w:val="22"/>
        </w:rPr>
        <w:t xml:space="preserve">, 53); </w:t>
      </w:r>
    </w:p>
    <w:p w14:paraId="5F18DE1A" w14:textId="7A5D6BAE" w:rsidR="00A243C3" w:rsidRPr="00EC439D" w:rsidRDefault="00A243C3" w:rsidP="007F64E6">
      <w:pPr>
        <w:spacing w:after="120" w:line="360" w:lineRule="auto"/>
        <w:ind w:left="567"/>
        <w:jc w:val="both"/>
        <w:rPr>
          <w:rFonts w:ascii="Garamond" w:eastAsia="Calibri" w:hAnsi="Garamond" w:cs="Times New Roman"/>
          <w:iCs/>
          <w:szCs w:val="22"/>
        </w:rPr>
      </w:pPr>
      <w:r w:rsidRPr="00EC439D">
        <w:rPr>
          <w:rFonts w:ascii="Garamond" w:eastAsia="Calibri" w:hAnsi="Garamond" w:cs="Times New Roman"/>
          <w:szCs w:val="22"/>
        </w:rPr>
        <w:t>‘an active venture in practical commitment to the truth of faith-propositions that the believer correctly recognizes not to be adequately supported by his or her evidence’</w:t>
      </w:r>
      <w:r w:rsidRPr="00EC439D">
        <w:rPr>
          <w:rFonts w:ascii="Garamond" w:eastAsia="Calibri" w:hAnsi="Garamond" w:cs="Times New Roman"/>
          <w:iCs/>
          <w:szCs w:val="22"/>
        </w:rPr>
        <w:t xml:space="preserve"> (Bishop </w:t>
      </w:r>
      <w:r>
        <w:rPr>
          <w:rFonts w:ascii="Garamond" w:eastAsia="Calibri" w:hAnsi="Garamond" w:cs="Times New Roman"/>
          <w:iCs/>
          <w:szCs w:val="22"/>
        </w:rPr>
        <w:t>(</w:t>
      </w:r>
      <w:r w:rsidRPr="00EC439D">
        <w:rPr>
          <w:rFonts w:ascii="Garamond" w:eastAsia="Calibri" w:hAnsi="Garamond" w:cs="Times New Roman"/>
          <w:iCs/>
          <w:szCs w:val="22"/>
        </w:rPr>
        <w:t>2007</w:t>
      </w:r>
      <w:r>
        <w:rPr>
          <w:rFonts w:ascii="Garamond" w:eastAsia="Calibri" w:hAnsi="Garamond" w:cs="Times New Roman"/>
          <w:iCs/>
          <w:szCs w:val="22"/>
        </w:rPr>
        <w:t>)</w:t>
      </w:r>
      <w:r w:rsidRPr="00EC439D">
        <w:rPr>
          <w:rFonts w:ascii="Garamond" w:eastAsia="Calibri" w:hAnsi="Garamond" w:cs="Times New Roman"/>
          <w:iCs/>
          <w:szCs w:val="22"/>
        </w:rPr>
        <w:t xml:space="preserve">, 106); or </w:t>
      </w:r>
    </w:p>
    <w:p w14:paraId="69F604E5" w14:textId="26981153" w:rsidR="00A243C3" w:rsidRPr="00EC439D" w:rsidRDefault="00A243C3" w:rsidP="007F64E6">
      <w:pPr>
        <w:spacing w:after="120" w:line="360" w:lineRule="auto"/>
        <w:ind w:left="567"/>
        <w:jc w:val="both"/>
        <w:rPr>
          <w:rFonts w:ascii="Garamond" w:eastAsia="Calibri" w:hAnsi="Garamond" w:cs="Times New Roman"/>
          <w:iCs/>
          <w:szCs w:val="22"/>
        </w:rPr>
      </w:pPr>
      <w:r w:rsidRPr="00EC439D">
        <w:rPr>
          <w:rFonts w:ascii="Garamond" w:eastAsia="Calibri" w:hAnsi="Garamond" w:cs="Times New Roman"/>
          <w:iCs/>
          <w:szCs w:val="22"/>
        </w:rPr>
        <w:t>that ‘nothing is faith unless it is evidentially sub-</w:t>
      </w:r>
      <w:r w:rsidRPr="00EC439D">
        <w:rPr>
          <w:rFonts w:ascii="Garamond" w:eastAsia="Calibri" w:hAnsi="Garamond" w:cs="Times New Roman"/>
          <w:i/>
          <w:szCs w:val="22"/>
        </w:rPr>
        <w:t>optimal’</w:t>
      </w:r>
      <w:r w:rsidRPr="00EC439D">
        <w:rPr>
          <w:rFonts w:ascii="Garamond" w:eastAsia="Calibri" w:hAnsi="Garamond" w:cs="Times New Roman"/>
          <w:iCs/>
          <w:szCs w:val="22"/>
        </w:rPr>
        <w:t xml:space="preserve"> (Howard-Snyder </w:t>
      </w:r>
      <w:r>
        <w:rPr>
          <w:rFonts w:ascii="Garamond" w:eastAsia="Calibri" w:hAnsi="Garamond" w:cs="Times New Roman"/>
          <w:iCs/>
          <w:szCs w:val="22"/>
        </w:rPr>
        <w:t>(</w:t>
      </w:r>
      <w:r w:rsidRPr="00EC439D">
        <w:rPr>
          <w:rFonts w:ascii="Garamond" w:eastAsia="Calibri" w:hAnsi="Garamond" w:cs="Times New Roman"/>
          <w:iCs/>
          <w:szCs w:val="22"/>
        </w:rPr>
        <w:t>2013</w:t>
      </w:r>
      <w:r>
        <w:rPr>
          <w:rFonts w:ascii="Garamond" w:eastAsia="Calibri" w:hAnsi="Garamond" w:cs="Times New Roman"/>
          <w:iCs/>
          <w:szCs w:val="22"/>
        </w:rPr>
        <w:t>)</w:t>
      </w:r>
      <w:r w:rsidRPr="00EC439D">
        <w:rPr>
          <w:rFonts w:ascii="Garamond" w:eastAsia="Calibri" w:hAnsi="Garamond" w:cs="Times New Roman"/>
          <w:iCs/>
          <w:szCs w:val="22"/>
        </w:rPr>
        <w:t>, 370).</w:t>
      </w:r>
    </w:p>
    <w:p w14:paraId="06464848" w14:textId="3D531B78"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iCs/>
          <w:szCs w:val="22"/>
        </w:rPr>
        <w:t xml:space="preserve">I won’t take a stand on which of these accounts is correct. But I accept, first, that the concept of propositional faith does imply that one is in non-ideal epistemic circumstances, although these circumstances do not need to require </w:t>
      </w:r>
      <w:r>
        <w:rPr>
          <w:rFonts w:ascii="Garamond" w:eastAsia="Calibri" w:hAnsi="Garamond" w:cs="Times New Roman"/>
          <w:iCs/>
          <w:szCs w:val="22"/>
        </w:rPr>
        <w:t xml:space="preserve">that </w:t>
      </w:r>
      <w:r w:rsidRPr="00EC439D">
        <w:rPr>
          <w:rFonts w:ascii="Garamond" w:eastAsia="Calibri" w:hAnsi="Garamond" w:cs="Times New Roman"/>
          <w:iCs/>
          <w:szCs w:val="22"/>
        </w:rPr>
        <w:t>one lack</w:t>
      </w:r>
      <w:r>
        <w:rPr>
          <w:rFonts w:ascii="Garamond" w:eastAsia="Calibri" w:hAnsi="Garamond" w:cs="Times New Roman"/>
          <w:iCs/>
          <w:szCs w:val="22"/>
        </w:rPr>
        <w:t>s</w:t>
      </w:r>
      <w:r w:rsidRPr="00EC439D">
        <w:rPr>
          <w:rFonts w:ascii="Garamond" w:eastAsia="Calibri" w:hAnsi="Garamond" w:cs="Times New Roman"/>
          <w:iCs/>
          <w:szCs w:val="22"/>
        </w:rPr>
        <w:t xml:space="preserve"> epistemic justification.</w:t>
      </w:r>
      <w:r w:rsidRPr="00EC439D">
        <w:rPr>
          <w:rStyle w:val="FootnoteReference"/>
          <w:rFonts w:ascii="Garamond" w:eastAsia="Calibri" w:hAnsi="Garamond" w:cs="Times New Roman"/>
          <w:iCs/>
          <w:szCs w:val="22"/>
        </w:rPr>
        <w:footnoteReference w:id="11"/>
      </w:r>
      <w:r w:rsidRPr="00EC439D">
        <w:rPr>
          <w:rFonts w:ascii="Garamond" w:eastAsia="Calibri" w:hAnsi="Garamond" w:cs="Times New Roman"/>
          <w:iCs/>
          <w:szCs w:val="22"/>
        </w:rPr>
        <w:t xml:space="preserve"> And second, in the sense described here, faith will likely require one to trust that God has spoken without being in ideal epistemic circumstances for believing that God has spoken. Nevertheless, trusting in this way could yet be satisfied through nondoxastic acceptance rather than belief if one is not justified in believing God has spoken. This issue, and related concerns surrounding one’s appropriate levels of confidence, are revisited in later sections. But </w:t>
      </w:r>
      <w:r w:rsidRPr="00EC439D">
        <w:rPr>
          <w:rFonts w:ascii="Garamond" w:eastAsia="Calibri" w:hAnsi="Garamond" w:cs="Times New Roman"/>
          <w:szCs w:val="22"/>
        </w:rPr>
        <w:t>with this account of faith (FTG) in hand, I want to move now to consider intellectual humility, and how it must accompany someone’s faith if her FTG is to be virtuous.</w:t>
      </w:r>
      <w:r>
        <w:rPr>
          <w:rFonts w:ascii="Garamond" w:eastAsia="Calibri" w:hAnsi="Garamond" w:cs="Times New Roman"/>
          <w:szCs w:val="22"/>
        </w:rPr>
        <w:t xml:space="preserve"> </w:t>
      </w:r>
    </w:p>
    <w:p w14:paraId="2CD9BF94" w14:textId="75AA9CF2" w:rsidR="00A243C3" w:rsidRPr="00EC439D" w:rsidRDefault="00A243C3" w:rsidP="00A4367E">
      <w:pPr>
        <w:spacing w:line="360" w:lineRule="auto"/>
        <w:jc w:val="both"/>
        <w:rPr>
          <w:rFonts w:ascii="Garamond" w:eastAsia="Calibri" w:hAnsi="Garamond" w:cs="Times New Roman"/>
          <w:szCs w:val="22"/>
        </w:rPr>
      </w:pPr>
    </w:p>
    <w:p w14:paraId="29B36517" w14:textId="4DE73A63" w:rsidR="00A243C3" w:rsidRPr="00EC439D" w:rsidRDefault="00A243C3" w:rsidP="007F64E6">
      <w:pPr>
        <w:pStyle w:val="Heading1"/>
        <w:numPr>
          <w:ilvl w:val="0"/>
          <w:numId w:val="0"/>
        </w:numPr>
        <w:ind w:left="357" w:hanging="357"/>
        <w:rPr>
          <w:rFonts w:eastAsia="Times New Roman"/>
          <w:sz w:val="28"/>
          <w:szCs w:val="36"/>
        </w:rPr>
      </w:pPr>
      <w:r w:rsidRPr="00EC439D">
        <w:rPr>
          <w:rFonts w:eastAsia="Times New Roman"/>
          <w:sz w:val="28"/>
          <w:szCs w:val="36"/>
        </w:rPr>
        <w:t>Intellectual Humility, Servility and Arrogance</w:t>
      </w:r>
    </w:p>
    <w:p w14:paraId="2D53ED7F" w14:textId="4D87569A"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 xml:space="preserve">Recent work on intellectual humility has focussed on the role of humility in giving someone a proper appreciation of both her intellectual strengths and weaknesses. For instance, according to Kidd (2015, 54), ‘humility is a virtue for the management of confidence’, and in particular, he focusses on the role of humility in regulating someone’s proper confidence and recognition of her intellectual </w:t>
      </w:r>
      <w:r w:rsidRPr="00EC439D">
        <w:rPr>
          <w:rFonts w:ascii="Garamond" w:eastAsia="Calibri" w:hAnsi="Garamond" w:cs="Times New Roman"/>
          <w:i/>
          <w:iCs/>
          <w:szCs w:val="22"/>
        </w:rPr>
        <w:t>capacities</w:t>
      </w:r>
      <w:r w:rsidRPr="00EC439D">
        <w:rPr>
          <w:rFonts w:ascii="Garamond" w:eastAsia="Calibri" w:hAnsi="Garamond" w:cs="Times New Roman"/>
          <w:szCs w:val="22"/>
        </w:rPr>
        <w:t xml:space="preserve">. Take, for example, a student coming to the end of her studies at high </w:t>
      </w:r>
      <w:proofErr w:type="gramStart"/>
      <w:r w:rsidRPr="00EC439D">
        <w:rPr>
          <w:rFonts w:ascii="Garamond" w:eastAsia="Calibri" w:hAnsi="Garamond" w:cs="Times New Roman"/>
          <w:szCs w:val="22"/>
        </w:rPr>
        <w:t>school, and</w:t>
      </w:r>
      <w:proofErr w:type="gramEnd"/>
      <w:r w:rsidRPr="00EC439D">
        <w:rPr>
          <w:rFonts w:ascii="Garamond" w:eastAsia="Calibri" w:hAnsi="Garamond" w:cs="Times New Roman"/>
          <w:szCs w:val="22"/>
        </w:rPr>
        <w:t xml:space="preserve"> deciding what further education she would like to pursue. If she has virtuous intellectual humility, she will have the correct level of confidence in her capacities with respect to e.g. processing numbers, reading and writing, arguing and debating, computers and programming, </w:t>
      </w:r>
      <w:r w:rsidRPr="00EC439D">
        <w:rPr>
          <w:rFonts w:ascii="Garamond" w:eastAsia="Calibri" w:hAnsi="Garamond" w:cs="Times New Roman"/>
          <w:szCs w:val="22"/>
        </w:rPr>
        <w:lastRenderedPageBreak/>
        <w:t>compassion and tolerance, timekeeping, manual labouring, and other cognitive</w:t>
      </w:r>
      <w:r>
        <w:rPr>
          <w:rFonts w:ascii="Garamond" w:eastAsia="Calibri" w:hAnsi="Garamond" w:cs="Times New Roman"/>
          <w:szCs w:val="22"/>
        </w:rPr>
        <w:t>, emotional</w:t>
      </w:r>
      <w:r w:rsidRPr="00EC439D">
        <w:rPr>
          <w:rFonts w:ascii="Garamond" w:eastAsia="Calibri" w:hAnsi="Garamond" w:cs="Times New Roman"/>
          <w:szCs w:val="22"/>
        </w:rPr>
        <w:t xml:space="preserve"> and physical capacities. This will give her the dispositions needed to wisely select the best future study for her, and the most appropriate career-path given her intellectual abilities. If she has excellent intellectual capability with reading and writing, but limited abilities with mathematics, then, her intellectual humility will give her the appropriate level of confidence in these capacities.</w:t>
      </w:r>
    </w:p>
    <w:p w14:paraId="6166ACAC" w14:textId="529AB19B" w:rsidR="00A243C3" w:rsidRPr="00EC439D" w:rsidRDefault="00A243C3" w:rsidP="00A4367E">
      <w:pPr>
        <w:spacing w:after="120" w:line="360" w:lineRule="auto"/>
        <w:jc w:val="both"/>
        <w:rPr>
          <w:rFonts w:ascii="Garamond" w:hAnsi="Garamond" w:cs="Times New Roman"/>
        </w:rPr>
      </w:pPr>
      <w:r w:rsidRPr="00EC439D">
        <w:rPr>
          <w:rFonts w:ascii="Garamond" w:eastAsia="Calibri" w:hAnsi="Garamond" w:cs="Times New Roman"/>
          <w:szCs w:val="22"/>
        </w:rPr>
        <w:tab/>
        <w:t xml:space="preserve">Remarks along a similar line can be found in </w:t>
      </w:r>
      <w:r w:rsidRPr="00EC439D">
        <w:rPr>
          <w:rFonts w:ascii="Garamond" w:hAnsi="Garamond" w:cs="Times New Roman"/>
        </w:rPr>
        <w:t xml:space="preserve">two further accounts (Whitcomb et al. 2017; </w:t>
      </w:r>
      <w:proofErr w:type="spellStart"/>
      <w:r w:rsidRPr="00EC439D">
        <w:rPr>
          <w:rFonts w:ascii="Garamond" w:hAnsi="Garamond" w:cs="Times New Roman"/>
        </w:rPr>
        <w:t>Tanesini</w:t>
      </w:r>
      <w:proofErr w:type="spellEnd"/>
      <w:r w:rsidRPr="00EC439D">
        <w:rPr>
          <w:rFonts w:ascii="Garamond" w:hAnsi="Garamond" w:cs="Times New Roman"/>
        </w:rPr>
        <w:t xml:space="preserve"> 2018), which understand intellectual humility as the acknowledgement of one’s intellectual limitations, being properly attentive to them, and working them appropriately into one’s practical reasoning. According to Whitcomb et al., intellectual limitations include</w:t>
      </w:r>
    </w:p>
    <w:p w14:paraId="3AFB3C52" w14:textId="77777777" w:rsidR="00A243C3" w:rsidRPr="00EC439D" w:rsidRDefault="00A243C3" w:rsidP="00A4367E">
      <w:pPr>
        <w:spacing w:after="120" w:line="360" w:lineRule="auto"/>
        <w:ind w:left="567" w:right="566"/>
        <w:jc w:val="both"/>
        <w:rPr>
          <w:rFonts w:ascii="Garamond" w:hAnsi="Garamond" w:cs="Times New Roman"/>
          <w:sz w:val="23"/>
          <w:szCs w:val="23"/>
        </w:rPr>
      </w:pPr>
      <w:r w:rsidRPr="00EC439D">
        <w:rPr>
          <w:rFonts w:ascii="Garamond" w:hAnsi="Garamond" w:cs="Times New Roman"/>
          <w:sz w:val="23"/>
          <w:szCs w:val="23"/>
        </w:rPr>
        <w:t>…gaps in knowledge (e.g. ignorance of current affairs), cognitive mistakes (e.g. forgetting an appointment), unreliable processes (e.g. bad vision or memory), deficits in learnable skills (e.g. being bad at math), intellectual character flaws (e.g. a tendency to draw hasty inferences), and much more besides. (Whitcomb et al. 2017, 516).</w:t>
      </w:r>
    </w:p>
    <w:p w14:paraId="5345D69A" w14:textId="45C66169"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 xml:space="preserve">Whitcomb et al. then go on to define intellectual humility as ‘having the right stance toward one’s </w:t>
      </w:r>
      <w:r w:rsidRPr="00EC439D">
        <w:rPr>
          <w:rFonts w:ascii="Garamond" w:hAnsi="Garamond" w:cs="Times New Roman"/>
          <w:i/>
        </w:rPr>
        <w:t>intellectual</w:t>
      </w:r>
      <w:r w:rsidRPr="00EC439D">
        <w:rPr>
          <w:rFonts w:ascii="Garamond" w:hAnsi="Garamond" w:cs="Times New Roman"/>
        </w:rPr>
        <w:t xml:space="preserve"> limitations’ where this is a matter of being ‘appropriately attentive to them and to </w:t>
      </w:r>
      <w:r w:rsidRPr="00EC439D">
        <w:rPr>
          <w:rFonts w:ascii="Garamond" w:hAnsi="Garamond" w:cs="Times New Roman"/>
          <w:i/>
        </w:rPr>
        <w:t>own</w:t>
      </w:r>
      <w:r w:rsidRPr="00EC439D">
        <w:rPr>
          <w:rFonts w:ascii="Garamond" w:hAnsi="Garamond" w:cs="Times New Roman"/>
        </w:rPr>
        <w:t xml:space="preserve"> them’ (516). The colloquial expression of ‘owning’ something is a matter of embracing or endorsing that thing. Suppose, for instance, that someone has been recently promoted in her job and is intimidated by the prospect of the added responsibility. One could ‘own’ the new job role by acting as though one feels ready to take it on, talking confidently about it, making assertive decisions with one’s new authority, etc. In this way, the person ‘owns’ the new job by embracing and endorsing it. </w:t>
      </w:r>
    </w:p>
    <w:p w14:paraId="3946B05B" w14:textId="6693CE30" w:rsidR="00A243C3" w:rsidRPr="00EC439D" w:rsidRDefault="00A243C3" w:rsidP="00A4367E">
      <w:pPr>
        <w:spacing w:after="120" w:line="360" w:lineRule="auto"/>
        <w:ind w:firstLine="720"/>
        <w:jc w:val="both"/>
        <w:rPr>
          <w:rFonts w:ascii="Garamond" w:hAnsi="Garamond" w:cs="Times New Roman"/>
        </w:rPr>
      </w:pPr>
      <w:r w:rsidRPr="00EC439D">
        <w:rPr>
          <w:rFonts w:ascii="Garamond" w:hAnsi="Garamond" w:cs="Times New Roman"/>
        </w:rPr>
        <w:t>Consider the same concept when someone ‘owns’ an intellectual limitation. Suppose someone has poor eyesight but spends a fair amount of time driving. This person’s intellectual limitations include an unreliable cognitive process – poor eyesight. What does it mean for someone to be ‘appropriately attentive’ to the fact of one’s poor eyesight, and to ‘own’ it? Whitcomb et al. identify four characteristic dispositions that attentiveness and owning will yield concerning one’s intellectual limitations:</w:t>
      </w:r>
    </w:p>
    <w:p w14:paraId="67E867CD" w14:textId="77777777" w:rsidR="00A243C3" w:rsidRPr="00EC439D" w:rsidRDefault="00A243C3" w:rsidP="00A4367E">
      <w:pPr>
        <w:spacing w:after="120" w:line="360" w:lineRule="auto"/>
        <w:ind w:left="567" w:right="566"/>
        <w:jc w:val="both"/>
        <w:rPr>
          <w:rFonts w:ascii="Garamond" w:hAnsi="Garamond" w:cs="Times New Roman"/>
          <w:sz w:val="23"/>
          <w:szCs w:val="23"/>
        </w:rPr>
      </w:pPr>
      <w:r w:rsidRPr="00EC439D">
        <w:rPr>
          <w:rFonts w:ascii="Garamond" w:hAnsi="Garamond" w:cs="Times New Roman"/>
          <w:sz w:val="23"/>
          <w:szCs w:val="23"/>
        </w:rPr>
        <w:t>(1) [to] believe that one has them; and to believe that their negative outcomes are due to them; (2) to admit or acknowledge them; (3) to care about them and take them seriously; and (4) to feel regret or dismay, but not hostility, about them. (Whitcomb et al. 2017, 519)</w:t>
      </w:r>
    </w:p>
    <w:p w14:paraId="2150B514" w14:textId="4FB41FD0"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 xml:space="preserve">For our driver with poor eyesight, then, he will be disposed to (1) believe he has poor eyesight and believe that this can lead to poor or dangerous driving; (2) admit that he has poor eyesight; (3) care that he has poor eyesight and take this seriously; and (4) feel dismay but not hostility towards his </w:t>
      </w:r>
      <w:r w:rsidRPr="00EC439D">
        <w:rPr>
          <w:rFonts w:ascii="Garamond" w:hAnsi="Garamond" w:cs="Times New Roman"/>
        </w:rPr>
        <w:lastRenderedPageBreak/>
        <w:t xml:space="preserve">poor eyesight. These dispositions will manifest themselves in certain behaviours for the driver. He will be careful to make sure he always wears his glasses when driving, and to drive slowly to offset any potential risks caused by his condition. He will also tell others about his eyesight when asked, or when required to admit that he has the condition, for instance, by declaring it on his driver’s licence. This is what it would mean to be attentive to, and to ‘own’ one’s poor eyesight, and hence to exhibit intellectual humility concerning it. </w:t>
      </w:r>
    </w:p>
    <w:p w14:paraId="4C355E81" w14:textId="4C7A7E17"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It should be noted that both the accounts by Kidd and Whitcomb et al. (as well as </w:t>
      </w:r>
      <w:proofErr w:type="spellStart"/>
      <w:r w:rsidRPr="00EC439D">
        <w:rPr>
          <w:rFonts w:ascii="Garamond" w:hAnsi="Garamond" w:cs="Times New Roman"/>
        </w:rPr>
        <w:t>Tanesini</w:t>
      </w:r>
      <w:proofErr w:type="spellEnd"/>
      <w:r w:rsidRPr="00EC439D">
        <w:rPr>
          <w:rFonts w:ascii="Garamond" w:hAnsi="Garamond" w:cs="Times New Roman"/>
        </w:rPr>
        <w:t xml:space="preserve">), focus on deficits in one’s </w:t>
      </w:r>
      <w:r w:rsidRPr="00EC439D">
        <w:rPr>
          <w:rFonts w:ascii="Garamond" w:hAnsi="Garamond" w:cs="Times New Roman"/>
          <w:i/>
          <w:iCs/>
        </w:rPr>
        <w:t>own</w:t>
      </w:r>
      <w:r w:rsidRPr="00EC439D">
        <w:rPr>
          <w:rFonts w:ascii="Garamond" w:hAnsi="Garamond" w:cs="Times New Roman"/>
        </w:rPr>
        <w:t xml:space="preserve"> intellectual limitations. However, we could broaden this to encompass deficits in humans </w:t>
      </w:r>
      <w:r w:rsidRPr="00EC439D">
        <w:rPr>
          <w:rFonts w:ascii="Garamond" w:hAnsi="Garamond" w:cs="Times New Roman"/>
          <w:i/>
          <w:iCs/>
        </w:rPr>
        <w:t>generally</w:t>
      </w:r>
      <w:r w:rsidRPr="00EC439D">
        <w:rPr>
          <w:rFonts w:ascii="Garamond" w:hAnsi="Garamond" w:cs="Times New Roman"/>
        </w:rPr>
        <w:t xml:space="preserve">. All humans have an extremely limited epistemic vantage </w:t>
      </w:r>
      <w:proofErr w:type="gramStart"/>
      <w:r w:rsidRPr="00EC439D">
        <w:rPr>
          <w:rFonts w:ascii="Garamond" w:hAnsi="Garamond" w:cs="Times New Roman"/>
        </w:rPr>
        <w:t>point, and</w:t>
      </w:r>
      <w:proofErr w:type="gramEnd"/>
      <w:r w:rsidRPr="00EC439D">
        <w:rPr>
          <w:rFonts w:ascii="Garamond" w:hAnsi="Garamond" w:cs="Times New Roman"/>
        </w:rPr>
        <w:t xml:space="preserve"> lack the ability to know of all of the different experiences and points of view of other humans in other cultures at different times in history. Having intellectual humility requires taking these more general limitations into account, </w:t>
      </w:r>
      <w:r>
        <w:rPr>
          <w:rFonts w:ascii="Garamond" w:hAnsi="Garamond" w:cs="Times New Roman"/>
        </w:rPr>
        <w:t xml:space="preserve">as well as one’s own particular limitations. These general limitations </w:t>
      </w:r>
      <w:r w:rsidRPr="00EC439D">
        <w:rPr>
          <w:rFonts w:ascii="Garamond" w:hAnsi="Garamond" w:cs="Times New Roman"/>
        </w:rPr>
        <w:t xml:space="preserve">are </w:t>
      </w:r>
      <w:r>
        <w:rPr>
          <w:rFonts w:ascii="Garamond" w:hAnsi="Garamond" w:cs="Times New Roman"/>
        </w:rPr>
        <w:t xml:space="preserve">particularly </w:t>
      </w:r>
      <w:r w:rsidRPr="00EC439D">
        <w:rPr>
          <w:rFonts w:ascii="Garamond" w:hAnsi="Garamond" w:cs="Times New Roman"/>
        </w:rPr>
        <w:t>relevant at points for religious epistemology.</w:t>
      </w:r>
    </w:p>
    <w:p w14:paraId="27807F53" w14:textId="1A5A8ACA"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With this in mind, the way that someone is required to form her beliefs in light of intellectual humility depends on the evidence at her disposal, and the proper conclusions she draws concerning her intellectual strengths and limitations. For instance, if someone has poor navigational abilities, humility requires that she believe she has poor navigational abilities, but if they are excellent, then she is required by humility to believe they are excellent. These dispositions would follow on each of the accounts outlined thus far.</w:t>
      </w:r>
    </w:p>
    <w:p w14:paraId="769DBAE4" w14:textId="218ECB16"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Another clear example of how intellectual humility regulates our beliefs is in the social sphere, with testimony providing the most obvious example. Whitcomb et al. argue that intellectual humility ‘increases a person’s propensity to defer to others who don’t have her intellectual limitations’ (522). Although such a propensity will require one to believe someone else who lacks one’s own limitations, it will not require this for all cases. For instance, if I know I have poor knowledge of current affairs and speak to a friend about current affairs who I know is highly knowledgeable about them, then my intellectual humility will give me a propensity to defer to her testimony. And if I do defer to it, then that is an act exhibiting my humility. But suppose we are talking about a particular issue, say, the sale of arms from western countries to Saudi Arabia. This is an issue I know a little about having watched a reliable documentary on it. She tells me something on this issue that I disagree with, but I have good reason to suspect that she is just speculating and lacks any credible evidence to back up her claims. Well, in this case it is such that I needn’t defer to her even given my general limitations in the area of public affairs. It is entirely proper of me to resist deference to her consistently with a correct appreciation of my confidence in my intellectual capacities, and whilst acknowledging and ‘owning’ my intellectual limitations. This is because I </w:t>
      </w:r>
      <w:r w:rsidRPr="00EC439D">
        <w:rPr>
          <w:rFonts w:ascii="Garamond" w:hAnsi="Garamond" w:cs="Times New Roman"/>
        </w:rPr>
        <w:lastRenderedPageBreak/>
        <w:t xml:space="preserve">have superior epistemic capacity in this </w:t>
      </w:r>
      <w:proofErr w:type="gramStart"/>
      <w:r w:rsidRPr="00EC439D">
        <w:rPr>
          <w:rFonts w:ascii="Garamond" w:hAnsi="Garamond" w:cs="Times New Roman"/>
        </w:rPr>
        <w:t>case, and</w:t>
      </w:r>
      <w:proofErr w:type="gramEnd"/>
      <w:r w:rsidRPr="00EC439D">
        <w:rPr>
          <w:rFonts w:ascii="Garamond" w:hAnsi="Garamond" w:cs="Times New Roman"/>
        </w:rPr>
        <w:t xml:space="preserve"> have reasons for doubting the veracity of her testimony.</w:t>
      </w:r>
    </w:p>
    <w:p w14:paraId="03189623" w14:textId="5904D3A1"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This example also provides us with a way of seeing how humility </w:t>
      </w:r>
      <w:r>
        <w:rPr>
          <w:rFonts w:ascii="Garamond" w:hAnsi="Garamond" w:cs="Times New Roman"/>
        </w:rPr>
        <w:t>a</w:t>
      </w:r>
      <w:r w:rsidRPr="00EC439D">
        <w:rPr>
          <w:rFonts w:ascii="Garamond" w:hAnsi="Garamond" w:cs="Times New Roman"/>
        </w:rPr>
        <w:t xml:space="preserve">s a virtue </w:t>
      </w:r>
      <w:proofErr w:type="gramStart"/>
      <w:r w:rsidRPr="00EC439D">
        <w:rPr>
          <w:rFonts w:ascii="Garamond" w:hAnsi="Garamond" w:cs="Times New Roman"/>
        </w:rPr>
        <w:t xml:space="preserve">is a </w:t>
      </w:r>
      <w:r w:rsidRPr="00EC439D">
        <w:rPr>
          <w:rFonts w:ascii="Garamond" w:hAnsi="Garamond" w:cs="Times New Roman"/>
          <w:i/>
          <w:iCs/>
        </w:rPr>
        <w:t>mean</w:t>
      </w:r>
      <w:r w:rsidRPr="00EC439D">
        <w:rPr>
          <w:rFonts w:ascii="Garamond" w:hAnsi="Garamond" w:cs="Times New Roman"/>
        </w:rPr>
        <w:t xml:space="preserve"> between the vices of servility and arrogance</w:t>
      </w:r>
      <w:proofErr w:type="gramEnd"/>
      <w:r w:rsidRPr="00EC439D">
        <w:rPr>
          <w:rFonts w:ascii="Garamond" w:hAnsi="Garamond" w:cs="Times New Roman"/>
        </w:rPr>
        <w:t xml:space="preserve">. For, if I had no reason to doubt the trustworthiness of my friend, nor the veracity of her testimony, and had no knowledge of the issue for myself, then humility would require me to defer to her. But if I simply took myself to have superior knowledge of political affairs (which I lack) and refused to defer to her testimony on these grounds, then this would indicate that I lack humility, and instead have intellectual </w:t>
      </w:r>
      <w:r w:rsidRPr="00EC439D">
        <w:rPr>
          <w:rFonts w:ascii="Garamond" w:hAnsi="Garamond" w:cs="Times New Roman"/>
          <w:i/>
          <w:iCs/>
        </w:rPr>
        <w:t>arrogance</w:t>
      </w:r>
      <w:r w:rsidRPr="00EC439D">
        <w:rPr>
          <w:rFonts w:ascii="Garamond" w:hAnsi="Garamond" w:cs="Times New Roman"/>
        </w:rPr>
        <w:t>, at least with respect to this issue in political affairs. This would particularly be the case if I systematically failed to appreciate my limitations and so held onto beliefs about political matters when I should have let go of them in the face of people with greater knowledge than myself. This idea is captured in the account by Whitcomb et al. who say that ‘the paradigmatically arrogant person is often oblivious to his limitations; they don’t show up on his radar’ (516). When I don’t see my own limitations, particularly with respect to the strengths of others, then I will tend towards arrogance rather than humility.</w:t>
      </w:r>
    </w:p>
    <w:p w14:paraId="2673A839" w14:textId="14F13E08"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Just as we can use the deficit of attentiveness to limitations to understand intellectual arrogance, we can see the over-attentiveness to limitations as a way of understanding intellectual servility. The arrogant person is hardly aware of her own intellectual limitations, but ‘[t]he paradigmatically servile person…hardly sees anything else; his radar is perpetually peppered with his limitations’ (Whitcomb et al., 517). With servility, someone would be overly keen to defer to the testimony of others, even those who have significant intellectual limitations beyond our own. So, suppose I am told things concerning the sale of weapons to Saudi Arabia by someone who I judge correctly to lack knowledge on the subject when I myself have knowledge on the subject. Well, if I defer to the speaker’s testimony because I think to myself, ‘I must be wrong about my views because I’m too stupid to understand public affairs’, then this indicates </w:t>
      </w:r>
      <w:r w:rsidRPr="00EC439D">
        <w:rPr>
          <w:rFonts w:ascii="Garamond" w:hAnsi="Garamond" w:cs="Times New Roman"/>
          <w:i/>
          <w:iCs/>
        </w:rPr>
        <w:t>servility</w:t>
      </w:r>
      <w:r w:rsidRPr="00EC439D">
        <w:rPr>
          <w:rFonts w:ascii="Garamond" w:hAnsi="Garamond" w:cs="Times New Roman"/>
        </w:rPr>
        <w:t>, rather than humility: I am servile to my limitations. In this case, humility would require that I give proper appreciation to my strengths and limitations, rather than over-appreciation to my limitations, and resist deference to my friend’s testimony.</w:t>
      </w:r>
    </w:p>
    <w:p w14:paraId="6A3C52AF" w14:textId="46BA93AF"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With this picture of the nature of intellectual humility, servility and arrogance in hand, we are in a position to determine what humility would require of someone who has faith in the sense of FTG. As we’ll see, FTG must be accompanied by humility if it is to be virtuous.</w:t>
      </w:r>
    </w:p>
    <w:p w14:paraId="6A97B996" w14:textId="59B79552" w:rsidR="00A243C3" w:rsidRPr="00EC439D" w:rsidRDefault="00A243C3" w:rsidP="00A4367E">
      <w:pPr>
        <w:spacing w:line="360" w:lineRule="auto"/>
        <w:jc w:val="both"/>
        <w:rPr>
          <w:rFonts w:ascii="Garamond" w:hAnsi="Garamond" w:cs="Times New Roman"/>
        </w:rPr>
      </w:pPr>
    </w:p>
    <w:p w14:paraId="29161B01" w14:textId="507E4B16" w:rsidR="00A243C3" w:rsidRPr="00EC439D" w:rsidRDefault="00A243C3" w:rsidP="007F64E6">
      <w:pPr>
        <w:pStyle w:val="Heading1"/>
        <w:numPr>
          <w:ilvl w:val="0"/>
          <w:numId w:val="0"/>
        </w:numPr>
        <w:ind w:left="357" w:hanging="357"/>
        <w:rPr>
          <w:rFonts w:eastAsia="Times New Roman"/>
          <w:sz w:val="28"/>
          <w:szCs w:val="36"/>
        </w:rPr>
      </w:pPr>
      <w:r w:rsidRPr="00EC439D">
        <w:rPr>
          <w:rFonts w:eastAsia="Times New Roman"/>
          <w:sz w:val="28"/>
          <w:szCs w:val="36"/>
        </w:rPr>
        <w:lastRenderedPageBreak/>
        <w:t>Humble, Servile and Arrogant Faith</w:t>
      </w:r>
    </w:p>
    <w:p w14:paraId="6E7E454B" w14:textId="0278B7BB" w:rsidR="00A243C3" w:rsidRPr="00EC439D" w:rsidRDefault="00A243C3" w:rsidP="00A4367E">
      <w:pPr>
        <w:spacing w:after="120" w:line="360" w:lineRule="auto"/>
        <w:jc w:val="both"/>
        <w:rPr>
          <w:rFonts w:ascii="Garamond" w:hAnsi="Garamond" w:cs="Times New Roman"/>
        </w:rPr>
      </w:pPr>
      <w:r>
        <w:rPr>
          <w:rFonts w:ascii="Garamond" w:eastAsia="Calibri" w:hAnsi="Garamond" w:cs="Times New Roman"/>
          <w:iCs/>
          <w:szCs w:val="22"/>
        </w:rPr>
        <w:t>Given what we have said about intellectual humility</w:t>
      </w:r>
      <w:r w:rsidRPr="00EC439D">
        <w:rPr>
          <w:rFonts w:ascii="Garamond" w:eastAsia="Calibri" w:hAnsi="Garamond" w:cs="Times New Roman"/>
          <w:iCs/>
          <w:szCs w:val="22"/>
        </w:rPr>
        <w:t xml:space="preserve">, one might assume that the humble response to God’s testimony is simply to trust it. After all, on a traditional theistic view, God is all knowing and cannot lie, whereas humans are substantially cognitively limited in ways that God is not. But this view faces a problem, which is evident in the account of faith developed earlier: trusting God’s testimony (TGT) requires one to first trust that God has spoken (TGS). It seems reasonable that trusting God’s testimony is required by humility when one has clear evidence that God has spoken, but it’s not so clear what humility requires concerning TGS. </w:t>
      </w:r>
      <w:r w:rsidRPr="00EC439D">
        <w:rPr>
          <w:rFonts w:ascii="Garamond" w:hAnsi="Garamond" w:cs="Times New Roman"/>
        </w:rPr>
        <w:t>John Lamont phrases the problem in this way:</w:t>
      </w:r>
    </w:p>
    <w:p w14:paraId="7D354A2D" w14:textId="542FAA0C" w:rsidR="00A243C3" w:rsidRPr="00EC439D" w:rsidRDefault="00A243C3" w:rsidP="00A4367E">
      <w:pPr>
        <w:spacing w:after="120" w:line="360" w:lineRule="auto"/>
        <w:ind w:left="567" w:right="521"/>
        <w:jc w:val="both"/>
        <w:rPr>
          <w:rFonts w:ascii="Garamond" w:eastAsia="Cambria" w:hAnsi="Garamond" w:cs="Times New Roman"/>
          <w:sz w:val="23"/>
          <w:szCs w:val="23"/>
        </w:rPr>
      </w:pPr>
      <w:r w:rsidRPr="00EC439D">
        <w:rPr>
          <w:rFonts w:ascii="Garamond" w:eastAsia="Cambria" w:hAnsi="Garamond" w:cs="Times New Roman"/>
          <w:sz w:val="23"/>
          <w:szCs w:val="23"/>
        </w:rPr>
        <w:t>[T]</w:t>
      </w:r>
      <w:proofErr w:type="spellStart"/>
      <w:r w:rsidRPr="00EC439D">
        <w:rPr>
          <w:rFonts w:ascii="Garamond" w:eastAsia="Cambria" w:hAnsi="Garamond" w:cs="Times New Roman"/>
          <w:sz w:val="23"/>
          <w:szCs w:val="23"/>
        </w:rPr>
        <w:t>estimony</w:t>
      </w:r>
      <w:proofErr w:type="spellEnd"/>
      <w:r w:rsidRPr="00EC439D">
        <w:rPr>
          <w:rFonts w:ascii="Garamond" w:eastAsia="Cambria" w:hAnsi="Garamond" w:cs="Times New Roman"/>
          <w:sz w:val="23"/>
          <w:szCs w:val="23"/>
        </w:rPr>
        <w:t xml:space="preserve"> gives knowledge when the speaker who is believed is honest and knowledgeable. In the case of God, there is no difficulty about the speaker’s honesty and knowledge, since these are possessed necessarily. Instead, the difficulty lies in identifying divine speaking. In most of the Christian tradition this speaking is seen as being done by human instruments…and as occurring at least in the scriptures, and for many Christians in the teaching of the Church as well. (Lamont </w:t>
      </w:r>
      <w:r>
        <w:rPr>
          <w:rFonts w:ascii="Garamond" w:eastAsia="Cambria" w:hAnsi="Garamond" w:cs="Times New Roman"/>
          <w:sz w:val="23"/>
          <w:szCs w:val="23"/>
        </w:rPr>
        <w:t>(</w:t>
      </w:r>
      <w:r w:rsidRPr="00EC439D">
        <w:rPr>
          <w:rFonts w:ascii="Garamond" w:eastAsia="Cambria" w:hAnsi="Garamond" w:cs="Times New Roman"/>
          <w:sz w:val="23"/>
          <w:szCs w:val="23"/>
        </w:rPr>
        <w:t>2009</w:t>
      </w:r>
      <w:r>
        <w:rPr>
          <w:rFonts w:ascii="Garamond" w:eastAsia="Cambria" w:hAnsi="Garamond" w:cs="Times New Roman"/>
          <w:sz w:val="23"/>
          <w:szCs w:val="23"/>
        </w:rPr>
        <w:t>)</w:t>
      </w:r>
      <w:r w:rsidRPr="00EC439D">
        <w:rPr>
          <w:rFonts w:ascii="Garamond" w:eastAsia="Cambria" w:hAnsi="Garamond" w:cs="Times New Roman"/>
          <w:sz w:val="23"/>
          <w:szCs w:val="23"/>
        </w:rPr>
        <w:t>, 115)</w:t>
      </w:r>
    </w:p>
    <w:p w14:paraId="006B8AFA" w14:textId="77777777"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 xml:space="preserve">Lamont proposes that the reason for the difficulty in identifying divine speaking is the </w:t>
      </w:r>
      <w:r w:rsidRPr="00EC439D">
        <w:rPr>
          <w:rFonts w:ascii="Garamond" w:hAnsi="Garamond" w:cs="Times New Roman"/>
          <w:i/>
        </w:rPr>
        <w:t>means</w:t>
      </w:r>
      <w:r w:rsidRPr="00EC439D">
        <w:rPr>
          <w:rFonts w:ascii="Garamond" w:hAnsi="Garamond" w:cs="Times New Roman"/>
        </w:rPr>
        <w:t xml:space="preserve"> of the speaking. If we take God to speak by appropriating various communicative acts, including sermons, written scripture and songs, then we must determine whether a purported piece of divine speaking is in fact divine speaking in a way we do not with human speaking.</w:t>
      </w:r>
    </w:p>
    <w:p w14:paraId="525A9AD1" w14:textId="20D7EABC" w:rsidR="00A243C3" w:rsidRPr="00EC439D" w:rsidRDefault="00A243C3" w:rsidP="00A4367E">
      <w:pPr>
        <w:spacing w:line="360" w:lineRule="auto"/>
        <w:ind w:firstLine="720"/>
        <w:jc w:val="both"/>
        <w:rPr>
          <w:rFonts w:ascii="Garamond" w:hAnsi="Garamond" w:cs="Times New Roman"/>
        </w:rPr>
      </w:pPr>
      <w:r w:rsidRPr="00EC439D">
        <w:rPr>
          <w:rFonts w:ascii="Garamond" w:hAnsi="Garamond"/>
        </w:rPr>
        <w:t xml:space="preserve">Now, suppose we have someone called Sarah who has faith in the sense of FTG. </w:t>
      </w:r>
      <w:r w:rsidRPr="00EC439D">
        <w:rPr>
          <w:rFonts w:ascii="Garamond" w:hAnsi="Garamond" w:cs="Times New Roman"/>
        </w:rPr>
        <w:t xml:space="preserve">Sarah has recently begun engaging with the Christian faith, forming an attitude of trust towards God. This has been cultivated within a Christian community of others who also trust God, and where it is common to be reliant on God by, for instance, petitioning God in prayer, committing to live as though God’s plan for salvation is true, and basing one’s decisions on Christian ethical values. During her engagement with Christianity, Sarah has been attending Christian church services where she sings hymns, hears sermons and reads scripture. Sarah has had the impression that God has been speaking to her through these religious activities. Amongst the things she takes God to have told her are that he is a loving God, that she will continue to live spiritually after her bodily death, and that God was literally born into human history in the life of Jesus Christ. These are not </w:t>
      </w:r>
      <w:proofErr w:type="gramStart"/>
      <w:r w:rsidRPr="00EC439D">
        <w:rPr>
          <w:rFonts w:ascii="Garamond" w:hAnsi="Garamond" w:cs="Times New Roman"/>
        </w:rPr>
        <w:t>propositions</w:t>
      </w:r>
      <w:proofErr w:type="gramEnd"/>
      <w:r w:rsidRPr="00EC439D">
        <w:rPr>
          <w:rFonts w:ascii="Garamond" w:hAnsi="Garamond" w:cs="Times New Roman"/>
        </w:rPr>
        <w:t xml:space="preserve"> that Sarah had previously accepted, endorsed or believed. However, she has responded to this perceived divine revelation by acting on the supposition that their source is God’s own speech to her, trusting God for this testimony, and committing herself to living as though such propositions are true. </w:t>
      </w:r>
    </w:p>
    <w:p w14:paraId="390AE9B0" w14:textId="77777777" w:rsidR="00A243C3" w:rsidRPr="00EC439D" w:rsidRDefault="00A243C3" w:rsidP="00A4367E">
      <w:pPr>
        <w:spacing w:after="120" w:line="360" w:lineRule="auto"/>
        <w:ind w:firstLine="720"/>
        <w:jc w:val="both"/>
        <w:rPr>
          <w:rFonts w:ascii="Garamond" w:eastAsia="Calibri" w:hAnsi="Garamond" w:cs="Times New Roman"/>
          <w:iCs/>
          <w:szCs w:val="22"/>
        </w:rPr>
      </w:pPr>
      <w:r w:rsidRPr="00EC439D">
        <w:rPr>
          <w:rFonts w:ascii="Garamond" w:eastAsia="Calibri" w:hAnsi="Garamond" w:cs="Times New Roman"/>
          <w:iCs/>
          <w:szCs w:val="22"/>
        </w:rPr>
        <w:lastRenderedPageBreak/>
        <w:t xml:space="preserve">Does Sarah’s response exhibit humility? Or does it exhibit servility or arrogance? This depends on two factors: </w:t>
      </w:r>
    </w:p>
    <w:p w14:paraId="3CD44533" w14:textId="26E6526A" w:rsidR="00A243C3" w:rsidRPr="00EC439D" w:rsidRDefault="00A243C3" w:rsidP="00A4367E">
      <w:pPr>
        <w:pStyle w:val="ListParagraph"/>
        <w:numPr>
          <w:ilvl w:val="0"/>
          <w:numId w:val="2"/>
        </w:numPr>
        <w:spacing w:line="360" w:lineRule="auto"/>
        <w:jc w:val="both"/>
        <w:rPr>
          <w:rFonts w:ascii="Garamond" w:eastAsia="Calibri" w:hAnsi="Garamond" w:cs="Times New Roman"/>
          <w:iCs/>
          <w:szCs w:val="22"/>
        </w:rPr>
      </w:pPr>
      <w:r w:rsidRPr="00EC439D">
        <w:rPr>
          <w:rFonts w:ascii="Garamond" w:eastAsia="Calibri" w:hAnsi="Garamond" w:cs="Times New Roman"/>
          <w:iCs/>
          <w:szCs w:val="22"/>
        </w:rPr>
        <w:t xml:space="preserve">the evidence </w:t>
      </w:r>
      <w:r w:rsidRPr="00EC439D">
        <w:rPr>
          <w:rFonts w:ascii="Garamond" w:eastAsia="Calibri" w:hAnsi="Garamond" w:cs="Times New Roman"/>
          <w:i/>
          <w:szCs w:val="22"/>
        </w:rPr>
        <w:t xml:space="preserve">E </w:t>
      </w:r>
      <w:r w:rsidRPr="00EC439D">
        <w:rPr>
          <w:rFonts w:ascii="Garamond" w:eastAsia="Calibri" w:hAnsi="Garamond" w:cs="Times New Roman"/>
          <w:iCs/>
          <w:szCs w:val="22"/>
        </w:rPr>
        <w:t xml:space="preserve">she has for the proposition </w:t>
      </w:r>
      <w:r w:rsidRPr="00EC439D">
        <w:rPr>
          <w:rFonts w:ascii="Garamond" w:eastAsia="Calibri" w:hAnsi="Garamond" w:cs="Times New Roman"/>
          <w:i/>
          <w:szCs w:val="22"/>
        </w:rPr>
        <w:t xml:space="preserve">p </w:t>
      </w:r>
      <w:r w:rsidRPr="00EC439D">
        <w:rPr>
          <w:rFonts w:ascii="Garamond" w:eastAsia="Calibri" w:hAnsi="Garamond" w:cs="Times New Roman"/>
          <w:iCs/>
          <w:szCs w:val="22"/>
        </w:rPr>
        <w:t xml:space="preserve">that </w:t>
      </w:r>
      <w:r w:rsidRPr="00EC439D">
        <w:rPr>
          <w:rFonts w:ascii="Garamond" w:eastAsia="Calibri" w:hAnsi="Garamond" w:cs="Times New Roman"/>
          <w:i/>
          <w:szCs w:val="22"/>
        </w:rPr>
        <w:t>God has testified to her</w:t>
      </w:r>
      <w:r w:rsidRPr="00EC439D">
        <w:rPr>
          <w:rFonts w:ascii="Garamond" w:eastAsia="Calibri" w:hAnsi="Garamond" w:cs="Times New Roman"/>
          <w:iCs/>
          <w:szCs w:val="22"/>
        </w:rPr>
        <w:t xml:space="preserve">; and </w:t>
      </w:r>
    </w:p>
    <w:p w14:paraId="5639DF74" w14:textId="279D05F8" w:rsidR="00A243C3" w:rsidRPr="00EC439D" w:rsidRDefault="00A243C3" w:rsidP="00A4367E">
      <w:pPr>
        <w:pStyle w:val="ListParagraph"/>
        <w:numPr>
          <w:ilvl w:val="0"/>
          <w:numId w:val="2"/>
        </w:numPr>
        <w:spacing w:after="120" w:line="360" w:lineRule="auto"/>
        <w:ind w:left="714" w:hanging="357"/>
        <w:contextualSpacing w:val="0"/>
        <w:jc w:val="both"/>
        <w:rPr>
          <w:rFonts w:ascii="Garamond" w:eastAsia="Calibri" w:hAnsi="Garamond" w:cs="Times New Roman"/>
          <w:iCs/>
          <w:szCs w:val="22"/>
        </w:rPr>
      </w:pPr>
      <w:r w:rsidRPr="00EC439D">
        <w:rPr>
          <w:rFonts w:ascii="Garamond" w:eastAsia="Calibri" w:hAnsi="Garamond" w:cs="Times New Roman"/>
          <w:iCs/>
          <w:szCs w:val="22"/>
        </w:rPr>
        <w:t xml:space="preserve">the cognitive attitude Sarah forms concerning </w:t>
      </w:r>
      <w:r w:rsidRPr="00EC439D">
        <w:rPr>
          <w:rFonts w:ascii="Garamond" w:eastAsia="Calibri" w:hAnsi="Garamond" w:cs="Times New Roman"/>
          <w:i/>
          <w:szCs w:val="22"/>
        </w:rPr>
        <w:t>p</w:t>
      </w:r>
      <w:r w:rsidRPr="00EC439D">
        <w:rPr>
          <w:rFonts w:ascii="Garamond" w:eastAsia="Calibri" w:hAnsi="Garamond" w:cs="Times New Roman"/>
          <w:iCs/>
          <w:szCs w:val="22"/>
        </w:rPr>
        <w:t xml:space="preserve"> given </w:t>
      </w:r>
      <w:r w:rsidRPr="00EC439D">
        <w:rPr>
          <w:rFonts w:ascii="Garamond" w:eastAsia="Calibri" w:hAnsi="Garamond" w:cs="Times New Roman"/>
          <w:i/>
          <w:szCs w:val="22"/>
        </w:rPr>
        <w:t>E</w:t>
      </w:r>
      <w:r w:rsidRPr="00EC439D">
        <w:rPr>
          <w:rFonts w:ascii="Garamond" w:eastAsia="Calibri" w:hAnsi="Garamond" w:cs="Times New Roman"/>
          <w:iCs/>
          <w:szCs w:val="22"/>
        </w:rPr>
        <w:t xml:space="preserve">. </w:t>
      </w:r>
    </w:p>
    <w:p w14:paraId="19F6A888" w14:textId="71D39D99" w:rsidR="00A243C3" w:rsidRPr="00EC439D" w:rsidRDefault="00A243C3" w:rsidP="00A4367E">
      <w:pPr>
        <w:spacing w:line="360" w:lineRule="auto"/>
        <w:jc w:val="both"/>
        <w:rPr>
          <w:rFonts w:ascii="Garamond" w:hAnsi="Garamond" w:cs="Times New Roman"/>
        </w:rPr>
      </w:pPr>
      <w:r w:rsidRPr="00EC439D">
        <w:rPr>
          <w:rFonts w:ascii="Garamond" w:eastAsia="Calibri" w:hAnsi="Garamond" w:cs="Times New Roman"/>
          <w:iCs/>
          <w:szCs w:val="22"/>
        </w:rPr>
        <w:t xml:space="preserve">Suppose that, concerning (1), her evidence for God speaking or testifying to her is limited and not sufficient to warrant belief. She therefore has a limitation: a gap in her evidence required for justified belief or knowledge. Now, concerning (2), suppose that </w:t>
      </w:r>
      <w:r w:rsidRPr="00EC439D">
        <w:rPr>
          <w:rFonts w:ascii="Garamond" w:hAnsi="Garamond" w:cs="Times New Roman"/>
        </w:rPr>
        <w:t xml:space="preserve">Sarah </w:t>
      </w:r>
      <w:r w:rsidRPr="00EC439D">
        <w:rPr>
          <w:rFonts w:ascii="Garamond" w:hAnsi="Garamond" w:cs="Times New Roman"/>
          <w:i/>
          <w:iCs/>
        </w:rPr>
        <w:t>believes</w:t>
      </w:r>
      <w:r w:rsidRPr="00EC439D">
        <w:rPr>
          <w:rFonts w:ascii="Garamond" w:hAnsi="Garamond" w:cs="Times New Roman"/>
        </w:rPr>
        <w:t xml:space="preserve"> that God has spoken to her, and that her confidence in this belief is high such that she takes it to constitute </w:t>
      </w:r>
      <w:r w:rsidRPr="002E27BD">
        <w:rPr>
          <w:rFonts w:ascii="Garamond" w:hAnsi="Garamond" w:cs="Times New Roman"/>
          <w:iCs/>
        </w:rPr>
        <w:t>knowledge</w:t>
      </w:r>
      <w:r w:rsidRPr="00EC439D">
        <w:rPr>
          <w:rFonts w:ascii="Garamond" w:hAnsi="Garamond" w:cs="Times New Roman"/>
          <w:iCs/>
        </w:rPr>
        <w:t xml:space="preserve"> – she is confident</w:t>
      </w:r>
      <w:r w:rsidRPr="00EC439D">
        <w:rPr>
          <w:rFonts w:ascii="Garamond" w:hAnsi="Garamond" w:cs="Times New Roman"/>
        </w:rPr>
        <w:t xml:space="preserve"> that she </w:t>
      </w:r>
      <w:r w:rsidRPr="002E27BD">
        <w:rPr>
          <w:rFonts w:ascii="Garamond" w:hAnsi="Garamond" w:cs="Times New Roman"/>
          <w:i/>
          <w:iCs/>
        </w:rPr>
        <w:t>knows</w:t>
      </w:r>
      <w:r w:rsidRPr="00EC439D">
        <w:rPr>
          <w:rFonts w:ascii="Garamond" w:hAnsi="Garamond" w:cs="Times New Roman"/>
        </w:rPr>
        <w:t xml:space="preserve"> that God has spoken to her. Well, in this kind of case, we could then charge Sarah with either intellectual arrogance or servility, depending on what her reasons are for believing as she does. Let’s see why.</w:t>
      </w:r>
    </w:p>
    <w:p w14:paraId="4A5E62BB" w14:textId="5D44F2EB"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Suppose that Sarah takes herself to have greater epistemic abilities than she does have for discerning whether or not God is speaking to her. She might take herself to hear a clear voice from God when she prays, which in fact she does not hear. In fact, this belief is formed due simply to a desire to hear God’s voice, and so she has convinced herself that she can hear him. What’s evident is that she now</w:t>
      </w:r>
      <w:r>
        <w:rPr>
          <w:rFonts w:ascii="Garamond" w:hAnsi="Garamond" w:cs="Times New Roman"/>
        </w:rPr>
        <w:t xml:space="preserve"> has</w:t>
      </w:r>
      <w:r w:rsidRPr="00EC439D">
        <w:rPr>
          <w:rFonts w:ascii="Garamond" w:hAnsi="Garamond" w:cs="Times New Roman"/>
        </w:rPr>
        <w:t xml:space="preserve"> another limitation: an unreliable cognitive process. So, Sarah has two important epistemic limitations: insufficient evidence and an unreliable belief-forming mechanism. Now, in this case she can be accused of intellectual arrogance because she is being </w:t>
      </w:r>
      <w:r w:rsidRPr="00EC439D">
        <w:rPr>
          <w:rFonts w:ascii="Garamond" w:hAnsi="Garamond" w:cs="Times New Roman"/>
          <w:i/>
          <w:iCs/>
        </w:rPr>
        <w:t>under-attentive</w:t>
      </w:r>
      <w:r w:rsidRPr="00EC439D">
        <w:rPr>
          <w:rFonts w:ascii="Garamond" w:hAnsi="Garamond" w:cs="Times New Roman"/>
        </w:rPr>
        <w:t xml:space="preserve"> to her limitations (on Whitcomb et </w:t>
      </w:r>
      <w:proofErr w:type="spellStart"/>
      <w:r w:rsidRPr="00EC439D">
        <w:rPr>
          <w:rFonts w:ascii="Garamond" w:hAnsi="Garamond" w:cs="Times New Roman"/>
        </w:rPr>
        <w:t>al’s</w:t>
      </w:r>
      <w:proofErr w:type="spellEnd"/>
      <w:r w:rsidRPr="00EC439D">
        <w:rPr>
          <w:rFonts w:ascii="Garamond" w:hAnsi="Garamond" w:cs="Times New Roman"/>
        </w:rPr>
        <w:t xml:space="preserve"> account; c.f. </w:t>
      </w:r>
      <w:proofErr w:type="spellStart"/>
      <w:r w:rsidRPr="00EC439D">
        <w:rPr>
          <w:rFonts w:ascii="Garamond" w:hAnsi="Garamond" w:cs="Times New Roman"/>
        </w:rPr>
        <w:t>Tanesini</w:t>
      </w:r>
      <w:proofErr w:type="spellEnd"/>
      <w:r w:rsidRPr="00EC439D">
        <w:rPr>
          <w:rFonts w:ascii="Garamond" w:hAnsi="Garamond" w:cs="Times New Roman"/>
        </w:rPr>
        <w:t xml:space="preserve"> 2018) and </w:t>
      </w:r>
      <w:r w:rsidRPr="00EC439D">
        <w:rPr>
          <w:rFonts w:ascii="Garamond" w:hAnsi="Garamond" w:cs="Times New Roman"/>
          <w:i/>
          <w:iCs/>
        </w:rPr>
        <w:t>overly confident</w:t>
      </w:r>
      <w:r w:rsidRPr="00EC439D">
        <w:rPr>
          <w:rFonts w:ascii="Garamond" w:hAnsi="Garamond" w:cs="Times New Roman"/>
        </w:rPr>
        <w:t xml:space="preserve"> with respect to her intellectual capacities (on Kidd’s account). And because of this, Sarah’s response to what she perceives to be God’s testimony is accompanied by arrogance – she is arrogant with respect to her limitations – and hence her FTG is a vice.</w:t>
      </w:r>
    </w:p>
    <w:p w14:paraId="4E690630" w14:textId="6A29F24A"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Consider Sarah’s situation under a different response. Suppose that Sarah is initially unsure about whether God has spoken to her. She recognises, correctly, that she has a limited epistemic vantage point and is a new Christian and has new intuitions. Nevertheless, she also acknowledges, also correctly, that she has perfectly good judgment of whether to trust her senses, and so initially resists believing that God has spoken to her. However, because of the pressures of being in a new religious environment where most people claim to hear from God, she begins to assume that her epistemic limitations – being a new Christian and having a limited vantage point – must be preventing her from hearing from God. She thinks to herself, ‘I must have this wrong. I am just a limited human being and I should just believe that God is speaking to me’. Now, certainly Sarah has limitations. But here she is being</w:t>
      </w:r>
      <w:r w:rsidRPr="00EC439D">
        <w:rPr>
          <w:rFonts w:ascii="Garamond" w:hAnsi="Garamond" w:cs="Times New Roman"/>
          <w:i/>
          <w:iCs/>
        </w:rPr>
        <w:t xml:space="preserve"> over-attentive</w:t>
      </w:r>
      <w:r w:rsidRPr="00EC439D">
        <w:rPr>
          <w:rFonts w:ascii="Garamond" w:hAnsi="Garamond" w:cs="Times New Roman"/>
        </w:rPr>
        <w:t xml:space="preserve"> to them, and </w:t>
      </w:r>
      <w:r w:rsidRPr="00EC439D">
        <w:rPr>
          <w:rFonts w:ascii="Garamond" w:hAnsi="Garamond" w:cs="Times New Roman"/>
          <w:i/>
          <w:iCs/>
        </w:rPr>
        <w:t>under confident</w:t>
      </w:r>
      <w:r w:rsidRPr="00EC439D">
        <w:rPr>
          <w:rFonts w:ascii="Garamond" w:hAnsi="Garamond" w:cs="Times New Roman"/>
        </w:rPr>
        <w:t xml:space="preserve"> with respect to her intellectual strengths. She actually possesses the correct level of </w:t>
      </w:r>
      <w:proofErr w:type="gramStart"/>
      <w:r w:rsidRPr="00EC439D">
        <w:rPr>
          <w:rFonts w:ascii="Garamond" w:hAnsi="Garamond" w:cs="Times New Roman"/>
        </w:rPr>
        <w:t>discernment, but</w:t>
      </w:r>
      <w:proofErr w:type="gramEnd"/>
      <w:r w:rsidRPr="00EC439D">
        <w:rPr>
          <w:rFonts w:ascii="Garamond" w:hAnsi="Garamond" w:cs="Times New Roman"/>
        </w:rPr>
        <w:t xml:space="preserve"> has ceased to be disposed to follow it in this religious context. So, in this case, Sarah’s response to what she </w:t>
      </w:r>
      <w:r w:rsidRPr="00EC439D">
        <w:rPr>
          <w:rFonts w:ascii="Garamond" w:hAnsi="Garamond" w:cs="Times New Roman"/>
        </w:rPr>
        <w:lastRenderedPageBreak/>
        <w:t>perceives to be God’s testimony is accompanied by servility – she is being servile to her limitations – and hence her FTG is a vice.</w:t>
      </w:r>
    </w:p>
    <w:p w14:paraId="4A0717B0" w14:textId="3927FE5C"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So, we have seen where Sarah’s faith can be arrogant or servile. But despite this, it can also be humble. However, in order to see this, we must change the setup of the example. Note that in the above example, her response exhibits an intellectual vice because, with respect to the proposition that God has testified to her, Sarah (1) lacks evidence to warrant belief, but (2) believes anyway, and even presumes her belief to constitute knowledge. We can change the example by, first, assuming that Sarah </w:t>
      </w:r>
      <w:r w:rsidRPr="00EC439D">
        <w:rPr>
          <w:rFonts w:ascii="Garamond" w:hAnsi="Garamond" w:cs="Times New Roman"/>
          <w:i/>
          <w:iCs/>
        </w:rPr>
        <w:t>has</w:t>
      </w:r>
      <w:r w:rsidRPr="00EC439D">
        <w:rPr>
          <w:rFonts w:ascii="Garamond" w:hAnsi="Garamond" w:cs="Times New Roman"/>
        </w:rPr>
        <w:t xml:space="preserve"> evidence sufficient to warrant belief and believes, or </w:t>
      </w:r>
      <w:r w:rsidRPr="00EC439D">
        <w:rPr>
          <w:rFonts w:ascii="Garamond" w:hAnsi="Garamond" w:cs="Times New Roman"/>
          <w:i/>
          <w:iCs/>
        </w:rPr>
        <w:t>lacks</w:t>
      </w:r>
      <w:r w:rsidRPr="00EC439D">
        <w:rPr>
          <w:rFonts w:ascii="Garamond" w:hAnsi="Garamond" w:cs="Times New Roman"/>
        </w:rPr>
        <w:t xml:space="preserve"> evidence sufficient to believe, but does not believe. Let’s consider these options in order.</w:t>
      </w:r>
    </w:p>
    <w:p w14:paraId="38EB7B0F" w14:textId="717F69B2"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It might be assumed that, given our intellectual limitations – our limited epistemic vantage point, inability to discern human from divine testimony, etc. – it is not possible for us to have evidence sufficient to justify the belief that God has spoken. But we could deny this. Even John Locke, who holds a similar view of faith to FTG,</w:t>
      </w:r>
      <w:r w:rsidRPr="00EC439D">
        <w:rPr>
          <w:rStyle w:val="FootnoteReference"/>
          <w:rFonts w:ascii="Garamond" w:hAnsi="Garamond" w:cs="Times New Roman"/>
        </w:rPr>
        <w:footnoteReference w:id="12"/>
      </w:r>
      <w:r w:rsidRPr="00EC439D">
        <w:rPr>
          <w:rFonts w:ascii="Garamond" w:hAnsi="Garamond" w:cs="Times New Roman"/>
        </w:rPr>
        <w:t xml:space="preserve"> and who was highly sceptical of people claiming to have received divine revelation, thought that it is possible to justify one’s belief that one has been spoken to by God. Locke’s view on the matter was that confirmation of the revelation by clear miracles would be sufficient to justify belief that the purported revelation was genuine (see Ch XIX, §15). This will be the case regardless of the intellectual limitations of the recipient of the revelation. The example Locke uses is Moses, who was spoken to by God through a burning bush, and whose staff repeatedly turned into a serpent. Perhaps Moses has clear evidence that he was spoken to by God via clear miracles.</w:t>
      </w:r>
    </w:p>
    <w:p w14:paraId="124D7396" w14:textId="0210CA6A"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In a modern context, </w:t>
      </w:r>
      <w:proofErr w:type="spellStart"/>
      <w:r w:rsidRPr="00EC439D">
        <w:rPr>
          <w:rFonts w:ascii="Garamond" w:hAnsi="Garamond" w:cs="Times New Roman"/>
        </w:rPr>
        <w:t>Wolterstorff</w:t>
      </w:r>
      <w:proofErr w:type="spellEnd"/>
      <w:r w:rsidRPr="00EC439D">
        <w:rPr>
          <w:rFonts w:ascii="Garamond" w:hAnsi="Garamond" w:cs="Times New Roman"/>
        </w:rPr>
        <w:t xml:space="preserve"> (1995, 261-80) considers some instances in which people can be entitled to believe that God has spoken to them through confirmation of the experiences of others. In particular, where one person is considering whether God has spoken to her on a particular matter, and another person tells her, without knowing her situation, that God has spoken to her about the very same thing. Under some conditions, such interactions could plausibly constitute evidence sufficient to permit belief that God has spoken.</w:t>
      </w:r>
    </w:p>
    <w:p w14:paraId="6F841A1D" w14:textId="5CF0D632"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These responses from Locke and </w:t>
      </w:r>
      <w:proofErr w:type="spellStart"/>
      <w:r w:rsidRPr="00EC439D">
        <w:rPr>
          <w:rFonts w:ascii="Garamond" w:hAnsi="Garamond" w:cs="Times New Roman"/>
        </w:rPr>
        <w:t>Wolterstorff</w:t>
      </w:r>
      <w:proofErr w:type="spellEnd"/>
      <w:r w:rsidRPr="00EC439D">
        <w:rPr>
          <w:rFonts w:ascii="Garamond" w:hAnsi="Garamond" w:cs="Times New Roman"/>
        </w:rPr>
        <w:t xml:space="preserve"> face two problems. First, in line with some of the views about faith mentioned earlier, if Sarah ha</w:t>
      </w:r>
      <w:r>
        <w:rPr>
          <w:rFonts w:ascii="Garamond" w:hAnsi="Garamond" w:cs="Times New Roman"/>
        </w:rPr>
        <w:t>s</w:t>
      </w:r>
      <w:r w:rsidRPr="00EC439D">
        <w:rPr>
          <w:rFonts w:ascii="Garamond" w:hAnsi="Garamond" w:cs="Times New Roman"/>
        </w:rPr>
        <w:t xml:space="preserve"> clear evidence that God has spoken to her then she wouldn’t need </w:t>
      </w:r>
      <w:r w:rsidRPr="00EC439D">
        <w:rPr>
          <w:rFonts w:ascii="Garamond" w:hAnsi="Garamond" w:cs="Times New Roman"/>
          <w:i/>
          <w:iCs/>
        </w:rPr>
        <w:t>faith</w:t>
      </w:r>
      <w:r w:rsidRPr="00EC439D">
        <w:rPr>
          <w:rFonts w:ascii="Garamond" w:hAnsi="Garamond" w:cs="Times New Roman"/>
        </w:rPr>
        <w:t xml:space="preserve"> that he has, and hence Sarah wouldn’t exhibit FTG, which is the main </w:t>
      </w:r>
      <w:r w:rsidRPr="00EC439D">
        <w:rPr>
          <w:rFonts w:ascii="Garamond" w:hAnsi="Garamond" w:cs="Times New Roman"/>
        </w:rPr>
        <w:lastRenderedPageBreak/>
        <w:t xml:space="preserve">concern of this paper. This point is important, and I want to offer two possible ways of responding to it. </w:t>
      </w:r>
    </w:p>
    <w:p w14:paraId="1E9E64EA" w14:textId="69F4A25F" w:rsidR="00A243C3" w:rsidRPr="00EC439D" w:rsidRDefault="00A243C3" w:rsidP="00AA34E6">
      <w:pPr>
        <w:spacing w:line="360" w:lineRule="auto"/>
        <w:ind w:firstLine="720"/>
        <w:jc w:val="both"/>
        <w:rPr>
          <w:rFonts w:ascii="Garamond" w:eastAsia="Calibri" w:hAnsi="Garamond" w:cs="Times New Roman"/>
          <w:iCs/>
          <w:szCs w:val="22"/>
        </w:rPr>
      </w:pPr>
      <w:r w:rsidRPr="00EC439D">
        <w:rPr>
          <w:rFonts w:ascii="Garamond" w:hAnsi="Garamond" w:cs="Times New Roman"/>
        </w:rPr>
        <w:t xml:space="preserve">First, we could say that even if one can be justified in believing God has spoken, this doesn’t imply that the person can have clear evidence or certainty that he has, and hence her evidence would be sub-optimal, even if it isn’t sub-par. Her belief that God has spoken may still require some small faith step, even if this is minimal, particularly given how amazing it would be that God has spoken to her. Believing this will still require some measure of faith, even if only a small </w:t>
      </w:r>
      <w:r>
        <w:rPr>
          <w:rFonts w:ascii="Garamond" w:hAnsi="Garamond" w:cs="Times New Roman"/>
        </w:rPr>
        <w:t>amount</w:t>
      </w:r>
      <w:r w:rsidRPr="00EC439D">
        <w:rPr>
          <w:rFonts w:ascii="Garamond" w:hAnsi="Garamond" w:cs="Times New Roman"/>
        </w:rPr>
        <w:t xml:space="preserve">. Moreover, recall that in the earlier iteration, Sarah not only believes, but has an extremely high level of confidence that her belief is justified and true – so high that she takes herself to have knowledge. But in the </w:t>
      </w:r>
      <w:proofErr w:type="gramStart"/>
      <w:r w:rsidRPr="00EC439D">
        <w:rPr>
          <w:rFonts w:ascii="Garamond" w:hAnsi="Garamond" w:cs="Times New Roman"/>
        </w:rPr>
        <w:t>case</w:t>
      </w:r>
      <w:proofErr w:type="gramEnd"/>
      <w:r w:rsidRPr="00EC439D">
        <w:rPr>
          <w:rFonts w:ascii="Garamond" w:hAnsi="Garamond" w:cs="Times New Roman"/>
        </w:rPr>
        <w:t xml:space="preserve"> we have been considering, she could have just enough evidence to permit belief, and hence be rational, but not have enough evidence to require belief, and hence to be fully rational. Given this, her confidence in her belief could be far more tentative. She could be unsure about whether her belief is justified and true, and hence be disposed to caution when it comes to acting on the basis that it is true. In this instance, Sarah hardly takes her evidence to be clear or conclusive. There is plenty of room here for being in </w:t>
      </w:r>
      <w:r w:rsidRPr="00EC439D">
        <w:rPr>
          <w:rFonts w:ascii="Garamond" w:eastAsia="Calibri" w:hAnsi="Garamond" w:cs="Times New Roman"/>
          <w:szCs w:val="22"/>
        </w:rPr>
        <w:t>a weak epistemic position (Alston 1996, 12), not taking her evidence to support certainty (</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2014, 53), faith-venturing inadequately supported by her evidence </w:t>
      </w:r>
      <w:r w:rsidRPr="00EC439D">
        <w:rPr>
          <w:rFonts w:ascii="Garamond" w:eastAsia="Calibri" w:hAnsi="Garamond" w:cs="Times New Roman"/>
          <w:iCs/>
          <w:szCs w:val="22"/>
        </w:rPr>
        <w:t>(Bishop 2007, 106), and faith being sub-optimal (Howard-Snyder 2013, 370).</w:t>
      </w:r>
    </w:p>
    <w:p w14:paraId="09BABD68" w14:textId="36137F3E" w:rsidR="00A243C3" w:rsidRPr="00EC439D" w:rsidRDefault="00A243C3" w:rsidP="00AA34E6">
      <w:pPr>
        <w:spacing w:line="360" w:lineRule="auto"/>
        <w:ind w:firstLine="720"/>
        <w:jc w:val="both"/>
        <w:rPr>
          <w:rFonts w:ascii="Garamond" w:hAnsi="Garamond" w:cs="Times New Roman"/>
        </w:rPr>
      </w:pPr>
      <w:r w:rsidRPr="00EC439D">
        <w:rPr>
          <w:rFonts w:ascii="Garamond" w:eastAsia="Calibri" w:hAnsi="Garamond" w:cs="Times New Roman"/>
          <w:iCs/>
          <w:szCs w:val="22"/>
        </w:rPr>
        <w:t>A second</w:t>
      </w:r>
      <w:r>
        <w:rPr>
          <w:rFonts w:ascii="Garamond" w:eastAsia="Calibri" w:hAnsi="Garamond" w:cs="Times New Roman"/>
          <w:iCs/>
          <w:szCs w:val="22"/>
        </w:rPr>
        <w:t xml:space="preserve"> (and possibly complementary)</w:t>
      </w:r>
      <w:r w:rsidRPr="00EC439D">
        <w:rPr>
          <w:rFonts w:ascii="Garamond" w:eastAsia="Calibri" w:hAnsi="Garamond" w:cs="Times New Roman"/>
          <w:iCs/>
          <w:szCs w:val="22"/>
        </w:rPr>
        <w:t xml:space="preserve"> way of addressing this issue is by claiming that her belief is fully justified in relation to some contexts but not others, and hence her faith is in a weak epistemic position with respect to some contexts but not all. Note that it could be reasonable for Sarah to believe certain propositions given her Christian context. Suppose she believes that God has told her that he is Triune. </w:t>
      </w:r>
      <w:r>
        <w:rPr>
          <w:rFonts w:ascii="Garamond" w:eastAsia="Calibri" w:hAnsi="Garamond" w:cs="Times New Roman"/>
          <w:iCs/>
          <w:szCs w:val="22"/>
        </w:rPr>
        <w:t>W</w:t>
      </w:r>
      <w:r w:rsidRPr="00EC439D">
        <w:rPr>
          <w:rFonts w:ascii="Garamond" w:eastAsia="Calibri" w:hAnsi="Garamond" w:cs="Times New Roman"/>
          <w:iCs/>
          <w:szCs w:val="22"/>
        </w:rPr>
        <w:t>e might suppose that</w:t>
      </w:r>
      <w:r>
        <w:rPr>
          <w:rFonts w:ascii="Garamond" w:eastAsia="Calibri" w:hAnsi="Garamond" w:cs="Times New Roman"/>
          <w:iCs/>
          <w:szCs w:val="22"/>
        </w:rPr>
        <w:t xml:space="preserve"> in Sarah’s community,</w:t>
      </w:r>
      <w:r w:rsidRPr="00EC439D">
        <w:rPr>
          <w:rFonts w:ascii="Garamond" w:eastAsia="Calibri" w:hAnsi="Garamond" w:cs="Times New Roman"/>
          <w:iCs/>
          <w:szCs w:val="22"/>
        </w:rPr>
        <w:t xml:space="preserve"> there is widespread consensus </w:t>
      </w:r>
      <w:r>
        <w:rPr>
          <w:rFonts w:ascii="Garamond" w:eastAsia="Calibri" w:hAnsi="Garamond" w:cs="Times New Roman"/>
          <w:iCs/>
          <w:szCs w:val="22"/>
        </w:rPr>
        <w:t>that God is Triune, and that this</w:t>
      </w:r>
      <w:r w:rsidRPr="00EC439D">
        <w:rPr>
          <w:rFonts w:ascii="Garamond" w:eastAsia="Calibri" w:hAnsi="Garamond" w:cs="Times New Roman"/>
          <w:iCs/>
          <w:szCs w:val="22"/>
        </w:rPr>
        <w:t xml:space="preserve"> belief is adopted and endorsed amongst all of the other members of her religious community. So, she could </w:t>
      </w:r>
      <w:r>
        <w:rPr>
          <w:rFonts w:ascii="Garamond" w:eastAsia="Calibri" w:hAnsi="Garamond" w:cs="Times New Roman"/>
          <w:iCs/>
          <w:szCs w:val="22"/>
        </w:rPr>
        <w:t>be warranted in believing</w:t>
      </w:r>
      <w:r w:rsidRPr="00EC439D">
        <w:rPr>
          <w:rFonts w:ascii="Garamond" w:eastAsia="Calibri" w:hAnsi="Garamond" w:cs="Times New Roman"/>
          <w:iCs/>
          <w:szCs w:val="22"/>
        </w:rPr>
        <w:t xml:space="preserve"> this proposition,</w:t>
      </w:r>
      <w:r>
        <w:rPr>
          <w:rFonts w:ascii="Garamond" w:eastAsia="Calibri" w:hAnsi="Garamond" w:cs="Times New Roman"/>
          <w:iCs/>
          <w:szCs w:val="22"/>
        </w:rPr>
        <w:t xml:space="preserve"> partly because of the consensus in her community that it is true,</w:t>
      </w:r>
      <w:r w:rsidRPr="00EC439D">
        <w:rPr>
          <w:rFonts w:ascii="Garamond" w:eastAsia="Calibri" w:hAnsi="Garamond" w:cs="Times New Roman"/>
          <w:iCs/>
          <w:szCs w:val="22"/>
        </w:rPr>
        <w:t xml:space="preserve"> but only in relation to her Christian context</w:t>
      </w:r>
      <w:r>
        <w:rPr>
          <w:rFonts w:ascii="Garamond" w:eastAsia="Calibri" w:hAnsi="Garamond" w:cs="Times New Roman"/>
          <w:iCs/>
          <w:szCs w:val="22"/>
        </w:rPr>
        <w:t>: it is the norm to believe it.</w:t>
      </w:r>
      <w:r w:rsidRPr="00EC439D">
        <w:rPr>
          <w:rFonts w:ascii="Garamond" w:eastAsia="Calibri" w:hAnsi="Garamond" w:cs="Times New Roman"/>
          <w:iCs/>
          <w:szCs w:val="22"/>
        </w:rPr>
        <w:t xml:space="preserve"> Outside of that context her belief may not be warranted. And hence, what we could propose is that Sarah’s faith ‘goes beyond the evidence’ in some way with respect to the wider context but not with respect to her Christian </w:t>
      </w:r>
      <w:r>
        <w:rPr>
          <w:rFonts w:ascii="Garamond" w:eastAsia="Calibri" w:hAnsi="Garamond" w:cs="Times New Roman"/>
          <w:iCs/>
          <w:szCs w:val="22"/>
        </w:rPr>
        <w:t>context</w:t>
      </w:r>
      <w:r w:rsidRPr="00EC439D">
        <w:rPr>
          <w:rFonts w:ascii="Garamond" w:eastAsia="Calibri" w:hAnsi="Garamond" w:cs="Times New Roman"/>
          <w:iCs/>
          <w:szCs w:val="22"/>
        </w:rPr>
        <w:t>.</w:t>
      </w:r>
    </w:p>
    <w:p w14:paraId="72E83EDB" w14:textId="3E85A536"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Now, even if one</w:t>
      </w:r>
      <w:r>
        <w:rPr>
          <w:rFonts w:ascii="Garamond" w:hAnsi="Garamond" w:cs="Times New Roman"/>
        </w:rPr>
        <w:t>,</w:t>
      </w:r>
      <w:r w:rsidRPr="00EC439D">
        <w:rPr>
          <w:rFonts w:ascii="Garamond" w:hAnsi="Garamond" w:cs="Times New Roman"/>
        </w:rPr>
        <w:t xml:space="preserve"> or perhaps both</w:t>
      </w:r>
      <w:r>
        <w:rPr>
          <w:rFonts w:ascii="Garamond" w:hAnsi="Garamond" w:cs="Times New Roman"/>
        </w:rPr>
        <w:t>,</w:t>
      </w:r>
      <w:r w:rsidRPr="00EC439D">
        <w:rPr>
          <w:rFonts w:ascii="Garamond" w:hAnsi="Garamond" w:cs="Times New Roman"/>
        </w:rPr>
        <w:t xml:space="preserve"> of these responses is tenable, a second problem</w:t>
      </w:r>
      <w:r>
        <w:rPr>
          <w:rFonts w:ascii="Garamond" w:hAnsi="Garamond" w:cs="Times New Roman"/>
        </w:rPr>
        <w:t xml:space="preserve"> now</w:t>
      </w:r>
      <w:r w:rsidRPr="00EC439D">
        <w:rPr>
          <w:rFonts w:ascii="Garamond" w:hAnsi="Garamond" w:cs="Times New Roman"/>
        </w:rPr>
        <w:t xml:space="preserve"> arises that human experiences of miracles and divine interaction are notoriously controversial. After all, even occasions where one person feels that her circumstances lend strong evidence to the claim that God has testified to her, there are still issues concerning interpretation of the </w:t>
      </w:r>
      <w:r>
        <w:rPr>
          <w:rFonts w:ascii="Garamond" w:hAnsi="Garamond" w:cs="Times New Roman"/>
        </w:rPr>
        <w:t>‘</w:t>
      </w:r>
      <w:r w:rsidRPr="00EC439D">
        <w:rPr>
          <w:rFonts w:ascii="Garamond" w:hAnsi="Garamond" w:cs="Times New Roman"/>
        </w:rPr>
        <w:t>evidence</w:t>
      </w:r>
      <w:r>
        <w:rPr>
          <w:rFonts w:ascii="Garamond" w:hAnsi="Garamond" w:cs="Times New Roman"/>
        </w:rPr>
        <w:t>’</w:t>
      </w:r>
      <w:r w:rsidRPr="00EC439D">
        <w:rPr>
          <w:rFonts w:ascii="Garamond" w:hAnsi="Garamond" w:cs="Times New Roman"/>
        </w:rPr>
        <w:t xml:space="preserve">, religious disagreement from other traditions, and biases and partialities to take into </w:t>
      </w:r>
      <w:r w:rsidRPr="00EC439D">
        <w:rPr>
          <w:rFonts w:ascii="Garamond" w:hAnsi="Garamond" w:cs="Times New Roman"/>
        </w:rPr>
        <w:lastRenderedPageBreak/>
        <w:t xml:space="preserve">account. Nevertheless, we should permit that </w:t>
      </w:r>
      <w:r w:rsidRPr="00EC439D">
        <w:rPr>
          <w:rFonts w:ascii="Garamond" w:hAnsi="Garamond" w:cs="Times New Roman"/>
          <w:i/>
        </w:rPr>
        <w:t>in principle</w:t>
      </w:r>
      <w:r w:rsidRPr="00EC439D">
        <w:rPr>
          <w:rFonts w:ascii="Garamond" w:hAnsi="Garamond" w:cs="Times New Roman"/>
        </w:rPr>
        <w:t xml:space="preserve"> people can have the experiences </w:t>
      </w:r>
      <w:r>
        <w:rPr>
          <w:rFonts w:ascii="Garamond" w:hAnsi="Garamond" w:cs="Times New Roman"/>
        </w:rPr>
        <w:t xml:space="preserve">required </w:t>
      </w:r>
      <w:r w:rsidRPr="00EC439D">
        <w:rPr>
          <w:rFonts w:ascii="Garamond" w:hAnsi="Garamond" w:cs="Times New Roman"/>
        </w:rPr>
        <w:t>to justify their belief that God has spoken, even if such experiences seem rare or unlikely.</w:t>
      </w:r>
    </w:p>
    <w:p w14:paraId="6629A144" w14:textId="3CAB4BCB"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So, suppose that, somehow, Sarah has evidence sufficient to warrant belief that God has spoken to her – albeit weak and only justifying belief partially – and she believes accordingly. Under these circumstances, she can exhibit intellectual humility. Sarah can acknowledge her limitations, her gaps in knowledge, her limited time spent as a Christian. She can even fairly and correctly identify that she has epistemic strengths that lead her to perhaps rightly believe that hearing God speaking is unlikely or rare. And yet when presented with good evidence that God has spoken, and without being overly attentive to her limitations or under attentive to her strengths, Sarah can form the belief that God has spoken. Intellectual humility certainly permits this belief, if not requires it, depending on the strength of the evidence. </w:t>
      </w:r>
    </w:p>
    <w:p w14:paraId="728B0E81" w14:textId="075F87FC"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But she may also be required by humility to have the appropriate level of confidence in her belief. She must acknowledge her limitations, including the limitations of her evidence base, and her confidence in her belief vis-à-vis knowledge must be measured appropriately. What seems most consistent with humility is that she ought to hold her belief tentatively, and not presume to know that God has spoken to her. This might dispose her to be particularly sensitive to new evidence disconfirming her belief, and to require clearer evidence to support the belief. She might also be disposed toward caution with respect to acting as though it is true, and in telling others that God has spoken to her, particularly with respect to norms of assertion.</w:t>
      </w:r>
    </w:p>
    <w:p w14:paraId="4CEF9DC0" w14:textId="18C9E7A6"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When Sarah’s response to what she perceives to be God’s testimony is as described here, her FTG is accompanied by humility. She is being humble concerning to her strengths and limitations, reflected in the tentativeness of her belief that God has spoken. Given this, her faith can be construed as a virtue, provided it is not subject to other vicious limitations or shortfalls.</w:t>
      </w:r>
    </w:p>
    <w:p w14:paraId="2873B653" w14:textId="338F91EB"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Although this kind of situation is possible in principle, it may be more likely that Sarah </w:t>
      </w:r>
      <w:r w:rsidRPr="00EC439D">
        <w:rPr>
          <w:rFonts w:ascii="Garamond" w:hAnsi="Garamond" w:cs="Times New Roman"/>
          <w:i/>
          <w:iCs/>
        </w:rPr>
        <w:t>lacks</w:t>
      </w:r>
      <w:r w:rsidRPr="00EC439D">
        <w:rPr>
          <w:rFonts w:ascii="Garamond" w:hAnsi="Garamond" w:cs="Times New Roman"/>
        </w:rPr>
        <w:t xml:space="preserve"> evidence sufficient to warrant belief that God has spoken. But we might imagine that, rather than believing that God has spoken, as she did when exhibiting arrogance or servility, that Sarah </w:t>
      </w:r>
      <w:r w:rsidRPr="00EC439D">
        <w:rPr>
          <w:rFonts w:ascii="Garamond" w:hAnsi="Garamond" w:cs="Times New Roman"/>
          <w:i/>
          <w:iCs/>
        </w:rPr>
        <w:t>does not</w:t>
      </w:r>
      <w:r w:rsidRPr="00EC439D">
        <w:rPr>
          <w:rFonts w:ascii="Garamond" w:hAnsi="Garamond" w:cs="Times New Roman"/>
        </w:rPr>
        <w:t xml:space="preserve"> believe that God has spoken. So, suppose that Sarah has the impression that God is speaking to her through various appropriated means. However, it’s not clear to her that he is in fact speaking. She has a fair and reasonable awareness of her limitations. For instance, she is new to this experience and is still trying to discern what to make of it. She appreciates that she has a limited set of experiences and </w:t>
      </w:r>
      <w:r>
        <w:rPr>
          <w:rFonts w:ascii="Garamond" w:hAnsi="Garamond" w:cs="Times New Roman"/>
        </w:rPr>
        <w:t xml:space="preserve">a restricted </w:t>
      </w:r>
      <w:r w:rsidRPr="00EC439D">
        <w:rPr>
          <w:rFonts w:ascii="Garamond" w:hAnsi="Garamond" w:cs="Times New Roman"/>
        </w:rPr>
        <w:t xml:space="preserve">epistemic vantage point. But part of this assessment of her limitations is also the recognition that she may seriously want to feel that God is speaking to her, and so she needs to temper her confidence with respect to believing that he has, or else she could end up with false or delusory beliefs. She also has an awareness of her intellectual strengths </w:t>
      </w:r>
      <w:r w:rsidRPr="00EC439D">
        <w:rPr>
          <w:rFonts w:ascii="Garamond" w:hAnsi="Garamond" w:cs="Times New Roman"/>
        </w:rPr>
        <w:lastRenderedPageBreak/>
        <w:t xml:space="preserve">– she has a good sense of her abilities to discern whether someone is trustworthy, and plenty of life experience, which instructs her on the biases and interests of others. She understands that religious people can often have strong </w:t>
      </w:r>
      <w:proofErr w:type="gramStart"/>
      <w:r w:rsidRPr="00EC439D">
        <w:rPr>
          <w:rFonts w:ascii="Garamond" w:hAnsi="Garamond" w:cs="Times New Roman"/>
        </w:rPr>
        <w:t>partialities, and</w:t>
      </w:r>
      <w:proofErr w:type="gramEnd"/>
      <w:r w:rsidRPr="00EC439D">
        <w:rPr>
          <w:rFonts w:ascii="Garamond" w:hAnsi="Garamond" w:cs="Times New Roman"/>
        </w:rPr>
        <w:t xml:space="preserve"> is wary of not becoming someone who lacks proper discernment.</w:t>
      </w:r>
    </w:p>
    <w:p w14:paraId="1A234EEC" w14:textId="13ED4FF8"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So, rather than coming to belief that God has spoken, Sarah suspends judgment concerning this proposition. Moreover, she holds her levels of confidence fairly low, and is disposed to require strong evidence before coming to believe that God has spoken to her. Nevertheless, she both </w:t>
      </w:r>
      <w:r w:rsidRPr="00EC439D">
        <w:rPr>
          <w:rFonts w:ascii="Garamond" w:hAnsi="Garamond" w:cs="Times New Roman"/>
          <w:i/>
          <w:iCs/>
        </w:rPr>
        <w:t>hopes</w:t>
      </w:r>
      <w:r w:rsidRPr="00EC439D">
        <w:rPr>
          <w:rFonts w:ascii="Garamond" w:hAnsi="Garamond" w:cs="Times New Roman"/>
        </w:rPr>
        <w:t xml:space="preserve"> and </w:t>
      </w:r>
      <w:r w:rsidRPr="00EC439D">
        <w:rPr>
          <w:rFonts w:ascii="Garamond" w:hAnsi="Garamond" w:cs="Times New Roman"/>
          <w:i/>
          <w:iCs/>
        </w:rPr>
        <w:t>accepts</w:t>
      </w:r>
      <w:r w:rsidRPr="00EC439D">
        <w:rPr>
          <w:rFonts w:ascii="Garamond" w:hAnsi="Garamond" w:cs="Times New Roman"/>
        </w:rPr>
        <w:t xml:space="preserve"> that he has spoken to her. Since she is tentative about the truth of God speaking to her, such hope and acceptance disposes her to act in measured ways. For instance, by praying to God when she feels that he is communicating to her, doing good actions that may have been commanded by God, such as showing love to her work colleagues, and committing herself to live as though Christ died for her, which she takes God to have told her. She wouldn’t be disposed to, for instance, change her life completely by quitting her job because she simply has an impression of God telling her to do this. Her acceptance is cautious because her levels of confidence are measured and restrained. </w:t>
      </w:r>
    </w:p>
    <w:p w14:paraId="58EF81BD" w14:textId="1F66AE8D"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Sarah’s response appears to be paradigmatically humble. She doesn’t rush off, believing and having full confidence because she takes herself to have excellent abilities in discerning God’s voice, which she lacks, as the arrogant person would. Nor is she overly sensitive to her limitations, and so believes God has spoken because she thinks to herself that she must have her judgments wrong, when she doesn’t, as the servile person would. Her response exhibits humility because she ‘owns’ her limitations in a way that appreciates that she has them, and so should be open to God speaking to her. But she </w:t>
      </w:r>
      <w:r>
        <w:rPr>
          <w:rFonts w:ascii="Garamond" w:hAnsi="Garamond" w:cs="Times New Roman"/>
        </w:rPr>
        <w:t xml:space="preserve">is </w:t>
      </w:r>
      <w:r w:rsidRPr="00EC439D">
        <w:rPr>
          <w:rFonts w:ascii="Garamond" w:hAnsi="Garamond" w:cs="Times New Roman"/>
        </w:rPr>
        <w:t xml:space="preserve">also properly confident with respect to her strengths, and so measures her cognitive response to the possibility of God speaking by resisting outright </w:t>
      </w:r>
      <w:proofErr w:type="gramStart"/>
      <w:r w:rsidRPr="00EC439D">
        <w:rPr>
          <w:rFonts w:ascii="Garamond" w:hAnsi="Garamond" w:cs="Times New Roman"/>
        </w:rPr>
        <w:t>belief, and</w:t>
      </w:r>
      <w:proofErr w:type="gramEnd"/>
      <w:r w:rsidRPr="00EC439D">
        <w:rPr>
          <w:rFonts w:ascii="Garamond" w:hAnsi="Garamond" w:cs="Times New Roman"/>
        </w:rPr>
        <w:t xml:space="preserve"> has a restrained level of confidence. In such circumstances, FTG is accompanied by intellectual humility </w:t>
      </w:r>
      <w:r>
        <w:rPr>
          <w:rFonts w:ascii="Garamond" w:hAnsi="Garamond" w:cs="Times New Roman"/>
        </w:rPr>
        <w:t>and</w:t>
      </w:r>
      <w:r w:rsidRPr="00EC439D">
        <w:rPr>
          <w:rFonts w:ascii="Garamond" w:hAnsi="Garamond" w:cs="Times New Roman"/>
        </w:rPr>
        <w:t xml:space="preserve"> hence can be a virtue.</w:t>
      </w:r>
    </w:p>
    <w:p w14:paraId="77762C10" w14:textId="489F438C"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Now, we might agree that this response is one of humility, but is it also one of faith? Doesn’t faith require Sarah to believe, rather than merely hope or accept, that God has spoken? Well, as was discussed earlier, there is wide</w:t>
      </w:r>
      <w:r>
        <w:rPr>
          <w:rFonts w:ascii="Garamond" w:hAnsi="Garamond" w:cs="Times New Roman"/>
        </w:rPr>
        <w:t>spread (though not universal)</w:t>
      </w:r>
      <w:r w:rsidRPr="00EC439D">
        <w:rPr>
          <w:rFonts w:ascii="Garamond" w:hAnsi="Garamond" w:cs="Times New Roman"/>
        </w:rPr>
        <w:t xml:space="preserve"> support for the view that faith does not require belief, and hence, when Sarah trusts that God has spoken (TGS), she could simply </w:t>
      </w:r>
      <w:r w:rsidRPr="00EC439D">
        <w:rPr>
          <w:rFonts w:ascii="Garamond" w:hAnsi="Garamond" w:cs="Times New Roman"/>
          <w:i/>
          <w:iCs/>
        </w:rPr>
        <w:t>act on the supposition</w:t>
      </w:r>
      <w:r w:rsidRPr="00EC439D">
        <w:rPr>
          <w:rFonts w:ascii="Garamond" w:hAnsi="Garamond" w:cs="Times New Roman"/>
        </w:rPr>
        <w:t xml:space="preserve"> that God has spoken. In terms of cognitive attitudes, this can be satisfied by either belief or acceptance, and so Sarah’s response, when she has sufficient evidence, can be one of belief, and when she lacks it</w:t>
      </w:r>
      <w:r>
        <w:rPr>
          <w:rFonts w:ascii="Garamond" w:hAnsi="Garamond" w:cs="Times New Roman"/>
        </w:rPr>
        <w:t>, it</w:t>
      </w:r>
      <w:r w:rsidRPr="00EC439D">
        <w:rPr>
          <w:rFonts w:ascii="Garamond" w:hAnsi="Garamond" w:cs="Times New Roman"/>
        </w:rPr>
        <w:t xml:space="preserve"> can be one of acceptance. But of course, in order for her response to be one of faith in the sense of FTG, Sarah must also trust what she takes God to have said to her. Again, this can be a nondoxastic response, but will also involve relying on God in </w:t>
      </w:r>
      <w:r w:rsidRPr="00EC439D">
        <w:rPr>
          <w:rFonts w:ascii="Garamond" w:hAnsi="Garamond" w:cs="Times New Roman"/>
        </w:rPr>
        <w:lastRenderedPageBreak/>
        <w:t xml:space="preserve">certain ways, as Sarah does when, for instance, she commits to living as though the Christian narrative of salvation is true. </w:t>
      </w:r>
    </w:p>
    <w:p w14:paraId="43CF6621" w14:textId="67776DFF"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In summary, in order that Sarah’s FTG be virtuous, it must be accompanied by intellectual humility. This requires her to make the appropriate cognitive and epistemic response to putative divine testimony, which is determined by both Sarah’s intellectual strengths and limitations, and the evidence available to her concerning whether or not God is speaking to her. At times, belief and high levels of confidence may be consistent with an intellectually humble response, whilst in others, a nondoxastic response may be the intellectually humble attitude to take. When she fails to take the appropriately humble response, her faith can be accompanied by the vices of servility or arrogance.</w:t>
      </w:r>
    </w:p>
    <w:p w14:paraId="78158DD9" w14:textId="6DEFC573" w:rsidR="00A243C3" w:rsidRPr="00EC439D" w:rsidRDefault="00A243C3" w:rsidP="00A4367E">
      <w:pPr>
        <w:spacing w:line="360" w:lineRule="auto"/>
        <w:jc w:val="both"/>
        <w:rPr>
          <w:rFonts w:ascii="Garamond" w:hAnsi="Garamond" w:cs="Times New Roman"/>
        </w:rPr>
      </w:pPr>
    </w:p>
    <w:p w14:paraId="31C80B61" w14:textId="394FA53A" w:rsidR="00A243C3" w:rsidRPr="00EC439D" w:rsidRDefault="00A243C3" w:rsidP="007F64E6">
      <w:pPr>
        <w:pStyle w:val="Heading1"/>
        <w:numPr>
          <w:ilvl w:val="0"/>
          <w:numId w:val="0"/>
        </w:numPr>
        <w:ind w:left="357" w:hanging="357"/>
        <w:rPr>
          <w:rFonts w:eastAsia="Times New Roman"/>
          <w:sz w:val="28"/>
          <w:szCs w:val="36"/>
        </w:rPr>
      </w:pPr>
      <w:r w:rsidRPr="00EC439D">
        <w:rPr>
          <w:rFonts w:eastAsia="Times New Roman"/>
          <w:sz w:val="28"/>
          <w:szCs w:val="36"/>
        </w:rPr>
        <w:t>Conclusion</w:t>
      </w:r>
    </w:p>
    <w:p w14:paraId="2276C44A" w14:textId="550B9C10"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I have argued that faith, in the rich sense of being disposed to trust God and to act in this faith by trusting what one perceives to be God’s testimony, must be accompanied by intellectual humility if it is to be virtuous. Otherwise, such faith could be intellectually servile or arrogant. But there may be other conditions required for such faith to be virtuous. For instance, that it is proper to rely on God, or that God must actually exist in order that faith in him be a virtue. But at the least, in order that faith as trusting God be virtuous, it must be accompanied by intellectual humility.</w:t>
      </w:r>
      <w:r w:rsidRPr="00EC439D">
        <w:rPr>
          <w:rStyle w:val="FootnoteReference"/>
          <w:rFonts w:ascii="Garamond" w:hAnsi="Garamond" w:cs="Times New Roman"/>
        </w:rPr>
        <w:footnoteReference w:id="13"/>
      </w:r>
    </w:p>
    <w:p w14:paraId="15FC338D" w14:textId="6D35FB44" w:rsidR="00A4367E" w:rsidRPr="00EC439D" w:rsidRDefault="00A4367E" w:rsidP="00A4367E">
      <w:pPr>
        <w:spacing w:line="360" w:lineRule="auto"/>
        <w:jc w:val="both"/>
        <w:rPr>
          <w:rFonts w:ascii="Garamond" w:eastAsiaTheme="majorEastAsia" w:hAnsi="Garamond" w:cs="Times New Roman"/>
          <w:bCs/>
          <w:szCs w:val="32"/>
        </w:rPr>
      </w:pPr>
    </w:p>
    <w:p w14:paraId="05C273BD" w14:textId="77777777" w:rsidR="00E75A14" w:rsidRPr="00EC439D" w:rsidRDefault="00E75A14" w:rsidP="00E75A14">
      <w:pPr>
        <w:keepNext/>
        <w:keepLines/>
        <w:spacing w:after="120" w:line="360" w:lineRule="auto"/>
        <w:ind w:left="357" w:hanging="357"/>
        <w:outlineLvl w:val="0"/>
        <w:rPr>
          <w:rFonts w:ascii="Garamond" w:eastAsiaTheme="majorEastAsia" w:hAnsi="Garamond" w:cs="Times New Roman"/>
          <w:b/>
          <w:sz w:val="28"/>
          <w:szCs w:val="36"/>
        </w:rPr>
      </w:pPr>
      <w:r w:rsidRPr="00EC439D">
        <w:rPr>
          <w:rFonts w:ascii="Garamond" w:eastAsiaTheme="majorEastAsia" w:hAnsi="Garamond" w:cs="Times New Roman"/>
          <w:b/>
          <w:sz w:val="28"/>
          <w:szCs w:val="36"/>
        </w:rPr>
        <w:t>References</w:t>
      </w:r>
    </w:p>
    <w:p w14:paraId="0FDEBB62" w14:textId="60673DC6"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ALSTON, WILLIAM P</w:t>
      </w:r>
      <w:r w:rsidR="00E75A14" w:rsidRPr="00EC439D">
        <w:rPr>
          <w:rFonts w:ascii="Garamond" w:hAnsi="Garamond" w:cs="Times New Roman"/>
        </w:rPr>
        <w:t xml:space="preserve">. (1996) ‘Belief, Acceptance, and Religious Faith,’ in J. Jordan and D. Howard-Snyder (eds.) </w:t>
      </w:r>
      <w:r w:rsidR="00E75A14" w:rsidRPr="00EC439D">
        <w:rPr>
          <w:rFonts w:ascii="Garamond" w:hAnsi="Garamond" w:cs="Times New Roman"/>
          <w:i/>
          <w:iCs/>
        </w:rPr>
        <w:t>Faith, Freedom, and Rationality</w:t>
      </w:r>
      <w:r w:rsidR="00E75A14" w:rsidRPr="00EC439D">
        <w:rPr>
          <w:rFonts w:ascii="Garamond" w:hAnsi="Garamond" w:cs="Times New Roman"/>
        </w:rPr>
        <w:t>. Lanham: Rowman &amp; Littlefield, 3-27.</w:t>
      </w:r>
    </w:p>
    <w:p w14:paraId="6EC74809" w14:textId="35BD49E0"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ANSCOMBE, G.E.M</w:t>
      </w:r>
      <w:r w:rsidR="00E75A14" w:rsidRPr="00EC439D">
        <w:rPr>
          <w:rFonts w:ascii="Garamond" w:hAnsi="Garamond" w:cs="Times New Roman"/>
        </w:rPr>
        <w:t xml:space="preserve">. (1979) ‘What is it to Believe Someone?’ in C. F. Delaney (ed.) </w:t>
      </w:r>
      <w:r w:rsidR="00E75A14" w:rsidRPr="00EC439D">
        <w:rPr>
          <w:rFonts w:ascii="Garamond" w:hAnsi="Garamond" w:cs="Times New Roman"/>
          <w:i/>
        </w:rPr>
        <w:t>Rationality and Religious Belief</w:t>
      </w:r>
      <w:r w:rsidR="00E75A14" w:rsidRPr="00EC439D">
        <w:rPr>
          <w:rFonts w:ascii="Garamond" w:hAnsi="Garamond" w:cs="Times New Roman"/>
        </w:rPr>
        <w:t>. Notre Dame: University of Notre Dame Press, 141-151.</w:t>
      </w:r>
    </w:p>
    <w:p w14:paraId="6E236C44" w14:textId="4776B2B8"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AQUINAS, THOMAS </w:t>
      </w:r>
      <w:r w:rsidR="00E75A14" w:rsidRPr="00EC439D">
        <w:rPr>
          <w:rFonts w:ascii="Garamond" w:hAnsi="Garamond" w:cs="Times New Roman"/>
        </w:rPr>
        <w:t xml:space="preserve">(1947) </w:t>
      </w:r>
      <w:r w:rsidR="00E75A14" w:rsidRPr="00EC439D">
        <w:rPr>
          <w:rFonts w:ascii="Garamond" w:hAnsi="Garamond" w:cs="Times New Roman"/>
          <w:i/>
        </w:rPr>
        <w:t>Summa Theologica</w:t>
      </w:r>
      <w:r w:rsidR="00E75A14" w:rsidRPr="00EC439D">
        <w:rPr>
          <w:rFonts w:ascii="Garamond" w:hAnsi="Garamond" w:cs="Times New Roman"/>
        </w:rPr>
        <w:t>. The Fathers of the English Dominican Province (trans.). Originally published 1256-1274.</w:t>
      </w:r>
    </w:p>
    <w:p w14:paraId="54B16E8F" w14:textId="05EB95F7" w:rsidR="00BE5647" w:rsidRPr="00EC439D" w:rsidRDefault="00BE5647" w:rsidP="00BE5647">
      <w:pPr>
        <w:spacing w:line="360" w:lineRule="auto"/>
        <w:ind w:left="284" w:hanging="284"/>
        <w:jc w:val="both"/>
        <w:rPr>
          <w:rFonts w:ascii="Garamond" w:hAnsi="Garamond" w:cs="Times New Roman"/>
        </w:rPr>
      </w:pPr>
      <w:r w:rsidRPr="00EC439D">
        <w:rPr>
          <w:rFonts w:ascii="Garamond" w:hAnsi="Garamond" w:cs="Times New Roman"/>
        </w:rPr>
        <w:t xml:space="preserve">AUDI, ROBERT </w:t>
      </w:r>
      <w:r w:rsidR="00E75A14" w:rsidRPr="00EC439D">
        <w:rPr>
          <w:rFonts w:ascii="Garamond" w:hAnsi="Garamond" w:cs="Times New Roman"/>
        </w:rPr>
        <w:t xml:space="preserve">(2008) ‘Belief, Faith and Acceptance,’ </w:t>
      </w:r>
      <w:r w:rsidR="00E75A14" w:rsidRPr="00EC439D">
        <w:rPr>
          <w:rFonts w:ascii="Garamond" w:hAnsi="Garamond" w:cs="Times New Roman"/>
          <w:i/>
        </w:rPr>
        <w:t>International Journal for Philosophy of Religion</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63</w:t>
      </w:r>
      <w:r w:rsidR="00E75A14" w:rsidRPr="00EC439D">
        <w:rPr>
          <w:rFonts w:ascii="Garamond" w:hAnsi="Garamond" w:cs="Times New Roman"/>
        </w:rPr>
        <w:t>, 87-102.</w:t>
      </w:r>
    </w:p>
    <w:p w14:paraId="14BB7AE6" w14:textId="764874B0"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 xml:space="preserve">(2011) </w:t>
      </w:r>
      <w:r w:rsidRPr="00EC439D">
        <w:rPr>
          <w:rFonts w:ascii="Garamond" w:hAnsi="Garamond" w:cs="Times New Roman"/>
          <w:i/>
        </w:rPr>
        <w:t>Rationality and Religious Commitment</w:t>
      </w:r>
      <w:r w:rsidRPr="00EC439D">
        <w:rPr>
          <w:rFonts w:ascii="Garamond" w:hAnsi="Garamond" w:cs="Times New Roman"/>
        </w:rPr>
        <w:t>. Oxford: Oxford University Press.</w:t>
      </w:r>
    </w:p>
    <w:p w14:paraId="77668173" w14:textId="1A5FCB03"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lastRenderedPageBreak/>
        <w:t xml:space="preserve">AULÉN, GUSTAF </w:t>
      </w:r>
      <w:r w:rsidR="00E75A14" w:rsidRPr="00EC439D">
        <w:rPr>
          <w:rFonts w:ascii="Garamond" w:hAnsi="Garamond" w:cs="Times New Roman"/>
        </w:rPr>
        <w:t xml:space="preserve">(1954) </w:t>
      </w:r>
      <w:r w:rsidR="00E75A14" w:rsidRPr="00EC439D">
        <w:rPr>
          <w:rFonts w:ascii="Garamond" w:hAnsi="Garamond" w:cs="Times New Roman"/>
          <w:i/>
        </w:rPr>
        <w:t>The Faith of the Christian Church</w:t>
      </w:r>
      <w:r w:rsidR="00E75A14" w:rsidRPr="00EC439D">
        <w:rPr>
          <w:rFonts w:ascii="Garamond" w:hAnsi="Garamond" w:cs="Times New Roman"/>
        </w:rPr>
        <w:t>. Eric H. Wahlstrom and G. Everett Arden (trans.). London: SCM Press.</w:t>
      </w:r>
    </w:p>
    <w:p w14:paraId="328105F3" w14:textId="47CD8463"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AUGUSTINE OF HIPPO </w:t>
      </w:r>
      <w:r w:rsidR="00E75A14" w:rsidRPr="00EC439D">
        <w:rPr>
          <w:rFonts w:ascii="Garamond" w:hAnsi="Garamond" w:cs="Times New Roman"/>
        </w:rPr>
        <w:t xml:space="preserve">(1953) ‘Faith and the Creed,’ in </w:t>
      </w:r>
      <w:r w:rsidR="00E75A14" w:rsidRPr="00EC439D">
        <w:rPr>
          <w:rFonts w:ascii="Garamond" w:hAnsi="Garamond" w:cs="Times New Roman"/>
          <w:i/>
        </w:rPr>
        <w:t>Augustine: Earlier Writings Volume VI</w:t>
      </w:r>
      <w:r w:rsidR="00E75A14" w:rsidRPr="00EC439D">
        <w:rPr>
          <w:rFonts w:ascii="Garamond" w:hAnsi="Garamond" w:cs="Times New Roman"/>
        </w:rPr>
        <w:t xml:space="preserve">. John H. S. </w:t>
      </w:r>
      <w:proofErr w:type="spellStart"/>
      <w:r w:rsidR="00E75A14" w:rsidRPr="00EC439D">
        <w:rPr>
          <w:rFonts w:ascii="Garamond" w:hAnsi="Garamond" w:cs="Times New Roman"/>
        </w:rPr>
        <w:t>Burleigh</w:t>
      </w:r>
      <w:proofErr w:type="spellEnd"/>
      <w:r w:rsidR="00E75A14" w:rsidRPr="00EC439D">
        <w:rPr>
          <w:rFonts w:ascii="Garamond" w:hAnsi="Garamond" w:cs="Times New Roman"/>
        </w:rPr>
        <w:t xml:space="preserve"> (trans.). London: SCM Press, 353-369.</w:t>
      </w:r>
    </w:p>
    <w:p w14:paraId="1ACE07C8" w14:textId="1F6BA080" w:rsidR="00E75A14" w:rsidRPr="00EC439D" w:rsidRDefault="00E75A14" w:rsidP="00BE5647">
      <w:pPr>
        <w:spacing w:line="360" w:lineRule="auto"/>
        <w:ind w:left="567" w:hanging="284"/>
        <w:jc w:val="both"/>
        <w:rPr>
          <w:rFonts w:ascii="Garamond" w:hAnsi="Garamond" w:cs="Times New Roman"/>
          <w:i/>
        </w:rPr>
      </w:pPr>
      <w:r w:rsidRPr="00EC439D">
        <w:rPr>
          <w:rFonts w:ascii="Garamond" w:hAnsi="Garamond" w:cs="Times New Roman"/>
        </w:rPr>
        <w:t xml:space="preserve">(2010) ‘On the Profit of Believing,’ in </w:t>
      </w:r>
      <w:r w:rsidRPr="00EC439D">
        <w:rPr>
          <w:rFonts w:ascii="Garamond" w:hAnsi="Garamond" w:cs="Times New Roman"/>
          <w:i/>
        </w:rPr>
        <w:t>On the Profit of Believing and On the Creed</w:t>
      </w:r>
      <w:r w:rsidRPr="00EC439D">
        <w:rPr>
          <w:rFonts w:ascii="Garamond" w:hAnsi="Garamond" w:cs="Times New Roman"/>
        </w:rPr>
        <w:t>. Kessinger Publishing. Originally published 391 A.D.</w:t>
      </w:r>
    </w:p>
    <w:p w14:paraId="31A6A6E4" w14:textId="0CCC6930" w:rsidR="00E75A14" w:rsidRPr="00EC439D" w:rsidRDefault="00BE5647" w:rsidP="00E75A14">
      <w:pPr>
        <w:spacing w:line="360" w:lineRule="auto"/>
        <w:ind w:left="284" w:hanging="284"/>
        <w:jc w:val="both"/>
        <w:rPr>
          <w:rFonts w:ascii="Garamond" w:hAnsi="Garamond" w:cs="Times New Roman"/>
          <w:i/>
        </w:rPr>
      </w:pPr>
      <w:r w:rsidRPr="00EC439D">
        <w:rPr>
          <w:rFonts w:ascii="Garamond" w:hAnsi="Garamond" w:cs="Times New Roman"/>
        </w:rPr>
        <w:t xml:space="preserve">BISHOP, JOHN </w:t>
      </w:r>
      <w:r w:rsidR="00E75A14" w:rsidRPr="00EC439D">
        <w:rPr>
          <w:rFonts w:ascii="Garamond" w:hAnsi="Garamond" w:cs="Times New Roman"/>
        </w:rPr>
        <w:t xml:space="preserve">(2007) </w:t>
      </w:r>
      <w:r w:rsidR="00E75A14" w:rsidRPr="00EC439D">
        <w:rPr>
          <w:rFonts w:ascii="Garamond" w:hAnsi="Garamond" w:cs="Times New Roman"/>
          <w:i/>
        </w:rPr>
        <w:t>Believing by Faith: An Essay in the Epistemology and Ethics of Religious Belief</w:t>
      </w:r>
      <w:r w:rsidR="00E75A14" w:rsidRPr="00EC439D">
        <w:rPr>
          <w:rFonts w:ascii="Garamond" w:hAnsi="Garamond" w:cs="Times New Roman"/>
        </w:rPr>
        <w:t>. Oxford: Oxford University Press.</w:t>
      </w:r>
    </w:p>
    <w:p w14:paraId="615D512B" w14:textId="35C5FF55"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BUCHAK, LARA </w:t>
      </w:r>
      <w:r w:rsidR="00E75A14" w:rsidRPr="00EC439D">
        <w:rPr>
          <w:rFonts w:ascii="Garamond" w:hAnsi="Garamond" w:cs="Times New Roman"/>
        </w:rPr>
        <w:t>(2014) ‘Rational Faith and Justified Belief,’ in</w:t>
      </w:r>
      <w:r w:rsidR="00E75A14" w:rsidRPr="00EC439D">
        <w:rPr>
          <w:rFonts w:ascii="Garamond" w:hAnsi="Garamond" w:cs="Times New Roman"/>
          <w:iCs/>
        </w:rPr>
        <w:t xml:space="preserve"> L. Callahan and T. O’Connor (eds.) </w:t>
      </w:r>
      <w:r w:rsidR="00E75A14" w:rsidRPr="00EC439D">
        <w:rPr>
          <w:rFonts w:ascii="Garamond" w:hAnsi="Garamond" w:cs="Times New Roman"/>
          <w:i/>
          <w:iCs/>
        </w:rPr>
        <w:t>Religious Faith and Intellectual Virtue</w:t>
      </w:r>
      <w:r w:rsidR="00E75A14" w:rsidRPr="00EC439D">
        <w:rPr>
          <w:rFonts w:ascii="Garamond" w:hAnsi="Garamond" w:cs="Times New Roman"/>
          <w:iCs/>
        </w:rPr>
        <w:t>. Oxford: Oxford University Press, 49–72.</w:t>
      </w:r>
    </w:p>
    <w:p w14:paraId="53FFBE61" w14:textId="3645B205"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 xml:space="preserve">(2017a) ‘Faith and Steadfastness in the Face of Counter-Evidence,’ </w:t>
      </w:r>
      <w:r w:rsidRPr="00EC439D">
        <w:rPr>
          <w:rFonts w:ascii="Garamond" w:hAnsi="Garamond" w:cs="Times New Roman"/>
          <w:i/>
        </w:rPr>
        <w:t>International Journal for Philosophy of Religion</w:t>
      </w:r>
      <w:r w:rsidRPr="00EC439D">
        <w:rPr>
          <w:rFonts w:ascii="Garamond" w:hAnsi="Garamond" w:cs="Times New Roman"/>
        </w:rPr>
        <w:t xml:space="preserve">, </w:t>
      </w:r>
      <w:r w:rsidRPr="00EC439D">
        <w:rPr>
          <w:rFonts w:ascii="Garamond" w:hAnsi="Garamond" w:cs="Times New Roman"/>
          <w:b/>
          <w:bCs/>
        </w:rPr>
        <w:t>81</w:t>
      </w:r>
      <w:r w:rsidRPr="00EC439D">
        <w:rPr>
          <w:rFonts w:ascii="Garamond" w:hAnsi="Garamond" w:cs="Times New Roman"/>
        </w:rPr>
        <w:t>, 113-133.</w:t>
      </w:r>
    </w:p>
    <w:p w14:paraId="15376E53" w14:textId="5448462F"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 xml:space="preserve">(2017b) ‘Reason and Faith,’ in W. Abraham and F. Aquino (eds) </w:t>
      </w:r>
      <w:r w:rsidRPr="00EC439D">
        <w:rPr>
          <w:rFonts w:ascii="Garamond" w:hAnsi="Garamond" w:cs="Times New Roman"/>
          <w:i/>
        </w:rPr>
        <w:t>The Oxford Handbook of the Epistemology of Theology</w:t>
      </w:r>
      <w:r w:rsidRPr="00EC439D">
        <w:rPr>
          <w:rFonts w:ascii="Garamond" w:hAnsi="Garamond" w:cs="Times New Roman"/>
        </w:rPr>
        <w:t>. Oxford: Oxford University Press, 46-63.</w:t>
      </w:r>
    </w:p>
    <w:p w14:paraId="0A902CE3" w14:textId="2676F39C"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rPr>
      </w:pPr>
      <w:r w:rsidRPr="00EC439D">
        <w:rPr>
          <w:rFonts w:ascii="Garamond" w:eastAsia="Calibri" w:hAnsi="Garamond" w:cs="Times New Roman"/>
        </w:rPr>
        <w:t xml:space="preserve">CALLAHAN, LAURA AND O’CONNOR, TIMOTHY </w:t>
      </w:r>
      <w:r w:rsidR="00E75A14" w:rsidRPr="00EC439D">
        <w:rPr>
          <w:rFonts w:ascii="Garamond" w:eastAsia="Calibri" w:hAnsi="Garamond" w:cs="Times New Roman"/>
        </w:rPr>
        <w:t xml:space="preserve">(2014) </w:t>
      </w:r>
      <w:r w:rsidR="00E75A14" w:rsidRPr="00EC439D">
        <w:rPr>
          <w:rFonts w:ascii="Garamond" w:eastAsia="Calibri" w:hAnsi="Garamond" w:cs="Times New Roman"/>
          <w:i/>
        </w:rPr>
        <w:t>Religious Faith and Intellectual Virtue</w:t>
      </w:r>
      <w:r w:rsidR="00E75A14" w:rsidRPr="00EC439D">
        <w:rPr>
          <w:rFonts w:ascii="Garamond" w:eastAsia="Calibri" w:hAnsi="Garamond" w:cs="Times New Roman"/>
        </w:rPr>
        <w:t>. Oxford: Oxford University Press.</w:t>
      </w:r>
    </w:p>
    <w:p w14:paraId="5816C5EC" w14:textId="7DBD7D59"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iCs/>
        </w:rPr>
      </w:pPr>
      <w:r w:rsidRPr="00EC439D">
        <w:rPr>
          <w:rFonts w:ascii="Garamond" w:eastAsia="Calibri" w:hAnsi="Garamond" w:cs="Times New Roman"/>
          <w:iCs/>
        </w:rPr>
        <w:t xml:space="preserve">CHAPPELL, TIMOTHY </w:t>
      </w:r>
      <w:r w:rsidR="00E75A14" w:rsidRPr="00EC439D">
        <w:rPr>
          <w:rFonts w:ascii="Garamond" w:eastAsia="Calibri" w:hAnsi="Garamond" w:cs="Times New Roman"/>
          <w:iCs/>
        </w:rPr>
        <w:t xml:space="preserve">(1996) ‘Why is Faith a Virtue?’ </w:t>
      </w:r>
      <w:r w:rsidR="00E75A14" w:rsidRPr="00EC439D">
        <w:rPr>
          <w:rFonts w:ascii="Garamond" w:eastAsia="Calibri" w:hAnsi="Garamond" w:cs="Times New Roman"/>
          <w:i/>
          <w:iCs/>
        </w:rPr>
        <w:t>Religious Studies</w:t>
      </w:r>
      <w:r w:rsidRPr="00EC439D">
        <w:rPr>
          <w:rFonts w:ascii="Garamond" w:eastAsia="Calibri" w:hAnsi="Garamond" w:cs="Times New Roman"/>
        </w:rPr>
        <w:t>,</w:t>
      </w:r>
      <w:r w:rsidR="00E75A14" w:rsidRPr="00EC439D">
        <w:rPr>
          <w:rFonts w:ascii="Garamond" w:eastAsia="Calibri" w:hAnsi="Garamond" w:cs="Times New Roman"/>
          <w:iCs/>
        </w:rPr>
        <w:t xml:space="preserve"> </w:t>
      </w:r>
      <w:r w:rsidR="00E75A14" w:rsidRPr="00EC439D">
        <w:rPr>
          <w:rFonts w:ascii="Garamond" w:eastAsia="Calibri" w:hAnsi="Garamond" w:cs="Times New Roman"/>
          <w:b/>
          <w:bCs/>
          <w:iCs/>
        </w:rPr>
        <w:t>32</w:t>
      </w:r>
      <w:r w:rsidR="00E75A14" w:rsidRPr="00EC439D">
        <w:rPr>
          <w:rFonts w:ascii="Garamond" w:eastAsia="Calibri" w:hAnsi="Garamond" w:cs="Times New Roman"/>
          <w:iCs/>
        </w:rPr>
        <w:t>, 27-36.</w:t>
      </w:r>
    </w:p>
    <w:p w14:paraId="7CB3D72E" w14:textId="3E899C50"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iCs/>
        </w:rPr>
      </w:pPr>
      <w:r w:rsidRPr="00EC439D">
        <w:rPr>
          <w:rFonts w:ascii="Garamond" w:eastAsia="Calibri" w:hAnsi="Garamond" w:cs="Times New Roman"/>
          <w:iCs/>
        </w:rPr>
        <w:t xml:space="preserve">CLEMENT OF ALEXANDRIA </w:t>
      </w:r>
      <w:r w:rsidR="00E75A14" w:rsidRPr="00EC439D">
        <w:rPr>
          <w:rFonts w:ascii="Garamond" w:eastAsia="Calibri" w:hAnsi="Garamond" w:cs="Times New Roman"/>
          <w:iCs/>
        </w:rPr>
        <w:t xml:space="preserve">(1971) ‘The Stromata, or Miscellanies,’ in J. Donaldson and A. Roberts (eds.) </w:t>
      </w:r>
      <w:r w:rsidR="00E75A14" w:rsidRPr="00EC439D">
        <w:rPr>
          <w:rFonts w:ascii="Garamond" w:eastAsia="Calibri" w:hAnsi="Garamond" w:cs="Times New Roman"/>
          <w:i/>
          <w:iCs/>
        </w:rPr>
        <w:t>The Ante-Nicene Fathers: Translations of the Writings of the Fathers Down to A.D. 325, Volume II</w:t>
      </w:r>
      <w:r w:rsidR="00E75A14" w:rsidRPr="00EC439D">
        <w:rPr>
          <w:rFonts w:ascii="Garamond" w:eastAsia="Calibri" w:hAnsi="Garamond" w:cs="Times New Roman"/>
          <w:iCs/>
        </w:rPr>
        <w:t xml:space="preserve">. Grand Rapids: WM. B. </w:t>
      </w:r>
      <w:proofErr w:type="spellStart"/>
      <w:r w:rsidR="00E75A14" w:rsidRPr="00EC439D">
        <w:rPr>
          <w:rFonts w:ascii="Garamond" w:eastAsia="Calibri" w:hAnsi="Garamond" w:cs="Times New Roman"/>
          <w:iCs/>
        </w:rPr>
        <w:t>Eerdmands</w:t>
      </w:r>
      <w:proofErr w:type="spellEnd"/>
      <w:r w:rsidR="00E75A14" w:rsidRPr="00EC439D">
        <w:rPr>
          <w:rFonts w:ascii="Garamond" w:eastAsia="Calibri" w:hAnsi="Garamond" w:cs="Times New Roman"/>
          <w:iCs/>
        </w:rPr>
        <w:t xml:space="preserve"> Publishing Company.</w:t>
      </w:r>
    </w:p>
    <w:p w14:paraId="1A5307DC" w14:textId="3881517B"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iCs/>
        </w:rPr>
      </w:pPr>
      <w:r w:rsidRPr="00EC439D">
        <w:rPr>
          <w:rFonts w:ascii="Garamond" w:eastAsia="Calibri" w:hAnsi="Garamond" w:cs="Times New Roman"/>
          <w:iCs/>
        </w:rPr>
        <w:t>COHEN, L. J</w:t>
      </w:r>
      <w:r w:rsidR="00E75A14" w:rsidRPr="00EC439D">
        <w:rPr>
          <w:rFonts w:ascii="Garamond" w:eastAsia="Calibri" w:hAnsi="Garamond" w:cs="Times New Roman"/>
          <w:iCs/>
        </w:rPr>
        <w:t xml:space="preserve">. (1992) </w:t>
      </w:r>
      <w:r w:rsidR="00E75A14" w:rsidRPr="00EC439D">
        <w:rPr>
          <w:rFonts w:ascii="Garamond" w:eastAsia="Calibri" w:hAnsi="Garamond" w:cs="Times New Roman"/>
          <w:i/>
          <w:iCs/>
        </w:rPr>
        <w:t>An Essay on Belief and Acceptance</w:t>
      </w:r>
      <w:r w:rsidR="00E75A14" w:rsidRPr="00EC439D">
        <w:rPr>
          <w:rFonts w:ascii="Garamond" w:eastAsia="Calibri" w:hAnsi="Garamond" w:cs="Times New Roman"/>
          <w:iCs/>
        </w:rPr>
        <w:t>. Oxford: Oxford University Press.</w:t>
      </w:r>
    </w:p>
    <w:p w14:paraId="7E61380B" w14:textId="5CE025BE"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rPr>
      </w:pPr>
      <w:r w:rsidRPr="00EC439D">
        <w:rPr>
          <w:rFonts w:ascii="Garamond" w:eastAsia="Calibri" w:hAnsi="Garamond" w:cs="Times New Roman"/>
        </w:rPr>
        <w:t xml:space="preserve">DOUGHERTY, TRENT </w:t>
      </w:r>
      <w:r w:rsidR="00E75A14" w:rsidRPr="00EC439D">
        <w:rPr>
          <w:rFonts w:ascii="Garamond" w:eastAsia="Calibri" w:hAnsi="Garamond" w:cs="Times New Roman"/>
        </w:rPr>
        <w:t xml:space="preserve">(2014) ‘Faith, Trust, and Testimony,’ in L. Callahan and T. O’Connor (eds.) </w:t>
      </w:r>
      <w:r w:rsidR="00E75A14" w:rsidRPr="00EC439D">
        <w:rPr>
          <w:rFonts w:ascii="Garamond" w:eastAsia="Calibri" w:hAnsi="Garamond" w:cs="Times New Roman"/>
          <w:i/>
        </w:rPr>
        <w:t>Religious Faith and Intellectual Virtue</w:t>
      </w:r>
      <w:r w:rsidR="00E75A14" w:rsidRPr="00EC439D">
        <w:rPr>
          <w:rFonts w:ascii="Garamond" w:eastAsia="Calibri" w:hAnsi="Garamond" w:cs="Times New Roman"/>
        </w:rPr>
        <w:t>. Oxford: Oxford University Press, 97-121.</w:t>
      </w:r>
    </w:p>
    <w:p w14:paraId="72AFF5E1" w14:textId="164D6401" w:rsidR="00E75A14" w:rsidRPr="00EC439D" w:rsidRDefault="00BE5647" w:rsidP="00E75A14">
      <w:pPr>
        <w:spacing w:line="360" w:lineRule="auto"/>
        <w:ind w:left="284" w:hanging="284"/>
        <w:jc w:val="both"/>
        <w:rPr>
          <w:rFonts w:ascii="Garamond" w:hAnsi="Garamond" w:cs="Times New Roman"/>
          <w:bCs/>
          <w:iCs/>
        </w:rPr>
      </w:pPr>
      <w:r w:rsidRPr="00EC439D">
        <w:rPr>
          <w:rFonts w:ascii="Garamond" w:hAnsi="Garamond" w:cs="Times New Roman"/>
          <w:iCs/>
        </w:rPr>
        <w:t xml:space="preserve">FRICKER, ELIZABETH </w:t>
      </w:r>
      <w:r w:rsidR="00E75A14" w:rsidRPr="00EC439D">
        <w:rPr>
          <w:rFonts w:ascii="Garamond" w:hAnsi="Garamond" w:cs="Times New Roman"/>
          <w:iCs/>
        </w:rPr>
        <w:t xml:space="preserve">(2006) ‘Second-Hand Knowledge,’ </w:t>
      </w:r>
      <w:r w:rsidR="00E75A14" w:rsidRPr="00EC439D">
        <w:rPr>
          <w:rFonts w:ascii="Garamond" w:hAnsi="Garamond" w:cs="Times New Roman"/>
          <w:bCs/>
          <w:i/>
          <w:iCs/>
        </w:rPr>
        <w:t>Philosophy and Phenomenological Research</w:t>
      </w:r>
      <w:r w:rsidR="00E75A14" w:rsidRPr="00EC439D">
        <w:rPr>
          <w:rFonts w:ascii="Garamond" w:hAnsi="Garamond" w:cs="Times New Roman"/>
          <w:bCs/>
          <w:iCs/>
        </w:rPr>
        <w:t>,</w:t>
      </w:r>
      <w:r w:rsidR="00E75A14" w:rsidRPr="00EC439D">
        <w:rPr>
          <w:rFonts w:ascii="Garamond" w:hAnsi="Garamond" w:cs="Times New Roman"/>
          <w:bCs/>
          <w:i/>
          <w:iCs/>
        </w:rPr>
        <w:t xml:space="preserve"> </w:t>
      </w:r>
      <w:r w:rsidR="00E75A14" w:rsidRPr="00EC439D">
        <w:rPr>
          <w:rFonts w:ascii="Garamond" w:hAnsi="Garamond" w:cs="Times New Roman"/>
          <w:b/>
          <w:bCs/>
          <w:iCs/>
        </w:rPr>
        <w:t>73</w:t>
      </w:r>
      <w:r w:rsidR="00E75A14" w:rsidRPr="00EC439D">
        <w:rPr>
          <w:rFonts w:ascii="Garamond" w:hAnsi="Garamond" w:cs="Times New Roman"/>
          <w:iCs/>
        </w:rPr>
        <w:t>,</w:t>
      </w:r>
      <w:r w:rsidR="00E75A14" w:rsidRPr="00EC439D">
        <w:rPr>
          <w:rFonts w:ascii="Garamond" w:hAnsi="Garamond" w:cs="Times New Roman"/>
          <w:bCs/>
          <w:iCs/>
        </w:rPr>
        <w:t xml:space="preserve"> 592-618.</w:t>
      </w:r>
    </w:p>
    <w:p w14:paraId="6378AA8D" w14:textId="4C2403B2"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FROST-ARNOLD, KAREN </w:t>
      </w:r>
      <w:r w:rsidR="00E75A14" w:rsidRPr="00EC439D">
        <w:rPr>
          <w:rFonts w:ascii="Garamond" w:hAnsi="Garamond" w:cs="Times New Roman"/>
        </w:rPr>
        <w:t xml:space="preserve">(2014) ‘The Cognitive Attitude of Rational Trust,’ </w:t>
      </w:r>
      <w:proofErr w:type="spellStart"/>
      <w:r w:rsidR="00E75A14" w:rsidRPr="00EC439D">
        <w:rPr>
          <w:rFonts w:ascii="Garamond" w:hAnsi="Garamond" w:cs="Times New Roman"/>
          <w:i/>
          <w:iCs/>
        </w:rPr>
        <w:t>Synthese</w:t>
      </w:r>
      <w:proofErr w:type="spellEnd"/>
      <w:r w:rsidRPr="00EC439D">
        <w:rPr>
          <w:rFonts w:ascii="Garamond" w:hAnsi="Garamond" w:cs="Times New Roman"/>
        </w:rPr>
        <w:t>,</w:t>
      </w:r>
      <w:r w:rsidR="00E75A14" w:rsidRPr="00EC439D">
        <w:rPr>
          <w:rFonts w:ascii="Garamond" w:hAnsi="Garamond" w:cs="Times New Roman"/>
        </w:rPr>
        <w:t xml:space="preserve"> </w:t>
      </w:r>
      <w:r w:rsidR="00E75A14" w:rsidRPr="00EC439D">
        <w:rPr>
          <w:rFonts w:ascii="Garamond" w:hAnsi="Garamond" w:cs="Times New Roman"/>
          <w:b/>
          <w:bCs/>
        </w:rPr>
        <w:t>191</w:t>
      </w:r>
      <w:r w:rsidR="00E75A14" w:rsidRPr="00EC439D">
        <w:rPr>
          <w:rFonts w:ascii="Garamond" w:hAnsi="Garamond" w:cs="Times New Roman"/>
        </w:rPr>
        <w:t>, 1957–1974.</w:t>
      </w:r>
    </w:p>
    <w:p w14:paraId="2733E021" w14:textId="2DF61732"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HOWARD-SNYDER, DANIEL </w:t>
      </w:r>
      <w:r w:rsidR="00E75A14" w:rsidRPr="00EC439D">
        <w:rPr>
          <w:rFonts w:ascii="Garamond" w:hAnsi="Garamond" w:cs="Times New Roman"/>
        </w:rPr>
        <w:t xml:space="preserve">(2013) ‘Propositional Faith: What It Is and What It Is Not,’ </w:t>
      </w:r>
      <w:r w:rsidR="00E75A14" w:rsidRPr="00EC439D">
        <w:rPr>
          <w:rFonts w:ascii="Garamond" w:hAnsi="Garamond" w:cs="Times New Roman"/>
          <w:i/>
        </w:rPr>
        <w:t>American Philosophical Quarterly</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50</w:t>
      </w:r>
      <w:r w:rsidR="00E75A14" w:rsidRPr="00EC439D">
        <w:rPr>
          <w:rFonts w:ascii="Garamond" w:hAnsi="Garamond" w:cs="Times New Roman"/>
        </w:rPr>
        <w:t>, 357-372.</w:t>
      </w:r>
    </w:p>
    <w:p w14:paraId="0C2A23F7" w14:textId="7E769C99" w:rsidR="00E75A14" w:rsidRPr="00EC439D" w:rsidRDefault="00E75A14" w:rsidP="00BE5647">
      <w:pPr>
        <w:spacing w:line="360" w:lineRule="auto"/>
        <w:ind w:left="567" w:hanging="284"/>
        <w:jc w:val="both"/>
        <w:rPr>
          <w:rFonts w:ascii="Garamond" w:hAnsi="Garamond" w:cs="Times New Roman"/>
          <w:iCs/>
        </w:rPr>
      </w:pPr>
      <w:r w:rsidRPr="00EC439D">
        <w:rPr>
          <w:rFonts w:ascii="Garamond" w:hAnsi="Garamond" w:cs="Times New Roman"/>
          <w:iCs/>
        </w:rPr>
        <w:t xml:space="preserve">(2016) ‘Does Faith Entail Belief?’ </w:t>
      </w:r>
      <w:r w:rsidRPr="00EC439D">
        <w:rPr>
          <w:rFonts w:ascii="Garamond" w:hAnsi="Garamond" w:cs="Times New Roman"/>
          <w:i/>
          <w:iCs/>
        </w:rPr>
        <w:t>Faith and Philosophy</w:t>
      </w:r>
      <w:r w:rsidRPr="00EC439D">
        <w:rPr>
          <w:rFonts w:ascii="Garamond" w:hAnsi="Garamond" w:cs="Times New Roman"/>
          <w:iCs/>
        </w:rPr>
        <w:t xml:space="preserve"> </w:t>
      </w:r>
      <w:r w:rsidRPr="00EC439D">
        <w:rPr>
          <w:rFonts w:ascii="Garamond" w:hAnsi="Garamond" w:cs="Times New Roman"/>
          <w:b/>
          <w:bCs/>
          <w:iCs/>
        </w:rPr>
        <w:t>33</w:t>
      </w:r>
      <w:r w:rsidRPr="00EC439D">
        <w:rPr>
          <w:rFonts w:ascii="Garamond" w:hAnsi="Garamond" w:cs="Times New Roman"/>
          <w:iCs/>
        </w:rPr>
        <w:t xml:space="preserve">, 142-162. </w:t>
      </w:r>
    </w:p>
    <w:p w14:paraId="47B26344" w14:textId="5558544F"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(2017) ‘</w:t>
      </w:r>
      <w:proofErr w:type="spellStart"/>
      <w:r w:rsidRPr="00EC439D">
        <w:rPr>
          <w:rFonts w:ascii="Garamond" w:hAnsi="Garamond" w:cs="Times New Roman"/>
        </w:rPr>
        <w:t>Markan</w:t>
      </w:r>
      <w:proofErr w:type="spellEnd"/>
      <w:r w:rsidRPr="00EC439D">
        <w:rPr>
          <w:rFonts w:ascii="Garamond" w:hAnsi="Garamond" w:cs="Times New Roman"/>
        </w:rPr>
        <w:t xml:space="preserve"> Faith,’ </w:t>
      </w:r>
      <w:r w:rsidRPr="00EC439D">
        <w:rPr>
          <w:rFonts w:ascii="Garamond" w:hAnsi="Garamond" w:cs="Times New Roman"/>
          <w:i/>
        </w:rPr>
        <w:t>International Journal for Philosophy of Religion</w:t>
      </w:r>
      <w:r w:rsidRPr="00EC439D">
        <w:rPr>
          <w:rFonts w:ascii="Garamond" w:hAnsi="Garamond" w:cs="Times New Roman"/>
        </w:rPr>
        <w:t xml:space="preserve">, </w:t>
      </w:r>
      <w:r w:rsidRPr="00EC439D">
        <w:rPr>
          <w:rFonts w:ascii="Garamond" w:hAnsi="Garamond" w:cs="Times New Roman"/>
          <w:b/>
          <w:bCs/>
        </w:rPr>
        <w:t>81</w:t>
      </w:r>
      <w:r w:rsidRPr="00EC439D">
        <w:rPr>
          <w:rFonts w:ascii="Garamond" w:hAnsi="Garamond" w:cs="Times New Roman"/>
        </w:rPr>
        <w:t>, 31-60.</w:t>
      </w:r>
    </w:p>
    <w:p w14:paraId="21970BCF" w14:textId="5FB9E803"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JEFFREY, ANNE </w:t>
      </w:r>
      <w:r w:rsidR="00E75A14" w:rsidRPr="00EC439D">
        <w:rPr>
          <w:rFonts w:ascii="Garamond" w:hAnsi="Garamond" w:cs="Times New Roman"/>
        </w:rPr>
        <w:t xml:space="preserve">(2017) ‘How Aristotelians Can Make Faith a Virtue,’ </w:t>
      </w:r>
      <w:r w:rsidR="00E75A14" w:rsidRPr="00EC439D">
        <w:rPr>
          <w:rFonts w:ascii="Garamond" w:hAnsi="Garamond" w:cs="Times New Roman"/>
          <w:i/>
        </w:rPr>
        <w:t>Ethical Theory and Moral Practice</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20</w:t>
      </w:r>
      <w:r w:rsidR="00E75A14" w:rsidRPr="00EC439D">
        <w:rPr>
          <w:rFonts w:ascii="Garamond" w:hAnsi="Garamond" w:cs="Times New Roman"/>
        </w:rPr>
        <w:t>, 393-409.</w:t>
      </w:r>
    </w:p>
    <w:p w14:paraId="3AACD173" w14:textId="69D13D07"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KENNY, ANTHONY </w:t>
      </w:r>
      <w:r w:rsidR="00E75A14" w:rsidRPr="00EC439D">
        <w:rPr>
          <w:rFonts w:ascii="Garamond" w:hAnsi="Garamond" w:cs="Times New Roman"/>
        </w:rPr>
        <w:t xml:space="preserve">(1992) </w:t>
      </w:r>
      <w:r w:rsidR="00E75A14" w:rsidRPr="00EC439D">
        <w:rPr>
          <w:rFonts w:ascii="Garamond" w:hAnsi="Garamond" w:cs="Times New Roman"/>
          <w:i/>
        </w:rPr>
        <w:t>What is Faith?</w:t>
      </w:r>
      <w:r w:rsidR="00E75A14" w:rsidRPr="00EC439D">
        <w:rPr>
          <w:rFonts w:ascii="Garamond" w:hAnsi="Garamond" w:cs="Times New Roman"/>
        </w:rPr>
        <w:t xml:space="preserve"> Oxford: Oxford University Press.</w:t>
      </w:r>
    </w:p>
    <w:p w14:paraId="12EC0D09" w14:textId="74A06058"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lastRenderedPageBreak/>
        <w:t xml:space="preserve">KIDD, IAN </w:t>
      </w:r>
      <w:r w:rsidR="00E75A14" w:rsidRPr="00EC439D">
        <w:rPr>
          <w:rFonts w:ascii="Garamond" w:hAnsi="Garamond" w:cs="Times New Roman"/>
        </w:rPr>
        <w:t xml:space="preserve">(2015) ‘Educating for Intellectual Humility,’ in </w:t>
      </w:r>
      <w:r w:rsidR="00E75A14" w:rsidRPr="00EC439D">
        <w:rPr>
          <w:rFonts w:ascii="Garamond" w:hAnsi="Garamond" w:cs="Times New Roman"/>
          <w:i/>
          <w:iCs/>
        </w:rPr>
        <w:t>Intellectual Virtues and Education: Essays in Applied Virtue Epistemology</w:t>
      </w:r>
      <w:r w:rsidR="00E75A14" w:rsidRPr="00EC439D">
        <w:rPr>
          <w:rFonts w:ascii="Garamond" w:hAnsi="Garamond" w:cs="Times New Roman"/>
        </w:rPr>
        <w:t xml:space="preserve"> Jason </w:t>
      </w:r>
      <w:proofErr w:type="spellStart"/>
      <w:r w:rsidR="00E75A14" w:rsidRPr="00EC439D">
        <w:rPr>
          <w:rFonts w:ascii="Garamond" w:hAnsi="Garamond" w:cs="Times New Roman"/>
        </w:rPr>
        <w:t>Baehr</w:t>
      </w:r>
      <w:proofErr w:type="spellEnd"/>
      <w:r w:rsidR="00E75A14" w:rsidRPr="00EC439D">
        <w:rPr>
          <w:rFonts w:ascii="Garamond" w:hAnsi="Garamond" w:cs="Times New Roman"/>
        </w:rPr>
        <w:t xml:space="preserve"> (ed.). London: Routledge</w:t>
      </w:r>
      <w:r w:rsidRPr="00EC439D">
        <w:rPr>
          <w:rFonts w:ascii="Garamond" w:hAnsi="Garamond" w:cs="Times New Roman"/>
        </w:rPr>
        <w:t>, 54-70</w:t>
      </w:r>
      <w:r w:rsidR="00E75A14" w:rsidRPr="00EC439D">
        <w:rPr>
          <w:rFonts w:ascii="Garamond" w:hAnsi="Garamond" w:cs="Times New Roman"/>
        </w:rPr>
        <w:t>.</w:t>
      </w:r>
    </w:p>
    <w:p w14:paraId="04BCC719" w14:textId="22C58381"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KVANVIG, JONATHAN </w:t>
      </w:r>
      <w:r w:rsidR="00E75A14" w:rsidRPr="00EC439D">
        <w:rPr>
          <w:rFonts w:ascii="Garamond" w:hAnsi="Garamond" w:cs="Times New Roman"/>
        </w:rPr>
        <w:t xml:space="preserve">(2018) </w:t>
      </w:r>
      <w:r w:rsidR="00E75A14" w:rsidRPr="00EC439D">
        <w:rPr>
          <w:rFonts w:ascii="Garamond" w:hAnsi="Garamond" w:cs="Times New Roman"/>
          <w:i/>
        </w:rPr>
        <w:t>Faith and Humility</w:t>
      </w:r>
      <w:r w:rsidR="00E75A14" w:rsidRPr="00EC439D">
        <w:rPr>
          <w:rFonts w:ascii="Garamond" w:hAnsi="Garamond" w:cs="Times New Roman"/>
        </w:rPr>
        <w:t>. Oxford: Oxford University Press.</w:t>
      </w:r>
    </w:p>
    <w:p w14:paraId="592EBFBB" w14:textId="7017B301"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LAMONT, JOHN </w:t>
      </w:r>
      <w:r w:rsidR="00E75A14" w:rsidRPr="00EC439D">
        <w:rPr>
          <w:rFonts w:ascii="Garamond" w:hAnsi="Garamond" w:cs="Times New Roman"/>
        </w:rPr>
        <w:t xml:space="preserve">(2009) ‘A Conception of Faith in the Greek Fathers,’ in O. Crisp and M. Rea (eds.) </w:t>
      </w:r>
      <w:r w:rsidR="00E75A14" w:rsidRPr="00EC439D">
        <w:rPr>
          <w:rFonts w:ascii="Garamond" w:hAnsi="Garamond" w:cs="Times New Roman"/>
          <w:i/>
        </w:rPr>
        <w:t>Analytic Theology: New Essays in the Philosophy of Theology</w:t>
      </w:r>
      <w:r w:rsidR="00E75A14" w:rsidRPr="00EC439D">
        <w:rPr>
          <w:rFonts w:ascii="Garamond" w:hAnsi="Garamond" w:cs="Times New Roman"/>
        </w:rPr>
        <w:t>. Oxford: Oxford University Press, 87-116.</w:t>
      </w:r>
    </w:p>
    <w:p w14:paraId="717E44DE" w14:textId="2F4AC474"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LOCKE, JOHN </w:t>
      </w:r>
      <w:r w:rsidR="00E75A14" w:rsidRPr="00EC439D">
        <w:rPr>
          <w:rFonts w:ascii="Garamond" w:hAnsi="Garamond" w:cs="Times New Roman"/>
        </w:rPr>
        <w:t xml:space="preserve">(1924) </w:t>
      </w:r>
      <w:r w:rsidR="00E75A14" w:rsidRPr="00EC439D">
        <w:rPr>
          <w:rFonts w:ascii="Garamond" w:hAnsi="Garamond" w:cs="Times New Roman"/>
          <w:i/>
        </w:rPr>
        <w:t>Essay Concerning Human Understanding</w:t>
      </w:r>
      <w:r w:rsidR="00E75A14" w:rsidRPr="00EC439D">
        <w:rPr>
          <w:rFonts w:ascii="Garamond" w:hAnsi="Garamond" w:cs="Times New Roman"/>
        </w:rPr>
        <w:t xml:space="preserve">. </w:t>
      </w:r>
      <w:proofErr w:type="spellStart"/>
      <w:r w:rsidR="00E75A14" w:rsidRPr="00EC439D">
        <w:rPr>
          <w:rFonts w:ascii="Garamond" w:hAnsi="Garamond" w:cs="Times New Roman"/>
        </w:rPr>
        <w:t>A.</w:t>
      </w:r>
      <w:proofErr w:type="gramStart"/>
      <w:r w:rsidR="00E75A14" w:rsidRPr="00EC439D">
        <w:rPr>
          <w:rFonts w:ascii="Garamond" w:hAnsi="Garamond" w:cs="Times New Roman"/>
        </w:rPr>
        <w:t>S.Pringle</w:t>
      </w:r>
      <w:proofErr w:type="spellEnd"/>
      <w:proofErr w:type="gramEnd"/>
      <w:r w:rsidR="00E75A14" w:rsidRPr="00EC439D">
        <w:rPr>
          <w:rFonts w:ascii="Garamond" w:hAnsi="Garamond" w:cs="Times New Roman"/>
        </w:rPr>
        <w:t>-Pattison (ed.). Oxford: Clarendon Press. Originally published 1689.</w:t>
      </w:r>
    </w:p>
    <w:p w14:paraId="1424F3FC" w14:textId="02E49B86"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MALCOLM, FINLAY </w:t>
      </w:r>
      <w:r w:rsidR="00E75A14" w:rsidRPr="00EC439D">
        <w:rPr>
          <w:rFonts w:ascii="Garamond" w:hAnsi="Garamond" w:cs="Times New Roman"/>
        </w:rPr>
        <w:t xml:space="preserve">(forthcoming) ‘The Moral and Evidential Requirements of Faith,’ </w:t>
      </w:r>
      <w:r w:rsidR="00E75A14" w:rsidRPr="00EC439D">
        <w:rPr>
          <w:rFonts w:ascii="Garamond" w:hAnsi="Garamond" w:cs="Times New Roman"/>
          <w:i/>
          <w:iCs/>
        </w:rPr>
        <w:t>European Journal for Philosophy of Religion</w:t>
      </w:r>
      <w:r w:rsidR="00E75A14" w:rsidRPr="00EC439D">
        <w:rPr>
          <w:rFonts w:ascii="Garamond" w:hAnsi="Garamond" w:cs="Times New Roman"/>
        </w:rPr>
        <w:t>.</w:t>
      </w:r>
    </w:p>
    <w:p w14:paraId="68B0BD6C" w14:textId="2569FBEB"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MALCOLM, FINLAY AND SCOTT, MICHAEL </w:t>
      </w:r>
      <w:r w:rsidR="00E75A14" w:rsidRPr="00EC439D">
        <w:rPr>
          <w:rFonts w:ascii="Garamond" w:hAnsi="Garamond" w:cs="Times New Roman"/>
        </w:rPr>
        <w:t xml:space="preserve">(2017) ‘Faith, Belief and Fictionalism,’ </w:t>
      </w:r>
      <w:r w:rsidR="00E75A14" w:rsidRPr="00EC439D">
        <w:rPr>
          <w:rFonts w:ascii="Garamond" w:hAnsi="Garamond" w:cs="Times New Roman"/>
          <w:i/>
        </w:rPr>
        <w:t>Pacific Philosophical Quarterly</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98</w:t>
      </w:r>
      <w:r w:rsidR="00E75A14" w:rsidRPr="00EC439D">
        <w:rPr>
          <w:rFonts w:ascii="Garamond" w:hAnsi="Garamond" w:cs="Times New Roman"/>
        </w:rPr>
        <w:t>, 257-274.</w:t>
      </w:r>
    </w:p>
    <w:p w14:paraId="5F5FBEE2" w14:textId="2EC1635A"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MICHON, CYRILLE </w:t>
      </w:r>
      <w:r w:rsidR="00E75A14" w:rsidRPr="00EC439D">
        <w:rPr>
          <w:rFonts w:ascii="Garamond" w:hAnsi="Garamond" w:cs="Times New Roman"/>
        </w:rPr>
        <w:t xml:space="preserve">(2017) ‘Believing God: An Account of Faith as Personal Trust,’ </w:t>
      </w:r>
      <w:r w:rsidR="00E75A14" w:rsidRPr="00EC439D">
        <w:rPr>
          <w:rFonts w:ascii="Garamond" w:hAnsi="Garamond" w:cs="Times New Roman"/>
          <w:i/>
        </w:rPr>
        <w:t>Religious Studies</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53</w:t>
      </w:r>
      <w:r w:rsidR="00E75A14" w:rsidRPr="00EC439D">
        <w:rPr>
          <w:rFonts w:ascii="Garamond" w:hAnsi="Garamond" w:cs="Times New Roman"/>
        </w:rPr>
        <w:t>, 387-401.</w:t>
      </w:r>
    </w:p>
    <w:p w14:paraId="772ADE75" w14:textId="30F205A8"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OWEN, JOHN </w:t>
      </w:r>
      <w:r w:rsidR="00E75A14" w:rsidRPr="00EC439D">
        <w:rPr>
          <w:rFonts w:ascii="Garamond" w:hAnsi="Garamond" w:cs="Times New Roman"/>
        </w:rPr>
        <w:t xml:space="preserve">(1852) ‘The Reason of Faith,’ in W. </w:t>
      </w:r>
      <w:proofErr w:type="spellStart"/>
      <w:r w:rsidR="00E75A14" w:rsidRPr="00EC439D">
        <w:rPr>
          <w:rFonts w:ascii="Garamond" w:hAnsi="Garamond" w:cs="Times New Roman"/>
        </w:rPr>
        <w:t>Goold</w:t>
      </w:r>
      <w:proofErr w:type="spellEnd"/>
      <w:r w:rsidR="00E75A14" w:rsidRPr="00EC439D">
        <w:rPr>
          <w:rFonts w:ascii="Garamond" w:hAnsi="Garamond" w:cs="Times New Roman"/>
        </w:rPr>
        <w:t xml:space="preserve"> (ed.), </w:t>
      </w:r>
      <w:r w:rsidR="00E75A14" w:rsidRPr="00EC439D">
        <w:rPr>
          <w:rFonts w:ascii="Garamond" w:hAnsi="Garamond" w:cs="Times New Roman"/>
          <w:i/>
        </w:rPr>
        <w:t>The Works of John Owen</w:t>
      </w:r>
      <w:r w:rsidR="00E75A14" w:rsidRPr="00EC439D">
        <w:rPr>
          <w:rFonts w:ascii="Garamond" w:hAnsi="Garamond" w:cs="Times New Roman"/>
        </w:rPr>
        <w:t>, vol.4. Edinburgh: Johnstone and Hunter.</w:t>
      </w:r>
    </w:p>
    <w:p w14:paraId="42A52018" w14:textId="70E1B6FA"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PLANTINGA, ALVIN </w:t>
      </w:r>
      <w:r w:rsidR="00E75A14" w:rsidRPr="00EC439D">
        <w:rPr>
          <w:rFonts w:ascii="Garamond" w:hAnsi="Garamond" w:cs="Times New Roman"/>
        </w:rPr>
        <w:t xml:space="preserve">(2000) </w:t>
      </w:r>
      <w:r w:rsidR="00E75A14" w:rsidRPr="00EC439D">
        <w:rPr>
          <w:rFonts w:ascii="Garamond" w:hAnsi="Garamond" w:cs="Times New Roman"/>
          <w:i/>
          <w:iCs/>
        </w:rPr>
        <w:t>Warranted Christian Belief</w:t>
      </w:r>
      <w:r w:rsidR="00E75A14" w:rsidRPr="00EC439D">
        <w:rPr>
          <w:rFonts w:ascii="Garamond" w:hAnsi="Garamond" w:cs="Times New Roman"/>
        </w:rPr>
        <w:t>. Oxford: Oxford University Press.</w:t>
      </w:r>
    </w:p>
    <w:p w14:paraId="53CD20A5" w14:textId="088BD9F7"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ROBERTS, ROBERT C. AND WOOD, W. JAY </w:t>
      </w:r>
      <w:r w:rsidR="00E75A14" w:rsidRPr="00EC439D">
        <w:rPr>
          <w:rFonts w:ascii="Garamond" w:hAnsi="Garamond" w:cs="Times New Roman"/>
        </w:rPr>
        <w:t xml:space="preserve">(2007) </w:t>
      </w:r>
      <w:r w:rsidR="00E75A14" w:rsidRPr="00EC439D">
        <w:rPr>
          <w:rFonts w:ascii="Garamond" w:hAnsi="Garamond" w:cs="Times New Roman"/>
          <w:i/>
        </w:rPr>
        <w:t>Intellectual Virtues: An Essay in Regulative Epistemology</w:t>
      </w:r>
      <w:r w:rsidR="00E75A14" w:rsidRPr="00EC439D">
        <w:rPr>
          <w:rFonts w:ascii="Garamond" w:hAnsi="Garamond" w:cs="Times New Roman"/>
        </w:rPr>
        <w:t>. Oxford: Oxford University Press.</w:t>
      </w:r>
    </w:p>
    <w:p w14:paraId="7F6A314E" w14:textId="397BBCFD" w:rsidR="00E75A14" w:rsidRPr="00EC439D" w:rsidRDefault="003B6478" w:rsidP="00E75A14">
      <w:pPr>
        <w:spacing w:line="360" w:lineRule="auto"/>
        <w:ind w:left="284" w:hanging="284"/>
        <w:jc w:val="both"/>
        <w:rPr>
          <w:rFonts w:ascii="Garamond" w:hAnsi="Garamond" w:cs="Times New Roman"/>
          <w:i/>
        </w:rPr>
      </w:pPr>
      <w:r w:rsidRPr="00EC439D">
        <w:rPr>
          <w:rFonts w:ascii="Garamond" w:hAnsi="Garamond" w:cs="Times New Roman"/>
        </w:rPr>
        <w:t xml:space="preserve">SCHELLENBERG, J. L. </w:t>
      </w:r>
      <w:r w:rsidR="00E75A14" w:rsidRPr="00EC439D">
        <w:rPr>
          <w:rFonts w:ascii="Garamond" w:hAnsi="Garamond" w:cs="Times New Roman"/>
        </w:rPr>
        <w:t xml:space="preserve">(2005) </w:t>
      </w:r>
      <w:r w:rsidR="00E75A14" w:rsidRPr="00EC439D">
        <w:rPr>
          <w:rFonts w:ascii="Garamond" w:hAnsi="Garamond" w:cs="Times New Roman"/>
          <w:i/>
        </w:rPr>
        <w:t>Prolegomena to a Philosophy of Religion</w:t>
      </w:r>
      <w:r w:rsidR="00E75A14" w:rsidRPr="00EC439D">
        <w:rPr>
          <w:rFonts w:ascii="Garamond" w:hAnsi="Garamond" w:cs="Times New Roman"/>
        </w:rPr>
        <w:t>. Ithaca: Cornell University Press.</w:t>
      </w:r>
      <w:r w:rsidR="00E75A14" w:rsidRPr="00EC439D">
        <w:rPr>
          <w:rFonts w:ascii="Garamond" w:hAnsi="Garamond" w:cs="Times New Roman"/>
          <w:i/>
        </w:rPr>
        <w:t xml:space="preserve"> </w:t>
      </w:r>
    </w:p>
    <w:p w14:paraId="27F27599" w14:textId="47FAC0C0"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SWINBURNE, RICHARD </w:t>
      </w:r>
      <w:r w:rsidR="00E75A14" w:rsidRPr="00EC439D">
        <w:rPr>
          <w:rFonts w:ascii="Garamond" w:hAnsi="Garamond" w:cs="Times New Roman"/>
        </w:rPr>
        <w:t xml:space="preserve">(2001) ‘Plantinga On Warrant,’ </w:t>
      </w:r>
      <w:r w:rsidR="00E75A14" w:rsidRPr="00EC439D">
        <w:rPr>
          <w:rFonts w:ascii="Garamond" w:hAnsi="Garamond" w:cs="Times New Roman"/>
          <w:i/>
          <w:iCs/>
        </w:rPr>
        <w:t>Religious Studies</w:t>
      </w:r>
      <w:r w:rsidRPr="00EC439D">
        <w:rPr>
          <w:rFonts w:ascii="Garamond" w:hAnsi="Garamond" w:cs="Times New Roman"/>
        </w:rPr>
        <w:t>,</w:t>
      </w:r>
      <w:r w:rsidR="00E75A14" w:rsidRPr="00EC439D">
        <w:rPr>
          <w:rFonts w:ascii="Garamond" w:hAnsi="Garamond" w:cs="Times New Roman"/>
        </w:rPr>
        <w:t xml:space="preserve"> </w:t>
      </w:r>
      <w:r w:rsidR="00E75A14" w:rsidRPr="00EC439D">
        <w:rPr>
          <w:rFonts w:ascii="Garamond" w:hAnsi="Garamond" w:cs="Times New Roman"/>
          <w:b/>
          <w:bCs/>
        </w:rPr>
        <w:t>37</w:t>
      </w:r>
      <w:r w:rsidR="00E75A14" w:rsidRPr="00EC439D">
        <w:rPr>
          <w:rFonts w:ascii="Garamond" w:hAnsi="Garamond" w:cs="Times New Roman"/>
        </w:rPr>
        <w:t>, 203-214.</w:t>
      </w:r>
    </w:p>
    <w:p w14:paraId="1B963697" w14:textId="02464035" w:rsidR="00E75A14" w:rsidRPr="00EC439D" w:rsidRDefault="00E75A14" w:rsidP="003B6478">
      <w:pPr>
        <w:spacing w:line="360" w:lineRule="auto"/>
        <w:ind w:left="567" w:hanging="284"/>
        <w:jc w:val="both"/>
        <w:rPr>
          <w:rFonts w:ascii="Garamond" w:hAnsi="Garamond" w:cs="Times New Roman"/>
        </w:rPr>
      </w:pPr>
      <w:r w:rsidRPr="00EC439D">
        <w:rPr>
          <w:rFonts w:ascii="Garamond" w:hAnsi="Garamond" w:cs="Times New Roman"/>
        </w:rPr>
        <w:t xml:space="preserve">(2005) </w:t>
      </w:r>
      <w:r w:rsidRPr="00EC439D">
        <w:rPr>
          <w:rFonts w:ascii="Garamond" w:hAnsi="Garamond" w:cs="Times New Roman"/>
          <w:i/>
        </w:rPr>
        <w:t>Faith and Reason</w:t>
      </w:r>
      <w:r w:rsidRPr="00EC439D">
        <w:rPr>
          <w:rFonts w:ascii="Garamond" w:hAnsi="Garamond" w:cs="Times New Roman"/>
        </w:rPr>
        <w:t>. 2</w:t>
      </w:r>
      <w:r w:rsidRPr="00EC439D">
        <w:rPr>
          <w:rFonts w:ascii="Garamond" w:hAnsi="Garamond" w:cs="Times New Roman"/>
          <w:vertAlign w:val="superscript"/>
        </w:rPr>
        <w:t>nd</w:t>
      </w:r>
      <w:r w:rsidRPr="00EC439D">
        <w:rPr>
          <w:rFonts w:ascii="Garamond" w:hAnsi="Garamond" w:cs="Times New Roman"/>
        </w:rPr>
        <w:t xml:space="preserve"> edition. Oxford: Oxford University Press.</w:t>
      </w:r>
    </w:p>
    <w:p w14:paraId="6CB907AF" w14:textId="7D6C8FD7"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TANESINI, ALESSANDRA </w:t>
      </w:r>
      <w:r w:rsidR="00E75A14" w:rsidRPr="00EC439D">
        <w:rPr>
          <w:rFonts w:ascii="Garamond" w:hAnsi="Garamond" w:cs="Times New Roman"/>
        </w:rPr>
        <w:t xml:space="preserve">(2018) ‘Intellectual Humility as Attitude,’ </w:t>
      </w:r>
      <w:r w:rsidR="00E75A14" w:rsidRPr="00EC439D">
        <w:rPr>
          <w:rFonts w:ascii="Garamond" w:hAnsi="Garamond" w:cs="Times New Roman"/>
          <w:i/>
          <w:iCs/>
        </w:rPr>
        <w:t>Philosophy and Phenomenological Research</w:t>
      </w:r>
      <w:r w:rsidR="00E75A14" w:rsidRPr="00EC439D">
        <w:rPr>
          <w:rFonts w:ascii="Garamond" w:hAnsi="Garamond" w:cs="Times New Roman"/>
          <w:iCs/>
        </w:rPr>
        <w:t xml:space="preserve"> 96:2, 399-420.</w:t>
      </w:r>
    </w:p>
    <w:p w14:paraId="1168B3B2" w14:textId="0372BAF4" w:rsidR="00E75A14" w:rsidRPr="00EC439D" w:rsidRDefault="003B6478" w:rsidP="00E75A14">
      <w:pPr>
        <w:spacing w:line="360" w:lineRule="auto"/>
        <w:ind w:left="284" w:hanging="284"/>
        <w:jc w:val="both"/>
        <w:rPr>
          <w:rFonts w:ascii="Garamond" w:hAnsi="Garamond" w:cs="Times New Roman"/>
          <w:iCs/>
        </w:rPr>
      </w:pPr>
      <w:r w:rsidRPr="00EC439D">
        <w:rPr>
          <w:rFonts w:ascii="Garamond" w:hAnsi="Garamond" w:cs="Times New Roman"/>
        </w:rPr>
        <w:t xml:space="preserve">WHITCOMB, DENNIS, HEATHER BATTALY, JASON BAEHR, AND DANIEL HOWARD-SNYDER </w:t>
      </w:r>
      <w:r w:rsidR="00E75A14" w:rsidRPr="00EC439D">
        <w:rPr>
          <w:rFonts w:ascii="Garamond" w:hAnsi="Garamond" w:cs="Times New Roman"/>
        </w:rPr>
        <w:t xml:space="preserve">(2017) ‘Intellectual Humility: Owning Our Limitations,’ </w:t>
      </w:r>
      <w:r w:rsidR="00E75A14" w:rsidRPr="00EC439D">
        <w:rPr>
          <w:rFonts w:ascii="Garamond" w:hAnsi="Garamond" w:cs="Times New Roman"/>
          <w:i/>
          <w:iCs/>
        </w:rPr>
        <w:t>Philosophy and Phenomenological Research</w:t>
      </w:r>
      <w:r w:rsidR="00E75A14" w:rsidRPr="00EC439D">
        <w:rPr>
          <w:rFonts w:ascii="Garamond" w:hAnsi="Garamond" w:cs="Times New Roman"/>
          <w:iCs/>
        </w:rPr>
        <w:t xml:space="preserve">, </w:t>
      </w:r>
      <w:r w:rsidR="00E75A14" w:rsidRPr="00EC439D">
        <w:rPr>
          <w:rFonts w:ascii="Garamond" w:hAnsi="Garamond" w:cs="Times New Roman"/>
          <w:b/>
          <w:bCs/>
          <w:iCs/>
        </w:rPr>
        <w:t>XCIV</w:t>
      </w:r>
      <w:r w:rsidR="00E75A14" w:rsidRPr="00EC439D">
        <w:rPr>
          <w:rFonts w:ascii="Garamond" w:hAnsi="Garamond" w:cs="Times New Roman"/>
          <w:iCs/>
        </w:rPr>
        <w:t>, 509-539.</w:t>
      </w:r>
    </w:p>
    <w:p w14:paraId="78C27586" w14:textId="7BE1BFA0"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WOLTERSTORFF, NICHOLAS </w:t>
      </w:r>
      <w:r w:rsidR="00E75A14" w:rsidRPr="00EC439D">
        <w:rPr>
          <w:rFonts w:ascii="Garamond" w:hAnsi="Garamond" w:cs="Times New Roman"/>
        </w:rPr>
        <w:t xml:space="preserve">(1995) </w:t>
      </w:r>
      <w:r w:rsidR="00E75A14" w:rsidRPr="00EC439D">
        <w:rPr>
          <w:rFonts w:ascii="Garamond" w:hAnsi="Garamond" w:cs="Times New Roman"/>
          <w:i/>
          <w:iCs/>
        </w:rPr>
        <w:t>Divine Discourse: Philosophical Reflections on the Claim that God Speaks</w:t>
      </w:r>
      <w:r w:rsidR="00E75A14" w:rsidRPr="00EC439D">
        <w:rPr>
          <w:rFonts w:ascii="Garamond" w:hAnsi="Garamond" w:cs="Times New Roman"/>
        </w:rPr>
        <w:t>. Cambridge: Cambridge University Press.</w:t>
      </w:r>
    </w:p>
    <w:p w14:paraId="572388EB" w14:textId="60347BE2"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ZAGZEBSKI, LINDA </w:t>
      </w:r>
      <w:r w:rsidR="00E75A14" w:rsidRPr="00EC439D">
        <w:rPr>
          <w:rFonts w:ascii="Garamond" w:hAnsi="Garamond" w:cs="Times New Roman"/>
        </w:rPr>
        <w:t xml:space="preserve">(2012) </w:t>
      </w:r>
      <w:r w:rsidR="00E75A14" w:rsidRPr="00EC439D">
        <w:rPr>
          <w:rFonts w:ascii="Garamond" w:hAnsi="Garamond" w:cs="Times New Roman"/>
          <w:i/>
        </w:rPr>
        <w:t>Epistemic Authority: A Theory of Trust, Authority, and Autonomy in Belief</w:t>
      </w:r>
      <w:r w:rsidR="00E75A14" w:rsidRPr="00EC439D">
        <w:rPr>
          <w:rFonts w:ascii="Garamond" w:hAnsi="Garamond" w:cs="Times New Roman"/>
        </w:rPr>
        <w:t>. Oxford: Oxford University Press.</w:t>
      </w:r>
    </w:p>
    <w:p w14:paraId="4AF55E55" w14:textId="77777777" w:rsidR="006B01C6" w:rsidRPr="00EC439D" w:rsidRDefault="006B01C6" w:rsidP="00A4367E">
      <w:pPr>
        <w:spacing w:line="360" w:lineRule="auto"/>
        <w:jc w:val="both"/>
        <w:rPr>
          <w:rFonts w:ascii="Garamond" w:hAnsi="Garamond" w:cs="Times New Roman"/>
          <w:bCs/>
        </w:rPr>
      </w:pPr>
    </w:p>
    <w:sectPr w:rsidR="006B01C6" w:rsidRPr="00EC439D" w:rsidSect="00F14331">
      <w:footerReference w:type="even" r:id="rId9"/>
      <w:footerReference w:type="default" r:id="rId10"/>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5DED" w14:textId="77777777" w:rsidR="00877907" w:rsidRDefault="00877907" w:rsidP="00255181">
      <w:r>
        <w:separator/>
      </w:r>
    </w:p>
  </w:endnote>
  <w:endnote w:type="continuationSeparator" w:id="0">
    <w:p w14:paraId="193FDD54" w14:textId="77777777" w:rsidR="00877907" w:rsidRDefault="00877907" w:rsidP="0025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3771701"/>
      <w:docPartObj>
        <w:docPartGallery w:val="Page Numbers (Bottom of Page)"/>
        <w:docPartUnique/>
      </w:docPartObj>
    </w:sdtPr>
    <w:sdtEndPr>
      <w:rPr>
        <w:rStyle w:val="PageNumber"/>
      </w:rPr>
    </w:sdtEndPr>
    <w:sdtContent>
      <w:p w14:paraId="16C18B7F" w14:textId="21EB6BBE" w:rsidR="00FE092B" w:rsidRDefault="00FE092B" w:rsidP="00A940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E3E1D" w14:textId="77777777" w:rsidR="00FE092B" w:rsidRDefault="00FE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sz w:val="22"/>
        <w:szCs w:val="22"/>
      </w:rPr>
      <w:id w:val="-47305533"/>
      <w:docPartObj>
        <w:docPartGallery w:val="Page Numbers (Bottom of Page)"/>
        <w:docPartUnique/>
      </w:docPartObj>
    </w:sdtPr>
    <w:sdtEndPr>
      <w:rPr>
        <w:rStyle w:val="PageNumber"/>
      </w:rPr>
    </w:sdtEndPr>
    <w:sdtContent>
      <w:p w14:paraId="6F85043A" w14:textId="5292B964" w:rsidR="00FE092B" w:rsidRPr="00FE092B" w:rsidRDefault="00FE092B" w:rsidP="00A9408B">
        <w:pPr>
          <w:pStyle w:val="Footer"/>
          <w:framePr w:wrap="none" w:vAnchor="text" w:hAnchor="margin" w:xAlign="center" w:y="1"/>
          <w:rPr>
            <w:rStyle w:val="PageNumber"/>
            <w:rFonts w:ascii="Garamond" w:hAnsi="Garamond"/>
            <w:sz w:val="22"/>
            <w:szCs w:val="22"/>
          </w:rPr>
        </w:pPr>
        <w:r w:rsidRPr="00FE092B">
          <w:rPr>
            <w:rStyle w:val="PageNumber"/>
            <w:rFonts w:ascii="Garamond" w:hAnsi="Garamond"/>
            <w:sz w:val="22"/>
            <w:szCs w:val="22"/>
          </w:rPr>
          <w:fldChar w:fldCharType="begin"/>
        </w:r>
        <w:r w:rsidRPr="00FE092B">
          <w:rPr>
            <w:rStyle w:val="PageNumber"/>
            <w:rFonts w:ascii="Garamond" w:hAnsi="Garamond"/>
            <w:sz w:val="22"/>
            <w:szCs w:val="22"/>
          </w:rPr>
          <w:instrText xml:space="preserve"> PAGE </w:instrText>
        </w:r>
        <w:r w:rsidRPr="00FE092B">
          <w:rPr>
            <w:rStyle w:val="PageNumber"/>
            <w:rFonts w:ascii="Garamond" w:hAnsi="Garamond"/>
            <w:sz w:val="22"/>
            <w:szCs w:val="22"/>
          </w:rPr>
          <w:fldChar w:fldCharType="separate"/>
        </w:r>
        <w:r w:rsidRPr="00FE092B">
          <w:rPr>
            <w:rStyle w:val="PageNumber"/>
            <w:rFonts w:ascii="Garamond" w:hAnsi="Garamond"/>
            <w:noProof/>
            <w:sz w:val="22"/>
            <w:szCs w:val="22"/>
          </w:rPr>
          <w:t>1</w:t>
        </w:r>
        <w:r w:rsidRPr="00FE092B">
          <w:rPr>
            <w:rStyle w:val="PageNumber"/>
            <w:rFonts w:ascii="Garamond" w:hAnsi="Garamond"/>
            <w:sz w:val="22"/>
            <w:szCs w:val="22"/>
          </w:rPr>
          <w:fldChar w:fldCharType="end"/>
        </w:r>
      </w:p>
    </w:sdtContent>
  </w:sdt>
  <w:p w14:paraId="337A225C" w14:textId="77777777" w:rsidR="00FE092B" w:rsidRPr="00FE092B" w:rsidRDefault="00FE092B">
    <w:pPr>
      <w:pStyle w:val="Footer"/>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8915" w14:textId="77777777" w:rsidR="00877907" w:rsidRDefault="00877907" w:rsidP="00255181">
      <w:r>
        <w:separator/>
      </w:r>
    </w:p>
  </w:footnote>
  <w:footnote w:type="continuationSeparator" w:id="0">
    <w:p w14:paraId="5E51D0A3" w14:textId="77777777" w:rsidR="00877907" w:rsidRDefault="00877907" w:rsidP="00255181">
      <w:r>
        <w:continuationSeparator/>
      </w:r>
    </w:p>
  </w:footnote>
  <w:footnote w:id="1">
    <w:p w14:paraId="24ED7027" w14:textId="7777777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For instance, ‘He guides the humble in what is right and teaches them his way’ (Psalm 25:9).</w:t>
      </w:r>
    </w:p>
  </w:footnote>
  <w:footnote w:id="2">
    <w:p w14:paraId="43F44708" w14:textId="7777777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As Anthony Kenny notes: ‘In the [Catholic] tradition in which I am speaking…Faith was a virtue permitting the mind access to truths which would otherwise be beyond its reach’ (1992, 47-48).</w:t>
      </w:r>
    </w:p>
  </w:footnote>
  <w:footnote w:id="3">
    <w:p w14:paraId="236E0D6F" w14:textId="5BEB3FE2"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For an alternative account that defends a similar claim, see </w:t>
      </w:r>
      <w:proofErr w:type="spellStart"/>
      <w:r w:rsidRPr="00F22E4A">
        <w:rPr>
          <w:rFonts w:ascii="Garamond" w:hAnsi="Garamond"/>
          <w:sz w:val="22"/>
          <w:szCs w:val="22"/>
        </w:rPr>
        <w:t>Kvanvig</w:t>
      </w:r>
      <w:proofErr w:type="spellEnd"/>
      <w:r w:rsidRPr="00F22E4A">
        <w:rPr>
          <w:rFonts w:ascii="Garamond" w:hAnsi="Garamond"/>
          <w:sz w:val="22"/>
          <w:szCs w:val="22"/>
        </w:rPr>
        <w:t xml:space="preserve"> (2018).</w:t>
      </w:r>
    </w:p>
  </w:footnote>
  <w:footnote w:id="4">
    <w:p w14:paraId="590D4F91" w14:textId="7777777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An important movement in religious epistemology is to see religious attitudes like trust, faith and belief as intellectually virtuous (see the 2014 collection by Callahan and O’Connor).</w:t>
      </w:r>
    </w:p>
  </w:footnote>
  <w:footnote w:id="5">
    <w:p w14:paraId="0132720A" w14:textId="1D26D9BC"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In addition to the four cited examples, see Dougherty (2014), Lamont (2009), </w:t>
      </w:r>
      <w:proofErr w:type="spellStart"/>
      <w:r w:rsidRPr="00F22E4A">
        <w:rPr>
          <w:rFonts w:ascii="Garamond" w:hAnsi="Garamond"/>
          <w:sz w:val="22"/>
          <w:szCs w:val="22"/>
        </w:rPr>
        <w:t>Michon</w:t>
      </w:r>
      <w:proofErr w:type="spellEnd"/>
      <w:r w:rsidRPr="00F22E4A">
        <w:rPr>
          <w:rFonts w:ascii="Garamond" w:hAnsi="Garamond"/>
          <w:sz w:val="22"/>
          <w:szCs w:val="22"/>
        </w:rPr>
        <w:t xml:space="preserve"> (2017) and Wahlberg (2014).</w:t>
      </w:r>
    </w:p>
  </w:footnote>
  <w:footnote w:id="6">
    <w:p w14:paraId="074DA4E8" w14:textId="25FB169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See Aquinas (1947, 2a2ae, 1, 1 &amp; 2), Augustine (2010), </w:t>
      </w:r>
      <w:proofErr w:type="spellStart"/>
      <w:r w:rsidRPr="00F22E4A">
        <w:rPr>
          <w:rFonts w:ascii="Garamond" w:hAnsi="Garamond"/>
          <w:sz w:val="22"/>
          <w:szCs w:val="22"/>
        </w:rPr>
        <w:t>Aulén</w:t>
      </w:r>
      <w:proofErr w:type="spellEnd"/>
      <w:r w:rsidRPr="00F22E4A">
        <w:rPr>
          <w:rFonts w:ascii="Garamond" w:hAnsi="Garamond"/>
          <w:sz w:val="22"/>
          <w:szCs w:val="22"/>
        </w:rPr>
        <w:t xml:space="preserve"> (1954), and Owen (1892, 94-95). These accounts of faith are perhaps influenced by, or derived from, the biblical passage found in Genesis 15:6 which says that ‘Abram believed the Lord, and he credited it to him as righteousness’. This act of Abram’s is alluded to by St. Paul in the Book of Romans (Chapter 4) as an exemplar of Christian faith.</w:t>
      </w:r>
    </w:p>
  </w:footnote>
  <w:footnote w:id="7">
    <w:p w14:paraId="0BC3A397" w14:textId="7D4B2D3C"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This is only necessary but not sufficient to be in trusting relationship, for, it is still required that God act in certain ways by, for instance, reciprocating the trust or communicating with the person.</w:t>
      </w:r>
    </w:p>
  </w:footnote>
  <w:footnote w:id="8">
    <w:p w14:paraId="48BBFF65" w14:textId="5AFA8E9F"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Whether propositional faith requires belief that </w:t>
      </w:r>
      <w:r w:rsidRPr="00F22E4A">
        <w:rPr>
          <w:rFonts w:ascii="Garamond" w:hAnsi="Garamond"/>
          <w:i/>
          <w:sz w:val="22"/>
          <w:szCs w:val="22"/>
        </w:rPr>
        <w:t>p</w:t>
      </w:r>
      <w:r w:rsidRPr="00F22E4A">
        <w:rPr>
          <w:rFonts w:ascii="Garamond" w:hAnsi="Garamond"/>
          <w:sz w:val="22"/>
          <w:szCs w:val="22"/>
        </w:rPr>
        <w:t xml:space="preserve">, or the weaker condition of a </w:t>
      </w:r>
      <w:r>
        <w:rPr>
          <w:rFonts w:ascii="Garamond" w:hAnsi="Garamond"/>
          <w:sz w:val="22"/>
          <w:szCs w:val="22"/>
        </w:rPr>
        <w:t>‘</w:t>
      </w:r>
      <w:r w:rsidRPr="00F22E4A">
        <w:rPr>
          <w:rFonts w:ascii="Garamond" w:hAnsi="Garamond"/>
          <w:sz w:val="22"/>
          <w:szCs w:val="22"/>
        </w:rPr>
        <w:t>positive</w:t>
      </w:r>
      <w:r>
        <w:rPr>
          <w:rFonts w:ascii="Garamond" w:hAnsi="Garamond"/>
          <w:sz w:val="22"/>
          <w:szCs w:val="22"/>
        </w:rPr>
        <w:t xml:space="preserve"> </w:t>
      </w:r>
      <w:r w:rsidRPr="00F22E4A">
        <w:rPr>
          <w:rFonts w:ascii="Garamond" w:hAnsi="Garamond"/>
          <w:sz w:val="22"/>
          <w:szCs w:val="22"/>
        </w:rPr>
        <w:t>cognitive attitude</w:t>
      </w:r>
      <w:r>
        <w:rPr>
          <w:rFonts w:ascii="Garamond" w:hAnsi="Garamond"/>
          <w:sz w:val="22"/>
          <w:szCs w:val="22"/>
        </w:rPr>
        <w:t>’</w:t>
      </w:r>
      <w:r w:rsidRPr="00F22E4A">
        <w:rPr>
          <w:rFonts w:ascii="Garamond" w:hAnsi="Garamond"/>
          <w:sz w:val="22"/>
          <w:szCs w:val="22"/>
        </w:rPr>
        <w:t xml:space="preserve"> toward </w:t>
      </w:r>
      <w:r w:rsidRPr="00F22E4A">
        <w:rPr>
          <w:rFonts w:ascii="Garamond" w:hAnsi="Garamond"/>
          <w:i/>
          <w:sz w:val="22"/>
          <w:szCs w:val="22"/>
        </w:rPr>
        <w:t>p</w:t>
      </w:r>
      <w:r w:rsidRPr="00F22E4A">
        <w:rPr>
          <w:rFonts w:ascii="Garamond" w:hAnsi="Garamond"/>
          <w:sz w:val="22"/>
          <w:szCs w:val="22"/>
        </w:rPr>
        <w:t>, is currently a matter of debate. It concerns similar issues to the earlier mentioned debate around nondoxasticism about trust. See Malcolm and Scott (2017) for an overview and critique of the idea that propositional faith can be nondoxastic.</w:t>
      </w:r>
    </w:p>
  </w:footnote>
  <w:footnote w:id="9">
    <w:p w14:paraId="6DB18D7C" w14:textId="2B457934" w:rsidR="00A243C3" w:rsidRPr="00F22E4A" w:rsidRDefault="00A243C3" w:rsidP="00F22E4A">
      <w:pPr>
        <w:pStyle w:val="FootnoteText"/>
        <w:spacing w:line="360" w:lineRule="auto"/>
        <w:jc w:val="both"/>
        <w:rPr>
          <w:rFonts w:ascii="Garamond" w:hAnsi="Garamond" w:cs="Arial"/>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It is widely held that, in general, faith motivates an agent to action (e.g. </w:t>
      </w:r>
      <w:r w:rsidRPr="00F22E4A">
        <w:rPr>
          <w:rFonts w:ascii="Garamond" w:hAnsi="Garamond" w:cs="Arial"/>
          <w:sz w:val="22"/>
          <w:szCs w:val="22"/>
        </w:rPr>
        <w:t>Bishop 2007, 115-6; Howard-Snyder 2017, 56-7; Schellenberg 2005, 127-66; Swinburne 2001, 211)</w:t>
      </w:r>
      <w:r w:rsidRPr="00F22E4A">
        <w:rPr>
          <w:rFonts w:ascii="Garamond" w:hAnsi="Garamond"/>
          <w:sz w:val="22"/>
          <w:szCs w:val="22"/>
        </w:rPr>
        <w:t>.</w:t>
      </w:r>
    </w:p>
  </w:footnote>
  <w:footnote w:id="10">
    <w:p w14:paraId="5BCF3E45" w14:textId="5CC0D562"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The idea that faith is the </w:t>
      </w:r>
      <w:r>
        <w:rPr>
          <w:rFonts w:ascii="Garamond" w:hAnsi="Garamond"/>
          <w:sz w:val="22"/>
          <w:szCs w:val="22"/>
        </w:rPr>
        <w:t>‘</w:t>
      </w:r>
      <w:r w:rsidRPr="00F22E4A">
        <w:rPr>
          <w:rFonts w:ascii="Garamond" w:hAnsi="Garamond"/>
          <w:sz w:val="22"/>
          <w:szCs w:val="22"/>
        </w:rPr>
        <w:t>hearing</w:t>
      </w:r>
      <w:r>
        <w:rPr>
          <w:rFonts w:ascii="Garamond" w:hAnsi="Garamond"/>
          <w:sz w:val="22"/>
          <w:szCs w:val="22"/>
        </w:rPr>
        <w:t>’</w:t>
      </w:r>
      <w:r w:rsidRPr="00F22E4A">
        <w:rPr>
          <w:rFonts w:ascii="Garamond" w:hAnsi="Garamond"/>
          <w:sz w:val="22"/>
          <w:szCs w:val="22"/>
        </w:rPr>
        <w:t xml:space="preserve"> of revelation can be seen in many theological works, including the 3</w:t>
      </w:r>
      <w:r w:rsidRPr="00F22E4A">
        <w:rPr>
          <w:rFonts w:ascii="Garamond" w:hAnsi="Garamond"/>
          <w:sz w:val="22"/>
          <w:szCs w:val="22"/>
          <w:vertAlign w:val="superscript"/>
        </w:rPr>
        <w:t>rd</w:t>
      </w:r>
      <w:r w:rsidRPr="00F22E4A">
        <w:rPr>
          <w:rFonts w:ascii="Garamond" w:hAnsi="Garamond"/>
          <w:sz w:val="22"/>
          <w:szCs w:val="22"/>
        </w:rPr>
        <w:t xml:space="preserve"> Century theologian Clement of Alexandria, who remarks, poetically and metaphorically, that ‘faith is the ear of the soul’ (1971, 5.1).</w:t>
      </w:r>
    </w:p>
  </w:footnote>
  <w:footnote w:id="11">
    <w:p w14:paraId="7E8EDFBD" w14:textId="3EEBACD8" w:rsidR="00A243C3" w:rsidRPr="00F22E4A" w:rsidRDefault="00A243C3" w:rsidP="00F22E4A">
      <w:pPr>
        <w:pStyle w:val="FootnoteText"/>
        <w:spacing w:line="360" w:lineRule="auto"/>
        <w:rPr>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One could, for instance, be permitted but not required to believe </w:t>
      </w:r>
      <w:r w:rsidRPr="00F22E4A">
        <w:rPr>
          <w:rFonts w:ascii="Garamond" w:hAnsi="Garamond"/>
          <w:i/>
          <w:iCs/>
          <w:sz w:val="22"/>
          <w:szCs w:val="22"/>
        </w:rPr>
        <w:t>p</w:t>
      </w:r>
      <w:r w:rsidRPr="00F22E4A">
        <w:rPr>
          <w:rFonts w:ascii="Garamond" w:hAnsi="Garamond"/>
          <w:sz w:val="22"/>
          <w:szCs w:val="22"/>
        </w:rPr>
        <w:t>.</w:t>
      </w:r>
    </w:p>
  </w:footnote>
  <w:footnote w:id="12">
    <w:p w14:paraId="0D5CF1BB" w14:textId="6929E620" w:rsidR="00A243C3" w:rsidRPr="00F22E4A" w:rsidRDefault="00A243C3" w:rsidP="00F22E4A">
      <w:pPr>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w:t>
      </w:r>
      <w:r>
        <w:rPr>
          <w:rFonts w:ascii="Garamond" w:hAnsi="Garamond"/>
          <w:sz w:val="22"/>
          <w:szCs w:val="22"/>
        </w:rPr>
        <w:t xml:space="preserve">Locke defines faith as </w:t>
      </w:r>
      <w:r w:rsidRPr="00F22E4A">
        <w:rPr>
          <w:rFonts w:ascii="Garamond" w:hAnsi="Garamond"/>
          <w:sz w:val="22"/>
          <w:szCs w:val="22"/>
        </w:rPr>
        <w:t>‘the assent to any proposition, not thus made out by the deductions of reason, but upon the credit of the proposer, as coming from God, in some extraordinary way of communication. This way of discovering truths to men, we call revelation.’ (Locke 1924, Bk IV, Ch XVIII, §2).</w:t>
      </w:r>
    </w:p>
  </w:footnote>
  <w:footnote w:id="13">
    <w:p w14:paraId="4DD32854" w14:textId="57FAEB6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This paper benefitted greatly from comments from anonymous reviewers at </w:t>
      </w:r>
      <w:r w:rsidRPr="00F22E4A">
        <w:rPr>
          <w:rFonts w:ascii="Garamond" w:hAnsi="Garamond"/>
          <w:i/>
          <w:iCs/>
          <w:sz w:val="22"/>
          <w:szCs w:val="22"/>
        </w:rPr>
        <w:t>Religious Studies</w:t>
      </w:r>
      <w:r w:rsidRPr="00F22E4A">
        <w:rPr>
          <w:rFonts w:ascii="Garamond" w:hAnsi="Garamond"/>
          <w:sz w:val="22"/>
          <w:szCs w:val="22"/>
        </w:rPr>
        <w:t xml:space="preserve">. Thank you </w:t>
      </w:r>
      <w:r>
        <w:rPr>
          <w:rFonts w:ascii="Garamond" w:hAnsi="Garamond"/>
          <w:sz w:val="22"/>
          <w:szCs w:val="22"/>
        </w:rPr>
        <w:t xml:space="preserve">very much </w:t>
      </w:r>
      <w:r w:rsidRPr="00F22E4A">
        <w:rPr>
          <w:rFonts w:ascii="Garamond" w:hAnsi="Garamond"/>
          <w:sz w:val="22"/>
          <w:szCs w:val="22"/>
        </w:rPr>
        <w:t>to the reviewers for their helpful feedback. Thanks also to audiences at the 2017 British Society for Philosophy of Religion, and at the University of Hertfordshire</w:t>
      </w:r>
      <w:r>
        <w:rPr>
          <w:rFonts w:ascii="Garamond" w:hAnsi="Garamond"/>
          <w:sz w:val="22"/>
          <w:szCs w:val="22"/>
        </w:rPr>
        <w:t xml:space="preserve"> in November 2018</w:t>
      </w:r>
      <w:r w:rsidRPr="00F22E4A">
        <w:rPr>
          <w:rFonts w:ascii="Garamond" w:hAnsi="Garamond"/>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D24"/>
    <w:multiLevelType w:val="multilevel"/>
    <w:tmpl w:val="A084955C"/>
    <w:lvl w:ilvl="0">
      <w:start w:val="1"/>
      <w:numFmt w:val="decimal"/>
      <w:pStyle w:val="Heading1"/>
      <w:lvlText w:val="%1."/>
      <w:lvlJc w:val="left"/>
      <w:pPr>
        <w:ind w:left="1800" w:hanging="360"/>
      </w:pPr>
      <w:rPr>
        <w:rFonts w:hint="default"/>
      </w:rPr>
    </w:lvl>
    <w:lvl w:ilvl="1">
      <w:start w:val="1"/>
      <w:numFmt w:val="decimal"/>
      <w:pStyle w:val="Heading2"/>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208A0F94"/>
    <w:multiLevelType w:val="hybridMultilevel"/>
    <w:tmpl w:val="A3347272"/>
    <w:lvl w:ilvl="0" w:tplc="FB3AA7C0">
      <w:start w:val="1"/>
      <w:numFmt w:val="decimal"/>
      <w:lvlText w:val="(%1)"/>
      <w:lvlJc w:val="left"/>
      <w:pPr>
        <w:ind w:left="720" w:hanging="360"/>
      </w:pPr>
      <w:rPr>
        <w:rFonts w:ascii="Garamond" w:eastAsia="Calibri"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9151A"/>
    <w:multiLevelType w:val="hybridMultilevel"/>
    <w:tmpl w:val="CEDA1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120B2E"/>
    <w:multiLevelType w:val="hybridMultilevel"/>
    <w:tmpl w:val="73AE6580"/>
    <w:lvl w:ilvl="0" w:tplc="C8F04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56"/>
    <w:rsid w:val="00077151"/>
    <w:rsid w:val="000833BD"/>
    <w:rsid w:val="000923F1"/>
    <w:rsid w:val="000B47B2"/>
    <w:rsid w:val="000E5987"/>
    <w:rsid w:val="000F483A"/>
    <w:rsid w:val="001269FA"/>
    <w:rsid w:val="00131677"/>
    <w:rsid w:val="001533B7"/>
    <w:rsid w:val="00182D92"/>
    <w:rsid w:val="001A1225"/>
    <w:rsid w:val="001B12D7"/>
    <w:rsid w:val="001C395A"/>
    <w:rsid w:val="001F4F40"/>
    <w:rsid w:val="00201EDA"/>
    <w:rsid w:val="00224113"/>
    <w:rsid w:val="00255181"/>
    <w:rsid w:val="002753DB"/>
    <w:rsid w:val="00294460"/>
    <w:rsid w:val="002B1FCA"/>
    <w:rsid w:val="002D4CA3"/>
    <w:rsid w:val="002E21A9"/>
    <w:rsid w:val="002E27BD"/>
    <w:rsid w:val="002E36DF"/>
    <w:rsid w:val="002F20A9"/>
    <w:rsid w:val="0030553C"/>
    <w:rsid w:val="003631BB"/>
    <w:rsid w:val="00373B9F"/>
    <w:rsid w:val="00387871"/>
    <w:rsid w:val="003958D0"/>
    <w:rsid w:val="00397A88"/>
    <w:rsid w:val="003A3D56"/>
    <w:rsid w:val="003B6478"/>
    <w:rsid w:val="003C7664"/>
    <w:rsid w:val="003F265B"/>
    <w:rsid w:val="003F53F3"/>
    <w:rsid w:val="00400052"/>
    <w:rsid w:val="0040241A"/>
    <w:rsid w:val="00417531"/>
    <w:rsid w:val="00417BC1"/>
    <w:rsid w:val="004309D8"/>
    <w:rsid w:val="00440954"/>
    <w:rsid w:val="004634A5"/>
    <w:rsid w:val="004D24A1"/>
    <w:rsid w:val="004E0D20"/>
    <w:rsid w:val="004E1A23"/>
    <w:rsid w:val="004E7EB5"/>
    <w:rsid w:val="004F7900"/>
    <w:rsid w:val="00504390"/>
    <w:rsid w:val="00512B84"/>
    <w:rsid w:val="005403D3"/>
    <w:rsid w:val="00545BDD"/>
    <w:rsid w:val="005752C2"/>
    <w:rsid w:val="00581488"/>
    <w:rsid w:val="00591383"/>
    <w:rsid w:val="00597E00"/>
    <w:rsid w:val="005A2A4F"/>
    <w:rsid w:val="005C3185"/>
    <w:rsid w:val="005E4D91"/>
    <w:rsid w:val="005F311B"/>
    <w:rsid w:val="00601938"/>
    <w:rsid w:val="00605AFA"/>
    <w:rsid w:val="00611655"/>
    <w:rsid w:val="00626A08"/>
    <w:rsid w:val="0063624F"/>
    <w:rsid w:val="0065429D"/>
    <w:rsid w:val="006608B4"/>
    <w:rsid w:val="00676C9F"/>
    <w:rsid w:val="006903D4"/>
    <w:rsid w:val="006A6C5B"/>
    <w:rsid w:val="006A7F59"/>
    <w:rsid w:val="006B01C6"/>
    <w:rsid w:val="006B3E13"/>
    <w:rsid w:val="006F1A46"/>
    <w:rsid w:val="006F4CE2"/>
    <w:rsid w:val="007155B8"/>
    <w:rsid w:val="007169AB"/>
    <w:rsid w:val="0073137C"/>
    <w:rsid w:val="007374C9"/>
    <w:rsid w:val="00774176"/>
    <w:rsid w:val="00784C45"/>
    <w:rsid w:val="007A2DE7"/>
    <w:rsid w:val="007B59A3"/>
    <w:rsid w:val="007C0D48"/>
    <w:rsid w:val="007F64E6"/>
    <w:rsid w:val="00802E01"/>
    <w:rsid w:val="0084202D"/>
    <w:rsid w:val="00862F3D"/>
    <w:rsid w:val="00866F20"/>
    <w:rsid w:val="00877172"/>
    <w:rsid w:val="00877907"/>
    <w:rsid w:val="008811DF"/>
    <w:rsid w:val="008928F3"/>
    <w:rsid w:val="00896859"/>
    <w:rsid w:val="008C50EE"/>
    <w:rsid w:val="008E2896"/>
    <w:rsid w:val="008E40F8"/>
    <w:rsid w:val="008F1E6D"/>
    <w:rsid w:val="00923169"/>
    <w:rsid w:val="009258B9"/>
    <w:rsid w:val="009710FD"/>
    <w:rsid w:val="00976CD8"/>
    <w:rsid w:val="00980380"/>
    <w:rsid w:val="0098065B"/>
    <w:rsid w:val="009C64CA"/>
    <w:rsid w:val="009E2CC6"/>
    <w:rsid w:val="009E2ECD"/>
    <w:rsid w:val="009F3B4D"/>
    <w:rsid w:val="00A243C3"/>
    <w:rsid w:val="00A30A35"/>
    <w:rsid w:val="00A4367E"/>
    <w:rsid w:val="00A4685A"/>
    <w:rsid w:val="00A601B4"/>
    <w:rsid w:val="00A606E6"/>
    <w:rsid w:val="00AA0F09"/>
    <w:rsid w:val="00AA34E6"/>
    <w:rsid w:val="00AA36FF"/>
    <w:rsid w:val="00AE30F4"/>
    <w:rsid w:val="00AF4208"/>
    <w:rsid w:val="00B02192"/>
    <w:rsid w:val="00B242C4"/>
    <w:rsid w:val="00B43C39"/>
    <w:rsid w:val="00B7209F"/>
    <w:rsid w:val="00B869C3"/>
    <w:rsid w:val="00BE5647"/>
    <w:rsid w:val="00BF392D"/>
    <w:rsid w:val="00BF4A3F"/>
    <w:rsid w:val="00C4582D"/>
    <w:rsid w:val="00C73F7E"/>
    <w:rsid w:val="00C76AFF"/>
    <w:rsid w:val="00C97D1D"/>
    <w:rsid w:val="00CA79D9"/>
    <w:rsid w:val="00CD4AE1"/>
    <w:rsid w:val="00CF18B1"/>
    <w:rsid w:val="00D22E95"/>
    <w:rsid w:val="00D33F7E"/>
    <w:rsid w:val="00D4516A"/>
    <w:rsid w:val="00D54E70"/>
    <w:rsid w:val="00D71313"/>
    <w:rsid w:val="00D87A77"/>
    <w:rsid w:val="00DA3EAE"/>
    <w:rsid w:val="00DA655E"/>
    <w:rsid w:val="00DE2BF3"/>
    <w:rsid w:val="00DE768D"/>
    <w:rsid w:val="00E1154F"/>
    <w:rsid w:val="00E32926"/>
    <w:rsid w:val="00E75A14"/>
    <w:rsid w:val="00E77485"/>
    <w:rsid w:val="00E77B98"/>
    <w:rsid w:val="00E855D1"/>
    <w:rsid w:val="00EC2943"/>
    <w:rsid w:val="00EC2B2E"/>
    <w:rsid w:val="00EC439D"/>
    <w:rsid w:val="00ED3A8A"/>
    <w:rsid w:val="00F14331"/>
    <w:rsid w:val="00F20E4C"/>
    <w:rsid w:val="00F22E4A"/>
    <w:rsid w:val="00F37181"/>
    <w:rsid w:val="00FA6852"/>
    <w:rsid w:val="00FB210C"/>
    <w:rsid w:val="00FD48D4"/>
    <w:rsid w:val="00FD5763"/>
    <w:rsid w:val="00FE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E38A"/>
  <w15:chartTrackingRefBased/>
  <w15:docId w15:val="{3FF3DAAE-259C-084C-A361-A27C026C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F7E"/>
    <w:pPr>
      <w:keepNext/>
      <w:keepLines/>
      <w:numPr>
        <w:numId w:val="4"/>
      </w:numPr>
      <w:spacing w:after="120" w:line="360" w:lineRule="auto"/>
      <w:ind w:left="357" w:hanging="357"/>
      <w:outlineLvl w:val="0"/>
    </w:pPr>
    <w:rPr>
      <w:rFonts w:ascii="Garamond" w:eastAsiaTheme="majorEastAsia" w:hAnsi="Garamond" w:cs="Times New Roman"/>
      <w:b/>
      <w:szCs w:val="32"/>
    </w:rPr>
  </w:style>
  <w:style w:type="paragraph" w:styleId="Heading2">
    <w:name w:val="heading 2"/>
    <w:basedOn w:val="ListParagraph"/>
    <w:next w:val="Normal"/>
    <w:link w:val="Heading2Char"/>
    <w:uiPriority w:val="9"/>
    <w:unhideWhenUsed/>
    <w:qFormat/>
    <w:rsid w:val="00FB210C"/>
    <w:pPr>
      <w:numPr>
        <w:ilvl w:val="1"/>
        <w:numId w:val="4"/>
      </w:numPr>
      <w:spacing w:after="120" w:line="360" w:lineRule="auto"/>
      <w:ind w:left="567" w:hanging="357"/>
      <w:contextualSpacing w:val="0"/>
      <w:jc w:val="both"/>
      <w:outlineLvl w:val="1"/>
    </w:pPr>
    <w:rPr>
      <w:rFonts w:cstheme="minorHAnsi"/>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5181"/>
    <w:rPr>
      <w:sz w:val="20"/>
      <w:szCs w:val="20"/>
    </w:rPr>
  </w:style>
  <w:style w:type="character" w:customStyle="1" w:styleId="FootnoteTextChar">
    <w:name w:val="Footnote Text Char"/>
    <w:basedOn w:val="DefaultParagraphFont"/>
    <w:link w:val="FootnoteText"/>
    <w:uiPriority w:val="99"/>
    <w:semiHidden/>
    <w:rsid w:val="00255181"/>
    <w:rPr>
      <w:sz w:val="20"/>
      <w:szCs w:val="20"/>
    </w:rPr>
  </w:style>
  <w:style w:type="character" w:styleId="FootnoteReference">
    <w:name w:val="footnote reference"/>
    <w:basedOn w:val="DefaultParagraphFont"/>
    <w:uiPriority w:val="99"/>
    <w:semiHidden/>
    <w:unhideWhenUsed/>
    <w:rsid w:val="00255181"/>
    <w:rPr>
      <w:rFonts w:ascii="Times New Roman" w:hAnsi="Times New Roman"/>
      <w:sz w:val="20"/>
      <w:vertAlign w:val="superscript"/>
    </w:rPr>
  </w:style>
  <w:style w:type="character" w:styleId="CommentReference">
    <w:name w:val="annotation reference"/>
    <w:basedOn w:val="DefaultParagraphFont"/>
    <w:uiPriority w:val="99"/>
    <w:semiHidden/>
    <w:unhideWhenUsed/>
    <w:rsid w:val="008928F3"/>
    <w:rPr>
      <w:sz w:val="16"/>
      <w:szCs w:val="16"/>
    </w:rPr>
  </w:style>
  <w:style w:type="paragraph" w:styleId="CommentText">
    <w:name w:val="annotation text"/>
    <w:basedOn w:val="Normal"/>
    <w:link w:val="CommentTextChar"/>
    <w:uiPriority w:val="99"/>
    <w:semiHidden/>
    <w:unhideWhenUsed/>
    <w:rsid w:val="008928F3"/>
    <w:rPr>
      <w:sz w:val="20"/>
      <w:szCs w:val="20"/>
    </w:rPr>
  </w:style>
  <w:style w:type="character" w:customStyle="1" w:styleId="CommentTextChar">
    <w:name w:val="Comment Text Char"/>
    <w:basedOn w:val="DefaultParagraphFont"/>
    <w:link w:val="CommentText"/>
    <w:uiPriority w:val="99"/>
    <w:semiHidden/>
    <w:rsid w:val="008928F3"/>
    <w:rPr>
      <w:sz w:val="20"/>
      <w:szCs w:val="20"/>
    </w:rPr>
  </w:style>
  <w:style w:type="paragraph" w:styleId="CommentSubject">
    <w:name w:val="annotation subject"/>
    <w:basedOn w:val="CommentText"/>
    <w:next w:val="CommentText"/>
    <w:link w:val="CommentSubjectChar"/>
    <w:uiPriority w:val="99"/>
    <w:semiHidden/>
    <w:unhideWhenUsed/>
    <w:rsid w:val="008928F3"/>
    <w:rPr>
      <w:b/>
      <w:bCs/>
    </w:rPr>
  </w:style>
  <w:style w:type="character" w:customStyle="1" w:styleId="CommentSubjectChar">
    <w:name w:val="Comment Subject Char"/>
    <w:basedOn w:val="CommentTextChar"/>
    <w:link w:val="CommentSubject"/>
    <w:uiPriority w:val="99"/>
    <w:semiHidden/>
    <w:rsid w:val="008928F3"/>
    <w:rPr>
      <w:b/>
      <w:bCs/>
      <w:sz w:val="20"/>
      <w:szCs w:val="20"/>
    </w:rPr>
  </w:style>
  <w:style w:type="paragraph" w:styleId="BalloonText">
    <w:name w:val="Balloon Text"/>
    <w:basedOn w:val="Normal"/>
    <w:link w:val="BalloonTextChar"/>
    <w:uiPriority w:val="99"/>
    <w:semiHidden/>
    <w:unhideWhenUsed/>
    <w:rsid w:val="008928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8F3"/>
    <w:rPr>
      <w:rFonts w:ascii="Times New Roman" w:hAnsi="Times New Roman" w:cs="Times New Roman"/>
      <w:sz w:val="18"/>
      <w:szCs w:val="18"/>
    </w:rPr>
  </w:style>
  <w:style w:type="paragraph" w:styleId="ListParagraph">
    <w:name w:val="List Paragraph"/>
    <w:basedOn w:val="Normal"/>
    <w:uiPriority w:val="34"/>
    <w:qFormat/>
    <w:rsid w:val="00B7209F"/>
    <w:pPr>
      <w:ind w:left="720"/>
      <w:contextualSpacing/>
    </w:pPr>
  </w:style>
  <w:style w:type="paragraph" w:styleId="Footer">
    <w:name w:val="footer"/>
    <w:basedOn w:val="Normal"/>
    <w:link w:val="FooterChar"/>
    <w:uiPriority w:val="99"/>
    <w:unhideWhenUsed/>
    <w:rsid w:val="00FE092B"/>
    <w:pPr>
      <w:tabs>
        <w:tab w:val="center" w:pos="4680"/>
        <w:tab w:val="right" w:pos="9360"/>
      </w:tabs>
    </w:pPr>
  </w:style>
  <w:style w:type="character" w:customStyle="1" w:styleId="FooterChar">
    <w:name w:val="Footer Char"/>
    <w:basedOn w:val="DefaultParagraphFont"/>
    <w:link w:val="Footer"/>
    <w:uiPriority w:val="99"/>
    <w:rsid w:val="00FE092B"/>
  </w:style>
  <w:style w:type="character" w:styleId="PageNumber">
    <w:name w:val="page number"/>
    <w:basedOn w:val="DefaultParagraphFont"/>
    <w:uiPriority w:val="99"/>
    <w:semiHidden/>
    <w:unhideWhenUsed/>
    <w:rsid w:val="00FE092B"/>
  </w:style>
  <w:style w:type="paragraph" w:styleId="Header">
    <w:name w:val="header"/>
    <w:basedOn w:val="Normal"/>
    <w:link w:val="HeaderChar"/>
    <w:uiPriority w:val="99"/>
    <w:unhideWhenUsed/>
    <w:rsid w:val="00FE092B"/>
    <w:pPr>
      <w:tabs>
        <w:tab w:val="center" w:pos="4680"/>
        <w:tab w:val="right" w:pos="9360"/>
      </w:tabs>
    </w:pPr>
  </w:style>
  <w:style w:type="character" w:customStyle="1" w:styleId="HeaderChar">
    <w:name w:val="Header Char"/>
    <w:basedOn w:val="DefaultParagraphFont"/>
    <w:link w:val="Header"/>
    <w:uiPriority w:val="99"/>
    <w:rsid w:val="00FE092B"/>
  </w:style>
  <w:style w:type="character" w:customStyle="1" w:styleId="Heading1Char">
    <w:name w:val="Heading 1 Char"/>
    <w:basedOn w:val="DefaultParagraphFont"/>
    <w:link w:val="Heading1"/>
    <w:uiPriority w:val="9"/>
    <w:rsid w:val="00D33F7E"/>
    <w:rPr>
      <w:rFonts w:ascii="Garamond" w:eastAsiaTheme="majorEastAsia" w:hAnsi="Garamond" w:cs="Times New Roman"/>
      <w:b/>
      <w:szCs w:val="32"/>
    </w:rPr>
  </w:style>
  <w:style w:type="character" w:customStyle="1" w:styleId="Heading2Char">
    <w:name w:val="Heading 2 Char"/>
    <w:basedOn w:val="DefaultParagraphFont"/>
    <w:link w:val="Heading2"/>
    <w:uiPriority w:val="9"/>
    <w:rsid w:val="00FB210C"/>
    <w:rPr>
      <w:rFonts w:cstheme="minorHAnsi"/>
      <w:i/>
      <w:szCs w:val="22"/>
    </w:rPr>
  </w:style>
  <w:style w:type="paragraph" w:styleId="EndnoteText">
    <w:name w:val="endnote text"/>
    <w:basedOn w:val="Normal"/>
    <w:link w:val="EndnoteTextChar"/>
    <w:uiPriority w:val="99"/>
    <w:semiHidden/>
    <w:unhideWhenUsed/>
    <w:rsid w:val="003B6478"/>
    <w:rPr>
      <w:sz w:val="20"/>
      <w:szCs w:val="20"/>
    </w:rPr>
  </w:style>
  <w:style w:type="character" w:customStyle="1" w:styleId="EndnoteTextChar">
    <w:name w:val="Endnote Text Char"/>
    <w:basedOn w:val="DefaultParagraphFont"/>
    <w:link w:val="EndnoteText"/>
    <w:uiPriority w:val="99"/>
    <w:semiHidden/>
    <w:rsid w:val="003B6478"/>
    <w:rPr>
      <w:sz w:val="20"/>
      <w:szCs w:val="20"/>
    </w:rPr>
  </w:style>
  <w:style w:type="character" w:styleId="EndnoteReference">
    <w:name w:val="endnote reference"/>
    <w:basedOn w:val="DefaultParagraphFont"/>
    <w:uiPriority w:val="99"/>
    <w:semiHidden/>
    <w:unhideWhenUsed/>
    <w:rsid w:val="003B6478"/>
    <w:rPr>
      <w:vertAlign w:val="superscript"/>
    </w:rPr>
  </w:style>
  <w:style w:type="character" w:styleId="Hyperlink">
    <w:name w:val="Hyperlink"/>
    <w:basedOn w:val="DefaultParagraphFont"/>
    <w:uiPriority w:val="99"/>
    <w:unhideWhenUsed/>
    <w:rsid w:val="002B1FCA"/>
    <w:rPr>
      <w:color w:val="0563C1" w:themeColor="hyperlink"/>
      <w:u w:val="single"/>
    </w:rPr>
  </w:style>
  <w:style w:type="character" w:styleId="UnresolvedMention">
    <w:name w:val="Unresolved Mention"/>
    <w:basedOn w:val="DefaultParagraphFont"/>
    <w:uiPriority w:val="99"/>
    <w:semiHidden/>
    <w:unhideWhenUsed/>
    <w:rsid w:val="002B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8472">
      <w:bodyDiv w:val="1"/>
      <w:marLeft w:val="0"/>
      <w:marRight w:val="0"/>
      <w:marTop w:val="0"/>
      <w:marBottom w:val="0"/>
      <w:divBdr>
        <w:top w:val="none" w:sz="0" w:space="0" w:color="auto"/>
        <w:left w:val="none" w:sz="0" w:space="0" w:color="auto"/>
        <w:bottom w:val="none" w:sz="0" w:space="0" w:color="auto"/>
        <w:right w:val="none" w:sz="0" w:space="0" w:color="auto"/>
      </w:divBdr>
      <w:divsChild>
        <w:div w:id="1287421248">
          <w:marLeft w:val="0"/>
          <w:marRight w:val="0"/>
          <w:marTop w:val="0"/>
          <w:marBottom w:val="0"/>
          <w:divBdr>
            <w:top w:val="none" w:sz="0" w:space="0" w:color="auto"/>
            <w:left w:val="none" w:sz="0" w:space="0" w:color="auto"/>
            <w:bottom w:val="none" w:sz="0" w:space="0" w:color="auto"/>
            <w:right w:val="none" w:sz="0" w:space="0" w:color="auto"/>
          </w:divBdr>
          <w:divsChild>
            <w:div w:id="382170449">
              <w:marLeft w:val="0"/>
              <w:marRight w:val="0"/>
              <w:marTop w:val="0"/>
              <w:marBottom w:val="0"/>
              <w:divBdr>
                <w:top w:val="none" w:sz="0" w:space="0" w:color="auto"/>
                <w:left w:val="none" w:sz="0" w:space="0" w:color="auto"/>
                <w:bottom w:val="none" w:sz="0" w:space="0" w:color="auto"/>
                <w:right w:val="none" w:sz="0" w:space="0" w:color="auto"/>
              </w:divBdr>
              <w:divsChild>
                <w:div w:id="18441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0834">
      <w:bodyDiv w:val="1"/>
      <w:marLeft w:val="0"/>
      <w:marRight w:val="0"/>
      <w:marTop w:val="0"/>
      <w:marBottom w:val="0"/>
      <w:divBdr>
        <w:top w:val="none" w:sz="0" w:space="0" w:color="auto"/>
        <w:left w:val="none" w:sz="0" w:space="0" w:color="auto"/>
        <w:bottom w:val="none" w:sz="0" w:space="0" w:color="auto"/>
        <w:right w:val="none" w:sz="0" w:space="0" w:color="auto"/>
      </w:divBdr>
      <w:divsChild>
        <w:div w:id="1164320626">
          <w:marLeft w:val="0"/>
          <w:marRight w:val="0"/>
          <w:marTop w:val="0"/>
          <w:marBottom w:val="0"/>
          <w:divBdr>
            <w:top w:val="none" w:sz="0" w:space="0" w:color="auto"/>
            <w:left w:val="none" w:sz="0" w:space="0" w:color="auto"/>
            <w:bottom w:val="none" w:sz="0" w:space="0" w:color="auto"/>
            <w:right w:val="none" w:sz="0" w:space="0" w:color="auto"/>
          </w:divBdr>
          <w:divsChild>
            <w:div w:id="463890531">
              <w:marLeft w:val="0"/>
              <w:marRight w:val="0"/>
              <w:marTop w:val="0"/>
              <w:marBottom w:val="0"/>
              <w:divBdr>
                <w:top w:val="none" w:sz="0" w:space="0" w:color="auto"/>
                <w:left w:val="none" w:sz="0" w:space="0" w:color="auto"/>
                <w:bottom w:val="none" w:sz="0" w:space="0" w:color="auto"/>
                <w:right w:val="none" w:sz="0" w:space="0" w:color="auto"/>
              </w:divBdr>
              <w:divsChild>
                <w:div w:id="1774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0260">
      <w:bodyDiv w:val="1"/>
      <w:marLeft w:val="0"/>
      <w:marRight w:val="0"/>
      <w:marTop w:val="0"/>
      <w:marBottom w:val="0"/>
      <w:divBdr>
        <w:top w:val="none" w:sz="0" w:space="0" w:color="auto"/>
        <w:left w:val="none" w:sz="0" w:space="0" w:color="auto"/>
        <w:bottom w:val="none" w:sz="0" w:space="0" w:color="auto"/>
        <w:right w:val="none" w:sz="0" w:space="0" w:color="auto"/>
      </w:divBdr>
      <w:divsChild>
        <w:div w:id="609316851">
          <w:marLeft w:val="0"/>
          <w:marRight w:val="0"/>
          <w:marTop w:val="0"/>
          <w:marBottom w:val="0"/>
          <w:divBdr>
            <w:top w:val="none" w:sz="0" w:space="0" w:color="auto"/>
            <w:left w:val="none" w:sz="0" w:space="0" w:color="auto"/>
            <w:bottom w:val="none" w:sz="0" w:space="0" w:color="auto"/>
            <w:right w:val="none" w:sz="0" w:space="0" w:color="auto"/>
          </w:divBdr>
          <w:divsChild>
            <w:div w:id="1228807881">
              <w:marLeft w:val="0"/>
              <w:marRight w:val="0"/>
              <w:marTop w:val="0"/>
              <w:marBottom w:val="0"/>
              <w:divBdr>
                <w:top w:val="none" w:sz="0" w:space="0" w:color="auto"/>
                <w:left w:val="none" w:sz="0" w:space="0" w:color="auto"/>
                <w:bottom w:val="none" w:sz="0" w:space="0" w:color="auto"/>
                <w:right w:val="none" w:sz="0" w:space="0" w:color="auto"/>
              </w:divBdr>
              <w:divsChild>
                <w:div w:id="16924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religious-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C452-6280-D749-B787-DF92B1E3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20</Pages>
  <Words>9148</Words>
  <Characters>45468</Characters>
  <Application>Microsoft Office Word</Application>
  <DocSecurity>0</DocSecurity>
  <Lines>1623</Lines>
  <Paragraphs>866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Finlay Malcolm</cp:lastModifiedBy>
  <cp:revision>78</cp:revision>
  <dcterms:created xsi:type="dcterms:W3CDTF">2019-09-29T10:24:00Z</dcterms:created>
  <dcterms:modified xsi:type="dcterms:W3CDTF">2019-11-04T14:03:00Z</dcterms:modified>
  <cp:category/>
</cp:coreProperties>
</file>