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D1571" w14:textId="740253FE" w:rsidR="00973839" w:rsidRPr="00973839" w:rsidRDefault="008E38FE" w:rsidP="00973839">
      <w:pPr>
        <w:spacing w:after="120"/>
        <w:jc w:val="center"/>
        <w:rPr>
          <w:rFonts w:ascii="Garamond" w:hAnsi="Garamond" w:cstheme="minorHAnsi"/>
          <w:szCs w:val="30"/>
          <w:u w:val="single"/>
        </w:rPr>
      </w:pPr>
      <w:r w:rsidRPr="00973839">
        <w:rPr>
          <w:rFonts w:ascii="Garamond" w:hAnsi="Garamond" w:cstheme="minorHAnsi"/>
          <w:sz w:val="36"/>
          <w:szCs w:val="30"/>
          <w:u w:val="single"/>
        </w:rPr>
        <w:t xml:space="preserve">The </w:t>
      </w:r>
      <w:r w:rsidR="00B15458" w:rsidRPr="00973839">
        <w:rPr>
          <w:rFonts w:ascii="Garamond" w:hAnsi="Garamond" w:cstheme="minorHAnsi"/>
          <w:sz w:val="36"/>
          <w:szCs w:val="30"/>
          <w:u w:val="single"/>
        </w:rPr>
        <w:t>Moral</w:t>
      </w:r>
      <w:r w:rsidRPr="00973839">
        <w:rPr>
          <w:rFonts w:ascii="Garamond" w:hAnsi="Garamond" w:cstheme="minorHAnsi"/>
          <w:sz w:val="36"/>
          <w:szCs w:val="30"/>
          <w:u w:val="single"/>
        </w:rPr>
        <w:t xml:space="preserve"> and Evidential</w:t>
      </w:r>
      <w:r w:rsidR="00B15458" w:rsidRPr="00973839">
        <w:rPr>
          <w:rFonts w:ascii="Garamond" w:hAnsi="Garamond" w:cstheme="minorHAnsi"/>
          <w:sz w:val="36"/>
          <w:szCs w:val="30"/>
          <w:u w:val="single"/>
        </w:rPr>
        <w:t xml:space="preserve"> </w:t>
      </w:r>
      <w:r w:rsidRPr="00973839">
        <w:rPr>
          <w:rFonts w:ascii="Garamond" w:hAnsi="Garamond" w:cstheme="minorHAnsi"/>
          <w:sz w:val="36"/>
          <w:szCs w:val="30"/>
          <w:u w:val="single"/>
        </w:rPr>
        <w:t xml:space="preserve">Requirements </w:t>
      </w:r>
      <w:r w:rsidR="003D3317" w:rsidRPr="00973839">
        <w:rPr>
          <w:rFonts w:ascii="Garamond" w:hAnsi="Garamond" w:cstheme="minorHAnsi"/>
          <w:sz w:val="36"/>
          <w:szCs w:val="30"/>
          <w:u w:val="single"/>
        </w:rPr>
        <w:t>of Faith</w:t>
      </w:r>
      <w:r w:rsidR="00AC56FB" w:rsidRPr="00AC56FB">
        <w:rPr>
          <w:rFonts w:ascii="Garamond" w:hAnsi="Garamond" w:cstheme="minorHAnsi"/>
          <w:sz w:val="36"/>
          <w:szCs w:val="30"/>
        </w:rPr>
        <w:t>*</w:t>
      </w:r>
    </w:p>
    <w:p w14:paraId="01E0CADA" w14:textId="2AD152EE" w:rsidR="00973839" w:rsidRDefault="00973839" w:rsidP="00973839">
      <w:pPr>
        <w:jc w:val="center"/>
        <w:rPr>
          <w:rFonts w:ascii="Garamond" w:hAnsi="Garamond" w:cstheme="minorHAnsi"/>
          <w:lang w:val="en-US"/>
        </w:rPr>
      </w:pPr>
      <w:r>
        <w:rPr>
          <w:rFonts w:ascii="Garamond" w:hAnsi="Garamond" w:cstheme="minorHAnsi"/>
          <w:lang w:val="en-US"/>
        </w:rPr>
        <w:t xml:space="preserve">By </w:t>
      </w:r>
      <w:r w:rsidR="00717345" w:rsidRPr="00973839">
        <w:rPr>
          <w:rFonts w:ascii="Garamond" w:hAnsi="Garamond" w:cstheme="minorHAnsi"/>
          <w:lang w:val="en-US"/>
        </w:rPr>
        <w:t>Finlay M</w:t>
      </w:r>
      <w:r w:rsidRPr="00973839">
        <w:rPr>
          <w:rFonts w:ascii="Garamond" w:hAnsi="Garamond" w:cstheme="minorHAnsi"/>
          <w:lang w:val="en-US"/>
        </w:rPr>
        <w:t>alcolm</w:t>
      </w:r>
    </w:p>
    <w:p w14:paraId="3B6742FD" w14:textId="3120BEE4" w:rsidR="00AC56FB" w:rsidRDefault="00AC56FB" w:rsidP="00973839">
      <w:pPr>
        <w:jc w:val="center"/>
        <w:rPr>
          <w:rFonts w:ascii="Garamond" w:hAnsi="Garamond" w:cstheme="minorHAnsi"/>
          <w:lang w:val="en-US"/>
        </w:rPr>
      </w:pPr>
      <w:r>
        <w:rPr>
          <w:rFonts w:ascii="Garamond" w:hAnsi="Garamond" w:cstheme="minorHAnsi"/>
          <w:lang w:val="en-US"/>
        </w:rPr>
        <w:t>University of Hertfordshire</w:t>
      </w:r>
    </w:p>
    <w:p w14:paraId="7511B31B" w14:textId="77777777" w:rsidR="00973839" w:rsidRDefault="00973839" w:rsidP="00973839">
      <w:pPr>
        <w:jc w:val="center"/>
        <w:rPr>
          <w:rFonts w:ascii="Garamond" w:hAnsi="Garamond" w:cstheme="minorHAnsi"/>
          <w:lang w:val="en-US"/>
        </w:rPr>
      </w:pPr>
    </w:p>
    <w:p w14:paraId="6BAE715B" w14:textId="49A20673" w:rsidR="00973839" w:rsidRPr="00B62047" w:rsidRDefault="00AC56FB" w:rsidP="00AC56FB">
      <w:pPr>
        <w:spacing w:after="120"/>
        <w:jc w:val="center"/>
        <w:rPr>
          <w:rFonts w:ascii="Garamond" w:hAnsi="Garamond" w:cstheme="minorHAnsi"/>
          <w:b/>
          <w:lang w:val="en-US"/>
        </w:rPr>
      </w:pPr>
      <w:r>
        <w:rPr>
          <w:rFonts w:ascii="Garamond" w:hAnsi="Garamond" w:cstheme="minorHAnsi"/>
          <w:b/>
          <w:lang w:val="en-US"/>
        </w:rPr>
        <w:t>[</w:t>
      </w:r>
      <w:r w:rsidR="00B62047">
        <w:rPr>
          <w:rFonts w:ascii="Garamond" w:hAnsi="Garamond" w:cstheme="minorHAnsi"/>
          <w:b/>
          <w:lang w:val="en-US"/>
        </w:rPr>
        <w:t>F</w:t>
      </w:r>
      <w:r w:rsidR="00973839" w:rsidRPr="00973839">
        <w:rPr>
          <w:rFonts w:ascii="Garamond" w:hAnsi="Garamond" w:cstheme="minorHAnsi"/>
          <w:b/>
          <w:lang w:val="en-US"/>
        </w:rPr>
        <w:t xml:space="preserve">orthcoming in </w:t>
      </w:r>
      <w:r w:rsidR="00973839" w:rsidRPr="00973839">
        <w:rPr>
          <w:rFonts w:ascii="Garamond" w:hAnsi="Garamond" w:cstheme="minorHAnsi"/>
          <w:b/>
          <w:i/>
          <w:lang w:val="en-US"/>
        </w:rPr>
        <w:t>European Journal for Philosophy of Religion</w:t>
      </w:r>
      <w:r w:rsidR="00B62047">
        <w:rPr>
          <w:rFonts w:ascii="Garamond" w:hAnsi="Garamond" w:cstheme="minorHAnsi"/>
          <w:b/>
          <w:lang w:val="en-US"/>
        </w:rPr>
        <w:t>.</w:t>
      </w:r>
      <w:r>
        <w:rPr>
          <w:rFonts w:ascii="Garamond" w:hAnsi="Garamond" w:cstheme="minorHAnsi"/>
          <w:b/>
          <w:lang w:val="en-US"/>
        </w:rPr>
        <w:t>]</w:t>
      </w:r>
    </w:p>
    <w:p w14:paraId="64D0488E" w14:textId="5047F802" w:rsidR="00717345" w:rsidRPr="00AC56FB" w:rsidRDefault="00AC56FB" w:rsidP="00973839">
      <w:pPr>
        <w:jc w:val="center"/>
        <w:rPr>
          <w:rFonts w:ascii="Garamond" w:hAnsi="Garamond" w:cstheme="minorHAnsi"/>
          <w:lang w:val="en-US"/>
        </w:rPr>
      </w:pPr>
      <w:r>
        <w:rPr>
          <w:rFonts w:ascii="Garamond" w:hAnsi="Garamond" w:cstheme="minorHAnsi"/>
        </w:rPr>
        <w:t>*</w:t>
      </w:r>
      <w:r w:rsidR="00973839" w:rsidRPr="00AC56FB">
        <w:rPr>
          <w:rFonts w:ascii="Garamond" w:hAnsi="Garamond" w:cstheme="minorHAnsi"/>
        </w:rPr>
        <w:t>This is an uncorrected pre-print version. When citing please use the final journal version.</w:t>
      </w:r>
    </w:p>
    <w:p w14:paraId="338CB24D" w14:textId="77777777" w:rsidR="00717345" w:rsidRPr="00973839" w:rsidRDefault="00717345" w:rsidP="00973839">
      <w:pPr>
        <w:jc w:val="both"/>
        <w:rPr>
          <w:rFonts w:ascii="Garamond" w:hAnsi="Garamond" w:cstheme="minorHAnsi"/>
        </w:rPr>
      </w:pPr>
    </w:p>
    <w:p w14:paraId="0871684B" w14:textId="5D23E33C" w:rsidR="00280D76" w:rsidRPr="00B62047" w:rsidRDefault="00280D76" w:rsidP="00973839">
      <w:pPr>
        <w:jc w:val="both"/>
        <w:rPr>
          <w:rFonts w:ascii="Garamond" w:hAnsi="Garamond" w:cstheme="minorHAnsi"/>
          <w:sz w:val="28"/>
        </w:rPr>
      </w:pPr>
      <w:r w:rsidRPr="00AC56FB">
        <w:rPr>
          <w:rFonts w:ascii="Garamond" w:hAnsi="Garamond" w:cstheme="minorHAnsi"/>
          <w:b/>
        </w:rPr>
        <w:t>Abstract</w:t>
      </w:r>
      <w:r w:rsidR="00B62047">
        <w:rPr>
          <w:rFonts w:ascii="Garamond" w:hAnsi="Garamond" w:cstheme="minorHAnsi"/>
          <w:sz w:val="28"/>
        </w:rPr>
        <w:t xml:space="preserve">: </w:t>
      </w:r>
      <w:r w:rsidR="0042101F" w:rsidRPr="00973839">
        <w:rPr>
          <w:rFonts w:ascii="Garamond" w:hAnsi="Garamond" w:cstheme="minorHAnsi"/>
        </w:rPr>
        <w:t>What is the relationship between faith and evidence?</w:t>
      </w:r>
      <w:r w:rsidR="008E7FE1" w:rsidRPr="00973839">
        <w:rPr>
          <w:rFonts w:ascii="Garamond" w:hAnsi="Garamond" w:cstheme="minorHAnsi"/>
        </w:rPr>
        <w:t xml:space="preserve"> </w:t>
      </w:r>
      <w:r w:rsidR="00A310F0" w:rsidRPr="00973839">
        <w:rPr>
          <w:rFonts w:ascii="Garamond" w:hAnsi="Garamond" w:cstheme="minorHAnsi"/>
        </w:rPr>
        <w:t xml:space="preserve">It is </w:t>
      </w:r>
      <w:r w:rsidR="00880FF1" w:rsidRPr="00973839">
        <w:rPr>
          <w:rFonts w:ascii="Garamond" w:hAnsi="Garamond" w:cstheme="minorHAnsi"/>
        </w:rPr>
        <w:t>often</w:t>
      </w:r>
      <w:r w:rsidR="00A310F0" w:rsidRPr="00973839">
        <w:rPr>
          <w:rFonts w:ascii="Garamond" w:hAnsi="Garamond" w:cstheme="minorHAnsi"/>
        </w:rPr>
        <w:t xml:space="preserve"> claimed that</w:t>
      </w:r>
      <w:r w:rsidR="00D60E7F" w:rsidRPr="00973839">
        <w:rPr>
          <w:rFonts w:ascii="Garamond" w:hAnsi="Garamond" w:cstheme="minorHAnsi"/>
        </w:rPr>
        <w:t xml:space="preserve"> faith requires going beyond evidence.</w:t>
      </w:r>
      <w:r w:rsidR="00AB2FB5" w:rsidRPr="00973839">
        <w:rPr>
          <w:rFonts w:ascii="Garamond" w:hAnsi="Garamond" w:cstheme="minorHAnsi"/>
        </w:rPr>
        <w:t xml:space="preserve"> </w:t>
      </w:r>
      <w:r w:rsidR="008E7FE1" w:rsidRPr="00973839">
        <w:rPr>
          <w:rFonts w:ascii="Garamond" w:hAnsi="Garamond" w:cstheme="minorHAnsi"/>
        </w:rPr>
        <w:t xml:space="preserve">In this paper, I reject this claim by showing how </w:t>
      </w:r>
      <w:r w:rsidR="001A75F5" w:rsidRPr="00973839">
        <w:rPr>
          <w:rFonts w:ascii="Garamond" w:hAnsi="Garamond" w:cstheme="minorHAnsi"/>
        </w:rPr>
        <w:t>the</w:t>
      </w:r>
      <w:r w:rsidR="008E7FE1" w:rsidRPr="00973839">
        <w:rPr>
          <w:rFonts w:ascii="Garamond" w:hAnsi="Garamond" w:cstheme="minorHAnsi"/>
        </w:rPr>
        <w:t xml:space="preserve"> moral demands to have faith warrant a person in maintaining faith in the face of counter-evidence, and by showing how the moral demands to have faith, and the moral constraints of evidentialism, are in clear tension with going beyond evidence. In </w:t>
      </w:r>
      <w:r w:rsidR="008619E6" w:rsidRPr="00973839">
        <w:rPr>
          <w:rFonts w:ascii="Garamond" w:hAnsi="Garamond" w:cstheme="minorHAnsi"/>
        </w:rPr>
        <w:t>arguing for these views</w:t>
      </w:r>
      <w:r w:rsidR="008E7FE1" w:rsidRPr="00973839">
        <w:rPr>
          <w:rFonts w:ascii="Garamond" w:hAnsi="Garamond" w:cstheme="minorHAnsi"/>
        </w:rPr>
        <w:t xml:space="preserve">, I develop a taxonomy of different ways of irrationally going </w:t>
      </w:r>
      <w:r w:rsidR="008E7FE1" w:rsidRPr="00973839">
        <w:rPr>
          <w:rFonts w:ascii="Garamond" w:hAnsi="Garamond" w:cstheme="minorHAnsi"/>
          <w:i/>
        </w:rPr>
        <w:t>beyond</w:t>
      </w:r>
      <w:r w:rsidR="008E7FE1" w:rsidRPr="00973839">
        <w:rPr>
          <w:rFonts w:ascii="Garamond" w:hAnsi="Garamond" w:cstheme="minorHAnsi"/>
        </w:rPr>
        <w:t xml:space="preserve"> evidence</w:t>
      </w:r>
      <w:r w:rsidR="001A75F5" w:rsidRPr="00973839">
        <w:rPr>
          <w:rFonts w:ascii="Garamond" w:hAnsi="Garamond" w:cstheme="minorHAnsi"/>
        </w:rPr>
        <w:t xml:space="preserve"> and</w:t>
      </w:r>
      <w:r w:rsidR="008E7FE1" w:rsidRPr="00973839">
        <w:rPr>
          <w:rFonts w:ascii="Garamond" w:hAnsi="Garamond" w:cstheme="minorHAnsi"/>
        </w:rPr>
        <w:t xml:space="preserve"> contrast this with rational ways of going </w:t>
      </w:r>
      <w:r w:rsidR="008E7FE1" w:rsidRPr="00973839">
        <w:rPr>
          <w:rFonts w:ascii="Garamond" w:hAnsi="Garamond" w:cstheme="minorHAnsi"/>
          <w:i/>
        </w:rPr>
        <w:t>against</w:t>
      </w:r>
      <w:r w:rsidR="008E7FE1" w:rsidRPr="00973839">
        <w:rPr>
          <w:rFonts w:ascii="Garamond" w:hAnsi="Garamond" w:cstheme="minorHAnsi"/>
        </w:rPr>
        <w:t xml:space="preserve"> evidence</w:t>
      </w:r>
      <w:r w:rsidR="001A75F5" w:rsidRPr="00973839">
        <w:rPr>
          <w:rFonts w:ascii="Garamond" w:hAnsi="Garamond" w:cstheme="minorHAnsi"/>
        </w:rPr>
        <w:t>. I then defend instances of having a moral demand to have faith, explore how this stands in tension with going beyond and against evidence,</w:t>
      </w:r>
      <w:r w:rsidR="008E7FE1" w:rsidRPr="00973839">
        <w:rPr>
          <w:rFonts w:ascii="Garamond" w:hAnsi="Garamond" w:cstheme="minorHAnsi"/>
        </w:rPr>
        <w:t xml:space="preserve"> and develop an</w:t>
      </w:r>
      <w:r w:rsidR="00314F70" w:rsidRPr="00973839">
        <w:rPr>
          <w:rFonts w:ascii="Garamond" w:hAnsi="Garamond" w:cstheme="minorHAnsi"/>
        </w:rPr>
        <w:t xml:space="preserve"> argument</w:t>
      </w:r>
      <w:r w:rsidR="008E7FE1" w:rsidRPr="00973839">
        <w:rPr>
          <w:rFonts w:ascii="Garamond" w:hAnsi="Garamond" w:cstheme="minorHAnsi"/>
        </w:rPr>
        <w:t xml:space="preserve"> </w:t>
      </w:r>
      <w:r w:rsidR="008619E6" w:rsidRPr="00973839">
        <w:rPr>
          <w:rFonts w:ascii="Garamond" w:hAnsi="Garamond" w:cstheme="minorHAnsi"/>
        </w:rPr>
        <w:t>for the claim</w:t>
      </w:r>
      <w:r w:rsidR="008E7FE1" w:rsidRPr="00973839">
        <w:rPr>
          <w:rFonts w:ascii="Garamond" w:hAnsi="Garamond" w:cstheme="minorHAnsi"/>
        </w:rPr>
        <w:t xml:space="preserve"> that faith </w:t>
      </w:r>
      <w:r w:rsidR="00314F70" w:rsidRPr="00973839">
        <w:rPr>
          <w:rFonts w:ascii="Garamond" w:hAnsi="Garamond" w:cstheme="minorHAnsi"/>
        </w:rPr>
        <w:t>involves a</w:t>
      </w:r>
      <w:r w:rsidR="008E7FE1" w:rsidRPr="00973839">
        <w:rPr>
          <w:rFonts w:ascii="Garamond" w:hAnsi="Garamond" w:cstheme="minorHAnsi"/>
        </w:rPr>
        <w:t xml:space="preserve"> dispos</w:t>
      </w:r>
      <w:r w:rsidR="00314F70" w:rsidRPr="00973839">
        <w:rPr>
          <w:rFonts w:ascii="Garamond" w:hAnsi="Garamond" w:cstheme="minorHAnsi"/>
        </w:rPr>
        <w:t>ition</w:t>
      </w:r>
      <w:r w:rsidR="008E7FE1" w:rsidRPr="00973839">
        <w:rPr>
          <w:rFonts w:ascii="Garamond" w:hAnsi="Garamond" w:cstheme="minorHAnsi"/>
        </w:rPr>
        <w:t xml:space="preserve"> to go against</w:t>
      </w:r>
      <w:r w:rsidR="008619E6" w:rsidRPr="00973839">
        <w:rPr>
          <w:rFonts w:ascii="Garamond" w:hAnsi="Garamond" w:cstheme="minorHAnsi"/>
        </w:rPr>
        <w:t>,</w:t>
      </w:r>
      <w:r w:rsidR="008E7FE1" w:rsidRPr="00973839">
        <w:rPr>
          <w:rFonts w:ascii="Garamond" w:hAnsi="Garamond" w:cstheme="minorHAnsi"/>
        </w:rPr>
        <w:t xml:space="preserve"> but not beyond evidence.</w:t>
      </w:r>
    </w:p>
    <w:p w14:paraId="2A9580DF" w14:textId="6621DB48" w:rsidR="00313E2A" w:rsidRPr="00973839" w:rsidRDefault="00313E2A" w:rsidP="00973839">
      <w:pPr>
        <w:jc w:val="both"/>
        <w:rPr>
          <w:rFonts w:ascii="Garamond" w:hAnsi="Garamond" w:cstheme="minorHAnsi"/>
        </w:rPr>
      </w:pPr>
    </w:p>
    <w:p w14:paraId="06E4FF43" w14:textId="46E4AE0C" w:rsidR="00313E2A" w:rsidRPr="00973839" w:rsidRDefault="00313E2A" w:rsidP="00973839">
      <w:pPr>
        <w:jc w:val="both"/>
        <w:rPr>
          <w:rFonts w:ascii="Garamond" w:hAnsi="Garamond" w:cstheme="minorHAnsi"/>
        </w:rPr>
      </w:pPr>
    </w:p>
    <w:p w14:paraId="156C7F31" w14:textId="35DD8BCA" w:rsidR="0074369E" w:rsidRPr="00AC56FB" w:rsidRDefault="0074369E" w:rsidP="00973839">
      <w:pPr>
        <w:pStyle w:val="Title"/>
        <w:spacing w:line="276" w:lineRule="auto"/>
        <w:rPr>
          <w:rFonts w:ascii="Garamond" w:hAnsi="Garamond" w:cstheme="minorHAnsi"/>
        </w:rPr>
      </w:pPr>
      <w:r w:rsidRPr="00AC56FB">
        <w:rPr>
          <w:rFonts w:ascii="Garamond" w:hAnsi="Garamond" w:cstheme="minorHAnsi"/>
        </w:rPr>
        <w:t>INTRODUCTION</w:t>
      </w:r>
    </w:p>
    <w:p w14:paraId="158807AE" w14:textId="02D926CA" w:rsidR="00907821" w:rsidRPr="00973839" w:rsidRDefault="002E16EF" w:rsidP="00973839">
      <w:pPr>
        <w:jc w:val="both"/>
        <w:rPr>
          <w:rFonts w:ascii="Garamond" w:hAnsi="Garamond" w:cstheme="minorHAnsi"/>
        </w:rPr>
      </w:pPr>
      <w:r w:rsidRPr="00973839">
        <w:rPr>
          <w:rFonts w:ascii="Garamond" w:hAnsi="Garamond" w:cstheme="minorHAnsi"/>
        </w:rPr>
        <w:t>P</w:t>
      </w:r>
      <w:r w:rsidR="002C2D1F" w:rsidRPr="00973839">
        <w:rPr>
          <w:rFonts w:ascii="Garamond" w:hAnsi="Garamond" w:cstheme="minorHAnsi"/>
        </w:rPr>
        <w:t xml:space="preserve">hilosophical </w:t>
      </w:r>
      <w:r w:rsidR="005C0527" w:rsidRPr="00973839">
        <w:rPr>
          <w:rFonts w:ascii="Garamond" w:hAnsi="Garamond" w:cstheme="minorHAnsi"/>
        </w:rPr>
        <w:t xml:space="preserve">work </w:t>
      </w:r>
      <w:r w:rsidR="00596A0E" w:rsidRPr="00973839">
        <w:rPr>
          <w:rFonts w:ascii="Garamond" w:hAnsi="Garamond" w:cstheme="minorHAnsi"/>
        </w:rPr>
        <w:t>i</w:t>
      </w:r>
      <w:r w:rsidR="005C0527" w:rsidRPr="00973839">
        <w:rPr>
          <w:rFonts w:ascii="Garamond" w:hAnsi="Garamond" w:cstheme="minorHAnsi"/>
        </w:rPr>
        <w:t>n</w:t>
      </w:r>
      <w:r w:rsidR="002C2D1F" w:rsidRPr="00973839">
        <w:rPr>
          <w:rFonts w:ascii="Garamond" w:hAnsi="Garamond" w:cstheme="minorHAnsi"/>
        </w:rPr>
        <w:t xml:space="preserve"> the </w:t>
      </w:r>
      <w:r w:rsidR="006C01C7" w:rsidRPr="00973839">
        <w:rPr>
          <w:rFonts w:ascii="Garamond" w:hAnsi="Garamond" w:cstheme="minorHAnsi"/>
        </w:rPr>
        <w:t>ethics and epistemology</w:t>
      </w:r>
      <w:r w:rsidR="002C2D1F" w:rsidRPr="00973839">
        <w:rPr>
          <w:rFonts w:ascii="Garamond" w:hAnsi="Garamond" w:cstheme="minorHAnsi"/>
        </w:rPr>
        <w:t xml:space="preserve"> of faith</w:t>
      </w:r>
      <w:r w:rsidRPr="00973839">
        <w:rPr>
          <w:rFonts w:ascii="Garamond" w:hAnsi="Garamond" w:cstheme="minorHAnsi"/>
        </w:rPr>
        <w:t xml:space="preserve"> has bloomed in the last few years, with major developments concerning the relationship between faith and cognate attitudes like belief and trust, the rationality and value of faith, and the function of faith and its place in mind</w:t>
      </w:r>
      <w:r w:rsidR="002C2D1F" w:rsidRPr="00973839">
        <w:rPr>
          <w:rFonts w:ascii="Garamond" w:hAnsi="Garamond" w:cstheme="minorHAnsi"/>
        </w:rPr>
        <w:t>.</w:t>
      </w:r>
      <w:r w:rsidRPr="00973839">
        <w:rPr>
          <w:rFonts w:ascii="Garamond" w:hAnsi="Garamond" w:cstheme="minorHAnsi"/>
        </w:rPr>
        <w:t xml:space="preserve"> Much of t</w:t>
      </w:r>
      <w:r w:rsidR="004E6CF3" w:rsidRPr="00973839">
        <w:rPr>
          <w:rFonts w:ascii="Garamond" w:hAnsi="Garamond" w:cstheme="minorHAnsi"/>
        </w:rPr>
        <w:t>his work provide</w:t>
      </w:r>
      <w:r w:rsidRPr="00973839">
        <w:rPr>
          <w:rFonts w:ascii="Garamond" w:hAnsi="Garamond" w:cstheme="minorHAnsi"/>
        </w:rPr>
        <w:t>s</w:t>
      </w:r>
      <w:r w:rsidR="004E6CF3" w:rsidRPr="00973839">
        <w:rPr>
          <w:rFonts w:ascii="Garamond" w:hAnsi="Garamond" w:cstheme="minorHAnsi"/>
        </w:rPr>
        <w:t xml:space="preserve"> new opportunities for evaluating the </w:t>
      </w:r>
      <w:r w:rsidRPr="00973839">
        <w:rPr>
          <w:rFonts w:ascii="Garamond" w:hAnsi="Garamond" w:cstheme="minorHAnsi"/>
        </w:rPr>
        <w:t xml:space="preserve">important </w:t>
      </w:r>
      <w:r w:rsidR="004E6CF3" w:rsidRPr="00973839">
        <w:rPr>
          <w:rFonts w:ascii="Garamond" w:hAnsi="Garamond" w:cstheme="minorHAnsi"/>
        </w:rPr>
        <w:t>relationship between faith and evidence. In this paper, I explore this relationship</w:t>
      </w:r>
      <w:r w:rsidR="00907821" w:rsidRPr="00973839">
        <w:rPr>
          <w:rFonts w:ascii="Garamond" w:hAnsi="Garamond" w:cstheme="minorHAnsi"/>
        </w:rPr>
        <w:t xml:space="preserve"> from the novel perspective of the moral demands that there are to have faith. In brief, I argue that there are moral demands to have faith in some circumstances, and explore where these demands reveal the compatibility, and the incompatibility, betwe</w:t>
      </w:r>
      <w:r w:rsidR="008619E6" w:rsidRPr="00973839">
        <w:rPr>
          <w:rFonts w:ascii="Garamond" w:hAnsi="Garamond" w:cstheme="minorHAnsi"/>
        </w:rPr>
        <w:t xml:space="preserve">en faith and various senses of </w:t>
      </w:r>
      <w:r w:rsidR="00907821" w:rsidRPr="00973839">
        <w:rPr>
          <w:rFonts w:ascii="Garamond" w:hAnsi="Garamond" w:cstheme="minorHAnsi"/>
          <w:i/>
        </w:rPr>
        <w:t>going beyond</w:t>
      </w:r>
      <w:r w:rsidR="008619E6" w:rsidRPr="00973839">
        <w:rPr>
          <w:rFonts w:ascii="Garamond" w:hAnsi="Garamond" w:cstheme="minorHAnsi"/>
        </w:rPr>
        <w:t>,</w:t>
      </w:r>
      <w:r w:rsidR="00907821" w:rsidRPr="00973839">
        <w:rPr>
          <w:rFonts w:ascii="Garamond" w:hAnsi="Garamond" w:cstheme="minorHAnsi"/>
        </w:rPr>
        <w:t xml:space="preserve"> and of </w:t>
      </w:r>
      <w:r w:rsidR="00907821" w:rsidRPr="00973839">
        <w:rPr>
          <w:rFonts w:ascii="Garamond" w:hAnsi="Garamond" w:cstheme="minorHAnsi"/>
          <w:i/>
        </w:rPr>
        <w:t>going against</w:t>
      </w:r>
      <w:r w:rsidR="008619E6" w:rsidRPr="00973839">
        <w:rPr>
          <w:rFonts w:ascii="Garamond" w:hAnsi="Garamond" w:cstheme="minorHAnsi"/>
        </w:rPr>
        <w:t>,</w:t>
      </w:r>
      <w:r w:rsidR="00907821" w:rsidRPr="00973839">
        <w:rPr>
          <w:rFonts w:ascii="Garamond" w:hAnsi="Garamond" w:cstheme="minorHAnsi"/>
        </w:rPr>
        <w:t xml:space="preserve"> one’s evidence. Although it is a debated issue in the literature, it is still popular to hold that faith requires going beyond evidence (FBE) i</w:t>
      </w:r>
      <w:r w:rsidR="00847B1F" w:rsidRPr="00973839">
        <w:rPr>
          <w:rFonts w:ascii="Garamond" w:hAnsi="Garamond" w:cstheme="minorHAnsi"/>
        </w:rPr>
        <w:t>n</w:t>
      </w:r>
      <w:r w:rsidR="00907821" w:rsidRPr="00973839">
        <w:rPr>
          <w:rFonts w:ascii="Garamond" w:hAnsi="Garamond" w:cstheme="minorHAnsi"/>
        </w:rPr>
        <w:t xml:space="preserve"> some sense.</w:t>
      </w:r>
      <w:r w:rsidR="00F53489" w:rsidRPr="00973839">
        <w:rPr>
          <w:rFonts w:ascii="Garamond" w:hAnsi="Garamond" w:cstheme="minorHAnsi"/>
          <w:sz w:val="20"/>
          <w:vertAlign w:val="superscript"/>
        </w:rPr>
        <w:footnoteReference w:id="1"/>
      </w:r>
      <w:r w:rsidR="00907821" w:rsidRPr="00973839">
        <w:rPr>
          <w:rFonts w:ascii="Garamond" w:hAnsi="Garamond" w:cstheme="minorHAnsi"/>
        </w:rPr>
        <w:t xml:space="preserve"> </w:t>
      </w:r>
      <w:r w:rsidR="00847B1F" w:rsidRPr="00973839">
        <w:rPr>
          <w:rFonts w:ascii="Garamond" w:hAnsi="Garamond" w:cstheme="minorHAnsi"/>
        </w:rPr>
        <w:t>In</w:t>
      </w:r>
      <w:r w:rsidR="00907821" w:rsidRPr="00973839">
        <w:rPr>
          <w:rFonts w:ascii="Garamond" w:hAnsi="Garamond" w:cstheme="minorHAnsi"/>
        </w:rPr>
        <w:t xml:space="preserve"> considering the role of the moral demand to have faith, this paper rejects FBE, </w:t>
      </w:r>
      <w:r w:rsidR="008619E6" w:rsidRPr="00973839">
        <w:rPr>
          <w:rFonts w:ascii="Garamond" w:hAnsi="Garamond" w:cstheme="minorHAnsi"/>
        </w:rPr>
        <w:t xml:space="preserve">proposing a similar, but weaker </w:t>
      </w:r>
      <w:r w:rsidRPr="00973839">
        <w:rPr>
          <w:rFonts w:ascii="Garamond" w:hAnsi="Garamond" w:cstheme="minorHAnsi"/>
        </w:rPr>
        <w:t>relationship between faith and evidence</w:t>
      </w:r>
      <w:r w:rsidR="00907821" w:rsidRPr="00973839">
        <w:rPr>
          <w:rFonts w:ascii="Garamond" w:hAnsi="Garamond" w:cstheme="minorHAnsi"/>
        </w:rPr>
        <w:t>.</w:t>
      </w:r>
    </w:p>
    <w:p w14:paraId="0C0DB44A" w14:textId="2236D8D3" w:rsidR="004E6CF3" w:rsidRPr="00973839" w:rsidRDefault="00907821" w:rsidP="00973839">
      <w:pPr>
        <w:ind w:firstLine="720"/>
        <w:jc w:val="both"/>
        <w:rPr>
          <w:rFonts w:ascii="Garamond" w:hAnsi="Garamond" w:cstheme="minorHAnsi"/>
        </w:rPr>
      </w:pPr>
      <w:r w:rsidRPr="00973839">
        <w:rPr>
          <w:rFonts w:ascii="Garamond" w:hAnsi="Garamond" w:cstheme="minorHAnsi"/>
        </w:rPr>
        <w:t>In service to defending the main argument of this paper, I produce a taxonomy (</w:t>
      </w:r>
      <w:r w:rsidR="00C71E3D" w:rsidRPr="00973839">
        <w:rPr>
          <w:rFonts w:ascii="Garamond" w:hAnsi="Garamond" w:cstheme="minorHAnsi"/>
        </w:rPr>
        <w:t xml:space="preserve">§2) of the different ways by which someone might go </w:t>
      </w:r>
      <w:r w:rsidR="00C71E3D" w:rsidRPr="00973839">
        <w:rPr>
          <w:rFonts w:ascii="Garamond" w:hAnsi="Garamond" w:cstheme="minorHAnsi"/>
          <w:i/>
        </w:rPr>
        <w:t>beyond</w:t>
      </w:r>
      <w:r w:rsidR="00C71E3D" w:rsidRPr="00973839">
        <w:rPr>
          <w:rFonts w:ascii="Garamond" w:hAnsi="Garamond" w:cstheme="minorHAnsi"/>
        </w:rPr>
        <w:t xml:space="preserve"> evidence, both in terms of belief and of action. As will be made clear, doxastic forms of going beyond the evidence are inherently unjustified. These are contrasted with going </w:t>
      </w:r>
      <w:r w:rsidR="00C71E3D" w:rsidRPr="00973839">
        <w:rPr>
          <w:rFonts w:ascii="Garamond" w:hAnsi="Garamond" w:cstheme="minorHAnsi"/>
          <w:i/>
        </w:rPr>
        <w:t>against</w:t>
      </w:r>
      <w:r w:rsidR="00C71E3D" w:rsidRPr="00973839">
        <w:rPr>
          <w:rFonts w:ascii="Garamond" w:hAnsi="Garamond" w:cstheme="minorHAnsi"/>
        </w:rPr>
        <w:t xml:space="preserve"> the evidence. This</w:t>
      </w:r>
      <w:r w:rsidR="000C264F" w:rsidRPr="00973839">
        <w:rPr>
          <w:rFonts w:ascii="Garamond" w:hAnsi="Garamond" w:cstheme="minorHAnsi"/>
        </w:rPr>
        <w:t xml:space="preserve"> notion</w:t>
      </w:r>
      <w:r w:rsidR="00C71E3D" w:rsidRPr="00973839">
        <w:rPr>
          <w:rFonts w:ascii="Garamond" w:hAnsi="Garamond" w:cstheme="minorHAnsi"/>
        </w:rPr>
        <w:t xml:space="preserve"> </w:t>
      </w:r>
      <w:r w:rsidR="000C264F" w:rsidRPr="00973839">
        <w:rPr>
          <w:rFonts w:ascii="Garamond" w:hAnsi="Garamond" w:cstheme="minorHAnsi"/>
        </w:rPr>
        <w:t xml:space="preserve">recognises tensions between a person’s actions or beliefs and the evidence one has for the truth of a </w:t>
      </w:r>
      <w:proofErr w:type="gramStart"/>
      <w:r w:rsidR="000C264F" w:rsidRPr="00973839">
        <w:rPr>
          <w:rFonts w:ascii="Garamond" w:hAnsi="Garamond" w:cstheme="minorHAnsi"/>
        </w:rPr>
        <w:t>proposition, but</w:t>
      </w:r>
      <w:proofErr w:type="gramEnd"/>
      <w:r w:rsidR="000C264F" w:rsidRPr="00973839">
        <w:rPr>
          <w:rFonts w:ascii="Garamond" w:hAnsi="Garamond" w:cstheme="minorHAnsi"/>
        </w:rPr>
        <w:t xml:space="preserve"> shows why such tensions are not inherently irrational.</w:t>
      </w:r>
      <w:r w:rsidR="002E16EF" w:rsidRPr="00973839">
        <w:rPr>
          <w:rFonts w:ascii="Garamond" w:hAnsi="Garamond" w:cstheme="minorHAnsi"/>
        </w:rPr>
        <w:t xml:space="preserve"> The distinction between the two notions, then, is a distinction of rationality.</w:t>
      </w:r>
    </w:p>
    <w:p w14:paraId="446FFA02" w14:textId="5A4D5D89" w:rsidR="00C103AF" w:rsidRPr="00973839" w:rsidRDefault="000C264F" w:rsidP="00973839">
      <w:pPr>
        <w:jc w:val="both"/>
        <w:rPr>
          <w:rFonts w:ascii="Garamond" w:hAnsi="Garamond" w:cstheme="minorHAnsi"/>
        </w:rPr>
      </w:pPr>
      <w:r w:rsidRPr="00973839">
        <w:rPr>
          <w:rFonts w:ascii="Garamond" w:hAnsi="Garamond" w:cstheme="minorHAnsi"/>
        </w:rPr>
        <w:lastRenderedPageBreak/>
        <w:tab/>
        <w:t>With an account in hand of what it is to go beyond and to go against the evidence, I then explore (in §3) the moral demands to have</w:t>
      </w:r>
      <w:r w:rsidR="008619E6" w:rsidRPr="00973839">
        <w:rPr>
          <w:rFonts w:ascii="Garamond" w:hAnsi="Garamond" w:cstheme="minorHAnsi"/>
        </w:rPr>
        <w:t xml:space="preserve"> faith</w:t>
      </w:r>
      <w:r w:rsidRPr="00973839">
        <w:rPr>
          <w:rFonts w:ascii="Garamond" w:hAnsi="Garamond" w:cstheme="minorHAnsi"/>
        </w:rPr>
        <w:t>, and where faith is compatible or incompatible with going beyond or against evidence.</w:t>
      </w:r>
      <w:r w:rsidR="00A66316" w:rsidRPr="00973839">
        <w:rPr>
          <w:rFonts w:ascii="Garamond" w:hAnsi="Garamond" w:cstheme="minorHAnsi"/>
        </w:rPr>
        <w:t xml:space="preserve"> Recent work on faith has</w:t>
      </w:r>
      <w:r w:rsidR="002C2D1F" w:rsidRPr="00973839">
        <w:rPr>
          <w:rFonts w:ascii="Garamond" w:hAnsi="Garamond" w:cstheme="minorHAnsi"/>
        </w:rPr>
        <w:t xml:space="preserve"> </w:t>
      </w:r>
      <w:r w:rsidR="00A66316" w:rsidRPr="00973839">
        <w:rPr>
          <w:rFonts w:ascii="Garamond" w:hAnsi="Garamond" w:cstheme="minorHAnsi"/>
        </w:rPr>
        <w:t>shown how faith occupies an</w:t>
      </w:r>
      <w:r w:rsidR="002C2D1F" w:rsidRPr="00973839">
        <w:rPr>
          <w:rFonts w:ascii="Garamond" w:hAnsi="Garamond" w:cstheme="minorHAnsi"/>
        </w:rPr>
        <w:t xml:space="preserve"> integral role in</w:t>
      </w:r>
      <w:r w:rsidR="006C01C7" w:rsidRPr="00973839">
        <w:rPr>
          <w:rFonts w:ascii="Garamond" w:hAnsi="Garamond" w:cstheme="minorHAnsi"/>
        </w:rPr>
        <w:t xml:space="preserve"> certain ethical areas of our lives</w:t>
      </w:r>
      <w:r w:rsidR="00596A0E" w:rsidRPr="00973839">
        <w:rPr>
          <w:rFonts w:ascii="Garamond" w:hAnsi="Garamond" w:cstheme="minorHAnsi"/>
        </w:rPr>
        <w:t xml:space="preserve">. For instance, faith is seen as essential </w:t>
      </w:r>
      <w:r w:rsidR="002E16EF" w:rsidRPr="00973839">
        <w:rPr>
          <w:rFonts w:ascii="Garamond" w:hAnsi="Garamond" w:cstheme="minorHAnsi"/>
        </w:rPr>
        <w:t>to</w:t>
      </w:r>
      <w:r w:rsidR="002C2D1F" w:rsidRPr="00973839">
        <w:rPr>
          <w:rFonts w:ascii="Garamond" w:hAnsi="Garamond" w:cstheme="minorHAnsi"/>
        </w:rPr>
        <w:t xml:space="preserve"> our social interactions (Preston-</w:t>
      </w:r>
      <w:proofErr w:type="spellStart"/>
      <w:r w:rsidR="002C2D1F" w:rsidRPr="00973839">
        <w:rPr>
          <w:rFonts w:ascii="Garamond" w:hAnsi="Garamond" w:cstheme="minorHAnsi"/>
        </w:rPr>
        <w:t>Roedder</w:t>
      </w:r>
      <w:proofErr w:type="spellEnd"/>
      <w:r w:rsidR="002C2D1F" w:rsidRPr="00973839">
        <w:rPr>
          <w:rFonts w:ascii="Garamond" w:hAnsi="Garamond" w:cstheme="minorHAnsi"/>
        </w:rPr>
        <w:t xml:space="preserve"> 2013), in our commitments to</w:t>
      </w:r>
      <w:r w:rsidR="00596A0E" w:rsidRPr="00973839">
        <w:rPr>
          <w:rFonts w:ascii="Garamond" w:hAnsi="Garamond" w:cstheme="minorHAnsi"/>
        </w:rPr>
        <w:t xml:space="preserve"> each other and in the</w:t>
      </w:r>
      <w:r w:rsidR="002C2D1F" w:rsidRPr="00973839">
        <w:rPr>
          <w:rFonts w:ascii="Garamond" w:hAnsi="Garamond" w:cstheme="minorHAnsi"/>
        </w:rPr>
        <w:t xml:space="preserve"> pursu</w:t>
      </w:r>
      <w:r w:rsidR="00596A0E" w:rsidRPr="00973839">
        <w:rPr>
          <w:rFonts w:ascii="Garamond" w:hAnsi="Garamond" w:cstheme="minorHAnsi"/>
        </w:rPr>
        <w:t>it of</w:t>
      </w:r>
      <w:r w:rsidR="002C2D1F" w:rsidRPr="00973839">
        <w:rPr>
          <w:rFonts w:ascii="Garamond" w:hAnsi="Garamond" w:cstheme="minorHAnsi"/>
        </w:rPr>
        <w:t xml:space="preserve"> </w:t>
      </w:r>
      <w:r w:rsidR="002E16EF" w:rsidRPr="00973839">
        <w:rPr>
          <w:rFonts w:ascii="Garamond" w:hAnsi="Garamond" w:cstheme="minorHAnsi"/>
        </w:rPr>
        <w:t xml:space="preserve">important </w:t>
      </w:r>
      <w:r w:rsidR="002C2D1F" w:rsidRPr="00973839">
        <w:rPr>
          <w:rFonts w:ascii="Garamond" w:hAnsi="Garamond" w:cstheme="minorHAnsi"/>
        </w:rPr>
        <w:t>goals (</w:t>
      </w:r>
      <w:proofErr w:type="spellStart"/>
      <w:r w:rsidR="002C2D1F" w:rsidRPr="00973839">
        <w:rPr>
          <w:rFonts w:ascii="Garamond" w:hAnsi="Garamond" w:cstheme="minorHAnsi"/>
        </w:rPr>
        <w:t>Kvanvig</w:t>
      </w:r>
      <w:proofErr w:type="spellEnd"/>
      <w:r w:rsidR="002C2D1F" w:rsidRPr="00973839">
        <w:rPr>
          <w:rFonts w:ascii="Garamond" w:hAnsi="Garamond" w:cstheme="minorHAnsi"/>
        </w:rPr>
        <w:t xml:space="preserve"> 2013), and in our remaining </w:t>
      </w:r>
      <w:r w:rsidR="00596A0E" w:rsidRPr="00973839">
        <w:rPr>
          <w:rFonts w:ascii="Garamond" w:hAnsi="Garamond" w:cstheme="minorHAnsi"/>
        </w:rPr>
        <w:t xml:space="preserve">allegiant </w:t>
      </w:r>
      <w:r w:rsidR="002C2D1F" w:rsidRPr="00973839">
        <w:rPr>
          <w:rFonts w:ascii="Garamond" w:hAnsi="Garamond" w:cstheme="minorHAnsi"/>
        </w:rPr>
        <w:t>to others and to our plans when we</w:t>
      </w:r>
      <w:r w:rsidR="00687E58" w:rsidRPr="00973839">
        <w:rPr>
          <w:rFonts w:ascii="Garamond" w:hAnsi="Garamond" w:cstheme="minorHAnsi"/>
        </w:rPr>
        <w:t>’</w:t>
      </w:r>
      <w:r w:rsidR="002C2D1F" w:rsidRPr="00973839">
        <w:rPr>
          <w:rFonts w:ascii="Garamond" w:hAnsi="Garamond" w:cstheme="minorHAnsi"/>
        </w:rPr>
        <w:t>re faced with</w:t>
      </w:r>
      <w:r w:rsidR="00596A0E" w:rsidRPr="00973839">
        <w:rPr>
          <w:rFonts w:ascii="Garamond" w:hAnsi="Garamond" w:cstheme="minorHAnsi"/>
        </w:rPr>
        <w:t xml:space="preserve"> practical and evidential</w:t>
      </w:r>
      <w:r w:rsidR="002C2D1F" w:rsidRPr="00973839">
        <w:rPr>
          <w:rFonts w:ascii="Garamond" w:hAnsi="Garamond" w:cstheme="minorHAnsi"/>
        </w:rPr>
        <w:t xml:space="preserve"> challenges and set-backs (</w:t>
      </w:r>
      <w:proofErr w:type="spellStart"/>
      <w:r w:rsidR="002C2D1F" w:rsidRPr="00973839">
        <w:rPr>
          <w:rFonts w:ascii="Garamond" w:hAnsi="Garamond" w:cstheme="minorHAnsi"/>
        </w:rPr>
        <w:t>Buchak</w:t>
      </w:r>
      <w:proofErr w:type="spellEnd"/>
      <w:r w:rsidR="002C2D1F" w:rsidRPr="00973839">
        <w:rPr>
          <w:rFonts w:ascii="Garamond" w:hAnsi="Garamond" w:cstheme="minorHAnsi"/>
        </w:rPr>
        <w:t xml:space="preserve"> 2017). </w:t>
      </w:r>
    </w:p>
    <w:p w14:paraId="28580F7A" w14:textId="4F3376C5" w:rsidR="006C01C7" w:rsidRPr="00973839" w:rsidRDefault="00A66316" w:rsidP="00973839">
      <w:pPr>
        <w:ind w:firstLine="720"/>
        <w:jc w:val="both"/>
        <w:rPr>
          <w:rFonts w:ascii="Garamond" w:hAnsi="Garamond" w:cstheme="minorHAnsi"/>
        </w:rPr>
      </w:pPr>
      <w:r w:rsidRPr="00973839">
        <w:rPr>
          <w:rFonts w:ascii="Garamond" w:hAnsi="Garamond" w:cstheme="minorHAnsi"/>
        </w:rPr>
        <w:t>Building on this work helps us to see where there are moral demands to have faith. As I will show, though, these moral demands stand in tension with going beyond the evidence. I argue that these demands reveal that when faith involves belief, it is incompatible with going beyond the evidence, but not with going against the evidence.</w:t>
      </w:r>
      <w:r w:rsidR="00C103AF" w:rsidRPr="00973839">
        <w:rPr>
          <w:rFonts w:ascii="Garamond" w:hAnsi="Garamond" w:cstheme="minorHAnsi"/>
        </w:rPr>
        <w:t xml:space="preserve"> Moreover, when faith</w:t>
      </w:r>
      <w:r w:rsidR="002E16EF" w:rsidRPr="00973839">
        <w:rPr>
          <w:rFonts w:ascii="Garamond" w:hAnsi="Garamond" w:cstheme="minorHAnsi"/>
        </w:rPr>
        <w:t xml:space="preserve"> is</w:t>
      </w:r>
      <w:r w:rsidR="00C103AF" w:rsidRPr="00973839">
        <w:rPr>
          <w:rFonts w:ascii="Garamond" w:hAnsi="Garamond" w:cstheme="minorHAnsi"/>
        </w:rPr>
        <w:t xml:space="preserve"> not a matter of belief but of acceptance, there are certain cases where we entirely lack any moral demand to have faith. Hence, we can use the taxonomy from §2 to demarcate where the limits are on faith’s moral demands.</w:t>
      </w:r>
      <w:r w:rsidR="00A20952" w:rsidRPr="00973839">
        <w:rPr>
          <w:rFonts w:ascii="Garamond" w:hAnsi="Garamond" w:cstheme="minorHAnsi"/>
        </w:rPr>
        <w:t xml:space="preserve"> </w:t>
      </w:r>
    </w:p>
    <w:p w14:paraId="4D2AD4C9" w14:textId="0BBA468B" w:rsidR="00175FD5" w:rsidRPr="00973839" w:rsidRDefault="006D2A57" w:rsidP="00973839">
      <w:pPr>
        <w:jc w:val="both"/>
        <w:rPr>
          <w:rFonts w:ascii="Garamond" w:hAnsi="Garamond" w:cstheme="minorHAnsi"/>
        </w:rPr>
      </w:pPr>
      <w:r w:rsidRPr="00973839">
        <w:rPr>
          <w:rFonts w:ascii="Garamond" w:hAnsi="Garamond" w:cstheme="minorHAnsi"/>
        </w:rPr>
        <w:tab/>
      </w:r>
      <w:r w:rsidR="00764ABF" w:rsidRPr="00973839">
        <w:rPr>
          <w:rFonts w:ascii="Garamond" w:hAnsi="Garamond" w:cstheme="minorHAnsi"/>
        </w:rPr>
        <w:t xml:space="preserve">In the final section (§4) I </w:t>
      </w:r>
      <w:r w:rsidR="004C4FA4" w:rsidRPr="00973839">
        <w:rPr>
          <w:rFonts w:ascii="Garamond" w:hAnsi="Garamond" w:cstheme="minorHAnsi"/>
        </w:rPr>
        <w:t xml:space="preserve">develop and consider an argument for FBE. It is widely held in recent literature that faith requires a disposition to be resilient in the face of counter-evidence. I show how that </w:t>
      </w:r>
      <w:r w:rsidR="008C4CA6" w:rsidRPr="00973839">
        <w:rPr>
          <w:rFonts w:ascii="Garamond" w:hAnsi="Garamond" w:cstheme="minorHAnsi"/>
        </w:rPr>
        <w:t>claim</w:t>
      </w:r>
      <w:r w:rsidR="004C4FA4" w:rsidRPr="00973839">
        <w:rPr>
          <w:rFonts w:ascii="Garamond" w:hAnsi="Garamond" w:cstheme="minorHAnsi"/>
        </w:rPr>
        <w:t xml:space="preserve"> does not establish </w:t>
      </w:r>
      <w:proofErr w:type="gramStart"/>
      <w:r w:rsidR="004C4FA4" w:rsidRPr="00973839">
        <w:rPr>
          <w:rFonts w:ascii="Garamond" w:hAnsi="Garamond" w:cstheme="minorHAnsi"/>
        </w:rPr>
        <w:t>FBE, but</w:t>
      </w:r>
      <w:proofErr w:type="gramEnd"/>
      <w:r w:rsidR="004C4FA4" w:rsidRPr="00973839">
        <w:rPr>
          <w:rFonts w:ascii="Garamond" w:hAnsi="Garamond" w:cstheme="minorHAnsi"/>
        </w:rPr>
        <w:t xml:space="preserve"> does lead to the view that someone with faith is disposed to go against the evidence. Moreover, that the moral reasons there often are to have faith show that faith is still rational, even when it </w:t>
      </w:r>
      <w:r w:rsidR="007A3978" w:rsidRPr="00973839">
        <w:rPr>
          <w:rFonts w:ascii="Garamond" w:hAnsi="Garamond" w:cstheme="minorHAnsi"/>
        </w:rPr>
        <w:t xml:space="preserve">does </w:t>
      </w:r>
      <w:r w:rsidR="004C4FA4" w:rsidRPr="00973839">
        <w:rPr>
          <w:rFonts w:ascii="Garamond" w:hAnsi="Garamond" w:cstheme="minorHAnsi"/>
        </w:rPr>
        <w:t>go against the evidence.</w:t>
      </w:r>
    </w:p>
    <w:p w14:paraId="0FD83F9B" w14:textId="6146E9FE" w:rsidR="0074369E" w:rsidRPr="00973839" w:rsidRDefault="0074369E" w:rsidP="00973839">
      <w:pPr>
        <w:jc w:val="both"/>
        <w:rPr>
          <w:rFonts w:ascii="Garamond" w:hAnsi="Garamond" w:cstheme="minorHAnsi"/>
        </w:rPr>
      </w:pPr>
    </w:p>
    <w:p w14:paraId="648D225F" w14:textId="33ADD237" w:rsidR="0074369E" w:rsidRPr="00AC56FB" w:rsidRDefault="00974701" w:rsidP="00973839">
      <w:pPr>
        <w:pStyle w:val="Title"/>
        <w:spacing w:line="276" w:lineRule="auto"/>
        <w:rPr>
          <w:rFonts w:ascii="Garamond" w:hAnsi="Garamond" w:cstheme="minorHAnsi"/>
        </w:rPr>
      </w:pPr>
      <w:r w:rsidRPr="00AC56FB">
        <w:rPr>
          <w:rFonts w:ascii="Garamond" w:hAnsi="Garamond" w:cstheme="minorHAnsi"/>
        </w:rPr>
        <w:t>GOING BEYOND</w:t>
      </w:r>
      <w:r w:rsidR="00BA0399" w:rsidRPr="00AC56FB">
        <w:rPr>
          <w:rFonts w:ascii="Garamond" w:hAnsi="Garamond" w:cstheme="minorHAnsi"/>
        </w:rPr>
        <w:t xml:space="preserve"> &amp; GOING AGAINST</w:t>
      </w:r>
      <w:r w:rsidRPr="00AC56FB">
        <w:rPr>
          <w:rFonts w:ascii="Garamond" w:hAnsi="Garamond" w:cstheme="minorHAnsi"/>
        </w:rPr>
        <w:t xml:space="preserve"> THE EVIDENCE</w:t>
      </w:r>
    </w:p>
    <w:p w14:paraId="4C60BC51" w14:textId="6554F0BE" w:rsidR="00A13042" w:rsidRPr="00973839" w:rsidRDefault="00FF49C4" w:rsidP="00973839">
      <w:pPr>
        <w:jc w:val="both"/>
        <w:rPr>
          <w:rFonts w:ascii="Garamond" w:hAnsi="Garamond" w:cstheme="minorHAnsi"/>
        </w:rPr>
      </w:pPr>
      <w:r w:rsidRPr="00973839">
        <w:rPr>
          <w:rFonts w:ascii="Garamond" w:hAnsi="Garamond" w:cstheme="minorHAnsi"/>
        </w:rPr>
        <w:t>‘Going beyond</w:t>
      </w:r>
      <w:r w:rsidR="00646BB1" w:rsidRPr="00973839">
        <w:rPr>
          <w:rFonts w:ascii="Garamond" w:hAnsi="Garamond" w:cstheme="minorHAnsi"/>
        </w:rPr>
        <w:t xml:space="preserve"> the</w:t>
      </w:r>
      <w:r w:rsidRPr="00973839">
        <w:rPr>
          <w:rFonts w:ascii="Garamond" w:hAnsi="Garamond" w:cstheme="minorHAnsi"/>
        </w:rPr>
        <w:t xml:space="preserve"> evidence’</w:t>
      </w:r>
      <w:r w:rsidR="00EE7936" w:rsidRPr="00973839">
        <w:rPr>
          <w:rFonts w:ascii="Garamond" w:hAnsi="Garamond" w:cstheme="minorHAnsi"/>
        </w:rPr>
        <w:t xml:space="preserve"> and ‘going against the evidence’ are</w:t>
      </w:r>
      <w:r w:rsidRPr="00973839">
        <w:rPr>
          <w:rFonts w:ascii="Garamond" w:hAnsi="Garamond" w:cstheme="minorHAnsi"/>
        </w:rPr>
        <w:t xml:space="preserve"> metaphorical expression</w:t>
      </w:r>
      <w:r w:rsidR="00EE7936" w:rsidRPr="00973839">
        <w:rPr>
          <w:rFonts w:ascii="Garamond" w:hAnsi="Garamond" w:cstheme="minorHAnsi"/>
        </w:rPr>
        <w:t>s</w:t>
      </w:r>
      <w:r w:rsidRPr="00973839">
        <w:rPr>
          <w:rFonts w:ascii="Garamond" w:hAnsi="Garamond" w:cstheme="minorHAnsi"/>
        </w:rPr>
        <w:t xml:space="preserve">. </w:t>
      </w:r>
      <w:r w:rsidR="00BD3C1A" w:rsidRPr="00973839">
        <w:rPr>
          <w:rFonts w:ascii="Garamond" w:hAnsi="Garamond" w:cstheme="minorHAnsi"/>
        </w:rPr>
        <w:t>How should we understand</w:t>
      </w:r>
      <w:r w:rsidRPr="00973839">
        <w:rPr>
          <w:rFonts w:ascii="Garamond" w:hAnsi="Garamond" w:cstheme="minorHAnsi"/>
        </w:rPr>
        <w:t xml:space="preserve"> </w:t>
      </w:r>
      <w:r w:rsidR="00F4115A" w:rsidRPr="00973839">
        <w:rPr>
          <w:rFonts w:ascii="Garamond" w:hAnsi="Garamond" w:cstheme="minorHAnsi"/>
        </w:rPr>
        <w:t>them</w:t>
      </w:r>
      <w:r w:rsidRPr="00973839">
        <w:rPr>
          <w:rFonts w:ascii="Garamond" w:hAnsi="Garamond" w:cstheme="minorHAnsi"/>
        </w:rPr>
        <w:t xml:space="preserve">? </w:t>
      </w:r>
      <w:r w:rsidR="00607827" w:rsidRPr="00973839">
        <w:rPr>
          <w:rFonts w:ascii="Garamond" w:hAnsi="Garamond" w:cstheme="minorHAnsi"/>
        </w:rPr>
        <w:t>I propose that there are</w:t>
      </w:r>
      <w:r w:rsidR="00A13EF5" w:rsidRPr="00973839">
        <w:rPr>
          <w:rFonts w:ascii="Garamond" w:hAnsi="Garamond" w:cstheme="minorHAnsi"/>
        </w:rPr>
        <w:t xml:space="preserve"> two main</w:t>
      </w:r>
      <w:r w:rsidR="00E51FD4" w:rsidRPr="00973839">
        <w:rPr>
          <w:rFonts w:ascii="Garamond" w:hAnsi="Garamond" w:cstheme="minorHAnsi"/>
        </w:rPr>
        <w:t xml:space="preserve"> identifiable</w:t>
      </w:r>
      <w:r w:rsidR="00A13EF5" w:rsidRPr="00973839">
        <w:rPr>
          <w:rFonts w:ascii="Garamond" w:hAnsi="Garamond" w:cstheme="minorHAnsi"/>
        </w:rPr>
        <w:t xml:space="preserve"> varieties</w:t>
      </w:r>
      <w:r w:rsidRPr="00973839">
        <w:rPr>
          <w:rFonts w:ascii="Garamond" w:hAnsi="Garamond" w:cstheme="minorHAnsi"/>
        </w:rPr>
        <w:t xml:space="preserve"> of going beyond</w:t>
      </w:r>
      <w:r w:rsidR="00F4115A" w:rsidRPr="00973839">
        <w:rPr>
          <w:rFonts w:ascii="Garamond" w:hAnsi="Garamond" w:cstheme="minorHAnsi"/>
        </w:rPr>
        <w:t xml:space="preserve"> or against</w:t>
      </w:r>
      <w:r w:rsidRPr="00973839">
        <w:rPr>
          <w:rFonts w:ascii="Garamond" w:hAnsi="Garamond" w:cstheme="minorHAnsi"/>
        </w:rPr>
        <w:t xml:space="preserve"> evidence</w:t>
      </w:r>
      <w:r w:rsidR="00E51FD4" w:rsidRPr="00973839">
        <w:rPr>
          <w:rFonts w:ascii="Garamond" w:hAnsi="Garamond" w:cstheme="minorHAnsi"/>
        </w:rPr>
        <w:t>: first,</w:t>
      </w:r>
      <w:r w:rsidR="00A13EF5" w:rsidRPr="00973839">
        <w:rPr>
          <w:rFonts w:ascii="Garamond" w:hAnsi="Garamond" w:cstheme="minorHAnsi"/>
        </w:rPr>
        <w:t xml:space="preserve"> in terms of </w:t>
      </w:r>
      <w:r w:rsidR="00A13EF5" w:rsidRPr="00973839">
        <w:rPr>
          <w:rFonts w:ascii="Garamond" w:hAnsi="Garamond" w:cstheme="minorHAnsi"/>
          <w:i/>
        </w:rPr>
        <w:t>belief</w:t>
      </w:r>
      <w:r w:rsidR="00E51FD4" w:rsidRPr="00973839">
        <w:rPr>
          <w:rFonts w:ascii="Garamond" w:hAnsi="Garamond" w:cstheme="minorHAnsi"/>
        </w:rPr>
        <w:t>,</w:t>
      </w:r>
      <w:r w:rsidR="00A13EF5" w:rsidRPr="00973839">
        <w:rPr>
          <w:rFonts w:ascii="Garamond" w:hAnsi="Garamond" w:cstheme="minorHAnsi"/>
        </w:rPr>
        <w:t xml:space="preserve"> and</w:t>
      </w:r>
      <w:r w:rsidR="00E51FD4" w:rsidRPr="00973839">
        <w:rPr>
          <w:rFonts w:ascii="Garamond" w:hAnsi="Garamond" w:cstheme="minorHAnsi"/>
        </w:rPr>
        <w:t xml:space="preserve"> second,</w:t>
      </w:r>
      <w:r w:rsidR="00A13EF5" w:rsidRPr="00973839">
        <w:rPr>
          <w:rFonts w:ascii="Garamond" w:hAnsi="Garamond" w:cstheme="minorHAnsi"/>
        </w:rPr>
        <w:t xml:space="preserve"> in terms of </w:t>
      </w:r>
      <w:r w:rsidR="00A13EF5" w:rsidRPr="00973839">
        <w:rPr>
          <w:rFonts w:ascii="Garamond" w:hAnsi="Garamond" w:cstheme="minorHAnsi"/>
          <w:i/>
        </w:rPr>
        <w:t>action</w:t>
      </w:r>
      <w:r w:rsidR="001975D2" w:rsidRPr="00973839">
        <w:rPr>
          <w:rFonts w:ascii="Garamond" w:hAnsi="Garamond" w:cstheme="minorHAnsi"/>
        </w:rPr>
        <w:t>,</w:t>
      </w:r>
      <w:r w:rsidR="00A13EF5" w:rsidRPr="00973839">
        <w:rPr>
          <w:rFonts w:ascii="Garamond" w:hAnsi="Garamond" w:cstheme="minorHAnsi"/>
        </w:rPr>
        <w:t xml:space="preserve"> where there are</w:t>
      </w:r>
      <w:r w:rsidR="00607827" w:rsidRPr="00973839">
        <w:rPr>
          <w:rFonts w:ascii="Garamond" w:hAnsi="Garamond" w:cstheme="minorHAnsi"/>
        </w:rPr>
        <w:t xml:space="preserve"> at least </w:t>
      </w:r>
      <w:r w:rsidR="00A13EF5" w:rsidRPr="00973839">
        <w:rPr>
          <w:rFonts w:ascii="Garamond" w:hAnsi="Garamond" w:cstheme="minorHAnsi"/>
        </w:rPr>
        <w:t>three</w:t>
      </w:r>
      <w:r w:rsidR="00607827" w:rsidRPr="00973839">
        <w:rPr>
          <w:rFonts w:ascii="Garamond" w:hAnsi="Garamond" w:cstheme="minorHAnsi"/>
        </w:rPr>
        <w:t xml:space="preserve"> clear </w:t>
      </w:r>
      <w:r w:rsidR="00A13EF5" w:rsidRPr="00973839">
        <w:rPr>
          <w:rFonts w:ascii="Garamond" w:hAnsi="Garamond" w:cstheme="minorHAnsi"/>
        </w:rPr>
        <w:t>instances</w:t>
      </w:r>
      <w:r w:rsidR="00607827" w:rsidRPr="00973839">
        <w:rPr>
          <w:rFonts w:ascii="Garamond" w:hAnsi="Garamond" w:cstheme="minorHAnsi"/>
        </w:rPr>
        <w:t xml:space="preserve"> of going beyond the evidence</w:t>
      </w:r>
      <w:r w:rsidR="00A13EF5" w:rsidRPr="00973839">
        <w:rPr>
          <w:rFonts w:ascii="Garamond" w:hAnsi="Garamond" w:cstheme="minorHAnsi"/>
        </w:rPr>
        <w:t xml:space="preserve"> in terms of belief</w:t>
      </w:r>
      <w:r w:rsidR="00607827" w:rsidRPr="00973839">
        <w:rPr>
          <w:rFonts w:ascii="Garamond" w:hAnsi="Garamond" w:cstheme="minorHAnsi"/>
        </w:rPr>
        <w:t>, and</w:t>
      </w:r>
      <w:r w:rsidR="00A13EF5" w:rsidRPr="00973839">
        <w:rPr>
          <w:rFonts w:ascii="Garamond" w:hAnsi="Garamond" w:cstheme="minorHAnsi"/>
        </w:rPr>
        <w:t xml:space="preserve"> two clear varieties in terms of action.</w:t>
      </w:r>
      <w:r w:rsidR="00707949" w:rsidRPr="00973839">
        <w:rPr>
          <w:rFonts w:ascii="Garamond" w:hAnsi="Garamond" w:cstheme="minorHAnsi"/>
        </w:rPr>
        <w:t xml:space="preserve"> </w:t>
      </w:r>
      <w:r w:rsidR="00F4115A" w:rsidRPr="00973839">
        <w:rPr>
          <w:rFonts w:ascii="Garamond" w:hAnsi="Garamond" w:cstheme="minorHAnsi"/>
        </w:rPr>
        <w:t xml:space="preserve">§2.1 and §2.2 </w:t>
      </w:r>
      <w:r w:rsidR="00607827" w:rsidRPr="00973839">
        <w:rPr>
          <w:rFonts w:ascii="Garamond" w:hAnsi="Garamond" w:cstheme="minorHAnsi"/>
        </w:rPr>
        <w:t xml:space="preserve">offer </w:t>
      </w:r>
      <w:r w:rsidR="00E51FD4" w:rsidRPr="00973839">
        <w:rPr>
          <w:rFonts w:ascii="Garamond" w:hAnsi="Garamond" w:cstheme="minorHAnsi"/>
        </w:rPr>
        <w:t xml:space="preserve">a taxonomy </w:t>
      </w:r>
      <w:r w:rsidRPr="00973839">
        <w:rPr>
          <w:rFonts w:ascii="Garamond" w:hAnsi="Garamond" w:cstheme="minorHAnsi"/>
        </w:rPr>
        <w:t xml:space="preserve">of these </w:t>
      </w:r>
      <w:r w:rsidR="00707949" w:rsidRPr="00973839">
        <w:rPr>
          <w:rFonts w:ascii="Garamond" w:hAnsi="Garamond" w:cstheme="minorHAnsi"/>
        </w:rPr>
        <w:t>notions</w:t>
      </w:r>
      <w:r w:rsidR="00F4115A" w:rsidRPr="00973839">
        <w:rPr>
          <w:rFonts w:ascii="Garamond" w:hAnsi="Garamond" w:cstheme="minorHAnsi"/>
        </w:rPr>
        <w:t xml:space="preserve"> </w:t>
      </w:r>
      <w:r w:rsidR="008619E6" w:rsidRPr="00973839">
        <w:rPr>
          <w:rFonts w:ascii="Garamond" w:hAnsi="Garamond" w:cstheme="minorHAnsi"/>
        </w:rPr>
        <w:t>of</w:t>
      </w:r>
      <w:r w:rsidR="00F4115A" w:rsidRPr="00973839">
        <w:rPr>
          <w:rFonts w:ascii="Garamond" w:hAnsi="Garamond" w:cstheme="minorHAnsi"/>
        </w:rPr>
        <w:t xml:space="preserve"> going beyond evidence</w:t>
      </w:r>
      <w:r w:rsidR="00607827" w:rsidRPr="00973839">
        <w:rPr>
          <w:rFonts w:ascii="Garamond" w:hAnsi="Garamond" w:cstheme="minorHAnsi"/>
        </w:rPr>
        <w:t>.</w:t>
      </w:r>
      <w:r w:rsidR="00F4115A" w:rsidRPr="00973839">
        <w:rPr>
          <w:rFonts w:ascii="Garamond" w:hAnsi="Garamond" w:cstheme="minorHAnsi"/>
        </w:rPr>
        <w:t xml:space="preserve"> §2.3</w:t>
      </w:r>
      <w:r w:rsidR="00A13042" w:rsidRPr="00973839">
        <w:rPr>
          <w:rFonts w:ascii="Garamond" w:hAnsi="Garamond" w:cstheme="minorHAnsi"/>
        </w:rPr>
        <w:t xml:space="preserve"> </w:t>
      </w:r>
      <w:r w:rsidR="00F4115A" w:rsidRPr="00973839">
        <w:rPr>
          <w:rFonts w:ascii="Garamond" w:hAnsi="Garamond" w:cstheme="minorHAnsi"/>
        </w:rPr>
        <w:t>discusse</w:t>
      </w:r>
      <w:r w:rsidR="00835C9E" w:rsidRPr="00973839">
        <w:rPr>
          <w:rFonts w:ascii="Garamond" w:hAnsi="Garamond" w:cstheme="minorHAnsi"/>
        </w:rPr>
        <w:t>s</w:t>
      </w:r>
      <w:r w:rsidR="00F4115A" w:rsidRPr="00973839">
        <w:rPr>
          <w:rFonts w:ascii="Garamond" w:hAnsi="Garamond" w:cstheme="minorHAnsi"/>
        </w:rPr>
        <w:t xml:space="preserve"> the</w:t>
      </w:r>
      <w:r w:rsidR="00A13042" w:rsidRPr="00973839">
        <w:rPr>
          <w:rFonts w:ascii="Garamond" w:hAnsi="Garamond" w:cstheme="minorHAnsi"/>
        </w:rPr>
        <w:t xml:space="preserve"> </w:t>
      </w:r>
      <w:r w:rsidR="00F4115A" w:rsidRPr="00973839">
        <w:rPr>
          <w:rFonts w:ascii="Garamond" w:hAnsi="Garamond" w:cstheme="minorHAnsi"/>
        </w:rPr>
        <w:t>distinct</w:t>
      </w:r>
      <w:r w:rsidR="00A13042" w:rsidRPr="00973839">
        <w:rPr>
          <w:rFonts w:ascii="Garamond" w:hAnsi="Garamond" w:cstheme="minorHAnsi"/>
        </w:rPr>
        <w:t xml:space="preserve"> </w:t>
      </w:r>
      <w:r w:rsidR="00F4115A" w:rsidRPr="00973839">
        <w:rPr>
          <w:rFonts w:ascii="Garamond" w:hAnsi="Garamond" w:cstheme="minorHAnsi"/>
        </w:rPr>
        <w:t>notion of</w:t>
      </w:r>
      <w:r w:rsidR="00A13042" w:rsidRPr="00973839">
        <w:rPr>
          <w:rFonts w:ascii="Garamond" w:hAnsi="Garamond" w:cstheme="minorHAnsi"/>
        </w:rPr>
        <w:t xml:space="preserve"> going against the evidence</w:t>
      </w:r>
      <w:r w:rsidR="00F4115A" w:rsidRPr="00973839">
        <w:rPr>
          <w:rFonts w:ascii="Garamond" w:hAnsi="Garamond" w:cstheme="minorHAnsi"/>
        </w:rPr>
        <w:t>, and its relationship to epistemic warrant.</w:t>
      </w:r>
    </w:p>
    <w:p w14:paraId="374ABC8C" w14:textId="5FAEF533" w:rsidR="0004151A" w:rsidRPr="00973839" w:rsidRDefault="0004151A" w:rsidP="00973839">
      <w:pPr>
        <w:jc w:val="both"/>
        <w:rPr>
          <w:rFonts w:ascii="Garamond" w:hAnsi="Garamond" w:cstheme="minorHAnsi"/>
        </w:rPr>
      </w:pPr>
    </w:p>
    <w:p w14:paraId="1052E41E" w14:textId="67DC6613" w:rsidR="0077170B" w:rsidRPr="00973839" w:rsidRDefault="00F4115A" w:rsidP="00973839">
      <w:pPr>
        <w:pStyle w:val="Subtitle"/>
        <w:numPr>
          <w:ilvl w:val="1"/>
          <w:numId w:val="19"/>
        </w:numPr>
        <w:ind w:left="1134"/>
        <w:rPr>
          <w:rFonts w:ascii="Garamond" w:hAnsi="Garamond" w:cstheme="minorHAnsi"/>
          <w:b w:val="0"/>
        </w:rPr>
      </w:pPr>
      <w:r w:rsidRPr="00973839">
        <w:rPr>
          <w:rFonts w:ascii="Garamond" w:hAnsi="Garamond" w:cstheme="minorHAnsi"/>
          <w:b w:val="0"/>
        </w:rPr>
        <w:t xml:space="preserve">Going Beyond Evidence: </w:t>
      </w:r>
      <w:r w:rsidR="0077170B" w:rsidRPr="00973839">
        <w:rPr>
          <w:rFonts w:ascii="Garamond" w:hAnsi="Garamond" w:cstheme="minorHAnsi"/>
          <w:b w:val="0"/>
        </w:rPr>
        <w:t>Belief</w:t>
      </w:r>
    </w:p>
    <w:p w14:paraId="72242BB2" w14:textId="3B78D8C9" w:rsidR="00FF1EBE" w:rsidRPr="00973839" w:rsidRDefault="00707949" w:rsidP="00973839">
      <w:pPr>
        <w:spacing w:after="120"/>
        <w:jc w:val="both"/>
        <w:rPr>
          <w:rFonts w:ascii="Garamond" w:hAnsi="Garamond" w:cstheme="minorHAnsi"/>
        </w:rPr>
      </w:pPr>
      <w:r w:rsidRPr="00973839">
        <w:rPr>
          <w:rFonts w:ascii="Garamond" w:hAnsi="Garamond" w:cstheme="minorHAnsi"/>
        </w:rPr>
        <w:t xml:space="preserve">In terms of </w:t>
      </w:r>
      <w:r w:rsidR="00A85EFE" w:rsidRPr="00973839">
        <w:rPr>
          <w:rFonts w:ascii="Garamond" w:hAnsi="Garamond" w:cstheme="minorHAnsi"/>
        </w:rPr>
        <w:t xml:space="preserve">going beyond evidence </w:t>
      </w:r>
      <w:r w:rsidRPr="00973839">
        <w:rPr>
          <w:rFonts w:ascii="Garamond" w:hAnsi="Garamond" w:cstheme="minorHAnsi"/>
        </w:rPr>
        <w:t>with respect to belief</w:t>
      </w:r>
      <w:r w:rsidR="00A85EFE" w:rsidRPr="00973839">
        <w:rPr>
          <w:rFonts w:ascii="Garamond" w:hAnsi="Garamond" w:cstheme="minorHAnsi"/>
        </w:rPr>
        <w:t>,</w:t>
      </w:r>
      <w:r w:rsidRPr="00973839">
        <w:rPr>
          <w:rFonts w:ascii="Garamond" w:hAnsi="Garamond" w:cstheme="minorHAnsi"/>
        </w:rPr>
        <w:t xml:space="preserve"> it is </w:t>
      </w:r>
      <w:r w:rsidR="00A85EFE" w:rsidRPr="00973839">
        <w:rPr>
          <w:rFonts w:ascii="Garamond" w:hAnsi="Garamond" w:cstheme="minorHAnsi"/>
        </w:rPr>
        <w:t>typical</w:t>
      </w:r>
      <w:r w:rsidRPr="00973839">
        <w:rPr>
          <w:rFonts w:ascii="Garamond" w:hAnsi="Garamond" w:cstheme="minorHAnsi"/>
        </w:rPr>
        <w:t xml:space="preserve"> to</w:t>
      </w:r>
      <w:r w:rsidR="00A85EFE" w:rsidRPr="00973839">
        <w:rPr>
          <w:rFonts w:ascii="Garamond" w:hAnsi="Garamond" w:cstheme="minorHAnsi"/>
        </w:rPr>
        <w:t xml:space="preserve"> consider someone who holds a belief that she does not</w:t>
      </w:r>
      <w:r w:rsidR="00E51FD4" w:rsidRPr="00973839">
        <w:rPr>
          <w:rFonts w:ascii="Garamond" w:hAnsi="Garamond" w:cstheme="minorHAnsi"/>
        </w:rPr>
        <w:t xml:space="preserve"> </w:t>
      </w:r>
      <w:r w:rsidRPr="00973839">
        <w:rPr>
          <w:rFonts w:ascii="Garamond" w:hAnsi="Garamond" w:cstheme="minorHAnsi"/>
        </w:rPr>
        <w:t xml:space="preserve">properly </w:t>
      </w:r>
      <w:proofErr w:type="spellStart"/>
      <w:r w:rsidR="00E51FD4" w:rsidRPr="00973839">
        <w:rPr>
          <w:rFonts w:ascii="Garamond" w:hAnsi="Garamond" w:cstheme="minorHAnsi"/>
        </w:rPr>
        <w:t>base</w:t>
      </w:r>
      <w:proofErr w:type="spellEnd"/>
      <w:r w:rsidR="00E51FD4" w:rsidRPr="00973839">
        <w:rPr>
          <w:rFonts w:ascii="Garamond" w:hAnsi="Garamond" w:cstheme="minorHAnsi"/>
        </w:rPr>
        <w:t xml:space="preserve"> on evidence. This will be the case if someone lacks sufficient evidence </w:t>
      </w:r>
      <w:r w:rsidR="00ED68B0" w:rsidRPr="00973839">
        <w:rPr>
          <w:rFonts w:ascii="Garamond" w:hAnsi="Garamond" w:cstheme="minorHAnsi"/>
        </w:rPr>
        <w:t>to warrant</w:t>
      </w:r>
      <w:r w:rsidR="00E51FD4" w:rsidRPr="00973839">
        <w:rPr>
          <w:rFonts w:ascii="Garamond" w:hAnsi="Garamond" w:cstheme="minorHAnsi"/>
        </w:rPr>
        <w:t xml:space="preserve"> belief, or has the evidence, but does not base the belief on the evidence.</w:t>
      </w:r>
      <w:r w:rsidR="00B754BE" w:rsidRPr="00973839">
        <w:rPr>
          <w:rStyle w:val="FootnoteReference"/>
          <w:rFonts w:ascii="Garamond" w:hAnsi="Garamond" w:cstheme="minorHAnsi"/>
        </w:rPr>
        <w:footnoteReference w:id="2"/>
      </w:r>
      <w:r w:rsidR="00A85EFE" w:rsidRPr="00973839">
        <w:rPr>
          <w:rFonts w:ascii="Garamond" w:hAnsi="Garamond" w:cstheme="minorHAnsi"/>
        </w:rPr>
        <w:t xml:space="preserve"> </w:t>
      </w:r>
      <w:r w:rsidR="00E46437" w:rsidRPr="00973839">
        <w:rPr>
          <w:rFonts w:ascii="Garamond" w:hAnsi="Garamond" w:cstheme="minorHAnsi"/>
        </w:rPr>
        <w:t xml:space="preserve">For example, </w:t>
      </w:r>
      <w:r w:rsidR="0077170B" w:rsidRPr="00973839">
        <w:rPr>
          <w:rFonts w:ascii="Garamond" w:hAnsi="Garamond" w:cstheme="minorHAnsi"/>
        </w:rPr>
        <w:t>suppose that</w:t>
      </w:r>
      <w:r w:rsidR="00E46437" w:rsidRPr="00973839">
        <w:rPr>
          <w:rFonts w:ascii="Garamond" w:hAnsi="Garamond" w:cstheme="minorHAnsi"/>
        </w:rPr>
        <w:t xml:space="preserve"> you believe your business will succeed, but you</w:t>
      </w:r>
      <w:r w:rsidR="00847B1F" w:rsidRPr="00973839">
        <w:rPr>
          <w:rFonts w:ascii="Garamond" w:hAnsi="Garamond" w:cstheme="minorHAnsi"/>
        </w:rPr>
        <w:t>’</w:t>
      </w:r>
      <w:r w:rsidR="00E46437" w:rsidRPr="00973839">
        <w:rPr>
          <w:rFonts w:ascii="Garamond" w:hAnsi="Garamond" w:cstheme="minorHAnsi"/>
        </w:rPr>
        <w:t>ve had several years of losses, and the overall economic climate for</w:t>
      </w:r>
      <w:r w:rsidR="0077170B" w:rsidRPr="00973839">
        <w:rPr>
          <w:rFonts w:ascii="Garamond" w:hAnsi="Garamond" w:cstheme="minorHAnsi"/>
        </w:rPr>
        <w:t xml:space="preserve"> your kin</w:t>
      </w:r>
      <w:r w:rsidR="00713FDC" w:rsidRPr="00973839">
        <w:rPr>
          <w:rFonts w:ascii="Garamond" w:hAnsi="Garamond" w:cstheme="minorHAnsi"/>
        </w:rPr>
        <w:t>d of business is bleak, warranting belief that your business will fail.</w:t>
      </w:r>
      <w:r w:rsidR="0077170B" w:rsidRPr="00973839">
        <w:rPr>
          <w:rFonts w:ascii="Garamond" w:hAnsi="Garamond" w:cstheme="minorHAnsi"/>
        </w:rPr>
        <w:t xml:space="preserve"> In that case,</w:t>
      </w:r>
      <w:r w:rsidR="00E46437" w:rsidRPr="00973839">
        <w:rPr>
          <w:rFonts w:ascii="Garamond" w:hAnsi="Garamond" w:cstheme="minorHAnsi"/>
        </w:rPr>
        <w:t xml:space="preserve"> we might say that you have gone beyond the evidence</w:t>
      </w:r>
      <w:r w:rsidR="0077170B" w:rsidRPr="00973839">
        <w:rPr>
          <w:rFonts w:ascii="Garamond" w:hAnsi="Garamond" w:cstheme="minorHAnsi"/>
        </w:rPr>
        <w:t xml:space="preserve"> because you believe a proposition when the evidence for that proposition only warrants disbelief</w:t>
      </w:r>
      <w:r w:rsidR="00E46437" w:rsidRPr="00973839">
        <w:rPr>
          <w:rFonts w:ascii="Garamond" w:hAnsi="Garamond" w:cstheme="minorHAnsi"/>
        </w:rPr>
        <w:t>.</w:t>
      </w:r>
      <w:r w:rsidR="008C6AF7" w:rsidRPr="00973839">
        <w:rPr>
          <w:rFonts w:ascii="Garamond" w:hAnsi="Garamond" w:cstheme="minorHAnsi"/>
        </w:rPr>
        <w:t xml:space="preserve"> </w:t>
      </w:r>
      <w:r w:rsidRPr="00973839">
        <w:rPr>
          <w:rFonts w:ascii="Garamond" w:hAnsi="Garamond" w:cstheme="minorHAnsi"/>
        </w:rPr>
        <w:t>I</w:t>
      </w:r>
      <w:r w:rsidR="008C6AF7" w:rsidRPr="00973839">
        <w:rPr>
          <w:rFonts w:ascii="Garamond" w:hAnsi="Garamond" w:cstheme="minorHAnsi"/>
        </w:rPr>
        <w:t>f you</w:t>
      </w:r>
      <w:r w:rsidR="00E46437" w:rsidRPr="00973839">
        <w:rPr>
          <w:rFonts w:ascii="Garamond" w:hAnsi="Garamond" w:cstheme="minorHAnsi"/>
        </w:rPr>
        <w:t xml:space="preserve"> were to believe that your business is likely to fail, then your belief would not go beyond the evidence, but would be consistent with the evidence. </w:t>
      </w:r>
      <w:r w:rsidR="0077170B" w:rsidRPr="00973839">
        <w:rPr>
          <w:rFonts w:ascii="Garamond" w:hAnsi="Garamond" w:cstheme="minorHAnsi"/>
        </w:rPr>
        <w:t>From this we can t</w:t>
      </w:r>
      <w:r w:rsidR="00FF1EBE" w:rsidRPr="00973839">
        <w:rPr>
          <w:rFonts w:ascii="Garamond" w:hAnsi="Garamond" w:cstheme="minorHAnsi"/>
        </w:rPr>
        <w:t xml:space="preserve">ake the following </w:t>
      </w:r>
      <w:r w:rsidR="0077170B" w:rsidRPr="00973839">
        <w:rPr>
          <w:rFonts w:ascii="Garamond" w:hAnsi="Garamond" w:cstheme="minorHAnsi"/>
        </w:rPr>
        <w:t>to be</w:t>
      </w:r>
      <w:r w:rsidR="00FF1EBE" w:rsidRPr="00973839">
        <w:rPr>
          <w:rFonts w:ascii="Garamond" w:hAnsi="Garamond" w:cstheme="minorHAnsi"/>
        </w:rPr>
        <w:t xml:space="preserve"> the </w:t>
      </w:r>
      <w:r w:rsidR="0077170B" w:rsidRPr="00973839">
        <w:rPr>
          <w:rFonts w:ascii="Garamond" w:hAnsi="Garamond" w:cstheme="minorHAnsi"/>
        </w:rPr>
        <w:t xml:space="preserve">basic </w:t>
      </w:r>
      <w:r w:rsidR="00FF1EBE" w:rsidRPr="00973839">
        <w:rPr>
          <w:rFonts w:ascii="Garamond" w:hAnsi="Garamond" w:cstheme="minorHAnsi"/>
          <w:i/>
        </w:rPr>
        <w:t>doxastic</w:t>
      </w:r>
      <w:r w:rsidR="00FF1EBE" w:rsidRPr="00973839">
        <w:rPr>
          <w:rFonts w:ascii="Garamond" w:hAnsi="Garamond" w:cstheme="minorHAnsi"/>
        </w:rPr>
        <w:t xml:space="preserve"> (d) concept</w:t>
      </w:r>
      <w:r w:rsidR="00BE6EBA" w:rsidRPr="00973839">
        <w:rPr>
          <w:rFonts w:ascii="Garamond" w:hAnsi="Garamond" w:cstheme="minorHAnsi"/>
        </w:rPr>
        <w:t>ion</w:t>
      </w:r>
      <w:r w:rsidR="00FF1EBE" w:rsidRPr="00973839">
        <w:rPr>
          <w:rFonts w:ascii="Garamond" w:hAnsi="Garamond" w:cstheme="minorHAnsi"/>
        </w:rPr>
        <w:t xml:space="preserve"> of going beyond the evidence:</w:t>
      </w:r>
    </w:p>
    <w:p w14:paraId="533DC110" w14:textId="2CD50DE2" w:rsidR="00772452" w:rsidRPr="00973839" w:rsidRDefault="00FF1EBE" w:rsidP="00973839">
      <w:pPr>
        <w:spacing w:after="120"/>
        <w:ind w:left="567"/>
        <w:jc w:val="both"/>
        <w:rPr>
          <w:rFonts w:ascii="Garamond" w:hAnsi="Garamond" w:cstheme="minorHAnsi"/>
        </w:rPr>
      </w:pPr>
      <w:bookmarkStart w:id="0" w:name="_Hlk512246754"/>
      <w:r w:rsidRPr="00973839">
        <w:rPr>
          <w:rFonts w:ascii="Garamond" w:hAnsi="Garamond" w:cstheme="minorHAnsi"/>
          <w:sz w:val="22"/>
        </w:rPr>
        <w:lastRenderedPageBreak/>
        <w:t>BEYOND</w:t>
      </w:r>
      <w:r w:rsidRPr="00973839">
        <w:rPr>
          <w:rFonts w:ascii="Garamond" w:hAnsi="Garamond" w:cstheme="minorHAnsi"/>
        </w:rPr>
        <w:t>(d): A</w:t>
      </w:r>
      <w:r w:rsidR="00E46437" w:rsidRPr="00973839">
        <w:rPr>
          <w:rFonts w:ascii="Garamond" w:hAnsi="Garamond" w:cstheme="minorHAnsi"/>
        </w:rPr>
        <w:t xml:space="preserve"> person S goes beyond the evidence when S </w:t>
      </w:r>
      <w:r w:rsidR="002C0095" w:rsidRPr="00973839">
        <w:rPr>
          <w:rFonts w:ascii="Garamond" w:hAnsi="Garamond" w:cstheme="minorHAnsi"/>
        </w:rPr>
        <w:t>holds</w:t>
      </w:r>
      <w:r w:rsidR="00E46437" w:rsidRPr="00973839">
        <w:rPr>
          <w:rFonts w:ascii="Garamond" w:hAnsi="Garamond" w:cstheme="minorHAnsi"/>
        </w:rPr>
        <w:t xml:space="preserve"> a </w:t>
      </w:r>
      <w:r w:rsidR="002C0095" w:rsidRPr="00973839">
        <w:rPr>
          <w:rFonts w:ascii="Garamond" w:hAnsi="Garamond" w:cstheme="minorHAnsi"/>
        </w:rPr>
        <w:t xml:space="preserve">doxastic attitude </w:t>
      </w:r>
      <w:r w:rsidR="002C0095" w:rsidRPr="00973839">
        <w:rPr>
          <w:rFonts w:ascii="Garamond" w:hAnsi="Garamond" w:cstheme="minorHAnsi"/>
          <w:i/>
        </w:rPr>
        <w:t>D</w:t>
      </w:r>
      <w:r w:rsidR="002C0095" w:rsidRPr="00973839">
        <w:rPr>
          <w:rFonts w:ascii="Garamond" w:hAnsi="Garamond" w:cstheme="minorHAnsi"/>
        </w:rPr>
        <w:t xml:space="preserve"> towards </w:t>
      </w:r>
      <w:r w:rsidR="00751F3F" w:rsidRPr="00973839">
        <w:rPr>
          <w:rFonts w:ascii="Garamond" w:hAnsi="Garamond" w:cstheme="minorHAnsi"/>
        </w:rPr>
        <w:t xml:space="preserve">a </w:t>
      </w:r>
      <w:r w:rsidR="00E46437" w:rsidRPr="00973839">
        <w:rPr>
          <w:rFonts w:ascii="Garamond" w:hAnsi="Garamond" w:cstheme="minorHAnsi"/>
        </w:rPr>
        <w:t xml:space="preserve">proposition </w:t>
      </w:r>
      <w:r w:rsidR="00E46437" w:rsidRPr="00973839">
        <w:rPr>
          <w:rFonts w:ascii="Garamond" w:hAnsi="Garamond" w:cstheme="minorHAnsi"/>
          <w:i/>
        </w:rPr>
        <w:t>p</w:t>
      </w:r>
      <w:r w:rsidR="00E46437" w:rsidRPr="00973839">
        <w:rPr>
          <w:rFonts w:ascii="Garamond" w:hAnsi="Garamond" w:cstheme="minorHAnsi"/>
        </w:rPr>
        <w:t xml:space="preserve"> </w:t>
      </w:r>
      <w:r w:rsidRPr="00973839">
        <w:rPr>
          <w:rFonts w:ascii="Garamond" w:hAnsi="Garamond" w:cstheme="minorHAnsi"/>
        </w:rPr>
        <w:t>at</w:t>
      </w:r>
      <w:r w:rsidR="002C0095" w:rsidRPr="00973839">
        <w:rPr>
          <w:rFonts w:ascii="Garamond" w:hAnsi="Garamond" w:cstheme="minorHAnsi"/>
        </w:rPr>
        <w:t xml:space="preserve"> time</w:t>
      </w:r>
      <w:r w:rsidRPr="00973839">
        <w:rPr>
          <w:rFonts w:ascii="Garamond" w:hAnsi="Garamond" w:cstheme="minorHAnsi"/>
        </w:rPr>
        <w:t xml:space="preserve"> </w:t>
      </w:r>
      <w:r w:rsidRPr="00973839">
        <w:rPr>
          <w:rFonts w:ascii="Garamond" w:hAnsi="Garamond" w:cstheme="minorHAnsi"/>
          <w:i/>
        </w:rPr>
        <w:t xml:space="preserve">t </w:t>
      </w:r>
      <w:r w:rsidR="00E46437" w:rsidRPr="00973839">
        <w:rPr>
          <w:rFonts w:ascii="Garamond" w:hAnsi="Garamond" w:cstheme="minorHAnsi"/>
        </w:rPr>
        <w:t>despite</w:t>
      </w:r>
      <w:r w:rsidR="00E51FD4" w:rsidRPr="00973839">
        <w:rPr>
          <w:rFonts w:ascii="Garamond" w:hAnsi="Garamond" w:cstheme="minorHAnsi"/>
        </w:rPr>
        <w:t xml:space="preserve"> </w:t>
      </w:r>
      <w:r w:rsidR="00E51FD4" w:rsidRPr="00973839">
        <w:rPr>
          <w:rFonts w:ascii="Garamond" w:hAnsi="Garamond" w:cstheme="minorHAnsi"/>
          <w:i/>
        </w:rPr>
        <w:t>D</w:t>
      </w:r>
      <w:r w:rsidR="00E51FD4" w:rsidRPr="00973839">
        <w:rPr>
          <w:rFonts w:ascii="Garamond" w:hAnsi="Garamond" w:cstheme="minorHAnsi"/>
        </w:rPr>
        <w:t xml:space="preserve"> being held </w:t>
      </w:r>
      <w:r w:rsidR="00E51FD4" w:rsidRPr="00973839">
        <w:rPr>
          <w:rFonts w:ascii="Garamond" w:hAnsi="Garamond" w:cstheme="minorHAnsi"/>
          <w:iCs/>
        </w:rPr>
        <w:t>without being</w:t>
      </w:r>
      <w:r w:rsidR="001B7994" w:rsidRPr="00973839">
        <w:rPr>
          <w:rFonts w:ascii="Garamond" w:hAnsi="Garamond" w:cstheme="minorHAnsi"/>
          <w:iCs/>
        </w:rPr>
        <w:t xml:space="preserve"> properly</w:t>
      </w:r>
      <w:r w:rsidR="00E51FD4" w:rsidRPr="00973839">
        <w:rPr>
          <w:rFonts w:ascii="Garamond" w:hAnsi="Garamond" w:cstheme="minorHAnsi"/>
          <w:iCs/>
        </w:rPr>
        <w:t xml:space="preserve"> based on</w:t>
      </w:r>
      <w:r w:rsidR="00E51FD4" w:rsidRPr="00973839">
        <w:rPr>
          <w:rFonts w:ascii="Garamond" w:hAnsi="Garamond" w:cstheme="minorHAnsi"/>
        </w:rPr>
        <w:t> evidence</w:t>
      </w:r>
      <w:r w:rsidR="00E46437" w:rsidRPr="00973839">
        <w:rPr>
          <w:rFonts w:ascii="Garamond" w:hAnsi="Garamond" w:cstheme="minorHAnsi"/>
        </w:rPr>
        <w:t xml:space="preserve"> </w:t>
      </w:r>
      <w:r w:rsidR="002C0095" w:rsidRPr="00973839">
        <w:rPr>
          <w:rFonts w:ascii="Garamond" w:hAnsi="Garamond" w:cstheme="minorHAnsi"/>
        </w:rPr>
        <w:t xml:space="preserve">for holding </w:t>
      </w:r>
      <w:r w:rsidR="002C0095" w:rsidRPr="00973839">
        <w:rPr>
          <w:rFonts w:ascii="Garamond" w:hAnsi="Garamond" w:cstheme="minorHAnsi"/>
          <w:i/>
        </w:rPr>
        <w:t>D</w:t>
      </w:r>
      <w:r w:rsidR="00E46437" w:rsidRPr="00973839">
        <w:rPr>
          <w:rFonts w:ascii="Garamond" w:hAnsi="Garamond" w:cstheme="minorHAnsi"/>
        </w:rPr>
        <w:t xml:space="preserve"> </w:t>
      </w:r>
      <w:r w:rsidR="002C0095" w:rsidRPr="00973839">
        <w:rPr>
          <w:rFonts w:ascii="Garamond" w:hAnsi="Garamond" w:cstheme="minorHAnsi"/>
        </w:rPr>
        <w:t xml:space="preserve">toward </w:t>
      </w:r>
      <w:r w:rsidR="00E46437" w:rsidRPr="00973839">
        <w:rPr>
          <w:rFonts w:ascii="Garamond" w:hAnsi="Garamond" w:cstheme="minorHAnsi"/>
          <w:i/>
        </w:rPr>
        <w:t>p</w:t>
      </w:r>
      <w:r w:rsidRPr="00973839">
        <w:rPr>
          <w:rFonts w:ascii="Garamond" w:hAnsi="Garamond" w:cstheme="minorHAnsi"/>
          <w:i/>
        </w:rPr>
        <w:t xml:space="preserve"> </w:t>
      </w:r>
      <w:r w:rsidRPr="00973839">
        <w:rPr>
          <w:rFonts w:ascii="Garamond" w:hAnsi="Garamond" w:cstheme="minorHAnsi"/>
        </w:rPr>
        <w:t xml:space="preserve">at </w:t>
      </w:r>
      <w:r w:rsidRPr="00973839">
        <w:rPr>
          <w:rFonts w:ascii="Garamond" w:hAnsi="Garamond" w:cstheme="minorHAnsi"/>
          <w:i/>
        </w:rPr>
        <w:t>t</w:t>
      </w:r>
      <w:r w:rsidR="00E46437" w:rsidRPr="00973839">
        <w:rPr>
          <w:rFonts w:ascii="Garamond" w:hAnsi="Garamond" w:cstheme="minorHAnsi"/>
        </w:rPr>
        <w:t>.</w:t>
      </w:r>
    </w:p>
    <w:p w14:paraId="4229CDFB" w14:textId="157F084F" w:rsidR="002C0095" w:rsidRPr="00973839" w:rsidRDefault="00E46437" w:rsidP="00973839">
      <w:pPr>
        <w:jc w:val="both"/>
        <w:rPr>
          <w:rFonts w:ascii="Garamond" w:hAnsi="Garamond" w:cstheme="minorHAnsi"/>
        </w:rPr>
      </w:pPr>
      <w:bookmarkStart w:id="1" w:name="_Hlk512262412"/>
      <w:bookmarkEnd w:id="0"/>
      <w:r w:rsidRPr="00973839">
        <w:rPr>
          <w:rFonts w:ascii="Garamond" w:hAnsi="Garamond" w:cstheme="minorHAnsi"/>
        </w:rPr>
        <w:t xml:space="preserve">Although </w:t>
      </w:r>
      <w:bookmarkStart w:id="2" w:name="_Hlk512255357"/>
      <w:r w:rsidR="00FF1EBE" w:rsidRPr="00973839">
        <w:rPr>
          <w:rFonts w:ascii="Garamond" w:hAnsi="Garamond" w:cstheme="minorHAnsi"/>
          <w:sz w:val="22"/>
        </w:rPr>
        <w:t>BEYOND</w:t>
      </w:r>
      <w:r w:rsidR="00FF1EBE" w:rsidRPr="00973839">
        <w:rPr>
          <w:rFonts w:ascii="Garamond" w:hAnsi="Garamond" w:cstheme="minorHAnsi"/>
        </w:rPr>
        <w:t>(d)</w:t>
      </w:r>
      <w:r w:rsidRPr="00973839">
        <w:rPr>
          <w:rFonts w:ascii="Garamond" w:hAnsi="Garamond" w:cstheme="minorHAnsi"/>
        </w:rPr>
        <w:t xml:space="preserve"> </w:t>
      </w:r>
      <w:bookmarkEnd w:id="2"/>
      <w:r w:rsidR="00CC1228" w:rsidRPr="00973839">
        <w:rPr>
          <w:rFonts w:ascii="Garamond" w:hAnsi="Garamond" w:cstheme="minorHAnsi"/>
        </w:rPr>
        <w:t xml:space="preserve">appears straightforward, there are </w:t>
      </w:r>
      <w:r w:rsidR="00A63312" w:rsidRPr="00973839">
        <w:rPr>
          <w:rFonts w:ascii="Garamond" w:hAnsi="Garamond" w:cstheme="minorHAnsi"/>
        </w:rPr>
        <w:t>at least three</w:t>
      </w:r>
      <w:r w:rsidR="00CC1228" w:rsidRPr="00973839">
        <w:rPr>
          <w:rFonts w:ascii="Garamond" w:hAnsi="Garamond" w:cstheme="minorHAnsi"/>
        </w:rPr>
        <w:t xml:space="preserve"> ways by which someone can go beyond the evidence in this sense, and we can draw these out by looking at the</w:t>
      </w:r>
      <w:r w:rsidR="00713FDC" w:rsidRPr="00973839">
        <w:rPr>
          <w:rFonts w:ascii="Garamond" w:hAnsi="Garamond" w:cstheme="minorHAnsi"/>
        </w:rPr>
        <w:t xml:space="preserve"> improper</w:t>
      </w:r>
      <w:r w:rsidR="00CC1228" w:rsidRPr="00973839">
        <w:rPr>
          <w:rFonts w:ascii="Garamond" w:hAnsi="Garamond" w:cstheme="minorHAnsi"/>
        </w:rPr>
        <w:t xml:space="preserve"> </w:t>
      </w:r>
      <w:r w:rsidR="0054430E" w:rsidRPr="00973839">
        <w:rPr>
          <w:rFonts w:ascii="Garamond" w:hAnsi="Garamond" w:cstheme="minorHAnsi"/>
        </w:rPr>
        <w:t>basing relation between the evidence</w:t>
      </w:r>
      <w:r w:rsidR="00B85A7C" w:rsidRPr="00973839">
        <w:rPr>
          <w:rFonts w:ascii="Garamond" w:hAnsi="Garamond" w:cstheme="minorHAnsi"/>
        </w:rPr>
        <w:t xml:space="preserve"> a person has</w:t>
      </w:r>
      <w:r w:rsidR="0054430E" w:rsidRPr="00973839">
        <w:rPr>
          <w:rFonts w:ascii="Garamond" w:hAnsi="Garamond" w:cstheme="minorHAnsi"/>
        </w:rPr>
        <w:t xml:space="preserve"> for a proposition, and her belief towards that proposition</w:t>
      </w:r>
      <w:r w:rsidRPr="00973839">
        <w:rPr>
          <w:rFonts w:ascii="Garamond" w:hAnsi="Garamond" w:cstheme="minorHAnsi"/>
        </w:rPr>
        <w:t>.</w:t>
      </w:r>
    </w:p>
    <w:bookmarkEnd w:id="1"/>
    <w:p w14:paraId="7D11021F" w14:textId="26216D0A" w:rsidR="002C0095" w:rsidRPr="00973839" w:rsidRDefault="00A63312" w:rsidP="00973839">
      <w:pPr>
        <w:spacing w:after="120"/>
        <w:ind w:firstLine="720"/>
        <w:jc w:val="both"/>
        <w:rPr>
          <w:rFonts w:ascii="Garamond" w:hAnsi="Garamond" w:cstheme="minorHAnsi"/>
        </w:rPr>
      </w:pPr>
      <w:r w:rsidRPr="00973839">
        <w:rPr>
          <w:rFonts w:ascii="Garamond" w:hAnsi="Garamond" w:cstheme="minorHAnsi"/>
        </w:rPr>
        <w:t>First, i</w:t>
      </w:r>
      <w:r w:rsidR="00B85A7C" w:rsidRPr="00973839">
        <w:rPr>
          <w:rFonts w:ascii="Garamond" w:hAnsi="Garamond" w:cstheme="minorHAnsi"/>
        </w:rPr>
        <w:t xml:space="preserve">n some cases, a person’s belief is </w:t>
      </w:r>
      <w:r w:rsidR="00B85A7C" w:rsidRPr="00973839">
        <w:rPr>
          <w:rFonts w:ascii="Garamond" w:hAnsi="Garamond" w:cstheme="minorHAnsi"/>
          <w:i/>
        </w:rPr>
        <w:t>disproportionately</w:t>
      </w:r>
      <w:r w:rsidR="00B85A7C" w:rsidRPr="00973839">
        <w:rPr>
          <w:rFonts w:ascii="Garamond" w:hAnsi="Garamond" w:cstheme="minorHAnsi"/>
        </w:rPr>
        <w:t xml:space="preserve"> based on the evidence. For instance, the evidence may warrant </w:t>
      </w:r>
      <w:r w:rsidR="00FF1EBE" w:rsidRPr="00973839">
        <w:rPr>
          <w:rFonts w:ascii="Garamond" w:hAnsi="Garamond" w:cstheme="minorHAnsi"/>
        </w:rPr>
        <w:t xml:space="preserve">disbelief that </w:t>
      </w:r>
      <w:r w:rsidR="00FF1EBE" w:rsidRPr="00973839">
        <w:rPr>
          <w:rFonts w:ascii="Garamond" w:hAnsi="Garamond" w:cstheme="minorHAnsi"/>
          <w:i/>
        </w:rPr>
        <w:t>p</w:t>
      </w:r>
      <w:r w:rsidR="00FF1EBE" w:rsidRPr="00973839">
        <w:rPr>
          <w:rFonts w:ascii="Garamond" w:hAnsi="Garamond" w:cstheme="minorHAnsi"/>
        </w:rPr>
        <w:t xml:space="preserve"> or </w:t>
      </w:r>
      <w:r w:rsidR="00B85A7C" w:rsidRPr="00973839">
        <w:rPr>
          <w:rFonts w:ascii="Garamond" w:hAnsi="Garamond" w:cstheme="minorHAnsi"/>
        </w:rPr>
        <w:t xml:space="preserve">suspension of judgment about </w:t>
      </w:r>
      <w:r w:rsidR="00B85A7C" w:rsidRPr="00973839">
        <w:rPr>
          <w:rFonts w:ascii="Garamond" w:hAnsi="Garamond" w:cstheme="minorHAnsi"/>
          <w:i/>
        </w:rPr>
        <w:t>p</w:t>
      </w:r>
      <w:r w:rsidR="00B85A7C" w:rsidRPr="00973839">
        <w:rPr>
          <w:rFonts w:ascii="Garamond" w:hAnsi="Garamond" w:cstheme="minorHAnsi"/>
        </w:rPr>
        <w:t xml:space="preserve">, </w:t>
      </w:r>
      <w:r w:rsidR="00ED68B0" w:rsidRPr="00973839">
        <w:rPr>
          <w:rFonts w:ascii="Garamond" w:hAnsi="Garamond" w:cstheme="minorHAnsi"/>
        </w:rPr>
        <w:t>and yet</w:t>
      </w:r>
      <w:r w:rsidR="00B85A7C" w:rsidRPr="00973839">
        <w:rPr>
          <w:rFonts w:ascii="Garamond" w:hAnsi="Garamond" w:cstheme="minorHAnsi"/>
        </w:rPr>
        <w:t xml:space="preserve"> the person believes </w:t>
      </w:r>
      <w:r w:rsidR="00B85A7C" w:rsidRPr="00973839">
        <w:rPr>
          <w:rFonts w:ascii="Garamond" w:hAnsi="Garamond" w:cstheme="minorHAnsi"/>
          <w:i/>
        </w:rPr>
        <w:t>p</w:t>
      </w:r>
      <w:r w:rsidR="00B85A7C" w:rsidRPr="00973839">
        <w:rPr>
          <w:rFonts w:ascii="Garamond" w:hAnsi="Garamond" w:cstheme="minorHAnsi"/>
        </w:rPr>
        <w:t xml:space="preserve">. One instance of this is partiality in relationships. If someone has a special relationship with someone else – they are good friends, for example – then they may be disposed </w:t>
      </w:r>
      <w:r w:rsidR="009750D6" w:rsidRPr="00973839">
        <w:rPr>
          <w:rFonts w:ascii="Garamond" w:hAnsi="Garamond" w:cstheme="minorHAnsi"/>
        </w:rPr>
        <w:t xml:space="preserve">to </w:t>
      </w:r>
      <w:r w:rsidR="006C0104" w:rsidRPr="00973839">
        <w:rPr>
          <w:rFonts w:ascii="Garamond" w:hAnsi="Garamond" w:cstheme="minorHAnsi"/>
        </w:rPr>
        <w:t>interpret</w:t>
      </w:r>
      <w:r w:rsidR="00B85A7C" w:rsidRPr="00973839">
        <w:rPr>
          <w:rFonts w:ascii="Garamond" w:hAnsi="Garamond" w:cstheme="minorHAnsi"/>
        </w:rPr>
        <w:t xml:space="preserve"> evidence disproportionately. For instance, one friend may ignore evidence that counts against the reliability of the other, or, give greater weight than is warranted to evidence counting in favour of the reliability of their friend.</w:t>
      </w:r>
      <w:r w:rsidR="00B754BE" w:rsidRPr="00973839">
        <w:rPr>
          <w:rStyle w:val="FootnoteReference"/>
          <w:rFonts w:ascii="Garamond" w:hAnsi="Garamond" w:cstheme="minorHAnsi"/>
        </w:rPr>
        <w:footnoteReference w:id="3"/>
      </w:r>
      <w:r w:rsidR="00B85A7C" w:rsidRPr="00973839">
        <w:rPr>
          <w:rFonts w:ascii="Garamond" w:hAnsi="Garamond" w:cstheme="minorHAnsi"/>
        </w:rPr>
        <w:t xml:space="preserve"> The </w:t>
      </w:r>
      <w:r w:rsidR="00C407D6" w:rsidRPr="00973839">
        <w:rPr>
          <w:rFonts w:ascii="Garamond" w:hAnsi="Garamond" w:cstheme="minorHAnsi"/>
        </w:rPr>
        <w:t>reason for</w:t>
      </w:r>
      <w:r w:rsidR="00B85A7C" w:rsidRPr="00973839">
        <w:rPr>
          <w:rFonts w:ascii="Garamond" w:hAnsi="Garamond" w:cstheme="minorHAnsi"/>
        </w:rPr>
        <w:t xml:space="preserve"> this disproportionate basing may plausibly be due to the desires or affective state</w:t>
      </w:r>
      <w:r w:rsidR="002C0095" w:rsidRPr="00973839">
        <w:rPr>
          <w:rFonts w:ascii="Garamond" w:hAnsi="Garamond" w:cstheme="minorHAnsi"/>
        </w:rPr>
        <w:t>s</w:t>
      </w:r>
      <w:r w:rsidR="00B85A7C" w:rsidRPr="00973839">
        <w:rPr>
          <w:rFonts w:ascii="Garamond" w:hAnsi="Garamond" w:cstheme="minorHAnsi"/>
        </w:rPr>
        <w:t xml:space="preserve"> that a person holds</w:t>
      </w:r>
      <w:r w:rsidR="00C407D6" w:rsidRPr="00973839">
        <w:rPr>
          <w:rFonts w:ascii="Garamond" w:hAnsi="Garamond" w:cstheme="minorHAnsi"/>
        </w:rPr>
        <w:t xml:space="preserve">, which cause a person to view certain evidence in </w:t>
      </w:r>
      <w:r w:rsidR="00ED68B0" w:rsidRPr="00973839">
        <w:rPr>
          <w:rFonts w:ascii="Garamond" w:hAnsi="Garamond" w:cstheme="minorHAnsi"/>
        </w:rPr>
        <w:t>unwarrantedly</w:t>
      </w:r>
      <w:r w:rsidR="00C407D6" w:rsidRPr="00973839">
        <w:rPr>
          <w:rFonts w:ascii="Garamond" w:hAnsi="Garamond" w:cstheme="minorHAnsi"/>
        </w:rPr>
        <w:t xml:space="preserve"> positive or negative lights</w:t>
      </w:r>
      <w:r w:rsidR="00B85A7C" w:rsidRPr="00973839">
        <w:rPr>
          <w:rFonts w:ascii="Garamond" w:hAnsi="Garamond" w:cstheme="minorHAnsi"/>
        </w:rPr>
        <w:t xml:space="preserve"> (e.g. Mele 2006, 110-11). </w:t>
      </w:r>
      <w:r w:rsidR="002C0095" w:rsidRPr="00973839">
        <w:rPr>
          <w:rFonts w:ascii="Garamond" w:hAnsi="Garamond" w:cstheme="minorHAnsi"/>
        </w:rPr>
        <w:t>We can state this as follows:</w:t>
      </w:r>
    </w:p>
    <w:p w14:paraId="503EE1C0" w14:textId="0764685E" w:rsidR="002C0095" w:rsidRPr="00973839" w:rsidRDefault="002C0095" w:rsidP="00973839">
      <w:pPr>
        <w:spacing w:after="120"/>
        <w:ind w:left="567"/>
        <w:jc w:val="both"/>
        <w:rPr>
          <w:rFonts w:ascii="Garamond" w:hAnsi="Garamond" w:cstheme="minorHAnsi"/>
        </w:rPr>
      </w:pPr>
      <w:r w:rsidRPr="00973839">
        <w:rPr>
          <w:rFonts w:ascii="Garamond" w:hAnsi="Garamond" w:cstheme="minorHAnsi"/>
          <w:sz w:val="22"/>
        </w:rPr>
        <w:t>DISPROPORTIONATE</w:t>
      </w:r>
      <w:r w:rsidRPr="00973839">
        <w:rPr>
          <w:rFonts w:ascii="Garamond" w:hAnsi="Garamond" w:cstheme="minorHAnsi"/>
        </w:rPr>
        <w:t>: A person S holds a doxastic attitude</w:t>
      </w:r>
      <w:r w:rsidR="006505A8" w:rsidRPr="00973839">
        <w:rPr>
          <w:rFonts w:ascii="Garamond" w:hAnsi="Garamond" w:cstheme="minorHAnsi"/>
        </w:rPr>
        <w:t xml:space="preserve"> </w:t>
      </w:r>
      <w:r w:rsidR="006505A8" w:rsidRPr="00973839">
        <w:rPr>
          <w:rFonts w:ascii="Garamond" w:hAnsi="Garamond" w:cstheme="minorHAnsi"/>
          <w:i/>
        </w:rPr>
        <w:t>D</w:t>
      </w:r>
      <w:r w:rsidRPr="00973839">
        <w:rPr>
          <w:rFonts w:ascii="Garamond" w:hAnsi="Garamond" w:cstheme="minorHAnsi"/>
        </w:rPr>
        <w:t xml:space="preserve"> toward </w:t>
      </w:r>
      <w:r w:rsidRPr="00973839">
        <w:rPr>
          <w:rFonts w:ascii="Garamond" w:hAnsi="Garamond" w:cstheme="minorHAnsi"/>
          <w:i/>
        </w:rPr>
        <w:t>p</w:t>
      </w:r>
      <w:r w:rsidRPr="00973839">
        <w:rPr>
          <w:rFonts w:ascii="Garamond" w:hAnsi="Garamond" w:cstheme="minorHAnsi"/>
        </w:rPr>
        <w:t xml:space="preserve"> at </w:t>
      </w:r>
      <w:r w:rsidRPr="00973839">
        <w:rPr>
          <w:rFonts w:ascii="Garamond" w:hAnsi="Garamond" w:cstheme="minorHAnsi"/>
          <w:i/>
        </w:rPr>
        <w:t xml:space="preserve">t </w:t>
      </w:r>
      <w:r w:rsidRPr="00973839">
        <w:rPr>
          <w:rFonts w:ascii="Garamond" w:hAnsi="Garamond" w:cstheme="minorHAnsi"/>
        </w:rPr>
        <w:t xml:space="preserve">disproportionately to what is warranted by the evidence for </w:t>
      </w:r>
      <w:r w:rsidRPr="00973839">
        <w:rPr>
          <w:rFonts w:ascii="Garamond" w:hAnsi="Garamond" w:cstheme="minorHAnsi"/>
          <w:i/>
        </w:rPr>
        <w:t>p</w:t>
      </w:r>
      <w:r w:rsidRPr="00973839">
        <w:rPr>
          <w:rFonts w:ascii="Garamond" w:hAnsi="Garamond" w:cstheme="minorHAnsi"/>
        </w:rPr>
        <w:t xml:space="preserve"> at </w:t>
      </w:r>
      <w:r w:rsidRPr="00973839">
        <w:rPr>
          <w:rFonts w:ascii="Garamond" w:hAnsi="Garamond" w:cstheme="minorHAnsi"/>
          <w:i/>
        </w:rPr>
        <w:t>t</w:t>
      </w:r>
      <w:r w:rsidRPr="00973839">
        <w:rPr>
          <w:rFonts w:ascii="Garamond" w:hAnsi="Garamond" w:cstheme="minorHAnsi"/>
        </w:rPr>
        <w:t>.</w:t>
      </w:r>
    </w:p>
    <w:p w14:paraId="254752B7" w14:textId="6B60E030" w:rsidR="002C0095" w:rsidRPr="00973839" w:rsidRDefault="00FA771E" w:rsidP="00973839">
      <w:pPr>
        <w:spacing w:after="120"/>
        <w:ind w:firstLine="720"/>
        <w:jc w:val="both"/>
        <w:rPr>
          <w:rFonts w:ascii="Garamond" w:hAnsi="Garamond" w:cstheme="minorHAnsi"/>
        </w:rPr>
      </w:pPr>
      <w:r w:rsidRPr="00973839">
        <w:rPr>
          <w:rFonts w:ascii="Garamond" w:hAnsi="Garamond" w:cstheme="minorHAnsi"/>
        </w:rPr>
        <w:t>A</w:t>
      </w:r>
      <w:r w:rsidR="00A63312" w:rsidRPr="00973839">
        <w:rPr>
          <w:rFonts w:ascii="Garamond" w:hAnsi="Garamond" w:cstheme="minorHAnsi"/>
        </w:rPr>
        <w:t xml:space="preserve"> second way of going beyond evidence </w:t>
      </w:r>
      <w:r w:rsidR="0077170B" w:rsidRPr="00973839">
        <w:rPr>
          <w:rFonts w:ascii="Garamond" w:hAnsi="Garamond" w:cstheme="minorHAnsi"/>
        </w:rPr>
        <w:t>as an instance</w:t>
      </w:r>
      <w:r w:rsidRPr="00973839">
        <w:rPr>
          <w:rFonts w:ascii="Garamond" w:hAnsi="Garamond" w:cstheme="minorHAnsi"/>
        </w:rPr>
        <w:t xml:space="preserve"> of </w:t>
      </w:r>
      <w:r w:rsidRPr="00973839">
        <w:rPr>
          <w:rFonts w:ascii="Garamond" w:hAnsi="Garamond" w:cstheme="minorHAnsi"/>
          <w:sz w:val="22"/>
        </w:rPr>
        <w:t>BEYOND</w:t>
      </w:r>
      <w:r w:rsidRPr="00973839">
        <w:rPr>
          <w:rFonts w:ascii="Garamond" w:hAnsi="Garamond" w:cstheme="minorHAnsi"/>
        </w:rPr>
        <w:t xml:space="preserve">(d) </w:t>
      </w:r>
      <w:r w:rsidR="00A63312" w:rsidRPr="00973839">
        <w:rPr>
          <w:rFonts w:ascii="Garamond" w:hAnsi="Garamond" w:cstheme="minorHAnsi"/>
        </w:rPr>
        <w:t xml:space="preserve">is where a person’s belief is </w:t>
      </w:r>
      <w:r w:rsidR="00A63312" w:rsidRPr="00973839">
        <w:rPr>
          <w:rFonts w:ascii="Garamond" w:hAnsi="Garamond" w:cstheme="minorHAnsi"/>
          <w:i/>
        </w:rPr>
        <w:t>disconnected</w:t>
      </w:r>
      <w:r w:rsidR="00A63312" w:rsidRPr="00973839">
        <w:rPr>
          <w:rFonts w:ascii="Garamond" w:hAnsi="Garamond" w:cstheme="minorHAnsi"/>
        </w:rPr>
        <w:t xml:space="preserve"> from the evidence. Desire and affection may also play a significant role in these </w:t>
      </w:r>
      <w:r w:rsidR="004B03C4" w:rsidRPr="00973839">
        <w:rPr>
          <w:rFonts w:ascii="Garamond" w:hAnsi="Garamond" w:cstheme="minorHAnsi"/>
        </w:rPr>
        <w:t>cases</w:t>
      </w:r>
      <w:r w:rsidR="006505A8" w:rsidRPr="00973839">
        <w:rPr>
          <w:rFonts w:ascii="Garamond" w:hAnsi="Garamond" w:cstheme="minorHAnsi"/>
        </w:rPr>
        <w:t xml:space="preserve"> as well</w:t>
      </w:r>
      <w:r w:rsidR="004B03C4" w:rsidRPr="00973839">
        <w:rPr>
          <w:rFonts w:ascii="Garamond" w:hAnsi="Garamond" w:cstheme="minorHAnsi"/>
        </w:rPr>
        <w:t>. My belief that a sports</w:t>
      </w:r>
      <w:r w:rsidR="00A63312" w:rsidRPr="00973839">
        <w:rPr>
          <w:rFonts w:ascii="Garamond" w:hAnsi="Garamond" w:cstheme="minorHAnsi"/>
        </w:rPr>
        <w:t xml:space="preserve"> team will lose the match may be based on my dislike of that team, rather than being based on their</w:t>
      </w:r>
      <w:r w:rsidR="004B03C4" w:rsidRPr="00973839">
        <w:rPr>
          <w:rFonts w:ascii="Garamond" w:hAnsi="Garamond" w:cstheme="minorHAnsi"/>
        </w:rPr>
        <w:t xml:space="preserve"> recent poor performances. A person’s belief that he won’t secure a job may be based on his depression and low confidence, rather than on a fair assessment of his own capabilities. In these cases, changes in evidence </w:t>
      </w:r>
      <w:r w:rsidR="002C0095" w:rsidRPr="00973839">
        <w:rPr>
          <w:rFonts w:ascii="Garamond" w:hAnsi="Garamond" w:cstheme="minorHAnsi"/>
        </w:rPr>
        <w:t>will rarely</w:t>
      </w:r>
      <w:r w:rsidR="004B03C4" w:rsidRPr="00973839">
        <w:rPr>
          <w:rFonts w:ascii="Garamond" w:hAnsi="Garamond" w:cstheme="minorHAnsi"/>
        </w:rPr>
        <w:t xml:space="preserve"> make </w:t>
      </w:r>
      <w:r w:rsidR="002C0095" w:rsidRPr="00973839">
        <w:rPr>
          <w:rFonts w:ascii="Garamond" w:hAnsi="Garamond" w:cstheme="minorHAnsi"/>
        </w:rPr>
        <w:t>much of a</w:t>
      </w:r>
      <w:r w:rsidR="004B03C4" w:rsidRPr="00973839">
        <w:rPr>
          <w:rFonts w:ascii="Garamond" w:hAnsi="Garamond" w:cstheme="minorHAnsi"/>
        </w:rPr>
        <w:t xml:space="preserve"> difference to the person’s belief because the person’s belief is not based on the evidence – it is disconnected from it. Of course, it may be that the person’s belief would be</w:t>
      </w:r>
      <w:r w:rsidR="002C0095" w:rsidRPr="00973839">
        <w:rPr>
          <w:rFonts w:ascii="Garamond" w:hAnsi="Garamond" w:cstheme="minorHAnsi"/>
        </w:rPr>
        <w:t xml:space="preserve"> warranted</w:t>
      </w:r>
      <w:r w:rsidR="004B03C4" w:rsidRPr="00973839">
        <w:rPr>
          <w:rFonts w:ascii="Garamond" w:hAnsi="Garamond" w:cstheme="minorHAnsi"/>
        </w:rPr>
        <w:t xml:space="preserve"> if it were based properly on evidence. I might be warranted in believing that the sports team will lose the match if that belief were based on evidence because there is </w:t>
      </w:r>
      <w:proofErr w:type="gramStart"/>
      <w:r w:rsidR="004B03C4" w:rsidRPr="00973839">
        <w:rPr>
          <w:rFonts w:ascii="Garamond" w:hAnsi="Garamond" w:cstheme="minorHAnsi"/>
        </w:rPr>
        <w:t>sufficient</w:t>
      </w:r>
      <w:proofErr w:type="gramEnd"/>
      <w:r w:rsidR="004B03C4" w:rsidRPr="00973839">
        <w:rPr>
          <w:rFonts w:ascii="Garamond" w:hAnsi="Garamond" w:cstheme="minorHAnsi"/>
        </w:rPr>
        <w:t xml:space="preserve"> evidence to warrant belief </w:t>
      </w:r>
      <w:r w:rsidR="00ED68B0" w:rsidRPr="00973839">
        <w:rPr>
          <w:rFonts w:ascii="Garamond" w:hAnsi="Garamond" w:cstheme="minorHAnsi"/>
        </w:rPr>
        <w:t>that they will lose</w:t>
      </w:r>
      <w:r w:rsidR="004B03C4" w:rsidRPr="00973839">
        <w:rPr>
          <w:rFonts w:ascii="Garamond" w:hAnsi="Garamond" w:cstheme="minorHAnsi"/>
        </w:rPr>
        <w:t xml:space="preserve">. </w:t>
      </w:r>
      <w:r w:rsidR="00984205" w:rsidRPr="00973839">
        <w:rPr>
          <w:rFonts w:ascii="Garamond" w:hAnsi="Garamond" w:cstheme="minorHAnsi"/>
        </w:rPr>
        <w:t xml:space="preserve">However, even if there is sufficient evidence to warrant belief in that proposition, my belief is not warranted if it </w:t>
      </w:r>
      <w:r w:rsidR="008606A6" w:rsidRPr="00973839">
        <w:rPr>
          <w:rFonts w:ascii="Garamond" w:hAnsi="Garamond" w:cstheme="minorHAnsi"/>
        </w:rPr>
        <w:t xml:space="preserve">is </w:t>
      </w:r>
      <w:r w:rsidR="00984205" w:rsidRPr="00973839">
        <w:rPr>
          <w:rFonts w:ascii="Garamond" w:hAnsi="Garamond" w:cstheme="minorHAnsi"/>
        </w:rPr>
        <w:t xml:space="preserve">not based on evidence, and in that case, I go beyond the evidence because I </w:t>
      </w:r>
      <w:r w:rsidR="00984CA2" w:rsidRPr="00973839">
        <w:rPr>
          <w:rFonts w:ascii="Garamond" w:hAnsi="Garamond" w:cstheme="minorHAnsi"/>
        </w:rPr>
        <w:t>do not</w:t>
      </w:r>
      <w:r w:rsidR="00984205" w:rsidRPr="00973839">
        <w:rPr>
          <w:rFonts w:ascii="Garamond" w:hAnsi="Garamond" w:cstheme="minorHAnsi"/>
        </w:rPr>
        <w:t xml:space="preserve"> </w:t>
      </w:r>
      <w:r w:rsidR="008606A6" w:rsidRPr="00973839">
        <w:rPr>
          <w:rFonts w:ascii="Garamond" w:hAnsi="Garamond" w:cstheme="minorHAnsi"/>
        </w:rPr>
        <w:t>properly</w:t>
      </w:r>
      <w:r w:rsidR="00984CA2" w:rsidRPr="00973839">
        <w:rPr>
          <w:rFonts w:ascii="Garamond" w:hAnsi="Garamond" w:cstheme="minorHAnsi"/>
        </w:rPr>
        <w:t xml:space="preserve"> base my belief on the</w:t>
      </w:r>
      <w:r w:rsidR="00984205" w:rsidRPr="00973839">
        <w:rPr>
          <w:rFonts w:ascii="Garamond" w:hAnsi="Garamond" w:cstheme="minorHAnsi"/>
        </w:rPr>
        <w:t xml:space="preserve"> evidence.</w:t>
      </w:r>
      <w:r w:rsidR="002C0095" w:rsidRPr="00973839">
        <w:rPr>
          <w:rFonts w:ascii="Garamond" w:hAnsi="Garamond" w:cstheme="minorHAnsi"/>
        </w:rPr>
        <w:t xml:space="preserve"> </w:t>
      </w:r>
      <w:bookmarkStart w:id="3" w:name="_Hlk512256065"/>
      <w:r w:rsidR="002C0095" w:rsidRPr="00973839">
        <w:rPr>
          <w:rFonts w:ascii="Garamond" w:hAnsi="Garamond" w:cstheme="minorHAnsi"/>
        </w:rPr>
        <w:t>We can state this as follows:</w:t>
      </w:r>
    </w:p>
    <w:p w14:paraId="54E8B53B" w14:textId="3912B469" w:rsidR="00A63312" w:rsidRPr="00973839" w:rsidRDefault="002C0095" w:rsidP="00973839">
      <w:pPr>
        <w:spacing w:after="120"/>
        <w:ind w:left="567"/>
        <w:jc w:val="both"/>
        <w:rPr>
          <w:rFonts w:ascii="Garamond" w:hAnsi="Garamond" w:cstheme="minorHAnsi"/>
        </w:rPr>
      </w:pPr>
      <w:bookmarkStart w:id="4" w:name="_Hlk512256085"/>
      <w:bookmarkEnd w:id="3"/>
      <w:r w:rsidRPr="00973839">
        <w:rPr>
          <w:rFonts w:ascii="Garamond" w:hAnsi="Garamond" w:cstheme="minorHAnsi"/>
          <w:sz w:val="22"/>
        </w:rPr>
        <w:t>DISCONNECTED</w:t>
      </w:r>
      <w:r w:rsidRPr="00973839">
        <w:rPr>
          <w:rFonts w:ascii="Garamond" w:hAnsi="Garamond" w:cstheme="minorHAnsi"/>
        </w:rPr>
        <w:t>:</w:t>
      </w:r>
      <w:bookmarkEnd w:id="4"/>
      <w:r w:rsidRPr="00973839">
        <w:rPr>
          <w:rFonts w:ascii="Garamond" w:hAnsi="Garamond" w:cstheme="minorHAnsi"/>
        </w:rPr>
        <w:t xml:space="preserve"> A person S’s doxastic attitude toward </w:t>
      </w:r>
      <w:r w:rsidRPr="00973839">
        <w:rPr>
          <w:rFonts w:ascii="Garamond" w:hAnsi="Garamond" w:cstheme="minorHAnsi"/>
          <w:i/>
        </w:rPr>
        <w:t>p</w:t>
      </w:r>
      <w:r w:rsidRPr="00973839">
        <w:rPr>
          <w:rFonts w:ascii="Garamond" w:hAnsi="Garamond" w:cstheme="minorHAnsi"/>
        </w:rPr>
        <w:t xml:space="preserve"> at </w:t>
      </w:r>
      <w:r w:rsidRPr="00973839">
        <w:rPr>
          <w:rFonts w:ascii="Garamond" w:hAnsi="Garamond" w:cstheme="minorHAnsi"/>
          <w:i/>
        </w:rPr>
        <w:t xml:space="preserve">t </w:t>
      </w:r>
      <w:r w:rsidRPr="00973839">
        <w:rPr>
          <w:rFonts w:ascii="Garamond" w:hAnsi="Garamond" w:cstheme="minorHAnsi"/>
        </w:rPr>
        <w:t xml:space="preserve">is disconnected from the evidence for </w:t>
      </w:r>
      <w:r w:rsidRPr="00973839">
        <w:rPr>
          <w:rFonts w:ascii="Garamond" w:hAnsi="Garamond" w:cstheme="minorHAnsi"/>
          <w:i/>
        </w:rPr>
        <w:t>p</w:t>
      </w:r>
      <w:r w:rsidRPr="00973839">
        <w:rPr>
          <w:rFonts w:ascii="Garamond" w:hAnsi="Garamond" w:cstheme="minorHAnsi"/>
        </w:rPr>
        <w:t xml:space="preserve"> at </w:t>
      </w:r>
      <w:r w:rsidRPr="00973839">
        <w:rPr>
          <w:rFonts w:ascii="Garamond" w:hAnsi="Garamond" w:cstheme="minorHAnsi"/>
          <w:i/>
        </w:rPr>
        <w:t>t</w:t>
      </w:r>
      <w:r w:rsidRPr="00973839">
        <w:rPr>
          <w:rFonts w:ascii="Garamond" w:hAnsi="Garamond" w:cstheme="minorHAnsi"/>
        </w:rPr>
        <w:t>.</w:t>
      </w:r>
    </w:p>
    <w:p w14:paraId="279946AD" w14:textId="5F282782" w:rsidR="00751F3F" w:rsidRPr="00973839" w:rsidRDefault="00FA771E" w:rsidP="00973839">
      <w:pPr>
        <w:spacing w:after="120"/>
        <w:ind w:firstLine="720"/>
        <w:jc w:val="both"/>
        <w:rPr>
          <w:rFonts w:ascii="Garamond" w:hAnsi="Garamond" w:cstheme="minorHAnsi"/>
        </w:rPr>
      </w:pPr>
      <w:r w:rsidRPr="00973839">
        <w:rPr>
          <w:rFonts w:ascii="Garamond" w:hAnsi="Garamond" w:cstheme="minorHAnsi"/>
        </w:rPr>
        <w:t>A</w:t>
      </w:r>
      <w:r w:rsidR="00984205" w:rsidRPr="00973839">
        <w:rPr>
          <w:rFonts w:ascii="Garamond" w:hAnsi="Garamond" w:cstheme="minorHAnsi"/>
        </w:rPr>
        <w:t xml:space="preserve"> third way of going beyond evidence</w:t>
      </w:r>
      <w:r w:rsidRPr="00973839">
        <w:rPr>
          <w:rFonts w:ascii="Garamond" w:hAnsi="Garamond" w:cstheme="minorHAnsi"/>
        </w:rPr>
        <w:t xml:space="preserve"> </w:t>
      </w:r>
      <w:r w:rsidR="0077170B" w:rsidRPr="00973839">
        <w:rPr>
          <w:rFonts w:ascii="Garamond" w:hAnsi="Garamond" w:cstheme="minorHAnsi"/>
        </w:rPr>
        <w:t>as an instance</w:t>
      </w:r>
      <w:r w:rsidRPr="00973839">
        <w:rPr>
          <w:rFonts w:ascii="Garamond" w:hAnsi="Garamond" w:cstheme="minorHAnsi"/>
        </w:rPr>
        <w:t xml:space="preserve"> of </w:t>
      </w:r>
      <w:bookmarkStart w:id="5" w:name="_Hlk512256288"/>
      <w:r w:rsidRPr="00973839">
        <w:rPr>
          <w:rFonts w:ascii="Garamond" w:hAnsi="Garamond" w:cstheme="minorHAnsi"/>
          <w:sz w:val="22"/>
        </w:rPr>
        <w:t>BEYOND</w:t>
      </w:r>
      <w:r w:rsidRPr="00973839">
        <w:rPr>
          <w:rFonts w:ascii="Garamond" w:hAnsi="Garamond" w:cstheme="minorHAnsi"/>
        </w:rPr>
        <w:t>(d)</w:t>
      </w:r>
      <w:r w:rsidR="00984205" w:rsidRPr="00973839">
        <w:rPr>
          <w:rFonts w:ascii="Garamond" w:hAnsi="Garamond" w:cstheme="minorHAnsi"/>
        </w:rPr>
        <w:t xml:space="preserve"> </w:t>
      </w:r>
      <w:bookmarkEnd w:id="5"/>
      <w:r w:rsidR="00984205" w:rsidRPr="00973839">
        <w:rPr>
          <w:rFonts w:ascii="Garamond" w:hAnsi="Garamond" w:cstheme="minorHAnsi"/>
        </w:rPr>
        <w:t>is</w:t>
      </w:r>
      <w:r w:rsidRPr="00973839">
        <w:rPr>
          <w:rFonts w:ascii="Garamond" w:hAnsi="Garamond" w:cstheme="minorHAnsi"/>
        </w:rPr>
        <w:t xml:space="preserve"> where</w:t>
      </w:r>
      <w:r w:rsidR="0077170B" w:rsidRPr="00973839">
        <w:rPr>
          <w:rFonts w:ascii="Garamond" w:hAnsi="Garamond" w:cstheme="minorHAnsi"/>
        </w:rPr>
        <w:t xml:space="preserve"> someone</w:t>
      </w:r>
      <w:r w:rsidR="002C0095" w:rsidRPr="00973839">
        <w:rPr>
          <w:rFonts w:ascii="Garamond" w:hAnsi="Garamond" w:cstheme="minorHAnsi"/>
        </w:rPr>
        <w:t xml:space="preserve"> </w:t>
      </w:r>
      <w:r w:rsidRPr="00973839">
        <w:rPr>
          <w:rFonts w:ascii="Garamond" w:hAnsi="Garamond" w:cstheme="minorHAnsi"/>
          <w:i/>
        </w:rPr>
        <w:t>inverts</w:t>
      </w:r>
      <w:r w:rsidRPr="00973839">
        <w:rPr>
          <w:rFonts w:ascii="Garamond" w:hAnsi="Garamond" w:cstheme="minorHAnsi"/>
        </w:rPr>
        <w:t xml:space="preserve"> the evidence for a proposition. In this </w:t>
      </w:r>
      <w:r w:rsidR="0077170B" w:rsidRPr="00973839">
        <w:rPr>
          <w:rFonts w:ascii="Garamond" w:hAnsi="Garamond" w:cstheme="minorHAnsi"/>
        </w:rPr>
        <w:t>sense</w:t>
      </w:r>
      <w:r w:rsidRPr="00973839">
        <w:rPr>
          <w:rFonts w:ascii="Garamond" w:hAnsi="Garamond" w:cstheme="minorHAnsi"/>
        </w:rPr>
        <w:t xml:space="preserve">, the person takes evidence that counts in favour of </w:t>
      </w:r>
      <w:r w:rsidRPr="00973839">
        <w:rPr>
          <w:rFonts w:ascii="Garamond" w:hAnsi="Garamond" w:cstheme="minorHAnsi"/>
          <w:i/>
        </w:rPr>
        <w:t>p</w:t>
      </w:r>
      <w:r w:rsidRPr="00973839">
        <w:rPr>
          <w:rFonts w:ascii="Garamond" w:hAnsi="Garamond" w:cstheme="minorHAnsi"/>
        </w:rPr>
        <w:t xml:space="preserve"> as evidence against </w:t>
      </w:r>
      <w:r w:rsidRPr="00973839">
        <w:rPr>
          <w:rFonts w:ascii="Garamond" w:hAnsi="Garamond" w:cstheme="minorHAnsi"/>
          <w:i/>
        </w:rPr>
        <w:t>p</w:t>
      </w:r>
      <w:r w:rsidRPr="00973839">
        <w:rPr>
          <w:rFonts w:ascii="Garamond" w:hAnsi="Garamond" w:cstheme="minorHAnsi"/>
        </w:rPr>
        <w:t xml:space="preserve">, and takes evidence that counts against </w:t>
      </w:r>
      <w:r w:rsidRPr="00973839">
        <w:rPr>
          <w:rFonts w:ascii="Garamond" w:hAnsi="Garamond" w:cstheme="minorHAnsi"/>
          <w:i/>
        </w:rPr>
        <w:t>p</w:t>
      </w:r>
      <w:r w:rsidRPr="00973839">
        <w:rPr>
          <w:rFonts w:ascii="Garamond" w:hAnsi="Garamond" w:cstheme="minorHAnsi"/>
        </w:rPr>
        <w:t xml:space="preserve"> as evidence in favour of </w:t>
      </w:r>
      <w:r w:rsidRPr="00973839">
        <w:rPr>
          <w:rFonts w:ascii="Garamond" w:hAnsi="Garamond" w:cstheme="minorHAnsi"/>
          <w:i/>
        </w:rPr>
        <w:t>p</w:t>
      </w:r>
      <w:r w:rsidRPr="00973839">
        <w:rPr>
          <w:rFonts w:ascii="Garamond" w:hAnsi="Garamond" w:cstheme="minorHAnsi"/>
        </w:rPr>
        <w:t xml:space="preserve">. From a psychological perspective, this </w:t>
      </w:r>
      <w:r w:rsidR="00D03850" w:rsidRPr="00973839">
        <w:rPr>
          <w:rFonts w:ascii="Garamond" w:hAnsi="Garamond" w:cstheme="minorHAnsi"/>
        </w:rPr>
        <w:t>notion</w:t>
      </w:r>
      <w:r w:rsidRPr="00973839">
        <w:rPr>
          <w:rFonts w:ascii="Garamond" w:hAnsi="Garamond" w:cstheme="minorHAnsi"/>
        </w:rPr>
        <w:t xml:space="preserve"> may seem implausible, or at best, only possible </w:t>
      </w:r>
      <w:r w:rsidR="00A854BC" w:rsidRPr="00973839">
        <w:rPr>
          <w:rFonts w:ascii="Garamond" w:hAnsi="Garamond" w:cstheme="minorHAnsi"/>
        </w:rPr>
        <w:t xml:space="preserve">for </w:t>
      </w:r>
      <w:r w:rsidRPr="00973839">
        <w:rPr>
          <w:rFonts w:ascii="Garamond" w:hAnsi="Garamond" w:cstheme="minorHAnsi"/>
        </w:rPr>
        <w:t>people suffering from particular cognitive defects. However, it is sometimes used i</w:t>
      </w:r>
      <w:r w:rsidR="0077170B" w:rsidRPr="00973839">
        <w:rPr>
          <w:rFonts w:ascii="Garamond" w:hAnsi="Garamond" w:cstheme="minorHAnsi"/>
        </w:rPr>
        <w:t>n</w:t>
      </w:r>
      <w:r w:rsidRPr="00973839">
        <w:rPr>
          <w:rFonts w:ascii="Garamond" w:hAnsi="Garamond" w:cstheme="minorHAnsi"/>
        </w:rPr>
        <w:t xml:space="preserve"> discussions concerning religious faith, </w:t>
      </w:r>
      <w:r w:rsidR="00A455C8" w:rsidRPr="00973839">
        <w:rPr>
          <w:rFonts w:ascii="Garamond" w:hAnsi="Garamond" w:cstheme="minorHAnsi"/>
        </w:rPr>
        <w:t>occasionally</w:t>
      </w:r>
      <w:r w:rsidR="006505A8" w:rsidRPr="00973839">
        <w:rPr>
          <w:rFonts w:ascii="Garamond" w:hAnsi="Garamond" w:cstheme="minorHAnsi"/>
        </w:rPr>
        <w:t xml:space="preserve"> </w:t>
      </w:r>
      <w:r w:rsidR="0077170B" w:rsidRPr="00973839">
        <w:rPr>
          <w:rFonts w:ascii="Garamond" w:hAnsi="Garamond" w:cstheme="minorHAnsi"/>
        </w:rPr>
        <w:t xml:space="preserve">associated </w:t>
      </w:r>
      <w:r w:rsidRPr="00973839">
        <w:rPr>
          <w:rFonts w:ascii="Garamond" w:hAnsi="Garamond" w:cstheme="minorHAnsi"/>
        </w:rPr>
        <w:t xml:space="preserve">with some of the writings of Kierkegaard. For instance, the acknowledgement that some religious doctrines, like the incarnation, are paradoxical, </w:t>
      </w:r>
      <w:r w:rsidR="00751F3F" w:rsidRPr="00973839">
        <w:rPr>
          <w:rFonts w:ascii="Garamond" w:hAnsi="Garamond" w:cstheme="minorHAnsi"/>
        </w:rPr>
        <w:t>is sometimes taken as a reason to believe in a doctrine like the incarnation (see Evans 199</w:t>
      </w:r>
      <w:r w:rsidR="00BD4A69" w:rsidRPr="00973839">
        <w:rPr>
          <w:rFonts w:ascii="Garamond" w:hAnsi="Garamond" w:cstheme="minorHAnsi"/>
        </w:rPr>
        <w:t>8</w:t>
      </w:r>
      <w:r w:rsidR="00751F3F" w:rsidRPr="00973839">
        <w:rPr>
          <w:rFonts w:ascii="Garamond" w:hAnsi="Garamond" w:cstheme="minorHAnsi"/>
        </w:rPr>
        <w:t xml:space="preserve">). </w:t>
      </w:r>
      <w:r w:rsidR="00751F3F" w:rsidRPr="00973839">
        <w:rPr>
          <w:rFonts w:ascii="Garamond" w:hAnsi="Garamond" w:cstheme="minorHAnsi"/>
        </w:rPr>
        <w:lastRenderedPageBreak/>
        <w:t xml:space="preserve">Ordinarily though, a paradox would give us reasons against believing a particular proposition. When the basis for a person’s belief in a proposition is evidence that contradicts the proposition, then </w:t>
      </w:r>
      <w:proofErr w:type="gramStart"/>
      <w:r w:rsidR="00751F3F" w:rsidRPr="00973839">
        <w:rPr>
          <w:rFonts w:ascii="Garamond" w:hAnsi="Garamond" w:cstheme="minorHAnsi"/>
        </w:rPr>
        <w:t>clearly</w:t>
      </w:r>
      <w:proofErr w:type="gramEnd"/>
      <w:r w:rsidR="00A455C8" w:rsidRPr="00973839">
        <w:rPr>
          <w:rFonts w:ascii="Garamond" w:hAnsi="Garamond" w:cstheme="minorHAnsi"/>
        </w:rPr>
        <w:t xml:space="preserve"> she does not properly base</w:t>
      </w:r>
      <w:r w:rsidR="00751F3F" w:rsidRPr="00973839">
        <w:rPr>
          <w:rFonts w:ascii="Garamond" w:hAnsi="Garamond" w:cstheme="minorHAnsi"/>
        </w:rPr>
        <w:t xml:space="preserve"> her </w:t>
      </w:r>
      <w:r w:rsidR="00A455C8" w:rsidRPr="00973839">
        <w:rPr>
          <w:rFonts w:ascii="Garamond" w:hAnsi="Garamond" w:cstheme="minorHAnsi"/>
        </w:rPr>
        <w:t xml:space="preserve">belief on the </w:t>
      </w:r>
      <w:r w:rsidR="00751F3F" w:rsidRPr="00973839">
        <w:rPr>
          <w:rFonts w:ascii="Garamond" w:hAnsi="Garamond" w:cstheme="minorHAnsi"/>
        </w:rPr>
        <w:t xml:space="preserve">evidence. </w:t>
      </w:r>
      <w:bookmarkStart w:id="6" w:name="_Hlk512265746"/>
      <w:r w:rsidR="00751F3F" w:rsidRPr="00973839">
        <w:rPr>
          <w:rFonts w:ascii="Garamond" w:hAnsi="Garamond" w:cstheme="minorHAnsi"/>
        </w:rPr>
        <w:t>We can state this as follows:</w:t>
      </w:r>
    </w:p>
    <w:bookmarkEnd w:id="6"/>
    <w:p w14:paraId="66E3D6AA" w14:textId="5319C06C" w:rsidR="00426147" w:rsidRPr="00973839" w:rsidRDefault="00751F3F" w:rsidP="00973839">
      <w:pPr>
        <w:spacing w:after="120"/>
        <w:ind w:left="567"/>
        <w:jc w:val="both"/>
        <w:rPr>
          <w:rFonts w:ascii="Garamond" w:hAnsi="Garamond" w:cstheme="minorHAnsi"/>
        </w:rPr>
      </w:pPr>
      <w:r w:rsidRPr="00973839">
        <w:rPr>
          <w:rFonts w:ascii="Garamond" w:hAnsi="Garamond" w:cstheme="minorHAnsi"/>
          <w:sz w:val="22"/>
        </w:rPr>
        <w:t>INVERTED</w:t>
      </w:r>
      <w:r w:rsidRPr="00973839">
        <w:rPr>
          <w:rFonts w:ascii="Garamond" w:hAnsi="Garamond" w:cstheme="minorHAnsi"/>
        </w:rPr>
        <w:t xml:space="preserve">: </w:t>
      </w:r>
      <w:r w:rsidR="0093215A" w:rsidRPr="00973839">
        <w:rPr>
          <w:rFonts w:ascii="Garamond" w:hAnsi="Garamond" w:cstheme="minorHAnsi"/>
        </w:rPr>
        <w:t>S takes evidence that</w:t>
      </w:r>
      <w:r w:rsidR="004313C4" w:rsidRPr="00973839">
        <w:rPr>
          <w:rFonts w:ascii="Garamond" w:hAnsi="Garamond" w:cstheme="minorHAnsi"/>
        </w:rPr>
        <w:t xml:space="preserve"> count</w:t>
      </w:r>
      <w:r w:rsidR="007D1103" w:rsidRPr="00973839">
        <w:rPr>
          <w:rFonts w:ascii="Garamond" w:hAnsi="Garamond" w:cstheme="minorHAnsi"/>
        </w:rPr>
        <w:t>s</w:t>
      </w:r>
      <w:r w:rsidR="004313C4" w:rsidRPr="00973839">
        <w:rPr>
          <w:rFonts w:ascii="Garamond" w:hAnsi="Garamond" w:cstheme="minorHAnsi"/>
        </w:rPr>
        <w:t xml:space="preserve"> in favour </w:t>
      </w:r>
      <w:r w:rsidR="007D1103" w:rsidRPr="00973839">
        <w:rPr>
          <w:rFonts w:ascii="Garamond" w:hAnsi="Garamond" w:cstheme="minorHAnsi"/>
        </w:rPr>
        <w:t>of</w:t>
      </w:r>
      <w:r w:rsidR="004313C4" w:rsidRPr="00973839">
        <w:rPr>
          <w:rFonts w:ascii="Garamond" w:hAnsi="Garamond" w:cstheme="minorHAnsi"/>
        </w:rPr>
        <w:t xml:space="preserve"> </w:t>
      </w:r>
      <w:r w:rsidR="004313C4" w:rsidRPr="00973839">
        <w:rPr>
          <w:rFonts w:ascii="Garamond" w:hAnsi="Garamond" w:cstheme="minorHAnsi"/>
          <w:i/>
        </w:rPr>
        <w:t>p</w:t>
      </w:r>
      <w:r w:rsidR="004313C4" w:rsidRPr="00973839">
        <w:rPr>
          <w:rFonts w:ascii="Garamond" w:hAnsi="Garamond" w:cstheme="minorHAnsi"/>
        </w:rPr>
        <w:t xml:space="preserve"> as</w:t>
      </w:r>
      <w:r w:rsidR="007D1103" w:rsidRPr="00973839">
        <w:rPr>
          <w:rFonts w:ascii="Garamond" w:hAnsi="Garamond" w:cstheme="minorHAnsi"/>
        </w:rPr>
        <w:t xml:space="preserve"> evidence against </w:t>
      </w:r>
      <w:r w:rsidR="007D1103" w:rsidRPr="00973839">
        <w:rPr>
          <w:rFonts w:ascii="Garamond" w:hAnsi="Garamond" w:cstheme="minorHAnsi"/>
          <w:i/>
        </w:rPr>
        <w:t>p</w:t>
      </w:r>
      <w:r w:rsidR="007D1103" w:rsidRPr="00973839">
        <w:rPr>
          <w:rFonts w:ascii="Garamond" w:hAnsi="Garamond" w:cstheme="minorHAnsi"/>
        </w:rPr>
        <w:t xml:space="preserve">, </w:t>
      </w:r>
      <w:r w:rsidR="0077170B" w:rsidRPr="00973839">
        <w:rPr>
          <w:rFonts w:ascii="Garamond" w:hAnsi="Garamond" w:cstheme="minorHAnsi"/>
        </w:rPr>
        <w:t>or</w:t>
      </w:r>
      <w:r w:rsidR="007D1103" w:rsidRPr="00973839">
        <w:rPr>
          <w:rFonts w:ascii="Garamond" w:hAnsi="Garamond" w:cstheme="minorHAnsi"/>
        </w:rPr>
        <w:t xml:space="preserve"> takes evidence that counts against </w:t>
      </w:r>
      <w:r w:rsidR="007D1103" w:rsidRPr="00973839">
        <w:rPr>
          <w:rFonts w:ascii="Garamond" w:hAnsi="Garamond" w:cstheme="minorHAnsi"/>
          <w:i/>
        </w:rPr>
        <w:t>p</w:t>
      </w:r>
      <w:r w:rsidR="007D1103" w:rsidRPr="00973839">
        <w:rPr>
          <w:rFonts w:ascii="Garamond" w:hAnsi="Garamond" w:cstheme="minorHAnsi"/>
        </w:rPr>
        <w:t xml:space="preserve"> as evidence</w:t>
      </w:r>
      <w:r w:rsidR="004313C4" w:rsidRPr="00973839">
        <w:rPr>
          <w:rFonts w:ascii="Garamond" w:hAnsi="Garamond" w:cstheme="minorHAnsi"/>
        </w:rPr>
        <w:t xml:space="preserve"> in favour of </w:t>
      </w:r>
      <w:r w:rsidR="004313C4" w:rsidRPr="00973839">
        <w:rPr>
          <w:rFonts w:ascii="Garamond" w:hAnsi="Garamond" w:cstheme="minorHAnsi"/>
          <w:i/>
        </w:rPr>
        <w:t>p</w:t>
      </w:r>
      <w:r w:rsidR="004313C4" w:rsidRPr="00973839">
        <w:rPr>
          <w:rFonts w:ascii="Garamond" w:hAnsi="Garamond" w:cstheme="minorHAnsi"/>
        </w:rPr>
        <w:t>.</w:t>
      </w:r>
    </w:p>
    <w:p w14:paraId="1DF7CB53" w14:textId="0A7C8C33" w:rsidR="0077170B" w:rsidRPr="00973839" w:rsidRDefault="00A455C8" w:rsidP="00973839">
      <w:pPr>
        <w:jc w:val="both"/>
        <w:rPr>
          <w:rFonts w:ascii="Garamond" w:hAnsi="Garamond" w:cstheme="minorHAnsi"/>
        </w:rPr>
      </w:pPr>
      <w:r w:rsidRPr="00973839">
        <w:rPr>
          <w:rFonts w:ascii="Garamond" w:hAnsi="Garamond" w:cstheme="minorHAnsi"/>
        </w:rPr>
        <w:t>L</w:t>
      </w:r>
      <w:r w:rsidR="006505A8" w:rsidRPr="00973839">
        <w:rPr>
          <w:rFonts w:ascii="Garamond" w:hAnsi="Garamond" w:cstheme="minorHAnsi"/>
        </w:rPr>
        <w:t>et’s now consider going beyond the evidence in terms of action.</w:t>
      </w:r>
    </w:p>
    <w:p w14:paraId="6A7B82B4" w14:textId="77777777" w:rsidR="006505A8" w:rsidRPr="00973839" w:rsidRDefault="006505A8" w:rsidP="00973839">
      <w:pPr>
        <w:jc w:val="both"/>
        <w:rPr>
          <w:rFonts w:ascii="Garamond" w:hAnsi="Garamond" w:cstheme="minorHAnsi"/>
        </w:rPr>
      </w:pPr>
    </w:p>
    <w:p w14:paraId="243BDDF0" w14:textId="1C5F5F25" w:rsidR="0077170B" w:rsidRPr="00973839" w:rsidRDefault="00F4115A" w:rsidP="00973839">
      <w:pPr>
        <w:pStyle w:val="Subtitle"/>
        <w:numPr>
          <w:ilvl w:val="1"/>
          <w:numId w:val="19"/>
        </w:numPr>
        <w:ind w:left="1134"/>
        <w:rPr>
          <w:rFonts w:ascii="Garamond" w:hAnsi="Garamond" w:cstheme="minorHAnsi"/>
          <w:b w:val="0"/>
        </w:rPr>
      </w:pPr>
      <w:bookmarkStart w:id="7" w:name="_Hlk512266071"/>
      <w:r w:rsidRPr="00973839">
        <w:rPr>
          <w:rFonts w:ascii="Garamond" w:hAnsi="Garamond" w:cstheme="minorHAnsi"/>
          <w:b w:val="0"/>
        </w:rPr>
        <w:t xml:space="preserve">Going Beyond Evidence: </w:t>
      </w:r>
      <w:r w:rsidR="0077170B" w:rsidRPr="00973839">
        <w:rPr>
          <w:rFonts w:ascii="Garamond" w:hAnsi="Garamond" w:cstheme="minorHAnsi"/>
          <w:b w:val="0"/>
        </w:rPr>
        <w:t>Action</w:t>
      </w:r>
    </w:p>
    <w:bookmarkEnd w:id="7"/>
    <w:p w14:paraId="2DB40D4D" w14:textId="2B71A9DE" w:rsidR="00A13EF5" w:rsidRPr="00973839" w:rsidRDefault="00A13EF5" w:rsidP="00973839">
      <w:pPr>
        <w:spacing w:after="120"/>
        <w:jc w:val="both"/>
        <w:rPr>
          <w:rFonts w:ascii="Garamond" w:hAnsi="Garamond" w:cstheme="minorHAnsi"/>
        </w:rPr>
      </w:pPr>
      <w:r w:rsidRPr="00973839">
        <w:rPr>
          <w:rFonts w:ascii="Garamond" w:hAnsi="Garamond" w:cstheme="minorHAnsi"/>
        </w:rPr>
        <w:t xml:space="preserve">A straightforward way of going beyond the evidence in terms of action is by acting as though </w:t>
      </w:r>
      <w:r w:rsidR="00EE72D1" w:rsidRPr="00973839">
        <w:rPr>
          <w:rFonts w:ascii="Garamond" w:hAnsi="Garamond" w:cstheme="minorHAnsi"/>
          <w:i/>
        </w:rPr>
        <w:t>p</w:t>
      </w:r>
      <w:r w:rsidR="00EE72D1" w:rsidRPr="00973839">
        <w:rPr>
          <w:rFonts w:ascii="Garamond" w:hAnsi="Garamond" w:cstheme="minorHAnsi"/>
        </w:rPr>
        <w:t xml:space="preserve"> despite </w:t>
      </w:r>
      <w:r w:rsidR="00DC0366" w:rsidRPr="00973839">
        <w:rPr>
          <w:rFonts w:ascii="Garamond" w:hAnsi="Garamond" w:cstheme="minorHAnsi"/>
        </w:rPr>
        <w:t xml:space="preserve">the fact </w:t>
      </w:r>
      <w:r w:rsidR="00EE72D1" w:rsidRPr="00973839">
        <w:rPr>
          <w:rFonts w:ascii="Garamond" w:hAnsi="Garamond" w:cstheme="minorHAnsi"/>
        </w:rPr>
        <w:t xml:space="preserve">that the evidence does not warrant belief that </w:t>
      </w:r>
      <w:r w:rsidR="00EE72D1" w:rsidRPr="00973839">
        <w:rPr>
          <w:rFonts w:ascii="Garamond" w:hAnsi="Garamond" w:cstheme="minorHAnsi"/>
          <w:i/>
        </w:rPr>
        <w:t>p</w:t>
      </w:r>
      <w:r w:rsidR="00EE72D1" w:rsidRPr="00973839">
        <w:rPr>
          <w:rFonts w:ascii="Garamond" w:hAnsi="Garamond" w:cstheme="minorHAnsi"/>
        </w:rPr>
        <w:t xml:space="preserve">. </w:t>
      </w:r>
      <w:r w:rsidRPr="00973839">
        <w:rPr>
          <w:rFonts w:ascii="Garamond" w:hAnsi="Garamond" w:cstheme="minorHAnsi"/>
        </w:rPr>
        <w:t xml:space="preserve">Someone might do this by asserting </w:t>
      </w:r>
      <w:r w:rsidRPr="00973839">
        <w:rPr>
          <w:rFonts w:ascii="Garamond" w:hAnsi="Garamond" w:cstheme="minorHAnsi"/>
          <w:i/>
        </w:rPr>
        <w:t>p</w:t>
      </w:r>
      <w:r w:rsidR="00EE72D1" w:rsidRPr="00973839">
        <w:rPr>
          <w:rFonts w:ascii="Garamond" w:hAnsi="Garamond" w:cstheme="minorHAnsi"/>
        </w:rPr>
        <w:t>, even though the evidence warrants suspension of judgment or disbelief that</w:t>
      </w:r>
      <w:r w:rsidRPr="00973839">
        <w:rPr>
          <w:rFonts w:ascii="Garamond" w:hAnsi="Garamond" w:cstheme="minorHAnsi"/>
        </w:rPr>
        <w:t xml:space="preserve"> </w:t>
      </w:r>
      <w:r w:rsidRPr="00973839">
        <w:rPr>
          <w:rFonts w:ascii="Garamond" w:hAnsi="Garamond" w:cstheme="minorHAnsi"/>
          <w:i/>
        </w:rPr>
        <w:t>p</w:t>
      </w:r>
      <w:r w:rsidR="00EE72D1" w:rsidRPr="00973839">
        <w:rPr>
          <w:rFonts w:ascii="Garamond" w:hAnsi="Garamond" w:cstheme="minorHAnsi"/>
        </w:rPr>
        <w:t xml:space="preserve">, </w:t>
      </w:r>
      <w:r w:rsidRPr="00973839">
        <w:rPr>
          <w:rFonts w:ascii="Garamond" w:hAnsi="Garamond" w:cstheme="minorHAnsi"/>
        </w:rPr>
        <w:t xml:space="preserve">as when I tell my friend that she will pass her exams when </w:t>
      </w:r>
      <w:r w:rsidR="00EE72D1" w:rsidRPr="00973839">
        <w:rPr>
          <w:rFonts w:ascii="Garamond" w:hAnsi="Garamond" w:cstheme="minorHAnsi"/>
        </w:rPr>
        <w:t xml:space="preserve">the evidence warrants that I </w:t>
      </w:r>
      <w:r w:rsidRPr="00973839">
        <w:rPr>
          <w:rFonts w:ascii="Garamond" w:hAnsi="Garamond" w:cstheme="minorHAnsi"/>
        </w:rPr>
        <w:t xml:space="preserve">believe that she will fail her exams. </w:t>
      </w:r>
      <w:r w:rsidR="00EE72D1" w:rsidRPr="00973839">
        <w:rPr>
          <w:rFonts w:ascii="Garamond" w:hAnsi="Garamond" w:cstheme="minorHAnsi"/>
        </w:rPr>
        <w:t xml:space="preserve">In </w:t>
      </w:r>
      <w:r w:rsidR="008606A6" w:rsidRPr="00973839">
        <w:rPr>
          <w:rFonts w:ascii="Garamond" w:hAnsi="Garamond" w:cstheme="minorHAnsi"/>
        </w:rPr>
        <w:t>this case</w:t>
      </w:r>
      <w:r w:rsidR="00EE72D1" w:rsidRPr="00973839">
        <w:rPr>
          <w:rFonts w:ascii="Garamond" w:hAnsi="Garamond" w:cstheme="minorHAnsi"/>
        </w:rPr>
        <w:t>, some</w:t>
      </w:r>
      <w:r w:rsidR="008606A6" w:rsidRPr="00973839">
        <w:rPr>
          <w:rFonts w:ascii="Garamond" w:hAnsi="Garamond" w:cstheme="minorHAnsi"/>
        </w:rPr>
        <w:t>one</w:t>
      </w:r>
      <w:r w:rsidR="00EE72D1" w:rsidRPr="00973839">
        <w:rPr>
          <w:rFonts w:ascii="Garamond" w:hAnsi="Garamond" w:cstheme="minorHAnsi"/>
        </w:rPr>
        <w:t xml:space="preserve"> might hold a variety of doxastic attitudes towards </w:t>
      </w:r>
      <w:r w:rsidR="00EE72D1" w:rsidRPr="00973839">
        <w:rPr>
          <w:rFonts w:ascii="Garamond" w:hAnsi="Garamond" w:cstheme="minorHAnsi"/>
          <w:i/>
        </w:rPr>
        <w:t>p</w:t>
      </w:r>
      <w:r w:rsidR="008606A6" w:rsidRPr="00973839">
        <w:rPr>
          <w:rFonts w:ascii="Garamond" w:hAnsi="Garamond" w:cstheme="minorHAnsi"/>
        </w:rPr>
        <w:t xml:space="preserve"> – belief, disbelief, varieties of epistemic possibility, etc</w:t>
      </w:r>
      <w:r w:rsidR="00B37ABB" w:rsidRPr="00973839">
        <w:rPr>
          <w:rFonts w:ascii="Garamond" w:hAnsi="Garamond" w:cstheme="minorHAnsi"/>
        </w:rPr>
        <w:t>.</w:t>
      </w:r>
      <w:r w:rsidR="00EE72D1" w:rsidRPr="00973839">
        <w:rPr>
          <w:rFonts w:ascii="Garamond" w:hAnsi="Garamond" w:cstheme="minorHAnsi"/>
        </w:rPr>
        <w:t xml:space="preserve"> The point, though, is that you act as if </w:t>
      </w:r>
      <w:r w:rsidR="00EE72D1" w:rsidRPr="00973839">
        <w:rPr>
          <w:rFonts w:ascii="Garamond" w:hAnsi="Garamond" w:cstheme="minorHAnsi"/>
          <w:i/>
        </w:rPr>
        <w:t>p</w:t>
      </w:r>
      <w:r w:rsidR="00EE72D1" w:rsidRPr="00973839">
        <w:rPr>
          <w:rFonts w:ascii="Garamond" w:hAnsi="Garamond" w:cstheme="minorHAnsi"/>
        </w:rPr>
        <w:t xml:space="preserve"> when the evidence </w:t>
      </w:r>
      <w:r w:rsidR="007C143B" w:rsidRPr="00973839">
        <w:rPr>
          <w:rFonts w:ascii="Garamond" w:hAnsi="Garamond" w:cstheme="minorHAnsi"/>
        </w:rPr>
        <w:t xml:space="preserve">does not </w:t>
      </w:r>
      <w:r w:rsidR="00EE72D1" w:rsidRPr="00973839">
        <w:rPr>
          <w:rFonts w:ascii="Garamond" w:hAnsi="Garamond" w:cstheme="minorHAnsi"/>
        </w:rPr>
        <w:t xml:space="preserve">warrant belief that </w:t>
      </w:r>
      <w:r w:rsidR="00EE72D1" w:rsidRPr="00973839">
        <w:rPr>
          <w:rFonts w:ascii="Garamond" w:hAnsi="Garamond" w:cstheme="minorHAnsi"/>
          <w:i/>
        </w:rPr>
        <w:t>p</w:t>
      </w:r>
      <w:r w:rsidR="00EE72D1" w:rsidRPr="00973839">
        <w:rPr>
          <w:rFonts w:ascii="Garamond" w:hAnsi="Garamond" w:cstheme="minorHAnsi"/>
        </w:rPr>
        <w:t>.</w:t>
      </w:r>
      <w:r w:rsidRPr="00973839">
        <w:rPr>
          <w:rFonts w:ascii="Garamond" w:hAnsi="Garamond" w:cstheme="minorHAnsi"/>
        </w:rPr>
        <w:t xml:space="preserve"> From this we can take the following to be the basic </w:t>
      </w:r>
      <w:r w:rsidRPr="00973839">
        <w:rPr>
          <w:rFonts w:ascii="Garamond" w:hAnsi="Garamond" w:cstheme="minorHAnsi"/>
          <w:i/>
        </w:rPr>
        <w:t>active</w:t>
      </w:r>
      <w:r w:rsidRPr="00973839">
        <w:rPr>
          <w:rFonts w:ascii="Garamond" w:hAnsi="Garamond" w:cstheme="minorHAnsi"/>
        </w:rPr>
        <w:t xml:space="preserve"> (a) concept</w:t>
      </w:r>
      <w:r w:rsidR="008606A6" w:rsidRPr="00973839">
        <w:rPr>
          <w:rFonts w:ascii="Garamond" w:hAnsi="Garamond" w:cstheme="minorHAnsi"/>
        </w:rPr>
        <w:t>ion</w:t>
      </w:r>
      <w:r w:rsidRPr="00973839">
        <w:rPr>
          <w:rFonts w:ascii="Garamond" w:hAnsi="Garamond" w:cstheme="minorHAnsi"/>
        </w:rPr>
        <w:t xml:space="preserve"> of going beyond the evidence:</w:t>
      </w:r>
    </w:p>
    <w:p w14:paraId="045C5CB0" w14:textId="1E0890AC" w:rsidR="00CD1B42" w:rsidRPr="00973839" w:rsidRDefault="00CD1B42" w:rsidP="00973839">
      <w:pPr>
        <w:spacing w:after="120"/>
        <w:ind w:left="567"/>
        <w:jc w:val="both"/>
        <w:rPr>
          <w:rFonts w:ascii="Garamond" w:hAnsi="Garamond" w:cstheme="minorHAnsi"/>
        </w:rPr>
      </w:pPr>
      <w:bookmarkStart w:id="8" w:name="_Hlk512262441"/>
      <w:bookmarkStart w:id="9" w:name="_Hlk531077644"/>
      <w:r w:rsidRPr="00973839">
        <w:rPr>
          <w:rFonts w:ascii="Garamond" w:hAnsi="Garamond" w:cstheme="minorHAnsi"/>
          <w:sz w:val="22"/>
        </w:rPr>
        <w:t>BEYOND</w:t>
      </w:r>
      <w:r w:rsidRPr="00973839">
        <w:rPr>
          <w:rFonts w:ascii="Garamond" w:hAnsi="Garamond" w:cstheme="minorHAnsi"/>
        </w:rPr>
        <w:t>(a)</w:t>
      </w:r>
      <w:bookmarkEnd w:id="8"/>
      <w:r w:rsidRPr="00973839">
        <w:rPr>
          <w:rFonts w:ascii="Garamond" w:hAnsi="Garamond" w:cstheme="minorHAnsi"/>
        </w:rPr>
        <w:t xml:space="preserve">: A person S goes beyond the evidence when S acts as if it is the case that </w:t>
      </w:r>
      <w:r w:rsidRPr="00973839">
        <w:rPr>
          <w:rFonts w:ascii="Garamond" w:hAnsi="Garamond" w:cstheme="minorHAnsi"/>
          <w:i/>
        </w:rPr>
        <w:t>p</w:t>
      </w:r>
      <w:r w:rsidR="00EE72D1" w:rsidRPr="00973839">
        <w:rPr>
          <w:rFonts w:ascii="Garamond" w:hAnsi="Garamond" w:cstheme="minorHAnsi"/>
        </w:rPr>
        <w:t>, even though S’s evidence</w:t>
      </w:r>
      <w:r w:rsidRPr="00973839">
        <w:rPr>
          <w:rFonts w:ascii="Garamond" w:hAnsi="Garamond" w:cstheme="minorHAnsi"/>
        </w:rPr>
        <w:t xml:space="preserve"> does not </w:t>
      </w:r>
      <w:r w:rsidR="00EE72D1" w:rsidRPr="00973839">
        <w:rPr>
          <w:rFonts w:ascii="Garamond" w:hAnsi="Garamond" w:cstheme="minorHAnsi"/>
        </w:rPr>
        <w:t>warrant believing</w:t>
      </w:r>
      <w:r w:rsidRPr="00973839">
        <w:rPr>
          <w:rFonts w:ascii="Garamond" w:hAnsi="Garamond" w:cstheme="minorHAnsi"/>
        </w:rPr>
        <w:t xml:space="preserve"> </w:t>
      </w:r>
      <w:r w:rsidRPr="00973839">
        <w:rPr>
          <w:rFonts w:ascii="Garamond" w:hAnsi="Garamond" w:cstheme="minorHAnsi"/>
          <w:i/>
        </w:rPr>
        <w:t>p</w:t>
      </w:r>
      <w:r w:rsidRPr="00973839">
        <w:rPr>
          <w:rFonts w:ascii="Garamond" w:hAnsi="Garamond" w:cstheme="minorHAnsi"/>
        </w:rPr>
        <w:t>.</w:t>
      </w:r>
    </w:p>
    <w:bookmarkEnd w:id="9"/>
    <w:p w14:paraId="3E40F5E5" w14:textId="384503A0" w:rsidR="00B40EB7" w:rsidRPr="00973839" w:rsidRDefault="005672E0" w:rsidP="00973839">
      <w:pPr>
        <w:jc w:val="both"/>
        <w:rPr>
          <w:rFonts w:ascii="Garamond" w:hAnsi="Garamond" w:cstheme="minorHAnsi"/>
        </w:rPr>
      </w:pPr>
      <w:r w:rsidRPr="00973839">
        <w:rPr>
          <w:rFonts w:ascii="Garamond" w:hAnsi="Garamond" w:cstheme="minorHAnsi"/>
        </w:rPr>
        <w:t>As wit</w:t>
      </w:r>
      <w:r w:rsidR="00B40EB7" w:rsidRPr="00973839">
        <w:rPr>
          <w:rFonts w:ascii="Garamond" w:hAnsi="Garamond" w:cstheme="minorHAnsi"/>
        </w:rPr>
        <w:t xml:space="preserve">h </w:t>
      </w:r>
      <w:bookmarkStart w:id="10" w:name="_Hlk512265882"/>
      <w:r w:rsidR="00B40EB7" w:rsidRPr="00973839">
        <w:rPr>
          <w:rFonts w:ascii="Garamond" w:hAnsi="Garamond" w:cstheme="minorHAnsi"/>
          <w:sz w:val="22"/>
        </w:rPr>
        <w:t>BEYOND</w:t>
      </w:r>
      <w:r w:rsidR="00B40EB7" w:rsidRPr="00973839">
        <w:rPr>
          <w:rFonts w:ascii="Garamond" w:hAnsi="Garamond" w:cstheme="minorHAnsi"/>
        </w:rPr>
        <w:t>(d)</w:t>
      </w:r>
      <w:bookmarkEnd w:id="10"/>
      <w:r w:rsidR="00B40EB7" w:rsidRPr="00973839">
        <w:rPr>
          <w:rFonts w:ascii="Garamond" w:hAnsi="Garamond" w:cstheme="minorHAnsi"/>
        </w:rPr>
        <w:t xml:space="preserve">, </w:t>
      </w:r>
      <w:r w:rsidR="00D03850" w:rsidRPr="00973839">
        <w:rPr>
          <w:rFonts w:ascii="Garamond" w:hAnsi="Garamond" w:cstheme="minorHAnsi"/>
        </w:rPr>
        <w:t>when it comes to</w:t>
      </w:r>
      <w:r w:rsidR="00B40EB7" w:rsidRPr="00973839">
        <w:rPr>
          <w:rFonts w:ascii="Garamond" w:hAnsi="Garamond" w:cstheme="minorHAnsi"/>
        </w:rPr>
        <w:t xml:space="preserve"> </w:t>
      </w:r>
      <w:bookmarkStart w:id="11" w:name="_Hlk512265904"/>
      <w:r w:rsidR="00B40EB7" w:rsidRPr="00973839">
        <w:rPr>
          <w:rFonts w:ascii="Garamond" w:hAnsi="Garamond" w:cstheme="minorHAnsi"/>
          <w:sz w:val="22"/>
        </w:rPr>
        <w:t>BEYOND</w:t>
      </w:r>
      <w:r w:rsidR="00B40EB7" w:rsidRPr="00973839">
        <w:rPr>
          <w:rFonts w:ascii="Garamond" w:hAnsi="Garamond" w:cstheme="minorHAnsi"/>
        </w:rPr>
        <w:t>(a)</w:t>
      </w:r>
      <w:bookmarkEnd w:id="11"/>
      <w:r w:rsidR="00D03850" w:rsidRPr="00973839">
        <w:rPr>
          <w:rFonts w:ascii="Garamond" w:hAnsi="Garamond" w:cstheme="minorHAnsi"/>
        </w:rPr>
        <w:t>,</w:t>
      </w:r>
      <w:r w:rsidR="00B40EB7" w:rsidRPr="00973839">
        <w:rPr>
          <w:rFonts w:ascii="Garamond" w:hAnsi="Garamond" w:cstheme="minorHAnsi"/>
        </w:rPr>
        <w:t xml:space="preserve"> we can identify at least two ways by which someone can go beyond the evidence in this sense.</w:t>
      </w:r>
    </w:p>
    <w:p w14:paraId="7609C7AA" w14:textId="5A0CBD89" w:rsidR="00733715" w:rsidRPr="00973839" w:rsidRDefault="00B40EB7" w:rsidP="00973839">
      <w:pPr>
        <w:spacing w:after="120"/>
        <w:jc w:val="both"/>
        <w:rPr>
          <w:rFonts w:ascii="Garamond" w:hAnsi="Garamond" w:cstheme="minorHAnsi"/>
        </w:rPr>
      </w:pPr>
      <w:r w:rsidRPr="00973839">
        <w:rPr>
          <w:rFonts w:ascii="Garamond" w:hAnsi="Garamond" w:cstheme="minorHAnsi"/>
        </w:rPr>
        <w:tab/>
        <w:t xml:space="preserve">First, there are cases where </w:t>
      </w:r>
      <w:r w:rsidRPr="00973839">
        <w:rPr>
          <w:rFonts w:ascii="Garamond" w:hAnsi="Garamond" w:cstheme="minorHAnsi"/>
          <w:i/>
        </w:rPr>
        <w:t>despite</w:t>
      </w:r>
      <w:r w:rsidRPr="00973839">
        <w:rPr>
          <w:rFonts w:ascii="Garamond" w:hAnsi="Garamond" w:cstheme="minorHAnsi"/>
        </w:rPr>
        <w:t xml:space="preserve"> the evidence, a person acts as if </w:t>
      </w:r>
      <w:r w:rsidR="00EE72D1" w:rsidRPr="00973839">
        <w:rPr>
          <w:rFonts w:ascii="Garamond" w:hAnsi="Garamond" w:cstheme="minorHAnsi"/>
        </w:rPr>
        <w:t>it is the case that</w:t>
      </w:r>
      <w:r w:rsidRPr="00973839">
        <w:rPr>
          <w:rFonts w:ascii="Garamond" w:hAnsi="Garamond" w:cstheme="minorHAnsi"/>
        </w:rPr>
        <w:t xml:space="preserve"> </w:t>
      </w:r>
      <w:r w:rsidRPr="00973839">
        <w:rPr>
          <w:rFonts w:ascii="Garamond" w:hAnsi="Garamond" w:cstheme="minorHAnsi"/>
          <w:i/>
        </w:rPr>
        <w:t>p</w:t>
      </w:r>
      <w:r w:rsidRPr="00973839">
        <w:rPr>
          <w:rFonts w:ascii="Garamond" w:hAnsi="Garamond" w:cstheme="minorHAnsi"/>
        </w:rPr>
        <w:t xml:space="preserve">. To illustrate this, we can develop behavioural instances of </w:t>
      </w:r>
      <w:r w:rsidRPr="00973839">
        <w:rPr>
          <w:rFonts w:ascii="Garamond" w:hAnsi="Garamond" w:cstheme="minorHAnsi"/>
          <w:sz w:val="22"/>
        </w:rPr>
        <w:t>DISPROPORTIONATE</w:t>
      </w:r>
      <w:r w:rsidRPr="00973839">
        <w:rPr>
          <w:rFonts w:ascii="Garamond" w:hAnsi="Garamond" w:cstheme="minorHAnsi"/>
        </w:rPr>
        <w:t xml:space="preserve">, </w:t>
      </w:r>
      <w:bookmarkStart w:id="12" w:name="_Hlk512263098"/>
      <w:r w:rsidRPr="00973839">
        <w:rPr>
          <w:rFonts w:ascii="Garamond" w:hAnsi="Garamond" w:cstheme="minorHAnsi"/>
          <w:sz w:val="22"/>
        </w:rPr>
        <w:t>DISCONNECTED</w:t>
      </w:r>
      <w:bookmarkEnd w:id="12"/>
      <w:r w:rsidRPr="00973839">
        <w:rPr>
          <w:rFonts w:ascii="Garamond" w:hAnsi="Garamond" w:cstheme="minorHAnsi"/>
        </w:rPr>
        <w:t xml:space="preserve">, and </w:t>
      </w:r>
      <w:r w:rsidRPr="00973839">
        <w:rPr>
          <w:rFonts w:ascii="Garamond" w:hAnsi="Garamond" w:cstheme="minorHAnsi"/>
          <w:sz w:val="22"/>
        </w:rPr>
        <w:t>INVERTED</w:t>
      </w:r>
      <w:r w:rsidRPr="00973839">
        <w:rPr>
          <w:rFonts w:ascii="Garamond" w:hAnsi="Garamond" w:cstheme="minorHAnsi"/>
        </w:rPr>
        <w:t xml:space="preserve">. Take </w:t>
      </w:r>
      <w:r w:rsidRPr="00973839">
        <w:rPr>
          <w:rFonts w:ascii="Garamond" w:hAnsi="Garamond" w:cstheme="minorHAnsi"/>
          <w:sz w:val="22"/>
        </w:rPr>
        <w:t>DISPROPORTIONATE</w:t>
      </w:r>
      <w:r w:rsidRPr="00973839">
        <w:rPr>
          <w:rFonts w:ascii="Garamond" w:hAnsi="Garamond" w:cstheme="minorHAnsi"/>
        </w:rPr>
        <w:t xml:space="preserve">, for instance: one could act as if </w:t>
      </w:r>
      <w:r w:rsidRPr="00973839">
        <w:rPr>
          <w:rFonts w:ascii="Garamond" w:hAnsi="Garamond" w:cstheme="minorHAnsi"/>
          <w:i/>
        </w:rPr>
        <w:t>p</w:t>
      </w:r>
      <w:r w:rsidRPr="00973839">
        <w:rPr>
          <w:rFonts w:ascii="Garamond" w:hAnsi="Garamond" w:cstheme="minorHAnsi"/>
        </w:rPr>
        <w:t xml:space="preserve"> when </w:t>
      </w:r>
      <w:r w:rsidR="00E87C0E" w:rsidRPr="00973839">
        <w:rPr>
          <w:rFonts w:ascii="Garamond" w:hAnsi="Garamond" w:cstheme="minorHAnsi"/>
        </w:rPr>
        <w:t>in fact</w:t>
      </w:r>
      <w:r w:rsidRPr="00973839">
        <w:rPr>
          <w:rFonts w:ascii="Garamond" w:hAnsi="Garamond" w:cstheme="minorHAnsi"/>
        </w:rPr>
        <w:t xml:space="preserve"> the evidence only warrants </w:t>
      </w:r>
      <w:r w:rsidR="008B2668" w:rsidRPr="00973839">
        <w:rPr>
          <w:rFonts w:ascii="Garamond" w:hAnsi="Garamond" w:cstheme="minorHAnsi"/>
        </w:rPr>
        <w:t>believing</w:t>
      </w:r>
      <w:r w:rsidRPr="00973839">
        <w:rPr>
          <w:rFonts w:ascii="Garamond" w:hAnsi="Garamond" w:cstheme="minorHAnsi"/>
        </w:rPr>
        <w:t xml:space="preserve"> </w:t>
      </w:r>
      <w:r w:rsidRPr="00973839">
        <w:rPr>
          <w:rFonts w:ascii="Garamond" w:hAnsi="Garamond" w:cstheme="minorHAnsi"/>
        </w:rPr>
        <w:sym w:font="Symbol" w:char="F07E"/>
      </w:r>
      <w:r w:rsidRPr="00973839">
        <w:rPr>
          <w:rFonts w:ascii="Garamond" w:hAnsi="Garamond" w:cstheme="minorHAnsi"/>
          <w:i/>
        </w:rPr>
        <w:t>p</w:t>
      </w:r>
      <w:r w:rsidRPr="00973839">
        <w:rPr>
          <w:rFonts w:ascii="Garamond" w:hAnsi="Garamond" w:cstheme="minorHAnsi"/>
        </w:rPr>
        <w:t xml:space="preserve"> or </w:t>
      </w:r>
      <w:r w:rsidR="008B2668" w:rsidRPr="00973839">
        <w:rPr>
          <w:rFonts w:ascii="Garamond" w:hAnsi="Garamond" w:cstheme="minorHAnsi"/>
        </w:rPr>
        <w:t>suspending judgment concerning</w:t>
      </w:r>
      <w:r w:rsidRPr="00973839">
        <w:rPr>
          <w:rFonts w:ascii="Garamond" w:hAnsi="Garamond" w:cstheme="minorHAnsi"/>
        </w:rPr>
        <w:t xml:space="preserve"> </w:t>
      </w:r>
      <w:r w:rsidRPr="00973839">
        <w:rPr>
          <w:rFonts w:ascii="Garamond" w:hAnsi="Garamond" w:cstheme="minorHAnsi"/>
          <w:i/>
        </w:rPr>
        <w:t>p</w:t>
      </w:r>
      <w:r w:rsidRPr="00973839">
        <w:rPr>
          <w:rFonts w:ascii="Garamond" w:hAnsi="Garamond" w:cstheme="minorHAnsi"/>
        </w:rPr>
        <w:t>. The foregoing examples apply here</w:t>
      </w:r>
      <w:r w:rsidR="008B2668" w:rsidRPr="00973839">
        <w:rPr>
          <w:rFonts w:ascii="Garamond" w:hAnsi="Garamond" w:cstheme="minorHAnsi"/>
        </w:rPr>
        <w:t>, as</w:t>
      </w:r>
      <w:r w:rsidRPr="00973839">
        <w:rPr>
          <w:rFonts w:ascii="Garamond" w:hAnsi="Garamond" w:cstheme="minorHAnsi"/>
        </w:rPr>
        <w:t xml:space="preserve"> when I tell a friend that she will pass her exams even though the evidence warrants </w:t>
      </w:r>
      <w:r w:rsidR="008B2668" w:rsidRPr="00973839">
        <w:rPr>
          <w:rFonts w:ascii="Garamond" w:hAnsi="Garamond" w:cstheme="minorHAnsi"/>
        </w:rPr>
        <w:t xml:space="preserve">my belief that she will not pass her exams. Now consider examples of </w:t>
      </w:r>
      <w:r w:rsidR="008B2668" w:rsidRPr="00973839">
        <w:rPr>
          <w:rFonts w:ascii="Garamond" w:hAnsi="Garamond" w:cstheme="minorHAnsi"/>
          <w:sz w:val="22"/>
        </w:rPr>
        <w:t>DISCONNECTED</w:t>
      </w:r>
      <w:r w:rsidR="008B2668" w:rsidRPr="00973839">
        <w:rPr>
          <w:rFonts w:ascii="Garamond" w:hAnsi="Garamond" w:cstheme="minorHAnsi"/>
        </w:rPr>
        <w:t xml:space="preserve">. In these cases, I act as if </w:t>
      </w:r>
      <w:r w:rsidR="008B2668" w:rsidRPr="00973839">
        <w:rPr>
          <w:rFonts w:ascii="Garamond" w:hAnsi="Garamond" w:cstheme="minorHAnsi"/>
          <w:i/>
        </w:rPr>
        <w:t>p</w:t>
      </w:r>
      <w:r w:rsidR="008B2668" w:rsidRPr="00973839">
        <w:rPr>
          <w:rFonts w:ascii="Garamond" w:hAnsi="Garamond" w:cstheme="minorHAnsi"/>
        </w:rPr>
        <w:t xml:space="preserve"> regardless of what evidence there</w:t>
      </w:r>
      <w:r w:rsidR="007C143B" w:rsidRPr="00973839">
        <w:rPr>
          <w:rFonts w:ascii="Garamond" w:hAnsi="Garamond" w:cstheme="minorHAnsi"/>
        </w:rPr>
        <w:t xml:space="preserve"> is</w:t>
      </w:r>
      <w:r w:rsidR="008B2668" w:rsidRPr="00973839">
        <w:rPr>
          <w:rFonts w:ascii="Garamond" w:hAnsi="Garamond" w:cstheme="minorHAnsi"/>
        </w:rPr>
        <w:t xml:space="preserve"> </w:t>
      </w:r>
      <w:r w:rsidR="00B37ABB" w:rsidRPr="00973839">
        <w:rPr>
          <w:rFonts w:ascii="Garamond" w:hAnsi="Garamond" w:cstheme="minorHAnsi"/>
        </w:rPr>
        <w:t>for the truth of</w:t>
      </w:r>
      <w:r w:rsidR="008B2668" w:rsidRPr="00973839">
        <w:rPr>
          <w:rFonts w:ascii="Garamond" w:hAnsi="Garamond" w:cstheme="minorHAnsi"/>
        </w:rPr>
        <w:t xml:space="preserve"> </w:t>
      </w:r>
      <w:r w:rsidR="008B2668" w:rsidRPr="00973839">
        <w:rPr>
          <w:rFonts w:ascii="Garamond" w:hAnsi="Garamond" w:cstheme="minorHAnsi"/>
          <w:i/>
        </w:rPr>
        <w:t>p</w:t>
      </w:r>
      <w:r w:rsidR="008B2668" w:rsidRPr="00973839">
        <w:rPr>
          <w:rFonts w:ascii="Garamond" w:hAnsi="Garamond" w:cstheme="minorHAnsi"/>
        </w:rPr>
        <w:t xml:space="preserve">. Suppose that, regardless of the evidence, I press ahead with my business venture. I ignore negative financial reports and avoid economic assessments of my area of business. My behaviour in establishing my business is determined purely by my desire to see it established, and I don’t let any evidence have any input on whether or not I continue with the venture. This gives us a behavioural case of </w:t>
      </w:r>
      <w:r w:rsidR="008B2668" w:rsidRPr="00973839">
        <w:rPr>
          <w:rFonts w:ascii="Garamond" w:hAnsi="Garamond" w:cstheme="minorHAnsi"/>
          <w:sz w:val="22"/>
        </w:rPr>
        <w:t>DISCONNECTED</w:t>
      </w:r>
      <w:r w:rsidR="008B2668" w:rsidRPr="00973839">
        <w:rPr>
          <w:rFonts w:ascii="Garamond" w:hAnsi="Garamond" w:cstheme="minorHAnsi"/>
        </w:rPr>
        <w:t xml:space="preserve">. Finally, take cases of </w:t>
      </w:r>
      <w:r w:rsidR="008B2668" w:rsidRPr="00973839">
        <w:rPr>
          <w:rFonts w:ascii="Garamond" w:hAnsi="Garamond" w:cstheme="minorHAnsi"/>
          <w:sz w:val="22"/>
        </w:rPr>
        <w:t>INVERTED</w:t>
      </w:r>
      <w:r w:rsidR="008B2668" w:rsidRPr="00973839">
        <w:rPr>
          <w:rFonts w:ascii="Garamond" w:hAnsi="Garamond" w:cstheme="minorHAnsi"/>
        </w:rPr>
        <w:t xml:space="preserve">. Here, I act as though </w:t>
      </w:r>
      <w:r w:rsidR="008B2668" w:rsidRPr="00973839">
        <w:rPr>
          <w:rFonts w:ascii="Garamond" w:hAnsi="Garamond" w:cstheme="minorHAnsi"/>
          <w:i/>
        </w:rPr>
        <w:t>p</w:t>
      </w:r>
      <w:r w:rsidR="008B2668" w:rsidRPr="00973839">
        <w:rPr>
          <w:rFonts w:ascii="Garamond" w:hAnsi="Garamond" w:cstheme="minorHAnsi"/>
        </w:rPr>
        <w:t xml:space="preserve"> because the evidence </w:t>
      </w:r>
      <w:r w:rsidR="00B37ABB" w:rsidRPr="00973839">
        <w:rPr>
          <w:rFonts w:ascii="Garamond" w:hAnsi="Garamond" w:cstheme="minorHAnsi"/>
        </w:rPr>
        <w:t>warrants belief that</w:t>
      </w:r>
      <w:r w:rsidR="008B2668" w:rsidRPr="00973839">
        <w:rPr>
          <w:rFonts w:ascii="Garamond" w:hAnsi="Garamond" w:cstheme="minorHAnsi"/>
        </w:rPr>
        <w:t xml:space="preserve"> </w:t>
      </w:r>
      <w:r w:rsidR="008B2668" w:rsidRPr="00973839">
        <w:rPr>
          <w:rFonts w:ascii="Garamond" w:hAnsi="Garamond" w:cstheme="minorHAnsi"/>
        </w:rPr>
        <w:sym w:font="Symbol" w:char="F07E"/>
      </w:r>
      <w:r w:rsidR="008B2668" w:rsidRPr="00973839">
        <w:rPr>
          <w:rFonts w:ascii="Garamond" w:hAnsi="Garamond" w:cstheme="minorHAnsi"/>
          <w:i/>
        </w:rPr>
        <w:t>p</w:t>
      </w:r>
      <w:r w:rsidR="008B2668" w:rsidRPr="00973839">
        <w:rPr>
          <w:rFonts w:ascii="Garamond" w:hAnsi="Garamond" w:cstheme="minorHAnsi"/>
        </w:rPr>
        <w:t xml:space="preserve">, or act as though </w:t>
      </w:r>
      <w:r w:rsidR="008B2668" w:rsidRPr="00973839">
        <w:rPr>
          <w:rFonts w:ascii="Garamond" w:hAnsi="Garamond" w:cstheme="minorHAnsi"/>
        </w:rPr>
        <w:sym w:font="Symbol" w:char="F07E"/>
      </w:r>
      <w:r w:rsidR="008B2668" w:rsidRPr="00973839">
        <w:rPr>
          <w:rFonts w:ascii="Garamond" w:hAnsi="Garamond" w:cstheme="minorHAnsi"/>
          <w:i/>
        </w:rPr>
        <w:t>p</w:t>
      </w:r>
      <w:r w:rsidR="00855FAD" w:rsidRPr="00973839">
        <w:rPr>
          <w:rFonts w:ascii="Garamond" w:hAnsi="Garamond" w:cstheme="minorHAnsi"/>
        </w:rPr>
        <w:t xml:space="preserve">, because the evidence </w:t>
      </w:r>
      <w:r w:rsidR="00B37ABB" w:rsidRPr="00973839">
        <w:rPr>
          <w:rFonts w:ascii="Garamond" w:hAnsi="Garamond" w:cstheme="minorHAnsi"/>
        </w:rPr>
        <w:t>warrants belief that</w:t>
      </w:r>
      <w:r w:rsidR="00855FAD" w:rsidRPr="00973839">
        <w:rPr>
          <w:rFonts w:ascii="Garamond" w:hAnsi="Garamond" w:cstheme="minorHAnsi"/>
        </w:rPr>
        <w:t xml:space="preserve"> </w:t>
      </w:r>
      <w:r w:rsidR="00855FAD" w:rsidRPr="00973839">
        <w:rPr>
          <w:rFonts w:ascii="Garamond" w:hAnsi="Garamond" w:cstheme="minorHAnsi"/>
          <w:i/>
        </w:rPr>
        <w:t>p</w:t>
      </w:r>
      <w:r w:rsidR="00855FAD" w:rsidRPr="00973839">
        <w:rPr>
          <w:rFonts w:ascii="Garamond" w:hAnsi="Garamond" w:cstheme="minorHAnsi"/>
        </w:rPr>
        <w:t>.</w:t>
      </w:r>
      <w:r w:rsidR="00F15AEE" w:rsidRPr="00973839">
        <w:rPr>
          <w:rStyle w:val="FootnoteReference"/>
          <w:rFonts w:ascii="Garamond" w:hAnsi="Garamond" w:cstheme="minorHAnsi"/>
        </w:rPr>
        <w:footnoteReference w:id="4"/>
      </w:r>
      <w:r w:rsidR="00855FAD" w:rsidRPr="00973839">
        <w:rPr>
          <w:rFonts w:ascii="Garamond" w:hAnsi="Garamond" w:cstheme="minorHAnsi"/>
        </w:rPr>
        <w:t xml:space="preserve"> This might be most clearly seen in cases where someone is spurred on by counter-evidence. So, negative financial reports come out on the status of my business that suggests that my business will fail. Because of this, I push on with the business on the supposition that it will succeed because I am so keen to see it succeed. </w:t>
      </w:r>
      <w:r w:rsidR="00D03850" w:rsidRPr="00973839">
        <w:rPr>
          <w:rFonts w:ascii="Garamond" w:hAnsi="Garamond" w:cstheme="minorHAnsi"/>
        </w:rPr>
        <w:t xml:space="preserve">In each of these cases, we might say that a person’s behaviour is </w:t>
      </w:r>
      <w:proofErr w:type="gramStart"/>
      <w:r w:rsidR="007C143B" w:rsidRPr="00973839">
        <w:rPr>
          <w:rFonts w:ascii="Garamond" w:hAnsi="Garamond" w:cstheme="minorHAnsi"/>
        </w:rPr>
        <w:t>in spite of</w:t>
      </w:r>
      <w:proofErr w:type="gramEnd"/>
      <w:r w:rsidR="00530368" w:rsidRPr="00973839">
        <w:rPr>
          <w:rFonts w:ascii="Garamond" w:hAnsi="Garamond" w:cstheme="minorHAnsi"/>
          <w:i/>
        </w:rPr>
        <w:t xml:space="preserve"> </w:t>
      </w:r>
      <w:r w:rsidR="00D03850" w:rsidRPr="00973839">
        <w:rPr>
          <w:rFonts w:ascii="Garamond" w:hAnsi="Garamond" w:cstheme="minorHAnsi"/>
        </w:rPr>
        <w:t>the evidence, and hence, w</w:t>
      </w:r>
      <w:r w:rsidR="00855FAD" w:rsidRPr="00973839">
        <w:rPr>
          <w:rFonts w:ascii="Garamond" w:hAnsi="Garamond" w:cstheme="minorHAnsi"/>
        </w:rPr>
        <w:t xml:space="preserve">e can categorise these instances of </w:t>
      </w:r>
      <w:r w:rsidR="00855FAD" w:rsidRPr="00973839">
        <w:rPr>
          <w:rFonts w:ascii="Garamond" w:hAnsi="Garamond" w:cstheme="minorHAnsi"/>
          <w:sz w:val="22"/>
        </w:rPr>
        <w:t>BEYOND</w:t>
      </w:r>
      <w:r w:rsidR="00855FAD" w:rsidRPr="00973839">
        <w:rPr>
          <w:rFonts w:ascii="Garamond" w:hAnsi="Garamond" w:cstheme="minorHAnsi"/>
        </w:rPr>
        <w:t>(a) as follows:</w:t>
      </w:r>
    </w:p>
    <w:p w14:paraId="10C7167F" w14:textId="3716B95B" w:rsidR="00733715" w:rsidRPr="00973839" w:rsidRDefault="00530368" w:rsidP="00973839">
      <w:pPr>
        <w:spacing w:after="120"/>
        <w:ind w:left="567"/>
        <w:jc w:val="both"/>
        <w:rPr>
          <w:rFonts w:ascii="Garamond" w:hAnsi="Garamond" w:cstheme="minorHAnsi"/>
        </w:rPr>
      </w:pPr>
      <w:r w:rsidRPr="00973839">
        <w:rPr>
          <w:rFonts w:ascii="Garamond" w:hAnsi="Garamond" w:cstheme="minorHAnsi"/>
          <w:sz w:val="22"/>
        </w:rPr>
        <w:lastRenderedPageBreak/>
        <w:t>DESPITE</w:t>
      </w:r>
      <w:r w:rsidR="00CD1B42" w:rsidRPr="00973839">
        <w:rPr>
          <w:rFonts w:ascii="Garamond" w:hAnsi="Garamond" w:cstheme="minorHAnsi"/>
        </w:rPr>
        <w:t xml:space="preserve">: </w:t>
      </w:r>
      <w:r w:rsidR="006D274E" w:rsidRPr="00973839">
        <w:rPr>
          <w:rFonts w:ascii="Garamond" w:hAnsi="Garamond" w:cstheme="minorHAnsi"/>
        </w:rPr>
        <w:t xml:space="preserve">Despite the evidence, </w:t>
      </w:r>
      <w:r w:rsidR="00E021A9" w:rsidRPr="00973839">
        <w:rPr>
          <w:rFonts w:ascii="Garamond" w:hAnsi="Garamond" w:cstheme="minorHAnsi"/>
        </w:rPr>
        <w:t xml:space="preserve">S acts </w:t>
      </w:r>
      <w:r w:rsidR="00F15AEE" w:rsidRPr="00973839">
        <w:rPr>
          <w:rFonts w:ascii="Garamond" w:hAnsi="Garamond" w:cstheme="minorHAnsi"/>
        </w:rPr>
        <w:t>as if it is the case that</w:t>
      </w:r>
      <w:r w:rsidR="00E021A9" w:rsidRPr="00973839">
        <w:rPr>
          <w:rFonts w:ascii="Garamond" w:hAnsi="Garamond" w:cstheme="minorHAnsi"/>
        </w:rPr>
        <w:t xml:space="preserve"> </w:t>
      </w:r>
      <w:r w:rsidR="00E021A9" w:rsidRPr="00973839">
        <w:rPr>
          <w:rFonts w:ascii="Garamond" w:hAnsi="Garamond" w:cstheme="minorHAnsi"/>
          <w:i/>
        </w:rPr>
        <w:t>p</w:t>
      </w:r>
      <w:r w:rsidR="006D274E" w:rsidRPr="00973839">
        <w:rPr>
          <w:rFonts w:ascii="Garamond" w:hAnsi="Garamond" w:cstheme="minorHAnsi"/>
        </w:rPr>
        <w:t>.</w:t>
      </w:r>
    </w:p>
    <w:p w14:paraId="47425B26" w14:textId="6450F37E" w:rsidR="00E021A9" w:rsidRPr="00973839" w:rsidRDefault="00855FAD" w:rsidP="00973839">
      <w:pPr>
        <w:spacing w:after="120"/>
        <w:ind w:firstLine="720"/>
        <w:jc w:val="both"/>
        <w:rPr>
          <w:rFonts w:ascii="Garamond" w:hAnsi="Garamond" w:cstheme="minorHAnsi"/>
        </w:rPr>
      </w:pPr>
      <w:r w:rsidRPr="00973839">
        <w:rPr>
          <w:rFonts w:ascii="Garamond" w:hAnsi="Garamond" w:cstheme="minorHAnsi"/>
        </w:rPr>
        <w:t xml:space="preserve">There is one final </w:t>
      </w:r>
      <w:r w:rsidR="00F15AEE" w:rsidRPr="00973839">
        <w:rPr>
          <w:rFonts w:ascii="Garamond" w:hAnsi="Garamond" w:cstheme="minorHAnsi"/>
        </w:rPr>
        <w:t>branch of the taxonomy</w:t>
      </w:r>
      <w:r w:rsidRPr="00973839">
        <w:rPr>
          <w:rFonts w:ascii="Garamond" w:hAnsi="Garamond" w:cstheme="minorHAnsi"/>
        </w:rPr>
        <w:t xml:space="preserve"> to consider – the second instance of </w:t>
      </w:r>
      <w:r w:rsidRPr="00973839">
        <w:rPr>
          <w:rFonts w:ascii="Garamond" w:hAnsi="Garamond" w:cstheme="minorHAnsi"/>
          <w:sz w:val="22"/>
        </w:rPr>
        <w:t>BEYOND</w:t>
      </w:r>
      <w:r w:rsidRPr="00973839">
        <w:rPr>
          <w:rFonts w:ascii="Garamond" w:hAnsi="Garamond" w:cstheme="minorHAnsi"/>
        </w:rPr>
        <w:t xml:space="preserve">(a). In these cases, one acts as one would if </w:t>
      </w:r>
      <w:r w:rsidR="00F15AEE" w:rsidRPr="00973839">
        <w:rPr>
          <w:rFonts w:ascii="Garamond" w:hAnsi="Garamond" w:cstheme="minorHAnsi"/>
        </w:rPr>
        <w:t>it is the case that</w:t>
      </w:r>
      <w:r w:rsidRPr="00973839">
        <w:rPr>
          <w:rFonts w:ascii="Garamond" w:hAnsi="Garamond" w:cstheme="minorHAnsi"/>
        </w:rPr>
        <w:t xml:space="preserve"> </w:t>
      </w:r>
      <w:proofErr w:type="gramStart"/>
      <w:r w:rsidRPr="00973839">
        <w:rPr>
          <w:rFonts w:ascii="Garamond" w:hAnsi="Garamond" w:cstheme="minorHAnsi"/>
          <w:i/>
        </w:rPr>
        <w:t>p</w:t>
      </w:r>
      <w:r w:rsidRPr="00973839">
        <w:rPr>
          <w:rFonts w:ascii="Garamond" w:hAnsi="Garamond" w:cstheme="minorHAnsi"/>
        </w:rPr>
        <w:t>, and</w:t>
      </w:r>
      <w:proofErr w:type="gramEnd"/>
      <w:r w:rsidRPr="00973839">
        <w:rPr>
          <w:rFonts w:ascii="Garamond" w:hAnsi="Garamond" w:cstheme="minorHAnsi"/>
        </w:rPr>
        <w:t xml:space="preserve"> does so </w:t>
      </w:r>
      <w:r w:rsidRPr="00973839">
        <w:rPr>
          <w:rFonts w:ascii="Garamond" w:hAnsi="Garamond" w:cstheme="minorHAnsi"/>
          <w:i/>
        </w:rPr>
        <w:t>prior to</w:t>
      </w:r>
      <w:r w:rsidRPr="00973839">
        <w:rPr>
          <w:rFonts w:ascii="Garamond" w:hAnsi="Garamond" w:cstheme="minorHAnsi"/>
        </w:rPr>
        <w:t xml:space="preserve"> considering</w:t>
      </w:r>
      <w:r w:rsidR="00F15AEE" w:rsidRPr="00973839">
        <w:rPr>
          <w:rFonts w:ascii="Garamond" w:hAnsi="Garamond" w:cstheme="minorHAnsi"/>
        </w:rPr>
        <w:t xml:space="preserve"> further</w:t>
      </w:r>
      <w:r w:rsidRPr="00973839">
        <w:rPr>
          <w:rFonts w:ascii="Garamond" w:hAnsi="Garamond" w:cstheme="minorHAnsi"/>
        </w:rPr>
        <w:t xml:space="preserve"> evidence.</w:t>
      </w:r>
      <w:r w:rsidRPr="00973839">
        <w:rPr>
          <w:rStyle w:val="FootnoteReference"/>
          <w:rFonts w:ascii="Garamond" w:hAnsi="Garamond" w:cstheme="minorHAnsi"/>
        </w:rPr>
        <w:footnoteReference w:id="5"/>
      </w:r>
      <w:r w:rsidRPr="00973839">
        <w:rPr>
          <w:rFonts w:ascii="Garamond" w:hAnsi="Garamond" w:cstheme="minorHAnsi"/>
        </w:rPr>
        <w:t xml:space="preserve"> Suppose I’m running late for an event that I regularly attend, and for which I usually pick up my friend </w:t>
      </w:r>
      <w:r w:rsidR="00E021A9" w:rsidRPr="00973839">
        <w:rPr>
          <w:rFonts w:ascii="Garamond" w:hAnsi="Garamond" w:cstheme="minorHAnsi"/>
        </w:rPr>
        <w:t>on my way over to it. I don’t have time to check if my friend is coming this week, so I just</w:t>
      </w:r>
      <w:r w:rsidRPr="00973839">
        <w:rPr>
          <w:rFonts w:ascii="Garamond" w:hAnsi="Garamond" w:cstheme="minorHAnsi"/>
        </w:rPr>
        <w:t xml:space="preserve"> </w:t>
      </w:r>
      <w:r w:rsidR="00E021A9" w:rsidRPr="00973839">
        <w:rPr>
          <w:rFonts w:ascii="Garamond" w:hAnsi="Garamond" w:cstheme="minorHAnsi"/>
        </w:rPr>
        <w:t xml:space="preserve">drive over to pick him up, and do so prior to considering </w:t>
      </w:r>
      <w:r w:rsidR="00F15AEE" w:rsidRPr="00973839">
        <w:rPr>
          <w:rFonts w:ascii="Garamond" w:hAnsi="Garamond" w:cstheme="minorHAnsi"/>
        </w:rPr>
        <w:t xml:space="preserve">further </w:t>
      </w:r>
      <w:r w:rsidR="00E021A9" w:rsidRPr="00973839">
        <w:rPr>
          <w:rFonts w:ascii="Garamond" w:hAnsi="Garamond" w:cstheme="minorHAnsi"/>
        </w:rPr>
        <w:t xml:space="preserve">evidence on whether or not he is coming. Some religious cases </w:t>
      </w:r>
      <w:r w:rsidR="00F15AEE" w:rsidRPr="00973839">
        <w:rPr>
          <w:rFonts w:ascii="Garamond" w:hAnsi="Garamond" w:cstheme="minorHAnsi"/>
        </w:rPr>
        <w:t>work this way too. It’</w:t>
      </w:r>
      <w:r w:rsidR="00E021A9" w:rsidRPr="00973839">
        <w:rPr>
          <w:rFonts w:ascii="Garamond" w:hAnsi="Garamond" w:cstheme="minorHAnsi"/>
        </w:rPr>
        <w:t xml:space="preserve">s a </w:t>
      </w:r>
      <w:r w:rsidR="00BF7F90" w:rsidRPr="00973839">
        <w:rPr>
          <w:rFonts w:ascii="Garamond" w:hAnsi="Garamond" w:cstheme="minorHAnsi"/>
        </w:rPr>
        <w:t xml:space="preserve">central </w:t>
      </w:r>
      <w:r w:rsidR="00E021A9" w:rsidRPr="00973839">
        <w:rPr>
          <w:rFonts w:ascii="Garamond" w:hAnsi="Garamond" w:cstheme="minorHAnsi"/>
        </w:rPr>
        <w:t>doctrine of Christianity that Christ rose from the dead. One might act as if that doctrine is true prior to considering any</w:t>
      </w:r>
      <w:r w:rsidR="00F15AEE" w:rsidRPr="00973839">
        <w:rPr>
          <w:rFonts w:ascii="Garamond" w:hAnsi="Garamond" w:cstheme="minorHAnsi"/>
        </w:rPr>
        <w:t xml:space="preserve"> further</w:t>
      </w:r>
      <w:r w:rsidR="00E021A9" w:rsidRPr="00973839">
        <w:rPr>
          <w:rFonts w:ascii="Garamond" w:hAnsi="Garamond" w:cstheme="minorHAnsi"/>
        </w:rPr>
        <w:t xml:space="preserve"> evidence to validate the doctrine.</w:t>
      </w:r>
      <w:r w:rsidR="00D03850" w:rsidRPr="00973839">
        <w:rPr>
          <w:rFonts w:ascii="Garamond" w:hAnsi="Garamond" w:cstheme="minorHAnsi"/>
        </w:rPr>
        <w:t xml:space="preserve"> In these cases, we might say that a person’s behaviour goes </w:t>
      </w:r>
      <w:r w:rsidR="00D03850" w:rsidRPr="00973839">
        <w:rPr>
          <w:rFonts w:ascii="Garamond" w:hAnsi="Garamond" w:cstheme="minorHAnsi"/>
          <w:i/>
        </w:rPr>
        <w:t xml:space="preserve">before </w:t>
      </w:r>
      <w:r w:rsidR="00D03850" w:rsidRPr="00973839">
        <w:rPr>
          <w:rFonts w:ascii="Garamond" w:hAnsi="Garamond" w:cstheme="minorHAnsi"/>
        </w:rPr>
        <w:t>the evidence, and hence, we can categorise these instances of BEYOND(a) as follows:</w:t>
      </w:r>
    </w:p>
    <w:p w14:paraId="32352042" w14:textId="2E46A701" w:rsidR="0008251E" w:rsidRPr="00973839" w:rsidRDefault="00CD1B42" w:rsidP="00973839">
      <w:pPr>
        <w:spacing w:after="120"/>
        <w:ind w:left="567"/>
        <w:jc w:val="both"/>
        <w:rPr>
          <w:rFonts w:ascii="Garamond" w:hAnsi="Garamond" w:cstheme="minorHAnsi"/>
        </w:rPr>
      </w:pPr>
      <w:r w:rsidRPr="00973839">
        <w:rPr>
          <w:rFonts w:ascii="Garamond" w:hAnsi="Garamond" w:cstheme="minorHAnsi"/>
          <w:sz w:val="22"/>
        </w:rPr>
        <w:t>BEFORE</w:t>
      </w:r>
      <w:r w:rsidRPr="00973839">
        <w:rPr>
          <w:rFonts w:ascii="Garamond" w:hAnsi="Garamond" w:cstheme="minorHAnsi"/>
        </w:rPr>
        <w:t>: P</w:t>
      </w:r>
      <w:r w:rsidR="0008251E" w:rsidRPr="00973839">
        <w:rPr>
          <w:rFonts w:ascii="Garamond" w:hAnsi="Garamond" w:cstheme="minorHAnsi"/>
        </w:rPr>
        <w:t>rior to considering</w:t>
      </w:r>
      <w:r w:rsidR="00F15AEE" w:rsidRPr="00973839">
        <w:rPr>
          <w:rFonts w:ascii="Garamond" w:hAnsi="Garamond" w:cstheme="minorHAnsi"/>
        </w:rPr>
        <w:t xml:space="preserve"> further</w:t>
      </w:r>
      <w:r w:rsidR="0008251E" w:rsidRPr="00973839">
        <w:rPr>
          <w:rFonts w:ascii="Garamond" w:hAnsi="Garamond" w:cstheme="minorHAnsi"/>
        </w:rPr>
        <w:t xml:space="preserve"> evidence, S act</w:t>
      </w:r>
      <w:r w:rsidRPr="00973839">
        <w:rPr>
          <w:rFonts w:ascii="Garamond" w:hAnsi="Garamond" w:cstheme="minorHAnsi"/>
        </w:rPr>
        <w:t>s</w:t>
      </w:r>
      <w:r w:rsidR="0008251E" w:rsidRPr="00973839">
        <w:rPr>
          <w:rFonts w:ascii="Garamond" w:hAnsi="Garamond" w:cstheme="minorHAnsi"/>
        </w:rPr>
        <w:t xml:space="preserve"> </w:t>
      </w:r>
      <w:r w:rsidR="00F15AEE" w:rsidRPr="00973839">
        <w:rPr>
          <w:rFonts w:ascii="Garamond" w:hAnsi="Garamond" w:cstheme="minorHAnsi"/>
        </w:rPr>
        <w:t xml:space="preserve">as if it is the case that </w:t>
      </w:r>
      <w:r w:rsidR="00F15AEE" w:rsidRPr="00973839">
        <w:rPr>
          <w:rFonts w:ascii="Garamond" w:hAnsi="Garamond" w:cstheme="minorHAnsi"/>
          <w:i/>
        </w:rPr>
        <w:t>p</w:t>
      </w:r>
      <w:r w:rsidRPr="00973839">
        <w:rPr>
          <w:rFonts w:ascii="Garamond" w:hAnsi="Garamond" w:cstheme="minorHAnsi"/>
        </w:rPr>
        <w:t>.</w:t>
      </w:r>
    </w:p>
    <w:p w14:paraId="19FEBCE7" w14:textId="1D291178" w:rsidR="00A854BC" w:rsidRPr="00973839" w:rsidRDefault="00E021A9" w:rsidP="00973839">
      <w:pPr>
        <w:ind w:firstLine="720"/>
        <w:jc w:val="both"/>
        <w:rPr>
          <w:rFonts w:ascii="Garamond" w:hAnsi="Garamond" w:cstheme="minorHAnsi"/>
        </w:rPr>
      </w:pPr>
      <w:r w:rsidRPr="00973839">
        <w:rPr>
          <w:rFonts w:ascii="Garamond" w:hAnsi="Garamond" w:cstheme="minorHAnsi"/>
        </w:rPr>
        <w:t xml:space="preserve">We now have two varieties of going beyond the evidence – in terms of belief </w:t>
      </w:r>
      <w:bookmarkStart w:id="13" w:name="_Hlk512411794"/>
      <w:r w:rsidRPr="00973839">
        <w:rPr>
          <w:rFonts w:ascii="Garamond" w:hAnsi="Garamond" w:cstheme="minorHAnsi"/>
        </w:rPr>
        <w:t>(</w:t>
      </w:r>
      <w:r w:rsidRPr="00973839">
        <w:rPr>
          <w:rFonts w:ascii="Garamond" w:hAnsi="Garamond" w:cstheme="minorHAnsi"/>
          <w:sz w:val="22"/>
        </w:rPr>
        <w:t>BEYOND</w:t>
      </w:r>
      <w:r w:rsidRPr="00973839">
        <w:rPr>
          <w:rFonts w:ascii="Garamond" w:hAnsi="Garamond" w:cstheme="minorHAnsi"/>
        </w:rPr>
        <w:t>(d)) and in terms of action (</w:t>
      </w:r>
      <w:r w:rsidRPr="00973839">
        <w:rPr>
          <w:rFonts w:ascii="Garamond" w:hAnsi="Garamond" w:cstheme="minorHAnsi"/>
          <w:sz w:val="22"/>
        </w:rPr>
        <w:t>BEYOND</w:t>
      </w:r>
      <w:r w:rsidRPr="00973839">
        <w:rPr>
          <w:rFonts w:ascii="Garamond" w:hAnsi="Garamond" w:cstheme="minorHAnsi"/>
        </w:rPr>
        <w:t>(a))</w:t>
      </w:r>
      <w:bookmarkEnd w:id="13"/>
      <w:r w:rsidRPr="00973839">
        <w:rPr>
          <w:rFonts w:ascii="Garamond" w:hAnsi="Garamond" w:cstheme="minorHAnsi"/>
        </w:rPr>
        <w:t xml:space="preserve">. For the former I have proposed three instances, and for the latter, two instances. </w:t>
      </w:r>
      <w:bookmarkStart w:id="14" w:name="_Hlk512418308"/>
      <w:r w:rsidR="00776A87" w:rsidRPr="00973839">
        <w:rPr>
          <w:rFonts w:ascii="Garamond" w:hAnsi="Garamond" w:cstheme="minorHAnsi"/>
        </w:rPr>
        <w:t>Finally, we need to consider a contrast between going beyond and going against the evidence.</w:t>
      </w:r>
    </w:p>
    <w:p w14:paraId="4302909E" w14:textId="77777777" w:rsidR="00A854BC" w:rsidRPr="00973839" w:rsidRDefault="00A854BC" w:rsidP="00973839">
      <w:pPr>
        <w:ind w:firstLine="720"/>
        <w:jc w:val="both"/>
        <w:rPr>
          <w:rFonts w:ascii="Garamond" w:hAnsi="Garamond" w:cstheme="minorHAnsi"/>
        </w:rPr>
      </w:pPr>
    </w:p>
    <w:p w14:paraId="495D62BE" w14:textId="6E6C4FB4" w:rsidR="00A854BC" w:rsidRPr="00973839" w:rsidRDefault="00384F82" w:rsidP="00973839">
      <w:pPr>
        <w:pStyle w:val="Subtitle"/>
        <w:numPr>
          <w:ilvl w:val="1"/>
          <w:numId w:val="19"/>
        </w:numPr>
        <w:ind w:left="1134"/>
        <w:rPr>
          <w:rFonts w:ascii="Garamond" w:hAnsi="Garamond" w:cstheme="minorHAnsi"/>
          <w:b w:val="0"/>
        </w:rPr>
      </w:pPr>
      <w:r w:rsidRPr="00973839">
        <w:rPr>
          <w:rFonts w:ascii="Garamond" w:hAnsi="Garamond" w:cstheme="minorHAnsi"/>
          <w:b w:val="0"/>
        </w:rPr>
        <w:t>Going Against Evidence</w:t>
      </w:r>
    </w:p>
    <w:p w14:paraId="66B09271" w14:textId="2A38D2EC" w:rsidR="00BA71B7" w:rsidRPr="00973839" w:rsidRDefault="00776A87" w:rsidP="00973839">
      <w:pPr>
        <w:jc w:val="both"/>
        <w:rPr>
          <w:rFonts w:ascii="Garamond" w:hAnsi="Garamond" w:cstheme="minorHAnsi"/>
        </w:rPr>
      </w:pPr>
      <w:r w:rsidRPr="00973839">
        <w:rPr>
          <w:rFonts w:ascii="Garamond" w:hAnsi="Garamond" w:cstheme="minorHAnsi"/>
        </w:rPr>
        <w:t xml:space="preserve">To see what it is to go against the evidence, recall the example of the business owner who believes her business will succeed, but who has made losses in a bleak economic climate. We said that this person’s belief that the business will succeed would be unwarranted. Another way to put this is that this person has significant evidence counting </w:t>
      </w:r>
      <w:r w:rsidRPr="00973839">
        <w:rPr>
          <w:rFonts w:ascii="Garamond" w:hAnsi="Garamond" w:cstheme="minorHAnsi"/>
          <w:i/>
        </w:rPr>
        <w:t>against</w:t>
      </w:r>
      <w:r w:rsidRPr="00973839">
        <w:rPr>
          <w:rFonts w:ascii="Garamond" w:hAnsi="Garamond" w:cstheme="minorHAnsi"/>
        </w:rPr>
        <w:t xml:space="preserve"> the proposition that the business will succeed, such that to believe this proposition would be to believe </w:t>
      </w:r>
      <w:r w:rsidRPr="00973839">
        <w:rPr>
          <w:rFonts w:ascii="Garamond" w:hAnsi="Garamond" w:cstheme="minorHAnsi"/>
          <w:i/>
        </w:rPr>
        <w:t>beyond</w:t>
      </w:r>
      <w:r w:rsidRPr="00973839">
        <w:rPr>
          <w:rFonts w:ascii="Garamond" w:hAnsi="Garamond" w:cstheme="minorHAnsi"/>
        </w:rPr>
        <w:t xml:space="preserve"> what the evidence </w:t>
      </w:r>
      <w:r w:rsidR="00BC034F" w:rsidRPr="00973839">
        <w:rPr>
          <w:rFonts w:ascii="Garamond" w:hAnsi="Garamond" w:cstheme="minorHAnsi"/>
        </w:rPr>
        <w:t>warrants</w:t>
      </w:r>
      <w:r w:rsidRPr="00973839">
        <w:rPr>
          <w:rFonts w:ascii="Garamond" w:hAnsi="Garamond" w:cstheme="minorHAnsi"/>
        </w:rPr>
        <w:t>.</w:t>
      </w:r>
      <w:r w:rsidR="00BC034F" w:rsidRPr="00973839">
        <w:rPr>
          <w:rFonts w:ascii="Garamond" w:hAnsi="Garamond" w:cstheme="minorHAnsi"/>
        </w:rPr>
        <w:t xml:space="preserve"> This leaves open the possibility that the business owner could have evidence that counts against believing that the business will succeed, but where to believe this proposition</w:t>
      </w:r>
      <w:r w:rsidR="00D20A2A" w:rsidRPr="00973839">
        <w:rPr>
          <w:rFonts w:ascii="Garamond" w:hAnsi="Garamond" w:cstheme="minorHAnsi"/>
        </w:rPr>
        <w:t xml:space="preserve"> does not go beyond what the evidence warrants, and so</w:t>
      </w:r>
      <w:r w:rsidR="00BC034F" w:rsidRPr="00973839">
        <w:rPr>
          <w:rFonts w:ascii="Garamond" w:hAnsi="Garamond" w:cstheme="minorHAnsi"/>
        </w:rPr>
        <w:t xml:space="preserve"> is not unwarranted. There are at least two reasons for why this might be the case. First, the business owner might have sufficient evidence counting in favour of the proposition that the business will succeed, such that the evidence weighs in favour of believing that proposition overall. This is a somewhat mundane account of a belief going against the evidence. More controversially, we might suppose that certain practical features of the business owner’s situation warrant her belief, even though for other, more impartial </w:t>
      </w:r>
      <w:r w:rsidR="00BA71B7" w:rsidRPr="00973839">
        <w:rPr>
          <w:rFonts w:ascii="Garamond" w:hAnsi="Garamond" w:cstheme="minorHAnsi"/>
        </w:rPr>
        <w:t>observers who lack such practical features, their belief that the business will succeed would not be warranted. Let’s explore how this position might be defended.</w:t>
      </w:r>
    </w:p>
    <w:p w14:paraId="53AF9CBB" w14:textId="24329F25" w:rsidR="00A854BC" w:rsidRPr="00973839" w:rsidRDefault="00BA71B7" w:rsidP="00973839">
      <w:pPr>
        <w:jc w:val="both"/>
        <w:rPr>
          <w:rFonts w:ascii="Garamond" w:hAnsi="Garamond" w:cstheme="minorHAnsi"/>
        </w:rPr>
      </w:pPr>
      <w:r w:rsidRPr="00973839">
        <w:rPr>
          <w:rFonts w:ascii="Garamond" w:hAnsi="Garamond" w:cstheme="minorHAnsi"/>
        </w:rPr>
        <w:tab/>
      </w:r>
      <w:r w:rsidR="00F03BAC" w:rsidRPr="00973839">
        <w:rPr>
          <w:rFonts w:ascii="Garamond" w:hAnsi="Garamond" w:cstheme="minorHAnsi"/>
        </w:rPr>
        <w:t>The business owner has certain interests in the success of the business: she has invested years of her life in the business and all of her life-savings. An impartial observer has no such interests in the success of the business: it doesn’t matter to her whether or not the business succeeds or fails. Some philosophers have argued that the practical interests of the business owner alter the evidence required for her to believe that the business will not succeed (</w:t>
      </w:r>
      <w:proofErr w:type="spellStart"/>
      <w:r w:rsidR="00F03BAC" w:rsidRPr="00973839">
        <w:rPr>
          <w:rFonts w:ascii="Garamond" w:hAnsi="Garamond" w:cstheme="minorHAnsi"/>
        </w:rPr>
        <w:t>Fantl</w:t>
      </w:r>
      <w:proofErr w:type="spellEnd"/>
      <w:r w:rsidR="00F03BAC" w:rsidRPr="00973839">
        <w:rPr>
          <w:rFonts w:ascii="Garamond" w:hAnsi="Garamond" w:cstheme="minorHAnsi"/>
        </w:rPr>
        <w:t xml:space="preserve"> and McGrath 2002; Stanley 2005).</w:t>
      </w:r>
      <w:r w:rsidR="00776A87" w:rsidRPr="00973839">
        <w:rPr>
          <w:rFonts w:ascii="Garamond" w:hAnsi="Garamond" w:cstheme="minorHAnsi"/>
        </w:rPr>
        <w:t xml:space="preserve"> </w:t>
      </w:r>
      <w:r w:rsidR="00DA508C" w:rsidRPr="00973839">
        <w:rPr>
          <w:rFonts w:ascii="Garamond" w:hAnsi="Garamond" w:cstheme="minorHAnsi"/>
        </w:rPr>
        <w:t>A recent proposal for understanding this claim (Morton and Paul</w:t>
      </w:r>
      <w:r w:rsidR="007C143B" w:rsidRPr="00973839">
        <w:rPr>
          <w:rFonts w:ascii="Garamond" w:hAnsi="Garamond" w:cstheme="minorHAnsi"/>
        </w:rPr>
        <w:t xml:space="preserve"> 2019</w:t>
      </w:r>
      <w:r w:rsidR="00DA508C" w:rsidRPr="00973839">
        <w:rPr>
          <w:rFonts w:ascii="Garamond" w:hAnsi="Garamond" w:cstheme="minorHAnsi"/>
        </w:rPr>
        <w:t xml:space="preserve">) </w:t>
      </w:r>
      <w:r w:rsidR="00CA607C" w:rsidRPr="00973839">
        <w:rPr>
          <w:rFonts w:ascii="Garamond" w:hAnsi="Garamond" w:cstheme="minorHAnsi"/>
        </w:rPr>
        <w:t xml:space="preserve">is that the business owner’s ‘evidential threshold’ is raised concerning the proposition that her business will not succeed: she requires a higher degree of evidence for belief toward this proposition, given </w:t>
      </w:r>
      <w:r w:rsidR="00CA607C" w:rsidRPr="00973839">
        <w:rPr>
          <w:rFonts w:ascii="Garamond" w:hAnsi="Garamond" w:cstheme="minorHAnsi"/>
        </w:rPr>
        <w:lastRenderedPageBreak/>
        <w:t>her practical interests in the success of the business, than the impartial observer, who has no practical interests in its success.</w:t>
      </w:r>
      <w:r w:rsidR="00CA607C" w:rsidRPr="00973839">
        <w:rPr>
          <w:rStyle w:val="FootnoteReference"/>
          <w:rFonts w:ascii="Garamond" w:hAnsi="Garamond" w:cstheme="minorHAnsi"/>
        </w:rPr>
        <w:footnoteReference w:id="6"/>
      </w:r>
      <w:r w:rsidR="00CA607C" w:rsidRPr="00973839">
        <w:rPr>
          <w:rFonts w:ascii="Garamond" w:hAnsi="Garamond" w:cstheme="minorHAnsi"/>
        </w:rPr>
        <w:t xml:space="preserve"> This proposal seems plausible to me for several reasons. For one thing, it seems quite reasonable to permit the business owner to believe that her business will not fail</w:t>
      </w:r>
      <w:r w:rsidR="00A20E64" w:rsidRPr="00973839">
        <w:rPr>
          <w:rFonts w:ascii="Garamond" w:hAnsi="Garamond" w:cstheme="minorHAnsi"/>
        </w:rPr>
        <w:t>,</w:t>
      </w:r>
      <w:r w:rsidR="00CA607C" w:rsidRPr="00973839">
        <w:rPr>
          <w:rFonts w:ascii="Garamond" w:hAnsi="Garamond" w:cstheme="minorHAnsi"/>
        </w:rPr>
        <w:t xml:space="preserve"> even though she has plenty of evidence that it will</w:t>
      </w:r>
      <w:r w:rsidR="00A20E64" w:rsidRPr="00973839">
        <w:rPr>
          <w:rFonts w:ascii="Garamond" w:hAnsi="Garamond" w:cstheme="minorHAnsi"/>
        </w:rPr>
        <w:t>,</w:t>
      </w:r>
      <w:r w:rsidR="00CA607C" w:rsidRPr="00973839">
        <w:rPr>
          <w:rFonts w:ascii="Garamond" w:hAnsi="Garamond" w:cstheme="minorHAnsi"/>
        </w:rPr>
        <w:t xml:space="preserve"> given the high-stakes involved in her situation. </w:t>
      </w:r>
      <w:r w:rsidR="0007308F" w:rsidRPr="00973839">
        <w:rPr>
          <w:rFonts w:ascii="Garamond" w:hAnsi="Garamond" w:cstheme="minorHAnsi"/>
        </w:rPr>
        <w:t xml:space="preserve">She shouldn’t </w:t>
      </w:r>
      <w:r w:rsidR="00A20E64" w:rsidRPr="00973839">
        <w:rPr>
          <w:rFonts w:ascii="Garamond" w:hAnsi="Garamond" w:cstheme="minorHAnsi"/>
        </w:rPr>
        <w:t>easily</w:t>
      </w:r>
      <w:r w:rsidR="0007308F" w:rsidRPr="00973839">
        <w:rPr>
          <w:rFonts w:ascii="Garamond" w:hAnsi="Garamond" w:cstheme="minorHAnsi"/>
        </w:rPr>
        <w:t xml:space="preserve"> give up on the business even though there is evidence indicating its possible failure. That’s not to say that she will always be warranted in her belief in the businesses’ success. There comes a point at which her belief is delusory and goes </w:t>
      </w:r>
      <w:r w:rsidR="0007308F" w:rsidRPr="00973839">
        <w:rPr>
          <w:rFonts w:ascii="Garamond" w:hAnsi="Garamond" w:cstheme="minorHAnsi"/>
          <w:i/>
        </w:rPr>
        <w:t>beyond</w:t>
      </w:r>
      <w:r w:rsidR="0007308F" w:rsidRPr="00973839">
        <w:rPr>
          <w:rFonts w:ascii="Garamond" w:hAnsi="Garamond" w:cstheme="minorHAnsi"/>
        </w:rPr>
        <w:t xml:space="preserve"> the evidence. Nevertheless, up to a point it seems permissible that she </w:t>
      </w:r>
      <w:proofErr w:type="gramStart"/>
      <w:r w:rsidR="0007308F" w:rsidRPr="00973839">
        <w:rPr>
          <w:rFonts w:ascii="Garamond" w:hAnsi="Garamond" w:cstheme="minorHAnsi"/>
        </w:rPr>
        <w:t>continue</w:t>
      </w:r>
      <w:proofErr w:type="gramEnd"/>
      <w:r w:rsidR="0007308F" w:rsidRPr="00973839">
        <w:rPr>
          <w:rFonts w:ascii="Garamond" w:hAnsi="Garamond" w:cstheme="minorHAnsi"/>
        </w:rPr>
        <w:t xml:space="preserve"> to hold fast to her belief in the business’ success.</w:t>
      </w:r>
    </w:p>
    <w:p w14:paraId="62F01BBD" w14:textId="103FDD9B" w:rsidR="00EC0E9E" w:rsidRPr="00973839" w:rsidRDefault="0007308F" w:rsidP="00973839">
      <w:pPr>
        <w:jc w:val="both"/>
        <w:rPr>
          <w:rFonts w:ascii="Garamond" w:hAnsi="Garamond" w:cstheme="minorHAnsi"/>
        </w:rPr>
      </w:pPr>
      <w:r w:rsidRPr="00973839">
        <w:rPr>
          <w:rFonts w:ascii="Garamond" w:hAnsi="Garamond" w:cstheme="minorHAnsi"/>
        </w:rPr>
        <w:tab/>
      </w:r>
      <w:r w:rsidR="00F1117A" w:rsidRPr="00973839">
        <w:rPr>
          <w:rFonts w:ascii="Garamond" w:hAnsi="Garamond" w:cstheme="minorHAnsi"/>
        </w:rPr>
        <w:t>Another reason for supposing her belief is not unwarranted is due to the plausibility of comparable cases.</w:t>
      </w:r>
      <w:r w:rsidR="00EC0E9E" w:rsidRPr="00973839">
        <w:rPr>
          <w:rFonts w:ascii="Garamond" w:hAnsi="Garamond" w:cstheme="minorHAnsi"/>
        </w:rPr>
        <w:t xml:space="preserve"> Recall the discuss</w:t>
      </w:r>
      <w:r w:rsidR="00AD30CE" w:rsidRPr="00973839">
        <w:rPr>
          <w:rFonts w:ascii="Garamond" w:hAnsi="Garamond" w:cstheme="minorHAnsi"/>
        </w:rPr>
        <w:t>ion</w:t>
      </w:r>
      <w:r w:rsidR="00EC0E9E" w:rsidRPr="00973839">
        <w:rPr>
          <w:rFonts w:ascii="Garamond" w:hAnsi="Garamond" w:cstheme="minorHAnsi"/>
        </w:rPr>
        <w:t xml:space="preserve"> of friendship partiality. When you’re in a friendship with someone it is often argued that there are certain moral demands on you if you are to act as a good friend. One of those demands, it has been proposed (Stroud 2006), is to be partial towards evidence favouring your friend. For instance, if you hear disreputable reports concerning your friend, you ought to be less disposed toward concluding that your friend is a bad person on the basis of such reports than someone who is not this person’s friend. Such partiality is thought to be an important feature in what it is to be a good friend. In these cases, the truth of propositions concerning the goodness of your friend are important to you because of your relationship and the obligations that it entails. Such partiality can be seen as shaping how strong the evidence must be to justify belief formation or revision when propositions concern our friends.</w:t>
      </w:r>
    </w:p>
    <w:p w14:paraId="695A194D" w14:textId="479BAF82" w:rsidR="00384F82" w:rsidRPr="00973839" w:rsidRDefault="00EC0E9E" w:rsidP="00973839">
      <w:pPr>
        <w:ind w:firstLine="720"/>
        <w:jc w:val="both"/>
        <w:rPr>
          <w:rFonts w:ascii="Garamond" w:hAnsi="Garamond" w:cstheme="minorHAnsi"/>
        </w:rPr>
      </w:pPr>
      <w:r w:rsidRPr="00973839">
        <w:rPr>
          <w:rFonts w:ascii="Garamond" w:hAnsi="Garamond" w:cstheme="minorHAnsi"/>
        </w:rPr>
        <w:t>There are further examples as well. For instance, i</w:t>
      </w:r>
      <w:r w:rsidR="00F1117A" w:rsidRPr="00973839">
        <w:rPr>
          <w:rFonts w:ascii="Garamond" w:hAnsi="Garamond" w:cstheme="minorHAnsi"/>
        </w:rPr>
        <w:t xml:space="preserve">f it’s critical to one person that the bank be open, then he will not simply form a belief about whether the bank is open or closed on the weakest available piece of evidence (Stanley 2005). He will require stronger evidence to justify belief formation or revision concerning the bank’s status than </w:t>
      </w:r>
      <w:r w:rsidR="00AD30CE" w:rsidRPr="00973839">
        <w:rPr>
          <w:rFonts w:ascii="Garamond" w:hAnsi="Garamond" w:cstheme="minorHAnsi"/>
        </w:rPr>
        <w:t xml:space="preserve">for someone with whom </w:t>
      </w:r>
      <w:r w:rsidR="00F1117A" w:rsidRPr="00973839">
        <w:rPr>
          <w:rFonts w:ascii="Garamond" w:hAnsi="Garamond" w:cstheme="minorHAnsi"/>
        </w:rPr>
        <w:t xml:space="preserve">it </w:t>
      </w:r>
      <w:r w:rsidR="00A20E64" w:rsidRPr="00973839">
        <w:rPr>
          <w:rFonts w:ascii="Garamond" w:hAnsi="Garamond" w:cstheme="minorHAnsi"/>
        </w:rPr>
        <w:t>doesn’t</w:t>
      </w:r>
      <w:r w:rsidR="00F1117A" w:rsidRPr="00973839">
        <w:rPr>
          <w:rFonts w:ascii="Garamond" w:hAnsi="Garamond" w:cstheme="minorHAnsi"/>
        </w:rPr>
        <w:t xml:space="preserve"> matter whether or not the bank is open or closed. </w:t>
      </w:r>
      <w:r w:rsidRPr="00973839">
        <w:rPr>
          <w:rFonts w:ascii="Garamond" w:hAnsi="Garamond" w:cstheme="minorHAnsi"/>
        </w:rPr>
        <w:t xml:space="preserve">Moreover, suppose that </w:t>
      </w:r>
      <w:r w:rsidR="00F1117A" w:rsidRPr="00973839">
        <w:rPr>
          <w:rFonts w:ascii="Garamond" w:hAnsi="Garamond" w:cstheme="minorHAnsi"/>
        </w:rPr>
        <w:t>it’s important to a student that she gets the best possible</w:t>
      </w:r>
      <w:r w:rsidRPr="00973839">
        <w:rPr>
          <w:rFonts w:ascii="Garamond" w:hAnsi="Garamond" w:cstheme="minorHAnsi"/>
        </w:rPr>
        <w:t xml:space="preserve"> grade in her degree. For her,</w:t>
      </w:r>
      <w:r w:rsidR="00F1117A" w:rsidRPr="00973839">
        <w:rPr>
          <w:rFonts w:ascii="Garamond" w:hAnsi="Garamond" w:cstheme="minorHAnsi"/>
        </w:rPr>
        <w:t xml:space="preserve"> a series of poor grades in the first year of studies may not justify forming the belief that she cannot get the best possible grade. If she believes this, it may have a dispiriting and demotivating effect on her studies, and she may no longer pursue the best possible grade. Given the importance of her getting the </w:t>
      </w:r>
      <w:r w:rsidRPr="00973839">
        <w:rPr>
          <w:rFonts w:ascii="Garamond" w:hAnsi="Garamond" w:cstheme="minorHAnsi"/>
        </w:rPr>
        <w:t>best possible grade</w:t>
      </w:r>
      <w:r w:rsidR="00F1117A" w:rsidRPr="00973839">
        <w:rPr>
          <w:rFonts w:ascii="Garamond" w:hAnsi="Garamond" w:cstheme="minorHAnsi"/>
        </w:rPr>
        <w:t xml:space="preserve">, and hence the high-stakes involved in her case, the student’s evidential threshold for belief formation </w:t>
      </w:r>
      <w:r w:rsidR="00B15458" w:rsidRPr="00973839">
        <w:rPr>
          <w:rFonts w:ascii="Garamond" w:hAnsi="Garamond" w:cstheme="minorHAnsi"/>
        </w:rPr>
        <w:t>is</w:t>
      </w:r>
      <w:r w:rsidR="00F1117A" w:rsidRPr="00973839">
        <w:rPr>
          <w:rFonts w:ascii="Garamond" w:hAnsi="Garamond" w:cstheme="minorHAnsi"/>
        </w:rPr>
        <w:t xml:space="preserve"> such that greater evidence is required for her to disbelieve that she will achieve a first-class grade.</w:t>
      </w:r>
    </w:p>
    <w:p w14:paraId="67B1F80C" w14:textId="33F9E2F6" w:rsidR="00E82EA7" w:rsidRPr="00973839" w:rsidRDefault="00B15458" w:rsidP="00973839">
      <w:pPr>
        <w:spacing w:after="120"/>
        <w:ind w:firstLine="720"/>
        <w:jc w:val="both"/>
        <w:rPr>
          <w:rFonts w:ascii="Garamond" w:hAnsi="Garamond" w:cstheme="minorHAnsi"/>
        </w:rPr>
      </w:pPr>
      <w:r w:rsidRPr="00973839">
        <w:rPr>
          <w:rFonts w:ascii="Garamond" w:hAnsi="Garamond" w:cstheme="minorHAnsi"/>
        </w:rPr>
        <w:t>This is not the place to offer a robust defence of the role of practical interests in doxastic rationality. Whilst I find the view plausible, it serves an important role in outlining the distinctions between going beyond and going against the evidence. In doxastic terms, we can state going against the evidence as follows:</w:t>
      </w:r>
    </w:p>
    <w:p w14:paraId="6337BFAF" w14:textId="3F831A5D" w:rsidR="00E82EA7" w:rsidRPr="00973839" w:rsidRDefault="00E82EA7" w:rsidP="00973839">
      <w:pPr>
        <w:spacing w:after="120"/>
        <w:ind w:left="567"/>
        <w:jc w:val="both"/>
        <w:rPr>
          <w:rFonts w:ascii="Garamond" w:hAnsi="Garamond" w:cstheme="minorHAnsi"/>
        </w:rPr>
      </w:pPr>
      <w:bookmarkStart w:id="15" w:name="_Hlk531077783"/>
      <w:r w:rsidRPr="00973839">
        <w:rPr>
          <w:rFonts w:ascii="Garamond" w:hAnsi="Garamond" w:cstheme="minorHAnsi"/>
          <w:sz w:val="22"/>
        </w:rPr>
        <w:t>AGAINST</w:t>
      </w:r>
      <w:r w:rsidRPr="00973839">
        <w:rPr>
          <w:rFonts w:ascii="Garamond" w:hAnsi="Garamond" w:cstheme="minorHAnsi"/>
        </w:rPr>
        <w:t>(d)</w:t>
      </w:r>
      <w:bookmarkEnd w:id="15"/>
      <w:r w:rsidRPr="00973839">
        <w:rPr>
          <w:rFonts w:ascii="Garamond" w:hAnsi="Garamond" w:cstheme="minorHAnsi"/>
        </w:rPr>
        <w:t xml:space="preserve">: A person S goes against the evidence when S holds a doxastic attitude </w:t>
      </w:r>
      <w:r w:rsidRPr="00973839">
        <w:rPr>
          <w:rFonts w:ascii="Garamond" w:hAnsi="Garamond" w:cstheme="minorHAnsi"/>
          <w:i/>
        </w:rPr>
        <w:t>D</w:t>
      </w:r>
      <w:r w:rsidRPr="00973839">
        <w:rPr>
          <w:rFonts w:ascii="Garamond" w:hAnsi="Garamond" w:cstheme="minorHAnsi"/>
        </w:rPr>
        <w:t xml:space="preserve"> towards a proposition </w:t>
      </w:r>
      <w:r w:rsidRPr="00973839">
        <w:rPr>
          <w:rFonts w:ascii="Garamond" w:hAnsi="Garamond" w:cstheme="minorHAnsi"/>
          <w:i/>
        </w:rPr>
        <w:t>p</w:t>
      </w:r>
      <w:r w:rsidRPr="00973839">
        <w:rPr>
          <w:rFonts w:ascii="Garamond" w:hAnsi="Garamond" w:cstheme="minorHAnsi"/>
        </w:rPr>
        <w:t xml:space="preserve"> at time </w:t>
      </w:r>
      <w:r w:rsidRPr="00973839">
        <w:rPr>
          <w:rFonts w:ascii="Garamond" w:hAnsi="Garamond" w:cstheme="minorHAnsi"/>
          <w:i/>
        </w:rPr>
        <w:t xml:space="preserve">t </w:t>
      </w:r>
      <w:r w:rsidRPr="00973839">
        <w:rPr>
          <w:rFonts w:ascii="Garamond" w:hAnsi="Garamond" w:cstheme="minorHAnsi"/>
        </w:rPr>
        <w:t xml:space="preserve">despite </w:t>
      </w:r>
      <w:r w:rsidR="00AD30CE" w:rsidRPr="00973839">
        <w:rPr>
          <w:rFonts w:ascii="Garamond" w:hAnsi="Garamond" w:cstheme="minorHAnsi"/>
        </w:rPr>
        <w:t>S</w:t>
      </w:r>
      <w:r w:rsidRPr="00973839">
        <w:rPr>
          <w:rFonts w:ascii="Garamond" w:hAnsi="Garamond" w:cstheme="minorHAnsi"/>
        </w:rPr>
        <w:t xml:space="preserve"> having evidence against the truth of </w:t>
      </w:r>
      <w:r w:rsidRPr="00973839">
        <w:rPr>
          <w:rFonts w:ascii="Garamond" w:hAnsi="Garamond" w:cstheme="minorHAnsi"/>
          <w:i/>
        </w:rPr>
        <w:t>D</w:t>
      </w:r>
      <w:r w:rsidRPr="00973839">
        <w:rPr>
          <w:rFonts w:ascii="Garamond" w:hAnsi="Garamond" w:cstheme="minorHAnsi"/>
        </w:rPr>
        <w:t xml:space="preserve"> toward </w:t>
      </w:r>
      <w:r w:rsidRPr="00973839">
        <w:rPr>
          <w:rFonts w:ascii="Garamond" w:hAnsi="Garamond" w:cstheme="minorHAnsi"/>
          <w:i/>
        </w:rPr>
        <w:t xml:space="preserve">p </w:t>
      </w:r>
      <w:r w:rsidRPr="00973839">
        <w:rPr>
          <w:rFonts w:ascii="Garamond" w:hAnsi="Garamond" w:cstheme="minorHAnsi"/>
        </w:rPr>
        <w:t xml:space="preserve">at </w:t>
      </w:r>
      <w:r w:rsidRPr="00973839">
        <w:rPr>
          <w:rFonts w:ascii="Garamond" w:hAnsi="Garamond" w:cstheme="minorHAnsi"/>
          <w:i/>
        </w:rPr>
        <w:t>t</w:t>
      </w:r>
      <w:r w:rsidRPr="00973839">
        <w:rPr>
          <w:rFonts w:ascii="Garamond" w:hAnsi="Garamond" w:cstheme="minorHAnsi"/>
        </w:rPr>
        <w:t>.</w:t>
      </w:r>
    </w:p>
    <w:p w14:paraId="6715B022" w14:textId="5278B969" w:rsidR="00E82EA7" w:rsidRPr="00973839" w:rsidRDefault="00E82EA7" w:rsidP="00973839">
      <w:pPr>
        <w:spacing w:after="120"/>
        <w:jc w:val="both"/>
        <w:rPr>
          <w:rFonts w:ascii="Garamond" w:hAnsi="Garamond" w:cstheme="minorHAnsi"/>
        </w:rPr>
      </w:pPr>
      <w:r w:rsidRPr="00973839">
        <w:rPr>
          <w:rFonts w:ascii="Garamond" w:hAnsi="Garamond" w:cstheme="minorHAnsi"/>
        </w:rPr>
        <w:lastRenderedPageBreak/>
        <w:t xml:space="preserve">There is a mundane version of </w:t>
      </w:r>
      <w:bookmarkStart w:id="16" w:name="_Hlk531078159"/>
      <w:r w:rsidRPr="00973839">
        <w:rPr>
          <w:rFonts w:ascii="Garamond" w:hAnsi="Garamond" w:cstheme="minorHAnsi"/>
          <w:sz w:val="22"/>
        </w:rPr>
        <w:t>AGAINST</w:t>
      </w:r>
      <w:r w:rsidRPr="00973839">
        <w:rPr>
          <w:rFonts w:ascii="Garamond" w:hAnsi="Garamond" w:cstheme="minorHAnsi"/>
        </w:rPr>
        <w:t>(d)</w:t>
      </w:r>
      <w:bookmarkEnd w:id="16"/>
      <w:r w:rsidRPr="00973839">
        <w:rPr>
          <w:rFonts w:ascii="Garamond" w:hAnsi="Garamond" w:cstheme="minorHAnsi"/>
        </w:rPr>
        <w:t>:</w:t>
      </w:r>
      <w:r w:rsidR="009C1E8C" w:rsidRPr="00973839">
        <w:rPr>
          <w:rFonts w:ascii="Garamond" w:hAnsi="Garamond" w:cstheme="minorHAnsi"/>
        </w:rPr>
        <w:t xml:space="preserve"> </w:t>
      </w:r>
    </w:p>
    <w:p w14:paraId="2E0070BD" w14:textId="4E8636A7" w:rsidR="00E82EA7" w:rsidRPr="00973839" w:rsidRDefault="009C1E8C" w:rsidP="00973839">
      <w:pPr>
        <w:spacing w:after="120"/>
        <w:ind w:left="567"/>
        <w:jc w:val="both"/>
        <w:rPr>
          <w:rFonts w:ascii="Garamond" w:hAnsi="Garamond" w:cstheme="minorHAnsi"/>
        </w:rPr>
      </w:pPr>
      <w:bookmarkStart w:id="17" w:name="_Hlk531078714"/>
      <w:r w:rsidRPr="00973839">
        <w:rPr>
          <w:rFonts w:ascii="Garamond" w:hAnsi="Garamond" w:cstheme="minorHAnsi"/>
          <w:sz w:val="22"/>
        </w:rPr>
        <w:t>MUNDANE</w:t>
      </w:r>
      <w:r w:rsidRPr="00973839">
        <w:rPr>
          <w:rFonts w:ascii="Garamond" w:hAnsi="Garamond" w:cstheme="minorHAnsi"/>
        </w:rPr>
        <w:t xml:space="preserve">: A person S </w:t>
      </w:r>
      <w:r w:rsidR="00AD30CE" w:rsidRPr="00973839">
        <w:rPr>
          <w:rFonts w:ascii="Garamond" w:hAnsi="Garamond" w:cstheme="minorHAnsi"/>
        </w:rPr>
        <w:t xml:space="preserve">who </w:t>
      </w:r>
      <w:r w:rsidRPr="00973839">
        <w:rPr>
          <w:rFonts w:ascii="Garamond" w:hAnsi="Garamond" w:cstheme="minorHAnsi"/>
        </w:rPr>
        <w:t>hold</w:t>
      </w:r>
      <w:r w:rsidR="00AD30CE" w:rsidRPr="00973839">
        <w:rPr>
          <w:rFonts w:ascii="Garamond" w:hAnsi="Garamond" w:cstheme="minorHAnsi"/>
        </w:rPr>
        <w:t>s</w:t>
      </w:r>
      <w:r w:rsidRPr="00973839">
        <w:rPr>
          <w:rFonts w:ascii="Garamond" w:hAnsi="Garamond" w:cstheme="minorHAnsi"/>
        </w:rPr>
        <w:t xml:space="preserve"> </w:t>
      </w:r>
      <w:r w:rsidRPr="00973839">
        <w:rPr>
          <w:rFonts w:ascii="Garamond" w:hAnsi="Garamond" w:cstheme="minorHAnsi"/>
          <w:i/>
        </w:rPr>
        <w:t>D</w:t>
      </w:r>
      <w:r w:rsidRPr="00973839">
        <w:rPr>
          <w:rFonts w:ascii="Garamond" w:hAnsi="Garamond" w:cstheme="minorHAnsi"/>
        </w:rPr>
        <w:t xml:space="preserve"> towards </w:t>
      </w:r>
      <w:r w:rsidRPr="00973839">
        <w:rPr>
          <w:rFonts w:ascii="Garamond" w:hAnsi="Garamond" w:cstheme="minorHAnsi"/>
          <w:i/>
        </w:rPr>
        <w:t xml:space="preserve">p </w:t>
      </w:r>
      <w:r w:rsidRPr="00973839">
        <w:rPr>
          <w:rFonts w:ascii="Garamond" w:hAnsi="Garamond" w:cstheme="minorHAnsi"/>
        </w:rPr>
        <w:t xml:space="preserve">has evidence both </w:t>
      </w:r>
      <w:r w:rsidR="00A20E64" w:rsidRPr="00973839">
        <w:rPr>
          <w:rFonts w:ascii="Garamond" w:hAnsi="Garamond" w:cstheme="minorHAnsi"/>
        </w:rPr>
        <w:t xml:space="preserve">for and </w:t>
      </w:r>
      <w:r w:rsidRPr="00973839">
        <w:rPr>
          <w:rFonts w:ascii="Garamond" w:hAnsi="Garamond" w:cstheme="minorHAnsi"/>
        </w:rPr>
        <w:t xml:space="preserve">against holding </w:t>
      </w:r>
      <w:r w:rsidRPr="00973839">
        <w:rPr>
          <w:rFonts w:ascii="Garamond" w:hAnsi="Garamond" w:cstheme="minorHAnsi"/>
          <w:i/>
        </w:rPr>
        <w:t>D</w:t>
      </w:r>
      <w:r w:rsidRPr="00973839">
        <w:rPr>
          <w:rFonts w:ascii="Garamond" w:hAnsi="Garamond" w:cstheme="minorHAnsi"/>
        </w:rPr>
        <w:t xml:space="preserve"> towards </w:t>
      </w:r>
      <w:r w:rsidRPr="00973839">
        <w:rPr>
          <w:rFonts w:ascii="Garamond" w:hAnsi="Garamond" w:cstheme="minorHAnsi"/>
          <w:i/>
        </w:rPr>
        <w:t>p</w:t>
      </w:r>
      <w:r w:rsidRPr="00973839">
        <w:rPr>
          <w:rFonts w:ascii="Garamond" w:hAnsi="Garamond" w:cstheme="minorHAnsi"/>
        </w:rPr>
        <w:t xml:space="preserve"> where the evidence for holding </w:t>
      </w:r>
      <w:r w:rsidRPr="00973839">
        <w:rPr>
          <w:rFonts w:ascii="Garamond" w:hAnsi="Garamond" w:cstheme="minorHAnsi"/>
          <w:i/>
        </w:rPr>
        <w:t>D</w:t>
      </w:r>
      <w:r w:rsidRPr="00973839">
        <w:rPr>
          <w:rFonts w:ascii="Garamond" w:hAnsi="Garamond" w:cstheme="minorHAnsi"/>
        </w:rPr>
        <w:t xml:space="preserve"> towards </w:t>
      </w:r>
      <w:r w:rsidRPr="00973839">
        <w:rPr>
          <w:rFonts w:ascii="Garamond" w:hAnsi="Garamond" w:cstheme="minorHAnsi"/>
          <w:i/>
        </w:rPr>
        <w:t>p</w:t>
      </w:r>
      <w:r w:rsidRPr="00973839">
        <w:rPr>
          <w:rFonts w:ascii="Garamond" w:hAnsi="Garamond" w:cstheme="minorHAnsi"/>
        </w:rPr>
        <w:t xml:space="preserve"> weighs in favour of holding </w:t>
      </w:r>
      <w:r w:rsidRPr="00973839">
        <w:rPr>
          <w:rFonts w:ascii="Garamond" w:hAnsi="Garamond" w:cstheme="minorHAnsi"/>
          <w:i/>
        </w:rPr>
        <w:t>D</w:t>
      </w:r>
      <w:r w:rsidRPr="00973839">
        <w:rPr>
          <w:rFonts w:ascii="Garamond" w:hAnsi="Garamond" w:cstheme="minorHAnsi"/>
        </w:rPr>
        <w:t xml:space="preserve"> towards </w:t>
      </w:r>
      <w:r w:rsidRPr="00973839">
        <w:rPr>
          <w:rFonts w:ascii="Garamond" w:hAnsi="Garamond" w:cstheme="minorHAnsi"/>
          <w:i/>
        </w:rPr>
        <w:t>p</w:t>
      </w:r>
      <w:r w:rsidRPr="00973839">
        <w:rPr>
          <w:rFonts w:ascii="Garamond" w:hAnsi="Garamond" w:cstheme="minorHAnsi"/>
        </w:rPr>
        <w:t xml:space="preserve"> overall.</w:t>
      </w:r>
    </w:p>
    <w:p w14:paraId="29FEF484" w14:textId="1EBD0EC3" w:rsidR="009C1E8C" w:rsidRPr="00973839" w:rsidRDefault="009C1E8C" w:rsidP="00973839">
      <w:pPr>
        <w:spacing w:after="120"/>
        <w:jc w:val="both"/>
        <w:rPr>
          <w:rFonts w:ascii="Garamond" w:hAnsi="Garamond" w:cstheme="minorHAnsi"/>
        </w:rPr>
      </w:pPr>
      <w:r w:rsidRPr="00973839">
        <w:rPr>
          <w:rFonts w:ascii="Garamond" w:hAnsi="Garamond" w:cstheme="minorHAnsi"/>
        </w:rPr>
        <w:t xml:space="preserve">There is also a controversial version of </w:t>
      </w:r>
      <w:r w:rsidRPr="00973839">
        <w:rPr>
          <w:rFonts w:ascii="Garamond" w:hAnsi="Garamond" w:cstheme="minorHAnsi"/>
          <w:sz w:val="22"/>
        </w:rPr>
        <w:t>AGAINST</w:t>
      </w:r>
      <w:r w:rsidRPr="00973839">
        <w:rPr>
          <w:rFonts w:ascii="Garamond" w:hAnsi="Garamond" w:cstheme="minorHAnsi"/>
        </w:rPr>
        <w:t xml:space="preserve">(d) that </w:t>
      </w:r>
      <w:proofErr w:type="gramStart"/>
      <w:r w:rsidRPr="00973839">
        <w:rPr>
          <w:rFonts w:ascii="Garamond" w:hAnsi="Garamond" w:cstheme="minorHAnsi"/>
        </w:rPr>
        <w:t>takes into account</w:t>
      </w:r>
      <w:proofErr w:type="gramEnd"/>
      <w:r w:rsidRPr="00973839">
        <w:rPr>
          <w:rFonts w:ascii="Garamond" w:hAnsi="Garamond" w:cstheme="minorHAnsi"/>
        </w:rPr>
        <w:t xml:space="preserve"> the practical interests of the agent:</w:t>
      </w:r>
    </w:p>
    <w:p w14:paraId="2583BC06" w14:textId="7D3E8AA1" w:rsidR="009C1E8C" w:rsidRPr="00973839" w:rsidRDefault="009C1E8C" w:rsidP="00973839">
      <w:pPr>
        <w:spacing w:after="120"/>
        <w:ind w:left="567"/>
        <w:jc w:val="both"/>
        <w:rPr>
          <w:rFonts w:ascii="Garamond" w:hAnsi="Garamond" w:cstheme="minorHAnsi"/>
        </w:rPr>
      </w:pPr>
      <w:r w:rsidRPr="00973839">
        <w:rPr>
          <w:rFonts w:ascii="Garamond" w:hAnsi="Garamond" w:cstheme="minorHAnsi"/>
          <w:sz w:val="22"/>
        </w:rPr>
        <w:t>PRACTICAL</w:t>
      </w:r>
      <w:r w:rsidRPr="00973839">
        <w:rPr>
          <w:rFonts w:ascii="Garamond" w:hAnsi="Garamond" w:cstheme="minorHAnsi"/>
        </w:rPr>
        <w:t xml:space="preserve">: A person S </w:t>
      </w:r>
      <w:r w:rsidR="00AD30CE" w:rsidRPr="00973839">
        <w:rPr>
          <w:rFonts w:ascii="Garamond" w:hAnsi="Garamond" w:cstheme="minorHAnsi"/>
        </w:rPr>
        <w:t xml:space="preserve">who </w:t>
      </w:r>
      <w:r w:rsidRPr="00973839">
        <w:rPr>
          <w:rFonts w:ascii="Garamond" w:hAnsi="Garamond" w:cstheme="minorHAnsi"/>
        </w:rPr>
        <w:t>hold</w:t>
      </w:r>
      <w:r w:rsidR="00AD30CE" w:rsidRPr="00973839">
        <w:rPr>
          <w:rFonts w:ascii="Garamond" w:hAnsi="Garamond" w:cstheme="minorHAnsi"/>
        </w:rPr>
        <w:t>s</w:t>
      </w:r>
      <w:r w:rsidRPr="00973839">
        <w:rPr>
          <w:rFonts w:ascii="Garamond" w:hAnsi="Garamond" w:cstheme="minorHAnsi"/>
        </w:rPr>
        <w:t xml:space="preserve"> </w:t>
      </w:r>
      <w:r w:rsidRPr="00973839">
        <w:rPr>
          <w:rFonts w:ascii="Garamond" w:hAnsi="Garamond" w:cstheme="minorHAnsi"/>
          <w:i/>
        </w:rPr>
        <w:t>D</w:t>
      </w:r>
      <w:r w:rsidRPr="00973839">
        <w:rPr>
          <w:rFonts w:ascii="Garamond" w:hAnsi="Garamond" w:cstheme="minorHAnsi"/>
        </w:rPr>
        <w:t xml:space="preserve"> towards </w:t>
      </w:r>
      <w:r w:rsidRPr="00973839">
        <w:rPr>
          <w:rFonts w:ascii="Garamond" w:hAnsi="Garamond" w:cstheme="minorHAnsi"/>
          <w:i/>
        </w:rPr>
        <w:t xml:space="preserve">p </w:t>
      </w:r>
      <w:r w:rsidRPr="00973839">
        <w:rPr>
          <w:rFonts w:ascii="Garamond" w:hAnsi="Garamond" w:cstheme="minorHAnsi"/>
        </w:rPr>
        <w:t xml:space="preserve">has evidence against holding </w:t>
      </w:r>
      <w:r w:rsidRPr="00973839">
        <w:rPr>
          <w:rFonts w:ascii="Garamond" w:hAnsi="Garamond" w:cstheme="minorHAnsi"/>
          <w:i/>
        </w:rPr>
        <w:t>D</w:t>
      </w:r>
      <w:r w:rsidRPr="00973839">
        <w:rPr>
          <w:rFonts w:ascii="Garamond" w:hAnsi="Garamond" w:cstheme="minorHAnsi"/>
        </w:rPr>
        <w:t xml:space="preserve"> towards </w:t>
      </w:r>
      <w:r w:rsidRPr="00973839">
        <w:rPr>
          <w:rFonts w:ascii="Garamond" w:hAnsi="Garamond" w:cstheme="minorHAnsi"/>
          <w:i/>
        </w:rPr>
        <w:t>p</w:t>
      </w:r>
      <w:r w:rsidRPr="00973839">
        <w:rPr>
          <w:rFonts w:ascii="Garamond" w:hAnsi="Garamond" w:cstheme="minorHAnsi"/>
        </w:rPr>
        <w:t xml:space="preserve"> where, given her practical interests in the truth of </w:t>
      </w:r>
      <w:r w:rsidRPr="00973839">
        <w:rPr>
          <w:rFonts w:ascii="Garamond" w:hAnsi="Garamond" w:cstheme="minorHAnsi"/>
          <w:i/>
        </w:rPr>
        <w:t>p</w:t>
      </w:r>
      <w:r w:rsidRPr="00973839">
        <w:rPr>
          <w:rFonts w:ascii="Garamond" w:hAnsi="Garamond" w:cstheme="minorHAnsi"/>
        </w:rPr>
        <w:t xml:space="preserve">, she is warranted in holding </w:t>
      </w:r>
      <w:r w:rsidRPr="00973839">
        <w:rPr>
          <w:rFonts w:ascii="Garamond" w:hAnsi="Garamond" w:cstheme="minorHAnsi"/>
          <w:i/>
        </w:rPr>
        <w:t>D</w:t>
      </w:r>
      <w:r w:rsidRPr="00973839">
        <w:rPr>
          <w:rFonts w:ascii="Garamond" w:hAnsi="Garamond" w:cstheme="minorHAnsi"/>
        </w:rPr>
        <w:t xml:space="preserve"> towards </w:t>
      </w:r>
      <w:r w:rsidRPr="00973839">
        <w:rPr>
          <w:rFonts w:ascii="Garamond" w:hAnsi="Garamond" w:cstheme="minorHAnsi"/>
          <w:i/>
        </w:rPr>
        <w:t>p</w:t>
      </w:r>
      <w:r w:rsidRPr="00973839">
        <w:rPr>
          <w:rFonts w:ascii="Garamond" w:hAnsi="Garamond" w:cstheme="minorHAnsi"/>
        </w:rPr>
        <w:t xml:space="preserve">, but where for agents with no practical interests in the truth of </w:t>
      </w:r>
      <w:r w:rsidRPr="00973839">
        <w:rPr>
          <w:rFonts w:ascii="Garamond" w:hAnsi="Garamond" w:cstheme="minorHAnsi"/>
          <w:i/>
        </w:rPr>
        <w:t>p</w:t>
      </w:r>
      <w:r w:rsidRPr="00973839">
        <w:rPr>
          <w:rFonts w:ascii="Garamond" w:hAnsi="Garamond" w:cstheme="minorHAnsi"/>
        </w:rPr>
        <w:t xml:space="preserve">, they would not be warranted in holding </w:t>
      </w:r>
      <w:r w:rsidRPr="00973839">
        <w:rPr>
          <w:rFonts w:ascii="Garamond" w:hAnsi="Garamond" w:cstheme="minorHAnsi"/>
          <w:i/>
        </w:rPr>
        <w:t>D</w:t>
      </w:r>
      <w:r w:rsidRPr="00973839">
        <w:rPr>
          <w:rFonts w:ascii="Garamond" w:hAnsi="Garamond" w:cstheme="minorHAnsi"/>
        </w:rPr>
        <w:t xml:space="preserve"> towards </w:t>
      </w:r>
      <w:r w:rsidRPr="00973839">
        <w:rPr>
          <w:rFonts w:ascii="Garamond" w:hAnsi="Garamond" w:cstheme="minorHAnsi"/>
          <w:i/>
        </w:rPr>
        <w:t>p</w:t>
      </w:r>
      <w:r w:rsidRPr="00973839">
        <w:rPr>
          <w:rFonts w:ascii="Garamond" w:hAnsi="Garamond" w:cstheme="minorHAnsi"/>
        </w:rPr>
        <w:t>.</w:t>
      </w:r>
    </w:p>
    <w:bookmarkEnd w:id="17"/>
    <w:p w14:paraId="3DBD2EED" w14:textId="065C94C2" w:rsidR="009C1E8C" w:rsidRPr="00973839" w:rsidRDefault="00CF2720" w:rsidP="00973839">
      <w:pPr>
        <w:spacing w:after="120"/>
        <w:jc w:val="both"/>
        <w:rPr>
          <w:rFonts w:ascii="Garamond" w:hAnsi="Garamond" w:cstheme="minorHAnsi"/>
        </w:rPr>
      </w:pPr>
      <w:r w:rsidRPr="00973839">
        <w:rPr>
          <w:rFonts w:ascii="Garamond" w:hAnsi="Garamond" w:cstheme="minorHAnsi"/>
        </w:rPr>
        <w:t>Going against the evidence also has a basic behavioural sense:</w:t>
      </w:r>
    </w:p>
    <w:p w14:paraId="7E8EF523" w14:textId="635931D4" w:rsidR="00E82EA7" w:rsidRPr="00973839" w:rsidRDefault="00E82EA7" w:rsidP="00973839">
      <w:pPr>
        <w:spacing w:after="120"/>
        <w:ind w:left="567"/>
        <w:jc w:val="both"/>
        <w:rPr>
          <w:rFonts w:ascii="Garamond" w:hAnsi="Garamond" w:cstheme="minorHAnsi"/>
        </w:rPr>
      </w:pPr>
      <w:r w:rsidRPr="00973839">
        <w:rPr>
          <w:rFonts w:ascii="Garamond" w:hAnsi="Garamond" w:cstheme="minorHAnsi"/>
          <w:sz w:val="22"/>
        </w:rPr>
        <w:t>AGAINST</w:t>
      </w:r>
      <w:r w:rsidRPr="00973839">
        <w:rPr>
          <w:rFonts w:ascii="Garamond" w:hAnsi="Garamond" w:cstheme="minorHAnsi"/>
        </w:rPr>
        <w:t xml:space="preserve">(a): A person S goes </w:t>
      </w:r>
      <w:r w:rsidR="00CF2720" w:rsidRPr="00973839">
        <w:rPr>
          <w:rFonts w:ascii="Garamond" w:hAnsi="Garamond" w:cstheme="minorHAnsi"/>
        </w:rPr>
        <w:t>against</w:t>
      </w:r>
      <w:r w:rsidRPr="00973839">
        <w:rPr>
          <w:rFonts w:ascii="Garamond" w:hAnsi="Garamond" w:cstheme="minorHAnsi"/>
        </w:rPr>
        <w:t xml:space="preserve"> the evidence when S acts as if it is the case that </w:t>
      </w:r>
      <w:r w:rsidRPr="00973839">
        <w:rPr>
          <w:rFonts w:ascii="Garamond" w:hAnsi="Garamond" w:cstheme="minorHAnsi"/>
          <w:i/>
        </w:rPr>
        <w:t>p</w:t>
      </w:r>
      <w:r w:rsidR="00CF2720" w:rsidRPr="00973839">
        <w:rPr>
          <w:rFonts w:ascii="Garamond" w:hAnsi="Garamond" w:cstheme="minorHAnsi"/>
        </w:rPr>
        <w:t xml:space="preserve"> even though S has</w:t>
      </w:r>
      <w:r w:rsidRPr="00973839">
        <w:rPr>
          <w:rFonts w:ascii="Garamond" w:hAnsi="Garamond" w:cstheme="minorHAnsi"/>
        </w:rPr>
        <w:t xml:space="preserve"> evidence </w:t>
      </w:r>
      <w:r w:rsidR="00CF2720" w:rsidRPr="00973839">
        <w:rPr>
          <w:rFonts w:ascii="Garamond" w:hAnsi="Garamond" w:cstheme="minorHAnsi"/>
        </w:rPr>
        <w:t xml:space="preserve">that counts against the truth of </w:t>
      </w:r>
      <w:r w:rsidRPr="00973839">
        <w:rPr>
          <w:rFonts w:ascii="Garamond" w:hAnsi="Garamond" w:cstheme="minorHAnsi"/>
          <w:i/>
        </w:rPr>
        <w:t>p</w:t>
      </w:r>
      <w:r w:rsidRPr="00973839">
        <w:rPr>
          <w:rFonts w:ascii="Garamond" w:hAnsi="Garamond" w:cstheme="minorHAnsi"/>
        </w:rPr>
        <w:t>.</w:t>
      </w:r>
    </w:p>
    <w:p w14:paraId="285047BE" w14:textId="21E06F27" w:rsidR="00E82EA7" w:rsidRPr="00973839" w:rsidRDefault="00CF2720" w:rsidP="00973839">
      <w:pPr>
        <w:spacing w:after="120"/>
        <w:jc w:val="both"/>
        <w:rPr>
          <w:rFonts w:ascii="Garamond" w:hAnsi="Garamond" w:cstheme="minorHAnsi"/>
        </w:rPr>
      </w:pPr>
      <w:r w:rsidRPr="00973839">
        <w:rPr>
          <w:rFonts w:ascii="Garamond" w:hAnsi="Garamond" w:cstheme="minorHAnsi"/>
        </w:rPr>
        <w:t>Again, there are mundane and practical senses:</w:t>
      </w:r>
    </w:p>
    <w:p w14:paraId="6820E9AA" w14:textId="0CEAB45B" w:rsidR="00CF2720" w:rsidRPr="00973839" w:rsidRDefault="00CF2720" w:rsidP="00973839">
      <w:pPr>
        <w:spacing w:after="120"/>
        <w:ind w:left="567"/>
        <w:jc w:val="both"/>
        <w:rPr>
          <w:rFonts w:ascii="Garamond" w:hAnsi="Garamond" w:cstheme="minorHAnsi"/>
        </w:rPr>
      </w:pPr>
      <w:r w:rsidRPr="00973839">
        <w:rPr>
          <w:rFonts w:ascii="Garamond" w:hAnsi="Garamond" w:cstheme="minorHAnsi"/>
          <w:sz w:val="22"/>
        </w:rPr>
        <w:t>MUNDANE</w:t>
      </w:r>
      <w:r w:rsidRPr="00973839">
        <w:rPr>
          <w:rFonts w:ascii="Garamond" w:hAnsi="Garamond" w:cstheme="minorHAnsi"/>
        </w:rPr>
        <w:t xml:space="preserve">: A person S acts as if it is the case that </w:t>
      </w:r>
      <w:r w:rsidRPr="00973839">
        <w:rPr>
          <w:rFonts w:ascii="Garamond" w:hAnsi="Garamond" w:cstheme="minorHAnsi"/>
          <w:i/>
        </w:rPr>
        <w:t xml:space="preserve">p </w:t>
      </w:r>
      <w:r w:rsidRPr="00973839">
        <w:rPr>
          <w:rFonts w:ascii="Garamond" w:hAnsi="Garamond" w:cstheme="minorHAnsi"/>
        </w:rPr>
        <w:t xml:space="preserve">where there is evidence both </w:t>
      </w:r>
      <w:r w:rsidR="00A20E64" w:rsidRPr="00973839">
        <w:rPr>
          <w:rFonts w:ascii="Garamond" w:hAnsi="Garamond" w:cstheme="minorHAnsi"/>
        </w:rPr>
        <w:t xml:space="preserve">for and </w:t>
      </w:r>
      <w:r w:rsidRPr="00973839">
        <w:rPr>
          <w:rFonts w:ascii="Garamond" w:hAnsi="Garamond" w:cstheme="minorHAnsi"/>
        </w:rPr>
        <w:t xml:space="preserve">against believing </w:t>
      </w:r>
      <w:r w:rsidRPr="00973839">
        <w:rPr>
          <w:rFonts w:ascii="Garamond" w:hAnsi="Garamond" w:cstheme="minorHAnsi"/>
          <w:i/>
        </w:rPr>
        <w:t>p</w:t>
      </w:r>
      <w:r w:rsidRPr="00973839">
        <w:rPr>
          <w:rFonts w:ascii="Garamond" w:hAnsi="Garamond" w:cstheme="minorHAnsi"/>
        </w:rPr>
        <w:t xml:space="preserve"> where the evidence weighs in favour of believing </w:t>
      </w:r>
      <w:r w:rsidRPr="00973839">
        <w:rPr>
          <w:rFonts w:ascii="Garamond" w:hAnsi="Garamond" w:cstheme="minorHAnsi"/>
          <w:i/>
        </w:rPr>
        <w:t>p</w:t>
      </w:r>
      <w:r w:rsidRPr="00973839">
        <w:rPr>
          <w:rFonts w:ascii="Garamond" w:hAnsi="Garamond" w:cstheme="minorHAnsi"/>
        </w:rPr>
        <w:t>.</w:t>
      </w:r>
    </w:p>
    <w:p w14:paraId="0F76FDA7" w14:textId="393CEE6B" w:rsidR="00CF2720" w:rsidRPr="00973839" w:rsidRDefault="00CF2720" w:rsidP="00973839">
      <w:pPr>
        <w:spacing w:after="120"/>
        <w:ind w:left="567"/>
        <w:jc w:val="both"/>
        <w:rPr>
          <w:rFonts w:ascii="Garamond" w:hAnsi="Garamond" w:cstheme="minorHAnsi"/>
        </w:rPr>
      </w:pPr>
      <w:r w:rsidRPr="00973839">
        <w:rPr>
          <w:rFonts w:ascii="Garamond" w:hAnsi="Garamond" w:cstheme="minorHAnsi"/>
          <w:sz w:val="22"/>
        </w:rPr>
        <w:t>PRACTICAL</w:t>
      </w:r>
      <w:r w:rsidRPr="00973839">
        <w:rPr>
          <w:rFonts w:ascii="Garamond" w:hAnsi="Garamond" w:cstheme="minorHAnsi"/>
        </w:rPr>
        <w:t xml:space="preserve">: A person S acts as if it is the case that </w:t>
      </w:r>
      <w:r w:rsidRPr="00973839">
        <w:rPr>
          <w:rFonts w:ascii="Garamond" w:hAnsi="Garamond" w:cstheme="minorHAnsi"/>
          <w:i/>
        </w:rPr>
        <w:t xml:space="preserve">p </w:t>
      </w:r>
      <w:r w:rsidR="00760D4B" w:rsidRPr="00973839">
        <w:rPr>
          <w:rFonts w:ascii="Garamond" w:hAnsi="Garamond" w:cstheme="minorHAnsi"/>
        </w:rPr>
        <w:t xml:space="preserve">where she </w:t>
      </w:r>
      <w:r w:rsidRPr="00973839">
        <w:rPr>
          <w:rFonts w:ascii="Garamond" w:hAnsi="Garamond" w:cstheme="minorHAnsi"/>
        </w:rPr>
        <w:t xml:space="preserve">has evidence against </w:t>
      </w:r>
      <w:r w:rsidR="00760D4B" w:rsidRPr="00973839">
        <w:rPr>
          <w:rFonts w:ascii="Garamond" w:hAnsi="Garamond" w:cstheme="minorHAnsi"/>
        </w:rPr>
        <w:t>believing</w:t>
      </w:r>
      <w:r w:rsidRPr="00973839">
        <w:rPr>
          <w:rFonts w:ascii="Garamond" w:hAnsi="Garamond" w:cstheme="minorHAnsi"/>
        </w:rPr>
        <w:t xml:space="preserve"> </w:t>
      </w:r>
      <w:r w:rsidRPr="00973839">
        <w:rPr>
          <w:rFonts w:ascii="Garamond" w:hAnsi="Garamond" w:cstheme="minorHAnsi"/>
          <w:i/>
        </w:rPr>
        <w:t>p</w:t>
      </w:r>
      <w:r w:rsidRPr="00973839">
        <w:rPr>
          <w:rFonts w:ascii="Garamond" w:hAnsi="Garamond" w:cstheme="minorHAnsi"/>
        </w:rPr>
        <w:t>,</w:t>
      </w:r>
      <w:r w:rsidR="00760D4B" w:rsidRPr="00973839">
        <w:rPr>
          <w:rFonts w:ascii="Garamond" w:hAnsi="Garamond" w:cstheme="minorHAnsi"/>
        </w:rPr>
        <w:t xml:space="preserve"> but</w:t>
      </w:r>
      <w:r w:rsidRPr="00973839">
        <w:rPr>
          <w:rFonts w:ascii="Garamond" w:hAnsi="Garamond" w:cstheme="minorHAnsi"/>
        </w:rPr>
        <w:t xml:space="preserve"> given her practical interests in the truth of </w:t>
      </w:r>
      <w:r w:rsidRPr="00973839">
        <w:rPr>
          <w:rFonts w:ascii="Garamond" w:hAnsi="Garamond" w:cstheme="minorHAnsi"/>
          <w:i/>
        </w:rPr>
        <w:t>p</w:t>
      </w:r>
      <w:r w:rsidRPr="00973839">
        <w:rPr>
          <w:rFonts w:ascii="Garamond" w:hAnsi="Garamond" w:cstheme="minorHAnsi"/>
        </w:rPr>
        <w:t xml:space="preserve">, she </w:t>
      </w:r>
      <w:r w:rsidR="00760D4B" w:rsidRPr="00973839">
        <w:rPr>
          <w:rFonts w:ascii="Garamond" w:hAnsi="Garamond" w:cstheme="minorHAnsi"/>
        </w:rPr>
        <w:t>would be</w:t>
      </w:r>
      <w:r w:rsidRPr="00973839">
        <w:rPr>
          <w:rFonts w:ascii="Garamond" w:hAnsi="Garamond" w:cstheme="minorHAnsi"/>
        </w:rPr>
        <w:t xml:space="preserve"> warranted in </w:t>
      </w:r>
      <w:r w:rsidR="00760D4B" w:rsidRPr="00973839">
        <w:rPr>
          <w:rFonts w:ascii="Garamond" w:hAnsi="Garamond" w:cstheme="minorHAnsi"/>
        </w:rPr>
        <w:t>believing</w:t>
      </w:r>
      <w:r w:rsidRPr="00973839">
        <w:rPr>
          <w:rFonts w:ascii="Garamond" w:hAnsi="Garamond" w:cstheme="minorHAnsi"/>
        </w:rPr>
        <w:t xml:space="preserve"> </w:t>
      </w:r>
      <w:r w:rsidRPr="00973839">
        <w:rPr>
          <w:rFonts w:ascii="Garamond" w:hAnsi="Garamond" w:cstheme="minorHAnsi"/>
          <w:i/>
        </w:rPr>
        <w:t>p</w:t>
      </w:r>
      <w:r w:rsidRPr="00973839">
        <w:rPr>
          <w:rFonts w:ascii="Garamond" w:hAnsi="Garamond" w:cstheme="minorHAnsi"/>
        </w:rPr>
        <w:t xml:space="preserve">, but where for agents with no practical interests in the truth of </w:t>
      </w:r>
      <w:r w:rsidRPr="00973839">
        <w:rPr>
          <w:rFonts w:ascii="Garamond" w:hAnsi="Garamond" w:cstheme="minorHAnsi"/>
          <w:i/>
        </w:rPr>
        <w:t>p</w:t>
      </w:r>
      <w:r w:rsidRPr="00973839">
        <w:rPr>
          <w:rFonts w:ascii="Garamond" w:hAnsi="Garamond" w:cstheme="minorHAnsi"/>
        </w:rPr>
        <w:t xml:space="preserve">, they would not be warranted in </w:t>
      </w:r>
      <w:r w:rsidR="00760D4B" w:rsidRPr="00973839">
        <w:rPr>
          <w:rFonts w:ascii="Garamond" w:hAnsi="Garamond" w:cstheme="minorHAnsi"/>
        </w:rPr>
        <w:t>believing</w:t>
      </w:r>
      <w:r w:rsidRPr="00973839">
        <w:rPr>
          <w:rFonts w:ascii="Garamond" w:hAnsi="Garamond" w:cstheme="minorHAnsi"/>
        </w:rPr>
        <w:t xml:space="preserve"> </w:t>
      </w:r>
      <w:r w:rsidRPr="00973839">
        <w:rPr>
          <w:rFonts w:ascii="Garamond" w:hAnsi="Garamond" w:cstheme="minorHAnsi"/>
          <w:i/>
        </w:rPr>
        <w:t>p</w:t>
      </w:r>
      <w:r w:rsidRPr="00973839">
        <w:rPr>
          <w:rFonts w:ascii="Garamond" w:hAnsi="Garamond" w:cstheme="minorHAnsi"/>
        </w:rPr>
        <w:t>.</w:t>
      </w:r>
    </w:p>
    <w:p w14:paraId="26768B95" w14:textId="7E3DDDCA" w:rsidR="00733715" w:rsidRPr="00973839" w:rsidRDefault="00F4115A" w:rsidP="00973839">
      <w:pPr>
        <w:jc w:val="both"/>
        <w:rPr>
          <w:rFonts w:ascii="Garamond" w:hAnsi="Garamond" w:cstheme="minorHAnsi"/>
        </w:rPr>
      </w:pPr>
      <w:r w:rsidRPr="00973839">
        <w:rPr>
          <w:rFonts w:ascii="Garamond" w:hAnsi="Garamond" w:cstheme="minorHAnsi"/>
        </w:rPr>
        <w:t>This addresses our need for</w:t>
      </w:r>
      <w:r w:rsidR="00AD30CE" w:rsidRPr="00973839">
        <w:rPr>
          <w:rFonts w:ascii="Garamond" w:hAnsi="Garamond" w:cstheme="minorHAnsi"/>
        </w:rPr>
        <w:t xml:space="preserve"> a</w:t>
      </w:r>
      <w:r w:rsidRPr="00973839">
        <w:rPr>
          <w:rFonts w:ascii="Garamond" w:hAnsi="Garamond" w:cstheme="minorHAnsi"/>
        </w:rPr>
        <w:t xml:space="preserve"> taxonomy of different ways </w:t>
      </w:r>
      <w:r w:rsidR="00AD30CE" w:rsidRPr="00973839">
        <w:rPr>
          <w:rFonts w:ascii="Garamond" w:hAnsi="Garamond" w:cstheme="minorHAnsi"/>
        </w:rPr>
        <w:t>o</w:t>
      </w:r>
      <w:r w:rsidRPr="00973839">
        <w:rPr>
          <w:rFonts w:ascii="Garamond" w:hAnsi="Garamond" w:cstheme="minorHAnsi"/>
        </w:rPr>
        <w:t xml:space="preserve">f going beyond </w:t>
      </w:r>
      <w:r w:rsidR="00AD30CE" w:rsidRPr="00973839">
        <w:rPr>
          <w:rFonts w:ascii="Garamond" w:hAnsi="Garamond" w:cstheme="minorHAnsi"/>
        </w:rPr>
        <w:t>and</w:t>
      </w:r>
      <w:r w:rsidRPr="00973839">
        <w:rPr>
          <w:rFonts w:ascii="Garamond" w:hAnsi="Garamond" w:cstheme="minorHAnsi"/>
        </w:rPr>
        <w:t xml:space="preserve"> against the evidence. Let’s now apply this taxonomy to faith to see whether or not faith is compatible with these notions.</w:t>
      </w:r>
    </w:p>
    <w:bookmarkEnd w:id="14"/>
    <w:p w14:paraId="56A9098D" w14:textId="40A3EEC3" w:rsidR="00C47F6A" w:rsidRPr="00973839" w:rsidRDefault="00C47F6A" w:rsidP="00973839">
      <w:pPr>
        <w:jc w:val="both"/>
        <w:rPr>
          <w:rFonts w:ascii="Garamond" w:hAnsi="Garamond" w:cstheme="minorHAnsi"/>
        </w:rPr>
      </w:pPr>
    </w:p>
    <w:p w14:paraId="4D6B7053" w14:textId="4806E18B" w:rsidR="00A13042" w:rsidRPr="00AC56FB" w:rsidRDefault="00B97645" w:rsidP="00973839">
      <w:pPr>
        <w:pStyle w:val="Title"/>
        <w:spacing w:line="276" w:lineRule="auto"/>
        <w:rPr>
          <w:rFonts w:ascii="Garamond" w:hAnsi="Garamond" w:cstheme="minorHAnsi"/>
        </w:rPr>
      </w:pPr>
      <w:r w:rsidRPr="00AC56FB">
        <w:rPr>
          <w:rFonts w:ascii="Garamond" w:hAnsi="Garamond" w:cstheme="minorHAnsi"/>
        </w:rPr>
        <w:t xml:space="preserve">THE </w:t>
      </w:r>
      <w:r w:rsidR="00A13042" w:rsidRPr="00AC56FB">
        <w:rPr>
          <w:rFonts w:ascii="Garamond" w:hAnsi="Garamond" w:cstheme="minorHAnsi"/>
        </w:rPr>
        <w:t xml:space="preserve">MORAL DEMANDS </w:t>
      </w:r>
      <w:r w:rsidRPr="00AC56FB">
        <w:rPr>
          <w:rFonts w:ascii="Garamond" w:hAnsi="Garamond" w:cstheme="minorHAnsi"/>
        </w:rPr>
        <w:t>OF FAITH</w:t>
      </w:r>
    </w:p>
    <w:p w14:paraId="2DC10263" w14:textId="41D1DC84" w:rsidR="00A13042" w:rsidRPr="00973839" w:rsidRDefault="00B8046F" w:rsidP="00973839">
      <w:pPr>
        <w:jc w:val="both"/>
        <w:rPr>
          <w:rFonts w:ascii="Garamond" w:hAnsi="Garamond" w:cstheme="minorHAnsi"/>
        </w:rPr>
      </w:pPr>
      <w:r w:rsidRPr="00973839">
        <w:rPr>
          <w:rFonts w:ascii="Garamond" w:hAnsi="Garamond" w:cstheme="minorHAnsi"/>
        </w:rPr>
        <w:t xml:space="preserve">As noted in the introduction, a common view of the relationship between faith and evidence is that faith required going beyond the evidence (FBE). </w:t>
      </w:r>
      <w:r w:rsidR="00A13042" w:rsidRPr="00973839">
        <w:rPr>
          <w:rFonts w:ascii="Garamond" w:hAnsi="Garamond" w:cstheme="minorHAnsi"/>
        </w:rPr>
        <w:t>In order to</w:t>
      </w:r>
      <w:r w:rsidR="00F4115A" w:rsidRPr="00973839">
        <w:rPr>
          <w:rFonts w:ascii="Garamond" w:hAnsi="Garamond" w:cstheme="minorHAnsi"/>
        </w:rPr>
        <w:t xml:space="preserve"> identify whether FBE </w:t>
      </w:r>
      <w:r w:rsidR="00996629" w:rsidRPr="00973839">
        <w:rPr>
          <w:rFonts w:ascii="Garamond" w:hAnsi="Garamond" w:cstheme="minorHAnsi"/>
        </w:rPr>
        <w:t>is</w:t>
      </w:r>
      <w:r w:rsidR="00F4115A" w:rsidRPr="00973839">
        <w:rPr>
          <w:rFonts w:ascii="Garamond" w:hAnsi="Garamond" w:cstheme="minorHAnsi"/>
        </w:rPr>
        <w:t xml:space="preserve"> true </w:t>
      </w:r>
      <w:r w:rsidR="00A13042" w:rsidRPr="00973839">
        <w:rPr>
          <w:rFonts w:ascii="Garamond" w:hAnsi="Garamond" w:cstheme="minorHAnsi"/>
        </w:rPr>
        <w:t>I want to consider an argument from moral theorising about faith</w:t>
      </w:r>
      <w:r w:rsidR="00F4115A" w:rsidRPr="00973839">
        <w:rPr>
          <w:rFonts w:ascii="Garamond" w:hAnsi="Garamond" w:cstheme="minorHAnsi"/>
        </w:rPr>
        <w:t>. This argument</w:t>
      </w:r>
      <w:r w:rsidR="00A13042" w:rsidRPr="00973839">
        <w:rPr>
          <w:rFonts w:ascii="Garamond" w:hAnsi="Garamond" w:cstheme="minorHAnsi"/>
        </w:rPr>
        <w:t xml:space="preserve"> show</w:t>
      </w:r>
      <w:r w:rsidR="00F4115A" w:rsidRPr="00973839">
        <w:rPr>
          <w:rFonts w:ascii="Garamond" w:hAnsi="Garamond" w:cstheme="minorHAnsi"/>
        </w:rPr>
        <w:t>s</w:t>
      </w:r>
      <w:r w:rsidR="00A13042" w:rsidRPr="00973839">
        <w:rPr>
          <w:rFonts w:ascii="Garamond" w:hAnsi="Garamond" w:cstheme="minorHAnsi"/>
        </w:rPr>
        <w:t xml:space="preserve"> that there </w:t>
      </w:r>
      <w:r w:rsidR="00F4115A" w:rsidRPr="00973839">
        <w:rPr>
          <w:rFonts w:ascii="Garamond" w:hAnsi="Garamond" w:cstheme="minorHAnsi"/>
        </w:rPr>
        <w:t>are clear</w:t>
      </w:r>
      <w:r w:rsidR="00A13042" w:rsidRPr="00973839">
        <w:rPr>
          <w:rFonts w:ascii="Garamond" w:hAnsi="Garamond" w:cstheme="minorHAnsi"/>
        </w:rPr>
        <w:t xml:space="preserve"> tension</w:t>
      </w:r>
      <w:r w:rsidR="00F4115A" w:rsidRPr="00973839">
        <w:rPr>
          <w:rFonts w:ascii="Garamond" w:hAnsi="Garamond" w:cstheme="minorHAnsi"/>
        </w:rPr>
        <w:t>s</w:t>
      </w:r>
      <w:r w:rsidR="00A13042" w:rsidRPr="00973839">
        <w:rPr>
          <w:rFonts w:ascii="Garamond" w:hAnsi="Garamond" w:cstheme="minorHAnsi"/>
        </w:rPr>
        <w:t xml:space="preserve"> between </w:t>
      </w:r>
      <w:r w:rsidR="00F4115A" w:rsidRPr="00973839">
        <w:rPr>
          <w:rFonts w:ascii="Garamond" w:hAnsi="Garamond" w:cstheme="minorHAnsi"/>
        </w:rPr>
        <w:t>our</w:t>
      </w:r>
      <w:r w:rsidR="00A13042" w:rsidRPr="00973839">
        <w:rPr>
          <w:rFonts w:ascii="Garamond" w:hAnsi="Garamond" w:cstheme="minorHAnsi"/>
        </w:rPr>
        <w:t xml:space="preserve"> moral demand</w:t>
      </w:r>
      <w:r w:rsidR="00F4115A" w:rsidRPr="00973839">
        <w:rPr>
          <w:rFonts w:ascii="Garamond" w:hAnsi="Garamond" w:cstheme="minorHAnsi"/>
        </w:rPr>
        <w:t>s</w:t>
      </w:r>
      <w:r w:rsidR="00A13042" w:rsidRPr="00973839">
        <w:rPr>
          <w:rFonts w:ascii="Garamond" w:hAnsi="Garamond" w:cstheme="minorHAnsi"/>
        </w:rPr>
        <w:t xml:space="preserve"> to have faith and go</w:t>
      </w:r>
      <w:r w:rsidR="00996629" w:rsidRPr="00973839">
        <w:rPr>
          <w:rFonts w:ascii="Garamond" w:hAnsi="Garamond" w:cstheme="minorHAnsi"/>
        </w:rPr>
        <w:t>ing</w:t>
      </w:r>
      <w:r w:rsidR="00A13042" w:rsidRPr="00973839">
        <w:rPr>
          <w:rFonts w:ascii="Garamond" w:hAnsi="Garamond" w:cstheme="minorHAnsi"/>
        </w:rPr>
        <w:t xml:space="preserve"> beyond the evidence. </w:t>
      </w:r>
      <w:r w:rsidR="00996629" w:rsidRPr="00973839">
        <w:rPr>
          <w:rFonts w:ascii="Garamond" w:hAnsi="Garamond" w:cstheme="minorHAnsi"/>
        </w:rPr>
        <w:t>To see why, we need to be</w:t>
      </w:r>
      <w:r w:rsidR="00B97645" w:rsidRPr="00973839">
        <w:rPr>
          <w:rFonts w:ascii="Garamond" w:hAnsi="Garamond" w:cstheme="minorHAnsi"/>
        </w:rPr>
        <w:t xml:space="preserve">gin with a brief discussion of the nature of faith. </w:t>
      </w:r>
    </w:p>
    <w:p w14:paraId="60854876" w14:textId="4CC10A67" w:rsidR="00A13042" w:rsidRPr="00973839" w:rsidRDefault="00A13042" w:rsidP="00973839">
      <w:pPr>
        <w:jc w:val="both"/>
        <w:rPr>
          <w:rFonts w:ascii="Garamond" w:hAnsi="Garamond" w:cstheme="minorHAnsi"/>
        </w:rPr>
      </w:pPr>
    </w:p>
    <w:p w14:paraId="6C636FF5" w14:textId="1B263D8F" w:rsidR="00480133" w:rsidRPr="00973839" w:rsidRDefault="00480133" w:rsidP="00973839">
      <w:pPr>
        <w:spacing w:after="120"/>
        <w:ind w:left="709"/>
        <w:jc w:val="both"/>
        <w:rPr>
          <w:rFonts w:ascii="Garamond" w:hAnsi="Garamond" w:cstheme="minorHAnsi"/>
          <w:i/>
        </w:rPr>
      </w:pPr>
      <w:r w:rsidRPr="00973839">
        <w:rPr>
          <w:rFonts w:ascii="Garamond" w:hAnsi="Garamond" w:cstheme="minorHAnsi"/>
          <w:i/>
        </w:rPr>
        <w:t>3.1 Two Varieties of Faith</w:t>
      </w:r>
    </w:p>
    <w:p w14:paraId="78EE91C1" w14:textId="5D022F87" w:rsidR="0079066B" w:rsidRPr="00973839" w:rsidRDefault="00B97645" w:rsidP="00973839">
      <w:pPr>
        <w:jc w:val="both"/>
        <w:rPr>
          <w:rFonts w:ascii="Garamond" w:hAnsi="Garamond" w:cstheme="minorHAnsi"/>
        </w:rPr>
      </w:pPr>
      <w:r w:rsidRPr="00973839">
        <w:rPr>
          <w:rFonts w:ascii="Garamond" w:hAnsi="Garamond" w:cstheme="minorHAnsi"/>
        </w:rPr>
        <w:t>There are numerous varieties of faith proposed in recent philosophical literature,</w:t>
      </w:r>
      <w:r w:rsidRPr="00973839">
        <w:rPr>
          <w:rStyle w:val="FootnoteReference"/>
          <w:rFonts w:ascii="Garamond" w:hAnsi="Garamond" w:cstheme="minorHAnsi"/>
        </w:rPr>
        <w:footnoteReference w:id="7"/>
      </w:r>
      <w:r w:rsidRPr="00973839">
        <w:rPr>
          <w:rFonts w:ascii="Garamond" w:hAnsi="Garamond" w:cstheme="minorHAnsi"/>
        </w:rPr>
        <w:t xml:space="preserve"> but for our purposes, I will focus on the two which have received the most attention. </w:t>
      </w:r>
      <w:r w:rsidR="00480133" w:rsidRPr="00973839">
        <w:rPr>
          <w:rFonts w:ascii="Garamond" w:hAnsi="Garamond" w:cstheme="minorHAnsi"/>
        </w:rPr>
        <w:t>The first variety of faith is where faith is an intentional state directed towards a proposition, as when someone has faith that democracy is a force for good</w:t>
      </w:r>
      <w:r w:rsidR="00DB2768" w:rsidRPr="00973839">
        <w:rPr>
          <w:rFonts w:ascii="Garamond" w:hAnsi="Garamond" w:cstheme="minorHAnsi"/>
        </w:rPr>
        <w:t xml:space="preserve"> or</w:t>
      </w:r>
      <w:r w:rsidR="00480133" w:rsidRPr="00973839">
        <w:rPr>
          <w:rFonts w:ascii="Garamond" w:hAnsi="Garamond" w:cstheme="minorHAnsi"/>
        </w:rPr>
        <w:t xml:space="preserve"> faith that God exists. </w:t>
      </w:r>
      <w:r w:rsidR="00480133" w:rsidRPr="00973839">
        <w:rPr>
          <w:rFonts w:ascii="Garamond" w:hAnsi="Garamond" w:cstheme="minorHAnsi"/>
          <w:i/>
        </w:rPr>
        <w:t>Propositional faith</w:t>
      </w:r>
      <w:r w:rsidR="00480133" w:rsidRPr="00973839">
        <w:rPr>
          <w:rFonts w:ascii="Garamond" w:hAnsi="Garamond" w:cstheme="minorHAnsi"/>
        </w:rPr>
        <w:t xml:space="preserve">, or </w:t>
      </w:r>
      <w:r w:rsidR="00480133" w:rsidRPr="00973839">
        <w:rPr>
          <w:rFonts w:ascii="Garamond" w:hAnsi="Garamond" w:cstheme="minorHAnsi"/>
          <w:i/>
        </w:rPr>
        <w:t>faith-that</w:t>
      </w:r>
      <w:r w:rsidR="00480133" w:rsidRPr="00973839">
        <w:rPr>
          <w:rFonts w:ascii="Garamond" w:hAnsi="Garamond" w:cstheme="minorHAnsi"/>
        </w:rPr>
        <w:t xml:space="preserve">, is widely thought to require a cognitive attitude towards a proposition </w:t>
      </w:r>
      <w:r w:rsidR="00480133" w:rsidRPr="00973839">
        <w:rPr>
          <w:rFonts w:ascii="Garamond" w:hAnsi="Garamond" w:cstheme="minorHAnsi"/>
          <w:i/>
        </w:rPr>
        <w:t>p</w:t>
      </w:r>
      <w:r w:rsidR="00480133" w:rsidRPr="00973839">
        <w:rPr>
          <w:rFonts w:ascii="Garamond" w:hAnsi="Garamond" w:cstheme="minorHAnsi"/>
        </w:rPr>
        <w:t xml:space="preserve">. This can be characterised in terms </w:t>
      </w:r>
      <w:r w:rsidR="00480133" w:rsidRPr="00973839">
        <w:rPr>
          <w:rFonts w:ascii="Garamond" w:hAnsi="Garamond" w:cstheme="minorHAnsi"/>
        </w:rPr>
        <w:lastRenderedPageBreak/>
        <w:t xml:space="preserve">of </w:t>
      </w:r>
      <w:r w:rsidR="00DB2768" w:rsidRPr="00973839">
        <w:rPr>
          <w:rFonts w:ascii="Garamond" w:hAnsi="Garamond" w:cstheme="minorHAnsi"/>
        </w:rPr>
        <w:t>taking</w:t>
      </w:r>
      <w:r w:rsidR="0079066B" w:rsidRPr="00973839">
        <w:rPr>
          <w:rFonts w:ascii="Garamond" w:hAnsi="Garamond" w:cstheme="minorHAnsi"/>
        </w:rPr>
        <w:t xml:space="preserve"> </w:t>
      </w:r>
      <w:r w:rsidR="0079066B" w:rsidRPr="00973839">
        <w:rPr>
          <w:rFonts w:ascii="Garamond" w:hAnsi="Garamond" w:cstheme="minorHAnsi"/>
          <w:i/>
        </w:rPr>
        <w:t>p</w:t>
      </w:r>
      <w:r w:rsidR="00DB2768" w:rsidRPr="00973839">
        <w:rPr>
          <w:rFonts w:ascii="Garamond" w:hAnsi="Garamond" w:cstheme="minorHAnsi"/>
        </w:rPr>
        <w:t xml:space="preserve"> to be</w:t>
      </w:r>
      <w:r w:rsidR="0079066B" w:rsidRPr="00973839">
        <w:rPr>
          <w:rFonts w:ascii="Garamond" w:hAnsi="Garamond" w:cstheme="minorHAnsi"/>
        </w:rPr>
        <w:t xml:space="preserve"> true</w:t>
      </w:r>
      <w:r w:rsidR="00480133" w:rsidRPr="00973839">
        <w:rPr>
          <w:rFonts w:ascii="Garamond" w:hAnsi="Garamond" w:cstheme="minorHAnsi"/>
        </w:rPr>
        <w:t>, either in doxastic or non-doxastic terms.</w:t>
      </w:r>
      <w:r w:rsidR="00480133" w:rsidRPr="00973839">
        <w:rPr>
          <w:rFonts w:ascii="Garamond" w:hAnsi="Garamond" w:cstheme="minorHAnsi"/>
          <w:vertAlign w:val="superscript"/>
        </w:rPr>
        <w:footnoteReference w:id="8"/>
      </w:r>
      <w:r w:rsidR="00480133" w:rsidRPr="00973839">
        <w:rPr>
          <w:rFonts w:ascii="Garamond" w:hAnsi="Garamond" w:cstheme="minorHAnsi"/>
        </w:rPr>
        <w:t xml:space="preserve"> </w:t>
      </w:r>
      <w:r w:rsidR="00DB2768" w:rsidRPr="00973839">
        <w:rPr>
          <w:rFonts w:ascii="Garamond" w:hAnsi="Garamond" w:cstheme="minorHAnsi"/>
        </w:rPr>
        <w:t xml:space="preserve">For instance, one can take </w:t>
      </w:r>
      <w:r w:rsidR="00DB2768" w:rsidRPr="00973839">
        <w:rPr>
          <w:rFonts w:ascii="Garamond" w:hAnsi="Garamond" w:cstheme="minorHAnsi"/>
          <w:i/>
        </w:rPr>
        <w:t>p</w:t>
      </w:r>
      <w:r w:rsidR="00DB2768" w:rsidRPr="00973839">
        <w:rPr>
          <w:rFonts w:ascii="Garamond" w:hAnsi="Garamond" w:cstheme="minorHAnsi"/>
        </w:rPr>
        <w:t xml:space="preserve"> to be true</w:t>
      </w:r>
      <w:r w:rsidR="0079066B" w:rsidRPr="00973839">
        <w:rPr>
          <w:rFonts w:ascii="Garamond" w:hAnsi="Garamond" w:cstheme="minorHAnsi"/>
        </w:rPr>
        <w:t xml:space="preserve"> in doxastic terms</w:t>
      </w:r>
      <w:r w:rsidR="00DB2768" w:rsidRPr="00973839">
        <w:rPr>
          <w:rFonts w:ascii="Garamond" w:hAnsi="Garamond" w:cstheme="minorHAnsi"/>
        </w:rPr>
        <w:t xml:space="preserve"> by believing </w:t>
      </w:r>
      <w:r w:rsidR="00DB2768" w:rsidRPr="00973839">
        <w:rPr>
          <w:rFonts w:ascii="Garamond" w:hAnsi="Garamond" w:cstheme="minorHAnsi"/>
          <w:i/>
        </w:rPr>
        <w:t>p</w:t>
      </w:r>
      <w:r w:rsidR="0079066B" w:rsidRPr="00973839">
        <w:rPr>
          <w:rFonts w:ascii="Garamond" w:hAnsi="Garamond" w:cstheme="minorHAnsi"/>
        </w:rPr>
        <w:t>,</w:t>
      </w:r>
      <w:r w:rsidR="00DB2768" w:rsidRPr="00973839">
        <w:rPr>
          <w:rFonts w:ascii="Garamond" w:hAnsi="Garamond" w:cstheme="minorHAnsi"/>
        </w:rPr>
        <w:t xml:space="preserve"> </w:t>
      </w:r>
      <w:r w:rsidR="0079066B" w:rsidRPr="00973839">
        <w:rPr>
          <w:rFonts w:ascii="Garamond" w:hAnsi="Garamond" w:cstheme="minorHAnsi"/>
        </w:rPr>
        <w:t xml:space="preserve">or in non-doxastic terms by </w:t>
      </w:r>
      <w:r w:rsidR="00DB2768" w:rsidRPr="00973839">
        <w:rPr>
          <w:rFonts w:ascii="Garamond" w:hAnsi="Garamond" w:cstheme="minorHAnsi"/>
        </w:rPr>
        <w:t xml:space="preserve">accepting </w:t>
      </w:r>
      <w:r w:rsidR="00DB2768" w:rsidRPr="00973839">
        <w:rPr>
          <w:rFonts w:ascii="Garamond" w:hAnsi="Garamond" w:cstheme="minorHAnsi"/>
          <w:i/>
        </w:rPr>
        <w:t>p</w:t>
      </w:r>
      <w:r w:rsidR="0079066B" w:rsidRPr="00973839">
        <w:rPr>
          <w:rFonts w:ascii="Garamond" w:hAnsi="Garamond" w:cstheme="minorHAnsi"/>
          <w:i/>
        </w:rPr>
        <w:t xml:space="preserve"> </w:t>
      </w:r>
      <w:r w:rsidR="0079066B" w:rsidRPr="00973839">
        <w:rPr>
          <w:rFonts w:ascii="Garamond" w:hAnsi="Garamond" w:cstheme="minorHAnsi"/>
        </w:rPr>
        <w:t xml:space="preserve">(Alston 1996), assuming </w:t>
      </w:r>
      <w:r w:rsidR="0079066B" w:rsidRPr="00973839">
        <w:rPr>
          <w:rFonts w:ascii="Garamond" w:hAnsi="Garamond" w:cstheme="minorHAnsi"/>
          <w:i/>
        </w:rPr>
        <w:t>p</w:t>
      </w:r>
      <w:r w:rsidR="0079066B" w:rsidRPr="00973839">
        <w:rPr>
          <w:rFonts w:ascii="Garamond" w:hAnsi="Garamond" w:cstheme="minorHAnsi"/>
        </w:rPr>
        <w:t xml:space="preserve"> (Swinburne 2001), or assenting </w:t>
      </w:r>
      <w:proofErr w:type="spellStart"/>
      <w:r w:rsidR="0079066B" w:rsidRPr="00973839">
        <w:rPr>
          <w:rFonts w:ascii="Garamond" w:hAnsi="Garamond" w:cstheme="minorHAnsi"/>
        </w:rPr>
        <w:t xml:space="preserve">to </w:t>
      </w:r>
      <w:r w:rsidR="0079066B" w:rsidRPr="00973839">
        <w:rPr>
          <w:rFonts w:ascii="Garamond" w:hAnsi="Garamond" w:cstheme="minorHAnsi"/>
          <w:i/>
        </w:rPr>
        <w:t>p</w:t>
      </w:r>
      <w:proofErr w:type="spellEnd"/>
      <w:r w:rsidR="0079066B" w:rsidRPr="00973839">
        <w:rPr>
          <w:rFonts w:ascii="Garamond" w:hAnsi="Garamond" w:cstheme="minorHAnsi"/>
        </w:rPr>
        <w:t xml:space="preserve"> (Schellenberg 2005)</w:t>
      </w:r>
      <w:r w:rsidR="00DB2768" w:rsidRPr="00973839">
        <w:rPr>
          <w:rFonts w:ascii="Garamond" w:hAnsi="Garamond" w:cstheme="minorHAnsi"/>
        </w:rPr>
        <w:t>. The nomenclature generally used for</w:t>
      </w:r>
      <w:r w:rsidR="0079066B" w:rsidRPr="00973839">
        <w:rPr>
          <w:rFonts w:ascii="Garamond" w:hAnsi="Garamond" w:cstheme="minorHAnsi"/>
        </w:rPr>
        <w:t xml:space="preserve"> these kinds of cognitive attitudes in which one</w:t>
      </w:r>
      <w:r w:rsidR="00DB2768" w:rsidRPr="00973839">
        <w:rPr>
          <w:rFonts w:ascii="Garamond" w:hAnsi="Garamond" w:cstheme="minorHAnsi"/>
        </w:rPr>
        <w:t xml:space="preserve"> </w:t>
      </w:r>
      <w:r w:rsidR="0079066B" w:rsidRPr="00973839">
        <w:rPr>
          <w:rFonts w:ascii="Garamond" w:hAnsi="Garamond" w:cstheme="minorHAnsi"/>
          <w:i/>
        </w:rPr>
        <w:t>takes</w:t>
      </w:r>
      <w:r w:rsidR="00DB2768" w:rsidRPr="00973839">
        <w:rPr>
          <w:rFonts w:ascii="Garamond" w:hAnsi="Garamond" w:cstheme="minorHAnsi"/>
          <w:i/>
        </w:rPr>
        <w:t xml:space="preserve"> p to be true</w:t>
      </w:r>
      <w:r w:rsidR="00DB2768" w:rsidRPr="00973839">
        <w:rPr>
          <w:rFonts w:ascii="Garamond" w:hAnsi="Garamond" w:cstheme="minorHAnsi"/>
        </w:rPr>
        <w:t xml:space="preserve"> is </w:t>
      </w:r>
      <w:r w:rsidR="0079066B" w:rsidRPr="00973839">
        <w:rPr>
          <w:rFonts w:ascii="Garamond" w:hAnsi="Garamond" w:cstheme="minorHAnsi"/>
        </w:rPr>
        <w:t>that one has</w:t>
      </w:r>
      <w:r w:rsidR="00DB2768" w:rsidRPr="00973839">
        <w:rPr>
          <w:rFonts w:ascii="Garamond" w:hAnsi="Garamond" w:cstheme="minorHAnsi"/>
        </w:rPr>
        <w:t xml:space="preserve"> a </w:t>
      </w:r>
      <w:r w:rsidR="0079066B" w:rsidRPr="00973839">
        <w:rPr>
          <w:rFonts w:ascii="Garamond" w:hAnsi="Garamond" w:cstheme="minorHAnsi"/>
        </w:rPr>
        <w:t>‘</w:t>
      </w:r>
      <w:r w:rsidR="00DB2768" w:rsidRPr="00973839">
        <w:rPr>
          <w:rFonts w:ascii="Garamond" w:hAnsi="Garamond" w:cstheme="minorHAnsi"/>
        </w:rPr>
        <w:t>positive cognitive attitude</w:t>
      </w:r>
      <w:r w:rsidR="0079066B" w:rsidRPr="00973839">
        <w:rPr>
          <w:rFonts w:ascii="Garamond" w:hAnsi="Garamond" w:cstheme="minorHAnsi"/>
        </w:rPr>
        <w:t xml:space="preserve">’ towards </w:t>
      </w:r>
      <w:r w:rsidR="0079066B" w:rsidRPr="00973839">
        <w:rPr>
          <w:rFonts w:ascii="Garamond" w:hAnsi="Garamond" w:cstheme="minorHAnsi"/>
          <w:i/>
        </w:rPr>
        <w:t>p</w:t>
      </w:r>
      <w:r w:rsidR="00DB2768" w:rsidRPr="00973839">
        <w:rPr>
          <w:rFonts w:ascii="Garamond" w:hAnsi="Garamond" w:cstheme="minorHAnsi"/>
        </w:rPr>
        <w:t xml:space="preserve"> (</w:t>
      </w:r>
      <w:r w:rsidR="0079066B" w:rsidRPr="00973839">
        <w:rPr>
          <w:rFonts w:ascii="Garamond" w:hAnsi="Garamond" w:cstheme="minorHAnsi"/>
        </w:rPr>
        <w:t xml:space="preserve">Audi 2011, 82). In contrast, one can have a </w:t>
      </w:r>
      <w:r w:rsidR="0079066B" w:rsidRPr="00973839">
        <w:rPr>
          <w:rFonts w:ascii="Garamond" w:hAnsi="Garamond" w:cstheme="minorHAnsi"/>
          <w:i/>
        </w:rPr>
        <w:t>neutral</w:t>
      </w:r>
      <w:r w:rsidR="0079066B" w:rsidRPr="00973839">
        <w:rPr>
          <w:rFonts w:ascii="Garamond" w:hAnsi="Garamond" w:cstheme="minorHAnsi"/>
        </w:rPr>
        <w:t xml:space="preserve"> cognitive attitude towards </w:t>
      </w:r>
      <w:r w:rsidR="0079066B" w:rsidRPr="00973839">
        <w:rPr>
          <w:rFonts w:ascii="Garamond" w:hAnsi="Garamond" w:cstheme="minorHAnsi"/>
          <w:i/>
        </w:rPr>
        <w:t>p</w:t>
      </w:r>
      <w:r w:rsidR="0079066B" w:rsidRPr="00973839">
        <w:rPr>
          <w:rFonts w:ascii="Garamond" w:hAnsi="Garamond" w:cstheme="minorHAnsi"/>
        </w:rPr>
        <w:t xml:space="preserve">, such as imagining or wondering whether </w:t>
      </w:r>
      <w:r w:rsidR="0079066B" w:rsidRPr="00973839">
        <w:rPr>
          <w:rFonts w:ascii="Garamond" w:hAnsi="Garamond" w:cstheme="minorHAnsi"/>
          <w:i/>
        </w:rPr>
        <w:t>p</w:t>
      </w:r>
      <w:r w:rsidR="0079066B" w:rsidRPr="00973839">
        <w:rPr>
          <w:rFonts w:ascii="Garamond" w:hAnsi="Garamond" w:cstheme="minorHAnsi"/>
        </w:rPr>
        <w:t xml:space="preserve">, or a negative cognitive attitude towards </w:t>
      </w:r>
      <w:r w:rsidR="0079066B" w:rsidRPr="00973839">
        <w:rPr>
          <w:rFonts w:ascii="Garamond" w:hAnsi="Garamond" w:cstheme="minorHAnsi"/>
          <w:i/>
        </w:rPr>
        <w:t>p</w:t>
      </w:r>
      <w:r w:rsidR="0079066B" w:rsidRPr="00973839">
        <w:rPr>
          <w:rFonts w:ascii="Garamond" w:hAnsi="Garamond" w:cstheme="minorHAnsi"/>
        </w:rPr>
        <w:t>, namely</w:t>
      </w:r>
      <w:r w:rsidR="00C82176" w:rsidRPr="00973839">
        <w:rPr>
          <w:rFonts w:ascii="Garamond" w:hAnsi="Garamond" w:cstheme="minorHAnsi"/>
        </w:rPr>
        <w:t>,</w:t>
      </w:r>
      <w:r w:rsidR="0079066B" w:rsidRPr="00973839">
        <w:rPr>
          <w:rFonts w:ascii="Garamond" w:hAnsi="Garamond" w:cstheme="minorHAnsi"/>
        </w:rPr>
        <w:t xml:space="preserve"> disbelieving</w:t>
      </w:r>
      <w:r w:rsidR="0079066B" w:rsidRPr="00973839">
        <w:rPr>
          <w:rFonts w:ascii="Garamond" w:hAnsi="Garamond" w:cstheme="minorHAnsi"/>
          <w:i/>
        </w:rPr>
        <w:t xml:space="preserve"> p</w:t>
      </w:r>
      <w:r w:rsidR="0079066B" w:rsidRPr="00973839">
        <w:rPr>
          <w:rFonts w:ascii="Garamond" w:hAnsi="Garamond" w:cstheme="minorHAnsi"/>
        </w:rPr>
        <w:t>.</w:t>
      </w:r>
      <w:r w:rsidR="00DB2768" w:rsidRPr="00973839">
        <w:rPr>
          <w:rFonts w:ascii="Garamond" w:hAnsi="Garamond" w:cstheme="minorHAnsi"/>
        </w:rPr>
        <w:t xml:space="preserve"> </w:t>
      </w:r>
      <w:r w:rsidR="0079066B" w:rsidRPr="00973839">
        <w:rPr>
          <w:rFonts w:ascii="Garamond" w:hAnsi="Garamond" w:cstheme="minorHAnsi"/>
        </w:rPr>
        <w:t>One way to distinguish doxastic from non-doxastic cognitive attitudes is that the latter but not the</w:t>
      </w:r>
      <w:r w:rsidR="00BA0399" w:rsidRPr="00973839">
        <w:rPr>
          <w:rFonts w:ascii="Garamond" w:hAnsi="Garamond" w:cstheme="minorHAnsi"/>
        </w:rPr>
        <w:t xml:space="preserve"> former are adopted voluntarily: we can choose to accept </w:t>
      </w:r>
      <w:r w:rsidR="00BA0399" w:rsidRPr="00973839">
        <w:rPr>
          <w:rFonts w:ascii="Garamond" w:hAnsi="Garamond" w:cstheme="minorHAnsi"/>
          <w:i/>
        </w:rPr>
        <w:t>p</w:t>
      </w:r>
      <w:r w:rsidR="00BA0399" w:rsidRPr="00973839">
        <w:rPr>
          <w:rFonts w:ascii="Garamond" w:hAnsi="Garamond" w:cstheme="minorHAnsi"/>
        </w:rPr>
        <w:t xml:space="preserve">, for instance, but not to believe </w:t>
      </w:r>
      <w:r w:rsidR="00BA0399" w:rsidRPr="00973839">
        <w:rPr>
          <w:rFonts w:ascii="Garamond" w:hAnsi="Garamond" w:cstheme="minorHAnsi"/>
          <w:i/>
        </w:rPr>
        <w:t>p</w:t>
      </w:r>
      <w:r w:rsidR="00BA0399" w:rsidRPr="00973839">
        <w:rPr>
          <w:rFonts w:ascii="Garamond" w:hAnsi="Garamond" w:cstheme="minorHAnsi"/>
        </w:rPr>
        <w:t>. For this reason, the taxonomy</w:t>
      </w:r>
      <w:r w:rsidR="00C82176" w:rsidRPr="00973839">
        <w:rPr>
          <w:rFonts w:ascii="Garamond" w:hAnsi="Garamond" w:cstheme="minorHAnsi"/>
        </w:rPr>
        <w:t xml:space="preserve"> in §2</w:t>
      </w:r>
      <w:r w:rsidR="00BA0399" w:rsidRPr="00973839">
        <w:rPr>
          <w:rFonts w:ascii="Garamond" w:hAnsi="Garamond" w:cstheme="minorHAnsi"/>
        </w:rPr>
        <w:t xml:space="preserve"> distinguished doxastic from action versions of going beyond evidence. The former will be applicable to doxastic instances of faith; the latter </w:t>
      </w:r>
      <w:r w:rsidR="00A20E64" w:rsidRPr="00973839">
        <w:rPr>
          <w:rFonts w:ascii="Garamond" w:hAnsi="Garamond" w:cstheme="minorHAnsi"/>
        </w:rPr>
        <w:t>to</w:t>
      </w:r>
      <w:r w:rsidR="00BA0399" w:rsidRPr="00973839">
        <w:rPr>
          <w:rFonts w:ascii="Garamond" w:hAnsi="Garamond" w:cstheme="minorHAnsi"/>
        </w:rPr>
        <w:t xml:space="preserve"> non-doxastic instances.</w:t>
      </w:r>
    </w:p>
    <w:p w14:paraId="3DCAEF62" w14:textId="15C223E3" w:rsidR="00480133" w:rsidRPr="00973839" w:rsidRDefault="00480133" w:rsidP="00973839">
      <w:pPr>
        <w:ind w:firstLine="720"/>
        <w:jc w:val="both"/>
        <w:rPr>
          <w:rFonts w:ascii="Garamond" w:hAnsi="Garamond" w:cstheme="minorHAnsi"/>
        </w:rPr>
      </w:pPr>
      <w:r w:rsidRPr="00973839">
        <w:rPr>
          <w:rFonts w:ascii="Garamond" w:hAnsi="Garamond" w:cstheme="minorHAnsi"/>
        </w:rPr>
        <w:t xml:space="preserve">Faith-that is also thought to require one to be </w:t>
      </w:r>
      <w:bookmarkStart w:id="18" w:name="_Hlk504387318"/>
      <w:r w:rsidRPr="00973839">
        <w:rPr>
          <w:rFonts w:ascii="Garamond" w:hAnsi="Garamond" w:cstheme="minorHAnsi"/>
        </w:rPr>
        <w:t xml:space="preserve">in favour of the truth of </w:t>
      </w:r>
      <w:r w:rsidRPr="00973839">
        <w:rPr>
          <w:rFonts w:ascii="Garamond" w:hAnsi="Garamond" w:cstheme="minorHAnsi"/>
          <w:i/>
        </w:rPr>
        <w:t>p</w:t>
      </w:r>
      <w:r w:rsidRPr="00973839">
        <w:rPr>
          <w:rFonts w:ascii="Garamond" w:hAnsi="Garamond" w:cstheme="minorHAnsi"/>
        </w:rPr>
        <w:t xml:space="preserve">, by, for example, desiring that </w:t>
      </w:r>
      <w:r w:rsidRPr="00973839">
        <w:rPr>
          <w:rFonts w:ascii="Garamond" w:hAnsi="Garamond" w:cstheme="minorHAnsi"/>
          <w:i/>
        </w:rPr>
        <w:t>p</w:t>
      </w:r>
      <w:r w:rsidRPr="00973839">
        <w:rPr>
          <w:rFonts w:ascii="Garamond" w:hAnsi="Garamond" w:cstheme="minorHAnsi"/>
        </w:rPr>
        <w:t xml:space="preserve">, or believing </w:t>
      </w:r>
      <w:r w:rsidRPr="00973839">
        <w:rPr>
          <w:rFonts w:ascii="Garamond" w:hAnsi="Garamond" w:cstheme="minorHAnsi"/>
          <w:i/>
        </w:rPr>
        <w:t>p</w:t>
      </w:r>
      <w:r w:rsidRPr="00973839">
        <w:rPr>
          <w:rFonts w:ascii="Garamond" w:hAnsi="Garamond" w:cstheme="minorHAnsi"/>
        </w:rPr>
        <w:t xml:space="preserve"> to be good or desirable </w:t>
      </w:r>
      <w:bookmarkEnd w:id="18"/>
      <w:r w:rsidRPr="00973839">
        <w:rPr>
          <w:rFonts w:ascii="Garamond" w:hAnsi="Garamond" w:cstheme="minorHAnsi"/>
        </w:rPr>
        <w:t>(Audi 2008, 92; Howard-Snyder 2013, 367; Schellenberg 2005, 108).</w:t>
      </w:r>
      <w:r w:rsidR="006D48E1" w:rsidRPr="00973839">
        <w:rPr>
          <w:rStyle w:val="FootnoteReference"/>
          <w:rFonts w:ascii="Garamond" w:hAnsi="Garamond" w:cstheme="minorHAnsi"/>
        </w:rPr>
        <w:footnoteReference w:id="9"/>
      </w:r>
      <w:r w:rsidRPr="00973839">
        <w:rPr>
          <w:rFonts w:ascii="Garamond" w:hAnsi="Garamond" w:cstheme="minorHAnsi"/>
        </w:rPr>
        <w:t xml:space="preserve"> </w:t>
      </w:r>
      <w:r w:rsidR="00DB2768" w:rsidRPr="00973839">
        <w:rPr>
          <w:rFonts w:ascii="Garamond" w:hAnsi="Garamond" w:cstheme="minorHAnsi"/>
        </w:rPr>
        <w:t>According to these accounts, then</w:t>
      </w:r>
      <w:r w:rsidRPr="00973839">
        <w:rPr>
          <w:rFonts w:ascii="Garamond" w:hAnsi="Garamond" w:cstheme="minorHAnsi"/>
        </w:rPr>
        <w:t xml:space="preserve">, someone with faith that democracy will succeed </w:t>
      </w:r>
      <w:r w:rsidR="00DB2768" w:rsidRPr="00973839">
        <w:rPr>
          <w:rFonts w:ascii="Garamond" w:hAnsi="Garamond" w:cstheme="minorHAnsi"/>
        </w:rPr>
        <w:t xml:space="preserve">takes </w:t>
      </w:r>
      <w:r w:rsidRPr="00973839">
        <w:rPr>
          <w:rFonts w:ascii="Garamond" w:hAnsi="Garamond" w:cstheme="minorHAnsi"/>
        </w:rPr>
        <w:t>it to be true that democracy will succeed, and is in favour of the truth of the success of democracy</w:t>
      </w:r>
    </w:p>
    <w:p w14:paraId="2D4E534D" w14:textId="7D20DDF6" w:rsidR="00480133" w:rsidRPr="00973839" w:rsidRDefault="00480133" w:rsidP="00973839">
      <w:pPr>
        <w:ind w:firstLine="720"/>
        <w:jc w:val="both"/>
        <w:rPr>
          <w:rFonts w:ascii="Garamond" w:hAnsi="Garamond" w:cstheme="minorHAnsi"/>
        </w:rPr>
      </w:pPr>
      <w:r w:rsidRPr="00973839">
        <w:rPr>
          <w:rFonts w:ascii="Garamond" w:hAnsi="Garamond" w:cstheme="minorHAnsi"/>
        </w:rPr>
        <w:t xml:space="preserve">The second variety of faith is where faith is related to an object: one may have faith in something, such as a political system, or someone, such as a partner. </w:t>
      </w:r>
      <w:r w:rsidRPr="00973839">
        <w:rPr>
          <w:rFonts w:ascii="Garamond" w:hAnsi="Garamond" w:cstheme="minorHAnsi"/>
          <w:i/>
        </w:rPr>
        <w:t>Relational faith</w:t>
      </w:r>
      <w:r w:rsidRPr="00973839">
        <w:rPr>
          <w:rFonts w:ascii="Garamond" w:hAnsi="Garamond" w:cstheme="minorHAnsi"/>
        </w:rPr>
        <w:t xml:space="preserve">, or </w:t>
      </w:r>
      <w:r w:rsidRPr="00973839">
        <w:rPr>
          <w:rFonts w:ascii="Garamond" w:hAnsi="Garamond" w:cstheme="minorHAnsi"/>
          <w:i/>
        </w:rPr>
        <w:t>faith-in</w:t>
      </w:r>
      <w:r w:rsidRPr="00973839">
        <w:rPr>
          <w:rFonts w:ascii="Garamond" w:hAnsi="Garamond" w:cstheme="minorHAnsi"/>
        </w:rPr>
        <w:t>, takes an object</w:t>
      </w:r>
      <w:r w:rsidRPr="00973839">
        <w:rPr>
          <w:rFonts w:ascii="Garamond" w:hAnsi="Garamond" w:cstheme="minorHAnsi"/>
          <w:i/>
        </w:rPr>
        <w:t xml:space="preserve"> </w:t>
      </w:r>
      <w:r w:rsidRPr="00973839">
        <w:rPr>
          <w:rFonts w:ascii="Garamond" w:hAnsi="Garamond" w:cstheme="minorHAnsi"/>
        </w:rPr>
        <w:t>as its value rather than a proposition. It is often proposed that relational faith requires either trust (Audi 2011, 55-56; Swinburne 2005, 142-47), or a disposition to rely on something (Howard-Snyder 2017, 56</w:t>
      </w:r>
      <w:r w:rsidR="008756AF" w:rsidRPr="00973839">
        <w:rPr>
          <w:rFonts w:ascii="Garamond" w:hAnsi="Garamond" w:cstheme="minorHAnsi"/>
        </w:rPr>
        <w:t xml:space="preserve">; </w:t>
      </w:r>
      <w:proofErr w:type="spellStart"/>
      <w:r w:rsidR="008756AF" w:rsidRPr="00973839">
        <w:rPr>
          <w:rFonts w:ascii="Garamond" w:hAnsi="Garamond" w:cstheme="minorHAnsi"/>
        </w:rPr>
        <w:t>McKaughan</w:t>
      </w:r>
      <w:proofErr w:type="spellEnd"/>
      <w:r w:rsidR="008756AF" w:rsidRPr="00973839">
        <w:rPr>
          <w:rFonts w:ascii="Garamond" w:hAnsi="Garamond" w:cstheme="minorHAnsi"/>
        </w:rPr>
        <w:t xml:space="preserve"> 2017</w:t>
      </w:r>
      <w:r w:rsidRPr="00973839">
        <w:rPr>
          <w:rFonts w:ascii="Garamond" w:hAnsi="Garamond" w:cstheme="minorHAnsi"/>
        </w:rPr>
        <w:t>). For instance, a relay runner with faith in her teammates will be disposed to trust or rely on them to pass the baton successfully. Moreover, relational faith appears to require believing or assenting to certain propositions. For instance, when someone has faith in a friend to do well in her exams, she</w:t>
      </w:r>
      <w:r w:rsidR="00C82176" w:rsidRPr="00973839">
        <w:rPr>
          <w:rFonts w:ascii="Garamond" w:hAnsi="Garamond" w:cstheme="minorHAnsi"/>
        </w:rPr>
        <w:t xml:space="preserve"> either believes or accepts</w:t>
      </w:r>
      <w:r w:rsidRPr="00973839">
        <w:rPr>
          <w:rFonts w:ascii="Garamond" w:hAnsi="Garamond" w:cstheme="minorHAnsi"/>
        </w:rPr>
        <w:t xml:space="preserve"> that her friend will do well in her exams. So, relational faith can be seen as requiring </w:t>
      </w:r>
      <w:r w:rsidR="00C82176" w:rsidRPr="00973839">
        <w:rPr>
          <w:rFonts w:ascii="Garamond" w:hAnsi="Garamond" w:cstheme="minorHAnsi"/>
        </w:rPr>
        <w:t>a positive cognitive attitude</w:t>
      </w:r>
      <w:r w:rsidRPr="00973839">
        <w:rPr>
          <w:rFonts w:ascii="Garamond" w:hAnsi="Garamond" w:cstheme="minorHAnsi"/>
        </w:rPr>
        <w:t>, whilst also requiring the dispositions of trust or reliance.</w:t>
      </w:r>
    </w:p>
    <w:p w14:paraId="5BB21911" w14:textId="6AB7EC9C" w:rsidR="00480133" w:rsidRPr="00973839" w:rsidRDefault="00C82176" w:rsidP="00973839">
      <w:pPr>
        <w:ind w:firstLine="720"/>
        <w:jc w:val="both"/>
        <w:rPr>
          <w:rFonts w:ascii="Garamond" w:hAnsi="Garamond" w:cstheme="minorHAnsi"/>
        </w:rPr>
      </w:pPr>
      <w:r w:rsidRPr="00973839">
        <w:rPr>
          <w:rFonts w:ascii="Garamond" w:hAnsi="Garamond" w:cstheme="minorHAnsi"/>
        </w:rPr>
        <w:t>Some recent authors have considered whether faith-in is genuinely distinct from faith-that at all (</w:t>
      </w:r>
      <w:proofErr w:type="spellStart"/>
      <w:r w:rsidRPr="00973839">
        <w:rPr>
          <w:rFonts w:ascii="Garamond" w:hAnsi="Garamond" w:cstheme="minorHAnsi"/>
        </w:rPr>
        <w:t>Buchak</w:t>
      </w:r>
      <w:proofErr w:type="spellEnd"/>
      <w:r w:rsidRPr="00973839">
        <w:rPr>
          <w:rFonts w:ascii="Garamond" w:hAnsi="Garamond" w:cstheme="minorHAnsi"/>
        </w:rPr>
        <w:t xml:space="preserve"> 2014). One reason for this is because it seems that </w:t>
      </w:r>
      <w:r w:rsidR="00480133" w:rsidRPr="00973839">
        <w:rPr>
          <w:rFonts w:ascii="Garamond" w:hAnsi="Garamond" w:cstheme="minorHAnsi"/>
        </w:rPr>
        <w:t>there are cases of propositional faith that involve trust or reliance. For example, if I have faith that my partner will recover from a serious illness it looks plausible that I would be disposed to rely on her to recover,</w:t>
      </w:r>
      <w:r w:rsidR="00255E4C" w:rsidRPr="00973839">
        <w:rPr>
          <w:rFonts w:ascii="Garamond" w:hAnsi="Garamond" w:cstheme="minorHAnsi"/>
        </w:rPr>
        <w:t xml:space="preserve"> perhaps by</w:t>
      </w:r>
      <w:r w:rsidR="00480133" w:rsidRPr="00973839">
        <w:rPr>
          <w:rFonts w:ascii="Garamond" w:hAnsi="Garamond" w:cstheme="minorHAnsi"/>
        </w:rPr>
        <w:t xml:space="preserve"> tak</w:t>
      </w:r>
      <w:r w:rsidR="00255E4C" w:rsidRPr="00973839">
        <w:rPr>
          <w:rFonts w:ascii="Garamond" w:hAnsi="Garamond" w:cstheme="minorHAnsi"/>
        </w:rPr>
        <w:t>ing</w:t>
      </w:r>
      <w:r w:rsidR="00480133" w:rsidRPr="00973839">
        <w:rPr>
          <w:rFonts w:ascii="Garamond" w:hAnsi="Garamond" w:cstheme="minorHAnsi"/>
        </w:rPr>
        <w:t xml:space="preserve"> risks by living as though she will recover. If that’s the case, then it isn’t entirely clear what distinguishes propositional from relational faith, other than that which towards each attitude is directed</w:t>
      </w:r>
      <w:r w:rsidR="00255E4C" w:rsidRPr="00973839">
        <w:rPr>
          <w:rFonts w:ascii="Garamond" w:hAnsi="Garamond" w:cstheme="minorHAnsi"/>
        </w:rPr>
        <w:t>.</w:t>
      </w:r>
      <w:r w:rsidR="00480133" w:rsidRPr="00973839">
        <w:rPr>
          <w:rFonts w:ascii="Garamond" w:hAnsi="Garamond" w:cstheme="minorHAnsi"/>
        </w:rPr>
        <w:t xml:space="preserve"> For the purposes of this paper, I leave the issue open, but maintain that </w:t>
      </w:r>
      <w:r w:rsidR="00480133" w:rsidRPr="00973839">
        <w:rPr>
          <w:rFonts w:ascii="Garamond" w:hAnsi="Garamond" w:cstheme="minorHAnsi"/>
          <w:i/>
        </w:rPr>
        <w:t>if</w:t>
      </w:r>
      <w:r w:rsidR="00480133" w:rsidRPr="00973839">
        <w:rPr>
          <w:rFonts w:ascii="Garamond" w:hAnsi="Garamond" w:cstheme="minorHAnsi"/>
        </w:rPr>
        <w:t xml:space="preserve"> propositional faith is distinct from relational faith, FBE is a claim that applies to both varieties of faith.</w:t>
      </w:r>
    </w:p>
    <w:p w14:paraId="5A789AEF" w14:textId="15478D0A" w:rsidR="00480133" w:rsidRPr="00973839" w:rsidRDefault="00255E4C" w:rsidP="00973839">
      <w:pPr>
        <w:ind w:firstLine="720"/>
        <w:jc w:val="both"/>
        <w:rPr>
          <w:rFonts w:ascii="Garamond" w:hAnsi="Garamond" w:cstheme="minorHAnsi"/>
        </w:rPr>
      </w:pPr>
      <w:r w:rsidRPr="00973839">
        <w:rPr>
          <w:rFonts w:ascii="Garamond" w:hAnsi="Garamond" w:cstheme="minorHAnsi"/>
        </w:rPr>
        <w:t xml:space="preserve">To </w:t>
      </w:r>
      <w:r w:rsidR="0082797A" w:rsidRPr="00973839">
        <w:rPr>
          <w:rFonts w:ascii="Garamond" w:hAnsi="Garamond" w:cstheme="minorHAnsi"/>
        </w:rPr>
        <w:t>evaluate</w:t>
      </w:r>
      <w:r w:rsidRPr="00973839">
        <w:rPr>
          <w:rFonts w:ascii="Garamond" w:hAnsi="Garamond" w:cstheme="minorHAnsi"/>
        </w:rPr>
        <w:t xml:space="preserve"> the </w:t>
      </w:r>
      <w:r w:rsidR="0082797A" w:rsidRPr="00973839">
        <w:rPr>
          <w:rFonts w:ascii="Garamond" w:hAnsi="Garamond" w:cstheme="minorHAnsi"/>
        </w:rPr>
        <w:t>relationship</w:t>
      </w:r>
      <w:r w:rsidRPr="00973839">
        <w:rPr>
          <w:rFonts w:ascii="Garamond" w:hAnsi="Garamond" w:cstheme="minorHAnsi"/>
        </w:rPr>
        <w:t xml:space="preserve"> between faith and going beyond the evidence, I now want to consider </w:t>
      </w:r>
      <w:r w:rsidR="0082797A" w:rsidRPr="00973839">
        <w:rPr>
          <w:rFonts w:ascii="Garamond" w:hAnsi="Garamond" w:cstheme="minorHAnsi"/>
        </w:rPr>
        <w:t>issues arising</w:t>
      </w:r>
      <w:r w:rsidRPr="00973839">
        <w:rPr>
          <w:rFonts w:ascii="Garamond" w:hAnsi="Garamond" w:cstheme="minorHAnsi"/>
        </w:rPr>
        <w:t xml:space="preserve"> in the context of moral theorising about faith</w:t>
      </w:r>
      <w:r w:rsidR="0082797A" w:rsidRPr="00973839">
        <w:rPr>
          <w:rFonts w:ascii="Garamond" w:hAnsi="Garamond" w:cstheme="minorHAnsi"/>
        </w:rPr>
        <w:t>, starting with an argument for the claim that there are moral demands to have faith in some instances.</w:t>
      </w:r>
      <w:r w:rsidRPr="00973839">
        <w:rPr>
          <w:rFonts w:ascii="Garamond" w:hAnsi="Garamond" w:cstheme="minorHAnsi"/>
        </w:rPr>
        <w:t xml:space="preserve"> </w:t>
      </w:r>
    </w:p>
    <w:p w14:paraId="436FFC78" w14:textId="77777777" w:rsidR="00480133" w:rsidRPr="00973839" w:rsidRDefault="00480133" w:rsidP="00973839">
      <w:pPr>
        <w:jc w:val="both"/>
        <w:rPr>
          <w:rFonts w:ascii="Garamond" w:hAnsi="Garamond" w:cstheme="minorHAnsi"/>
        </w:rPr>
      </w:pPr>
    </w:p>
    <w:p w14:paraId="7439AF0E" w14:textId="48F7DE7A" w:rsidR="00A13042" w:rsidRPr="00973839" w:rsidRDefault="00A13042" w:rsidP="00973839">
      <w:pPr>
        <w:spacing w:after="120"/>
        <w:ind w:left="709"/>
        <w:jc w:val="both"/>
        <w:rPr>
          <w:rFonts w:ascii="Garamond" w:hAnsi="Garamond" w:cstheme="minorHAnsi"/>
          <w:i/>
        </w:rPr>
      </w:pPr>
      <w:r w:rsidRPr="00973839">
        <w:rPr>
          <w:rFonts w:ascii="Garamond" w:hAnsi="Garamond" w:cstheme="minorHAnsi"/>
          <w:i/>
        </w:rPr>
        <w:t>3.</w:t>
      </w:r>
      <w:r w:rsidR="00480133" w:rsidRPr="00973839">
        <w:rPr>
          <w:rFonts w:ascii="Garamond" w:hAnsi="Garamond" w:cstheme="minorHAnsi"/>
          <w:i/>
        </w:rPr>
        <w:t>2</w:t>
      </w:r>
      <w:r w:rsidRPr="00973839">
        <w:rPr>
          <w:rFonts w:ascii="Garamond" w:hAnsi="Garamond" w:cstheme="minorHAnsi"/>
          <w:i/>
        </w:rPr>
        <w:t xml:space="preserve"> </w:t>
      </w:r>
      <w:r w:rsidR="008C4CA6" w:rsidRPr="00973839">
        <w:rPr>
          <w:rFonts w:ascii="Garamond" w:hAnsi="Garamond" w:cstheme="minorHAnsi"/>
          <w:i/>
        </w:rPr>
        <w:t>When</w:t>
      </w:r>
      <w:r w:rsidRPr="00973839">
        <w:rPr>
          <w:rFonts w:ascii="Garamond" w:hAnsi="Garamond" w:cstheme="minorHAnsi"/>
          <w:i/>
        </w:rPr>
        <w:t xml:space="preserve"> Moral</w:t>
      </w:r>
      <w:r w:rsidR="008C4CA6" w:rsidRPr="00973839">
        <w:rPr>
          <w:rFonts w:ascii="Garamond" w:hAnsi="Garamond" w:cstheme="minorHAnsi"/>
          <w:i/>
        </w:rPr>
        <w:t>ity</w:t>
      </w:r>
      <w:r w:rsidRPr="00973839">
        <w:rPr>
          <w:rFonts w:ascii="Garamond" w:hAnsi="Garamond" w:cstheme="minorHAnsi"/>
          <w:i/>
        </w:rPr>
        <w:t xml:space="preserve"> Demands Faith</w:t>
      </w:r>
    </w:p>
    <w:p w14:paraId="63FDA445" w14:textId="1D93BCAB" w:rsidR="00A13042" w:rsidRPr="00973839" w:rsidRDefault="00A13042" w:rsidP="00973839">
      <w:pPr>
        <w:jc w:val="both"/>
        <w:rPr>
          <w:rFonts w:ascii="Garamond" w:hAnsi="Garamond" w:cstheme="minorHAnsi"/>
        </w:rPr>
      </w:pPr>
      <w:r w:rsidRPr="00973839">
        <w:rPr>
          <w:rFonts w:ascii="Garamond" w:hAnsi="Garamond" w:cstheme="minorHAnsi"/>
        </w:rPr>
        <w:lastRenderedPageBreak/>
        <w:t xml:space="preserve">Supposing that we take a moral </w:t>
      </w:r>
      <w:r w:rsidRPr="00973839">
        <w:rPr>
          <w:rFonts w:ascii="Garamond" w:hAnsi="Garamond" w:cstheme="minorHAnsi"/>
          <w:i/>
        </w:rPr>
        <w:t>demand</w:t>
      </w:r>
      <w:r w:rsidRPr="00973839">
        <w:rPr>
          <w:rFonts w:ascii="Garamond" w:hAnsi="Garamond" w:cstheme="minorHAnsi"/>
        </w:rPr>
        <w:t xml:space="preserve"> to be an ethical </w:t>
      </w:r>
      <w:r w:rsidR="009A539E" w:rsidRPr="00973839">
        <w:rPr>
          <w:rFonts w:ascii="Garamond" w:hAnsi="Garamond" w:cstheme="minorHAnsi"/>
        </w:rPr>
        <w:t xml:space="preserve">reason for or against an action φ or attitude </w:t>
      </w:r>
      <w:r w:rsidR="009A539E" w:rsidRPr="00973839">
        <w:rPr>
          <w:rFonts w:ascii="Garamond" w:hAnsi="Garamond" w:cstheme="minorHAnsi"/>
        </w:rPr>
        <w:sym w:font="Symbol" w:char="F079"/>
      </w:r>
      <w:r w:rsidR="009A539E" w:rsidRPr="00973839">
        <w:rPr>
          <w:rFonts w:ascii="Garamond" w:hAnsi="Garamond" w:cstheme="minorHAnsi"/>
        </w:rPr>
        <w:t xml:space="preserve"> </w:t>
      </w:r>
      <w:r w:rsidRPr="00973839">
        <w:rPr>
          <w:rFonts w:ascii="Garamond" w:hAnsi="Garamond" w:cstheme="minorHAnsi"/>
        </w:rPr>
        <w:t xml:space="preserve">that, given the balance of reasons, we ought to </w:t>
      </w:r>
      <w:r w:rsidR="00255E4C" w:rsidRPr="00973839">
        <w:rPr>
          <w:rFonts w:ascii="Garamond" w:hAnsi="Garamond" w:cstheme="minorHAnsi"/>
        </w:rPr>
        <w:t>φ</w:t>
      </w:r>
      <w:r w:rsidRPr="00973839">
        <w:rPr>
          <w:rFonts w:ascii="Garamond" w:hAnsi="Garamond" w:cstheme="minorHAnsi"/>
        </w:rPr>
        <w:t xml:space="preserve"> or hold </w:t>
      </w:r>
      <w:r w:rsidRPr="00973839">
        <w:rPr>
          <w:rFonts w:ascii="Garamond" w:hAnsi="Garamond" w:cstheme="minorHAnsi"/>
        </w:rPr>
        <w:sym w:font="Symbol" w:char="F079"/>
      </w:r>
      <w:r w:rsidRPr="00973839">
        <w:rPr>
          <w:rFonts w:ascii="Garamond" w:hAnsi="Garamond" w:cstheme="minorHAnsi"/>
        </w:rPr>
        <w:t xml:space="preserve"> all things considered.</w:t>
      </w:r>
      <w:r w:rsidR="008D3C18" w:rsidRPr="00973839">
        <w:rPr>
          <w:rStyle w:val="FootnoteReference"/>
          <w:rFonts w:ascii="Garamond" w:hAnsi="Garamond" w:cstheme="minorHAnsi"/>
        </w:rPr>
        <w:footnoteReference w:id="10"/>
      </w:r>
      <w:r w:rsidRPr="00973839">
        <w:rPr>
          <w:rFonts w:ascii="Garamond" w:hAnsi="Garamond" w:cstheme="minorHAnsi"/>
        </w:rPr>
        <w:t xml:space="preserve"> For instance, if</w:t>
      </w:r>
      <w:r w:rsidR="009A539E" w:rsidRPr="00973839">
        <w:rPr>
          <w:rFonts w:ascii="Garamond" w:hAnsi="Garamond" w:cstheme="minorHAnsi"/>
        </w:rPr>
        <w:t xml:space="preserve"> I have a moral reason for sticking to a promise, and</w:t>
      </w:r>
      <w:r w:rsidRPr="00973839">
        <w:rPr>
          <w:rFonts w:ascii="Garamond" w:hAnsi="Garamond" w:cstheme="minorHAnsi"/>
        </w:rPr>
        <w:t xml:space="preserve"> the balance of reasons is, all things considered, in favour of me sticking to </w:t>
      </w:r>
      <w:r w:rsidR="009A539E" w:rsidRPr="00973839">
        <w:rPr>
          <w:rFonts w:ascii="Garamond" w:hAnsi="Garamond" w:cstheme="minorHAnsi"/>
        </w:rPr>
        <w:t>the</w:t>
      </w:r>
      <w:r w:rsidRPr="00973839">
        <w:rPr>
          <w:rFonts w:ascii="Garamond" w:hAnsi="Garamond" w:cstheme="minorHAnsi"/>
        </w:rPr>
        <w:t xml:space="preserve"> promise, then I have a moral demand to </w:t>
      </w:r>
      <w:r w:rsidR="009A539E" w:rsidRPr="00973839">
        <w:rPr>
          <w:rFonts w:ascii="Garamond" w:hAnsi="Garamond" w:cstheme="minorHAnsi"/>
        </w:rPr>
        <w:t>stick to the promise</w:t>
      </w:r>
      <w:r w:rsidRPr="00973839">
        <w:rPr>
          <w:rFonts w:ascii="Garamond" w:hAnsi="Garamond" w:cstheme="minorHAnsi"/>
        </w:rPr>
        <w:t>. Moreover, if</w:t>
      </w:r>
      <w:r w:rsidR="009A539E" w:rsidRPr="00973839">
        <w:rPr>
          <w:rFonts w:ascii="Garamond" w:hAnsi="Garamond" w:cstheme="minorHAnsi"/>
        </w:rPr>
        <w:t xml:space="preserve"> I have a moral reason to believe that my colleague is telling the truth, and</w:t>
      </w:r>
      <w:r w:rsidRPr="00973839">
        <w:rPr>
          <w:rFonts w:ascii="Garamond" w:hAnsi="Garamond" w:cstheme="minorHAnsi"/>
        </w:rPr>
        <w:t xml:space="preserve"> the balance of reasons is, all things considered, in favour of me believing that my colleague is telling the truth, then I have a moral demand to </w:t>
      </w:r>
      <w:r w:rsidR="009A539E" w:rsidRPr="00973839">
        <w:rPr>
          <w:rFonts w:ascii="Garamond" w:hAnsi="Garamond" w:cstheme="minorHAnsi"/>
        </w:rPr>
        <w:t>believe my colleague is telling the truth</w:t>
      </w:r>
      <w:r w:rsidRPr="00973839">
        <w:rPr>
          <w:rFonts w:ascii="Garamond" w:hAnsi="Garamond" w:cstheme="minorHAnsi"/>
        </w:rPr>
        <w:t>.</w:t>
      </w:r>
    </w:p>
    <w:p w14:paraId="1493D265" w14:textId="77777777" w:rsidR="00A13042" w:rsidRPr="00973839" w:rsidRDefault="00A13042" w:rsidP="00973839">
      <w:pPr>
        <w:ind w:firstLine="720"/>
        <w:jc w:val="both"/>
        <w:rPr>
          <w:rFonts w:ascii="Garamond" w:hAnsi="Garamond" w:cstheme="minorHAnsi"/>
        </w:rPr>
      </w:pPr>
      <w:r w:rsidRPr="00973839">
        <w:rPr>
          <w:rFonts w:ascii="Garamond" w:hAnsi="Garamond" w:cstheme="minorHAnsi"/>
        </w:rPr>
        <w:t>Now, there seem to be cases where we have a moral demand to have faith. Sometimes these pertain to certain actions or attitudes at a particular time. Alternatively, it may be that they pertain to a certain action or attitude at all times.</w:t>
      </w:r>
    </w:p>
    <w:p w14:paraId="05FB32AE" w14:textId="77777777" w:rsidR="00A13042" w:rsidRPr="00973839" w:rsidRDefault="00A13042" w:rsidP="00973839">
      <w:pPr>
        <w:jc w:val="both"/>
        <w:rPr>
          <w:rFonts w:ascii="Garamond" w:hAnsi="Garamond" w:cstheme="minorHAnsi"/>
        </w:rPr>
      </w:pPr>
      <w:r w:rsidRPr="00973839">
        <w:rPr>
          <w:rFonts w:ascii="Garamond" w:hAnsi="Garamond" w:cstheme="minorHAnsi"/>
        </w:rPr>
        <w:tab/>
        <w:t>A useful place to begin is with demands to have faith with respect to our special relationships. Suppose that we have a long-term friendship with someone who has been accused of plagiarism. You’re unaware of the exact evidence being used against her, but they must have something that warrants the accusation. Nevertheless, she insists to you that she’s innocent – that she hasn’t plagiarised. Moreover, to your knowledge she’s an honest person with no history of plagiarism. Plausibly, there is a moral demand on you to have faith in her – to have faith that she’s innocent. Your faith involves an attitude whereby you take her testimony to be true, and where you are disposed to trust your friend’s testimony. If you have faith in her, you thereby show her the kind of support that a friend should show when her friends are in difficult times. This is part of what it is to be a good friend. Were you to lack faith in her, and she discovers this, it could have significant negative consequences for her given that even her closest friends lack faith towards her. Moreover, this will likely have negative implications for the friendship, and could even lead to its end.</w:t>
      </w:r>
    </w:p>
    <w:p w14:paraId="10D3E35A" w14:textId="307DB2F8" w:rsidR="00A13042" w:rsidRPr="00973839" w:rsidRDefault="00A13042" w:rsidP="00973839">
      <w:pPr>
        <w:jc w:val="both"/>
        <w:rPr>
          <w:rFonts w:ascii="Garamond" w:hAnsi="Garamond" w:cstheme="minorHAnsi"/>
        </w:rPr>
      </w:pPr>
      <w:r w:rsidRPr="00973839">
        <w:rPr>
          <w:rFonts w:ascii="Garamond" w:hAnsi="Garamond" w:cstheme="minorHAnsi"/>
        </w:rPr>
        <w:tab/>
        <w:t xml:space="preserve">Other cases also appear to give moral demands to have faith. </w:t>
      </w:r>
      <w:r w:rsidR="0082797A" w:rsidRPr="00973839">
        <w:rPr>
          <w:rFonts w:ascii="Garamond" w:hAnsi="Garamond" w:cstheme="minorHAnsi"/>
        </w:rPr>
        <w:t>Imagine we have a special relationship with someone who wants to become a doctor</w:t>
      </w:r>
      <w:r w:rsidRPr="00973839">
        <w:rPr>
          <w:rFonts w:ascii="Garamond" w:hAnsi="Garamond" w:cstheme="minorHAnsi"/>
        </w:rPr>
        <w:t>. Whether this person is a friend, family member, or another person with whom we have a special relationship, we seem morally obliged to have faith that she can achieve this goal. This is because this person is attempting to achieve a long-term project, and she will be motivated to pursue it if she knows that others have faith that she can achieve it. It’s part of what it is to be a good friend</w:t>
      </w:r>
      <w:r w:rsidR="002B42F5" w:rsidRPr="00973839">
        <w:rPr>
          <w:rFonts w:ascii="Garamond" w:hAnsi="Garamond" w:cstheme="minorHAnsi"/>
        </w:rPr>
        <w:t>, or sibling, say,</w:t>
      </w:r>
      <w:r w:rsidRPr="00973839">
        <w:rPr>
          <w:rFonts w:ascii="Garamond" w:hAnsi="Garamond" w:cstheme="minorHAnsi"/>
        </w:rPr>
        <w:t xml:space="preserve"> to have certain positive attitudes towards the goals and ambitions of your friends</w:t>
      </w:r>
      <w:r w:rsidR="002B42F5" w:rsidRPr="00973839">
        <w:rPr>
          <w:rFonts w:ascii="Garamond" w:hAnsi="Garamond" w:cstheme="minorHAnsi"/>
        </w:rPr>
        <w:t xml:space="preserve"> or siblings</w:t>
      </w:r>
      <w:r w:rsidRPr="00973839">
        <w:rPr>
          <w:rFonts w:ascii="Garamond" w:hAnsi="Garamond" w:cstheme="minorHAnsi"/>
        </w:rPr>
        <w:t xml:space="preserve">. Of course, there may come a time when circumstances demand a lack of faith, say, when </w:t>
      </w:r>
      <w:r w:rsidR="002B42F5" w:rsidRPr="00973839">
        <w:rPr>
          <w:rFonts w:ascii="Garamond" w:hAnsi="Garamond" w:cstheme="minorHAnsi"/>
        </w:rPr>
        <w:t>this person</w:t>
      </w:r>
      <w:r w:rsidRPr="00973839">
        <w:rPr>
          <w:rFonts w:ascii="Garamond" w:hAnsi="Garamond" w:cstheme="minorHAnsi"/>
        </w:rPr>
        <w:t xml:space="preserve"> is under massive financial pressure, but appears to have no chance of arriving at her goal, and could easily take </w:t>
      </w:r>
      <w:r w:rsidR="0082797A" w:rsidRPr="00973839">
        <w:rPr>
          <w:rFonts w:ascii="Garamond" w:hAnsi="Garamond" w:cstheme="minorHAnsi"/>
        </w:rPr>
        <w:t xml:space="preserve">alternative, well-paid </w:t>
      </w:r>
      <w:r w:rsidRPr="00973839">
        <w:rPr>
          <w:rFonts w:ascii="Garamond" w:hAnsi="Garamond" w:cstheme="minorHAnsi"/>
        </w:rPr>
        <w:t>work. In that case, morality might demand that we lack faith. Nevertheless, there are some cases in which we have a moral demand to have faith.</w:t>
      </w:r>
    </w:p>
    <w:p w14:paraId="2BC5B8A2" w14:textId="77777777" w:rsidR="00A13042" w:rsidRPr="00973839" w:rsidRDefault="00A13042" w:rsidP="00973839">
      <w:pPr>
        <w:ind w:firstLine="720"/>
        <w:jc w:val="both"/>
        <w:rPr>
          <w:rFonts w:ascii="Garamond" w:hAnsi="Garamond" w:cstheme="minorHAnsi"/>
        </w:rPr>
      </w:pPr>
      <w:r w:rsidRPr="00973839">
        <w:rPr>
          <w:rFonts w:ascii="Garamond" w:hAnsi="Garamond" w:cstheme="minorHAnsi"/>
        </w:rPr>
        <w:t>Why do special relationships appear to make moral demands on us to have faith? Suppose we think that to value our special relationships means that we see the needs, interests, and desires of the people in whom we have these relationships as giving us reasons to support and help these people.</w:t>
      </w:r>
      <w:r w:rsidRPr="00973839">
        <w:rPr>
          <w:rFonts w:ascii="Garamond" w:hAnsi="Garamond" w:cstheme="minorHAnsi"/>
          <w:vertAlign w:val="superscript"/>
        </w:rPr>
        <w:footnoteReference w:id="11"/>
      </w:r>
      <w:r w:rsidRPr="00973839">
        <w:rPr>
          <w:rFonts w:ascii="Garamond" w:hAnsi="Garamond" w:cstheme="minorHAnsi"/>
        </w:rPr>
        <w:t xml:space="preserve"> For instance, the fact of my filial relationship with my father means that I see his needs, </w:t>
      </w:r>
      <w:r w:rsidRPr="00973839">
        <w:rPr>
          <w:rFonts w:ascii="Garamond" w:hAnsi="Garamond" w:cstheme="minorHAnsi"/>
        </w:rPr>
        <w:lastRenderedPageBreak/>
        <w:t>interests, and desires as reasons to support and help him with them. Having faith in those with whom we have special relationships can play a particularly central role in supporting and helping them with their needs, interests and desires.</w:t>
      </w:r>
    </w:p>
    <w:p w14:paraId="5B48D686" w14:textId="569E2669" w:rsidR="00A13042" w:rsidRPr="00973839" w:rsidRDefault="00A13042" w:rsidP="00973839">
      <w:pPr>
        <w:ind w:firstLine="720"/>
        <w:jc w:val="both"/>
        <w:rPr>
          <w:rFonts w:ascii="Garamond" w:hAnsi="Garamond" w:cstheme="minorHAnsi"/>
        </w:rPr>
      </w:pPr>
      <w:r w:rsidRPr="00973839">
        <w:rPr>
          <w:rFonts w:ascii="Garamond" w:hAnsi="Garamond" w:cstheme="minorHAnsi"/>
        </w:rPr>
        <w:t>There are other cases, too, where faith seems morally required. One particular instance is what Ryan Preston-</w:t>
      </w:r>
      <w:proofErr w:type="spellStart"/>
      <w:r w:rsidRPr="00973839">
        <w:rPr>
          <w:rFonts w:ascii="Garamond" w:hAnsi="Garamond" w:cstheme="minorHAnsi"/>
        </w:rPr>
        <w:t>Roedder</w:t>
      </w:r>
      <w:proofErr w:type="spellEnd"/>
      <w:r w:rsidRPr="00973839">
        <w:rPr>
          <w:rFonts w:ascii="Garamond" w:hAnsi="Garamond" w:cstheme="minorHAnsi"/>
        </w:rPr>
        <w:t xml:space="preserve"> (2013; forthcoming) calls ‘faith in humanity’, which he defines as ‘faith in other people’s moral decency’. Faith in humanity has played a critical role in the social reforms led by the likes of James Baldwin, who exhibited great faith in the moral decency of others – of black Americans’ capacity to love those around them, and for the capacity for moral reform that would be exhibited by white Americans in support of the same cause. In the case of those seeking social reform, there is surely a moral demand to have faith in humanity. Someone seeking to redress gender imbalance in society must have faith that, at their core, humans are capable of the moral decency required to overcome imbedded power-structures, and to implement the changes needed to bring about justice and equality. Indeed, we might go further and wonder whether this is a moral demand on all people, since the betterment of society is a responsibility on all, and a lack of faith in humanity will undoubtedly dampen our motivations in pursuit of that goal. </w:t>
      </w:r>
    </w:p>
    <w:p w14:paraId="145AAAF3" w14:textId="42AFC154" w:rsidR="00A13042" w:rsidRPr="00973839" w:rsidRDefault="00A13042" w:rsidP="00973839">
      <w:pPr>
        <w:ind w:firstLine="720"/>
        <w:jc w:val="both"/>
        <w:rPr>
          <w:rFonts w:ascii="Garamond" w:hAnsi="Garamond" w:cstheme="minorHAnsi"/>
        </w:rPr>
      </w:pPr>
      <w:r w:rsidRPr="00973839">
        <w:rPr>
          <w:rFonts w:ascii="Garamond" w:hAnsi="Garamond" w:cstheme="minorHAnsi"/>
        </w:rPr>
        <w:t>Of course, in what is likely to be all cases, this will require people to put aside conflicting evidence to the contrary, and to stand firm in one’s faith in humanity. Anyone who has witnessed the problems and evils that humans have caused have reasons to doubt the moral decency of humans. So, to have faith in humanity will require one to persevere in the face of contrary evidence. However, this fact – the need to be resilient in the face of conflicting evidence – is perhaps one of the reasons that the moral decency of others makes for such an ideal candidate object for faith</w:t>
      </w:r>
      <w:r w:rsidR="002B42F5" w:rsidRPr="00973839">
        <w:rPr>
          <w:rFonts w:ascii="Garamond" w:hAnsi="Garamond" w:cstheme="minorHAnsi"/>
        </w:rPr>
        <w:t xml:space="preserve"> (an issue we’ll come to in </w:t>
      </w:r>
      <w:r w:rsidR="000D591F" w:rsidRPr="00973839">
        <w:rPr>
          <w:rFonts w:ascii="Garamond" w:hAnsi="Garamond" w:cstheme="minorHAnsi"/>
        </w:rPr>
        <w:t>§4</w:t>
      </w:r>
      <w:r w:rsidR="002B42F5" w:rsidRPr="00973839">
        <w:rPr>
          <w:rFonts w:ascii="Garamond" w:hAnsi="Garamond" w:cstheme="minorHAnsi"/>
        </w:rPr>
        <w:t>)</w:t>
      </w:r>
      <w:r w:rsidRPr="00973839">
        <w:rPr>
          <w:rFonts w:ascii="Garamond" w:hAnsi="Garamond" w:cstheme="minorHAnsi"/>
        </w:rPr>
        <w:t>.</w:t>
      </w:r>
    </w:p>
    <w:p w14:paraId="755CDEB3" w14:textId="77777777" w:rsidR="00A13042" w:rsidRPr="00973839" w:rsidRDefault="00A13042" w:rsidP="00973839">
      <w:pPr>
        <w:ind w:firstLine="720"/>
        <w:jc w:val="both"/>
        <w:rPr>
          <w:rFonts w:ascii="Garamond" w:hAnsi="Garamond" w:cstheme="minorHAnsi"/>
        </w:rPr>
      </w:pPr>
      <w:r w:rsidRPr="00973839">
        <w:rPr>
          <w:rFonts w:ascii="Garamond" w:hAnsi="Garamond" w:cstheme="minorHAnsi"/>
        </w:rPr>
        <w:t>We now have several plausible cases whereby morality makes demands on us to have faith. How can this claim be used to determine which senses of going beyond the evidence are potentially incompatible with faith? We can address this question, first, in terms of doxastic forms of going beyond evidence, and second, in terms of behavioural forms of going beyond evidence.</w:t>
      </w:r>
    </w:p>
    <w:p w14:paraId="06D88299" w14:textId="77777777" w:rsidR="00A13042" w:rsidRPr="00973839" w:rsidRDefault="00A13042" w:rsidP="00973839">
      <w:pPr>
        <w:jc w:val="both"/>
        <w:rPr>
          <w:rFonts w:ascii="Garamond" w:hAnsi="Garamond" w:cstheme="minorHAnsi"/>
        </w:rPr>
      </w:pPr>
    </w:p>
    <w:p w14:paraId="3B16EDF1" w14:textId="4EF849BD" w:rsidR="00A13042" w:rsidRPr="00973839" w:rsidRDefault="00A13042" w:rsidP="00973839">
      <w:pPr>
        <w:spacing w:after="120"/>
        <w:ind w:left="709"/>
        <w:jc w:val="both"/>
        <w:rPr>
          <w:rFonts w:ascii="Garamond" w:hAnsi="Garamond" w:cstheme="minorHAnsi"/>
          <w:i/>
        </w:rPr>
      </w:pPr>
      <w:r w:rsidRPr="00973839">
        <w:rPr>
          <w:rFonts w:ascii="Garamond" w:hAnsi="Garamond" w:cstheme="minorHAnsi"/>
          <w:i/>
        </w:rPr>
        <w:t>3.</w:t>
      </w:r>
      <w:r w:rsidR="00480133" w:rsidRPr="00973839">
        <w:rPr>
          <w:rFonts w:ascii="Garamond" w:hAnsi="Garamond" w:cstheme="minorHAnsi"/>
          <w:i/>
        </w:rPr>
        <w:t>3</w:t>
      </w:r>
      <w:r w:rsidRPr="00973839">
        <w:rPr>
          <w:rFonts w:ascii="Garamond" w:hAnsi="Garamond" w:cstheme="minorHAnsi"/>
          <w:i/>
        </w:rPr>
        <w:t xml:space="preserve"> Going Beyond the Evidence </w:t>
      </w:r>
      <w:proofErr w:type="spellStart"/>
      <w:r w:rsidRPr="00973839">
        <w:rPr>
          <w:rFonts w:ascii="Garamond" w:hAnsi="Garamond" w:cstheme="minorHAnsi"/>
          <w:i/>
        </w:rPr>
        <w:t>Doxastically</w:t>
      </w:r>
      <w:proofErr w:type="spellEnd"/>
    </w:p>
    <w:p w14:paraId="79B2FF87" w14:textId="4FB8FA0E" w:rsidR="00A13042" w:rsidRPr="00973839" w:rsidRDefault="00A13042" w:rsidP="00973839">
      <w:pPr>
        <w:jc w:val="both"/>
        <w:rPr>
          <w:rFonts w:ascii="Garamond" w:hAnsi="Garamond" w:cstheme="minorHAnsi"/>
        </w:rPr>
      </w:pPr>
      <w:r w:rsidRPr="00973839">
        <w:rPr>
          <w:rFonts w:ascii="Garamond" w:hAnsi="Garamond" w:cstheme="minorHAnsi"/>
        </w:rPr>
        <w:t>It was claimed in §2 that going beyond the evidence in terms of beliefs is a matter of one’s beliefs not being properly based on evidence. We might wonder, though, whether morality would ever demand that we go beyond the evidence in th</w:t>
      </w:r>
      <w:r w:rsidR="008C4CA6" w:rsidRPr="00973839">
        <w:rPr>
          <w:rFonts w:ascii="Garamond" w:hAnsi="Garamond" w:cstheme="minorHAnsi"/>
        </w:rPr>
        <w:t>e</w:t>
      </w:r>
      <w:r w:rsidRPr="00973839">
        <w:rPr>
          <w:rFonts w:ascii="Garamond" w:hAnsi="Garamond" w:cstheme="minorHAnsi"/>
        </w:rPr>
        <w:t xml:space="preserve"> sense of</w:t>
      </w:r>
      <w:r w:rsidR="008C4CA6" w:rsidRPr="00973839">
        <w:rPr>
          <w:rFonts w:ascii="Garamond" w:hAnsi="Garamond" w:cstheme="minorHAnsi"/>
        </w:rPr>
        <w:t xml:space="preserve"> any of the variants of</w:t>
      </w:r>
      <w:r w:rsidRPr="00973839">
        <w:rPr>
          <w:rFonts w:ascii="Garamond" w:hAnsi="Garamond" w:cstheme="minorHAnsi"/>
        </w:rPr>
        <w:t xml:space="preserve"> </w:t>
      </w:r>
      <w:r w:rsidRPr="00973839">
        <w:rPr>
          <w:rFonts w:ascii="Garamond" w:hAnsi="Garamond" w:cstheme="minorHAnsi"/>
          <w:sz w:val="22"/>
        </w:rPr>
        <w:t>BEYOND</w:t>
      </w:r>
      <w:r w:rsidRPr="00973839">
        <w:rPr>
          <w:rFonts w:ascii="Garamond" w:hAnsi="Garamond" w:cstheme="minorHAnsi"/>
        </w:rPr>
        <w:t xml:space="preserve">(d). That is, can morality actually demand that we don’t properly base our beliefs on evidence? One reason that we may be sceptical is if we adopt the widely held view that beliefs are not under our voluntary control. If that’s the case, then </w:t>
      </w:r>
      <w:proofErr w:type="gramStart"/>
      <w:r w:rsidRPr="00973839">
        <w:rPr>
          <w:rFonts w:ascii="Garamond" w:hAnsi="Garamond" w:cstheme="minorHAnsi"/>
        </w:rPr>
        <w:t>surely</w:t>
      </w:r>
      <w:proofErr w:type="gramEnd"/>
      <w:r w:rsidRPr="00973839">
        <w:rPr>
          <w:rFonts w:ascii="Garamond" w:hAnsi="Garamond" w:cstheme="minorHAnsi"/>
        </w:rPr>
        <w:t xml:space="preserve"> we cannot voluntarily choose to believe a proposition in any way, let alone by not properly basing it on evidence. And yet, for morality to make demands of us, presumably we must be able to perform the action that morality demands.</w:t>
      </w:r>
      <w:r w:rsidRPr="00973839">
        <w:rPr>
          <w:rStyle w:val="FootnoteReference"/>
          <w:rFonts w:ascii="Garamond" w:hAnsi="Garamond" w:cstheme="minorHAnsi"/>
        </w:rPr>
        <w:footnoteReference w:id="12"/>
      </w:r>
      <w:r w:rsidRPr="00973839">
        <w:rPr>
          <w:rFonts w:ascii="Garamond" w:hAnsi="Garamond" w:cstheme="minorHAnsi"/>
        </w:rPr>
        <w:t xml:space="preserve"> Morality cannot demand that I serve my country in the Second World War because this is not something that I can choose, or volunteer, to do. Similarly, we might argue, morality cannot demand that I have faith in the sense which requires me to go beyond evidence by holding a belief in a way that is not properly based on evidence. </w:t>
      </w:r>
    </w:p>
    <w:p w14:paraId="6301DB19" w14:textId="22DD68A2" w:rsidR="00A13042" w:rsidRPr="00973839" w:rsidRDefault="00A13042" w:rsidP="00973839">
      <w:pPr>
        <w:ind w:firstLine="720"/>
        <w:jc w:val="both"/>
        <w:rPr>
          <w:rFonts w:ascii="Garamond" w:hAnsi="Garamond" w:cstheme="minorHAnsi"/>
        </w:rPr>
      </w:pPr>
      <w:r w:rsidRPr="00973839">
        <w:rPr>
          <w:rFonts w:ascii="Garamond" w:hAnsi="Garamond" w:cstheme="minorHAnsi"/>
        </w:rPr>
        <w:lastRenderedPageBreak/>
        <w:t xml:space="preserve">This argument is essentially an application of ‘ought </w:t>
      </w:r>
      <w:proofErr w:type="gramStart"/>
      <w:r w:rsidRPr="00973839">
        <w:rPr>
          <w:rFonts w:ascii="Garamond" w:hAnsi="Garamond" w:cstheme="minorHAnsi"/>
        </w:rPr>
        <w:t>implies</w:t>
      </w:r>
      <w:proofErr w:type="gramEnd"/>
      <w:r w:rsidRPr="00973839">
        <w:rPr>
          <w:rFonts w:ascii="Garamond" w:hAnsi="Garamond" w:cstheme="minorHAnsi"/>
        </w:rPr>
        <w:t xml:space="preserve"> can’ – I only ought to </w:t>
      </w:r>
      <w:r w:rsidR="00255E4C" w:rsidRPr="00973839">
        <w:rPr>
          <w:rFonts w:ascii="Garamond" w:hAnsi="Garamond" w:cstheme="minorHAnsi"/>
        </w:rPr>
        <w:t>φ</w:t>
      </w:r>
      <w:r w:rsidRPr="00973839">
        <w:rPr>
          <w:rFonts w:ascii="Garamond" w:hAnsi="Garamond" w:cstheme="minorHAnsi"/>
        </w:rPr>
        <w:t xml:space="preserve"> or </w:t>
      </w:r>
      <w:r w:rsidRPr="00973839">
        <w:rPr>
          <w:rFonts w:ascii="Garamond" w:hAnsi="Garamond" w:cstheme="minorHAnsi"/>
        </w:rPr>
        <w:sym w:font="Symbol" w:char="F079"/>
      </w:r>
      <w:r w:rsidRPr="00973839">
        <w:rPr>
          <w:rFonts w:ascii="Garamond" w:hAnsi="Garamond" w:cstheme="minorHAnsi"/>
        </w:rPr>
        <w:t xml:space="preserve"> if I can </w:t>
      </w:r>
      <w:r w:rsidR="00255E4C" w:rsidRPr="00973839">
        <w:rPr>
          <w:rFonts w:ascii="Garamond" w:hAnsi="Garamond" w:cstheme="minorHAnsi"/>
        </w:rPr>
        <w:t>φ</w:t>
      </w:r>
      <w:r w:rsidRPr="00973839">
        <w:rPr>
          <w:rFonts w:ascii="Garamond" w:hAnsi="Garamond" w:cstheme="minorHAnsi"/>
        </w:rPr>
        <w:t xml:space="preserve"> or </w:t>
      </w:r>
      <w:r w:rsidRPr="00973839">
        <w:rPr>
          <w:rFonts w:ascii="Garamond" w:hAnsi="Garamond" w:cstheme="minorHAnsi"/>
        </w:rPr>
        <w:sym w:font="Symbol" w:char="F079"/>
      </w:r>
      <w:r w:rsidRPr="00973839">
        <w:rPr>
          <w:rFonts w:ascii="Garamond" w:hAnsi="Garamond" w:cstheme="minorHAnsi"/>
        </w:rPr>
        <w:t xml:space="preserve">. </w:t>
      </w:r>
      <w:bookmarkStart w:id="19" w:name="_Hlk519003322"/>
      <w:r w:rsidRPr="00973839">
        <w:rPr>
          <w:rFonts w:ascii="Garamond" w:hAnsi="Garamond" w:cstheme="minorHAnsi"/>
        </w:rPr>
        <w:t xml:space="preserve">It endorses the premise that morality sometimes demands that we have </w:t>
      </w:r>
      <w:proofErr w:type="gramStart"/>
      <w:r w:rsidRPr="00973839">
        <w:rPr>
          <w:rFonts w:ascii="Garamond" w:hAnsi="Garamond" w:cstheme="minorHAnsi"/>
        </w:rPr>
        <w:t>faith, but</w:t>
      </w:r>
      <w:proofErr w:type="gramEnd"/>
      <w:r w:rsidRPr="00973839">
        <w:rPr>
          <w:rFonts w:ascii="Garamond" w:hAnsi="Garamond" w:cstheme="minorHAnsi"/>
        </w:rPr>
        <w:t xml:space="preserve"> claims that morality would never require that we go beyond evidence in the sense of</w:t>
      </w:r>
      <w:r w:rsidRPr="00973839">
        <w:rPr>
          <w:rFonts w:ascii="Garamond" w:hAnsi="Garamond" w:cstheme="minorHAnsi"/>
          <w:sz w:val="22"/>
        </w:rPr>
        <w:t xml:space="preserve"> </w:t>
      </w:r>
      <w:bookmarkStart w:id="20" w:name="_Hlk518983069"/>
      <w:r w:rsidRPr="00973839">
        <w:rPr>
          <w:rFonts w:ascii="Garamond" w:hAnsi="Garamond" w:cstheme="minorHAnsi"/>
          <w:sz w:val="22"/>
        </w:rPr>
        <w:t>BEYOND(d)</w:t>
      </w:r>
      <w:bookmarkEnd w:id="20"/>
      <w:r w:rsidRPr="00973839">
        <w:rPr>
          <w:rFonts w:ascii="Garamond" w:hAnsi="Garamond" w:cstheme="minorHAnsi"/>
          <w:szCs w:val="24"/>
        </w:rPr>
        <w:t>, since</w:t>
      </w:r>
      <w:r w:rsidR="006678D0" w:rsidRPr="00973839">
        <w:rPr>
          <w:rFonts w:ascii="Garamond" w:hAnsi="Garamond" w:cstheme="minorHAnsi"/>
          <w:szCs w:val="24"/>
        </w:rPr>
        <w:t xml:space="preserve"> doing so is beyond our voluntary control and is </w:t>
      </w:r>
      <w:r w:rsidR="004E7C10" w:rsidRPr="00973839">
        <w:rPr>
          <w:rFonts w:ascii="Garamond" w:hAnsi="Garamond" w:cstheme="minorHAnsi"/>
          <w:szCs w:val="24"/>
        </w:rPr>
        <w:t>therefore</w:t>
      </w:r>
      <w:r w:rsidR="006678D0" w:rsidRPr="00973839">
        <w:rPr>
          <w:rFonts w:ascii="Garamond" w:hAnsi="Garamond" w:cstheme="minorHAnsi"/>
          <w:szCs w:val="24"/>
        </w:rPr>
        <w:t xml:space="preserve"> </w:t>
      </w:r>
      <w:r w:rsidRPr="00973839">
        <w:rPr>
          <w:rFonts w:ascii="Garamond" w:hAnsi="Garamond" w:cstheme="minorHAnsi"/>
          <w:szCs w:val="24"/>
        </w:rPr>
        <w:t>not a possibility for us. Hence, we appear to be able to conclude that faith is</w:t>
      </w:r>
      <w:r w:rsidR="002B42F5" w:rsidRPr="00973839">
        <w:rPr>
          <w:rFonts w:ascii="Garamond" w:hAnsi="Garamond" w:cstheme="minorHAnsi"/>
          <w:szCs w:val="24"/>
        </w:rPr>
        <w:t xml:space="preserve"> sometimes</w:t>
      </w:r>
      <w:r w:rsidRPr="00973839">
        <w:rPr>
          <w:rFonts w:ascii="Garamond" w:hAnsi="Garamond" w:cstheme="minorHAnsi"/>
          <w:szCs w:val="24"/>
        </w:rPr>
        <w:t xml:space="preserve"> incompatible with </w:t>
      </w:r>
      <w:r w:rsidRPr="00973839">
        <w:rPr>
          <w:rFonts w:ascii="Garamond" w:hAnsi="Garamond" w:cstheme="minorHAnsi"/>
          <w:sz w:val="22"/>
        </w:rPr>
        <w:t>BEYOND(d)</w:t>
      </w:r>
      <w:r w:rsidRPr="00973839">
        <w:rPr>
          <w:rFonts w:ascii="Garamond" w:hAnsi="Garamond" w:cstheme="minorHAnsi"/>
          <w:szCs w:val="24"/>
        </w:rPr>
        <w:t xml:space="preserve">: if faith does require going beyond evidence, then this must be compatible with the moral demands of faith, where </w:t>
      </w:r>
      <w:r w:rsidRPr="00973839">
        <w:rPr>
          <w:rFonts w:ascii="Garamond" w:hAnsi="Garamond" w:cstheme="minorHAnsi"/>
          <w:sz w:val="22"/>
        </w:rPr>
        <w:t>BEYOND(d)</w:t>
      </w:r>
      <w:r w:rsidRPr="00973839">
        <w:rPr>
          <w:rFonts w:ascii="Garamond" w:hAnsi="Garamond" w:cstheme="minorHAnsi"/>
          <w:szCs w:val="24"/>
        </w:rPr>
        <w:t xml:space="preserve"> is not</w:t>
      </w:r>
      <w:r w:rsidR="00FC72DA" w:rsidRPr="00973839">
        <w:rPr>
          <w:rFonts w:ascii="Garamond" w:hAnsi="Garamond" w:cstheme="minorHAnsi"/>
          <w:szCs w:val="24"/>
        </w:rPr>
        <w:t xml:space="preserve"> always</w:t>
      </w:r>
      <w:r w:rsidRPr="00973839">
        <w:rPr>
          <w:rFonts w:ascii="Garamond" w:hAnsi="Garamond" w:cstheme="minorHAnsi"/>
          <w:szCs w:val="24"/>
        </w:rPr>
        <w:t xml:space="preserve"> so compatible, and hence is not</w:t>
      </w:r>
      <w:r w:rsidR="00FC72DA" w:rsidRPr="00973839">
        <w:rPr>
          <w:rFonts w:ascii="Garamond" w:hAnsi="Garamond" w:cstheme="minorHAnsi"/>
          <w:szCs w:val="24"/>
        </w:rPr>
        <w:t xml:space="preserve"> always</w:t>
      </w:r>
      <w:r w:rsidRPr="00973839">
        <w:rPr>
          <w:rFonts w:ascii="Garamond" w:hAnsi="Garamond" w:cstheme="minorHAnsi"/>
          <w:szCs w:val="24"/>
        </w:rPr>
        <w:t xml:space="preserve"> compatible with faith.</w:t>
      </w:r>
      <w:bookmarkEnd w:id="19"/>
      <w:r w:rsidR="002B42F5" w:rsidRPr="00973839">
        <w:rPr>
          <w:rFonts w:ascii="Garamond" w:hAnsi="Garamond" w:cstheme="minorHAnsi"/>
          <w:szCs w:val="24"/>
        </w:rPr>
        <w:t xml:space="preserve"> Since faith is not compatible with going beyond evidence in some cases, then, faith cannot </w:t>
      </w:r>
      <w:r w:rsidR="002B42F5" w:rsidRPr="00973839">
        <w:rPr>
          <w:rFonts w:ascii="Garamond" w:hAnsi="Garamond" w:cstheme="minorHAnsi"/>
          <w:i/>
          <w:szCs w:val="24"/>
        </w:rPr>
        <w:t>require</w:t>
      </w:r>
      <w:r w:rsidR="002B42F5" w:rsidRPr="00973839">
        <w:rPr>
          <w:rFonts w:ascii="Garamond" w:hAnsi="Garamond" w:cstheme="minorHAnsi"/>
          <w:szCs w:val="24"/>
        </w:rPr>
        <w:t xml:space="preserve"> going beyond evidence.</w:t>
      </w:r>
    </w:p>
    <w:p w14:paraId="593F2E10" w14:textId="3AFD4C1A" w:rsidR="00A13042" w:rsidRPr="00973839" w:rsidRDefault="00A13042" w:rsidP="00973839">
      <w:pPr>
        <w:jc w:val="both"/>
        <w:rPr>
          <w:rFonts w:ascii="Garamond" w:hAnsi="Garamond" w:cstheme="minorHAnsi"/>
        </w:rPr>
      </w:pPr>
      <w:r w:rsidRPr="00973839">
        <w:rPr>
          <w:rFonts w:ascii="Garamond" w:hAnsi="Garamond" w:cstheme="minorHAnsi"/>
        </w:rPr>
        <w:tab/>
        <w:t xml:space="preserve">Despite some appealing features of this argument, there are several problems with it. The main problem is with the application of the ought implies can principle. Even if the principle is correct, the ‘can’ in the principle does not mean ‘intentionally can’. The clearest example that highlights this point are with beliefs. Suppose we accept doxastic </w:t>
      </w:r>
      <w:proofErr w:type="spellStart"/>
      <w:r w:rsidRPr="00973839">
        <w:rPr>
          <w:rFonts w:ascii="Garamond" w:hAnsi="Garamond" w:cstheme="minorHAnsi"/>
        </w:rPr>
        <w:t>involuntarism</w:t>
      </w:r>
      <w:proofErr w:type="spellEnd"/>
      <w:r w:rsidRPr="00973839">
        <w:rPr>
          <w:rFonts w:ascii="Garamond" w:hAnsi="Garamond" w:cstheme="minorHAnsi"/>
        </w:rPr>
        <w:t xml:space="preserve"> – that I cannot intentionally form beliefs. Even if this holds, it does not mean that there are no norms of belief. An evidentialist, for instance, would argue that I still </w:t>
      </w:r>
      <w:r w:rsidRPr="00973839">
        <w:rPr>
          <w:rFonts w:ascii="Garamond" w:hAnsi="Garamond" w:cstheme="minorHAnsi"/>
          <w:i/>
        </w:rPr>
        <w:t>ought</w:t>
      </w:r>
      <w:r w:rsidRPr="00973839">
        <w:rPr>
          <w:rFonts w:ascii="Garamond" w:hAnsi="Garamond" w:cstheme="minorHAnsi"/>
        </w:rPr>
        <w:t xml:space="preserve"> to believe only to the degree warranted by the evidence. And moreover, norms don’t have to be followed intentionally. An evidentialist who accepts doxastic </w:t>
      </w:r>
      <w:proofErr w:type="spellStart"/>
      <w:r w:rsidRPr="00973839">
        <w:rPr>
          <w:rFonts w:ascii="Garamond" w:hAnsi="Garamond" w:cstheme="minorHAnsi"/>
        </w:rPr>
        <w:t>involuntarism</w:t>
      </w:r>
      <w:proofErr w:type="spellEnd"/>
      <w:r w:rsidRPr="00973839">
        <w:rPr>
          <w:rFonts w:ascii="Garamond" w:hAnsi="Garamond" w:cstheme="minorHAnsi"/>
        </w:rPr>
        <w:t xml:space="preserve"> can still agree to the ought implies can principle because I </w:t>
      </w:r>
      <w:r w:rsidRPr="00973839">
        <w:rPr>
          <w:rFonts w:ascii="Garamond" w:hAnsi="Garamond" w:cstheme="minorHAnsi"/>
          <w:i/>
        </w:rPr>
        <w:t>can</w:t>
      </w:r>
      <w:r w:rsidRPr="00973839">
        <w:rPr>
          <w:rFonts w:ascii="Garamond" w:hAnsi="Garamond" w:cstheme="minorHAnsi"/>
        </w:rPr>
        <w:t xml:space="preserve"> believe only to the degree warranted by the evidence, even though I cannot do so intentionally. So, morality might require me to have faith in my friends, and as part of this, I can believe something that the evidence does not warrant, even though I can’t do so intentionally.</w:t>
      </w:r>
    </w:p>
    <w:p w14:paraId="78E06095" w14:textId="5966BE6F" w:rsidR="00770EDC" w:rsidRPr="00973839" w:rsidRDefault="00A13042" w:rsidP="00973839">
      <w:pPr>
        <w:jc w:val="both"/>
        <w:rPr>
          <w:rFonts w:ascii="Garamond" w:hAnsi="Garamond" w:cstheme="minorHAnsi"/>
        </w:rPr>
      </w:pPr>
      <w:r w:rsidRPr="00973839">
        <w:rPr>
          <w:rFonts w:ascii="Garamond" w:hAnsi="Garamond" w:cstheme="minorHAnsi"/>
        </w:rPr>
        <w:tab/>
      </w:r>
      <w:r w:rsidR="00770EDC" w:rsidRPr="00973839">
        <w:rPr>
          <w:rFonts w:ascii="Garamond" w:hAnsi="Garamond" w:cstheme="minorHAnsi"/>
        </w:rPr>
        <w:t>However</w:t>
      </w:r>
      <w:r w:rsidRPr="00973839">
        <w:rPr>
          <w:rFonts w:ascii="Garamond" w:hAnsi="Garamond" w:cstheme="minorHAnsi"/>
        </w:rPr>
        <w:t>,</w:t>
      </w:r>
      <w:r w:rsidR="00770EDC" w:rsidRPr="00973839">
        <w:rPr>
          <w:rFonts w:ascii="Garamond" w:hAnsi="Garamond" w:cstheme="minorHAnsi"/>
        </w:rPr>
        <w:t xml:space="preserve"> the</w:t>
      </w:r>
      <w:r w:rsidRPr="00973839">
        <w:rPr>
          <w:rFonts w:ascii="Garamond" w:hAnsi="Garamond" w:cstheme="minorHAnsi"/>
        </w:rPr>
        <w:t xml:space="preserve"> issue being raised is not only about intentions, but about demands as well, and morality would surely never </w:t>
      </w:r>
      <w:r w:rsidRPr="00973839">
        <w:rPr>
          <w:rFonts w:ascii="Garamond" w:hAnsi="Garamond" w:cstheme="minorHAnsi"/>
          <w:i/>
        </w:rPr>
        <w:t>demand</w:t>
      </w:r>
      <w:r w:rsidRPr="00973839">
        <w:rPr>
          <w:rFonts w:ascii="Garamond" w:hAnsi="Garamond" w:cstheme="minorHAnsi"/>
        </w:rPr>
        <w:t xml:space="preserve"> that someone believe what the evidence does not warrant. That is, </w:t>
      </w:r>
      <w:bookmarkStart w:id="21" w:name="_Hlk531256363"/>
      <w:r w:rsidRPr="00973839">
        <w:rPr>
          <w:rFonts w:ascii="Garamond" w:hAnsi="Garamond" w:cstheme="minorHAnsi"/>
        </w:rPr>
        <w:t xml:space="preserve">morality would never demand that we contravene evidentialist norms, and so where morality demands that we have faith, it would never demand that we have faith in the sense of </w:t>
      </w:r>
      <w:r w:rsidRPr="00973839">
        <w:rPr>
          <w:rFonts w:ascii="Garamond" w:hAnsi="Garamond" w:cstheme="minorHAnsi"/>
          <w:sz w:val="22"/>
        </w:rPr>
        <w:t>BEYOND</w:t>
      </w:r>
      <w:r w:rsidRPr="00973839">
        <w:rPr>
          <w:rFonts w:ascii="Garamond" w:hAnsi="Garamond" w:cstheme="minorHAnsi"/>
        </w:rPr>
        <w:t>(d).</w:t>
      </w:r>
      <w:r w:rsidR="00B42A53" w:rsidRPr="00973839">
        <w:rPr>
          <w:rFonts w:ascii="Garamond" w:hAnsi="Garamond" w:cstheme="minorHAnsi"/>
        </w:rPr>
        <w:t xml:space="preserve"> This might be true for going </w:t>
      </w:r>
      <w:r w:rsidR="00B42A53" w:rsidRPr="00973839">
        <w:rPr>
          <w:rFonts w:ascii="Garamond" w:hAnsi="Garamond" w:cstheme="minorHAnsi"/>
          <w:i/>
        </w:rPr>
        <w:t>beyond</w:t>
      </w:r>
      <w:r w:rsidR="00B42A53" w:rsidRPr="00973839">
        <w:rPr>
          <w:rFonts w:ascii="Garamond" w:hAnsi="Garamond" w:cstheme="minorHAnsi"/>
        </w:rPr>
        <w:t xml:space="preserve"> the evidence, but it needn’t be true for going </w:t>
      </w:r>
      <w:r w:rsidR="00B42A53" w:rsidRPr="00973839">
        <w:rPr>
          <w:rFonts w:ascii="Garamond" w:hAnsi="Garamond" w:cstheme="minorHAnsi"/>
          <w:i/>
        </w:rPr>
        <w:t>against</w:t>
      </w:r>
      <w:r w:rsidR="00B42A53" w:rsidRPr="00973839">
        <w:rPr>
          <w:rFonts w:ascii="Garamond" w:hAnsi="Garamond" w:cstheme="minorHAnsi"/>
        </w:rPr>
        <w:t xml:space="preserve"> the evidence.</w:t>
      </w:r>
      <w:bookmarkEnd w:id="21"/>
      <w:r w:rsidR="00770EDC" w:rsidRPr="00973839">
        <w:rPr>
          <w:rFonts w:ascii="Garamond" w:hAnsi="Garamond" w:cstheme="minorHAnsi"/>
        </w:rPr>
        <w:t xml:space="preserve"> According to th</w:t>
      </w:r>
      <w:r w:rsidR="00B42A53" w:rsidRPr="00973839">
        <w:rPr>
          <w:rFonts w:ascii="Garamond" w:hAnsi="Garamond" w:cstheme="minorHAnsi"/>
        </w:rPr>
        <w:t xml:space="preserve">e </w:t>
      </w:r>
      <w:bookmarkStart w:id="22" w:name="_Hlk531852887"/>
      <w:r w:rsidR="00B42A53" w:rsidRPr="00973839">
        <w:rPr>
          <w:rFonts w:ascii="Garamond" w:hAnsi="Garamond" w:cstheme="minorHAnsi"/>
          <w:sz w:val="22"/>
        </w:rPr>
        <w:t xml:space="preserve">PRACTICAL </w:t>
      </w:r>
      <w:r w:rsidR="00B42A53" w:rsidRPr="00973839">
        <w:rPr>
          <w:rFonts w:ascii="Garamond" w:hAnsi="Garamond" w:cstheme="minorHAnsi"/>
        </w:rPr>
        <w:t xml:space="preserve">version of </w:t>
      </w:r>
      <w:r w:rsidR="00B42A53" w:rsidRPr="00973839">
        <w:rPr>
          <w:rFonts w:ascii="Garamond" w:hAnsi="Garamond" w:cstheme="minorHAnsi"/>
          <w:sz w:val="22"/>
        </w:rPr>
        <w:t>AGAINST</w:t>
      </w:r>
      <w:r w:rsidR="00B42A53" w:rsidRPr="00973839">
        <w:rPr>
          <w:rFonts w:ascii="Garamond" w:hAnsi="Garamond" w:cstheme="minorHAnsi"/>
        </w:rPr>
        <w:t>(d)</w:t>
      </w:r>
      <w:bookmarkEnd w:id="22"/>
      <w:r w:rsidR="00770EDC" w:rsidRPr="00973839">
        <w:rPr>
          <w:rFonts w:ascii="Garamond" w:hAnsi="Garamond" w:cstheme="minorHAnsi"/>
        </w:rPr>
        <w:t xml:space="preserve">, we acknowledge that there are cases where one is </w:t>
      </w:r>
      <w:r w:rsidR="00770EDC" w:rsidRPr="00973839">
        <w:rPr>
          <w:rFonts w:ascii="Garamond" w:hAnsi="Garamond" w:cstheme="minorHAnsi"/>
          <w:i/>
        </w:rPr>
        <w:t>permitted</w:t>
      </w:r>
      <w:r w:rsidR="00770EDC" w:rsidRPr="00973839">
        <w:rPr>
          <w:rFonts w:ascii="Garamond" w:hAnsi="Garamond" w:cstheme="minorHAnsi"/>
        </w:rPr>
        <w:t xml:space="preserve"> to believe </w:t>
      </w:r>
      <w:r w:rsidR="00770EDC" w:rsidRPr="00973839">
        <w:rPr>
          <w:rFonts w:ascii="Garamond" w:hAnsi="Garamond" w:cstheme="minorHAnsi"/>
          <w:i/>
        </w:rPr>
        <w:t>p</w:t>
      </w:r>
      <w:r w:rsidR="00770EDC" w:rsidRPr="00973839">
        <w:rPr>
          <w:rFonts w:ascii="Garamond" w:hAnsi="Garamond" w:cstheme="minorHAnsi"/>
        </w:rPr>
        <w:t xml:space="preserve"> </w:t>
      </w:r>
      <w:r w:rsidR="00B42A53" w:rsidRPr="00973839">
        <w:rPr>
          <w:rFonts w:ascii="Garamond" w:hAnsi="Garamond" w:cstheme="minorHAnsi"/>
        </w:rPr>
        <w:t xml:space="preserve">due to practical features of her situation, </w:t>
      </w:r>
      <w:r w:rsidR="00770EDC" w:rsidRPr="00973839">
        <w:rPr>
          <w:rFonts w:ascii="Garamond" w:hAnsi="Garamond" w:cstheme="minorHAnsi"/>
        </w:rPr>
        <w:t>where someone else would not be permitted</w:t>
      </w:r>
      <w:r w:rsidR="000D5E23" w:rsidRPr="00973839">
        <w:rPr>
          <w:rFonts w:ascii="Garamond" w:hAnsi="Garamond" w:cstheme="minorHAnsi"/>
        </w:rPr>
        <w:t>,</w:t>
      </w:r>
      <w:r w:rsidR="00B42A53" w:rsidRPr="00973839">
        <w:rPr>
          <w:rFonts w:ascii="Garamond" w:hAnsi="Garamond" w:cstheme="minorHAnsi"/>
        </w:rPr>
        <w:t xml:space="preserve"> on evidentialist grounds</w:t>
      </w:r>
      <w:r w:rsidR="00770EDC" w:rsidRPr="00973839">
        <w:rPr>
          <w:rFonts w:ascii="Garamond" w:hAnsi="Garamond" w:cstheme="minorHAnsi"/>
        </w:rPr>
        <w:t>. It seems that the very same</w:t>
      </w:r>
      <w:r w:rsidR="00774903" w:rsidRPr="00973839">
        <w:rPr>
          <w:rFonts w:ascii="Garamond" w:hAnsi="Garamond" w:cstheme="minorHAnsi"/>
        </w:rPr>
        <w:t xml:space="preserve"> practical</w:t>
      </w:r>
      <w:r w:rsidR="00770EDC" w:rsidRPr="00973839">
        <w:rPr>
          <w:rFonts w:ascii="Garamond" w:hAnsi="Garamond" w:cstheme="minorHAnsi"/>
        </w:rPr>
        <w:t xml:space="preserve"> features of the situation that provide one with a moral demand to have faith</w:t>
      </w:r>
      <w:r w:rsidR="00B42A53" w:rsidRPr="00973839">
        <w:rPr>
          <w:rFonts w:ascii="Garamond" w:hAnsi="Garamond" w:cstheme="minorHAnsi"/>
        </w:rPr>
        <w:t>, as discussed in the foregoing,</w:t>
      </w:r>
      <w:r w:rsidR="00770EDC" w:rsidRPr="00973839">
        <w:rPr>
          <w:rFonts w:ascii="Garamond" w:hAnsi="Garamond" w:cstheme="minorHAnsi"/>
        </w:rPr>
        <w:t xml:space="preserve"> are those that would change what evidence is required by someone in order that she</w:t>
      </w:r>
      <w:r w:rsidR="00FC72DA" w:rsidRPr="00973839">
        <w:rPr>
          <w:rFonts w:ascii="Garamond" w:hAnsi="Garamond" w:cstheme="minorHAnsi"/>
        </w:rPr>
        <w:t xml:space="preserve"> rationally</w:t>
      </w:r>
      <w:r w:rsidR="00770EDC" w:rsidRPr="00973839">
        <w:rPr>
          <w:rFonts w:ascii="Garamond" w:hAnsi="Garamond" w:cstheme="minorHAnsi"/>
        </w:rPr>
        <w:t xml:space="preserve"> revise her beliefs or come to believe something.</w:t>
      </w:r>
    </w:p>
    <w:p w14:paraId="1D53C012" w14:textId="482E7710" w:rsidR="00770EDC" w:rsidRPr="00973839" w:rsidRDefault="00B42A53" w:rsidP="00973839">
      <w:pPr>
        <w:ind w:firstLine="720"/>
        <w:jc w:val="both"/>
        <w:rPr>
          <w:rFonts w:ascii="Garamond" w:hAnsi="Garamond" w:cstheme="minorHAnsi"/>
        </w:rPr>
      </w:pPr>
      <w:r w:rsidRPr="00973839">
        <w:rPr>
          <w:rFonts w:ascii="Garamond" w:hAnsi="Garamond" w:cstheme="minorHAnsi"/>
        </w:rPr>
        <w:t xml:space="preserve">Now, it may follow </w:t>
      </w:r>
      <w:r w:rsidR="00CD40D3" w:rsidRPr="00973839">
        <w:rPr>
          <w:rFonts w:ascii="Garamond" w:hAnsi="Garamond" w:cstheme="minorHAnsi"/>
        </w:rPr>
        <w:t xml:space="preserve">from this </w:t>
      </w:r>
      <w:r w:rsidRPr="00973839">
        <w:rPr>
          <w:rFonts w:ascii="Garamond" w:hAnsi="Garamond" w:cstheme="minorHAnsi"/>
        </w:rPr>
        <w:t xml:space="preserve">that morality would never </w:t>
      </w:r>
      <w:r w:rsidRPr="00973839">
        <w:rPr>
          <w:rFonts w:ascii="Garamond" w:hAnsi="Garamond" w:cstheme="minorHAnsi"/>
          <w:i/>
        </w:rPr>
        <w:t>demand</w:t>
      </w:r>
      <w:r w:rsidRPr="00973839">
        <w:rPr>
          <w:rFonts w:ascii="Garamond" w:hAnsi="Garamond" w:cstheme="minorHAnsi"/>
        </w:rPr>
        <w:t xml:space="preserve"> that we go against the evidence</w:t>
      </w:r>
      <w:r w:rsidR="00CD40D3" w:rsidRPr="00973839">
        <w:rPr>
          <w:rFonts w:ascii="Garamond" w:hAnsi="Garamond" w:cstheme="minorHAnsi"/>
        </w:rPr>
        <w:t xml:space="preserve">, in the </w:t>
      </w:r>
      <w:r w:rsidR="00CD40D3" w:rsidRPr="00973839">
        <w:rPr>
          <w:rFonts w:ascii="Garamond" w:hAnsi="Garamond" w:cstheme="minorHAnsi"/>
          <w:sz w:val="22"/>
        </w:rPr>
        <w:t xml:space="preserve">PRACTICAL </w:t>
      </w:r>
      <w:r w:rsidR="00CD40D3" w:rsidRPr="00973839">
        <w:rPr>
          <w:rFonts w:ascii="Garamond" w:hAnsi="Garamond" w:cstheme="minorHAnsi"/>
        </w:rPr>
        <w:t xml:space="preserve">sense of </w:t>
      </w:r>
      <w:r w:rsidR="00CD40D3" w:rsidRPr="00973839">
        <w:rPr>
          <w:rFonts w:ascii="Garamond" w:hAnsi="Garamond" w:cstheme="minorHAnsi"/>
          <w:sz w:val="22"/>
        </w:rPr>
        <w:t>AGAINST</w:t>
      </w:r>
      <w:r w:rsidR="00CD40D3" w:rsidRPr="00973839">
        <w:rPr>
          <w:rFonts w:ascii="Garamond" w:hAnsi="Garamond" w:cstheme="minorHAnsi"/>
        </w:rPr>
        <w:t xml:space="preserve">(d), even though it may </w:t>
      </w:r>
      <w:r w:rsidR="00CD40D3" w:rsidRPr="00973839">
        <w:rPr>
          <w:rFonts w:ascii="Garamond" w:hAnsi="Garamond" w:cstheme="minorHAnsi"/>
          <w:i/>
        </w:rPr>
        <w:t>permit</w:t>
      </w:r>
      <w:r w:rsidR="00CD40D3" w:rsidRPr="00973839">
        <w:rPr>
          <w:rFonts w:ascii="Garamond" w:hAnsi="Garamond" w:cstheme="minorHAnsi"/>
        </w:rPr>
        <w:t xml:space="preserve"> that we do</w:t>
      </w:r>
      <w:r w:rsidRPr="00973839">
        <w:rPr>
          <w:rFonts w:ascii="Garamond" w:hAnsi="Garamond" w:cstheme="minorHAnsi"/>
        </w:rPr>
        <w:t xml:space="preserve">. </w:t>
      </w:r>
      <w:r w:rsidR="00770EDC" w:rsidRPr="00973839">
        <w:rPr>
          <w:rFonts w:ascii="Garamond" w:hAnsi="Garamond" w:cstheme="minorHAnsi"/>
        </w:rPr>
        <w:t>This is due to reasons arisin</w:t>
      </w:r>
      <w:r w:rsidR="00774903" w:rsidRPr="00973839">
        <w:rPr>
          <w:rFonts w:ascii="Garamond" w:hAnsi="Garamond" w:cstheme="minorHAnsi"/>
        </w:rPr>
        <w:t>g from your practical situation:</w:t>
      </w:r>
      <w:r w:rsidR="00A13042" w:rsidRPr="00973839">
        <w:rPr>
          <w:rFonts w:ascii="Garamond" w:hAnsi="Garamond" w:cstheme="minorHAnsi"/>
        </w:rPr>
        <w:t xml:space="preserve"> morality may permit me to believe that my friend is innocent even when the evidence </w:t>
      </w:r>
      <w:r w:rsidR="00770EDC" w:rsidRPr="00973839">
        <w:rPr>
          <w:rFonts w:ascii="Garamond" w:hAnsi="Garamond" w:cstheme="minorHAnsi"/>
        </w:rPr>
        <w:t>counts against this belief</w:t>
      </w:r>
      <w:r w:rsidR="00A13042" w:rsidRPr="00973839">
        <w:rPr>
          <w:rFonts w:ascii="Garamond" w:hAnsi="Garamond" w:cstheme="minorHAnsi"/>
        </w:rPr>
        <w:t xml:space="preserve">, because of the moral advantages of doing so. And if this claim about permissions is true, then it will not follow that faith is incompatible with </w:t>
      </w:r>
      <w:r w:rsidR="00770EDC" w:rsidRPr="00973839">
        <w:rPr>
          <w:rFonts w:ascii="Garamond" w:hAnsi="Garamond" w:cstheme="minorHAnsi"/>
          <w:sz w:val="22"/>
        </w:rPr>
        <w:t>AGAINST</w:t>
      </w:r>
      <w:r w:rsidR="00A13042" w:rsidRPr="00973839">
        <w:rPr>
          <w:rFonts w:ascii="Garamond" w:hAnsi="Garamond" w:cstheme="minorHAnsi"/>
        </w:rPr>
        <w:t xml:space="preserve">(d). This is because when morality demands that I have faith, it will permit my faith to go </w:t>
      </w:r>
      <w:r w:rsidR="00FC72DA" w:rsidRPr="00973839">
        <w:rPr>
          <w:rFonts w:ascii="Garamond" w:hAnsi="Garamond" w:cstheme="minorHAnsi"/>
        </w:rPr>
        <w:t>against</w:t>
      </w:r>
      <w:r w:rsidR="00A13042" w:rsidRPr="00973839">
        <w:rPr>
          <w:rFonts w:ascii="Garamond" w:hAnsi="Garamond" w:cstheme="minorHAnsi"/>
        </w:rPr>
        <w:t xml:space="preserve"> the evidence in the sense of </w:t>
      </w:r>
      <w:bookmarkStart w:id="23" w:name="_Hlk519156813"/>
      <w:r w:rsidR="00770EDC" w:rsidRPr="00973839">
        <w:rPr>
          <w:rFonts w:ascii="Garamond" w:hAnsi="Garamond" w:cstheme="minorHAnsi"/>
          <w:sz w:val="22"/>
        </w:rPr>
        <w:t>AGAINST</w:t>
      </w:r>
      <w:r w:rsidR="00A13042" w:rsidRPr="00973839">
        <w:rPr>
          <w:rFonts w:ascii="Garamond" w:hAnsi="Garamond" w:cstheme="minorHAnsi"/>
        </w:rPr>
        <w:t>(d</w:t>
      </w:r>
      <w:bookmarkEnd w:id="23"/>
      <w:r w:rsidR="00FC72DA" w:rsidRPr="00973839">
        <w:rPr>
          <w:rFonts w:ascii="Garamond" w:hAnsi="Garamond" w:cstheme="minorHAnsi"/>
        </w:rPr>
        <w:t>)</w:t>
      </w:r>
      <w:r w:rsidR="00A13042" w:rsidRPr="00973839">
        <w:rPr>
          <w:rFonts w:ascii="Garamond" w:hAnsi="Garamond" w:cstheme="minorHAnsi"/>
        </w:rPr>
        <w:t>.</w:t>
      </w:r>
    </w:p>
    <w:p w14:paraId="67D70FCD" w14:textId="342C4ECB" w:rsidR="00A13042" w:rsidRPr="00973839" w:rsidRDefault="00F77897" w:rsidP="00973839">
      <w:pPr>
        <w:ind w:firstLine="720"/>
        <w:jc w:val="both"/>
        <w:rPr>
          <w:rFonts w:ascii="Garamond" w:hAnsi="Garamond" w:cstheme="minorHAnsi"/>
        </w:rPr>
      </w:pPr>
      <w:r w:rsidRPr="00973839">
        <w:rPr>
          <w:rFonts w:ascii="Garamond" w:hAnsi="Garamond" w:cstheme="minorHAnsi"/>
        </w:rPr>
        <w:t xml:space="preserve">The same cannot be said for the compatibility of faith and </w:t>
      </w:r>
      <w:r w:rsidRPr="00973839">
        <w:rPr>
          <w:rFonts w:ascii="Garamond" w:hAnsi="Garamond" w:cstheme="minorHAnsi"/>
          <w:sz w:val="22"/>
        </w:rPr>
        <w:t>BEYOND</w:t>
      </w:r>
      <w:r w:rsidRPr="00973839">
        <w:rPr>
          <w:rFonts w:ascii="Garamond" w:hAnsi="Garamond" w:cstheme="minorHAnsi"/>
        </w:rPr>
        <w:t xml:space="preserve">(d). </w:t>
      </w:r>
      <w:r w:rsidR="002727D5" w:rsidRPr="00973839">
        <w:rPr>
          <w:rFonts w:ascii="Garamond" w:hAnsi="Garamond" w:cstheme="minorHAnsi"/>
        </w:rPr>
        <w:t xml:space="preserve">It still holds that morality would never demand that we contravene evidentialist norms, and so where morality demands that we have faith, it would never demand that we have faith in the sense of </w:t>
      </w:r>
      <w:r w:rsidR="002727D5" w:rsidRPr="00973839">
        <w:rPr>
          <w:rFonts w:ascii="Garamond" w:hAnsi="Garamond" w:cstheme="minorHAnsi"/>
          <w:sz w:val="22"/>
        </w:rPr>
        <w:t>BEYOND</w:t>
      </w:r>
      <w:r w:rsidR="002727D5" w:rsidRPr="00973839">
        <w:rPr>
          <w:rFonts w:ascii="Garamond" w:hAnsi="Garamond" w:cstheme="minorHAnsi"/>
        </w:rPr>
        <w:t xml:space="preserve">(d). That is, where morality demands that we have faith, faith is incompatible with going </w:t>
      </w:r>
      <w:r w:rsidR="002727D5" w:rsidRPr="00973839">
        <w:rPr>
          <w:rFonts w:ascii="Garamond" w:hAnsi="Garamond" w:cstheme="minorHAnsi"/>
          <w:i/>
        </w:rPr>
        <w:t>beyond</w:t>
      </w:r>
      <w:r w:rsidR="002727D5" w:rsidRPr="00973839">
        <w:rPr>
          <w:rFonts w:ascii="Garamond" w:hAnsi="Garamond" w:cstheme="minorHAnsi"/>
        </w:rPr>
        <w:t xml:space="preserve"> the evidence in terms of our beliefs. The same is not true, though, of going </w:t>
      </w:r>
      <w:r w:rsidR="002727D5" w:rsidRPr="00973839">
        <w:rPr>
          <w:rFonts w:ascii="Garamond" w:hAnsi="Garamond" w:cstheme="minorHAnsi"/>
          <w:i/>
        </w:rPr>
        <w:t>against</w:t>
      </w:r>
      <w:r w:rsidR="002727D5" w:rsidRPr="00973839">
        <w:rPr>
          <w:rFonts w:ascii="Garamond" w:hAnsi="Garamond" w:cstheme="minorHAnsi"/>
        </w:rPr>
        <w:t xml:space="preserve"> the evidence in terms of our beliefs</w:t>
      </w:r>
      <w:r w:rsidR="008C4CA6" w:rsidRPr="00973839">
        <w:rPr>
          <w:rFonts w:ascii="Garamond" w:hAnsi="Garamond" w:cstheme="minorHAnsi"/>
        </w:rPr>
        <w:t>, since in doing so, we do not contravene evidentialist norms.</w:t>
      </w:r>
    </w:p>
    <w:p w14:paraId="40860C35" w14:textId="06120A10" w:rsidR="00A13042" w:rsidRPr="00973839" w:rsidRDefault="002727D5" w:rsidP="00973839">
      <w:pPr>
        <w:ind w:firstLine="720"/>
        <w:jc w:val="both"/>
        <w:rPr>
          <w:rFonts w:ascii="Garamond" w:hAnsi="Garamond" w:cstheme="minorHAnsi"/>
        </w:rPr>
      </w:pPr>
      <w:r w:rsidRPr="00973839">
        <w:rPr>
          <w:rFonts w:ascii="Garamond" w:hAnsi="Garamond" w:cstheme="minorHAnsi"/>
        </w:rPr>
        <w:lastRenderedPageBreak/>
        <w:t>I</w:t>
      </w:r>
      <w:r w:rsidR="00A13042" w:rsidRPr="00973839">
        <w:rPr>
          <w:rFonts w:ascii="Garamond" w:hAnsi="Garamond" w:cstheme="minorHAnsi"/>
        </w:rPr>
        <w:t>t seems</w:t>
      </w:r>
      <w:r w:rsidRPr="00973839">
        <w:rPr>
          <w:rFonts w:ascii="Garamond" w:hAnsi="Garamond" w:cstheme="minorHAnsi"/>
        </w:rPr>
        <w:t>, then,</w:t>
      </w:r>
      <w:r w:rsidR="00A13042" w:rsidRPr="00973839">
        <w:rPr>
          <w:rFonts w:ascii="Garamond" w:hAnsi="Garamond" w:cstheme="minorHAnsi"/>
        </w:rPr>
        <w:t xml:space="preserve"> that there is </w:t>
      </w:r>
      <w:r w:rsidRPr="00973839">
        <w:rPr>
          <w:rFonts w:ascii="Garamond" w:hAnsi="Garamond" w:cstheme="minorHAnsi"/>
        </w:rPr>
        <w:t>sometimes an</w:t>
      </w:r>
      <w:r w:rsidR="00A13042" w:rsidRPr="00973839">
        <w:rPr>
          <w:rFonts w:ascii="Garamond" w:hAnsi="Garamond" w:cstheme="minorHAnsi"/>
        </w:rPr>
        <w:t xml:space="preserve"> incompatibility between the moral demand to have faith and doxastic forms of going beyond the evidence. The </w:t>
      </w:r>
      <w:r w:rsidRPr="00973839">
        <w:rPr>
          <w:rFonts w:ascii="Garamond" w:hAnsi="Garamond" w:cstheme="minorHAnsi"/>
        </w:rPr>
        <w:t>situation is</w:t>
      </w:r>
      <w:r w:rsidR="00A13042" w:rsidRPr="00973839">
        <w:rPr>
          <w:rFonts w:ascii="Garamond" w:hAnsi="Garamond" w:cstheme="minorHAnsi"/>
        </w:rPr>
        <w:t xml:space="preserve"> slightly different</w:t>
      </w:r>
      <w:r w:rsidRPr="00973839">
        <w:rPr>
          <w:rFonts w:ascii="Garamond" w:hAnsi="Garamond" w:cstheme="minorHAnsi"/>
        </w:rPr>
        <w:t>, in interesting ways,</w:t>
      </w:r>
      <w:r w:rsidR="00A13042" w:rsidRPr="00973839">
        <w:rPr>
          <w:rFonts w:ascii="Garamond" w:hAnsi="Garamond" w:cstheme="minorHAnsi"/>
        </w:rPr>
        <w:t xml:space="preserve"> in the context of action.</w:t>
      </w:r>
    </w:p>
    <w:p w14:paraId="718F13D5" w14:textId="77777777" w:rsidR="00A13042" w:rsidRPr="00973839" w:rsidRDefault="00A13042" w:rsidP="00973839">
      <w:pPr>
        <w:jc w:val="both"/>
        <w:rPr>
          <w:rFonts w:ascii="Garamond" w:hAnsi="Garamond" w:cstheme="minorHAnsi"/>
        </w:rPr>
      </w:pPr>
    </w:p>
    <w:p w14:paraId="18F8D6A1" w14:textId="5E58EBCE" w:rsidR="00A13042" w:rsidRPr="00973839" w:rsidRDefault="00A13042" w:rsidP="00973839">
      <w:pPr>
        <w:spacing w:after="120"/>
        <w:ind w:left="709"/>
        <w:jc w:val="both"/>
        <w:rPr>
          <w:rFonts w:ascii="Garamond" w:hAnsi="Garamond" w:cstheme="minorHAnsi"/>
          <w:i/>
        </w:rPr>
      </w:pPr>
      <w:r w:rsidRPr="00973839">
        <w:rPr>
          <w:rFonts w:ascii="Garamond" w:hAnsi="Garamond" w:cstheme="minorHAnsi"/>
          <w:i/>
        </w:rPr>
        <w:t>3.</w:t>
      </w:r>
      <w:r w:rsidR="00480133" w:rsidRPr="00973839">
        <w:rPr>
          <w:rFonts w:ascii="Garamond" w:hAnsi="Garamond" w:cstheme="minorHAnsi"/>
          <w:i/>
        </w:rPr>
        <w:t>4</w:t>
      </w:r>
      <w:r w:rsidRPr="00973839">
        <w:rPr>
          <w:rFonts w:ascii="Garamond" w:hAnsi="Garamond" w:cstheme="minorHAnsi"/>
          <w:i/>
        </w:rPr>
        <w:t xml:space="preserve"> Going Beyond the Evidence Behaviourally</w:t>
      </w:r>
    </w:p>
    <w:p w14:paraId="1D4EA8E5" w14:textId="49ABC8A7" w:rsidR="00A13042" w:rsidRPr="00973839" w:rsidRDefault="00A13042" w:rsidP="00973839">
      <w:pPr>
        <w:jc w:val="both"/>
        <w:rPr>
          <w:rFonts w:ascii="Garamond" w:hAnsi="Garamond" w:cstheme="minorHAnsi"/>
        </w:rPr>
      </w:pPr>
      <w:r w:rsidRPr="00973839">
        <w:rPr>
          <w:rFonts w:ascii="Garamond" w:hAnsi="Garamond" w:cstheme="minorHAnsi"/>
        </w:rPr>
        <w:t>It was claimed in §2 that going beyond the evidence in terms of actions is a matter of acting as if</w:t>
      </w:r>
      <w:r w:rsidR="00557FCE" w:rsidRPr="00973839">
        <w:rPr>
          <w:rFonts w:ascii="Garamond" w:hAnsi="Garamond" w:cstheme="minorHAnsi"/>
        </w:rPr>
        <w:t xml:space="preserve"> it is the case that</w:t>
      </w:r>
      <w:r w:rsidRPr="00973839">
        <w:rPr>
          <w:rFonts w:ascii="Garamond" w:hAnsi="Garamond" w:cstheme="minorHAnsi"/>
        </w:rPr>
        <w:t xml:space="preserve"> </w:t>
      </w:r>
      <w:r w:rsidRPr="00973839">
        <w:rPr>
          <w:rFonts w:ascii="Garamond" w:hAnsi="Garamond" w:cstheme="minorHAnsi"/>
          <w:i/>
        </w:rPr>
        <w:t>p</w:t>
      </w:r>
      <w:r w:rsidRPr="00973839">
        <w:rPr>
          <w:rFonts w:ascii="Garamond" w:hAnsi="Garamond" w:cstheme="minorHAnsi"/>
        </w:rPr>
        <w:t xml:space="preserve">, even though one’s evidence does not warrant belief that </w:t>
      </w:r>
      <w:r w:rsidRPr="00973839">
        <w:rPr>
          <w:rFonts w:ascii="Garamond" w:hAnsi="Garamond" w:cstheme="minorHAnsi"/>
          <w:i/>
        </w:rPr>
        <w:t>p</w:t>
      </w:r>
      <w:r w:rsidRPr="00973839">
        <w:rPr>
          <w:rFonts w:ascii="Garamond" w:hAnsi="Garamond" w:cstheme="minorHAnsi"/>
        </w:rPr>
        <w:t>. It seems, though, that morality would sometimes, in fact, demand that we do not behave in this way. There appears to be several problematic ethical cases to consider. For instance, note that a person satisfies this description by acting as if</w:t>
      </w:r>
      <w:r w:rsidR="00557FCE" w:rsidRPr="00973839">
        <w:rPr>
          <w:rFonts w:ascii="Garamond" w:hAnsi="Garamond" w:cstheme="minorHAnsi"/>
        </w:rPr>
        <w:t xml:space="preserve"> it is the case that</w:t>
      </w:r>
      <w:r w:rsidRPr="00973839">
        <w:rPr>
          <w:rFonts w:ascii="Garamond" w:hAnsi="Garamond" w:cstheme="minorHAnsi"/>
        </w:rPr>
        <w:t xml:space="preserve"> </w:t>
      </w:r>
      <w:r w:rsidRPr="00973839">
        <w:rPr>
          <w:rFonts w:ascii="Garamond" w:hAnsi="Garamond" w:cstheme="minorHAnsi"/>
          <w:i/>
        </w:rPr>
        <w:t>p</w:t>
      </w:r>
      <w:r w:rsidRPr="00973839">
        <w:rPr>
          <w:rFonts w:ascii="Garamond" w:hAnsi="Garamond" w:cstheme="minorHAnsi"/>
        </w:rPr>
        <w:t xml:space="preserve"> whilst the evidence warrants </w:t>
      </w:r>
      <w:r w:rsidRPr="00973839">
        <w:rPr>
          <w:rFonts w:ascii="Garamond" w:hAnsi="Garamond" w:cstheme="minorHAnsi"/>
          <w:i/>
        </w:rPr>
        <w:t>disbelieving</w:t>
      </w:r>
      <w:r w:rsidRPr="00973839">
        <w:rPr>
          <w:rFonts w:ascii="Garamond" w:hAnsi="Garamond" w:cstheme="minorHAnsi"/>
        </w:rPr>
        <w:t xml:space="preserve"> </w:t>
      </w:r>
      <w:r w:rsidRPr="00973839">
        <w:rPr>
          <w:rFonts w:ascii="Garamond" w:hAnsi="Garamond" w:cstheme="minorHAnsi"/>
          <w:i/>
        </w:rPr>
        <w:t>p</w:t>
      </w:r>
      <w:r w:rsidRPr="00973839">
        <w:rPr>
          <w:rFonts w:ascii="Garamond" w:hAnsi="Garamond" w:cstheme="minorHAnsi"/>
        </w:rPr>
        <w:t xml:space="preserve">. One problem here is that one way that someone could act as though one believes </w:t>
      </w:r>
      <w:r w:rsidRPr="00973839">
        <w:rPr>
          <w:rFonts w:ascii="Garamond" w:hAnsi="Garamond" w:cstheme="minorHAnsi"/>
          <w:i/>
        </w:rPr>
        <w:t>p</w:t>
      </w:r>
      <w:r w:rsidRPr="00973839">
        <w:rPr>
          <w:rFonts w:ascii="Garamond" w:hAnsi="Garamond" w:cstheme="minorHAnsi"/>
        </w:rPr>
        <w:t xml:space="preserve"> is</w:t>
      </w:r>
      <w:r w:rsidR="00157202" w:rsidRPr="00973839">
        <w:rPr>
          <w:rFonts w:ascii="Garamond" w:hAnsi="Garamond" w:cstheme="minorHAnsi"/>
        </w:rPr>
        <w:t xml:space="preserve"> for one</w:t>
      </w:r>
      <w:r w:rsidRPr="00973839">
        <w:rPr>
          <w:rFonts w:ascii="Garamond" w:hAnsi="Garamond" w:cstheme="minorHAnsi"/>
        </w:rPr>
        <w:t xml:space="preserve"> to command someone to perform some action </w:t>
      </w:r>
      <w:bookmarkStart w:id="24" w:name="_Hlk531789691"/>
      <w:r w:rsidR="00557FCE" w:rsidRPr="00973839">
        <w:rPr>
          <w:rFonts w:ascii="Garamond" w:hAnsi="Garamond" w:cstheme="minorHAnsi"/>
        </w:rPr>
        <w:t>φ</w:t>
      </w:r>
      <w:r w:rsidRPr="00973839">
        <w:rPr>
          <w:rFonts w:ascii="Garamond" w:hAnsi="Garamond" w:cstheme="minorHAnsi"/>
        </w:rPr>
        <w:t>, or</w:t>
      </w:r>
      <w:r w:rsidR="00157202" w:rsidRPr="00973839">
        <w:rPr>
          <w:rFonts w:ascii="Garamond" w:hAnsi="Garamond" w:cstheme="minorHAnsi"/>
        </w:rPr>
        <w:t xml:space="preserve"> for someone</w:t>
      </w:r>
      <w:r w:rsidRPr="00973839">
        <w:rPr>
          <w:rFonts w:ascii="Garamond" w:hAnsi="Garamond" w:cstheme="minorHAnsi"/>
        </w:rPr>
        <w:t xml:space="preserve"> to assert </w:t>
      </w:r>
      <w:r w:rsidRPr="00973839">
        <w:rPr>
          <w:rFonts w:ascii="Garamond" w:hAnsi="Garamond" w:cstheme="minorHAnsi"/>
          <w:i/>
        </w:rPr>
        <w:t>p</w:t>
      </w:r>
      <w:bookmarkEnd w:id="24"/>
      <w:r w:rsidRPr="00973839">
        <w:rPr>
          <w:rFonts w:ascii="Garamond" w:hAnsi="Garamond" w:cstheme="minorHAnsi"/>
        </w:rPr>
        <w:t>. However,</w:t>
      </w:r>
      <w:r w:rsidR="00774903" w:rsidRPr="00973839">
        <w:rPr>
          <w:rFonts w:ascii="Garamond" w:hAnsi="Garamond" w:cstheme="minorHAnsi"/>
        </w:rPr>
        <w:t xml:space="preserve"> in some cases,</w:t>
      </w:r>
      <w:r w:rsidRPr="00973839">
        <w:rPr>
          <w:rFonts w:ascii="Garamond" w:hAnsi="Garamond" w:cstheme="minorHAnsi"/>
        </w:rPr>
        <w:t xml:space="preserve"> these actions don’t look like something that </w:t>
      </w:r>
      <w:r w:rsidR="001735FC" w:rsidRPr="00973839">
        <w:rPr>
          <w:rFonts w:ascii="Garamond" w:hAnsi="Garamond" w:cstheme="minorHAnsi"/>
        </w:rPr>
        <w:t xml:space="preserve">morality </w:t>
      </w:r>
      <w:r w:rsidRPr="00973839">
        <w:rPr>
          <w:rFonts w:ascii="Garamond" w:hAnsi="Garamond" w:cstheme="minorHAnsi"/>
        </w:rPr>
        <w:t>would demand when the evidence warrants disbelief. Let’s consider these issues one at a time.</w:t>
      </w:r>
    </w:p>
    <w:p w14:paraId="6DB21AD3" w14:textId="07A8A959" w:rsidR="00A13042" w:rsidRPr="00973839" w:rsidRDefault="00A13042" w:rsidP="00973839">
      <w:pPr>
        <w:ind w:firstLine="720"/>
        <w:jc w:val="both"/>
        <w:rPr>
          <w:rFonts w:ascii="Garamond" w:hAnsi="Garamond" w:cstheme="minorHAnsi"/>
        </w:rPr>
      </w:pPr>
      <w:r w:rsidRPr="00973839">
        <w:rPr>
          <w:rFonts w:ascii="Garamond" w:hAnsi="Garamond" w:cstheme="minorHAnsi"/>
        </w:rPr>
        <w:t xml:space="preserve">Commanding someone to </w:t>
      </w:r>
      <w:r w:rsidR="00557FCE" w:rsidRPr="00973839">
        <w:rPr>
          <w:rFonts w:ascii="Garamond" w:hAnsi="Garamond" w:cstheme="minorHAnsi"/>
        </w:rPr>
        <w:t>φ</w:t>
      </w:r>
      <w:r w:rsidRPr="00973839">
        <w:rPr>
          <w:rFonts w:ascii="Garamond" w:hAnsi="Garamond" w:cstheme="minorHAnsi"/>
        </w:rPr>
        <w:t xml:space="preserve"> whilst the evidence warrants disbelieving </w:t>
      </w:r>
      <w:r w:rsidRPr="00973839">
        <w:rPr>
          <w:rFonts w:ascii="Garamond" w:hAnsi="Garamond" w:cstheme="minorHAnsi"/>
          <w:i/>
        </w:rPr>
        <w:t>p</w:t>
      </w:r>
      <w:r w:rsidRPr="00973839">
        <w:rPr>
          <w:rFonts w:ascii="Garamond" w:hAnsi="Garamond" w:cstheme="minorHAnsi"/>
        </w:rPr>
        <w:t xml:space="preserve"> can lead to some morally troubling cases. Imagine an army general who has faith that his troops can survive enemy fire, but whose evidence warrants disbelieving that his troops can survive enemy fire. In this case, morali</w:t>
      </w:r>
      <w:r w:rsidR="00774903" w:rsidRPr="00973839">
        <w:rPr>
          <w:rFonts w:ascii="Garamond" w:hAnsi="Garamond" w:cstheme="minorHAnsi"/>
        </w:rPr>
        <w:t>ty would not demand that he go</w:t>
      </w:r>
      <w:r w:rsidRPr="00973839">
        <w:rPr>
          <w:rFonts w:ascii="Garamond" w:hAnsi="Garamond" w:cstheme="minorHAnsi"/>
        </w:rPr>
        <w:t xml:space="preserve"> beyond evidence by acting as though his troops can survive enemy fire by commanding them to charge at the enemy (unless, perhaps, he was forced to do so by circumstance). Nevertheless, it could be argued, that whilst morality would never demand that he command his troops to face enemy fire when the evidence does not warrant belief that they will survive enemy fire, it does demand that he have </w:t>
      </w:r>
      <w:r w:rsidRPr="00973839">
        <w:rPr>
          <w:rFonts w:ascii="Garamond" w:hAnsi="Garamond" w:cstheme="minorHAnsi"/>
          <w:i/>
        </w:rPr>
        <w:t>faith</w:t>
      </w:r>
      <w:r w:rsidRPr="00973839">
        <w:rPr>
          <w:rFonts w:ascii="Garamond" w:hAnsi="Garamond" w:cstheme="minorHAnsi"/>
        </w:rPr>
        <w:t xml:space="preserve"> that his troops will survive enemy fire. </w:t>
      </w:r>
    </w:p>
    <w:p w14:paraId="64BC1559" w14:textId="77777777" w:rsidR="00A13042" w:rsidRPr="00973839" w:rsidRDefault="00A13042" w:rsidP="00973839">
      <w:pPr>
        <w:ind w:firstLine="720"/>
        <w:jc w:val="both"/>
        <w:rPr>
          <w:rFonts w:ascii="Garamond" w:hAnsi="Garamond" w:cstheme="minorHAnsi"/>
        </w:rPr>
      </w:pPr>
      <w:r w:rsidRPr="00973839">
        <w:rPr>
          <w:rFonts w:ascii="Garamond" w:hAnsi="Garamond" w:cstheme="minorHAnsi"/>
        </w:rPr>
        <w:t xml:space="preserve">This argument endorses the premise that morality sometimes demands that we have </w:t>
      </w:r>
      <w:proofErr w:type="gramStart"/>
      <w:r w:rsidRPr="00973839">
        <w:rPr>
          <w:rFonts w:ascii="Garamond" w:hAnsi="Garamond" w:cstheme="minorHAnsi"/>
        </w:rPr>
        <w:t>faith, but</w:t>
      </w:r>
      <w:proofErr w:type="gramEnd"/>
      <w:r w:rsidRPr="00973839">
        <w:rPr>
          <w:rFonts w:ascii="Garamond" w:hAnsi="Garamond" w:cstheme="minorHAnsi"/>
        </w:rPr>
        <w:t xml:space="preserve"> claims that morality sometimes would not require that we go beyond evidence in the sense of</w:t>
      </w:r>
      <w:r w:rsidRPr="00973839">
        <w:rPr>
          <w:rFonts w:ascii="Garamond" w:hAnsi="Garamond" w:cstheme="minorHAnsi"/>
          <w:sz w:val="22"/>
        </w:rPr>
        <w:t xml:space="preserve"> BEYOND(a)</w:t>
      </w:r>
      <w:r w:rsidRPr="00973839">
        <w:rPr>
          <w:rFonts w:ascii="Garamond" w:hAnsi="Garamond" w:cstheme="minorHAnsi"/>
          <w:szCs w:val="24"/>
        </w:rPr>
        <w:t xml:space="preserve">, since this is in conflict with other moral demands that we have. Hence, we appear to be able to conclude that faith is incompatible with </w:t>
      </w:r>
      <w:r w:rsidRPr="00973839">
        <w:rPr>
          <w:rFonts w:ascii="Garamond" w:hAnsi="Garamond" w:cstheme="minorHAnsi"/>
          <w:sz w:val="22"/>
        </w:rPr>
        <w:t>BEYOND(a)</w:t>
      </w:r>
      <w:r w:rsidRPr="00973839">
        <w:rPr>
          <w:rFonts w:ascii="Garamond" w:hAnsi="Garamond" w:cstheme="minorHAnsi"/>
          <w:szCs w:val="24"/>
        </w:rPr>
        <w:t xml:space="preserve">, in some cases at least. If there are moral demands to have faith, and faith requires going beyond evidence, then it cannot require going beyond evidence in the sense of </w:t>
      </w:r>
      <w:bookmarkStart w:id="25" w:name="_Hlk519067702"/>
      <w:r w:rsidRPr="00973839">
        <w:rPr>
          <w:rFonts w:ascii="Garamond" w:hAnsi="Garamond" w:cstheme="minorHAnsi"/>
          <w:sz w:val="22"/>
        </w:rPr>
        <w:t>BEYOND(a)</w:t>
      </w:r>
      <w:bookmarkEnd w:id="25"/>
      <w:r w:rsidRPr="00973839">
        <w:rPr>
          <w:rFonts w:ascii="Garamond" w:hAnsi="Garamond" w:cstheme="minorHAnsi"/>
          <w:szCs w:val="24"/>
        </w:rPr>
        <w:t xml:space="preserve"> for some cases. That is, faith is not always compatible with </w:t>
      </w:r>
      <w:bookmarkStart w:id="26" w:name="_Hlk519068417"/>
      <w:r w:rsidRPr="00973839">
        <w:rPr>
          <w:rFonts w:ascii="Garamond" w:hAnsi="Garamond" w:cstheme="minorHAnsi"/>
          <w:sz w:val="22"/>
        </w:rPr>
        <w:t>BEYOND(a)</w:t>
      </w:r>
      <w:bookmarkEnd w:id="26"/>
      <w:r w:rsidRPr="00973839">
        <w:rPr>
          <w:rFonts w:ascii="Garamond" w:hAnsi="Garamond" w:cstheme="minorHAnsi"/>
          <w:szCs w:val="24"/>
        </w:rPr>
        <w:t>.</w:t>
      </w:r>
      <w:r w:rsidRPr="00973839">
        <w:rPr>
          <w:rFonts w:ascii="Garamond" w:hAnsi="Garamond" w:cstheme="minorHAnsi"/>
        </w:rPr>
        <w:t xml:space="preserve"> </w:t>
      </w:r>
    </w:p>
    <w:p w14:paraId="1E8BEB8C" w14:textId="77777777" w:rsidR="00A13042" w:rsidRPr="00973839" w:rsidRDefault="00A13042" w:rsidP="00973839">
      <w:pPr>
        <w:jc w:val="both"/>
        <w:rPr>
          <w:rFonts w:ascii="Garamond" w:hAnsi="Garamond" w:cstheme="minorHAnsi"/>
        </w:rPr>
      </w:pPr>
      <w:r w:rsidRPr="00973839">
        <w:rPr>
          <w:rFonts w:ascii="Garamond" w:hAnsi="Garamond" w:cstheme="minorHAnsi"/>
        </w:rPr>
        <w:tab/>
        <w:t xml:space="preserve">A similar issue concerns assertion. Note that one way of acting as though one believes </w:t>
      </w:r>
      <w:r w:rsidRPr="00973839">
        <w:rPr>
          <w:rFonts w:ascii="Garamond" w:hAnsi="Garamond" w:cstheme="minorHAnsi"/>
          <w:i/>
        </w:rPr>
        <w:t>p</w:t>
      </w:r>
      <w:r w:rsidRPr="00973839">
        <w:rPr>
          <w:rFonts w:ascii="Garamond" w:hAnsi="Garamond" w:cstheme="minorHAnsi"/>
        </w:rPr>
        <w:t xml:space="preserve"> is to assert </w:t>
      </w:r>
      <w:r w:rsidRPr="00973839">
        <w:rPr>
          <w:rFonts w:ascii="Garamond" w:hAnsi="Garamond" w:cstheme="minorHAnsi"/>
          <w:i/>
        </w:rPr>
        <w:t>p</w:t>
      </w:r>
      <w:r w:rsidRPr="00973839">
        <w:rPr>
          <w:rFonts w:ascii="Garamond" w:hAnsi="Garamond" w:cstheme="minorHAnsi"/>
        </w:rPr>
        <w:t xml:space="preserve">. However, it is generally agreed that assertion is subject to norms that govern when one is warranted in asserting </w:t>
      </w:r>
      <w:r w:rsidRPr="00973839">
        <w:rPr>
          <w:rFonts w:ascii="Garamond" w:hAnsi="Garamond" w:cstheme="minorHAnsi"/>
          <w:i/>
        </w:rPr>
        <w:t>p</w:t>
      </w:r>
      <w:r w:rsidRPr="00973839">
        <w:rPr>
          <w:rFonts w:ascii="Garamond" w:hAnsi="Garamond" w:cstheme="minorHAnsi"/>
        </w:rPr>
        <w:t xml:space="preserve">. These norms are often stated in such a way as to reject the claim that one may assert </w:t>
      </w:r>
      <w:r w:rsidRPr="00973839">
        <w:rPr>
          <w:rFonts w:ascii="Garamond" w:hAnsi="Garamond" w:cstheme="minorHAnsi"/>
          <w:i/>
        </w:rPr>
        <w:t>p</w:t>
      </w:r>
      <w:r w:rsidRPr="00973839">
        <w:rPr>
          <w:rFonts w:ascii="Garamond" w:hAnsi="Garamond" w:cstheme="minorHAnsi"/>
        </w:rPr>
        <w:t xml:space="preserve"> when the evidence warrants disbelieving </w:t>
      </w:r>
      <w:r w:rsidRPr="00973839">
        <w:rPr>
          <w:rFonts w:ascii="Garamond" w:hAnsi="Garamond" w:cstheme="minorHAnsi"/>
          <w:i/>
        </w:rPr>
        <w:t>p</w:t>
      </w:r>
      <w:r w:rsidRPr="00973839">
        <w:rPr>
          <w:rFonts w:ascii="Garamond" w:hAnsi="Garamond" w:cstheme="minorHAnsi"/>
        </w:rPr>
        <w:t>.</w:t>
      </w:r>
      <w:r w:rsidRPr="00973839">
        <w:rPr>
          <w:rStyle w:val="FootnoteReference"/>
          <w:rFonts w:ascii="Garamond" w:hAnsi="Garamond" w:cstheme="minorHAnsi"/>
        </w:rPr>
        <w:footnoteReference w:id="13"/>
      </w:r>
      <w:r w:rsidRPr="00973839">
        <w:rPr>
          <w:rFonts w:ascii="Garamond" w:hAnsi="Garamond" w:cstheme="minorHAnsi"/>
        </w:rPr>
        <w:t xml:space="preserve"> Since these are moral norms, it looks like, if they are correct, then it can never be the case that morality would demand, or even permit, one to assert </w:t>
      </w:r>
      <w:r w:rsidRPr="00973839">
        <w:rPr>
          <w:rFonts w:ascii="Garamond" w:hAnsi="Garamond" w:cstheme="minorHAnsi"/>
          <w:i/>
        </w:rPr>
        <w:t>p</w:t>
      </w:r>
      <w:r w:rsidRPr="00973839">
        <w:rPr>
          <w:rFonts w:ascii="Garamond" w:hAnsi="Garamond" w:cstheme="minorHAnsi"/>
        </w:rPr>
        <w:t xml:space="preserve"> when one’s evidence does not warrant belief that </w:t>
      </w:r>
      <w:r w:rsidRPr="00973839">
        <w:rPr>
          <w:rFonts w:ascii="Garamond" w:hAnsi="Garamond" w:cstheme="minorHAnsi"/>
          <w:i/>
        </w:rPr>
        <w:t>p</w:t>
      </w:r>
      <w:r w:rsidRPr="00973839">
        <w:rPr>
          <w:rFonts w:ascii="Garamond" w:hAnsi="Garamond" w:cstheme="minorHAnsi"/>
        </w:rPr>
        <w:t>. For example, suppose one has faith that a friend will make it in her chosen career path. To act as though you believe this proposition would involve telling your friend that she will make it in her chosen career path. However, the evidence does not warrant believing this proposition. So, it looks as though morality demands that you do not tell this to her since to do so breaks the moral norms of assertion.</w:t>
      </w:r>
    </w:p>
    <w:p w14:paraId="78D82921" w14:textId="5ED51386" w:rsidR="00A13042" w:rsidRPr="00973839" w:rsidRDefault="00A13042" w:rsidP="00973839">
      <w:pPr>
        <w:jc w:val="both"/>
        <w:rPr>
          <w:rFonts w:ascii="Garamond" w:hAnsi="Garamond" w:cstheme="minorHAnsi"/>
        </w:rPr>
      </w:pPr>
      <w:r w:rsidRPr="00973839">
        <w:rPr>
          <w:rFonts w:ascii="Garamond" w:hAnsi="Garamond" w:cstheme="minorHAnsi"/>
        </w:rPr>
        <w:tab/>
        <w:t xml:space="preserve">One issue with this line of argument is that, rather than highlighting tensions between where there are moral demands to have faith, and moral demands to not go beyond evidence in </w:t>
      </w:r>
      <w:r w:rsidRPr="00973839">
        <w:rPr>
          <w:rFonts w:ascii="Garamond" w:hAnsi="Garamond" w:cstheme="minorHAnsi"/>
        </w:rPr>
        <w:lastRenderedPageBreak/>
        <w:t xml:space="preserve">certain senses, what the argument actually provides us with is a way of demarcating where morality would not demand that we have faith. Rather than concluding that moral demands show where one cannot go beyond evidence in terms of </w:t>
      </w:r>
      <w:r w:rsidRPr="00973839">
        <w:rPr>
          <w:rFonts w:ascii="Garamond" w:hAnsi="Garamond" w:cstheme="minorHAnsi"/>
          <w:sz w:val="22"/>
        </w:rPr>
        <w:t>BEYOND(a)</w:t>
      </w:r>
      <w:r w:rsidRPr="00973839">
        <w:rPr>
          <w:rFonts w:ascii="Garamond" w:hAnsi="Garamond" w:cstheme="minorHAnsi"/>
        </w:rPr>
        <w:t xml:space="preserve">, we actually get to the conclusion that morality would never demand faith in certain cases. Namely, where faith would be a matter of asserting </w:t>
      </w:r>
      <w:r w:rsidRPr="00973839">
        <w:rPr>
          <w:rFonts w:ascii="Garamond" w:hAnsi="Garamond" w:cstheme="minorHAnsi"/>
          <w:i/>
        </w:rPr>
        <w:t>p</w:t>
      </w:r>
      <w:r w:rsidRPr="00973839">
        <w:rPr>
          <w:rFonts w:ascii="Garamond" w:hAnsi="Garamond" w:cstheme="minorHAnsi"/>
        </w:rPr>
        <w:t xml:space="preserve"> without sufficient evidence for believing </w:t>
      </w:r>
      <w:r w:rsidRPr="00973839">
        <w:rPr>
          <w:rFonts w:ascii="Garamond" w:hAnsi="Garamond" w:cstheme="minorHAnsi"/>
          <w:i/>
        </w:rPr>
        <w:t>p</w:t>
      </w:r>
      <w:r w:rsidRPr="00973839">
        <w:rPr>
          <w:rFonts w:ascii="Garamond" w:hAnsi="Garamond" w:cstheme="minorHAnsi"/>
        </w:rPr>
        <w:t>. In the example of the friend, it’s just not the case that morality would demand that she asserts that her friend will achieve her chosen career path, and this is the case because morality would not demand that we break the norms of assertion.</w:t>
      </w:r>
    </w:p>
    <w:p w14:paraId="17AEDDF0" w14:textId="77777777" w:rsidR="00A13042" w:rsidRPr="00973839" w:rsidRDefault="00A13042" w:rsidP="00973839">
      <w:pPr>
        <w:jc w:val="both"/>
        <w:rPr>
          <w:rFonts w:ascii="Garamond" w:hAnsi="Garamond" w:cstheme="minorHAnsi"/>
        </w:rPr>
      </w:pPr>
      <w:r w:rsidRPr="00973839">
        <w:rPr>
          <w:rFonts w:ascii="Garamond" w:hAnsi="Garamond" w:cstheme="minorHAnsi"/>
        </w:rPr>
        <w:tab/>
        <w:t>This concern can be extended to the army general case as well. Whilst it is plausible that the general often has a moral demand to have faith in his troops, when faced with morally problematic situations, this simply removes the moral demand to have faith in his troops in those cases. So, rather than revealing a tension between what it is to go beyond evidence and the moral demand to have faith, these cases simply demarcate where one lacks a moral demand to have faith.</w:t>
      </w:r>
    </w:p>
    <w:p w14:paraId="2A84F8E9" w14:textId="75261BEF" w:rsidR="00A13042" w:rsidRPr="00973839" w:rsidRDefault="00A13042" w:rsidP="00973839">
      <w:pPr>
        <w:jc w:val="both"/>
        <w:rPr>
          <w:rFonts w:ascii="Garamond" w:hAnsi="Garamond" w:cstheme="minorHAnsi"/>
        </w:rPr>
      </w:pPr>
      <w:r w:rsidRPr="00973839">
        <w:rPr>
          <w:rFonts w:ascii="Garamond" w:hAnsi="Garamond" w:cstheme="minorHAnsi"/>
        </w:rPr>
        <w:tab/>
        <w:t>Whilst this does not provide us with an account of where faith is incompatible with certain</w:t>
      </w:r>
      <w:r w:rsidR="00774903" w:rsidRPr="00973839">
        <w:rPr>
          <w:rFonts w:ascii="Garamond" w:hAnsi="Garamond" w:cstheme="minorHAnsi"/>
        </w:rPr>
        <w:t xml:space="preserve"> active</w:t>
      </w:r>
      <w:r w:rsidRPr="00973839">
        <w:rPr>
          <w:rFonts w:ascii="Garamond" w:hAnsi="Garamond" w:cstheme="minorHAnsi"/>
        </w:rPr>
        <w:t xml:space="preserve"> senses of going beyond evidence, the conclusion is not entirely negative. What we do get is a picture of where one has and where one lacks moral requirements to have faith. As a topic for ethicists, therefore, the discussion in this section reaches important conclusions concerning the moral demands of faith.</w:t>
      </w:r>
    </w:p>
    <w:p w14:paraId="2EA00EFB" w14:textId="4EBA58C7" w:rsidR="00A13042" w:rsidRPr="00973839" w:rsidRDefault="00A13042" w:rsidP="00973839">
      <w:pPr>
        <w:jc w:val="both"/>
        <w:rPr>
          <w:rFonts w:ascii="Garamond" w:hAnsi="Garamond" w:cstheme="minorHAnsi"/>
        </w:rPr>
      </w:pPr>
    </w:p>
    <w:p w14:paraId="66F667A5" w14:textId="4DE8BC85" w:rsidR="00C47F6A" w:rsidRPr="00AC56FB" w:rsidRDefault="00097BD0" w:rsidP="00973839">
      <w:pPr>
        <w:pStyle w:val="Title"/>
        <w:spacing w:line="276" w:lineRule="auto"/>
        <w:rPr>
          <w:rFonts w:ascii="Garamond" w:hAnsi="Garamond" w:cstheme="minorHAnsi"/>
        </w:rPr>
      </w:pPr>
      <w:r w:rsidRPr="00AC56FB">
        <w:rPr>
          <w:rFonts w:ascii="Garamond" w:hAnsi="Garamond" w:cstheme="minorHAnsi"/>
        </w:rPr>
        <w:t xml:space="preserve">DOES </w:t>
      </w:r>
      <w:r w:rsidR="004228BE" w:rsidRPr="00AC56FB">
        <w:rPr>
          <w:rFonts w:ascii="Garamond" w:hAnsi="Garamond" w:cstheme="minorHAnsi"/>
        </w:rPr>
        <w:t xml:space="preserve">FAITH </w:t>
      </w:r>
      <w:r w:rsidR="008D4E8F" w:rsidRPr="00AC56FB">
        <w:rPr>
          <w:rFonts w:ascii="Garamond" w:hAnsi="Garamond" w:cstheme="minorHAnsi"/>
        </w:rPr>
        <w:t>DISPOSE</w:t>
      </w:r>
      <w:r w:rsidR="004228BE" w:rsidRPr="00AC56FB">
        <w:rPr>
          <w:rFonts w:ascii="Garamond" w:hAnsi="Garamond" w:cstheme="minorHAnsi"/>
        </w:rPr>
        <w:t xml:space="preserve"> GOING BEYOND EVIDENCE</w:t>
      </w:r>
      <w:r w:rsidRPr="00AC56FB">
        <w:rPr>
          <w:rFonts w:ascii="Garamond" w:hAnsi="Garamond" w:cstheme="minorHAnsi"/>
        </w:rPr>
        <w:t>?</w:t>
      </w:r>
    </w:p>
    <w:p w14:paraId="4BDFA513" w14:textId="69FCB1A9" w:rsidR="00813FF8" w:rsidRPr="00973839" w:rsidRDefault="00097BD0" w:rsidP="00973839">
      <w:pPr>
        <w:jc w:val="both"/>
        <w:rPr>
          <w:rFonts w:ascii="Garamond" w:hAnsi="Garamond" w:cstheme="minorHAnsi"/>
        </w:rPr>
      </w:pPr>
      <w:r w:rsidRPr="00973839">
        <w:rPr>
          <w:rFonts w:ascii="Garamond" w:hAnsi="Garamond" w:cstheme="minorHAnsi"/>
        </w:rPr>
        <w:t>We have seen where faith is incompatible with going beyond the evidence</w:t>
      </w:r>
      <w:r w:rsidR="008D4E8F" w:rsidRPr="00973839">
        <w:rPr>
          <w:rFonts w:ascii="Garamond" w:hAnsi="Garamond" w:cstheme="minorHAnsi"/>
        </w:rPr>
        <w:t xml:space="preserve">, and hence faith cannot </w:t>
      </w:r>
      <w:r w:rsidR="008D4E8F" w:rsidRPr="00973839">
        <w:rPr>
          <w:rFonts w:ascii="Garamond" w:hAnsi="Garamond" w:cstheme="minorHAnsi"/>
          <w:i/>
        </w:rPr>
        <w:t>require</w:t>
      </w:r>
      <w:r w:rsidR="008D4E8F" w:rsidRPr="00973839">
        <w:rPr>
          <w:rFonts w:ascii="Garamond" w:hAnsi="Garamond" w:cstheme="minorHAnsi"/>
        </w:rPr>
        <w:t xml:space="preserve"> going beyond evidence</w:t>
      </w:r>
      <w:r w:rsidR="009338B0" w:rsidRPr="00973839">
        <w:rPr>
          <w:rFonts w:ascii="Garamond" w:hAnsi="Garamond" w:cstheme="minorHAnsi"/>
        </w:rPr>
        <w:t>.</w:t>
      </w:r>
      <w:r w:rsidRPr="00973839">
        <w:rPr>
          <w:rFonts w:ascii="Garamond" w:hAnsi="Garamond" w:cstheme="minorHAnsi"/>
        </w:rPr>
        <w:t xml:space="preserve"> </w:t>
      </w:r>
      <w:r w:rsidR="00774903" w:rsidRPr="00973839">
        <w:rPr>
          <w:rFonts w:ascii="Garamond" w:hAnsi="Garamond" w:cstheme="minorHAnsi"/>
        </w:rPr>
        <w:t>However, t</w:t>
      </w:r>
      <w:r w:rsidR="008D4E8F" w:rsidRPr="00973839">
        <w:rPr>
          <w:rFonts w:ascii="Garamond" w:hAnsi="Garamond" w:cstheme="minorHAnsi"/>
        </w:rPr>
        <w:t>here might be a weaker claim available</w:t>
      </w:r>
      <w:r w:rsidR="00CD6663" w:rsidRPr="00973839">
        <w:rPr>
          <w:rFonts w:ascii="Garamond" w:hAnsi="Garamond" w:cstheme="minorHAnsi"/>
        </w:rPr>
        <w:t>:</w:t>
      </w:r>
      <w:r w:rsidR="008D4E8F" w:rsidRPr="00973839">
        <w:rPr>
          <w:rFonts w:ascii="Garamond" w:hAnsi="Garamond" w:cstheme="minorHAnsi"/>
        </w:rPr>
        <w:t xml:space="preserve"> faith </w:t>
      </w:r>
      <w:r w:rsidR="008D4E8F" w:rsidRPr="00973839">
        <w:rPr>
          <w:rFonts w:ascii="Garamond" w:hAnsi="Garamond" w:cstheme="minorHAnsi"/>
          <w:i/>
        </w:rPr>
        <w:t>disposes</w:t>
      </w:r>
      <w:r w:rsidR="008D4E8F" w:rsidRPr="00973839">
        <w:rPr>
          <w:rFonts w:ascii="Garamond" w:hAnsi="Garamond" w:cstheme="minorHAnsi"/>
        </w:rPr>
        <w:t xml:space="preserve"> one to go beyond the evidence. </w:t>
      </w:r>
      <w:r w:rsidR="00F247AF" w:rsidRPr="00973839">
        <w:rPr>
          <w:rFonts w:ascii="Garamond" w:hAnsi="Garamond" w:cstheme="minorHAnsi"/>
        </w:rPr>
        <w:t>T</w:t>
      </w:r>
      <w:r w:rsidRPr="00973839">
        <w:rPr>
          <w:rFonts w:ascii="Garamond" w:hAnsi="Garamond" w:cstheme="minorHAnsi"/>
        </w:rPr>
        <w:t>his section explore</w:t>
      </w:r>
      <w:r w:rsidR="00F247AF" w:rsidRPr="00973839">
        <w:rPr>
          <w:rFonts w:ascii="Garamond" w:hAnsi="Garamond" w:cstheme="minorHAnsi"/>
        </w:rPr>
        <w:t>s</w:t>
      </w:r>
      <w:r w:rsidRPr="00973839">
        <w:rPr>
          <w:rFonts w:ascii="Garamond" w:hAnsi="Garamond" w:cstheme="minorHAnsi"/>
        </w:rPr>
        <w:t xml:space="preserve"> a possible argument for this claim</w:t>
      </w:r>
      <w:r w:rsidR="008D4E8F" w:rsidRPr="00973839">
        <w:rPr>
          <w:rFonts w:ascii="Garamond" w:hAnsi="Garamond" w:cstheme="minorHAnsi"/>
        </w:rPr>
        <w:t xml:space="preserve"> and</w:t>
      </w:r>
      <w:r w:rsidRPr="00973839">
        <w:rPr>
          <w:rFonts w:ascii="Garamond" w:hAnsi="Garamond" w:cstheme="minorHAnsi"/>
        </w:rPr>
        <w:t xml:space="preserve"> show</w:t>
      </w:r>
      <w:r w:rsidR="00F247AF" w:rsidRPr="00973839">
        <w:rPr>
          <w:rFonts w:ascii="Garamond" w:hAnsi="Garamond" w:cstheme="minorHAnsi"/>
        </w:rPr>
        <w:t>s</w:t>
      </w:r>
      <w:r w:rsidRPr="00973839">
        <w:rPr>
          <w:rFonts w:ascii="Garamond" w:hAnsi="Garamond" w:cstheme="minorHAnsi"/>
        </w:rPr>
        <w:t xml:space="preserve"> how it fails</w:t>
      </w:r>
      <w:r w:rsidR="008D4E8F" w:rsidRPr="00973839">
        <w:rPr>
          <w:rFonts w:ascii="Garamond" w:hAnsi="Garamond" w:cstheme="minorHAnsi"/>
        </w:rPr>
        <w:t xml:space="preserve"> by </w:t>
      </w:r>
      <w:r w:rsidR="00774903" w:rsidRPr="00973839">
        <w:rPr>
          <w:rFonts w:ascii="Garamond" w:hAnsi="Garamond" w:cstheme="minorHAnsi"/>
        </w:rPr>
        <w:t>drawing on the moral demands that there are to have faith</w:t>
      </w:r>
      <w:r w:rsidRPr="00973839">
        <w:rPr>
          <w:rFonts w:ascii="Garamond" w:hAnsi="Garamond" w:cstheme="minorHAnsi"/>
        </w:rPr>
        <w:t>.</w:t>
      </w:r>
    </w:p>
    <w:p w14:paraId="75912FCD" w14:textId="7A4FF231" w:rsidR="00C47F6A" w:rsidRPr="00973839" w:rsidRDefault="006F3F8C" w:rsidP="00973839">
      <w:pPr>
        <w:spacing w:after="120"/>
        <w:jc w:val="both"/>
        <w:rPr>
          <w:rFonts w:ascii="Garamond" w:hAnsi="Garamond" w:cstheme="minorHAnsi"/>
        </w:rPr>
      </w:pPr>
      <w:r w:rsidRPr="00973839">
        <w:rPr>
          <w:rFonts w:ascii="Garamond" w:hAnsi="Garamond" w:cstheme="minorHAnsi"/>
          <w:b/>
          <w:i/>
        </w:rPr>
        <w:tab/>
      </w:r>
      <w:r w:rsidR="008D4E8F" w:rsidRPr="00973839">
        <w:rPr>
          <w:rFonts w:ascii="Garamond" w:hAnsi="Garamond" w:cstheme="minorHAnsi"/>
        </w:rPr>
        <w:t>How might we argue that faith disposes one to go beyond the evidence</w:t>
      </w:r>
      <w:r w:rsidR="00097BD0" w:rsidRPr="00973839">
        <w:rPr>
          <w:rFonts w:ascii="Garamond" w:hAnsi="Garamond" w:cstheme="minorHAnsi"/>
        </w:rPr>
        <w:t>?</w:t>
      </w:r>
      <w:r w:rsidR="004338FF" w:rsidRPr="00973839">
        <w:rPr>
          <w:rFonts w:ascii="Garamond" w:hAnsi="Garamond" w:cstheme="minorHAnsi"/>
        </w:rPr>
        <w:t xml:space="preserve"> </w:t>
      </w:r>
      <w:r w:rsidR="00097BD0" w:rsidRPr="00973839">
        <w:rPr>
          <w:rFonts w:ascii="Garamond" w:hAnsi="Garamond" w:cstheme="minorHAnsi"/>
        </w:rPr>
        <w:t>One possible</w:t>
      </w:r>
      <w:r w:rsidR="004338FF" w:rsidRPr="00973839">
        <w:rPr>
          <w:rFonts w:ascii="Garamond" w:hAnsi="Garamond" w:cstheme="minorHAnsi"/>
        </w:rPr>
        <w:t xml:space="preserve"> argument comes out of recent discussion on an intuitively plausible necessary condition for faith.</w:t>
      </w:r>
      <w:r w:rsidR="0093746B" w:rsidRPr="00973839">
        <w:rPr>
          <w:rFonts w:ascii="Garamond" w:hAnsi="Garamond" w:cstheme="minorHAnsi"/>
        </w:rPr>
        <w:t xml:space="preserve"> </w:t>
      </w:r>
      <w:r w:rsidR="00177636" w:rsidRPr="00973839">
        <w:rPr>
          <w:rFonts w:ascii="Garamond" w:hAnsi="Garamond" w:cstheme="minorHAnsi"/>
        </w:rPr>
        <w:t>In</w:t>
      </w:r>
      <w:r w:rsidR="00A77B48" w:rsidRPr="00973839">
        <w:rPr>
          <w:rFonts w:ascii="Garamond" w:hAnsi="Garamond" w:cstheme="minorHAnsi"/>
        </w:rPr>
        <w:t xml:space="preserve"> recent literature on</w:t>
      </w:r>
      <w:r w:rsidR="00D94F6A" w:rsidRPr="00973839">
        <w:rPr>
          <w:rFonts w:ascii="Garamond" w:hAnsi="Garamond" w:cstheme="minorHAnsi"/>
        </w:rPr>
        <w:t xml:space="preserve"> the nature of</w:t>
      </w:r>
      <w:r w:rsidR="00A77B48" w:rsidRPr="00973839">
        <w:rPr>
          <w:rFonts w:ascii="Garamond" w:hAnsi="Garamond" w:cstheme="minorHAnsi"/>
        </w:rPr>
        <w:t xml:space="preserve"> faith, there has been considerable agreement that faith requires a disposition to persist </w:t>
      </w:r>
      <w:r w:rsidR="001C3BAB" w:rsidRPr="00973839">
        <w:rPr>
          <w:rFonts w:ascii="Garamond" w:hAnsi="Garamond" w:cstheme="minorHAnsi"/>
        </w:rPr>
        <w:t>in the face of set-backs and challenges</w:t>
      </w:r>
      <w:r w:rsidR="008E4508" w:rsidRPr="00973839">
        <w:rPr>
          <w:rFonts w:ascii="Garamond" w:hAnsi="Garamond" w:cstheme="minorHAnsi"/>
        </w:rPr>
        <w:t xml:space="preserve">. </w:t>
      </w:r>
      <w:r w:rsidR="001C3BAB" w:rsidRPr="00973839">
        <w:rPr>
          <w:rFonts w:ascii="Garamond" w:hAnsi="Garamond" w:cstheme="minorHAnsi"/>
        </w:rPr>
        <w:t>In particular</w:t>
      </w:r>
      <w:r w:rsidR="008E4508" w:rsidRPr="00973839">
        <w:rPr>
          <w:rFonts w:ascii="Garamond" w:hAnsi="Garamond" w:cstheme="minorHAnsi"/>
        </w:rPr>
        <w:t>,</w:t>
      </w:r>
      <w:r w:rsidR="00A77B48" w:rsidRPr="00973839">
        <w:rPr>
          <w:rFonts w:ascii="Garamond" w:hAnsi="Garamond" w:cstheme="minorHAnsi"/>
        </w:rPr>
        <w:t xml:space="preserve"> this persistence is often</w:t>
      </w:r>
      <w:r w:rsidR="008E4508" w:rsidRPr="00973839">
        <w:rPr>
          <w:rFonts w:ascii="Garamond" w:hAnsi="Garamond" w:cstheme="minorHAnsi"/>
        </w:rPr>
        <w:t xml:space="preserve"> explicitly</w:t>
      </w:r>
      <w:r w:rsidR="00A77B48" w:rsidRPr="00973839">
        <w:rPr>
          <w:rFonts w:ascii="Garamond" w:hAnsi="Garamond" w:cstheme="minorHAnsi"/>
        </w:rPr>
        <w:t xml:space="preserve"> </w:t>
      </w:r>
      <w:r w:rsidR="001C3BAB" w:rsidRPr="00973839">
        <w:rPr>
          <w:rFonts w:ascii="Garamond" w:hAnsi="Garamond" w:cstheme="minorHAnsi"/>
        </w:rPr>
        <w:t>given as retaining</w:t>
      </w:r>
      <w:r w:rsidR="008E4508" w:rsidRPr="00973839">
        <w:rPr>
          <w:rFonts w:ascii="Garamond" w:hAnsi="Garamond" w:cstheme="minorHAnsi"/>
        </w:rPr>
        <w:t xml:space="preserve"> one’s faith </w:t>
      </w:r>
      <w:r w:rsidR="00A77B48" w:rsidRPr="00973839">
        <w:rPr>
          <w:rFonts w:ascii="Garamond" w:hAnsi="Garamond" w:cstheme="minorHAnsi"/>
        </w:rPr>
        <w:t>when faced with contrary evidence.</w:t>
      </w:r>
      <w:r w:rsidR="00D05D35" w:rsidRPr="00973839">
        <w:rPr>
          <w:rFonts w:ascii="Garamond" w:hAnsi="Garamond" w:cstheme="minorHAnsi"/>
        </w:rPr>
        <w:t xml:space="preserve"> For instance, Jonathan </w:t>
      </w:r>
      <w:proofErr w:type="spellStart"/>
      <w:r w:rsidR="00D05D35" w:rsidRPr="00973839">
        <w:rPr>
          <w:rFonts w:ascii="Garamond" w:hAnsi="Garamond" w:cstheme="minorHAnsi"/>
        </w:rPr>
        <w:t>Kvanvig</w:t>
      </w:r>
      <w:proofErr w:type="spellEnd"/>
      <w:r w:rsidR="00D05D35" w:rsidRPr="00973839">
        <w:rPr>
          <w:rFonts w:ascii="Garamond" w:hAnsi="Garamond" w:cstheme="minorHAnsi"/>
        </w:rPr>
        <w:t xml:space="preserve"> </w:t>
      </w:r>
      <w:r w:rsidR="008E4508" w:rsidRPr="00973839">
        <w:rPr>
          <w:rFonts w:ascii="Garamond" w:hAnsi="Garamond" w:cstheme="minorHAnsi"/>
        </w:rPr>
        <w:t>claims</w:t>
      </w:r>
      <w:r w:rsidR="00D05D35" w:rsidRPr="00973839">
        <w:rPr>
          <w:rFonts w:ascii="Garamond" w:hAnsi="Garamond" w:cstheme="minorHAnsi"/>
        </w:rPr>
        <w:t xml:space="preserve"> that</w:t>
      </w:r>
      <w:r w:rsidR="008E4508" w:rsidRPr="00973839">
        <w:rPr>
          <w:rFonts w:ascii="Garamond" w:hAnsi="Garamond" w:cstheme="minorHAnsi"/>
        </w:rPr>
        <w:t xml:space="preserve"> faith</w:t>
      </w:r>
    </w:p>
    <w:p w14:paraId="686C7D9C" w14:textId="5BE93158" w:rsidR="00D05D35" w:rsidRPr="00973839" w:rsidRDefault="00D05D35" w:rsidP="00973839">
      <w:pPr>
        <w:spacing w:after="120"/>
        <w:ind w:left="567" w:right="521"/>
        <w:jc w:val="both"/>
        <w:rPr>
          <w:rFonts w:ascii="Garamond" w:hAnsi="Garamond" w:cstheme="minorHAnsi"/>
          <w:sz w:val="23"/>
          <w:szCs w:val="23"/>
        </w:rPr>
      </w:pPr>
      <w:r w:rsidRPr="00973839">
        <w:rPr>
          <w:rFonts w:ascii="Garamond" w:hAnsi="Garamond" w:cstheme="minorHAnsi"/>
          <w:sz w:val="23"/>
          <w:szCs w:val="23"/>
        </w:rPr>
        <w:t xml:space="preserve">…is an orientation of a person toward a longer-term goal, an orientation or disposition toward the </w:t>
      </w:r>
      <w:r w:rsidRPr="00973839">
        <w:rPr>
          <w:rFonts w:ascii="Garamond" w:hAnsi="Garamond" w:cstheme="minorHAnsi"/>
          <w:i/>
          <w:sz w:val="23"/>
          <w:szCs w:val="23"/>
        </w:rPr>
        <w:t>retaining</w:t>
      </w:r>
      <w:r w:rsidRPr="00973839">
        <w:rPr>
          <w:rFonts w:ascii="Garamond" w:hAnsi="Garamond" w:cstheme="minorHAnsi"/>
          <w:sz w:val="23"/>
          <w:szCs w:val="23"/>
        </w:rPr>
        <w:t xml:space="preserve"> of the goal or plan or project </w:t>
      </w:r>
      <w:r w:rsidRPr="00973839">
        <w:rPr>
          <w:rFonts w:ascii="Garamond" w:hAnsi="Garamond" w:cstheme="minorHAnsi"/>
          <w:i/>
          <w:sz w:val="23"/>
          <w:szCs w:val="23"/>
        </w:rPr>
        <w:t>in the face of difficulties in achieving it</w:t>
      </w:r>
      <w:r w:rsidR="00897D57" w:rsidRPr="00973839">
        <w:rPr>
          <w:rFonts w:ascii="Garamond" w:hAnsi="Garamond" w:cstheme="minorHAnsi"/>
          <w:sz w:val="23"/>
          <w:szCs w:val="23"/>
        </w:rPr>
        <w:t>.</w:t>
      </w:r>
      <w:r w:rsidRPr="00973839">
        <w:rPr>
          <w:rFonts w:ascii="Garamond" w:hAnsi="Garamond" w:cstheme="minorHAnsi"/>
          <w:sz w:val="23"/>
          <w:szCs w:val="23"/>
        </w:rPr>
        <w:t xml:space="preserve"> (</w:t>
      </w:r>
      <w:proofErr w:type="spellStart"/>
      <w:r w:rsidRPr="00973839">
        <w:rPr>
          <w:rFonts w:ascii="Garamond" w:hAnsi="Garamond" w:cstheme="minorHAnsi"/>
          <w:sz w:val="23"/>
          <w:szCs w:val="23"/>
        </w:rPr>
        <w:t>Kvanvig</w:t>
      </w:r>
      <w:proofErr w:type="spellEnd"/>
      <w:r w:rsidRPr="00973839">
        <w:rPr>
          <w:rFonts w:ascii="Garamond" w:hAnsi="Garamond" w:cstheme="minorHAnsi"/>
          <w:sz w:val="23"/>
          <w:szCs w:val="23"/>
        </w:rPr>
        <w:t xml:space="preserve"> 2013, 111</w:t>
      </w:r>
      <w:r w:rsidR="001401C4" w:rsidRPr="00973839">
        <w:rPr>
          <w:rFonts w:ascii="Garamond" w:hAnsi="Garamond" w:cstheme="minorHAnsi"/>
          <w:sz w:val="23"/>
          <w:szCs w:val="23"/>
        </w:rPr>
        <w:t>, my emphasis</w:t>
      </w:r>
      <w:r w:rsidRPr="00973839">
        <w:rPr>
          <w:rFonts w:ascii="Garamond" w:hAnsi="Garamond" w:cstheme="minorHAnsi"/>
          <w:sz w:val="23"/>
          <w:szCs w:val="23"/>
        </w:rPr>
        <w:t>)</w:t>
      </w:r>
    </w:p>
    <w:p w14:paraId="63215E96" w14:textId="1E38A0AD" w:rsidR="008E4508" w:rsidRPr="00973839" w:rsidRDefault="001401C4" w:rsidP="00973839">
      <w:pPr>
        <w:jc w:val="both"/>
        <w:rPr>
          <w:rFonts w:ascii="Garamond" w:hAnsi="Garamond" w:cstheme="minorHAnsi"/>
        </w:rPr>
      </w:pPr>
      <w:r w:rsidRPr="00973839">
        <w:rPr>
          <w:rFonts w:ascii="Garamond" w:hAnsi="Garamond" w:cstheme="minorHAnsi"/>
        </w:rPr>
        <w:t>T</w:t>
      </w:r>
      <w:r w:rsidR="00D05D35" w:rsidRPr="00973839">
        <w:rPr>
          <w:rFonts w:ascii="Garamond" w:hAnsi="Garamond" w:cstheme="minorHAnsi"/>
        </w:rPr>
        <w:t>his account</w:t>
      </w:r>
      <w:r w:rsidR="004615F8" w:rsidRPr="00973839">
        <w:rPr>
          <w:rFonts w:ascii="Garamond" w:hAnsi="Garamond" w:cstheme="minorHAnsi"/>
        </w:rPr>
        <w:t xml:space="preserve">, then, </w:t>
      </w:r>
      <w:r w:rsidR="001C3BAB" w:rsidRPr="00973839">
        <w:rPr>
          <w:rFonts w:ascii="Garamond" w:hAnsi="Garamond" w:cstheme="minorHAnsi"/>
        </w:rPr>
        <w:t>claims</w:t>
      </w:r>
      <w:r w:rsidR="004615F8" w:rsidRPr="00973839">
        <w:rPr>
          <w:rFonts w:ascii="Garamond" w:hAnsi="Garamond" w:cstheme="minorHAnsi"/>
        </w:rPr>
        <w:t xml:space="preserve"> that</w:t>
      </w:r>
      <w:r w:rsidR="001C3BAB" w:rsidRPr="00973839">
        <w:rPr>
          <w:rFonts w:ascii="Garamond" w:hAnsi="Garamond" w:cstheme="minorHAnsi"/>
        </w:rPr>
        <w:t xml:space="preserve"> faith involves a</w:t>
      </w:r>
      <w:r w:rsidR="00D05D35" w:rsidRPr="00973839">
        <w:rPr>
          <w:rFonts w:ascii="Garamond" w:hAnsi="Garamond" w:cstheme="minorHAnsi"/>
        </w:rPr>
        <w:t xml:space="preserve"> disposition to retain one’s long-term co</w:t>
      </w:r>
      <w:r w:rsidR="00567A9F" w:rsidRPr="00973839">
        <w:rPr>
          <w:rFonts w:ascii="Garamond" w:hAnsi="Garamond" w:cstheme="minorHAnsi"/>
        </w:rPr>
        <w:t>mmitments to plans and projects</w:t>
      </w:r>
      <w:r w:rsidR="00C8530C" w:rsidRPr="00973839">
        <w:rPr>
          <w:rFonts w:ascii="Garamond" w:hAnsi="Garamond" w:cstheme="minorHAnsi"/>
        </w:rPr>
        <w:t>,</w:t>
      </w:r>
      <w:r w:rsidR="00D05D35" w:rsidRPr="00973839">
        <w:rPr>
          <w:rFonts w:ascii="Garamond" w:hAnsi="Garamond" w:cstheme="minorHAnsi"/>
        </w:rPr>
        <w:t xml:space="preserve"> and</w:t>
      </w:r>
      <w:r w:rsidR="008E4508" w:rsidRPr="00973839">
        <w:rPr>
          <w:rFonts w:ascii="Garamond" w:hAnsi="Garamond" w:cstheme="minorHAnsi"/>
        </w:rPr>
        <w:t xml:space="preserve"> </w:t>
      </w:r>
      <w:r w:rsidR="001C3BAB" w:rsidRPr="00973839">
        <w:rPr>
          <w:rFonts w:ascii="Garamond" w:hAnsi="Garamond" w:cstheme="minorHAnsi"/>
        </w:rPr>
        <w:t>involves</w:t>
      </w:r>
      <w:r w:rsidR="00D05D35" w:rsidRPr="00973839">
        <w:rPr>
          <w:rFonts w:ascii="Garamond" w:hAnsi="Garamond" w:cstheme="minorHAnsi"/>
        </w:rPr>
        <w:t xml:space="preserve"> </w:t>
      </w:r>
      <w:r w:rsidR="008E4508" w:rsidRPr="00973839">
        <w:rPr>
          <w:rFonts w:ascii="Garamond" w:hAnsi="Garamond" w:cstheme="minorHAnsi"/>
        </w:rPr>
        <w:t>a</w:t>
      </w:r>
      <w:r w:rsidR="00D05D35" w:rsidRPr="00973839">
        <w:rPr>
          <w:rFonts w:ascii="Garamond" w:hAnsi="Garamond" w:cstheme="minorHAnsi"/>
        </w:rPr>
        <w:t xml:space="preserve"> disposition to persist</w:t>
      </w:r>
      <w:r w:rsidR="009D340A" w:rsidRPr="00973839">
        <w:rPr>
          <w:rFonts w:ascii="Garamond" w:hAnsi="Garamond" w:cstheme="minorHAnsi"/>
        </w:rPr>
        <w:t xml:space="preserve"> with these commitments</w:t>
      </w:r>
      <w:r w:rsidR="00D05D35" w:rsidRPr="00973839">
        <w:rPr>
          <w:rFonts w:ascii="Garamond" w:hAnsi="Garamond" w:cstheme="minorHAnsi"/>
        </w:rPr>
        <w:t xml:space="preserve"> in the face of difficulties</w:t>
      </w:r>
      <w:r w:rsidR="008E4508" w:rsidRPr="00973839">
        <w:rPr>
          <w:rFonts w:ascii="Garamond" w:hAnsi="Garamond" w:cstheme="minorHAnsi"/>
        </w:rPr>
        <w:t xml:space="preserve"> in achieving </w:t>
      </w:r>
      <w:r w:rsidR="009D340A" w:rsidRPr="00973839">
        <w:rPr>
          <w:rFonts w:ascii="Garamond" w:hAnsi="Garamond" w:cstheme="minorHAnsi"/>
        </w:rPr>
        <w:t>them</w:t>
      </w:r>
      <w:r w:rsidR="00D05D35" w:rsidRPr="00973839">
        <w:rPr>
          <w:rFonts w:ascii="Garamond" w:hAnsi="Garamond" w:cstheme="minorHAnsi"/>
        </w:rPr>
        <w:t>.</w:t>
      </w:r>
      <w:r w:rsidR="008E4508" w:rsidRPr="00973839">
        <w:rPr>
          <w:rFonts w:ascii="Garamond" w:hAnsi="Garamond" w:cstheme="minorHAnsi"/>
        </w:rPr>
        <w:t xml:space="preserve"> </w:t>
      </w:r>
      <w:r w:rsidRPr="00973839">
        <w:rPr>
          <w:rFonts w:ascii="Garamond" w:hAnsi="Garamond" w:cstheme="minorHAnsi"/>
        </w:rPr>
        <w:t xml:space="preserve">Similarly to this, </w:t>
      </w:r>
      <w:r w:rsidR="00D05D35" w:rsidRPr="00973839">
        <w:rPr>
          <w:rFonts w:ascii="Garamond" w:hAnsi="Garamond" w:cstheme="minorHAnsi"/>
        </w:rPr>
        <w:t>Daniel Howard-Snyder</w:t>
      </w:r>
      <w:r w:rsidR="001C3BAB" w:rsidRPr="00973839">
        <w:rPr>
          <w:rFonts w:ascii="Garamond" w:hAnsi="Garamond" w:cstheme="minorHAnsi"/>
        </w:rPr>
        <w:t xml:space="preserve"> has argued that</w:t>
      </w:r>
      <w:r w:rsidR="004C3B6B" w:rsidRPr="00973839">
        <w:rPr>
          <w:rFonts w:ascii="Garamond" w:hAnsi="Garamond" w:cstheme="minorHAnsi"/>
        </w:rPr>
        <w:t xml:space="preserve"> </w:t>
      </w:r>
      <w:r w:rsidR="008E4508" w:rsidRPr="00973839">
        <w:rPr>
          <w:rFonts w:ascii="Garamond" w:hAnsi="Garamond" w:cstheme="minorHAnsi"/>
        </w:rPr>
        <w:t>faith</w:t>
      </w:r>
      <w:r w:rsidRPr="00973839">
        <w:rPr>
          <w:rFonts w:ascii="Garamond" w:hAnsi="Garamond" w:cstheme="minorHAnsi"/>
        </w:rPr>
        <w:t xml:space="preserve"> </w:t>
      </w:r>
      <w:r w:rsidR="001C3BAB" w:rsidRPr="00973839">
        <w:rPr>
          <w:rFonts w:ascii="Garamond" w:hAnsi="Garamond" w:cstheme="minorHAnsi"/>
        </w:rPr>
        <w:t>requires</w:t>
      </w:r>
      <w:r w:rsidR="008E4508" w:rsidRPr="00973839">
        <w:rPr>
          <w:rFonts w:ascii="Garamond" w:hAnsi="Garamond" w:cstheme="minorHAnsi"/>
        </w:rPr>
        <w:t xml:space="preserve"> ‘resilience</w:t>
      </w:r>
      <w:r w:rsidRPr="00973839">
        <w:rPr>
          <w:rFonts w:ascii="Garamond" w:hAnsi="Garamond" w:cstheme="minorHAnsi"/>
        </w:rPr>
        <w:t>’ (2013; 2017), and</w:t>
      </w:r>
      <w:r w:rsidR="001C3BAB" w:rsidRPr="00973839">
        <w:rPr>
          <w:rFonts w:ascii="Garamond" w:hAnsi="Garamond" w:cstheme="minorHAnsi"/>
        </w:rPr>
        <w:t xml:space="preserve"> claims that this </w:t>
      </w:r>
      <w:r w:rsidR="008E4508" w:rsidRPr="00973839">
        <w:rPr>
          <w:rFonts w:ascii="Garamond" w:hAnsi="Garamond" w:cstheme="minorHAnsi"/>
        </w:rPr>
        <w:t>is</w:t>
      </w:r>
      <w:r w:rsidR="001C3BAB" w:rsidRPr="00973839">
        <w:rPr>
          <w:rFonts w:ascii="Garamond" w:hAnsi="Garamond" w:cstheme="minorHAnsi"/>
        </w:rPr>
        <w:t xml:space="preserve"> a</w:t>
      </w:r>
      <w:r w:rsidR="008E4508" w:rsidRPr="00973839">
        <w:rPr>
          <w:rFonts w:ascii="Garamond" w:hAnsi="Garamond" w:cstheme="minorHAnsi"/>
        </w:rPr>
        <w:t xml:space="preserve"> matter of having </w:t>
      </w:r>
      <w:r w:rsidR="00D05D35" w:rsidRPr="00973839">
        <w:rPr>
          <w:rFonts w:ascii="Garamond" w:hAnsi="Garamond" w:cstheme="minorHAnsi"/>
        </w:rPr>
        <w:t>‘resilience in the face of new</w:t>
      </w:r>
      <w:r w:rsidR="005C5B67" w:rsidRPr="00973839">
        <w:rPr>
          <w:rFonts w:ascii="Garamond" w:hAnsi="Garamond" w:cstheme="minorHAnsi"/>
        </w:rPr>
        <w:t xml:space="preserve"> contrary evidence’ (2013, 368).</w:t>
      </w:r>
      <w:r w:rsidRPr="00973839">
        <w:rPr>
          <w:rStyle w:val="FootnoteReference"/>
          <w:rFonts w:ascii="Garamond" w:hAnsi="Garamond" w:cstheme="minorHAnsi"/>
        </w:rPr>
        <w:footnoteReference w:id="14"/>
      </w:r>
      <w:r w:rsidR="00D72CDC" w:rsidRPr="00973839">
        <w:rPr>
          <w:rFonts w:ascii="Garamond" w:hAnsi="Garamond" w:cstheme="minorHAnsi"/>
        </w:rPr>
        <w:t xml:space="preserve"> On a similar score</w:t>
      </w:r>
      <w:r w:rsidR="007841E1" w:rsidRPr="00973839">
        <w:rPr>
          <w:rFonts w:ascii="Garamond" w:hAnsi="Garamond" w:cstheme="minorHAnsi"/>
        </w:rPr>
        <w:t xml:space="preserve">, Lara </w:t>
      </w:r>
      <w:proofErr w:type="spellStart"/>
      <w:r w:rsidR="007841E1" w:rsidRPr="00973839">
        <w:rPr>
          <w:rFonts w:ascii="Garamond" w:hAnsi="Garamond" w:cstheme="minorHAnsi"/>
        </w:rPr>
        <w:t>Buchak</w:t>
      </w:r>
      <w:proofErr w:type="spellEnd"/>
      <w:r w:rsidR="007841E1" w:rsidRPr="00973839">
        <w:rPr>
          <w:rFonts w:ascii="Garamond" w:hAnsi="Garamond" w:cstheme="minorHAnsi"/>
        </w:rPr>
        <w:t xml:space="preserve"> fills out her account of </w:t>
      </w:r>
      <w:r w:rsidR="004C3B6B" w:rsidRPr="00973839">
        <w:rPr>
          <w:rFonts w:ascii="Garamond" w:hAnsi="Garamond" w:cstheme="minorHAnsi"/>
        </w:rPr>
        <w:t>‘</w:t>
      </w:r>
      <w:r w:rsidR="007841E1" w:rsidRPr="00973839">
        <w:rPr>
          <w:rFonts w:ascii="Garamond" w:hAnsi="Garamond" w:cstheme="minorHAnsi"/>
        </w:rPr>
        <w:t>steadfastness in the face of counter-evidence</w:t>
      </w:r>
      <w:r w:rsidR="004C3B6B" w:rsidRPr="00973839">
        <w:rPr>
          <w:rFonts w:ascii="Garamond" w:hAnsi="Garamond" w:cstheme="minorHAnsi"/>
        </w:rPr>
        <w:t>’</w:t>
      </w:r>
      <w:r w:rsidR="007841E1" w:rsidRPr="00973839">
        <w:rPr>
          <w:rFonts w:ascii="Garamond" w:hAnsi="Garamond" w:cstheme="minorHAnsi"/>
        </w:rPr>
        <w:t xml:space="preserve"> by the condition that ‘faith requires that one maintain the commitment to act on the claim one has faith in, even in the face of counter-evidence’ </w:t>
      </w:r>
      <w:r w:rsidR="007841E1" w:rsidRPr="00973839">
        <w:rPr>
          <w:rFonts w:ascii="Garamond" w:hAnsi="Garamond" w:cstheme="minorHAnsi"/>
        </w:rPr>
        <w:lastRenderedPageBreak/>
        <w:t>(2017, 113-14). Again, we have some disposition towards persisting with one’s faith</w:t>
      </w:r>
      <w:r w:rsidRPr="00973839">
        <w:rPr>
          <w:rFonts w:ascii="Garamond" w:hAnsi="Garamond" w:cstheme="minorHAnsi"/>
        </w:rPr>
        <w:t xml:space="preserve"> – steadfastness – </w:t>
      </w:r>
      <w:r w:rsidR="007841E1" w:rsidRPr="00973839">
        <w:rPr>
          <w:rFonts w:ascii="Garamond" w:hAnsi="Garamond" w:cstheme="minorHAnsi"/>
        </w:rPr>
        <w:t>and specifically, a disposition to persist when facing counter-evidence.</w:t>
      </w:r>
      <w:r w:rsidR="00CD6663" w:rsidRPr="00973839">
        <w:rPr>
          <w:rStyle w:val="FootnoteReference"/>
          <w:rFonts w:ascii="Garamond" w:hAnsi="Garamond" w:cstheme="minorHAnsi"/>
        </w:rPr>
        <w:footnoteReference w:id="15"/>
      </w:r>
      <w:r w:rsidR="007841E1" w:rsidRPr="00973839">
        <w:rPr>
          <w:rFonts w:ascii="Garamond" w:hAnsi="Garamond" w:cstheme="minorHAnsi"/>
        </w:rPr>
        <w:t xml:space="preserve"> </w:t>
      </w:r>
    </w:p>
    <w:p w14:paraId="1C883706" w14:textId="671C6B69" w:rsidR="00D05D35" w:rsidRPr="00973839" w:rsidRDefault="007841E1" w:rsidP="00973839">
      <w:pPr>
        <w:spacing w:after="120"/>
        <w:ind w:firstLine="720"/>
        <w:jc w:val="both"/>
        <w:rPr>
          <w:rFonts w:ascii="Garamond" w:hAnsi="Garamond" w:cstheme="minorHAnsi"/>
        </w:rPr>
      </w:pPr>
      <w:r w:rsidRPr="00973839">
        <w:rPr>
          <w:rFonts w:ascii="Garamond" w:hAnsi="Garamond" w:cstheme="minorHAnsi"/>
        </w:rPr>
        <w:t>The disposition articulated by these accounts of faith naturally connects to the value of faith, as</w:t>
      </w:r>
      <w:r w:rsidR="005C5B67" w:rsidRPr="00973839">
        <w:rPr>
          <w:rFonts w:ascii="Garamond" w:hAnsi="Garamond" w:cstheme="minorHAnsi"/>
        </w:rPr>
        <w:t xml:space="preserve"> Daniel </w:t>
      </w:r>
      <w:proofErr w:type="spellStart"/>
      <w:r w:rsidR="005C5B67" w:rsidRPr="00973839">
        <w:rPr>
          <w:rFonts w:ascii="Garamond" w:hAnsi="Garamond" w:cstheme="minorHAnsi"/>
        </w:rPr>
        <w:t>McKaughan</w:t>
      </w:r>
      <w:proofErr w:type="spellEnd"/>
      <w:r w:rsidR="004C3B6B" w:rsidRPr="00973839">
        <w:rPr>
          <w:rFonts w:ascii="Garamond" w:hAnsi="Garamond" w:cstheme="minorHAnsi"/>
        </w:rPr>
        <w:t xml:space="preserve"> states as part of his</w:t>
      </w:r>
      <w:r w:rsidRPr="00973839">
        <w:rPr>
          <w:rFonts w:ascii="Garamond" w:hAnsi="Garamond" w:cstheme="minorHAnsi"/>
        </w:rPr>
        <w:t xml:space="preserve"> account</w:t>
      </w:r>
      <w:r w:rsidR="004C3B6B" w:rsidRPr="00973839">
        <w:rPr>
          <w:rFonts w:ascii="Garamond" w:hAnsi="Garamond" w:cstheme="minorHAnsi"/>
        </w:rPr>
        <w:t xml:space="preserve"> of relational faith</w:t>
      </w:r>
      <w:r w:rsidRPr="00973839">
        <w:rPr>
          <w:rFonts w:ascii="Garamond" w:hAnsi="Garamond" w:cstheme="minorHAnsi"/>
        </w:rPr>
        <w:t>:</w:t>
      </w:r>
    </w:p>
    <w:p w14:paraId="4D8F84D6" w14:textId="4307EE82" w:rsidR="005C5B67" w:rsidRPr="00973839" w:rsidRDefault="005C5B67" w:rsidP="00973839">
      <w:pPr>
        <w:spacing w:after="120"/>
        <w:ind w:left="567" w:right="521"/>
        <w:jc w:val="both"/>
        <w:rPr>
          <w:rFonts w:ascii="Garamond" w:hAnsi="Garamond" w:cstheme="minorHAnsi"/>
          <w:sz w:val="23"/>
          <w:szCs w:val="23"/>
        </w:rPr>
      </w:pPr>
      <w:r w:rsidRPr="00973839">
        <w:rPr>
          <w:rFonts w:ascii="Garamond" w:hAnsi="Garamond" w:cstheme="minorHAnsi"/>
          <w:sz w:val="23"/>
          <w:szCs w:val="23"/>
        </w:rPr>
        <w:t xml:space="preserve">what is most distinctively valuable about </w:t>
      </w:r>
      <w:r w:rsidRPr="00973839">
        <w:rPr>
          <w:rFonts w:ascii="Garamond" w:hAnsi="Garamond" w:cstheme="minorHAnsi"/>
          <w:i/>
          <w:sz w:val="23"/>
          <w:szCs w:val="23"/>
        </w:rPr>
        <w:t>relational faith</w:t>
      </w:r>
      <w:r w:rsidRPr="00973839">
        <w:rPr>
          <w:rFonts w:ascii="Garamond" w:hAnsi="Garamond" w:cstheme="minorHAnsi"/>
          <w:sz w:val="23"/>
          <w:szCs w:val="23"/>
        </w:rPr>
        <w:t xml:space="preserve"> in (sic) a characteristic </w:t>
      </w:r>
      <w:r w:rsidRPr="00973839">
        <w:rPr>
          <w:rFonts w:ascii="Garamond" w:hAnsi="Garamond" w:cstheme="minorHAnsi"/>
          <w:i/>
          <w:sz w:val="23"/>
          <w:szCs w:val="23"/>
        </w:rPr>
        <w:t>perseverance</w:t>
      </w:r>
      <w:r w:rsidRPr="00973839">
        <w:rPr>
          <w:rFonts w:ascii="Garamond" w:hAnsi="Garamond" w:cstheme="minorHAnsi"/>
          <w:sz w:val="23"/>
          <w:szCs w:val="23"/>
        </w:rPr>
        <w:t xml:space="preserve"> which plays a role in sustaining relationships through various kinds of challenges, </w:t>
      </w:r>
      <w:r w:rsidRPr="00973839">
        <w:rPr>
          <w:rFonts w:ascii="Garamond" w:hAnsi="Garamond" w:cstheme="minorHAnsi"/>
          <w:i/>
          <w:sz w:val="23"/>
          <w:szCs w:val="23"/>
        </w:rPr>
        <w:t xml:space="preserve">including through intellectually </w:t>
      </w:r>
      <w:proofErr w:type="spellStart"/>
      <w:r w:rsidRPr="00973839">
        <w:rPr>
          <w:rFonts w:ascii="Garamond" w:hAnsi="Garamond" w:cstheme="minorHAnsi"/>
          <w:i/>
          <w:sz w:val="23"/>
          <w:szCs w:val="23"/>
        </w:rPr>
        <w:t>unfavorable</w:t>
      </w:r>
      <w:proofErr w:type="spellEnd"/>
      <w:r w:rsidRPr="00973839">
        <w:rPr>
          <w:rFonts w:ascii="Garamond" w:hAnsi="Garamond" w:cstheme="minorHAnsi"/>
          <w:i/>
          <w:sz w:val="23"/>
          <w:szCs w:val="23"/>
        </w:rPr>
        <w:t xml:space="preserve"> circumstances and significant periods of doubt</w:t>
      </w:r>
      <w:r w:rsidRPr="00973839">
        <w:rPr>
          <w:rFonts w:ascii="Garamond" w:hAnsi="Garamond" w:cstheme="minorHAnsi"/>
          <w:sz w:val="23"/>
          <w:szCs w:val="23"/>
        </w:rPr>
        <w:t>. (</w:t>
      </w:r>
      <w:proofErr w:type="spellStart"/>
      <w:r w:rsidRPr="00973839">
        <w:rPr>
          <w:rFonts w:ascii="Garamond" w:hAnsi="Garamond" w:cstheme="minorHAnsi"/>
          <w:sz w:val="23"/>
          <w:szCs w:val="23"/>
        </w:rPr>
        <w:t>McKaughan</w:t>
      </w:r>
      <w:proofErr w:type="spellEnd"/>
      <w:r w:rsidRPr="00973839">
        <w:rPr>
          <w:rFonts w:ascii="Garamond" w:hAnsi="Garamond" w:cstheme="minorHAnsi"/>
          <w:sz w:val="23"/>
          <w:szCs w:val="23"/>
        </w:rPr>
        <w:t xml:space="preserve"> 2017, 28</w:t>
      </w:r>
      <w:r w:rsidR="001401C4" w:rsidRPr="00973839">
        <w:rPr>
          <w:rFonts w:ascii="Garamond" w:hAnsi="Garamond" w:cstheme="minorHAnsi"/>
          <w:sz w:val="23"/>
          <w:szCs w:val="23"/>
        </w:rPr>
        <w:t>, emphasis added</w:t>
      </w:r>
      <w:r w:rsidRPr="00973839">
        <w:rPr>
          <w:rFonts w:ascii="Garamond" w:hAnsi="Garamond" w:cstheme="minorHAnsi"/>
          <w:sz w:val="23"/>
          <w:szCs w:val="23"/>
        </w:rPr>
        <w:t>)</w:t>
      </w:r>
    </w:p>
    <w:p w14:paraId="329BDA5A" w14:textId="37BD1DAA" w:rsidR="005C5B67" w:rsidRPr="00973839" w:rsidRDefault="005C5B67" w:rsidP="00973839">
      <w:pPr>
        <w:jc w:val="both"/>
        <w:rPr>
          <w:rFonts w:ascii="Garamond" w:hAnsi="Garamond" w:cstheme="minorHAnsi"/>
        </w:rPr>
      </w:pPr>
      <w:r w:rsidRPr="00973839">
        <w:rPr>
          <w:rFonts w:ascii="Garamond" w:hAnsi="Garamond" w:cstheme="minorHAnsi"/>
        </w:rPr>
        <w:t xml:space="preserve">The idea that faith is valuable because it is perseverant can be seen clearly in cases of friendship. </w:t>
      </w:r>
      <w:r w:rsidR="00BF181A" w:rsidRPr="00973839">
        <w:rPr>
          <w:rFonts w:ascii="Garamond" w:hAnsi="Garamond" w:cstheme="minorHAnsi"/>
        </w:rPr>
        <w:t>If I have faith in a friend to have success in her new business venture, then</w:t>
      </w:r>
      <w:r w:rsidR="00D72CDC" w:rsidRPr="00973839">
        <w:rPr>
          <w:rFonts w:ascii="Garamond" w:hAnsi="Garamond" w:cstheme="minorHAnsi"/>
        </w:rPr>
        <w:t xml:space="preserve"> this faith will</w:t>
      </w:r>
      <w:r w:rsidR="00BF181A" w:rsidRPr="00973839">
        <w:rPr>
          <w:rFonts w:ascii="Garamond" w:hAnsi="Garamond" w:cstheme="minorHAnsi"/>
        </w:rPr>
        <w:t xml:space="preserve"> be valuable </w:t>
      </w:r>
      <w:r w:rsidR="00D72CDC" w:rsidRPr="00973839">
        <w:rPr>
          <w:rFonts w:ascii="Garamond" w:hAnsi="Garamond" w:cstheme="minorHAnsi"/>
        </w:rPr>
        <w:t>i</w:t>
      </w:r>
      <w:r w:rsidR="007841E1" w:rsidRPr="00973839">
        <w:rPr>
          <w:rFonts w:ascii="Garamond" w:hAnsi="Garamond" w:cstheme="minorHAnsi"/>
        </w:rPr>
        <w:t>f</w:t>
      </w:r>
      <w:r w:rsidR="00D72CDC" w:rsidRPr="00973839">
        <w:rPr>
          <w:rFonts w:ascii="Garamond" w:hAnsi="Garamond" w:cstheme="minorHAnsi"/>
        </w:rPr>
        <w:t xml:space="preserve"> it</w:t>
      </w:r>
      <w:r w:rsidR="00BF181A" w:rsidRPr="00973839">
        <w:rPr>
          <w:rFonts w:ascii="Garamond" w:hAnsi="Garamond" w:cstheme="minorHAnsi"/>
        </w:rPr>
        <w:t xml:space="preserve"> persevere</w:t>
      </w:r>
      <w:r w:rsidR="00D72CDC" w:rsidRPr="00973839">
        <w:rPr>
          <w:rFonts w:ascii="Garamond" w:hAnsi="Garamond" w:cstheme="minorHAnsi"/>
        </w:rPr>
        <w:t>s</w:t>
      </w:r>
      <w:r w:rsidR="00BF181A" w:rsidRPr="00973839">
        <w:rPr>
          <w:rFonts w:ascii="Garamond" w:hAnsi="Garamond" w:cstheme="minorHAnsi"/>
        </w:rPr>
        <w:t xml:space="preserve"> at times when the business appears to be struggling</w:t>
      </w:r>
      <w:r w:rsidR="00D72CDC" w:rsidRPr="00973839">
        <w:rPr>
          <w:rFonts w:ascii="Garamond" w:hAnsi="Garamond" w:cstheme="minorHAnsi"/>
        </w:rPr>
        <w:t>. This is</w:t>
      </w:r>
      <w:r w:rsidR="00BF181A" w:rsidRPr="00973839">
        <w:rPr>
          <w:rFonts w:ascii="Garamond" w:hAnsi="Garamond" w:cstheme="minorHAnsi"/>
        </w:rPr>
        <w:t xml:space="preserve"> because I can </w:t>
      </w:r>
      <w:r w:rsidR="00D72CDC" w:rsidRPr="00973839">
        <w:rPr>
          <w:rFonts w:ascii="Garamond" w:hAnsi="Garamond" w:cstheme="minorHAnsi"/>
        </w:rPr>
        <w:t xml:space="preserve">then </w:t>
      </w:r>
      <w:r w:rsidR="00BF181A" w:rsidRPr="00973839">
        <w:rPr>
          <w:rFonts w:ascii="Garamond" w:hAnsi="Garamond" w:cstheme="minorHAnsi"/>
        </w:rPr>
        <w:t>give my friend the support and encouragement she needs to get through this difficult period.</w:t>
      </w:r>
    </w:p>
    <w:p w14:paraId="29E437B4" w14:textId="0D7112C6" w:rsidR="00BF181A" w:rsidRPr="00973839" w:rsidRDefault="007841E1" w:rsidP="00973839">
      <w:pPr>
        <w:jc w:val="both"/>
        <w:rPr>
          <w:rFonts w:ascii="Garamond" w:hAnsi="Garamond" w:cstheme="minorHAnsi"/>
        </w:rPr>
      </w:pPr>
      <w:r w:rsidRPr="00973839">
        <w:rPr>
          <w:rFonts w:ascii="Garamond" w:hAnsi="Garamond" w:cstheme="minorHAnsi"/>
        </w:rPr>
        <w:tab/>
      </w:r>
      <w:r w:rsidR="00897D57" w:rsidRPr="00973839">
        <w:rPr>
          <w:rFonts w:ascii="Garamond" w:hAnsi="Garamond" w:cstheme="minorHAnsi"/>
        </w:rPr>
        <w:t>To summarise, t</w:t>
      </w:r>
      <w:r w:rsidRPr="00973839">
        <w:rPr>
          <w:rFonts w:ascii="Garamond" w:hAnsi="Garamond" w:cstheme="minorHAnsi"/>
        </w:rPr>
        <w:t xml:space="preserve">hese accounts of faith appear committed to three claims: </w:t>
      </w:r>
      <w:r w:rsidR="00BC59C1" w:rsidRPr="00973839">
        <w:rPr>
          <w:rFonts w:ascii="Garamond" w:hAnsi="Garamond" w:cstheme="minorHAnsi"/>
        </w:rPr>
        <w:t>(a)</w:t>
      </w:r>
      <w:r w:rsidRPr="00973839">
        <w:rPr>
          <w:rFonts w:ascii="Garamond" w:hAnsi="Garamond" w:cstheme="minorHAnsi"/>
        </w:rPr>
        <w:t xml:space="preserve"> faith requires a disposition to persist with one’s faith, variously described as retention (</w:t>
      </w:r>
      <w:proofErr w:type="spellStart"/>
      <w:r w:rsidRPr="00973839">
        <w:rPr>
          <w:rFonts w:ascii="Garamond" w:hAnsi="Garamond" w:cstheme="minorHAnsi"/>
        </w:rPr>
        <w:t>Kvanvig</w:t>
      </w:r>
      <w:proofErr w:type="spellEnd"/>
      <w:r w:rsidRPr="00973839">
        <w:rPr>
          <w:rFonts w:ascii="Garamond" w:hAnsi="Garamond" w:cstheme="minorHAnsi"/>
        </w:rPr>
        <w:t>), resilience (Howard-Snyder), steadfastness (</w:t>
      </w:r>
      <w:proofErr w:type="spellStart"/>
      <w:r w:rsidRPr="00973839">
        <w:rPr>
          <w:rFonts w:ascii="Garamond" w:hAnsi="Garamond" w:cstheme="minorHAnsi"/>
        </w:rPr>
        <w:t>Buchak</w:t>
      </w:r>
      <w:proofErr w:type="spellEnd"/>
      <w:r w:rsidRPr="00973839">
        <w:rPr>
          <w:rFonts w:ascii="Garamond" w:hAnsi="Garamond" w:cstheme="minorHAnsi"/>
        </w:rPr>
        <w:t>), and perseverance (</w:t>
      </w:r>
      <w:proofErr w:type="spellStart"/>
      <w:r w:rsidRPr="00973839">
        <w:rPr>
          <w:rFonts w:ascii="Garamond" w:hAnsi="Garamond" w:cstheme="minorHAnsi"/>
        </w:rPr>
        <w:t>McKaughan</w:t>
      </w:r>
      <w:proofErr w:type="spellEnd"/>
      <w:r w:rsidRPr="00973839">
        <w:rPr>
          <w:rFonts w:ascii="Garamond" w:hAnsi="Garamond" w:cstheme="minorHAnsi"/>
        </w:rPr>
        <w:t xml:space="preserve">); </w:t>
      </w:r>
      <w:r w:rsidR="005B6032" w:rsidRPr="00973839">
        <w:rPr>
          <w:rFonts w:ascii="Garamond" w:hAnsi="Garamond" w:cstheme="minorHAnsi"/>
        </w:rPr>
        <w:t>(b)</w:t>
      </w:r>
      <w:r w:rsidRPr="00973839">
        <w:rPr>
          <w:rFonts w:ascii="Garamond" w:hAnsi="Garamond" w:cstheme="minorHAnsi"/>
        </w:rPr>
        <w:t xml:space="preserve"> this is a disposition to persist with one’s faith when faced with challenges, difficulties and counter-evidence against one’s faith</w:t>
      </w:r>
      <w:r w:rsidR="005C79A2" w:rsidRPr="00973839">
        <w:rPr>
          <w:rFonts w:ascii="Garamond" w:hAnsi="Garamond" w:cstheme="minorHAnsi"/>
        </w:rPr>
        <w:t xml:space="preserve">; </w:t>
      </w:r>
      <w:r w:rsidR="005B6032" w:rsidRPr="00973839">
        <w:rPr>
          <w:rFonts w:ascii="Garamond" w:hAnsi="Garamond" w:cstheme="minorHAnsi"/>
        </w:rPr>
        <w:t>(c)</w:t>
      </w:r>
      <w:r w:rsidR="005C79A2" w:rsidRPr="00973839">
        <w:rPr>
          <w:rFonts w:ascii="Garamond" w:hAnsi="Garamond" w:cstheme="minorHAnsi"/>
        </w:rPr>
        <w:t xml:space="preserve"> this disposition makes faith valuable.</w:t>
      </w:r>
      <w:r w:rsidR="00097BD0" w:rsidRPr="00973839">
        <w:rPr>
          <w:rStyle w:val="FootnoteReference"/>
          <w:rFonts w:ascii="Garamond" w:hAnsi="Garamond" w:cstheme="minorHAnsi"/>
        </w:rPr>
        <w:footnoteReference w:id="16"/>
      </w:r>
    </w:p>
    <w:p w14:paraId="7D183853" w14:textId="598B69A3" w:rsidR="00580EE0" w:rsidRPr="00973839" w:rsidRDefault="005C79A2" w:rsidP="00973839">
      <w:pPr>
        <w:jc w:val="both"/>
        <w:rPr>
          <w:rFonts w:ascii="Garamond" w:hAnsi="Garamond" w:cstheme="minorHAnsi"/>
        </w:rPr>
      </w:pPr>
      <w:r w:rsidRPr="00973839">
        <w:rPr>
          <w:rFonts w:ascii="Garamond" w:hAnsi="Garamond" w:cstheme="minorHAnsi"/>
        </w:rPr>
        <w:tab/>
      </w:r>
      <w:r w:rsidR="00580EE0" w:rsidRPr="00973839">
        <w:rPr>
          <w:rFonts w:ascii="Garamond" w:hAnsi="Garamond" w:cstheme="minorHAnsi"/>
        </w:rPr>
        <w:t xml:space="preserve">Note how (a) is sometimes given only as a disposition to retain faith in the face of counter-evidence (e.g. Howard-Snyder and </w:t>
      </w:r>
      <w:proofErr w:type="spellStart"/>
      <w:r w:rsidR="00580EE0" w:rsidRPr="00973839">
        <w:rPr>
          <w:rFonts w:ascii="Garamond" w:hAnsi="Garamond" w:cstheme="minorHAnsi"/>
        </w:rPr>
        <w:t>Buchak</w:t>
      </w:r>
      <w:proofErr w:type="spellEnd"/>
      <w:r w:rsidR="00580EE0" w:rsidRPr="00973839">
        <w:rPr>
          <w:rFonts w:ascii="Garamond" w:hAnsi="Garamond" w:cstheme="minorHAnsi"/>
        </w:rPr>
        <w:t>). However, such a construal of th</w:t>
      </w:r>
      <w:r w:rsidR="00CD6663" w:rsidRPr="00973839">
        <w:rPr>
          <w:rFonts w:ascii="Garamond" w:hAnsi="Garamond" w:cstheme="minorHAnsi"/>
        </w:rPr>
        <w:t>is</w:t>
      </w:r>
      <w:r w:rsidR="00580EE0" w:rsidRPr="00973839">
        <w:rPr>
          <w:rFonts w:ascii="Garamond" w:hAnsi="Garamond" w:cstheme="minorHAnsi"/>
        </w:rPr>
        <w:t xml:space="preserve"> disposition is too narrow. Opposition to one’s faith does not </w:t>
      </w:r>
      <w:r w:rsidR="00580EE0" w:rsidRPr="00973839">
        <w:rPr>
          <w:rFonts w:ascii="Garamond" w:hAnsi="Garamond" w:cstheme="minorHAnsi"/>
          <w:i/>
        </w:rPr>
        <w:t>always</w:t>
      </w:r>
      <w:r w:rsidR="00580EE0" w:rsidRPr="00973839">
        <w:rPr>
          <w:rFonts w:ascii="Garamond" w:hAnsi="Garamond" w:cstheme="minorHAnsi"/>
        </w:rPr>
        <w:t xml:space="preserve"> come in the form of conflicting evidence. It can come in various forms: sometimes this is evidential, but sometimes it is not. Imagine someone who lives in a country that persecutes people for having her faith. Her faith may persevere in the face of these practical challenges, but they aren’t evidential. Practical challenges come in other forms too. Someone who has faith that he will become an excellent doctor will face the challenge of needing to write a persuasive application that will secure him a place to study medicine at university. This is a practical obstacle to his faith, rather than one in the form of conflicting evidence.</w:t>
      </w:r>
      <w:r w:rsidR="00580EE0" w:rsidRPr="00973839">
        <w:rPr>
          <w:rFonts w:ascii="Garamond" w:hAnsi="Garamond" w:cstheme="minorHAnsi"/>
          <w:b/>
          <w:i/>
        </w:rPr>
        <w:t xml:space="preserve"> </w:t>
      </w:r>
      <w:r w:rsidR="00580EE0" w:rsidRPr="00973839">
        <w:rPr>
          <w:rFonts w:ascii="Garamond" w:hAnsi="Garamond" w:cstheme="minorHAnsi"/>
        </w:rPr>
        <w:t xml:space="preserve">Even if it will often be the case that one’s faith faces challenges and opposition, these challenges and opposition will not always come in the form of counter-evidence. For this reason, faith is not disposed </w:t>
      </w:r>
      <w:r w:rsidR="00580EE0" w:rsidRPr="00973839">
        <w:rPr>
          <w:rFonts w:ascii="Garamond" w:hAnsi="Garamond" w:cstheme="minorHAnsi"/>
          <w:i/>
        </w:rPr>
        <w:t>only</w:t>
      </w:r>
      <w:r w:rsidR="00580EE0" w:rsidRPr="00973839">
        <w:rPr>
          <w:rFonts w:ascii="Garamond" w:hAnsi="Garamond" w:cstheme="minorHAnsi"/>
        </w:rPr>
        <w:t xml:space="preserve"> to go beyond or against the evidence.</w:t>
      </w:r>
    </w:p>
    <w:p w14:paraId="28DE7C32" w14:textId="16EB6FDF" w:rsidR="004E772A" w:rsidRPr="00973839" w:rsidRDefault="00580EE0" w:rsidP="00973839">
      <w:pPr>
        <w:ind w:firstLine="720"/>
        <w:jc w:val="both"/>
        <w:rPr>
          <w:rFonts w:ascii="Garamond" w:hAnsi="Garamond" w:cstheme="minorHAnsi"/>
        </w:rPr>
      </w:pPr>
      <w:r w:rsidRPr="00973839">
        <w:rPr>
          <w:rFonts w:ascii="Garamond" w:hAnsi="Garamond" w:cstheme="minorHAnsi"/>
        </w:rPr>
        <w:t xml:space="preserve">Despite this, the persistence disposition does </w:t>
      </w:r>
      <w:r w:rsidR="005B0D99" w:rsidRPr="00973839">
        <w:rPr>
          <w:rFonts w:ascii="Garamond" w:hAnsi="Garamond" w:cstheme="minorHAnsi"/>
        </w:rPr>
        <w:t xml:space="preserve">include the disposition to </w:t>
      </w:r>
      <w:r w:rsidRPr="00973839">
        <w:rPr>
          <w:rFonts w:ascii="Garamond" w:hAnsi="Garamond" w:cstheme="minorHAnsi"/>
        </w:rPr>
        <w:t xml:space="preserve">maintain faith in the face of counter-evidence. </w:t>
      </w:r>
      <w:r w:rsidR="00CD6663" w:rsidRPr="00973839">
        <w:rPr>
          <w:rFonts w:ascii="Garamond" w:hAnsi="Garamond" w:cstheme="minorHAnsi"/>
        </w:rPr>
        <w:t>Prima facie</w:t>
      </w:r>
      <w:r w:rsidR="00897D57" w:rsidRPr="00973839">
        <w:rPr>
          <w:rFonts w:ascii="Garamond" w:hAnsi="Garamond" w:cstheme="minorHAnsi"/>
        </w:rPr>
        <w:t>,</w:t>
      </w:r>
      <w:r w:rsidRPr="00973839">
        <w:rPr>
          <w:rFonts w:ascii="Garamond" w:hAnsi="Garamond" w:cstheme="minorHAnsi"/>
        </w:rPr>
        <w:t xml:space="preserve"> then,</w:t>
      </w:r>
      <w:r w:rsidR="005B6032" w:rsidRPr="00973839">
        <w:rPr>
          <w:rFonts w:ascii="Garamond" w:hAnsi="Garamond" w:cstheme="minorHAnsi"/>
        </w:rPr>
        <w:t xml:space="preserve"> (a) and (b) </w:t>
      </w:r>
      <w:r w:rsidR="00897D57" w:rsidRPr="00973839">
        <w:rPr>
          <w:rFonts w:ascii="Garamond" w:hAnsi="Garamond" w:cstheme="minorHAnsi"/>
        </w:rPr>
        <w:t xml:space="preserve">appear to </w:t>
      </w:r>
      <w:r w:rsidR="005B6032" w:rsidRPr="00973839">
        <w:rPr>
          <w:rFonts w:ascii="Garamond" w:hAnsi="Garamond" w:cstheme="minorHAnsi"/>
        </w:rPr>
        <w:t>provide us with a</w:t>
      </w:r>
      <w:r w:rsidR="008D5E50" w:rsidRPr="00973839">
        <w:rPr>
          <w:rFonts w:ascii="Garamond" w:hAnsi="Garamond" w:cstheme="minorHAnsi"/>
        </w:rPr>
        <w:t>n</w:t>
      </w:r>
      <w:r w:rsidR="005B6032" w:rsidRPr="00973839">
        <w:rPr>
          <w:rFonts w:ascii="Garamond" w:hAnsi="Garamond" w:cstheme="minorHAnsi"/>
        </w:rPr>
        <w:t xml:space="preserve"> argument for </w:t>
      </w:r>
      <w:r w:rsidR="008D4E8F" w:rsidRPr="00973839">
        <w:rPr>
          <w:rFonts w:ascii="Garamond" w:hAnsi="Garamond" w:cstheme="minorHAnsi"/>
        </w:rPr>
        <w:t>the view that faith disposes one to go beyond evidence</w:t>
      </w:r>
      <w:r w:rsidR="00897D57" w:rsidRPr="00973839">
        <w:rPr>
          <w:rFonts w:ascii="Garamond" w:hAnsi="Garamond" w:cstheme="minorHAnsi"/>
        </w:rPr>
        <w:t>.</w:t>
      </w:r>
      <w:r w:rsidR="004C3B6B" w:rsidRPr="00973839">
        <w:rPr>
          <w:rFonts w:ascii="Garamond" w:hAnsi="Garamond" w:cstheme="minorHAnsi"/>
        </w:rPr>
        <w:t xml:space="preserve"> </w:t>
      </w:r>
      <w:r w:rsidR="004E772A" w:rsidRPr="00973839">
        <w:rPr>
          <w:rFonts w:ascii="Garamond" w:hAnsi="Garamond" w:cstheme="minorHAnsi"/>
        </w:rPr>
        <w:t>Despite this appearance</w:t>
      </w:r>
      <w:r w:rsidR="003D5984" w:rsidRPr="00973839">
        <w:rPr>
          <w:rFonts w:ascii="Garamond" w:hAnsi="Garamond" w:cstheme="minorHAnsi"/>
        </w:rPr>
        <w:t>, however</w:t>
      </w:r>
      <w:r w:rsidR="004E772A" w:rsidRPr="00973839">
        <w:rPr>
          <w:rFonts w:ascii="Garamond" w:hAnsi="Garamond" w:cstheme="minorHAnsi"/>
        </w:rPr>
        <w:t xml:space="preserve">, </w:t>
      </w:r>
      <w:r w:rsidR="00010E6A" w:rsidRPr="00973839">
        <w:rPr>
          <w:rFonts w:ascii="Garamond" w:hAnsi="Garamond" w:cstheme="minorHAnsi"/>
        </w:rPr>
        <w:t>this conclusion is wrong</w:t>
      </w:r>
      <w:r w:rsidR="006F3F8C" w:rsidRPr="00973839">
        <w:rPr>
          <w:rFonts w:ascii="Garamond" w:hAnsi="Garamond" w:cstheme="minorHAnsi"/>
        </w:rPr>
        <w:t xml:space="preserve"> for </w:t>
      </w:r>
      <w:r w:rsidRPr="00973839">
        <w:rPr>
          <w:rFonts w:ascii="Garamond" w:hAnsi="Garamond" w:cstheme="minorHAnsi"/>
        </w:rPr>
        <w:t>an important reason</w:t>
      </w:r>
      <w:r w:rsidR="006F3F8C" w:rsidRPr="00973839">
        <w:rPr>
          <w:rFonts w:ascii="Garamond" w:hAnsi="Garamond" w:cstheme="minorHAnsi"/>
        </w:rPr>
        <w:t xml:space="preserve">. </w:t>
      </w:r>
      <w:r w:rsidRPr="00973839">
        <w:rPr>
          <w:rFonts w:ascii="Garamond" w:hAnsi="Garamond" w:cstheme="minorHAnsi"/>
        </w:rPr>
        <w:t>For, e</w:t>
      </w:r>
      <w:r w:rsidR="00CA3FA7" w:rsidRPr="00973839">
        <w:rPr>
          <w:rFonts w:ascii="Garamond" w:hAnsi="Garamond" w:cstheme="minorHAnsi"/>
        </w:rPr>
        <w:t>ven when someone’s faith persists in the face of counter-evidence, this persistence can be justified for that person, even if it would not be justified for someone else</w:t>
      </w:r>
      <w:r w:rsidR="006F3F8C" w:rsidRPr="00973839">
        <w:rPr>
          <w:rFonts w:ascii="Garamond" w:hAnsi="Garamond" w:cstheme="minorHAnsi"/>
        </w:rPr>
        <w:t>.</w:t>
      </w:r>
      <w:r w:rsidR="00CA3FA7" w:rsidRPr="00973839">
        <w:rPr>
          <w:rFonts w:ascii="Garamond" w:hAnsi="Garamond" w:cstheme="minorHAnsi"/>
        </w:rPr>
        <w:t xml:space="preserve"> </w:t>
      </w:r>
      <w:r w:rsidR="006F3F8C" w:rsidRPr="00973839">
        <w:rPr>
          <w:rFonts w:ascii="Garamond" w:hAnsi="Garamond" w:cstheme="minorHAnsi"/>
        </w:rPr>
        <w:t>H</w:t>
      </w:r>
      <w:r w:rsidR="00CA3FA7" w:rsidRPr="00973839">
        <w:rPr>
          <w:rFonts w:ascii="Garamond" w:hAnsi="Garamond" w:cstheme="minorHAnsi"/>
        </w:rPr>
        <w:t>ence</w:t>
      </w:r>
      <w:r w:rsidR="006F3F8C" w:rsidRPr="00973839">
        <w:rPr>
          <w:rFonts w:ascii="Garamond" w:hAnsi="Garamond" w:cstheme="minorHAnsi"/>
        </w:rPr>
        <w:t xml:space="preserve">, this person </w:t>
      </w:r>
      <w:r w:rsidR="00CA3FA7" w:rsidRPr="00973839">
        <w:rPr>
          <w:rFonts w:ascii="Garamond" w:hAnsi="Garamond" w:cstheme="minorHAnsi"/>
        </w:rPr>
        <w:t xml:space="preserve">goes </w:t>
      </w:r>
      <w:r w:rsidR="00CA3FA7" w:rsidRPr="00973839">
        <w:rPr>
          <w:rFonts w:ascii="Garamond" w:hAnsi="Garamond" w:cstheme="minorHAnsi"/>
          <w:i/>
        </w:rPr>
        <w:t>against</w:t>
      </w:r>
      <w:r w:rsidR="00CA3FA7" w:rsidRPr="00973839">
        <w:rPr>
          <w:rFonts w:ascii="Garamond" w:hAnsi="Garamond" w:cstheme="minorHAnsi"/>
        </w:rPr>
        <w:t xml:space="preserve">, rather than </w:t>
      </w:r>
      <w:r w:rsidR="00CA3FA7" w:rsidRPr="00973839">
        <w:rPr>
          <w:rFonts w:ascii="Garamond" w:hAnsi="Garamond" w:cstheme="minorHAnsi"/>
          <w:i/>
        </w:rPr>
        <w:t>beyond</w:t>
      </w:r>
      <w:r w:rsidR="00CA3FA7" w:rsidRPr="00973839">
        <w:rPr>
          <w:rFonts w:ascii="Garamond" w:hAnsi="Garamond" w:cstheme="minorHAnsi"/>
        </w:rPr>
        <w:t xml:space="preserve"> the evidence.</w:t>
      </w:r>
      <w:r w:rsidR="006F3F8C" w:rsidRPr="00973839">
        <w:rPr>
          <w:rFonts w:ascii="Garamond" w:hAnsi="Garamond" w:cstheme="minorHAnsi"/>
        </w:rPr>
        <w:t xml:space="preserve"> It would only follow</w:t>
      </w:r>
      <w:r w:rsidR="005B0D99" w:rsidRPr="00973839">
        <w:rPr>
          <w:rFonts w:ascii="Garamond" w:hAnsi="Garamond" w:cstheme="minorHAnsi"/>
        </w:rPr>
        <w:t>, from (a) and (b),</w:t>
      </w:r>
      <w:r w:rsidR="006F3F8C" w:rsidRPr="00973839">
        <w:rPr>
          <w:rFonts w:ascii="Garamond" w:hAnsi="Garamond" w:cstheme="minorHAnsi"/>
        </w:rPr>
        <w:t xml:space="preserve"> that faith disposes one to go against the evidence.</w:t>
      </w:r>
      <w:r w:rsidR="004E772A" w:rsidRPr="00973839">
        <w:rPr>
          <w:rFonts w:ascii="Garamond" w:hAnsi="Garamond" w:cstheme="minorHAnsi"/>
        </w:rPr>
        <w:t xml:space="preserve"> Let’s dwell on </w:t>
      </w:r>
      <w:r w:rsidR="005B0D99" w:rsidRPr="00973839">
        <w:rPr>
          <w:rFonts w:ascii="Garamond" w:hAnsi="Garamond" w:cstheme="minorHAnsi"/>
        </w:rPr>
        <w:t>this claim</w:t>
      </w:r>
      <w:r w:rsidR="004E772A" w:rsidRPr="00973839">
        <w:rPr>
          <w:rFonts w:ascii="Garamond" w:hAnsi="Garamond" w:cstheme="minorHAnsi"/>
        </w:rPr>
        <w:t xml:space="preserve"> for a moment.</w:t>
      </w:r>
    </w:p>
    <w:p w14:paraId="594B6D53" w14:textId="612F7FB9" w:rsidR="00F56E0F" w:rsidRPr="00973839" w:rsidRDefault="005B0D99" w:rsidP="00973839">
      <w:pPr>
        <w:ind w:firstLine="720"/>
        <w:jc w:val="both"/>
        <w:rPr>
          <w:rFonts w:ascii="Garamond" w:hAnsi="Garamond" w:cstheme="minorHAnsi"/>
        </w:rPr>
      </w:pPr>
      <w:r w:rsidRPr="00973839">
        <w:rPr>
          <w:rFonts w:ascii="Garamond" w:hAnsi="Garamond" w:cstheme="minorHAnsi"/>
        </w:rPr>
        <w:t>T</w:t>
      </w:r>
      <w:r w:rsidR="00546F10" w:rsidRPr="00973839">
        <w:rPr>
          <w:rFonts w:ascii="Garamond" w:hAnsi="Garamond" w:cstheme="minorHAnsi"/>
        </w:rPr>
        <w:t>o see why</w:t>
      </w:r>
      <w:r w:rsidRPr="00973839">
        <w:rPr>
          <w:rFonts w:ascii="Garamond" w:hAnsi="Garamond" w:cstheme="minorHAnsi"/>
        </w:rPr>
        <w:t xml:space="preserve"> (a) and (b) do not entail that faith is disposed to go beyond evidence,</w:t>
      </w:r>
      <w:r w:rsidR="00546F10" w:rsidRPr="00973839">
        <w:rPr>
          <w:rFonts w:ascii="Garamond" w:hAnsi="Garamond" w:cstheme="minorHAnsi"/>
        </w:rPr>
        <w:t xml:space="preserve"> we simply need to d</w:t>
      </w:r>
      <w:r w:rsidR="00F56E0F" w:rsidRPr="00973839">
        <w:rPr>
          <w:rFonts w:ascii="Garamond" w:hAnsi="Garamond" w:cstheme="minorHAnsi"/>
        </w:rPr>
        <w:t>raw on the arguments from §3</w:t>
      </w:r>
      <w:r w:rsidR="00546F10" w:rsidRPr="00973839">
        <w:rPr>
          <w:rFonts w:ascii="Garamond" w:hAnsi="Garamond" w:cstheme="minorHAnsi"/>
        </w:rPr>
        <w:t>. There we found that</w:t>
      </w:r>
      <w:r w:rsidR="00F56E0F" w:rsidRPr="00973839">
        <w:rPr>
          <w:rFonts w:ascii="Garamond" w:hAnsi="Garamond" w:cstheme="minorHAnsi"/>
        </w:rPr>
        <w:t xml:space="preserve"> it seems that there will be many </w:t>
      </w:r>
      <w:r w:rsidR="00F56E0F" w:rsidRPr="00973839">
        <w:rPr>
          <w:rFonts w:ascii="Garamond" w:hAnsi="Garamond" w:cstheme="minorHAnsi"/>
        </w:rPr>
        <w:lastRenderedPageBreak/>
        <w:t>cases of faith in which one has practical reasons that shift a person’s evidential threshold for belief revision. Consider the case in which someone has faith in her friend to achieve her career goal, but the evidence suggests that she won’t be able to achieve it. Suppose her goal is to become a judge, but only a very small proportion of the people with the requisite qualifications manage to become judges. Moreover, add that there is no significant reason to believe that this person will become a judge. Nevertheless, her friend still has faith that she will achieve her goal of becoming a judge and part of this faith is that she believes her friend will achieve her career goal. In this case, we might suppose that her faith in her friend is persistent in the senses given in (a), and that it persists despite conflicting evidence, as given in (b). She is resilient in the face of conflicting evidence, and it is her resilience that causes her to still believe that her friend will become a judge, even though the evidence warrants believing that she won’t become a judge.</w:t>
      </w:r>
    </w:p>
    <w:p w14:paraId="2400BFC8" w14:textId="3C12A3FF" w:rsidR="00F56E0F" w:rsidRPr="00973839" w:rsidRDefault="00F56E0F" w:rsidP="00973839">
      <w:pPr>
        <w:jc w:val="both"/>
        <w:rPr>
          <w:rFonts w:ascii="Garamond" w:hAnsi="Garamond" w:cstheme="minorHAnsi"/>
        </w:rPr>
      </w:pPr>
      <w:r w:rsidRPr="00973839">
        <w:rPr>
          <w:rFonts w:ascii="Garamond" w:hAnsi="Garamond" w:cstheme="minorHAnsi"/>
        </w:rPr>
        <w:tab/>
        <w:t xml:space="preserve">Now, should this case be interpreted as an instance of </w:t>
      </w:r>
      <w:r w:rsidRPr="00973839">
        <w:rPr>
          <w:rFonts w:ascii="Garamond" w:hAnsi="Garamond" w:cstheme="minorHAnsi"/>
          <w:sz w:val="22"/>
        </w:rPr>
        <w:t>BEYOND</w:t>
      </w:r>
      <w:r w:rsidRPr="00973839">
        <w:rPr>
          <w:rFonts w:ascii="Garamond" w:hAnsi="Garamond" w:cstheme="minorHAnsi"/>
        </w:rPr>
        <w:t xml:space="preserve">(d) or of </w:t>
      </w:r>
      <w:r w:rsidR="005B0D99" w:rsidRPr="00973839">
        <w:rPr>
          <w:rFonts w:ascii="Garamond" w:hAnsi="Garamond" w:cstheme="minorHAnsi"/>
        </w:rPr>
        <w:t xml:space="preserve">a </w:t>
      </w:r>
      <w:r w:rsidR="005B0D99" w:rsidRPr="00973839">
        <w:rPr>
          <w:rFonts w:ascii="Garamond" w:hAnsi="Garamond" w:cstheme="minorHAnsi"/>
          <w:sz w:val="22"/>
        </w:rPr>
        <w:t xml:space="preserve">PRACTICAL </w:t>
      </w:r>
      <w:r w:rsidR="005B0D99" w:rsidRPr="00973839">
        <w:rPr>
          <w:rFonts w:ascii="Garamond" w:hAnsi="Garamond" w:cstheme="minorHAnsi"/>
        </w:rPr>
        <w:t xml:space="preserve">instance of </w:t>
      </w:r>
      <w:r w:rsidRPr="00973839">
        <w:rPr>
          <w:rFonts w:ascii="Garamond" w:hAnsi="Garamond" w:cstheme="minorHAnsi"/>
          <w:sz w:val="22"/>
        </w:rPr>
        <w:t>AGAINST</w:t>
      </w:r>
      <w:r w:rsidRPr="00973839">
        <w:rPr>
          <w:rFonts w:ascii="Garamond" w:hAnsi="Garamond" w:cstheme="minorHAnsi"/>
        </w:rPr>
        <w:t xml:space="preserve">(d)? There are plausible reasons for thinking that </w:t>
      </w:r>
      <w:r w:rsidR="009C7A59" w:rsidRPr="00973839">
        <w:rPr>
          <w:rFonts w:ascii="Garamond" w:hAnsi="Garamond" w:cstheme="minorHAnsi"/>
        </w:rPr>
        <w:t xml:space="preserve">the friend is permitted to hold her faith-beliefs due to the moral features of her situation, namely, arising from the moral demands of friendship (Stroud 2006). Hence, even though faith disposes one to persist with one’s faith-beliefs in the face of counter-evidence, it doesn’t follow that if this happens, that the person’s faith is irrational – that it goes </w:t>
      </w:r>
      <w:r w:rsidR="009C7A59" w:rsidRPr="00973839">
        <w:rPr>
          <w:rFonts w:ascii="Garamond" w:hAnsi="Garamond" w:cstheme="minorHAnsi"/>
          <w:i/>
        </w:rPr>
        <w:t>beyond</w:t>
      </w:r>
      <w:r w:rsidR="009C7A59" w:rsidRPr="00973839">
        <w:rPr>
          <w:rFonts w:ascii="Garamond" w:hAnsi="Garamond" w:cstheme="minorHAnsi"/>
        </w:rPr>
        <w:t xml:space="preserve"> the evidence. The moral demands of faith play a role in altering the evidence required of that person for belief-revision.</w:t>
      </w:r>
      <w:r w:rsidR="00546F10" w:rsidRPr="00973839">
        <w:rPr>
          <w:rFonts w:ascii="Garamond" w:hAnsi="Garamond" w:cstheme="minorHAnsi"/>
        </w:rPr>
        <w:t xml:space="preserve"> Hence, although she has a disposition to persist with her faith in the face of counter-evidence, this is a disposition to go against the evidence, not beyond it.</w:t>
      </w:r>
    </w:p>
    <w:p w14:paraId="3F80A185" w14:textId="01AE8FE1" w:rsidR="009C7A59" w:rsidRPr="00973839" w:rsidRDefault="00C10D46" w:rsidP="00973839">
      <w:pPr>
        <w:jc w:val="both"/>
        <w:rPr>
          <w:rFonts w:ascii="Garamond" w:hAnsi="Garamond" w:cstheme="minorHAnsi"/>
        </w:rPr>
      </w:pPr>
      <w:r w:rsidRPr="00973839">
        <w:rPr>
          <w:rFonts w:ascii="Garamond" w:hAnsi="Garamond" w:cstheme="minorHAnsi"/>
        </w:rPr>
        <w:tab/>
      </w:r>
      <w:r w:rsidR="009C7A59" w:rsidRPr="00973839">
        <w:rPr>
          <w:rFonts w:ascii="Garamond" w:hAnsi="Garamond" w:cstheme="minorHAnsi"/>
        </w:rPr>
        <w:t>We can make the same case for non-doxastic varieties of faith.</w:t>
      </w:r>
      <w:r w:rsidR="003116E2" w:rsidRPr="00973839">
        <w:rPr>
          <w:rFonts w:ascii="Garamond" w:hAnsi="Garamond" w:cstheme="minorHAnsi"/>
        </w:rPr>
        <w:t xml:space="preserve"> Take an alternative treatment of the prior case for example.</w:t>
      </w:r>
      <w:r w:rsidR="009D68F3" w:rsidRPr="00973839">
        <w:rPr>
          <w:rFonts w:ascii="Garamond" w:hAnsi="Garamond" w:cstheme="minorHAnsi"/>
        </w:rPr>
        <w:t xml:space="preserve"> So, the </w:t>
      </w:r>
      <w:r w:rsidR="00BD7F03" w:rsidRPr="00973839">
        <w:rPr>
          <w:rFonts w:ascii="Garamond" w:hAnsi="Garamond" w:cstheme="minorHAnsi"/>
        </w:rPr>
        <w:t>evidence does not warrant</w:t>
      </w:r>
      <w:r w:rsidR="009D68F3" w:rsidRPr="00973839">
        <w:rPr>
          <w:rFonts w:ascii="Garamond" w:hAnsi="Garamond" w:cstheme="minorHAnsi"/>
        </w:rPr>
        <w:t xml:space="preserve"> that her friend will become a judge, but</w:t>
      </w:r>
      <w:r w:rsidR="00BD7F03" w:rsidRPr="00973839">
        <w:rPr>
          <w:rFonts w:ascii="Garamond" w:hAnsi="Garamond" w:cstheme="minorHAnsi"/>
        </w:rPr>
        <w:t xml:space="preserve"> she</w:t>
      </w:r>
      <w:r w:rsidR="009D68F3" w:rsidRPr="00973839">
        <w:rPr>
          <w:rFonts w:ascii="Garamond" w:hAnsi="Garamond" w:cstheme="minorHAnsi"/>
        </w:rPr>
        <w:t xml:space="preserve"> performs the actions that she would perform if </w:t>
      </w:r>
      <w:r w:rsidR="00C16D0D" w:rsidRPr="00973839">
        <w:rPr>
          <w:rFonts w:ascii="Garamond" w:hAnsi="Garamond" w:cstheme="minorHAnsi"/>
        </w:rPr>
        <w:t>the evidence did warrant</w:t>
      </w:r>
      <w:r w:rsidR="009D68F3" w:rsidRPr="00973839">
        <w:rPr>
          <w:rFonts w:ascii="Garamond" w:hAnsi="Garamond" w:cstheme="minorHAnsi"/>
        </w:rPr>
        <w:t xml:space="preserve"> that her friend will become a judge. </w:t>
      </w:r>
      <w:r w:rsidR="00110660" w:rsidRPr="00973839">
        <w:rPr>
          <w:rFonts w:ascii="Garamond" w:hAnsi="Garamond" w:cstheme="minorHAnsi"/>
        </w:rPr>
        <w:t>We could imagine that</w:t>
      </w:r>
      <w:r w:rsidR="009D68F3" w:rsidRPr="00973839">
        <w:rPr>
          <w:rFonts w:ascii="Garamond" w:hAnsi="Garamond" w:cstheme="minorHAnsi"/>
        </w:rPr>
        <w:t xml:space="preserve"> this</w:t>
      </w:r>
      <w:r w:rsidR="00110660" w:rsidRPr="00973839">
        <w:rPr>
          <w:rFonts w:ascii="Garamond" w:hAnsi="Garamond" w:cstheme="minorHAnsi"/>
        </w:rPr>
        <w:t xml:space="preserve"> might involve</w:t>
      </w:r>
      <w:r w:rsidR="009D68F3" w:rsidRPr="00973839">
        <w:rPr>
          <w:rFonts w:ascii="Garamond" w:hAnsi="Garamond" w:cstheme="minorHAnsi"/>
        </w:rPr>
        <w:t xml:space="preserve"> encouraging her friend to earnestly pursue this career goal, and to advise her of the best routes she should t</w:t>
      </w:r>
      <w:r w:rsidR="00110660" w:rsidRPr="00973839">
        <w:rPr>
          <w:rFonts w:ascii="Garamond" w:hAnsi="Garamond" w:cstheme="minorHAnsi"/>
        </w:rPr>
        <w:t>ake in order to realise it</w:t>
      </w:r>
      <w:r w:rsidR="009D68F3" w:rsidRPr="00973839">
        <w:rPr>
          <w:rFonts w:ascii="Garamond" w:hAnsi="Garamond" w:cstheme="minorHAnsi"/>
        </w:rPr>
        <w:t>.</w:t>
      </w:r>
      <w:r w:rsidR="00110660" w:rsidRPr="00973839">
        <w:rPr>
          <w:rFonts w:ascii="Garamond" w:hAnsi="Garamond" w:cstheme="minorHAnsi"/>
        </w:rPr>
        <w:t xml:space="preserve"> Moreover, acting this way might naturally be cause</w:t>
      </w:r>
      <w:r w:rsidR="00C16D0D" w:rsidRPr="00973839">
        <w:rPr>
          <w:rFonts w:ascii="Garamond" w:hAnsi="Garamond" w:cstheme="minorHAnsi"/>
        </w:rPr>
        <w:t>d by</w:t>
      </w:r>
      <w:r w:rsidR="00110660" w:rsidRPr="00973839">
        <w:rPr>
          <w:rFonts w:ascii="Garamond" w:hAnsi="Garamond" w:cstheme="minorHAnsi"/>
        </w:rPr>
        <w:t xml:space="preserve"> perseverance in the face of counter-evidence: one’s resilience to counter-evidence may be manifest in her unwillingness to alter her actions to reflect what </w:t>
      </w:r>
      <w:r w:rsidR="00BD7F03" w:rsidRPr="00973839">
        <w:rPr>
          <w:rFonts w:ascii="Garamond" w:hAnsi="Garamond" w:cstheme="minorHAnsi"/>
        </w:rPr>
        <w:t>the evidence actually warrants</w:t>
      </w:r>
      <w:r w:rsidR="00110660" w:rsidRPr="00973839">
        <w:rPr>
          <w:rFonts w:ascii="Garamond" w:hAnsi="Garamond" w:cstheme="minorHAnsi"/>
        </w:rPr>
        <w:t>. She is doggedly determined to act as though her friend will achieve her goal, perhaps for the admirable reason that she takes this to be the best way of supporting her friend.</w:t>
      </w:r>
      <w:r w:rsidR="009C7A59" w:rsidRPr="00973839">
        <w:rPr>
          <w:rFonts w:ascii="Garamond" w:hAnsi="Garamond" w:cstheme="minorHAnsi"/>
        </w:rPr>
        <w:t xml:space="preserve"> This case could also be interpreted as an instance of </w:t>
      </w:r>
      <w:r w:rsidR="009C7A59" w:rsidRPr="00973839">
        <w:rPr>
          <w:rFonts w:ascii="Garamond" w:hAnsi="Garamond" w:cstheme="minorHAnsi"/>
          <w:sz w:val="22"/>
        </w:rPr>
        <w:t>AGAINST</w:t>
      </w:r>
      <w:r w:rsidR="009C7A59" w:rsidRPr="00973839">
        <w:rPr>
          <w:rFonts w:ascii="Garamond" w:hAnsi="Garamond" w:cstheme="minorHAnsi"/>
        </w:rPr>
        <w:t xml:space="preserve">(a) rather than </w:t>
      </w:r>
      <w:r w:rsidR="009C7A59" w:rsidRPr="00973839">
        <w:rPr>
          <w:rFonts w:ascii="Garamond" w:hAnsi="Garamond" w:cstheme="minorHAnsi"/>
          <w:sz w:val="22"/>
        </w:rPr>
        <w:t>BEYOND</w:t>
      </w:r>
      <w:r w:rsidR="009C7A59" w:rsidRPr="00973839">
        <w:rPr>
          <w:rFonts w:ascii="Garamond" w:hAnsi="Garamond" w:cstheme="minorHAnsi"/>
        </w:rPr>
        <w:t xml:space="preserve">(a) since the practical features of her situation may well justify her </w:t>
      </w:r>
      <w:r w:rsidR="00E038B7" w:rsidRPr="00973839">
        <w:rPr>
          <w:rFonts w:ascii="Garamond" w:hAnsi="Garamond" w:cstheme="minorHAnsi"/>
        </w:rPr>
        <w:t xml:space="preserve">in </w:t>
      </w:r>
      <w:r w:rsidR="009C7A59" w:rsidRPr="00973839">
        <w:rPr>
          <w:rFonts w:ascii="Garamond" w:hAnsi="Garamond" w:cstheme="minorHAnsi"/>
        </w:rPr>
        <w:t>believing that her friend will achieve her career goal.</w:t>
      </w:r>
    </w:p>
    <w:p w14:paraId="03C853FF" w14:textId="4D222D30" w:rsidR="00D70799" w:rsidRPr="00973839" w:rsidRDefault="009C7A59" w:rsidP="00973839">
      <w:pPr>
        <w:jc w:val="both"/>
        <w:rPr>
          <w:rFonts w:ascii="Garamond" w:hAnsi="Garamond" w:cstheme="minorHAnsi"/>
        </w:rPr>
      </w:pPr>
      <w:r w:rsidRPr="00973839">
        <w:rPr>
          <w:rFonts w:ascii="Garamond" w:hAnsi="Garamond" w:cstheme="minorHAnsi"/>
        </w:rPr>
        <w:tab/>
        <w:t xml:space="preserve">In any of these cases, even though the moral features of the situation </w:t>
      </w:r>
      <w:r w:rsidR="00EB7841" w:rsidRPr="00973839">
        <w:rPr>
          <w:rFonts w:ascii="Garamond" w:hAnsi="Garamond" w:cstheme="minorHAnsi"/>
        </w:rPr>
        <w:t xml:space="preserve">alter the evidence required for belief, there comes a point in which belief would be unwarranted if enough evidence is accrued despite the relevant moral features. Where this line is, though, depends on the context of each case. When one does cross this line, the person’s faith goes </w:t>
      </w:r>
      <w:r w:rsidR="00EB7841" w:rsidRPr="00973839">
        <w:rPr>
          <w:rFonts w:ascii="Garamond" w:hAnsi="Garamond" w:cstheme="minorHAnsi"/>
          <w:i/>
        </w:rPr>
        <w:t>beyond</w:t>
      </w:r>
      <w:r w:rsidR="00EB7841" w:rsidRPr="00973839">
        <w:rPr>
          <w:rFonts w:ascii="Garamond" w:hAnsi="Garamond" w:cstheme="minorHAnsi"/>
        </w:rPr>
        <w:t xml:space="preserve"> the evidence</w:t>
      </w:r>
      <w:r w:rsidR="00E06FC3" w:rsidRPr="00973839">
        <w:rPr>
          <w:rFonts w:ascii="Garamond" w:hAnsi="Garamond" w:cstheme="minorHAnsi"/>
        </w:rPr>
        <w:t>, not merely against it.</w:t>
      </w:r>
    </w:p>
    <w:p w14:paraId="77B3AD7B" w14:textId="77777777" w:rsidR="00473EED" w:rsidRPr="00973839" w:rsidRDefault="00473EED" w:rsidP="00973839">
      <w:pPr>
        <w:jc w:val="both"/>
        <w:rPr>
          <w:rFonts w:ascii="Garamond" w:hAnsi="Garamond" w:cstheme="minorHAnsi"/>
        </w:rPr>
      </w:pPr>
    </w:p>
    <w:p w14:paraId="3DD7F7C8" w14:textId="5353C32A" w:rsidR="00862CA9" w:rsidRPr="00AC56FB" w:rsidRDefault="00110D21" w:rsidP="00973839">
      <w:pPr>
        <w:pStyle w:val="Title"/>
        <w:spacing w:line="276" w:lineRule="auto"/>
        <w:rPr>
          <w:rFonts w:ascii="Garamond" w:hAnsi="Garamond" w:cstheme="minorHAnsi"/>
        </w:rPr>
      </w:pPr>
      <w:r w:rsidRPr="00AC56FB">
        <w:rPr>
          <w:rFonts w:ascii="Garamond" w:hAnsi="Garamond" w:cstheme="minorHAnsi"/>
        </w:rPr>
        <w:t>CONCLUSION</w:t>
      </w:r>
    </w:p>
    <w:p w14:paraId="0277D1C6" w14:textId="0E2F11D0" w:rsidR="00862CA9" w:rsidRPr="00973839" w:rsidRDefault="002D313C" w:rsidP="00973839">
      <w:pPr>
        <w:jc w:val="both"/>
        <w:rPr>
          <w:rFonts w:ascii="Garamond" w:hAnsi="Garamond" w:cstheme="minorHAnsi"/>
        </w:rPr>
      </w:pPr>
      <w:r w:rsidRPr="00973839">
        <w:rPr>
          <w:rFonts w:ascii="Garamond" w:hAnsi="Garamond" w:cstheme="minorHAnsi"/>
        </w:rPr>
        <w:t xml:space="preserve">We have arrived at several conclusions regarding the relationship between faith </w:t>
      </w:r>
      <w:r w:rsidR="00873EAE" w:rsidRPr="00973839">
        <w:rPr>
          <w:rFonts w:ascii="Garamond" w:hAnsi="Garamond" w:cstheme="minorHAnsi"/>
        </w:rPr>
        <w:t xml:space="preserve">and </w:t>
      </w:r>
      <w:r w:rsidRPr="00973839">
        <w:rPr>
          <w:rFonts w:ascii="Garamond" w:hAnsi="Garamond" w:cstheme="minorHAnsi"/>
        </w:rPr>
        <w:t>evidence. First, faith does</w:t>
      </w:r>
      <w:r w:rsidR="002A6F52" w:rsidRPr="00973839">
        <w:rPr>
          <w:rFonts w:ascii="Garamond" w:hAnsi="Garamond" w:cstheme="minorHAnsi"/>
        </w:rPr>
        <w:t xml:space="preserve"> not</w:t>
      </w:r>
      <w:r w:rsidRPr="00973839">
        <w:rPr>
          <w:rFonts w:ascii="Garamond" w:hAnsi="Garamond" w:cstheme="minorHAnsi"/>
        </w:rPr>
        <w:t xml:space="preserve"> require going </w:t>
      </w:r>
      <w:r w:rsidRPr="00973839">
        <w:rPr>
          <w:rFonts w:ascii="Garamond" w:hAnsi="Garamond" w:cstheme="minorHAnsi"/>
          <w:i/>
        </w:rPr>
        <w:t>beyond</w:t>
      </w:r>
      <w:r w:rsidRPr="00973839">
        <w:rPr>
          <w:rFonts w:ascii="Garamond" w:hAnsi="Garamond" w:cstheme="minorHAnsi"/>
        </w:rPr>
        <w:t xml:space="preserve"> evidence</w:t>
      </w:r>
      <w:r w:rsidR="002A6F52" w:rsidRPr="00973839">
        <w:rPr>
          <w:rFonts w:ascii="Garamond" w:hAnsi="Garamond" w:cstheme="minorHAnsi"/>
        </w:rPr>
        <w:t xml:space="preserve"> since that is in conflict with </w:t>
      </w:r>
      <w:r w:rsidR="005B0D99" w:rsidRPr="00973839">
        <w:rPr>
          <w:rFonts w:ascii="Garamond" w:hAnsi="Garamond" w:cstheme="minorHAnsi"/>
        </w:rPr>
        <w:t xml:space="preserve">a combination of evidentialist standards and </w:t>
      </w:r>
      <w:r w:rsidR="002A6F52" w:rsidRPr="00973839">
        <w:rPr>
          <w:rFonts w:ascii="Garamond" w:hAnsi="Garamond" w:cstheme="minorHAnsi"/>
        </w:rPr>
        <w:t xml:space="preserve">the moral demands of </w:t>
      </w:r>
      <w:r w:rsidR="005B0D99" w:rsidRPr="00973839">
        <w:rPr>
          <w:rFonts w:ascii="Garamond" w:hAnsi="Garamond" w:cstheme="minorHAnsi"/>
        </w:rPr>
        <w:t>faith</w:t>
      </w:r>
      <w:r w:rsidR="002A6F52" w:rsidRPr="00973839">
        <w:rPr>
          <w:rFonts w:ascii="Garamond" w:hAnsi="Garamond" w:cstheme="minorHAnsi"/>
        </w:rPr>
        <w:t>. Second</w:t>
      </w:r>
      <w:r w:rsidRPr="00973839">
        <w:rPr>
          <w:rFonts w:ascii="Garamond" w:hAnsi="Garamond" w:cstheme="minorHAnsi"/>
        </w:rPr>
        <w:t>,</w:t>
      </w:r>
      <w:r w:rsidR="002A6F52" w:rsidRPr="00973839">
        <w:rPr>
          <w:rFonts w:ascii="Garamond" w:hAnsi="Garamond" w:cstheme="minorHAnsi"/>
        </w:rPr>
        <w:t xml:space="preserve"> faith is </w:t>
      </w:r>
      <w:r w:rsidR="005B0D99" w:rsidRPr="00973839">
        <w:rPr>
          <w:rFonts w:ascii="Garamond" w:hAnsi="Garamond" w:cstheme="minorHAnsi"/>
        </w:rPr>
        <w:t xml:space="preserve">often </w:t>
      </w:r>
      <w:r w:rsidR="002A6F52" w:rsidRPr="00973839">
        <w:rPr>
          <w:rFonts w:ascii="Garamond" w:hAnsi="Garamond" w:cstheme="minorHAnsi"/>
        </w:rPr>
        <w:t xml:space="preserve">permitted to stay in place in the face of counter-evidence, despite the demands of evidentialism, because of the practical features of a person’s situation giving rise to moral demands to have faith. In these cases, </w:t>
      </w:r>
      <w:r w:rsidR="002A6F52" w:rsidRPr="00973839">
        <w:rPr>
          <w:rFonts w:ascii="Garamond" w:hAnsi="Garamond" w:cstheme="minorHAnsi"/>
        </w:rPr>
        <w:lastRenderedPageBreak/>
        <w:t xml:space="preserve">I propose we say that the person’s faith goes </w:t>
      </w:r>
      <w:r w:rsidR="002A6F52" w:rsidRPr="00973839">
        <w:rPr>
          <w:rFonts w:ascii="Garamond" w:hAnsi="Garamond" w:cstheme="minorHAnsi"/>
          <w:i/>
        </w:rPr>
        <w:t>against</w:t>
      </w:r>
      <w:r w:rsidR="005B0D99" w:rsidRPr="00973839">
        <w:rPr>
          <w:rFonts w:ascii="Garamond" w:hAnsi="Garamond" w:cstheme="minorHAnsi"/>
        </w:rPr>
        <w:t xml:space="preserve">, rather than </w:t>
      </w:r>
      <w:r w:rsidR="005B0D99" w:rsidRPr="00973839">
        <w:rPr>
          <w:rFonts w:ascii="Garamond" w:hAnsi="Garamond" w:cstheme="minorHAnsi"/>
          <w:i/>
        </w:rPr>
        <w:t>beyond</w:t>
      </w:r>
      <w:r w:rsidR="002A6F52" w:rsidRPr="00973839">
        <w:rPr>
          <w:rFonts w:ascii="Garamond" w:hAnsi="Garamond" w:cstheme="minorHAnsi"/>
        </w:rPr>
        <w:t xml:space="preserve"> the evidence.</w:t>
      </w:r>
      <w:r w:rsidRPr="00973839">
        <w:rPr>
          <w:rFonts w:ascii="Garamond" w:hAnsi="Garamond" w:cstheme="minorHAnsi"/>
        </w:rPr>
        <w:t xml:space="preserve"> </w:t>
      </w:r>
      <w:r w:rsidR="002A6F52" w:rsidRPr="00973839">
        <w:rPr>
          <w:rFonts w:ascii="Garamond" w:hAnsi="Garamond" w:cstheme="minorHAnsi"/>
        </w:rPr>
        <w:t>Third, faith involves a disposition to go against but not beyond the evidence. Fourth</w:t>
      </w:r>
      <w:r w:rsidRPr="00973839">
        <w:rPr>
          <w:rFonts w:ascii="Garamond" w:hAnsi="Garamond" w:cstheme="minorHAnsi"/>
        </w:rPr>
        <w:t xml:space="preserve">, </w:t>
      </w:r>
      <w:r w:rsidR="00A61B2B" w:rsidRPr="00973839">
        <w:rPr>
          <w:rFonts w:ascii="Garamond" w:hAnsi="Garamond" w:cstheme="minorHAnsi"/>
        </w:rPr>
        <w:t xml:space="preserve">there are restrictions concerning where morality demands that we </w:t>
      </w:r>
      <w:r w:rsidR="002A6F52" w:rsidRPr="00973839">
        <w:rPr>
          <w:rFonts w:ascii="Garamond" w:hAnsi="Garamond" w:cstheme="minorHAnsi"/>
        </w:rPr>
        <w:t>act in faith</w:t>
      </w:r>
      <w:r w:rsidRPr="00973839">
        <w:rPr>
          <w:rFonts w:ascii="Garamond" w:hAnsi="Garamond" w:cstheme="minorHAnsi"/>
        </w:rPr>
        <w:t>, and where it is impermissible to have faith</w:t>
      </w:r>
      <w:r w:rsidR="005B0D99" w:rsidRPr="00973839">
        <w:rPr>
          <w:rFonts w:ascii="Garamond" w:hAnsi="Garamond" w:cstheme="minorHAnsi"/>
        </w:rPr>
        <w:t>, which demarcate the limit</w:t>
      </w:r>
      <w:r w:rsidR="008E5363" w:rsidRPr="00973839">
        <w:rPr>
          <w:rFonts w:ascii="Garamond" w:hAnsi="Garamond" w:cstheme="minorHAnsi"/>
        </w:rPr>
        <w:t>s of the demands to act in faith</w:t>
      </w:r>
      <w:r w:rsidR="00A61B2B" w:rsidRPr="00973839">
        <w:rPr>
          <w:rFonts w:ascii="Garamond" w:hAnsi="Garamond" w:cstheme="minorHAnsi"/>
        </w:rPr>
        <w:t xml:space="preserve">. </w:t>
      </w:r>
      <w:r w:rsidR="0019190D" w:rsidRPr="00973839">
        <w:rPr>
          <w:rFonts w:ascii="Garamond" w:hAnsi="Garamond" w:cstheme="minorHAnsi"/>
        </w:rPr>
        <w:t xml:space="preserve">Each of these conclusions mark important progress for an account of the nature of faith and are </w:t>
      </w:r>
      <w:r w:rsidRPr="00973839">
        <w:rPr>
          <w:rFonts w:ascii="Garamond" w:hAnsi="Garamond" w:cstheme="minorHAnsi"/>
        </w:rPr>
        <w:t>significant</w:t>
      </w:r>
      <w:r w:rsidR="0019190D" w:rsidRPr="00973839">
        <w:rPr>
          <w:rFonts w:ascii="Garamond" w:hAnsi="Garamond" w:cstheme="minorHAnsi"/>
        </w:rPr>
        <w:t xml:space="preserve"> for epistemologists and ethicists alike</w:t>
      </w:r>
      <w:r w:rsidR="00110D21" w:rsidRPr="00973839">
        <w:rPr>
          <w:rFonts w:ascii="Garamond" w:hAnsi="Garamond" w:cstheme="minorHAnsi"/>
        </w:rPr>
        <w:t>.</w:t>
      </w:r>
      <w:r w:rsidR="00E53FE1" w:rsidRPr="00973839">
        <w:rPr>
          <w:rStyle w:val="FootnoteReference"/>
          <w:rFonts w:ascii="Garamond" w:hAnsi="Garamond" w:cstheme="minorHAnsi"/>
        </w:rPr>
        <w:footnoteReference w:id="17"/>
      </w:r>
    </w:p>
    <w:p w14:paraId="447188A3" w14:textId="216A90E1" w:rsidR="00CC64A2" w:rsidRPr="00973839" w:rsidRDefault="00CC64A2" w:rsidP="00973839">
      <w:pPr>
        <w:jc w:val="both"/>
        <w:rPr>
          <w:rFonts w:ascii="Garamond" w:hAnsi="Garamond" w:cstheme="minorHAnsi"/>
        </w:rPr>
      </w:pPr>
    </w:p>
    <w:p w14:paraId="217A071A" w14:textId="616F3D18" w:rsidR="005B0D99" w:rsidRPr="00973839" w:rsidRDefault="005B0D99" w:rsidP="00973839">
      <w:pPr>
        <w:jc w:val="both"/>
        <w:rPr>
          <w:rFonts w:ascii="Garamond" w:hAnsi="Garamond" w:cstheme="minorHAnsi"/>
        </w:rPr>
      </w:pPr>
    </w:p>
    <w:p w14:paraId="0387BAF5" w14:textId="77777777" w:rsidR="005B0D99" w:rsidRPr="00973839" w:rsidRDefault="005B0D99" w:rsidP="00973839">
      <w:pPr>
        <w:jc w:val="both"/>
        <w:rPr>
          <w:rFonts w:ascii="Garamond" w:hAnsi="Garamond" w:cstheme="minorHAnsi"/>
        </w:rPr>
      </w:pPr>
    </w:p>
    <w:p w14:paraId="253DD214" w14:textId="77777777" w:rsidR="00CC64A2" w:rsidRPr="00973839" w:rsidRDefault="00CC64A2" w:rsidP="00973839">
      <w:pPr>
        <w:jc w:val="both"/>
        <w:rPr>
          <w:rFonts w:ascii="Garamond" w:hAnsi="Garamond" w:cstheme="minorHAnsi"/>
          <w:b/>
        </w:rPr>
      </w:pPr>
      <w:r w:rsidRPr="00973839">
        <w:rPr>
          <w:rFonts w:ascii="Garamond" w:hAnsi="Garamond" w:cstheme="minorHAnsi"/>
          <w:b/>
        </w:rPr>
        <w:t>References</w:t>
      </w:r>
    </w:p>
    <w:p w14:paraId="2857DB30" w14:textId="68B36979" w:rsidR="002C51F3" w:rsidRPr="00973839" w:rsidRDefault="002C51F3" w:rsidP="00973839">
      <w:pPr>
        <w:ind w:left="284" w:hanging="284"/>
        <w:jc w:val="both"/>
        <w:rPr>
          <w:rFonts w:ascii="Garamond" w:hAnsi="Garamond" w:cstheme="minorHAnsi"/>
          <w:szCs w:val="24"/>
        </w:rPr>
      </w:pPr>
      <w:r w:rsidRPr="00973839">
        <w:rPr>
          <w:rFonts w:ascii="Garamond" w:hAnsi="Garamond" w:cstheme="minorHAnsi"/>
          <w:szCs w:val="24"/>
        </w:rPr>
        <w:t xml:space="preserve">Alston, William P. (1996) ‘Belief, Acceptance, and Religious Faith,’ in J. Jordan and D. Howard-Snyder (eds.) </w:t>
      </w:r>
      <w:r w:rsidRPr="00973839">
        <w:rPr>
          <w:rFonts w:ascii="Garamond" w:hAnsi="Garamond" w:cstheme="minorHAnsi"/>
          <w:i/>
          <w:szCs w:val="24"/>
        </w:rPr>
        <w:t>Faith, Freedom, and Rationality</w:t>
      </w:r>
      <w:r w:rsidRPr="00973839">
        <w:rPr>
          <w:rFonts w:ascii="Garamond" w:hAnsi="Garamond" w:cstheme="minorHAnsi"/>
          <w:szCs w:val="24"/>
        </w:rPr>
        <w:t>. Lanham: Rowman &amp; Littlefield, pp. 3-27.</w:t>
      </w:r>
    </w:p>
    <w:p w14:paraId="68D48759" w14:textId="54E32038" w:rsidR="00CC64A2" w:rsidRPr="00973839" w:rsidRDefault="00CC64A2" w:rsidP="00973839">
      <w:pPr>
        <w:ind w:left="284" w:hanging="284"/>
        <w:jc w:val="both"/>
        <w:rPr>
          <w:rFonts w:ascii="Garamond" w:hAnsi="Garamond" w:cstheme="minorHAnsi"/>
          <w:szCs w:val="24"/>
        </w:rPr>
      </w:pPr>
      <w:r w:rsidRPr="00973839">
        <w:rPr>
          <w:rFonts w:ascii="Garamond" w:hAnsi="Garamond" w:cstheme="minorHAnsi"/>
          <w:szCs w:val="24"/>
        </w:rPr>
        <w:t xml:space="preserve">Audi, Robert (2008) ‘Belief, Faith and Acceptance,’ </w:t>
      </w:r>
      <w:r w:rsidRPr="00973839">
        <w:rPr>
          <w:rFonts w:ascii="Garamond" w:hAnsi="Garamond" w:cstheme="minorHAnsi"/>
          <w:i/>
          <w:szCs w:val="24"/>
        </w:rPr>
        <w:t>International Journal for Philosophy of Religion</w:t>
      </w:r>
      <w:r w:rsidR="00B01BBA" w:rsidRPr="00973839">
        <w:rPr>
          <w:rFonts w:ascii="Garamond" w:hAnsi="Garamond" w:cstheme="minorHAnsi"/>
          <w:szCs w:val="24"/>
        </w:rPr>
        <w:t xml:space="preserve"> 63, </w:t>
      </w:r>
      <w:r w:rsidRPr="00973839">
        <w:rPr>
          <w:rFonts w:ascii="Garamond" w:hAnsi="Garamond" w:cstheme="minorHAnsi"/>
          <w:szCs w:val="24"/>
        </w:rPr>
        <w:t>87-102.</w:t>
      </w:r>
    </w:p>
    <w:p w14:paraId="3C595998" w14:textId="77777777" w:rsidR="00CC64A2" w:rsidRPr="00973839" w:rsidRDefault="00CC64A2" w:rsidP="00973839">
      <w:pPr>
        <w:ind w:left="284" w:hanging="284"/>
        <w:jc w:val="both"/>
        <w:rPr>
          <w:rFonts w:ascii="Garamond" w:hAnsi="Garamond" w:cstheme="minorHAnsi"/>
          <w:szCs w:val="24"/>
        </w:rPr>
      </w:pPr>
      <w:r w:rsidRPr="00973839">
        <w:rPr>
          <w:rFonts w:ascii="Garamond" w:hAnsi="Garamond" w:cstheme="minorHAnsi"/>
          <w:szCs w:val="24"/>
        </w:rPr>
        <w:t xml:space="preserve">Audi, Robert (2011) </w:t>
      </w:r>
      <w:r w:rsidRPr="00973839">
        <w:rPr>
          <w:rFonts w:ascii="Garamond" w:hAnsi="Garamond" w:cstheme="minorHAnsi"/>
          <w:i/>
          <w:szCs w:val="24"/>
        </w:rPr>
        <w:t>Rationality and Religious Commitment</w:t>
      </w:r>
      <w:r w:rsidRPr="00973839">
        <w:rPr>
          <w:rFonts w:ascii="Garamond" w:hAnsi="Garamond" w:cstheme="minorHAnsi"/>
          <w:szCs w:val="24"/>
        </w:rPr>
        <w:t>. Oxford: Oxford University Press.</w:t>
      </w:r>
    </w:p>
    <w:p w14:paraId="422E456E" w14:textId="77777777" w:rsidR="00B01BBA" w:rsidRPr="00973839" w:rsidRDefault="00B01BBA" w:rsidP="00973839">
      <w:pPr>
        <w:ind w:left="284" w:hanging="284"/>
        <w:jc w:val="both"/>
        <w:rPr>
          <w:rFonts w:ascii="Garamond" w:hAnsi="Garamond" w:cstheme="minorHAnsi"/>
        </w:rPr>
      </w:pPr>
      <w:proofErr w:type="spellStart"/>
      <w:r w:rsidRPr="00973839">
        <w:rPr>
          <w:rFonts w:ascii="Garamond" w:hAnsi="Garamond" w:cstheme="minorHAnsi"/>
        </w:rPr>
        <w:t>Buchak</w:t>
      </w:r>
      <w:proofErr w:type="spellEnd"/>
      <w:r w:rsidRPr="00973839">
        <w:rPr>
          <w:rFonts w:ascii="Garamond" w:hAnsi="Garamond" w:cstheme="minorHAnsi"/>
        </w:rPr>
        <w:t xml:space="preserve">, Lara (2012) ‘Can It Be Rational to Have Faith?’ in J. Chandler &amp; V. Harrison (eds.) </w:t>
      </w:r>
      <w:r w:rsidRPr="00973839">
        <w:rPr>
          <w:rFonts w:ascii="Garamond" w:hAnsi="Garamond" w:cstheme="minorHAnsi"/>
          <w:i/>
        </w:rPr>
        <w:t>Probability in the Philosophy of Religion</w:t>
      </w:r>
      <w:r w:rsidRPr="00973839">
        <w:rPr>
          <w:rFonts w:ascii="Garamond" w:hAnsi="Garamond" w:cstheme="minorHAnsi"/>
        </w:rPr>
        <w:t>. Oxford: Oxford University Press, 225-246.</w:t>
      </w:r>
    </w:p>
    <w:p w14:paraId="67D28404" w14:textId="734AC74D" w:rsidR="002C51F3" w:rsidRPr="00973839" w:rsidRDefault="002C51F3" w:rsidP="00973839">
      <w:pPr>
        <w:ind w:left="284" w:hanging="284"/>
        <w:jc w:val="both"/>
        <w:rPr>
          <w:rFonts w:ascii="Garamond" w:hAnsi="Garamond" w:cstheme="minorHAnsi"/>
        </w:rPr>
      </w:pPr>
      <w:proofErr w:type="spellStart"/>
      <w:r w:rsidRPr="00973839">
        <w:rPr>
          <w:rFonts w:ascii="Garamond" w:hAnsi="Garamond" w:cstheme="minorHAnsi"/>
        </w:rPr>
        <w:t>Buchak</w:t>
      </w:r>
      <w:proofErr w:type="spellEnd"/>
      <w:r w:rsidRPr="00973839">
        <w:rPr>
          <w:rFonts w:ascii="Garamond" w:hAnsi="Garamond" w:cstheme="minorHAnsi"/>
        </w:rPr>
        <w:t>, Lara (2014) ‘Rational Faith and Justified Belief,’ in</w:t>
      </w:r>
      <w:r w:rsidRPr="00973839">
        <w:rPr>
          <w:rFonts w:ascii="Garamond" w:hAnsi="Garamond" w:cstheme="minorHAnsi"/>
          <w:iCs/>
        </w:rPr>
        <w:t xml:space="preserve"> L. Callahan and T. O’Connor (eds.) </w:t>
      </w:r>
      <w:r w:rsidRPr="00973839">
        <w:rPr>
          <w:rFonts w:ascii="Garamond" w:hAnsi="Garamond" w:cstheme="minorHAnsi"/>
          <w:i/>
          <w:iCs/>
        </w:rPr>
        <w:t>Religious Faith and Intellectual Virtue</w:t>
      </w:r>
      <w:r w:rsidRPr="00973839">
        <w:rPr>
          <w:rFonts w:ascii="Garamond" w:hAnsi="Garamond" w:cstheme="minorHAnsi"/>
          <w:iCs/>
        </w:rPr>
        <w:t>. Oxford: Oxford University Press, 49–72.</w:t>
      </w:r>
    </w:p>
    <w:p w14:paraId="37385595" w14:textId="35FDE1F7" w:rsidR="00B01BBA" w:rsidRPr="00973839" w:rsidRDefault="00B01BBA" w:rsidP="00973839">
      <w:pPr>
        <w:ind w:left="284" w:hanging="284"/>
        <w:jc w:val="both"/>
        <w:rPr>
          <w:rFonts w:ascii="Garamond" w:hAnsi="Garamond" w:cstheme="minorHAnsi"/>
        </w:rPr>
      </w:pPr>
      <w:proofErr w:type="spellStart"/>
      <w:r w:rsidRPr="00973839">
        <w:rPr>
          <w:rFonts w:ascii="Garamond" w:hAnsi="Garamond" w:cstheme="minorHAnsi"/>
        </w:rPr>
        <w:t>Buchak</w:t>
      </w:r>
      <w:proofErr w:type="spellEnd"/>
      <w:r w:rsidRPr="00973839">
        <w:rPr>
          <w:rFonts w:ascii="Garamond" w:hAnsi="Garamond" w:cstheme="minorHAnsi"/>
        </w:rPr>
        <w:t xml:space="preserve">, Lara (2017) ‘Faith and Steadfastness in the Face of Counter-Evidence,’ </w:t>
      </w:r>
      <w:r w:rsidRPr="00973839">
        <w:rPr>
          <w:rFonts w:ascii="Garamond" w:hAnsi="Garamond" w:cstheme="minorHAnsi"/>
          <w:i/>
        </w:rPr>
        <w:t>International Journal for Philosophy of Religion</w:t>
      </w:r>
      <w:r w:rsidRPr="00973839">
        <w:rPr>
          <w:rFonts w:ascii="Garamond" w:hAnsi="Garamond" w:cstheme="minorHAnsi"/>
        </w:rPr>
        <w:t>, 81, 113-133.</w:t>
      </w:r>
    </w:p>
    <w:p w14:paraId="29BE8D14" w14:textId="307143FE" w:rsidR="00B01BBA" w:rsidRPr="00973839" w:rsidRDefault="00B01BBA" w:rsidP="00973839">
      <w:pPr>
        <w:ind w:left="284" w:hanging="284"/>
        <w:jc w:val="both"/>
        <w:rPr>
          <w:rFonts w:ascii="Garamond" w:hAnsi="Garamond" w:cstheme="minorHAnsi"/>
          <w:iCs/>
        </w:rPr>
      </w:pPr>
      <w:r w:rsidRPr="00973839">
        <w:rPr>
          <w:rFonts w:ascii="Garamond" w:hAnsi="Garamond" w:cstheme="minorHAnsi"/>
          <w:iCs/>
        </w:rPr>
        <w:t xml:space="preserve">Duckworth, Angela et al (2007) ‘Grit: Perseverance and Passion for Long-Term Goals,’ </w:t>
      </w:r>
      <w:r w:rsidRPr="00973839">
        <w:rPr>
          <w:rFonts w:ascii="Garamond" w:hAnsi="Garamond" w:cstheme="minorHAnsi"/>
          <w:i/>
          <w:iCs/>
        </w:rPr>
        <w:t>Journal of Personality and Social Psychology</w:t>
      </w:r>
      <w:r w:rsidRPr="00973839">
        <w:rPr>
          <w:rFonts w:ascii="Garamond" w:hAnsi="Garamond" w:cstheme="minorHAnsi"/>
          <w:iCs/>
        </w:rPr>
        <w:t>, 92.6: 1087-1101.</w:t>
      </w:r>
    </w:p>
    <w:p w14:paraId="33460469" w14:textId="5FA3CB63" w:rsidR="00B01BBA" w:rsidRPr="00973839" w:rsidRDefault="00B01BBA" w:rsidP="00973839">
      <w:pPr>
        <w:ind w:left="284" w:hanging="284"/>
        <w:jc w:val="both"/>
        <w:rPr>
          <w:rFonts w:ascii="Garamond" w:hAnsi="Garamond" w:cstheme="minorHAnsi"/>
          <w:i/>
          <w:iCs/>
        </w:rPr>
      </w:pPr>
      <w:r w:rsidRPr="00973839">
        <w:rPr>
          <w:rFonts w:ascii="Garamond" w:hAnsi="Garamond" w:cstheme="minorHAnsi"/>
          <w:iCs/>
        </w:rPr>
        <w:t xml:space="preserve">Evans, C. Stephen (1998) </w:t>
      </w:r>
      <w:r w:rsidRPr="00973839">
        <w:rPr>
          <w:rFonts w:ascii="Garamond" w:hAnsi="Garamond" w:cstheme="minorHAnsi"/>
          <w:i/>
          <w:iCs/>
        </w:rPr>
        <w:t>Fa</w:t>
      </w:r>
      <w:bookmarkStart w:id="27" w:name="_GoBack"/>
      <w:bookmarkEnd w:id="27"/>
      <w:r w:rsidRPr="00973839">
        <w:rPr>
          <w:rFonts w:ascii="Garamond" w:hAnsi="Garamond" w:cstheme="minorHAnsi"/>
          <w:i/>
          <w:iCs/>
        </w:rPr>
        <w:t>ith Beyond Reason: A Kierkegaardian Account</w:t>
      </w:r>
      <w:r w:rsidRPr="00973839">
        <w:rPr>
          <w:rFonts w:ascii="Garamond" w:hAnsi="Garamond" w:cstheme="minorHAnsi"/>
          <w:iCs/>
        </w:rPr>
        <w:t>. Cambridge: Wm. B. Eerdmans Publishing Co.</w:t>
      </w:r>
      <w:r w:rsidRPr="00973839">
        <w:rPr>
          <w:rFonts w:ascii="Garamond" w:hAnsi="Garamond" w:cstheme="minorHAnsi"/>
          <w:i/>
          <w:iCs/>
        </w:rPr>
        <w:t xml:space="preserve"> </w:t>
      </w:r>
    </w:p>
    <w:p w14:paraId="5CED3CC9" w14:textId="4B021D52" w:rsidR="002C51F3" w:rsidRPr="00973839" w:rsidRDefault="002C51F3" w:rsidP="00973839">
      <w:pPr>
        <w:ind w:left="284" w:hanging="284"/>
        <w:jc w:val="both"/>
        <w:rPr>
          <w:rFonts w:ascii="Garamond" w:hAnsi="Garamond" w:cstheme="minorHAnsi"/>
        </w:rPr>
      </w:pPr>
      <w:proofErr w:type="spellStart"/>
      <w:r w:rsidRPr="00973839">
        <w:rPr>
          <w:rFonts w:ascii="Garamond" w:hAnsi="Garamond" w:cstheme="minorHAnsi"/>
        </w:rPr>
        <w:t>Fantl</w:t>
      </w:r>
      <w:proofErr w:type="spellEnd"/>
      <w:r w:rsidRPr="00973839">
        <w:rPr>
          <w:rFonts w:ascii="Garamond" w:hAnsi="Garamond" w:cstheme="minorHAnsi"/>
        </w:rPr>
        <w:t xml:space="preserve">, Jeremy and McGrath, Matthew (2002) ‘Evidence, Pragmatics, and Justification,’ </w:t>
      </w:r>
      <w:r w:rsidRPr="00973839">
        <w:rPr>
          <w:rFonts w:ascii="Garamond" w:hAnsi="Garamond" w:cstheme="minorHAnsi"/>
          <w:i/>
        </w:rPr>
        <w:t>The Philosophical Review</w:t>
      </w:r>
      <w:r w:rsidRPr="00973839">
        <w:rPr>
          <w:rFonts w:ascii="Garamond" w:hAnsi="Garamond" w:cstheme="minorHAnsi"/>
        </w:rPr>
        <w:t>, Vol. 111, No. 1, pp. 67-94.</w:t>
      </w:r>
    </w:p>
    <w:p w14:paraId="75871CBA" w14:textId="53082417" w:rsidR="003A5E6C" w:rsidRPr="00973839" w:rsidRDefault="003A5E6C" w:rsidP="00973839">
      <w:pPr>
        <w:ind w:left="284" w:hanging="284"/>
        <w:jc w:val="both"/>
        <w:rPr>
          <w:rFonts w:ascii="Garamond" w:hAnsi="Garamond" w:cstheme="minorHAnsi"/>
        </w:rPr>
      </w:pPr>
      <w:r w:rsidRPr="00973839">
        <w:rPr>
          <w:rFonts w:ascii="Garamond" w:hAnsi="Garamond" w:cstheme="minorHAnsi"/>
        </w:rPr>
        <w:t xml:space="preserve">Feldman, Richard (2007) ‘Reasonable Religious Disagreements,’ in </w:t>
      </w:r>
      <w:r w:rsidRPr="00973839">
        <w:rPr>
          <w:rFonts w:ascii="Garamond" w:hAnsi="Garamond" w:cstheme="minorHAnsi"/>
          <w:i/>
          <w:iCs/>
        </w:rPr>
        <w:t>Philosophers Without Gods: Meditations on Atheism and the Secular</w:t>
      </w:r>
      <w:r w:rsidRPr="00973839">
        <w:rPr>
          <w:rFonts w:ascii="Garamond" w:hAnsi="Garamond" w:cstheme="minorHAnsi"/>
        </w:rPr>
        <w:t>, ed. Louise Antony. New York: Oxford University Press, 194–214.</w:t>
      </w:r>
    </w:p>
    <w:p w14:paraId="04670380" w14:textId="0D4D9CDA" w:rsidR="00B01BBA" w:rsidRPr="00973839" w:rsidRDefault="00B01BBA" w:rsidP="00973839">
      <w:pPr>
        <w:ind w:left="284" w:hanging="284"/>
        <w:jc w:val="both"/>
        <w:rPr>
          <w:rFonts w:ascii="Garamond" w:hAnsi="Garamond" w:cstheme="minorHAnsi"/>
        </w:rPr>
      </w:pPr>
      <w:r w:rsidRPr="00973839">
        <w:rPr>
          <w:rFonts w:ascii="Garamond" w:hAnsi="Garamond" w:cstheme="minorHAnsi"/>
        </w:rPr>
        <w:t xml:space="preserve">Howard-Snyder, Daniel (2013) ‘Propositional Faith: What It Is and What It Is Not,’ </w:t>
      </w:r>
      <w:r w:rsidRPr="00973839">
        <w:rPr>
          <w:rFonts w:ascii="Garamond" w:hAnsi="Garamond" w:cstheme="minorHAnsi"/>
          <w:i/>
        </w:rPr>
        <w:t>American Philosophical Quarterly</w:t>
      </w:r>
      <w:r w:rsidRPr="00973839">
        <w:rPr>
          <w:rFonts w:ascii="Garamond" w:hAnsi="Garamond" w:cstheme="minorHAnsi"/>
        </w:rPr>
        <w:t xml:space="preserve"> 50, 04, 357-372.</w:t>
      </w:r>
    </w:p>
    <w:p w14:paraId="0798BB0E" w14:textId="77777777" w:rsidR="00B01BBA" w:rsidRPr="00973839" w:rsidRDefault="00B01BBA" w:rsidP="00973839">
      <w:pPr>
        <w:ind w:left="284" w:hanging="284"/>
        <w:jc w:val="both"/>
        <w:rPr>
          <w:rFonts w:ascii="Garamond" w:hAnsi="Garamond" w:cstheme="minorHAnsi"/>
        </w:rPr>
      </w:pPr>
      <w:r w:rsidRPr="00973839">
        <w:rPr>
          <w:rFonts w:ascii="Garamond" w:hAnsi="Garamond" w:cstheme="minorHAnsi"/>
        </w:rPr>
        <w:t>Howard-Snyder, Daniel (2017) ‘</w:t>
      </w:r>
      <w:proofErr w:type="spellStart"/>
      <w:r w:rsidRPr="00973839">
        <w:rPr>
          <w:rFonts w:ascii="Garamond" w:hAnsi="Garamond" w:cstheme="minorHAnsi"/>
        </w:rPr>
        <w:t>Markan</w:t>
      </w:r>
      <w:proofErr w:type="spellEnd"/>
      <w:r w:rsidRPr="00973839">
        <w:rPr>
          <w:rFonts w:ascii="Garamond" w:hAnsi="Garamond" w:cstheme="minorHAnsi"/>
        </w:rPr>
        <w:t xml:space="preserve"> Faith,’ </w:t>
      </w:r>
      <w:r w:rsidRPr="00973839">
        <w:rPr>
          <w:rFonts w:ascii="Garamond" w:hAnsi="Garamond" w:cstheme="minorHAnsi"/>
          <w:i/>
        </w:rPr>
        <w:t>International Journal for Philosophy of Religion</w:t>
      </w:r>
      <w:r w:rsidRPr="00973839">
        <w:rPr>
          <w:rFonts w:ascii="Garamond" w:hAnsi="Garamond" w:cstheme="minorHAnsi"/>
        </w:rPr>
        <w:t>, 81, 31-60.</w:t>
      </w:r>
    </w:p>
    <w:p w14:paraId="6E964677" w14:textId="3C1A4491" w:rsidR="00DA5388" w:rsidRPr="00973839" w:rsidRDefault="00DA5388" w:rsidP="00973839">
      <w:pPr>
        <w:ind w:left="284" w:hanging="284"/>
        <w:jc w:val="both"/>
        <w:rPr>
          <w:rFonts w:ascii="Garamond" w:hAnsi="Garamond" w:cstheme="minorHAnsi"/>
          <w:iCs/>
        </w:rPr>
      </w:pPr>
      <w:r w:rsidRPr="00973839">
        <w:rPr>
          <w:rFonts w:ascii="Garamond" w:hAnsi="Garamond" w:cstheme="minorHAnsi"/>
          <w:iCs/>
        </w:rPr>
        <w:t xml:space="preserve">Jeffrey, Anne (2017) ‘Does Hope Morally Vindicate Faith?’ </w:t>
      </w:r>
      <w:r w:rsidRPr="00973839">
        <w:rPr>
          <w:rFonts w:ascii="Garamond" w:hAnsi="Garamond" w:cstheme="minorHAnsi"/>
          <w:i/>
          <w:iCs/>
        </w:rPr>
        <w:t>International Journal for Philosophy of Religion</w:t>
      </w:r>
      <w:r w:rsidRPr="00973839">
        <w:rPr>
          <w:rFonts w:ascii="Garamond" w:hAnsi="Garamond" w:cstheme="minorHAnsi"/>
          <w:iCs/>
        </w:rPr>
        <w:t>, 81, 193-211.</w:t>
      </w:r>
    </w:p>
    <w:p w14:paraId="2CF85A9C" w14:textId="06C90780" w:rsidR="00453043" w:rsidRPr="00973839" w:rsidRDefault="00453043" w:rsidP="00973839">
      <w:pPr>
        <w:ind w:left="284" w:hanging="284"/>
        <w:jc w:val="both"/>
        <w:rPr>
          <w:rFonts w:ascii="Garamond" w:hAnsi="Garamond" w:cstheme="minorHAnsi"/>
          <w:iCs/>
        </w:rPr>
      </w:pPr>
      <w:proofErr w:type="spellStart"/>
      <w:r w:rsidRPr="00973839">
        <w:rPr>
          <w:rFonts w:ascii="Garamond" w:hAnsi="Garamond" w:cstheme="minorHAnsi"/>
          <w:iCs/>
        </w:rPr>
        <w:t>Kvanvig</w:t>
      </w:r>
      <w:proofErr w:type="spellEnd"/>
      <w:r w:rsidRPr="00973839">
        <w:rPr>
          <w:rFonts w:ascii="Garamond" w:hAnsi="Garamond" w:cstheme="minorHAnsi"/>
          <w:iCs/>
        </w:rPr>
        <w:t xml:space="preserve">, Jonathan (2013) ‘Affective Theism and People of Faith,’ </w:t>
      </w:r>
      <w:r w:rsidRPr="00973839">
        <w:rPr>
          <w:rFonts w:ascii="Garamond" w:hAnsi="Garamond" w:cstheme="minorHAnsi"/>
          <w:i/>
          <w:iCs/>
        </w:rPr>
        <w:t>Midwest Studies in Philosophy</w:t>
      </w:r>
      <w:r w:rsidRPr="00973839">
        <w:rPr>
          <w:rFonts w:ascii="Garamond" w:hAnsi="Garamond" w:cstheme="minorHAnsi"/>
          <w:iCs/>
        </w:rPr>
        <w:t xml:space="preserve"> XXXVII, 109-128.</w:t>
      </w:r>
    </w:p>
    <w:p w14:paraId="2BCF638B" w14:textId="6D13D5A7" w:rsidR="006B1D69" w:rsidRPr="00973839" w:rsidRDefault="006B1D69" w:rsidP="00973839">
      <w:pPr>
        <w:ind w:left="284" w:hanging="284"/>
        <w:jc w:val="both"/>
        <w:rPr>
          <w:rFonts w:ascii="Garamond" w:hAnsi="Garamond" w:cstheme="minorHAnsi"/>
          <w:iCs/>
        </w:rPr>
      </w:pPr>
      <w:r w:rsidRPr="00973839">
        <w:rPr>
          <w:rFonts w:ascii="Garamond" w:hAnsi="Garamond" w:cstheme="minorHAnsi"/>
          <w:iCs/>
        </w:rPr>
        <w:t xml:space="preserve">Lackey, Jennifer (2007) ‘Norms of Assertion,’ </w:t>
      </w:r>
      <w:r w:rsidRPr="00973839">
        <w:rPr>
          <w:rFonts w:ascii="Garamond" w:hAnsi="Garamond" w:cstheme="minorHAnsi"/>
          <w:i/>
          <w:iCs/>
        </w:rPr>
        <w:t>Nous</w:t>
      </w:r>
      <w:r w:rsidRPr="00973839">
        <w:rPr>
          <w:rFonts w:ascii="Garamond" w:hAnsi="Garamond" w:cstheme="minorHAnsi"/>
          <w:iCs/>
        </w:rPr>
        <w:t xml:space="preserve"> 41:4, 594–626.</w:t>
      </w:r>
    </w:p>
    <w:p w14:paraId="574648BD" w14:textId="64182F58" w:rsidR="00213AF2" w:rsidRPr="00973839" w:rsidRDefault="00213AF2" w:rsidP="00973839">
      <w:pPr>
        <w:ind w:left="284" w:hanging="284"/>
        <w:jc w:val="both"/>
        <w:rPr>
          <w:rFonts w:ascii="Garamond" w:hAnsi="Garamond" w:cstheme="minorHAnsi"/>
          <w:iCs/>
        </w:rPr>
      </w:pPr>
      <w:r w:rsidRPr="00973839">
        <w:rPr>
          <w:rFonts w:ascii="Garamond" w:hAnsi="Garamond" w:cstheme="minorHAnsi"/>
          <w:iCs/>
        </w:rPr>
        <w:t xml:space="preserve">Locke, John (1924) </w:t>
      </w:r>
      <w:r w:rsidRPr="00973839">
        <w:rPr>
          <w:rFonts w:ascii="Garamond" w:hAnsi="Garamond" w:cstheme="minorHAnsi"/>
          <w:i/>
          <w:iCs/>
        </w:rPr>
        <w:t>Essay Concerning Human Understanding</w:t>
      </w:r>
      <w:r w:rsidRPr="00973839">
        <w:rPr>
          <w:rFonts w:ascii="Garamond" w:hAnsi="Garamond" w:cstheme="minorHAnsi"/>
          <w:iCs/>
        </w:rPr>
        <w:t xml:space="preserve">. </w:t>
      </w:r>
      <w:proofErr w:type="spellStart"/>
      <w:r w:rsidRPr="00973839">
        <w:rPr>
          <w:rFonts w:ascii="Garamond" w:hAnsi="Garamond" w:cstheme="minorHAnsi"/>
          <w:iCs/>
        </w:rPr>
        <w:t>A.</w:t>
      </w:r>
      <w:proofErr w:type="gramStart"/>
      <w:r w:rsidRPr="00973839">
        <w:rPr>
          <w:rFonts w:ascii="Garamond" w:hAnsi="Garamond" w:cstheme="minorHAnsi"/>
          <w:iCs/>
        </w:rPr>
        <w:t>S.Pringle</w:t>
      </w:r>
      <w:proofErr w:type="spellEnd"/>
      <w:proofErr w:type="gramEnd"/>
      <w:r w:rsidRPr="00973839">
        <w:rPr>
          <w:rFonts w:ascii="Garamond" w:hAnsi="Garamond" w:cstheme="minorHAnsi"/>
          <w:iCs/>
        </w:rPr>
        <w:t>-Pattison (ed.). Oxford: Clarendon Press. Originally published 1689.</w:t>
      </w:r>
    </w:p>
    <w:p w14:paraId="58F1088F" w14:textId="31C9448E" w:rsidR="0094481B" w:rsidRPr="00973839" w:rsidRDefault="0094481B" w:rsidP="00973839">
      <w:pPr>
        <w:ind w:left="284" w:hanging="284"/>
        <w:jc w:val="both"/>
        <w:rPr>
          <w:rFonts w:ascii="Garamond" w:hAnsi="Garamond" w:cstheme="minorHAnsi"/>
          <w:iCs/>
        </w:rPr>
      </w:pPr>
      <w:r w:rsidRPr="00973839">
        <w:rPr>
          <w:rFonts w:ascii="Garamond" w:hAnsi="Garamond" w:cstheme="minorHAnsi"/>
          <w:iCs/>
        </w:rPr>
        <w:lastRenderedPageBreak/>
        <w:t xml:space="preserve">Malcolm, Finlay and Scott, Michael (2017) ‘Faith, Belief and Fictionalism,’ </w:t>
      </w:r>
      <w:r w:rsidRPr="00973839">
        <w:rPr>
          <w:rFonts w:ascii="Garamond" w:hAnsi="Garamond" w:cstheme="minorHAnsi"/>
          <w:i/>
          <w:iCs/>
        </w:rPr>
        <w:t>Pacific Philosophical Quarterly</w:t>
      </w:r>
      <w:r w:rsidRPr="00973839">
        <w:rPr>
          <w:rFonts w:ascii="Garamond" w:hAnsi="Garamond" w:cstheme="minorHAnsi"/>
          <w:iCs/>
        </w:rPr>
        <w:t>, 98, S1, pp. 257-274.</w:t>
      </w:r>
    </w:p>
    <w:p w14:paraId="1BFA7F5C" w14:textId="5B01EA65" w:rsidR="0094481B" w:rsidRPr="00973839" w:rsidRDefault="0094481B" w:rsidP="00973839">
      <w:pPr>
        <w:ind w:left="284" w:hanging="284"/>
        <w:jc w:val="both"/>
        <w:rPr>
          <w:rFonts w:ascii="Garamond" w:hAnsi="Garamond" w:cstheme="minorHAnsi"/>
          <w:iCs/>
        </w:rPr>
      </w:pPr>
      <w:r w:rsidRPr="00973839">
        <w:rPr>
          <w:rFonts w:ascii="Garamond" w:hAnsi="Garamond" w:cstheme="minorHAnsi"/>
          <w:iCs/>
        </w:rPr>
        <w:t>Malcolm, Finlay and Scott, Michael (</w:t>
      </w:r>
      <w:proofErr w:type="spellStart"/>
      <w:r w:rsidRPr="00973839">
        <w:rPr>
          <w:rFonts w:ascii="Garamond" w:hAnsi="Garamond" w:cstheme="minorHAnsi"/>
          <w:iCs/>
        </w:rPr>
        <w:t>MSa</w:t>
      </w:r>
      <w:proofErr w:type="spellEnd"/>
      <w:r w:rsidRPr="00973839">
        <w:rPr>
          <w:rFonts w:ascii="Garamond" w:hAnsi="Garamond" w:cstheme="minorHAnsi"/>
          <w:iCs/>
        </w:rPr>
        <w:t>) ‘True Grit and the Positivity of Faith’.</w:t>
      </w:r>
    </w:p>
    <w:p w14:paraId="738A01C0" w14:textId="78095B0A" w:rsidR="0094481B" w:rsidRPr="00973839" w:rsidRDefault="0094481B" w:rsidP="00973839">
      <w:pPr>
        <w:ind w:left="284" w:hanging="284"/>
        <w:jc w:val="both"/>
        <w:rPr>
          <w:rFonts w:ascii="Garamond" w:hAnsi="Garamond" w:cstheme="minorHAnsi"/>
          <w:iCs/>
        </w:rPr>
      </w:pPr>
      <w:r w:rsidRPr="00973839">
        <w:rPr>
          <w:rFonts w:ascii="Garamond" w:hAnsi="Garamond" w:cstheme="minorHAnsi"/>
          <w:iCs/>
        </w:rPr>
        <w:t>Malcolm, Finlay and Scott, Michael (</w:t>
      </w:r>
      <w:proofErr w:type="spellStart"/>
      <w:r w:rsidRPr="00973839">
        <w:rPr>
          <w:rFonts w:ascii="Garamond" w:hAnsi="Garamond" w:cstheme="minorHAnsi"/>
          <w:iCs/>
        </w:rPr>
        <w:t>MSb</w:t>
      </w:r>
      <w:proofErr w:type="spellEnd"/>
      <w:r w:rsidRPr="00973839">
        <w:rPr>
          <w:rFonts w:ascii="Garamond" w:hAnsi="Garamond" w:cstheme="minorHAnsi"/>
          <w:iCs/>
        </w:rPr>
        <w:t xml:space="preserve">) </w:t>
      </w:r>
      <w:r w:rsidRPr="00973839">
        <w:rPr>
          <w:rFonts w:ascii="Garamond" w:hAnsi="Garamond" w:cstheme="minorHAnsi"/>
          <w:i/>
          <w:iCs/>
        </w:rPr>
        <w:t>Faith, Belief and True Grit</w:t>
      </w:r>
      <w:r w:rsidRPr="00973839">
        <w:rPr>
          <w:rFonts w:ascii="Garamond" w:hAnsi="Garamond" w:cstheme="minorHAnsi"/>
          <w:iCs/>
        </w:rPr>
        <w:t>.</w:t>
      </w:r>
    </w:p>
    <w:p w14:paraId="2E12DE40" w14:textId="2D150F58" w:rsidR="00B01BBA" w:rsidRPr="00973839" w:rsidRDefault="00B01BBA" w:rsidP="00973839">
      <w:pPr>
        <w:ind w:left="284" w:hanging="284"/>
        <w:jc w:val="both"/>
        <w:rPr>
          <w:rFonts w:ascii="Garamond" w:hAnsi="Garamond" w:cstheme="minorHAnsi"/>
          <w:iCs/>
        </w:rPr>
      </w:pPr>
      <w:proofErr w:type="spellStart"/>
      <w:r w:rsidRPr="00973839">
        <w:rPr>
          <w:rFonts w:ascii="Garamond" w:hAnsi="Garamond" w:cstheme="minorHAnsi"/>
          <w:iCs/>
        </w:rPr>
        <w:t>McKaughan</w:t>
      </w:r>
      <w:proofErr w:type="spellEnd"/>
      <w:r w:rsidRPr="00973839">
        <w:rPr>
          <w:rFonts w:ascii="Garamond" w:hAnsi="Garamond" w:cstheme="minorHAnsi"/>
          <w:iCs/>
        </w:rPr>
        <w:t xml:space="preserve">, Daniel (2017) ‘On the Value of Faith and Faithfulness,’ </w:t>
      </w:r>
      <w:r w:rsidRPr="00973839">
        <w:rPr>
          <w:rFonts w:ascii="Garamond" w:hAnsi="Garamond" w:cstheme="minorHAnsi"/>
          <w:i/>
          <w:iCs/>
        </w:rPr>
        <w:t>International Journal for Philosophy of Religion</w:t>
      </w:r>
      <w:r w:rsidR="007D1904" w:rsidRPr="00973839">
        <w:rPr>
          <w:rFonts w:ascii="Garamond" w:hAnsi="Garamond" w:cstheme="minorHAnsi"/>
          <w:iCs/>
        </w:rPr>
        <w:t xml:space="preserve">, 81, </w:t>
      </w:r>
      <w:r w:rsidRPr="00973839">
        <w:rPr>
          <w:rFonts w:ascii="Garamond" w:hAnsi="Garamond" w:cstheme="minorHAnsi"/>
          <w:iCs/>
        </w:rPr>
        <w:t>7-29.</w:t>
      </w:r>
    </w:p>
    <w:p w14:paraId="60397199" w14:textId="63E98E4E" w:rsidR="00461EFF" w:rsidRPr="00973839" w:rsidRDefault="00461EFF" w:rsidP="00973839">
      <w:pPr>
        <w:ind w:left="284" w:hanging="284"/>
        <w:jc w:val="both"/>
        <w:rPr>
          <w:rFonts w:ascii="Garamond" w:hAnsi="Garamond" w:cstheme="minorHAnsi"/>
        </w:rPr>
      </w:pPr>
      <w:r w:rsidRPr="00973839">
        <w:rPr>
          <w:rFonts w:ascii="Garamond" w:hAnsi="Garamond" w:cstheme="minorHAnsi"/>
        </w:rPr>
        <w:t xml:space="preserve">Mele, Alfred (2006) ‘Self-Deception and Delusions,’ </w:t>
      </w:r>
      <w:r w:rsidRPr="00973839">
        <w:rPr>
          <w:rFonts w:ascii="Garamond" w:hAnsi="Garamond" w:cstheme="minorHAnsi"/>
          <w:i/>
        </w:rPr>
        <w:t>European Journal of Analytic Philosophy</w:t>
      </w:r>
      <w:r w:rsidRPr="00973839">
        <w:rPr>
          <w:rFonts w:ascii="Garamond" w:hAnsi="Garamond" w:cstheme="minorHAnsi"/>
        </w:rPr>
        <w:t xml:space="preserve"> 2:1, 109-124.</w:t>
      </w:r>
    </w:p>
    <w:p w14:paraId="4AF72600" w14:textId="160E433A" w:rsidR="00C24F5F" w:rsidRPr="00973839" w:rsidRDefault="00C24F5F" w:rsidP="00973839">
      <w:pPr>
        <w:ind w:left="284" w:hanging="284"/>
        <w:jc w:val="both"/>
        <w:rPr>
          <w:rFonts w:ascii="Garamond" w:hAnsi="Garamond" w:cstheme="minorHAnsi"/>
        </w:rPr>
      </w:pPr>
      <w:r w:rsidRPr="00973839">
        <w:rPr>
          <w:rFonts w:ascii="Garamond" w:hAnsi="Garamond" w:cstheme="minorHAnsi"/>
        </w:rPr>
        <w:t>Morton, Jennifer and Paul, Sarah (</w:t>
      </w:r>
      <w:r w:rsidR="007C143B" w:rsidRPr="00973839">
        <w:rPr>
          <w:rFonts w:ascii="Garamond" w:hAnsi="Garamond" w:cstheme="minorHAnsi"/>
        </w:rPr>
        <w:t>2019</w:t>
      </w:r>
      <w:r w:rsidRPr="00973839">
        <w:rPr>
          <w:rFonts w:ascii="Garamond" w:hAnsi="Garamond" w:cstheme="minorHAnsi"/>
        </w:rPr>
        <w:t xml:space="preserve">) ‘Grit,’ </w:t>
      </w:r>
      <w:r w:rsidRPr="00973839">
        <w:rPr>
          <w:rFonts w:ascii="Garamond" w:hAnsi="Garamond" w:cstheme="minorHAnsi"/>
          <w:i/>
        </w:rPr>
        <w:t>Ethics</w:t>
      </w:r>
      <w:r w:rsidR="007C143B" w:rsidRPr="00973839">
        <w:rPr>
          <w:rFonts w:ascii="Garamond" w:hAnsi="Garamond" w:cstheme="minorHAnsi"/>
        </w:rPr>
        <w:t>, 129, 175-203</w:t>
      </w:r>
      <w:r w:rsidRPr="00973839">
        <w:rPr>
          <w:rFonts w:ascii="Garamond" w:hAnsi="Garamond" w:cstheme="minorHAnsi"/>
        </w:rPr>
        <w:t>.</w:t>
      </w:r>
    </w:p>
    <w:p w14:paraId="609541FA" w14:textId="2CE792CA" w:rsidR="002C51F3" w:rsidRPr="00973839" w:rsidRDefault="002C51F3" w:rsidP="00973839">
      <w:pPr>
        <w:ind w:left="284" w:hanging="284"/>
        <w:jc w:val="both"/>
        <w:rPr>
          <w:rFonts w:ascii="Garamond" w:hAnsi="Garamond" w:cstheme="minorHAnsi"/>
        </w:rPr>
      </w:pPr>
      <w:r w:rsidRPr="00973839">
        <w:rPr>
          <w:rFonts w:ascii="Garamond" w:hAnsi="Garamond" w:cstheme="minorHAnsi"/>
        </w:rPr>
        <w:t xml:space="preserve">Plantinga, Alvin (2000) </w:t>
      </w:r>
      <w:r w:rsidRPr="00973839">
        <w:rPr>
          <w:rFonts w:ascii="Garamond" w:hAnsi="Garamond" w:cstheme="minorHAnsi"/>
          <w:i/>
        </w:rPr>
        <w:t>Warranted Christian Belief</w:t>
      </w:r>
      <w:r w:rsidRPr="00973839">
        <w:rPr>
          <w:rFonts w:ascii="Garamond" w:hAnsi="Garamond" w:cstheme="minorHAnsi"/>
        </w:rPr>
        <w:t>. Oxford: Oxford University Press.</w:t>
      </w:r>
    </w:p>
    <w:p w14:paraId="38663863" w14:textId="1F03670E" w:rsidR="00193AD9" w:rsidRPr="00973839" w:rsidRDefault="00193AD9" w:rsidP="00973839">
      <w:pPr>
        <w:ind w:left="284" w:hanging="284"/>
        <w:jc w:val="both"/>
        <w:rPr>
          <w:rFonts w:ascii="Garamond" w:hAnsi="Garamond" w:cstheme="minorHAnsi"/>
        </w:rPr>
      </w:pPr>
      <w:r w:rsidRPr="00973839">
        <w:rPr>
          <w:rFonts w:ascii="Garamond" w:hAnsi="Garamond" w:cstheme="minorHAnsi"/>
        </w:rPr>
        <w:t>Preston-</w:t>
      </w:r>
      <w:proofErr w:type="spellStart"/>
      <w:r w:rsidRPr="00973839">
        <w:rPr>
          <w:rFonts w:ascii="Garamond" w:hAnsi="Garamond" w:cstheme="minorHAnsi"/>
        </w:rPr>
        <w:t>Roedder</w:t>
      </w:r>
      <w:proofErr w:type="spellEnd"/>
      <w:r w:rsidRPr="00973839">
        <w:rPr>
          <w:rFonts w:ascii="Garamond" w:hAnsi="Garamond" w:cstheme="minorHAnsi"/>
        </w:rPr>
        <w:t xml:space="preserve">, Ryan (2013) ‘Faith in Humanity,’ </w:t>
      </w:r>
      <w:r w:rsidRPr="00973839">
        <w:rPr>
          <w:rFonts w:ascii="Garamond" w:hAnsi="Garamond" w:cstheme="minorHAnsi"/>
          <w:i/>
        </w:rPr>
        <w:t>Philosophy and Phenomenological Research</w:t>
      </w:r>
      <w:r w:rsidRPr="00973839">
        <w:rPr>
          <w:rFonts w:ascii="Garamond" w:hAnsi="Garamond" w:cstheme="minorHAnsi"/>
        </w:rPr>
        <w:t>, 87, 3, 664-687.</w:t>
      </w:r>
    </w:p>
    <w:p w14:paraId="3F4DD674" w14:textId="46F176C5" w:rsidR="009F5B13" w:rsidRPr="00973839" w:rsidRDefault="009F5B13" w:rsidP="00973839">
      <w:pPr>
        <w:ind w:left="284" w:hanging="284"/>
        <w:jc w:val="both"/>
        <w:rPr>
          <w:rFonts w:ascii="Garamond" w:hAnsi="Garamond" w:cstheme="minorHAnsi"/>
        </w:rPr>
      </w:pPr>
      <w:r w:rsidRPr="00973839">
        <w:rPr>
          <w:rFonts w:ascii="Garamond" w:hAnsi="Garamond" w:cstheme="minorHAnsi"/>
        </w:rPr>
        <w:t xml:space="preserve">Scheffler, Samuel (2010) ‘Morality and Reasonable Partiality,’ Samuel Scheffler (ed.) </w:t>
      </w:r>
      <w:r w:rsidRPr="00973839">
        <w:rPr>
          <w:rFonts w:ascii="Garamond" w:hAnsi="Garamond" w:cstheme="minorHAnsi"/>
          <w:i/>
        </w:rPr>
        <w:t>Equality and Tradition</w:t>
      </w:r>
      <w:r w:rsidRPr="00973839">
        <w:rPr>
          <w:rFonts w:ascii="Garamond" w:hAnsi="Garamond" w:cstheme="minorHAnsi"/>
        </w:rPr>
        <w:t>. Oxford: Oxford University Press, 41-75.</w:t>
      </w:r>
    </w:p>
    <w:p w14:paraId="2E23ED59" w14:textId="25A4D360" w:rsidR="00B01BBA" w:rsidRPr="00973839" w:rsidRDefault="00B01BBA" w:rsidP="00973839">
      <w:pPr>
        <w:ind w:left="284" w:hanging="284"/>
        <w:jc w:val="both"/>
        <w:rPr>
          <w:rFonts w:ascii="Garamond" w:hAnsi="Garamond" w:cstheme="minorHAnsi"/>
          <w:i/>
        </w:rPr>
      </w:pPr>
      <w:r w:rsidRPr="00973839">
        <w:rPr>
          <w:rFonts w:ascii="Garamond" w:hAnsi="Garamond" w:cstheme="minorHAnsi"/>
        </w:rPr>
        <w:t xml:space="preserve">Schellenberg, J. L. (2005) </w:t>
      </w:r>
      <w:r w:rsidRPr="00973839">
        <w:rPr>
          <w:rFonts w:ascii="Garamond" w:hAnsi="Garamond" w:cstheme="minorHAnsi"/>
          <w:i/>
        </w:rPr>
        <w:t>Prolegomena to a Philosophy of Religion</w:t>
      </w:r>
      <w:r w:rsidRPr="00973839">
        <w:rPr>
          <w:rFonts w:ascii="Garamond" w:hAnsi="Garamond" w:cstheme="minorHAnsi"/>
        </w:rPr>
        <w:t>. Ithaca: Cornell University Press.</w:t>
      </w:r>
      <w:r w:rsidRPr="00973839">
        <w:rPr>
          <w:rFonts w:ascii="Garamond" w:hAnsi="Garamond" w:cstheme="minorHAnsi"/>
          <w:i/>
        </w:rPr>
        <w:t xml:space="preserve"> </w:t>
      </w:r>
    </w:p>
    <w:p w14:paraId="7A8B7015" w14:textId="0668545B" w:rsidR="004D4486" w:rsidRPr="00973839" w:rsidRDefault="004D4486" w:rsidP="00973839">
      <w:pPr>
        <w:ind w:left="284" w:hanging="284"/>
        <w:jc w:val="both"/>
        <w:rPr>
          <w:rFonts w:ascii="Garamond" w:hAnsi="Garamond" w:cstheme="minorHAnsi"/>
          <w:iCs/>
        </w:rPr>
      </w:pPr>
      <w:r w:rsidRPr="00973839">
        <w:rPr>
          <w:rFonts w:ascii="Garamond" w:hAnsi="Garamond" w:cstheme="minorHAnsi"/>
          <w:iCs/>
        </w:rPr>
        <w:t xml:space="preserve">Sessions, William Ladd (1994) </w:t>
      </w:r>
      <w:r w:rsidRPr="00973839">
        <w:rPr>
          <w:rFonts w:ascii="Garamond" w:hAnsi="Garamond" w:cstheme="minorHAnsi"/>
          <w:i/>
          <w:iCs/>
        </w:rPr>
        <w:t>The Concept of Faith</w:t>
      </w:r>
      <w:r w:rsidRPr="00973839">
        <w:rPr>
          <w:rFonts w:ascii="Garamond" w:hAnsi="Garamond" w:cstheme="minorHAnsi"/>
          <w:iCs/>
        </w:rPr>
        <w:t xml:space="preserve">. Ithaca: Cornell University Press. </w:t>
      </w:r>
    </w:p>
    <w:p w14:paraId="47BDD4D0" w14:textId="16A29C6B" w:rsidR="002C51F3" w:rsidRPr="00973839" w:rsidRDefault="002C51F3" w:rsidP="00973839">
      <w:pPr>
        <w:ind w:left="284" w:hanging="284"/>
        <w:jc w:val="both"/>
        <w:rPr>
          <w:rFonts w:ascii="Garamond" w:hAnsi="Garamond" w:cstheme="minorHAnsi"/>
        </w:rPr>
      </w:pPr>
      <w:r w:rsidRPr="00973839">
        <w:rPr>
          <w:rFonts w:ascii="Garamond" w:hAnsi="Garamond" w:cstheme="minorHAnsi"/>
        </w:rPr>
        <w:t xml:space="preserve">Stanley, Jason (2005) </w:t>
      </w:r>
      <w:r w:rsidRPr="00973839">
        <w:rPr>
          <w:rFonts w:ascii="Garamond" w:hAnsi="Garamond" w:cstheme="minorHAnsi"/>
          <w:i/>
        </w:rPr>
        <w:t>Knowledge and Practical Interests</w:t>
      </w:r>
      <w:r w:rsidRPr="00973839">
        <w:rPr>
          <w:rFonts w:ascii="Garamond" w:hAnsi="Garamond" w:cstheme="minorHAnsi"/>
        </w:rPr>
        <w:t>. Oxford: Oxford University Press.</w:t>
      </w:r>
    </w:p>
    <w:p w14:paraId="014A75F7" w14:textId="3A62D8D9" w:rsidR="009C7A59" w:rsidRPr="00973839" w:rsidRDefault="009C7A59" w:rsidP="00973839">
      <w:pPr>
        <w:ind w:left="284" w:hanging="284"/>
        <w:jc w:val="both"/>
        <w:rPr>
          <w:rFonts w:ascii="Garamond" w:hAnsi="Garamond" w:cstheme="minorHAnsi"/>
        </w:rPr>
      </w:pPr>
      <w:r w:rsidRPr="00973839">
        <w:rPr>
          <w:rFonts w:ascii="Garamond" w:hAnsi="Garamond" w:cstheme="minorHAnsi"/>
        </w:rPr>
        <w:t>Stroud, Sarah (2006)</w:t>
      </w:r>
      <w:r w:rsidR="002C51F3" w:rsidRPr="00973839">
        <w:rPr>
          <w:rFonts w:ascii="Garamond" w:hAnsi="Garamond" w:cstheme="minorHAnsi"/>
        </w:rPr>
        <w:t xml:space="preserve"> ‘Epistemic Partiality in Friendship,’ </w:t>
      </w:r>
      <w:r w:rsidR="002C51F3" w:rsidRPr="00973839">
        <w:rPr>
          <w:rFonts w:ascii="Garamond" w:hAnsi="Garamond" w:cstheme="minorHAnsi"/>
          <w:i/>
        </w:rPr>
        <w:t>Ethics</w:t>
      </w:r>
      <w:r w:rsidR="002C51F3" w:rsidRPr="00973839">
        <w:rPr>
          <w:rFonts w:ascii="Garamond" w:hAnsi="Garamond" w:cstheme="minorHAnsi"/>
        </w:rPr>
        <w:t>, Vol. 116, No. 3, 498-524.</w:t>
      </w:r>
    </w:p>
    <w:p w14:paraId="54C1B2FE" w14:textId="1B2FA8FE" w:rsidR="006B1D69" w:rsidRPr="00973839" w:rsidRDefault="00B01BBA" w:rsidP="00973839">
      <w:pPr>
        <w:ind w:left="284" w:hanging="284"/>
        <w:jc w:val="both"/>
        <w:rPr>
          <w:rFonts w:ascii="Garamond" w:hAnsi="Garamond" w:cstheme="minorHAnsi"/>
        </w:rPr>
      </w:pPr>
      <w:r w:rsidRPr="00973839">
        <w:rPr>
          <w:rFonts w:ascii="Garamond" w:hAnsi="Garamond" w:cstheme="minorHAnsi"/>
        </w:rPr>
        <w:t xml:space="preserve">Swinburne, Richard (2005) </w:t>
      </w:r>
      <w:r w:rsidRPr="00973839">
        <w:rPr>
          <w:rFonts w:ascii="Garamond" w:hAnsi="Garamond" w:cstheme="minorHAnsi"/>
          <w:i/>
        </w:rPr>
        <w:t>Faith and Reason</w:t>
      </w:r>
      <w:r w:rsidRPr="00973839">
        <w:rPr>
          <w:rFonts w:ascii="Garamond" w:hAnsi="Garamond" w:cstheme="minorHAnsi"/>
        </w:rPr>
        <w:t>. 2</w:t>
      </w:r>
      <w:r w:rsidRPr="00973839">
        <w:rPr>
          <w:rFonts w:ascii="Garamond" w:hAnsi="Garamond" w:cstheme="minorHAnsi"/>
          <w:vertAlign w:val="superscript"/>
        </w:rPr>
        <w:t>nd</w:t>
      </w:r>
      <w:r w:rsidRPr="00973839">
        <w:rPr>
          <w:rFonts w:ascii="Garamond" w:hAnsi="Garamond" w:cstheme="minorHAnsi"/>
        </w:rPr>
        <w:t xml:space="preserve"> edition. Oxford: Oxford University Press.</w:t>
      </w:r>
    </w:p>
    <w:p w14:paraId="0E72E348" w14:textId="4A7A6429" w:rsidR="00C24F5F" w:rsidRPr="00973839" w:rsidRDefault="00C24F5F" w:rsidP="00973839">
      <w:pPr>
        <w:ind w:left="284" w:hanging="284"/>
        <w:jc w:val="both"/>
        <w:rPr>
          <w:rFonts w:ascii="Garamond" w:hAnsi="Garamond" w:cstheme="minorHAnsi"/>
        </w:rPr>
      </w:pPr>
      <w:r w:rsidRPr="00973839">
        <w:rPr>
          <w:rFonts w:ascii="Garamond" w:hAnsi="Garamond" w:cstheme="minorHAnsi"/>
        </w:rPr>
        <w:t xml:space="preserve">White, Roger (2005) ‘Epistemic Permissiveness,’ </w:t>
      </w:r>
      <w:r w:rsidRPr="00973839">
        <w:rPr>
          <w:rFonts w:ascii="Garamond" w:hAnsi="Garamond" w:cstheme="minorHAnsi"/>
          <w:i/>
          <w:iCs/>
        </w:rPr>
        <w:t xml:space="preserve">Philosophical Perspectives </w:t>
      </w:r>
      <w:r w:rsidRPr="00973839">
        <w:rPr>
          <w:rFonts w:ascii="Garamond" w:hAnsi="Garamond" w:cstheme="minorHAnsi"/>
        </w:rPr>
        <w:t>19, no. 1, 445–59.</w:t>
      </w:r>
    </w:p>
    <w:sectPr w:rsidR="00C24F5F" w:rsidRPr="00973839" w:rsidSect="0012335A">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67332" w14:textId="77777777" w:rsidR="00E27EC4" w:rsidRDefault="00E27EC4" w:rsidP="0012335A">
      <w:pPr>
        <w:spacing w:line="240" w:lineRule="auto"/>
      </w:pPr>
      <w:r>
        <w:separator/>
      </w:r>
    </w:p>
  </w:endnote>
  <w:endnote w:type="continuationSeparator" w:id="0">
    <w:p w14:paraId="54E93E32" w14:textId="77777777" w:rsidR="00E27EC4" w:rsidRDefault="00E27EC4" w:rsidP="001233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cstheme="minorHAnsi"/>
      </w:rPr>
      <w:id w:val="444501668"/>
      <w:docPartObj>
        <w:docPartGallery w:val="Page Numbers (Bottom of Page)"/>
        <w:docPartUnique/>
      </w:docPartObj>
    </w:sdtPr>
    <w:sdtEndPr>
      <w:rPr>
        <w:noProof/>
      </w:rPr>
    </w:sdtEndPr>
    <w:sdtContent>
      <w:p w14:paraId="0C3FE412" w14:textId="1E5C18FC" w:rsidR="002E6C3D" w:rsidRPr="00AC56FB" w:rsidRDefault="002E6C3D">
        <w:pPr>
          <w:pStyle w:val="Footer"/>
          <w:jc w:val="center"/>
          <w:rPr>
            <w:rFonts w:ascii="Garamond" w:hAnsi="Garamond" w:cstheme="minorHAnsi"/>
          </w:rPr>
        </w:pPr>
        <w:r w:rsidRPr="00AC56FB">
          <w:rPr>
            <w:rFonts w:ascii="Garamond" w:hAnsi="Garamond" w:cstheme="minorHAnsi"/>
          </w:rPr>
          <w:fldChar w:fldCharType="begin"/>
        </w:r>
        <w:r w:rsidRPr="00AC56FB">
          <w:rPr>
            <w:rFonts w:ascii="Garamond" w:hAnsi="Garamond" w:cstheme="minorHAnsi"/>
          </w:rPr>
          <w:instrText xml:space="preserve"> PAGE   \* MERGEFORMAT </w:instrText>
        </w:r>
        <w:r w:rsidRPr="00AC56FB">
          <w:rPr>
            <w:rFonts w:ascii="Garamond" w:hAnsi="Garamond" w:cstheme="minorHAnsi"/>
          </w:rPr>
          <w:fldChar w:fldCharType="separate"/>
        </w:r>
        <w:r w:rsidR="001F1172" w:rsidRPr="00AC56FB">
          <w:rPr>
            <w:rFonts w:ascii="Garamond" w:hAnsi="Garamond" w:cstheme="minorHAnsi"/>
            <w:noProof/>
          </w:rPr>
          <w:t>2</w:t>
        </w:r>
        <w:r w:rsidRPr="00AC56FB">
          <w:rPr>
            <w:rFonts w:ascii="Garamond" w:hAnsi="Garamond" w:cstheme="minorHAnsi"/>
            <w:noProof/>
          </w:rPr>
          <w:fldChar w:fldCharType="end"/>
        </w:r>
      </w:p>
    </w:sdtContent>
  </w:sdt>
  <w:p w14:paraId="35BF2621" w14:textId="77777777" w:rsidR="002E6C3D" w:rsidRPr="00AC56FB" w:rsidRDefault="002E6C3D">
    <w:pPr>
      <w:pStyle w:val="Footer"/>
      <w:rPr>
        <w:rFonts w:ascii="Garamond" w:hAnsi="Garamond"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530BA" w14:textId="77777777" w:rsidR="00E27EC4" w:rsidRDefault="00E27EC4" w:rsidP="0012335A">
      <w:pPr>
        <w:spacing w:line="240" w:lineRule="auto"/>
      </w:pPr>
      <w:r>
        <w:separator/>
      </w:r>
    </w:p>
  </w:footnote>
  <w:footnote w:type="continuationSeparator" w:id="0">
    <w:p w14:paraId="78026467" w14:textId="77777777" w:rsidR="00E27EC4" w:rsidRDefault="00E27EC4" w:rsidP="0012335A">
      <w:pPr>
        <w:spacing w:line="240" w:lineRule="auto"/>
      </w:pPr>
      <w:r>
        <w:continuationSeparator/>
      </w:r>
    </w:p>
  </w:footnote>
  <w:footnote w:id="1">
    <w:p w14:paraId="4193CFA7" w14:textId="662B7DF1" w:rsidR="00F53489" w:rsidRPr="00AC56FB" w:rsidRDefault="00F53489" w:rsidP="00F53489">
      <w:pPr>
        <w:pStyle w:val="FootnoteText"/>
        <w:rPr>
          <w:rFonts w:ascii="Garamond" w:hAnsi="Garamond" w:cstheme="minorHAnsi"/>
        </w:rPr>
      </w:pPr>
      <w:r w:rsidRPr="00AC56FB">
        <w:rPr>
          <w:rStyle w:val="FootnoteReference"/>
          <w:rFonts w:ascii="Garamond" w:hAnsi="Garamond" w:cstheme="minorHAnsi"/>
        </w:rPr>
        <w:footnoteRef/>
      </w:r>
      <w:r w:rsidRPr="00AC56FB">
        <w:rPr>
          <w:rFonts w:ascii="Garamond" w:hAnsi="Garamond" w:cstheme="minorHAnsi"/>
        </w:rPr>
        <w:t xml:space="preserve"> Howard-Snyder (2013, 368-370) </w:t>
      </w:r>
      <w:r w:rsidR="00847B1F" w:rsidRPr="00AC56FB">
        <w:rPr>
          <w:rFonts w:ascii="Garamond" w:hAnsi="Garamond" w:cstheme="minorHAnsi"/>
        </w:rPr>
        <w:t>helpfully</w:t>
      </w:r>
      <w:r w:rsidRPr="00AC56FB">
        <w:rPr>
          <w:rFonts w:ascii="Garamond" w:hAnsi="Garamond" w:cstheme="minorHAnsi"/>
        </w:rPr>
        <w:t xml:space="preserve"> cites several instances of a claim </w:t>
      </w:r>
      <w:proofErr w:type="gramStart"/>
      <w:r w:rsidRPr="00AC56FB">
        <w:rPr>
          <w:rFonts w:ascii="Garamond" w:hAnsi="Garamond" w:cstheme="minorHAnsi"/>
        </w:rPr>
        <w:t>similar to</w:t>
      </w:r>
      <w:proofErr w:type="gramEnd"/>
      <w:r w:rsidRPr="00AC56FB">
        <w:rPr>
          <w:rFonts w:ascii="Garamond" w:hAnsi="Garamond" w:cstheme="minorHAnsi"/>
        </w:rPr>
        <w:t xml:space="preserve"> FBE from literature mostly targeted at a general audience.</w:t>
      </w:r>
      <w:r w:rsidR="00213AF2" w:rsidRPr="00AC56FB">
        <w:rPr>
          <w:rFonts w:ascii="Garamond" w:hAnsi="Garamond" w:cstheme="minorHAnsi"/>
        </w:rPr>
        <w:t xml:space="preserve"> FBE is rejected by numerous authors, including Locke (1924) and </w:t>
      </w:r>
      <w:r w:rsidRPr="00AC56FB">
        <w:rPr>
          <w:rFonts w:ascii="Garamond" w:hAnsi="Garamond" w:cstheme="minorHAnsi"/>
        </w:rPr>
        <w:t>Plantinga</w:t>
      </w:r>
      <w:r w:rsidR="00213AF2" w:rsidRPr="00AC56FB">
        <w:rPr>
          <w:rFonts w:ascii="Garamond" w:hAnsi="Garamond" w:cstheme="minorHAnsi"/>
        </w:rPr>
        <w:t xml:space="preserve"> (2000). </w:t>
      </w:r>
      <w:r w:rsidR="00847B1F" w:rsidRPr="00AC56FB">
        <w:rPr>
          <w:rFonts w:ascii="Garamond" w:hAnsi="Garamond" w:cstheme="minorHAnsi"/>
        </w:rPr>
        <w:t>FBE</w:t>
      </w:r>
      <w:r w:rsidR="00213AF2" w:rsidRPr="00AC56FB">
        <w:rPr>
          <w:rFonts w:ascii="Garamond" w:hAnsi="Garamond" w:cstheme="minorHAnsi"/>
        </w:rPr>
        <w:t xml:space="preserve"> also takes more moderate forms, as when someone claims that faith requires a weak epistemic position </w:t>
      </w:r>
      <w:r w:rsidR="008619E6" w:rsidRPr="00AC56FB">
        <w:rPr>
          <w:rFonts w:ascii="Garamond" w:hAnsi="Garamond" w:cstheme="minorHAnsi"/>
        </w:rPr>
        <w:t xml:space="preserve">vis-à-vis </w:t>
      </w:r>
      <w:r w:rsidR="00213AF2" w:rsidRPr="00AC56FB">
        <w:rPr>
          <w:rFonts w:ascii="Garamond" w:hAnsi="Garamond" w:cstheme="minorHAnsi"/>
        </w:rPr>
        <w:t>evidence (</w:t>
      </w:r>
      <w:proofErr w:type="spellStart"/>
      <w:r w:rsidRPr="00AC56FB">
        <w:rPr>
          <w:rFonts w:ascii="Garamond" w:hAnsi="Garamond" w:cstheme="minorHAnsi"/>
        </w:rPr>
        <w:t>Buchak</w:t>
      </w:r>
      <w:proofErr w:type="spellEnd"/>
      <w:r w:rsidR="002C51F3" w:rsidRPr="00AC56FB">
        <w:rPr>
          <w:rFonts w:ascii="Garamond" w:hAnsi="Garamond" w:cstheme="minorHAnsi"/>
        </w:rPr>
        <w:t xml:space="preserve"> 2014, </w:t>
      </w:r>
      <w:r w:rsidR="00213AF2" w:rsidRPr="00AC56FB">
        <w:rPr>
          <w:rFonts w:ascii="Garamond" w:hAnsi="Garamond" w:cstheme="minorHAnsi"/>
        </w:rPr>
        <w:t>53;</w:t>
      </w:r>
      <w:r w:rsidRPr="00AC56FB">
        <w:rPr>
          <w:rFonts w:ascii="Garamond" w:hAnsi="Garamond" w:cstheme="minorHAnsi"/>
        </w:rPr>
        <w:t xml:space="preserve"> Alston</w:t>
      </w:r>
      <w:r w:rsidR="002C51F3" w:rsidRPr="00AC56FB">
        <w:rPr>
          <w:rFonts w:ascii="Garamond" w:hAnsi="Garamond" w:cstheme="minorHAnsi"/>
        </w:rPr>
        <w:t xml:space="preserve"> 1996, </w:t>
      </w:r>
      <w:r w:rsidR="00213AF2" w:rsidRPr="00AC56FB">
        <w:rPr>
          <w:rFonts w:ascii="Garamond" w:hAnsi="Garamond" w:cstheme="minorHAnsi"/>
        </w:rPr>
        <w:t>12)</w:t>
      </w:r>
      <w:r w:rsidRPr="00AC56FB">
        <w:rPr>
          <w:rFonts w:ascii="Garamond" w:hAnsi="Garamond" w:cstheme="minorHAnsi"/>
        </w:rPr>
        <w:t>.</w:t>
      </w:r>
    </w:p>
  </w:footnote>
  <w:footnote w:id="2">
    <w:p w14:paraId="53D88527" w14:textId="40A6B435" w:rsidR="002E6C3D" w:rsidRPr="00AC56FB" w:rsidRDefault="002E6C3D">
      <w:pPr>
        <w:pStyle w:val="FootnoteText"/>
        <w:rPr>
          <w:rFonts w:ascii="Garamond" w:hAnsi="Garamond" w:cstheme="minorHAnsi"/>
        </w:rPr>
      </w:pPr>
      <w:r w:rsidRPr="00AC56FB">
        <w:rPr>
          <w:rStyle w:val="FootnoteReference"/>
          <w:rFonts w:ascii="Garamond" w:hAnsi="Garamond" w:cstheme="minorHAnsi"/>
        </w:rPr>
        <w:footnoteRef/>
      </w:r>
      <w:r w:rsidRPr="00AC56FB">
        <w:rPr>
          <w:rFonts w:ascii="Garamond" w:hAnsi="Garamond" w:cstheme="minorHAnsi"/>
        </w:rPr>
        <w:t xml:space="preserve"> The distinction that is sometimes made here is between propositional and doxastic justification.</w:t>
      </w:r>
    </w:p>
  </w:footnote>
  <w:footnote w:id="3">
    <w:p w14:paraId="73CD3BC0" w14:textId="4A9E3224" w:rsidR="002E6C3D" w:rsidRPr="00AC56FB" w:rsidRDefault="002E6C3D">
      <w:pPr>
        <w:pStyle w:val="FootnoteText"/>
        <w:rPr>
          <w:rFonts w:ascii="Garamond" w:hAnsi="Garamond" w:cstheme="minorHAnsi"/>
        </w:rPr>
      </w:pPr>
      <w:r w:rsidRPr="00AC56FB">
        <w:rPr>
          <w:rStyle w:val="FootnoteReference"/>
          <w:rFonts w:ascii="Garamond" w:hAnsi="Garamond" w:cstheme="minorHAnsi"/>
        </w:rPr>
        <w:footnoteRef/>
      </w:r>
      <w:r w:rsidRPr="00AC56FB">
        <w:rPr>
          <w:rFonts w:ascii="Garamond" w:hAnsi="Garamond" w:cstheme="minorHAnsi"/>
        </w:rPr>
        <w:t xml:space="preserve"> The person may be either aware or unaware that she is treating evidence in this disproportionate way.</w:t>
      </w:r>
    </w:p>
  </w:footnote>
  <w:footnote w:id="4">
    <w:p w14:paraId="411601CB" w14:textId="0951CE4B" w:rsidR="002E6C3D" w:rsidRPr="00AC56FB" w:rsidRDefault="002E6C3D">
      <w:pPr>
        <w:pStyle w:val="FootnoteText"/>
        <w:rPr>
          <w:rFonts w:ascii="Garamond" w:hAnsi="Garamond" w:cstheme="minorHAnsi"/>
        </w:rPr>
      </w:pPr>
      <w:r w:rsidRPr="00AC56FB">
        <w:rPr>
          <w:rStyle w:val="FootnoteReference"/>
          <w:rFonts w:ascii="Garamond" w:hAnsi="Garamond" w:cstheme="minorHAnsi"/>
        </w:rPr>
        <w:footnoteRef/>
      </w:r>
      <w:r w:rsidRPr="00AC56FB">
        <w:rPr>
          <w:rFonts w:ascii="Garamond" w:hAnsi="Garamond" w:cstheme="minorHAnsi"/>
        </w:rPr>
        <w:t xml:space="preserve"> In these cases, it seems plausible that I must be aware of what the evidence warrants. My behaviour is intentionally recalcitrant. </w:t>
      </w:r>
    </w:p>
  </w:footnote>
  <w:footnote w:id="5">
    <w:p w14:paraId="12BA754B" w14:textId="3672425A" w:rsidR="002E6C3D" w:rsidRPr="00AC56FB" w:rsidRDefault="002E6C3D">
      <w:pPr>
        <w:pStyle w:val="FootnoteText"/>
        <w:rPr>
          <w:rFonts w:ascii="Garamond" w:hAnsi="Garamond" w:cstheme="minorHAnsi"/>
        </w:rPr>
      </w:pPr>
      <w:r w:rsidRPr="00AC56FB">
        <w:rPr>
          <w:rStyle w:val="FootnoteReference"/>
          <w:rFonts w:ascii="Garamond" w:hAnsi="Garamond" w:cstheme="minorHAnsi"/>
        </w:rPr>
        <w:footnoteRef/>
      </w:r>
      <w:r w:rsidRPr="00AC56FB">
        <w:rPr>
          <w:rFonts w:ascii="Garamond" w:hAnsi="Garamond" w:cstheme="minorHAnsi"/>
        </w:rPr>
        <w:t xml:space="preserve"> c.f. Lara </w:t>
      </w:r>
      <w:proofErr w:type="spellStart"/>
      <w:r w:rsidRPr="00AC56FB">
        <w:rPr>
          <w:rFonts w:ascii="Garamond" w:hAnsi="Garamond" w:cstheme="minorHAnsi"/>
        </w:rPr>
        <w:t>Buchak’s</w:t>
      </w:r>
      <w:proofErr w:type="spellEnd"/>
      <w:r w:rsidRPr="00AC56FB">
        <w:rPr>
          <w:rFonts w:ascii="Garamond" w:hAnsi="Garamond" w:cstheme="minorHAnsi"/>
        </w:rPr>
        <w:t xml:space="preserve"> second and third analyses of going beyond the evidence (2012, 229-30).</w:t>
      </w:r>
    </w:p>
  </w:footnote>
  <w:footnote w:id="6">
    <w:p w14:paraId="6E298090" w14:textId="32673733" w:rsidR="00CA607C" w:rsidRPr="00AC56FB" w:rsidRDefault="00CA607C">
      <w:pPr>
        <w:pStyle w:val="FootnoteText"/>
        <w:rPr>
          <w:rFonts w:ascii="Garamond" w:hAnsi="Garamond" w:cstheme="minorHAnsi"/>
        </w:rPr>
      </w:pPr>
      <w:r w:rsidRPr="00AC56FB">
        <w:rPr>
          <w:rStyle w:val="FootnoteReference"/>
          <w:rFonts w:ascii="Garamond" w:hAnsi="Garamond" w:cstheme="minorHAnsi"/>
        </w:rPr>
        <w:footnoteRef/>
      </w:r>
      <w:r w:rsidRPr="00AC56FB">
        <w:rPr>
          <w:rFonts w:ascii="Garamond" w:hAnsi="Garamond" w:cstheme="minorHAnsi"/>
        </w:rPr>
        <w:t xml:space="preserve"> The position outlined here is not uncontroversial. Some epistemological theories reject the claim that two people can form rational, but differing kinds of doxastic attitudes </w:t>
      </w:r>
      <w:proofErr w:type="gramStart"/>
      <w:r w:rsidRPr="00AC56FB">
        <w:rPr>
          <w:rFonts w:ascii="Garamond" w:hAnsi="Garamond" w:cstheme="minorHAnsi"/>
        </w:rPr>
        <w:t>on the basis of</w:t>
      </w:r>
      <w:proofErr w:type="gramEnd"/>
      <w:r w:rsidRPr="00AC56FB">
        <w:rPr>
          <w:rFonts w:ascii="Garamond" w:hAnsi="Garamond" w:cstheme="minorHAnsi"/>
        </w:rPr>
        <w:t xml:space="preserve"> the same evidence. One example is the </w:t>
      </w:r>
      <w:r w:rsidRPr="00AC56FB">
        <w:rPr>
          <w:rFonts w:ascii="Garamond" w:hAnsi="Garamond" w:cstheme="minorHAnsi"/>
          <w:i/>
        </w:rPr>
        <w:t>Uniqueness</w:t>
      </w:r>
      <w:r w:rsidRPr="00AC56FB">
        <w:rPr>
          <w:rFonts w:ascii="Garamond" w:hAnsi="Garamond" w:cstheme="minorHAnsi"/>
        </w:rPr>
        <w:t xml:space="preserve"> thesis, which holds that ‘[g]</w:t>
      </w:r>
      <w:proofErr w:type="spellStart"/>
      <w:r w:rsidRPr="00AC56FB">
        <w:rPr>
          <w:rFonts w:ascii="Garamond" w:hAnsi="Garamond" w:cstheme="minorHAnsi"/>
        </w:rPr>
        <w:t>iven</w:t>
      </w:r>
      <w:proofErr w:type="spellEnd"/>
      <w:r w:rsidRPr="00AC56FB">
        <w:rPr>
          <w:rFonts w:ascii="Garamond" w:hAnsi="Garamond" w:cstheme="minorHAnsi"/>
        </w:rPr>
        <w:t xml:space="preserve"> one’s total evidence, there is a unique rational doxastic attitude that one can take to any proposition’ (White 2005, 446; cf. Feldman 2007).</w:t>
      </w:r>
    </w:p>
  </w:footnote>
  <w:footnote w:id="7">
    <w:p w14:paraId="68E8647E" w14:textId="77777777" w:rsidR="00B97645" w:rsidRPr="00AC56FB" w:rsidRDefault="00B97645" w:rsidP="00B97645">
      <w:pPr>
        <w:pStyle w:val="FootnoteText"/>
        <w:rPr>
          <w:rFonts w:ascii="Garamond" w:hAnsi="Garamond" w:cstheme="minorHAnsi"/>
        </w:rPr>
      </w:pPr>
      <w:r w:rsidRPr="00AC56FB">
        <w:rPr>
          <w:rStyle w:val="FootnoteReference"/>
          <w:rFonts w:ascii="Garamond" w:hAnsi="Garamond" w:cstheme="minorHAnsi"/>
        </w:rPr>
        <w:footnoteRef/>
      </w:r>
      <w:r w:rsidRPr="00AC56FB">
        <w:rPr>
          <w:rFonts w:ascii="Garamond" w:hAnsi="Garamond" w:cstheme="minorHAnsi"/>
        </w:rPr>
        <w:t xml:space="preserve"> For some taxonomies, see Audi (2011, 52-65) and Sessions (1994).</w:t>
      </w:r>
    </w:p>
  </w:footnote>
  <w:footnote w:id="8">
    <w:p w14:paraId="5FDCA308" w14:textId="08F604ED" w:rsidR="00480133" w:rsidRPr="00AC56FB" w:rsidRDefault="00480133" w:rsidP="00480133">
      <w:pPr>
        <w:pStyle w:val="FootnoteText"/>
        <w:rPr>
          <w:rFonts w:ascii="Garamond" w:hAnsi="Garamond" w:cstheme="minorHAnsi"/>
        </w:rPr>
      </w:pPr>
      <w:r w:rsidRPr="00AC56FB">
        <w:rPr>
          <w:rStyle w:val="FootnoteReference"/>
          <w:rFonts w:ascii="Garamond" w:hAnsi="Garamond" w:cstheme="minorHAnsi"/>
        </w:rPr>
        <w:footnoteRef/>
      </w:r>
      <w:r w:rsidRPr="00AC56FB">
        <w:rPr>
          <w:rFonts w:ascii="Garamond" w:hAnsi="Garamond" w:cstheme="minorHAnsi"/>
        </w:rPr>
        <w:t xml:space="preserve"> Although it is now widely accepted that propositional faith does not require belief, there is some resistance to this non-doxastic view (</w:t>
      </w:r>
      <w:r w:rsidR="0094481B" w:rsidRPr="00AC56FB">
        <w:rPr>
          <w:rFonts w:ascii="Garamond" w:hAnsi="Garamond" w:cstheme="minorHAnsi"/>
        </w:rPr>
        <w:t>Malcolm and Scott</w:t>
      </w:r>
      <w:r w:rsidRPr="00AC56FB">
        <w:rPr>
          <w:rFonts w:ascii="Garamond" w:hAnsi="Garamond" w:cstheme="minorHAnsi"/>
        </w:rPr>
        <w:t xml:space="preserve"> 2017).</w:t>
      </w:r>
    </w:p>
  </w:footnote>
  <w:footnote w:id="9">
    <w:p w14:paraId="53E7796E" w14:textId="7F7FF3C6" w:rsidR="006D48E1" w:rsidRPr="00AC56FB" w:rsidRDefault="006D48E1">
      <w:pPr>
        <w:pStyle w:val="FootnoteText"/>
        <w:rPr>
          <w:rFonts w:ascii="Garamond" w:hAnsi="Garamond" w:cstheme="minorHAnsi"/>
        </w:rPr>
      </w:pPr>
      <w:r w:rsidRPr="00AC56FB">
        <w:rPr>
          <w:rStyle w:val="FootnoteReference"/>
          <w:rFonts w:ascii="Garamond" w:hAnsi="Garamond" w:cstheme="minorHAnsi"/>
        </w:rPr>
        <w:footnoteRef/>
      </w:r>
      <w:r w:rsidRPr="00AC56FB">
        <w:rPr>
          <w:rFonts w:ascii="Garamond" w:hAnsi="Garamond" w:cstheme="minorHAnsi"/>
        </w:rPr>
        <w:t xml:space="preserve"> </w:t>
      </w:r>
      <w:r w:rsidR="006147AC" w:rsidRPr="00AC56FB">
        <w:rPr>
          <w:rFonts w:ascii="Garamond" w:hAnsi="Garamond" w:cstheme="minorHAnsi"/>
        </w:rPr>
        <w:t>For criticism of this widely held view, see Malcolm and Scott (</w:t>
      </w:r>
      <w:proofErr w:type="spellStart"/>
      <w:r w:rsidR="006147AC" w:rsidRPr="00AC56FB">
        <w:rPr>
          <w:rFonts w:ascii="Garamond" w:hAnsi="Garamond" w:cstheme="minorHAnsi"/>
        </w:rPr>
        <w:t>MSa</w:t>
      </w:r>
      <w:proofErr w:type="spellEnd"/>
      <w:r w:rsidR="006147AC" w:rsidRPr="00AC56FB">
        <w:rPr>
          <w:rFonts w:ascii="Garamond" w:hAnsi="Garamond" w:cstheme="minorHAnsi"/>
        </w:rPr>
        <w:t>)</w:t>
      </w:r>
    </w:p>
  </w:footnote>
  <w:footnote w:id="10">
    <w:p w14:paraId="7F8DA751" w14:textId="4B9456A3" w:rsidR="008D3C18" w:rsidRPr="00AC56FB" w:rsidRDefault="008D3C18">
      <w:pPr>
        <w:pStyle w:val="FootnoteText"/>
        <w:rPr>
          <w:rFonts w:ascii="Garamond" w:hAnsi="Garamond" w:cstheme="minorHAnsi"/>
        </w:rPr>
      </w:pPr>
      <w:r w:rsidRPr="00AC56FB">
        <w:rPr>
          <w:rStyle w:val="FootnoteReference"/>
          <w:rFonts w:ascii="Garamond" w:hAnsi="Garamond" w:cstheme="minorHAnsi"/>
        </w:rPr>
        <w:footnoteRef/>
      </w:r>
      <w:r w:rsidRPr="00AC56FB">
        <w:rPr>
          <w:rFonts w:ascii="Garamond" w:hAnsi="Garamond" w:cstheme="minorHAnsi"/>
        </w:rPr>
        <w:t xml:space="preserve"> I can have a moral </w:t>
      </w:r>
      <w:r w:rsidRPr="00AC56FB">
        <w:rPr>
          <w:rFonts w:ascii="Garamond" w:hAnsi="Garamond" w:cstheme="minorHAnsi"/>
          <w:i/>
        </w:rPr>
        <w:t>reason</w:t>
      </w:r>
      <w:r w:rsidR="009A539E" w:rsidRPr="00AC56FB">
        <w:rPr>
          <w:rFonts w:ascii="Garamond" w:hAnsi="Garamond" w:cstheme="minorHAnsi"/>
        </w:rPr>
        <w:t xml:space="preserve"> to φ or </w:t>
      </w:r>
      <w:r w:rsidR="009A539E" w:rsidRPr="00AC56FB">
        <w:rPr>
          <w:rFonts w:ascii="Garamond" w:hAnsi="Garamond" w:cstheme="minorHAnsi"/>
        </w:rPr>
        <w:sym w:font="Symbol" w:char="F079"/>
      </w:r>
      <w:r w:rsidR="009A539E" w:rsidRPr="00AC56FB">
        <w:rPr>
          <w:rFonts w:ascii="Garamond" w:hAnsi="Garamond" w:cstheme="minorHAnsi"/>
        </w:rPr>
        <w:t>, but, given the balance of reasons for or against φ-</w:t>
      </w:r>
      <w:proofErr w:type="spellStart"/>
      <w:r w:rsidR="009A539E" w:rsidRPr="00AC56FB">
        <w:rPr>
          <w:rFonts w:ascii="Garamond" w:hAnsi="Garamond" w:cstheme="minorHAnsi"/>
        </w:rPr>
        <w:t>ing</w:t>
      </w:r>
      <w:proofErr w:type="spellEnd"/>
      <w:r w:rsidR="009A539E" w:rsidRPr="00AC56FB">
        <w:rPr>
          <w:rFonts w:ascii="Garamond" w:hAnsi="Garamond" w:cstheme="minorHAnsi"/>
        </w:rPr>
        <w:t xml:space="preserve"> or </w:t>
      </w:r>
      <w:r w:rsidR="009A539E" w:rsidRPr="00AC56FB">
        <w:rPr>
          <w:rFonts w:ascii="Garamond" w:hAnsi="Garamond" w:cstheme="minorHAnsi"/>
        </w:rPr>
        <w:sym w:font="Symbol" w:char="F079"/>
      </w:r>
      <w:r w:rsidR="009A539E" w:rsidRPr="00AC56FB">
        <w:rPr>
          <w:rFonts w:ascii="Garamond" w:hAnsi="Garamond" w:cstheme="minorHAnsi"/>
        </w:rPr>
        <w:t>-</w:t>
      </w:r>
      <w:proofErr w:type="spellStart"/>
      <w:r w:rsidR="009A539E" w:rsidRPr="00AC56FB">
        <w:rPr>
          <w:rFonts w:ascii="Garamond" w:hAnsi="Garamond" w:cstheme="minorHAnsi"/>
        </w:rPr>
        <w:t>ing</w:t>
      </w:r>
      <w:proofErr w:type="spellEnd"/>
      <w:r w:rsidR="009A539E" w:rsidRPr="00AC56FB">
        <w:rPr>
          <w:rFonts w:ascii="Garamond" w:hAnsi="Garamond" w:cstheme="minorHAnsi"/>
        </w:rPr>
        <w:t xml:space="preserve">, I ought not to φ or </w:t>
      </w:r>
      <w:r w:rsidR="009A539E" w:rsidRPr="00AC56FB">
        <w:rPr>
          <w:rFonts w:ascii="Garamond" w:hAnsi="Garamond" w:cstheme="minorHAnsi"/>
        </w:rPr>
        <w:sym w:font="Symbol" w:char="F079"/>
      </w:r>
      <w:r w:rsidR="009A539E" w:rsidRPr="00AC56FB">
        <w:rPr>
          <w:rFonts w:ascii="Garamond" w:hAnsi="Garamond" w:cstheme="minorHAnsi"/>
        </w:rPr>
        <w:t xml:space="preserve">. So, such moral reasons can be outweighed by other reasons, including non-moral reasons. However, when the moral reason I have to φ or </w:t>
      </w:r>
      <w:r w:rsidR="009A539E" w:rsidRPr="00AC56FB">
        <w:rPr>
          <w:rFonts w:ascii="Garamond" w:hAnsi="Garamond" w:cstheme="minorHAnsi"/>
        </w:rPr>
        <w:sym w:font="Symbol" w:char="F079"/>
      </w:r>
      <w:r w:rsidR="009A539E" w:rsidRPr="00AC56FB">
        <w:rPr>
          <w:rFonts w:ascii="Garamond" w:hAnsi="Garamond" w:cstheme="minorHAnsi"/>
        </w:rPr>
        <w:t xml:space="preserve"> outweighs other reasons, then I have a moral </w:t>
      </w:r>
      <w:r w:rsidR="009A539E" w:rsidRPr="00AC56FB">
        <w:rPr>
          <w:rFonts w:ascii="Garamond" w:hAnsi="Garamond" w:cstheme="minorHAnsi"/>
          <w:i/>
        </w:rPr>
        <w:t>requirement</w:t>
      </w:r>
      <w:r w:rsidR="009A539E" w:rsidRPr="00AC56FB">
        <w:rPr>
          <w:rFonts w:ascii="Garamond" w:hAnsi="Garamond" w:cstheme="minorHAnsi"/>
        </w:rPr>
        <w:t xml:space="preserve"> or moral </w:t>
      </w:r>
      <w:r w:rsidR="009A539E" w:rsidRPr="00AC56FB">
        <w:rPr>
          <w:rFonts w:ascii="Garamond" w:hAnsi="Garamond" w:cstheme="minorHAnsi"/>
          <w:i/>
        </w:rPr>
        <w:t>demand</w:t>
      </w:r>
      <w:r w:rsidR="009A539E" w:rsidRPr="00AC56FB">
        <w:rPr>
          <w:rFonts w:ascii="Garamond" w:hAnsi="Garamond" w:cstheme="minorHAnsi"/>
        </w:rPr>
        <w:t>.</w:t>
      </w:r>
    </w:p>
  </w:footnote>
  <w:footnote w:id="11">
    <w:p w14:paraId="4A4DC960" w14:textId="77777777" w:rsidR="00A13042" w:rsidRPr="00AC56FB" w:rsidRDefault="00A13042" w:rsidP="00A13042">
      <w:pPr>
        <w:pStyle w:val="FootnoteText"/>
        <w:rPr>
          <w:rFonts w:ascii="Garamond" w:hAnsi="Garamond" w:cstheme="minorHAnsi"/>
        </w:rPr>
      </w:pPr>
      <w:r w:rsidRPr="00AC56FB">
        <w:rPr>
          <w:rStyle w:val="FootnoteReference"/>
          <w:rFonts w:ascii="Garamond" w:hAnsi="Garamond" w:cstheme="minorHAnsi"/>
        </w:rPr>
        <w:footnoteRef/>
      </w:r>
      <w:r w:rsidRPr="00AC56FB">
        <w:rPr>
          <w:rFonts w:ascii="Garamond" w:hAnsi="Garamond" w:cstheme="minorHAnsi"/>
        </w:rPr>
        <w:t xml:space="preserve"> This view is often attributed to the work of Scheffler (see 2010, 46-49 and n.7 for citations to earlier work).</w:t>
      </w:r>
    </w:p>
  </w:footnote>
  <w:footnote w:id="12">
    <w:p w14:paraId="253353B3" w14:textId="77777777" w:rsidR="00A13042" w:rsidRPr="00AC56FB" w:rsidRDefault="00A13042" w:rsidP="00A13042">
      <w:pPr>
        <w:pStyle w:val="FootnoteText"/>
        <w:rPr>
          <w:rFonts w:ascii="Garamond" w:hAnsi="Garamond" w:cstheme="minorHAnsi"/>
        </w:rPr>
      </w:pPr>
      <w:r w:rsidRPr="00AC56FB">
        <w:rPr>
          <w:rStyle w:val="FootnoteReference"/>
          <w:rFonts w:ascii="Garamond" w:hAnsi="Garamond" w:cstheme="minorHAnsi"/>
        </w:rPr>
        <w:footnoteRef/>
      </w:r>
      <w:r w:rsidRPr="00AC56FB">
        <w:rPr>
          <w:rFonts w:ascii="Garamond" w:hAnsi="Garamond" w:cstheme="minorHAnsi"/>
        </w:rPr>
        <w:t xml:space="preserve"> In a similar way, Lara </w:t>
      </w:r>
      <w:proofErr w:type="spellStart"/>
      <w:r w:rsidRPr="00AC56FB">
        <w:rPr>
          <w:rFonts w:ascii="Garamond" w:hAnsi="Garamond" w:cstheme="minorHAnsi"/>
        </w:rPr>
        <w:t>Buchak</w:t>
      </w:r>
      <w:proofErr w:type="spellEnd"/>
      <w:r w:rsidRPr="00AC56FB">
        <w:rPr>
          <w:rFonts w:ascii="Garamond" w:hAnsi="Garamond" w:cstheme="minorHAnsi"/>
        </w:rPr>
        <w:t xml:space="preserve"> (2012, 229) argues against the compatibility of faith and kinds of going beyond evidence such as </w:t>
      </w:r>
      <w:r w:rsidRPr="00AC56FB">
        <w:rPr>
          <w:rFonts w:ascii="Garamond" w:hAnsi="Garamond" w:cstheme="minorHAnsi"/>
          <w:sz w:val="20"/>
        </w:rPr>
        <w:t>BEYOND(d)</w:t>
      </w:r>
      <w:r w:rsidRPr="00AC56FB">
        <w:rPr>
          <w:rFonts w:ascii="Garamond" w:hAnsi="Garamond" w:cstheme="minorHAnsi"/>
        </w:rPr>
        <w:t>.</w:t>
      </w:r>
    </w:p>
  </w:footnote>
  <w:footnote w:id="13">
    <w:p w14:paraId="3D1EBC1D" w14:textId="77777777" w:rsidR="00A13042" w:rsidRPr="00AC56FB" w:rsidRDefault="00A13042" w:rsidP="00A13042">
      <w:pPr>
        <w:pStyle w:val="FootnoteText"/>
        <w:rPr>
          <w:rFonts w:ascii="Garamond" w:hAnsi="Garamond" w:cstheme="minorHAnsi"/>
        </w:rPr>
      </w:pPr>
      <w:r w:rsidRPr="00AC56FB">
        <w:rPr>
          <w:rStyle w:val="FootnoteReference"/>
          <w:rFonts w:ascii="Garamond" w:hAnsi="Garamond" w:cstheme="minorHAnsi"/>
        </w:rPr>
        <w:footnoteRef/>
      </w:r>
      <w:r w:rsidRPr="00AC56FB">
        <w:rPr>
          <w:rFonts w:ascii="Garamond" w:hAnsi="Garamond" w:cstheme="minorHAnsi"/>
        </w:rPr>
        <w:t xml:space="preserve"> For instance, Jennifer Lackey’s ‘reasonable to believe norm’ of assertion (2007). Note, though, that this does not hold for belief norms of assertion.</w:t>
      </w:r>
    </w:p>
  </w:footnote>
  <w:footnote w:id="14">
    <w:p w14:paraId="7572FAED" w14:textId="6DEB7450" w:rsidR="002E6C3D" w:rsidRPr="00AC56FB" w:rsidRDefault="002E6C3D" w:rsidP="001401C4">
      <w:pPr>
        <w:pStyle w:val="FootnoteText"/>
        <w:rPr>
          <w:rFonts w:ascii="Garamond" w:hAnsi="Garamond" w:cstheme="minorHAnsi"/>
        </w:rPr>
      </w:pPr>
      <w:r w:rsidRPr="00AC56FB">
        <w:rPr>
          <w:rStyle w:val="FootnoteReference"/>
          <w:rFonts w:ascii="Garamond" w:hAnsi="Garamond" w:cstheme="minorHAnsi"/>
        </w:rPr>
        <w:footnoteRef/>
      </w:r>
      <w:r w:rsidRPr="00AC56FB">
        <w:rPr>
          <w:rFonts w:ascii="Garamond" w:hAnsi="Garamond" w:cstheme="minorHAnsi"/>
        </w:rPr>
        <w:t xml:space="preserve"> This is true of his accounts of propositional (faith that </w:t>
      </w:r>
      <w:r w:rsidRPr="00AC56FB">
        <w:rPr>
          <w:rFonts w:ascii="Garamond" w:hAnsi="Garamond" w:cstheme="minorHAnsi"/>
          <w:i/>
        </w:rPr>
        <w:t>p</w:t>
      </w:r>
      <w:r w:rsidRPr="00AC56FB">
        <w:rPr>
          <w:rFonts w:ascii="Garamond" w:hAnsi="Garamond" w:cstheme="minorHAnsi"/>
        </w:rPr>
        <w:t xml:space="preserve">) and relational (faith in </w:t>
      </w:r>
      <w:r w:rsidRPr="00AC56FB">
        <w:rPr>
          <w:rFonts w:ascii="Garamond" w:hAnsi="Garamond" w:cstheme="minorHAnsi"/>
          <w:i/>
        </w:rPr>
        <w:t>X</w:t>
      </w:r>
      <w:r w:rsidRPr="00AC56FB">
        <w:rPr>
          <w:rFonts w:ascii="Garamond" w:hAnsi="Garamond" w:cstheme="minorHAnsi"/>
        </w:rPr>
        <w:t xml:space="preserve">) faith, as well as ‘global faith’ (a person of some particular faith </w:t>
      </w:r>
      <w:r w:rsidRPr="00AC56FB">
        <w:rPr>
          <w:rFonts w:ascii="Garamond" w:hAnsi="Garamond" w:cstheme="minorHAnsi"/>
          <w:i/>
        </w:rPr>
        <w:t>F</w:t>
      </w:r>
      <w:r w:rsidRPr="00AC56FB">
        <w:rPr>
          <w:rFonts w:ascii="Garamond" w:hAnsi="Garamond" w:cstheme="minorHAnsi"/>
        </w:rPr>
        <w:t>) (2017, 56-57).</w:t>
      </w:r>
    </w:p>
  </w:footnote>
  <w:footnote w:id="15">
    <w:p w14:paraId="7D78BF1F" w14:textId="3E03338F" w:rsidR="00CD6663" w:rsidRPr="00AC56FB" w:rsidRDefault="00CD6663">
      <w:pPr>
        <w:pStyle w:val="FootnoteText"/>
        <w:rPr>
          <w:rFonts w:ascii="Garamond" w:hAnsi="Garamond" w:cstheme="minorHAnsi"/>
        </w:rPr>
      </w:pPr>
      <w:r w:rsidRPr="00AC56FB">
        <w:rPr>
          <w:rStyle w:val="FootnoteReference"/>
          <w:rFonts w:ascii="Garamond" w:hAnsi="Garamond" w:cstheme="minorHAnsi"/>
        </w:rPr>
        <w:footnoteRef/>
      </w:r>
      <w:r w:rsidRPr="00AC56FB">
        <w:rPr>
          <w:rFonts w:ascii="Garamond" w:hAnsi="Garamond" w:cstheme="minorHAnsi"/>
        </w:rPr>
        <w:t xml:space="preserve"> In our work on the resilience of faith, Michael Scott and I refer to this property as ‘true grit’ (</w:t>
      </w:r>
      <w:proofErr w:type="spellStart"/>
      <w:r w:rsidRPr="00AC56FB">
        <w:rPr>
          <w:rFonts w:ascii="Garamond" w:hAnsi="Garamond" w:cstheme="minorHAnsi"/>
        </w:rPr>
        <w:t>MSa</w:t>
      </w:r>
      <w:proofErr w:type="spellEnd"/>
      <w:r w:rsidRPr="00AC56FB">
        <w:rPr>
          <w:rFonts w:ascii="Garamond" w:hAnsi="Garamond" w:cstheme="minorHAnsi"/>
        </w:rPr>
        <w:t xml:space="preserve"> and </w:t>
      </w:r>
      <w:proofErr w:type="spellStart"/>
      <w:r w:rsidRPr="00AC56FB">
        <w:rPr>
          <w:rFonts w:ascii="Garamond" w:hAnsi="Garamond" w:cstheme="minorHAnsi"/>
        </w:rPr>
        <w:t>MSb</w:t>
      </w:r>
      <w:proofErr w:type="spellEnd"/>
      <w:r w:rsidRPr="00AC56FB">
        <w:rPr>
          <w:rFonts w:ascii="Garamond" w:hAnsi="Garamond" w:cstheme="minorHAnsi"/>
        </w:rPr>
        <w:t>).</w:t>
      </w:r>
    </w:p>
  </w:footnote>
  <w:footnote w:id="16">
    <w:p w14:paraId="45E9EF70" w14:textId="65CCEC0B" w:rsidR="00097BD0" w:rsidRPr="00AC56FB" w:rsidRDefault="00097BD0">
      <w:pPr>
        <w:pStyle w:val="FootnoteText"/>
        <w:rPr>
          <w:rFonts w:ascii="Garamond" w:hAnsi="Garamond" w:cstheme="minorHAnsi"/>
        </w:rPr>
      </w:pPr>
      <w:r w:rsidRPr="00AC56FB">
        <w:rPr>
          <w:rStyle w:val="FootnoteReference"/>
          <w:rFonts w:ascii="Garamond" w:hAnsi="Garamond" w:cstheme="minorHAnsi"/>
        </w:rPr>
        <w:footnoteRef/>
      </w:r>
      <w:r w:rsidRPr="00AC56FB">
        <w:rPr>
          <w:rFonts w:ascii="Garamond" w:hAnsi="Garamond" w:cstheme="minorHAnsi"/>
        </w:rPr>
        <w:t xml:space="preserve"> This can be defended empirically by drawing on recent work concerning the value of ‘grit’ </w:t>
      </w:r>
      <w:r w:rsidR="00DA5388" w:rsidRPr="00AC56FB">
        <w:rPr>
          <w:rFonts w:ascii="Garamond" w:hAnsi="Garamond" w:cstheme="minorHAnsi"/>
        </w:rPr>
        <w:t>(Duckworth 2007). See also Jeffrey</w:t>
      </w:r>
      <w:r w:rsidRPr="00AC56FB">
        <w:rPr>
          <w:rFonts w:ascii="Garamond" w:hAnsi="Garamond" w:cstheme="minorHAnsi"/>
        </w:rPr>
        <w:t xml:space="preserve"> (2017).</w:t>
      </w:r>
    </w:p>
  </w:footnote>
  <w:footnote w:id="17">
    <w:p w14:paraId="1B0D3C75" w14:textId="6D51FC1E" w:rsidR="002E6C3D" w:rsidRPr="00AC56FB" w:rsidRDefault="002E6C3D">
      <w:pPr>
        <w:pStyle w:val="FootnoteText"/>
        <w:rPr>
          <w:rFonts w:ascii="Garamond" w:hAnsi="Garamond" w:cstheme="minorHAnsi"/>
        </w:rPr>
      </w:pPr>
      <w:r w:rsidRPr="00AC56FB">
        <w:rPr>
          <w:rStyle w:val="FootnoteReference"/>
          <w:rFonts w:ascii="Garamond" w:hAnsi="Garamond" w:cstheme="minorHAnsi"/>
        </w:rPr>
        <w:footnoteRef/>
      </w:r>
      <w:r w:rsidRPr="00AC56FB">
        <w:rPr>
          <w:rFonts w:ascii="Garamond" w:hAnsi="Garamond" w:cstheme="minorHAnsi"/>
        </w:rPr>
        <w:t xml:space="preserve"> </w:t>
      </w:r>
      <w:r w:rsidR="00873EAE" w:rsidRPr="00AC56FB">
        <w:rPr>
          <w:rFonts w:ascii="Garamond" w:hAnsi="Garamond" w:cstheme="minorHAnsi"/>
        </w:rPr>
        <w:t>Thanks to an audience at Wolfson College, Cambridge, in June 2018 for feedback on an earlier version of this paper, particularly from Tom Simpson and Michael Scott. Thanks also to two anonymous referees from this journal who helped me to improve 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B29E6"/>
    <w:multiLevelType w:val="hybridMultilevel"/>
    <w:tmpl w:val="37F4F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B3605"/>
    <w:multiLevelType w:val="hybridMultilevel"/>
    <w:tmpl w:val="C200332A"/>
    <w:lvl w:ilvl="0" w:tplc="E8FC955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E55EF"/>
    <w:multiLevelType w:val="hybridMultilevel"/>
    <w:tmpl w:val="48903158"/>
    <w:lvl w:ilvl="0" w:tplc="8B8CEB7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01397"/>
    <w:multiLevelType w:val="hybridMultilevel"/>
    <w:tmpl w:val="CD9EDA2E"/>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335958"/>
    <w:multiLevelType w:val="hybridMultilevel"/>
    <w:tmpl w:val="67D4931E"/>
    <w:lvl w:ilvl="0" w:tplc="CA84C8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360DAA"/>
    <w:multiLevelType w:val="hybridMultilevel"/>
    <w:tmpl w:val="C5BA18C6"/>
    <w:lvl w:ilvl="0" w:tplc="076C365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CC0296"/>
    <w:multiLevelType w:val="hybridMultilevel"/>
    <w:tmpl w:val="D07CA1DA"/>
    <w:lvl w:ilvl="0" w:tplc="31446602">
      <w:start w:val="1"/>
      <w:numFmt w:val="lowerRoman"/>
      <w:lvlText w:val="(%1)"/>
      <w:lvlJc w:val="right"/>
      <w:pPr>
        <w:ind w:left="360" w:hanging="360"/>
      </w:pPr>
      <w:rPr>
        <w:rFonts w:ascii="Times New Roman" w:eastAsiaTheme="minorHAnsi" w:hAnsi="Times New Roman"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D8841C0"/>
    <w:multiLevelType w:val="hybridMultilevel"/>
    <w:tmpl w:val="DF2C3582"/>
    <w:lvl w:ilvl="0" w:tplc="31446602">
      <w:start w:val="1"/>
      <w:numFmt w:val="lowerRoman"/>
      <w:lvlText w:val="(%1)"/>
      <w:lvlJc w:val="right"/>
      <w:pPr>
        <w:ind w:left="360" w:hanging="360"/>
      </w:pPr>
      <w:rPr>
        <w:rFonts w:ascii="Times New Roman" w:eastAsiaTheme="minorHAnsi" w:hAnsi="Times New Roman"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4452AE"/>
    <w:multiLevelType w:val="hybridMultilevel"/>
    <w:tmpl w:val="D56C27C4"/>
    <w:lvl w:ilvl="0" w:tplc="31446602">
      <w:start w:val="1"/>
      <w:numFmt w:val="lowerRoman"/>
      <w:lvlText w:val="(%1)"/>
      <w:lvlJc w:val="right"/>
      <w:pPr>
        <w:ind w:left="360" w:hanging="360"/>
      </w:pPr>
      <w:rPr>
        <w:rFonts w:ascii="Times New Roman" w:eastAsiaTheme="minorHAnsi" w:hAnsi="Times New Roman"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9672707"/>
    <w:multiLevelType w:val="multilevel"/>
    <w:tmpl w:val="21D40C86"/>
    <w:lvl w:ilvl="0">
      <w:start w:val="3"/>
      <w:numFmt w:val="decimal"/>
      <w:lvlText w:val="%1"/>
      <w:lvlJc w:val="left"/>
      <w:pPr>
        <w:ind w:left="360" w:hanging="360"/>
      </w:pPr>
      <w:rPr>
        <w:rFonts w:hint="default"/>
      </w:rPr>
    </w:lvl>
    <w:lvl w:ilvl="1">
      <w:start w:val="1"/>
      <w:numFmt w:val="decimal"/>
      <w:pStyle w:val="Subtit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4507B9"/>
    <w:multiLevelType w:val="hybridMultilevel"/>
    <w:tmpl w:val="B3FA1972"/>
    <w:lvl w:ilvl="0" w:tplc="54C09AE8">
      <w:start w:val="1"/>
      <w:numFmt w:val="decimal"/>
      <w:pStyle w:val="Title"/>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42C28B9"/>
    <w:multiLevelType w:val="hybridMultilevel"/>
    <w:tmpl w:val="E408B204"/>
    <w:lvl w:ilvl="0" w:tplc="65DAF9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D103E3"/>
    <w:multiLevelType w:val="multilevel"/>
    <w:tmpl w:val="A08A40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CB6256"/>
    <w:multiLevelType w:val="hybridMultilevel"/>
    <w:tmpl w:val="C8C23FBC"/>
    <w:lvl w:ilvl="0" w:tplc="CA84C8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482FA8"/>
    <w:multiLevelType w:val="hybridMultilevel"/>
    <w:tmpl w:val="4C6C63F6"/>
    <w:lvl w:ilvl="0" w:tplc="31446602">
      <w:start w:val="1"/>
      <w:numFmt w:val="lowerRoman"/>
      <w:lvlText w:val="(%1)"/>
      <w:lvlJc w:val="right"/>
      <w:pPr>
        <w:ind w:left="360" w:hanging="360"/>
      </w:pPr>
      <w:rPr>
        <w:rFonts w:ascii="Times New Roman" w:eastAsiaTheme="minorHAnsi" w:hAnsi="Times New Roman"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9CD09C6"/>
    <w:multiLevelType w:val="hybridMultilevel"/>
    <w:tmpl w:val="0EF2CFF2"/>
    <w:lvl w:ilvl="0" w:tplc="F07C753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6A4E83"/>
    <w:multiLevelType w:val="hybridMultilevel"/>
    <w:tmpl w:val="80AEFEDE"/>
    <w:lvl w:ilvl="0" w:tplc="1FCAF07E">
      <w:start w:val="1"/>
      <w:numFmt w:val="bullet"/>
      <w:lvlText w:val="•"/>
      <w:lvlJc w:val="left"/>
      <w:pPr>
        <w:tabs>
          <w:tab w:val="num" w:pos="720"/>
        </w:tabs>
        <w:ind w:left="720" w:hanging="360"/>
      </w:pPr>
      <w:rPr>
        <w:rFonts w:ascii="Arial" w:hAnsi="Arial" w:hint="default"/>
      </w:rPr>
    </w:lvl>
    <w:lvl w:ilvl="1" w:tplc="CE841FDA" w:tentative="1">
      <w:start w:val="1"/>
      <w:numFmt w:val="bullet"/>
      <w:lvlText w:val="•"/>
      <w:lvlJc w:val="left"/>
      <w:pPr>
        <w:tabs>
          <w:tab w:val="num" w:pos="1440"/>
        </w:tabs>
        <w:ind w:left="1440" w:hanging="360"/>
      </w:pPr>
      <w:rPr>
        <w:rFonts w:ascii="Arial" w:hAnsi="Arial" w:hint="default"/>
      </w:rPr>
    </w:lvl>
    <w:lvl w:ilvl="2" w:tplc="35F2E9C0" w:tentative="1">
      <w:start w:val="1"/>
      <w:numFmt w:val="bullet"/>
      <w:lvlText w:val="•"/>
      <w:lvlJc w:val="left"/>
      <w:pPr>
        <w:tabs>
          <w:tab w:val="num" w:pos="2160"/>
        </w:tabs>
        <w:ind w:left="2160" w:hanging="360"/>
      </w:pPr>
      <w:rPr>
        <w:rFonts w:ascii="Arial" w:hAnsi="Arial" w:hint="default"/>
      </w:rPr>
    </w:lvl>
    <w:lvl w:ilvl="3" w:tplc="FA122A04" w:tentative="1">
      <w:start w:val="1"/>
      <w:numFmt w:val="bullet"/>
      <w:lvlText w:val="•"/>
      <w:lvlJc w:val="left"/>
      <w:pPr>
        <w:tabs>
          <w:tab w:val="num" w:pos="2880"/>
        </w:tabs>
        <w:ind w:left="2880" w:hanging="360"/>
      </w:pPr>
      <w:rPr>
        <w:rFonts w:ascii="Arial" w:hAnsi="Arial" w:hint="default"/>
      </w:rPr>
    </w:lvl>
    <w:lvl w:ilvl="4" w:tplc="40CE68F4" w:tentative="1">
      <w:start w:val="1"/>
      <w:numFmt w:val="bullet"/>
      <w:lvlText w:val="•"/>
      <w:lvlJc w:val="left"/>
      <w:pPr>
        <w:tabs>
          <w:tab w:val="num" w:pos="3600"/>
        </w:tabs>
        <w:ind w:left="3600" w:hanging="360"/>
      </w:pPr>
      <w:rPr>
        <w:rFonts w:ascii="Arial" w:hAnsi="Arial" w:hint="default"/>
      </w:rPr>
    </w:lvl>
    <w:lvl w:ilvl="5" w:tplc="F5C09030" w:tentative="1">
      <w:start w:val="1"/>
      <w:numFmt w:val="bullet"/>
      <w:lvlText w:val="•"/>
      <w:lvlJc w:val="left"/>
      <w:pPr>
        <w:tabs>
          <w:tab w:val="num" w:pos="4320"/>
        </w:tabs>
        <w:ind w:left="4320" w:hanging="360"/>
      </w:pPr>
      <w:rPr>
        <w:rFonts w:ascii="Arial" w:hAnsi="Arial" w:hint="default"/>
      </w:rPr>
    </w:lvl>
    <w:lvl w:ilvl="6" w:tplc="F4EC8940" w:tentative="1">
      <w:start w:val="1"/>
      <w:numFmt w:val="bullet"/>
      <w:lvlText w:val="•"/>
      <w:lvlJc w:val="left"/>
      <w:pPr>
        <w:tabs>
          <w:tab w:val="num" w:pos="5040"/>
        </w:tabs>
        <w:ind w:left="5040" w:hanging="360"/>
      </w:pPr>
      <w:rPr>
        <w:rFonts w:ascii="Arial" w:hAnsi="Arial" w:hint="default"/>
      </w:rPr>
    </w:lvl>
    <w:lvl w:ilvl="7" w:tplc="E982B0E4" w:tentative="1">
      <w:start w:val="1"/>
      <w:numFmt w:val="bullet"/>
      <w:lvlText w:val="•"/>
      <w:lvlJc w:val="left"/>
      <w:pPr>
        <w:tabs>
          <w:tab w:val="num" w:pos="5760"/>
        </w:tabs>
        <w:ind w:left="5760" w:hanging="360"/>
      </w:pPr>
      <w:rPr>
        <w:rFonts w:ascii="Arial" w:hAnsi="Arial" w:hint="default"/>
      </w:rPr>
    </w:lvl>
    <w:lvl w:ilvl="8" w:tplc="BA2A6A4E"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
  </w:num>
  <w:num w:numId="3">
    <w:abstractNumId w:val="16"/>
  </w:num>
  <w:num w:numId="4">
    <w:abstractNumId w:val="11"/>
  </w:num>
  <w:num w:numId="5">
    <w:abstractNumId w:val="13"/>
  </w:num>
  <w:num w:numId="6">
    <w:abstractNumId w:val="4"/>
  </w:num>
  <w:num w:numId="7">
    <w:abstractNumId w:val="8"/>
  </w:num>
  <w:num w:numId="8">
    <w:abstractNumId w:val="6"/>
  </w:num>
  <w:num w:numId="9">
    <w:abstractNumId w:val="7"/>
  </w:num>
  <w:num w:numId="10">
    <w:abstractNumId w:val="14"/>
  </w:num>
  <w:num w:numId="11">
    <w:abstractNumId w:val="0"/>
  </w:num>
  <w:num w:numId="12">
    <w:abstractNumId w:val="15"/>
  </w:num>
  <w:num w:numId="13">
    <w:abstractNumId w:val="2"/>
  </w:num>
  <w:num w:numId="14">
    <w:abstractNumId w:val="5"/>
  </w:num>
  <w:num w:numId="15">
    <w:abstractNumId w:val="9"/>
  </w:num>
  <w:num w:numId="16">
    <w:abstractNumId w:val="9"/>
    <w:lvlOverride w:ilvl="0">
      <w:startOverride w:val="3"/>
    </w:lvlOverride>
    <w:lvlOverride w:ilvl="1">
      <w:startOverride w:val="1"/>
    </w:lvlOverride>
  </w:num>
  <w:num w:numId="17">
    <w:abstractNumId w:val="9"/>
  </w:num>
  <w:num w:numId="18">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9E"/>
    <w:rsid w:val="0000557D"/>
    <w:rsid w:val="00010E6A"/>
    <w:rsid w:val="00015768"/>
    <w:rsid w:val="00017681"/>
    <w:rsid w:val="000328BB"/>
    <w:rsid w:val="0004151A"/>
    <w:rsid w:val="00045D11"/>
    <w:rsid w:val="00046649"/>
    <w:rsid w:val="000471EB"/>
    <w:rsid w:val="0004762F"/>
    <w:rsid w:val="00053B42"/>
    <w:rsid w:val="00054FF2"/>
    <w:rsid w:val="00061EBA"/>
    <w:rsid w:val="0006668A"/>
    <w:rsid w:val="00070EBF"/>
    <w:rsid w:val="0007124E"/>
    <w:rsid w:val="00072DC7"/>
    <w:rsid w:val="0007308F"/>
    <w:rsid w:val="0008251E"/>
    <w:rsid w:val="00084F3C"/>
    <w:rsid w:val="000867AF"/>
    <w:rsid w:val="000922C5"/>
    <w:rsid w:val="00097BD0"/>
    <w:rsid w:val="000A01BD"/>
    <w:rsid w:val="000B1BA9"/>
    <w:rsid w:val="000B43EA"/>
    <w:rsid w:val="000B4B37"/>
    <w:rsid w:val="000B53EB"/>
    <w:rsid w:val="000C0B7D"/>
    <w:rsid w:val="000C2272"/>
    <w:rsid w:val="000C264F"/>
    <w:rsid w:val="000D00AD"/>
    <w:rsid w:val="000D0744"/>
    <w:rsid w:val="000D1F02"/>
    <w:rsid w:val="000D38BA"/>
    <w:rsid w:val="000D3BE4"/>
    <w:rsid w:val="000D55AE"/>
    <w:rsid w:val="000D591F"/>
    <w:rsid w:val="000D5E23"/>
    <w:rsid w:val="000D780C"/>
    <w:rsid w:val="000E050E"/>
    <w:rsid w:val="000E1277"/>
    <w:rsid w:val="000E2B87"/>
    <w:rsid w:val="000F763A"/>
    <w:rsid w:val="000F7971"/>
    <w:rsid w:val="00110660"/>
    <w:rsid w:val="00110D21"/>
    <w:rsid w:val="0011126F"/>
    <w:rsid w:val="001147B2"/>
    <w:rsid w:val="0012335A"/>
    <w:rsid w:val="001401C4"/>
    <w:rsid w:val="00141511"/>
    <w:rsid w:val="00147EFF"/>
    <w:rsid w:val="00152058"/>
    <w:rsid w:val="00153838"/>
    <w:rsid w:val="00156034"/>
    <w:rsid w:val="00157202"/>
    <w:rsid w:val="00163351"/>
    <w:rsid w:val="00164F92"/>
    <w:rsid w:val="00165EC1"/>
    <w:rsid w:val="001735FC"/>
    <w:rsid w:val="00175C79"/>
    <w:rsid w:val="00175FD5"/>
    <w:rsid w:val="00177636"/>
    <w:rsid w:val="00177FA2"/>
    <w:rsid w:val="001829A1"/>
    <w:rsid w:val="0018370E"/>
    <w:rsid w:val="001837FB"/>
    <w:rsid w:val="0019190D"/>
    <w:rsid w:val="00193AD9"/>
    <w:rsid w:val="001975D2"/>
    <w:rsid w:val="00197E33"/>
    <w:rsid w:val="001A1A34"/>
    <w:rsid w:val="001A330D"/>
    <w:rsid w:val="001A75F5"/>
    <w:rsid w:val="001A7AEB"/>
    <w:rsid w:val="001B0C93"/>
    <w:rsid w:val="001B36CD"/>
    <w:rsid w:val="001B3F67"/>
    <w:rsid w:val="001B7994"/>
    <w:rsid w:val="001C08F8"/>
    <w:rsid w:val="001C3BAB"/>
    <w:rsid w:val="001D70B3"/>
    <w:rsid w:val="001D7776"/>
    <w:rsid w:val="001E087E"/>
    <w:rsid w:val="001F1172"/>
    <w:rsid w:val="001F2877"/>
    <w:rsid w:val="001F5ED6"/>
    <w:rsid w:val="001F67B1"/>
    <w:rsid w:val="001F69D7"/>
    <w:rsid w:val="002019C2"/>
    <w:rsid w:val="002048E7"/>
    <w:rsid w:val="00207CFD"/>
    <w:rsid w:val="00213AF2"/>
    <w:rsid w:val="00220B5D"/>
    <w:rsid w:val="002224C2"/>
    <w:rsid w:val="002263FD"/>
    <w:rsid w:val="0023209B"/>
    <w:rsid w:val="00233609"/>
    <w:rsid w:val="0023474E"/>
    <w:rsid w:val="00242811"/>
    <w:rsid w:val="00244E49"/>
    <w:rsid w:val="00245049"/>
    <w:rsid w:val="002455FE"/>
    <w:rsid w:val="00255E4C"/>
    <w:rsid w:val="00257312"/>
    <w:rsid w:val="002642C4"/>
    <w:rsid w:val="00265A7A"/>
    <w:rsid w:val="0027007B"/>
    <w:rsid w:val="002712B8"/>
    <w:rsid w:val="00271A42"/>
    <w:rsid w:val="002727D5"/>
    <w:rsid w:val="00273F10"/>
    <w:rsid w:val="00280A53"/>
    <w:rsid w:val="00280D76"/>
    <w:rsid w:val="00290BFE"/>
    <w:rsid w:val="00293468"/>
    <w:rsid w:val="0029792C"/>
    <w:rsid w:val="002A6F52"/>
    <w:rsid w:val="002B0776"/>
    <w:rsid w:val="002B42F5"/>
    <w:rsid w:val="002B6213"/>
    <w:rsid w:val="002B7B2F"/>
    <w:rsid w:val="002C0095"/>
    <w:rsid w:val="002C2D1F"/>
    <w:rsid w:val="002C51F3"/>
    <w:rsid w:val="002C6F65"/>
    <w:rsid w:val="002C78E8"/>
    <w:rsid w:val="002D28E6"/>
    <w:rsid w:val="002D2E8D"/>
    <w:rsid w:val="002D313C"/>
    <w:rsid w:val="002D4828"/>
    <w:rsid w:val="002D7B4C"/>
    <w:rsid w:val="002E16EF"/>
    <w:rsid w:val="002E6C3D"/>
    <w:rsid w:val="002F72CA"/>
    <w:rsid w:val="00303899"/>
    <w:rsid w:val="003116E2"/>
    <w:rsid w:val="00313E2A"/>
    <w:rsid w:val="00313EA9"/>
    <w:rsid w:val="00314F70"/>
    <w:rsid w:val="00322E21"/>
    <w:rsid w:val="00335F35"/>
    <w:rsid w:val="00336B84"/>
    <w:rsid w:val="00336CFA"/>
    <w:rsid w:val="00337A60"/>
    <w:rsid w:val="00337AB9"/>
    <w:rsid w:val="00342723"/>
    <w:rsid w:val="00343D1A"/>
    <w:rsid w:val="003642C0"/>
    <w:rsid w:val="00366534"/>
    <w:rsid w:val="00372053"/>
    <w:rsid w:val="00375A5A"/>
    <w:rsid w:val="00384F82"/>
    <w:rsid w:val="003A1AA7"/>
    <w:rsid w:val="003A2D63"/>
    <w:rsid w:val="003A48E5"/>
    <w:rsid w:val="003A5724"/>
    <w:rsid w:val="003A5E6C"/>
    <w:rsid w:val="003A6AB5"/>
    <w:rsid w:val="003B0088"/>
    <w:rsid w:val="003B14BA"/>
    <w:rsid w:val="003C14E1"/>
    <w:rsid w:val="003C3524"/>
    <w:rsid w:val="003C5AAF"/>
    <w:rsid w:val="003C6EBF"/>
    <w:rsid w:val="003C6EF4"/>
    <w:rsid w:val="003D1F99"/>
    <w:rsid w:val="003D2191"/>
    <w:rsid w:val="003D3317"/>
    <w:rsid w:val="003D3B64"/>
    <w:rsid w:val="003D5984"/>
    <w:rsid w:val="003D5E49"/>
    <w:rsid w:val="003D65D4"/>
    <w:rsid w:val="003D78D2"/>
    <w:rsid w:val="003E32E1"/>
    <w:rsid w:val="003F146F"/>
    <w:rsid w:val="003F1A64"/>
    <w:rsid w:val="00403450"/>
    <w:rsid w:val="00406AC2"/>
    <w:rsid w:val="00411805"/>
    <w:rsid w:val="00414226"/>
    <w:rsid w:val="00416402"/>
    <w:rsid w:val="004206A0"/>
    <w:rsid w:val="0042101F"/>
    <w:rsid w:val="004228B2"/>
    <w:rsid w:val="004228BE"/>
    <w:rsid w:val="00426147"/>
    <w:rsid w:val="004266E1"/>
    <w:rsid w:val="00426AAD"/>
    <w:rsid w:val="004313C4"/>
    <w:rsid w:val="004338FF"/>
    <w:rsid w:val="00446405"/>
    <w:rsid w:val="00453043"/>
    <w:rsid w:val="004561B5"/>
    <w:rsid w:val="004615F8"/>
    <w:rsid w:val="004619FF"/>
    <w:rsid w:val="00461EFF"/>
    <w:rsid w:val="00470B4B"/>
    <w:rsid w:val="00471480"/>
    <w:rsid w:val="00473EED"/>
    <w:rsid w:val="00474274"/>
    <w:rsid w:val="00480133"/>
    <w:rsid w:val="00483682"/>
    <w:rsid w:val="00485D10"/>
    <w:rsid w:val="004872F2"/>
    <w:rsid w:val="00490777"/>
    <w:rsid w:val="004925E6"/>
    <w:rsid w:val="004A0D5D"/>
    <w:rsid w:val="004A524D"/>
    <w:rsid w:val="004A7850"/>
    <w:rsid w:val="004B03C4"/>
    <w:rsid w:val="004B3AB5"/>
    <w:rsid w:val="004C17F0"/>
    <w:rsid w:val="004C26A7"/>
    <w:rsid w:val="004C3B6B"/>
    <w:rsid w:val="004C4FA4"/>
    <w:rsid w:val="004D4486"/>
    <w:rsid w:val="004D4A98"/>
    <w:rsid w:val="004E6CF3"/>
    <w:rsid w:val="004E772A"/>
    <w:rsid w:val="004E7C10"/>
    <w:rsid w:val="004F1DE2"/>
    <w:rsid w:val="0050122D"/>
    <w:rsid w:val="00504E4D"/>
    <w:rsid w:val="005053BA"/>
    <w:rsid w:val="0051383F"/>
    <w:rsid w:val="0052679A"/>
    <w:rsid w:val="005269BF"/>
    <w:rsid w:val="00527BE2"/>
    <w:rsid w:val="00530368"/>
    <w:rsid w:val="0053380B"/>
    <w:rsid w:val="00536481"/>
    <w:rsid w:val="0054430E"/>
    <w:rsid w:val="00546F10"/>
    <w:rsid w:val="00551361"/>
    <w:rsid w:val="00552ECF"/>
    <w:rsid w:val="0055414A"/>
    <w:rsid w:val="00557FCE"/>
    <w:rsid w:val="00561F99"/>
    <w:rsid w:val="0056256A"/>
    <w:rsid w:val="0056493D"/>
    <w:rsid w:val="005672E0"/>
    <w:rsid w:val="00567A9F"/>
    <w:rsid w:val="00567EDA"/>
    <w:rsid w:val="00570373"/>
    <w:rsid w:val="00574656"/>
    <w:rsid w:val="00580EE0"/>
    <w:rsid w:val="005852D7"/>
    <w:rsid w:val="0059052C"/>
    <w:rsid w:val="00593162"/>
    <w:rsid w:val="00593EE6"/>
    <w:rsid w:val="0059515A"/>
    <w:rsid w:val="00596A0E"/>
    <w:rsid w:val="005A6E5B"/>
    <w:rsid w:val="005B0D99"/>
    <w:rsid w:val="005B13F5"/>
    <w:rsid w:val="005B1DD1"/>
    <w:rsid w:val="005B1F53"/>
    <w:rsid w:val="005B6032"/>
    <w:rsid w:val="005C0527"/>
    <w:rsid w:val="005C27C1"/>
    <w:rsid w:val="005C2D6B"/>
    <w:rsid w:val="005C5B67"/>
    <w:rsid w:val="005C77D6"/>
    <w:rsid w:val="005C79A2"/>
    <w:rsid w:val="005D4166"/>
    <w:rsid w:val="005D4343"/>
    <w:rsid w:val="005D4FDB"/>
    <w:rsid w:val="005F696F"/>
    <w:rsid w:val="005F7D80"/>
    <w:rsid w:val="00600CB8"/>
    <w:rsid w:val="0060767D"/>
    <w:rsid w:val="00607827"/>
    <w:rsid w:val="006147AC"/>
    <w:rsid w:val="006218AB"/>
    <w:rsid w:val="00625A15"/>
    <w:rsid w:val="006262A8"/>
    <w:rsid w:val="00643473"/>
    <w:rsid w:val="00643BA2"/>
    <w:rsid w:val="006462A1"/>
    <w:rsid w:val="00646BB1"/>
    <w:rsid w:val="006505A8"/>
    <w:rsid w:val="006629BE"/>
    <w:rsid w:val="006651EA"/>
    <w:rsid w:val="0066613D"/>
    <w:rsid w:val="006678D0"/>
    <w:rsid w:val="00670B6E"/>
    <w:rsid w:val="00670EF5"/>
    <w:rsid w:val="0067140C"/>
    <w:rsid w:val="00671963"/>
    <w:rsid w:val="006728FD"/>
    <w:rsid w:val="00677D70"/>
    <w:rsid w:val="00685557"/>
    <w:rsid w:val="00687E58"/>
    <w:rsid w:val="006944EE"/>
    <w:rsid w:val="006A367B"/>
    <w:rsid w:val="006A5AB2"/>
    <w:rsid w:val="006A601B"/>
    <w:rsid w:val="006B1D69"/>
    <w:rsid w:val="006B5E75"/>
    <w:rsid w:val="006B6CB5"/>
    <w:rsid w:val="006C0104"/>
    <w:rsid w:val="006C01C7"/>
    <w:rsid w:val="006D1BBE"/>
    <w:rsid w:val="006D274E"/>
    <w:rsid w:val="006D2A57"/>
    <w:rsid w:val="006D48E1"/>
    <w:rsid w:val="006D7C59"/>
    <w:rsid w:val="006E1140"/>
    <w:rsid w:val="006F07F1"/>
    <w:rsid w:val="006F1520"/>
    <w:rsid w:val="006F1BC0"/>
    <w:rsid w:val="006F3F8C"/>
    <w:rsid w:val="00702D82"/>
    <w:rsid w:val="00704977"/>
    <w:rsid w:val="00707949"/>
    <w:rsid w:val="00712789"/>
    <w:rsid w:val="00713FDC"/>
    <w:rsid w:val="0071659E"/>
    <w:rsid w:val="00717345"/>
    <w:rsid w:val="00722D04"/>
    <w:rsid w:val="00732802"/>
    <w:rsid w:val="00733715"/>
    <w:rsid w:val="007339F9"/>
    <w:rsid w:val="00734F28"/>
    <w:rsid w:val="00740DB9"/>
    <w:rsid w:val="00740DBB"/>
    <w:rsid w:val="0074369E"/>
    <w:rsid w:val="00750C82"/>
    <w:rsid w:val="00751F3F"/>
    <w:rsid w:val="00757C07"/>
    <w:rsid w:val="007608AC"/>
    <w:rsid w:val="00760D4B"/>
    <w:rsid w:val="00763C34"/>
    <w:rsid w:val="00764ABF"/>
    <w:rsid w:val="00770EDC"/>
    <w:rsid w:val="007710C2"/>
    <w:rsid w:val="0077170B"/>
    <w:rsid w:val="00771A84"/>
    <w:rsid w:val="00772452"/>
    <w:rsid w:val="00774903"/>
    <w:rsid w:val="00776A87"/>
    <w:rsid w:val="0078154B"/>
    <w:rsid w:val="007841E1"/>
    <w:rsid w:val="00786C1B"/>
    <w:rsid w:val="00787A16"/>
    <w:rsid w:val="0079066B"/>
    <w:rsid w:val="007947FD"/>
    <w:rsid w:val="007A205B"/>
    <w:rsid w:val="007A3978"/>
    <w:rsid w:val="007A4979"/>
    <w:rsid w:val="007A7E10"/>
    <w:rsid w:val="007B3FE2"/>
    <w:rsid w:val="007C143B"/>
    <w:rsid w:val="007D1103"/>
    <w:rsid w:val="007D1904"/>
    <w:rsid w:val="007E1AAA"/>
    <w:rsid w:val="007F0374"/>
    <w:rsid w:val="007F5B72"/>
    <w:rsid w:val="007F7977"/>
    <w:rsid w:val="008000CD"/>
    <w:rsid w:val="00805670"/>
    <w:rsid w:val="00807BDC"/>
    <w:rsid w:val="00810F67"/>
    <w:rsid w:val="00812D97"/>
    <w:rsid w:val="00813FF8"/>
    <w:rsid w:val="00814CC3"/>
    <w:rsid w:val="00816344"/>
    <w:rsid w:val="00822C1A"/>
    <w:rsid w:val="008254A9"/>
    <w:rsid w:val="0082646E"/>
    <w:rsid w:val="0082797A"/>
    <w:rsid w:val="00827CF7"/>
    <w:rsid w:val="0083419A"/>
    <w:rsid w:val="00835C9E"/>
    <w:rsid w:val="00847B1F"/>
    <w:rsid w:val="00851FD6"/>
    <w:rsid w:val="00853C7A"/>
    <w:rsid w:val="00854015"/>
    <w:rsid w:val="00855FAD"/>
    <w:rsid w:val="008574E1"/>
    <w:rsid w:val="008606A6"/>
    <w:rsid w:val="008613AB"/>
    <w:rsid w:val="008619E6"/>
    <w:rsid w:val="00862CA9"/>
    <w:rsid w:val="00863841"/>
    <w:rsid w:val="00866584"/>
    <w:rsid w:val="00873EAE"/>
    <w:rsid w:val="008756AF"/>
    <w:rsid w:val="00880FF1"/>
    <w:rsid w:val="00887384"/>
    <w:rsid w:val="00894CA3"/>
    <w:rsid w:val="00897D57"/>
    <w:rsid w:val="008A0148"/>
    <w:rsid w:val="008A04EB"/>
    <w:rsid w:val="008A7CBF"/>
    <w:rsid w:val="008B11D4"/>
    <w:rsid w:val="008B2668"/>
    <w:rsid w:val="008B5C55"/>
    <w:rsid w:val="008C07E2"/>
    <w:rsid w:val="008C4CA6"/>
    <w:rsid w:val="008C6AF7"/>
    <w:rsid w:val="008D13A9"/>
    <w:rsid w:val="008D3C18"/>
    <w:rsid w:val="008D4E8F"/>
    <w:rsid w:val="008D5E50"/>
    <w:rsid w:val="008E00C0"/>
    <w:rsid w:val="008E285F"/>
    <w:rsid w:val="008E38FE"/>
    <w:rsid w:val="008E4508"/>
    <w:rsid w:val="008E5363"/>
    <w:rsid w:val="008E7FE1"/>
    <w:rsid w:val="008F1112"/>
    <w:rsid w:val="008F16AC"/>
    <w:rsid w:val="008F24AA"/>
    <w:rsid w:val="008F587E"/>
    <w:rsid w:val="00901E1D"/>
    <w:rsid w:val="00904857"/>
    <w:rsid w:val="00904A71"/>
    <w:rsid w:val="00905DFF"/>
    <w:rsid w:val="00907821"/>
    <w:rsid w:val="00916062"/>
    <w:rsid w:val="00916BC3"/>
    <w:rsid w:val="009172AC"/>
    <w:rsid w:val="00921EFD"/>
    <w:rsid w:val="00922785"/>
    <w:rsid w:val="00924B82"/>
    <w:rsid w:val="009274AE"/>
    <w:rsid w:val="00930868"/>
    <w:rsid w:val="0093215A"/>
    <w:rsid w:val="00932C3B"/>
    <w:rsid w:val="009335B4"/>
    <w:rsid w:val="009338B0"/>
    <w:rsid w:val="00935B8E"/>
    <w:rsid w:val="0093665F"/>
    <w:rsid w:val="00936C24"/>
    <w:rsid w:val="0093746B"/>
    <w:rsid w:val="009422BC"/>
    <w:rsid w:val="00943E52"/>
    <w:rsid w:val="0094481B"/>
    <w:rsid w:val="00961321"/>
    <w:rsid w:val="00961647"/>
    <w:rsid w:val="00965158"/>
    <w:rsid w:val="0097221A"/>
    <w:rsid w:val="00973839"/>
    <w:rsid w:val="00974701"/>
    <w:rsid w:val="009750D6"/>
    <w:rsid w:val="0097669A"/>
    <w:rsid w:val="00977F28"/>
    <w:rsid w:val="009826E1"/>
    <w:rsid w:val="00983225"/>
    <w:rsid w:val="00984205"/>
    <w:rsid w:val="00984CA2"/>
    <w:rsid w:val="00993D50"/>
    <w:rsid w:val="0099490F"/>
    <w:rsid w:val="00996629"/>
    <w:rsid w:val="00996F10"/>
    <w:rsid w:val="009A4FAB"/>
    <w:rsid w:val="009A539E"/>
    <w:rsid w:val="009A647E"/>
    <w:rsid w:val="009A6A0F"/>
    <w:rsid w:val="009B5437"/>
    <w:rsid w:val="009B5C58"/>
    <w:rsid w:val="009C1E8C"/>
    <w:rsid w:val="009C2B78"/>
    <w:rsid w:val="009C7143"/>
    <w:rsid w:val="009C7A59"/>
    <w:rsid w:val="009D340A"/>
    <w:rsid w:val="009D68F3"/>
    <w:rsid w:val="009E168E"/>
    <w:rsid w:val="009F4FA3"/>
    <w:rsid w:val="009F5B13"/>
    <w:rsid w:val="00A00828"/>
    <w:rsid w:val="00A01348"/>
    <w:rsid w:val="00A04C00"/>
    <w:rsid w:val="00A13042"/>
    <w:rsid w:val="00A13EF5"/>
    <w:rsid w:val="00A15414"/>
    <w:rsid w:val="00A20952"/>
    <w:rsid w:val="00A20E64"/>
    <w:rsid w:val="00A310F0"/>
    <w:rsid w:val="00A32E4D"/>
    <w:rsid w:val="00A32FEB"/>
    <w:rsid w:val="00A3338C"/>
    <w:rsid w:val="00A340C2"/>
    <w:rsid w:val="00A3631B"/>
    <w:rsid w:val="00A42BB7"/>
    <w:rsid w:val="00A455C8"/>
    <w:rsid w:val="00A4682B"/>
    <w:rsid w:val="00A56239"/>
    <w:rsid w:val="00A57C06"/>
    <w:rsid w:val="00A60A00"/>
    <w:rsid w:val="00A60FB5"/>
    <w:rsid w:val="00A61A1A"/>
    <w:rsid w:val="00A61B2B"/>
    <w:rsid w:val="00A63312"/>
    <w:rsid w:val="00A65223"/>
    <w:rsid w:val="00A66316"/>
    <w:rsid w:val="00A66B13"/>
    <w:rsid w:val="00A67123"/>
    <w:rsid w:val="00A67FDD"/>
    <w:rsid w:val="00A71D4F"/>
    <w:rsid w:val="00A73CB0"/>
    <w:rsid w:val="00A74436"/>
    <w:rsid w:val="00A77199"/>
    <w:rsid w:val="00A77B48"/>
    <w:rsid w:val="00A80F43"/>
    <w:rsid w:val="00A854BC"/>
    <w:rsid w:val="00A85EFE"/>
    <w:rsid w:val="00A87AE5"/>
    <w:rsid w:val="00A93783"/>
    <w:rsid w:val="00AA5D93"/>
    <w:rsid w:val="00AB2FB5"/>
    <w:rsid w:val="00AB4375"/>
    <w:rsid w:val="00AC005C"/>
    <w:rsid w:val="00AC0945"/>
    <w:rsid w:val="00AC17D4"/>
    <w:rsid w:val="00AC3CFD"/>
    <w:rsid w:val="00AC56FB"/>
    <w:rsid w:val="00AC76B9"/>
    <w:rsid w:val="00AD30CE"/>
    <w:rsid w:val="00AD4314"/>
    <w:rsid w:val="00AE3AEC"/>
    <w:rsid w:val="00AE6BC6"/>
    <w:rsid w:val="00AF33CD"/>
    <w:rsid w:val="00B01BBA"/>
    <w:rsid w:val="00B032CF"/>
    <w:rsid w:val="00B14B1D"/>
    <w:rsid w:val="00B15458"/>
    <w:rsid w:val="00B16682"/>
    <w:rsid w:val="00B2470E"/>
    <w:rsid w:val="00B31338"/>
    <w:rsid w:val="00B335EC"/>
    <w:rsid w:val="00B35386"/>
    <w:rsid w:val="00B37ABB"/>
    <w:rsid w:val="00B40EB7"/>
    <w:rsid w:val="00B42A53"/>
    <w:rsid w:val="00B52F66"/>
    <w:rsid w:val="00B62047"/>
    <w:rsid w:val="00B62E42"/>
    <w:rsid w:val="00B64D75"/>
    <w:rsid w:val="00B64D99"/>
    <w:rsid w:val="00B65AF6"/>
    <w:rsid w:val="00B716C9"/>
    <w:rsid w:val="00B71853"/>
    <w:rsid w:val="00B754BE"/>
    <w:rsid w:val="00B768DC"/>
    <w:rsid w:val="00B8046F"/>
    <w:rsid w:val="00B83EBE"/>
    <w:rsid w:val="00B85A7C"/>
    <w:rsid w:val="00B946B8"/>
    <w:rsid w:val="00B97645"/>
    <w:rsid w:val="00BA0399"/>
    <w:rsid w:val="00BA71B7"/>
    <w:rsid w:val="00BA7B88"/>
    <w:rsid w:val="00BB72E6"/>
    <w:rsid w:val="00BB783E"/>
    <w:rsid w:val="00BC034F"/>
    <w:rsid w:val="00BC1BDE"/>
    <w:rsid w:val="00BC59C1"/>
    <w:rsid w:val="00BD3C1A"/>
    <w:rsid w:val="00BD4A69"/>
    <w:rsid w:val="00BD7F03"/>
    <w:rsid w:val="00BE2777"/>
    <w:rsid w:val="00BE2833"/>
    <w:rsid w:val="00BE50A7"/>
    <w:rsid w:val="00BE63F8"/>
    <w:rsid w:val="00BE6EBA"/>
    <w:rsid w:val="00BF181A"/>
    <w:rsid w:val="00BF7A00"/>
    <w:rsid w:val="00BF7F01"/>
    <w:rsid w:val="00BF7F90"/>
    <w:rsid w:val="00C02E40"/>
    <w:rsid w:val="00C103AF"/>
    <w:rsid w:val="00C10D46"/>
    <w:rsid w:val="00C16D0D"/>
    <w:rsid w:val="00C2238A"/>
    <w:rsid w:val="00C23FE4"/>
    <w:rsid w:val="00C24F5F"/>
    <w:rsid w:val="00C309A7"/>
    <w:rsid w:val="00C31313"/>
    <w:rsid w:val="00C34B6B"/>
    <w:rsid w:val="00C34CB8"/>
    <w:rsid w:val="00C378F8"/>
    <w:rsid w:val="00C407D6"/>
    <w:rsid w:val="00C47F6A"/>
    <w:rsid w:val="00C545ED"/>
    <w:rsid w:val="00C61873"/>
    <w:rsid w:val="00C71280"/>
    <w:rsid w:val="00C71E3D"/>
    <w:rsid w:val="00C812B1"/>
    <w:rsid w:val="00C82176"/>
    <w:rsid w:val="00C829BA"/>
    <w:rsid w:val="00C83CCE"/>
    <w:rsid w:val="00C8523D"/>
    <w:rsid w:val="00C8530C"/>
    <w:rsid w:val="00C85AD1"/>
    <w:rsid w:val="00C901E9"/>
    <w:rsid w:val="00C928A0"/>
    <w:rsid w:val="00C95CE4"/>
    <w:rsid w:val="00CA3B07"/>
    <w:rsid w:val="00CA3FA7"/>
    <w:rsid w:val="00CA607C"/>
    <w:rsid w:val="00CA7A11"/>
    <w:rsid w:val="00CB590C"/>
    <w:rsid w:val="00CB6848"/>
    <w:rsid w:val="00CB6B49"/>
    <w:rsid w:val="00CC1228"/>
    <w:rsid w:val="00CC64A2"/>
    <w:rsid w:val="00CC6A93"/>
    <w:rsid w:val="00CD1B42"/>
    <w:rsid w:val="00CD40D3"/>
    <w:rsid w:val="00CD5313"/>
    <w:rsid w:val="00CD6663"/>
    <w:rsid w:val="00CE1106"/>
    <w:rsid w:val="00CE2F7B"/>
    <w:rsid w:val="00CE5345"/>
    <w:rsid w:val="00CE6F7E"/>
    <w:rsid w:val="00CF03ED"/>
    <w:rsid w:val="00CF1554"/>
    <w:rsid w:val="00CF2720"/>
    <w:rsid w:val="00CF775B"/>
    <w:rsid w:val="00D01D55"/>
    <w:rsid w:val="00D02350"/>
    <w:rsid w:val="00D03850"/>
    <w:rsid w:val="00D05626"/>
    <w:rsid w:val="00D05D35"/>
    <w:rsid w:val="00D10E21"/>
    <w:rsid w:val="00D1552A"/>
    <w:rsid w:val="00D20A2A"/>
    <w:rsid w:val="00D248F9"/>
    <w:rsid w:val="00D32AAA"/>
    <w:rsid w:val="00D33DB2"/>
    <w:rsid w:val="00D52840"/>
    <w:rsid w:val="00D54E48"/>
    <w:rsid w:val="00D60E7F"/>
    <w:rsid w:val="00D6241C"/>
    <w:rsid w:val="00D70799"/>
    <w:rsid w:val="00D72CDC"/>
    <w:rsid w:val="00D819F0"/>
    <w:rsid w:val="00D86CF2"/>
    <w:rsid w:val="00D94F6A"/>
    <w:rsid w:val="00D95F95"/>
    <w:rsid w:val="00D973BE"/>
    <w:rsid w:val="00DA0BE8"/>
    <w:rsid w:val="00DA15A8"/>
    <w:rsid w:val="00DA41D6"/>
    <w:rsid w:val="00DA4298"/>
    <w:rsid w:val="00DA508C"/>
    <w:rsid w:val="00DA5388"/>
    <w:rsid w:val="00DA5F3B"/>
    <w:rsid w:val="00DA7F66"/>
    <w:rsid w:val="00DB2768"/>
    <w:rsid w:val="00DB5CA4"/>
    <w:rsid w:val="00DC0366"/>
    <w:rsid w:val="00DC5AA9"/>
    <w:rsid w:val="00DD33ED"/>
    <w:rsid w:val="00DD3BC0"/>
    <w:rsid w:val="00DE442B"/>
    <w:rsid w:val="00DF0CA8"/>
    <w:rsid w:val="00DF2A55"/>
    <w:rsid w:val="00DF58E2"/>
    <w:rsid w:val="00E021A9"/>
    <w:rsid w:val="00E038B7"/>
    <w:rsid w:val="00E06FC3"/>
    <w:rsid w:val="00E27C33"/>
    <w:rsid w:val="00E27EB1"/>
    <w:rsid w:val="00E27EC4"/>
    <w:rsid w:val="00E3091C"/>
    <w:rsid w:val="00E4038D"/>
    <w:rsid w:val="00E46437"/>
    <w:rsid w:val="00E51FD4"/>
    <w:rsid w:val="00E52B8B"/>
    <w:rsid w:val="00E53FE1"/>
    <w:rsid w:val="00E54FBD"/>
    <w:rsid w:val="00E60D6A"/>
    <w:rsid w:val="00E61800"/>
    <w:rsid w:val="00E82DE1"/>
    <w:rsid w:val="00E82EA7"/>
    <w:rsid w:val="00E87C0E"/>
    <w:rsid w:val="00EA3684"/>
    <w:rsid w:val="00EA7295"/>
    <w:rsid w:val="00EB4A23"/>
    <w:rsid w:val="00EB7841"/>
    <w:rsid w:val="00EC05ED"/>
    <w:rsid w:val="00EC0E9E"/>
    <w:rsid w:val="00EC4C75"/>
    <w:rsid w:val="00EC561D"/>
    <w:rsid w:val="00EC6099"/>
    <w:rsid w:val="00ED3D10"/>
    <w:rsid w:val="00ED68B0"/>
    <w:rsid w:val="00EE3C7E"/>
    <w:rsid w:val="00EE72D1"/>
    <w:rsid w:val="00EE7936"/>
    <w:rsid w:val="00EE7ABB"/>
    <w:rsid w:val="00EF115F"/>
    <w:rsid w:val="00EF4FD1"/>
    <w:rsid w:val="00F03BAC"/>
    <w:rsid w:val="00F04325"/>
    <w:rsid w:val="00F10F57"/>
    <w:rsid w:val="00F1117A"/>
    <w:rsid w:val="00F13A32"/>
    <w:rsid w:val="00F1414B"/>
    <w:rsid w:val="00F14CE5"/>
    <w:rsid w:val="00F15AEE"/>
    <w:rsid w:val="00F247AF"/>
    <w:rsid w:val="00F315D6"/>
    <w:rsid w:val="00F407C0"/>
    <w:rsid w:val="00F4115A"/>
    <w:rsid w:val="00F42EFB"/>
    <w:rsid w:val="00F434BD"/>
    <w:rsid w:val="00F45CF2"/>
    <w:rsid w:val="00F53489"/>
    <w:rsid w:val="00F54058"/>
    <w:rsid w:val="00F56E0F"/>
    <w:rsid w:val="00F609AE"/>
    <w:rsid w:val="00F620FE"/>
    <w:rsid w:val="00F623B4"/>
    <w:rsid w:val="00F6529E"/>
    <w:rsid w:val="00F703A1"/>
    <w:rsid w:val="00F75563"/>
    <w:rsid w:val="00F76241"/>
    <w:rsid w:val="00F77897"/>
    <w:rsid w:val="00F876A9"/>
    <w:rsid w:val="00F96B74"/>
    <w:rsid w:val="00FA155F"/>
    <w:rsid w:val="00FA6D6A"/>
    <w:rsid w:val="00FA6EC3"/>
    <w:rsid w:val="00FA771E"/>
    <w:rsid w:val="00FB0B14"/>
    <w:rsid w:val="00FB30CC"/>
    <w:rsid w:val="00FC0012"/>
    <w:rsid w:val="00FC3150"/>
    <w:rsid w:val="00FC32AB"/>
    <w:rsid w:val="00FC33B6"/>
    <w:rsid w:val="00FC347E"/>
    <w:rsid w:val="00FC48FA"/>
    <w:rsid w:val="00FC6D7A"/>
    <w:rsid w:val="00FC72DA"/>
    <w:rsid w:val="00FC789E"/>
    <w:rsid w:val="00FD2F31"/>
    <w:rsid w:val="00FD2F9B"/>
    <w:rsid w:val="00FD3F2F"/>
    <w:rsid w:val="00FE1236"/>
    <w:rsid w:val="00FE3239"/>
    <w:rsid w:val="00FF1EBE"/>
    <w:rsid w:val="00FF1FBD"/>
    <w:rsid w:val="00FF49C4"/>
    <w:rsid w:val="00FF7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0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EA7"/>
    <w:pPr>
      <w:spacing w:after="0" w:line="276"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0466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46649"/>
    <w:pPr>
      <w:jc w:val="both"/>
    </w:pPr>
    <w:rPr>
      <w:sz w:val="22"/>
    </w:rPr>
  </w:style>
  <w:style w:type="character" w:customStyle="1" w:styleId="FootnoteTextChar">
    <w:name w:val="Footnote Text Char"/>
    <w:basedOn w:val="DefaultParagraphFont"/>
    <w:link w:val="FootnoteText"/>
    <w:uiPriority w:val="99"/>
    <w:semiHidden/>
    <w:rsid w:val="00046649"/>
    <w:rPr>
      <w:rFonts w:ascii="Times New Roman" w:hAnsi="Times New Roman"/>
    </w:rPr>
  </w:style>
  <w:style w:type="paragraph" w:styleId="Header">
    <w:name w:val="header"/>
    <w:basedOn w:val="Normal"/>
    <w:link w:val="HeaderChar"/>
    <w:uiPriority w:val="99"/>
    <w:unhideWhenUsed/>
    <w:rsid w:val="00046649"/>
    <w:pPr>
      <w:tabs>
        <w:tab w:val="center" w:pos="4513"/>
        <w:tab w:val="right" w:pos="9026"/>
      </w:tabs>
      <w:spacing w:line="240" w:lineRule="auto"/>
    </w:pPr>
  </w:style>
  <w:style w:type="character" w:customStyle="1" w:styleId="HeaderChar">
    <w:name w:val="Header Char"/>
    <w:basedOn w:val="DefaultParagraphFont"/>
    <w:link w:val="Header"/>
    <w:uiPriority w:val="99"/>
    <w:rsid w:val="00046649"/>
    <w:rPr>
      <w:rFonts w:ascii="Times New Roman" w:hAnsi="Times New Roman"/>
      <w:sz w:val="24"/>
    </w:rPr>
  </w:style>
  <w:style w:type="paragraph" w:styleId="Footer">
    <w:name w:val="footer"/>
    <w:basedOn w:val="Normal"/>
    <w:link w:val="FooterChar"/>
    <w:uiPriority w:val="99"/>
    <w:unhideWhenUsed/>
    <w:rsid w:val="00046649"/>
    <w:pPr>
      <w:tabs>
        <w:tab w:val="center" w:pos="4513"/>
        <w:tab w:val="right" w:pos="9026"/>
      </w:tabs>
      <w:spacing w:line="240" w:lineRule="auto"/>
    </w:pPr>
  </w:style>
  <w:style w:type="character" w:customStyle="1" w:styleId="FooterChar">
    <w:name w:val="Footer Char"/>
    <w:basedOn w:val="DefaultParagraphFont"/>
    <w:link w:val="Footer"/>
    <w:uiPriority w:val="99"/>
    <w:rsid w:val="00046649"/>
    <w:rPr>
      <w:rFonts w:ascii="Times New Roman" w:hAnsi="Times New Roman"/>
      <w:sz w:val="24"/>
    </w:rPr>
  </w:style>
  <w:style w:type="paragraph" w:styleId="ListParagraph">
    <w:name w:val="List Paragraph"/>
    <w:basedOn w:val="Normal"/>
    <w:uiPriority w:val="34"/>
    <w:qFormat/>
    <w:rsid w:val="00046649"/>
    <w:pPr>
      <w:ind w:left="720"/>
      <w:contextualSpacing/>
    </w:pPr>
  </w:style>
  <w:style w:type="character" w:styleId="CommentReference">
    <w:name w:val="annotation reference"/>
    <w:basedOn w:val="DefaultParagraphFont"/>
    <w:uiPriority w:val="99"/>
    <w:semiHidden/>
    <w:unhideWhenUsed/>
    <w:rsid w:val="00EA7295"/>
    <w:rPr>
      <w:sz w:val="16"/>
      <w:szCs w:val="16"/>
    </w:rPr>
  </w:style>
  <w:style w:type="paragraph" w:styleId="CommentText">
    <w:name w:val="annotation text"/>
    <w:basedOn w:val="Normal"/>
    <w:link w:val="CommentTextChar"/>
    <w:uiPriority w:val="99"/>
    <w:semiHidden/>
    <w:unhideWhenUsed/>
    <w:rsid w:val="00EA7295"/>
    <w:pPr>
      <w:spacing w:line="240" w:lineRule="auto"/>
    </w:pPr>
    <w:rPr>
      <w:sz w:val="20"/>
      <w:szCs w:val="20"/>
    </w:rPr>
  </w:style>
  <w:style w:type="character" w:customStyle="1" w:styleId="CommentTextChar">
    <w:name w:val="Comment Text Char"/>
    <w:basedOn w:val="DefaultParagraphFont"/>
    <w:link w:val="CommentText"/>
    <w:uiPriority w:val="99"/>
    <w:semiHidden/>
    <w:rsid w:val="00EA729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A7295"/>
    <w:rPr>
      <w:b/>
      <w:bCs/>
    </w:rPr>
  </w:style>
  <w:style w:type="character" w:customStyle="1" w:styleId="CommentSubjectChar">
    <w:name w:val="Comment Subject Char"/>
    <w:basedOn w:val="CommentTextChar"/>
    <w:link w:val="CommentSubject"/>
    <w:uiPriority w:val="99"/>
    <w:semiHidden/>
    <w:rsid w:val="00EA7295"/>
    <w:rPr>
      <w:rFonts w:ascii="Times New Roman" w:hAnsi="Times New Roman"/>
      <w:b/>
      <w:bCs/>
      <w:sz w:val="20"/>
      <w:szCs w:val="20"/>
    </w:rPr>
  </w:style>
  <w:style w:type="paragraph" w:styleId="BalloonText">
    <w:name w:val="Balloon Text"/>
    <w:basedOn w:val="Normal"/>
    <w:link w:val="BalloonTextChar"/>
    <w:uiPriority w:val="99"/>
    <w:semiHidden/>
    <w:unhideWhenUsed/>
    <w:rsid w:val="00EA72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295"/>
    <w:rPr>
      <w:rFonts w:ascii="Segoe UI" w:hAnsi="Segoe UI" w:cs="Segoe UI"/>
      <w:sz w:val="18"/>
      <w:szCs w:val="18"/>
    </w:rPr>
  </w:style>
  <w:style w:type="paragraph" w:styleId="Title">
    <w:name w:val="Title"/>
    <w:basedOn w:val="ListParagraph"/>
    <w:next w:val="Normal"/>
    <w:link w:val="TitleChar"/>
    <w:uiPriority w:val="10"/>
    <w:qFormat/>
    <w:rsid w:val="00303899"/>
    <w:pPr>
      <w:numPr>
        <w:numId w:val="1"/>
      </w:numPr>
      <w:spacing w:after="120" w:line="360" w:lineRule="auto"/>
      <w:contextualSpacing w:val="0"/>
      <w:jc w:val="both"/>
    </w:pPr>
    <w:rPr>
      <w:b/>
    </w:rPr>
  </w:style>
  <w:style w:type="character" w:customStyle="1" w:styleId="TitleChar">
    <w:name w:val="Title Char"/>
    <w:basedOn w:val="DefaultParagraphFont"/>
    <w:link w:val="Title"/>
    <w:uiPriority w:val="10"/>
    <w:rsid w:val="00303899"/>
    <w:rPr>
      <w:rFonts w:ascii="Times New Roman" w:hAnsi="Times New Roman"/>
      <w:b/>
      <w:sz w:val="24"/>
    </w:rPr>
  </w:style>
  <w:style w:type="character" w:styleId="PlaceholderText">
    <w:name w:val="Placeholder Text"/>
    <w:basedOn w:val="DefaultParagraphFont"/>
    <w:uiPriority w:val="99"/>
    <w:semiHidden/>
    <w:rsid w:val="00CA7A11"/>
    <w:rPr>
      <w:color w:val="808080"/>
    </w:rPr>
  </w:style>
  <w:style w:type="paragraph" w:styleId="Revision">
    <w:name w:val="Revision"/>
    <w:hidden/>
    <w:uiPriority w:val="99"/>
    <w:semiHidden/>
    <w:rsid w:val="006D274E"/>
    <w:pPr>
      <w:spacing w:after="0" w:line="240" w:lineRule="auto"/>
    </w:pPr>
    <w:rPr>
      <w:rFonts w:ascii="Times New Roman" w:hAnsi="Times New Roman"/>
      <w:sz w:val="24"/>
    </w:rPr>
  </w:style>
  <w:style w:type="paragraph" w:styleId="Subtitle">
    <w:name w:val="Subtitle"/>
    <w:basedOn w:val="Title"/>
    <w:next w:val="Normal"/>
    <w:link w:val="SubtitleChar"/>
    <w:uiPriority w:val="11"/>
    <w:qFormat/>
    <w:rsid w:val="0077170B"/>
    <w:pPr>
      <w:numPr>
        <w:ilvl w:val="1"/>
        <w:numId w:val="17"/>
      </w:numPr>
      <w:spacing w:line="276" w:lineRule="auto"/>
    </w:pPr>
    <w:rPr>
      <w:i/>
    </w:rPr>
  </w:style>
  <w:style w:type="character" w:customStyle="1" w:styleId="SubtitleChar">
    <w:name w:val="Subtitle Char"/>
    <w:basedOn w:val="DefaultParagraphFont"/>
    <w:link w:val="Subtitle"/>
    <w:uiPriority w:val="11"/>
    <w:rsid w:val="0077170B"/>
    <w:rPr>
      <w:rFonts w:ascii="Times New Roman" w:hAnsi="Times New Roman"/>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798053">
      <w:bodyDiv w:val="1"/>
      <w:marLeft w:val="0"/>
      <w:marRight w:val="0"/>
      <w:marTop w:val="0"/>
      <w:marBottom w:val="0"/>
      <w:divBdr>
        <w:top w:val="none" w:sz="0" w:space="0" w:color="auto"/>
        <w:left w:val="none" w:sz="0" w:space="0" w:color="auto"/>
        <w:bottom w:val="none" w:sz="0" w:space="0" w:color="auto"/>
        <w:right w:val="none" w:sz="0" w:space="0" w:color="auto"/>
      </w:divBdr>
      <w:divsChild>
        <w:div w:id="1202472624">
          <w:marLeft w:val="547"/>
          <w:marRight w:val="0"/>
          <w:marTop w:val="200"/>
          <w:marBottom w:val="120"/>
          <w:divBdr>
            <w:top w:val="none" w:sz="0" w:space="0" w:color="auto"/>
            <w:left w:val="none" w:sz="0" w:space="0" w:color="auto"/>
            <w:bottom w:val="none" w:sz="0" w:space="0" w:color="auto"/>
            <w:right w:val="none" w:sz="0" w:space="0" w:color="auto"/>
          </w:divBdr>
        </w:div>
        <w:div w:id="1939290897">
          <w:marLeft w:val="547"/>
          <w:marRight w:val="0"/>
          <w:marTop w:val="200"/>
          <w:marBottom w:val="120"/>
          <w:divBdr>
            <w:top w:val="none" w:sz="0" w:space="0" w:color="auto"/>
            <w:left w:val="none" w:sz="0" w:space="0" w:color="auto"/>
            <w:bottom w:val="none" w:sz="0" w:space="0" w:color="auto"/>
            <w:right w:val="none" w:sz="0" w:space="0" w:color="auto"/>
          </w:divBdr>
        </w:div>
        <w:div w:id="1801223472">
          <w:marLeft w:val="547"/>
          <w:marRight w:val="0"/>
          <w:marTop w:val="200"/>
          <w:marBottom w:val="120"/>
          <w:divBdr>
            <w:top w:val="none" w:sz="0" w:space="0" w:color="auto"/>
            <w:left w:val="none" w:sz="0" w:space="0" w:color="auto"/>
            <w:bottom w:val="none" w:sz="0" w:space="0" w:color="auto"/>
            <w:right w:val="none" w:sz="0" w:space="0" w:color="auto"/>
          </w:divBdr>
        </w:div>
      </w:divsChild>
    </w:div>
    <w:div w:id="1478841408">
      <w:bodyDiv w:val="1"/>
      <w:marLeft w:val="0"/>
      <w:marRight w:val="0"/>
      <w:marTop w:val="0"/>
      <w:marBottom w:val="0"/>
      <w:divBdr>
        <w:top w:val="none" w:sz="0" w:space="0" w:color="auto"/>
        <w:left w:val="none" w:sz="0" w:space="0" w:color="auto"/>
        <w:bottom w:val="none" w:sz="0" w:space="0" w:color="auto"/>
        <w:right w:val="none" w:sz="0" w:space="0" w:color="auto"/>
      </w:divBdr>
      <w:divsChild>
        <w:div w:id="1540048526">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E26DDEB-56AD-451F-8994-02A0C07C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8326</Words>
  <Characters>47463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2019-04-29T15:33:00Z</dcterms:created>
  <dcterms:modified xsi:type="dcterms:W3CDTF">2019-04-29T15:37:00Z</dcterms:modified>
</cp:coreProperties>
</file>