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A4" w:rsidRDefault="00251E70" w:rsidP="00251E70">
      <w:pPr>
        <w:jc w:val="center"/>
        <w:rPr>
          <w:rFonts w:eastAsiaTheme="majorEastAsia"/>
          <w:color w:val="000000" w:themeColor="text1"/>
          <w:kern w:val="24"/>
          <w:sz w:val="28"/>
          <w:szCs w:val="28"/>
          <w:lang w:val="en-GB"/>
        </w:rPr>
      </w:pPr>
      <w:r w:rsidRPr="00251E70">
        <w:rPr>
          <w:rFonts w:eastAsiaTheme="majorEastAsia"/>
          <w:color w:val="000000" w:themeColor="text1"/>
          <w:kern w:val="24"/>
          <w:sz w:val="28"/>
          <w:szCs w:val="28"/>
          <w:lang w:val="en-GB"/>
        </w:rPr>
        <w:t>The New UAE Commercial Companies Law</w:t>
      </w:r>
    </w:p>
    <w:p w:rsidR="00251E70" w:rsidRDefault="00251E70" w:rsidP="00251E70">
      <w:pPr>
        <w:pStyle w:val="NormalWeb"/>
        <w:spacing w:before="200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Bashar H. Malkawi</w:t>
      </w:r>
    </w:p>
    <w:p w:rsidR="00251E70" w:rsidRDefault="00251E70" w:rsidP="00251E70">
      <w:pPr>
        <w:jc w:val="center"/>
        <w:rPr>
          <w:sz w:val="28"/>
          <w:szCs w:val="28"/>
        </w:rPr>
      </w:pPr>
    </w:p>
    <w:p w:rsidR="00251E70" w:rsidRPr="00251E70" w:rsidRDefault="00251E70" w:rsidP="00251E70">
      <w:pPr>
        <w:spacing w:line="216" w:lineRule="auto"/>
        <w:rPr>
          <w:sz w:val="36"/>
        </w:rPr>
      </w:pPr>
      <w:r w:rsidRPr="00251E70"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  <w:t>UAE Commercial Companies Law (</w:t>
      </w:r>
      <w:proofErr w:type="gramStart"/>
      <w:r w:rsidRPr="00251E70"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  <w:t>Federal  Law</w:t>
      </w:r>
      <w:proofErr w:type="gramEnd"/>
      <w:r w:rsidRPr="00251E70"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  <w:t xml:space="preserve"> No. 2 of 2015 (CCL))</w:t>
      </w:r>
    </w:p>
    <w:p w:rsidR="00251E70" w:rsidRPr="00251E70" w:rsidRDefault="00251E70" w:rsidP="00251E70">
      <w:pPr>
        <w:spacing w:line="216" w:lineRule="auto"/>
        <w:rPr>
          <w:sz w:val="36"/>
        </w:rPr>
      </w:pPr>
      <w:r w:rsidRPr="00251E70"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  <w:t>Application:</w:t>
      </w:r>
    </w:p>
    <w:p w:rsidR="00251E70" w:rsidRDefault="00251E70" w:rsidP="00251E70">
      <w:pPr>
        <w:pStyle w:val="ListParagraph"/>
        <w:numPr>
          <w:ilvl w:val="4"/>
          <w:numId w:val="1"/>
        </w:numPr>
        <w:spacing w:line="216" w:lineRule="auto"/>
        <w:rPr>
          <w:sz w:val="32"/>
        </w:rPr>
      </w:pP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>applies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 xml:space="preserve"> to “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32"/>
          <w:szCs w:val="32"/>
          <w:lang w:val="en-GB"/>
        </w:rPr>
        <w:t xml:space="preserve">commercial companies  established in the State.  The provisions concerning foreign companies set forth.....shall apply to foreign companies that have in the State a place to conduct any activity therein or establish a branch or representative office in the State.”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val="en-GB"/>
        </w:rPr>
        <w:t>(Article 3)</w:t>
      </w:r>
    </w:p>
    <w:p w:rsidR="00251E70" w:rsidRPr="00251E70" w:rsidRDefault="00251E70" w:rsidP="00251E70">
      <w:pPr>
        <w:spacing w:line="216" w:lineRule="auto"/>
        <w:rPr>
          <w:sz w:val="36"/>
        </w:rPr>
      </w:pPr>
      <w:proofErr w:type="gramStart"/>
      <w:r w:rsidRPr="00251E70"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  <w:t>Companies which do not take one of the corporate forms in the CCL</w:t>
      </w:r>
      <w:proofErr w:type="gramEnd"/>
      <w:r w:rsidRPr="00251E70"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  <w:t xml:space="preserve"> shall be void (Article 9)</w:t>
      </w:r>
    </w:p>
    <w:p w:rsidR="00251E70" w:rsidRDefault="00251E70" w:rsidP="00251E70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  <w:r w:rsidRPr="00251E70"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  <w:t xml:space="preserve">Companies have until 1 July 2016 to adjust their positions and comply or will be deemed </w:t>
      </w:r>
      <w:proofErr w:type="gramStart"/>
      <w:r w:rsidRPr="00251E70"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  <w:t>dissolved  (</w:t>
      </w:r>
      <w:proofErr w:type="gramEnd"/>
      <w:r w:rsidRPr="00251E70"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  <w:t>Article 374) and daily penalties will apply (Article 357)</w:t>
      </w:r>
    </w:p>
    <w:p w:rsidR="00251E70" w:rsidRDefault="00251E70" w:rsidP="00251E70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</w:p>
    <w:p w:rsidR="00251E70" w:rsidRDefault="00251E70" w:rsidP="00251E70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</w:p>
    <w:p w:rsidR="00251E70" w:rsidRDefault="00251E70" w:rsidP="00251E70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</w:p>
    <w:p w:rsidR="00251E70" w:rsidRDefault="00251E70" w:rsidP="00251E70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</w:p>
    <w:p w:rsidR="00251E70" w:rsidRDefault="00251E70" w:rsidP="00251E70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</w:p>
    <w:p w:rsidR="00251E70" w:rsidRDefault="00251E70" w:rsidP="00251E70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</w:p>
    <w:p w:rsidR="00251E70" w:rsidRDefault="00251E70" w:rsidP="00251E70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</w:p>
    <w:p w:rsidR="00251E70" w:rsidRDefault="00251E70" w:rsidP="00251E70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</w:p>
    <w:p w:rsidR="00251E70" w:rsidRDefault="00251E70" w:rsidP="00251E70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</w:p>
    <w:p w:rsidR="00251E70" w:rsidRDefault="00251E70" w:rsidP="00251E70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</w:p>
    <w:p w:rsidR="00251E70" w:rsidRPr="00251E70" w:rsidRDefault="00251E70" w:rsidP="00251E70">
      <w:pPr>
        <w:spacing w:line="216" w:lineRule="auto"/>
        <w:rPr>
          <w:sz w:val="28"/>
        </w:rPr>
      </w:pPr>
      <w:r w:rsidRPr="00251E70">
        <w:rPr>
          <w:rFonts w:asciiTheme="minorHAnsi" w:eastAsiaTheme="minorEastAsia" w:hAnsi="Calibri" w:cstheme="minorBidi"/>
          <w:color w:val="1A75CF"/>
          <w:kern w:val="24"/>
          <w:sz w:val="28"/>
          <w:szCs w:val="28"/>
          <w:lang w:val="en-GB"/>
        </w:rPr>
        <w:lastRenderedPageBreak/>
        <w:t>New CCL in effect from 1 July 2015</w:t>
      </w:r>
    </w:p>
    <w:p w:rsidR="00251E70" w:rsidRPr="00251E70" w:rsidRDefault="00251E70" w:rsidP="00251E70">
      <w:pPr>
        <w:spacing w:line="216" w:lineRule="auto"/>
        <w:rPr>
          <w:sz w:val="28"/>
        </w:rPr>
      </w:pPr>
      <w:r w:rsidRPr="00251E70">
        <w:rPr>
          <w:rFonts w:asciiTheme="minorHAnsi" w:eastAsiaTheme="minorEastAsia" w:hAnsi="Calibri" w:cstheme="minorBidi"/>
          <w:color w:val="1A75CF"/>
          <w:kern w:val="24"/>
          <w:sz w:val="28"/>
          <w:szCs w:val="28"/>
          <w:lang w:val="en-GB"/>
        </w:rPr>
        <w:t>No “game changers” –status quo largely maintained</w:t>
      </w:r>
    </w:p>
    <w:p w:rsidR="00251E70" w:rsidRDefault="00251E70" w:rsidP="00251E70">
      <w:pPr>
        <w:pStyle w:val="ListParagraph"/>
        <w:numPr>
          <w:ilvl w:val="4"/>
          <w:numId w:val="2"/>
        </w:numPr>
        <w:spacing w:line="216" w:lineRule="auto"/>
        <w:rPr>
          <w:sz w:val="28"/>
        </w:rPr>
      </w:pPr>
      <w:r>
        <w:rPr>
          <w:rFonts w:asciiTheme="minorHAnsi" w:eastAsiaTheme="minorEastAsia" w:hAnsi="Calibri" w:cstheme="minorBidi"/>
          <w:color w:val="000000"/>
          <w:kern w:val="24"/>
          <w:sz w:val="28"/>
          <w:szCs w:val="28"/>
          <w:lang w:val="en-GB"/>
        </w:rPr>
        <w:t>Broadly the same corporate forms but note new provision for single shareholder companies (Article 8(3)) and holding company structures (Part 6, chapter 1)</w:t>
      </w:r>
    </w:p>
    <w:p w:rsidR="00251E70" w:rsidRDefault="00251E70" w:rsidP="00251E70">
      <w:pPr>
        <w:pStyle w:val="ListParagraph"/>
        <w:numPr>
          <w:ilvl w:val="4"/>
          <w:numId w:val="2"/>
        </w:numPr>
        <w:spacing w:line="216" w:lineRule="auto"/>
        <w:rPr>
          <w:sz w:val="28"/>
        </w:rPr>
      </w:pPr>
      <w:r>
        <w:rPr>
          <w:rFonts w:asciiTheme="minorHAnsi" w:eastAsiaTheme="minorEastAsia" w:hAnsi="Calibri" w:cstheme="minorBidi"/>
          <w:color w:val="000000"/>
          <w:kern w:val="24"/>
          <w:sz w:val="28"/>
          <w:szCs w:val="28"/>
          <w:lang w:val="en-GB"/>
        </w:rPr>
        <w:t xml:space="preserve">No relaxation of foreign ownership restrictions </w:t>
      </w:r>
    </w:p>
    <w:p w:rsidR="00251E70" w:rsidRDefault="00251E70" w:rsidP="00251E70">
      <w:pPr>
        <w:pStyle w:val="ListParagraph"/>
        <w:numPr>
          <w:ilvl w:val="4"/>
          <w:numId w:val="2"/>
        </w:numPr>
        <w:spacing w:line="216" w:lineRule="auto"/>
        <w:rPr>
          <w:sz w:val="28"/>
        </w:rPr>
      </w:pPr>
      <w:r>
        <w:rPr>
          <w:rFonts w:asciiTheme="minorHAnsi" w:eastAsiaTheme="minorEastAsia" w:hAnsi="Calibri" w:cstheme="minorBidi"/>
          <w:color w:val="000000"/>
          <w:kern w:val="24"/>
          <w:sz w:val="28"/>
          <w:szCs w:val="28"/>
          <w:lang w:val="en-GB"/>
        </w:rPr>
        <w:t>Certain ambiguities under the old law remain</w:t>
      </w:r>
    </w:p>
    <w:p w:rsidR="00251E70" w:rsidRPr="00251E70" w:rsidRDefault="00251E70" w:rsidP="00251E70">
      <w:pPr>
        <w:spacing w:line="216" w:lineRule="auto"/>
        <w:rPr>
          <w:sz w:val="28"/>
        </w:rPr>
      </w:pPr>
      <w:r w:rsidRPr="00251E70">
        <w:rPr>
          <w:rFonts w:asciiTheme="minorHAnsi" w:eastAsiaTheme="minorEastAsia" w:hAnsi="Calibri" w:cstheme="minorBidi"/>
          <w:color w:val="1A75CF"/>
          <w:kern w:val="24"/>
          <w:sz w:val="28"/>
          <w:szCs w:val="28"/>
          <w:lang w:val="en-GB"/>
        </w:rPr>
        <w:t>However, there are some notable amendments, for example:</w:t>
      </w:r>
    </w:p>
    <w:p w:rsidR="00251E70" w:rsidRDefault="00251E70" w:rsidP="00251E70">
      <w:pPr>
        <w:pStyle w:val="ListParagraph"/>
        <w:numPr>
          <w:ilvl w:val="4"/>
          <w:numId w:val="2"/>
        </w:numPr>
        <w:spacing w:line="216" w:lineRule="auto"/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LLC share mortgages expressly permitted  (Article 79)</w:t>
      </w:r>
    </w:p>
    <w:p w:rsidR="00251E70" w:rsidRDefault="00251E70" w:rsidP="00251E70">
      <w:pPr>
        <w:pStyle w:val="ListParagraph"/>
        <w:numPr>
          <w:ilvl w:val="4"/>
          <w:numId w:val="2"/>
        </w:numPr>
        <w:spacing w:line="216" w:lineRule="auto"/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Limiting the ability of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companies which enter into different transactions to claim that an employee/agent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did not have express or actual authority to enter into such transactions (Article 23). Once frequently used argument. </w:t>
      </w:r>
    </w:p>
    <w:p w:rsidR="00251E70" w:rsidRDefault="00251E70" w:rsidP="00251E70">
      <w:pPr>
        <w:pStyle w:val="ListParagraph"/>
        <w:numPr>
          <w:ilvl w:val="4"/>
          <w:numId w:val="2"/>
        </w:numPr>
        <w:spacing w:line="216" w:lineRule="auto"/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Financial assistance provision (Article 222)</w:t>
      </w:r>
    </w:p>
    <w:p w:rsidR="00251E70" w:rsidRDefault="00251E70" w:rsidP="00251E70">
      <w:pPr>
        <w:pStyle w:val="ListParagraph"/>
        <w:numPr>
          <w:ilvl w:val="4"/>
          <w:numId w:val="2"/>
        </w:numPr>
        <w:spacing w:line="216" w:lineRule="auto"/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New federal companies registrar, although role likely limited  (Articles 33-38)</w:t>
      </w:r>
    </w:p>
    <w:p w:rsidR="00251E70" w:rsidRDefault="00251E70" w:rsidP="00251E70">
      <w:pPr>
        <w:pStyle w:val="ListParagraph"/>
        <w:numPr>
          <w:ilvl w:val="4"/>
          <w:numId w:val="2"/>
        </w:numPr>
        <w:spacing w:line="216" w:lineRule="auto"/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 xml:space="preserve">Wider directors duties </w:t>
      </w:r>
    </w:p>
    <w:p w:rsidR="00251E70" w:rsidRDefault="00251E70" w:rsidP="00251E70">
      <w:pPr>
        <w:pStyle w:val="ListParagraph"/>
        <w:numPr>
          <w:ilvl w:val="4"/>
          <w:numId w:val="2"/>
        </w:numPr>
        <w:spacing w:line="216" w:lineRule="auto"/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Wider prohibition on loans to directors (Article 153)</w:t>
      </w:r>
    </w:p>
    <w:p w:rsidR="00251E70" w:rsidRDefault="00251E70" w:rsidP="00251E70">
      <w:pPr>
        <w:pStyle w:val="ListParagraph"/>
        <w:numPr>
          <w:ilvl w:val="4"/>
          <w:numId w:val="2"/>
        </w:numPr>
        <w:spacing w:line="216" w:lineRule="auto"/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Free float on IPO reduced from 55% to 30% (Article 117)</w:t>
      </w:r>
    </w:p>
    <w:p w:rsidR="00251E70" w:rsidRDefault="00251E70" w:rsidP="00251E70">
      <w:pPr>
        <w:pStyle w:val="ListParagraph"/>
        <w:numPr>
          <w:ilvl w:val="4"/>
          <w:numId w:val="2"/>
        </w:numPr>
        <w:spacing w:line="216" w:lineRule="auto"/>
        <w:rPr>
          <w:sz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 xml:space="preserve">Changes in quorum requirements and thresholds </w:t>
      </w:r>
    </w:p>
    <w:p w:rsidR="00251E70" w:rsidRPr="00251E70" w:rsidRDefault="00251E70" w:rsidP="00251E70">
      <w:pPr>
        <w:pStyle w:val="ListParagraph"/>
        <w:numPr>
          <w:ilvl w:val="4"/>
          <w:numId w:val="2"/>
        </w:numPr>
        <w:spacing w:line="216" w:lineRule="auto"/>
        <w:rPr>
          <w:sz w:val="28"/>
        </w:rPr>
      </w:pPr>
      <w:r>
        <w:rPr>
          <w:rFonts w:asciiTheme="minorHAnsi" w:eastAsiaTheme="minorEastAsia" w:hAnsi="Calibri" w:cstheme="minorBidi"/>
          <w:color w:val="000000"/>
          <w:kern w:val="24"/>
          <w:sz w:val="28"/>
          <w:szCs w:val="28"/>
          <w:lang w:val="en-GB"/>
        </w:rPr>
        <w:t>Companies may only conduct activities outside the State if its Memorandum of Association so provides (Article 11(2))</w:t>
      </w:r>
    </w:p>
    <w:p w:rsidR="00251E70" w:rsidRDefault="00251E70" w:rsidP="00251E70">
      <w:pPr>
        <w:spacing w:line="216" w:lineRule="auto"/>
        <w:ind w:left="3240"/>
        <w:rPr>
          <w:sz w:val="28"/>
        </w:rPr>
      </w:pPr>
    </w:p>
    <w:p w:rsidR="00251E70" w:rsidRDefault="00251E70" w:rsidP="00251E70">
      <w:pPr>
        <w:spacing w:line="216" w:lineRule="auto"/>
        <w:ind w:left="3240"/>
        <w:rPr>
          <w:sz w:val="28"/>
        </w:rPr>
      </w:pPr>
    </w:p>
    <w:p w:rsidR="00251E70" w:rsidRDefault="00251E70" w:rsidP="00251E70">
      <w:pPr>
        <w:spacing w:line="216" w:lineRule="auto"/>
        <w:ind w:left="3240"/>
        <w:rPr>
          <w:sz w:val="28"/>
        </w:rPr>
      </w:pPr>
    </w:p>
    <w:p w:rsidR="00251E70" w:rsidRDefault="00251E70" w:rsidP="00251E70">
      <w:pPr>
        <w:spacing w:line="216" w:lineRule="auto"/>
        <w:ind w:left="3240"/>
        <w:rPr>
          <w:sz w:val="28"/>
        </w:rPr>
      </w:pPr>
    </w:p>
    <w:p w:rsidR="00251E70" w:rsidRDefault="00251E70" w:rsidP="00251E70">
      <w:pPr>
        <w:spacing w:line="216" w:lineRule="auto"/>
        <w:ind w:left="3240"/>
        <w:rPr>
          <w:sz w:val="28"/>
        </w:rPr>
      </w:pPr>
    </w:p>
    <w:p w:rsidR="00251E70" w:rsidRDefault="00251E70" w:rsidP="00251E70">
      <w:pPr>
        <w:spacing w:line="216" w:lineRule="auto"/>
        <w:ind w:left="3240"/>
        <w:rPr>
          <w:sz w:val="28"/>
        </w:rPr>
      </w:pPr>
    </w:p>
    <w:p w:rsidR="00251E70" w:rsidRDefault="00251E70" w:rsidP="00251E70">
      <w:pPr>
        <w:spacing w:line="216" w:lineRule="auto"/>
        <w:ind w:left="3240"/>
        <w:rPr>
          <w:sz w:val="28"/>
        </w:rPr>
      </w:pPr>
    </w:p>
    <w:p w:rsidR="00251E70" w:rsidRDefault="00251E70" w:rsidP="00251E70">
      <w:pPr>
        <w:spacing w:line="216" w:lineRule="auto"/>
        <w:ind w:left="3240"/>
        <w:rPr>
          <w:sz w:val="28"/>
        </w:rPr>
      </w:pPr>
    </w:p>
    <w:p w:rsidR="00251E70" w:rsidRDefault="00251E70" w:rsidP="00251E70">
      <w:pPr>
        <w:spacing w:line="216" w:lineRule="auto"/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  <w:lang w:val="en-GB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  <w:lang w:val="en-GB"/>
        </w:rPr>
        <w:lastRenderedPageBreak/>
        <w:t>Exemptions</w:t>
      </w:r>
    </w:p>
    <w:p w:rsidR="00AD27D5" w:rsidRPr="00AD27D5" w:rsidRDefault="00AD27D5" w:rsidP="00AD27D5">
      <w:pPr>
        <w:spacing w:line="216" w:lineRule="auto"/>
        <w:rPr>
          <w:sz w:val="36"/>
        </w:rPr>
      </w:pPr>
      <w:r w:rsidRPr="00AD27D5">
        <w:rPr>
          <w:rFonts w:asciiTheme="minorHAnsi" w:eastAsiaTheme="minorEastAsia" w:hAnsi="Calibri" w:cstheme="minorBidi"/>
          <w:color w:val="0070C0"/>
          <w:kern w:val="24"/>
          <w:sz w:val="36"/>
          <w:szCs w:val="36"/>
          <w:lang w:val="en-GB"/>
        </w:rPr>
        <w:t xml:space="preserve">The CCL does </w:t>
      </w:r>
      <w:r w:rsidRPr="00AD27D5">
        <w:rPr>
          <w:rFonts w:asciiTheme="minorHAnsi" w:eastAsiaTheme="minorEastAsia" w:hAnsi="Calibri" w:cstheme="minorBidi"/>
          <w:color w:val="0070C0"/>
          <w:kern w:val="24"/>
          <w:sz w:val="36"/>
          <w:szCs w:val="36"/>
          <w:u w:val="single"/>
          <w:lang w:val="en-GB"/>
        </w:rPr>
        <w:t>not</w:t>
      </w:r>
      <w:r w:rsidRPr="00AD27D5">
        <w:rPr>
          <w:rFonts w:asciiTheme="minorHAnsi" w:eastAsiaTheme="minorEastAsia" w:hAnsi="Calibri" w:cstheme="minorBidi"/>
          <w:color w:val="0070C0"/>
          <w:kern w:val="24"/>
          <w:sz w:val="36"/>
          <w:szCs w:val="36"/>
          <w:lang w:val="en-GB"/>
        </w:rPr>
        <w:t xml:space="preserve"> apply </w:t>
      </w:r>
      <w:proofErr w:type="gramStart"/>
      <w:r w:rsidRPr="00AD27D5">
        <w:rPr>
          <w:rFonts w:asciiTheme="minorHAnsi" w:eastAsiaTheme="minorEastAsia" w:hAnsi="Calibri" w:cstheme="minorBidi"/>
          <w:color w:val="0070C0"/>
          <w:kern w:val="24"/>
          <w:sz w:val="36"/>
          <w:szCs w:val="36"/>
          <w:lang w:val="en-GB"/>
        </w:rPr>
        <w:t>to</w:t>
      </w:r>
      <w:proofErr w:type="gramEnd"/>
      <w:r w:rsidRPr="00AD27D5">
        <w:rPr>
          <w:rFonts w:asciiTheme="minorHAnsi" w:eastAsiaTheme="minorEastAsia" w:hAnsi="Calibri" w:cstheme="minorBidi"/>
          <w:color w:val="0070C0"/>
          <w:kern w:val="24"/>
          <w:sz w:val="36"/>
          <w:szCs w:val="36"/>
          <w:lang w:val="en-GB"/>
        </w:rPr>
        <w:t>:</w:t>
      </w:r>
    </w:p>
    <w:p w:rsidR="00AD27D5" w:rsidRDefault="00AD27D5" w:rsidP="00AD27D5">
      <w:pPr>
        <w:pStyle w:val="ListParagraph"/>
        <w:numPr>
          <w:ilvl w:val="5"/>
          <w:numId w:val="3"/>
        </w:numPr>
        <w:spacing w:line="216" w:lineRule="auto"/>
        <w:rPr>
          <w:sz w:val="32"/>
        </w:rPr>
      </w:pPr>
      <w:r>
        <w:rPr>
          <w:rFonts w:asciiTheme="minorHAnsi" w:eastAsiaTheme="minorEastAsia" w:hAnsi="Calibri" w:cstheme="minorBidi"/>
          <w:color w:val="0070C0"/>
          <w:kern w:val="24"/>
          <w:sz w:val="32"/>
          <w:szCs w:val="32"/>
          <w:lang w:val="en-GB"/>
        </w:rPr>
        <w:t xml:space="preserve">Companies exempt pursuant to Cabinet resolution </w:t>
      </w:r>
      <w:r>
        <w:rPr>
          <w:rFonts w:asciiTheme="minorHAnsi" w:eastAsiaTheme="minorEastAsia" w:hAnsi="Calibri" w:cstheme="minorBidi"/>
          <w:color w:val="0070C0"/>
          <w:kern w:val="24"/>
          <w:sz w:val="32"/>
          <w:szCs w:val="32"/>
          <w:u w:val="single"/>
          <w:lang w:val="en-GB"/>
        </w:rPr>
        <w:t>if</w:t>
      </w:r>
      <w:r>
        <w:rPr>
          <w:rFonts w:asciiTheme="minorHAnsi" w:eastAsiaTheme="minorEastAsia" w:hAnsi="Calibri" w:cstheme="minorBidi"/>
          <w:color w:val="0070C0"/>
          <w:kern w:val="24"/>
          <w:sz w:val="32"/>
          <w:szCs w:val="32"/>
          <w:lang w:val="en-GB"/>
        </w:rPr>
        <w:t xml:space="preserve"> special provision is made in the memorandum or articles (Article 4(1)(A))</w:t>
      </w:r>
    </w:p>
    <w:p w:rsidR="00AD27D5" w:rsidRDefault="00AD27D5" w:rsidP="00AD27D5">
      <w:pPr>
        <w:pStyle w:val="ListParagraph"/>
        <w:numPr>
          <w:ilvl w:val="5"/>
          <w:numId w:val="3"/>
        </w:numPr>
        <w:spacing w:line="216" w:lineRule="auto"/>
        <w:rPr>
          <w:sz w:val="32"/>
        </w:rPr>
      </w:pPr>
      <w:r>
        <w:rPr>
          <w:rFonts w:asciiTheme="minorHAnsi" w:eastAsiaTheme="minorEastAsia" w:hAnsi="Calibri" w:cstheme="minorBidi"/>
          <w:color w:val="0070C0"/>
          <w:kern w:val="24"/>
          <w:sz w:val="32"/>
          <w:szCs w:val="32"/>
          <w:lang w:val="en-GB"/>
        </w:rPr>
        <w:t xml:space="preserve">Companies wholly owned by Federal or Emirate Government and other companies held in full  by them </w:t>
      </w:r>
      <w:r>
        <w:rPr>
          <w:rFonts w:asciiTheme="minorHAnsi" w:eastAsiaTheme="minorEastAsia" w:hAnsi="Calibri" w:cstheme="minorBidi"/>
          <w:color w:val="0070C0"/>
          <w:kern w:val="24"/>
          <w:sz w:val="32"/>
          <w:szCs w:val="32"/>
          <w:u w:val="single"/>
          <w:lang w:val="en-GB"/>
        </w:rPr>
        <w:t>if</w:t>
      </w:r>
      <w:r>
        <w:rPr>
          <w:rFonts w:asciiTheme="minorHAnsi" w:eastAsiaTheme="minorEastAsia" w:hAnsi="Calibri" w:cstheme="minorBidi"/>
          <w:color w:val="0070C0"/>
          <w:kern w:val="24"/>
          <w:sz w:val="32"/>
          <w:szCs w:val="32"/>
          <w:lang w:val="en-GB"/>
        </w:rPr>
        <w:t xml:space="preserve"> special provision is contained in the memorandum and articles (Article 4(1)(B))</w:t>
      </w:r>
    </w:p>
    <w:p w:rsidR="00AD27D5" w:rsidRDefault="00AD27D5" w:rsidP="00AD27D5">
      <w:pPr>
        <w:pStyle w:val="ListParagraph"/>
        <w:numPr>
          <w:ilvl w:val="5"/>
          <w:numId w:val="3"/>
        </w:numPr>
        <w:spacing w:line="216" w:lineRule="auto"/>
        <w:rPr>
          <w:sz w:val="32"/>
        </w:rPr>
      </w:pPr>
      <w:r>
        <w:rPr>
          <w:rFonts w:asciiTheme="minorHAnsi" w:eastAsiaTheme="minorEastAsia" w:hAnsi="Calibri" w:cstheme="minorBidi"/>
          <w:color w:val="0070C0"/>
          <w:kern w:val="24"/>
          <w:sz w:val="32"/>
          <w:szCs w:val="32"/>
          <w:lang w:val="en-GB"/>
        </w:rPr>
        <w:t>Companies in which the Federal and Emirate Government (directly or indirectly) own 25% and which operate in specific industries (Article 4(1)(C))</w:t>
      </w:r>
    </w:p>
    <w:p w:rsidR="00AD27D5" w:rsidRDefault="00AD27D5" w:rsidP="00AD27D5">
      <w:pPr>
        <w:pStyle w:val="ListParagraph"/>
        <w:numPr>
          <w:ilvl w:val="5"/>
          <w:numId w:val="3"/>
        </w:numPr>
        <w:spacing w:line="216" w:lineRule="auto"/>
        <w:rPr>
          <w:sz w:val="32"/>
        </w:rPr>
      </w:pPr>
      <w:r>
        <w:rPr>
          <w:rFonts w:asciiTheme="minorHAnsi" w:eastAsiaTheme="minorEastAsia" w:hAnsi="Calibri" w:cstheme="minorBidi"/>
          <w:color w:val="0070C0"/>
          <w:kern w:val="24"/>
          <w:sz w:val="32"/>
          <w:szCs w:val="32"/>
          <w:lang w:val="en-GB"/>
        </w:rPr>
        <w:t>Companies exempted under the Current CCL and under special Federal laws (Article 4(1)(D) and (E))</w:t>
      </w:r>
    </w:p>
    <w:p w:rsidR="00AD27D5" w:rsidRDefault="00AD27D5" w:rsidP="00AD27D5">
      <w:pPr>
        <w:pStyle w:val="ListParagraph"/>
        <w:numPr>
          <w:ilvl w:val="5"/>
          <w:numId w:val="3"/>
        </w:numPr>
        <w:spacing w:line="216" w:lineRule="auto"/>
        <w:rPr>
          <w:sz w:val="32"/>
        </w:rPr>
      </w:pPr>
      <w:r>
        <w:rPr>
          <w:rFonts w:asciiTheme="minorHAnsi" w:eastAsiaTheme="minorEastAsia" w:hAnsi="Calibri" w:cstheme="minorBidi"/>
          <w:color w:val="0070C0"/>
          <w:kern w:val="24"/>
          <w:sz w:val="32"/>
          <w:szCs w:val="32"/>
          <w:lang w:val="en-GB"/>
        </w:rPr>
        <w:t>Free zone companies (Article 5)</w:t>
      </w:r>
    </w:p>
    <w:p w:rsidR="00AD27D5" w:rsidRPr="00AD27D5" w:rsidRDefault="00AD27D5" w:rsidP="00AD27D5">
      <w:pPr>
        <w:spacing w:line="216" w:lineRule="auto"/>
        <w:rPr>
          <w:sz w:val="36"/>
        </w:rPr>
      </w:pPr>
      <w:r w:rsidRPr="00AD27D5"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  <w:t>V</w:t>
      </w:r>
      <w:r w:rsidRPr="00AD27D5"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  <w:t xml:space="preserve">arious provisions of the Commercial Code (Federal law No. 18 of 1993) apply to CCL companies (e.g. the bankruptcy regime) </w:t>
      </w:r>
    </w:p>
    <w:p w:rsidR="00AD27D5" w:rsidRDefault="00AD27D5" w:rsidP="00AD27D5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</w:p>
    <w:p w:rsidR="00AD27D5" w:rsidRDefault="00AD27D5" w:rsidP="00AD27D5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  <w:r w:rsidRPr="00AD27D5"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  <w:t>Civil companies</w:t>
      </w:r>
    </w:p>
    <w:p w:rsidR="00AD27D5" w:rsidRDefault="00AD27D5" w:rsidP="00AD27D5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</w:p>
    <w:p w:rsidR="00AD27D5" w:rsidRDefault="00AD27D5" w:rsidP="00AD27D5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</w:p>
    <w:p w:rsidR="00AD27D5" w:rsidRDefault="00AD27D5" w:rsidP="00AD27D5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</w:p>
    <w:p w:rsidR="00AD27D5" w:rsidRDefault="00AD27D5" w:rsidP="00AD27D5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</w:p>
    <w:p w:rsidR="00AD27D5" w:rsidRDefault="00AD27D5" w:rsidP="00AD27D5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  <w:lang w:val="en-GB"/>
        </w:rPr>
      </w:pPr>
    </w:p>
    <w:p w:rsidR="00AD27D5" w:rsidRDefault="00AD27D5" w:rsidP="00AD27D5">
      <w:pPr>
        <w:spacing w:line="216" w:lineRule="auto"/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88"/>
          <w:szCs w:val="88"/>
        </w:rPr>
        <w:lastRenderedPageBreak/>
        <w:t>Key Issues</w:t>
      </w:r>
    </w:p>
    <w:p w:rsidR="00AD27D5" w:rsidRDefault="00AD27D5" w:rsidP="00AD27D5">
      <w:pPr>
        <w:spacing w:line="216" w:lineRule="auto"/>
      </w:pPr>
      <w:r w:rsidRPr="00AD27D5">
        <w:rPr>
          <w:rFonts w:asciiTheme="minorHAnsi" w:eastAsiaTheme="minorEastAsia" w:hAnsi="Calibri" w:cstheme="minorBidi"/>
          <w:color w:val="1A75CF"/>
          <w:kern w:val="24"/>
          <w:lang w:val="en-GB"/>
        </w:rPr>
        <w:t>New provision stating that all provisions applying to Joint Stock Companies apply to LLCs (Article 104</w:t>
      </w:r>
      <w:r w:rsidRPr="00AD27D5">
        <w:rPr>
          <w:rFonts w:asciiTheme="minorHAnsi" w:eastAsiaTheme="minorEastAsia" w:hAnsi="Calibri" w:cstheme="minorBidi"/>
          <w:i/>
          <w:iCs/>
          <w:color w:val="1A75CF"/>
          <w:kern w:val="24"/>
          <w:lang w:val="en-GB"/>
        </w:rPr>
        <w:t xml:space="preserve">) </w:t>
      </w:r>
      <w:r w:rsidRPr="00AD27D5">
        <w:rPr>
          <w:rFonts w:asciiTheme="minorHAnsi" w:eastAsiaTheme="minorEastAsia" w:hAnsi="Calibri" w:cstheme="minorBidi"/>
          <w:color w:val="1A75CF"/>
          <w:kern w:val="24"/>
          <w:lang w:val="en-GB"/>
        </w:rPr>
        <w:t>e.g. do the following apply to both JSCs and LLCs?</w:t>
      </w:r>
    </w:p>
    <w:p w:rsidR="00AD27D5" w:rsidRDefault="00AD27D5" w:rsidP="00AD27D5">
      <w:pPr>
        <w:pStyle w:val="ListParagraph"/>
        <w:numPr>
          <w:ilvl w:val="8"/>
          <w:numId w:val="4"/>
        </w:numPr>
        <w:spacing w:line="216" w:lineRule="auto"/>
      </w:pPr>
      <w:r>
        <w:rPr>
          <w:rFonts w:asciiTheme="minorHAnsi" w:eastAsiaTheme="minorEastAsia" w:hAnsi="Calibri" w:cstheme="minorBidi"/>
          <w:color w:val="000000"/>
          <w:kern w:val="24"/>
          <w:lang w:val="en-GB"/>
        </w:rPr>
        <w:t>Nominal value of JSC shares (Article 207)</w:t>
      </w:r>
    </w:p>
    <w:p w:rsidR="00AD27D5" w:rsidRDefault="00AD27D5" w:rsidP="00AD27D5">
      <w:pPr>
        <w:pStyle w:val="ListParagraph"/>
        <w:numPr>
          <w:ilvl w:val="8"/>
          <w:numId w:val="4"/>
        </w:numPr>
        <w:spacing w:line="216" w:lineRule="auto"/>
      </w:pPr>
      <w:r>
        <w:rPr>
          <w:rFonts w:asciiTheme="minorHAnsi" w:eastAsiaTheme="minorEastAsia" w:hAnsi="Calibri" w:cstheme="minorBidi"/>
          <w:color w:val="000000"/>
          <w:kern w:val="24"/>
          <w:lang w:val="en-GB"/>
        </w:rPr>
        <w:t>Director nationality requirements (Article 151)</w:t>
      </w:r>
    </w:p>
    <w:p w:rsidR="00AD27D5" w:rsidRDefault="00AD27D5" w:rsidP="00AD27D5">
      <w:pPr>
        <w:pStyle w:val="ListParagraph"/>
        <w:numPr>
          <w:ilvl w:val="8"/>
          <w:numId w:val="4"/>
        </w:numPr>
        <w:spacing w:line="216" w:lineRule="auto"/>
      </w:pPr>
      <w:r>
        <w:rPr>
          <w:rFonts w:asciiTheme="minorHAnsi" w:eastAsiaTheme="minorEastAsia" w:hAnsi="Calibri" w:cstheme="minorBidi"/>
          <w:color w:val="000000"/>
          <w:kern w:val="24"/>
          <w:lang w:val="en-GB"/>
        </w:rPr>
        <w:t>Prohibition on loans to directors (Article 153)?</w:t>
      </w:r>
    </w:p>
    <w:p w:rsidR="00AD27D5" w:rsidRDefault="00AD27D5" w:rsidP="00AD27D5">
      <w:pPr>
        <w:pStyle w:val="ListParagraph"/>
        <w:numPr>
          <w:ilvl w:val="8"/>
          <w:numId w:val="4"/>
        </w:numPr>
        <w:spacing w:line="216" w:lineRule="auto"/>
      </w:pPr>
      <w:r>
        <w:rPr>
          <w:rFonts w:asciiTheme="minorHAnsi" w:eastAsiaTheme="minorEastAsia" w:hAnsi="Calibri" w:cstheme="minorBidi"/>
          <w:color w:val="000000"/>
          <w:kern w:val="24"/>
          <w:lang w:val="en-GB"/>
        </w:rPr>
        <w:t>New restriction on directors powers to take security over moveable property (Article 154)</w:t>
      </w:r>
      <w:proofErr w:type="gramStart"/>
      <w:r>
        <w:rPr>
          <w:rFonts w:asciiTheme="minorHAnsi" w:eastAsiaTheme="minorEastAsia" w:hAnsi="Calibri" w:cstheme="minorBidi"/>
          <w:color w:val="000000"/>
          <w:kern w:val="24"/>
          <w:lang w:val="en-GB"/>
        </w:rPr>
        <w:t>?</w:t>
      </w:r>
      <w:proofErr w:type="gramEnd"/>
    </w:p>
    <w:p w:rsidR="00AD27D5" w:rsidRDefault="00AD27D5" w:rsidP="00AD27D5">
      <w:pPr>
        <w:pStyle w:val="ListParagraph"/>
        <w:numPr>
          <w:ilvl w:val="7"/>
          <w:numId w:val="4"/>
        </w:numPr>
        <w:spacing w:line="216" w:lineRule="auto"/>
      </w:pPr>
      <w:r>
        <w:rPr>
          <w:rFonts w:asciiTheme="minorHAnsi" w:eastAsiaTheme="minorEastAsia" w:hAnsi="Calibri" w:cstheme="minorBidi"/>
          <w:color w:val="000000"/>
          <w:kern w:val="24"/>
          <w:lang w:val="en-GB"/>
        </w:rPr>
        <w:t>Prohibition on financial assistance (Article 222)?</w:t>
      </w:r>
    </w:p>
    <w:p w:rsidR="00AD27D5" w:rsidRDefault="00AD27D5" w:rsidP="00AD27D5">
      <w:pPr>
        <w:pStyle w:val="NormalWeb"/>
        <w:spacing w:beforeAutospacing="0" w:after="0" w:afterAutospacing="0" w:line="216" w:lineRule="auto"/>
        <w:ind w:left="3960" w:hanging="360"/>
      </w:pPr>
      <w:r>
        <w:rPr>
          <w:rFonts w:asciiTheme="minorHAnsi" w:eastAsiaTheme="minorEastAsia" w:hAnsi="Calibri" w:cstheme="minorBidi"/>
          <w:b/>
          <w:bCs/>
          <w:i/>
          <w:iCs/>
          <w:color w:val="FF0000"/>
          <w:kern w:val="24"/>
          <w:sz w:val="22"/>
          <w:szCs w:val="22"/>
          <w:lang w:val="en-GB"/>
        </w:rPr>
        <w:tab/>
      </w:r>
      <w:r>
        <w:rPr>
          <w:rFonts w:asciiTheme="minorHAnsi" w:eastAsiaTheme="minorEastAsia" w:hAnsi="Calibri" w:cstheme="minorBidi"/>
          <w:color w:val="1A75CF"/>
          <w:kern w:val="24"/>
          <w:lang w:val="en-GB"/>
        </w:rPr>
        <w:t xml:space="preserve">Companies may only conduct activities outside the State if </w:t>
      </w:r>
      <w:proofErr w:type="gramStart"/>
      <w:r>
        <w:rPr>
          <w:rFonts w:asciiTheme="minorHAnsi" w:eastAsiaTheme="minorEastAsia" w:hAnsi="Calibri" w:cstheme="minorBidi"/>
          <w:color w:val="1A75CF"/>
          <w:kern w:val="24"/>
          <w:lang w:val="en-GB"/>
        </w:rPr>
        <w:t>its</w:t>
      </w:r>
      <w:proofErr w:type="gramEnd"/>
      <w:r>
        <w:rPr>
          <w:rFonts w:asciiTheme="minorHAnsi" w:eastAsiaTheme="minorEastAsia" w:hAnsi="Calibri" w:cstheme="minorBidi"/>
          <w:color w:val="1A75CF"/>
          <w:kern w:val="24"/>
          <w:lang w:val="en-GB"/>
        </w:rPr>
        <w:t xml:space="preserve"> Memorandum of Association so provides (Article 11(2))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GB"/>
        </w:rPr>
        <w:t xml:space="preserve"> </w:t>
      </w:r>
    </w:p>
    <w:p w:rsidR="00AD27D5" w:rsidRDefault="00AD27D5" w:rsidP="00AD27D5">
      <w:pPr>
        <w:spacing w:line="216" w:lineRule="auto"/>
      </w:pPr>
      <w:r w:rsidRPr="00AD27D5">
        <w:rPr>
          <w:rFonts w:asciiTheme="minorHAnsi" w:eastAsiaTheme="minorEastAsia" w:hAnsi="Calibri" w:cstheme="minorBidi"/>
          <w:color w:val="1A75CF"/>
          <w:kern w:val="24"/>
          <w:lang w:val="en-GB"/>
        </w:rPr>
        <w:t>Consequences of non-compliance (potential dissolution) - Article 374 v Article 170</w:t>
      </w:r>
    </w:p>
    <w:p w:rsidR="00AD27D5" w:rsidRDefault="00AD27D5" w:rsidP="00AD27D5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lang w:val="en-GB"/>
        </w:rPr>
      </w:pPr>
    </w:p>
    <w:p w:rsidR="00AD27D5" w:rsidRDefault="00AD27D5" w:rsidP="00AD27D5">
      <w:pPr>
        <w:spacing w:line="216" w:lineRule="auto"/>
      </w:pPr>
      <w:bookmarkStart w:id="0" w:name="_GoBack"/>
      <w:bookmarkEnd w:id="0"/>
      <w:r w:rsidRPr="00AD27D5">
        <w:rPr>
          <w:rFonts w:asciiTheme="minorHAnsi" w:eastAsiaTheme="minorEastAsia" w:hAnsi="Calibri" w:cstheme="minorBidi"/>
          <w:color w:val="1A75CF"/>
          <w:kern w:val="24"/>
          <w:lang w:val="en-GB"/>
        </w:rPr>
        <w:t xml:space="preserve">Will the new CCL apply to decree companies? Must free zones expressly </w:t>
      </w:r>
      <w:proofErr w:type="spellStart"/>
      <w:r w:rsidRPr="00AD27D5">
        <w:rPr>
          <w:rFonts w:asciiTheme="minorHAnsi" w:eastAsiaTheme="minorEastAsia" w:hAnsi="Calibri" w:cstheme="minorBidi"/>
          <w:color w:val="1A75CF"/>
          <w:kern w:val="24"/>
          <w:lang w:val="en-GB"/>
        </w:rPr>
        <w:t>disapply</w:t>
      </w:r>
      <w:proofErr w:type="spellEnd"/>
      <w:r w:rsidRPr="00AD27D5">
        <w:rPr>
          <w:rFonts w:asciiTheme="minorHAnsi" w:eastAsiaTheme="minorEastAsia" w:hAnsi="Calibri" w:cstheme="minorBidi"/>
          <w:color w:val="1A75CF"/>
          <w:kern w:val="24"/>
          <w:lang w:val="en-GB"/>
        </w:rPr>
        <w:t xml:space="preserve"> the new CCL? </w:t>
      </w:r>
    </w:p>
    <w:p w:rsidR="00AD27D5" w:rsidRPr="00AD27D5" w:rsidRDefault="00AD27D5" w:rsidP="00AD27D5">
      <w:pPr>
        <w:spacing w:line="216" w:lineRule="auto"/>
        <w:rPr>
          <w:rFonts w:asciiTheme="minorHAnsi" w:eastAsiaTheme="minorEastAsia" w:hAnsi="Calibri" w:cstheme="minorBidi"/>
          <w:color w:val="1A75CF"/>
          <w:kern w:val="24"/>
          <w:sz w:val="36"/>
          <w:szCs w:val="36"/>
        </w:rPr>
      </w:pPr>
    </w:p>
    <w:p w:rsidR="00AD27D5" w:rsidRPr="00AD27D5" w:rsidRDefault="00AD27D5" w:rsidP="00AD27D5">
      <w:pPr>
        <w:spacing w:line="216" w:lineRule="auto"/>
        <w:rPr>
          <w:sz w:val="36"/>
        </w:rPr>
      </w:pPr>
    </w:p>
    <w:p w:rsidR="00AD27D5" w:rsidRDefault="00AD27D5" w:rsidP="00251E70">
      <w:pPr>
        <w:spacing w:line="216" w:lineRule="auto"/>
        <w:rPr>
          <w:sz w:val="28"/>
        </w:rPr>
      </w:pPr>
    </w:p>
    <w:p w:rsidR="00251E70" w:rsidRPr="00251E70" w:rsidRDefault="00251E70" w:rsidP="00251E70">
      <w:pPr>
        <w:spacing w:line="216" w:lineRule="auto"/>
        <w:ind w:left="3240"/>
        <w:rPr>
          <w:sz w:val="28"/>
        </w:rPr>
      </w:pPr>
    </w:p>
    <w:p w:rsidR="00251E70" w:rsidRPr="00251E70" w:rsidRDefault="00251E70" w:rsidP="00251E70">
      <w:pPr>
        <w:spacing w:line="216" w:lineRule="auto"/>
        <w:rPr>
          <w:sz w:val="36"/>
        </w:rPr>
      </w:pPr>
    </w:p>
    <w:p w:rsidR="00251E70" w:rsidRPr="00251E70" w:rsidRDefault="00251E70" w:rsidP="00251E70">
      <w:pPr>
        <w:jc w:val="center"/>
        <w:rPr>
          <w:sz w:val="28"/>
          <w:szCs w:val="28"/>
        </w:rPr>
      </w:pPr>
    </w:p>
    <w:sectPr w:rsidR="00251E70" w:rsidRPr="00251E70" w:rsidSect="007340A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E43"/>
    <w:multiLevelType w:val="hybridMultilevel"/>
    <w:tmpl w:val="D6A8A322"/>
    <w:lvl w:ilvl="0" w:tplc="E2D6E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6E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2E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659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6D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44366">
      <w:start w:val="110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0C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66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26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C66E8A"/>
    <w:multiLevelType w:val="hybridMultilevel"/>
    <w:tmpl w:val="0AB414C8"/>
    <w:lvl w:ilvl="0" w:tplc="AFC83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8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0B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4CDD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C827A">
      <w:start w:val="110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2E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CD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85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40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F86181"/>
    <w:multiLevelType w:val="hybridMultilevel"/>
    <w:tmpl w:val="997C90B2"/>
    <w:lvl w:ilvl="0" w:tplc="6B38B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C9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86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A0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039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A2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07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01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6AD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4545F8"/>
    <w:multiLevelType w:val="hybridMultilevel"/>
    <w:tmpl w:val="FD3C7DA0"/>
    <w:lvl w:ilvl="0" w:tplc="D4A2D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6D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C5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25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44E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85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CD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CD958">
      <w:start w:val="110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6E524">
      <w:start w:val="110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CA24760"/>
    <w:multiLevelType w:val="hybridMultilevel"/>
    <w:tmpl w:val="EBD27C64"/>
    <w:lvl w:ilvl="0" w:tplc="7C16E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A4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28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A05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807CC">
      <w:start w:val="110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6A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41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C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2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70"/>
    <w:rsid w:val="00251E70"/>
    <w:rsid w:val="004927A4"/>
    <w:rsid w:val="007340AA"/>
    <w:rsid w:val="00A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AD0EF"/>
  <w15:chartTrackingRefBased/>
  <w15:docId w15:val="{847E2F3D-C67E-4670-8B6F-5581A37D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ubai" w:eastAsiaTheme="minorHAnsi" w:hAnsi="Dubai" w:cs="Duba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1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9820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560">
          <w:marLeft w:val="61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2211">
          <w:marLeft w:val="61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499">
          <w:marLeft w:val="61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289">
          <w:marLeft w:val="61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89">
          <w:marLeft w:val="54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9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410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832">
          <w:marLeft w:val="252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259">
          <w:marLeft w:val="252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592">
          <w:marLeft w:val="324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758">
          <w:marLeft w:val="324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826">
          <w:marLeft w:val="324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253">
          <w:marLeft w:val="252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738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54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376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889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511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521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8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74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01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624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380">
          <w:marLeft w:val="39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656">
          <w:marLeft w:val="39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271">
          <w:marLeft w:val="39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980">
          <w:marLeft w:val="39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629">
          <w:marLeft w:val="39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049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80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508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692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82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98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105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Dubai Smart Government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Bashar Hikmet Malkawi</dc:creator>
  <cp:keywords/>
  <dc:description/>
  <cp:lastModifiedBy>Bashar Hikmet Malkawi</cp:lastModifiedBy>
  <cp:revision>1</cp:revision>
  <dcterms:created xsi:type="dcterms:W3CDTF">2019-05-09T09:23:00Z</dcterms:created>
  <dcterms:modified xsi:type="dcterms:W3CDTF">2019-05-09T09:49:00Z</dcterms:modified>
</cp:coreProperties>
</file>